
<file path=[Content_Types].xml><?xml version="1.0" encoding="utf-8"?>
<Types xmlns="http://schemas.openxmlformats.org/package/2006/content-types">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core.xml" ContentType="application/vnd.openxmlformats-package.core-properties+xml"/>
  <Default Extension="png" ContentType="image/png"/>
  <Override PartName="/word/header1.xml" ContentType="application/vnd.openxmlformats-officedocument.wordprocessingml.header+xml"/>
  <Override PartName="/word/header2.xml" ContentType="application/vnd.openxmlformats-officedocument.wordprocessingml.header+xml"/>
  <Default Extension="jpeg" ContentType="image/jpeg"/>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word/footer5.xml" ContentType="application/vnd.openxmlformats-officedocument.wordprocessingml.footer+xml"/>
  <Override PartName="/word/header10.xml" ContentType="application/vnd.openxmlformats-officedocument.wordprocessingml.header+xml"/>
  <Override PartName="/word/footer6.xml" ContentType="application/vnd.openxmlformats-officedocument.wordprocessingml.footer+xml"/>
  <Override PartName="/word/header11.xml" ContentType="application/vnd.openxmlformats-officedocument.wordprocessingml.header+xml"/>
  <Override PartName="/word/footer7.xml" ContentType="application/vnd.openxmlformats-officedocument.wordprocessingml.footer+xml"/>
  <Override PartName="/word/header12.xml" ContentType="application/vnd.openxmlformats-officedocument.wordprocessingml.header+xml"/>
  <Override PartName="/word/footer8.xml" ContentType="application/vnd.openxmlformats-officedocument.wordprocessingml.footer+xml"/>
  <Override PartName="/word/header13.xml" ContentType="application/vnd.openxmlformats-officedocument.wordprocessingml.header+xml"/>
  <Override PartName="/word/footer9.xml" ContentType="application/vnd.openxmlformats-officedocument.wordprocessingml.footer+xml"/>
  <Override PartName="/word/header14.xml" ContentType="application/vnd.openxmlformats-officedocument.wordprocessingml.header+xml"/>
  <Override PartName="/word/footer10.xml" ContentType="application/vnd.openxmlformats-officedocument.wordprocessingml.footer+xml"/>
  <Override PartName="/word/header15.xml" ContentType="application/vnd.openxmlformats-officedocument.wordprocessingml.header+xml"/>
  <Override PartName="/word/footer11.xml" ContentType="application/vnd.openxmlformats-officedocument.wordprocessingml.footer+xml"/>
  <Override PartName="/word/footer12.xml" ContentType="application/vnd.openxmlformats-officedocument.wordprocessingml.footer+xml"/>
  <Override PartName="/word/header16.xml" ContentType="application/vnd.openxmlformats-officedocument.wordprocessingml.header+xml"/>
  <Override PartName="/word/header17.xml" ContentType="application/vnd.openxmlformats-officedocument.wordprocessingml.header+xml"/>
  <Override PartName="/word/footer13.xml" ContentType="application/vnd.openxmlformats-officedocument.wordprocessingml.footer+xml"/>
  <Override PartName="/word/header18.xml" ContentType="application/vnd.openxmlformats-officedocument.wordprocessingml.header+xml"/>
  <Override PartName="/word/footer14.xml" ContentType="application/vnd.openxmlformats-officedocument.wordprocessingml.footer+xml"/>
  <Override PartName="/word/header19.xml" ContentType="application/vnd.openxmlformats-officedocument.wordprocessingml.header+xml"/>
  <Override PartName="/word/footer15.xml" ContentType="application/vnd.openxmlformats-officedocument.wordprocessingml.footer+xml"/>
  <Override PartName="/word/header20.xml" ContentType="application/vnd.openxmlformats-officedocument.wordprocessingml.header+xml"/>
  <Override PartName="/word/footer16.xml" ContentType="application/vnd.openxmlformats-officedocument.wordprocessingml.footer+xml"/>
  <Override PartName="/word/footer17.xml" ContentType="application/vnd.openxmlformats-officedocument.wordprocessingml.footer+xml"/>
  <Override PartName="/word/header21.xml" ContentType="application/vnd.openxmlformats-officedocument.wordprocessingml.header+xml"/>
  <Override PartName="/word/header22.xml" ContentType="application/vnd.openxmlformats-officedocument.wordprocessingml.header+xml"/>
  <Override PartName="/word/footer18.xml" ContentType="application/vnd.openxmlformats-officedocument.wordprocessingml.footer+xml"/>
  <Override PartName="/word/footer19.xml" ContentType="application/vnd.openxmlformats-officedocument.wordprocessingml.footer+xml"/>
  <Override PartName="/word/header23.xml" ContentType="application/vnd.openxmlformats-officedocument.wordprocessingml.header+xml"/>
  <Override PartName="/word/header24.xml" ContentType="application/vnd.openxmlformats-officedocument.wordprocessingml.header+xml"/>
  <Override PartName="/word/footer20.xml" ContentType="application/vnd.openxmlformats-officedocument.wordprocessingml.footer+xml"/>
  <Override PartName="/word/header25.xml" ContentType="application/vnd.openxmlformats-officedocument.wordprocessingml.header+xml"/>
  <Override PartName="/word/footer21.xml" ContentType="application/vnd.openxmlformats-officedocument.wordprocessingml.footer+xml"/>
  <Override PartName="/word/header26.xml" ContentType="application/vnd.openxmlformats-officedocument.wordprocessingml.header+xml"/>
  <Override PartName="/word/footer22.xml" ContentType="application/vnd.openxmlformats-officedocument.wordprocessingml.footer+xml"/>
  <Override PartName="/word/header27.xml" ContentType="application/vnd.openxmlformats-officedocument.wordprocessingml.header+xml"/>
  <Override PartName="/word/footer23.xml" ContentType="application/vnd.openxmlformats-officedocument.wordprocessingml.footer+xml"/>
  <Override PartName="/word/header28.xml" ContentType="application/vnd.openxmlformats-officedocument.wordprocessingml.header+xml"/>
  <Override PartName="/word/footer24.xml" ContentType="application/vnd.openxmlformats-officedocument.wordprocessingml.footer+xml"/>
  <Override PartName="/word/header29.xml" ContentType="application/vnd.openxmlformats-officedocument.wordprocessingml.header+xml"/>
  <Override PartName="/word/footer25.xml" ContentType="application/vnd.openxmlformats-officedocument.wordprocessingml.footer+xml"/>
  <Override PartName="/word/header30.xml" ContentType="application/vnd.openxmlformats-officedocument.wordprocessingml.header+xml"/>
  <Override PartName="/word/footer26.xml" ContentType="application/vnd.openxmlformats-officedocument.wordprocessingml.footer+xml"/>
  <Override PartName="/word/header31.xml" ContentType="application/vnd.openxmlformats-officedocument.wordprocessingml.header+xml"/>
  <Override PartName="/word/footer27.xml" ContentType="application/vnd.openxmlformats-officedocument.wordprocessingml.footer+xml"/>
  <Override PartName="/word/header32.xml" ContentType="application/vnd.openxmlformats-officedocument.wordprocessingml.header+xml"/>
  <Override PartName="/word/footer28.xml" ContentType="application/vnd.openxmlformats-officedocument.wordprocessingml.footer+xml"/>
  <Override PartName="/word/header33.xml" ContentType="application/vnd.openxmlformats-officedocument.wordprocessingml.header+xml"/>
  <Override PartName="/word/footer29.xml" ContentType="application/vnd.openxmlformats-officedocument.wordprocessingml.footer+xml"/>
  <Override PartName="/word/header34.xml" ContentType="application/vnd.openxmlformats-officedocument.wordprocessingml.header+xml"/>
  <Override PartName="/word/footer30.xml" ContentType="application/vnd.openxmlformats-officedocument.wordprocessingml.footer+xml"/>
  <Override PartName="/word/header35.xml" ContentType="application/vnd.openxmlformats-officedocument.wordprocessingml.header+xml"/>
  <Override PartName="/word/footer31.xml" ContentType="application/vnd.openxmlformats-officedocument.wordprocessingml.footer+xml"/>
  <Override PartName="/word/footer32.xml" ContentType="application/vnd.openxmlformats-officedocument.wordprocessingml.footer+xml"/>
  <Override PartName="/word/header36.xml" ContentType="application/vnd.openxmlformats-officedocument.wordprocessingml.header+xml"/>
  <Override PartName="/word/header37.xml" ContentType="application/vnd.openxmlformats-officedocument.wordprocessingml.header+xml"/>
  <Override PartName="/word/footer33.xml" ContentType="application/vnd.openxmlformats-officedocument.wordprocessingml.footer+xml"/>
  <Override PartName="/word/header38.xml" ContentType="application/vnd.openxmlformats-officedocument.wordprocessingml.header+xml"/>
  <Override PartName="/word/footer34.xml" ContentType="application/vnd.openxmlformats-officedocument.wordprocessingml.footer+xml"/>
  <Override PartName="/word/footer35.xml" ContentType="application/vnd.openxmlformats-officedocument.wordprocessingml.footer+xml"/>
  <Override PartName="/word/header39.xml" ContentType="application/vnd.openxmlformats-officedocument.wordprocessingml.header+xml"/>
  <Override PartName="/word/header40.xml" ContentType="application/vnd.openxmlformats-officedocument.wordprocessingml.header+xml"/>
  <Override PartName="/word/footer36.xml" ContentType="application/vnd.openxmlformats-officedocument.wordprocessingml.footer+xml"/>
  <Override PartName="/word/footer37.xml" ContentType="application/vnd.openxmlformats-officedocument.wordprocessingml.footer+xml"/>
  <Override PartName="/word/header41.xml" ContentType="application/vnd.openxmlformats-officedocument.wordprocessingml.header+xml"/>
  <Override PartName="/word/header42.xml" ContentType="application/vnd.openxmlformats-officedocument.wordprocessingml.header+xml"/>
  <Override PartName="/word/footer38.xml" ContentType="application/vnd.openxmlformats-officedocument.wordprocessingml.footer+xml"/>
  <Override PartName="/word/footer39.xml" ContentType="application/vnd.openxmlformats-officedocument.wordprocessingml.footer+xml"/>
  <Override PartName="/word/header43.xml" ContentType="application/vnd.openxmlformats-officedocument.wordprocessingml.header+xml"/>
  <Override PartName="/word/header44.xml" ContentType="application/vnd.openxmlformats-officedocument.wordprocessingml.header+xml"/>
  <Override PartName="/word/footer40.xml" ContentType="application/vnd.openxmlformats-officedocument.wordprocessingml.footer+xml"/>
  <Override PartName="/word/footer41.xml" ContentType="application/vnd.openxmlformats-officedocument.wordprocessingml.footer+xml"/>
  <Override PartName="/word/header45.xml" ContentType="application/vnd.openxmlformats-officedocument.wordprocessingml.header+xml"/>
  <Override PartName="/word/header46.xml" ContentType="application/vnd.openxmlformats-officedocument.wordprocessingml.header+xml"/>
  <Override PartName="/word/footer42.xml" ContentType="application/vnd.openxmlformats-officedocument.wordprocessingml.footer+xml"/>
  <Override PartName="/word/footer43.xml" ContentType="application/vnd.openxmlformats-officedocument.wordprocessingml.footer+xml"/>
  <Override PartName="/word/header47.xml" ContentType="application/vnd.openxmlformats-officedocument.wordprocessingml.header+xml"/>
  <Override PartName="/word/header48.xml" ContentType="application/vnd.openxmlformats-officedocument.wordprocessingml.header+xml"/>
  <Override PartName="/word/footer44.xml" ContentType="application/vnd.openxmlformats-officedocument.wordprocessingml.footer+xml"/>
  <Override PartName="/word/header49.xml" ContentType="application/vnd.openxmlformats-officedocument.wordprocessingml.header+xml"/>
  <Override PartName="/word/footer45.xml" ContentType="application/vnd.openxmlformats-officedocument.wordprocessingml.footer+xml"/>
  <Override PartName="/word/header50.xml" ContentType="application/vnd.openxmlformats-officedocument.wordprocessingml.header+xml"/>
  <Override PartName="/word/footer46.xml" ContentType="application/vnd.openxmlformats-officedocument.wordprocessingml.footer+xml"/>
  <Override PartName="/word/header51.xml" ContentType="application/vnd.openxmlformats-officedocument.wordprocessingml.header+xml"/>
  <Override PartName="/word/footer47.xml" ContentType="application/vnd.openxmlformats-officedocument.wordprocessingml.footer+xml"/>
  <Override PartName="/word/header52.xml" ContentType="application/vnd.openxmlformats-officedocument.wordprocessingml.header+xml"/>
  <Override PartName="/word/footer48.xml" ContentType="application/vnd.openxmlformats-officedocument.wordprocessingml.footer+xml"/>
  <Override PartName="/word/header53.xml" ContentType="application/vnd.openxmlformats-officedocument.wordprocessingml.header+xml"/>
  <Override PartName="/word/footer49.xml" ContentType="application/vnd.openxmlformats-officedocument.wordprocessingml.footer+xml"/>
  <Override PartName="/word/header54.xml" ContentType="application/vnd.openxmlformats-officedocument.wordprocessingml.header+xml"/>
  <Override PartName="/word/footer50.xml" ContentType="application/vnd.openxmlformats-officedocument.wordprocessingml.footer+xml"/>
  <Override PartName="/word/footer51.xml" ContentType="application/vnd.openxmlformats-officedocument.wordprocessingml.footer+xml"/>
  <Override PartName="/word/header55.xml" ContentType="application/vnd.openxmlformats-officedocument.wordprocessingml.header+xml"/>
  <Override PartName="/word/header56.xml" ContentType="application/vnd.openxmlformats-officedocument.wordprocessingml.header+xml"/>
  <Override PartName="/word/footer52.xml" ContentType="application/vnd.openxmlformats-officedocument.wordprocessingml.footer+xml"/>
  <Override PartName="/word/footer53.xml" ContentType="application/vnd.openxmlformats-officedocument.wordprocessingml.footer+xml"/>
  <Override PartName="/word/header57.xml" ContentType="application/vnd.openxmlformats-officedocument.wordprocessingml.header+xml"/>
  <Override PartName="/word/header58.xml" ContentType="application/vnd.openxmlformats-officedocument.wordprocessingml.header+xml"/>
  <Override PartName="/word/footer54.xml" ContentType="application/vnd.openxmlformats-officedocument.wordprocessingml.footer+xml"/>
  <Override PartName="/word/header59.xml" ContentType="application/vnd.openxmlformats-officedocument.wordprocessingml.header+xml"/>
  <Override PartName="/word/footer55.xml" ContentType="application/vnd.openxmlformats-officedocument.wordprocessingml.footer+xml"/>
  <Override PartName="/word/header60.xml" ContentType="application/vnd.openxmlformats-officedocument.wordprocessingml.header+xml"/>
  <Override PartName="/word/footer56.xml" ContentType="application/vnd.openxmlformats-officedocument.wordprocessingml.footer+xml"/>
  <Override PartName="/word/footer57.xml" ContentType="application/vnd.openxmlformats-officedocument.wordprocessingml.footer+xml"/>
  <Override PartName="/word/header61.xml" ContentType="application/vnd.openxmlformats-officedocument.wordprocessingml.header+xml"/>
  <Override PartName="/word/header62.xml" ContentType="application/vnd.openxmlformats-officedocument.wordprocessingml.header+xml"/>
  <Override PartName="/word/footer58.xml" ContentType="application/vnd.openxmlformats-officedocument.wordprocessingml.footer+xml"/>
  <Override PartName="/word/footer59.xml" ContentType="application/vnd.openxmlformats-officedocument.wordprocessingml.footer+xml"/>
  <Override PartName="/word/header63.xml" ContentType="application/vnd.openxmlformats-officedocument.wordprocessingml.header+xml"/>
  <Override PartName="/word/header64.xml" ContentType="application/vnd.openxmlformats-officedocument.wordprocessingml.header+xml"/>
  <Override PartName="/word/footer60.xml" ContentType="application/vnd.openxmlformats-officedocument.wordprocessingml.footer+xml"/>
  <Override PartName="/word/header65.xml" ContentType="application/vnd.openxmlformats-officedocument.wordprocessingml.header+xml"/>
  <Override PartName="/word/footer61.xml" ContentType="application/vnd.openxmlformats-officedocument.wordprocessingml.footer+xml"/>
  <Override PartName="/word/header66.xml" ContentType="application/vnd.openxmlformats-officedocument.wordprocessingml.header+xml"/>
  <Override PartName="/word/footer62.xml" ContentType="application/vnd.openxmlformats-officedocument.wordprocessingml.footer+xml"/>
  <Override PartName="/word/footer63.xml" ContentType="application/vnd.openxmlformats-officedocument.wordprocessingml.footer+xml"/>
  <Override PartName="/word/header67.xml" ContentType="application/vnd.openxmlformats-officedocument.wordprocessingml.header+xml"/>
  <Override PartName="/word/header68.xml" ContentType="application/vnd.openxmlformats-officedocument.wordprocessingml.header+xml"/>
  <Override PartName="/word/footer64.xml" ContentType="application/vnd.openxmlformats-officedocument.wordprocessingml.footer+xml"/>
  <Override PartName="/word/footer65.xml" ContentType="application/vnd.openxmlformats-officedocument.wordprocessingml.footer+xml"/>
  <Override PartName="/word/header69.xml" ContentType="application/vnd.openxmlformats-officedocument.wordprocessingml.header+xml"/>
  <Override PartName="/word/header70.xml" ContentType="application/vnd.openxmlformats-officedocument.wordprocessingml.header+xml"/>
  <Override PartName="/word/footer66.xml" ContentType="application/vnd.openxmlformats-officedocument.wordprocessingml.footer+xml"/>
  <Override PartName="/word/footer67.xml" ContentType="application/vnd.openxmlformats-officedocument.wordprocessingml.footer+xml"/>
  <Override PartName="/word/header71.xml" ContentType="application/vnd.openxmlformats-officedocument.wordprocessingml.header+xml"/>
  <Override PartName="/word/header72.xml" ContentType="application/vnd.openxmlformats-officedocument.wordprocessingml.header+xml"/>
  <Override PartName="/word/footer68.xml" ContentType="application/vnd.openxmlformats-officedocument.wordprocessingml.footer+xml"/>
  <Override PartName="/word/footer69.xml" ContentType="application/vnd.openxmlformats-officedocument.wordprocessingml.footer+xml"/>
  <Override PartName="/word/header73.xml" ContentType="application/vnd.openxmlformats-officedocument.wordprocessingml.header+xml"/>
  <Override PartName="/word/header74.xml" ContentType="application/vnd.openxmlformats-officedocument.wordprocessingml.header+xml"/>
  <Override PartName="/word/footer70.xml" ContentType="application/vnd.openxmlformats-officedocument.wordprocessingml.footer+xml"/>
  <Override PartName="/word/footer71.xml" ContentType="application/vnd.openxmlformats-officedocument.wordprocessingml.footer+xml"/>
  <Override PartName="/word/header75.xml" ContentType="application/vnd.openxmlformats-officedocument.wordprocessingml.header+xml"/>
  <Override PartName="/word/header76.xml" ContentType="application/vnd.openxmlformats-officedocument.wordprocessingml.header+xml"/>
  <Override PartName="/word/footer72.xml" ContentType="application/vnd.openxmlformats-officedocument.wordprocessingml.footer+xml"/>
  <Override PartName="/word/header77.xml" ContentType="application/vnd.openxmlformats-officedocument.wordprocessingml.header+xml"/>
  <Override PartName="/word/footer73.xml" ContentType="application/vnd.openxmlformats-officedocument.wordprocessingml.footer+xml"/>
  <Override PartName="/word/header78.xml" ContentType="application/vnd.openxmlformats-officedocument.wordprocessingml.header+xml"/>
  <Override PartName="/word/footer74.xml" ContentType="application/vnd.openxmlformats-officedocument.wordprocessingml.footer+xml"/>
  <Override PartName="/word/header79.xml" ContentType="application/vnd.openxmlformats-officedocument.wordprocessingml.header+xml"/>
  <Override PartName="/word/footer75.xml" ContentType="application/vnd.openxmlformats-officedocument.wordprocessingml.footer+xml"/>
  <Override PartName="/word/header80.xml" ContentType="application/vnd.openxmlformats-officedocument.wordprocessingml.header+xml"/>
  <Override PartName="/word/footer76.xml" ContentType="application/vnd.openxmlformats-officedocument.wordprocessingml.footer+xml"/>
  <Override PartName="/word/header81.xml" ContentType="application/vnd.openxmlformats-officedocument.wordprocessingml.header+xml"/>
  <Override PartName="/word/footer77.xml" ContentType="application/vnd.openxmlformats-officedocument.wordprocessingml.footer+xml"/>
  <Override PartName="/word/header82.xml" ContentType="application/vnd.openxmlformats-officedocument.wordprocessingml.header+xml"/>
  <Override PartName="/word/footer78.xml" ContentType="application/vnd.openxmlformats-officedocument.wordprocessingml.footer+xml"/>
  <Override PartName="/word/header83.xml" ContentType="application/vnd.openxmlformats-officedocument.wordprocessingml.header+xml"/>
  <Override PartName="/word/footer79.xml" ContentType="application/vnd.openxmlformats-officedocument.wordprocessingml.footer+xml"/>
  <Override PartName="/word/header84.xml" ContentType="application/vnd.openxmlformats-officedocument.wordprocessingml.header+xml"/>
  <Override PartName="/word/footer80.xml" ContentType="application/vnd.openxmlformats-officedocument.wordprocessingml.footer+xml"/>
  <Override PartName="/word/header85.xml" ContentType="application/vnd.openxmlformats-officedocument.wordprocessingml.header+xml"/>
  <Override PartName="/word/footer81.xml" ContentType="application/vnd.openxmlformats-officedocument.wordprocessingml.footer+xml"/>
  <Override PartName="/word/header86.xml" ContentType="application/vnd.openxmlformats-officedocument.wordprocessingml.header+xml"/>
  <Override PartName="/word/footer82.xml" ContentType="application/vnd.openxmlformats-officedocument.wordprocessingml.footer+xml"/>
  <Override PartName="/word/header87.xml" ContentType="application/vnd.openxmlformats-officedocument.wordprocessingml.header+xml"/>
  <Override PartName="/word/footer83.xml" ContentType="application/vnd.openxmlformats-officedocument.wordprocessingml.footer+xml"/>
  <Override PartName="/word/header88.xml" ContentType="application/vnd.openxmlformats-officedocument.wordprocessingml.header+xml"/>
  <Override PartName="/word/footer84.xml" ContentType="application/vnd.openxmlformats-officedocument.wordprocessingml.footer+xml"/>
  <Override PartName="/word/header89.xml" ContentType="application/vnd.openxmlformats-officedocument.wordprocessingml.header+xml"/>
  <Override PartName="/word/footer85.xml" ContentType="application/vnd.openxmlformats-officedocument.wordprocessingml.footer+xml"/>
  <Override PartName="/word/header90.xml" ContentType="application/vnd.openxmlformats-officedocument.wordprocessingml.header+xml"/>
  <Override PartName="/word/footer86.xml" ContentType="application/vnd.openxmlformats-officedocument.wordprocessingml.footer+xml"/>
  <Override PartName="/word/header91.xml" ContentType="application/vnd.openxmlformats-officedocument.wordprocessingml.header+xml"/>
  <Override PartName="/word/footer87.xml" ContentType="application/vnd.openxmlformats-officedocument.wordprocessingml.footer+xml"/>
  <Override PartName="/word/footer88.xml" ContentType="application/vnd.openxmlformats-officedocument.wordprocessingml.footer+xml"/>
  <Override PartName="/word/header92.xml" ContentType="application/vnd.openxmlformats-officedocument.wordprocessingml.header+xml"/>
  <Override PartName="/word/header93.xml" ContentType="application/vnd.openxmlformats-officedocument.wordprocessingml.header+xml"/>
  <Override PartName="/word/footer89.xml" ContentType="application/vnd.openxmlformats-officedocument.wordprocessingml.footer+xml"/>
  <Override PartName="/word/footer90.xml" ContentType="application/vnd.openxmlformats-officedocument.wordprocessingml.footer+xml"/>
  <Override PartName="/word/header94.xml" ContentType="application/vnd.openxmlformats-officedocument.wordprocessingml.header+xml"/>
  <Override PartName="/word/header95.xml" ContentType="application/vnd.openxmlformats-officedocument.wordprocessingml.header+xml"/>
  <Override PartName="/word/footer91.xml" ContentType="application/vnd.openxmlformats-officedocument.wordprocessingml.footer+xml"/>
  <Override PartName="/word/footer92.xml" ContentType="application/vnd.openxmlformats-officedocument.wordprocessingml.footer+xml"/>
  <Override PartName="/word/header96.xml" ContentType="application/vnd.openxmlformats-officedocument.wordprocessingml.header+xml"/>
  <Override PartName="/word/header97.xml" ContentType="application/vnd.openxmlformats-officedocument.wordprocessingml.header+xml"/>
  <Override PartName="/word/footer93.xml" ContentType="application/vnd.openxmlformats-officedocument.wordprocessingml.footer+xml"/>
  <Override PartName="/word/footer94.xml" ContentType="application/vnd.openxmlformats-officedocument.wordprocessingml.footer+xml"/>
  <Override PartName="/word/header98.xml" ContentType="application/vnd.openxmlformats-officedocument.wordprocessingml.header+xml"/>
  <Override PartName="/word/header99.xml" ContentType="application/vnd.openxmlformats-officedocument.wordprocessingml.header+xml"/>
  <Override PartName="/word/footer95.xml" ContentType="application/vnd.openxmlformats-officedocument.wordprocessingml.footer+xml"/>
  <Override PartName="/word/footer96.xml" ContentType="application/vnd.openxmlformats-officedocument.wordprocessingml.footer+xml"/>
  <Override PartName="/word/header100.xml" ContentType="application/vnd.openxmlformats-officedocument.wordprocessingml.header+xml"/>
  <Override PartName="/word/header101.xml" ContentType="application/vnd.openxmlformats-officedocument.wordprocessingml.header+xml"/>
  <Override PartName="/word/footer97.xml" ContentType="application/vnd.openxmlformats-officedocument.wordprocessingml.footer+xml"/>
  <Override PartName="/word/footer98.xml" ContentType="application/vnd.openxmlformats-officedocument.wordprocessingml.footer+xml"/>
  <Override PartName="/word/header102.xml" ContentType="application/vnd.openxmlformats-officedocument.wordprocessingml.header+xml"/>
  <Override PartName="/word/header103.xml" ContentType="application/vnd.openxmlformats-officedocument.wordprocessingml.header+xml"/>
  <Override PartName="/word/footer99.xml" ContentType="application/vnd.openxmlformats-officedocument.wordprocessingml.footer+xml"/>
  <Override PartName="/word/footer100.xml" ContentType="application/vnd.openxmlformats-officedocument.wordprocessingml.footer+xml"/>
  <Override PartName="/word/header104.xml" ContentType="application/vnd.openxmlformats-officedocument.wordprocessingml.header+xml"/>
  <Override PartName="/word/header105.xml" ContentType="application/vnd.openxmlformats-officedocument.wordprocessingml.header+xml"/>
  <Override PartName="/word/footer101.xml" ContentType="application/vnd.openxmlformats-officedocument.wordprocessingml.footer+xml"/>
  <Override PartName="/word/footer102.xml" ContentType="application/vnd.openxmlformats-officedocument.wordprocessingml.footer+xml"/>
  <Override PartName="/word/header106.xml" ContentType="application/vnd.openxmlformats-officedocument.wordprocessingml.header+xml"/>
  <Override PartName="/word/header107.xml" ContentType="application/vnd.openxmlformats-officedocument.wordprocessingml.header+xml"/>
  <Override PartName="/word/footer103.xml" ContentType="application/vnd.openxmlformats-officedocument.wordprocessingml.footer+xml"/>
  <Override PartName="/word/header108.xml" ContentType="application/vnd.openxmlformats-officedocument.wordprocessingml.header+xml"/>
  <Override PartName="/word/footer104.xml" ContentType="application/vnd.openxmlformats-officedocument.wordprocessingml.footer+xml"/>
  <Override PartName="/word/footer105.xml" ContentType="application/vnd.openxmlformats-officedocument.wordprocessingml.footer+xml"/>
  <Override PartName="/word/header109.xml" ContentType="application/vnd.openxmlformats-officedocument.wordprocessingml.header+xml"/>
  <Override PartName="/word/header110.xml" ContentType="application/vnd.openxmlformats-officedocument.wordprocessingml.header+xml"/>
  <Override PartName="/word/footer106.xml" ContentType="application/vnd.openxmlformats-officedocument.wordprocessingml.footer+xml"/>
  <Override PartName="/word/footer107.xml" ContentType="application/vnd.openxmlformats-officedocument.wordprocessingml.footer+xml"/>
  <Override PartName="/word/header111.xml" ContentType="application/vnd.openxmlformats-officedocument.wordprocessingml.header+xml"/>
  <Override PartName="/word/header112.xml" ContentType="application/vnd.openxmlformats-officedocument.wordprocessingml.header+xml"/>
  <Override PartName="/word/footer108.xml" ContentType="application/vnd.openxmlformats-officedocument.wordprocessingml.footer+xml"/>
  <Override PartName="/word/footer109.xml" ContentType="application/vnd.openxmlformats-officedocument.wordprocessingml.footer+xml"/>
  <Override PartName="/word/header113.xml" ContentType="application/vnd.openxmlformats-officedocument.wordprocessingml.header+xml"/>
  <Override PartName="/word/header114.xml" ContentType="application/vnd.openxmlformats-officedocument.wordprocessingml.header+xml"/>
  <Override PartName="/word/footer110.xml" ContentType="application/vnd.openxmlformats-officedocument.wordprocessingml.footer+xml"/>
  <Override PartName="/word/footer111.xml" ContentType="application/vnd.openxmlformats-officedocument.wordprocessingml.footer+xml"/>
  <Override PartName="/word/header115.xml" ContentType="application/vnd.openxmlformats-officedocument.wordprocessingml.header+xml"/>
  <Override PartName="/word/header116.xml" ContentType="application/vnd.openxmlformats-officedocument.wordprocessingml.header+xml"/>
  <Override PartName="/word/footer112.xml" ContentType="application/vnd.openxmlformats-officedocument.wordprocessingml.footer+xml"/>
  <Override PartName="/word/footer113.xml" ContentType="application/vnd.openxmlformats-officedocument.wordprocessingml.footer+xml"/>
  <Override PartName="/word/header117.xml" ContentType="application/vnd.openxmlformats-officedocument.wordprocessingml.header+xml"/>
  <Override PartName="/word/header118.xml" ContentType="application/vnd.openxmlformats-officedocument.wordprocessingml.header+xml"/>
  <Override PartName="/word/footer114.xml" ContentType="application/vnd.openxmlformats-officedocument.wordprocessingml.footer+xml"/>
  <Override PartName="/word/header119.xml" ContentType="application/vnd.openxmlformats-officedocument.wordprocessingml.header+xml"/>
  <Override PartName="/word/footer115.xml" ContentType="application/vnd.openxmlformats-officedocument.wordprocessingml.footer+xml"/>
  <Override PartName="/word/header120.xml" ContentType="application/vnd.openxmlformats-officedocument.wordprocessingml.header+xml"/>
  <Override PartName="/word/footer116.xml" ContentType="application/vnd.openxmlformats-officedocument.wordprocessingml.footer+xml"/>
  <Override PartName="/word/footer117.xml" ContentType="application/vnd.openxmlformats-officedocument.wordprocessingml.footer+xml"/>
  <Override PartName="/word/header121.xml" ContentType="application/vnd.openxmlformats-officedocument.wordprocessingml.header+xml"/>
  <Override PartName="/word/header122.xml" ContentType="application/vnd.openxmlformats-officedocument.wordprocessingml.header+xml"/>
  <Override PartName="/word/footer118.xml" ContentType="application/vnd.openxmlformats-officedocument.wordprocessingml.footer+xml"/>
  <Override PartName="/word/footer119.xml" ContentType="application/vnd.openxmlformats-officedocument.wordprocessingml.footer+xml"/>
  <Override PartName="/word/header123.xml" ContentType="application/vnd.openxmlformats-officedocument.wordprocessingml.header+xml"/>
  <Override PartName="/word/header124.xml" ContentType="application/vnd.openxmlformats-officedocument.wordprocessingml.header+xml"/>
  <Override PartName="/word/footer120.xml" ContentType="application/vnd.openxmlformats-officedocument.wordprocessingml.footer+xml"/>
  <Override PartName="/word/footer121.xml" ContentType="application/vnd.openxmlformats-officedocument.wordprocessingml.footer+xml"/>
  <Override PartName="/word/header125.xml" ContentType="application/vnd.openxmlformats-officedocument.wordprocessingml.header+xml"/>
  <Override PartName="/word/header126.xml" ContentType="application/vnd.openxmlformats-officedocument.wordprocessingml.header+xml"/>
  <Override PartName="/word/footer122.xml" ContentType="application/vnd.openxmlformats-officedocument.wordprocessingml.footer+xml"/>
  <Override PartName="/word/header127.xml" ContentType="application/vnd.openxmlformats-officedocument.wordprocessingml.header+xml"/>
  <Override PartName="/word/footer123.xml" ContentType="application/vnd.openxmlformats-officedocument.wordprocessingml.footer+xml"/>
  <Override PartName="/word/header128.xml" ContentType="application/vnd.openxmlformats-officedocument.wordprocessingml.header+xml"/>
  <Override PartName="/word/footer124.xml" ContentType="application/vnd.openxmlformats-officedocument.wordprocessingml.footer+xml"/>
  <Override PartName="/word/footer125.xml" ContentType="application/vnd.openxmlformats-officedocument.wordprocessingml.footer+xml"/>
  <Override PartName="/word/header129.xml" ContentType="application/vnd.openxmlformats-officedocument.wordprocessingml.header+xml"/>
  <Override PartName="/word/header130.xml" ContentType="application/vnd.openxmlformats-officedocument.wordprocessingml.header+xml"/>
  <Override PartName="/word/footer126.xml" ContentType="application/vnd.openxmlformats-officedocument.wordprocessingml.footer+xml"/>
  <Override PartName="/word/footer127.xml" ContentType="application/vnd.openxmlformats-officedocument.wordprocessingml.footer+xml"/>
  <Override PartName="/word/header131.xml" ContentType="application/vnd.openxmlformats-officedocument.wordprocessingml.header+xml"/>
  <Override PartName="/word/header132.xml" ContentType="application/vnd.openxmlformats-officedocument.wordprocessingml.header+xml"/>
  <Override PartName="/word/footer128.xml" ContentType="application/vnd.openxmlformats-officedocument.wordprocessingml.footer+xml"/>
  <Override PartName="/word/footer129.xml" ContentType="application/vnd.openxmlformats-officedocument.wordprocessingml.footer+xml"/>
  <Override PartName="/word/header133.xml" ContentType="application/vnd.openxmlformats-officedocument.wordprocessingml.header+xml"/>
  <Override PartName="/word/header134.xml" ContentType="application/vnd.openxmlformats-officedocument.wordprocessingml.header+xml"/>
  <Override PartName="/word/footer130.xml" ContentType="application/vnd.openxmlformats-officedocument.wordprocessingml.footer+xml"/>
  <Override PartName="/word/footer131.xml" ContentType="application/vnd.openxmlformats-officedocument.wordprocessingml.footer+xml"/>
  <Override PartName="/word/header135.xml" ContentType="application/vnd.openxmlformats-officedocument.wordprocessingml.header+xml"/>
  <Override PartName="/word/header136.xml" ContentType="application/vnd.openxmlformats-officedocument.wordprocessingml.header+xml"/>
  <Override PartName="/word/footer132.xml" ContentType="application/vnd.openxmlformats-officedocument.wordprocessingml.footer+xml"/>
  <Override PartName="/word/header137.xml" ContentType="application/vnd.openxmlformats-officedocument.wordprocessingml.header+xml"/>
  <Override PartName="/word/footer133.xml" ContentType="application/vnd.openxmlformats-officedocument.wordprocessingml.footer+xml"/>
  <Override PartName="/word/header138.xml" ContentType="application/vnd.openxmlformats-officedocument.wordprocessingml.header+xml"/>
  <Override PartName="/word/footer134.xml" ContentType="application/vnd.openxmlformats-officedocument.wordprocessingml.footer+xml"/>
  <Override PartName="/word/header139.xml" ContentType="application/vnd.openxmlformats-officedocument.wordprocessingml.header+xml"/>
  <Override PartName="/word/footer135.xml" ContentType="application/vnd.openxmlformats-officedocument.wordprocessingml.footer+xml"/>
  <Override PartName="/word/header140.xml" ContentType="application/vnd.openxmlformats-officedocument.wordprocessingml.header+xml"/>
  <Override PartName="/word/footer136.xml" ContentType="application/vnd.openxmlformats-officedocument.wordprocessingml.footer+xml"/>
  <Override PartName="/word/header141.xml" ContentType="application/vnd.openxmlformats-officedocument.wordprocessingml.header+xml"/>
  <Override PartName="/word/footer137.xml" ContentType="application/vnd.openxmlformats-officedocument.wordprocessingml.footer+xml"/>
  <Override PartName="/word/header142.xml" ContentType="application/vnd.openxmlformats-officedocument.wordprocessingml.header+xml"/>
  <Override PartName="/word/footer138.xml" ContentType="application/vnd.openxmlformats-officedocument.wordprocessingml.footer+xml"/>
  <Override PartName="/word/footer139.xml" ContentType="application/vnd.openxmlformats-officedocument.wordprocessingml.footer+xml"/>
  <Override PartName="/word/header143.xml" ContentType="application/vnd.openxmlformats-officedocument.wordprocessingml.header+xml"/>
  <Override PartName="/word/header144.xml" ContentType="application/vnd.openxmlformats-officedocument.wordprocessingml.header+xml"/>
  <Override PartName="/word/footer140.xml" ContentType="application/vnd.openxmlformats-officedocument.wordprocessingml.footer+xml"/>
  <Override PartName="/word/footer141.xml" ContentType="application/vnd.openxmlformats-officedocument.wordprocessingml.footer+xml"/>
  <Override PartName="/word/header145.xml" ContentType="application/vnd.openxmlformats-officedocument.wordprocessingml.header+xml"/>
  <Override PartName="/word/header146.xml" ContentType="application/vnd.openxmlformats-officedocument.wordprocessingml.header+xml"/>
  <Override PartName="/word/footer142.xml" ContentType="application/vnd.openxmlformats-officedocument.wordprocessingml.footer+xml"/>
  <Override PartName="/word/footer143.xml" ContentType="application/vnd.openxmlformats-officedocument.wordprocessingml.footer+xml"/>
  <Override PartName="/word/header147.xml" ContentType="application/vnd.openxmlformats-officedocument.wordprocessingml.header+xml"/>
  <Override PartName="/word/header148.xml" ContentType="application/vnd.openxmlformats-officedocument.wordprocessingml.header+xml"/>
  <Override PartName="/word/footer144.xml" ContentType="application/vnd.openxmlformats-officedocument.wordprocessingml.footer+xml"/>
  <Override PartName="/word/footer145.xml" ContentType="application/vnd.openxmlformats-officedocument.wordprocessingml.footer+xml"/>
  <Override PartName="/word/header149.xml" ContentType="application/vnd.openxmlformats-officedocument.wordprocessingml.header+xml"/>
  <Override PartName="/word/header150.xml" ContentType="application/vnd.openxmlformats-officedocument.wordprocessingml.header+xml"/>
  <Override PartName="/word/footer146.xml" ContentType="application/vnd.openxmlformats-officedocument.wordprocessingml.footer+xml"/>
  <Override PartName="/word/footer147.xml" ContentType="application/vnd.openxmlformats-officedocument.wordprocessingml.footer+xml"/>
  <Override PartName="/word/header151.xml" ContentType="application/vnd.openxmlformats-officedocument.wordprocessingml.header+xml"/>
  <Override PartName="/word/header152.xml" ContentType="application/vnd.openxmlformats-officedocument.wordprocessingml.header+xml"/>
  <Override PartName="/word/footer148.xml" ContentType="application/vnd.openxmlformats-officedocument.wordprocessingml.footer+xml"/>
  <Override PartName="/word/header153.xml" ContentType="application/vnd.openxmlformats-officedocument.wordprocessingml.header+xml"/>
  <Override PartName="/word/footer149.xml" ContentType="application/vnd.openxmlformats-officedocument.wordprocessingml.footer+xml"/>
  <Override PartName="/word/header154.xml" ContentType="application/vnd.openxmlformats-officedocument.wordprocessingml.header+xml"/>
  <Override PartName="/word/footer150.xml" ContentType="application/vnd.openxmlformats-officedocument.wordprocessingml.footer+xml"/>
  <Override PartName="/word/header155.xml" ContentType="application/vnd.openxmlformats-officedocument.wordprocessingml.header+xml"/>
  <Override PartName="/word/footer151.xml" ContentType="application/vnd.openxmlformats-officedocument.wordprocessingml.footer+xml"/>
  <Override PartName="/word/footer152.xml" ContentType="application/vnd.openxmlformats-officedocument.wordprocessingml.footer+xml"/>
  <Override PartName="/word/header156.xml" ContentType="application/vnd.openxmlformats-officedocument.wordprocessingml.header+xml"/>
  <Override PartName="/word/header157.xml" ContentType="application/vnd.openxmlformats-officedocument.wordprocessingml.header+xml"/>
  <Override PartName="/word/footer153.xml" ContentType="application/vnd.openxmlformats-officedocument.wordprocessingml.footer+xml"/>
  <Override PartName="/word/footer154.xml" ContentType="application/vnd.openxmlformats-officedocument.wordprocessingml.footer+xml"/>
  <Override PartName="/word/header158.xml" ContentType="application/vnd.openxmlformats-officedocument.wordprocessingml.header+xml"/>
  <Override PartName="/word/header159.xml" ContentType="application/vnd.openxmlformats-officedocument.wordprocessingml.header+xml"/>
  <Override PartName="/word/footer155.xml" ContentType="application/vnd.openxmlformats-officedocument.wordprocessingml.footer+xml"/>
  <Override PartName="/word/footer156.xml" ContentType="application/vnd.openxmlformats-officedocument.wordprocessingml.footer+xml"/>
  <Override PartName="/word/header160.xml" ContentType="application/vnd.openxmlformats-officedocument.wordprocessingml.header+xml"/>
  <Override PartName="/word/header161.xml" ContentType="application/vnd.openxmlformats-officedocument.wordprocessingml.header+xml"/>
  <Override PartName="/word/footer157.xml" ContentType="application/vnd.openxmlformats-officedocument.wordprocessingml.footer+xml"/>
  <Override PartName="/word/header162.xml" ContentType="application/vnd.openxmlformats-officedocument.wordprocessingml.header+xml"/>
  <Override PartName="/word/footer158.xml" ContentType="application/vnd.openxmlformats-officedocument.wordprocessingml.footer+xml"/>
  <Override PartName="/word/header163.xml" ContentType="application/vnd.openxmlformats-officedocument.wordprocessingml.header+xml"/>
  <Override PartName="/word/footer159.xml" ContentType="application/vnd.openxmlformats-officedocument.wordprocessingml.footer+xml"/>
  <Override PartName="/word/header164.xml" ContentType="application/vnd.openxmlformats-officedocument.wordprocessingml.header+xml"/>
  <Override PartName="/word/footer160.xml" ContentType="application/vnd.openxmlformats-officedocument.wordprocessingml.footer+xml"/>
  <Override PartName="/word/header165.xml" ContentType="application/vnd.openxmlformats-officedocument.wordprocessingml.header+xml"/>
  <Override PartName="/word/footer161.xml" ContentType="application/vnd.openxmlformats-officedocument.wordprocessingml.footer+xml"/>
  <Override PartName="/word/header166.xml" ContentType="application/vnd.openxmlformats-officedocument.wordprocessingml.header+xml"/>
  <Override PartName="/word/footer162.xml" ContentType="application/vnd.openxmlformats-officedocument.wordprocessingml.footer+xml"/>
  <Override PartName="/word/header167.xml" ContentType="application/vnd.openxmlformats-officedocument.wordprocessingml.header+xml"/>
  <Override PartName="/word/footer163.xml" ContentType="application/vnd.openxmlformats-officedocument.wordprocessingml.footer+xml"/>
  <Override PartName="/word/footer164.xml" ContentType="application/vnd.openxmlformats-officedocument.wordprocessingml.footer+xml"/>
  <Override PartName="/word/header168.xml" ContentType="application/vnd.openxmlformats-officedocument.wordprocessingml.header+xml"/>
  <Override PartName="/word/header169.xml" ContentType="application/vnd.openxmlformats-officedocument.wordprocessingml.header+xml"/>
  <Override PartName="/word/footer165.xml" ContentType="application/vnd.openxmlformats-officedocument.wordprocessingml.footer+xml"/>
  <Override PartName="/word/footer166.xml" ContentType="application/vnd.openxmlformats-officedocument.wordprocessingml.footer+xml"/>
  <Override PartName="/word/header170.xml" ContentType="application/vnd.openxmlformats-officedocument.wordprocessingml.header+xml"/>
  <Override PartName="/word/header171.xml" ContentType="application/vnd.openxmlformats-officedocument.wordprocessingml.header+xml"/>
  <Override PartName="/word/footer167.xml" ContentType="application/vnd.openxmlformats-officedocument.wordprocessingml.footer+xml"/>
  <Override PartName="/word/footer168.xml" ContentType="application/vnd.openxmlformats-officedocument.wordprocessingml.footer+xml"/>
  <Override PartName="/word/header172.xml" ContentType="application/vnd.openxmlformats-officedocument.wordprocessingml.header+xml"/>
  <Override PartName="/word/header173.xml" ContentType="application/vnd.openxmlformats-officedocument.wordprocessingml.header+xml"/>
  <Override PartName="/word/footer169.xml" ContentType="application/vnd.openxmlformats-officedocument.wordprocessingml.footer+xml"/>
  <Override PartName="/word/footer170.xml" ContentType="application/vnd.openxmlformats-officedocument.wordprocessingml.footer+xml"/>
  <Override PartName="/word/header174.xml" ContentType="application/vnd.openxmlformats-officedocument.wordprocessingml.header+xml"/>
  <Override PartName="/word/header175.xml" ContentType="application/vnd.openxmlformats-officedocument.wordprocessingml.header+xml"/>
  <Override PartName="/word/footer171.xml" ContentType="application/vnd.openxmlformats-officedocument.wordprocessingml.footer+xml"/>
  <Override PartName="/word/footer172.xml" ContentType="application/vnd.openxmlformats-officedocument.wordprocessingml.footer+xml"/>
  <Override PartName="/word/header176.xml" ContentType="application/vnd.openxmlformats-officedocument.wordprocessingml.header+xml"/>
  <Override PartName="/word/header177.xml" ContentType="application/vnd.openxmlformats-officedocument.wordprocessingml.header+xml"/>
  <Override PartName="/word/footer173.xml" ContentType="application/vnd.openxmlformats-officedocument.wordprocessingml.footer+xml"/>
  <Override PartName="/word/footer174.xml" ContentType="application/vnd.openxmlformats-officedocument.wordprocessingml.footer+xml"/>
  <Override PartName="/word/header178.xml" ContentType="application/vnd.openxmlformats-officedocument.wordprocessingml.header+xml"/>
  <Override PartName="/word/header179.xml" ContentType="application/vnd.openxmlformats-officedocument.wordprocessingml.header+xml"/>
  <Override PartName="/word/footer175.xml" ContentType="application/vnd.openxmlformats-officedocument.wordprocessingml.footer+xml"/>
  <Override PartName="/word/footer176.xml" ContentType="application/vnd.openxmlformats-officedocument.wordprocessingml.footer+xml"/>
  <Override PartName="/word/header180.xml" ContentType="application/vnd.openxmlformats-officedocument.wordprocessingml.header+xml"/>
  <Override PartName="/word/header181.xml" ContentType="application/vnd.openxmlformats-officedocument.wordprocessingml.header+xml"/>
  <Override PartName="/word/footer177.xml" ContentType="application/vnd.openxmlformats-officedocument.wordprocessingml.footer+xml"/>
  <Override PartName="/word/footer178.xml" ContentType="application/vnd.openxmlformats-officedocument.wordprocessingml.footer+xml"/>
  <Override PartName="/word/header182.xml" ContentType="application/vnd.openxmlformats-officedocument.wordprocessingml.header+xml"/>
  <Override PartName="/word/header183.xml" ContentType="application/vnd.openxmlformats-officedocument.wordprocessingml.header+xml"/>
  <Override PartName="/word/footer179.xml" ContentType="application/vnd.openxmlformats-officedocument.wordprocessingml.footer+xml"/>
  <Override PartName="/word/header184.xml" ContentType="application/vnd.openxmlformats-officedocument.wordprocessingml.header+xml"/>
  <Override PartName="/word/footer180.xml" ContentType="application/vnd.openxmlformats-officedocument.wordprocessingml.footer+xml"/>
  <Override PartName="/word/header185.xml" ContentType="application/vnd.openxmlformats-officedocument.wordprocessingml.header+xml"/>
  <Override PartName="/word/footer181.xml" ContentType="application/vnd.openxmlformats-officedocument.wordprocessingml.footer+xml"/>
  <Override PartName="/word/header186.xml" ContentType="application/vnd.openxmlformats-officedocument.wordprocessingml.header+xml"/>
  <Override PartName="/word/footer182.xml" ContentType="application/vnd.openxmlformats-officedocument.wordprocessingml.footer+xml"/>
  <Override PartName="/word/footer183.xml" ContentType="application/vnd.openxmlformats-officedocument.wordprocessingml.footer+xml"/>
  <Override PartName="/word/header187.xml" ContentType="application/vnd.openxmlformats-officedocument.wordprocessingml.header+xml"/>
  <Override PartName="/word/header188.xml" ContentType="application/vnd.openxmlformats-officedocument.wordprocessingml.header+xml"/>
  <Override PartName="/word/footer184.xml" ContentType="application/vnd.openxmlformats-officedocument.wordprocessingml.footer+xml"/>
  <Override PartName="/word/footer185.xml" ContentType="application/vnd.openxmlformats-officedocument.wordprocessingml.footer+xml"/>
  <Override PartName="/word/header189.xml" ContentType="application/vnd.openxmlformats-officedocument.wordprocessingml.header+xml"/>
  <Override PartName="/word/header190.xml" ContentType="application/vnd.openxmlformats-officedocument.wordprocessingml.header+xml"/>
  <Override PartName="/word/footer186.xml" ContentType="application/vnd.openxmlformats-officedocument.wordprocessingml.footer+xml"/>
  <Override PartName="/word/header191.xml" ContentType="application/vnd.openxmlformats-officedocument.wordprocessingml.header+xml"/>
  <Override PartName="/word/footer187.xml" ContentType="application/vnd.openxmlformats-officedocument.wordprocessingml.footer+xml"/>
  <Override PartName="/word/header192.xml" ContentType="application/vnd.openxmlformats-officedocument.wordprocessingml.header+xml"/>
  <Override PartName="/word/footer188.xml" ContentType="application/vnd.openxmlformats-officedocument.wordprocessingml.footer+xml"/>
  <Override PartName="/word/header193.xml" ContentType="application/vnd.openxmlformats-officedocument.wordprocessingml.header+xml"/>
  <Override PartName="/word/footer189.xml" ContentType="application/vnd.openxmlformats-officedocument.wordprocessingml.footer+xml"/>
  <Override PartName="/word/header194.xml" ContentType="application/vnd.openxmlformats-officedocument.wordprocessingml.header+xml"/>
  <Override PartName="/word/footer190.xml" ContentType="application/vnd.openxmlformats-officedocument.wordprocessingml.footer+xml"/>
  <Override PartName="/word/header195.xml" ContentType="application/vnd.openxmlformats-officedocument.wordprocessingml.header+xml"/>
  <Override PartName="/word/footer191.xml" ContentType="application/vnd.openxmlformats-officedocument.wordprocessingml.footer+xml"/>
  <Override PartName="/word/header196.xml" ContentType="application/vnd.openxmlformats-officedocument.wordprocessingml.header+xml"/>
  <Override PartName="/word/footer192.xml" ContentType="application/vnd.openxmlformats-officedocument.wordprocessingml.footer+xml"/>
  <Override PartName="/word/header197.xml" ContentType="application/vnd.openxmlformats-officedocument.wordprocessingml.header+xml"/>
  <Override PartName="/word/footer193.xml" ContentType="application/vnd.openxmlformats-officedocument.wordprocessingml.footer+xml"/>
  <Override PartName="/word/header198.xml" ContentType="application/vnd.openxmlformats-officedocument.wordprocessingml.header+xml"/>
  <Override PartName="/word/footer194.xml" ContentType="application/vnd.openxmlformats-officedocument.wordprocessingml.footer+xml"/>
  <Override PartName="/word/header199.xml" ContentType="application/vnd.openxmlformats-officedocument.wordprocessingml.header+xml"/>
  <Override PartName="/word/footer195.xml" ContentType="application/vnd.openxmlformats-officedocument.wordprocessingml.footer+xml"/>
  <Override PartName="/word/footer196.xml" ContentType="application/vnd.openxmlformats-officedocument.wordprocessingml.footer+xml"/>
  <Override PartName="/word/header200.xml" ContentType="application/vnd.openxmlformats-officedocument.wordprocessingml.header+xml"/>
  <Override PartName="/word/header201.xml" ContentType="application/vnd.openxmlformats-officedocument.wordprocessingml.header+xml"/>
  <Override PartName="/word/footer197.xml" ContentType="application/vnd.openxmlformats-officedocument.wordprocessingml.footer+xml"/>
  <Override PartName="/word/footer198.xml" ContentType="application/vnd.openxmlformats-officedocument.wordprocessingml.footer+xml"/>
  <Override PartName="/word/header202.xml" ContentType="application/vnd.openxmlformats-officedocument.wordprocessingml.header+xml"/>
  <Override PartName="/word/header203.xml" ContentType="application/vnd.openxmlformats-officedocument.wordprocessingml.header+xml"/>
  <Override PartName="/word/footer199.xml" ContentType="application/vnd.openxmlformats-officedocument.wordprocessingml.footer+xml"/>
  <Override PartName="/word/footer200.xml" ContentType="application/vnd.openxmlformats-officedocument.wordprocessingml.footer+xml"/>
  <Override PartName="/word/header204.xml" ContentType="application/vnd.openxmlformats-officedocument.wordprocessingml.header+xml"/>
  <Override PartName="/word/header205.xml" ContentType="application/vnd.openxmlformats-officedocument.wordprocessingml.header+xml"/>
  <Override PartName="/word/footer201.xml" ContentType="application/vnd.openxmlformats-officedocument.wordprocessingml.footer+xml"/>
  <Override PartName="/word/footer202.xml" ContentType="application/vnd.openxmlformats-officedocument.wordprocessingml.footer+xml"/>
  <Override PartName="/word/header206.xml" ContentType="application/vnd.openxmlformats-officedocument.wordprocessingml.header+xml"/>
  <Override PartName="/word/header207.xml" ContentType="application/vnd.openxmlformats-officedocument.wordprocessingml.header+xml"/>
  <Override PartName="/word/footer203.xml" ContentType="application/vnd.openxmlformats-officedocument.wordprocessingml.footer+xml"/>
  <Override PartName="/word/footer204.xml" ContentType="application/vnd.openxmlformats-officedocument.wordprocessingml.footer+xml"/>
  <Override PartName="/word/header208.xml" ContentType="application/vnd.openxmlformats-officedocument.wordprocessingml.header+xml"/>
  <Override PartName="/word/header209.xml" ContentType="application/vnd.openxmlformats-officedocument.wordprocessingml.header+xml"/>
  <Override PartName="/word/footer205.xml" ContentType="application/vnd.openxmlformats-officedocument.wordprocessingml.footer+xml"/>
  <Override PartName="/word/footer206.xml" ContentType="application/vnd.openxmlformats-officedocument.wordprocessingml.footer+xml"/>
  <Override PartName="/word/header210.xml" ContentType="application/vnd.openxmlformats-officedocument.wordprocessingml.header+xml"/>
  <Override PartName="/word/header211.xml" ContentType="application/vnd.openxmlformats-officedocument.wordprocessingml.header+xml"/>
  <Override PartName="/word/footer207.xml" ContentType="application/vnd.openxmlformats-officedocument.wordprocessingml.footer+xml"/>
  <Override PartName="/word/footer208.xml" ContentType="application/vnd.openxmlformats-officedocument.wordprocessingml.footer+xml"/>
  <Override PartName="/word/header212.xml" ContentType="application/vnd.openxmlformats-officedocument.wordprocessingml.header+xml"/>
  <Override PartName="/word/header213.xml" ContentType="application/vnd.openxmlformats-officedocument.wordprocessingml.header+xml"/>
  <Override PartName="/word/footer209.xml" ContentType="application/vnd.openxmlformats-officedocument.wordprocessingml.footer+xml"/>
  <Override PartName="/word/footer210.xml" ContentType="application/vnd.openxmlformats-officedocument.wordprocessingml.footer+xml"/>
  <Override PartName="/word/header214.xml" ContentType="application/vnd.openxmlformats-officedocument.wordprocessingml.header+xml"/>
  <Override PartName="/word/header215.xml" ContentType="application/vnd.openxmlformats-officedocument.wordprocessingml.header+xml"/>
  <Override PartName="/word/footer211.xml" ContentType="application/vnd.openxmlformats-officedocument.wordprocessingml.footer+xml"/>
  <Override PartName="/word/footer212.xml" ContentType="application/vnd.openxmlformats-officedocument.wordprocessingml.footer+xml"/>
  <Override PartName="/word/header216.xml" ContentType="application/vnd.openxmlformats-officedocument.wordprocessingml.header+xml"/>
  <Override PartName="/word/header217.xml" ContentType="application/vnd.openxmlformats-officedocument.wordprocessingml.header+xml"/>
  <Override PartName="/word/footer213.xml" ContentType="application/vnd.openxmlformats-officedocument.wordprocessingml.footer+xml"/>
  <Override PartName="/word/footer214.xml" ContentType="application/vnd.openxmlformats-officedocument.wordprocessingml.footer+xml"/>
  <Override PartName="/word/header218.xml" ContentType="application/vnd.openxmlformats-officedocument.wordprocessingml.header+xml"/>
  <Override PartName="/word/header219.xml" ContentType="application/vnd.openxmlformats-officedocument.wordprocessingml.header+xml"/>
  <Override PartName="/word/footer215.xml" ContentType="application/vnd.openxmlformats-officedocument.wordprocessingml.footer+xml"/>
  <Override PartName="/word/footer216.xml" ContentType="application/vnd.openxmlformats-officedocument.wordprocessingml.footer+xml"/>
  <Override PartName="/word/header220.xml" ContentType="application/vnd.openxmlformats-officedocument.wordprocessingml.header+xml"/>
  <Override PartName="/word/header221.xml" ContentType="application/vnd.openxmlformats-officedocument.wordprocessingml.header+xml"/>
  <Override PartName="/word/footer217.xml" ContentType="application/vnd.openxmlformats-officedocument.wordprocessingml.footer+xml"/>
  <Override PartName="/word/footer218.xml" ContentType="application/vnd.openxmlformats-officedocument.wordprocessingml.footer+xml"/>
  <Override PartName="/word/header222.xml" ContentType="application/vnd.openxmlformats-officedocument.wordprocessingml.header+xml"/>
  <Override PartName="/word/header223.xml" ContentType="application/vnd.openxmlformats-officedocument.wordprocessingml.header+xml"/>
  <Override PartName="/word/footer219.xml" ContentType="application/vnd.openxmlformats-officedocument.wordprocessingml.footer+xml"/>
  <Override PartName="/word/header224.xml" ContentType="application/vnd.openxmlformats-officedocument.wordprocessingml.header+xml"/>
  <Override PartName="/word/footer220.xml" ContentType="application/vnd.openxmlformats-officedocument.wordprocessingml.footer+xml"/>
  <Override PartName="/word/header225.xml" ContentType="application/vnd.openxmlformats-officedocument.wordprocessingml.header+xml"/>
  <Override PartName="/word/footer221.xml" ContentType="application/vnd.openxmlformats-officedocument.wordprocessingml.footer+xml"/>
  <Override PartName="/word/footer222.xml" ContentType="application/vnd.openxmlformats-officedocument.wordprocessingml.footer+xml"/>
  <Override PartName="/word/header226.xml" ContentType="application/vnd.openxmlformats-officedocument.wordprocessingml.header+xml"/>
  <Override PartName="/word/header227.xml" ContentType="application/vnd.openxmlformats-officedocument.wordprocessingml.header+xml"/>
  <Override PartName="/word/footer223.xml" ContentType="application/vnd.openxmlformats-officedocument.wordprocessingml.footer+xml"/>
  <Override PartName="/word/footer224.xml" ContentType="application/vnd.openxmlformats-officedocument.wordprocessingml.footer+xml"/>
  <Override PartName="/word/header228.xml" ContentType="application/vnd.openxmlformats-officedocument.wordprocessingml.header+xml"/>
  <Override PartName="/word/header229.xml" ContentType="application/vnd.openxmlformats-officedocument.wordprocessingml.header+xml"/>
  <Override PartName="/word/footer225.xml" ContentType="application/vnd.openxmlformats-officedocument.wordprocessingml.footer+xml"/>
  <Override PartName="/word/footer226.xml" ContentType="application/vnd.openxmlformats-officedocument.wordprocessingml.footer+xml"/>
  <Override PartName="/word/header230.xml" ContentType="application/vnd.openxmlformats-officedocument.wordprocessingml.header+xml"/>
  <Override PartName="/word/header231.xml" ContentType="application/vnd.openxmlformats-officedocument.wordprocessingml.header+xml"/>
  <Override PartName="/word/footer227.xml" ContentType="application/vnd.openxmlformats-officedocument.wordprocessingml.footer+xml"/>
  <Override PartName="/word/footer228.xml" ContentType="application/vnd.openxmlformats-officedocument.wordprocessingml.footer+xml"/>
  <Override PartName="/word/header232.xml" ContentType="application/vnd.openxmlformats-officedocument.wordprocessingml.header+xml"/>
  <Override PartName="/word/header233.xml" ContentType="application/vnd.openxmlformats-officedocument.wordprocessingml.header+xml"/>
  <Override PartName="/word/footer229.xml" ContentType="application/vnd.openxmlformats-officedocument.wordprocessingml.footer+xml"/>
  <Override PartName="/word/header234.xml" ContentType="application/vnd.openxmlformats-officedocument.wordprocessingml.header+xml"/>
  <Override PartName="/word/footer230.xml" ContentType="application/vnd.openxmlformats-officedocument.wordprocessingml.footer+xml"/>
  <Override PartName="/word/header235.xml" ContentType="application/vnd.openxmlformats-officedocument.wordprocessingml.header+xml"/>
  <Override PartName="/word/footer231.xml" ContentType="application/vnd.openxmlformats-officedocument.wordprocessingml.footer+xml"/>
  <Override PartName="/word/footer232.xml" ContentType="application/vnd.openxmlformats-officedocument.wordprocessingml.footer+xml"/>
  <Override PartName="/word/header236.xml" ContentType="application/vnd.openxmlformats-officedocument.wordprocessingml.header+xml"/>
  <Override PartName="/word/header237.xml" ContentType="application/vnd.openxmlformats-officedocument.wordprocessingml.header+xml"/>
  <Override PartName="/word/footer233.xml" ContentType="application/vnd.openxmlformats-officedocument.wordprocessingml.footer+xml"/>
  <Override PartName="/word/footer234.xml" ContentType="application/vnd.openxmlformats-officedocument.wordprocessingml.footer+xml"/>
  <Override PartName="/word/header238.xml" ContentType="application/vnd.openxmlformats-officedocument.wordprocessingml.header+xml"/>
  <Override PartName="/word/header239.xml" ContentType="application/vnd.openxmlformats-officedocument.wordprocessingml.header+xml"/>
  <Override PartName="/word/footer235.xml" ContentType="application/vnd.openxmlformats-officedocument.wordprocessingml.footer+xml"/>
  <Override PartName="/word/footer236.xml" ContentType="application/vnd.openxmlformats-officedocument.wordprocessingml.footer+xml"/>
  <Override PartName="/word/header240.xml" ContentType="application/vnd.openxmlformats-officedocument.wordprocessingml.header+xml"/>
  <Override PartName="/word/header241.xml" ContentType="application/vnd.openxmlformats-officedocument.wordprocessingml.header+xml"/>
  <Override PartName="/word/footer237.xml" ContentType="application/vnd.openxmlformats-officedocument.wordprocessingml.footer+xml"/>
  <Override PartName="/word/footer238.xml" ContentType="application/vnd.openxmlformats-officedocument.wordprocessingml.footer+xml"/>
  <Override PartName="/word/header242.xml" ContentType="application/vnd.openxmlformats-officedocument.wordprocessingml.header+xml"/>
  <Override PartName="/word/header243.xml" ContentType="application/vnd.openxmlformats-officedocument.wordprocessingml.header+xml"/>
  <Override PartName="/word/footer239.xml" ContentType="application/vnd.openxmlformats-officedocument.wordprocessingml.footer+xml"/>
  <Override PartName="/word/footer240.xml" ContentType="application/vnd.openxmlformats-officedocument.wordprocessingml.footer+xml"/>
  <Override PartName="/word/header244.xml" ContentType="application/vnd.openxmlformats-officedocument.wordprocessingml.header+xml"/>
  <Override PartName="/word/header245.xml" ContentType="application/vnd.openxmlformats-officedocument.wordprocessingml.header+xml"/>
  <Override PartName="/word/footer241.xml" ContentType="application/vnd.openxmlformats-officedocument.wordprocessingml.footer+xml"/>
  <Override PartName="/word/footer242.xml" ContentType="application/vnd.openxmlformats-officedocument.wordprocessingml.footer+xml"/>
  <Override PartName="/word/header246.xml" ContentType="application/vnd.openxmlformats-officedocument.wordprocessingml.header+xml"/>
  <Override PartName="/word/header247.xml" ContentType="application/vnd.openxmlformats-officedocument.wordprocessingml.header+xml"/>
  <Override PartName="/word/footer243.xml" ContentType="application/vnd.openxmlformats-officedocument.wordprocessingml.footer+xml"/>
  <Override PartName="/word/footer244.xml" ContentType="application/vnd.openxmlformats-officedocument.wordprocessingml.footer+xml"/>
  <Override PartName="/word/header248.xml" ContentType="application/vnd.openxmlformats-officedocument.wordprocessingml.header+xml"/>
  <Override PartName="/word/header249.xml" ContentType="application/vnd.openxmlformats-officedocument.wordprocessingml.header+xml"/>
  <Override PartName="/word/footer245.xml" ContentType="application/vnd.openxmlformats-officedocument.wordprocessingml.footer+xml"/>
  <Override PartName="/word/footer246.xml" ContentType="application/vnd.openxmlformats-officedocument.wordprocessingml.footer+xml"/>
  <Override PartName="/word/header250.xml" ContentType="application/vnd.openxmlformats-officedocument.wordprocessingml.header+xml"/>
  <Override PartName="/word/header251.xml" ContentType="application/vnd.openxmlformats-officedocument.wordprocessingml.header+xml"/>
  <Override PartName="/word/footer247.xml" ContentType="application/vnd.openxmlformats-officedocument.wordprocessingml.footer+xml"/>
  <Override PartName="/word/footer248.xml" ContentType="application/vnd.openxmlformats-officedocument.wordprocessingml.footer+xml"/>
  <Override PartName="/word/header252.xml" ContentType="application/vnd.openxmlformats-officedocument.wordprocessingml.header+xml"/>
  <Override PartName="/word/header253.xml" ContentType="application/vnd.openxmlformats-officedocument.wordprocessingml.header+xml"/>
  <Override PartName="/word/footer249.xml" ContentType="application/vnd.openxmlformats-officedocument.wordprocessingml.footer+xml"/>
  <Override PartName="/word/footer250.xml" ContentType="application/vnd.openxmlformats-officedocument.wordprocessingml.footer+xml"/>
  <Override PartName="/word/header254.xml" ContentType="application/vnd.openxmlformats-officedocument.wordprocessingml.header+xml"/>
  <Override PartName="/word/header255.xml" ContentType="application/vnd.openxmlformats-officedocument.wordprocessingml.header+xml"/>
  <Override PartName="/word/footer251.xml" ContentType="application/vnd.openxmlformats-officedocument.wordprocessingml.footer+xml"/>
  <Override PartName="/word/footer252.xml" ContentType="application/vnd.openxmlformats-officedocument.wordprocessingml.footer+xml"/>
  <Override PartName="/word/header256.xml" ContentType="application/vnd.openxmlformats-officedocument.wordprocessingml.header+xml"/>
  <Override PartName="/word/header257.xml" ContentType="application/vnd.openxmlformats-officedocument.wordprocessingml.header+xml"/>
  <Override PartName="/word/footer253.xml" ContentType="application/vnd.openxmlformats-officedocument.wordprocessingml.footer+xml"/>
  <Override PartName="/word/footer254.xml" ContentType="application/vnd.openxmlformats-officedocument.wordprocessingml.footer+xml"/>
  <Override PartName="/word/header258.xml" ContentType="application/vnd.openxmlformats-officedocument.wordprocessingml.header+xml"/>
  <Override PartName="/word/header259.xml" ContentType="application/vnd.openxmlformats-officedocument.wordprocessingml.header+xml"/>
  <Override PartName="/word/footer255.xml" ContentType="application/vnd.openxmlformats-officedocument.wordprocessingml.footer+xml"/>
  <Override PartName="/docProps/custom.xml" ContentType="application/vnd.openxmlformats-officedocument.custom-properties+xml"/>
  <Override PartName="/word/numbering.xml" ContentType="application/vnd.openxmlformats-officedocument.wordprocessingml.numbering+xml"/>
</Types>
</file>

<file path=_rels/.rels><?xml version="1.0" encoding="UTF-8" standalone="yes"?>
<Relationships xmlns="http://schemas.openxmlformats.org/package/2006/relationships"><Relationship Id="rId1" Type="http://schemas.openxmlformats.org/officeDocument/2006/relationships/extended-properties" Target="docProps/app.xml"/><Relationship Id="rId2" Type="http://schemas.openxmlformats.org/package/2006/relationships/metadata/core-properties" Target="docProps/core.xml"/><Relationship Id="rId3"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body>
    <w:p>
      <w:pPr>
        <w:pStyle w:val="BodyText"/>
        <w:rPr>
          <w:rFonts w:ascii="Times New Roman"/>
        </w:rPr>
      </w:pPr>
      <w:r>
        <w:rPr/>
        <w:pict>
          <v:group style="position:absolute;margin-left:0pt;margin-top:.000015pt;width:595.3pt;height:841.9pt;mso-position-horizontal-relative:page;mso-position-vertical-relative:page;z-index:-268111872" coordorigin="0,0" coordsize="11906,16838">
            <v:shape style="position:absolute;left:0;top:0;width:11906;height:16838" type="#_x0000_t75" stroked="false">
              <v:imagedata r:id="rId5" o:title=""/>
            </v:shape>
            <v:rect style="position:absolute;left:1468;top:2525;width:6272;height:1203" filled="true" fillcolor="#053514" stroked="false">
              <v:fill opacity="19004f" type="solid"/>
            </v:rect>
            <v:shape style="position:absolute;left:5716;top:7963;width:273;height:311" type="#_x0000_t75" stroked="false">
              <v:imagedata r:id="rId6" o:title=""/>
            </v:shape>
            <v:shape style="position:absolute;left:1405;top:5966;width:4921;height:3323" coordorigin="1405,5967" coordsize="4921,3323" path="m3614,7086l3602,7074,3593,7068,3579,7064,3556,7061,3509,7057,3345,7045,3368,7043,3434,7042,3503,7032,3535,7003,3522,6995,3464,6970,3452,6962,3453,6958,3471,6952,3484,6941,3477,6932,3477,6924,3401,6924,2671,6924,2671,6213,2671,6187,2671,6159,2671,6083,2668,6079,2660,6072,2650,6066,2640,6066,2629,6094,2620,6144,2614,6191,2612,6213,2608,6187,2607,6176,2603,6096,2599,6013,2590,5967,2586,5969,2555,5971,2501,5985,2474,6010,2465,6034,2464,6045,2449,6187,2446,6176,2445,6159,2444,6147,2442,6116,2434,6100,2423,6099,2414,6106,2407,6124,2398,6159,2396,6139,2391,6092,2387,6044,2383,6021,2376,6023,2367,6031,2360,6045,2355,6064,2354,6843,2354,8124,2283,8109,2110,8011,1994,7912,1951,7868,2097,7702,2202,7618,2317,7586,2354,7585,2354,8124,2354,6843,2354,6924,1506,6924,1490,6929,1489,6939,1495,6952,1501,6963,1520,6968,1563,6973,1660,6983,1685,6988,1677,6992,1620,6996,1590,6997,1532,7001,1466,7006,1415,7014,1408,7024,1405,7033,1406,7043,1406,7047,1409,7067,1421,7112,1435,7136,1448,7146,1454,7148,1548,7169,1548,7173,1534,7176,1517,7182,1511,7197,1533,7201,1631,7209,1653,7213,1638,7216,1607,7221,1574,7227,1553,7234,1546,7240,1542,7254,1543,7261,1635,7262,2354,7262,2354,7461,2192,7498,1945,7648,1778,7799,1717,7868,1925,8121,2075,8251,2241,8299,2354,8302,2355,8979,2356,9004,2357,9049,2359,9099,2361,9165,2361,9179,2378,9173,2386,9167,2390,9156,2391,9141,2391,9130,2392,9131,2397,9156,2405,9195,2412,9232,2416,9251,2427,9274,2435,9286,2442,9289,2454,9288,2461,9130,2472,8910,2481,9289,2527,9281,2558,9263,2574,9245,2579,9237,2575,9217,2577,9199,2578,9189,2583,9181,2592,9173,2607,9161,2618,9035,2623,8971,2626,8949,2626,8949,2628,8979,2629,9029,2630,9076,2632,9098,2636,9106,2642,9118,2651,9126,2666,9124,2670,9100,2672,9049,2672,8997,2672,8979,2671,8949,2671,8910,2671,8277,2720,8261,2792,8230,2862,8194,2929,8154,2930,8154,2992,8111,3051,8068,3104,8025,3151,7984,3352,8179,3380,8098,3378,8028,3361,7984,3355,7968,3317,7915,3272,7868,3317,7820,3356,7767,3364,7745,3380,7706,3382,7635,3353,7554,3157,7745,3112,7705,3062,7663,3037,7644,3037,7868,2881,8033,2772,8118,2671,8146,2671,7620,2701,7627,2874,7725,2993,7823,3037,7868,3037,7644,3006,7620,2951,7582,2945,7578,2879,7539,2809,7503,2735,7473,2671,7454,2671,7262,2915,7262,3421,7262,3529,7261,3534,7255,3545,7239,3537,7230,3520,7222,3493,7213,3468,7207,3458,7204,3476,7200,3508,7195,3541,7190,3560,7182,3585,7165,3600,7149,3607,7126,3614,7086m6326,8268l6324,8251,6324,8230,6323,8221,6323,8215,6323,8207,6323,8200,6323,8022,6323,8003,6323,7835,6248,7835,6248,8003,6248,8089,6248,8147,6247,8155,6246,8162,6237,8184,6222,8200,6203,8211,6181,8215,6149,8207,6126,8188,6111,8158,6107,8121,6111,8082,6126,8050,6150,8030,6182,8022,6205,8026,6224,8038,6238,8055,6246,8075,6247,8082,6248,8089,6248,8003,6247,8003,6234,7988,6215,7975,6192,7967,6164,7964,6112,7975,6070,8006,6041,8056,6030,8123,6040,8185,6067,8233,6107,8264,6157,8275,6188,8271,6215,8261,6238,8244,6254,8221,6255,8221,6258,8268,6326,8268e" filled="true" fillcolor="#ffffff" stroked="false">
              <v:path arrowok="t"/>
              <v:fill type="solid"/>
            </v:shape>
            <v:shape style="position:absolute;left:3814;top:6537;width:483;height:388" type="#_x0000_t75" stroked="false">
              <v:imagedata r:id="rId7" o:title=""/>
            </v:shape>
            <v:shape style="position:absolute;left:4343;top:6654;width:222;height:276" type="#_x0000_t75" stroked="false">
              <v:imagedata r:id="rId8" o:title=""/>
            </v:shape>
            <v:shape style="position:absolute;left:3821;top:7184;width:321;height:419" coordorigin="3821,7185" coordsize="321,419" path="m3896,7185l3821,7185,3821,7421,3832,7504,3864,7560,3913,7593,3978,7603,4045,7592,4097,7559,4106,7543,3980,7543,3946,7536,3919,7514,3902,7478,3896,7425,3896,7185xm4142,7185l4067,7185,4067,7425,4061,7478,4044,7514,4017,7536,3980,7543,4106,7543,4130,7502,4142,7421,4142,7185xe" filled="true" fillcolor="#ffffff" stroked="false">
              <v:path arrowok="t"/>
              <v:fill type="solid"/>
            </v:shape>
            <v:shape style="position:absolute;left:4209;top:7292;width:272;height:305" type="#_x0000_t75" stroked="false">
              <v:imagedata r:id="rId9" o:title=""/>
            </v:shape>
            <v:shape style="position:absolute;left:4544;top:7175;width:85;height:422" coordorigin="4544,7175" coordsize="85,422" path="m4624,7299l4549,7299,4549,7597,4624,7597,4624,7299xm4586,7175l4569,7178,4556,7187,4547,7200,4544,7216,4547,7232,4556,7245,4569,7253,4586,7256,4604,7253,4617,7245,4626,7232,4629,7216,4625,7200,4617,7187,4604,7178,4586,7175xe" filled="true" fillcolor="#ffffff" stroked="false">
              <v:path arrowok="t"/>
              <v:fill type="solid"/>
            </v:shape>
            <v:shape style="position:absolute;left:4675;top:7214;width:187;height:389" type="#_x0000_t75" stroked="false">
              <v:imagedata r:id="rId10" o:title=""/>
            </v:shape>
            <v:shape style="position:absolute;left:4895;top:7292;width:273;height:311" type="#_x0000_t75" stroked="false">
              <v:imagedata r:id="rId11" o:title=""/>
            </v:shape>
            <v:shape style="position:absolute;left:3822;top:7163;width:1684;height:1106" coordorigin="3822,7163" coordsize="1684,1106" path="m4113,8268l4106,8251,4098,8224,4089,8191,4080,8154,4071,8126,4059,8103,4055,8099,4043,8085,4023,8074,4023,8073,4051,8058,4065,8044,4075,8035,4091,8006,4097,7969,4095,7944,4088,7922,4081,7910,4077,7903,4062,7887,4039,7872,4023,7866,4023,7976,4017,8004,4001,8026,3975,8039,3941,8044,3896,8044,3896,7914,3903,7913,3913,7911,3926,7910,3943,7910,3976,7914,4001,7926,4017,7947,4023,7976,4023,7866,4011,7862,3976,7856,3935,7854,3903,7855,3873,7856,3845,7859,3822,7862,3822,8268,3896,8268,3896,8099,3934,8099,3962,8103,3983,8115,3997,8137,4008,8171,4016,8206,4023,8234,4030,8255,4035,8268,4113,8268m5506,7597l5505,7579,5504,7559,5504,7550,5504,7543,5504,7536,5504,7351,5504,7331,5504,7163,5428,7163,5428,7331,5428,7331,5428,7410,5428,7483,5426,7490,5417,7512,5402,7528,5383,7539,5361,7543,5330,7536,5306,7516,5292,7486,5287,7449,5292,7410,5306,7379,5330,7358,5362,7351,5386,7355,5405,7366,5419,7383,5427,7403,5428,7410,5428,7331,5427,7331,5414,7316,5396,7304,5372,7295,5344,7292,5293,7303,5250,7335,5221,7385,5211,7451,5221,7514,5248,7562,5288,7592,5338,7603,5369,7599,5396,7589,5418,7572,5434,7550,5436,7550,5438,7597,5506,7597e" filled="true" fillcolor="#ffffff" stroked="false">
              <v:path arrowok="t"/>
              <v:fill type="solid"/>
            </v:shape>
            <v:shape style="position:absolute;left:4142;top:7963;width:273;height:311" type="#_x0000_t75" stroked="false">
              <v:imagedata r:id="rId12" o:title=""/>
            </v:shape>
            <v:shape style="position:absolute;left:4437;top:7827;width:203;height:441" coordorigin="4438,7828" coordsize="203,441" path="m4553,8027l4478,8027,4478,8268,4553,8268,4553,8027xm4618,7971l4438,7971,4438,8027,4618,8027,4618,7971xm4591,7828l4572,7829,4551,7834,4532,7843,4514,7856,4498,7877,4486,7902,4480,7929,4478,7956,4478,7971,4552,7971,4552,7956,4555,7930,4563,7908,4579,7894,4602,7888,4635,7888,4640,7836,4630,7832,4619,7830,4606,7828,4591,7828xm4635,7888l4616,7888,4626,7891,4634,7893,4635,7888xe" filled="true" fillcolor="#ffffff" stroked="false">
              <v:path arrowok="t"/>
              <v:fill type="solid"/>
            </v:shape>
            <v:shape style="position:absolute;left:4638;top:7963;width:301;height:312" type="#_x0000_t75" stroked="false">
              <v:imagedata r:id="rId13" o:title=""/>
            </v:shape>
            <v:shape style="position:absolute;left:4998;top:7963;width:170;height:305" type="#_x0000_t75" stroked="false">
              <v:imagedata r:id="rId14" o:title=""/>
            </v:shape>
            <v:shape style="position:absolute;left:3800;top:7963;width:1856;height:982" coordorigin="3800,7964" coordsize="1856,982" path="m4120,8540l4105,8534,4083,8528,4054,8523,4020,8522,3949,8531,3888,8559,3842,8604,3811,8664,3800,8739,3810,8809,3837,8866,3880,8909,3938,8936,4010,8946,4045,8944,4075,8940,4099,8934,4116,8927,4107,8884,4104,8869,4087,8875,4067,8880,4045,8883,4023,8884,3962,8873,3917,8843,3889,8797,3879,8735,3890,8670,3920,8623,3965,8594,4023,8584,4047,8585,4069,8589,4088,8594,4104,8600,4108,8584,4120,8540m4438,8765l4429,8705,4425,8697,4416,8684,4405,8665,4372,8642,4334,8636,4320,8637,4307,8639,4295,8644,4283,8649,4272,8656,4262,8664,4253,8674,4246,8684,4245,8684,4245,8506,4169,8506,4169,8940,4245,8940,4245,8753,4245,8746,4248,8740,4256,8723,4269,8710,4285,8701,4305,8697,4332,8703,4350,8719,4360,8743,4363,8773,4363,8940,4438,8940,4438,8765m5655,8093l5647,8033,5643,8026,5639,8019,5624,7993,5592,7971,5556,7964,5539,7965,5523,7969,5509,7974,5497,7982,5487,7989,5477,7998,5468,8007,5460,8019,5459,8019,5457,8015,5446,7996,5428,7979,5404,7968,5377,7964,5343,7969,5318,7981,5299,7997,5285,8015,5283,8015,5280,7971,5216,7971,5217,7989,5217,8012,5218,8033,5218,8268,5291,8268,5291,8084,5292,8075,5296,8068,5303,8053,5314,8039,5330,8029,5349,8026,5372,8031,5388,8045,5397,8068,5400,8096,5400,8268,5474,8268,5474,8082,5475,8073,5477,8065,5485,8050,5497,8037,5512,8029,5530,8026,5553,8031,5569,8046,5579,8071,5582,8104,5582,8268,5655,8268,5655,8093e" filled="true" fillcolor="#ffffff" stroked="false">
              <v:path arrowok="t"/>
              <v:fill type="solid"/>
            </v:shape>
            <v:shape style="position:absolute;left:4498;top:8642;width:270;height:305" type="#_x0000_t75" stroked="false">
              <v:imagedata r:id="rId15" o:title=""/>
            </v:shape>
            <v:shape style="position:absolute;left:4825;top:8635;width:428;height:311" type="#_x0000_t75" stroked="false">
              <v:imagedata r:id="rId16" o:title=""/>
            </v:shape>
            <v:shape style="position:absolute;left:2299;top:8102;width:3271;height:838" coordorigin="2300,8102" coordsize="3271,838" path="m2723,8260l2715,8154,2711,8102,2659,8123,2605,8139,2547,8150,2488,8154,2441,8151,2395,8144,2351,8134,2308,8120,2300,8273,2350,8287,2401,8297,2454,8304,2507,8306,2564,8302,2619,8292,2672,8277,2723,8260m5570,8765l5561,8705,5556,8697,5548,8684,5537,8665,5504,8642,5466,8636,5452,8637,5439,8639,5426,8644,5415,8649,5404,8656,5394,8664,5385,8674,5378,8684,5377,8684,5377,8506,5301,8506,5301,8940,5377,8940,5377,8746,5379,8740,5388,8723,5400,8710,5417,8701,5437,8697,5464,8703,5481,8719,5491,8743,5494,8773,5494,8940,5570,8940,5570,8765e" filled="true" fillcolor="#ffffff" stroked="false">
              <v:path arrowok="t"/>
              <v:fill type="solid"/>
            </v:shape>
            <w10:wrap type="none"/>
          </v:group>
        </w:pict>
      </w:r>
    </w:p>
    <w:p>
      <w:pPr>
        <w:pStyle w:val="BodyText"/>
        <w:rPr>
          <w:rFonts w:ascii="Times New Roman"/>
          <w:sz w:val="21"/>
        </w:rPr>
      </w:pPr>
    </w:p>
    <w:p>
      <w:pPr>
        <w:spacing w:before="101"/>
        <w:ind w:left="703" w:right="0" w:firstLine="0"/>
        <w:jc w:val="left"/>
        <w:rPr>
          <w:rFonts w:ascii="Myriad Pro"/>
          <w:b/>
          <w:sz w:val="112"/>
        </w:rPr>
      </w:pPr>
      <w:r>
        <w:rPr>
          <w:color w:val="FFFFFF"/>
          <w:sz w:val="66"/>
        </w:rPr>
        <w:t>Book of </w:t>
      </w:r>
      <w:r>
        <w:rPr>
          <w:rFonts w:ascii="Myriad Pro"/>
          <w:b/>
          <w:color w:val="FFFFFF"/>
          <w:sz w:val="112"/>
        </w:rPr>
        <w:t>Reports</w:t>
      </w:r>
    </w:p>
    <w:p>
      <w:pPr>
        <w:spacing w:line="261" w:lineRule="auto" w:before="169"/>
        <w:ind w:left="3027" w:right="3247" w:firstLine="0"/>
        <w:jc w:val="left"/>
        <w:rPr>
          <w:sz w:val="36"/>
        </w:rPr>
      </w:pPr>
      <w:r>
        <w:rPr>
          <w:color w:val="053514"/>
          <w:spacing w:val="-3"/>
          <w:w w:val="115"/>
          <w:sz w:val="36"/>
        </w:rPr>
        <w:t>Southport </w:t>
      </w:r>
      <w:r>
        <w:rPr>
          <w:color w:val="053514"/>
          <w:spacing w:val="-7"/>
          <w:w w:val="115"/>
          <w:sz w:val="36"/>
        </w:rPr>
        <w:t>Convention </w:t>
      </w:r>
      <w:r>
        <w:rPr>
          <w:color w:val="053514"/>
          <w:spacing w:val="-6"/>
          <w:w w:val="115"/>
          <w:sz w:val="36"/>
        </w:rPr>
        <w:t>Centre </w:t>
      </w:r>
      <w:r>
        <w:rPr>
          <w:color w:val="053514"/>
          <w:w w:val="115"/>
          <w:sz w:val="36"/>
        </w:rPr>
        <w:t>8 </w:t>
      </w:r>
      <w:r>
        <w:rPr>
          <w:color w:val="053514"/>
          <w:spacing w:val="-4"/>
          <w:w w:val="115"/>
          <w:sz w:val="36"/>
        </w:rPr>
        <w:t>to </w:t>
      </w:r>
      <w:r>
        <w:rPr>
          <w:color w:val="053514"/>
          <w:spacing w:val="-24"/>
          <w:w w:val="115"/>
          <w:sz w:val="36"/>
        </w:rPr>
        <w:t>11 </w:t>
      </w:r>
      <w:r>
        <w:rPr>
          <w:color w:val="053514"/>
          <w:spacing w:val="-3"/>
          <w:w w:val="115"/>
          <w:sz w:val="36"/>
        </w:rPr>
        <w:t>July </w:t>
      </w:r>
      <w:r>
        <w:rPr>
          <w:color w:val="053514"/>
          <w:spacing w:val="-14"/>
          <w:w w:val="115"/>
          <w:sz w:val="36"/>
        </w:rPr>
        <w:t>2016</w:t>
      </w:r>
    </w:p>
    <w:p>
      <w:pPr>
        <w:spacing w:after="0" w:line="261" w:lineRule="auto"/>
        <w:jc w:val="left"/>
        <w:rPr>
          <w:sz w:val="36"/>
        </w:rPr>
        <w:sectPr>
          <w:type w:val="continuous"/>
          <w:pgSz w:w="11910" w:h="16840"/>
          <w:pgMar w:top="1580" w:bottom="280" w:left="700" w:right="0"/>
        </w:sectPr>
      </w:pPr>
    </w:p>
    <w:p>
      <w:pPr>
        <w:pStyle w:val="BodyText"/>
      </w:pPr>
    </w:p>
    <w:p>
      <w:pPr>
        <w:pStyle w:val="BodyText"/>
        <w:spacing w:line="520" w:lineRule="exact" w:before="34"/>
        <w:ind w:left="3019" w:right="4284"/>
        <w:jc w:val="center"/>
      </w:pPr>
      <w:r>
        <w:rPr>
          <w:w w:val="120"/>
        </w:rPr>
        <w:t>© The United Reformed Church, 2016 ISBN: 978-0-85346-313-9</w:t>
      </w:r>
    </w:p>
    <w:p>
      <w:pPr>
        <w:pStyle w:val="BodyText"/>
        <w:spacing w:line="210" w:lineRule="exact"/>
        <w:ind w:left="3020" w:right="4284"/>
        <w:jc w:val="center"/>
      </w:pPr>
      <w:r>
        <w:rPr>
          <w:w w:val="125"/>
        </w:rPr>
        <w:t>Published by</w:t>
      </w:r>
    </w:p>
    <w:p>
      <w:pPr>
        <w:pStyle w:val="BodyText"/>
        <w:spacing w:before="16"/>
        <w:ind w:left="3019" w:right="4284"/>
        <w:jc w:val="center"/>
      </w:pPr>
      <w:r>
        <w:rPr>
          <w:w w:val="120"/>
        </w:rPr>
        <w:t>The United Reformed Church</w:t>
      </w:r>
    </w:p>
    <w:p>
      <w:pPr>
        <w:pStyle w:val="BodyText"/>
        <w:spacing w:before="16"/>
        <w:ind w:left="3020" w:right="4284"/>
        <w:jc w:val="center"/>
      </w:pPr>
      <w:r>
        <w:rPr>
          <w:w w:val="125"/>
        </w:rPr>
        <w:t>86 Tavistock Place, London WC1H 9RT</w:t>
      </w:r>
    </w:p>
    <w:p>
      <w:pPr>
        <w:pStyle w:val="BodyText"/>
        <w:spacing w:before="7"/>
        <w:rPr>
          <w:sz w:val="22"/>
        </w:rPr>
      </w:pPr>
    </w:p>
    <w:p>
      <w:pPr>
        <w:pStyle w:val="BodyText"/>
        <w:ind w:left="1017" w:right="2281"/>
        <w:jc w:val="center"/>
      </w:pPr>
      <w:r>
        <w:rPr>
          <w:w w:val="120"/>
        </w:rPr>
        <w:t>All rights reserved. This material may be used freely within the churches.</w:t>
      </w:r>
    </w:p>
    <w:p>
      <w:pPr>
        <w:pStyle w:val="BodyText"/>
        <w:spacing w:line="254" w:lineRule="auto" w:before="16"/>
        <w:ind w:left="1016" w:right="2281"/>
        <w:jc w:val="center"/>
      </w:pPr>
      <w:r>
        <w:rPr>
          <w:w w:val="120"/>
        </w:rPr>
        <w:t>No part of this publication may be reproduced outside the Church in any form or by any means – graphic, electronic, or mechanical, including photocopying, recording, taping or information storage and retrieval systems –</w:t>
      </w:r>
    </w:p>
    <w:p>
      <w:pPr>
        <w:pStyle w:val="BodyText"/>
        <w:spacing w:before="4"/>
        <w:ind w:left="1017" w:right="2281"/>
        <w:jc w:val="center"/>
      </w:pPr>
      <w:r>
        <w:rPr>
          <w:w w:val="120"/>
        </w:rPr>
        <w:t>without the prior permission in writing of the publishers.</w:t>
      </w:r>
    </w:p>
    <w:p>
      <w:pPr>
        <w:pStyle w:val="BodyText"/>
        <w:spacing w:before="7"/>
        <w:rPr>
          <w:sz w:val="22"/>
        </w:rPr>
      </w:pPr>
    </w:p>
    <w:p>
      <w:pPr>
        <w:pStyle w:val="BodyText"/>
        <w:spacing w:line="254" w:lineRule="auto"/>
        <w:ind w:left="1016" w:right="2281"/>
        <w:jc w:val="center"/>
      </w:pPr>
      <w:r>
        <w:rPr>
          <w:w w:val="120"/>
        </w:rPr>
        <w:t>The publishers make no representation, express or implied, with regard to the accuracy of the information contained in this book and cannot accept any legal responsibility for any errors or omissions that may take place.</w:t>
      </w:r>
    </w:p>
    <w:p>
      <w:pPr>
        <w:pStyle w:val="BodyText"/>
      </w:pPr>
    </w:p>
    <w:p>
      <w:pPr>
        <w:pStyle w:val="BodyText"/>
      </w:pPr>
    </w:p>
    <w:p>
      <w:pPr>
        <w:pStyle w:val="BodyText"/>
        <w:spacing w:before="9"/>
        <w:rPr>
          <w:sz w:val="28"/>
        </w:rPr>
      </w:pPr>
      <w:r>
        <w:rPr/>
        <w:pict>
          <v:group style="position:absolute;margin-left:56.277401pt;margin-top:19.506247pt;width:99.55pt;height:117.75pt;mso-position-horizontal-relative:page;mso-position-vertical-relative:paragraph;z-index:-251657216;mso-wrap-distance-left:0;mso-wrap-distance-right:0" coordorigin="1126,390" coordsize="1991,2355">
            <v:shape style="position:absolute;left:1125;top:1700;width:305;height:181" coordorigin="1126,1701" coordsize="305,181" path="m1173,1701l1126,1701,1204,1881,1223,1881,1262,1799,1215,1799,1173,1701xm1326,1765l1278,1765,1333,1881,1352,1881,1388,1799,1342,1799,1326,1765xm1296,1701l1260,1701,1215,1799,1262,1799,1278,1765,1326,1765,1296,1701xm1431,1701l1384,1701,1342,1799,1388,1799,1431,1701xe" filled="true" fillcolor="#000000" stroked="false">
              <v:path arrowok="t"/>
              <v:fill type="solid"/>
            </v:shape>
            <v:shape style="position:absolute;left:1407;top:1755;width:136;height:125" coordorigin="1407,1756" coordsize="136,125" path="m1475,1756l1450,1760,1428,1772,1413,1791,1407,1818,1407,1819,1412,1844,1426,1864,1448,1876,1475,1881,1497,1878,1519,1868,1527,1859,1475,1859,1465,1857,1456,1850,1450,1838,1448,1819,1448,1818,1450,1801,1455,1788,1464,1781,1475,1778,1527,1778,1520,1770,1498,1759,1475,1756xm1527,1778l1475,1778,1488,1781,1496,1789,1501,1801,1502,1818,1501,1835,1495,1848,1487,1856,1475,1859,1527,1859,1536,1848,1543,1819,1536,1789,1527,1778xe" filled="true" fillcolor="#000000" stroked="false">
              <v:path arrowok="t"/>
              <v:fill type="solid"/>
            </v:shape>
            <v:shape style="position:absolute;left:1552;top:1755;width:136;height:125" coordorigin="1553,1756" coordsize="136,125" path="m1621,1756l1595,1760,1573,1772,1558,1791,1553,1818,1553,1819,1558,1844,1572,1864,1593,1876,1621,1881,1642,1878,1664,1868,1673,1859,1621,1859,1610,1857,1601,1850,1595,1838,1593,1819,1593,1818,1595,1801,1601,1788,1609,1781,1621,1778,1673,1778,1666,1770,1644,1759,1621,1756xm1673,1778l1621,1778,1633,1781,1641,1789,1646,1801,1648,1818,1646,1835,1641,1848,1632,1856,1621,1859,1673,1859,1681,1848,1688,1819,1682,1789,1673,1778xe" filled="true" fillcolor="#000000" stroked="false">
              <v:path arrowok="t"/>
              <v:fill type="solid"/>
            </v:shape>
            <v:shape style="position:absolute;left:1697;top:1700;width:128;height:181" coordorigin="1697,1701" coordsize="128,181" path="m1767,1756l1756,1756,1732,1761,1714,1773,1702,1793,1697,1818,1702,1843,1713,1863,1731,1876,1754,1881,1767,1881,1777,1878,1787,1869,1825,1869,1825,1856,1765,1856,1753,1853,1744,1846,1738,1834,1736,1819,1738,1803,1744,1791,1753,1784,1766,1781,1825,1781,1825,1764,1787,1764,1777,1759,1767,1756xm1825,1869l1787,1869,1787,1879,1825,1879,1825,1869xm1825,1781l1773,1781,1782,1784,1787,1788,1787,1846,1779,1853,1773,1856,1825,1856,1825,1781xm1825,1701l1787,1701,1787,1764,1825,1764,1825,1701xe" filled="true" fillcolor="#000000" stroked="false">
              <v:path arrowok="t"/>
              <v:fill type="solid"/>
            </v:shape>
            <v:line style="position:absolute" from="1866,1701" to="1866,1879" stroked="true" strokeweight="1.893pt" strokecolor="#000000">
              <v:stroke dashstyle="solid"/>
            </v:line>
            <v:shape style="position:absolute;left:1900;top:1755;width:131;height:125" coordorigin="1901,1756" coordsize="131,125" path="m2007,1781l1968,1781,1973,1790,1972,1801,1940,1812,1917,1821,1905,1834,1901,1851,1903,1862,1910,1872,1921,1878,1934,1881,1944,1880,1953,1878,1963,1874,1974,1867,2031,1867,2031,1859,1944,1859,1939,1853,1939,1846,1941,1838,1947,1832,1957,1826,1972,1820,2010,1820,2010,1792,2007,1781xm2031,1867l1974,1867,1977,1877,1983,1881,2005,1881,2020,1876,2031,1870,2031,1867xm2010,1820l1972,1820,1972,1849,1966,1855,1958,1859,2031,1859,2031,1856,2012,1856,2010,1853,2010,1820xm2031,1849l2022,1855,2019,1856,2031,1856,2031,1849xm1959,1756l1945,1757,1932,1760,1919,1764,1907,1771,1907,1801,1917,1793,1928,1787,1940,1783,1951,1781,2007,1781,2006,1776,1996,1764,1980,1758,1959,1756xe" filled="true" fillcolor="#000000" stroked="false">
              <v:path arrowok="t"/>
              <v:fill type="solid"/>
            </v:shape>
            <v:shape style="position:absolute;left:2036;top:1755;width:121;height:123" coordorigin="2037,1756" coordsize="121,123" path="m2074,1758l2037,1758,2037,1879,2074,1879,2074,1801,2084,1786,2091,1781,2154,1781,2153,1780,2150,1776,2074,1776,2074,1758xm2154,1781l2112,1781,2120,1788,2120,1879,2157,1879,2157,1802,2154,1781xm2114,1756l2103,1757,2093,1761,2083,1767,2074,1776,2150,1776,2143,1766,2128,1758,2114,1756xe" filled="true" fillcolor="#000000" stroked="false">
              <v:path arrowok="t"/>
              <v:fill type="solid"/>
            </v:shape>
            <v:shape style="position:absolute;left:2172;top:1700;width:128;height:181" coordorigin="2173,1701" coordsize="128,181" path="m2242,1756l2231,1756,2207,1761,2189,1773,2177,1793,2173,1818,2177,1843,2189,1863,2207,1876,2229,1881,2242,1881,2252,1878,2262,1869,2300,1869,2300,1856,2240,1856,2228,1853,2219,1846,2213,1834,2211,1819,2213,1803,2219,1791,2229,1784,2241,1781,2300,1781,2300,1764,2262,1764,2252,1759,2242,1756xm2300,1869l2262,1869,2262,1879,2300,1879,2300,1869xm2300,1781l2248,1781,2257,1784,2262,1788,2262,1846,2255,1853,2248,1856,2300,1856,2300,1781xm2300,1701l2262,1701,2262,1764,2300,1764,2300,1701xe" filled="true" fillcolor="#000000" stroked="false">
              <v:path arrowok="t"/>
              <v:fill type="solid"/>
            </v:shape>
            <v:shape style="position:absolute;left:1149;top:1911;width:298;height:339" type="#_x0000_t75" stroked="false">
              <v:imagedata r:id="rId17" o:title=""/>
            </v:shape>
            <v:shape style="position:absolute;left:1480;top:1914;width:323;height:333" type="#_x0000_t75" stroked="false">
              <v:imagedata r:id="rId18" o:title=""/>
            </v:shape>
            <v:shape style="position:absolute;left:1840;top:1916;width:256;height:331" type="#_x0000_t75" stroked="false">
              <v:imagedata r:id="rId19" o:title=""/>
            </v:shape>
            <v:shape style="position:absolute;left:2131;top:1916;width:227;height:331" type="#_x0000_t75" stroked="false">
              <v:imagedata r:id="rId20" o:title=""/>
            </v:shape>
            <v:shape style="position:absolute;left:2802;top:1916;width:306;height:331" type="#_x0000_t75" stroked="false">
              <v:imagedata r:id="rId21" o:title=""/>
            </v:shape>
            <v:shape style="position:absolute;left:1164;top:454;width:1262;height:1162" coordorigin="1165,455" coordsize="1262,1162" path="m1249,455l1226,457,1205,465,1191,473,1174,487,1165,504,1171,520,1225,567,1275,618,1321,673,1364,730,1403,793,1439,857,1473,922,1541,1058,1577,1127,1615,1195,1657,1261,1681,1295,1707,1327,1735,1358,1764,1387,1822,1441,1884,1491,1950,1535,2020,1572,2092,1598,2165,1613,2239,1616,2313,1607,2387,1586,2402,1578,2418,1565,2426,1548,2423,1540,2266,1540,2272,1539,2260,1539,2251,1539,2242,1538,2232,1537,2230,1537,2216,1535,2218,1535,2203,1533,2189,1529,2175,1525,2161,1521,2157,1520,2148,1517,2148,1517,2146,1516,2143,1515,2144,1515,2135,1512,2126,1508,2118,1504,2105,1498,2091,1492,2078,1485,2065,1478,2054,1471,2042,1464,2030,1456,2019,1449,2007,1441,1996,1432,1985,1425,1976,1418,1937,1386,1899,1351,1863,1315,1829,1277,1797,1237,1768,1195,1741,1152,1716,1108,1678,1037,1641,964,1605,892,1568,820,1528,750,1489,687,1446,627,1398,570,1347,517,1291,468,1271,458,1249,455xm2306,1536l2297,1537,2288,1538,2275,1539,2266,1540,2423,1540,2422,1536,2302,1536,2306,1536xm2271,1539l2260,1539,2272,1539,2273,1539,2271,1539xm2216,1535l2230,1537,2226,1537,2223,1536,2216,1535xm2223,1536l2226,1537,2230,1537,2232,1537,2231,1537,2223,1536xm2311,1535l2306,1536,2302,1536,2306,1536,2311,1535xm2422,1535l2311,1535,2306,1536,2302,1536,2422,1536,2422,1535xm2218,1535l2216,1535,2223,1536,2218,1535xm2334,1528l2329,1530,2315,1533,2306,1536,2311,1535,2422,1535,2420,1531,2418,1530,2330,1530,2334,1528xm2338,1527l2334,1528,2330,1530,2334,1528,2338,1527xm2413,1527l2338,1527,2334,1528,2330,1530,2418,1530,2413,1527xm2379,1517l2355,1521,2334,1528,2334,1528,2338,1527,2413,1527,2402,1520,2379,1517xm2143,1515l2146,1516,2148,1517,2146,1516,2143,1515xm2146,1516l2148,1517,2148,1517,2146,1516xm2144,1515l2143,1515,2146,1516,2144,1515xe" filled="true" fillcolor="#97be0e" stroked="false">
              <v:path arrowok="t"/>
              <v:fill type="solid"/>
            </v:shape>
            <v:shape style="position:absolute;left:1196;top:390;width:1404;height:993" coordorigin="1196,390" coordsize="1404,993" path="m2027,450l1631,450,1645,450,1660,450,1674,451,1688,452,1704,452,1717,453,1729,455,1742,456,1825,469,1906,488,1984,515,2060,549,2134,590,2198,633,2257,682,2312,737,2361,798,2403,862,2438,931,2466,1003,2484,1078,2493,1156,2492,1207,2486,1258,2476,1310,2460,1360,2462,1373,2475,1380,2493,1382,2506,1382,2524,1378,2542,1372,2557,1361,2567,1346,2589,1273,2599,1199,2600,1124,2591,1051,2573,978,2548,908,2515,841,2475,777,2430,717,2377,660,2320,609,2258,563,2193,523,2125,488,2054,459,2027,450xm1678,390l1604,391,1531,397,1458,406,1385,419,1314,435,1243,455,1229,460,1212,469,1199,481,1196,496,1206,507,1223,511,1242,510,1257,507,1291,498,1325,488,1359,480,1383,475,1382,475,1393,473,1394,473,1405,470,1427,467,1448,463,1464,461,1481,459,1498,457,1525,454,1550,452,1550,452,1561,451,1562,451,1567,451,1583,450,1599,450,1615,450,2027,450,1981,435,1907,416,1831,402,1755,394,1678,390xm1393,473l1382,475,1390,473,1393,473xm1390,473l1382,475,1383,475,1390,473xm1394,473l1393,473,1390,473,1394,473xm1562,451l1561,451,1551,452,1562,451xe" filled="true" fillcolor="#97be0e" stroked="false">
              <v:path arrowok="t"/>
              <v:fill type="solid"/>
            </v:shape>
            <v:shape style="position:absolute;left:1652;top:664;width:1098;height:1583" type="#_x0000_t75" stroked="false">
              <v:imagedata r:id="rId22" o:title=""/>
            </v:shape>
            <v:shape style="position:absolute;left:1156;top:2297;width:1961;height:448" type="#_x0000_t75" stroked="false">
              <v:imagedata r:id="rId23" o:title=""/>
            </v:shape>
            <w10:wrap type="topAndBottom"/>
          </v:group>
        </w:pict>
      </w:r>
    </w:p>
    <w:p>
      <w:pPr>
        <w:pStyle w:val="BodyText"/>
        <w:spacing w:before="8"/>
        <w:rPr>
          <w:sz w:val="28"/>
        </w:rPr>
      </w:pPr>
    </w:p>
    <w:p>
      <w:pPr>
        <w:spacing w:before="0"/>
        <w:ind w:left="433" w:right="0" w:firstLine="0"/>
        <w:jc w:val="left"/>
        <w:rPr>
          <w:rFonts w:ascii="Stone Sans II ITC Std Bk"/>
          <w:b/>
          <w:sz w:val="16"/>
        </w:rPr>
      </w:pPr>
      <w:r>
        <w:rPr/>
        <w:drawing>
          <wp:anchor distT="0" distB="0" distL="0" distR="0" allowOverlap="1" layoutInCell="1" locked="0" behindDoc="0" simplePos="0" relativeHeight="251660288">
            <wp:simplePos x="0" y="0"/>
            <wp:positionH relativeFrom="page">
              <wp:posOffset>5419550</wp:posOffset>
            </wp:positionH>
            <wp:positionV relativeFrom="paragraph">
              <wp:posOffset>-1104536</wp:posOffset>
            </wp:positionV>
            <wp:extent cx="974039" cy="1507858"/>
            <wp:effectExtent l="0" t="0" r="0" b="0"/>
            <wp:wrapNone/>
            <wp:docPr id="1" name="image20.png"/>
            <wp:cNvGraphicFramePr>
              <a:graphicFrameLocks noChangeAspect="1"/>
            </wp:cNvGraphicFramePr>
            <a:graphic>
              <a:graphicData uri="http://schemas.openxmlformats.org/drawingml/2006/picture">
                <pic:pic>
                  <pic:nvPicPr>
                    <pic:cNvPr id="2" name="image20.png"/>
                    <pic:cNvPicPr/>
                  </pic:nvPicPr>
                  <pic:blipFill>
                    <a:blip r:embed="rId24" cstate="print"/>
                    <a:stretch>
                      <a:fillRect/>
                    </a:stretch>
                  </pic:blipFill>
                  <pic:spPr>
                    <a:xfrm>
                      <a:off x="0" y="0"/>
                      <a:ext cx="974039" cy="1507858"/>
                    </a:xfrm>
                    <a:prstGeom prst="rect">
                      <a:avLst/>
                    </a:prstGeom>
                  </pic:spPr>
                </pic:pic>
              </a:graphicData>
            </a:graphic>
          </wp:anchor>
        </w:drawing>
      </w:r>
      <w:r>
        <w:rPr>
          <w:rFonts w:ascii="Stone Sans II ITC Std Bk"/>
          <w:b/>
          <w:w w:val="115"/>
          <w:sz w:val="16"/>
        </w:rPr>
        <w:t>Environmental credentials</w:t>
      </w:r>
    </w:p>
    <w:p>
      <w:pPr>
        <w:pStyle w:val="BodyText"/>
        <w:spacing w:before="5"/>
        <w:rPr>
          <w:rFonts w:ascii="Stone Sans II ITC Std Bk"/>
          <w:b/>
          <w:sz w:val="14"/>
        </w:rPr>
      </w:pPr>
    </w:p>
    <w:p>
      <w:pPr>
        <w:spacing w:before="0"/>
        <w:ind w:left="433" w:right="0" w:firstLine="0"/>
        <w:jc w:val="left"/>
        <w:rPr>
          <w:sz w:val="16"/>
        </w:rPr>
      </w:pPr>
      <w:r>
        <w:rPr>
          <w:w w:val="120"/>
          <w:sz w:val="16"/>
        </w:rPr>
        <w:t>All paper used in the production of the Book of Reports are Essential Velvet:</w:t>
      </w:r>
    </w:p>
    <w:p>
      <w:pPr>
        <w:pStyle w:val="ListParagraph"/>
        <w:numPr>
          <w:ilvl w:val="0"/>
          <w:numId w:val="1"/>
        </w:numPr>
        <w:tabs>
          <w:tab w:pos="1114" w:val="left" w:leader="none"/>
          <w:tab w:pos="1115" w:val="left" w:leader="none"/>
        </w:tabs>
        <w:spacing w:line="244" w:lineRule="auto" w:before="5" w:after="0"/>
        <w:ind w:left="1114" w:right="3904" w:hanging="681"/>
        <w:jc w:val="left"/>
        <w:rPr>
          <w:sz w:val="16"/>
        </w:rPr>
      </w:pPr>
      <w:r>
        <w:rPr>
          <w:w w:val="125"/>
          <w:sz w:val="16"/>
        </w:rPr>
        <w:t>Contains material sourced from responsibly managed and sustained </w:t>
      </w:r>
      <w:r>
        <w:rPr>
          <w:spacing w:val="2"/>
          <w:w w:val="125"/>
          <w:sz w:val="16"/>
        </w:rPr>
        <w:t>forests, certified </w:t>
      </w:r>
      <w:r>
        <w:rPr>
          <w:w w:val="125"/>
          <w:sz w:val="16"/>
        </w:rPr>
        <w:t>in accordance with the FSC (Forest Stewardship</w:t>
      </w:r>
      <w:r>
        <w:rPr>
          <w:spacing w:val="10"/>
          <w:w w:val="125"/>
          <w:sz w:val="16"/>
        </w:rPr>
        <w:t> </w:t>
      </w:r>
      <w:r>
        <w:rPr>
          <w:w w:val="125"/>
          <w:sz w:val="16"/>
        </w:rPr>
        <w:t>Council).</w:t>
      </w:r>
    </w:p>
    <w:p>
      <w:pPr>
        <w:pStyle w:val="ListParagraph"/>
        <w:numPr>
          <w:ilvl w:val="0"/>
          <w:numId w:val="1"/>
        </w:numPr>
        <w:tabs>
          <w:tab w:pos="1114" w:val="left" w:leader="none"/>
          <w:tab w:pos="1115" w:val="left" w:leader="none"/>
        </w:tabs>
        <w:spacing w:line="240" w:lineRule="auto" w:before="1" w:after="0"/>
        <w:ind w:left="1114" w:right="0" w:hanging="682"/>
        <w:jc w:val="left"/>
        <w:rPr>
          <w:sz w:val="16"/>
        </w:rPr>
      </w:pPr>
      <w:r>
        <w:rPr>
          <w:w w:val="125"/>
          <w:sz w:val="16"/>
        </w:rPr>
        <w:t>The material is ECF (Elemental</w:t>
      </w:r>
      <w:r>
        <w:rPr>
          <w:spacing w:val="4"/>
          <w:w w:val="125"/>
          <w:sz w:val="16"/>
        </w:rPr>
        <w:t> </w:t>
      </w:r>
      <w:r>
        <w:rPr>
          <w:w w:val="125"/>
          <w:sz w:val="16"/>
        </w:rPr>
        <w:t>Chlorine-Free).</w:t>
      </w:r>
    </w:p>
    <w:p>
      <w:pPr>
        <w:pStyle w:val="ListParagraph"/>
        <w:numPr>
          <w:ilvl w:val="0"/>
          <w:numId w:val="1"/>
        </w:numPr>
        <w:tabs>
          <w:tab w:pos="1114" w:val="left" w:leader="none"/>
          <w:tab w:pos="1115" w:val="left" w:leader="none"/>
        </w:tabs>
        <w:spacing w:line="244" w:lineRule="auto" w:before="5" w:after="0"/>
        <w:ind w:left="1114" w:right="1861" w:hanging="681"/>
        <w:jc w:val="left"/>
        <w:rPr>
          <w:sz w:val="16"/>
        </w:rPr>
      </w:pPr>
      <w:r>
        <w:rPr>
          <w:w w:val="125"/>
          <w:sz w:val="16"/>
        </w:rPr>
        <w:t>Is manufactured under </w:t>
      </w:r>
      <w:r>
        <w:rPr>
          <w:spacing w:val="2"/>
          <w:w w:val="125"/>
          <w:sz w:val="16"/>
        </w:rPr>
        <w:t>strict </w:t>
      </w:r>
      <w:r>
        <w:rPr>
          <w:w w:val="125"/>
          <w:sz w:val="16"/>
        </w:rPr>
        <w:t>environmental management systems, the international ISO 14001 standard, </w:t>
      </w:r>
      <w:r>
        <w:rPr>
          <w:spacing w:val="2"/>
          <w:w w:val="125"/>
          <w:sz w:val="16"/>
        </w:rPr>
        <w:t>EMAS </w:t>
      </w:r>
      <w:r>
        <w:rPr>
          <w:w w:val="125"/>
          <w:sz w:val="16"/>
        </w:rPr>
        <w:t>(Eco-Management and Audit Scheme) and the IPPC (integrated Pollution Prevention and Control) regulation. Bio inks used conform to the international ISO 14001</w:t>
      </w:r>
      <w:r>
        <w:rPr>
          <w:spacing w:val="18"/>
          <w:w w:val="125"/>
          <w:sz w:val="16"/>
        </w:rPr>
        <w:t> </w:t>
      </w:r>
      <w:r>
        <w:rPr>
          <w:w w:val="125"/>
          <w:sz w:val="16"/>
        </w:rPr>
        <w:t>standard.</w:t>
      </w:r>
    </w:p>
    <w:p>
      <w:pPr>
        <w:pStyle w:val="ListParagraph"/>
        <w:numPr>
          <w:ilvl w:val="0"/>
          <w:numId w:val="1"/>
        </w:numPr>
        <w:tabs>
          <w:tab w:pos="1114" w:val="left" w:leader="none"/>
          <w:tab w:pos="1115" w:val="left" w:leader="none"/>
        </w:tabs>
        <w:spacing w:line="244" w:lineRule="auto" w:before="2" w:after="0"/>
        <w:ind w:left="1114" w:right="2802" w:hanging="681"/>
        <w:jc w:val="left"/>
        <w:rPr>
          <w:sz w:val="16"/>
        </w:rPr>
      </w:pPr>
      <w:r>
        <w:rPr>
          <w:w w:val="125"/>
          <w:sz w:val="16"/>
        </w:rPr>
        <w:t>All</w:t>
      </w:r>
      <w:r>
        <w:rPr>
          <w:spacing w:val="-6"/>
          <w:w w:val="125"/>
          <w:sz w:val="16"/>
        </w:rPr>
        <w:t> </w:t>
      </w:r>
      <w:r>
        <w:rPr>
          <w:w w:val="125"/>
          <w:sz w:val="16"/>
        </w:rPr>
        <w:t>the</w:t>
      </w:r>
      <w:r>
        <w:rPr>
          <w:spacing w:val="-5"/>
          <w:w w:val="125"/>
          <w:sz w:val="16"/>
        </w:rPr>
        <w:t> </w:t>
      </w:r>
      <w:r>
        <w:rPr>
          <w:w w:val="125"/>
          <w:sz w:val="16"/>
        </w:rPr>
        <w:t>paper</w:t>
      </w:r>
      <w:r>
        <w:rPr>
          <w:spacing w:val="-6"/>
          <w:w w:val="125"/>
          <w:sz w:val="16"/>
        </w:rPr>
        <w:t> </w:t>
      </w:r>
      <w:r>
        <w:rPr>
          <w:w w:val="125"/>
          <w:sz w:val="16"/>
        </w:rPr>
        <w:t>used</w:t>
      </w:r>
      <w:r>
        <w:rPr>
          <w:spacing w:val="-5"/>
          <w:w w:val="125"/>
          <w:sz w:val="16"/>
        </w:rPr>
        <w:t> </w:t>
      </w:r>
      <w:r>
        <w:rPr>
          <w:w w:val="125"/>
          <w:sz w:val="16"/>
        </w:rPr>
        <w:t>in</w:t>
      </w:r>
      <w:r>
        <w:rPr>
          <w:spacing w:val="-6"/>
          <w:w w:val="125"/>
          <w:sz w:val="16"/>
        </w:rPr>
        <w:t> </w:t>
      </w:r>
      <w:r>
        <w:rPr>
          <w:w w:val="125"/>
          <w:sz w:val="16"/>
        </w:rPr>
        <w:t>the</w:t>
      </w:r>
      <w:r>
        <w:rPr>
          <w:spacing w:val="-5"/>
          <w:w w:val="125"/>
          <w:sz w:val="16"/>
        </w:rPr>
        <w:t> </w:t>
      </w:r>
      <w:r>
        <w:rPr>
          <w:w w:val="125"/>
          <w:sz w:val="16"/>
        </w:rPr>
        <w:t>production</w:t>
      </w:r>
      <w:r>
        <w:rPr>
          <w:spacing w:val="-6"/>
          <w:w w:val="125"/>
          <w:sz w:val="16"/>
        </w:rPr>
        <w:t> </w:t>
      </w:r>
      <w:r>
        <w:rPr>
          <w:w w:val="125"/>
          <w:sz w:val="16"/>
        </w:rPr>
        <w:t>of</w:t>
      </w:r>
      <w:r>
        <w:rPr>
          <w:spacing w:val="-5"/>
          <w:w w:val="125"/>
          <w:sz w:val="16"/>
        </w:rPr>
        <w:t> </w:t>
      </w:r>
      <w:r>
        <w:rPr>
          <w:w w:val="125"/>
          <w:sz w:val="16"/>
        </w:rPr>
        <w:t>the</w:t>
      </w:r>
      <w:r>
        <w:rPr>
          <w:spacing w:val="-5"/>
          <w:w w:val="125"/>
          <w:sz w:val="16"/>
        </w:rPr>
        <w:t> </w:t>
      </w:r>
      <w:r>
        <w:rPr>
          <w:i/>
          <w:w w:val="125"/>
          <w:sz w:val="16"/>
        </w:rPr>
        <w:t>Book</w:t>
      </w:r>
      <w:r>
        <w:rPr>
          <w:i/>
          <w:spacing w:val="-8"/>
          <w:w w:val="125"/>
          <w:sz w:val="16"/>
        </w:rPr>
        <w:t> </w:t>
      </w:r>
      <w:r>
        <w:rPr>
          <w:i/>
          <w:w w:val="125"/>
          <w:sz w:val="16"/>
        </w:rPr>
        <w:t>of</w:t>
      </w:r>
      <w:r>
        <w:rPr>
          <w:i/>
          <w:spacing w:val="-8"/>
          <w:w w:val="125"/>
          <w:sz w:val="16"/>
        </w:rPr>
        <w:t> </w:t>
      </w:r>
      <w:r>
        <w:rPr>
          <w:i/>
          <w:spacing w:val="2"/>
          <w:w w:val="125"/>
          <w:sz w:val="16"/>
        </w:rPr>
        <w:t>Reports</w:t>
      </w:r>
      <w:r>
        <w:rPr>
          <w:i/>
          <w:spacing w:val="-9"/>
          <w:w w:val="125"/>
          <w:sz w:val="16"/>
        </w:rPr>
        <w:t> </w:t>
      </w:r>
      <w:r>
        <w:rPr>
          <w:w w:val="125"/>
          <w:sz w:val="16"/>
        </w:rPr>
        <w:t>has</w:t>
      </w:r>
      <w:r>
        <w:rPr>
          <w:spacing w:val="-5"/>
          <w:w w:val="125"/>
          <w:sz w:val="16"/>
        </w:rPr>
        <w:t> </w:t>
      </w:r>
      <w:r>
        <w:rPr>
          <w:w w:val="125"/>
          <w:sz w:val="16"/>
        </w:rPr>
        <w:t>been</w:t>
      </w:r>
      <w:r>
        <w:rPr>
          <w:spacing w:val="-5"/>
          <w:w w:val="125"/>
          <w:sz w:val="16"/>
        </w:rPr>
        <w:t> </w:t>
      </w:r>
      <w:r>
        <w:rPr>
          <w:spacing w:val="2"/>
          <w:w w:val="125"/>
          <w:sz w:val="16"/>
        </w:rPr>
        <w:t>carbon</w:t>
      </w:r>
      <w:r>
        <w:rPr>
          <w:spacing w:val="-6"/>
          <w:w w:val="125"/>
          <w:sz w:val="16"/>
        </w:rPr>
        <w:t> </w:t>
      </w:r>
      <w:r>
        <w:rPr>
          <w:w w:val="125"/>
          <w:sz w:val="16"/>
        </w:rPr>
        <w:t>captured</w:t>
      </w:r>
      <w:r>
        <w:rPr>
          <w:spacing w:val="-5"/>
          <w:w w:val="125"/>
          <w:sz w:val="16"/>
        </w:rPr>
        <w:t> </w:t>
      </w:r>
      <w:r>
        <w:rPr>
          <w:w w:val="125"/>
          <w:sz w:val="16"/>
        </w:rPr>
        <w:t>by</w:t>
      </w:r>
      <w:r>
        <w:rPr>
          <w:spacing w:val="-6"/>
          <w:w w:val="125"/>
          <w:sz w:val="16"/>
        </w:rPr>
        <w:t> </w:t>
      </w:r>
      <w:r>
        <w:rPr>
          <w:w w:val="125"/>
          <w:sz w:val="16"/>
        </w:rPr>
        <w:t>a payment to the Woodland Trust. These funds are used to purchase endangered</w:t>
      </w:r>
      <w:r>
        <w:rPr>
          <w:spacing w:val="-14"/>
          <w:w w:val="125"/>
          <w:sz w:val="16"/>
        </w:rPr>
        <w:t> </w:t>
      </w:r>
      <w:r>
        <w:rPr>
          <w:w w:val="125"/>
          <w:sz w:val="16"/>
        </w:rPr>
        <w:t>forest.</w:t>
      </w:r>
    </w:p>
    <w:p>
      <w:pPr>
        <w:pStyle w:val="BodyText"/>
        <w:spacing w:before="6"/>
        <w:rPr>
          <w:sz w:val="16"/>
        </w:rPr>
      </w:pPr>
    </w:p>
    <w:p>
      <w:pPr>
        <w:spacing w:before="0"/>
        <w:ind w:left="433" w:right="0" w:firstLine="0"/>
        <w:jc w:val="left"/>
        <w:rPr>
          <w:sz w:val="16"/>
        </w:rPr>
      </w:pPr>
      <w:r>
        <w:rPr>
          <w:w w:val="120"/>
          <w:sz w:val="16"/>
        </w:rPr>
        <w:t>Printed by Healeys Printers</w:t>
      </w:r>
    </w:p>
    <w:p>
      <w:pPr>
        <w:spacing w:before="5"/>
        <w:ind w:left="433" w:right="0" w:firstLine="0"/>
        <w:jc w:val="left"/>
        <w:rPr>
          <w:sz w:val="16"/>
        </w:rPr>
      </w:pPr>
      <w:r>
        <w:rPr>
          <w:w w:val="125"/>
          <w:sz w:val="16"/>
        </w:rPr>
        <w:t>Healeys Printers hold the following environmental accreditations:</w:t>
      </w:r>
    </w:p>
    <w:p>
      <w:pPr>
        <w:spacing w:before="5"/>
        <w:ind w:left="433" w:right="0" w:firstLine="0"/>
        <w:jc w:val="left"/>
        <w:rPr>
          <w:sz w:val="16"/>
        </w:rPr>
      </w:pPr>
      <w:r>
        <w:rPr>
          <w:w w:val="125"/>
          <w:sz w:val="16"/>
        </w:rPr>
        <w:t>FSC (certificate SGS-COC-004497); ISO 9001; ISO 14001; Carbon Balanced Publications Printer</w:t>
      </w:r>
    </w:p>
    <w:p>
      <w:pPr>
        <w:pStyle w:val="BodyText"/>
      </w:pPr>
    </w:p>
    <w:p>
      <w:pPr>
        <w:spacing w:line="244" w:lineRule="auto" w:before="160"/>
        <w:ind w:left="433" w:right="2419" w:firstLine="0"/>
        <w:jc w:val="left"/>
        <w:rPr>
          <w:sz w:val="16"/>
        </w:rPr>
      </w:pPr>
      <w:r>
        <w:rPr>
          <w:w w:val="125"/>
          <w:sz w:val="16"/>
        </w:rPr>
        <w:t>Produced by the communications department, on behalf of the Assembly arrangements committee The United Reformed Church, Church House, 86 Tavistock Place, London WC1H 9RT</w:t>
      </w:r>
    </w:p>
    <w:p>
      <w:pPr>
        <w:pStyle w:val="BodyText"/>
        <w:spacing w:before="6"/>
        <w:rPr>
          <w:sz w:val="16"/>
        </w:rPr>
      </w:pPr>
    </w:p>
    <w:p>
      <w:pPr>
        <w:spacing w:line="244" w:lineRule="auto" w:before="1"/>
        <w:ind w:left="433" w:right="2269" w:firstLine="0"/>
        <w:jc w:val="left"/>
        <w:rPr>
          <w:sz w:val="16"/>
        </w:rPr>
      </w:pPr>
      <w:r>
        <w:rPr>
          <w:w w:val="120"/>
          <w:sz w:val="16"/>
        </w:rPr>
        <w:t>Produced with reference to </w:t>
      </w:r>
      <w:r>
        <w:rPr>
          <w:i/>
          <w:w w:val="120"/>
          <w:sz w:val="16"/>
        </w:rPr>
        <w:t>See it Right: Making information accessible to people with sight problems </w:t>
      </w:r>
      <w:r>
        <w:rPr>
          <w:w w:val="120"/>
          <w:sz w:val="16"/>
        </w:rPr>
        <w:t>(2006), Royal National Institute of the Blind, London. ISBN 1 85878 704 1</w:t>
      </w:r>
    </w:p>
    <w:p>
      <w:pPr>
        <w:pStyle w:val="BodyText"/>
      </w:pPr>
    </w:p>
    <w:p>
      <w:pPr>
        <w:pStyle w:val="BodyText"/>
      </w:pPr>
    </w:p>
    <w:p>
      <w:pPr>
        <w:pStyle w:val="BodyText"/>
        <w:spacing w:before="9"/>
        <w:rPr>
          <w:sz w:val="25"/>
        </w:rPr>
      </w:pPr>
    </w:p>
    <w:p>
      <w:pPr>
        <w:pStyle w:val="BodyText"/>
        <w:spacing w:line="254" w:lineRule="auto" w:before="1"/>
        <w:ind w:left="433" w:right="3011"/>
      </w:pPr>
      <w:r>
        <w:rPr>
          <w:w w:val="120"/>
        </w:rPr>
        <w:t>If you require this text in another format please contact the graphics office on 020 7916 8628 or email </w:t>
      </w:r>
      <w:hyperlink r:id="rId25">
        <w:r>
          <w:rPr>
            <w:w w:val="120"/>
          </w:rPr>
          <w:t>graphics@urc.org.uk. </w:t>
        </w:r>
      </w:hyperlink>
      <w:r>
        <w:rPr>
          <w:w w:val="120"/>
        </w:rPr>
        <w:t>Please give two weeks notice.</w:t>
      </w:r>
    </w:p>
    <w:p>
      <w:pPr>
        <w:spacing w:after="0" w:line="254" w:lineRule="auto"/>
        <w:sectPr>
          <w:pgSz w:w="11910" w:h="16840"/>
          <w:pgMar w:top="1580" w:bottom="280" w:left="700" w:right="0"/>
        </w:sectPr>
      </w:pPr>
    </w:p>
    <w:tbl>
      <w:tblPr>
        <w:tblW w:w="0" w:type="auto"/>
        <w:jc w:val="left"/>
        <w:tblInd w:w="230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4852"/>
        <w:gridCol w:w="1035"/>
      </w:tblGrid>
      <w:tr>
        <w:trPr>
          <w:trHeight w:val="392" w:hRule="atLeast"/>
        </w:trPr>
        <w:tc>
          <w:tcPr>
            <w:tcW w:w="5887" w:type="dxa"/>
            <w:gridSpan w:val="2"/>
            <w:shd w:val="clear" w:color="auto" w:fill="FDF0D4"/>
          </w:tcPr>
          <w:p>
            <w:pPr>
              <w:pStyle w:val="TableParagraph"/>
              <w:tabs>
                <w:tab w:pos="5726" w:val="right" w:leader="none"/>
              </w:tabs>
              <w:spacing w:before="89"/>
              <w:ind w:left="106"/>
              <w:rPr>
                <w:rFonts w:ascii="Stone Sans II ITC Std X Bd"/>
                <w:b/>
                <w:sz w:val="20"/>
              </w:rPr>
            </w:pPr>
            <w:r>
              <w:rPr>
                <w:rFonts w:ascii="Stone Sans II ITC Std X Bd"/>
                <w:b/>
                <w:w w:val="110"/>
                <w:sz w:val="20"/>
              </w:rPr>
              <w:t>Introduction</w:t>
              <w:tab/>
              <w:t>3</w:t>
            </w:r>
          </w:p>
        </w:tc>
      </w:tr>
      <w:tr>
        <w:trPr>
          <w:trHeight w:val="330" w:hRule="atLeast"/>
        </w:trPr>
        <w:tc>
          <w:tcPr>
            <w:tcW w:w="5887" w:type="dxa"/>
            <w:gridSpan w:val="2"/>
            <w:shd w:val="clear" w:color="auto" w:fill="FDF0D4"/>
          </w:tcPr>
          <w:p>
            <w:pPr>
              <w:pStyle w:val="TableParagraph"/>
              <w:spacing w:before="33"/>
              <w:ind w:left="106"/>
              <w:rPr>
                <w:rFonts w:ascii="Stone Sans II ITC Std X Bd"/>
                <w:b/>
                <w:sz w:val="20"/>
              </w:rPr>
            </w:pPr>
            <w:r>
              <w:rPr>
                <w:rFonts w:ascii="Stone Sans II ITC Std X Bd"/>
                <w:b/>
                <w:w w:val="110"/>
                <w:sz w:val="20"/>
              </w:rPr>
              <w:t>Mission Council</w:t>
            </w:r>
          </w:p>
        </w:tc>
      </w:tr>
      <w:tr>
        <w:trPr>
          <w:trHeight w:val="338" w:hRule="atLeast"/>
        </w:trPr>
        <w:tc>
          <w:tcPr>
            <w:tcW w:w="5887" w:type="dxa"/>
            <w:gridSpan w:val="2"/>
            <w:shd w:val="clear" w:color="auto" w:fill="FDF0D4"/>
          </w:tcPr>
          <w:p>
            <w:pPr>
              <w:pStyle w:val="TableParagraph"/>
              <w:tabs>
                <w:tab w:pos="5726" w:val="right" w:leader="none"/>
              </w:tabs>
              <w:spacing w:before="33"/>
              <w:ind w:left="446"/>
              <w:rPr>
                <w:rFonts w:ascii="Stone Sans II ITC Std Sm"/>
                <w:b/>
                <w:sz w:val="20"/>
              </w:rPr>
            </w:pPr>
            <w:r>
              <w:rPr>
                <w:w w:val="110"/>
                <w:sz w:val="22"/>
              </w:rPr>
              <w:t>Mission</w:t>
            </w:r>
            <w:r>
              <w:rPr>
                <w:spacing w:val="1"/>
                <w:w w:val="110"/>
                <w:sz w:val="22"/>
              </w:rPr>
              <w:t> </w:t>
            </w:r>
            <w:r>
              <w:rPr>
                <w:w w:val="110"/>
                <w:sz w:val="22"/>
              </w:rPr>
              <w:t>Council</w:t>
            </w:r>
            <w:r>
              <w:rPr>
                <w:spacing w:val="2"/>
                <w:w w:val="110"/>
                <w:sz w:val="22"/>
              </w:rPr>
              <w:t> </w:t>
            </w:r>
            <w:r>
              <w:rPr>
                <w:w w:val="110"/>
                <w:sz w:val="22"/>
              </w:rPr>
              <w:t>report</w:t>
              <w:tab/>
            </w:r>
            <w:r>
              <w:rPr>
                <w:rFonts w:ascii="Stone Sans II ITC Std Sm"/>
                <w:b/>
                <w:w w:val="110"/>
                <w:sz w:val="20"/>
              </w:rPr>
              <w:t>5</w:t>
            </w:r>
          </w:p>
        </w:tc>
      </w:tr>
      <w:tr>
        <w:trPr>
          <w:trHeight w:val="336" w:hRule="atLeast"/>
        </w:trPr>
        <w:tc>
          <w:tcPr>
            <w:tcW w:w="5887" w:type="dxa"/>
            <w:gridSpan w:val="2"/>
            <w:shd w:val="clear" w:color="auto" w:fill="FDF0D4"/>
          </w:tcPr>
          <w:p>
            <w:pPr>
              <w:pStyle w:val="TableParagraph"/>
              <w:tabs>
                <w:tab w:pos="5704" w:val="right" w:leader="none"/>
              </w:tabs>
              <w:spacing w:before="31"/>
              <w:ind w:left="446"/>
              <w:rPr>
                <w:rFonts w:ascii="Stone Sans II ITC Std Sm"/>
                <w:b/>
                <w:sz w:val="20"/>
              </w:rPr>
            </w:pPr>
            <w:r>
              <w:rPr>
                <w:w w:val="110"/>
                <w:sz w:val="22"/>
              </w:rPr>
              <w:t>Walking</w:t>
            </w:r>
            <w:r>
              <w:rPr>
                <w:spacing w:val="1"/>
                <w:w w:val="110"/>
                <w:sz w:val="22"/>
              </w:rPr>
              <w:t> </w:t>
            </w:r>
            <w:r>
              <w:rPr>
                <w:w w:val="110"/>
                <w:sz w:val="22"/>
              </w:rPr>
              <w:t>the</w:t>
            </w:r>
            <w:r>
              <w:rPr>
                <w:spacing w:val="1"/>
                <w:w w:val="110"/>
                <w:sz w:val="22"/>
              </w:rPr>
              <w:t> </w:t>
            </w:r>
            <w:r>
              <w:rPr>
                <w:spacing w:val="-3"/>
                <w:w w:val="110"/>
                <w:sz w:val="22"/>
              </w:rPr>
              <w:t>Way</w:t>
              <w:tab/>
            </w:r>
            <w:r>
              <w:rPr>
                <w:rFonts w:ascii="Stone Sans II ITC Std Sm"/>
                <w:b/>
                <w:spacing w:val="-22"/>
                <w:w w:val="110"/>
                <w:sz w:val="20"/>
              </w:rPr>
              <w:t>11</w:t>
            </w:r>
          </w:p>
        </w:tc>
      </w:tr>
      <w:tr>
        <w:trPr>
          <w:trHeight w:val="336" w:hRule="atLeast"/>
        </w:trPr>
        <w:tc>
          <w:tcPr>
            <w:tcW w:w="5887" w:type="dxa"/>
            <w:gridSpan w:val="2"/>
            <w:shd w:val="clear" w:color="auto" w:fill="FDF0D4"/>
          </w:tcPr>
          <w:p>
            <w:pPr>
              <w:pStyle w:val="TableParagraph"/>
              <w:tabs>
                <w:tab w:pos="5726" w:val="right" w:leader="none"/>
              </w:tabs>
              <w:spacing w:before="31"/>
              <w:ind w:left="446"/>
              <w:rPr>
                <w:rFonts w:ascii="Stone Sans II ITC Std Sm"/>
                <w:b/>
                <w:sz w:val="20"/>
              </w:rPr>
            </w:pPr>
            <w:r>
              <w:rPr>
                <w:w w:val="110"/>
                <w:sz w:val="22"/>
              </w:rPr>
              <w:t>Safeguarding Past</w:t>
            </w:r>
            <w:r>
              <w:rPr>
                <w:spacing w:val="2"/>
                <w:w w:val="110"/>
                <w:sz w:val="22"/>
              </w:rPr>
              <w:t> </w:t>
            </w:r>
            <w:r>
              <w:rPr>
                <w:w w:val="110"/>
                <w:sz w:val="22"/>
              </w:rPr>
              <w:t>Case</w:t>
            </w:r>
            <w:r>
              <w:rPr>
                <w:spacing w:val="1"/>
                <w:w w:val="110"/>
                <w:sz w:val="22"/>
              </w:rPr>
              <w:t> </w:t>
            </w:r>
            <w:r>
              <w:rPr>
                <w:w w:val="110"/>
                <w:sz w:val="22"/>
              </w:rPr>
              <w:t>Review</w:t>
              <w:tab/>
            </w:r>
            <w:r>
              <w:rPr>
                <w:rFonts w:ascii="Stone Sans II ITC Std Sm"/>
                <w:b/>
                <w:spacing w:val="-8"/>
                <w:w w:val="110"/>
                <w:sz w:val="20"/>
              </w:rPr>
              <w:t>15</w:t>
            </w:r>
          </w:p>
        </w:tc>
      </w:tr>
      <w:tr>
        <w:trPr>
          <w:trHeight w:val="336" w:hRule="atLeast"/>
        </w:trPr>
        <w:tc>
          <w:tcPr>
            <w:tcW w:w="5887" w:type="dxa"/>
            <w:gridSpan w:val="2"/>
            <w:shd w:val="clear" w:color="auto" w:fill="FDF0D4"/>
          </w:tcPr>
          <w:p>
            <w:pPr>
              <w:pStyle w:val="TableParagraph"/>
              <w:tabs>
                <w:tab w:pos="5714" w:val="right" w:leader="none"/>
              </w:tabs>
              <w:spacing w:before="31"/>
              <w:ind w:left="446"/>
              <w:rPr>
                <w:rFonts w:ascii="Stone Sans II ITC Std Sm"/>
                <w:b/>
                <w:sz w:val="20"/>
              </w:rPr>
            </w:pPr>
            <w:r>
              <w:rPr>
                <w:w w:val="110"/>
                <w:sz w:val="22"/>
              </w:rPr>
              <w:t>Nomination</w:t>
            </w:r>
            <w:r>
              <w:rPr>
                <w:spacing w:val="1"/>
                <w:w w:val="110"/>
                <w:sz w:val="22"/>
              </w:rPr>
              <w:t> </w:t>
            </w:r>
            <w:r>
              <w:rPr>
                <w:w w:val="110"/>
                <w:sz w:val="22"/>
              </w:rPr>
              <w:t>of</w:t>
            </w:r>
            <w:r>
              <w:rPr>
                <w:spacing w:val="1"/>
                <w:w w:val="110"/>
                <w:sz w:val="22"/>
              </w:rPr>
              <w:t> </w:t>
            </w:r>
            <w:r>
              <w:rPr>
                <w:spacing w:val="-3"/>
                <w:w w:val="110"/>
                <w:sz w:val="22"/>
              </w:rPr>
              <w:t>Treasurer</w:t>
              <w:tab/>
            </w:r>
            <w:r>
              <w:rPr>
                <w:rFonts w:ascii="Stone Sans II ITC Std Sm"/>
                <w:b/>
                <w:spacing w:val="-12"/>
                <w:w w:val="110"/>
                <w:sz w:val="20"/>
              </w:rPr>
              <w:t>18</w:t>
            </w:r>
          </w:p>
        </w:tc>
      </w:tr>
      <w:tr>
        <w:trPr>
          <w:trHeight w:val="336" w:hRule="atLeast"/>
        </w:trPr>
        <w:tc>
          <w:tcPr>
            <w:tcW w:w="5887" w:type="dxa"/>
            <w:gridSpan w:val="2"/>
            <w:shd w:val="clear" w:color="auto" w:fill="FDF0D4"/>
          </w:tcPr>
          <w:p>
            <w:pPr>
              <w:pStyle w:val="TableParagraph"/>
              <w:tabs>
                <w:tab w:pos="5726" w:val="right" w:leader="none"/>
              </w:tabs>
              <w:spacing w:before="31"/>
              <w:ind w:left="446"/>
              <w:rPr>
                <w:rFonts w:ascii="Stone Sans II ITC Std Sm"/>
                <w:b/>
                <w:sz w:val="20"/>
              </w:rPr>
            </w:pPr>
            <w:r>
              <w:rPr>
                <w:w w:val="110"/>
                <w:sz w:val="22"/>
              </w:rPr>
              <w:t>Appeals</w:t>
            </w:r>
            <w:r>
              <w:rPr>
                <w:spacing w:val="1"/>
                <w:w w:val="110"/>
                <w:sz w:val="22"/>
              </w:rPr>
              <w:t> </w:t>
            </w:r>
            <w:r>
              <w:rPr>
                <w:w w:val="110"/>
                <w:sz w:val="22"/>
              </w:rPr>
              <w:t>proposals</w:t>
              <w:tab/>
            </w:r>
            <w:r>
              <w:rPr>
                <w:rFonts w:ascii="Stone Sans II ITC Std Sm"/>
                <w:b/>
                <w:w w:val="110"/>
                <w:sz w:val="20"/>
              </w:rPr>
              <w:t>20</w:t>
            </w:r>
          </w:p>
        </w:tc>
      </w:tr>
      <w:tr>
        <w:trPr>
          <w:trHeight w:val="336" w:hRule="atLeast"/>
        </w:trPr>
        <w:tc>
          <w:tcPr>
            <w:tcW w:w="5887" w:type="dxa"/>
            <w:gridSpan w:val="2"/>
            <w:shd w:val="clear" w:color="auto" w:fill="FDF0D4"/>
          </w:tcPr>
          <w:p>
            <w:pPr>
              <w:pStyle w:val="TableParagraph"/>
              <w:tabs>
                <w:tab w:pos="5721" w:val="right" w:leader="none"/>
              </w:tabs>
              <w:spacing w:before="31"/>
              <w:ind w:left="446"/>
              <w:rPr>
                <w:rFonts w:ascii="Stone Sans II ITC Std Sm"/>
                <w:b/>
                <w:sz w:val="20"/>
              </w:rPr>
            </w:pPr>
            <w:r>
              <w:rPr>
                <w:w w:val="110"/>
                <w:sz w:val="22"/>
              </w:rPr>
              <w:t>Resolutions referred to</w:t>
            </w:r>
            <w:r>
              <w:rPr>
                <w:spacing w:val="1"/>
                <w:w w:val="110"/>
                <w:sz w:val="22"/>
              </w:rPr>
              <w:t> </w:t>
            </w:r>
            <w:r>
              <w:rPr>
                <w:w w:val="110"/>
                <w:sz w:val="22"/>
              </w:rPr>
              <w:t>Synods</w:t>
              <w:tab/>
            </w:r>
            <w:r>
              <w:rPr>
                <w:rFonts w:ascii="Stone Sans II ITC Std Sm"/>
                <w:b/>
                <w:spacing w:val="-6"/>
                <w:w w:val="110"/>
                <w:sz w:val="20"/>
              </w:rPr>
              <w:t>24</w:t>
            </w:r>
          </w:p>
        </w:tc>
      </w:tr>
      <w:tr>
        <w:trPr>
          <w:trHeight w:val="336" w:hRule="atLeast"/>
        </w:trPr>
        <w:tc>
          <w:tcPr>
            <w:tcW w:w="5887" w:type="dxa"/>
            <w:gridSpan w:val="2"/>
            <w:shd w:val="clear" w:color="auto" w:fill="FDF0D4"/>
          </w:tcPr>
          <w:p>
            <w:pPr>
              <w:pStyle w:val="TableParagraph"/>
              <w:tabs>
                <w:tab w:pos="5465" w:val="left" w:leader="none"/>
              </w:tabs>
              <w:spacing w:before="31"/>
              <w:ind w:left="446"/>
              <w:rPr>
                <w:rFonts w:ascii="Stone Sans II ITC Std Sm"/>
                <w:b/>
                <w:sz w:val="20"/>
              </w:rPr>
            </w:pPr>
            <w:r>
              <w:rPr>
                <w:spacing w:val="-3"/>
                <w:w w:val="110"/>
                <w:sz w:val="22"/>
              </w:rPr>
              <w:t>Memorandum with Presbyterian </w:t>
            </w:r>
            <w:r>
              <w:rPr>
                <w:spacing w:val="-4"/>
                <w:w w:val="110"/>
                <w:sz w:val="22"/>
              </w:rPr>
              <w:t>Church</w:t>
            </w:r>
            <w:r>
              <w:rPr>
                <w:spacing w:val="-8"/>
                <w:w w:val="110"/>
                <w:sz w:val="22"/>
              </w:rPr>
              <w:t> </w:t>
            </w:r>
            <w:r>
              <w:rPr>
                <w:w w:val="110"/>
                <w:sz w:val="22"/>
              </w:rPr>
              <w:t>in</w:t>
            </w:r>
            <w:r>
              <w:rPr>
                <w:spacing w:val="-5"/>
                <w:w w:val="110"/>
                <w:sz w:val="22"/>
              </w:rPr>
              <w:t> </w:t>
            </w:r>
            <w:r>
              <w:rPr>
                <w:spacing w:val="-4"/>
                <w:w w:val="110"/>
                <w:sz w:val="22"/>
              </w:rPr>
              <w:t>Korea</w:t>
              <w:tab/>
            </w:r>
            <w:r>
              <w:rPr>
                <w:rFonts w:ascii="Stone Sans II ITC Std Sm"/>
                <w:b/>
                <w:spacing w:val="-9"/>
                <w:w w:val="110"/>
                <w:sz w:val="20"/>
              </w:rPr>
              <w:t>35</w:t>
            </w:r>
          </w:p>
        </w:tc>
      </w:tr>
      <w:tr>
        <w:trPr>
          <w:trHeight w:val="345" w:hRule="atLeast"/>
        </w:trPr>
        <w:tc>
          <w:tcPr>
            <w:tcW w:w="5887" w:type="dxa"/>
            <w:gridSpan w:val="2"/>
            <w:shd w:val="clear" w:color="auto" w:fill="FDF0D4"/>
          </w:tcPr>
          <w:p>
            <w:pPr>
              <w:pStyle w:val="TableParagraph"/>
              <w:tabs>
                <w:tab w:pos="5724" w:val="right" w:leader="none"/>
              </w:tabs>
              <w:spacing w:before="31"/>
              <w:ind w:left="446"/>
              <w:rPr>
                <w:rFonts w:ascii="Stone Sans II ITC Std Sm"/>
                <w:b/>
                <w:sz w:val="20"/>
              </w:rPr>
            </w:pPr>
            <w:r>
              <w:rPr>
                <w:w w:val="105"/>
                <w:sz w:val="22"/>
              </w:rPr>
              <w:t>URCIC </w:t>
            </w:r>
            <w:r>
              <w:rPr>
                <w:spacing w:val="-4"/>
                <w:w w:val="105"/>
                <w:sz w:val="22"/>
              </w:rPr>
              <w:t>Terms</w:t>
            </w:r>
            <w:r>
              <w:rPr>
                <w:spacing w:val="12"/>
                <w:w w:val="105"/>
                <w:sz w:val="22"/>
              </w:rPr>
              <w:t> </w:t>
            </w:r>
            <w:r>
              <w:rPr>
                <w:w w:val="105"/>
                <w:sz w:val="22"/>
              </w:rPr>
              <w:t>of</w:t>
            </w:r>
            <w:r>
              <w:rPr>
                <w:spacing w:val="7"/>
                <w:w w:val="105"/>
                <w:sz w:val="22"/>
              </w:rPr>
              <w:t> </w:t>
            </w:r>
            <w:r>
              <w:rPr>
                <w:w w:val="105"/>
                <w:sz w:val="22"/>
              </w:rPr>
              <w:t>Reference</w:t>
              <w:tab/>
            </w:r>
            <w:r>
              <w:rPr>
                <w:rFonts w:ascii="Stone Sans II ITC Std Sm"/>
                <w:b/>
                <w:w w:val="105"/>
                <w:sz w:val="20"/>
              </w:rPr>
              <w:t>38</w:t>
            </w:r>
          </w:p>
        </w:tc>
      </w:tr>
      <w:tr>
        <w:trPr>
          <w:trHeight w:val="333" w:hRule="atLeast"/>
        </w:trPr>
        <w:tc>
          <w:tcPr>
            <w:tcW w:w="5887" w:type="dxa"/>
            <w:gridSpan w:val="2"/>
            <w:shd w:val="clear" w:color="auto" w:fill="FDF0D4"/>
          </w:tcPr>
          <w:p>
            <w:pPr>
              <w:pStyle w:val="TableParagraph"/>
              <w:tabs>
                <w:tab w:pos="5726" w:val="right" w:leader="none"/>
              </w:tabs>
              <w:spacing w:before="29"/>
              <w:ind w:left="106"/>
              <w:rPr>
                <w:rFonts w:ascii="Stone Sans II ITC Std Sm" w:hAnsi="Stone Sans II ITC Std Sm"/>
                <w:b/>
                <w:sz w:val="20"/>
              </w:rPr>
            </w:pPr>
            <w:r>
              <w:rPr>
                <w:rFonts w:ascii="Stone Sans II ITC Std Sm" w:hAnsi="Stone Sans II ITC Std Sm"/>
                <w:b/>
                <w:w w:val="110"/>
                <w:sz w:val="20"/>
              </w:rPr>
              <w:t>Synod</w:t>
            </w:r>
            <w:r>
              <w:rPr>
                <w:rFonts w:ascii="Stone Sans II ITC Std Sm" w:hAnsi="Stone Sans II ITC Std Sm"/>
                <w:b/>
                <w:spacing w:val="-1"/>
                <w:w w:val="110"/>
                <w:sz w:val="20"/>
              </w:rPr>
              <w:t> </w:t>
            </w:r>
            <w:r>
              <w:rPr>
                <w:rFonts w:ascii="Stone Sans II ITC Std Sm" w:hAnsi="Stone Sans II ITC Std Sm"/>
                <w:b/>
                <w:w w:val="110"/>
                <w:sz w:val="20"/>
              </w:rPr>
              <w:t>moderators’ report</w:t>
              <w:tab/>
            </w:r>
            <w:r>
              <w:rPr>
                <w:rFonts w:ascii="Stone Sans II ITC Std Sm" w:hAnsi="Stone Sans II ITC Std Sm"/>
                <w:b/>
                <w:spacing w:val="-7"/>
                <w:w w:val="110"/>
                <w:sz w:val="20"/>
              </w:rPr>
              <w:t>41</w:t>
            </w:r>
          </w:p>
        </w:tc>
      </w:tr>
      <w:tr>
        <w:trPr>
          <w:trHeight w:val="430" w:hRule="atLeast"/>
        </w:trPr>
        <w:tc>
          <w:tcPr>
            <w:tcW w:w="5887" w:type="dxa"/>
            <w:gridSpan w:val="2"/>
            <w:tcBorders>
              <w:bottom w:val="single" w:sz="48" w:space="0" w:color="FFFFFF"/>
            </w:tcBorders>
            <w:shd w:val="clear" w:color="auto" w:fill="FDF0D4"/>
          </w:tcPr>
          <w:p>
            <w:pPr>
              <w:pStyle w:val="TableParagraph"/>
              <w:tabs>
                <w:tab w:pos="5726" w:val="right" w:leader="none"/>
              </w:tabs>
              <w:spacing w:before="31"/>
              <w:ind w:left="106"/>
              <w:rPr>
                <w:rFonts w:ascii="Stone Sans II ITC Std Sm"/>
                <w:b/>
                <w:sz w:val="20"/>
              </w:rPr>
            </w:pPr>
            <w:r>
              <w:rPr>
                <w:rFonts w:ascii="Stone Sans II ITC Std Sm"/>
                <w:b/>
                <w:w w:val="110"/>
                <w:sz w:val="20"/>
              </w:rPr>
              <w:t>Church</w:t>
            </w:r>
            <w:r>
              <w:rPr>
                <w:rFonts w:ascii="Stone Sans II ITC Std Sm"/>
                <w:b/>
                <w:spacing w:val="-1"/>
                <w:w w:val="110"/>
                <w:sz w:val="20"/>
              </w:rPr>
              <w:t> </w:t>
            </w:r>
            <w:r>
              <w:rPr>
                <w:rFonts w:ascii="Stone Sans II ITC Std Sm"/>
                <w:b/>
                <w:w w:val="110"/>
                <w:sz w:val="20"/>
              </w:rPr>
              <w:t>changes</w:t>
              <w:tab/>
            </w:r>
            <w:r>
              <w:rPr>
                <w:rFonts w:ascii="Stone Sans II ITC Std Sm"/>
                <w:b/>
                <w:spacing w:val="-7"/>
                <w:w w:val="110"/>
                <w:sz w:val="20"/>
              </w:rPr>
              <w:t>47</w:t>
            </w:r>
          </w:p>
        </w:tc>
      </w:tr>
      <w:tr>
        <w:trPr>
          <w:trHeight w:val="460" w:hRule="atLeast"/>
        </w:trPr>
        <w:tc>
          <w:tcPr>
            <w:tcW w:w="4852" w:type="dxa"/>
            <w:tcBorders>
              <w:top w:val="single" w:sz="48" w:space="0" w:color="FFFFFF"/>
            </w:tcBorders>
            <w:shd w:val="clear" w:color="auto" w:fill="D4E9F7"/>
          </w:tcPr>
          <w:p>
            <w:pPr>
              <w:pStyle w:val="TableParagraph"/>
              <w:spacing w:before="154"/>
              <w:ind w:left="106"/>
              <w:rPr>
                <w:rFonts w:ascii="Stone Sans II ITC Std X Bd"/>
                <w:b/>
                <w:sz w:val="20"/>
              </w:rPr>
            </w:pPr>
            <w:r>
              <w:rPr>
                <w:rFonts w:ascii="Stone Sans II ITC Std X Bd"/>
                <w:b/>
                <w:w w:val="110"/>
                <w:sz w:val="20"/>
              </w:rPr>
              <w:t>Committee papers index</w:t>
            </w:r>
          </w:p>
        </w:tc>
        <w:tc>
          <w:tcPr>
            <w:tcW w:w="1035" w:type="dxa"/>
            <w:tcBorders>
              <w:top w:val="single" w:sz="48" w:space="0" w:color="FFFFFF"/>
            </w:tcBorders>
            <w:shd w:val="clear" w:color="auto" w:fill="D4E9F7"/>
          </w:tcPr>
          <w:p>
            <w:pPr>
              <w:pStyle w:val="TableParagraph"/>
              <w:spacing w:before="154"/>
              <w:ind w:left="0" w:right="158"/>
              <w:jc w:val="right"/>
              <w:rPr>
                <w:rFonts w:ascii="Stone Sans II ITC Std X Bd"/>
                <w:b/>
                <w:sz w:val="20"/>
              </w:rPr>
            </w:pPr>
            <w:r>
              <w:rPr>
                <w:rFonts w:ascii="Stone Sans II ITC Std X Bd"/>
                <w:b/>
                <w:w w:val="110"/>
                <w:sz w:val="20"/>
              </w:rPr>
              <w:t>49</w:t>
            </w:r>
          </w:p>
        </w:tc>
      </w:tr>
      <w:tr>
        <w:trPr>
          <w:trHeight w:val="335" w:hRule="atLeast"/>
        </w:trPr>
        <w:tc>
          <w:tcPr>
            <w:tcW w:w="4852" w:type="dxa"/>
            <w:shd w:val="clear" w:color="auto" w:fill="D4E9F7"/>
          </w:tcPr>
          <w:p>
            <w:pPr>
              <w:pStyle w:val="TableParagraph"/>
              <w:spacing w:before="31"/>
              <w:ind w:left="106"/>
              <w:rPr>
                <w:rFonts w:ascii="Stone Sans II ITC Std Sm"/>
                <w:b/>
                <w:sz w:val="20"/>
              </w:rPr>
            </w:pPr>
            <w:r>
              <w:rPr>
                <w:rFonts w:ascii="Stone Sans II ITC Std Sm"/>
                <w:b/>
                <w:w w:val="110"/>
                <w:sz w:val="20"/>
              </w:rPr>
              <w:t>Assembly arrangements</w:t>
            </w:r>
          </w:p>
        </w:tc>
        <w:tc>
          <w:tcPr>
            <w:tcW w:w="1035" w:type="dxa"/>
            <w:shd w:val="clear" w:color="auto" w:fill="D4E9F7"/>
          </w:tcPr>
          <w:p>
            <w:pPr>
              <w:pStyle w:val="TableParagraph"/>
              <w:spacing w:before="31"/>
              <w:ind w:left="0" w:right="158"/>
              <w:jc w:val="right"/>
              <w:rPr>
                <w:rFonts w:ascii="Stone Sans II ITC Std Sm"/>
                <w:b/>
                <w:sz w:val="20"/>
              </w:rPr>
            </w:pPr>
            <w:r>
              <w:rPr>
                <w:rFonts w:ascii="Stone Sans II ITC Std Sm"/>
                <w:b/>
                <w:w w:val="110"/>
                <w:sz w:val="20"/>
              </w:rPr>
              <w:t>50</w:t>
            </w:r>
          </w:p>
        </w:tc>
      </w:tr>
      <w:tr>
        <w:trPr>
          <w:trHeight w:val="336" w:hRule="atLeast"/>
        </w:trPr>
        <w:tc>
          <w:tcPr>
            <w:tcW w:w="4852" w:type="dxa"/>
            <w:shd w:val="clear" w:color="auto" w:fill="D4E9F7"/>
          </w:tcPr>
          <w:p>
            <w:pPr>
              <w:pStyle w:val="TableParagraph"/>
              <w:spacing w:before="31"/>
              <w:ind w:left="106"/>
              <w:rPr>
                <w:rFonts w:ascii="Stone Sans II ITC Std Sm" w:hAnsi="Stone Sans II ITC Std Sm"/>
                <w:b/>
                <w:sz w:val="20"/>
              </w:rPr>
            </w:pPr>
            <w:r>
              <w:rPr>
                <w:rFonts w:ascii="Stone Sans II ITC Std Sm" w:hAnsi="Stone Sans II ITC Std Sm"/>
                <w:b/>
                <w:w w:val="110"/>
                <w:sz w:val="20"/>
              </w:rPr>
              <w:t>Children’s and youth work</w:t>
            </w:r>
          </w:p>
        </w:tc>
        <w:tc>
          <w:tcPr>
            <w:tcW w:w="1035" w:type="dxa"/>
            <w:shd w:val="clear" w:color="auto" w:fill="D4E9F7"/>
          </w:tcPr>
          <w:p>
            <w:pPr>
              <w:pStyle w:val="TableParagraph"/>
              <w:spacing w:before="31"/>
              <w:ind w:left="0" w:right="158"/>
              <w:jc w:val="right"/>
              <w:rPr>
                <w:rFonts w:ascii="Stone Sans II ITC Std Sm"/>
                <w:b/>
                <w:sz w:val="20"/>
              </w:rPr>
            </w:pPr>
            <w:r>
              <w:rPr>
                <w:rFonts w:ascii="Stone Sans II ITC Std Sm"/>
                <w:b/>
                <w:w w:val="110"/>
                <w:sz w:val="20"/>
              </w:rPr>
              <w:t>54</w:t>
            </w:r>
          </w:p>
        </w:tc>
      </w:tr>
      <w:tr>
        <w:trPr>
          <w:trHeight w:val="336" w:hRule="atLeast"/>
        </w:trPr>
        <w:tc>
          <w:tcPr>
            <w:tcW w:w="4852" w:type="dxa"/>
            <w:shd w:val="clear" w:color="auto" w:fill="D4E9F7"/>
          </w:tcPr>
          <w:p>
            <w:pPr>
              <w:pStyle w:val="TableParagraph"/>
              <w:spacing w:before="31"/>
              <w:ind w:left="106"/>
              <w:rPr>
                <w:rFonts w:ascii="Stone Sans II ITC Std Sm"/>
                <w:b/>
                <w:sz w:val="20"/>
              </w:rPr>
            </w:pPr>
            <w:r>
              <w:rPr>
                <w:rFonts w:ascii="Stone Sans II ITC Std Sm"/>
                <w:b/>
                <w:w w:val="110"/>
                <w:sz w:val="20"/>
              </w:rPr>
              <w:t>Communications and editorial</w:t>
            </w:r>
          </w:p>
        </w:tc>
        <w:tc>
          <w:tcPr>
            <w:tcW w:w="1035" w:type="dxa"/>
            <w:shd w:val="clear" w:color="auto" w:fill="D4E9F7"/>
          </w:tcPr>
          <w:p>
            <w:pPr>
              <w:pStyle w:val="TableParagraph"/>
              <w:spacing w:before="31"/>
              <w:ind w:left="0" w:right="158"/>
              <w:jc w:val="right"/>
              <w:rPr>
                <w:rFonts w:ascii="Stone Sans II ITC Std Sm"/>
                <w:b/>
                <w:sz w:val="20"/>
              </w:rPr>
            </w:pPr>
            <w:r>
              <w:rPr>
                <w:rFonts w:ascii="Stone Sans II ITC Std Sm"/>
                <w:b/>
                <w:w w:val="110"/>
                <w:sz w:val="20"/>
              </w:rPr>
              <w:t>60</w:t>
            </w:r>
          </w:p>
        </w:tc>
      </w:tr>
      <w:tr>
        <w:trPr>
          <w:trHeight w:val="336" w:hRule="atLeast"/>
        </w:trPr>
        <w:tc>
          <w:tcPr>
            <w:tcW w:w="4852" w:type="dxa"/>
            <w:shd w:val="clear" w:color="auto" w:fill="D4E9F7"/>
          </w:tcPr>
          <w:p>
            <w:pPr>
              <w:pStyle w:val="TableParagraph"/>
              <w:spacing w:before="31"/>
              <w:ind w:left="106"/>
              <w:rPr>
                <w:rFonts w:ascii="Stone Sans II ITC Std Sm"/>
                <w:b/>
                <w:sz w:val="20"/>
              </w:rPr>
            </w:pPr>
            <w:r>
              <w:rPr>
                <w:rFonts w:ascii="Stone Sans II ITC Std Sm"/>
                <w:b/>
                <w:w w:val="110"/>
                <w:sz w:val="20"/>
              </w:rPr>
              <w:t>Education and learning</w:t>
            </w:r>
          </w:p>
        </w:tc>
        <w:tc>
          <w:tcPr>
            <w:tcW w:w="1035" w:type="dxa"/>
            <w:shd w:val="clear" w:color="auto" w:fill="D4E9F7"/>
          </w:tcPr>
          <w:p>
            <w:pPr>
              <w:pStyle w:val="TableParagraph"/>
              <w:spacing w:before="31"/>
              <w:ind w:left="0" w:right="158"/>
              <w:jc w:val="right"/>
              <w:rPr>
                <w:rFonts w:ascii="Stone Sans II ITC Std Sm"/>
                <w:b/>
                <w:sz w:val="20"/>
              </w:rPr>
            </w:pPr>
            <w:r>
              <w:rPr>
                <w:rFonts w:ascii="Stone Sans II ITC Std Sm"/>
                <w:b/>
                <w:w w:val="110"/>
                <w:sz w:val="20"/>
              </w:rPr>
              <w:t>66</w:t>
            </w:r>
          </w:p>
        </w:tc>
      </w:tr>
      <w:tr>
        <w:trPr>
          <w:trHeight w:val="336" w:hRule="atLeast"/>
        </w:trPr>
        <w:tc>
          <w:tcPr>
            <w:tcW w:w="4852" w:type="dxa"/>
            <w:shd w:val="clear" w:color="auto" w:fill="D4E9F7"/>
          </w:tcPr>
          <w:p>
            <w:pPr>
              <w:pStyle w:val="TableParagraph"/>
              <w:spacing w:before="31"/>
              <w:ind w:left="106"/>
              <w:rPr>
                <w:rFonts w:ascii="Stone Sans II ITC Std Sm"/>
                <w:b/>
                <w:sz w:val="20"/>
              </w:rPr>
            </w:pPr>
            <w:r>
              <w:rPr>
                <w:rFonts w:ascii="Stone Sans II ITC Std Sm"/>
                <w:b/>
                <w:w w:val="110"/>
                <w:sz w:val="20"/>
              </w:rPr>
              <w:t>Equalities</w:t>
            </w:r>
          </w:p>
        </w:tc>
        <w:tc>
          <w:tcPr>
            <w:tcW w:w="1035" w:type="dxa"/>
            <w:shd w:val="clear" w:color="auto" w:fill="D4E9F7"/>
          </w:tcPr>
          <w:p>
            <w:pPr>
              <w:pStyle w:val="TableParagraph"/>
              <w:spacing w:before="31"/>
              <w:ind w:left="0" w:right="158"/>
              <w:jc w:val="right"/>
              <w:rPr>
                <w:rFonts w:ascii="Stone Sans II ITC Std Sm"/>
                <w:b/>
                <w:sz w:val="20"/>
              </w:rPr>
            </w:pPr>
            <w:r>
              <w:rPr>
                <w:rFonts w:ascii="Stone Sans II ITC Std Sm"/>
                <w:b/>
                <w:w w:val="110"/>
                <w:sz w:val="20"/>
              </w:rPr>
              <w:t>83</w:t>
            </w:r>
          </w:p>
        </w:tc>
      </w:tr>
      <w:tr>
        <w:trPr>
          <w:trHeight w:val="336" w:hRule="atLeast"/>
        </w:trPr>
        <w:tc>
          <w:tcPr>
            <w:tcW w:w="4852" w:type="dxa"/>
            <w:shd w:val="clear" w:color="auto" w:fill="D4E9F7"/>
          </w:tcPr>
          <w:p>
            <w:pPr>
              <w:pStyle w:val="TableParagraph"/>
              <w:spacing w:before="31"/>
              <w:ind w:left="106"/>
              <w:rPr>
                <w:rFonts w:ascii="Stone Sans II ITC Std Sm"/>
                <w:b/>
                <w:sz w:val="20"/>
              </w:rPr>
            </w:pPr>
            <w:r>
              <w:rPr>
                <w:rFonts w:ascii="Stone Sans II ITC Std Sm"/>
                <w:b/>
                <w:w w:val="110"/>
                <w:sz w:val="20"/>
              </w:rPr>
              <w:t>Faith and order</w:t>
            </w:r>
          </w:p>
        </w:tc>
        <w:tc>
          <w:tcPr>
            <w:tcW w:w="1035" w:type="dxa"/>
            <w:shd w:val="clear" w:color="auto" w:fill="D4E9F7"/>
          </w:tcPr>
          <w:p>
            <w:pPr>
              <w:pStyle w:val="TableParagraph"/>
              <w:spacing w:before="31"/>
              <w:ind w:left="0" w:right="158"/>
              <w:jc w:val="right"/>
              <w:rPr>
                <w:rFonts w:ascii="Stone Sans II ITC Std Sm"/>
                <w:b/>
                <w:sz w:val="20"/>
              </w:rPr>
            </w:pPr>
            <w:r>
              <w:rPr>
                <w:rFonts w:ascii="Stone Sans II ITC Std Sm"/>
                <w:b/>
                <w:w w:val="110"/>
                <w:sz w:val="20"/>
              </w:rPr>
              <w:t>86</w:t>
            </w:r>
          </w:p>
        </w:tc>
      </w:tr>
      <w:tr>
        <w:trPr>
          <w:trHeight w:val="336" w:hRule="atLeast"/>
        </w:trPr>
        <w:tc>
          <w:tcPr>
            <w:tcW w:w="4852" w:type="dxa"/>
            <w:shd w:val="clear" w:color="auto" w:fill="D4E9F7"/>
          </w:tcPr>
          <w:p>
            <w:pPr>
              <w:pStyle w:val="TableParagraph"/>
              <w:spacing w:before="31"/>
              <w:ind w:left="106"/>
              <w:rPr>
                <w:rFonts w:ascii="Stone Sans II ITC Std Sm"/>
                <w:b/>
                <w:sz w:val="20"/>
              </w:rPr>
            </w:pPr>
            <w:r>
              <w:rPr>
                <w:rFonts w:ascii="Stone Sans II ITC Std Sm"/>
                <w:b/>
                <w:w w:val="110"/>
                <w:sz w:val="20"/>
              </w:rPr>
              <w:t>Finance</w:t>
            </w:r>
          </w:p>
        </w:tc>
        <w:tc>
          <w:tcPr>
            <w:tcW w:w="1035" w:type="dxa"/>
            <w:shd w:val="clear" w:color="auto" w:fill="D4E9F7"/>
          </w:tcPr>
          <w:p>
            <w:pPr>
              <w:pStyle w:val="TableParagraph"/>
              <w:spacing w:before="31"/>
              <w:ind w:left="0" w:right="158"/>
              <w:jc w:val="right"/>
              <w:rPr>
                <w:rFonts w:ascii="Stone Sans II ITC Std Sm"/>
                <w:b/>
                <w:sz w:val="20"/>
              </w:rPr>
            </w:pPr>
            <w:r>
              <w:rPr>
                <w:rFonts w:ascii="Stone Sans II ITC Std Sm"/>
                <w:b/>
                <w:w w:val="110"/>
                <w:sz w:val="20"/>
              </w:rPr>
              <w:t>135</w:t>
            </w:r>
          </w:p>
        </w:tc>
      </w:tr>
      <w:tr>
        <w:trPr>
          <w:trHeight w:val="336" w:hRule="atLeast"/>
        </w:trPr>
        <w:tc>
          <w:tcPr>
            <w:tcW w:w="4852" w:type="dxa"/>
            <w:shd w:val="clear" w:color="auto" w:fill="D4E9F7"/>
          </w:tcPr>
          <w:p>
            <w:pPr>
              <w:pStyle w:val="TableParagraph"/>
              <w:spacing w:before="31"/>
              <w:ind w:left="106"/>
              <w:rPr>
                <w:rFonts w:ascii="Stone Sans II ITC Std Sm"/>
                <w:b/>
                <w:sz w:val="20"/>
              </w:rPr>
            </w:pPr>
            <w:r>
              <w:rPr>
                <w:rFonts w:ascii="Stone Sans II ITC Std Sm"/>
                <w:b/>
                <w:w w:val="110"/>
                <w:sz w:val="20"/>
              </w:rPr>
              <w:t>Ministries</w:t>
            </w:r>
          </w:p>
        </w:tc>
        <w:tc>
          <w:tcPr>
            <w:tcW w:w="1035" w:type="dxa"/>
            <w:shd w:val="clear" w:color="auto" w:fill="D4E9F7"/>
          </w:tcPr>
          <w:p>
            <w:pPr>
              <w:pStyle w:val="TableParagraph"/>
              <w:spacing w:before="31"/>
              <w:ind w:left="0" w:right="158"/>
              <w:jc w:val="right"/>
              <w:rPr>
                <w:rFonts w:ascii="Stone Sans II ITC Std Sm"/>
                <w:b/>
                <w:sz w:val="20"/>
              </w:rPr>
            </w:pPr>
            <w:r>
              <w:rPr>
                <w:rFonts w:ascii="Stone Sans II ITC Std Sm"/>
                <w:b/>
                <w:w w:val="110"/>
                <w:sz w:val="20"/>
              </w:rPr>
              <w:t>142</w:t>
            </w:r>
          </w:p>
        </w:tc>
      </w:tr>
      <w:tr>
        <w:trPr>
          <w:trHeight w:val="336" w:hRule="atLeast"/>
        </w:trPr>
        <w:tc>
          <w:tcPr>
            <w:tcW w:w="4852" w:type="dxa"/>
            <w:shd w:val="clear" w:color="auto" w:fill="D4E9F7"/>
          </w:tcPr>
          <w:p>
            <w:pPr>
              <w:pStyle w:val="TableParagraph"/>
              <w:spacing w:before="31"/>
              <w:ind w:left="106"/>
              <w:rPr>
                <w:rFonts w:ascii="Stone Sans II ITC Std Sm"/>
                <w:b/>
                <w:sz w:val="20"/>
              </w:rPr>
            </w:pPr>
            <w:r>
              <w:rPr>
                <w:rFonts w:ascii="Stone Sans II ITC Std Sm"/>
                <w:b/>
                <w:w w:val="110"/>
                <w:sz w:val="20"/>
              </w:rPr>
              <w:t>Mission</w:t>
            </w:r>
          </w:p>
        </w:tc>
        <w:tc>
          <w:tcPr>
            <w:tcW w:w="1035" w:type="dxa"/>
            <w:shd w:val="clear" w:color="auto" w:fill="D4E9F7"/>
          </w:tcPr>
          <w:p>
            <w:pPr>
              <w:pStyle w:val="TableParagraph"/>
              <w:spacing w:before="31"/>
              <w:ind w:left="0" w:right="158"/>
              <w:jc w:val="right"/>
              <w:rPr>
                <w:rFonts w:ascii="Stone Sans II ITC Std Sm"/>
                <w:b/>
                <w:sz w:val="20"/>
              </w:rPr>
            </w:pPr>
            <w:r>
              <w:rPr>
                <w:rFonts w:ascii="Stone Sans II ITC Std Sm"/>
                <w:b/>
                <w:w w:val="110"/>
                <w:sz w:val="20"/>
              </w:rPr>
              <w:t>167</w:t>
            </w:r>
          </w:p>
        </w:tc>
      </w:tr>
      <w:tr>
        <w:trPr>
          <w:trHeight w:val="336" w:hRule="atLeast"/>
        </w:trPr>
        <w:tc>
          <w:tcPr>
            <w:tcW w:w="4852" w:type="dxa"/>
            <w:shd w:val="clear" w:color="auto" w:fill="D4E9F7"/>
          </w:tcPr>
          <w:p>
            <w:pPr>
              <w:pStyle w:val="TableParagraph"/>
              <w:spacing w:before="31"/>
              <w:ind w:left="106"/>
              <w:rPr>
                <w:rFonts w:ascii="Stone Sans II ITC Std Sm"/>
                <w:b/>
                <w:sz w:val="20"/>
              </w:rPr>
            </w:pPr>
            <w:r>
              <w:rPr>
                <w:rFonts w:ascii="Stone Sans II ITC Std Sm"/>
                <w:b/>
                <w:w w:val="110"/>
                <w:sz w:val="20"/>
              </w:rPr>
              <w:t>Nominations</w:t>
            </w:r>
          </w:p>
        </w:tc>
        <w:tc>
          <w:tcPr>
            <w:tcW w:w="1035" w:type="dxa"/>
            <w:shd w:val="clear" w:color="auto" w:fill="D4E9F7"/>
          </w:tcPr>
          <w:p>
            <w:pPr>
              <w:pStyle w:val="TableParagraph"/>
              <w:spacing w:before="31"/>
              <w:ind w:left="0" w:right="158"/>
              <w:jc w:val="right"/>
              <w:rPr>
                <w:rFonts w:ascii="Stone Sans II ITC Std Sm"/>
                <w:b/>
                <w:sz w:val="20"/>
              </w:rPr>
            </w:pPr>
            <w:r>
              <w:rPr>
                <w:rFonts w:ascii="Stone Sans II ITC Std Sm"/>
                <w:b/>
                <w:w w:val="110"/>
                <w:sz w:val="20"/>
              </w:rPr>
              <w:t>199</w:t>
            </w:r>
          </w:p>
        </w:tc>
      </w:tr>
      <w:tr>
        <w:trPr>
          <w:trHeight w:val="336" w:hRule="atLeast"/>
        </w:trPr>
        <w:tc>
          <w:tcPr>
            <w:tcW w:w="4852" w:type="dxa"/>
            <w:shd w:val="clear" w:color="auto" w:fill="D4E9F7"/>
          </w:tcPr>
          <w:p>
            <w:pPr>
              <w:pStyle w:val="TableParagraph"/>
              <w:spacing w:before="31"/>
              <w:ind w:left="106"/>
              <w:rPr>
                <w:rFonts w:ascii="Stone Sans II ITC Std Sm"/>
                <w:b/>
                <w:sz w:val="20"/>
              </w:rPr>
            </w:pPr>
            <w:r>
              <w:rPr>
                <w:rFonts w:ascii="Stone Sans II ITC Std Sm"/>
                <w:b/>
                <w:w w:val="110"/>
                <w:sz w:val="20"/>
              </w:rPr>
              <w:t>Pastoral reference and welfare</w:t>
            </w:r>
          </w:p>
        </w:tc>
        <w:tc>
          <w:tcPr>
            <w:tcW w:w="1035" w:type="dxa"/>
            <w:shd w:val="clear" w:color="auto" w:fill="D4E9F7"/>
          </w:tcPr>
          <w:p>
            <w:pPr>
              <w:pStyle w:val="TableParagraph"/>
              <w:spacing w:before="31"/>
              <w:ind w:left="0" w:right="158"/>
              <w:jc w:val="right"/>
              <w:rPr>
                <w:rFonts w:ascii="Stone Sans II ITC Std Sm"/>
                <w:b/>
                <w:sz w:val="20"/>
              </w:rPr>
            </w:pPr>
            <w:r>
              <w:rPr>
                <w:rFonts w:ascii="Stone Sans II ITC Std Sm"/>
                <w:b/>
                <w:w w:val="110"/>
                <w:sz w:val="20"/>
              </w:rPr>
              <w:t>215</w:t>
            </w:r>
          </w:p>
        </w:tc>
      </w:tr>
      <w:tr>
        <w:trPr>
          <w:trHeight w:val="336" w:hRule="atLeast"/>
        </w:trPr>
        <w:tc>
          <w:tcPr>
            <w:tcW w:w="4852" w:type="dxa"/>
            <w:shd w:val="clear" w:color="auto" w:fill="D4E9F7"/>
          </w:tcPr>
          <w:p>
            <w:pPr>
              <w:pStyle w:val="TableParagraph"/>
              <w:spacing w:before="31"/>
              <w:ind w:left="106"/>
              <w:rPr>
                <w:rFonts w:ascii="Stone Sans II ITC Std Sm"/>
                <w:b/>
                <w:sz w:val="20"/>
              </w:rPr>
            </w:pPr>
            <w:r>
              <w:rPr>
                <w:rFonts w:ascii="Stone Sans II ITC Std Sm"/>
                <w:b/>
                <w:w w:val="110"/>
                <w:sz w:val="20"/>
              </w:rPr>
              <w:t>Eastern, Thames North and Wessex Synod</w:t>
            </w:r>
          </w:p>
        </w:tc>
        <w:tc>
          <w:tcPr>
            <w:tcW w:w="1035" w:type="dxa"/>
            <w:shd w:val="clear" w:color="auto" w:fill="D4E9F7"/>
          </w:tcPr>
          <w:p>
            <w:pPr>
              <w:pStyle w:val="TableParagraph"/>
              <w:spacing w:before="31"/>
              <w:ind w:left="0" w:right="158"/>
              <w:jc w:val="right"/>
              <w:rPr>
                <w:rFonts w:ascii="Stone Sans II ITC Std Sm"/>
                <w:b/>
                <w:sz w:val="20"/>
              </w:rPr>
            </w:pPr>
            <w:r>
              <w:rPr>
                <w:rFonts w:ascii="Stone Sans II ITC Std Sm"/>
                <w:b/>
                <w:w w:val="110"/>
                <w:sz w:val="20"/>
              </w:rPr>
              <w:t>218</w:t>
            </w:r>
          </w:p>
        </w:tc>
      </w:tr>
      <w:tr>
        <w:trPr>
          <w:trHeight w:val="461" w:hRule="atLeast"/>
        </w:trPr>
        <w:tc>
          <w:tcPr>
            <w:tcW w:w="4852" w:type="dxa"/>
            <w:tcBorders>
              <w:bottom w:val="single" w:sz="48" w:space="0" w:color="FFFFFF"/>
            </w:tcBorders>
            <w:shd w:val="clear" w:color="auto" w:fill="D4E9F7"/>
          </w:tcPr>
          <w:p>
            <w:pPr>
              <w:pStyle w:val="TableParagraph"/>
              <w:spacing w:before="31"/>
              <w:ind w:left="106"/>
              <w:rPr>
                <w:rFonts w:ascii="Stone Sans II ITC Std Sm"/>
                <w:b/>
                <w:sz w:val="20"/>
              </w:rPr>
            </w:pPr>
            <w:r>
              <w:rPr>
                <w:rFonts w:ascii="Stone Sans II ITC Std Sm"/>
                <w:b/>
                <w:w w:val="110"/>
                <w:sz w:val="20"/>
              </w:rPr>
              <w:t>Southern Synod</w:t>
            </w:r>
          </w:p>
        </w:tc>
        <w:tc>
          <w:tcPr>
            <w:tcW w:w="1035" w:type="dxa"/>
            <w:tcBorders>
              <w:bottom w:val="single" w:sz="48" w:space="0" w:color="FFFFFF"/>
            </w:tcBorders>
            <w:shd w:val="clear" w:color="auto" w:fill="D4E9F7"/>
          </w:tcPr>
          <w:p>
            <w:pPr>
              <w:pStyle w:val="TableParagraph"/>
              <w:spacing w:before="31"/>
              <w:ind w:left="0" w:right="158"/>
              <w:jc w:val="right"/>
              <w:rPr>
                <w:rFonts w:ascii="Stone Sans II ITC Std Sm"/>
                <w:b/>
                <w:sz w:val="20"/>
              </w:rPr>
            </w:pPr>
            <w:r>
              <w:rPr>
                <w:rFonts w:ascii="Stone Sans II ITC Std Sm"/>
                <w:b/>
                <w:w w:val="110"/>
                <w:sz w:val="20"/>
              </w:rPr>
              <w:t>222</w:t>
            </w:r>
          </w:p>
        </w:tc>
      </w:tr>
      <w:tr>
        <w:trPr>
          <w:trHeight w:val="509" w:hRule="atLeast"/>
        </w:trPr>
        <w:tc>
          <w:tcPr>
            <w:tcW w:w="4852" w:type="dxa"/>
            <w:tcBorders>
              <w:top w:val="single" w:sz="48" w:space="0" w:color="FFFFFF"/>
            </w:tcBorders>
            <w:shd w:val="clear" w:color="auto" w:fill="E2EED8"/>
          </w:tcPr>
          <w:p>
            <w:pPr>
              <w:pStyle w:val="TableParagraph"/>
              <w:spacing w:before="203"/>
              <w:ind w:left="106"/>
              <w:rPr>
                <w:rFonts w:ascii="Stone Sans II ITC Std X Bd"/>
                <w:b/>
                <w:sz w:val="20"/>
              </w:rPr>
            </w:pPr>
            <w:r>
              <w:rPr>
                <w:rFonts w:ascii="Stone Sans II ITC Std X Bd"/>
                <w:b/>
                <w:w w:val="110"/>
                <w:sz w:val="20"/>
              </w:rPr>
              <w:t>Information papers index</w:t>
            </w:r>
          </w:p>
        </w:tc>
        <w:tc>
          <w:tcPr>
            <w:tcW w:w="1035" w:type="dxa"/>
            <w:tcBorders>
              <w:top w:val="single" w:sz="48" w:space="0" w:color="FFFFFF"/>
            </w:tcBorders>
            <w:shd w:val="clear" w:color="auto" w:fill="E2EED8"/>
          </w:tcPr>
          <w:p>
            <w:pPr>
              <w:pStyle w:val="TableParagraph"/>
              <w:spacing w:before="203"/>
              <w:ind w:left="0" w:right="158"/>
              <w:jc w:val="right"/>
              <w:rPr>
                <w:rFonts w:ascii="Stone Sans II ITC Std X Bd"/>
                <w:b/>
                <w:sz w:val="20"/>
              </w:rPr>
            </w:pPr>
            <w:r>
              <w:rPr>
                <w:rFonts w:ascii="Stone Sans II ITC Std X Bd"/>
                <w:b/>
                <w:w w:val="110"/>
                <w:sz w:val="20"/>
              </w:rPr>
              <w:t>225</w:t>
            </w:r>
          </w:p>
        </w:tc>
      </w:tr>
      <w:tr>
        <w:trPr>
          <w:trHeight w:val="335" w:hRule="atLeast"/>
        </w:trPr>
        <w:tc>
          <w:tcPr>
            <w:tcW w:w="4852" w:type="dxa"/>
            <w:shd w:val="clear" w:color="auto" w:fill="E2EED8"/>
          </w:tcPr>
          <w:p>
            <w:pPr>
              <w:pStyle w:val="TableParagraph"/>
              <w:spacing w:before="31"/>
              <w:ind w:left="106"/>
              <w:rPr>
                <w:rFonts w:ascii="Stone Sans II ITC Std Sm"/>
                <w:b/>
                <w:sz w:val="20"/>
              </w:rPr>
            </w:pPr>
            <w:r>
              <w:rPr>
                <w:rFonts w:ascii="Stone Sans II ITC Std Sm"/>
                <w:b/>
                <w:w w:val="110"/>
                <w:sz w:val="20"/>
              </w:rPr>
              <w:t>URC History Society</w:t>
            </w:r>
          </w:p>
        </w:tc>
        <w:tc>
          <w:tcPr>
            <w:tcW w:w="1035" w:type="dxa"/>
            <w:shd w:val="clear" w:color="auto" w:fill="E2EED8"/>
          </w:tcPr>
          <w:p>
            <w:pPr>
              <w:pStyle w:val="TableParagraph"/>
              <w:spacing w:before="31"/>
              <w:ind w:left="0" w:right="161"/>
              <w:jc w:val="right"/>
              <w:rPr>
                <w:rFonts w:ascii="Stone Sans II ITC Std Sm"/>
                <w:b/>
                <w:sz w:val="20"/>
              </w:rPr>
            </w:pPr>
            <w:r>
              <w:rPr>
                <w:rFonts w:ascii="Stone Sans II ITC Std Sm"/>
                <w:b/>
                <w:w w:val="110"/>
                <w:sz w:val="20"/>
              </w:rPr>
              <w:t>226</w:t>
            </w:r>
          </w:p>
        </w:tc>
      </w:tr>
      <w:tr>
        <w:trPr>
          <w:trHeight w:val="336" w:hRule="atLeast"/>
        </w:trPr>
        <w:tc>
          <w:tcPr>
            <w:tcW w:w="4852" w:type="dxa"/>
            <w:shd w:val="clear" w:color="auto" w:fill="E2EED8"/>
          </w:tcPr>
          <w:p>
            <w:pPr>
              <w:pStyle w:val="TableParagraph"/>
              <w:spacing w:before="31"/>
              <w:ind w:left="106"/>
              <w:rPr>
                <w:rFonts w:ascii="Stone Sans II ITC Std Sm"/>
                <w:b/>
                <w:sz w:val="20"/>
              </w:rPr>
            </w:pPr>
            <w:r>
              <w:rPr>
                <w:rFonts w:ascii="Stone Sans II ITC Std Sm"/>
                <w:b/>
                <w:w w:val="110"/>
                <w:sz w:val="20"/>
              </w:rPr>
              <w:t>URC Music</w:t>
            </w:r>
          </w:p>
        </w:tc>
        <w:tc>
          <w:tcPr>
            <w:tcW w:w="1035" w:type="dxa"/>
            <w:shd w:val="clear" w:color="auto" w:fill="E2EED8"/>
          </w:tcPr>
          <w:p>
            <w:pPr>
              <w:pStyle w:val="TableParagraph"/>
              <w:spacing w:before="31"/>
              <w:ind w:left="0" w:right="158"/>
              <w:jc w:val="right"/>
              <w:rPr>
                <w:rFonts w:ascii="Stone Sans II ITC Std Sm"/>
                <w:b/>
                <w:sz w:val="20"/>
              </w:rPr>
            </w:pPr>
            <w:r>
              <w:rPr>
                <w:rFonts w:ascii="Stone Sans II ITC Std Sm"/>
                <w:b/>
                <w:w w:val="110"/>
                <w:sz w:val="20"/>
              </w:rPr>
              <w:t>228</w:t>
            </w:r>
          </w:p>
        </w:tc>
      </w:tr>
      <w:tr>
        <w:trPr>
          <w:trHeight w:val="336" w:hRule="atLeast"/>
        </w:trPr>
        <w:tc>
          <w:tcPr>
            <w:tcW w:w="4852" w:type="dxa"/>
            <w:shd w:val="clear" w:color="auto" w:fill="E2EED8"/>
          </w:tcPr>
          <w:p>
            <w:pPr>
              <w:pStyle w:val="TableParagraph"/>
              <w:spacing w:before="31"/>
              <w:ind w:left="106"/>
              <w:rPr>
                <w:rFonts w:ascii="Stone Sans II ITC Std Sm"/>
                <w:b/>
                <w:sz w:val="20"/>
              </w:rPr>
            </w:pPr>
            <w:r>
              <w:rPr>
                <w:rFonts w:ascii="Stone Sans II ITC Std Sm"/>
                <w:b/>
                <w:w w:val="110"/>
                <w:sz w:val="20"/>
              </w:rPr>
              <w:t>Schools relating to the URC</w:t>
            </w:r>
          </w:p>
        </w:tc>
        <w:tc>
          <w:tcPr>
            <w:tcW w:w="1035" w:type="dxa"/>
            <w:shd w:val="clear" w:color="auto" w:fill="E2EED8"/>
          </w:tcPr>
          <w:p>
            <w:pPr>
              <w:pStyle w:val="TableParagraph"/>
              <w:spacing w:before="31"/>
              <w:ind w:left="0" w:right="158"/>
              <w:jc w:val="right"/>
              <w:rPr>
                <w:rFonts w:ascii="Stone Sans II ITC Std Sm"/>
                <w:b/>
                <w:sz w:val="20"/>
              </w:rPr>
            </w:pPr>
            <w:r>
              <w:rPr>
                <w:rFonts w:ascii="Stone Sans II ITC Std Sm"/>
                <w:b/>
                <w:w w:val="110"/>
                <w:sz w:val="20"/>
              </w:rPr>
              <w:t>229</w:t>
            </w:r>
          </w:p>
        </w:tc>
      </w:tr>
      <w:tr>
        <w:trPr>
          <w:trHeight w:val="336" w:hRule="atLeast"/>
        </w:trPr>
        <w:tc>
          <w:tcPr>
            <w:tcW w:w="4852" w:type="dxa"/>
            <w:shd w:val="clear" w:color="auto" w:fill="E2EED8"/>
          </w:tcPr>
          <w:p>
            <w:pPr>
              <w:pStyle w:val="TableParagraph"/>
              <w:spacing w:before="31"/>
              <w:ind w:left="106"/>
              <w:rPr>
                <w:rFonts w:ascii="Stone Sans II ITC Std Sm" w:hAnsi="Stone Sans II ITC Std Sm"/>
                <w:b/>
                <w:sz w:val="20"/>
              </w:rPr>
            </w:pPr>
            <w:r>
              <w:rPr>
                <w:rFonts w:ascii="Stone Sans II ITC Std Sm" w:hAnsi="Stone Sans II ITC Std Sm"/>
                <w:b/>
                <w:w w:val="110"/>
                <w:sz w:val="20"/>
              </w:rPr>
              <w:t>Women’s world day of prayer</w:t>
            </w:r>
          </w:p>
        </w:tc>
        <w:tc>
          <w:tcPr>
            <w:tcW w:w="1035" w:type="dxa"/>
            <w:shd w:val="clear" w:color="auto" w:fill="E2EED8"/>
          </w:tcPr>
          <w:p>
            <w:pPr>
              <w:pStyle w:val="TableParagraph"/>
              <w:spacing w:before="31"/>
              <w:ind w:left="0" w:right="158"/>
              <w:jc w:val="right"/>
              <w:rPr>
                <w:rFonts w:ascii="Stone Sans II ITC Std Sm"/>
                <w:b/>
                <w:sz w:val="20"/>
              </w:rPr>
            </w:pPr>
            <w:r>
              <w:rPr>
                <w:rFonts w:ascii="Stone Sans II ITC Std Sm"/>
                <w:b/>
                <w:w w:val="110"/>
                <w:sz w:val="20"/>
              </w:rPr>
              <w:t>232</w:t>
            </w:r>
          </w:p>
        </w:tc>
      </w:tr>
      <w:tr>
        <w:trPr>
          <w:trHeight w:val="632" w:hRule="atLeast"/>
        </w:trPr>
        <w:tc>
          <w:tcPr>
            <w:tcW w:w="4852" w:type="dxa"/>
            <w:tcBorders>
              <w:bottom w:val="single" w:sz="48" w:space="0" w:color="FFFFFF"/>
            </w:tcBorders>
            <w:shd w:val="clear" w:color="auto" w:fill="E2EED8"/>
          </w:tcPr>
          <w:p>
            <w:pPr>
              <w:pStyle w:val="TableParagraph"/>
              <w:spacing w:before="31"/>
              <w:ind w:left="106"/>
              <w:rPr>
                <w:rFonts w:ascii="Stone Sans II ITC Std Sm"/>
                <w:b/>
                <w:sz w:val="20"/>
              </w:rPr>
            </w:pPr>
            <w:r>
              <w:rPr>
                <w:rFonts w:ascii="Stone Sans II ITC Std Sm"/>
                <w:b/>
                <w:w w:val="110"/>
                <w:sz w:val="20"/>
              </w:rPr>
              <w:t>World day of prayer, Scotland</w:t>
            </w:r>
          </w:p>
        </w:tc>
        <w:tc>
          <w:tcPr>
            <w:tcW w:w="1035" w:type="dxa"/>
            <w:tcBorders>
              <w:bottom w:val="single" w:sz="48" w:space="0" w:color="FFFFFF"/>
            </w:tcBorders>
            <w:shd w:val="clear" w:color="auto" w:fill="E2EED8"/>
          </w:tcPr>
          <w:p>
            <w:pPr>
              <w:pStyle w:val="TableParagraph"/>
              <w:spacing w:before="31"/>
              <w:ind w:left="0" w:right="158"/>
              <w:jc w:val="right"/>
              <w:rPr>
                <w:rFonts w:ascii="Stone Sans II ITC Std Sm"/>
                <w:b/>
                <w:sz w:val="20"/>
              </w:rPr>
            </w:pPr>
            <w:r>
              <w:rPr>
                <w:rFonts w:ascii="Stone Sans II ITC Std Sm"/>
                <w:b/>
                <w:w w:val="110"/>
                <w:sz w:val="20"/>
              </w:rPr>
              <w:t>233</w:t>
            </w:r>
          </w:p>
        </w:tc>
      </w:tr>
      <w:tr>
        <w:trPr>
          <w:trHeight w:val="811" w:hRule="atLeast"/>
        </w:trPr>
        <w:tc>
          <w:tcPr>
            <w:tcW w:w="4852" w:type="dxa"/>
            <w:tcBorders>
              <w:top w:val="single" w:sz="48" w:space="0" w:color="FFFFFF"/>
            </w:tcBorders>
            <w:shd w:val="clear" w:color="auto" w:fill="E2D9EA"/>
          </w:tcPr>
          <w:p>
            <w:pPr>
              <w:pStyle w:val="TableParagraph"/>
              <w:spacing w:before="5"/>
              <w:ind w:left="0"/>
              <w:rPr>
                <w:sz w:val="20"/>
              </w:rPr>
            </w:pPr>
          </w:p>
          <w:p>
            <w:pPr>
              <w:pStyle w:val="TableParagraph"/>
              <w:ind w:left="106"/>
              <w:rPr>
                <w:rFonts w:ascii="Stone Sans II ITC Std X Bd"/>
                <w:b/>
                <w:sz w:val="20"/>
              </w:rPr>
            </w:pPr>
            <w:r>
              <w:rPr>
                <w:rFonts w:ascii="Stone Sans II ITC Std X Bd"/>
                <w:b/>
                <w:w w:val="110"/>
                <w:sz w:val="20"/>
              </w:rPr>
              <w:t>Resolutions index</w:t>
            </w:r>
          </w:p>
        </w:tc>
        <w:tc>
          <w:tcPr>
            <w:tcW w:w="1035" w:type="dxa"/>
            <w:tcBorders>
              <w:top w:val="single" w:sz="48" w:space="0" w:color="FFFFFF"/>
            </w:tcBorders>
            <w:shd w:val="clear" w:color="auto" w:fill="E2D9EA"/>
          </w:tcPr>
          <w:p>
            <w:pPr>
              <w:pStyle w:val="TableParagraph"/>
              <w:spacing w:before="5"/>
              <w:ind w:left="0"/>
              <w:rPr>
                <w:sz w:val="20"/>
              </w:rPr>
            </w:pPr>
          </w:p>
          <w:p>
            <w:pPr>
              <w:pStyle w:val="TableParagraph"/>
              <w:ind w:left="0" w:right="165"/>
              <w:jc w:val="right"/>
              <w:rPr>
                <w:rFonts w:ascii="Stone Sans II ITC Std X Bd"/>
                <w:b/>
                <w:sz w:val="20"/>
              </w:rPr>
            </w:pPr>
            <w:r>
              <w:rPr>
                <w:rFonts w:ascii="Stone Sans II ITC Std X Bd"/>
                <w:b/>
                <w:w w:val="110"/>
                <w:sz w:val="20"/>
              </w:rPr>
              <w:t>235</w:t>
            </w:r>
          </w:p>
        </w:tc>
      </w:tr>
    </w:tbl>
    <w:p>
      <w:pPr>
        <w:pStyle w:val="BodyText"/>
        <w:rPr>
          <w:sz w:val="16"/>
        </w:rPr>
      </w:pPr>
      <w:r>
        <w:rPr/>
        <w:pict>
          <v:group style="position:absolute;margin-left:0pt;margin-top:.000015pt;width:595.3pt;height:841.9pt;mso-position-horizontal-relative:page;mso-position-vertical-relative:page;z-index:-268108800" coordorigin="0,0" coordsize="11906,16838">
            <v:shape style="position:absolute;left:0;top:0;width:11906;height:16838" type="#_x0000_t75" stroked="false">
              <v:imagedata r:id="rId26" o:title=""/>
            </v:shape>
            <v:rect style="position:absolute;left:2905;top:1247;width:6038;height:13720" filled="true" fillcolor="#ffffff" stroked="false">
              <v:fill type="solid"/>
            </v:rect>
            <v:line style="position:absolute" from="8176,1106" to="8176,14485" stroked="true" strokeweight="1pt" strokecolor="#ffffff">
              <v:stroke dashstyle="solid"/>
            </v:line>
            <v:line style="position:absolute" from="8944,1106" to="8944,14485" stroked="true" strokeweight="1pt" strokecolor="#ffffff">
              <v:stroke dashstyle="solid"/>
            </v:line>
            <w10:wrap type="none"/>
          </v:group>
        </w:pict>
      </w:r>
      <w:r>
        <w:rPr/>
        <w:pict>
          <v:shapetype id="_x0000_t202" o:spt="202" coordsize="21600,21600" path="m,l,21600r21600,l21600,xe">
            <v:stroke joinstyle="miter"/>
            <v:path gradientshapeok="t" o:connecttype="rect"/>
          </v:shapetype>
          <v:shape style="position:absolute;margin-left:503.989685pt;margin-top:40.575115pt;width:42.85pt;height:160.65pt;mso-position-horizontal-relative:page;mso-position-vertical-relative:page;z-index:251662336" type="#_x0000_t202" filled="false" stroked="false">
            <v:textbox inset="0,0,0,0" style="layout-flow:vertical">
              <w:txbxContent>
                <w:p>
                  <w:pPr>
                    <w:spacing w:line="848" w:lineRule="exact" w:before="9"/>
                    <w:ind w:left="20" w:right="0" w:firstLine="0"/>
                    <w:jc w:val="left"/>
                    <w:rPr>
                      <w:rFonts w:ascii="Stone Sans II ITC Std X Bd"/>
                      <w:b/>
                      <w:sz w:val="65"/>
                    </w:rPr>
                  </w:pPr>
                  <w:r>
                    <w:rPr>
                      <w:rFonts w:ascii="Stone Sans II ITC Std X Bd"/>
                      <w:b/>
                      <w:spacing w:val="-9"/>
                      <w:w w:val="110"/>
                      <w:sz w:val="65"/>
                    </w:rPr>
                    <w:t>Contents</w:t>
                  </w:r>
                </w:p>
              </w:txbxContent>
            </v:textbox>
            <w10:wrap type="none"/>
          </v:shape>
        </w:pict>
      </w:r>
    </w:p>
    <w:p>
      <w:pPr>
        <w:pStyle w:val="Heading7"/>
        <w:tabs>
          <w:tab w:pos="8023" w:val="right" w:leader="none"/>
        </w:tabs>
        <w:spacing w:line="240" w:lineRule="auto" w:before="95"/>
        <w:ind w:left="2403"/>
        <w:rPr>
          <w:rFonts w:ascii="Stone Sans II ITC Std X Bd"/>
          <w:b/>
        </w:rPr>
      </w:pPr>
      <w:r>
        <w:rPr>
          <w:rFonts w:ascii="Stone Sans II ITC Std X Bd"/>
          <w:b/>
          <w:w w:val="110"/>
        </w:rPr>
        <w:t>Standing</w:t>
      </w:r>
      <w:r>
        <w:rPr>
          <w:rFonts w:ascii="Stone Sans II ITC Std X Bd"/>
          <w:b/>
          <w:spacing w:val="-1"/>
          <w:w w:val="110"/>
        </w:rPr>
        <w:t> </w:t>
      </w:r>
      <w:r>
        <w:rPr>
          <w:rFonts w:ascii="Stone Sans II ITC Std X Bd"/>
          <w:b/>
          <w:w w:val="110"/>
        </w:rPr>
        <w:t>Orders</w:t>
        <w:tab/>
      </w:r>
      <w:r>
        <w:rPr>
          <w:rFonts w:ascii="Stone Sans II ITC Std X Bd"/>
          <w:b/>
          <w:spacing w:val="-3"/>
          <w:w w:val="110"/>
        </w:rPr>
        <w:t>247</w:t>
      </w:r>
    </w:p>
    <w:p>
      <w:pPr>
        <w:pStyle w:val="BodyText"/>
        <w:rPr>
          <w:rFonts w:ascii="Stone Sans II ITC Std X Bd"/>
          <w:b/>
          <w:sz w:val="30"/>
        </w:rPr>
      </w:pPr>
    </w:p>
    <w:p>
      <w:pPr>
        <w:pStyle w:val="BodyText"/>
        <w:rPr>
          <w:rFonts w:ascii="Stone Sans II ITC Std X Bd"/>
          <w:b/>
          <w:sz w:val="30"/>
        </w:rPr>
      </w:pPr>
    </w:p>
    <w:p>
      <w:pPr>
        <w:pStyle w:val="BodyText"/>
        <w:spacing w:before="13"/>
        <w:rPr>
          <w:rFonts w:ascii="Stone Sans II ITC Std X Bd"/>
          <w:b/>
          <w:sz w:val="39"/>
        </w:rPr>
      </w:pPr>
    </w:p>
    <w:p>
      <w:pPr>
        <w:pStyle w:val="Heading6"/>
        <w:spacing w:before="0"/>
        <w:ind w:left="4254"/>
        <w:rPr>
          <w:rFonts w:ascii="Stone Sans II ITC Std X Bd" w:hAnsi="Stone Sans II ITC Std X Bd"/>
          <w:b/>
          <w:sz w:val="24"/>
        </w:rPr>
      </w:pPr>
      <w:r>
        <w:rPr>
          <w:rFonts w:ascii="Stone Sans II ITC Std Sm" w:hAnsi="Stone Sans II ITC Std Sm"/>
          <w:b/>
          <w:color w:val="7EAABF"/>
          <w:w w:val="105"/>
        </w:rPr>
        <w:t>United Reformed Church </w:t>
      </w:r>
      <w:r>
        <w:rPr>
          <w:color w:val="7EAABF"/>
          <w:w w:val="105"/>
        </w:rPr>
        <w:t>• </w:t>
      </w:r>
      <w:r>
        <w:rPr>
          <w:rFonts w:ascii="Stone Sans II ITC Std Sm" w:hAnsi="Stone Sans II ITC Std Sm"/>
          <w:b/>
          <w:color w:val="7EAABF"/>
          <w:w w:val="105"/>
        </w:rPr>
        <w:t>General Assembly 2016 </w:t>
      </w:r>
      <w:r>
        <w:rPr>
          <w:rFonts w:ascii="Symbol" w:hAnsi="Symbol"/>
          <w:color w:val="7EAABF"/>
          <w:w w:val="105"/>
        </w:rPr>
        <w:t></w:t>
      </w:r>
      <w:r>
        <w:rPr>
          <w:rFonts w:ascii="Times New Roman" w:hAnsi="Times New Roman"/>
          <w:color w:val="7EAABF"/>
          <w:w w:val="105"/>
        </w:rPr>
        <w:t> </w:t>
      </w:r>
      <w:r>
        <w:rPr>
          <w:rFonts w:ascii="Stone Sans II ITC Std X Bd" w:hAnsi="Stone Sans II ITC Std X Bd"/>
          <w:b/>
          <w:w w:val="105"/>
          <w:sz w:val="24"/>
        </w:rPr>
        <w:t>1</w:t>
      </w:r>
    </w:p>
    <w:p>
      <w:pPr>
        <w:spacing w:after="0"/>
        <w:rPr>
          <w:rFonts w:ascii="Stone Sans II ITC Std X Bd" w:hAnsi="Stone Sans II ITC Std X Bd"/>
          <w:sz w:val="24"/>
        </w:rPr>
        <w:sectPr>
          <w:pgSz w:w="11910" w:h="16840"/>
          <w:pgMar w:top="1320" w:bottom="280" w:left="700" w:right="0"/>
        </w:sectPr>
      </w:pPr>
    </w:p>
    <w:p>
      <w:pPr>
        <w:pStyle w:val="BodyText"/>
        <w:rPr>
          <w:rFonts w:ascii="Stone Sans II ITC Std X Bd"/>
          <w:b/>
        </w:rPr>
      </w:pPr>
      <w:r>
        <w:rPr/>
        <w:pict>
          <v:group style="position:absolute;margin-left:0pt;margin-top:0pt;width:595.3pt;height:841.9pt;mso-position-horizontal-relative:page;mso-position-vertical-relative:page;z-index:-268106752" coordorigin="0,0" coordsize="11906,16838">
            <v:shape style="position:absolute;left:0;top:0;width:11906;height:16838" type="#_x0000_t75" stroked="false">
              <v:imagedata r:id="rId29" o:title=""/>
            </v:shape>
            <v:shape style="position:absolute;left:0;top:8518;width:5094;height:3130" type="#_x0000_t75" stroked="false">
              <v:imagedata r:id="rId30" o:title=""/>
            </v:shape>
            <v:shape style="position:absolute;left:0;top:11043;width:5078;height:4012" type="#_x0000_t75" stroked="false">
              <v:imagedata r:id="rId31" o:title=""/>
            </v:shape>
            <v:shape style="position:absolute;left:0;top:0;width:5089;height:8541" type="#_x0000_t75" stroked="false">
              <v:imagedata r:id="rId32" o:title=""/>
            </v:shape>
            <v:shape style="position:absolute;left:0;top:13842;width:5078;height:2996" type="#_x0000_t75" stroked="false">
              <v:imagedata r:id="rId33" o:title=""/>
            </v:shape>
            <v:line style="position:absolute" from="5080,0" to="5080,16838" stroked="true" strokeweight="2pt" strokecolor="#ffffff">
              <v:stroke dashstyle="solid"/>
            </v:line>
            <w10:wrap type="none"/>
          </v:group>
        </w:pict>
      </w:r>
    </w:p>
    <w:p>
      <w:pPr>
        <w:pStyle w:val="BodyText"/>
        <w:rPr>
          <w:rFonts w:ascii="Stone Sans II ITC Std X Bd"/>
          <w:b/>
        </w:rPr>
      </w:pPr>
    </w:p>
    <w:p>
      <w:pPr>
        <w:pStyle w:val="BodyText"/>
        <w:rPr>
          <w:rFonts w:ascii="Stone Sans II ITC Std X Bd"/>
          <w:b/>
        </w:rPr>
      </w:pPr>
    </w:p>
    <w:p>
      <w:pPr>
        <w:pStyle w:val="BodyText"/>
        <w:rPr>
          <w:rFonts w:ascii="Stone Sans II ITC Std X Bd"/>
          <w:b/>
        </w:rPr>
      </w:pPr>
    </w:p>
    <w:p>
      <w:pPr>
        <w:pStyle w:val="BodyText"/>
        <w:rPr>
          <w:rFonts w:ascii="Stone Sans II ITC Std X Bd"/>
          <w:b/>
        </w:rPr>
      </w:pPr>
    </w:p>
    <w:p>
      <w:pPr>
        <w:pStyle w:val="BodyText"/>
        <w:rPr>
          <w:rFonts w:ascii="Stone Sans II ITC Std X Bd"/>
          <w:b/>
        </w:rPr>
      </w:pPr>
    </w:p>
    <w:p>
      <w:pPr>
        <w:pStyle w:val="BodyText"/>
        <w:rPr>
          <w:rFonts w:ascii="Stone Sans II ITC Std X Bd"/>
          <w:b/>
        </w:rPr>
      </w:pPr>
    </w:p>
    <w:p>
      <w:pPr>
        <w:pStyle w:val="BodyText"/>
        <w:rPr>
          <w:rFonts w:ascii="Stone Sans II ITC Std X Bd"/>
          <w:b/>
        </w:rPr>
      </w:pPr>
    </w:p>
    <w:p>
      <w:pPr>
        <w:pStyle w:val="BodyText"/>
        <w:rPr>
          <w:rFonts w:ascii="Stone Sans II ITC Std X Bd"/>
          <w:b/>
        </w:rPr>
      </w:pPr>
    </w:p>
    <w:p>
      <w:pPr>
        <w:pStyle w:val="BodyText"/>
        <w:rPr>
          <w:rFonts w:ascii="Stone Sans II ITC Std X Bd"/>
          <w:b/>
        </w:rPr>
      </w:pPr>
    </w:p>
    <w:p>
      <w:pPr>
        <w:pStyle w:val="BodyText"/>
        <w:rPr>
          <w:rFonts w:ascii="Stone Sans II ITC Std X Bd"/>
          <w:b/>
        </w:rPr>
      </w:pPr>
    </w:p>
    <w:p>
      <w:pPr>
        <w:pStyle w:val="BodyText"/>
        <w:rPr>
          <w:rFonts w:ascii="Stone Sans II ITC Std X Bd"/>
          <w:b/>
        </w:rPr>
      </w:pPr>
    </w:p>
    <w:p>
      <w:pPr>
        <w:pStyle w:val="BodyText"/>
        <w:rPr>
          <w:rFonts w:ascii="Stone Sans II ITC Std X Bd"/>
          <w:b/>
        </w:rPr>
      </w:pPr>
    </w:p>
    <w:p>
      <w:pPr>
        <w:pStyle w:val="BodyText"/>
        <w:rPr>
          <w:rFonts w:ascii="Stone Sans II ITC Std X Bd"/>
          <w:b/>
        </w:rPr>
      </w:pPr>
    </w:p>
    <w:p>
      <w:pPr>
        <w:pStyle w:val="BodyText"/>
        <w:rPr>
          <w:rFonts w:ascii="Stone Sans II ITC Std X Bd"/>
          <w:b/>
        </w:rPr>
      </w:pPr>
    </w:p>
    <w:p>
      <w:pPr>
        <w:pStyle w:val="BodyText"/>
        <w:rPr>
          <w:rFonts w:ascii="Stone Sans II ITC Std X Bd"/>
          <w:b/>
        </w:rPr>
      </w:pPr>
    </w:p>
    <w:p>
      <w:pPr>
        <w:pStyle w:val="BodyText"/>
        <w:rPr>
          <w:rFonts w:ascii="Stone Sans II ITC Std X Bd"/>
          <w:b/>
        </w:rPr>
      </w:pPr>
    </w:p>
    <w:p>
      <w:pPr>
        <w:pStyle w:val="BodyText"/>
        <w:rPr>
          <w:rFonts w:ascii="Stone Sans II ITC Std X Bd"/>
          <w:b/>
        </w:rPr>
      </w:pPr>
    </w:p>
    <w:p>
      <w:pPr>
        <w:pStyle w:val="BodyText"/>
        <w:rPr>
          <w:rFonts w:ascii="Stone Sans II ITC Std X Bd"/>
          <w:b/>
        </w:rPr>
      </w:pPr>
    </w:p>
    <w:p>
      <w:pPr>
        <w:pStyle w:val="BodyText"/>
        <w:rPr>
          <w:rFonts w:ascii="Stone Sans II ITC Std X Bd"/>
          <w:b/>
        </w:rPr>
      </w:pPr>
    </w:p>
    <w:p>
      <w:pPr>
        <w:pStyle w:val="BodyText"/>
        <w:rPr>
          <w:rFonts w:ascii="Stone Sans II ITC Std X Bd"/>
          <w:b/>
        </w:rPr>
      </w:pPr>
    </w:p>
    <w:p>
      <w:pPr>
        <w:pStyle w:val="BodyText"/>
        <w:rPr>
          <w:rFonts w:ascii="Stone Sans II ITC Std X Bd"/>
          <w:b/>
        </w:rPr>
      </w:pPr>
    </w:p>
    <w:p>
      <w:pPr>
        <w:pStyle w:val="BodyText"/>
        <w:rPr>
          <w:rFonts w:ascii="Stone Sans II ITC Std X Bd"/>
          <w:b/>
        </w:rPr>
      </w:pPr>
    </w:p>
    <w:p>
      <w:pPr>
        <w:pStyle w:val="BodyText"/>
        <w:rPr>
          <w:rFonts w:ascii="Stone Sans II ITC Std X Bd"/>
          <w:b/>
        </w:rPr>
      </w:pPr>
    </w:p>
    <w:p>
      <w:pPr>
        <w:pStyle w:val="BodyText"/>
        <w:rPr>
          <w:rFonts w:ascii="Stone Sans II ITC Std X Bd"/>
          <w:b/>
        </w:rPr>
      </w:pPr>
    </w:p>
    <w:p>
      <w:pPr>
        <w:pStyle w:val="BodyText"/>
        <w:rPr>
          <w:rFonts w:ascii="Stone Sans II ITC Std X Bd"/>
          <w:b/>
        </w:rPr>
      </w:pPr>
    </w:p>
    <w:p>
      <w:pPr>
        <w:pStyle w:val="BodyText"/>
        <w:rPr>
          <w:rFonts w:ascii="Stone Sans II ITC Std X Bd"/>
          <w:b/>
        </w:rPr>
      </w:pPr>
    </w:p>
    <w:p>
      <w:pPr>
        <w:pStyle w:val="BodyText"/>
        <w:rPr>
          <w:rFonts w:ascii="Stone Sans II ITC Std X Bd"/>
          <w:b/>
        </w:rPr>
      </w:pPr>
    </w:p>
    <w:p>
      <w:pPr>
        <w:pStyle w:val="BodyText"/>
        <w:rPr>
          <w:rFonts w:ascii="Stone Sans II ITC Std X Bd"/>
          <w:b/>
        </w:rPr>
      </w:pPr>
    </w:p>
    <w:p>
      <w:pPr>
        <w:pStyle w:val="BodyText"/>
        <w:rPr>
          <w:rFonts w:ascii="Stone Sans II ITC Std X Bd"/>
          <w:b/>
        </w:rPr>
      </w:pPr>
    </w:p>
    <w:p>
      <w:pPr>
        <w:pStyle w:val="BodyText"/>
        <w:rPr>
          <w:rFonts w:ascii="Stone Sans II ITC Std X Bd"/>
          <w:b/>
        </w:rPr>
      </w:pPr>
    </w:p>
    <w:p>
      <w:pPr>
        <w:pStyle w:val="BodyText"/>
        <w:rPr>
          <w:rFonts w:ascii="Stone Sans II ITC Std X Bd"/>
          <w:b/>
        </w:rPr>
      </w:pPr>
    </w:p>
    <w:p>
      <w:pPr>
        <w:pStyle w:val="BodyText"/>
        <w:rPr>
          <w:rFonts w:ascii="Stone Sans II ITC Std X Bd"/>
          <w:b/>
        </w:rPr>
      </w:pPr>
    </w:p>
    <w:p>
      <w:pPr>
        <w:pStyle w:val="BodyText"/>
        <w:rPr>
          <w:rFonts w:ascii="Stone Sans II ITC Std X Bd"/>
          <w:b/>
        </w:rPr>
      </w:pPr>
    </w:p>
    <w:p>
      <w:pPr>
        <w:pStyle w:val="BodyText"/>
        <w:rPr>
          <w:rFonts w:ascii="Stone Sans II ITC Std X Bd"/>
          <w:b/>
        </w:rPr>
      </w:pPr>
    </w:p>
    <w:p>
      <w:pPr>
        <w:pStyle w:val="BodyText"/>
        <w:rPr>
          <w:rFonts w:ascii="Stone Sans II ITC Std X Bd"/>
          <w:b/>
        </w:rPr>
      </w:pPr>
    </w:p>
    <w:p>
      <w:pPr>
        <w:pStyle w:val="BodyText"/>
        <w:rPr>
          <w:rFonts w:ascii="Stone Sans II ITC Std X Bd"/>
          <w:b/>
        </w:rPr>
      </w:pPr>
    </w:p>
    <w:p>
      <w:pPr>
        <w:pStyle w:val="BodyText"/>
        <w:rPr>
          <w:rFonts w:ascii="Stone Sans II ITC Std X Bd"/>
          <w:b/>
        </w:rPr>
      </w:pPr>
    </w:p>
    <w:p>
      <w:pPr>
        <w:pStyle w:val="BodyText"/>
        <w:rPr>
          <w:rFonts w:ascii="Stone Sans II ITC Std X Bd"/>
          <w:b/>
        </w:rPr>
      </w:pPr>
    </w:p>
    <w:p>
      <w:pPr>
        <w:pStyle w:val="BodyText"/>
        <w:rPr>
          <w:rFonts w:ascii="Stone Sans II ITC Std X Bd"/>
          <w:b/>
        </w:rPr>
      </w:pPr>
    </w:p>
    <w:p>
      <w:pPr>
        <w:pStyle w:val="BodyText"/>
        <w:rPr>
          <w:rFonts w:ascii="Stone Sans II ITC Std X Bd"/>
          <w:b/>
        </w:rPr>
      </w:pPr>
    </w:p>
    <w:p>
      <w:pPr>
        <w:pStyle w:val="BodyText"/>
        <w:rPr>
          <w:rFonts w:ascii="Stone Sans II ITC Std X Bd"/>
          <w:b/>
        </w:rPr>
      </w:pPr>
    </w:p>
    <w:p>
      <w:pPr>
        <w:pStyle w:val="BodyText"/>
        <w:rPr>
          <w:rFonts w:ascii="Stone Sans II ITC Std X Bd"/>
          <w:b/>
        </w:rPr>
      </w:pPr>
    </w:p>
    <w:p>
      <w:pPr>
        <w:pStyle w:val="BodyText"/>
        <w:rPr>
          <w:rFonts w:ascii="Stone Sans II ITC Std X Bd"/>
          <w:b/>
        </w:rPr>
      </w:pPr>
    </w:p>
    <w:p>
      <w:pPr>
        <w:pStyle w:val="BodyText"/>
        <w:rPr>
          <w:rFonts w:ascii="Stone Sans II ITC Std X Bd"/>
          <w:b/>
        </w:rPr>
      </w:pPr>
    </w:p>
    <w:p>
      <w:pPr>
        <w:pStyle w:val="BodyText"/>
        <w:rPr>
          <w:rFonts w:ascii="Stone Sans II ITC Std X Bd"/>
          <w:b/>
        </w:rPr>
      </w:pPr>
    </w:p>
    <w:p>
      <w:pPr>
        <w:pStyle w:val="BodyText"/>
        <w:rPr>
          <w:rFonts w:ascii="Stone Sans II ITC Std X Bd"/>
          <w:b/>
        </w:rPr>
      </w:pPr>
    </w:p>
    <w:p>
      <w:pPr>
        <w:pStyle w:val="BodyText"/>
        <w:rPr>
          <w:rFonts w:ascii="Stone Sans II ITC Std X Bd"/>
          <w:b/>
        </w:rPr>
      </w:pPr>
    </w:p>
    <w:p>
      <w:pPr>
        <w:pStyle w:val="BodyText"/>
        <w:rPr>
          <w:rFonts w:ascii="Stone Sans II ITC Std X Bd"/>
          <w:b/>
        </w:rPr>
      </w:pPr>
    </w:p>
    <w:p>
      <w:pPr>
        <w:pStyle w:val="BodyText"/>
        <w:rPr>
          <w:rFonts w:ascii="Stone Sans II ITC Std X Bd"/>
          <w:b/>
        </w:rPr>
      </w:pPr>
    </w:p>
    <w:p>
      <w:pPr>
        <w:pStyle w:val="BodyText"/>
        <w:rPr>
          <w:rFonts w:ascii="Stone Sans II ITC Std X Bd"/>
          <w:b/>
        </w:rPr>
      </w:pPr>
    </w:p>
    <w:p>
      <w:pPr>
        <w:pStyle w:val="BodyText"/>
        <w:rPr>
          <w:rFonts w:ascii="Stone Sans II ITC Std X Bd"/>
          <w:b/>
        </w:rPr>
      </w:pPr>
    </w:p>
    <w:p>
      <w:pPr>
        <w:pStyle w:val="BodyText"/>
        <w:spacing w:before="9"/>
        <w:rPr>
          <w:rFonts w:ascii="Stone Sans II ITC Std X Bd"/>
          <w:b/>
          <w:sz w:val="23"/>
        </w:rPr>
      </w:pPr>
    </w:p>
    <w:p>
      <w:pPr>
        <w:spacing w:before="107"/>
        <w:ind w:left="3020" w:right="2975" w:firstLine="0"/>
        <w:jc w:val="center"/>
        <w:rPr>
          <w:sz w:val="26"/>
        </w:rPr>
      </w:pPr>
      <w:r>
        <w:rPr>
          <w:color w:val="0090D4"/>
          <w:w w:val="120"/>
          <w:sz w:val="26"/>
        </w:rPr>
        <w:t>Southport 2016</w:t>
      </w:r>
    </w:p>
    <w:p>
      <w:pPr>
        <w:spacing w:after="0"/>
        <w:jc w:val="center"/>
        <w:rPr>
          <w:sz w:val="26"/>
        </w:rPr>
        <w:sectPr>
          <w:headerReference w:type="even" r:id="rId27"/>
          <w:headerReference w:type="default" r:id="rId28"/>
          <w:pgSz w:w="11910" w:h="16840"/>
          <w:pgMar w:header="0" w:footer="0" w:top="1580" w:bottom="280" w:left="700" w:right="0"/>
        </w:sectPr>
      </w:pPr>
    </w:p>
    <w:p>
      <w:pPr>
        <w:pStyle w:val="BodyText"/>
      </w:pPr>
      <w:r>
        <w:rPr/>
        <w:pict>
          <v:rect style="position:absolute;margin-left:0pt;margin-top:.000015pt;width:549.207pt;height:841.89pt;mso-position-horizontal-relative:page;mso-position-vertical-relative:page;z-index:-268105728" filled="true" fillcolor="#fef4df" stroked="false">
            <v:fill type="solid"/>
            <w10:wrap type="none"/>
          </v:rect>
        </w:pict>
      </w:r>
      <w:r>
        <w:rPr/>
        <w:pict>
          <v:group style="position:absolute;margin-left:75.830498pt;margin-top:.000015pt;width:519.4500pt;height:841.9pt;mso-position-horizontal-relative:page;mso-position-vertical-relative:page;z-index:-268104704" coordorigin="1517,0" coordsize="10389,16838">
            <v:rect style="position:absolute;left:1530;top:0;width:9454;height:15789" filled="true" fillcolor="#ffffff" stroked="false">
              <v:fill type="solid"/>
            </v:rect>
            <v:shape style="position:absolute;left:10984;top:0;width:922;height:16838" type="#_x0000_t75" stroked="false">
              <v:imagedata r:id="rId34" o:title=""/>
            </v:shape>
            <v:shape style="position:absolute;left:1516;top:14305;width:1540;height:1513" coordorigin="1517,14306" coordsize="1540,1513" path="m1517,14306l1517,15818,3053,15818,2977,15816,2902,15811,2828,15802,2755,15789,2684,15774,2613,15754,2544,15732,2477,15707,2411,15678,2347,15647,2284,15612,2223,15575,2165,15535,2108,15493,2053,15448,2000,15401,1950,15351,1902,15299,1856,15245,1813,15189,1772,15130,1734,15070,1699,15008,1667,14944,1637,14879,1611,14812,1587,14743,1567,14673,1550,14602,1537,14530,1526,14456,1520,14381,1517,14306xm3056,15818l3055,15818,3054,15818,3056,15818,3056,15818xe" filled="true" fillcolor="#fef4df" stroked="false">
              <v:path arrowok="t"/>
              <v:fill type="solid"/>
            </v:shape>
            <v:shape style="position:absolute;left:7790;top:1620;width:955;height:502" coordorigin="7791,1620" coordsize="955,502" path="m8236,1620l8062,1659,7921,1746,7826,1832,7791,1871,7910,2016,7996,2091,8090,2118,8236,2122,8308,2114,8379,2091,8446,2058,8483,2035,8236,2035,8115,2009,8016,1953,7949,1897,7925,1871,8008,1777,8068,1728,8134,1710,8236,1708,8495,1708,8456,1683,8388,1650,8314,1628,8236,1620xm8732,1938l8612,1938,8727,2049,8744,1992,8736,1945,8732,1938xm8495,1708l8236,1708,8354,1733,8453,1789,8521,1846,8547,1871,8457,1966,8395,2014,8331,2032,8236,2035,8483,2035,8509,2019,8565,1978,8612,1938,8732,1938,8712,1906,8681,1871,8713,1837,8734,1801,8615,1801,8571,1762,8517,1721,8495,1708xm8727,1692l8615,1801,8734,1801,8737,1796,8745,1749,8727,1692xe" filled="true" fillcolor="#7c7b7b" stroked="false">
              <v:path arrowok="t"/>
              <v:fill type="solid"/>
            </v:shape>
            <v:shape style="position:absolute;left:7611;top:783;width:1266;height:1903" coordorigin="7611,783" coordsize="1266,1903" path="m8217,2586l8175,2586,8177,2594,8180,2608,8188,2652,8191,2663,8201,2686,8212,2684,8217,2586xm8337,2468l8223,2468,8228,2685,8255,2680,8272,2670,8281,2660,8284,2655,8282,2643,8283,2624,8286,2622,8300,2611,8306,2539,8310,2503,8311,2490,8311,2490,8337,2490,8337,2468xm8337,1524l8156,1524,8156,2507,8157,2548,8158,2579,8159,2614,8159,2622,8169,2618,8173,2615,8178,2610,8175,2586,8217,2586,8223,2468,8337,2468,8337,1524xm8337,2490l8311,2490,8312,2507,8313,2548,8313,2562,8314,2575,8317,2579,8321,2597,8334,2590,8336,2576,8337,2548,8337,2517,8337,2490xm8798,1331l8755,1331,7670,1331,7661,1334,7660,1340,7663,1347,7667,1353,7696,1359,7746,1363,7774,1368,7735,1372,7718,1373,7685,1375,7647,1378,7618,1382,7611,1392,7614,1413,7621,1438,7630,1452,7637,1458,7640,1459,7694,1471,7694,1473,7686,1475,7676,1479,7673,1487,7686,1490,7742,1494,7754,1496,7746,1498,7728,1501,7709,1504,7697,1508,7693,1512,7691,1520,7691,1524,7744,1524,8828,1524,8837,1511,8832,1506,8823,1501,8807,1497,8793,1493,8787,1491,8797,1489,8816,1486,8835,1483,8846,1479,8860,1469,8868,1460,8873,1446,8876,1424,8866,1412,8844,1409,8817,1407,8723,1400,8736,1399,8773,1398,8813,1393,8832,1376,8824,1372,8791,1357,8784,1353,8784,1350,8795,1347,8802,1341,8798,1335,8798,1331xm8828,1524l8337,1524,8766,1524,8828,1524xm8167,813l8158,823,8156,839,8156,1331,8337,1331,8337,924,8303,924,8301,909,8210,909,8208,903,8208,893,8180,893,8179,882,8177,855,8174,827,8172,814,8167,813xm8326,836l8319,840,8313,856,8307,884,8304,912,8303,924,8337,924,8337,909,8337,903,8337,855,8337,849,8326,836xm8291,783l8288,784,8271,785,8240,793,8224,808,8219,822,8218,828,8210,909,8301,909,8300,903,8298,859,8295,809,8291,783xm8195,859l8190,862,8186,873,8180,893,8208,893,8207,886,8205,868,8201,859,8195,859xe" filled="true" fillcolor="#000000" stroked="false">
              <v:path arrowok="t"/>
              <v:fill type="solid"/>
            </v:shape>
            <v:shape style="position:absolute;left:8991;top:1109;width:430;height:225" type="#_x0000_t75" stroked="false">
              <v:imagedata r:id="rId35" o:title=""/>
            </v:shape>
            <v:shape style="position:absolute;left:9217;top:1541;width:156;height:175" type="#_x0000_t75" stroked="false">
              <v:imagedata r:id="rId36" o:title=""/>
            </v:shape>
            <v:shape style="position:absolute;left:8995;top:1480;width:184;height:240" type="#_x0000_t75" stroked="false">
              <v:imagedata r:id="rId37" o:title=""/>
            </v:shape>
            <v:shape style="position:absolute;left:9409;top:1467;width:551;height:252" type="#_x0000_t75" stroked="false">
              <v:imagedata r:id="rId38" o:title=""/>
            </v:shape>
            <v:shape style="position:absolute;left:8995;top:1848;width:640;height:257" type="#_x0000_t75" stroked="false">
              <v:imagedata r:id="rId39" o:title=""/>
            </v:shape>
            <v:shape style="position:absolute;left:9669;top:1926;width:376;height:175" type="#_x0000_t75" stroked="false">
              <v:imagedata r:id="rId40" o:title=""/>
            </v:shape>
            <v:shape style="position:absolute;left:10079;top:1852;width:349;height:253" type="#_x0000_t75" stroked="false">
              <v:imagedata r:id="rId41" o:title=""/>
            </v:shape>
            <v:shape style="position:absolute;left:8983;top:2236;width:365;height:252" type="#_x0000_t75" stroked="false">
              <v:imagedata r:id="rId42" o:title=""/>
            </v:shape>
            <v:shape style="position:absolute;left:9382;top:2314;width:155;height:175" type="#_x0000_t75" stroked="false">
              <v:imagedata r:id="rId43" o:title=""/>
            </v:shape>
            <v:shape style="position:absolute;left:9569;top:2236;width:427;height:252" type="#_x0000_t75" stroked="false">
              <v:imagedata r:id="rId44" o:title=""/>
            </v:shape>
            <v:shape style="position:absolute;left:8124;top:2005;width:243;height:117" type="#_x0000_t75" stroked="false">
              <v:imagedata r:id="rId45" o:title=""/>
            </v:shape>
            <v:shape style="position:absolute;left:2692;top:13979;width:2338;height:658" type="#_x0000_t75" stroked="false">
              <v:imagedata r:id="rId46" o:title=""/>
            </v:shape>
            <w10:wrap type="none"/>
          </v:group>
        </w:pict>
      </w:r>
      <w:r>
        <w:rPr/>
        <w:pict>
          <v:shape style="position:absolute;margin-left:554.282898pt;margin-top:44.889317pt;width:25.9pt;height:129pt;mso-position-horizontal-relative:page;mso-position-vertical-relative:page;z-index:251666432" type="#_x0000_t202" filled="false" stroked="false">
            <v:textbox inset="0,0,0,0" style="layout-flow:vertical">
              <w:txbxContent>
                <w:p>
                  <w:pPr>
                    <w:spacing w:before="27"/>
                    <w:ind w:left="20" w:right="0" w:firstLine="0"/>
                    <w:jc w:val="left"/>
                    <w:rPr>
                      <w:sz w:val="39"/>
                    </w:rPr>
                  </w:pPr>
                  <w:r>
                    <w:rPr>
                      <w:color w:val="FFFFFF"/>
                      <w:w w:val="120"/>
                      <w:sz w:val="39"/>
                    </w:rPr>
                    <w:t>Introduction</w:t>
                  </w:r>
                </w:p>
              </w:txbxContent>
            </v:textbox>
            <w10:wrap type="none"/>
          </v:shape>
        </w:pict>
      </w:r>
    </w:p>
    <w:p>
      <w:pPr>
        <w:pStyle w:val="BodyText"/>
      </w:pPr>
    </w:p>
    <w:p>
      <w:pPr>
        <w:pStyle w:val="BodyText"/>
      </w:pPr>
    </w:p>
    <w:p>
      <w:pPr>
        <w:pStyle w:val="BodyText"/>
        <w:spacing w:before="5"/>
        <w:rPr>
          <w:sz w:val="18"/>
        </w:rPr>
      </w:pPr>
    </w:p>
    <w:p>
      <w:pPr>
        <w:pStyle w:val="BodyText"/>
        <w:spacing w:before="100"/>
        <w:ind w:left="1992"/>
      </w:pPr>
      <w:r>
        <w:rPr>
          <w:w w:val="120"/>
        </w:rPr>
        <w:t>Dear friends,</w:t>
      </w:r>
    </w:p>
    <w:p>
      <w:pPr>
        <w:pStyle w:val="BodyText"/>
        <w:spacing w:before="7"/>
        <w:rPr>
          <w:sz w:val="22"/>
        </w:rPr>
      </w:pPr>
    </w:p>
    <w:p>
      <w:pPr>
        <w:pStyle w:val="BodyText"/>
        <w:spacing w:line="254" w:lineRule="auto"/>
        <w:ind w:left="1992" w:right="1899"/>
      </w:pPr>
      <w:r>
        <w:rPr>
          <w:w w:val="120"/>
        </w:rPr>
        <w:t>Welcome to General Assembly 2016. Welcome to Southport, where members of Mersey Synod will host us. Welcome to a special opportunity to take responsibility as Church, for the life of the Church.</w:t>
      </w:r>
    </w:p>
    <w:p>
      <w:pPr>
        <w:pStyle w:val="BodyText"/>
        <w:spacing w:before="7"/>
        <w:rPr>
          <w:sz w:val="21"/>
        </w:rPr>
      </w:pPr>
    </w:p>
    <w:p>
      <w:pPr>
        <w:pStyle w:val="BodyText"/>
        <w:spacing w:line="254" w:lineRule="auto"/>
        <w:ind w:left="1992" w:right="2080"/>
      </w:pPr>
      <w:r>
        <w:rPr>
          <w:w w:val="120"/>
        </w:rPr>
        <w:t>If you are coming to Assembly, you have a vital role. There we shall listen, reflect, speak and decide as trusted representatives of the </w:t>
      </w:r>
      <w:r>
        <w:rPr>
          <w:spacing w:val="-3"/>
          <w:w w:val="120"/>
        </w:rPr>
        <w:t>URC’s </w:t>
      </w:r>
      <w:r>
        <w:rPr>
          <w:w w:val="120"/>
        </w:rPr>
        <w:t>congregations, synods and people. If you are observing Assembly from afar, those of us who will be at Southport will value your interest and ask for your</w:t>
      </w:r>
      <w:r>
        <w:rPr>
          <w:spacing w:val="3"/>
          <w:w w:val="120"/>
        </w:rPr>
        <w:t> </w:t>
      </w:r>
      <w:r>
        <w:rPr>
          <w:w w:val="120"/>
        </w:rPr>
        <w:t>prayers.</w:t>
      </w:r>
    </w:p>
    <w:p>
      <w:pPr>
        <w:pStyle w:val="BodyText"/>
        <w:spacing w:before="10"/>
        <w:rPr>
          <w:sz w:val="21"/>
        </w:rPr>
      </w:pPr>
    </w:p>
    <w:p>
      <w:pPr>
        <w:pStyle w:val="BodyText"/>
        <w:spacing w:line="254" w:lineRule="auto"/>
        <w:ind w:left="1992" w:right="1899"/>
      </w:pPr>
      <w:r>
        <w:rPr>
          <w:w w:val="120"/>
        </w:rPr>
        <w:t>Assembly is always important. There the Church gathers, does business, seeks insight from God and from one another, and scatters to our regular places of worship and service with fresh energy and commitment to faithfulness and discipleship.</w:t>
      </w:r>
    </w:p>
    <w:p>
      <w:pPr>
        <w:pStyle w:val="BodyText"/>
        <w:spacing w:before="8"/>
        <w:rPr>
          <w:sz w:val="21"/>
        </w:rPr>
      </w:pPr>
    </w:p>
    <w:p>
      <w:pPr>
        <w:pStyle w:val="BodyText"/>
        <w:spacing w:line="254" w:lineRule="auto" w:before="1"/>
        <w:ind w:left="1992" w:right="1899"/>
      </w:pPr>
      <w:r>
        <w:rPr>
          <w:spacing w:val="-5"/>
          <w:w w:val="120"/>
        </w:rPr>
        <w:t>Yet </w:t>
      </w:r>
      <w:r>
        <w:rPr>
          <w:w w:val="120"/>
        </w:rPr>
        <w:t>within that pattern of gathering and scattering, extending across the decades, each meeting of Assembly has a formative and creative role of  its own. So this year’s discussing, discerning and deciding has a distinctive agenda, responding to the issues of the moment, and taking church life forward to a new stage. At Southport we shall think about leadership and learning in our congregations, about our environmental responsibility, about Christians who suffer persecution in various </w:t>
      </w:r>
      <w:r>
        <w:rPr>
          <w:spacing w:val="2"/>
          <w:w w:val="120"/>
        </w:rPr>
        <w:t>parts </w:t>
      </w:r>
      <w:r>
        <w:rPr>
          <w:w w:val="120"/>
        </w:rPr>
        <w:t>of the world, about our Reformed </w:t>
      </w:r>
      <w:r>
        <w:rPr>
          <w:spacing w:val="2"/>
          <w:w w:val="120"/>
        </w:rPr>
        <w:t>story </w:t>
      </w:r>
      <w:r>
        <w:rPr>
          <w:w w:val="120"/>
        </w:rPr>
        <w:t>and values, and about the centenary of the First World</w:t>
      </w:r>
      <w:r>
        <w:rPr>
          <w:spacing w:val="1"/>
          <w:w w:val="120"/>
        </w:rPr>
        <w:t> </w:t>
      </w:r>
      <w:r>
        <w:rPr>
          <w:spacing w:val="-4"/>
          <w:w w:val="120"/>
        </w:rPr>
        <w:t>War.</w:t>
      </w:r>
    </w:p>
    <w:p>
      <w:pPr>
        <w:pStyle w:val="BodyText"/>
        <w:spacing w:before="2"/>
        <w:rPr>
          <w:sz w:val="22"/>
        </w:rPr>
      </w:pPr>
    </w:p>
    <w:p>
      <w:pPr>
        <w:pStyle w:val="BodyText"/>
        <w:spacing w:line="254" w:lineRule="auto"/>
        <w:ind w:left="1992" w:right="1716"/>
      </w:pPr>
      <w:r>
        <w:rPr>
          <w:w w:val="125"/>
        </w:rPr>
        <w:t>One current issue cannot be covered in the </w:t>
      </w:r>
      <w:r>
        <w:rPr>
          <w:i/>
          <w:w w:val="125"/>
        </w:rPr>
        <w:t>Book of Reports</w:t>
      </w:r>
      <w:r>
        <w:rPr>
          <w:w w:val="125"/>
        </w:rPr>
        <w:t>: at the time when</w:t>
      </w:r>
      <w:r>
        <w:rPr>
          <w:spacing w:val="-17"/>
          <w:w w:val="125"/>
        </w:rPr>
        <w:t> </w:t>
      </w:r>
      <w:r>
        <w:rPr>
          <w:w w:val="125"/>
        </w:rPr>
        <w:t>we</w:t>
      </w:r>
      <w:r>
        <w:rPr>
          <w:spacing w:val="-17"/>
          <w:w w:val="125"/>
        </w:rPr>
        <w:t> </w:t>
      </w:r>
      <w:r>
        <w:rPr>
          <w:w w:val="125"/>
        </w:rPr>
        <w:t>meet</w:t>
      </w:r>
      <w:r>
        <w:rPr>
          <w:spacing w:val="-16"/>
          <w:w w:val="125"/>
        </w:rPr>
        <w:t> </w:t>
      </w:r>
      <w:r>
        <w:rPr>
          <w:w w:val="125"/>
        </w:rPr>
        <w:t>the</w:t>
      </w:r>
      <w:r>
        <w:rPr>
          <w:spacing w:val="-17"/>
          <w:w w:val="125"/>
        </w:rPr>
        <w:t> </w:t>
      </w:r>
      <w:r>
        <w:rPr>
          <w:w w:val="125"/>
        </w:rPr>
        <w:t>EU</w:t>
      </w:r>
      <w:r>
        <w:rPr>
          <w:spacing w:val="-17"/>
          <w:w w:val="125"/>
        </w:rPr>
        <w:t> </w:t>
      </w:r>
      <w:r>
        <w:rPr>
          <w:w w:val="125"/>
        </w:rPr>
        <w:t>referendum</w:t>
      </w:r>
      <w:r>
        <w:rPr>
          <w:spacing w:val="-16"/>
          <w:w w:val="125"/>
        </w:rPr>
        <w:t> </w:t>
      </w:r>
      <w:r>
        <w:rPr>
          <w:w w:val="125"/>
        </w:rPr>
        <w:t>result</w:t>
      </w:r>
      <w:r>
        <w:rPr>
          <w:spacing w:val="-17"/>
          <w:w w:val="125"/>
        </w:rPr>
        <w:t> </w:t>
      </w:r>
      <w:r>
        <w:rPr>
          <w:w w:val="125"/>
        </w:rPr>
        <w:t>will</w:t>
      </w:r>
      <w:r>
        <w:rPr>
          <w:spacing w:val="-17"/>
          <w:w w:val="125"/>
        </w:rPr>
        <w:t> </w:t>
      </w:r>
      <w:r>
        <w:rPr>
          <w:w w:val="125"/>
        </w:rPr>
        <w:t>be</w:t>
      </w:r>
      <w:r>
        <w:rPr>
          <w:spacing w:val="-16"/>
          <w:w w:val="125"/>
        </w:rPr>
        <w:t> </w:t>
      </w:r>
      <w:r>
        <w:rPr>
          <w:w w:val="125"/>
        </w:rPr>
        <w:t>fresh.</w:t>
      </w:r>
      <w:r>
        <w:rPr>
          <w:spacing w:val="-17"/>
          <w:w w:val="125"/>
        </w:rPr>
        <w:t> </w:t>
      </w:r>
      <w:r>
        <w:rPr>
          <w:w w:val="125"/>
        </w:rPr>
        <w:t>For</w:t>
      </w:r>
      <w:r>
        <w:rPr>
          <w:spacing w:val="-17"/>
          <w:w w:val="125"/>
        </w:rPr>
        <w:t> </w:t>
      </w:r>
      <w:r>
        <w:rPr>
          <w:w w:val="125"/>
        </w:rPr>
        <w:t>some</w:t>
      </w:r>
      <w:r>
        <w:rPr>
          <w:spacing w:val="-16"/>
          <w:w w:val="125"/>
        </w:rPr>
        <w:t> </w:t>
      </w:r>
      <w:r>
        <w:rPr>
          <w:w w:val="125"/>
        </w:rPr>
        <w:t>it</w:t>
      </w:r>
      <w:r>
        <w:rPr>
          <w:spacing w:val="-17"/>
          <w:w w:val="125"/>
        </w:rPr>
        <w:t> </w:t>
      </w:r>
      <w:r>
        <w:rPr>
          <w:w w:val="125"/>
        </w:rPr>
        <w:t>will</w:t>
      </w:r>
      <w:r>
        <w:rPr>
          <w:spacing w:val="-17"/>
          <w:w w:val="125"/>
        </w:rPr>
        <w:t> </w:t>
      </w:r>
      <w:r>
        <w:rPr>
          <w:w w:val="125"/>
        </w:rPr>
        <w:t>be disappointing. It may come as a surprise to </w:t>
      </w:r>
      <w:r>
        <w:rPr>
          <w:spacing w:val="-4"/>
          <w:w w:val="125"/>
        </w:rPr>
        <w:t>many. </w:t>
      </w:r>
      <w:r>
        <w:rPr>
          <w:w w:val="125"/>
        </w:rPr>
        <w:t>It may test our public life</w:t>
      </w:r>
      <w:r>
        <w:rPr>
          <w:spacing w:val="-16"/>
          <w:w w:val="125"/>
        </w:rPr>
        <w:t> </w:t>
      </w:r>
      <w:r>
        <w:rPr>
          <w:w w:val="125"/>
        </w:rPr>
        <w:t>in</w:t>
      </w:r>
      <w:r>
        <w:rPr>
          <w:spacing w:val="-16"/>
          <w:w w:val="125"/>
        </w:rPr>
        <w:t> </w:t>
      </w:r>
      <w:r>
        <w:rPr>
          <w:w w:val="125"/>
        </w:rPr>
        <w:t>quite</w:t>
      </w:r>
      <w:r>
        <w:rPr>
          <w:spacing w:val="-16"/>
          <w:w w:val="125"/>
        </w:rPr>
        <w:t> </w:t>
      </w:r>
      <w:r>
        <w:rPr>
          <w:w w:val="125"/>
        </w:rPr>
        <w:t>deep</w:t>
      </w:r>
      <w:r>
        <w:rPr>
          <w:spacing w:val="-16"/>
          <w:w w:val="125"/>
        </w:rPr>
        <w:t> </w:t>
      </w:r>
      <w:r>
        <w:rPr>
          <w:w w:val="125"/>
        </w:rPr>
        <w:t>ways.</w:t>
      </w:r>
      <w:r>
        <w:rPr>
          <w:spacing w:val="-16"/>
          <w:w w:val="125"/>
        </w:rPr>
        <w:t> </w:t>
      </w:r>
      <w:r>
        <w:rPr>
          <w:w w:val="125"/>
        </w:rPr>
        <w:t>The</w:t>
      </w:r>
      <w:r>
        <w:rPr>
          <w:spacing w:val="-16"/>
          <w:w w:val="125"/>
        </w:rPr>
        <w:t> </w:t>
      </w:r>
      <w:r>
        <w:rPr>
          <w:w w:val="125"/>
        </w:rPr>
        <w:t>URC</w:t>
      </w:r>
      <w:r>
        <w:rPr>
          <w:spacing w:val="-16"/>
          <w:w w:val="125"/>
        </w:rPr>
        <w:t> </w:t>
      </w:r>
      <w:r>
        <w:rPr>
          <w:w w:val="125"/>
        </w:rPr>
        <w:t>has</w:t>
      </w:r>
      <w:r>
        <w:rPr>
          <w:spacing w:val="-16"/>
          <w:w w:val="125"/>
        </w:rPr>
        <w:t> </w:t>
      </w:r>
      <w:r>
        <w:rPr>
          <w:w w:val="125"/>
        </w:rPr>
        <w:t>no</w:t>
      </w:r>
      <w:r>
        <w:rPr>
          <w:spacing w:val="-15"/>
          <w:w w:val="125"/>
        </w:rPr>
        <w:t> </w:t>
      </w:r>
      <w:r>
        <w:rPr>
          <w:w w:val="125"/>
        </w:rPr>
        <w:t>agreed</w:t>
      </w:r>
      <w:r>
        <w:rPr>
          <w:spacing w:val="-16"/>
          <w:w w:val="125"/>
        </w:rPr>
        <w:t> </w:t>
      </w:r>
      <w:r>
        <w:rPr>
          <w:w w:val="125"/>
        </w:rPr>
        <w:t>position</w:t>
      </w:r>
      <w:r>
        <w:rPr>
          <w:spacing w:val="-16"/>
          <w:w w:val="125"/>
        </w:rPr>
        <w:t> </w:t>
      </w:r>
      <w:r>
        <w:rPr>
          <w:w w:val="125"/>
        </w:rPr>
        <w:t>on</w:t>
      </w:r>
      <w:r>
        <w:rPr>
          <w:spacing w:val="-16"/>
          <w:w w:val="125"/>
        </w:rPr>
        <w:t> </w:t>
      </w:r>
      <w:r>
        <w:rPr>
          <w:w w:val="125"/>
        </w:rPr>
        <w:t>the</w:t>
      </w:r>
      <w:r>
        <w:rPr>
          <w:spacing w:val="-16"/>
          <w:w w:val="125"/>
        </w:rPr>
        <w:t> </w:t>
      </w:r>
      <w:r>
        <w:rPr>
          <w:w w:val="125"/>
        </w:rPr>
        <w:t>main</w:t>
      </w:r>
      <w:r>
        <w:rPr>
          <w:spacing w:val="-16"/>
          <w:w w:val="125"/>
        </w:rPr>
        <w:t> </w:t>
      </w:r>
      <w:r>
        <w:rPr>
          <w:w w:val="125"/>
        </w:rPr>
        <w:t>issue, of leave or remain. </w:t>
      </w:r>
      <w:r>
        <w:rPr>
          <w:spacing w:val="-5"/>
          <w:w w:val="125"/>
        </w:rPr>
        <w:t>Yet </w:t>
      </w:r>
      <w:r>
        <w:rPr>
          <w:w w:val="125"/>
        </w:rPr>
        <w:t>our people will seek to vote with conscience and wide</w:t>
      </w:r>
      <w:r>
        <w:rPr>
          <w:spacing w:val="-13"/>
          <w:w w:val="125"/>
        </w:rPr>
        <w:t> </w:t>
      </w:r>
      <w:r>
        <w:rPr>
          <w:w w:val="125"/>
        </w:rPr>
        <w:t>concern,</w:t>
      </w:r>
      <w:r>
        <w:rPr>
          <w:spacing w:val="-13"/>
          <w:w w:val="125"/>
        </w:rPr>
        <w:t> </w:t>
      </w:r>
      <w:r>
        <w:rPr>
          <w:w w:val="125"/>
        </w:rPr>
        <w:t>and</w:t>
      </w:r>
      <w:r>
        <w:rPr>
          <w:spacing w:val="-13"/>
          <w:w w:val="125"/>
        </w:rPr>
        <w:t> </w:t>
      </w:r>
      <w:r>
        <w:rPr>
          <w:w w:val="125"/>
        </w:rPr>
        <w:t>when</w:t>
      </w:r>
      <w:r>
        <w:rPr>
          <w:spacing w:val="-13"/>
          <w:w w:val="125"/>
        </w:rPr>
        <w:t> </w:t>
      </w:r>
      <w:r>
        <w:rPr>
          <w:w w:val="125"/>
        </w:rPr>
        <w:t>the</w:t>
      </w:r>
      <w:r>
        <w:rPr>
          <w:spacing w:val="-12"/>
          <w:w w:val="125"/>
        </w:rPr>
        <w:t> </w:t>
      </w:r>
      <w:r>
        <w:rPr>
          <w:w w:val="125"/>
        </w:rPr>
        <w:t>voting</w:t>
      </w:r>
      <w:r>
        <w:rPr>
          <w:spacing w:val="-13"/>
          <w:w w:val="125"/>
        </w:rPr>
        <w:t> </w:t>
      </w:r>
      <w:r>
        <w:rPr>
          <w:w w:val="125"/>
        </w:rPr>
        <w:t>is</w:t>
      </w:r>
      <w:r>
        <w:rPr>
          <w:spacing w:val="-13"/>
          <w:w w:val="125"/>
        </w:rPr>
        <w:t> </w:t>
      </w:r>
      <w:r>
        <w:rPr>
          <w:w w:val="125"/>
        </w:rPr>
        <w:t>done,</w:t>
      </w:r>
      <w:r>
        <w:rPr>
          <w:spacing w:val="-13"/>
          <w:w w:val="125"/>
        </w:rPr>
        <w:t> </w:t>
      </w:r>
      <w:r>
        <w:rPr>
          <w:w w:val="125"/>
        </w:rPr>
        <w:t>we</w:t>
      </w:r>
      <w:r>
        <w:rPr>
          <w:spacing w:val="-12"/>
          <w:w w:val="125"/>
        </w:rPr>
        <w:t> </w:t>
      </w:r>
      <w:r>
        <w:rPr>
          <w:w w:val="125"/>
        </w:rPr>
        <w:t>shall</w:t>
      </w:r>
      <w:r>
        <w:rPr>
          <w:spacing w:val="-13"/>
          <w:w w:val="125"/>
        </w:rPr>
        <w:t> </w:t>
      </w:r>
      <w:r>
        <w:rPr>
          <w:w w:val="125"/>
        </w:rPr>
        <w:t>aim</w:t>
      </w:r>
      <w:r>
        <w:rPr>
          <w:spacing w:val="-13"/>
          <w:w w:val="125"/>
        </w:rPr>
        <w:t> </w:t>
      </w:r>
      <w:r>
        <w:rPr>
          <w:w w:val="125"/>
        </w:rPr>
        <w:t>to</w:t>
      </w:r>
      <w:r>
        <w:rPr>
          <w:spacing w:val="-13"/>
          <w:w w:val="125"/>
        </w:rPr>
        <w:t> </w:t>
      </w:r>
      <w:r>
        <w:rPr>
          <w:w w:val="125"/>
        </w:rPr>
        <w:t>be</w:t>
      </w:r>
      <w:r>
        <w:rPr>
          <w:spacing w:val="-13"/>
          <w:w w:val="125"/>
        </w:rPr>
        <w:t> </w:t>
      </w:r>
      <w:r>
        <w:rPr>
          <w:w w:val="125"/>
        </w:rPr>
        <w:t>a</w:t>
      </w:r>
      <w:r>
        <w:rPr>
          <w:spacing w:val="-12"/>
          <w:w w:val="125"/>
        </w:rPr>
        <w:t> </w:t>
      </w:r>
      <w:r>
        <w:rPr>
          <w:w w:val="125"/>
        </w:rPr>
        <w:t>calm</w:t>
      </w:r>
      <w:r>
        <w:rPr>
          <w:spacing w:val="-13"/>
          <w:w w:val="125"/>
        </w:rPr>
        <w:t> </w:t>
      </w:r>
      <w:r>
        <w:rPr>
          <w:w w:val="125"/>
        </w:rPr>
        <w:t>and supportive presence among our</w:t>
      </w:r>
      <w:r>
        <w:rPr>
          <w:spacing w:val="-8"/>
          <w:w w:val="125"/>
        </w:rPr>
        <w:t> </w:t>
      </w:r>
      <w:r>
        <w:rPr>
          <w:w w:val="125"/>
        </w:rPr>
        <w:t>neighbours.</w:t>
      </w:r>
    </w:p>
    <w:p>
      <w:pPr>
        <w:pStyle w:val="BodyText"/>
        <w:rPr>
          <w:sz w:val="22"/>
        </w:rPr>
      </w:pPr>
    </w:p>
    <w:p>
      <w:pPr>
        <w:pStyle w:val="BodyText"/>
        <w:spacing w:line="254" w:lineRule="auto"/>
        <w:ind w:left="1992" w:right="1886"/>
      </w:pPr>
      <w:r>
        <w:rPr>
          <w:w w:val="120"/>
        </w:rPr>
        <w:t>Meanwhile, there is witness to offer for Jesus, in the regular work of our local churches. There is care to give, in a world of need. There is business to prepare for Assembly. And for those who will meet at Southport, there is preparation of ourselves, through prayer, reading and reflection. I look forward warmly to seeing many of you in </w:t>
      </w:r>
      <w:r>
        <w:rPr>
          <w:spacing w:val="-3"/>
          <w:w w:val="120"/>
        </w:rPr>
        <w:t>July, </w:t>
      </w:r>
      <w:r>
        <w:rPr>
          <w:w w:val="120"/>
        </w:rPr>
        <w:t>and I rejoice to work with all of you, in the cause of the Gospel, in these days and</w:t>
      </w:r>
      <w:r>
        <w:rPr>
          <w:spacing w:val="20"/>
          <w:w w:val="120"/>
        </w:rPr>
        <w:t> </w:t>
      </w:r>
      <w:r>
        <w:rPr>
          <w:w w:val="120"/>
        </w:rPr>
        <w:t>years.</w:t>
      </w:r>
    </w:p>
    <w:p>
      <w:pPr>
        <w:pStyle w:val="BodyText"/>
        <w:spacing w:before="11"/>
        <w:rPr>
          <w:sz w:val="21"/>
        </w:rPr>
      </w:pPr>
    </w:p>
    <w:p>
      <w:pPr>
        <w:pStyle w:val="BodyText"/>
        <w:ind w:left="1992"/>
      </w:pPr>
      <w:r>
        <w:rPr>
          <w:w w:val="120"/>
        </w:rPr>
        <w:t>Yours sincerely,</w:t>
      </w:r>
    </w:p>
    <w:p>
      <w:pPr>
        <w:pStyle w:val="BodyText"/>
        <w:rPr>
          <w:sz w:val="24"/>
        </w:rPr>
      </w:pPr>
    </w:p>
    <w:p>
      <w:pPr>
        <w:pStyle w:val="BodyText"/>
        <w:rPr>
          <w:sz w:val="24"/>
        </w:rPr>
      </w:pPr>
    </w:p>
    <w:p>
      <w:pPr>
        <w:pStyle w:val="BodyText"/>
        <w:spacing w:before="9"/>
        <w:rPr>
          <w:sz w:val="23"/>
        </w:rPr>
      </w:pPr>
    </w:p>
    <w:p>
      <w:pPr>
        <w:pStyle w:val="BodyText"/>
        <w:spacing w:line="254" w:lineRule="auto"/>
        <w:ind w:left="1992" w:right="7232"/>
      </w:pPr>
      <w:r>
        <w:rPr>
          <w:w w:val="120"/>
        </w:rPr>
        <w:t>John Proctor General Secretary</w:t>
      </w:r>
    </w:p>
    <w:p>
      <w:pPr>
        <w:pStyle w:val="BodyText"/>
        <w:rPr>
          <w:sz w:val="24"/>
        </w:rPr>
      </w:pPr>
    </w:p>
    <w:p>
      <w:pPr>
        <w:pStyle w:val="BodyText"/>
        <w:rPr>
          <w:sz w:val="24"/>
        </w:rPr>
      </w:pPr>
    </w:p>
    <w:p>
      <w:pPr>
        <w:pStyle w:val="Heading6"/>
        <w:spacing w:before="189"/>
        <w:ind w:left="3983"/>
        <w:rPr>
          <w:rFonts w:ascii="Stone Sans II ITC Std X Bd" w:hAnsi="Stone Sans II ITC Std X Bd"/>
          <w:b/>
          <w:sz w:val="24"/>
        </w:rPr>
      </w:pPr>
      <w:r>
        <w:rPr>
          <w:color w:val="7EAABF"/>
          <w:w w:val="110"/>
        </w:rPr>
        <w:t>United Reformed Church </w:t>
      </w:r>
      <w:r>
        <w:rPr>
          <w:rFonts w:ascii="Symbol" w:hAnsi="Symbol"/>
          <w:color w:val="7EAABF"/>
          <w:w w:val="110"/>
        </w:rPr>
        <w:t></w:t>
      </w:r>
      <w:r>
        <w:rPr>
          <w:rFonts w:ascii="Times New Roman" w:hAnsi="Times New Roman"/>
          <w:color w:val="7EAABF"/>
          <w:w w:val="110"/>
        </w:rPr>
        <w:t> </w:t>
      </w:r>
      <w:r>
        <w:rPr>
          <w:color w:val="7EAABF"/>
          <w:w w:val="110"/>
        </w:rPr>
        <w:t>General Assembly 2016 </w:t>
      </w:r>
      <w:r>
        <w:rPr>
          <w:rFonts w:ascii="Symbol" w:hAnsi="Symbol"/>
          <w:color w:val="7EAABF"/>
          <w:w w:val="110"/>
        </w:rPr>
        <w:t></w:t>
      </w:r>
      <w:r>
        <w:rPr>
          <w:rFonts w:ascii="Times New Roman" w:hAnsi="Times New Roman"/>
          <w:color w:val="7EAABF"/>
          <w:w w:val="110"/>
        </w:rPr>
        <w:t> </w:t>
      </w:r>
      <w:r>
        <w:rPr>
          <w:rFonts w:ascii="Stone Sans II ITC Std X Bd" w:hAnsi="Stone Sans II ITC Std X Bd"/>
          <w:b/>
          <w:w w:val="110"/>
          <w:sz w:val="24"/>
        </w:rPr>
        <w:t>3</w:t>
      </w:r>
    </w:p>
    <w:p>
      <w:pPr>
        <w:spacing w:after="0"/>
        <w:rPr>
          <w:rFonts w:ascii="Stone Sans II ITC Std X Bd" w:hAnsi="Stone Sans II ITC Std X Bd"/>
          <w:sz w:val="24"/>
        </w:rPr>
        <w:sectPr>
          <w:pgSz w:w="11910" w:h="16840"/>
          <w:pgMar w:header="0" w:footer="0" w:top="1580" w:bottom="280" w:left="700" w:right="0"/>
        </w:sectPr>
      </w:pPr>
    </w:p>
    <w:p>
      <w:pPr>
        <w:pStyle w:val="BodyText"/>
        <w:rPr>
          <w:rFonts w:ascii="Stone Sans II ITC Std X Bd"/>
          <w:b/>
        </w:rPr>
      </w:pPr>
      <w:r>
        <w:rPr/>
        <w:pict>
          <v:rect style="position:absolute;margin-left:0pt;margin-top:.000015pt;width:595.275pt;height:841.89pt;mso-position-horizontal-relative:page;mso-position-vertical-relative:page;z-index:-268102656" filled="true" fillcolor="#fef4df" stroked="false">
            <v:fill type="solid"/>
            <w10:wrap type="none"/>
          </v:rect>
        </w:pict>
      </w:r>
      <w:r>
        <w:rPr/>
        <w:pict>
          <v:group style="position:absolute;margin-left:51.023998pt;margin-top:51.732014pt;width:482.85pt;height:740.25pt;mso-position-horizontal-relative:page;mso-position-vertical-relative:page;z-index:-268101632" coordorigin="1020,1035" coordsize="9657,14805">
            <v:rect style="position:absolute;left:1050;top:1064;width:9627;height:14775" filled="true" fillcolor="#000000" stroked="false">
              <v:fill opacity="26870f" type="solid"/>
            </v:rect>
            <v:shape style="position:absolute;left:1020;top:1034;width:9406;height:14556" coordorigin="1020,1035" coordsize="9406,14556" path="m10426,1035l1020,1035,1020,14337,1020,15590,10426,15590,10426,14337,10426,1035e" filled="true" fillcolor="#ffffff" stroked="false">
              <v:path arrowok="t"/>
              <v:fill type="solid"/>
            </v:shape>
            <v:rect style="position:absolute;left:9731;top:1370;width:359;height:372" filled="true" fillcolor="#e85113" stroked="false">
              <v:fill type="solid"/>
            </v:rect>
            <v:rect style="position:absolute;left:9731;top:1865;width:359;height:359" filled="true" fillcolor="#f6af81" stroked="false">
              <v:fill type="solid"/>
            </v:rect>
            <v:rect style="position:absolute;left:9731;top:2357;width:359;height:359" filled="true" fillcolor="#fad0b4" stroked="false">
              <v:fill opacity="32768f" type="solid"/>
            </v:rect>
            <v:rect style="position:absolute;left:7923;top:12877;width:2456;height:2614" filled="true" fillcolor="#000000" stroked="false">
              <v:fill opacity="21627f" type="solid"/>
            </v:rect>
            <v:shape style="position:absolute;left:8286;top:12885;width:246;height:647" type="#_x0000_t75" stroked="false">
              <v:imagedata r:id="rId48" o:title=""/>
            </v:shape>
            <v:shape style="position:absolute;left:8590;top:13308;width:378;height:1134" type="#_x0000_t75" stroked="false">
              <v:imagedata r:id="rId49" o:title=""/>
            </v:shape>
            <v:shape style="position:absolute;left:8916;top:13011;width:737;height:1426" type="#_x0000_t75" stroked="false">
              <v:imagedata r:id="rId50" o:title=""/>
            </v:shape>
            <v:shape style="position:absolute;left:8156;top:15071;width:204;height:229" coordorigin="8157,15072" coordsize="204,229" path="m8188,15072l8157,15072,8245,15300,8275,15300,8285,15273,8260,15273,8188,15072xm8360,15072l8332,15072,8261,15273,8285,15273,8360,15072xe" filled="true" fillcolor="#e53f17" stroked="false">
              <v:path arrowok="t"/>
              <v:fill type="solid"/>
            </v:shape>
            <v:line style="position:absolute" from="8402,15072" to="8402,15300" stroked="true" strokeweight="1.396pt" strokecolor="#e53f17">
              <v:stroke dashstyle="solid"/>
            </v:line>
            <v:rect style="position:absolute;left:8388;top:14983;width:28;height:45" filled="true" fillcolor="#e53f17" stroked="false">
              <v:fill type="solid"/>
            </v:rect>
            <v:shape style="position:absolute;left:8457;top:15065;width:186;height:242" type="#_x0000_t75" stroked="false">
              <v:imagedata r:id="rId51" o:title=""/>
            </v:shape>
            <v:line style="position:absolute" from="8698,15072" to="8698,15300" stroked="true" strokeweight="1.396pt" strokecolor="#e53f17">
              <v:stroke dashstyle="solid"/>
            </v:line>
            <v:shape style="position:absolute;left:8753;top:15065;width:217;height:242" type="#_x0000_t75" stroked="false">
              <v:imagedata r:id="rId52" o:title=""/>
            </v:shape>
            <v:shape style="position:absolute;left:9011;top:15065;width:186;height:236" type="#_x0000_t75" stroked="false">
              <v:imagedata r:id="rId53" o:title=""/>
            </v:shape>
            <v:shape style="position:absolute;left:9240;top:14983;width:213;height:317" type="#_x0000_t75" stroked="false">
              <v:imagedata r:id="rId54" o:title=""/>
            </v:shape>
            <v:shape style="position:absolute;left:9485;top:14983;width:215;height:323" type="#_x0000_t75" stroked="false">
              <v:imagedata r:id="rId55" o:title=""/>
            </v:shape>
            <v:shape style="position:absolute;left:9733;top:14983;width:213;height:317" type="#_x0000_t75" stroked="false">
              <v:imagedata r:id="rId56" o:title=""/>
            </v:shape>
            <v:shape style="position:absolute;left:9978;top:14983;width:215;height:323" type="#_x0000_t75" stroked="false">
              <v:imagedata r:id="rId57" o:title=""/>
            </v:shape>
            <v:shape style="position:absolute;left:7946;top:13410;width:1529;height:1622" type="#_x0000_t75" stroked="false">
              <v:imagedata r:id="rId58" o:title=""/>
            </v:shape>
            <w10:wrap type="none"/>
          </v:group>
        </w:pict>
      </w:r>
    </w:p>
    <w:p>
      <w:pPr>
        <w:pStyle w:val="BodyText"/>
        <w:rPr>
          <w:rFonts w:ascii="Stone Sans II ITC Std X Bd"/>
          <w:b/>
        </w:rPr>
      </w:pPr>
    </w:p>
    <w:p>
      <w:pPr>
        <w:pStyle w:val="BodyText"/>
        <w:spacing w:before="9"/>
        <w:rPr>
          <w:rFonts w:ascii="Stone Sans II ITC Std X Bd"/>
          <w:b/>
        </w:rPr>
      </w:pPr>
    </w:p>
    <w:p>
      <w:pPr>
        <w:pStyle w:val="Heading7"/>
        <w:spacing w:line="240" w:lineRule="auto" w:before="94"/>
        <w:ind w:left="1278"/>
      </w:pPr>
      <w:r>
        <w:rPr/>
        <w:pict>
          <v:shape style="position:absolute;margin-left:456.075623pt;margin-top:2.624182pt;width:53.9pt;height:513pt;mso-position-horizontal-relative:page;mso-position-vertical-relative:paragraph;z-index:-268100608" type="#_x0000_t202" filled="false" stroked="false">
            <v:textbox inset="0,0,0,0" style="layout-flow:vertical">
              <w:txbxContent>
                <w:p>
                  <w:pPr>
                    <w:spacing w:line="479" w:lineRule="exact" w:before="15"/>
                    <w:ind w:left="1169" w:right="0" w:firstLine="0"/>
                    <w:jc w:val="left"/>
                    <w:rPr>
                      <w:rFonts w:ascii="Stone Sans II ITC Std Bk"/>
                      <w:b/>
                      <w:sz w:val="39"/>
                    </w:rPr>
                  </w:pPr>
                  <w:r>
                    <w:rPr>
                      <w:rFonts w:ascii="Stone Sans II ITC Std Bk"/>
                      <w:b/>
                      <w:color w:val="E2001A"/>
                      <w:w w:val="115"/>
                      <w:sz w:val="39"/>
                    </w:rPr>
                    <w:t>Framework for Mission</w:t>
                  </w:r>
                </w:p>
                <w:p>
                  <w:pPr>
                    <w:spacing w:line="584" w:lineRule="exact" w:before="0"/>
                    <w:ind w:left="20" w:right="0" w:firstLine="0"/>
                    <w:jc w:val="left"/>
                    <w:rPr>
                      <w:rFonts w:ascii="Stone Sans II ITC Std X Bd"/>
                      <w:b/>
                      <w:sz w:val="48"/>
                    </w:rPr>
                  </w:pPr>
                  <w:r>
                    <w:rPr>
                      <w:rFonts w:ascii="Stone Sans II ITC Std X Bd"/>
                      <w:b/>
                      <w:spacing w:val="-6"/>
                      <w:w w:val="110"/>
                      <w:sz w:val="48"/>
                    </w:rPr>
                    <w:t>ten statements </w:t>
                  </w:r>
                  <w:r>
                    <w:rPr>
                      <w:rFonts w:ascii="Stone Sans II ITC Std X Bd"/>
                      <w:b/>
                      <w:spacing w:val="-3"/>
                      <w:w w:val="110"/>
                      <w:sz w:val="48"/>
                    </w:rPr>
                    <w:t>of </w:t>
                  </w:r>
                  <w:r>
                    <w:rPr>
                      <w:rFonts w:ascii="Stone Sans II ITC Std X Bd"/>
                      <w:b/>
                      <w:spacing w:val="-4"/>
                      <w:w w:val="110"/>
                      <w:sz w:val="48"/>
                    </w:rPr>
                    <w:t>our </w:t>
                  </w:r>
                  <w:r>
                    <w:rPr>
                      <w:rFonts w:ascii="Stone Sans II ITC Std X Bd"/>
                      <w:b/>
                      <w:spacing w:val="-5"/>
                      <w:w w:val="110"/>
                      <w:sz w:val="48"/>
                    </w:rPr>
                    <w:t>mission</w:t>
                  </w:r>
                  <w:r>
                    <w:rPr>
                      <w:rFonts w:ascii="Stone Sans II ITC Std X Bd"/>
                      <w:b/>
                      <w:spacing w:val="-69"/>
                      <w:w w:val="110"/>
                      <w:sz w:val="48"/>
                    </w:rPr>
                    <w:t> </w:t>
                  </w:r>
                  <w:r>
                    <w:rPr>
                      <w:rFonts w:ascii="Stone Sans II ITC Std X Bd"/>
                      <w:b/>
                      <w:spacing w:val="-4"/>
                      <w:w w:val="110"/>
                      <w:sz w:val="48"/>
                    </w:rPr>
                    <w:t>purpose</w:t>
                  </w:r>
                </w:p>
              </w:txbxContent>
            </v:textbox>
            <w10:wrap type="none"/>
          </v:shape>
        </w:pict>
      </w:r>
      <w:r>
        <w:rPr>
          <w:color w:val="E85113"/>
          <w:w w:val="110"/>
        </w:rPr>
        <w:t>Statement 1: </w:t>
      </w:r>
      <w:r>
        <w:rPr>
          <w:w w:val="110"/>
        </w:rPr>
        <w:t>Spirituality and prayer</w:t>
      </w:r>
    </w:p>
    <w:p>
      <w:pPr>
        <w:spacing w:line="249" w:lineRule="auto" w:before="169"/>
        <w:ind w:left="1278" w:right="3714" w:firstLine="0"/>
        <w:jc w:val="left"/>
        <w:rPr>
          <w:sz w:val="15"/>
        </w:rPr>
      </w:pPr>
      <w:r>
        <w:rPr>
          <w:w w:val="125"/>
          <w:sz w:val="15"/>
        </w:rPr>
        <w:t>We will grow in our practice of prayer and spirituality, nurturing strength for our witness to Jesus Christ, and developing our discernment of where God is and  what God is calling us to do by reading and studying the Bible and through the power of the Holy</w:t>
      </w:r>
      <w:r>
        <w:rPr>
          <w:spacing w:val="7"/>
          <w:w w:val="125"/>
          <w:sz w:val="15"/>
        </w:rPr>
        <w:t> </w:t>
      </w:r>
      <w:r>
        <w:rPr>
          <w:w w:val="125"/>
          <w:sz w:val="15"/>
        </w:rPr>
        <w:t>Spirit.</w:t>
      </w:r>
    </w:p>
    <w:p>
      <w:pPr>
        <w:pStyle w:val="BodyText"/>
        <w:spacing w:before="10"/>
        <w:rPr>
          <w:sz w:val="25"/>
        </w:rPr>
      </w:pPr>
    </w:p>
    <w:p>
      <w:pPr>
        <w:pStyle w:val="Heading7"/>
        <w:spacing w:line="240" w:lineRule="auto"/>
        <w:ind w:left="1278"/>
      </w:pPr>
      <w:r>
        <w:rPr>
          <w:color w:val="E85113"/>
          <w:w w:val="110"/>
        </w:rPr>
        <w:t>Statement 2: </w:t>
      </w:r>
      <w:r>
        <w:rPr>
          <w:w w:val="110"/>
        </w:rPr>
        <w:t>Identity</w:t>
      </w:r>
    </w:p>
    <w:p>
      <w:pPr>
        <w:spacing w:line="249" w:lineRule="auto" w:before="169"/>
        <w:ind w:left="1278" w:right="3247" w:firstLine="0"/>
        <w:jc w:val="left"/>
        <w:rPr>
          <w:sz w:val="15"/>
        </w:rPr>
      </w:pPr>
      <w:r>
        <w:rPr>
          <w:w w:val="130"/>
          <w:sz w:val="15"/>
        </w:rPr>
        <w:t>The URC will be a Church where every local congregation will be able to say who they are, what they do and why they do it.</w:t>
      </w:r>
    </w:p>
    <w:p>
      <w:pPr>
        <w:pStyle w:val="BodyText"/>
        <w:rPr>
          <w:sz w:val="26"/>
        </w:rPr>
      </w:pPr>
    </w:p>
    <w:p>
      <w:pPr>
        <w:pStyle w:val="Heading7"/>
        <w:spacing w:line="240" w:lineRule="auto"/>
        <w:ind w:left="1278"/>
      </w:pPr>
      <w:r>
        <w:rPr>
          <w:color w:val="E85113"/>
          <w:w w:val="110"/>
        </w:rPr>
        <w:t>Statement 3: </w:t>
      </w:r>
      <w:r>
        <w:rPr>
          <w:w w:val="110"/>
        </w:rPr>
        <w:t>Christian Ecumenical Partnerships</w:t>
      </w:r>
    </w:p>
    <w:p>
      <w:pPr>
        <w:spacing w:line="249" w:lineRule="auto" w:before="169"/>
        <w:ind w:left="1278" w:right="3247" w:firstLine="0"/>
        <w:jc w:val="left"/>
        <w:rPr>
          <w:sz w:val="15"/>
        </w:rPr>
      </w:pPr>
      <w:r>
        <w:rPr>
          <w:w w:val="125"/>
          <w:sz w:val="15"/>
        </w:rPr>
        <w:t>We will be more confident in our identity, valuing the treasures of our tradition, discerning when to seek ecumenical partnerships, and when and how to seek the further unity of the Church.</w:t>
      </w:r>
    </w:p>
    <w:p>
      <w:pPr>
        <w:pStyle w:val="BodyText"/>
        <w:spacing w:before="11"/>
        <w:rPr>
          <w:sz w:val="25"/>
        </w:rPr>
      </w:pPr>
    </w:p>
    <w:p>
      <w:pPr>
        <w:pStyle w:val="Heading7"/>
        <w:spacing w:line="240" w:lineRule="auto"/>
        <w:ind w:left="1278"/>
      </w:pPr>
      <w:r>
        <w:rPr>
          <w:color w:val="E85113"/>
          <w:w w:val="110"/>
        </w:rPr>
        <w:t>Statement 4: </w:t>
      </w:r>
      <w:r>
        <w:rPr>
          <w:w w:val="110"/>
        </w:rPr>
        <w:t>Community partnerships</w:t>
      </w:r>
    </w:p>
    <w:p>
      <w:pPr>
        <w:spacing w:before="169"/>
        <w:ind w:left="1278" w:right="0" w:firstLine="0"/>
        <w:jc w:val="left"/>
        <w:rPr>
          <w:sz w:val="15"/>
        </w:rPr>
      </w:pPr>
      <w:r>
        <w:rPr>
          <w:w w:val="125"/>
          <w:sz w:val="15"/>
        </w:rPr>
        <w:t>We will be a Church that is more active in the life of local neighbourhoods.</w:t>
      </w:r>
    </w:p>
    <w:p>
      <w:pPr>
        <w:pStyle w:val="BodyText"/>
        <w:spacing w:before="8"/>
        <w:rPr>
          <w:sz w:val="26"/>
        </w:rPr>
      </w:pPr>
    </w:p>
    <w:p>
      <w:pPr>
        <w:pStyle w:val="Heading7"/>
        <w:spacing w:line="240" w:lineRule="auto" w:before="1"/>
        <w:ind w:left="1278"/>
      </w:pPr>
      <w:r>
        <w:rPr>
          <w:color w:val="E85113"/>
          <w:w w:val="110"/>
        </w:rPr>
        <w:t>Statement 5: </w:t>
      </w:r>
      <w:r>
        <w:rPr>
          <w:w w:val="110"/>
        </w:rPr>
        <w:t>Hospitality and diversity</w:t>
      </w:r>
    </w:p>
    <w:p>
      <w:pPr>
        <w:spacing w:line="249" w:lineRule="auto" w:before="169"/>
        <w:ind w:left="1278" w:right="3714" w:firstLine="0"/>
        <w:jc w:val="left"/>
        <w:rPr>
          <w:sz w:val="15"/>
        </w:rPr>
      </w:pPr>
      <w:r>
        <w:rPr>
          <w:w w:val="130"/>
          <w:sz w:val="15"/>
        </w:rPr>
        <w:t>We will be a Church committed to becoming even more welcoming and hospitable, and embracing all people equally.</w:t>
      </w:r>
    </w:p>
    <w:p>
      <w:pPr>
        <w:pStyle w:val="BodyText"/>
        <w:spacing w:before="12"/>
        <w:rPr>
          <w:sz w:val="25"/>
        </w:rPr>
      </w:pPr>
    </w:p>
    <w:p>
      <w:pPr>
        <w:pStyle w:val="Heading7"/>
        <w:spacing w:line="240" w:lineRule="auto"/>
        <w:ind w:left="1278"/>
      </w:pPr>
      <w:r>
        <w:rPr>
          <w:color w:val="E85113"/>
          <w:w w:val="110"/>
        </w:rPr>
        <w:t>Statement 6: </w:t>
      </w:r>
      <w:r>
        <w:rPr>
          <w:w w:val="110"/>
        </w:rPr>
        <w:t>Evangelism</w:t>
      </w:r>
    </w:p>
    <w:p>
      <w:pPr>
        <w:spacing w:line="249" w:lineRule="auto" w:before="169"/>
        <w:ind w:left="1278" w:right="3678" w:firstLine="0"/>
        <w:jc w:val="left"/>
        <w:rPr>
          <w:sz w:val="15"/>
        </w:rPr>
      </w:pPr>
      <w:r>
        <w:rPr>
          <w:w w:val="130"/>
          <w:sz w:val="15"/>
        </w:rPr>
        <w:t>We will be more confident to engage in evangelism, proclaiming the good news of the kingdom of God with friends, families and strangers, through story and action.</w:t>
      </w:r>
    </w:p>
    <w:p>
      <w:pPr>
        <w:pStyle w:val="BodyText"/>
        <w:spacing w:before="11"/>
        <w:rPr>
          <w:sz w:val="25"/>
        </w:rPr>
      </w:pPr>
    </w:p>
    <w:p>
      <w:pPr>
        <w:pStyle w:val="Heading7"/>
        <w:spacing w:line="240" w:lineRule="auto"/>
        <w:ind w:left="1278"/>
      </w:pPr>
      <w:r>
        <w:rPr>
          <w:color w:val="E85113"/>
          <w:w w:val="110"/>
        </w:rPr>
        <w:t>Statement 7: </w:t>
      </w:r>
      <w:r>
        <w:rPr>
          <w:w w:val="110"/>
        </w:rPr>
        <w:t>Church growth</w:t>
      </w:r>
    </w:p>
    <w:p>
      <w:pPr>
        <w:spacing w:before="169"/>
        <w:ind w:left="1278" w:right="0" w:firstLine="0"/>
        <w:jc w:val="left"/>
        <w:rPr>
          <w:sz w:val="15"/>
        </w:rPr>
      </w:pPr>
      <w:r>
        <w:rPr>
          <w:w w:val="125"/>
          <w:sz w:val="15"/>
        </w:rPr>
        <w:t>We will be a growing Church with an increasing membership.</w:t>
      </w:r>
    </w:p>
    <w:p>
      <w:pPr>
        <w:pStyle w:val="BodyText"/>
        <w:spacing w:before="8"/>
        <w:rPr>
          <w:sz w:val="26"/>
        </w:rPr>
      </w:pPr>
    </w:p>
    <w:p>
      <w:pPr>
        <w:pStyle w:val="Heading7"/>
        <w:spacing w:line="240" w:lineRule="auto"/>
        <w:ind w:left="1278"/>
      </w:pPr>
      <w:r>
        <w:rPr>
          <w:color w:val="E85113"/>
          <w:w w:val="110"/>
        </w:rPr>
        <w:t>Statement 8: </w:t>
      </w:r>
      <w:r>
        <w:rPr>
          <w:w w:val="110"/>
        </w:rPr>
        <w:t>Global partnerships</w:t>
      </w:r>
    </w:p>
    <w:p>
      <w:pPr>
        <w:spacing w:line="249" w:lineRule="auto" w:before="169"/>
        <w:ind w:left="1278" w:right="3247" w:firstLine="0"/>
        <w:jc w:val="left"/>
        <w:rPr>
          <w:sz w:val="15"/>
        </w:rPr>
      </w:pPr>
      <w:r>
        <w:rPr>
          <w:w w:val="130"/>
          <w:sz w:val="15"/>
        </w:rPr>
        <w:t>We</w:t>
      </w:r>
      <w:r>
        <w:rPr>
          <w:spacing w:val="-9"/>
          <w:w w:val="130"/>
          <w:sz w:val="15"/>
        </w:rPr>
        <w:t> </w:t>
      </w:r>
      <w:r>
        <w:rPr>
          <w:w w:val="130"/>
          <w:sz w:val="15"/>
        </w:rPr>
        <w:t>will</w:t>
      </w:r>
      <w:r>
        <w:rPr>
          <w:spacing w:val="-8"/>
          <w:w w:val="130"/>
          <w:sz w:val="15"/>
        </w:rPr>
        <w:t> </w:t>
      </w:r>
      <w:r>
        <w:rPr>
          <w:w w:val="130"/>
          <w:sz w:val="15"/>
        </w:rPr>
        <w:t>be</w:t>
      </w:r>
      <w:r>
        <w:rPr>
          <w:spacing w:val="-8"/>
          <w:w w:val="130"/>
          <w:sz w:val="15"/>
        </w:rPr>
        <w:t> </w:t>
      </w:r>
      <w:r>
        <w:rPr>
          <w:w w:val="130"/>
          <w:sz w:val="15"/>
        </w:rPr>
        <w:t>a</w:t>
      </w:r>
      <w:r>
        <w:rPr>
          <w:spacing w:val="-9"/>
          <w:w w:val="130"/>
          <w:sz w:val="15"/>
        </w:rPr>
        <w:t> </w:t>
      </w:r>
      <w:r>
        <w:rPr>
          <w:w w:val="130"/>
          <w:sz w:val="15"/>
        </w:rPr>
        <w:t>Church</w:t>
      </w:r>
      <w:r>
        <w:rPr>
          <w:spacing w:val="-8"/>
          <w:w w:val="130"/>
          <w:sz w:val="15"/>
        </w:rPr>
        <w:t> </w:t>
      </w:r>
      <w:r>
        <w:rPr>
          <w:w w:val="130"/>
          <w:sz w:val="15"/>
        </w:rPr>
        <w:t>that</w:t>
      </w:r>
      <w:r>
        <w:rPr>
          <w:spacing w:val="-8"/>
          <w:w w:val="130"/>
          <w:sz w:val="15"/>
        </w:rPr>
        <w:t> </w:t>
      </w:r>
      <w:r>
        <w:rPr>
          <w:w w:val="130"/>
          <w:sz w:val="15"/>
        </w:rPr>
        <w:t>is</w:t>
      </w:r>
      <w:r>
        <w:rPr>
          <w:spacing w:val="-9"/>
          <w:w w:val="130"/>
          <w:sz w:val="15"/>
        </w:rPr>
        <w:t> </w:t>
      </w:r>
      <w:r>
        <w:rPr>
          <w:w w:val="130"/>
          <w:sz w:val="15"/>
        </w:rPr>
        <w:t>an</w:t>
      </w:r>
      <w:r>
        <w:rPr>
          <w:spacing w:val="-8"/>
          <w:w w:val="130"/>
          <w:sz w:val="15"/>
        </w:rPr>
        <w:t> </w:t>
      </w:r>
      <w:r>
        <w:rPr>
          <w:w w:val="130"/>
          <w:sz w:val="15"/>
        </w:rPr>
        <w:t>active</w:t>
      </w:r>
      <w:r>
        <w:rPr>
          <w:spacing w:val="-8"/>
          <w:w w:val="130"/>
          <w:sz w:val="15"/>
        </w:rPr>
        <w:t> </w:t>
      </w:r>
      <w:r>
        <w:rPr>
          <w:w w:val="130"/>
          <w:sz w:val="15"/>
        </w:rPr>
        <w:t>partner</w:t>
      </w:r>
      <w:r>
        <w:rPr>
          <w:spacing w:val="-9"/>
          <w:w w:val="130"/>
          <w:sz w:val="15"/>
        </w:rPr>
        <w:t> </w:t>
      </w:r>
      <w:r>
        <w:rPr>
          <w:w w:val="130"/>
          <w:sz w:val="15"/>
        </w:rPr>
        <w:t>in</w:t>
      </w:r>
      <w:r>
        <w:rPr>
          <w:spacing w:val="-8"/>
          <w:w w:val="130"/>
          <w:sz w:val="15"/>
        </w:rPr>
        <w:t> </w:t>
      </w:r>
      <w:r>
        <w:rPr>
          <w:w w:val="130"/>
          <w:sz w:val="15"/>
        </w:rPr>
        <w:t>God’s</w:t>
      </w:r>
      <w:r>
        <w:rPr>
          <w:spacing w:val="-8"/>
          <w:w w:val="130"/>
          <w:sz w:val="15"/>
        </w:rPr>
        <w:t> </w:t>
      </w:r>
      <w:r>
        <w:rPr>
          <w:w w:val="130"/>
          <w:sz w:val="15"/>
        </w:rPr>
        <w:t>global</w:t>
      </w:r>
      <w:r>
        <w:rPr>
          <w:spacing w:val="-9"/>
          <w:w w:val="130"/>
          <w:sz w:val="15"/>
        </w:rPr>
        <w:t> </w:t>
      </w:r>
      <w:r>
        <w:rPr>
          <w:w w:val="130"/>
          <w:sz w:val="15"/>
        </w:rPr>
        <w:t>mission</w:t>
      </w:r>
      <w:r>
        <w:rPr>
          <w:spacing w:val="-8"/>
          <w:w w:val="130"/>
          <w:sz w:val="15"/>
        </w:rPr>
        <w:t> </w:t>
      </w:r>
      <w:r>
        <w:rPr>
          <w:w w:val="130"/>
          <w:sz w:val="15"/>
        </w:rPr>
        <w:t>with</w:t>
      </w:r>
      <w:r>
        <w:rPr>
          <w:spacing w:val="-8"/>
          <w:w w:val="130"/>
          <w:sz w:val="15"/>
        </w:rPr>
        <w:t> </w:t>
      </w:r>
      <w:r>
        <w:rPr>
          <w:w w:val="130"/>
          <w:sz w:val="15"/>
        </w:rPr>
        <w:t>other Churches around the</w:t>
      </w:r>
      <w:r>
        <w:rPr>
          <w:spacing w:val="-2"/>
          <w:w w:val="130"/>
          <w:sz w:val="15"/>
        </w:rPr>
        <w:t> </w:t>
      </w:r>
      <w:r>
        <w:rPr>
          <w:w w:val="130"/>
          <w:sz w:val="15"/>
        </w:rPr>
        <w:t>world.</w:t>
      </w:r>
    </w:p>
    <w:p>
      <w:pPr>
        <w:pStyle w:val="BodyText"/>
        <w:rPr>
          <w:sz w:val="26"/>
        </w:rPr>
      </w:pPr>
    </w:p>
    <w:p>
      <w:pPr>
        <w:pStyle w:val="Heading7"/>
        <w:spacing w:line="240" w:lineRule="auto"/>
        <w:ind w:left="1278"/>
      </w:pPr>
      <w:r>
        <w:rPr>
          <w:color w:val="E85113"/>
          <w:w w:val="110"/>
        </w:rPr>
        <w:t>Statement 9: </w:t>
      </w:r>
      <w:r>
        <w:rPr>
          <w:w w:val="110"/>
        </w:rPr>
        <w:t>Justice and peace</w:t>
      </w:r>
    </w:p>
    <w:p>
      <w:pPr>
        <w:spacing w:line="249" w:lineRule="auto" w:before="169"/>
        <w:ind w:left="1278" w:right="3714" w:firstLine="0"/>
        <w:jc w:val="left"/>
        <w:rPr>
          <w:sz w:val="15"/>
        </w:rPr>
      </w:pPr>
      <w:r>
        <w:rPr>
          <w:w w:val="125"/>
          <w:sz w:val="15"/>
        </w:rPr>
        <w:t>We will be a Church committed to peacemaking and reconciliation that keeps faith with the poor and challenges injustice.</w:t>
      </w:r>
    </w:p>
    <w:p>
      <w:pPr>
        <w:pStyle w:val="BodyText"/>
        <w:rPr>
          <w:sz w:val="26"/>
        </w:rPr>
      </w:pPr>
    </w:p>
    <w:p>
      <w:pPr>
        <w:pStyle w:val="Heading7"/>
        <w:spacing w:line="240" w:lineRule="auto"/>
        <w:ind w:left="1278"/>
      </w:pPr>
      <w:r>
        <w:rPr>
          <w:color w:val="E85113"/>
          <w:w w:val="110"/>
        </w:rPr>
        <w:t>Statement 10: </w:t>
      </w:r>
      <w:r>
        <w:rPr>
          <w:w w:val="110"/>
        </w:rPr>
        <w:t>The integrity of creation</w:t>
      </w:r>
    </w:p>
    <w:p>
      <w:pPr>
        <w:spacing w:line="249" w:lineRule="auto" w:before="169"/>
        <w:ind w:left="1278" w:right="3247" w:firstLine="0"/>
        <w:jc w:val="left"/>
        <w:rPr>
          <w:sz w:val="15"/>
        </w:rPr>
      </w:pPr>
      <w:r>
        <w:rPr>
          <w:w w:val="125"/>
          <w:sz w:val="15"/>
        </w:rPr>
        <w:t>We will be a Church that has taken significant steps to safeguard the integrity of creation, to sustain and renew the life of the earth.</w:t>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11"/>
        <w:rPr>
          <w:sz w:val="24"/>
        </w:rPr>
      </w:pPr>
    </w:p>
    <w:p>
      <w:pPr>
        <w:pStyle w:val="Heading6"/>
        <w:spacing w:before="96"/>
        <w:ind w:left="377"/>
      </w:pPr>
      <w:r>
        <w:rPr>
          <w:rFonts w:ascii="Stone Sans II ITC Std X Bd" w:hAnsi="Stone Sans II ITC Std X Bd"/>
          <w:b/>
          <w:w w:val="110"/>
          <w:sz w:val="24"/>
        </w:rPr>
        <w:t>4 </w:t>
      </w:r>
      <w:r>
        <w:rPr>
          <w:rFonts w:ascii="Symbol" w:hAnsi="Symbol"/>
          <w:color w:val="7EAABF"/>
          <w:w w:val="110"/>
        </w:rPr>
        <w:t></w:t>
      </w:r>
      <w:r>
        <w:rPr>
          <w:rFonts w:ascii="Times New Roman" w:hAnsi="Times New Roman"/>
          <w:color w:val="7EAABF"/>
          <w:w w:val="110"/>
        </w:rPr>
        <w:t> </w:t>
      </w:r>
      <w:r>
        <w:rPr>
          <w:color w:val="7EAABF"/>
          <w:w w:val="110"/>
        </w:rPr>
        <w:t>United Reformed Church </w:t>
      </w:r>
      <w:r>
        <w:rPr>
          <w:rFonts w:ascii="Symbol" w:hAnsi="Symbol"/>
          <w:color w:val="7EAABF"/>
          <w:w w:val="110"/>
        </w:rPr>
        <w:t></w:t>
      </w:r>
      <w:r>
        <w:rPr>
          <w:rFonts w:ascii="Times New Roman" w:hAnsi="Times New Roman"/>
          <w:color w:val="7EAABF"/>
          <w:w w:val="110"/>
        </w:rPr>
        <w:t> </w:t>
      </w:r>
      <w:r>
        <w:rPr>
          <w:color w:val="7EAABF"/>
          <w:w w:val="110"/>
        </w:rPr>
        <w:t>General Assembly 2016</w:t>
      </w:r>
    </w:p>
    <w:p>
      <w:pPr>
        <w:spacing w:after="0"/>
        <w:sectPr>
          <w:headerReference w:type="even" r:id="rId47"/>
          <w:pgSz w:w="11910" w:h="16840"/>
          <w:pgMar w:header="0" w:footer="0" w:top="1020" w:bottom="280" w:left="700" w:right="0"/>
        </w:sectPr>
      </w:pPr>
    </w:p>
    <w:p>
      <w:pPr>
        <w:pStyle w:val="BodyText"/>
      </w:pPr>
      <w:r>
        <w:rPr/>
        <w:pict>
          <v:rect style="position:absolute;margin-left:0pt;margin-top:.000015pt;width:549.207pt;height:841.89pt;mso-position-horizontal-relative:page;mso-position-vertical-relative:page;z-index:-268099584" filled="true" fillcolor="#fef4df" stroked="false">
            <v:fill type="solid"/>
            <w10:wrap type="none"/>
          </v:rect>
        </w:pict>
      </w:r>
      <w:r>
        <w:rPr/>
        <w:drawing>
          <wp:anchor distT="0" distB="0" distL="0" distR="0" allowOverlap="1" layoutInCell="1" locked="0" behindDoc="0" simplePos="0" relativeHeight="251671552">
            <wp:simplePos x="0" y="0"/>
            <wp:positionH relativeFrom="page">
              <wp:posOffset>6974928</wp:posOffset>
            </wp:positionH>
            <wp:positionV relativeFrom="page">
              <wp:posOffset>0</wp:posOffset>
            </wp:positionV>
            <wp:extent cx="585063" cy="10692003"/>
            <wp:effectExtent l="0" t="0" r="0" b="0"/>
            <wp:wrapNone/>
            <wp:docPr id="3" name="image27.png"/>
            <wp:cNvGraphicFramePr>
              <a:graphicFrameLocks noChangeAspect="1"/>
            </wp:cNvGraphicFramePr>
            <a:graphic>
              <a:graphicData uri="http://schemas.openxmlformats.org/drawingml/2006/picture">
                <pic:pic>
                  <pic:nvPicPr>
                    <pic:cNvPr id="4" name="image27.png"/>
                    <pic:cNvPicPr/>
                  </pic:nvPicPr>
                  <pic:blipFill>
                    <a:blip r:embed="rId34" cstate="print"/>
                    <a:stretch>
                      <a:fillRect/>
                    </a:stretch>
                  </pic:blipFill>
                  <pic:spPr>
                    <a:xfrm>
                      <a:off x="0" y="0"/>
                      <a:ext cx="585063" cy="10692003"/>
                    </a:xfrm>
                    <a:prstGeom prst="rect">
                      <a:avLst/>
                    </a:prstGeom>
                  </pic:spPr>
                </pic:pic>
              </a:graphicData>
            </a:graphic>
          </wp:anchor>
        </w:drawing>
      </w:r>
    </w:p>
    <w:p>
      <w:pPr>
        <w:pStyle w:val="BodyText"/>
      </w:pPr>
    </w:p>
    <w:p>
      <w:pPr>
        <w:pStyle w:val="BodyText"/>
      </w:pPr>
    </w:p>
    <w:p>
      <w:pPr>
        <w:pStyle w:val="BodyText"/>
        <w:spacing w:before="5"/>
        <w:rPr>
          <w:sz w:val="28"/>
        </w:rPr>
      </w:pPr>
    </w:p>
    <w:p>
      <w:pPr>
        <w:spacing w:line="638" w:lineRule="exact" w:before="97"/>
        <w:ind w:left="1029" w:right="0" w:firstLine="0"/>
        <w:jc w:val="left"/>
        <w:rPr>
          <w:rFonts w:ascii="Stone Sans II ITC Std X Bd"/>
          <w:b/>
          <w:sz w:val="50"/>
        </w:rPr>
      </w:pPr>
      <w:r>
        <w:rPr/>
        <w:pict>
          <v:shape style="position:absolute;margin-left:554.141174pt;margin-top:-5.998084pt;width:25.9pt;height:163.2pt;mso-position-horizontal-relative:page;mso-position-vertical-relative:paragraph;z-index:251672576" type="#_x0000_t202" filled="false" stroked="false">
            <v:textbox inset="0,0,0,0" style="layout-flow:vertical">
              <w:txbxContent>
                <w:p>
                  <w:pPr>
                    <w:spacing w:before="27"/>
                    <w:ind w:left="20" w:right="0" w:firstLine="0"/>
                    <w:jc w:val="left"/>
                    <w:rPr>
                      <w:sz w:val="39"/>
                    </w:rPr>
                  </w:pPr>
                  <w:r>
                    <w:rPr>
                      <w:color w:val="FFFFFF"/>
                      <w:w w:val="125"/>
                      <w:sz w:val="39"/>
                    </w:rPr>
                    <w:t>Mission Council</w:t>
                  </w:r>
                </w:p>
              </w:txbxContent>
            </v:textbox>
            <w10:wrap type="none"/>
          </v:shape>
        </w:pict>
      </w:r>
      <w:r>
        <w:rPr>
          <w:rFonts w:ascii="Stone Sans II ITC Std X Bd"/>
          <w:b/>
          <w:color w:val="F1B400"/>
          <w:w w:val="110"/>
          <w:sz w:val="50"/>
        </w:rPr>
        <w:t>Mission Council:</w:t>
      </w:r>
    </w:p>
    <w:p>
      <w:pPr>
        <w:spacing w:line="638" w:lineRule="exact" w:before="0"/>
        <w:ind w:left="1029" w:right="0" w:firstLine="0"/>
        <w:jc w:val="left"/>
        <w:rPr>
          <w:rFonts w:ascii="Stone Sans II ITC Std X Bd"/>
          <w:b/>
          <w:sz w:val="50"/>
        </w:rPr>
      </w:pPr>
      <w:r>
        <w:rPr>
          <w:rFonts w:ascii="Stone Sans II ITC Std X Bd"/>
          <w:b/>
          <w:spacing w:val="-9"/>
          <w:w w:val="110"/>
          <w:sz w:val="50"/>
        </w:rPr>
        <w:t>General </w:t>
      </w:r>
      <w:r>
        <w:rPr>
          <w:rFonts w:ascii="Stone Sans II ITC Std X Bd"/>
          <w:b/>
          <w:spacing w:val="-6"/>
          <w:w w:val="110"/>
          <w:sz w:val="50"/>
        </w:rPr>
        <w:t>report </w:t>
      </w:r>
      <w:r>
        <w:rPr>
          <w:rFonts w:ascii="Stone Sans II ITC Std X Bd"/>
          <w:b/>
          <w:spacing w:val="-24"/>
          <w:w w:val="110"/>
          <w:sz w:val="50"/>
        </w:rPr>
        <w:t>2014 </w:t>
      </w:r>
      <w:r>
        <w:rPr>
          <w:rFonts w:ascii="Stone Sans II ITC Std X Bd"/>
          <w:b/>
          <w:spacing w:val="-10"/>
          <w:w w:val="110"/>
          <w:sz w:val="50"/>
        </w:rPr>
        <w:t>to </w:t>
      </w:r>
      <w:r>
        <w:rPr>
          <w:rFonts w:ascii="Stone Sans II ITC Std X Bd"/>
          <w:b/>
          <w:spacing w:val="-22"/>
          <w:w w:val="110"/>
          <w:sz w:val="50"/>
        </w:rPr>
        <w:t>2016</w:t>
      </w:r>
    </w:p>
    <w:p>
      <w:pPr>
        <w:pStyle w:val="Heading4"/>
        <w:spacing w:before="308"/>
        <w:ind w:left="1029"/>
      </w:pPr>
      <w:r>
        <w:rPr>
          <w:color w:val="7F7F7F"/>
        </w:rPr>
        <w:t>Basic Information</w:t>
      </w:r>
    </w:p>
    <w:tbl>
      <w:tblPr>
        <w:tblW w:w="0" w:type="auto"/>
        <w:jc w:val="left"/>
        <w:tblInd w:w="103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660"/>
        <w:gridCol w:w="6582"/>
      </w:tblGrid>
      <w:tr>
        <w:trPr>
          <w:trHeight w:val="680" w:hRule="atLeast"/>
        </w:trPr>
        <w:tc>
          <w:tcPr>
            <w:tcW w:w="2660" w:type="dxa"/>
            <w:shd w:val="clear" w:color="auto" w:fill="FFFFFF"/>
          </w:tcPr>
          <w:p>
            <w:pPr>
              <w:pStyle w:val="TableParagraph"/>
              <w:spacing w:line="213" w:lineRule="auto" w:before="151"/>
              <w:ind w:right="595"/>
              <w:rPr>
                <w:rFonts w:ascii="Stone Sans II ITC Std Bk"/>
                <w:b/>
                <w:sz w:val="20"/>
              </w:rPr>
            </w:pPr>
            <w:r>
              <w:rPr>
                <w:rFonts w:ascii="Stone Sans II ITC Std Bk"/>
                <w:b/>
                <w:w w:val="110"/>
                <w:sz w:val="20"/>
              </w:rPr>
              <w:t>Contact name and email address</w:t>
            </w:r>
          </w:p>
        </w:tc>
        <w:tc>
          <w:tcPr>
            <w:tcW w:w="6582" w:type="dxa"/>
            <w:shd w:val="clear" w:color="auto" w:fill="FFFFFF"/>
          </w:tcPr>
          <w:p>
            <w:pPr>
              <w:pStyle w:val="TableParagraph"/>
              <w:spacing w:before="141"/>
              <w:rPr>
                <w:sz w:val="20"/>
              </w:rPr>
            </w:pPr>
            <w:r>
              <w:rPr>
                <w:w w:val="120"/>
                <w:sz w:val="20"/>
              </w:rPr>
              <w:t>John Proctor: </w:t>
            </w:r>
            <w:hyperlink r:id="rId60">
              <w:r>
                <w:rPr>
                  <w:color w:val="006AB3"/>
                  <w:w w:val="120"/>
                  <w:sz w:val="20"/>
                </w:rPr>
                <w:t>john.proctor@urc.org.uk</w:t>
              </w:r>
            </w:hyperlink>
          </w:p>
        </w:tc>
      </w:tr>
      <w:tr>
        <w:trPr>
          <w:trHeight w:val="440" w:hRule="atLeast"/>
        </w:trPr>
        <w:tc>
          <w:tcPr>
            <w:tcW w:w="2660" w:type="dxa"/>
            <w:shd w:val="clear" w:color="auto" w:fill="FFFFFF"/>
          </w:tcPr>
          <w:p>
            <w:pPr>
              <w:pStyle w:val="TableParagraph"/>
              <w:spacing w:before="128"/>
              <w:rPr>
                <w:rFonts w:ascii="Stone Sans II ITC Std Bk"/>
                <w:b/>
                <w:sz w:val="20"/>
              </w:rPr>
            </w:pPr>
            <w:r>
              <w:rPr>
                <w:rFonts w:ascii="Stone Sans II ITC Std Bk"/>
                <w:b/>
                <w:w w:val="110"/>
                <w:sz w:val="20"/>
              </w:rPr>
              <w:t>Action required</w:t>
            </w:r>
          </w:p>
        </w:tc>
        <w:tc>
          <w:tcPr>
            <w:tcW w:w="6582" w:type="dxa"/>
            <w:shd w:val="clear" w:color="auto" w:fill="FFFFFF"/>
          </w:tcPr>
          <w:p>
            <w:pPr>
              <w:pStyle w:val="TableParagraph"/>
              <w:spacing w:before="141"/>
              <w:rPr>
                <w:sz w:val="20"/>
              </w:rPr>
            </w:pPr>
            <w:r>
              <w:rPr>
                <w:w w:val="120"/>
                <w:sz w:val="20"/>
              </w:rPr>
              <w:t>For information; papers with resolutions follow as appendices</w:t>
            </w:r>
          </w:p>
        </w:tc>
      </w:tr>
      <w:tr>
        <w:trPr>
          <w:trHeight w:val="440" w:hRule="atLeast"/>
        </w:trPr>
        <w:tc>
          <w:tcPr>
            <w:tcW w:w="2660" w:type="dxa"/>
            <w:shd w:val="clear" w:color="auto" w:fill="FFFFFF"/>
          </w:tcPr>
          <w:p>
            <w:pPr>
              <w:pStyle w:val="TableParagraph"/>
              <w:spacing w:before="128"/>
              <w:rPr>
                <w:rFonts w:ascii="Stone Sans II ITC Std Bk"/>
                <w:b/>
                <w:sz w:val="20"/>
              </w:rPr>
            </w:pPr>
            <w:r>
              <w:rPr>
                <w:rFonts w:ascii="Stone Sans II ITC Std Bk"/>
                <w:b/>
                <w:w w:val="110"/>
                <w:sz w:val="20"/>
              </w:rPr>
              <w:t>Draft resolution(s)</w:t>
            </w:r>
          </w:p>
        </w:tc>
        <w:tc>
          <w:tcPr>
            <w:tcW w:w="6582" w:type="dxa"/>
            <w:shd w:val="clear" w:color="auto" w:fill="FFFFFF"/>
          </w:tcPr>
          <w:p>
            <w:pPr>
              <w:pStyle w:val="TableParagraph"/>
              <w:spacing w:before="128"/>
              <w:rPr>
                <w:rFonts w:ascii="Stone Sans II ITC Std Bk"/>
                <w:b/>
                <w:sz w:val="20"/>
              </w:rPr>
            </w:pPr>
            <w:r>
              <w:rPr>
                <w:rFonts w:ascii="Stone Sans II ITC Std Bk"/>
                <w:b/>
                <w:w w:val="110"/>
                <w:sz w:val="20"/>
              </w:rPr>
              <w:t>None in the general report</w:t>
            </w:r>
          </w:p>
        </w:tc>
      </w:tr>
    </w:tbl>
    <w:p>
      <w:pPr>
        <w:pStyle w:val="BodyText"/>
        <w:spacing w:before="4"/>
        <w:rPr>
          <w:rFonts w:ascii="Stone Sans II ITC Std Bk"/>
          <w:b/>
          <w:sz w:val="29"/>
        </w:rPr>
      </w:pPr>
    </w:p>
    <w:p>
      <w:pPr>
        <w:pStyle w:val="Heading4"/>
        <w:ind w:left="1029"/>
      </w:pPr>
      <w:r>
        <w:rPr>
          <w:color w:val="7F7F7F"/>
        </w:rPr>
        <w:t>Summary of Content</w:t>
      </w:r>
    </w:p>
    <w:tbl>
      <w:tblPr>
        <w:tblW w:w="0" w:type="auto"/>
        <w:jc w:val="left"/>
        <w:tblInd w:w="103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660"/>
        <w:gridCol w:w="6582"/>
      </w:tblGrid>
      <w:tr>
        <w:trPr>
          <w:trHeight w:val="440" w:hRule="atLeast"/>
        </w:trPr>
        <w:tc>
          <w:tcPr>
            <w:tcW w:w="2660" w:type="dxa"/>
            <w:shd w:val="clear" w:color="auto" w:fill="FFFFFF"/>
          </w:tcPr>
          <w:p>
            <w:pPr>
              <w:pStyle w:val="TableParagraph"/>
              <w:spacing w:before="128"/>
              <w:rPr>
                <w:rFonts w:ascii="Stone Sans II ITC Std Bk"/>
                <w:b/>
                <w:sz w:val="20"/>
              </w:rPr>
            </w:pPr>
            <w:r>
              <w:rPr>
                <w:rFonts w:ascii="Stone Sans II ITC Std Bk"/>
                <w:b/>
                <w:w w:val="110"/>
                <w:sz w:val="20"/>
              </w:rPr>
              <w:t>Subject and aim(s)</w:t>
            </w:r>
          </w:p>
        </w:tc>
        <w:tc>
          <w:tcPr>
            <w:tcW w:w="6582" w:type="dxa"/>
            <w:shd w:val="clear" w:color="auto" w:fill="FFFFFF"/>
          </w:tcPr>
          <w:p>
            <w:pPr>
              <w:pStyle w:val="TableParagraph"/>
              <w:spacing w:before="141"/>
              <w:rPr>
                <w:sz w:val="20"/>
              </w:rPr>
            </w:pPr>
            <w:r>
              <w:rPr>
                <w:w w:val="120"/>
                <w:sz w:val="20"/>
              </w:rPr>
              <w:t>To report on the work of Mission Council in the last two years</w:t>
            </w:r>
          </w:p>
        </w:tc>
      </w:tr>
      <w:tr>
        <w:trPr>
          <w:trHeight w:val="680" w:hRule="atLeast"/>
        </w:trPr>
        <w:tc>
          <w:tcPr>
            <w:tcW w:w="2660" w:type="dxa"/>
            <w:shd w:val="clear" w:color="auto" w:fill="FFFFFF"/>
          </w:tcPr>
          <w:p>
            <w:pPr>
              <w:pStyle w:val="TableParagraph"/>
              <w:spacing w:before="128"/>
              <w:rPr>
                <w:rFonts w:ascii="Stone Sans II ITC Std Bk"/>
                <w:b/>
                <w:sz w:val="20"/>
              </w:rPr>
            </w:pPr>
            <w:r>
              <w:rPr>
                <w:rFonts w:ascii="Stone Sans II ITC Std Bk"/>
                <w:b/>
                <w:w w:val="110"/>
                <w:sz w:val="20"/>
              </w:rPr>
              <w:t>Main points</w:t>
            </w:r>
          </w:p>
        </w:tc>
        <w:tc>
          <w:tcPr>
            <w:tcW w:w="6582" w:type="dxa"/>
            <w:shd w:val="clear" w:color="auto" w:fill="FFFFFF"/>
          </w:tcPr>
          <w:p>
            <w:pPr>
              <w:pStyle w:val="TableParagraph"/>
              <w:spacing w:line="235" w:lineRule="auto" w:before="145"/>
              <w:ind w:right="804"/>
              <w:rPr>
                <w:sz w:val="20"/>
              </w:rPr>
            </w:pPr>
            <w:r>
              <w:rPr>
                <w:w w:val="120"/>
                <w:sz w:val="20"/>
              </w:rPr>
              <w:t>There are many. Those that require Assembly decision are listed in the various appendices</w:t>
            </w:r>
          </w:p>
        </w:tc>
      </w:tr>
      <w:tr>
        <w:trPr>
          <w:trHeight w:val="680" w:hRule="atLeast"/>
        </w:trPr>
        <w:tc>
          <w:tcPr>
            <w:tcW w:w="2660" w:type="dxa"/>
            <w:shd w:val="clear" w:color="auto" w:fill="FFFFFF"/>
          </w:tcPr>
          <w:p>
            <w:pPr>
              <w:pStyle w:val="TableParagraph"/>
              <w:spacing w:line="213" w:lineRule="auto" w:before="151"/>
              <w:ind w:right="701"/>
              <w:rPr>
                <w:rFonts w:ascii="Stone Sans II ITC Std Bk"/>
                <w:b/>
                <w:sz w:val="20"/>
              </w:rPr>
            </w:pPr>
            <w:r>
              <w:rPr>
                <w:rFonts w:ascii="Stone Sans II ITC Std Bk"/>
                <w:b/>
                <w:w w:val="110"/>
                <w:sz w:val="20"/>
              </w:rPr>
              <w:t>Previous relevant documents</w:t>
            </w:r>
          </w:p>
        </w:tc>
        <w:tc>
          <w:tcPr>
            <w:tcW w:w="6582" w:type="dxa"/>
            <w:shd w:val="clear" w:color="auto" w:fill="FFFFFF"/>
          </w:tcPr>
          <w:p>
            <w:pPr>
              <w:pStyle w:val="TableParagraph"/>
              <w:spacing w:line="235" w:lineRule="auto" w:before="145"/>
              <w:ind w:right="280"/>
              <w:rPr>
                <w:sz w:val="20"/>
              </w:rPr>
            </w:pPr>
            <w:r>
              <w:rPr>
                <w:w w:val="120"/>
                <w:sz w:val="20"/>
              </w:rPr>
              <w:t>Mission Council papers from November 2014, May and November 2015 and March 2016, available on the URC website</w:t>
            </w:r>
          </w:p>
        </w:tc>
      </w:tr>
      <w:tr>
        <w:trPr>
          <w:trHeight w:val="680" w:hRule="atLeast"/>
        </w:trPr>
        <w:tc>
          <w:tcPr>
            <w:tcW w:w="2660" w:type="dxa"/>
            <w:shd w:val="clear" w:color="auto" w:fill="FFFFFF"/>
          </w:tcPr>
          <w:p>
            <w:pPr>
              <w:pStyle w:val="TableParagraph"/>
              <w:spacing w:line="213" w:lineRule="auto" w:before="151"/>
              <w:ind w:right="104"/>
              <w:rPr>
                <w:rFonts w:ascii="Stone Sans II ITC Std Bk"/>
                <w:b/>
                <w:sz w:val="20"/>
              </w:rPr>
            </w:pPr>
            <w:r>
              <w:rPr>
                <w:rFonts w:ascii="Stone Sans II ITC Std Bk"/>
                <w:b/>
                <w:w w:val="110"/>
                <w:sz w:val="20"/>
              </w:rPr>
              <w:t>Consultation has taken place with...</w:t>
            </w:r>
          </w:p>
        </w:tc>
        <w:tc>
          <w:tcPr>
            <w:tcW w:w="6582" w:type="dxa"/>
            <w:shd w:val="clear" w:color="auto" w:fill="FFFFFF"/>
          </w:tcPr>
          <w:p>
            <w:pPr>
              <w:pStyle w:val="TableParagraph"/>
              <w:spacing w:before="141"/>
              <w:rPr>
                <w:sz w:val="20"/>
              </w:rPr>
            </w:pPr>
            <w:r>
              <w:rPr>
                <w:w w:val="120"/>
                <w:sz w:val="20"/>
              </w:rPr>
              <w:t>The committees and synods of the Church</w:t>
            </w:r>
          </w:p>
        </w:tc>
      </w:tr>
    </w:tbl>
    <w:p>
      <w:pPr>
        <w:pStyle w:val="BodyText"/>
        <w:spacing w:before="3"/>
        <w:rPr>
          <w:rFonts w:ascii="Stone Sans II ITC Std Bk"/>
          <w:b/>
          <w:sz w:val="29"/>
        </w:rPr>
      </w:pPr>
    </w:p>
    <w:p>
      <w:pPr>
        <w:pStyle w:val="Heading4"/>
        <w:ind w:left="1029"/>
      </w:pPr>
      <w:r>
        <w:rPr>
          <w:color w:val="7F7F7F"/>
        </w:rPr>
        <w:t>Summary of Impact</w:t>
      </w:r>
    </w:p>
    <w:tbl>
      <w:tblPr>
        <w:tblW w:w="0" w:type="auto"/>
        <w:jc w:val="left"/>
        <w:tblInd w:w="103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660"/>
        <w:gridCol w:w="6582"/>
      </w:tblGrid>
      <w:tr>
        <w:trPr>
          <w:trHeight w:val="680" w:hRule="atLeast"/>
        </w:trPr>
        <w:tc>
          <w:tcPr>
            <w:tcW w:w="2660" w:type="dxa"/>
            <w:shd w:val="clear" w:color="auto" w:fill="FFFFFF"/>
          </w:tcPr>
          <w:p>
            <w:pPr>
              <w:pStyle w:val="TableParagraph"/>
              <w:spacing w:before="128"/>
              <w:rPr>
                <w:rFonts w:ascii="Stone Sans II ITC Std Bk"/>
                <w:b/>
                <w:sz w:val="20"/>
              </w:rPr>
            </w:pPr>
            <w:r>
              <w:rPr>
                <w:rFonts w:ascii="Stone Sans II ITC Std Bk"/>
                <w:b/>
                <w:w w:val="110"/>
                <w:sz w:val="20"/>
              </w:rPr>
              <w:t>Financial</w:t>
            </w:r>
          </w:p>
        </w:tc>
        <w:tc>
          <w:tcPr>
            <w:tcW w:w="6582" w:type="dxa"/>
            <w:shd w:val="clear" w:color="auto" w:fill="FFFFFF"/>
          </w:tcPr>
          <w:p>
            <w:pPr>
              <w:pStyle w:val="TableParagraph"/>
              <w:spacing w:line="235" w:lineRule="auto" w:before="145"/>
              <w:ind w:right="1046"/>
              <w:rPr>
                <w:sz w:val="20"/>
              </w:rPr>
            </w:pPr>
            <w:r>
              <w:rPr>
                <w:w w:val="120"/>
                <w:sz w:val="20"/>
              </w:rPr>
              <w:t>These are various, and are most obvious in paras 10-12, re Church House</w:t>
            </w:r>
          </w:p>
        </w:tc>
      </w:tr>
      <w:tr>
        <w:trPr>
          <w:trHeight w:val="1160" w:hRule="atLeast"/>
        </w:trPr>
        <w:tc>
          <w:tcPr>
            <w:tcW w:w="2660" w:type="dxa"/>
            <w:shd w:val="clear" w:color="auto" w:fill="FFFFFF"/>
          </w:tcPr>
          <w:p>
            <w:pPr>
              <w:pStyle w:val="TableParagraph"/>
              <w:spacing w:line="255" w:lineRule="exact" w:before="128"/>
              <w:rPr>
                <w:rFonts w:ascii="Stone Sans II ITC Std Bk"/>
                <w:b/>
                <w:sz w:val="20"/>
              </w:rPr>
            </w:pPr>
            <w:r>
              <w:rPr>
                <w:rFonts w:ascii="Stone Sans II ITC Std Bk"/>
                <w:b/>
                <w:w w:val="110"/>
                <w:sz w:val="20"/>
              </w:rPr>
              <w:t>External</w:t>
            </w:r>
          </w:p>
          <w:p>
            <w:pPr>
              <w:pStyle w:val="TableParagraph"/>
              <w:spacing w:line="255" w:lineRule="exact"/>
              <w:rPr>
                <w:rFonts w:ascii="Stone Sans II ITC Std Bk"/>
                <w:b/>
                <w:sz w:val="20"/>
              </w:rPr>
            </w:pPr>
            <w:r>
              <w:rPr>
                <w:rFonts w:ascii="Stone Sans II ITC Std Bk"/>
                <w:b/>
                <w:w w:val="110"/>
                <w:sz w:val="20"/>
              </w:rPr>
              <w:t>(e.g. ecumenical)</w:t>
            </w:r>
          </w:p>
        </w:tc>
        <w:tc>
          <w:tcPr>
            <w:tcW w:w="6582" w:type="dxa"/>
            <w:shd w:val="clear" w:color="auto" w:fill="FFFFFF"/>
          </w:tcPr>
          <w:p>
            <w:pPr>
              <w:pStyle w:val="TableParagraph"/>
              <w:spacing w:line="235" w:lineRule="auto" w:before="145"/>
              <w:ind w:right="580"/>
              <w:rPr>
                <w:sz w:val="20"/>
              </w:rPr>
            </w:pPr>
            <w:r>
              <w:rPr>
                <w:w w:val="120"/>
                <w:sz w:val="20"/>
              </w:rPr>
              <w:t>The Methodist Church regularly sends a representative to Mission Council, who comments helpfully on our business; the Church of England has not recently taken up its seat on Mission Council.</w:t>
            </w:r>
          </w:p>
        </w:tc>
      </w:tr>
    </w:tbl>
    <w:p>
      <w:pPr>
        <w:pStyle w:val="BodyText"/>
        <w:rPr>
          <w:rFonts w:ascii="Stone Sans II ITC Std Bk"/>
          <w:b/>
          <w:sz w:val="30"/>
        </w:rPr>
      </w:pPr>
    </w:p>
    <w:p>
      <w:pPr>
        <w:pStyle w:val="BodyText"/>
        <w:rPr>
          <w:rFonts w:ascii="Stone Sans II ITC Std Bk"/>
          <w:b/>
          <w:sz w:val="30"/>
        </w:rPr>
      </w:pPr>
    </w:p>
    <w:p>
      <w:pPr>
        <w:pStyle w:val="BodyText"/>
        <w:rPr>
          <w:rFonts w:ascii="Stone Sans II ITC Std Bk"/>
          <w:b/>
          <w:sz w:val="30"/>
        </w:rPr>
      </w:pPr>
    </w:p>
    <w:p>
      <w:pPr>
        <w:pStyle w:val="BodyText"/>
        <w:rPr>
          <w:rFonts w:ascii="Stone Sans II ITC Std Bk"/>
          <w:b/>
          <w:sz w:val="30"/>
        </w:rPr>
      </w:pPr>
    </w:p>
    <w:p>
      <w:pPr>
        <w:pStyle w:val="BodyText"/>
        <w:rPr>
          <w:rFonts w:ascii="Stone Sans II ITC Std Bk"/>
          <w:b/>
          <w:sz w:val="30"/>
        </w:rPr>
      </w:pPr>
    </w:p>
    <w:p>
      <w:pPr>
        <w:pStyle w:val="BodyText"/>
        <w:rPr>
          <w:rFonts w:ascii="Stone Sans II ITC Std Bk"/>
          <w:b/>
          <w:sz w:val="30"/>
        </w:rPr>
      </w:pPr>
    </w:p>
    <w:p>
      <w:pPr>
        <w:pStyle w:val="BodyText"/>
        <w:rPr>
          <w:rFonts w:ascii="Stone Sans II ITC Std Bk"/>
          <w:b/>
          <w:sz w:val="30"/>
        </w:rPr>
      </w:pPr>
    </w:p>
    <w:p>
      <w:pPr>
        <w:pStyle w:val="BodyText"/>
        <w:rPr>
          <w:rFonts w:ascii="Stone Sans II ITC Std Bk"/>
          <w:b/>
          <w:sz w:val="30"/>
        </w:rPr>
      </w:pPr>
    </w:p>
    <w:p>
      <w:pPr>
        <w:pStyle w:val="BodyText"/>
        <w:rPr>
          <w:rFonts w:ascii="Stone Sans II ITC Std Bk"/>
          <w:b/>
          <w:sz w:val="30"/>
        </w:rPr>
      </w:pPr>
    </w:p>
    <w:p>
      <w:pPr>
        <w:pStyle w:val="BodyText"/>
        <w:rPr>
          <w:rFonts w:ascii="Stone Sans II ITC Std Bk"/>
          <w:b/>
          <w:sz w:val="30"/>
        </w:rPr>
      </w:pPr>
    </w:p>
    <w:p>
      <w:pPr>
        <w:pStyle w:val="BodyText"/>
        <w:rPr>
          <w:rFonts w:ascii="Stone Sans II ITC Std Bk"/>
          <w:b/>
          <w:sz w:val="30"/>
        </w:rPr>
      </w:pPr>
    </w:p>
    <w:p>
      <w:pPr>
        <w:pStyle w:val="BodyText"/>
        <w:rPr>
          <w:rFonts w:ascii="Stone Sans II ITC Std Bk"/>
          <w:b/>
          <w:sz w:val="30"/>
        </w:rPr>
      </w:pPr>
    </w:p>
    <w:p>
      <w:pPr>
        <w:pStyle w:val="BodyText"/>
        <w:spacing w:before="9"/>
        <w:rPr>
          <w:rFonts w:ascii="Stone Sans II ITC Std Bk"/>
          <w:b/>
          <w:sz w:val="42"/>
        </w:rPr>
      </w:pPr>
    </w:p>
    <w:p>
      <w:pPr>
        <w:pStyle w:val="Heading6"/>
        <w:spacing w:before="0"/>
        <w:ind w:left="3983"/>
        <w:rPr>
          <w:rFonts w:ascii="Stone Sans II ITC Std X Bd" w:hAnsi="Stone Sans II ITC Std X Bd"/>
          <w:b/>
          <w:sz w:val="24"/>
        </w:rPr>
      </w:pPr>
      <w:r>
        <w:rPr>
          <w:color w:val="7EAABF"/>
          <w:w w:val="110"/>
        </w:rPr>
        <w:t>United Reformed Church </w:t>
      </w:r>
      <w:r>
        <w:rPr>
          <w:rFonts w:ascii="Symbol" w:hAnsi="Symbol"/>
          <w:color w:val="7EAABF"/>
          <w:w w:val="110"/>
        </w:rPr>
        <w:t></w:t>
      </w:r>
      <w:r>
        <w:rPr>
          <w:rFonts w:ascii="Times New Roman" w:hAnsi="Times New Roman"/>
          <w:color w:val="7EAABF"/>
          <w:w w:val="110"/>
        </w:rPr>
        <w:t> </w:t>
      </w:r>
      <w:r>
        <w:rPr>
          <w:color w:val="7EAABF"/>
          <w:w w:val="110"/>
        </w:rPr>
        <w:t>General Assembly 2016 </w:t>
      </w:r>
      <w:r>
        <w:rPr>
          <w:rFonts w:ascii="Symbol" w:hAnsi="Symbol"/>
          <w:color w:val="7EAABF"/>
          <w:w w:val="110"/>
        </w:rPr>
        <w:t></w:t>
      </w:r>
      <w:r>
        <w:rPr>
          <w:rFonts w:ascii="Times New Roman" w:hAnsi="Times New Roman"/>
          <w:color w:val="7EAABF"/>
          <w:w w:val="110"/>
        </w:rPr>
        <w:t> </w:t>
      </w:r>
      <w:r>
        <w:rPr>
          <w:rFonts w:ascii="Stone Sans II ITC Std X Bd" w:hAnsi="Stone Sans II ITC Std X Bd"/>
          <w:b/>
          <w:w w:val="110"/>
          <w:sz w:val="24"/>
        </w:rPr>
        <w:t>5</w:t>
      </w:r>
    </w:p>
    <w:p>
      <w:pPr>
        <w:spacing w:after="0"/>
        <w:rPr>
          <w:rFonts w:ascii="Stone Sans II ITC Std X Bd" w:hAnsi="Stone Sans II ITC Std X Bd"/>
          <w:sz w:val="24"/>
        </w:rPr>
        <w:sectPr>
          <w:headerReference w:type="default" r:id="rId59"/>
          <w:pgSz w:w="11910" w:h="16840"/>
          <w:pgMar w:header="0" w:footer="0" w:top="0" w:bottom="0" w:left="700" w:right="0"/>
        </w:sectPr>
      </w:pPr>
    </w:p>
    <w:p>
      <w:pPr>
        <w:pStyle w:val="BodyText"/>
        <w:rPr>
          <w:rFonts w:ascii="Stone Sans II ITC Std X Bd"/>
          <w:b/>
        </w:rPr>
      </w:pPr>
      <w:r>
        <w:rPr/>
        <w:drawing>
          <wp:anchor distT="0" distB="0" distL="0" distR="0" allowOverlap="1" layoutInCell="1" locked="0" behindDoc="1" simplePos="0" relativeHeight="235219968">
            <wp:simplePos x="0" y="0"/>
            <wp:positionH relativeFrom="page">
              <wp:posOffset>0</wp:posOffset>
            </wp:positionH>
            <wp:positionV relativeFrom="page">
              <wp:posOffset>0</wp:posOffset>
            </wp:positionV>
            <wp:extent cx="594067" cy="10692003"/>
            <wp:effectExtent l="0" t="0" r="0" b="0"/>
            <wp:wrapNone/>
            <wp:docPr id="5" name="image51.png"/>
            <wp:cNvGraphicFramePr>
              <a:graphicFrameLocks noChangeAspect="1"/>
            </wp:cNvGraphicFramePr>
            <a:graphic>
              <a:graphicData uri="http://schemas.openxmlformats.org/drawingml/2006/picture">
                <pic:pic>
                  <pic:nvPicPr>
                    <pic:cNvPr id="6" name="image51.png"/>
                    <pic:cNvPicPr/>
                  </pic:nvPicPr>
                  <pic:blipFill>
                    <a:blip r:embed="rId64" cstate="print"/>
                    <a:stretch>
                      <a:fillRect/>
                    </a:stretch>
                  </pic:blipFill>
                  <pic:spPr>
                    <a:xfrm>
                      <a:off x="0" y="0"/>
                      <a:ext cx="594067" cy="10692003"/>
                    </a:xfrm>
                    <a:prstGeom prst="rect">
                      <a:avLst/>
                    </a:prstGeom>
                  </pic:spPr>
                </pic:pic>
              </a:graphicData>
            </a:graphic>
          </wp:anchor>
        </w:drawing>
      </w:r>
      <w:r>
        <w:rPr/>
        <w:pict>
          <v:shape style="position:absolute;margin-left:20.519100pt;margin-top:48.890015pt;width:25.9pt;height:163.2pt;mso-position-horizontal-relative:page;mso-position-vertical-relative:page;z-index:-268095488" type="#_x0000_t202" filled="false" stroked="false">
            <v:textbox inset="0,0,0,0" style="layout-flow:vertical">
              <w:txbxContent>
                <w:p>
                  <w:pPr>
                    <w:spacing w:before="27"/>
                    <w:ind w:left="20" w:right="0" w:firstLine="0"/>
                    <w:jc w:val="left"/>
                    <w:rPr>
                      <w:sz w:val="39"/>
                    </w:rPr>
                  </w:pPr>
                  <w:r>
                    <w:rPr>
                      <w:color w:val="FFFFFF"/>
                      <w:w w:val="125"/>
                      <w:sz w:val="39"/>
                    </w:rPr>
                    <w:t>Mission Council</w:t>
                  </w:r>
                </w:p>
              </w:txbxContent>
            </v:textbox>
            <w10:wrap type="none"/>
          </v:shape>
        </w:pict>
      </w:r>
    </w:p>
    <w:p>
      <w:pPr>
        <w:pStyle w:val="BodyText"/>
        <w:spacing w:before="7"/>
        <w:rPr>
          <w:rFonts w:ascii="Stone Sans II ITC Std X Bd"/>
          <w:b/>
          <w:sz w:val="17"/>
        </w:rPr>
      </w:pPr>
    </w:p>
    <w:p>
      <w:pPr>
        <w:spacing w:before="107"/>
        <w:ind w:left="547" w:right="0" w:firstLine="0"/>
        <w:jc w:val="left"/>
        <w:rPr>
          <w:sz w:val="26"/>
        </w:rPr>
      </w:pPr>
      <w:r>
        <w:rPr>
          <w:color w:val="7EAABF"/>
          <w:w w:val="120"/>
          <w:sz w:val="26"/>
        </w:rPr>
        <w:t>Mission Council</w:t>
      </w:r>
    </w:p>
    <w:p>
      <w:pPr>
        <w:pStyle w:val="BodyText"/>
        <w:spacing w:before="8"/>
        <w:rPr>
          <w:sz w:val="24"/>
        </w:rPr>
      </w:pPr>
    </w:p>
    <w:p>
      <w:pPr>
        <w:spacing w:line="213" w:lineRule="auto" w:before="0"/>
        <w:ind w:left="547" w:right="2353" w:firstLine="0"/>
        <w:jc w:val="left"/>
        <w:rPr>
          <w:rFonts w:ascii="Stone Sans II ITC Std X Bd"/>
          <w:b/>
          <w:sz w:val="50"/>
        </w:rPr>
      </w:pPr>
      <w:r>
        <w:rPr>
          <w:rFonts w:ascii="Stone Sans II ITC Std X Bd"/>
          <w:b/>
          <w:w w:val="110"/>
          <w:sz w:val="50"/>
        </w:rPr>
        <w:t>Report on the work of Mission Council, 2014 to 2016</w:t>
      </w:r>
    </w:p>
    <w:p>
      <w:pPr>
        <w:spacing w:before="411"/>
        <w:ind w:left="547" w:right="0" w:firstLine="0"/>
        <w:jc w:val="left"/>
        <w:rPr>
          <w:rFonts w:ascii="Stone Sans II ITC Std Bk"/>
          <w:b/>
          <w:sz w:val="29"/>
        </w:rPr>
      </w:pPr>
      <w:r>
        <w:rPr>
          <w:rFonts w:ascii="Stone Sans II ITC Std Bk"/>
          <w:b/>
          <w:w w:val="110"/>
          <w:sz w:val="29"/>
        </w:rPr>
        <w:t>Introduction</w:t>
      </w:r>
    </w:p>
    <w:p>
      <w:pPr>
        <w:pStyle w:val="ListParagraph"/>
        <w:numPr>
          <w:ilvl w:val="0"/>
          <w:numId w:val="2"/>
        </w:numPr>
        <w:tabs>
          <w:tab w:pos="1227" w:val="left" w:leader="none"/>
          <w:tab w:pos="1228" w:val="left" w:leader="none"/>
        </w:tabs>
        <w:spacing w:line="235" w:lineRule="auto" w:before="69" w:after="0"/>
        <w:ind w:left="547" w:right="2251" w:firstLine="0"/>
        <w:jc w:val="left"/>
        <w:rPr>
          <w:sz w:val="20"/>
        </w:rPr>
      </w:pPr>
      <w:r>
        <w:rPr>
          <w:w w:val="120"/>
          <w:sz w:val="20"/>
        </w:rPr>
        <w:t>The brief for Mission Council directs it to oversee, prepare and sift business between meetings of Assembly. This often involves dealing with detail and practicalities, so that a host of specific matters may progress without undue </w:t>
      </w:r>
      <w:r>
        <w:rPr>
          <w:spacing w:val="-3"/>
          <w:w w:val="120"/>
          <w:sz w:val="20"/>
        </w:rPr>
        <w:t>delay. </w:t>
      </w:r>
      <w:r>
        <w:rPr>
          <w:w w:val="120"/>
          <w:sz w:val="20"/>
        </w:rPr>
        <w:t>It also requires attention to overview and vision, so that the presentation of business at Assembly may enable Assembly ‘to take a more comprehensive view of the activity and policy of the </w:t>
      </w:r>
      <w:r>
        <w:rPr>
          <w:spacing w:val="-4"/>
          <w:w w:val="120"/>
          <w:sz w:val="20"/>
        </w:rPr>
        <w:t>Church’. </w:t>
      </w:r>
      <w:r>
        <w:rPr>
          <w:w w:val="120"/>
          <w:sz w:val="20"/>
        </w:rPr>
        <w:t>Mission Council seeks to be alert to the needs, concerns, opportunities and hopes of the whole body of the URC, and this realism is helped by the </w:t>
      </w:r>
      <w:r>
        <w:rPr>
          <w:spacing w:val="2"/>
          <w:w w:val="120"/>
          <w:sz w:val="20"/>
        </w:rPr>
        <w:t>fact </w:t>
      </w:r>
      <w:r>
        <w:rPr>
          <w:w w:val="120"/>
          <w:sz w:val="20"/>
        </w:rPr>
        <w:t>that synod representatives make up most of its membership. It tries to keep</w:t>
      </w:r>
      <w:r>
        <w:rPr>
          <w:spacing w:val="-30"/>
          <w:w w:val="120"/>
          <w:sz w:val="20"/>
        </w:rPr>
        <w:t> </w:t>
      </w:r>
      <w:r>
        <w:rPr>
          <w:w w:val="120"/>
          <w:sz w:val="20"/>
        </w:rPr>
        <w:t>a</w:t>
      </w:r>
    </w:p>
    <w:p>
      <w:pPr>
        <w:pStyle w:val="BodyText"/>
        <w:spacing w:line="235" w:lineRule="auto" w:before="6"/>
        <w:ind w:left="547" w:right="1899"/>
      </w:pPr>
      <w:r>
        <w:rPr>
          <w:w w:val="120"/>
        </w:rPr>
        <w:t>proper focus on the Church’s main concerns, so that all our work will further the mission of the gospel.</w:t>
      </w:r>
    </w:p>
    <w:p>
      <w:pPr>
        <w:pStyle w:val="BodyText"/>
        <w:spacing w:before="9"/>
        <w:rPr>
          <w:sz w:val="19"/>
        </w:rPr>
      </w:pPr>
    </w:p>
    <w:p>
      <w:pPr>
        <w:pStyle w:val="ListParagraph"/>
        <w:numPr>
          <w:ilvl w:val="0"/>
          <w:numId w:val="2"/>
        </w:numPr>
        <w:tabs>
          <w:tab w:pos="1227" w:val="left" w:leader="none"/>
          <w:tab w:pos="1228" w:val="left" w:leader="none"/>
        </w:tabs>
        <w:spacing w:line="235" w:lineRule="auto" w:before="0" w:after="0"/>
        <w:ind w:left="547" w:right="2066" w:firstLine="0"/>
        <w:jc w:val="left"/>
        <w:rPr>
          <w:sz w:val="20"/>
        </w:rPr>
      </w:pPr>
      <w:r>
        <w:rPr>
          <w:w w:val="120"/>
          <w:sz w:val="20"/>
        </w:rPr>
        <w:t>Mission Council meets in the autumn and the spring, for 48 hours on each occasion, and thus has met four times since the last main meeting of General</w:t>
      </w:r>
      <w:r>
        <w:rPr>
          <w:spacing w:val="4"/>
          <w:w w:val="120"/>
          <w:sz w:val="20"/>
        </w:rPr>
        <w:t> </w:t>
      </w:r>
      <w:r>
        <w:rPr>
          <w:w w:val="120"/>
          <w:sz w:val="20"/>
        </w:rPr>
        <w:t>Assembly.</w:t>
      </w:r>
    </w:p>
    <w:p>
      <w:pPr>
        <w:pStyle w:val="BodyText"/>
        <w:spacing w:before="9"/>
        <w:rPr>
          <w:sz w:val="28"/>
        </w:rPr>
      </w:pPr>
    </w:p>
    <w:p>
      <w:pPr>
        <w:spacing w:before="0"/>
        <w:ind w:left="547" w:right="0" w:firstLine="0"/>
        <w:jc w:val="left"/>
        <w:rPr>
          <w:rFonts w:ascii="Stone Sans II ITC Std Bk"/>
          <w:b/>
          <w:sz w:val="29"/>
        </w:rPr>
      </w:pPr>
      <w:r>
        <w:rPr>
          <w:rFonts w:ascii="Stone Sans II ITC Std Bk"/>
          <w:b/>
          <w:w w:val="110"/>
          <w:sz w:val="29"/>
        </w:rPr>
        <w:t>Major projects that Assembly will consider</w:t>
      </w:r>
    </w:p>
    <w:p>
      <w:pPr>
        <w:pStyle w:val="ListParagraph"/>
        <w:numPr>
          <w:ilvl w:val="0"/>
          <w:numId w:val="2"/>
        </w:numPr>
        <w:tabs>
          <w:tab w:pos="1227" w:val="left" w:leader="none"/>
          <w:tab w:pos="1228" w:val="left" w:leader="none"/>
        </w:tabs>
        <w:spacing w:line="235" w:lineRule="auto" w:before="69" w:after="0"/>
        <w:ind w:left="547" w:right="1974" w:firstLine="0"/>
        <w:jc w:val="left"/>
        <w:rPr>
          <w:sz w:val="20"/>
        </w:rPr>
      </w:pPr>
      <w:r>
        <w:rPr>
          <w:w w:val="120"/>
          <w:sz w:val="20"/>
        </w:rPr>
        <w:t>A number of major projects and tasks have been considered at Mission Council, often more than once as work evolved from one stage to another. Several of these pieces of work are included as items on the Assembly agenda, so need just a mention here rather than lengthy exposition. They all, </w:t>
      </w:r>
      <w:r>
        <w:rPr>
          <w:spacing w:val="-3"/>
          <w:w w:val="120"/>
          <w:sz w:val="20"/>
        </w:rPr>
        <w:t>however, </w:t>
      </w:r>
      <w:r>
        <w:rPr>
          <w:w w:val="120"/>
          <w:sz w:val="20"/>
        </w:rPr>
        <w:t>claimed time and care in Mission Council,</w:t>
      </w:r>
      <w:r>
        <w:rPr>
          <w:spacing w:val="7"/>
          <w:w w:val="120"/>
          <w:sz w:val="20"/>
        </w:rPr>
        <w:t> </w:t>
      </w:r>
      <w:r>
        <w:rPr>
          <w:w w:val="120"/>
          <w:sz w:val="20"/>
        </w:rPr>
        <w:t>which</w:t>
      </w:r>
      <w:r>
        <w:rPr>
          <w:spacing w:val="7"/>
          <w:w w:val="120"/>
          <w:sz w:val="20"/>
        </w:rPr>
        <w:t> </w:t>
      </w:r>
      <w:r>
        <w:rPr>
          <w:w w:val="120"/>
          <w:sz w:val="20"/>
        </w:rPr>
        <w:t>was</w:t>
      </w:r>
      <w:r>
        <w:rPr>
          <w:spacing w:val="7"/>
          <w:w w:val="120"/>
          <w:sz w:val="20"/>
        </w:rPr>
        <w:t> </w:t>
      </w:r>
      <w:r>
        <w:rPr>
          <w:w w:val="120"/>
          <w:sz w:val="20"/>
        </w:rPr>
        <w:t>concerned</w:t>
      </w:r>
      <w:r>
        <w:rPr>
          <w:spacing w:val="7"/>
          <w:w w:val="120"/>
          <w:sz w:val="20"/>
        </w:rPr>
        <w:t> </w:t>
      </w:r>
      <w:r>
        <w:rPr>
          <w:w w:val="120"/>
          <w:sz w:val="20"/>
        </w:rPr>
        <w:t>to</w:t>
      </w:r>
      <w:r>
        <w:rPr>
          <w:spacing w:val="7"/>
          <w:w w:val="120"/>
          <w:sz w:val="20"/>
        </w:rPr>
        <w:t> </w:t>
      </w:r>
      <w:r>
        <w:rPr>
          <w:w w:val="120"/>
          <w:sz w:val="20"/>
        </w:rPr>
        <w:t>bring</w:t>
      </w:r>
      <w:r>
        <w:rPr>
          <w:spacing w:val="7"/>
          <w:w w:val="120"/>
          <w:sz w:val="20"/>
        </w:rPr>
        <w:t> </w:t>
      </w:r>
      <w:r>
        <w:rPr>
          <w:w w:val="120"/>
          <w:sz w:val="20"/>
        </w:rPr>
        <w:t>them</w:t>
      </w:r>
      <w:r>
        <w:rPr>
          <w:spacing w:val="7"/>
          <w:w w:val="120"/>
          <w:sz w:val="20"/>
        </w:rPr>
        <w:t> </w:t>
      </w:r>
      <w:r>
        <w:rPr>
          <w:w w:val="120"/>
          <w:sz w:val="20"/>
        </w:rPr>
        <w:t>to</w:t>
      </w:r>
      <w:r>
        <w:rPr>
          <w:spacing w:val="7"/>
          <w:w w:val="120"/>
          <w:sz w:val="20"/>
        </w:rPr>
        <w:t> </w:t>
      </w:r>
      <w:r>
        <w:rPr>
          <w:w w:val="120"/>
          <w:sz w:val="20"/>
        </w:rPr>
        <w:t>Assembly</w:t>
      </w:r>
      <w:r>
        <w:rPr>
          <w:spacing w:val="7"/>
          <w:w w:val="120"/>
          <w:sz w:val="20"/>
        </w:rPr>
        <w:t> </w:t>
      </w:r>
      <w:r>
        <w:rPr>
          <w:w w:val="120"/>
          <w:sz w:val="20"/>
        </w:rPr>
        <w:t>in</w:t>
      </w:r>
      <w:r>
        <w:rPr>
          <w:spacing w:val="7"/>
          <w:w w:val="120"/>
          <w:sz w:val="20"/>
        </w:rPr>
        <w:t> </w:t>
      </w:r>
      <w:r>
        <w:rPr>
          <w:w w:val="120"/>
          <w:sz w:val="20"/>
        </w:rPr>
        <w:t>the</w:t>
      </w:r>
      <w:r>
        <w:rPr>
          <w:spacing w:val="7"/>
          <w:w w:val="120"/>
          <w:sz w:val="20"/>
        </w:rPr>
        <w:t> </w:t>
      </w:r>
      <w:r>
        <w:rPr>
          <w:w w:val="120"/>
          <w:sz w:val="20"/>
        </w:rPr>
        <w:t>best</w:t>
      </w:r>
      <w:r>
        <w:rPr>
          <w:spacing w:val="8"/>
          <w:w w:val="120"/>
          <w:sz w:val="20"/>
        </w:rPr>
        <w:t> </w:t>
      </w:r>
      <w:r>
        <w:rPr>
          <w:w w:val="120"/>
          <w:sz w:val="20"/>
        </w:rPr>
        <w:t>possible</w:t>
      </w:r>
      <w:r>
        <w:rPr>
          <w:spacing w:val="7"/>
          <w:w w:val="120"/>
          <w:sz w:val="20"/>
        </w:rPr>
        <w:t> </w:t>
      </w:r>
      <w:r>
        <w:rPr>
          <w:w w:val="120"/>
          <w:sz w:val="20"/>
        </w:rPr>
        <w:t>shape.</w:t>
      </w:r>
    </w:p>
    <w:p>
      <w:pPr>
        <w:pStyle w:val="BodyText"/>
        <w:spacing w:before="11"/>
        <w:rPr>
          <w:sz w:val="19"/>
        </w:rPr>
      </w:pPr>
    </w:p>
    <w:p>
      <w:pPr>
        <w:pStyle w:val="ListParagraph"/>
        <w:numPr>
          <w:ilvl w:val="0"/>
          <w:numId w:val="2"/>
        </w:numPr>
        <w:tabs>
          <w:tab w:pos="1227" w:val="left" w:leader="none"/>
          <w:tab w:pos="1228" w:val="left" w:leader="none"/>
        </w:tabs>
        <w:spacing w:line="235" w:lineRule="auto" w:before="1" w:after="0"/>
        <w:ind w:left="547" w:right="1997" w:firstLine="0"/>
        <w:jc w:val="left"/>
        <w:rPr>
          <w:sz w:val="20"/>
        </w:rPr>
      </w:pPr>
      <w:r>
        <w:rPr>
          <w:w w:val="120"/>
          <w:sz w:val="20"/>
        </w:rPr>
        <w:t>Assembly </w:t>
      </w:r>
      <w:r>
        <w:rPr>
          <w:spacing w:val="-7"/>
          <w:w w:val="120"/>
          <w:sz w:val="20"/>
        </w:rPr>
        <w:t>2014 </w:t>
      </w:r>
      <w:r>
        <w:rPr>
          <w:w w:val="120"/>
          <w:sz w:val="20"/>
        </w:rPr>
        <w:t>launched a wide consultation on the marriage of same-sex couples. Mission Council reviewed the consultation’s results, and prepared resolutions for an additional Assembly meeting at Birmingham in June </w:t>
      </w:r>
      <w:r>
        <w:rPr>
          <w:spacing w:val="-7"/>
          <w:w w:val="120"/>
          <w:sz w:val="20"/>
        </w:rPr>
        <w:t>2015. </w:t>
      </w:r>
      <w:r>
        <w:rPr>
          <w:w w:val="120"/>
          <w:sz w:val="20"/>
        </w:rPr>
        <w:t>This matter has since been</w:t>
      </w:r>
      <w:r>
        <w:rPr>
          <w:spacing w:val="9"/>
          <w:w w:val="120"/>
          <w:sz w:val="20"/>
        </w:rPr>
        <w:t> </w:t>
      </w:r>
      <w:r>
        <w:rPr>
          <w:w w:val="120"/>
          <w:sz w:val="20"/>
        </w:rPr>
        <w:t>considered</w:t>
      </w:r>
      <w:r>
        <w:rPr>
          <w:spacing w:val="10"/>
          <w:w w:val="120"/>
          <w:sz w:val="20"/>
        </w:rPr>
        <w:t> </w:t>
      </w:r>
      <w:r>
        <w:rPr>
          <w:w w:val="120"/>
          <w:sz w:val="20"/>
        </w:rPr>
        <w:t>by</w:t>
      </w:r>
      <w:r>
        <w:rPr>
          <w:spacing w:val="10"/>
          <w:w w:val="120"/>
          <w:sz w:val="20"/>
        </w:rPr>
        <w:t> </w:t>
      </w:r>
      <w:r>
        <w:rPr>
          <w:w w:val="120"/>
          <w:sz w:val="20"/>
        </w:rPr>
        <w:t>synods,</w:t>
      </w:r>
      <w:r>
        <w:rPr>
          <w:spacing w:val="10"/>
          <w:w w:val="120"/>
          <w:sz w:val="20"/>
        </w:rPr>
        <w:t> </w:t>
      </w:r>
      <w:r>
        <w:rPr>
          <w:w w:val="120"/>
          <w:sz w:val="20"/>
        </w:rPr>
        <w:t>and</w:t>
      </w:r>
      <w:r>
        <w:rPr>
          <w:spacing w:val="10"/>
          <w:w w:val="120"/>
          <w:sz w:val="20"/>
        </w:rPr>
        <w:t> </w:t>
      </w:r>
      <w:r>
        <w:rPr>
          <w:w w:val="120"/>
          <w:sz w:val="20"/>
        </w:rPr>
        <w:t>is</w:t>
      </w:r>
      <w:r>
        <w:rPr>
          <w:spacing w:val="10"/>
          <w:w w:val="120"/>
          <w:sz w:val="20"/>
        </w:rPr>
        <w:t> </w:t>
      </w:r>
      <w:r>
        <w:rPr>
          <w:w w:val="120"/>
          <w:sz w:val="20"/>
        </w:rPr>
        <w:t>now</w:t>
      </w:r>
      <w:r>
        <w:rPr>
          <w:spacing w:val="10"/>
          <w:w w:val="120"/>
          <w:sz w:val="20"/>
        </w:rPr>
        <w:t> </w:t>
      </w:r>
      <w:r>
        <w:rPr>
          <w:w w:val="120"/>
          <w:sz w:val="20"/>
        </w:rPr>
        <w:t>brought</w:t>
      </w:r>
      <w:r>
        <w:rPr>
          <w:spacing w:val="9"/>
          <w:w w:val="120"/>
          <w:sz w:val="20"/>
        </w:rPr>
        <w:t> </w:t>
      </w:r>
      <w:r>
        <w:rPr>
          <w:w w:val="120"/>
          <w:sz w:val="20"/>
        </w:rPr>
        <w:t>back</w:t>
      </w:r>
      <w:r>
        <w:rPr>
          <w:spacing w:val="10"/>
          <w:w w:val="120"/>
          <w:sz w:val="20"/>
        </w:rPr>
        <w:t> </w:t>
      </w:r>
      <w:r>
        <w:rPr>
          <w:w w:val="120"/>
          <w:sz w:val="20"/>
        </w:rPr>
        <w:t>to</w:t>
      </w:r>
      <w:r>
        <w:rPr>
          <w:spacing w:val="10"/>
          <w:w w:val="120"/>
          <w:sz w:val="20"/>
        </w:rPr>
        <w:t> </w:t>
      </w:r>
      <w:r>
        <w:rPr>
          <w:w w:val="120"/>
          <w:sz w:val="20"/>
        </w:rPr>
        <w:t>Assembly</w:t>
      </w:r>
      <w:r>
        <w:rPr>
          <w:spacing w:val="10"/>
          <w:w w:val="120"/>
          <w:sz w:val="20"/>
        </w:rPr>
        <w:t> </w:t>
      </w:r>
      <w:r>
        <w:rPr>
          <w:w w:val="120"/>
          <w:sz w:val="20"/>
        </w:rPr>
        <w:t>for</w:t>
      </w:r>
      <w:r>
        <w:rPr>
          <w:spacing w:val="10"/>
          <w:w w:val="120"/>
          <w:sz w:val="20"/>
        </w:rPr>
        <w:t> </w:t>
      </w:r>
      <w:r>
        <w:rPr>
          <w:w w:val="120"/>
          <w:sz w:val="20"/>
        </w:rPr>
        <w:t>possible</w:t>
      </w:r>
      <w:r>
        <w:rPr>
          <w:spacing w:val="10"/>
          <w:w w:val="120"/>
          <w:sz w:val="20"/>
        </w:rPr>
        <w:t> </w:t>
      </w:r>
      <w:r>
        <w:rPr>
          <w:w w:val="120"/>
          <w:sz w:val="20"/>
        </w:rPr>
        <w:t>decision.</w:t>
      </w:r>
    </w:p>
    <w:p>
      <w:pPr>
        <w:pStyle w:val="BodyText"/>
        <w:spacing w:before="10"/>
        <w:rPr>
          <w:sz w:val="19"/>
        </w:rPr>
      </w:pPr>
    </w:p>
    <w:p>
      <w:pPr>
        <w:pStyle w:val="ListParagraph"/>
        <w:numPr>
          <w:ilvl w:val="0"/>
          <w:numId w:val="2"/>
        </w:numPr>
        <w:tabs>
          <w:tab w:pos="1227" w:val="left" w:leader="none"/>
          <w:tab w:pos="1228" w:val="left" w:leader="none"/>
        </w:tabs>
        <w:spacing w:line="235" w:lineRule="auto" w:before="1" w:after="0"/>
        <w:ind w:left="547" w:right="2242" w:firstLine="0"/>
        <w:jc w:val="left"/>
        <w:rPr>
          <w:sz w:val="20"/>
        </w:rPr>
      </w:pPr>
      <w:r>
        <w:rPr>
          <w:w w:val="120"/>
          <w:sz w:val="20"/>
        </w:rPr>
        <w:t>A discussion that started in Mission Council in </w:t>
      </w:r>
      <w:r>
        <w:rPr>
          <w:spacing w:val="-7"/>
          <w:w w:val="120"/>
          <w:sz w:val="20"/>
        </w:rPr>
        <w:t>2012, </w:t>
      </w:r>
      <w:r>
        <w:rPr>
          <w:w w:val="120"/>
          <w:sz w:val="20"/>
        </w:rPr>
        <w:t>in response to an initiative from the Council for World Mission, has moved forward with energy and purpose in the last </w:t>
      </w:r>
      <w:r>
        <w:rPr>
          <w:spacing w:val="-4"/>
          <w:w w:val="120"/>
          <w:sz w:val="20"/>
        </w:rPr>
        <w:t>year, </w:t>
      </w:r>
      <w:r>
        <w:rPr>
          <w:w w:val="120"/>
          <w:sz w:val="20"/>
        </w:rPr>
        <w:t>as proposals emerged for ‘Walking the </w:t>
      </w:r>
      <w:r>
        <w:rPr>
          <w:spacing w:val="-5"/>
          <w:w w:val="120"/>
          <w:sz w:val="20"/>
        </w:rPr>
        <w:t>Way’, </w:t>
      </w:r>
      <w:r>
        <w:rPr>
          <w:w w:val="120"/>
          <w:sz w:val="20"/>
        </w:rPr>
        <w:t>with a focus on Missional Discipleship. An account of this work, its vision and its progress, is appended to this Mission Council </w:t>
      </w:r>
      <w:r>
        <w:rPr>
          <w:spacing w:val="2"/>
          <w:w w:val="120"/>
          <w:sz w:val="20"/>
        </w:rPr>
        <w:t>report </w:t>
      </w:r>
      <w:r>
        <w:rPr>
          <w:w w:val="120"/>
          <w:sz w:val="20"/>
        </w:rPr>
        <w:t>(pages</w:t>
      </w:r>
      <w:r>
        <w:rPr>
          <w:spacing w:val="9"/>
          <w:w w:val="120"/>
          <w:sz w:val="20"/>
        </w:rPr>
        <w:t> </w:t>
      </w:r>
      <w:r>
        <w:rPr>
          <w:spacing w:val="-11"/>
          <w:w w:val="120"/>
          <w:sz w:val="20"/>
        </w:rPr>
        <w:t>11-14).</w:t>
      </w:r>
    </w:p>
    <w:p>
      <w:pPr>
        <w:pStyle w:val="BodyText"/>
        <w:spacing w:before="11"/>
        <w:rPr>
          <w:sz w:val="19"/>
        </w:rPr>
      </w:pPr>
    </w:p>
    <w:p>
      <w:pPr>
        <w:pStyle w:val="ListParagraph"/>
        <w:numPr>
          <w:ilvl w:val="0"/>
          <w:numId w:val="2"/>
        </w:numPr>
        <w:tabs>
          <w:tab w:pos="1227" w:val="left" w:leader="none"/>
          <w:tab w:pos="1228" w:val="left" w:leader="none"/>
        </w:tabs>
        <w:spacing w:line="235" w:lineRule="auto" w:before="0" w:after="0"/>
        <w:ind w:left="547" w:right="2268" w:firstLine="0"/>
        <w:jc w:val="left"/>
        <w:rPr>
          <w:sz w:val="20"/>
        </w:rPr>
      </w:pPr>
      <w:r>
        <w:rPr>
          <w:w w:val="120"/>
          <w:sz w:val="20"/>
        </w:rPr>
        <w:t>The faith and order committee has used Mission Council as a sounding board for its work on authorised elders, on ‘What is the Spirit saying to the Church?’ and</w:t>
      </w:r>
      <w:r>
        <w:rPr>
          <w:spacing w:val="5"/>
          <w:w w:val="120"/>
          <w:sz w:val="20"/>
        </w:rPr>
        <w:t> </w:t>
      </w:r>
      <w:r>
        <w:rPr>
          <w:w w:val="120"/>
          <w:sz w:val="20"/>
        </w:rPr>
        <w:t>on</w:t>
      </w:r>
    </w:p>
    <w:p>
      <w:pPr>
        <w:pStyle w:val="BodyText"/>
        <w:spacing w:line="235" w:lineRule="auto" w:before="2"/>
        <w:ind w:left="547" w:right="1899"/>
      </w:pPr>
      <w:r>
        <w:rPr>
          <w:w w:val="120"/>
        </w:rPr>
        <w:t>church membership, now leading to proposals for ‘The Wider Fold’. All of these matters emerged, in one way or another, from the work of the 2014 Assembly.</w:t>
      </w:r>
    </w:p>
    <w:p>
      <w:pPr>
        <w:pStyle w:val="BodyText"/>
        <w:spacing w:before="9"/>
        <w:rPr>
          <w:sz w:val="19"/>
        </w:rPr>
      </w:pPr>
    </w:p>
    <w:p>
      <w:pPr>
        <w:pStyle w:val="ListParagraph"/>
        <w:numPr>
          <w:ilvl w:val="0"/>
          <w:numId w:val="2"/>
        </w:numPr>
        <w:tabs>
          <w:tab w:pos="1227" w:val="left" w:leader="none"/>
          <w:tab w:pos="1228" w:val="left" w:leader="none"/>
        </w:tabs>
        <w:spacing w:line="235" w:lineRule="auto" w:before="0" w:after="0"/>
        <w:ind w:left="547" w:right="2228" w:firstLine="0"/>
        <w:jc w:val="left"/>
        <w:rPr>
          <w:sz w:val="20"/>
        </w:rPr>
      </w:pPr>
      <w:r>
        <w:rPr>
          <w:w w:val="120"/>
          <w:sz w:val="20"/>
        </w:rPr>
        <w:t>Mission committee brought two major items for Mission Council to discuss in a preliminary way and these now come forward to Assembly: an environmental policy, and a resolution on nuclear weapons. For both of these issues, the wide forum of an Assembly is the best place for the Church to develop its opinions and</w:t>
      </w:r>
      <w:r>
        <w:rPr>
          <w:spacing w:val="5"/>
          <w:w w:val="120"/>
          <w:sz w:val="20"/>
        </w:rPr>
        <w:t> </w:t>
      </w:r>
      <w:r>
        <w:rPr>
          <w:w w:val="120"/>
          <w:sz w:val="20"/>
        </w:rPr>
        <w:t>policies.</w:t>
      </w:r>
    </w:p>
    <w:p>
      <w:pPr>
        <w:pStyle w:val="BodyText"/>
        <w:spacing w:before="11"/>
        <w:rPr>
          <w:sz w:val="19"/>
        </w:rPr>
      </w:pPr>
    </w:p>
    <w:p>
      <w:pPr>
        <w:pStyle w:val="ListParagraph"/>
        <w:numPr>
          <w:ilvl w:val="0"/>
          <w:numId w:val="2"/>
        </w:numPr>
        <w:tabs>
          <w:tab w:pos="1227" w:val="left" w:leader="none"/>
          <w:tab w:pos="1228" w:val="left" w:leader="none"/>
        </w:tabs>
        <w:spacing w:line="235" w:lineRule="auto" w:before="1" w:after="0"/>
        <w:ind w:left="547" w:right="2071" w:firstLine="0"/>
        <w:jc w:val="left"/>
        <w:rPr>
          <w:sz w:val="20"/>
        </w:rPr>
      </w:pPr>
      <w:r>
        <w:rPr>
          <w:w w:val="120"/>
          <w:sz w:val="20"/>
        </w:rPr>
        <w:t>The work of the safeguarding advisory group has come into greater prominence in the last year or so, through the preparation and publication of an up-to-date ‘Good Practice’ resource for the Church, and through the planning and initiation of a Past Cases</w:t>
      </w:r>
      <w:r>
        <w:rPr>
          <w:spacing w:val="7"/>
          <w:w w:val="120"/>
          <w:sz w:val="20"/>
        </w:rPr>
        <w:t> </w:t>
      </w:r>
      <w:r>
        <w:rPr>
          <w:w w:val="120"/>
          <w:sz w:val="20"/>
        </w:rPr>
        <w:t>Review.</w:t>
      </w:r>
      <w:r>
        <w:rPr>
          <w:spacing w:val="8"/>
          <w:w w:val="120"/>
          <w:sz w:val="20"/>
        </w:rPr>
        <w:t> </w:t>
      </w:r>
      <w:r>
        <w:rPr>
          <w:w w:val="120"/>
          <w:sz w:val="20"/>
        </w:rPr>
        <w:t>A</w:t>
      </w:r>
      <w:r>
        <w:rPr>
          <w:spacing w:val="8"/>
          <w:w w:val="120"/>
          <w:sz w:val="20"/>
        </w:rPr>
        <w:t> </w:t>
      </w:r>
      <w:r>
        <w:rPr>
          <w:w w:val="120"/>
          <w:sz w:val="20"/>
        </w:rPr>
        <w:t>paper</w:t>
      </w:r>
      <w:r>
        <w:rPr>
          <w:spacing w:val="8"/>
          <w:w w:val="120"/>
          <w:sz w:val="20"/>
        </w:rPr>
        <w:t> </w:t>
      </w:r>
      <w:r>
        <w:rPr>
          <w:w w:val="120"/>
          <w:sz w:val="20"/>
        </w:rPr>
        <w:t>on</w:t>
      </w:r>
      <w:r>
        <w:rPr>
          <w:spacing w:val="8"/>
          <w:w w:val="120"/>
          <w:sz w:val="20"/>
        </w:rPr>
        <w:t> </w:t>
      </w:r>
      <w:r>
        <w:rPr>
          <w:w w:val="120"/>
          <w:sz w:val="20"/>
        </w:rPr>
        <w:t>this</w:t>
      </w:r>
      <w:r>
        <w:rPr>
          <w:spacing w:val="8"/>
          <w:w w:val="120"/>
          <w:sz w:val="20"/>
        </w:rPr>
        <w:t> </w:t>
      </w:r>
      <w:r>
        <w:rPr>
          <w:w w:val="120"/>
          <w:sz w:val="20"/>
        </w:rPr>
        <w:t>is</w:t>
      </w:r>
      <w:r>
        <w:rPr>
          <w:spacing w:val="8"/>
          <w:w w:val="120"/>
          <w:sz w:val="20"/>
        </w:rPr>
        <w:t> </w:t>
      </w:r>
      <w:r>
        <w:rPr>
          <w:w w:val="120"/>
          <w:sz w:val="20"/>
        </w:rPr>
        <w:t>appended</w:t>
      </w:r>
      <w:r>
        <w:rPr>
          <w:spacing w:val="8"/>
          <w:w w:val="120"/>
          <w:sz w:val="20"/>
        </w:rPr>
        <w:t> </w:t>
      </w:r>
      <w:r>
        <w:rPr>
          <w:w w:val="120"/>
          <w:sz w:val="20"/>
        </w:rPr>
        <w:t>to</w:t>
      </w:r>
      <w:r>
        <w:rPr>
          <w:spacing w:val="8"/>
          <w:w w:val="120"/>
          <w:sz w:val="20"/>
        </w:rPr>
        <w:t> </w:t>
      </w:r>
      <w:r>
        <w:rPr>
          <w:w w:val="120"/>
          <w:sz w:val="20"/>
        </w:rPr>
        <w:t>this</w:t>
      </w:r>
      <w:r>
        <w:rPr>
          <w:spacing w:val="8"/>
          <w:w w:val="120"/>
          <w:sz w:val="20"/>
        </w:rPr>
        <w:t> </w:t>
      </w:r>
      <w:r>
        <w:rPr>
          <w:w w:val="120"/>
          <w:sz w:val="20"/>
        </w:rPr>
        <w:t>Mission</w:t>
      </w:r>
      <w:r>
        <w:rPr>
          <w:spacing w:val="8"/>
          <w:w w:val="120"/>
          <w:sz w:val="20"/>
        </w:rPr>
        <w:t> </w:t>
      </w:r>
      <w:r>
        <w:rPr>
          <w:w w:val="120"/>
          <w:sz w:val="20"/>
        </w:rPr>
        <w:t>Council</w:t>
      </w:r>
      <w:r>
        <w:rPr>
          <w:spacing w:val="8"/>
          <w:w w:val="120"/>
          <w:sz w:val="20"/>
        </w:rPr>
        <w:t> </w:t>
      </w:r>
      <w:r>
        <w:rPr>
          <w:spacing w:val="2"/>
          <w:w w:val="120"/>
          <w:sz w:val="20"/>
        </w:rPr>
        <w:t>report</w:t>
      </w:r>
      <w:r>
        <w:rPr>
          <w:spacing w:val="8"/>
          <w:w w:val="120"/>
          <w:sz w:val="20"/>
        </w:rPr>
        <w:t> </w:t>
      </w:r>
      <w:r>
        <w:rPr>
          <w:w w:val="120"/>
          <w:sz w:val="20"/>
        </w:rPr>
        <w:t>(pages</w:t>
      </w:r>
      <w:r>
        <w:rPr>
          <w:spacing w:val="8"/>
          <w:w w:val="120"/>
          <w:sz w:val="20"/>
        </w:rPr>
        <w:t> </w:t>
      </w:r>
      <w:r>
        <w:rPr>
          <w:spacing w:val="-8"/>
          <w:w w:val="120"/>
          <w:sz w:val="20"/>
        </w:rPr>
        <w:t>15-17)</w:t>
      </w:r>
    </w:p>
    <w:p>
      <w:pPr>
        <w:pStyle w:val="BodyText"/>
        <w:spacing w:before="10"/>
        <w:rPr>
          <w:sz w:val="19"/>
        </w:rPr>
      </w:pPr>
    </w:p>
    <w:p>
      <w:pPr>
        <w:pStyle w:val="ListParagraph"/>
        <w:numPr>
          <w:ilvl w:val="0"/>
          <w:numId w:val="2"/>
        </w:numPr>
        <w:tabs>
          <w:tab w:pos="1227" w:val="left" w:leader="none"/>
          <w:tab w:pos="1228" w:val="left" w:leader="none"/>
        </w:tabs>
        <w:spacing w:line="235" w:lineRule="auto" w:before="1" w:after="0"/>
        <w:ind w:left="547" w:right="1956" w:firstLine="0"/>
        <w:jc w:val="left"/>
        <w:rPr>
          <w:sz w:val="20"/>
        </w:rPr>
      </w:pPr>
      <w:r>
        <w:rPr>
          <w:w w:val="120"/>
          <w:sz w:val="20"/>
        </w:rPr>
        <w:t>The task group reviewing the </w:t>
      </w:r>
      <w:r>
        <w:rPr>
          <w:spacing w:val="-3"/>
          <w:w w:val="120"/>
          <w:sz w:val="20"/>
        </w:rPr>
        <w:t>Church’s </w:t>
      </w:r>
      <w:r>
        <w:rPr>
          <w:w w:val="120"/>
          <w:sz w:val="20"/>
        </w:rPr>
        <w:t>engagement with people aged </w:t>
      </w:r>
      <w:r>
        <w:rPr>
          <w:spacing w:val="3"/>
          <w:w w:val="120"/>
          <w:sz w:val="20"/>
        </w:rPr>
        <w:t>20-40 </w:t>
      </w:r>
      <w:r>
        <w:rPr>
          <w:w w:val="120"/>
          <w:sz w:val="20"/>
        </w:rPr>
        <w:t>was granted more time, in order to learn as much as possible from parallel work being done by other churches. It will now </w:t>
      </w:r>
      <w:r>
        <w:rPr>
          <w:spacing w:val="2"/>
          <w:w w:val="120"/>
          <w:sz w:val="20"/>
        </w:rPr>
        <w:t>report </w:t>
      </w:r>
      <w:r>
        <w:rPr>
          <w:w w:val="120"/>
          <w:sz w:val="20"/>
        </w:rPr>
        <w:t>to the </w:t>
      </w:r>
      <w:r>
        <w:rPr>
          <w:spacing w:val="-6"/>
          <w:w w:val="120"/>
          <w:sz w:val="20"/>
        </w:rPr>
        <w:t>2018 </w:t>
      </w:r>
      <w:r>
        <w:rPr>
          <w:w w:val="120"/>
          <w:sz w:val="20"/>
        </w:rPr>
        <w:t>General</w:t>
      </w:r>
      <w:r>
        <w:rPr>
          <w:spacing w:val="34"/>
          <w:w w:val="120"/>
          <w:sz w:val="20"/>
        </w:rPr>
        <w:t> </w:t>
      </w:r>
      <w:r>
        <w:rPr>
          <w:w w:val="120"/>
          <w:sz w:val="20"/>
        </w:rPr>
        <w:t>Assembly.</w:t>
      </w:r>
    </w:p>
    <w:p>
      <w:pPr>
        <w:spacing w:after="0" w:line="235" w:lineRule="auto"/>
        <w:jc w:val="left"/>
        <w:rPr>
          <w:sz w:val="20"/>
        </w:rPr>
        <w:sectPr>
          <w:headerReference w:type="even" r:id="rId61"/>
          <w:footerReference w:type="even" r:id="rId62"/>
          <w:footerReference w:type="default" r:id="rId63"/>
          <w:pgSz w:w="11910" w:h="16840"/>
          <w:pgMar w:header="0" w:footer="647" w:top="0" w:bottom="840" w:left="700" w:right="0"/>
          <w:pgNumType w:start="6"/>
        </w:sectPr>
      </w:pPr>
    </w:p>
    <w:p>
      <w:pPr>
        <w:pStyle w:val="BodyText"/>
      </w:pPr>
    </w:p>
    <w:p>
      <w:pPr>
        <w:pStyle w:val="BodyText"/>
        <w:spacing w:before="7"/>
        <w:rPr>
          <w:sz w:val="21"/>
        </w:rPr>
      </w:pPr>
    </w:p>
    <w:p>
      <w:pPr>
        <w:spacing w:after="0"/>
        <w:rPr>
          <w:sz w:val="21"/>
        </w:rPr>
        <w:sectPr>
          <w:headerReference w:type="default" r:id="rId65"/>
          <w:pgSz w:w="11910" w:h="16840"/>
          <w:pgMar w:header="0" w:footer="647" w:top="0" w:bottom="840" w:left="700" w:right="0"/>
        </w:sectPr>
      </w:pPr>
    </w:p>
    <w:p>
      <w:pPr>
        <w:pStyle w:val="BodyText"/>
        <w:spacing w:before="4"/>
        <w:rPr>
          <w:sz w:val="52"/>
        </w:rPr>
      </w:pPr>
    </w:p>
    <w:p>
      <w:pPr>
        <w:spacing w:before="0"/>
        <w:ind w:left="1284" w:right="0" w:firstLine="0"/>
        <w:jc w:val="left"/>
        <w:rPr>
          <w:rFonts w:ascii="Stone Sans II ITC Std Bk"/>
          <w:b/>
          <w:sz w:val="29"/>
        </w:rPr>
      </w:pPr>
      <w:r>
        <w:rPr>
          <w:rFonts w:ascii="Stone Sans II ITC Std Bk"/>
          <w:b/>
          <w:spacing w:val="3"/>
          <w:w w:val="110"/>
          <w:sz w:val="29"/>
        </w:rPr>
        <w:t>United </w:t>
      </w:r>
      <w:r>
        <w:rPr>
          <w:rFonts w:ascii="Stone Sans II ITC Std Bk"/>
          <w:b/>
          <w:spacing w:val="4"/>
          <w:w w:val="110"/>
          <w:sz w:val="29"/>
        </w:rPr>
        <w:t>Reformed </w:t>
      </w:r>
      <w:r>
        <w:rPr>
          <w:rFonts w:ascii="Stone Sans II ITC Std Bk"/>
          <w:b/>
          <w:spacing w:val="3"/>
          <w:w w:val="110"/>
          <w:sz w:val="29"/>
        </w:rPr>
        <w:t>Church House,</w:t>
      </w:r>
      <w:r>
        <w:rPr>
          <w:rFonts w:ascii="Stone Sans II ITC Std Bk"/>
          <w:b/>
          <w:spacing w:val="68"/>
          <w:w w:val="110"/>
          <w:sz w:val="29"/>
        </w:rPr>
        <w:t> </w:t>
      </w:r>
      <w:r>
        <w:rPr>
          <w:rFonts w:ascii="Stone Sans II ITC Std Bk"/>
          <w:b/>
          <w:spacing w:val="5"/>
          <w:w w:val="110"/>
          <w:sz w:val="29"/>
        </w:rPr>
        <w:t>London</w:t>
      </w:r>
    </w:p>
    <w:p>
      <w:pPr>
        <w:spacing w:before="106"/>
        <w:ind w:left="219" w:right="0" w:firstLine="0"/>
        <w:jc w:val="left"/>
        <w:rPr>
          <w:sz w:val="26"/>
        </w:rPr>
      </w:pPr>
      <w:r>
        <w:rPr/>
        <w:br w:type="column"/>
      </w:r>
      <w:r>
        <w:rPr>
          <w:color w:val="7EAABF"/>
          <w:w w:val="120"/>
          <w:sz w:val="26"/>
        </w:rPr>
        <w:t>Mission Council</w:t>
      </w:r>
    </w:p>
    <w:p>
      <w:pPr>
        <w:spacing w:after="0"/>
        <w:jc w:val="left"/>
        <w:rPr>
          <w:sz w:val="26"/>
        </w:rPr>
        <w:sectPr>
          <w:type w:val="continuous"/>
          <w:pgSz w:w="11910" w:h="16840"/>
          <w:pgMar w:top="1580" w:bottom="280" w:left="700" w:right="0"/>
          <w:cols w:num="2" w:equalWidth="0">
            <w:col w:w="7753" w:space="40"/>
            <w:col w:w="3417"/>
          </w:cols>
        </w:sectPr>
      </w:pPr>
    </w:p>
    <w:p>
      <w:pPr>
        <w:pStyle w:val="ListParagraph"/>
        <w:numPr>
          <w:ilvl w:val="0"/>
          <w:numId w:val="2"/>
        </w:numPr>
        <w:tabs>
          <w:tab w:pos="1964" w:val="left" w:leader="none"/>
          <w:tab w:pos="1965" w:val="left" w:leader="none"/>
        </w:tabs>
        <w:spacing w:line="235" w:lineRule="auto" w:before="69" w:after="0"/>
        <w:ind w:left="1284" w:right="1280" w:firstLine="0"/>
        <w:jc w:val="left"/>
        <w:rPr>
          <w:sz w:val="20"/>
        </w:rPr>
      </w:pPr>
      <w:r>
        <w:rPr/>
        <w:drawing>
          <wp:anchor distT="0" distB="0" distL="0" distR="0" allowOverlap="1" layoutInCell="1" locked="0" behindDoc="0" simplePos="0" relativeHeight="251675648">
            <wp:simplePos x="0" y="0"/>
            <wp:positionH relativeFrom="page">
              <wp:posOffset>6974928</wp:posOffset>
            </wp:positionH>
            <wp:positionV relativeFrom="page">
              <wp:posOffset>0</wp:posOffset>
            </wp:positionV>
            <wp:extent cx="585076" cy="10692003"/>
            <wp:effectExtent l="0" t="0" r="0" b="0"/>
            <wp:wrapNone/>
            <wp:docPr id="7" name="image52.png"/>
            <wp:cNvGraphicFramePr>
              <a:graphicFrameLocks noChangeAspect="1"/>
            </wp:cNvGraphicFramePr>
            <a:graphic>
              <a:graphicData uri="http://schemas.openxmlformats.org/drawingml/2006/picture">
                <pic:pic>
                  <pic:nvPicPr>
                    <pic:cNvPr id="8" name="image52.png"/>
                    <pic:cNvPicPr/>
                  </pic:nvPicPr>
                  <pic:blipFill>
                    <a:blip r:embed="rId66" cstate="print"/>
                    <a:stretch>
                      <a:fillRect/>
                    </a:stretch>
                  </pic:blipFill>
                  <pic:spPr>
                    <a:xfrm>
                      <a:off x="0" y="0"/>
                      <a:ext cx="585076" cy="10692003"/>
                    </a:xfrm>
                    <a:prstGeom prst="rect">
                      <a:avLst/>
                    </a:prstGeom>
                  </pic:spPr>
                </pic:pic>
              </a:graphicData>
            </a:graphic>
          </wp:anchor>
        </w:drawing>
      </w:r>
      <w:r>
        <w:rPr/>
        <w:pict>
          <v:shape style="position:absolute;margin-left:554.141174pt;margin-top:-28.931347pt;width:25.9pt;height:163.2pt;mso-position-horizontal-relative:page;mso-position-vertical-relative:paragraph;z-index:251676672" type="#_x0000_t202" filled="false" stroked="false">
            <v:textbox inset="0,0,0,0" style="layout-flow:vertical">
              <w:txbxContent>
                <w:p>
                  <w:pPr>
                    <w:spacing w:before="27"/>
                    <w:ind w:left="20" w:right="0" w:firstLine="0"/>
                    <w:jc w:val="left"/>
                    <w:rPr>
                      <w:sz w:val="39"/>
                    </w:rPr>
                  </w:pPr>
                  <w:r>
                    <w:rPr>
                      <w:color w:val="FFFFFF"/>
                      <w:w w:val="125"/>
                      <w:sz w:val="39"/>
                    </w:rPr>
                    <w:t>Mission Council</w:t>
                  </w:r>
                </w:p>
              </w:txbxContent>
            </v:textbox>
            <w10:wrap type="none"/>
          </v:shape>
        </w:pict>
      </w:r>
      <w:r>
        <w:rPr>
          <w:w w:val="120"/>
          <w:sz w:val="20"/>
        </w:rPr>
        <w:t>The URC Trust, which is the legal custodian of the </w:t>
      </w:r>
      <w:r>
        <w:rPr>
          <w:spacing w:val="-3"/>
          <w:w w:val="120"/>
          <w:sz w:val="20"/>
        </w:rPr>
        <w:t>Church’s </w:t>
      </w:r>
      <w:r>
        <w:rPr>
          <w:w w:val="120"/>
          <w:sz w:val="20"/>
        </w:rPr>
        <w:t>material and financial assets, has consulted Mission Council several times about our central office building in London. Initial thoughts of moving out of London or away from Tavistock Place have been set aside, and the Church is now committed to staying where it is. The idea of building and marketing two floors of flats on the roof did not find favour; it would have been risky and complicated, and might have compromised our freehold.</w:t>
      </w:r>
      <w:r>
        <w:rPr>
          <w:spacing w:val="2"/>
          <w:w w:val="120"/>
          <w:sz w:val="20"/>
        </w:rPr>
        <w:t> </w:t>
      </w:r>
      <w:r>
        <w:rPr>
          <w:w w:val="120"/>
          <w:sz w:val="20"/>
        </w:rPr>
        <w:t>However,</w:t>
      </w:r>
    </w:p>
    <w:p>
      <w:pPr>
        <w:pStyle w:val="BodyText"/>
        <w:spacing w:line="235" w:lineRule="auto" w:before="4"/>
        <w:ind w:left="1284" w:right="1529"/>
      </w:pPr>
      <w:r>
        <w:rPr>
          <w:w w:val="120"/>
        </w:rPr>
        <w:t>the building ought to be made more accessible and more flexible; if it can be more compactly used, </w:t>
      </w:r>
      <w:r>
        <w:rPr>
          <w:spacing w:val="2"/>
          <w:w w:val="120"/>
        </w:rPr>
        <w:t>part </w:t>
      </w:r>
      <w:r>
        <w:rPr>
          <w:w w:val="120"/>
        </w:rPr>
        <w:t>of it may earn us money through rental; there is scope to make it more efficient environmentally; and we ought to develop our facility to host ‘virtual </w:t>
      </w:r>
      <w:r>
        <w:rPr>
          <w:spacing w:val="-3"/>
          <w:w w:val="120"/>
        </w:rPr>
        <w:t>meetings’, </w:t>
      </w:r>
      <w:r>
        <w:rPr>
          <w:w w:val="120"/>
        </w:rPr>
        <w:t>thus enabling some of the </w:t>
      </w:r>
      <w:r>
        <w:rPr>
          <w:spacing w:val="-3"/>
          <w:w w:val="120"/>
        </w:rPr>
        <w:t>Church’s </w:t>
      </w:r>
      <w:r>
        <w:rPr>
          <w:w w:val="120"/>
        </w:rPr>
        <w:t>committee work to be quicker, less cumbersome</w:t>
      </w:r>
      <w:r>
        <w:rPr>
          <w:spacing w:val="6"/>
          <w:w w:val="120"/>
        </w:rPr>
        <w:t> </w:t>
      </w:r>
      <w:r>
        <w:rPr>
          <w:w w:val="120"/>
        </w:rPr>
        <w:t>and</w:t>
      </w:r>
      <w:r>
        <w:rPr>
          <w:spacing w:val="6"/>
          <w:w w:val="120"/>
        </w:rPr>
        <w:t> </w:t>
      </w:r>
      <w:r>
        <w:rPr>
          <w:w w:val="120"/>
        </w:rPr>
        <w:t>more</w:t>
      </w:r>
      <w:r>
        <w:rPr>
          <w:spacing w:val="7"/>
          <w:w w:val="120"/>
        </w:rPr>
        <w:t> </w:t>
      </w:r>
      <w:r>
        <w:rPr>
          <w:w w:val="120"/>
        </w:rPr>
        <w:t>open</w:t>
      </w:r>
      <w:r>
        <w:rPr>
          <w:spacing w:val="6"/>
          <w:w w:val="120"/>
        </w:rPr>
        <w:t> </w:t>
      </w:r>
      <w:r>
        <w:rPr>
          <w:w w:val="120"/>
        </w:rPr>
        <w:t>to</w:t>
      </w:r>
      <w:r>
        <w:rPr>
          <w:spacing w:val="6"/>
          <w:w w:val="120"/>
        </w:rPr>
        <w:t> </w:t>
      </w:r>
      <w:r>
        <w:rPr>
          <w:w w:val="120"/>
        </w:rPr>
        <w:t>people</w:t>
      </w:r>
      <w:r>
        <w:rPr>
          <w:spacing w:val="7"/>
          <w:w w:val="120"/>
        </w:rPr>
        <w:t> </w:t>
      </w:r>
      <w:r>
        <w:rPr>
          <w:w w:val="120"/>
        </w:rPr>
        <w:t>who</w:t>
      </w:r>
      <w:r>
        <w:rPr>
          <w:spacing w:val="6"/>
          <w:w w:val="120"/>
        </w:rPr>
        <w:t> </w:t>
      </w:r>
      <w:r>
        <w:rPr>
          <w:w w:val="120"/>
        </w:rPr>
        <w:t>cannot</w:t>
      </w:r>
      <w:r>
        <w:rPr>
          <w:spacing w:val="6"/>
          <w:w w:val="120"/>
        </w:rPr>
        <w:t> </w:t>
      </w:r>
      <w:r>
        <w:rPr>
          <w:w w:val="120"/>
        </w:rPr>
        <w:t>commit</w:t>
      </w:r>
      <w:r>
        <w:rPr>
          <w:spacing w:val="7"/>
          <w:w w:val="120"/>
        </w:rPr>
        <w:t> </w:t>
      </w:r>
      <w:r>
        <w:rPr>
          <w:w w:val="120"/>
        </w:rPr>
        <w:t>long</w:t>
      </w:r>
      <w:r>
        <w:rPr>
          <w:spacing w:val="6"/>
          <w:w w:val="120"/>
        </w:rPr>
        <w:t> </w:t>
      </w:r>
      <w:r>
        <w:rPr>
          <w:w w:val="120"/>
        </w:rPr>
        <w:t>hours</w:t>
      </w:r>
      <w:r>
        <w:rPr>
          <w:spacing w:val="6"/>
          <w:w w:val="120"/>
        </w:rPr>
        <w:t> </w:t>
      </w:r>
      <w:r>
        <w:rPr>
          <w:w w:val="120"/>
        </w:rPr>
        <w:t>to</w:t>
      </w:r>
      <w:r>
        <w:rPr>
          <w:spacing w:val="7"/>
          <w:w w:val="120"/>
        </w:rPr>
        <w:t> </w:t>
      </w:r>
      <w:r>
        <w:rPr>
          <w:w w:val="120"/>
        </w:rPr>
        <w:t>travel.</w:t>
      </w:r>
    </w:p>
    <w:p>
      <w:pPr>
        <w:pStyle w:val="BodyText"/>
      </w:pPr>
    </w:p>
    <w:p>
      <w:pPr>
        <w:pStyle w:val="ListParagraph"/>
        <w:numPr>
          <w:ilvl w:val="0"/>
          <w:numId w:val="2"/>
        </w:numPr>
        <w:tabs>
          <w:tab w:pos="1964" w:val="left" w:leader="none"/>
          <w:tab w:pos="1965" w:val="left" w:leader="none"/>
        </w:tabs>
        <w:spacing w:line="235" w:lineRule="auto" w:before="0" w:after="0"/>
        <w:ind w:left="1284" w:right="1805" w:firstLine="0"/>
        <w:jc w:val="left"/>
        <w:rPr>
          <w:sz w:val="20"/>
        </w:rPr>
      </w:pPr>
      <w:r>
        <w:rPr>
          <w:w w:val="120"/>
          <w:sz w:val="20"/>
        </w:rPr>
        <w:t>In March </w:t>
      </w:r>
      <w:r>
        <w:rPr>
          <w:spacing w:val="-7"/>
          <w:w w:val="120"/>
          <w:sz w:val="20"/>
        </w:rPr>
        <w:t>2016 </w:t>
      </w:r>
      <w:r>
        <w:rPr>
          <w:w w:val="120"/>
          <w:sz w:val="20"/>
        </w:rPr>
        <w:t>Mission Council authorised the Trust to take up a quote from a named contractor on a design-and-build contract, and noted that the finance committee was able to release £2.5 million from the </w:t>
      </w:r>
      <w:r>
        <w:rPr>
          <w:spacing w:val="-3"/>
          <w:w w:val="120"/>
          <w:sz w:val="20"/>
        </w:rPr>
        <w:t>URC’s </w:t>
      </w:r>
      <w:r>
        <w:rPr>
          <w:w w:val="120"/>
          <w:sz w:val="20"/>
        </w:rPr>
        <w:t>reserves to fund</w:t>
      </w:r>
      <w:r>
        <w:rPr>
          <w:spacing w:val="23"/>
          <w:w w:val="120"/>
          <w:sz w:val="20"/>
        </w:rPr>
        <w:t> </w:t>
      </w:r>
      <w:r>
        <w:rPr>
          <w:w w:val="120"/>
          <w:sz w:val="20"/>
        </w:rPr>
        <w:t>the</w:t>
      </w:r>
    </w:p>
    <w:p>
      <w:pPr>
        <w:pStyle w:val="BodyText"/>
        <w:spacing w:line="235" w:lineRule="auto" w:before="2"/>
        <w:ind w:left="1284" w:right="1450"/>
      </w:pPr>
      <w:r>
        <w:rPr>
          <w:w w:val="120"/>
        </w:rPr>
        <w:t>work. Questions were rightly asked about how this proposal would be heard in local churches. Several answers could be given: that the work done by staff in Church House is primarily for local churches; that the refurbishment is the first work of its kind for decades, and is likely to last for decades; that the cost will be taken from accumulated reserves rather than from the </w:t>
      </w:r>
      <w:r>
        <w:rPr>
          <w:spacing w:val="-3"/>
          <w:w w:val="120"/>
        </w:rPr>
        <w:t>Church’s </w:t>
      </w:r>
      <w:r>
        <w:rPr>
          <w:w w:val="120"/>
        </w:rPr>
        <w:t>annual giving; and – a point made by the Treasurer – that the local is not being neglected. Our church buildings fund, held   within the central finances of the Church, has money in hand for which congregations may</w:t>
      </w:r>
      <w:r>
        <w:rPr>
          <w:spacing w:val="1"/>
          <w:w w:val="120"/>
        </w:rPr>
        <w:t> </w:t>
      </w:r>
      <w:r>
        <w:rPr>
          <w:w w:val="120"/>
        </w:rPr>
        <w:t>apply.</w:t>
      </w:r>
    </w:p>
    <w:p>
      <w:pPr>
        <w:pStyle w:val="BodyText"/>
        <w:spacing w:before="2"/>
      </w:pPr>
    </w:p>
    <w:p>
      <w:pPr>
        <w:pStyle w:val="ListParagraph"/>
        <w:numPr>
          <w:ilvl w:val="0"/>
          <w:numId w:val="2"/>
        </w:numPr>
        <w:tabs>
          <w:tab w:pos="1964" w:val="left" w:leader="none"/>
          <w:tab w:pos="1965" w:val="left" w:leader="none"/>
        </w:tabs>
        <w:spacing w:line="235" w:lineRule="auto" w:before="0" w:after="0"/>
        <w:ind w:left="1284" w:right="1650" w:firstLine="0"/>
        <w:jc w:val="left"/>
        <w:rPr>
          <w:sz w:val="20"/>
        </w:rPr>
      </w:pPr>
      <w:r>
        <w:rPr>
          <w:w w:val="120"/>
          <w:sz w:val="20"/>
        </w:rPr>
        <w:t>The Trust and Mission Council believe this refurbishment work is necessary, timely and hopeful. Our Church does not live through the well-being of its central office; but the central office contributes actively and consistently to the well-being of the Church, and this building work will enable it to do so with fresh vigour and purpose. We are grateful to our central staff for the quality and commitment of their work for the Church, and for their readiness to bear a period of disruption and dis- location in the coming months while the building is</w:t>
      </w:r>
      <w:r>
        <w:rPr>
          <w:spacing w:val="33"/>
          <w:w w:val="120"/>
          <w:sz w:val="20"/>
        </w:rPr>
        <w:t> </w:t>
      </w:r>
      <w:r>
        <w:rPr>
          <w:w w:val="120"/>
          <w:sz w:val="20"/>
        </w:rPr>
        <w:t>renewed.</w:t>
      </w:r>
    </w:p>
    <w:p>
      <w:pPr>
        <w:pStyle w:val="BodyText"/>
        <w:rPr>
          <w:sz w:val="29"/>
        </w:rPr>
      </w:pPr>
    </w:p>
    <w:p>
      <w:pPr>
        <w:spacing w:before="0"/>
        <w:ind w:left="1284" w:right="0" w:firstLine="0"/>
        <w:jc w:val="left"/>
        <w:rPr>
          <w:rFonts w:ascii="Stone Sans II ITC Std Bk"/>
          <w:b/>
          <w:sz w:val="29"/>
        </w:rPr>
      </w:pPr>
      <w:r>
        <w:rPr>
          <w:rFonts w:ascii="Stone Sans II ITC Std Bk"/>
          <w:b/>
          <w:w w:val="110"/>
          <w:sz w:val="29"/>
        </w:rPr>
        <w:t>Governing the United Reformed Church</w:t>
      </w:r>
    </w:p>
    <w:p>
      <w:pPr>
        <w:pStyle w:val="ListParagraph"/>
        <w:numPr>
          <w:ilvl w:val="0"/>
          <w:numId w:val="2"/>
        </w:numPr>
        <w:tabs>
          <w:tab w:pos="1964" w:val="left" w:leader="none"/>
          <w:tab w:pos="1965" w:val="left" w:leader="none"/>
        </w:tabs>
        <w:spacing w:line="235" w:lineRule="auto" w:before="69" w:after="0"/>
        <w:ind w:left="1284" w:right="1427" w:firstLine="0"/>
        <w:jc w:val="left"/>
        <w:rPr>
          <w:sz w:val="20"/>
        </w:rPr>
      </w:pPr>
      <w:r>
        <w:rPr>
          <w:w w:val="120"/>
          <w:sz w:val="20"/>
        </w:rPr>
        <w:t>A continuing concern for Mission Council, informed in recent years by the work of the medium term strategy group, is the cost of the </w:t>
      </w:r>
      <w:r>
        <w:rPr>
          <w:spacing w:val="-3"/>
          <w:w w:val="120"/>
          <w:sz w:val="20"/>
        </w:rPr>
        <w:t>Church’s </w:t>
      </w:r>
      <w:r>
        <w:rPr>
          <w:w w:val="120"/>
          <w:sz w:val="20"/>
        </w:rPr>
        <w:t>governance. Our </w:t>
      </w:r>
      <w:r>
        <w:rPr>
          <w:spacing w:val="-7"/>
          <w:w w:val="120"/>
          <w:sz w:val="20"/>
        </w:rPr>
        <w:t>2012 </w:t>
      </w:r>
      <w:r>
        <w:rPr>
          <w:w w:val="120"/>
          <w:sz w:val="20"/>
        </w:rPr>
        <w:t>General Assembly conducted a careful review of the </w:t>
      </w:r>
      <w:r>
        <w:rPr>
          <w:spacing w:val="-3"/>
          <w:w w:val="120"/>
          <w:sz w:val="20"/>
        </w:rPr>
        <w:t>Church’s </w:t>
      </w:r>
      <w:r>
        <w:rPr>
          <w:w w:val="120"/>
          <w:sz w:val="20"/>
        </w:rPr>
        <w:t>budget, and limited the Assembly line to £100k per annum; but we already find it difficult to keep to that limit, and synods tell us that neither they nor their representatives ought to be asked to pay the difference. Further, there is some desire to revert to an annual Assembly, so that Mission Council was asked to think with care about whether we could save money on the </w:t>
      </w:r>
      <w:r>
        <w:rPr>
          <w:spacing w:val="-3"/>
          <w:w w:val="120"/>
          <w:sz w:val="20"/>
        </w:rPr>
        <w:t>Church’s </w:t>
      </w:r>
      <w:r>
        <w:rPr>
          <w:w w:val="120"/>
          <w:sz w:val="20"/>
        </w:rPr>
        <w:t>network of committees with a view to funding this. Mission Council has gone on to talk about the future character of General Assembly, and some contours of this discussion are now emerging more</w:t>
      </w:r>
      <w:r>
        <w:rPr>
          <w:spacing w:val="13"/>
          <w:w w:val="120"/>
          <w:sz w:val="20"/>
        </w:rPr>
        <w:t> </w:t>
      </w:r>
      <w:r>
        <w:rPr>
          <w:w w:val="120"/>
          <w:sz w:val="20"/>
        </w:rPr>
        <w:t>clearly.</w:t>
      </w:r>
    </w:p>
    <w:p>
      <w:pPr>
        <w:pStyle w:val="BodyText"/>
        <w:spacing w:before="3"/>
      </w:pPr>
    </w:p>
    <w:p>
      <w:pPr>
        <w:pStyle w:val="ListParagraph"/>
        <w:numPr>
          <w:ilvl w:val="0"/>
          <w:numId w:val="2"/>
        </w:numPr>
        <w:tabs>
          <w:tab w:pos="1964" w:val="left" w:leader="none"/>
          <w:tab w:pos="1965" w:val="left" w:leader="none"/>
        </w:tabs>
        <w:spacing w:line="235" w:lineRule="auto" w:before="1" w:after="0"/>
        <w:ind w:left="1284" w:right="1520" w:firstLine="0"/>
        <w:jc w:val="left"/>
        <w:rPr>
          <w:sz w:val="20"/>
        </w:rPr>
      </w:pPr>
      <w:r>
        <w:rPr>
          <w:spacing w:val="3"/>
          <w:w w:val="120"/>
          <w:sz w:val="20"/>
        </w:rPr>
        <w:t>As </w:t>
      </w:r>
      <w:r>
        <w:rPr>
          <w:w w:val="120"/>
          <w:sz w:val="20"/>
        </w:rPr>
        <w:t>a conciliar church, we welcome the chance to meet regularly; indeed the Spirit often uses these settings to speak through us and to us. In order to engage properly with local church concerns, we value wide involvement. We believe the Gospel deserves excellence, so we want our councils and meetings to be professional in style and tone. And so we find it hard to make choices that would trim any</w:t>
      </w:r>
      <w:r>
        <w:rPr>
          <w:spacing w:val="42"/>
          <w:w w:val="120"/>
          <w:sz w:val="20"/>
        </w:rPr>
        <w:t> </w:t>
      </w:r>
      <w:r>
        <w:rPr>
          <w:w w:val="120"/>
          <w:sz w:val="20"/>
        </w:rPr>
        <w:t>one</w:t>
      </w:r>
    </w:p>
    <w:p>
      <w:pPr>
        <w:pStyle w:val="BodyText"/>
        <w:spacing w:line="235" w:lineRule="auto" w:before="3"/>
        <w:ind w:left="1284" w:right="1757"/>
      </w:pPr>
      <w:r>
        <w:rPr>
          <w:w w:val="120"/>
        </w:rPr>
        <w:t>of these ideals. If only Assembly could be frequent, large, careful, inspiring, well- staged and cheap! So Mission Council does not bring precise recommendations, yet. It has, </w:t>
      </w:r>
      <w:r>
        <w:rPr>
          <w:spacing w:val="-3"/>
          <w:w w:val="120"/>
        </w:rPr>
        <w:t>however, </w:t>
      </w:r>
      <w:r>
        <w:rPr>
          <w:w w:val="120"/>
        </w:rPr>
        <w:t>discovered that savings on committee work could not be large and quick, unless the work committees do were to change radically; there is not at present an obvious vision for this. However, Mission Council has recently asked the Assembly arrangements committee to advise this year’s Assembly whether or not</w:t>
      </w:r>
      <w:r>
        <w:rPr>
          <w:spacing w:val="2"/>
          <w:w w:val="120"/>
        </w:rPr>
        <w:t> </w:t>
      </w:r>
      <w:r>
        <w:rPr>
          <w:w w:val="120"/>
        </w:rPr>
        <w:t>a</w:t>
      </w:r>
    </w:p>
    <w:p>
      <w:pPr>
        <w:pStyle w:val="BodyText"/>
        <w:spacing w:line="235" w:lineRule="auto" w:before="5"/>
        <w:ind w:left="1284" w:right="1337"/>
      </w:pPr>
      <w:r>
        <w:rPr>
          <w:w w:val="120"/>
        </w:rPr>
        <w:t>72-hour Assembly could expect to run within budget in 2018. Any decisions we take in Southport about our meeting in 2018 ought to be realistic.</w:t>
      </w:r>
    </w:p>
    <w:p>
      <w:pPr>
        <w:spacing w:after="0" w:line="235" w:lineRule="auto"/>
        <w:sectPr>
          <w:type w:val="continuous"/>
          <w:pgSz w:w="11910" w:h="16840"/>
          <w:pgMar w:top="1580" w:bottom="280" w:left="700" w:right="0"/>
        </w:sectPr>
      </w:pPr>
    </w:p>
    <w:p>
      <w:pPr>
        <w:pStyle w:val="BodyText"/>
      </w:pPr>
      <w:r>
        <w:rPr/>
        <w:drawing>
          <wp:anchor distT="0" distB="0" distL="0" distR="0" allowOverlap="1" layoutInCell="1" locked="0" behindDoc="1" simplePos="0" relativeHeight="235224064">
            <wp:simplePos x="0" y="0"/>
            <wp:positionH relativeFrom="page">
              <wp:posOffset>0</wp:posOffset>
            </wp:positionH>
            <wp:positionV relativeFrom="page">
              <wp:posOffset>0</wp:posOffset>
            </wp:positionV>
            <wp:extent cx="594067" cy="10692003"/>
            <wp:effectExtent l="0" t="0" r="0" b="0"/>
            <wp:wrapNone/>
            <wp:docPr id="9" name="image51.png"/>
            <wp:cNvGraphicFramePr>
              <a:graphicFrameLocks noChangeAspect="1"/>
            </wp:cNvGraphicFramePr>
            <a:graphic>
              <a:graphicData uri="http://schemas.openxmlformats.org/drawingml/2006/picture">
                <pic:pic>
                  <pic:nvPicPr>
                    <pic:cNvPr id="10" name="image51.png"/>
                    <pic:cNvPicPr/>
                  </pic:nvPicPr>
                  <pic:blipFill>
                    <a:blip r:embed="rId64" cstate="print"/>
                    <a:stretch>
                      <a:fillRect/>
                    </a:stretch>
                  </pic:blipFill>
                  <pic:spPr>
                    <a:xfrm>
                      <a:off x="0" y="0"/>
                      <a:ext cx="594067" cy="10692003"/>
                    </a:xfrm>
                    <a:prstGeom prst="rect">
                      <a:avLst/>
                    </a:prstGeom>
                  </pic:spPr>
                </pic:pic>
              </a:graphicData>
            </a:graphic>
          </wp:anchor>
        </w:drawing>
      </w:r>
      <w:r>
        <w:rPr/>
        <w:pict>
          <v:shape style="position:absolute;margin-left:20.519100pt;margin-top:48.890015pt;width:25.9pt;height:163.2pt;mso-position-horizontal-relative:page;mso-position-vertical-relative:page;z-index:-268091392" type="#_x0000_t202" filled="false" stroked="false">
            <v:textbox inset="0,0,0,0" style="layout-flow:vertical">
              <w:txbxContent>
                <w:p>
                  <w:pPr>
                    <w:spacing w:before="27"/>
                    <w:ind w:left="20" w:right="0" w:firstLine="0"/>
                    <w:jc w:val="left"/>
                    <w:rPr>
                      <w:sz w:val="39"/>
                    </w:rPr>
                  </w:pPr>
                  <w:r>
                    <w:rPr>
                      <w:color w:val="FFFFFF"/>
                      <w:w w:val="125"/>
                      <w:sz w:val="39"/>
                    </w:rPr>
                    <w:t>Mission Council</w:t>
                  </w:r>
                </w:p>
              </w:txbxContent>
            </v:textbox>
            <w10:wrap type="none"/>
          </v:shape>
        </w:pict>
      </w:r>
    </w:p>
    <w:p>
      <w:pPr>
        <w:pStyle w:val="BodyText"/>
        <w:spacing w:before="7"/>
        <w:rPr>
          <w:sz w:val="21"/>
        </w:rPr>
      </w:pPr>
    </w:p>
    <w:p>
      <w:pPr>
        <w:spacing w:before="106"/>
        <w:ind w:left="547" w:right="0" w:firstLine="0"/>
        <w:jc w:val="left"/>
        <w:rPr>
          <w:sz w:val="26"/>
        </w:rPr>
      </w:pPr>
      <w:r>
        <w:rPr>
          <w:color w:val="7EAABF"/>
          <w:w w:val="120"/>
          <w:sz w:val="26"/>
        </w:rPr>
        <w:t>Mission Council</w:t>
      </w:r>
    </w:p>
    <w:p>
      <w:pPr>
        <w:spacing w:before="215"/>
        <w:ind w:left="547" w:right="0" w:firstLine="0"/>
        <w:jc w:val="left"/>
        <w:rPr>
          <w:rFonts w:ascii="Stone Sans II ITC Std Bk"/>
          <w:b/>
          <w:sz w:val="29"/>
        </w:rPr>
      </w:pPr>
      <w:r>
        <w:rPr>
          <w:rFonts w:ascii="Stone Sans II ITC Std Bk"/>
          <w:b/>
          <w:w w:val="110"/>
          <w:sz w:val="29"/>
        </w:rPr>
        <w:t>People, places and posts</w:t>
      </w:r>
    </w:p>
    <w:p>
      <w:pPr>
        <w:pStyle w:val="ListParagraph"/>
        <w:numPr>
          <w:ilvl w:val="0"/>
          <w:numId w:val="2"/>
        </w:numPr>
        <w:tabs>
          <w:tab w:pos="1227" w:val="left" w:leader="none"/>
          <w:tab w:pos="1228" w:val="left" w:leader="none"/>
        </w:tabs>
        <w:spacing w:line="235" w:lineRule="auto" w:before="69" w:after="0"/>
        <w:ind w:left="547" w:right="1815" w:firstLine="0"/>
        <w:jc w:val="left"/>
        <w:rPr>
          <w:sz w:val="20"/>
        </w:rPr>
      </w:pPr>
      <w:r>
        <w:rPr>
          <w:w w:val="120"/>
          <w:sz w:val="20"/>
        </w:rPr>
        <w:t>Mission Council has acted for General Assembly in the appointment and tenure of several Synod Moderators. </w:t>
      </w:r>
      <w:r>
        <w:rPr>
          <w:spacing w:val="-6"/>
          <w:w w:val="120"/>
          <w:sz w:val="20"/>
        </w:rPr>
        <w:t>Two </w:t>
      </w:r>
      <w:r>
        <w:rPr>
          <w:w w:val="120"/>
          <w:sz w:val="20"/>
        </w:rPr>
        <w:t>pieces of tidying up clarified that Andrew Prasad’s second term in Thames </w:t>
      </w:r>
      <w:r>
        <w:rPr>
          <w:spacing w:val="2"/>
          <w:w w:val="120"/>
          <w:sz w:val="20"/>
        </w:rPr>
        <w:t>North </w:t>
      </w:r>
      <w:r>
        <w:rPr>
          <w:w w:val="120"/>
          <w:sz w:val="20"/>
        </w:rPr>
        <w:t>would run to </w:t>
      </w:r>
      <w:r>
        <w:rPr>
          <w:spacing w:val="2"/>
          <w:w w:val="120"/>
          <w:sz w:val="20"/>
        </w:rPr>
        <w:t>February </w:t>
      </w:r>
      <w:r>
        <w:rPr>
          <w:spacing w:val="-6"/>
          <w:w w:val="120"/>
          <w:sz w:val="20"/>
        </w:rPr>
        <w:t>2021, </w:t>
      </w:r>
      <w:r>
        <w:rPr>
          <w:w w:val="120"/>
          <w:sz w:val="20"/>
        </w:rPr>
        <w:t>and Jacky Embrey’s initial</w:t>
      </w:r>
      <w:r>
        <w:rPr>
          <w:spacing w:val="27"/>
          <w:w w:val="120"/>
          <w:sz w:val="20"/>
        </w:rPr>
        <w:t> </w:t>
      </w:r>
      <w:r>
        <w:rPr>
          <w:w w:val="120"/>
          <w:sz w:val="20"/>
        </w:rPr>
        <w:t>tenure</w:t>
      </w:r>
    </w:p>
    <w:p>
      <w:pPr>
        <w:pStyle w:val="BodyText"/>
        <w:spacing w:line="235" w:lineRule="auto" w:before="3"/>
        <w:ind w:left="547" w:right="1955"/>
      </w:pPr>
      <w:r>
        <w:rPr>
          <w:w w:val="120"/>
        </w:rPr>
        <w:t>in Mersey to August </w:t>
      </w:r>
      <w:r>
        <w:rPr>
          <w:spacing w:val="-6"/>
          <w:w w:val="120"/>
        </w:rPr>
        <w:t>2021. </w:t>
      </w:r>
      <w:r>
        <w:rPr>
          <w:w w:val="120"/>
        </w:rPr>
        <w:t>Initial seven-year terms, from September </w:t>
      </w:r>
      <w:r>
        <w:rPr>
          <w:spacing w:val="-7"/>
          <w:w w:val="120"/>
        </w:rPr>
        <w:t>2015, </w:t>
      </w:r>
      <w:r>
        <w:rPr>
          <w:w w:val="120"/>
        </w:rPr>
        <w:t>were agreed for Steve Faber in West Midlands, where Roy Lowes had retired, and for Andrew Mills in the </w:t>
      </w:r>
      <w:r>
        <w:rPr>
          <w:spacing w:val="2"/>
          <w:w w:val="120"/>
        </w:rPr>
        <w:t>North </w:t>
      </w:r>
      <w:r>
        <w:rPr>
          <w:w w:val="120"/>
        </w:rPr>
        <w:t>West, after Richard Church moved to London; also for David Pickering in the National Synod of Scotland from July </w:t>
      </w:r>
      <w:r>
        <w:rPr>
          <w:spacing w:val="-6"/>
          <w:w w:val="120"/>
        </w:rPr>
        <w:t>2016, </w:t>
      </w:r>
      <w:r>
        <w:rPr>
          <w:w w:val="120"/>
        </w:rPr>
        <w:t>following the retirement of John Humphreys. Lis </w:t>
      </w:r>
      <w:r>
        <w:rPr>
          <w:spacing w:val="-3"/>
          <w:w w:val="120"/>
        </w:rPr>
        <w:t>Mullen’s </w:t>
      </w:r>
      <w:r>
        <w:rPr>
          <w:w w:val="120"/>
        </w:rPr>
        <w:t>term in </w:t>
      </w:r>
      <w:r>
        <w:rPr>
          <w:spacing w:val="2"/>
          <w:w w:val="120"/>
        </w:rPr>
        <w:t>Northern </w:t>
      </w:r>
      <w:r>
        <w:rPr>
          <w:w w:val="120"/>
        </w:rPr>
        <w:t>was extended to July </w:t>
      </w:r>
      <w:r>
        <w:rPr>
          <w:spacing w:val="-6"/>
          <w:w w:val="120"/>
        </w:rPr>
        <w:t>2016, </w:t>
      </w:r>
      <w:r>
        <w:rPr>
          <w:w w:val="120"/>
        </w:rPr>
        <w:t>when she will retire. It is hoped that this year’s Assembly will be able to appoint her</w:t>
      </w:r>
      <w:r>
        <w:rPr>
          <w:spacing w:val="19"/>
          <w:w w:val="120"/>
        </w:rPr>
        <w:t> </w:t>
      </w:r>
      <w:r>
        <w:rPr>
          <w:spacing w:val="-3"/>
          <w:w w:val="120"/>
        </w:rPr>
        <w:t>successor.</w:t>
      </w:r>
    </w:p>
    <w:p>
      <w:pPr>
        <w:pStyle w:val="BodyText"/>
      </w:pPr>
    </w:p>
    <w:p>
      <w:pPr>
        <w:pStyle w:val="ListParagraph"/>
        <w:numPr>
          <w:ilvl w:val="0"/>
          <w:numId w:val="2"/>
        </w:numPr>
        <w:tabs>
          <w:tab w:pos="1227" w:val="left" w:leader="none"/>
          <w:tab w:pos="1228" w:val="left" w:leader="none"/>
        </w:tabs>
        <w:spacing w:line="235" w:lineRule="auto" w:before="0" w:after="0"/>
        <w:ind w:left="547" w:right="2363" w:firstLine="0"/>
        <w:jc w:val="left"/>
        <w:rPr>
          <w:sz w:val="20"/>
        </w:rPr>
      </w:pPr>
      <w:r>
        <w:rPr>
          <w:w w:val="120"/>
          <w:sz w:val="20"/>
        </w:rPr>
        <w:t>Mission Council acted for General Assembly in approving new regulations for conducting the tenure review of Synod Moderators (Paper </w:t>
      </w:r>
      <w:r>
        <w:rPr>
          <w:spacing w:val="-2"/>
          <w:w w:val="120"/>
          <w:sz w:val="20"/>
        </w:rPr>
        <w:t>J2, </w:t>
      </w:r>
      <w:r>
        <w:rPr>
          <w:w w:val="120"/>
          <w:sz w:val="20"/>
        </w:rPr>
        <w:t>November</w:t>
      </w:r>
      <w:r>
        <w:rPr>
          <w:spacing w:val="13"/>
          <w:w w:val="120"/>
          <w:sz w:val="20"/>
        </w:rPr>
        <w:t> </w:t>
      </w:r>
      <w:r>
        <w:rPr>
          <w:spacing w:val="-7"/>
          <w:w w:val="120"/>
          <w:sz w:val="20"/>
        </w:rPr>
        <w:t>2014).</w:t>
      </w:r>
    </w:p>
    <w:p>
      <w:pPr>
        <w:pStyle w:val="BodyText"/>
        <w:spacing w:before="9"/>
        <w:rPr>
          <w:sz w:val="19"/>
        </w:rPr>
      </w:pPr>
    </w:p>
    <w:p>
      <w:pPr>
        <w:pStyle w:val="ListParagraph"/>
        <w:numPr>
          <w:ilvl w:val="0"/>
          <w:numId w:val="2"/>
        </w:numPr>
        <w:tabs>
          <w:tab w:pos="1227" w:val="left" w:leader="none"/>
          <w:tab w:pos="1228" w:val="left" w:leader="none"/>
        </w:tabs>
        <w:spacing w:line="235" w:lineRule="auto" w:before="0" w:after="0"/>
        <w:ind w:left="547" w:right="2078" w:firstLine="0"/>
        <w:jc w:val="left"/>
        <w:rPr>
          <w:sz w:val="20"/>
        </w:rPr>
      </w:pPr>
      <w:r>
        <w:rPr>
          <w:w w:val="120"/>
          <w:sz w:val="20"/>
        </w:rPr>
        <w:t>Recognising that people are working longer in many occupations and that UK legislation has changed in recent years to enable people to work without fear of age discrimination, Mission Council acted on behalf of the General Assembly to remove the age-related entry qualifications with regard to non-stipendiary</w:t>
      </w:r>
      <w:r>
        <w:rPr>
          <w:spacing w:val="21"/>
          <w:w w:val="120"/>
          <w:sz w:val="20"/>
        </w:rPr>
        <w:t> </w:t>
      </w:r>
      <w:r>
        <w:rPr>
          <w:w w:val="120"/>
          <w:sz w:val="20"/>
        </w:rPr>
        <w:t>ministry.</w:t>
      </w:r>
    </w:p>
    <w:p>
      <w:pPr>
        <w:pStyle w:val="BodyText"/>
        <w:spacing w:before="11"/>
        <w:rPr>
          <w:sz w:val="19"/>
        </w:rPr>
      </w:pPr>
    </w:p>
    <w:p>
      <w:pPr>
        <w:pStyle w:val="ListParagraph"/>
        <w:numPr>
          <w:ilvl w:val="0"/>
          <w:numId w:val="2"/>
        </w:numPr>
        <w:tabs>
          <w:tab w:pos="1227" w:val="left" w:leader="none"/>
          <w:tab w:pos="1228" w:val="left" w:leader="none"/>
        </w:tabs>
        <w:spacing w:line="235" w:lineRule="auto" w:before="1" w:after="0"/>
        <w:ind w:left="547" w:right="1920" w:firstLine="0"/>
        <w:jc w:val="left"/>
        <w:rPr>
          <w:sz w:val="20"/>
        </w:rPr>
      </w:pPr>
      <w:r>
        <w:rPr>
          <w:w w:val="120"/>
          <w:sz w:val="20"/>
        </w:rPr>
        <w:t>Mission Council acted for General Assembly in overseeing several appointments  to Assembly-appointed posts in our central office. In August </w:t>
      </w:r>
      <w:r>
        <w:rPr>
          <w:spacing w:val="-7"/>
          <w:w w:val="120"/>
          <w:sz w:val="20"/>
        </w:rPr>
        <w:t>2014 </w:t>
      </w:r>
      <w:r>
        <w:rPr>
          <w:w w:val="120"/>
          <w:sz w:val="20"/>
        </w:rPr>
        <w:t>Gill Nichol was confirmed as our Head of Communications, after already acting in that role for some months. Steve Summers took on all the work of the CRCW Development post from January </w:t>
      </w:r>
      <w:r>
        <w:rPr>
          <w:spacing w:val="-7"/>
          <w:w w:val="120"/>
          <w:sz w:val="20"/>
        </w:rPr>
        <w:t>2015, </w:t>
      </w:r>
      <w:r>
        <w:rPr>
          <w:w w:val="120"/>
          <w:sz w:val="20"/>
        </w:rPr>
        <w:t>having previously job-shared with Suzanne Adofo. Richard Church took post as Deputy General Secretary (Discipleship) in May </w:t>
      </w:r>
      <w:r>
        <w:rPr>
          <w:spacing w:val="-7"/>
          <w:w w:val="120"/>
          <w:sz w:val="20"/>
        </w:rPr>
        <w:t>2015, </w:t>
      </w:r>
      <w:r>
        <w:rPr>
          <w:w w:val="120"/>
          <w:sz w:val="20"/>
        </w:rPr>
        <w:t>this being a new job, in its present form. After Jane Rowell moved on from our World Church post, Michael Jagessar accepted a new remit as Secretary for Global and Intercultural Ministries from November </w:t>
      </w:r>
      <w:r>
        <w:rPr>
          <w:spacing w:val="-7"/>
          <w:w w:val="120"/>
          <w:sz w:val="20"/>
        </w:rPr>
        <w:t>2015, </w:t>
      </w:r>
      <w:r>
        <w:rPr>
          <w:w w:val="120"/>
          <w:sz w:val="20"/>
        </w:rPr>
        <w:t>and Grace Pengelly became our Secretary for Church and Society in January </w:t>
      </w:r>
      <w:r>
        <w:rPr>
          <w:spacing w:val="-6"/>
          <w:w w:val="120"/>
          <w:sz w:val="20"/>
        </w:rPr>
        <w:t>2016, </w:t>
      </w:r>
      <w:r>
        <w:rPr>
          <w:w w:val="120"/>
          <w:sz w:val="20"/>
        </w:rPr>
        <w:t>succeeding Andrew</w:t>
      </w:r>
      <w:r>
        <w:rPr>
          <w:spacing w:val="4"/>
          <w:w w:val="120"/>
          <w:sz w:val="20"/>
        </w:rPr>
        <w:t> </w:t>
      </w:r>
      <w:r>
        <w:rPr>
          <w:w w:val="120"/>
          <w:sz w:val="20"/>
        </w:rPr>
        <w:t>Bradstock.</w:t>
      </w:r>
    </w:p>
    <w:p>
      <w:pPr>
        <w:pStyle w:val="BodyText"/>
        <w:spacing w:before="3"/>
      </w:pPr>
    </w:p>
    <w:p>
      <w:pPr>
        <w:pStyle w:val="ListParagraph"/>
        <w:numPr>
          <w:ilvl w:val="0"/>
          <w:numId w:val="2"/>
        </w:numPr>
        <w:tabs>
          <w:tab w:pos="1227" w:val="left" w:leader="none"/>
          <w:tab w:pos="1228" w:val="left" w:leader="none"/>
        </w:tabs>
        <w:spacing w:line="235" w:lineRule="auto" w:before="0" w:after="0"/>
        <w:ind w:left="547" w:right="1905" w:firstLine="0"/>
        <w:jc w:val="left"/>
        <w:rPr>
          <w:sz w:val="20"/>
        </w:rPr>
      </w:pPr>
      <w:r>
        <w:rPr>
          <w:w w:val="120"/>
          <w:sz w:val="20"/>
        </w:rPr>
        <w:t>One local church closure was overlooked at the </w:t>
      </w:r>
      <w:r>
        <w:rPr>
          <w:spacing w:val="-7"/>
          <w:w w:val="120"/>
          <w:sz w:val="20"/>
        </w:rPr>
        <w:t>2014 </w:t>
      </w:r>
      <w:r>
        <w:rPr>
          <w:w w:val="120"/>
          <w:sz w:val="20"/>
        </w:rPr>
        <w:t>General Assembly – at  Chapel End in the West Midlands. Mission Council acted for General Assembly in noting this congregation’s closure, with praise to God for its many years of worship and</w:t>
      </w:r>
      <w:r>
        <w:rPr>
          <w:spacing w:val="31"/>
          <w:w w:val="120"/>
          <w:sz w:val="20"/>
        </w:rPr>
        <w:t> </w:t>
      </w:r>
      <w:r>
        <w:rPr>
          <w:w w:val="120"/>
          <w:sz w:val="20"/>
        </w:rPr>
        <w:t>witness.</w:t>
      </w:r>
    </w:p>
    <w:p>
      <w:pPr>
        <w:pStyle w:val="BodyText"/>
        <w:spacing w:before="10"/>
        <w:rPr>
          <w:sz w:val="19"/>
        </w:rPr>
      </w:pPr>
    </w:p>
    <w:p>
      <w:pPr>
        <w:pStyle w:val="ListParagraph"/>
        <w:numPr>
          <w:ilvl w:val="0"/>
          <w:numId w:val="2"/>
        </w:numPr>
        <w:tabs>
          <w:tab w:pos="1227" w:val="left" w:leader="none"/>
          <w:tab w:pos="1228" w:val="left" w:leader="none"/>
        </w:tabs>
        <w:spacing w:line="235" w:lineRule="auto" w:before="0" w:after="0"/>
        <w:ind w:left="547" w:right="2167" w:firstLine="0"/>
        <w:jc w:val="left"/>
        <w:rPr>
          <w:sz w:val="20"/>
        </w:rPr>
      </w:pPr>
      <w:r>
        <w:rPr>
          <w:w w:val="120"/>
          <w:sz w:val="20"/>
        </w:rPr>
        <w:t>Mission Council acted for General Assembly in assigning the responsibility of General Assembly representative for the disciplinary process to the DGS (Discipleship) from May </w:t>
      </w:r>
      <w:r>
        <w:rPr>
          <w:spacing w:val="-7"/>
          <w:w w:val="120"/>
          <w:sz w:val="20"/>
        </w:rPr>
        <w:t>2015; </w:t>
      </w:r>
      <w:r>
        <w:rPr>
          <w:w w:val="120"/>
          <w:sz w:val="20"/>
        </w:rPr>
        <w:t>prior to that date this duty was carried by David</w:t>
      </w:r>
      <w:r>
        <w:rPr>
          <w:spacing w:val="50"/>
          <w:w w:val="120"/>
          <w:sz w:val="20"/>
        </w:rPr>
        <w:t> </w:t>
      </w:r>
      <w:r>
        <w:rPr>
          <w:w w:val="120"/>
          <w:sz w:val="20"/>
        </w:rPr>
        <w:t>Thompson.</w:t>
      </w:r>
    </w:p>
    <w:p>
      <w:pPr>
        <w:pStyle w:val="BodyText"/>
        <w:spacing w:before="10"/>
        <w:rPr>
          <w:sz w:val="19"/>
        </w:rPr>
      </w:pPr>
    </w:p>
    <w:p>
      <w:pPr>
        <w:pStyle w:val="ListParagraph"/>
        <w:numPr>
          <w:ilvl w:val="0"/>
          <w:numId w:val="2"/>
        </w:numPr>
        <w:tabs>
          <w:tab w:pos="1227" w:val="left" w:leader="none"/>
          <w:tab w:pos="1228" w:val="left" w:leader="none"/>
        </w:tabs>
        <w:spacing w:line="235" w:lineRule="auto" w:before="0" w:after="0"/>
        <w:ind w:left="547" w:right="2083" w:firstLine="0"/>
        <w:jc w:val="left"/>
        <w:rPr>
          <w:sz w:val="20"/>
        </w:rPr>
      </w:pPr>
      <w:r>
        <w:rPr>
          <w:w w:val="120"/>
          <w:sz w:val="20"/>
        </w:rPr>
        <w:t>Mission Council was pleased to hear from the nominations committee that they had identified a suitable candidate to be the </w:t>
      </w:r>
      <w:r>
        <w:rPr>
          <w:spacing w:val="-3"/>
          <w:w w:val="120"/>
          <w:sz w:val="20"/>
        </w:rPr>
        <w:t>Church’s </w:t>
      </w:r>
      <w:r>
        <w:rPr>
          <w:w w:val="120"/>
          <w:sz w:val="20"/>
        </w:rPr>
        <w:t>next </w:t>
      </w:r>
      <w:r>
        <w:rPr>
          <w:spacing w:val="-3"/>
          <w:w w:val="120"/>
          <w:sz w:val="20"/>
        </w:rPr>
        <w:t>Treasurer, </w:t>
      </w:r>
      <w:r>
        <w:rPr>
          <w:w w:val="120"/>
          <w:sz w:val="20"/>
        </w:rPr>
        <w:t>and commends  Mr Ian Hardie to Assembly. A short resolution paper on this is appended to this Mission Council </w:t>
      </w:r>
      <w:r>
        <w:rPr>
          <w:spacing w:val="2"/>
          <w:w w:val="120"/>
          <w:sz w:val="20"/>
        </w:rPr>
        <w:t>report </w:t>
      </w:r>
      <w:r>
        <w:rPr>
          <w:w w:val="120"/>
          <w:sz w:val="20"/>
        </w:rPr>
        <w:t>(pages</w:t>
      </w:r>
      <w:r>
        <w:rPr>
          <w:spacing w:val="6"/>
          <w:w w:val="120"/>
          <w:sz w:val="20"/>
        </w:rPr>
        <w:t> </w:t>
      </w:r>
      <w:r>
        <w:rPr>
          <w:spacing w:val="-8"/>
          <w:w w:val="120"/>
          <w:sz w:val="20"/>
        </w:rPr>
        <w:t>18-19).</w:t>
      </w:r>
    </w:p>
    <w:p>
      <w:pPr>
        <w:pStyle w:val="BodyText"/>
        <w:spacing w:before="4"/>
        <w:rPr>
          <w:sz w:val="22"/>
        </w:rPr>
      </w:pPr>
    </w:p>
    <w:p>
      <w:pPr>
        <w:spacing w:before="0"/>
        <w:ind w:left="547" w:right="0" w:firstLine="0"/>
        <w:jc w:val="left"/>
        <w:rPr>
          <w:rFonts w:ascii="Stone Sans II ITC Std Bk"/>
          <w:b/>
          <w:sz w:val="29"/>
        </w:rPr>
      </w:pPr>
      <w:r>
        <w:rPr>
          <w:rFonts w:ascii="Stone Sans II ITC Std Bk"/>
          <w:b/>
          <w:w w:val="110"/>
          <w:sz w:val="29"/>
        </w:rPr>
        <w:t>Rules and procedures</w:t>
      </w:r>
    </w:p>
    <w:p>
      <w:pPr>
        <w:pStyle w:val="ListParagraph"/>
        <w:numPr>
          <w:ilvl w:val="0"/>
          <w:numId w:val="2"/>
        </w:numPr>
        <w:tabs>
          <w:tab w:pos="1227" w:val="left" w:leader="none"/>
          <w:tab w:pos="1228" w:val="left" w:leader="none"/>
        </w:tabs>
        <w:spacing w:line="235" w:lineRule="auto" w:before="69" w:after="0"/>
        <w:ind w:left="547" w:right="1911" w:firstLine="0"/>
        <w:jc w:val="left"/>
        <w:rPr>
          <w:sz w:val="20"/>
        </w:rPr>
      </w:pPr>
      <w:r>
        <w:rPr>
          <w:w w:val="120"/>
          <w:sz w:val="20"/>
        </w:rPr>
        <w:t>Mission Council noted an urgent need to amend the Standing Orders that apply   to Mission Council and General Assembly, as changes that had been approved at Mission Council in </w:t>
      </w:r>
      <w:r>
        <w:rPr>
          <w:spacing w:val="-8"/>
          <w:w w:val="120"/>
          <w:sz w:val="20"/>
        </w:rPr>
        <w:t>2013 </w:t>
      </w:r>
      <w:r>
        <w:rPr>
          <w:w w:val="120"/>
          <w:sz w:val="20"/>
        </w:rPr>
        <w:t>were in the event not made at Assembly in </w:t>
      </w:r>
      <w:r>
        <w:rPr>
          <w:spacing w:val="-6"/>
          <w:w w:val="120"/>
          <w:sz w:val="20"/>
        </w:rPr>
        <w:t>2014. </w:t>
      </w:r>
      <w:r>
        <w:rPr>
          <w:w w:val="120"/>
          <w:sz w:val="20"/>
        </w:rPr>
        <w:t>The new Standing Orders have now been adopted, and are printed in the Assembly</w:t>
      </w:r>
      <w:r>
        <w:rPr>
          <w:spacing w:val="38"/>
          <w:w w:val="120"/>
          <w:sz w:val="20"/>
        </w:rPr>
        <w:t> </w:t>
      </w:r>
      <w:r>
        <w:rPr>
          <w:spacing w:val="2"/>
          <w:w w:val="120"/>
          <w:sz w:val="20"/>
        </w:rPr>
        <w:t>reports.</w:t>
      </w:r>
    </w:p>
    <w:p>
      <w:pPr>
        <w:pStyle w:val="BodyText"/>
        <w:spacing w:before="11"/>
        <w:rPr>
          <w:sz w:val="19"/>
        </w:rPr>
      </w:pPr>
    </w:p>
    <w:p>
      <w:pPr>
        <w:pStyle w:val="ListParagraph"/>
        <w:numPr>
          <w:ilvl w:val="0"/>
          <w:numId w:val="2"/>
        </w:numPr>
        <w:tabs>
          <w:tab w:pos="1227" w:val="left" w:leader="none"/>
          <w:tab w:pos="1228" w:val="left" w:leader="none"/>
        </w:tabs>
        <w:spacing w:line="235" w:lineRule="auto" w:before="0" w:after="0"/>
        <w:ind w:left="547" w:right="1830" w:firstLine="0"/>
        <w:jc w:val="left"/>
        <w:rPr>
          <w:sz w:val="20"/>
        </w:rPr>
      </w:pPr>
      <w:r>
        <w:rPr>
          <w:w w:val="120"/>
          <w:sz w:val="20"/>
        </w:rPr>
        <w:t>In particular a new Standing Order </w:t>
      </w:r>
      <w:r>
        <w:rPr>
          <w:spacing w:val="-7"/>
          <w:w w:val="120"/>
          <w:sz w:val="20"/>
        </w:rPr>
        <w:t>12, </w:t>
      </w:r>
      <w:r>
        <w:rPr>
          <w:w w:val="120"/>
          <w:sz w:val="20"/>
        </w:rPr>
        <w:t>about closed sessions of Assembly, was added in March </w:t>
      </w:r>
      <w:r>
        <w:rPr>
          <w:spacing w:val="-6"/>
          <w:w w:val="120"/>
          <w:sz w:val="20"/>
        </w:rPr>
        <w:t>2016. </w:t>
      </w:r>
      <w:r>
        <w:rPr>
          <w:w w:val="120"/>
          <w:sz w:val="20"/>
        </w:rPr>
        <w:t>At that time two additions were made to the Rules of Procedure of the Church, as outlined in Paper M2 of March </w:t>
      </w:r>
      <w:r>
        <w:rPr>
          <w:spacing w:val="-6"/>
          <w:w w:val="120"/>
          <w:sz w:val="20"/>
        </w:rPr>
        <w:t>2016. </w:t>
      </w:r>
      <w:r>
        <w:rPr>
          <w:w w:val="120"/>
          <w:sz w:val="20"/>
        </w:rPr>
        <w:t>These changes carried forward the work of the Peel Commission, which had reported to Mission Council in </w:t>
      </w:r>
      <w:r>
        <w:rPr>
          <w:spacing w:val="-7"/>
          <w:w w:val="120"/>
          <w:sz w:val="20"/>
        </w:rPr>
        <w:t>2013, </w:t>
      </w:r>
      <w:r>
        <w:rPr>
          <w:w w:val="120"/>
          <w:sz w:val="20"/>
        </w:rPr>
        <w:t>and the full Rules of Procedure are now up-to-date on the Church website:</w:t>
      </w:r>
      <w:hyperlink r:id="rId70">
        <w:r>
          <w:rPr>
            <w:color w:val="006AB3"/>
            <w:w w:val="120"/>
            <w:sz w:val="20"/>
          </w:rPr>
          <w:t> www.urc.org.uk/images/the_manual/C-Rules-of-Procedure-March-2016-A4.pdf</w:t>
        </w:r>
      </w:hyperlink>
    </w:p>
    <w:p>
      <w:pPr>
        <w:spacing w:after="0" w:line="235" w:lineRule="auto"/>
        <w:jc w:val="left"/>
        <w:rPr>
          <w:sz w:val="20"/>
        </w:rPr>
        <w:sectPr>
          <w:headerReference w:type="even" r:id="rId67"/>
          <w:footerReference w:type="even" r:id="rId68"/>
          <w:footerReference w:type="default" r:id="rId69"/>
          <w:pgSz w:w="11910" w:h="16840"/>
          <w:pgMar w:header="0" w:footer="647" w:top="0" w:bottom="840" w:left="700" w:right="0"/>
          <w:pgNumType w:start="8"/>
        </w:sectPr>
      </w:pPr>
    </w:p>
    <w:p>
      <w:pPr>
        <w:pStyle w:val="BodyText"/>
      </w:pPr>
      <w:r>
        <w:rPr/>
        <w:drawing>
          <wp:anchor distT="0" distB="0" distL="0" distR="0" allowOverlap="1" layoutInCell="1" locked="0" behindDoc="0" simplePos="0" relativeHeight="251679744">
            <wp:simplePos x="0" y="0"/>
            <wp:positionH relativeFrom="page">
              <wp:posOffset>6974928</wp:posOffset>
            </wp:positionH>
            <wp:positionV relativeFrom="page">
              <wp:posOffset>0</wp:posOffset>
            </wp:positionV>
            <wp:extent cx="585076" cy="10692003"/>
            <wp:effectExtent l="0" t="0" r="0" b="0"/>
            <wp:wrapNone/>
            <wp:docPr id="11" name="image52.png"/>
            <wp:cNvGraphicFramePr>
              <a:graphicFrameLocks noChangeAspect="1"/>
            </wp:cNvGraphicFramePr>
            <a:graphic>
              <a:graphicData uri="http://schemas.openxmlformats.org/drawingml/2006/picture">
                <pic:pic>
                  <pic:nvPicPr>
                    <pic:cNvPr id="12" name="image52.png"/>
                    <pic:cNvPicPr/>
                  </pic:nvPicPr>
                  <pic:blipFill>
                    <a:blip r:embed="rId66" cstate="print"/>
                    <a:stretch>
                      <a:fillRect/>
                    </a:stretch>
                  </pic:blipFill>
                  <pic:spPr>
                    <a:xfrm>
                      <a:off x="0" y="0"/>
                      <a:ext cx="585076" cy="10692003"/>
                    </a:xfrm>
                    <a:prstGeom prst="rect">
                      <a:avLst/>
                    </a:prstGeom>
                  </pic:spPr>
                </pic:pic>
              </a:graphicData>
            </a:graphic>
          </wp:anchor>
        </w:drawing>
      </w:r>
    </w:p>
    <w:p>
      <w:pPr>
        <w:pStyle w:val="BodyText"/>
        <w:spacing w:before="7"/>
        <w:rPr>
          <w:sz w:val="21"/>
        </w:rPr>
      </w:pPr>
    </w:p>
    <w:p>
      <w:pPr>
        <w:spacing w:before="106"/>
        <w:ind w:left="0" w:right="1245" w:firstLine="0"/>
        <w:jc w:val="right"/>
        <w:rPr>
          <w:sz w:val="26"/>
        </w:rPr>
      </w:pPr>
      <w:r>
        <w:rPr/>
        <w:pict>
          <v:shape style="position:absolute;margin-left:554.141174pt;margin-top:22.593945pt;width:25.9pt;height:163.2pt;mso-position-horizontal-relative:page;mso-position-vertical-relative:paragraph;z-index:251680768" type="#_x0000_t202" filled="false" stroked="false">
            <v:textbox inset="0,0,0,0" style="layout-flow:vertical">
              <w:txbxContent>
                <w:p>
                  <w:pPr>
                    <w:spacing w:before="27"/>
                    <w:ind w:left="20" w:right="0" w:firstLine="0"/>
                    <w:jc w:val="left"/>
                    <w:rPr>
                      <w:sz w:val="39"/>
                    </w:rPr>
                  </w:pPr>
                  <w:r>
                    <w:rPr>
                      <w:color w:val="FFFFFF"/>
                      <w:w w:val="125"/>
                      <w:sz w:val="39"/>
                    </w:rPr>
                    <w:t>Mission Council</w:t>
                  </w:r>
                </w:p>
              </w:txbxContent>
            </v:textbox>
            <w10:wrap type="none"/>
          </v:shape>
        </w:pict>
      </w:r>
      <w:r>
        <w:rPr>
          <w:color w:val="7EAABF"/>
          <w:w w:val="120"/>
          <w:sz w:val="26"/>
        </w:rPr>
        <w:t>Mission Council</w:t>
      </w:r>
    </w:p>
    <w:p>
      <w:pPr>
        <w:pStyle w:val="ListParagraph"/>
        <w:numPr>
          <w:ilvl w:val="0"/>
          <w:numId w:val="2"/>
        </w:numPr>
        <w:tabs>
          <w:tab w:pos="1964" w:val="left" w:leader="none"/>
          <w:tab w:pos="1965" w:val="left" w:leader="none"/>
        </w:tabs>
        <w:spacing w:line="235" w:lineRule="auto" w:before="222" w:after="0"/>
        <w:ind w:left="1284" w:right="1365" w:firstLine="0"/>
        <w:jc w:val="left"/>
        <w:rPr>
          <w:sz w:val="20"/>
        </w:rPr>
      </w:pPr>
      <w:r>
        <w:rPr>
          <w:w w:val="120"/>
          <w:sz w:val="20"/>
        </w:rPr>
        <w:t>Mission Council resolved on behalf of General Assembly that the Church would hold the members of the law and polity advisory group (including the legal adviser, except when he personally endorses an opinion as his professional </w:t>
      </w:r>
      <w:r>
        <w:rPr>
          <w:spacing w:val="-3"/>
          <w:w w:val="120"/>
          <w:sz w:val="20"/>
        </w:rPr>
        <w:t>advice) </w:t>
      </w:r>
      <w:r>
        <w:rPr>
          <w:w w:val="120"/>
          <w:sz w:val="20"/>
        </w:rPr>
        <w:t>indemnified against liability for any error or omission in the discharge of their functions relating to the law of any</w:t>
      </w:r>
      <w:r>
        <w:rPr>
          <w:spacing w:val="6"/>
          <w:w w:val="120"/>
          <w:sz w:val="20"/>
        </w:rPr>
        <w:t> </w:t>
      </w:r>
      <w:r>
        <w:rPr>
          <w:w w:val="120"/>
          <w:sz w:val="20"/>
        </w:rPr>
        <w:t>territory.</w:t>
      </w:r>
    </w:p>
    <w:p>
      <w:pPr>
        <w:pStyle w:val="BodyText"/>
        <w:spacing w:before="11"/>
        <w:rPr>
          <w:sz w:val="19"/>
        </w:rPr>
      </w:pPr>
    </w:p>
    <w:p>
      <w:pPr>
        <w:pStyle w:val="ListParagraph"/>
        <w:numPr>
          <w:ilvl w:val="0"/>
          <w:numId w:val="2"/>
        </w:numPr>
        <w:tabs>
          <w:tab w:pos="1964" w:val="left" w:leader="none"/>
          <w:tab w:pos="1965" w:val="left" w:leader="none"/>
        </w:tabs>
        <w:spacing w:line="235" w:lineRule="auto" w:before="0" w:after="0"/>
        <w:ind w:left="1284" w:right="1319" w:firstLine="0"/>
        <w:jc w:val="left"/>
        <w:rPr>
          <w:sz w:val="20"/>
        </w:rPr>
      </w:pPr>
      <w:r>
        <w:rPr>
          <w:w w:val="120"/>
          <w:sz w:val="20"/>
        </w:rPr>
        <w:t>New rules and guidelines have been set out for the life and work of URC </w:t>
      </w:r>
      <w:r>
        <w:rPr>
          <w:spacing w:val="-3"/>
          <w:w w:val="120"/>
          <w:sz w:val="20"/>
        </w:rPr>
        <w:t>Youth, </w:t>
      </w:r>
      <w:r>
        <w:rPr>
          <w:w w:val="120"/>
          <w:sz w:val="20"/>
        </w:rPr>
        <w:t>and Mission Council, in approving these, determined that all references to ‘FURY’ in   the Structure of the Church, and in any other constitutional documents, should now be deemed to refer to ‘URC</w:t>
      </w:r>
      <w:r>
        <w:rPr>
          <w:spacing w:val="10"/>
          <w:w w:val="120"/>
          <w:sz w:val="20"/>
        </w:rPr>
        <w:t> </w:t>
      </w:r>
      <w:r>
        <w:rPr>
          <w:spacing w:val="-5"/>
          <w:w w:val="120"/>
          <w:sz w:val="20"/>
        </w:rPr>
        <w:t>Youth’.</w:t>
      </w:r>
    </w:p>
    <w:p>
      <w:pPr>
        <w:pStyle w:val="BodyText"/>
        <w:spacing w:before="11"/>
        <w:rPr>
          <w:sz w:val="19"/>
        </w:rPr>
      </w:pPr>
    </w:p>
    <w:p>
      <w:pPr>
        <w:pStyle w:val="ListParagraph"/>
        <w:numPr>
          <w:ilvl w:val="0"/>
          <w:numId w:val="2"/>
        </w:numPr>
        <w:tabs>
          <w:tab w:pos="1964" w:val="left" w:leader="none"/>
          <w:tab w:pos="1965" w:val="left" w:leader="none"/>
        </w:tabs>
        <w:spacing w:line="235" w:lineRule="auto" w:before="0" w:after="0"/>
        <w:ind w:left="1284" w:right="1378" w:firstLine="0"/>
        <w:jc w:val="left"/>
        <w:rPr>
          <w:sz w:val="20"/>
        </w:rPr>
      </w:pPr>
      <w:r>
        <w:rPr>
          <w:w w:val="120"/>
          <w:sz w:val="20"/>
        </w:rPr>
        <w:t>Postal voting: Because meetings and councils occasionally seek  guidance  on this matter, Mission Council, acting on behalf of General Assembly, affirmed the long standing practice of the United Reformed Church and its predecessor churches, that postal and/or proxy votes are not permitted in the councils of the church on business which is subject to discussion, unless otherwise provided for in Structure, the Rules of Procedure, the URC Act, or Local Church constitutions. This is because we believe such meetings are to seek the will of God, and everyone present is open to the possibility of changing their mind in openness to the Holy Spirit until a decision is made. The views  of absent members may be made known to those present before any decision is made, but only those present should make a</w:t>
      </w:r>
      <w:r>
        <w:rPr>
          <w:spacing w:val="14"/>
          <w:w w:val="120"/>
          <w:sz w:val="20"/>
        </w:rPr>
        <w:t> </w:t>
      </w:r>
      <w:r>
        <w:rPr>
          <w:w w:val="120"/>
          <w:sz w:val="20"/>
        </w:rPr>
        <w:t>decision.</w:t>
      </w:r>
    </w:p>
    <w:p>
      <w:pPr>
        <w:pStyle w:val="BodyText"/>
        <w:spacing w:before="3"/>
      </w:pPr>
    </w:p>
    <w:p>
      <w:pPr>
        <w:pStyle w:val="ListParagraph"/>
        <w:numPr>
          <w:ilvl w:val="0"/>
          <w:numId w:val="2"/>
        </w:numPr>
        <w:tabs>
          <w:tab w:pos="1964" w:val="left" w:leader="none"/>
          <w:tab w:pos="1965" w:val="left" w:leader="none"/>
        </w:tabs>
        <w:spacing w:line="235" w:lineRule="auto" w:before="1" w:after="0"/>
        <w:ind w:left="1284" w:right="1581" w:firstLine="0"/>
        <w:jc w:val="left"/>
        <w:rPr>
          <w:sz w:val="20"/>
        </w:rPr>
      </w:pPr>
      <w:r>
        <w:rPr>
          <w:w w:val="120"/>
          <w:sz w:val="20"/>
        </w:rPr>
        <w:t>In March </w:t>
      </w:r>
      <w:r>
        <w:rPr>
          <w:spacing w:val="-6"/>
          <w:w w:val="120"/>
          <w:sz w:val="20"/>
        </w:rPr>
        <w:t>2016, </w:t>
      </w:r>
      <w:r>
        <w:rPr>
          <w:w w:val="120"/>
          <w:sz w:val="20"/>
        </w:rPr>
        <w:t>Mission Council considered a paper from the law and polity advisory group about appeals, reference and constitutional review between councils of the Church, and a resolution about this is appended to the Mission Council </w:t>
      </w:r>
      <w:r>
        <w:rPr>
          <w:spacing w:val="2"/>
          <w:w w:val="120"/>
          <w:sz w:val="20"/>
        </w:rPr>
        <w:t>report </w:t>
      </w:r>
      <w:r>
        <w:rPr>
          <w:w w:val="120"/>
          <w:sz w:val="20"/>
        </w:rPr>
        <w:t>(pages</w:t>
      </w:r>
      <w:r>
        <w:rPr>
          <w:spacing w:val="2"/>
          <w:w w:val="120"/>
          <w:sz w:val="20"/>
        </w:rPr>
        <w:t> </w:t>
      </w:r>
      <w:r>
        <w:rPr>
          <w:spacing w:val="-4"/>
          <w:w w:val="120"/>
          <w:sz w:val="20"/>
        </w:rPr>
        <w:t>20-23).</w:t>
      </w:r>
    </w:p>
    <w:p>
      <w:pPr>
        <w:pStyle w:val="BodyText"/>
        <w:spacing w:before="11"/>
        <w:rPr>
          <w:sz w:val="19"/>
        </w:rPr>
      </w:pPr>
    </w:p>
    <w:p>
      <w:pPr>
        <w:pStyle w:val="ListParagraph"/>
        <w:numPr>
          <w:ilvl w:val="0"/>
          <w:numId w:val="2"/>
        </w:numPr>
        <w:tabs>
          <w:tab w:pos="1964" w:val="left" w:leader="none"/>
          <w:tab w:pos="1965" w:val="left" w:leader="none"/>
        </w:tabs>
        <w:spacing w:line="235" w:lineRule="auto" w:before="0" w:after="0"/>
        <w:ind w:left="1284" w:right="1336" w:firstLine="0"/>
        <w:jc w:val="left"/>
        <w:rPr>
          <w:sz w:val="20"/>
        </w:rPr>
      </w:pPr>
      <w:r>
        <w:rPr>
          <w:w w:val="120"/>
          <w:sz w:val="20"/>
        </w:rPr>
        <w:t>On the recommendation of the MIND advisory group, </w:t>
      </w:r>
      <w:r>
        <w:rPr>
          <w:spacing w:val="-3"/>
          <w:w w:val="120"/>
          <w:sz w:val="20"/>
        </w:rPr>
        <w:t>(which </w:t>
      </w:r>
      <w:r>
        <w:rPr>
          <w:w w:val="120"/>
          <w:sz w:val="20"/>
        </w:rPr>
        <w:t>oversees the ministerial incapacity and discipline procedures) and acting on behalf of General Assembly, Mission Council approved in May </w:t>
      </w:r>
      <w:r>
        <w:rPr>
          <w:spacing w:val="-7"/>
          <w:w w:val="120"/>
          <w:sz w:val="20"/>
        </w:rPr>
        <w:t>2015 </w:t>
      </w:r>
      <w:r>
        <w:rPr>
          <w:w w:val="120"/>
          <w:sz w:val="20"/>
        </w:rPr>
        <w:t>changes to the disciplinary process, with immediate effect. These have already been incorporated into the online version of the process. For the full process, and the changes, see respectively: </w:t>
      </w:r>
      <w:hyperlink r:id="rId72">
        <w:r>
          <w:rPr>
            <w:color w:val="006AB3"/>
            <w:w w:val="120"/>
            <w:sz w:val="20"/>
          </w:rPr>
          <w:t>www.urc.org.uk/</w:t>
        </w:r>
      </w:hyperlink>
      <w:hyperlink r:id="rId72">
        <w:r>
          <w:rPr>
            <w:color w:val="006AB3"/>
            <w:w w:val="120"/>
            <w:sz w:val="20"/>
          </w:rPr>
          <w:t> images/the_manual/O-Disciplinary-Process-June-2015.pdf</w:t>
        </w:r>
      </w:hyperlink>
      <w:hyperlink r:id="rId73">
        <w:r>
          <w:rPr>
            <w:color w:val="006AB3"/>
            <w:w w:val="120"/>
            <w:sz w:val="20"/>
          </w:rPr>
          <w:t> www.urc.org.uk/images/MissionCouncil/May-2015/T1_-_Shared_Synod_Panels.pdf</w:t>
        </w:r>
      </w:hyperlink>
    </w:p>
    <w:p>
      <w:pPr>
        <w:pStyle w:val="BodyText"/>
        <w:spacing w:before="1"/>
      </w:pPr>
    </w:p>
    <w:p>
      <w:pPr>
        <w:pStyle w:val="ListParagraph"/>
        <w:numPr>
          <w:ilvl w:val="0"/>
          <w:numId w:val="2"/>
        </w:numPr>
        <w:tabs>
          <w:tab w:pos="1964" w:val="left" w:leader="none"/>
          <w:tab w:pos="1965" w:val="left" w:leader="none"/>
        </w:tabs>
        <w:spacing w:line="235" w:lineRule="auto" w:before="0" w:after="0"/>
        <w:ind w:left="1284" w:right="1349" w:firstLine="0"/>
        <w:jc w:val="left"/>
        <w:rPr>
          <w:sz w:val="20"/>
        </w:rPr>
      </w:pPr>
      <w:r>
        <w:rPr>
          <w:w w:val="120"/>
          <w:sz w:val="20"/>
        </w:rPr>
        <w:t>On the recommendation of the MIND Advisory Group, and acting on behalf of General Assembly, Mission Council approved in March </w:t>
      </w:r>
      <w:r>
        <w:rPr>
          <w:spacing w:val="-7"/>
          <w:w w:val="120"/>
          <w:sz w:val="20"/>
        </w:rPr>
        <w:t>2016 </w:t>
      </w:r>
      <w:r>
        <w:rPr>
          <w:w w:val="120"/>
          <w:sz w:val="20"/>
        </w:rPr>
        <w:t>changes to the Incapacity Procedure, with immediate effect. These have already been incorporated into the online version. For the full Procedure, and the changes, see respectively: </w:t>
      </w:r>
      <w:hyperlink r:id="rId74">
        <w:r>
          <w:rPr>
            <w:color w:val="006AB3"/>
            <w:w w:val="120"/>
            <w:sz w:val="20"/>
          </w:rPr>
          <w:t>www.urc.org.</w:t>
        </w:r>
      </w:hyperlink>
      <w:hyperlink r:id="rId74">
        <w:r>
          <w:rPr>
            <w:color w:val="006AB3"/>
            <w:w w:val="120"/>
            <w:sz w:val="20"/>
          </w:rPr>
          <w:t> uk/images/the_manual/Incapacity_Procedure_from_March_2016.pdf</w:t>
        </w:r>
      </w:hyperlink>
      <w:hyperlink r:id="rId75">
        <w:r>
          <w:rPr>
            <w:color w:val="006AB3"/>
            <w:w w:val="120"/>
            <w:sz w:val="20"/>
          </w:rPr>
          <w:t> www.urc.org.uk/images/MissionCouncil/March2016/T1-MIND-Report-March-2016.pdf</w:t>
        </w:r>
      </w:hyperlink>
    </w:p>
    <w:p>
      <w:pPr>
        <w:pStyle w:val="BodyText"/>
        <w:spacing w:before="4"/>
        <w:rPr>
          <w:sz w:val="26"/>
        </w:rPr>
      </w:pPr>
    </w:p>
    <w:p>
      <w:pPr>
        <w:spacing w:before="0"/>
        <w:ind w:left="1284" w:right="0" w:firstLine="0"/>
        <w:jc w:val="left"/>
        <w:rPr>
          <w:rFonts w:ascii="Stone Sans II ITC Std Bk"/>
          <w:b/>
          <w:sz w:val="29"/>
        </w:rPr>
      </w:pPr>
      <w:r>
        <w:rPr>
          <w:rFonts w:ascii="Stone Sans II ITC Std Bk"/>
          <w:b/>
          <w:w w:val="110"/>
          <w:sz w:val="29"/>
        </w:rPr>
        <w:t>Resolutions referred to synods</w:t>
      </w:r>
    </w:p>
    <w:p>
      <w:pPr>
        <w:pStyle w:val="ListParagraph"/>
        <w:numPr>
          <w:ilvl w:val="0"/>
          <w:numId w:val="2"/>
        </w:numPr>
        <w:tabs>
          <w:tab w:pos="1964" w:val="left" w:leader="none"/>
          <w:tab w:pos="1965" w:val="left" w:leader="none"/>
        </w:tabs>
        <w:spacing w:line="235" w:lineRule="auto" w:before="69" w:after="0"/>
        <w:ind w:left="1284" w:right="1334" w:firstLine="0"/>
        <w:jc w:val="left"/>
        <w:rPr>
          <w:sz w:val="20"/>
        </w:rPr>
      </w:pPr>
      <w:r>
        <w:rPr>
          <w:w w:val="120"/>
          <w:sz w:val="20"/>
        </w:rPr>
        <w:t>An appendix to this </w:t>
      </w:r>
      <w:r>
        <w:rPr>
          <w:spacing w:val="2"/>
          <w:w w:val="120"/>
          <w:sz w:val="20"/>
        </w:rPr>
        <w:t>report </w:t>
      </w:r>
      <w:r>
        <w:rPr>
          <w:w w:val="120"/>
          <w:sz w:val="20"/>
        </w:rPr>
        <w:t>outlines four resolutions that were referred to synods in </w:t>
      </w:r>
      <w:r>
        <w:rPr>
          <w:spacing w:val="-7"/>
          <w:w w:val="120"/>
          <w:sz w:val="20"/>
        </w:rPr>
        <w:t>2015 </w:t>
      </w:r>
      <w:r>
        <w:rPr>
          <w:w w:val="120"/>
          <w:sz w:val="20"/>
        </w:rPr>
        <w:t>(pages </w:t>
      </w:r>
      <w:r>
        <w:rPr>
          <w:spacing w:val="-3"/>
          <w:w w:val="120"/>
          <w:sz w:val="20"/>
        </w:rPr>
        <w:t>25-34). </w:t>
      </w:r>
      <w:r>
        <w:rPr>
          <w:w w:val="120"/>
          <w:sz w:val="20"/>
        </w:rPr>
        <w:t>Much detail is given</w:t>
      </w:r>
      <w:r>
        <w:rPr>
          <w:spacing w:val="36"/>
          <w:w w:val="120"/>
          <w:sz w:val="20"/>
        </w:rPr>
        <w:t> </w:t>
      </w:r>
      <w:r>
        <w:rPr>
          <w:w w:val="120"/>
          <w:sz w:val="20"/>
        </w:rPr>
        <w:t>there.</w:t>
      </w:r>
    </w:p>
    <w:p>
      <w:pPr>
        <w:pStyle w:val="BodyText"/>
        <w:spacing w:before="2"/>
        <w:rPr>
          <w:sz w:val="22"/>
        </w:rPr>
      </w:pPr>
    </w:p>
    <w:p>
      <w:pPr>
        <w:spacing w:before="0"/>
        <w:ind w:left="1284" w:right="0" w:firstLine="0"/>
        <w:jc w:val="left"/>
        <w:rPr>
          <w:rFonts w:ascii="Stone Sans II ITC Std Bk"/>
          <w:b/>
          <w:sz w:val="29"/>
        </w:rPr>
      </w:pPr>
      <w:r>
        <w:rPr>
          <w:rFonts w:ascii="Stone Sans II ITC Std Bk"/>
          <w:b/>
          <w:spacing w:val="3"/>
          <w:w w:val="110"/>
          <w:sz w:val="29"/>
        </w:rPr>
        <w:t>International</w:t>
      </w:r>
      <w:r>
        <w:rPr>
          <w:rFonts w:ascii="Stone Sans II ITC Std Bk"/>
          <w:b/>
          <w:spacing w:val="38"/>
          <w:w w:val="110"/>
          <w:sz w:val="29"/>
        </w:rPr>
        <w:t> </w:t>
      </w:r>
      <w:r>
        <w:rPr>
          <w:rFonts w:ascii="Stone Sans II ITC Std Bk"/>
          <w:b/>
          <w:spacing w:val="4"/>
          <w:w w:val="110"/>
          <w:sz w:val="29"/>
        </w:rPr>
        <w:t>partnership</w:t>
      </w:r>
    </w:p>
    <w:p>
      <w:pPr>
        <w:pStyle w:val="ListParagraph"/>
        <w:numPr>
          <w:ilvl w:val="0"/>
          <w:numId w:val="2"/>
        </w:numPr>
        <w:tabs>
          <w:tab w:pos="1964" w:val="left" w:leader="none"/>
          <w:tab w:pos="1965" w:val="left" w:leader="none"/>
        </w:tabs>
        <w:spacing w:line="235" w:lineRule="auto" w:before="69" w:after="0"/>
        <w:ind w:left="1284" w:right="1616" w:firstLine="0"/>
        <w:jc w:val="left"/>
        <w:rPr>
          <w:sz w:val="20"/>
        </w:rPr>
      </w:pPr>
      <w:r>
        <w:rPr>
          <w:w w:val="120"/>
          <w:sz w:val="20"/>
        </w:rPr>
        <w:t>Acting on behalf of General Assembly, Mission Council endorsed in May </w:t>
      </w:r>
      <w:r>
        <w:rPr>
          <w:spacing w:val="-7"/>
          <w:w w:val="120"/>
          <w:sz w:val="20"/>
        </w:rPr>
        <w:t>2015 </w:t>
      </w:r>
      <w:r>
        <w:rPr>
          <w:w w:val="120"/>
          <w:sz w:val="20"/>
        </w:rPr>
        <w:t>a Memorandum of Understanding between the United Reformed Church and the Presbyterian Church of Korea. This is intended to nurture contact and collaboration between</w:t>
      </w:r>
      <w:r>
        <w:rPr>
          <w:spacing w:val="8"/>
          <w:w w:val="120"/>
          <w:sz w:val="20"/>
        </w:rPr>
        <w:t> </w:t>
      </w:r>
      <w:r>
        <w:rPr>
          <w:w w:val="120"/>
          <w:sz w:val="20"/>
        </w:rPr>
        <w:t>the</w:t>
      </w:r>
      <w:r>
        <w:rPr>
          <w:spacing w:val="8"/>
          <w:w w:val="120"/>
          <w:sz w:val="20"/>
        </w:rPr>
        <w:t> </w:t>
      </w:r>
      <w:r>
        <w:rPr>
          <w:w w:val="120"/>
          <w:sz w:val="20"/>
        </w:rPr>
        <w:t>two</w:t>
      </w:r>
      <w:r>
        <w:rPr>
          <w:spacing w:val="9"/>
          <w:w w:val="120"/>
          <w:sz w:val="20"/>
        </w:rPr>
        <w:t> </w:t>
      </w:r>
      <w:r>
        <w:rPr>
          <w:w w:val="120"/>
          <w:sz w:val="20"/>
        </w:rPr>
        <w:t>Churches,</w:t>
      </w:r>
      <w:r>
        <w:rPr>
          <w:spacing w:val="8"/>
          <w:w w:val="120"/>
          <w:sz w:val="20"/>
        </w:rPr>
        <w:t> </w:t>
      </w:r>
      <w:r>
        <w:rPr>
          <w:w w:val="120"/>
          <w:sz w:val="20"/>
        </w:rPr>
        <w:t>in</w:t>
      </w:r>
      <w:r>
        <w:rPr>
          <w:spacing w:val="9"/>
          <w:w w:val="120"/>
          <w:sz w:val="20"/>
        </w:rPr>
        <w:t> </w:t>
      </w:r>
      <w:r>
        <w:rPr>
          <w:w w:val="120"/>
          <w:sz w:val="20"/>
        </w:rPr>
        <w:t>both</w:t>
      </w:r>
      <w:r>
        <w:rPr>
          <w:spacing w:val="8"/>
          <w:w w:val="120"/>
          <w:sz w:val="20"/>
        </w:rPr>
        <w:t> </w:t>
      </w:r>
      <w:r>
        <w:rPr>
          <w:w w:val="120"/>
          <w:sz w:val="20"/>
        </w:rPr>
        <w:t>of</w:t>
      </w:r>
      <w:r>
        <w:rPr>
          <w:spacing w:val="9"/>
          <w:w w:val="120"/>
          <w:sz w:val="20"/>
        </w:rPr>
        <w:t> </w:t>
      </w:r>
      <w:r>
        <w:rPr>
          <w:w w:val="120"/>
          <w:sz w:val="20"/>
        </w:rPr>
        <w:t>our</w:t>
      </w:r>
      <w:r>
        <w:rPr>
          <w:spacing w:val="8"/>
          <w:w w:val="120"/>
          <w:sz w:val="20"/>
        </w:rPr>
        <w:t> </w:t>
      </w:r>
      <w:r>
        <w:rPr>
          <w:w w:val="120"/>
          <w:sz w:val="20"/>
        </w:rPr>
        <w:t>lands,</w:t>
      </w:r>
      <w:r>
        <w:rPr>
          <w:spacing w:val="9"/>
          <w:w w:val="120"/>
          <w:sz w:val="20"/>
        </w:rPr>
        <w:t> </w:t>
      </w:r>
      <w:r>
        <w:rPr>
          <w:w w:val="120"/>
          <w:sz w:val="20"/>
        </w:rPr>
        <w:t>and</w:t>
      </w:r>
      <w:r>
        <w:rPr>
          <w:spacing w:val="8"/>
          <w:w w:val="120"/>
          <w:sz w:val="20"/>
        </w:rPr>
        <w:t> </w:t>
      </w:r>
      <w:r>
        <w:rPr>
          <w:w w:val="120"/>
          <w:sz w:val="20"/>
        </w:rPr>
        <w:t>Mission</w:t>
      </w:r>
      <w:r>
        <w:rPr>
          <w:spacing w:val="8"/>
          <w:w w:val="120"/>
          <w:sz w:val="20"/>
        </w:rPr>
        <w:t> </w:t>
      </w:r>
      <w:r>
        <w:rPr>
          <w:w w:val="120"/>
          <w:sz w:val="20"/>
        </w:rPr>
        <w:t>Council</w:t>
      </w:r>
      <w:r>
        <w:rPr>
          <w:spacing w:val="9"/>
          <w:w w:val="120"/>
          <w:sz w:val="20"/>
        </w:rPr>
        <w:t> </w:t>
      </w:r>
      <w:r>
        <w:rPr>
          <w:w w:val="120"/>
          <w:sz w:val="20"/>
        </w:rPr>
        <w:t>encouraged</w:t>
      </w:r>
    </w:p>
    <w:p>
      <w:pPr>
        <w:pStyle w:val="BodyText"/>
        <w:spacing w:line="235" w:lineRule="auto" w:before="3"/>
        <w:ind w:left="1284" w:right="1337"/>
      </w:pPr>
      <w:r>
        <w:rPr>
          <w:w w:val="120"/>
        </w:rPr>
        <w:t>committees, synods and local churches to pursue in practical ways the new possibilities it sets before us. A text of the memorandum is appended to this report (pages 35-37).</w:t>
      </w:r>
    </w:p>
    <w:p>
      <w:pPr>
        <w:spacing w:after="0" w:line="235" w:lineRule="auto"/>
        <w:sectPr>
          <w:headerReference w:type="default" r:id="rId71"/>
          <w:pgSz w:w="11910" w:h="16840"/>
          <w:pgMar w:header="0" w:footer="647" w:top="0" w:bottom="840" w:left="700" w:right="0"/>
        </w:sectPr>
      </w:pPr>
    </w:p>
    <w:p>
      <w:pPr>
        <w:pStyle w:val="BodyText"/>
      </w:pPr>
      <w:r>
        <w:rPr/>
        <w:drawing>
          <wp:anchor distT="0" distB="0" distL="0" distR="0" allowOverlap="1" layoutInCell="1" locked="0" behindDoc="1" simplePos="0" relativeHeight="235228160">
            <wp:simplePos x="0" y="0"/>
            <wp:positionH relativeFrom="page">
              <wp:posOffset>0</wp:posOffset>
            </wp:positionH>
            <wp:positionV relativeFrom="page">
              <wp:posOffset>0</wp:posOffset>
            </wp:positionV>
            <wp:extent cx="594067" cy="10692003"/>
            <wp:effectExtent l="0" t="0" r="0" b="0"/>
            <wp:wrapNone/>
            <wp:docPr id="13" name="image51.png"/>
            <wp:cNvGraphicFramePr>
              <a:graphicFrameLocks noChangeAspect="1"/>
            </wp:cNvGraphicFramePr>
            <a:graphic>
              <a:graphicData uri="http://schemas.openxmlformats.org/drawingml/2006/picture">
                <pic:pic>
                  <pic:nvPicPr>
                    <pic:cNvPr id="14" name="image51.png"/>
                    <pic:cNvPicPr/>
                  </pic:nvPicPr>
                  <pic:blipFill>
                    <a:blip r:embed="rId64" cstate="print"/>
                    <a:stretch>
                      <a:fillRect/>
                    </a:stretch>
                  </pic:blipFill>
                  <pic:spPr>
                    <a:xfrm>
                      <a:off x="0" y="0"/>
                      <a:ext cx="594067" cy="10692003"/>
                    </a:xfrm>
                    <a:prstGeom prst="rect">
                      <a:avLst/>
                    </a:prstGeom>
                  </pic:spPr>
                </pic:pic>
              </a:graphicData>
            </a:graphic>
          </wp:anchor>
        </w:drawing>
      </w:r>
      <w:r>
        <w:rPr/>
        <w:pict>
          <v:line style="position:absolute;mso-position-horizontal-relative:page;mso-position-vertical-relative:page;z-index:251682816" from="595.276001pt,.000015pt" to="595.276001pt,841.890015pt" stroked="true" strokeweight="0pt" strokecolor="#fef4df">
            <v:stroke dashstyle="solid"/>
            <w10:wrap type="none"/>
          </v:line>
        </w:pict>
      </w:r>
      <w:r>
        <w:rPr/>
        <w:pict>
          <v:shape style="position:absolute;margin-left:20.519100pt;margin-top:48.890015pt;width:25.9pt;height:163.2pt;mso-position-horizontal-relative:page;mso-position-vertical-relative:page;z-index:-268086272" type="#_x0000_t202" filled="false" stroked="false">
            <v:textbox inset="0,0,0,0" style="layout-flow:vertical">
              <w:txbxContent>
                <w:p>
                  <w:pPr>
                    <w:spacing w:before="27"/>
                    <w:ind w:left="20" w:right="0" w:firstLine="0"/>
                    <w:jc w:val="left"/>
                    <w:rPr>
                      <w:sz w:val="39"/>
                    </w:rPr>
                  </w:pPr>
                  <w:r>
                    <w:rPr>
                      <w:color w:val="FFFFFF"/>
                      <w:w w:val="125"/>
                      <w:sz w:val="39"/>
                    </w:rPr>
                    <w:t>Mission Council</w:t>
                  </w:r>
                </w:p>
              </w:txbxContent>
            </v:textbox>
            <w10:wrap type="none"/>
          </v:shape>
        </w:pict>
      </w:r>
    </w:p>
    <w:p>
      <w:pPr>
        <w:pStyle w:val="BodyText"/>
        <w:spacing w:before="7"/>
        <w:rPr>
          <w:sz w:val="21"/>
        </w:rPr>
      </w:pPr>
    </w:p>
    <w:p>
      <w:pPr>
        <w:spacing w:before="106"/>
        <w:ind w:left="547" w:right="0" w:firstLine="0"/>
        <w:jc w:val="left"/>
        <w:rPr>
          <w:sz w:val="26"/>
        </w:rPr>
      </w:pPr>
      <w:r>
        <w:rPr>
          <w:color w:val="7EAABF"/>
          <w:w w:val="120"/>
          <w:sz w:val="26"/>
        </w:rPr>
        <w:t>Mission Council</w:t>
      </w:r>
    </w:p>
    <w:p>
      <w:pPr>
        <w:spacing w:before="215"/>
        <w:ind w:left="547" w:right="0" w:firstLine="0"/>
        <w:jc w:val="left"/>
        <w:rPr>
          <w:rFonts w:ascii="Stone Sans II ITC Std Bk"/>
          <w:b/>
          <w:sz w:val="29"/>
        </w:rPr>
      </w:pPr>
      <w:r>
        <w:rPr>
          <w:rFonts w:ascii="Stone Sans II ITC Std Bk"/>
          <w:b/>
          <w:w w:val="110"/>
          <w:sz w:val="29"/>
        </w:rPr>
        <w:t>Finance and practicalities</w:t>
      </w:r>
    </w:p>
    <w:p>
      <w:pPr>
        <w:pStyle w:val="ListParagraph"/>
        <w:numPr>
          <w:ilvl w:val="0"/>
          <w:numId w:val="2"/>
        </w:numPr>
        <w:tabs>
          <w:tab w:pos="1227" w:val="left" w:leader="none"/>
          <w:tab w:pos="1228" w:val="left" w:leader="none"/>
        </w:tabs>
        <w:spacing w:line="235" w:lineRule="auto" w:before="69" w:after="0"/>
        <w:ind w:left="547" w:right="2168" w:firstLine="0"/>
        <w:jc w:val="left"/>
        <w:rPr>
          <w:sz w:val="20"/>
        </w:rPr>
      </w:pPr>
      <w:r>
        <w:rPr>
          <w:w w:val="120"/>
          <w:sz w:val="20"/>
        </w:rPr>
        <w:t>Mission Council adopted, on behalf of General Assembly, the </w:t>
      </w:r>
      <w:r>
        <w:rPr>
          <w:spacing w:val="-3"/>
          <w:w w:val="120"/>
          <w:sz w:val="20"/>
        </w:rPr>
        <w:t>Church’s </w:t>
      </w:r>
      <w:r>
        <w:rPr>
          <w:w w:val="120"/>
          <w:sz w:val="20"/>
        </w:rPr>
        <w:t>budgets for </w:t>
      </w:r>
      <w:r>
        <w:rPr>
          <w:spacing w:val="-7"/>
          <w:w w:val="120"/>
          <w:sz w:val="20"/>
        </w:rPr>
        <w:t>2015 </w:t>
      </w:r>
      <w:r>
        <w:rPr>
          <w:w w:val="120"/>
          <w:sz w:val="20"/>
        </w:rPr>
        <w:t>and for</w:t>
      </w:r>
      <w:r>
        <w:rPr>
          <w:spacing w:val="16"/>
          <w:w w:val="120"/>
          <w:sz w:val="20"/>
        </w:rPr>
        <w:t> </w:t>
      </w:r>
      <w:r>
        <w:rPr>
          <w:spacing w:val="-6"/>
          <w:w w:val="120"/>
          <w:sz w:val="20"/>
        </w:rPr>
        <w:t>2016.</w:t>
      </w:r>
    </w:p>
    <w:p>
      <w:pPr>
        <w:pStyle w:val="BodyText"/>
        <w:spacing w:before="10"/>
        <w:rPr>
          <w:sz w:val="19"/>
        </w:rPr>
      </w:pPr>
    </w:p>
    <w:p>
      <w:pPr>
        <w:pStyle w:val="ListParagraph"/>
        <w:numPr>
          <w:ilvl w:val="0"/>
          <w:numId w:val="2"/>
        </w:numPr>
        <w:tabs>
          <w:tab w:pos="1227" w:val="left" w:leader="none"/>
          <w:tab w:pos="1228" w:val="left" w:leader="none"/>
        </w:tabs>
        <w:spacing w:line="235" w:lineRule="auto" w:before="0" w:after="0"/>
        <w:ind w:left="547" w:right="2150" w:firstLine="0"/>
        <w:jc w:val="left"/>
        <w:rPr>
          <w:sz w:val="20"/>
        </w:rPr>
      </w:pPr>
      <w:r>
        <w:rPr>
          <w:w w:val="120"/>
          <w:sz w:val="20"/>
        </w:rPr>
        <w:t>Acting on behalf of General Assembly, Mission Council agreed a recommendation of the mission committee that the percentages for allocating income from Commitment for Life be changed to </w:t>
      </w:r>
      <w:r>
        <w:rPr>
          <w:spacing w:val="-7"/>
          <w:w w:val="120"/>
          <w:sz w:val="20"/>
        </w:rPr>
        <w:t>75% </w:t>
      </w:r>
      <w:r>
        <w:rPr>
          <w:w w:val="120"/>
          <w:sz w:val="20"/>
        </w:rPr>
        <w:t>for Christian Aid, </w:t>
      </w:r>
      <w:r>
        <w:rPr>
          <w:spacing w:val="-5"/>
          <w:w w:val="120"/>
          <w:sz w:val="20"/>
        </w:rPr>
        <w:t>5% </w:t>
      </w:r>
      <w:r>
        <w:rPr>
          <w:w w:val="120"/>
          <w:sz w:val="20"/>
        </w:rPr>
        <w:t>for Global Justice Now (formerly World Development Movement) and 20% for administration, grants, and programme expenses, with effect from 1 January</w:t>
      </w:r>
      <w:r>
        <w:rPr>
          <w:spacing w:val="19"/>
          <w:w w:val="120"/>
          <w:sz w:val="20"/>
        </w:rPr>
        <w:t> </w:t>
      </w:r>
      <w:r>
        <w:rPr>
          <w:spacing w:val="-7"/>
          <w:w w:val="120"/>
          <w:sz w:val="20"/>
        </w:rPr>
        <w:t>2015.</w:t>
      </w:r>
    </w:p>
    <w:p>
      <w:pPr>
        <w:pStyle w:val="BodyText"/>
        <w:spacing w:before="12"/>
        <w:rPr>
          <w:sz w:val="19"/>
        </w:rPr>
      </w:pPr>
    </w:p>
    <w:p>
      <w:pPr>
        <w:pStyle w:val="ListParagraph"/>
        <w:numPr>
          <w:ilvl w:val="0"/>
          <w:numId w:val="2"/>
        </w:numPr>
        <w:tabs>
          <w:tab w:pos="1227" w:val="left" w:leader="none"/>
          <w:tab w:pos="1228" w:val="left" w:leader="none"/>
        </w:tabs>
        <w:spacing w:line="235" w:lineRule="auto" w:before="0" w:after="0"/>
        <w:ind w:left="547" w:right="2190" w:firstLine="0"/>
        <w:jc w:val="left"/>
        <w:rPr>
          <w:sz w:val="20"/>
        </w:rPr>
      </w:pPr>
      <w:r>
        <w:rPr>
          <w:w w:val="120"/>
          <w:sz w:val="20"/>
        </w:rPr>
        <w:t>Mission Council, acting on behalf of General Assembly, agreed in November </w:t>
      </w:r>
      <w:r>
        <w:rPr>
          <w:spacing w:val="-7"/>
          <w:w w:val="120"/>
          <w:sz w:val="20"/>
        </w:rPr>
        <w:t>2014 </w:t>
      </w:r>
      <w:r>
        <w:rPr>
          <w:w w:val="120"/>
          <w:sz w:val="20"/>
        </w:rPr>
        <w:t>that a new Trust Deed and Rules for the United Reformed Church Ministers pension fund be signed on behalf of the Church by the Moderator and Clerk of Assembly. Mission Council also delegated certain actions in connection with the fund, and adopted arrangements for early leavers. Papers are at the following address:</w:t>
      </w:r>
      <w:hyperlink r:id="rId78">
        <w:r>
          <w:rPr>
            <w:color w:val="006AB3"/>
            <w:w w:val="120"/>
            <w:sz w:val="20"/>
          </w:rPr>
          <w:t> www.urc.org.uk/about-mission-council/65-general/mission-council/1528-</w:t>
        </w:r>
      </w:hyperlink>
    </w:p>
    <w:p>
      <w:pPr>
        <w:pStyle w:val="BodyText"/>
        <w:spacing w:line="242" w:lineRule="exact"/>
        <w:ind w:left="547"/>
      </w:pPr>
      <w:hyperlink r:id="rId78">
        <w:r>
          <w:rPr>
            <w:color w:val="006AB3"/>
            <w:w w:val="120"/>
          </w:rPr>
          <w:t>november-2014.html</w:t>
        </w:r>
      </w:hyperlink>
    </w:p>
    <w:p>
      <w:pPr>
        <w:pStyle w:val="BodyText"/>
        <w:spacing w:line="235" w:lineRule="auto" w:before="2"/>
        <w:ind w:left="547" w:right="2083"/>
      </w:pPr>
      <w:r>
        <w:rPr>
          <w:w w:val="120"/>
        </w:rPr>
        <w:t>Paper G2 outlines the matter. More technical papers about the pension fund are listed at the foot of the page, just below the list of Mission Council papers for that month.</w:t>
      </w:r>
    </w:p>
    <w:p>
      <w:pPr>
        <w:pStyle w:val="BodyText"/>
        <w:spacing w:before="9"/>
        <w:rPr>
          <w:sz w:val="19"/>
        </w:rPr>
      </w:pPr>
    </w:p>
    <w:p>
      <w:pPr>
        <w:pStyle w:val="ListParagraph"/>
        <w:numPr>
          <w:ilvl w:val="0"/>
          <w:numId w:val="2"/>
        </w:numPr>
        <w:tabs>
          <w:tab w:pos="1227" w:val="left" w:leader="none"/>
          <w:tab w:pos="1228" w:val="left" w:leader="none"/>
        </w:tabs>
        <w:spacing w:line="235" w:lineRule="auto" w:before="1" w:after="0"/>
        <w:ind w:left="547" w:right="2339" w:firstLine="0"/>
        <w:jc w:val="left"/>
        <w:rPr>
          <w:sz w:val="20"/>
        </w:rPr>
      </w:pPr>
      <w:r>
        <w:rPr>
          <w:w w:val="120"/>
          <w:sz w:val="20"/>
        </w:rPr>
        <w:t>Acting on behalf of General Assembly, Mission Council approved in May </w:t>
      </w:r>
      <w:r>
        <w:rPr>
          <w:spacing w:val="-7"/>
          <w:w w:val="120"/>
          <w:sz w:val="20"/>
        </w:rPr>
        <w:t>2015 </w:t>
      </w:r>
      <w:r>
        <w:rPr>
          <w:w w:val="120"/>
          <w:sz w:val="20"/>
        </w:rPr>
        <w:t>revised </w:t>
      </w:r>
      <w:r>
        <w:rPr>
          <w:spacing w:val="-3"/>
          <w:w w:val="120"/>
          <w:sz w:val="20"/>
        </w:rPr>
        <w:t>Terms </w:t>
      </w:r>
      <w:r>
        <w:rPr>
          <w:w w:val="120"/>
          <w:sz w:val="20"/>
        </w:rPr>
        <w:t>of Reference for the United Reformed Church investment committee, which are appended to this </w:t>
      </w:r>
      <w:r>
        <w:rPr>
          <w:spacing w:val="2"/>
          <w:w w:val="120"/>
          <w:sz w:val="20"/>
        </w:rPr>
        <w:t>report </w:t>
      </w:r>
      <w:r>
        <w:rPr>
          <w:w w:val="120"/>
          <w:sz w:val="20"/>
        </w:rPr>
        <w:t>(pages</w:t>
      </w:r>
      <w:r>
        <w:rPr>
          <w:spacing w:val="20"/>
          <w:w w:val="120"/>
          <w:sz w:val="20"/>
        </w:rPr>
        <w:t> </w:t>
      </w:r>
      <w:r>
        <w:rPr>
          <w:spacing w:val="-4"/>
          <w:w w:val="120"/>
          <w:sz w:val="20"/>
        </w:rPr>
        <w:t>38-39).</w:t>
      </w:r>
    </w:p>
    <w:p>
      <w:pPr>
        <w:pStyle w:val="BodyText"/>
        <w:spacing w:before="10"/>
        <w:rPr>
          <w:sz w:val="19"/>
        </w:rPr>
      </w:pPr>
    </w:p>
    <w:p>
      <w:pPr>
        <w:pStyle w:val="ListParagraph"/>
        <w:numPr>
          <w:ilvl w:val="0"/>
          <w:numId w:val="2"/>
        </w:numPr>
        <w:tabs>
          <w:tab w:pos="1227" w:val="left" w:leader="none"/>
          <w:tab w:pos="1228" w:val="left" w:leader="none"/>
        </w:tabs>
        <w:spacing w:line="235" w:lineRule="auto" w:before="0" w:after="0"/>
        <w:ind w:left="547" w:right="2093" w:firstLine="0"/>
        <w:jc w:val="left"/>
        <w:rPr>
          <w:sz w:val="20"/>
        </w:rPr>
      </w:pPr>
      <w:r>
        <w:rPr>
          <w:w w:val="120"/>
          <w:sz w:val="20"/>
        </w:rPr>
        <w:t>Acting on behalf of General Assembly, Mission Council added in November   </w:t>
      </w:r>
      <w:r>
        <w:rPr>
          <w:spacing w:val="-7"/>
          <w:w w:val="120"/>
          <w:sz w:val="20"/>
        </w:rPr>
        <w:t>2015  </w:t>
      </w:r>
      <w:r>
        <w:rPr>
          <w:w w:val="120"/>
          <w:sz w:val="20"/>
        </w:rPr>
        <w:t>an appendix relating to climate change to the </w:t>
      </w:r>
      <w:r>
        <w:rPr>
          <w:spacing w:val="-6"/>
          <w:w w:val="120"/>
          <w:sz w:val="20"/>
        </w:rPr>
        <w:t>2010  </w:t>
      </w:r>
      <w:r>
        <w:rPr>
          <w:w w:val="120"/>
          <w:sz w:val="20"/>
        </w:rPr>
        <w:t>statement of principles for  the use of the United Reformed Church in making investment decisions. An up-to-date general summary of our </w:t>
      </w:r>
      <w:r>
        <w:rPr>
          <w:spacing w:val="-3"/>
          <w:w w:val="120"/>
          <w:sz w:val="20"/>
        </w:rPr>
        <w:t>Church’s </w:t>
      </w:r>
      <w:r>
        <w:rPr>
          <w:w w:val="120"/>
          <w:sz w:val="20"/>
        </w:rPr>
        <w:t>guidelines for investors, based on a number of policy statements that we have made in recent years, is appended to this </w:t>
      </w:r>
      <w:r>
        <w:rPr>
          <w:spacing w:val="2"/>
          <w:w w:val="120"/>
          <w:sz w:val="20"/>
        </w:rPr>
        <w:t>report </w:t>
      </w:r>
      <w:r>
        <w:rPr>
          <w:w w:val="120"/>
          <w:sz w:val="20"/>
        </w:rPr>
        <w:t>(page</w:t>
      </w:r>
      <w:r>
        <w:rPr>
          <w:spacing w:val="45"/>
          <w:w w:val="120"/>
          <w:sz w:val="20"/>
        </w:rPr>
        <w:t> </w:t>
      </w:r>
      <w:r>
        <w:rPr>
          <w:spacing w:val="-4"/>
          <w:w w:val="120"/>
          <w:sz w:val="20"/>
        </w:rPr>
        <w:t>40).</w:t>
      </w:r>
    </w:p>
    <w:p>
      <w:pPr>
        <w:pStyle w:val="BodyText"/>
        <w:spacing w:before="12"/>
        <w:rPr>
          <w:sz w:val="19"/>
        </w:rPr>
      </w:pPr>
    </w:p>
    <w:p>
      <w:pPr>
        <w:pStyle w:val="ListParagraph"/>
        <w:numPr>
          <w:ilvl w:val="0"/>
          <w:numId w:val="2"/>
        </w:numPr>
        <w:tabs>
          <w:tab w:pos="1227" w:val="left" w:leader="none"/>
          <w:tab w:pos="1228" w:val="left" w:leader="none"/>
        </w:tabs>
        <w:spacing w:line="235" w:lineRule="auto" w:before="0" w:after="0"/>
        <w:ind w:left="547" w:right="2161" w:firstLine="0"/>
        <w:jc w:val="left"/>
        <w:rPr>
          <w:sz w:val="20"/>
        </w:rPr>
      </w:pPr>
      <w:r>
        <w:rPr>
          <w:w w:val="120"/>
          <w:sz w:val="20"/>
        </w:rPr>
        <w:t>Acting on behalf of General Assembly, Mission Council instructed the Assembly arrangements committee to book all accommodation for future</w:t>
      </w:r>
      <w:r>
        <w:rPr>
          <w:spacing w:val="17"/>
          <w:w w:val="120"/>
          <w:sz w:val="20"/>
        </w:rPr>
        <w:t> </w:t>
      </w:r>
      <w:r>
        <w:rPr>
          <w:w w:val="120"/>
          <w:sz w:val="20"/>
        </w:rPr>
        <w:t>Assemblies.</w:t>
      </w:r>
    </w:p>
    <w:p>
      <w:pPr>
        <w:pStyle w:val="BodyText"/>
        <w:spacing w:before="9"/>
        <w:rPr>
          <w:sz w:val="19"/>
        </w:rPr>
      </w:pPr>
    </w:p>
    <w:p>
      <w:pPr>
        <w:pStyle w:val="ListParagraph"/>
        <w:numPr>
          <w:ilvl w:val="0"/>
          <w:numId w:val="2"/>
        </w:numPr>
        <w:tabs>
          <w:tab w:pos="1227" w:val="left" w:leader="none"/>
          <w:tab w:pos="1228" w:val="left" w:leader="none"/>
        </w:tabs>
        <w:spacing w:line="235" w:lineRule="auto" w:before="0" w:after="0"/>
        <w:ind w:left="547" w:right="2397" w:firstLine="0"/>
        <w:jc w:val="left"/>
        <w:rPr>
          <w:sz w:val="20"/>
        </w:rPr>
      </w:pPr>
      <w:r>
        <w:rPr>
          <w:w w:val="120"/>
          <w:sz w:val="20"/>
        </w:rPr>
        <w:t>Mission Council has authorised the Mission Committee to apply for Mission Support Programme funding from </w:t>
      </w:r>
      <w:r>
        <w:rPr>
          <w:spacing w:val="3"/>
          <w:w w:val="120"/>
          <w:sz w:val="20"/>
        </w:rPr>
        <w:t>CWM, </w:t>
      </w:r>
      <w:r>
        <w:rPr>
          <w:w w:val="120"/>
          <w:sz w:val="20"/>
        </w:rPr>
        <w:t>to extend our Fresh Expressions post from half-time to full-time, and to launch the Walking the Way</w:t>
      </w:r>
      <w:r>
        <w:rPr>
          <w:spacing w:val="14"/>
          <w:w w:val="120"/>
          <w:sz w:val="20"/>
        </w:rPr>
        <w:t> </w:t>
      </w:r>
      <w:r>
        <w:rPr>
          <w:w w:val="120"/>
          <w:sz w:val="20"/>
        </w:rPr>
        <w:t>project.</w:t>
      </w:r>
    </w:p>
    <w:p>
      <w:pPr>
        <w:pStyle w:val="BodyText"/>
        <w:spacing w:before="10"/>
        <w:rPr>
          <w:sz w:val="19"/>
        </w:rPr>
      </w:pPr>
    </w:p>
    <w:p>
      <w:pPr>
        <w:pStyle w:val="ListParagraph"/>
        <w:numPr>
          <w:ilvl w:val="0"/>
          <w:numId w:val="2"/>
        </w:numPr>
        <w:tabs>
          <w:tab w:pos="1227" w:val="left" w:leader="none"/>
          <w:tab w:pos="1228" w:val="left" w:leader="none"/>
        </w:tabs>
        <w:spacing w:line="235" w:lineRule="auto" w:before="1" w:after="0"/>
        <w:ind w:left="547" w:right="2038" w:firstLine="0"/>
        <w:jc w:val="left"/>
        <w:rPr>
          <w:sz w:val="20"/>
        </w:rPr>
      </w:pPr>
      <w:r>
        <w:rPr>
          <w:w w:val="120"/>
          <w:sz w:val="20"/>
        </w:rPr>
        <w:t>Following an incomplete discussion at Cardiff about our Education and Learning budget, Mission Council in November </w:t>
      </w:r>
      <w:r>
        <w:rPr>
          <w:spacing w:val="-7"/>
          <w:w w:val="120"/>
          <w:sz w:val="20"/>
        </w:rPr>
        <w:t>2014 </w:t>
      </w:r>
      <w:r>
        <w:rPr>
          <w:w w:val="120"/>
          <w:sz w:val="20"/>
        </w:rPr>
        <w:t>agreed a new system for setting student grants and offered additional budget for three years, in order to support our ministerial students</w:t>
      </w:r>
      <w:r>
        <w:rPr>
          <w:spacing w:val="2"/>
          <w:w w:val="120"/>
          <w:sz w:val="20"/>
        </w:rPr>
        <w:t> </w:t>
      </w:r>
      <w:r>
        <w:rPr>
          <w:w w:val="120"/>
          <w:sz w:val="20"/>
        </w:rPr>
        <w:t>properly.</w:t>
      </w:r>
    </w:p>
    <w:p>
      <w:pPr>
        <w:pStyle w:val="BodyText"/>
        <w:spacing w:before="10"/>
        <w:rPr>
          <w:sz w:val="19"/>
        </w:rPr>
      </w:pPr>
    </w:p>
    <w:p>
      <w:pPr>
        <w:pStyle w:val="ListParagraph"/>
        <w:numPr>
          <w:ilvl w:val="0"/>
          <w:numId w:val="2"/>
        </w:numPr>
        <w:tabs>
          <w:tab w:pos="1227" w:val="left" w:leader="none"/>
          <w:tab w:pos="1228" w:val="left" w:leader="none"/>
        </w:tabs>
        <w:spacing w:line="235" w:lineRule="auto" w:before="1" w:after="0"/>
        <w:ind w:left="547" w:right="2961" w:firstLine="0"/>
        <w:jc w:val="left"/>
        <w:rPr>
          <w:sz w:val="20"/>
        </w:rPr>
      </w:pPr>
      <w:r>
        <w:rPr>
          <w:w w:val="120"/>
          <w:sz w:val="20"/>
        </w:rPr>
        <w:t>A new Lobbying Act came into effect before the </w:t>
      </w:r>
      <w:r>
        <w:rPr>
          <w:spacing w:val="-7"/>
          <w:w w:val="120"/>
          <w:sz w:val="20"/>
        </w:rPr>
        <w:t>2015 </w:t>
      </w:r>
      <w:r>
        <w:rPr>
          <w:w w:val="120"/>
          <w:sz w:val="20"/>
        </w:rPr>
        <w:t>General Election. Eventually, in consultation with JPIT partners, the URC decided not to</w:t>
      </w:r>
      <w:r>
        <w:rPr>
          <w:spacing w:val="22"/>
          <w:w w:val="120"/>
          <w:sz w:val="20"/>
        </w:rPr>
        <w:t> </w:t>
      </w:r>
      <w:r>
        <w:rPr>
          <w:w w:val="120"/>
          <w:sz w:val="20"/>
        </w:rPr>
        <w:t>register.</w:t>
      </w:r>
    </w:p>
    <w:p>
      <w:pPr>
        <w:pStyle w:val="BodyText"/>
        <w:spacing w:before="1"/>
        <w:rPr>
          <w:sz w:val="22"/>
        </w:rPr>
      </w:pPr>
    </w:p>
    <w:p>
      <w:pPr>
        <w:spacing w:before="0"/>
        <w:ind w:left="547" w:right="0" w:firstLine="0"/>
        <w:jc w:val="left"/>
        <w:rPr>
          <w:rFonts w:ascii="Stone Sans II ITC Std Bk"/>
          <w:b/>
          <w:sz w:val="29"/>
        </w:rPr>
      </w:pPr>
      <w:r>
        <w:rPr>
          <w:rFonts w:ascii="Stone Sans II ITC Std Bk"/>
          <w:b/>
          <w:w w:val="110"/>
          <w:sz w:val="29"/>
        </w:rPr>
        <w:t>Collaborations</w:t>
      </w:r>
    </w:p>
    <w:p>
      <w:pPr>
        <w:pStyle w:val="ListParagraph"/>
        <w:numPr>
          <w:ilvl w:val="0"/>
          <w:numId w:val="2"/>
        </w:numPr>
        <w:tabs>
          <w:tab w:pos="1227" w:val="left" w:leader="none"/>
          <w:tab w:pos="1228" w:val="left" w:leader="none"/>
        </w:tabs>
        <w:spacing w:line="235" w:lineRule="auto" w:before="70" w:after="0"/>
        <w:ind w:left="547" w:right="2252" w:firstLine="0"/>
        <w:jc w:val="left"/>
        <w:rPr>
          <w:sz w:val="20"/>
        </w:rPr>
      </w:pPr>
      <w:r>
        <w:rPr>
          <w:w w:val="120"/>
          <w:sz w:val="20"/>
        </w:rPr>
        <w:t>Mission Council has been aware of two significant pieces of shared work in the Church, although has not sought formal </w:t>
      </w:r>
      <w:r>
        <w:rPr>
          <w:spacing w:val="2"/>
          <w:w w:val="120"/>
          <w:sz w:val="20"/>
        </w:rPr>
        <w:t>report </w:t>
      </w:r>
      <w:r>
        <w:rPr>
          <w:w w:val="120"/>
          <w:sz w:val="20"/>
        </w:rPr>
        <w:t>on either in these last two</w:t>
      </w:r>
      <w:r>
        <w:rPr>
          <w:spacing w:val="37"/>
          <w:w w:val="120"/>
          <w:sz w:val="20"/>
        </w:rPr>
        <w:t> </w:t>
      </w:r>
      <w:r>
        <w:rPr>
          <w:w w:val="120"/>
          <w:sz w:val="20"/>
        </w:rPr>
        <w:t>years.</w:t>
      </w:r>
    </w:p>
    <w:p>
      <w:pPr>
        <w:pStyle w:val="BodyText"/>
        <w:spacing w:before="9"/>
        <w:rPr>
          <w:sz w:val="19"/>
        </w:rPr>
      </w:pPr>
    </w:p>
    <w:p>
      <w:pPr>
        <w:pStyle w:val="ListParagraph"/>
        <w:numPr>
          <w:ilvl w:val="0"/>
          <w:numId w:val="2"/>
        </w:numPr>
        <w:tabs>
          <w:tab w:pos="1227" w:val="left" w:leader="none"/>
          <w:tab w:pos="1228" w:val="left" w:leader="none"/>
        </w:tabs>
        <w:spacing w:line="235" w:lineRule="auto" w:before="0" w:after="0"/>
        <w:ind w:left="547" w:right="1982" w:firstLine="0"/>
        <w:jc w:val="left"/>
        <w:rPr>
          <w:sz w:val="20"/>
        </w:rPr>
      </w:pPr>
      <w:r>
        <w:rPr>
          <w:w w:val="120"/>
          <w:sz w:val="20"/>
        </w:rPr>
        <w:t>The group of senior staff at Church House has been complete since May </w:t>
      </w:r>
      <w:r>
        <w:rPr>
          <w:spacing w:val="-7"/>
          <w:w w:val="120"/>
          <w:sz w:val="20"/>
        </w:rPr>
        <w:t>2015, </w:t>
      </w:r>
      <w:r>
        <w:rPr>
          <w:w w:val="120"/>
          <w:sz w:val="20"/>
        </w:rPr>
        <w:t>with three Deputy General Secretaries managing different sides of our central work,   and reporting regularly to the General Secretary. This team has gelled well, and staff are now more closely overseen and supported than was possible</w:t>
      </w:r>
      <w:r>
        <w:rPr>
          <w:spacing w:val="23"/>
          <w:w w:val="120"/>
          <w:sz w:val="20"/>
        </w:rPr>
        <w:t> </w:t>
      </w:r>
      <w:r>
        <w:rPr>
          <w:w w:val="120"/>
          <w:sz w:val="20"/>
        </w:rPr>
        <w:t>before.</w:t>
      </w:r>
    </w:p>
    <w:p>
      <w:pPr>
        <w:pStyle w:val="BodyText"/>
        <w:spacing w:before="11"/>
        <w:rPr>
          <w:sz w:val="19"/>
        </w:rPr>
      </w:pPr>
    </w:p>
    <w:p>
      <w:pPr>
        <w:pStyle w:val="ListParagraph"/>
        <w:numPr>
          <w:ilvl w:val="0"/>
          <w:numId w:val="2"/>
        </w:numPr>
        <w:tabs>
          <w:tab w:pos="1227" w:val="left" w:leader="none"/>
          <w:tab w:pos="1228" w:val="left" w:leader="none"/>
        </w:tabs>
        <w:spacing w:line="235" w:lineRule="auto" w:before="0" w:after="0"/>
        <w:ind w:left="547" w:right="2256" w:firstLine="0"/>
        <w:jc w:val="left"/>
        <w:rPr>
          <w:sz w:val="20"/>
        </w:rPr>
      </w:pPr>
      <w:r>
        <w:rPr>
          <w:w w:val="120"/>
          <w:sz w:val="20"/>
        </w:rPr>
        <w:t>Our five Northerly Synods (Scotland, Northern, Yorkshire, </w:t>
      </w:r>
      <w:r>
        <w:rPr>
          <w:spacing w:val="2"/>
          <w:w w:val="120"/>
          <w:sz w:val="20"/>
        </w:rPr>
        <w:t>North </w:t>
      </w:r>
      <w:r>
        <w:rPr>
          <w:w w:val="120"/>
          <w:sz w:val="20"/>
        </w:rPr>
        <w:t>Western and Mersey) have continued bi-annual conversations, in order to learn from each other’s experience and expertise in particular areas of work, and all have gained wisdom and encouragement from this</w:t>
      </w:r>
      <w:r>
        <w:rPr>
          <w:spacing w:val="6"/>
          <w:w w:val="120"/>
          <w:sz w:val="20"/>
        </w:rPr>
        <w:t> </w:t>
      </w:r>
      <w:r>
        <w:rPr>
          <w:w w:val="120"/>
          <w:sz w:val="20"/>
        </w:rPr>
        <w:t>contact.</w:t>
      </w:r>
    </w:p>
    <w:p>
      <w:pPr>
        <w:spacing w:after="0" w:line="235" w:lineRule="auto"/>
        <w:jc w:val="left"/>
        <w:rPr>
          <w:sz w:val="20"/>
        </w:rPr>
        <w:sectPr>
          <w:headerReference w:type="even" r:id="rId76"/>
          <w:footerReference w:type="even" r:id="rId77"/>
          <w:pgSz w:w="11910" w:h="16840"/>
          <w:pgMar w:header="0" w:footer="647" w:top="0" w:bottom="840" w:left="700" w:right="0"/>
          <w:pgNumType w:start="10"/>
        </w:sectPr>
      </w:pPr>
    </w:p>
    <w:p>
      <w:pPr>
        <w:pStyle w:val="BodyText"/>
      </w:pPr>
      <w:r>
        <w:rPr/>
        <w:pict>
          <v:rect style="position:absolute;margin-left:0pt;margin-top:.000015pt;width:549.207pt;height:841.89pt;mso-position-horizontal-relative:page;mso-position-vertical-relative:page;z-index:-268085248" filled="true" fillcolor="#fef4df" stroked="false">
            <v:fill type="solid"/>
            <w10:wrap type="none"/>
          </v:rect>
        </w:pict>
      </w:r>
      <w:r>
        <w:rPr/>
        <w:drawing>
          <wp:anchor distT="0" distB="0" distL="0" distR="0" allowOverlap="1" layoutInCell="1" locked="0" behindDoc="0" simplePos="0" relativeHeight="251685888">
            <wp:simplePos x="0" y="0"/>
            <wp:positionH relativeFrom="page">
              <wp:posOffset>6974928</wp:posOffset>
            </wp:positionH>
            <wp:positionV relativeFrom="page">
              <wp:posOffset>0</wp:posOffset>
            </wp:positionV>
            <wp:extent cx="585063" cy="10692003"/>
            <wp:effectExtent l="0" t="0" r="0" b="0"/>
            <wp:wrapNone/>
            <wp:docPr id="15" name="image27.png"/>
            <wp:cNvGraphicFramePr>
              <a:graphicFrameLocks noChangeAspect="1"/>
            </wp:cNvGraphicFramePr>
            <a:graphic>
              <a:graphicData uri="http://schemas.openxmlformats.org/drawingml/2006/picture">
                <pic:pic>
                  <pic:nvPicPr>
                    <pic:cNvPr id="16" name="image27.png"/>
                    <pic:cNvPicPr/>
                  </pic:nvPicPr>
                  <pic:blipFill>
                    <a:blip r:embed="rId34" cstate="print"/>
                    <a:stretch>
                      <a:fillRect/>
                    </a:stretch>
                  </pic:blipFill>
                  <pic:spPr>
                    <a:xfrm>
                      <a:off x="0" y="0"/>
                      <a:ext cx="585063" cy="10692003"/>
                    </a:xfrm>
                    <a:prstGeom prst="rect">
                      <a:avLst/>
                    </a:prstGeom>
                  </pic:spPr>
                </pic:pic>
              </a:graphicData>
            </a:graphic>
          </wp:anchor>
        </w:drawing>
      </w:r>
    </w:p>
    <w:p>
      <w:pPr>
        <w:pStyle w:val="BodyText"/>
      </w:pPr>
    </w:p>
    <w:p>
      <w:pPr>
        <w:pStyle w:val="BodyText"/>
      </w:pPr>
    </w:p>
    <w:p>
      <w:pPr>
        <w:pStyle w:val="BodyText"/>
        <w:spacing w:before="5"/>
        <w:rPr>
          <w:sz w:val="28"/>
        </w:rPr>
      </w:pPr>
    </w:p>
    <w:p>
      <w:pPr>
        <w:spacing w:line="638" w:lineRule="exact" w:before="97"/>
        <w:ind w:left="1043" w:right="0" w:firstLine="0"/>
        <w:jc w:val="left"/>
        <w:rPr>
          <w:rFonts w:ascii="Stone Sans II ITC Std X Bd"/>
          <w:b/>
          <w:sz w:val="50"/>
        </w:rPr>
      </w:pPr>
      <w:r>
        <w:rPr/>
        <w:pict>
          <v:shape style="position:absolute;margin-left:554.141174pt;margin-top:-5.998084pt;width:25.9pt;height:169pt;mso-position-horizontal-relative:page;mso-position-vertical-relative:paragraph;z-index:251686912" type="#_x0000_t202" filled="false" stroked="false">
            <v:textbox inset="0,0,0,0" style="layout-flow:vertical">
              <w:txbxContent>
                <w:p>
                  <w:pPr>
                    <w:spacing w:before="27"/>
                    <w:ind w:left="20" w:right="0" w:firstLine="0"/>
                    <w:jc w:val="left"/>
                    <w:rPr>
                      <w:sz w:val="39"/>
                    </w:rPr>
                  </w:pPr>
                  <w:r>
                    <w:rPr>
                      <w:color w:val="FFFFFF"/>
                      <w:w w:val="120"/>
                      <w:sz w:val="39"/>
                    </w:rPr>
                    <w:t>Walking the Way</w:t>
                  </w:r>
                </w:p>
              </w:txbxContent>
            </v:textbox>
            <w10:wrap type="none"/>
          </v:shape>
        </w:pict>
      </w:r>
      <w:r>
        <w:rPr>
          <w:rFonts w:ascii="Stone Sans II ITC Std X Bd"/>
          <w:b/>
          <w:color w:val="F1B400"/>
          <w:w w:val="110"/>
          <w:sz w:val="50"/>
        </w:rPr>
        <w:t>Mission Council:</w:t>
      </w:r>
    </w:p>
    <w:p>
      <w:pPr>
        <w:spacing w:line="213" w:lineRule="auto" w:before="18"/>
        <w:ind w:left="1043" w:right="2269" w:firstLine="0"/>
        <w:jc w:val="left"/>
        <w:rPr>
          <w:rFonts w:ascii="Stone Sans II ITC Std X Bd" w:hAnsi="Stone Sans II ITC Std X Bd"/>
          <w:b/>
          <w:sz w:val="50"/>
        </w:rPr>
      </w:pPr>
      <w:r>
        <w:rPr>
          <w:rFonts w:ascii="Stone Sans II ITC Std X Bd" w:hAnsi="Stone Sans II ITC Std X Bd"/>
          <w:b/>
          <w:spacing w:val="-11"/>
          <w:w w:val="110"/>
          <w:sz w:val="50"/>
        </w:rPr>
        <w:t>Walking </w:t>
      </w:r>
      <w:r>
        <w:rPr>
          <w:rFonts w:ascii="Stone Sans II ITC Std X Bd" w:hAnsi="Stone Sans II ITC Std X Bd"/>
          <w:b/>
          <w:spacing w:val="-8"/>
          <w:w w:val="110"/>
          <w:sz w:val="50"/>
        </w:rPr>
        <w:t>the </w:t>
      </w:r>
      <w:r>
        <w:rPr>
          <w:rFonts w:ascii="Stone Sans II ITC Std X Bd" w:hAnsi="Stone Sans II ITC Std X Bd"/>
          <w:b/>
          <w:spacing w:val="-14"/>
          <w:w w:val="110"/>
          <w:sz w:val="50"/>
        </w:rPr>
        <w:t>Way </w:t>
      </w:r>
      <w:r>
        <w:rPr>
          <w:rFonts w:ascii="Stone Sans II ITC Std X Bd" w:hAnsi="Stone Sans II ITC Std X Bd"/>
          <w:b/>
          <w:w w:val="110"/>
          <w:sz w:val="50"/>
        </w:rPr>
        <w:t>– </w:t>
      </w:r>
      <w:r>
        <w:rPr>
          <w:rFonts w:ascii="Stone Sans II ITC Std X Bd" w:hAnsi="Stone Sans II ITC Std X Bd"/>
          <w:b/>
          <w:spacing w:val="-9"/>
          <w:w w:val="110"/>
          <w:sz w:val="50"/>
        </w:rPr>
        <w:t>living </w:t>
      </w:r>
      <w:r>
        <w:rPr>
          <w:rFonts w:ascii="Stone Sans II ITC Std X Bd" w:hAnsi="Stone Sans II ITC Std X Bd"/>
          <w:b/>
          <w:spacing w:val="-8"/>
          <w:w w:val="110"/>
          <w:sz w:val="50"/>
        </w:rPr>
        <w:t>the </w:t>
      </w:r>
      <w:r>
        <w:rPr>
          <w:rFonts w:ascii="Stone Sans II ITC Std X Bd" w:hAnsi="Stone Sans II ITC Std X Bd"/>
          <w:b/>
          <w:spacing w:val="-6"/>
          <w:w w:val="110"/>
          <w:sz w:val="50"/>
        </w:rPr>
        <w:t>life </w:t>
      </w:r>
      <w:r>
        <w:rPr>
          <w:rFonts w:ascii="Stone Sans II ITC Std X Bd" w:hAnsi="Stone Sans II ITC Std X Bd"/>
          <w:b/>
          <w:spacing w:val="-5"/>
          <w:w w:val="110"/>
          <w:sz w:val="50"/>
        </w:rPr>
        <w:t>of </w:t>
      </w:r>
      <w:r>
        <w:rPr>
          <w:rFonts w:ascii="Stone Sans II ITC Std X Bd" w:hAnsi="Stone Sans II ITC Std X Bd"/>
          <w:b/>
          <w:spacing w:val="-8"/>
          <w:w w:val="110"/>
          <w:sz w:val="50"/>
        </w:rPr>
        <w:t>Jesus </w:t>
      </w:r>
      <w:r>
        <w:rPr>
          <w:rFonts w:ascii="Stone Sans II ITC Std X Bd" w:hAnsi="Stone Sans II ITC Std X Bd"/>
          <w:b/>
          <w:spacing w:val="-12"/>
          <w:w w:val="110"/>
          <w:sz w:val="50"/>
        </w:rPr>
        <w:t>today</w:t>
      </w:r>
    </w:p>
    <w:p>
      <w:pPr>
        <w:spacing w:line="287" w:lineRule="exact" w:before="0"/>
        <w:ind w:left="1043" w:right="0" w:firstLine="0"/>
        <w:jc w:val="left"/>
        <w:rPr>
          <w:rFonts w:ascii="Stone Sans II ITC Std Bk"/>
          <w:b/>
          <w:sz w:val="29"/>
        </w:rPr>
      </w:pPr>
      <w:r>
        <w:rPr>
          <w:rFonts w:ascii="Stone Sans II ITC Std Bk"/>
          <w:b/>
          <w:w w:val="110"/>
          <w:sz w:val="29"/>
        </w:rPr>
        <w:t>A </w:t>
      </w:r>
      <w:r>
        <w:rPr>
          <w:rFonts w:ascii="Stone Sans II ITC Std Bk"/>
          <w:b/>
          <w:spacing w:val="3"/>
          <w:w w:val="110"/>
          <w:sz w:val="29"/>
        </w:rPr>
        <w:t>fresh emphasis </w:t>
      </w:r>
      <w:r>
        <w:rPr>
          <w:rFonts w:ascii="Stone Sans II ITC Std Bk"/>
          <w:b/>
          <w:spacing w:val="2"/>
          <w:w w:val="110"/>
          <w:sz w:val="29"/>
        </w:rPr>
        <w:t>on </w:t>
      </w:r>
      <w:r>
        <w:rPr>
          <w:rFonts w:ascii="Stone Sans II ITC Std Bk"/>
          <w:b/>
          <w:spacing w:val="3"/>
          <w:w w:val="110"/>
          <w:sz w:val="29"/>
        </w:rPr>
        <w:t>making and releasing</w:t>
      </w:r>
      <w:r>
        <w:rPr>
          <w:rFonts w:ascii="Stone Sans II ITC Std Bk"/>
          <w:b/>
          <w:spacing w:val="84"/>
          <w:w w:val="110"/>
          <w:sz w:val="29"/>
        </w:rPr>
        <w:t> </w:t>
      </w:r>
      <w:r>
        <w:rPr>
          <w:rFonts w:ascii="Stone Sans II ITC Std Bk"/>
          <w:b/>
          <w:spacing w:val="3"/>
          <w:w w:val="110"/>
          <w:sz w:val="29"/>
        </w:rPr>
        <w:t>disciples</w:t>
      </w:r>
    </w:p>
    <w:p>
      <w:pPr>
        <w:spacing w:line="356" w:lineRule="exact" w:before="0"/>
        <w:ind w:left="1043" w:right="0" w:firstLine="0"/>
        <w:jc w:val="left"/>
        <w:rPr>
          <w:rFonts w:ascii="Stone Sans II ITC Std Bk"/>
          <w:b/>
          <w:sz w:val="29"/>
        </w:rPr>
      </w:pPr>
      <w:r>
        <w:rPr>
          <w:rFonts w:ascii="Stone Sans II ITC Std Bk"/>
          <w:b/>
          <w:w w:val="110"/>
          <w:sz w:val="29"/>
        </w:rPr>
        <w:t>within the United Reformed Church</w:t>
      </w:r>
    </w:p>
    <w:p>
      <w:pPr>
        <w:pStyle w:val="Heading4"/>
        <w:spacing w:before="252"/>
        <w:ind w:left="1043"/>
      </w:pPr>
      <w:r>
        <w:rPr>
          <w:color w:val="7F7F7F"/>
        </w:rPr>
        <w:t>Basic Information</w:t>
      </w:r>
    </w:p>
    <w:tbl>
      <w:tblPr>
        <w:tblW w:w="0" w:type="auto"/>
        <w:jc w:val="left"/>
        <w:tblInd w:w="105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660"/>
        <w:gridCol w:w="6582"/>
      </w:tblGrid>
      <w:tr>
        <w:trPr>
          <w:trHeight w:val="680" w:hRule="atLeast"/>
        </w:trPr>
        <w:tc>
          <w:tcPr>
            <w:tcW w:w="2660" w:type="dxa"/>
            <w:shd w:val="clear" w:color="auto" w:fill="FFFFFF"/>
          </w:tcPr>
          <w:p>
            <w:pPr>
              <w:pStyle w:val="TableParagraph"/>
              <w:spacing w:line="213" w:lineRule="auto" w:before="151"/>
              <w:ind w:right="595"/>
              <w:rPr>
                <w:rFonts w:ascii="Stone Sans II ITC Std Bk"/>
                <w:b/>
                <w:sz w:val="20"/>
              </w:rPr>
            </w:pPr>
            <w:r>
              <w:rPr>
                <w:rFonts w:ascii="Stone Sans II ITC Std Bk"/>
                <w:b/>
                <w:w w:val="110"/>
                <w:sz w:val="20"/>
              </w:rPr>
              <w:t>Contact name and email address</w:t>
            </w:r>
          </w:p>
        </w:tc>
        <w:tc>
          <w:tcPr>
            <w:tcW w:w="6582" w:type="dxa"/>
            <w:shd w:val="clear" w:color="auto" w:fill="FFFFFF"/>
          </w:tcPr>
          <w:p>
            <w:pPr>
              <w:pStyle w:val="TableParagraph"/>
              <w:spacing w:line="235" w:lineRule="auto" w:before="145"/>
              <w:ind w:right="2089"/>
              <w:rPr>
                <w:sz w:val="20"/>
              </w:rPr>
            </w:pPr>
            <w:r>
              <w:rPr>
                <w:w w:val="120"/>
                <w:sz w:val="20"/>
              </w:rPr>
              <w:t>Francis Brienen: </w:t>
            </w:r>
            <w:hyperlink r:id="rId81">
              <w:r>
                <w:rPr>
                  <w:color w:val="006AB3"/>
                  <w:w w:val="120"/>
                  <w:sz w:val="20"/>
                </w:rPr>
                <w:t>francis.brienen@ur.org.uk</w:t>
              </w:r>
            </w:hyperlink>
            <w:r>
              <w:rPr>
                <w:color w:val="006AB3"/>
                <w:w w:val="120"/>
                <w:sz w:val="20"/>
              </w:rPr>
              <w:t> </w:t>
            </w:r>
            <w:r>
              <w:rPr>
                <w:w w:val="120"/>
                <w:sz w:val="20"/>
              </w:rPr>
              <w:t>Richard Church: </w:t>
            </w:r>
            <w:hyperlink r:id="rId82">
              <w:r>
                <w:rPr>
                  <w:color w:val="006AB3"/>
                  <w:w w:val="120"/>
                  <w:sz w:val="20"/>
                </w:rPr>
                <w:t>richard.church@urc.org.uk</w:t>
              </w:r>
            </w:hyperlink>
          </w:p>
        </w:tc>
      </w:tr>
      <w:tr>
        <w:trPr>
          <w:trHeight w:val="440" w:hRule="atLeast"/>
        </w:trPr>
        <w:tc>
          <w:tcPr>
            <w:tcW w:w="2660" w:type="dxa"/>
            <w:shd w:val="clear" w:color="auto" w:fill="FFFFFF"/>
          </w:tcPr>
          <w:p>
            <w:pPr>
              <w:pStyle w:val="TableParagraph"/>
              <w:spacing w:before="128"/>
              <w:rPr>
                <w:rFonts w:ascii="Stone Sans II ITC Std Bk"/>
                <w:b/>
                <w:sz w:val="20"/>
              </w:rPr>
            </w:pPr>
            <w:r>
              <w:rPr>
                <w:rFonts w:ascii="Stone Sans II ITC Std Bk"/>
                <w:b/>
                <w:w w:val="110"/>
                <w:sz w:val="20"/>
              </w:rPr>
              <w:t>Action required</w:t>
            </w:r>
          </w:p>
        </w:tc>
        <w:tc>
          <w:tcPr>
            <w:tcW w:w="6582" w:type="dxa"/>
            <w:shd w:val="clear" w:color="auto" w:fill="FFFFFF"/>
          </w:tcPr>
          <w:p>
            <w:pPr>
              <w:pStyle w:val="TableParagraph"/>
              <w:spacing w:before="141"/>
              <w:rPr>
                <w:sz w:val="20"/>
              </w:rPr>
            </w:pPr>
            <w:r>
              <w:rPr>
                <w:w w:val="120"/>
                <w:sz w:val="20"/>
              </w:rPr>
              <w:t>Decision</w:t>
            </w:r>
          </w:p>
        </w:tc>
      </w:tr>
      <w:tr>
        <w:trPr>
          <w:trHeight w:val="920" w:hRule="atLeast"/>
        </w:trPr>
        <w:tc>
          <w:tcPr>
            <w:tcW w:w="2660" w:type="dxa"/>
            <w:shd w:val="clear" w:color="auto" w:fill="FFFFFF"/>
          </w:tcPr>
          <w:p>
            <w:pPr>
              <w:pStyle w:val="TableParagraph"/>
              <w:spacing w:before="128"/>
              <w:rPr>
                <w:rFonts w:ascii="Stone Sans II ITC Std Bk"/>
                <w:b/>
                <w:sz w:val="20"/>
              </w:rPr>
            </w:pPr>
            <w:r>
              <w:rPr>
                <w:rFonts w:ascii="Stone Sans II ITC Std Bk"/>
                <w:b/>
                <w:w w:val="110"/>
                <w:sz w:val="20"/>
              </w:rPr>
              <w:t>Draft resolution(s)</w:t>
            </w:r>
          </w:p>
        </w:tc>
        <w:tc>
          <w:tcPr>
            <w:tcW w:w="6582" w:type="dxa"/>
            <w:shd w:val="clear" w:color="auto" w:fill="FFFFFF"/>
          </w:tcPr>
          <w:p>
            <w:pPr>
              <w:pStyle w:val="TableParagraph"/>
              <w:tabs>
                <w:tab w:pos="760" w:val="left" w:leader="none"/>
              </w:tabs>
              <w:spacing w:line="213" w:lineRule="auto" w:before="151"/>
              <w:ind w:right="836"/>
              <w:rPr>
                <w:rFonts w:ascii="Stone Sans II ITC Std Bk"/>
                <w:b/>
                <w:sz w:val="20"/>
              </w:rPr>
            </w:pPr>
            <w:r>
              <w:rPr>
                <w:rFonts w:ascii="Stone Sans II ITC Std Bk"/>
                <w:b/>
                <w:spacing w:val="-7"/>
                <w:w w:val="110"/>
                <w:sz w:val="20"/>
              </w:rPr>
              <w:t>1.</w:t>
              <w:tab/>
            </w:r>
            <w:r>
              <w:rPr>
                <w:rFonts w:ascii="Stone Sans II ITC Std Bk"/>
                <w:b/>
                <w:w w:val="110"/>
                <w:sz w:val="20"/>
              </w:rPr>
              <w:t>General Assembly welcomes the work of the Walking the </w:t>
            </w:r>
            <w:r>
              <w:rPr>
                <w:rFonts w:ascii="Stone Sans II ITC Std Bk"/>
                <w:b/>
                <w:spacing w:val="-3"/>
                <w:w w:val="110"/>
                <w:sz w:val="20"/>
              </w:rPr>
              <w:t>Way </w:t>
            </w:r>
            <w:r>
              <w:rPr>
                <w:rFonts w:ascii="Stone Sans II ITC Std Bk"/>
                <w:b/>
                <w:w w:val="110"/>
                <w:sz w:val="20"/>
              </w:rPr>
              <w:t>steering group and commends it to the wider</w:t>
            </w:r>
            <w:r>
              <w:rPr>
                <w:rFonts w:ascii="Stone Sans II ITC Std Bk"/>
                <w:b/>
                <w:spacing w:val="-1"/>
                <w:w w:val="110"/>
                <w:sz w:val="20"/>
              </w:rPr>
              <w:t> </w:t>
            </w:r>
            <w:r>
              <w:rPr>
                <w:rFonts w:ascii="Stone Sans II ITC Std Bk"/>
                <w:b/>
                <w:w w:val="110"/>
                <w:sz w:val="20"/>
              </w:rPr>
              <w:t>Church.</w:t>
            </w:r>
          </w:p>
        </w:tc>
      </w:tr>
    </w:tbl>
    <w:p>
      <w:pPr>
        <w:pStyle w:val="BodyText"/>
        <w:spacing w:before="4"/>
        <w:rPr>
          <w:rFonts w:ascii="Stone Sans II ITC Std Bk"/>
          <w:b/>
          <w:sz w:val="29"/>
        </w:rPr>
      </w:pPr>
    </w:p>
    <w:p>
      <w:pPr>
        <w:pStyle w:val="Heading4"/>
        <w:ind w:left="1043"/>
      </w:pPr>
      <w:r>
        <w:rPr>
          <w:color w:val="7F7F7F"/>
        </w:rPr>
        <w:t>Summary of Content</w:t>
      </w:r>
    </w:p>
    <w:tbl>
      <w:tblPr>
        <w:tblW w:w="0" w:type="auto"/>
        <w:jc w:val="left"/>
        <w:tblInd w:w="105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660"/>
        <w:gridCol w:w="6582"/>
      </w:tblGrid>
      <w:tr>
        <w:trPr>
          <w:trHeight w:val="680" w:hRule="atLeast"/>
        </w:trPr>
        <w:tc>
          <w:tcPr>
            <w:tcW w:w="2660" w:type="dxa"/>
            <w:shd w:val="clear" w:color="auto" w:fill="FFFFFF"/>
          </w:tcPr>
          <w:p>
            <w:pPr>
              <w:pStyle w:val="TableParagraph"/>
              <w:spacing w:before="128"/>
              <w:rPr>
                <w:rFonts w:ascii="Stone Sans II ITC Std Bk"/>
                <w:b/>
                <w:sz w:val="20"/>
              </w:rPr>
            </w:pPr>
            <w:r>
              <w:rPr>
                <w:rFonts w:ascii="Stone Sans II ITC Std Bk"/>
                <w:b/>
                <w:w w:val="110"/>
                <w:sz w:val="20"/>
              </w:rPr>
              <w:t>Subject and aim(s)</w:t>
            </w:r>
          </w:p>
        </w:tc>
        <w:tc>
          <w:tcPr>
            <w:tcW w:w="6582" w:type="dxa"/>
            <w:shd w:val="clear" w:color="auto" w:fill="FFFFFF"/>
          </w:tcPr>
          <w:p>
            <w:pPr>
              <w:pStyle w:val="TableParagraph"/>
              <w:spacing w:line="235" w:lineRule="auto" w:before="145"/>
              <w:ind w:right="804"/>
              <w:rPr>
                <w:sz w:val="20"/>
              </w:rPr>
            </w:pPr>
            <w:r>
              <w:rPr>
                <w:w w:val="120"/>
                <w:sz w:val="20"/>
              </w:rPr>
              <w:t>A brief introduction to the development of this initiative within the URC and an update on its progress</w:t>
            </w:r>
          </w:p>
        </w:tc>
      </w:tr>
      <w:tr>
        <w:trPr>
          <w:trHeight w:val="680" w:hRule="atLeast"/>
        </w:trPr>
        <w:tc>
          <w:tcPr>
            <w:tcW w:w="2660" w:type="dxa"/>
            <w:shd w:val="clear" w:color="auto" w:fill="FFFFFF"/>
          </w:tcPr>
          <w:p>
            <w:pPr>
              <w:pStyle w:val="TableParagraph"/>
              <w:spacing w:before="128"/>
              <w:rPr>
                <w:rFonts w:ascii="Stone Sans II ITC Std Bk"/>
                <w:b/>
                <w:sz w:val="20"/>
              </w:rPr>
            </w:pPr>
            <w:r>
              <w:rPr>
                <w:rFonts w:ascii="Stone Sans II ITC Std Bk"/>
                <w:b/>
                <w:w w:val="110"/>
                <w:sz w:val="20"/>
              </w:rPr>
              <w:t>Main points</w:t>
            </w:r>
          </w:p>
        </w:tc>
        <w:tc>
          <w:tcPr>
            <w:tcW w:w="6582" w:type="dxa"/>
            <w:shd w:val="clear" w:color="auto" w:fill="FFFFFF"/>
          </w:tcPr>
          <w:p>
            <w:pPr>
              <w:pStyle w:val="TableParagraph"/>
              <w:spacing w:line="235" w:lineRule="auto" w:before="145"/>
              <w:ind w:right="280"/>
              <w:rPr>
                <w:sz w:val="20"/>
              </w:rPr>
            </w:pPr>
            <w:r>
              <w:rPr>
                <w:w w:val="120"/>
                <w:sz w:val="20"/>
              </w:rPr>
              <w:t>Development of joint initiative of the education and learning and mission committees</w:t>
            </w:r>
          </w:p>
        </w:tc>
      </w:tr>
      <w:tr>
        <w:trPr>
          <w:trHeight w:val="680" w:hRule="atLeast"/>
        </w:trPr>
        <w:tc>
          <w:tcPr>
            <w:tcW w:w="2660" w:type="dxa"/>
            <w:shd w:val="clear" w:color="auto" w:fill="FFFFFF"/>
          </w:tcPr>
          <w:p>
            <w:pPr>
              <w:pStyle w:val="TableParagraph"/>
              <w:spacing w:line="213" w:lineRule="auto" w:before="151"/>
              <w:ind w:right="701"/>
              <w:rPr>
                <w:rFonts w:ascii="Stone Sans II ITC Std Bk"/>
                <w:b/>
                <w:sz w:val="20"/>
              </w:rPr>
            </w:pPr>
            <w:r>
              <w:rPr>
                <w:rFonts w:ascii="Stone Sans II ITC Std Bk"/>
                <w:b/>
                <w:w w:val="110"/>
                <w:sz w:val="20"/>
              </w:rPr>
              <w:t>Previous relevant documents</w:t>
            </w:r>
          </w:p>
        </w:tc>
        <w:tc>
          <w:tcPr>
            <w:tcW w:w="6582" w:type="dxa"/>
            <w:shd w:val="clear" w:color="auto" w:fill="FFFFFF"/>
          </w:tcPr>
          <w:p>
            <w:pPr>
              <w:pStyle w:val="TableParagraph"/>
              <w:spacing w:line="235" w:lineRule="auto" w:before="145"/>
              <w:ind w:right="804"/>
              <w:rPr>
                <w:sz w:val="20"/>
              </w:rPr>
            </w:pPr>
            <w:r>
              <w:rPr>
                <w:w w:val="120"/>
                <w:sz w:val="20"/>
              </w:rPr>
              <w:t>Mission Council November 2015 paper M1 and M2 Mission Council March 2016 paper M1</w:t>
            </w:r>
          </w:p>
        </w:tc>
      </w:tr>
      <w:tr>
        <w:trPr>
          <w:trHeight w:val="920" w:hRule="atLeast"/>
        </w:trPr>
        <w:tc>
          <w:tcPr>
            <w:tcW w:w="2660" w:type="dxa"/>
            <w:shd w:val="clear" w:color="auto" w:fill="FFFFFF"/>
          </w:tcPr>
          <w:p>
            <w:pPr>
              <w:pStyle w:val="TableParagraph"/>
              <w:spacing w:line="213" w:lineRule="auto" w:before="151"/>
              <w:ind w:right="104"/>
              <w:rPr>
                <w:rFonts w:ascii="Stone Sans II ITC Std Bk"/>
                <w:b/>
                <w:sz w:val="20"/>
              </w:rPr>
            </w:pPr>
            <w:r>
              <w:rPr>
                <w:rFonts w:ascii="Stone Sans II ITC Std Bk"/>
                <w:b/>
                <w:w w:val="110"/>
                <w:sz w:val="20"/>
              </w:rPr>
              <w:t>Consultation has taken place with...</w:t>
            </w:r>
          </w:p>
        </w:tc>
        <w:tc>
          <w:tcPr>
            <w:tcW w:w="6582" w:type="dxa"/>
            <w:shd w:val="clear" w:color="auto" w:fill="FFFFFF"/>
          </w:tcPr>
          <w:p>
            <w:pPr>
              <w:pStyle w:val="TableParagraph"/>
              <w:spacing w:line="235" w:lineRule="auto" w:before="145"/>
              <w:rPr>
                <w:sz w:val="20"/>
              </w:rPr>
            </w:pPr>
            <w:r>
              <w:rPr>
                <w:w w:val="120"/>
                <w:sz w:val="20"/>
              </w:rPr>
              <w:t>A wide range of groups and networks in the URC, synod moderators, the ministries committee, the faith and order committee, URC youth, ecumenical colleagues</w:t>
            </w:r>
          </w:p>
        </w:tc>
      </w:tr>
    </w:tbl>
    <w:p>
      <w:pPr>
        <w:pStyle w:val="BodyText"/>
        <w:spacing w:before="3"/>
        <w:rPr>
          <w:rFonts w:ascii="Stone Sans II ITC Std Bk"/>
          <w:b/>
          <w:sz w:val="29"/>
        </w:rPr>
      </w:pPr>
    </w:p>
    <w:p>
      <w:pPr>
        <w:pStyle w:val="Heading4"/>
        <w:ind w:left="1043"/>
      </w:pPr>
      <w:r>
        <w:rPr>
          <w:color w:val="7F7F7F"/>
        </w:rPr>
        <w:t>Summary of Impact</w:t>
      </w:r>
    </w:p>
    <w:tbl>
      <w:tblPr>
        <w:tblW w:w="0" w:type="auto"/>
        <w:jc w:val="left"/>
        <w:tblInd w:w="105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660"/>
        <w:gridCol w:w="6582"/>
      </w:tblGrid>
      <w:tr>
        <w:trPr>
          <w:trHeight w:val="1640" w:hRule="atLeast"/>
        </w:trPr>
        <w:tc>
          <w:tcPr>
            <w:tcW w:w="2660" w:type="dxa"/>
            <w:shd w:val="clear" w:color="auto" w:fill="FFFFFF"/>
          </w:tcPr>
          <w:p>
            <w:pPr>
              <w:pStyle w:val="TableParagraph"/>
              <w:spacing w:before="128"/>
              <w:rPr>
                <w:rFonts w:ascii="Stone Sans II ITC Std Bk"/>
                <w:b/>
                <w:sz w:val="20"/>
              </w:rPr>
            </w:pPr>
            <w:r>
              <w:rPr>
                <w:rFonts w:ascii="Stone Sans II ITC Std Bk"/>
                <w:b/>
                <w:w w:val="110"/>
                <w:sz w:val="20"/>
              </w:rPr>
              <w:t>Financial</w:t>
            </w:r>
          </w:p>
        </w:tc>
        <w:tc>
          <w:tcPr>
            <w:tcW w:w="6582" w:type="dxa"/>
            <w:shd w:val="clear" w:color="auto" w:fill="FFFFFF"/>
          </w:tcPr>
          <w:p>
            <w:pPr>
              <w:pStyle w:val="TableParagraph"/>
              <w:spacing w:line="235" w:lineRule="auto" w:before="145"/>
              <w:ind w:right="769"/>
              <w:rPr>
                <w:sz w:val="20"/>
              </w:rPr>
            </w:pPr>
            <w:r>
              <w:rPr>
                <w:w w:val="120"/>
                <w:sz w:val="20"/>
              </w:rPr>
              <w:t>Financial resources will be required for the appointment of a project co-ordinator and the production of</w:t>
            </w:r>
            <w:r>
              <w:rPr>
                <w:spacing w:val="47"/>
                <w:w w:val="120"/>
                <w:sz w:val="20"/>
              </w:rPr>
              <w:t> </w:t>
            </w:r>
            <w:r>
              <w:rPr>
                <w:w w:val="120"/>
                <w:sz w:val="20"/>
              </w:rPr>
              <w:t>resources.</w:t>
            </w:r>
          </w:p>
          <w:p>
            <w:pPr>
              <w:pStyle w:val="TableParagraph"/>
              <w:spacing w:line="235" w:lineRule="auto" w:before="1"/>
              <w:ind w:right="280"/>
              <w:rPr>
                <w:sz w:val="20"/>
              </w:rPr>
            </w:pPr>
            <w:r>
              <w:rPr>
                <w:w w:val="120"/>
                <w:sz w:val="20"/>
              </w:rPr>
              <w:t>Applications will be made to the </w:t>
            </w:r>
            <w:r>
              <w:rPr>
                <w:spacing w:val="3"/>
                <w:w w:val="120"/>
                <w:sz w:val="20"/>
              </w:rPr>
              <w:t>CWM </w:t>
            </w:r>
            <w:r>
              <w:rPr>
                <w:w w:val="120"/>
                <w:sz w:val="20"/>
              </w:rPr>
              <w:t>Mission programme support fund and to the URC legacy fund. Some costs can be met from existing mission and education and learning budgets, however some additional budget provision will be</w:t>
            </w:r>
            <w:r>
              <w:rPr>
                <w:spacing w:val="52"/>
                <w:w w:val="120"/>
                <w:sz w:val="20"/>
              </w:rPr>
              <w:t> </w:t>
            </w:r>
            <w:r>
              <w:rPr>
                <w:w w:val="120"/>
                <w:sz w:val="20"/>
              </w:rPr>
              <w:t>needed</w:t>
            </w:r>
          </w:p>
        </w:tc>
      </w:tr>
      <w:tr>
        <w:trPr>
          <w:trHeight w:val="680" w:hRule="atLeast"/>
        </w:trPr>
        <w:tc>
          <w:tcPr>
            <w:tcW w:w="2660" w:type="dxa"/>
            <w:shd w:val="clear" w:color="auto" w:fill="FFFFFF"/>
          </w:tcPr>
          <w:p>
            <w:pPr>
              <w:pStyle w:val="TableParagraph"/>
              <w:spacing w:line="255" w:lineRule="exact" w:before="128"/>
              <w:rPr>
                <w:rFonts w:ascii="Stone Sans II ITC Std Bk"/>
                <w:b/>
                <w:sz w:val="20"/>
              </w:rPr>
            </w:pPr>
            <w:r>
              <w:rPr>
                <w:rFonts w:ascii="Stone Sans II ITC Std Bk"/>
                <w:b/>
                <w:w w:val="110"/>
                <w:sz w:val="20"/>
              </w:rPr>
              <w:t>External</w:t>
            </w:r>
          </w:p>
          <w:p>
            <w:pPr>
              <w:pStyle w:val="TableParagraph"/>
              <w:spacing w:line="255" w:lineRule="exact"/>
              <w:rPr>
                <w:rFonts w:ascii="Stone Sans II ITC Std Bk"/>
                <w:b/>
                <w:sz w:val="20"/>
              </w:rPr>
            </w:pPr>
            <w:r>
              <w:rPr>
                <w:rFonts w:ascii="Stone Sans II ITC Std Bk"/>
                <w:b/>
                <w:w w:val="110"/>
                <w:sz w:val="20"/>
              </w:rPr>
              <w:t>(e.g. ecumenical)</w:t>
            </w:r>
          </w:p>
        </w:tc>
        <w:tc>
          <w:tcPr>
            <w:tcW w:w="6582" w:type="dxa"/>
            <w:shd w:val="clear" w:color="auto" w:fill="FFFFFF"/>
          </w:tcPr>
          <w:p>
            <w:pPr>
              <w:pStyle w:val="TableParagraph"/>
              <w:spacing w:before="141"/>
              <w:rPr>
                <w:sz w:val="20"/>
              </w:rPr>
            </w:pPr>
            <w:r>
              <w:rPr>
                <w:w w:val="120"/>
                <w:sz w:val="20"/>
              </w:rPr>
              <w:t>Increased co-operation with Methodist colleagues.</w:t>
            </w:r>
          </w:p>
        </w:tc>
      </w:tr>
    </w:tbl>
    <w:p>
      <w:pPr>
        <w:pStyle w:val="BodyText"/>
        <w:rPr>
          <w:rFonts w:ascii="Stone Sans II ITC Std Bk"/>
          <w:b/>
          <w:sz w:val="30"/>
        </w:rPr>
      </w:pPr>
    </w:p>
    <w:p>
      <w:pPr>
        <w:pStyle w:val="BodyText"/>
        <w:rPr>
          <w:rFonts w:ascii="Stone Sans II ITC Std Bk"/>
          <w:b/>
          <w:sz w:val="30"/>
        </w:rPr>
      </w:pPr>
    </w:p>
    <w:p>
      <w:pPr>
        <w:pStyle w:val="BodyText"/>
        <w:rPr>
          <w:rFonts w:ascii="Stone Sans II ITC Std Bk"/>
          <w:b/>
          <w:sz w:val="30"/>
        </w:rPr>
      </w:pPr>
    </w:p>
    <w:p>
      <w:pPr>
        <w:pStyle w:val="BodyText"/>
        <w:rPr>
          <w:rFonts w:ascii="Stone Sans II ITC Std Bk"/>
          <w:b/>
          <w:sz w:val="30"/>
        </w:rPr>
      </w:pPr>
    </w:p>
    <w:p>
      <w:pPr>
        <w:pStyle w:val="BodyText"/>
        <w:rPr>
          <w:rFonts w:ascii="Stone Sans II ITC Std Bk"/>
          <w:b/>
          <w:sz w:val="30"/>
        </w:rPr>
      </w:pPr>
    </w:p>
    <w:p>
      <w:pPr>
        <w:pStyle w:val="BodyText"/>
        <w:rPr>
          <w:rFonts w:ascii="Stone Sans II ITC Std Bk"/>
          <w:b/>
          <w:sz w:val="30"/>
        </w:rPr>
      </w:pPr>
    </w:p>
    <w:p>
      <w:pPr>
        <w:pStyle w:val="BodyText"/>
        <w:spacing w:before="8"/>
        <w:rPr>
          <w:rFonts w:ascii="Stone Sans II ITC Std Bk"/>
          <w:b/>
          <w:sz w:val="29"/>
        </w:rPr>
      </w:pPr>
    </w:p>
    <w:p>
      <w:pPr>
        <w:pStyle w:val="Heading6"/>
        <w:spacing w:before="0"/>
        <w:ind w:left="3818"/>
        <w:rPr>
          <w:rFonts w:ascii="Stone Sans II ITC Std X Bd" w:hAnsi="Stone Sans II ITC Std X Bd"/>
          <w:b/>
          <w:sz w:val="24"/>
        </w:rPr>
      </w:pPr>
      <w:r>
        <w:rPr>
          <w:color w:val="7EAABF"/>
          <w:w w:val="110"/>
        </w:rPr>
        <w:t>United Reformed Church </w:t>
      </w:r>
      <w:r>
        <w:rPr>
          <w:rFonts w:ascii="Symbol" w:hAnsi="Symbol"/>
          <w:color w:val="7EAABF"/>
          <w:w w:val="110"/>
        </w:rPr>
        <w:t></w:t>
      </w:r>
      <w:r>
        <w:rPr>
          <w:rFonts w:ascii="Times New Roman" w:hAnsi="Times New Roman"/>
          <w:color w:val="7EAABF"/>
          <w:w w:val="110"/>
        </w:rPr>
        <w:t> </w:t>
      </w:r>
      <w:r>
        <w:rPr>
          <w:color w:val="7EAABF"/>
          <w:w w:val="110"/>
        </w:rPr>
        <w:t>General Assembly 2016 </w:t>
      </w:r>
      <w:r>
        <w:rPr>
          <w:rFonts w:ascii="Symbol" w:hAnsi="Symbol"/>
          <w:color w:val="7EAABF"/>
          <w:w w:val="110"/>
        </w:rPr>
        <w:t></w:t>
      </w:r>
      <w:r>
        <w:rPr>
          <w:rFonts w:ascii="Times New Roman" w:hAnsi="Times New Roman"/>
          <w:color w:val="7EAABF"/>
          <w:w w:val="110"/>
        </w:rPr>
        <w:t> </w:t>
      </w:r>
      <w:r>
        <w:rPr>
          <w:rFonts w:ascii="Stone Sans II ITC Std X Bd" w:hAnsi="Stone Sans II ITC Std X Bd"/>
          <w:b/>
          <w:w w:val="110"/>
          <w:sz w:val="24"/>
        </w:rPr>
        <w:t>11</w:t>
      </w:r>
    </w:p>
    <w:p>
      <w:pPr>
        <w:spacing w:after="0"/>
        <w:rPr>
          <w:rFonts w:ascii="Stone Sans II ITC Std X Bd" w:hAnsi="Stone Sans II ITC Std X Bd"/>
          <w:sz w:val="24"/>
        </w:rPr>
        <w:sectPr>
          <w:headerReference w:type="default" r:id="rId79"/>
          <w:footerReference w:type="default" r:id="rId80"/>
          <w:pgSz w:w="11910" w:h="16840"/>
          <w:pgMar w:header="0" w:footer="0" w:top="0" w:bottom="0" w:left="700" w:right="0"/>
        </w:sectPr>
      </w:pPr>
    </w:p>
    <w:p>
      <w:pPr>
        <w:pStyle w:val="BodyText"/>
        <w:rPr>
          <w:rFonts w:ascii="Stone Sans II ITC Std X Bd"/>
          <w:b/>
        </w:rPr>
      </w:pPr>
      <w:r>
        <w:rPr/>
        <w:drawing>
          <wp:anchor distT="0" distB="0" distL="0" distR="0" allowOverlap="1" layoutInCell="1" locked="0" behindDoc="1" simplePos="0" relativeHeight="235234304">
            <wp:simplePos x="0" y="0"/>
            <wp:positionH relativeFrom="page">
              <wp:posOffset>0</wp:posOffset>
            </wp:positionH>
            <wp:positionV relativeFrom="page">
              <wp:posOffset>0</wp:posOffset>
            </wp:positionV>
            <wp:extent cx="594067" cy="10692003"/>
            <wp:effectExtent l="0" t="0" r="0" b="0"/>
            <wp:wrapNone/>
            <wp:docPr id="17" name="image51.png"/>
            <wp:cNvGraphicFramePr>
              <a:graphicFrameLocks noChangeAspect="1"/>
            </wp:cNvGraphicFramePr>
            <a:graphic>
              <a:graphicData uri="http://schemas.openxmlformats.org/drawingml/2006/picture">
                <pic:pic>
                  <pic:nvPicPr>
                    <pic:cNvPr id="18" name="image51.png"/>
                    <pic:cNvPicPr/>
                  </pic:nvPicPr>
                  <pic:blipFill>
                    <a:blip r:embed="rId64" cstate="print"/>
                    <a:stretch>
                      <a:fillRect/>
                    </a:stretch>
                  </pic:blipFill>
                  <pic:spPr>
                    <a:xfrm>
                      <a:off x="0" y="0"/>
                      <a:ext cx="594067" cy="10692003"/>
                    </a:xfrm>
                    <a:prstGeom prst="rect">
                      <a:avLst/>
                    </a:prstGeom>
                  </pic:spPr>
                </pic:pic>
              </a:graphicData>
            </a:graphic>
          </wp:anchor>
        </w:drawing>
      </w:r>
      <w:r>
        <w:rPr/>
        <w:pict>
          <v:shape style="position:absolute;margin-left:20.519100pt;margin-top:48.890015pt;width:25.9pt;height:169pt;mso-position-horizontal-relative:page;mso-position-vertical-relative:page;z-index:-268081152" type="#_x0000_t202" filled="false" stroked="false">
            <v:textbox inset="0,0,0,0" style="layout-flow:vertical">
              <w:txbxContent>
                <w:p>
                  <w:pPr>
                    <w:spacing w:before="27"/>
                    <w:ind w:left="20" w:right="0" w:firstLine="0"/>
                    <w:jc w:val="left"/>
                    <w:rPr>
                      <w:sz w:val="39"/>
                    </w:rPr>
                  </w:pPr>
                  <w:r>
                    <w:rPr>
                      <w:color w:val="FFFFFF"/>
                      <w:w w:val="120"/>
                      <w:sz w:val="39"/>
                    </w:rPr>
                    <w:t>Walking the Way</w:t>
                  </w:r>
                </w:p>
              </w:txbxContent>
            </v:textbox>
            <w10:wrap type="none"/>
          </v:shape>
        </w:pict>
      </w:r>
    </w:p>
    <w:p>
      <w:pPr>
        <w:pStyle w:val="BodyText"/>
        <w:spacing w:before="7"/>
        <w:rPr>
          <w:rFonts w:ascii="Stone Sans II ITC Std X Bd"/>
          <w:b/>
          <w:sz w:val="17"/>
        </w:rPr>
      </w:pPr>
    </w:p>
    <w:p>
      <w:pPr>
        <w:spacing w:before="107"/>
        <w:ind w:left="547" w:right="0" w:firstLine="0"/>
        <w:jc w:val="left"/>
        <w:rPr>
          <w:sz w:val="26"/>
        </w:rPr>
      </w:pPr>
      <w:r>
        <w:rPr>
          <w:color w:val="7EAABF"/>
          <w:w w:val="120"/>
          <w:sz w:val="26"/>
        </w:rPr>
        <w:t>Mission Council</w:t>
      </w:r>
    </w:p>
    <w:p>
      <w:pPr>
        <w:pStyle w:val="BodyText"/>
        <w:spacing w:before="8"/>
        <w:rPr>
          <w:sz w:val="24"/>
        </w:rPr>
      </w:pPr>
    </w:p>
    <w:p>
      <w:pPr>
        <w:spacing w:line="213" w:lineRule="auto" w:before="0"/>
        <w:ind w:left="547" w:right="2419" w:firstLine="0"/>
        <w:jc w:val="left"/>
        <w:rPr>
          <w:rFonts w:ascii="Stone Sans II ITC Std X Bd" w:hAnsi="Stone Sans II ITC Std X Bd"/>
          <w:b/>
          <w:sz w:val="50"/>
        </w:rPr>
      </w:pPr>
      <w:r>
        <w:rPr>
          <w:rFonts w:ascii="Stone Sans II ITC Std X Bd" w:hAnsi="Stone Sans II ITC Std X Bd"/>
          <w:b/>
          <w:spacing w:val="-11"/>
          <w:w w:val="110"/>
          <w:sz w:val="50"/>
        </w:rPr>
        <w:t>Walking </w:t>
      </w:r>
      <w:r>
        <w:rPr>
          <w:rFonts w:ascii="Stone Sans II ITC Std X Bd" w:hAnsi="Stone Sans II ITC Std X Bd"/>
          <w:b/>
          <w:spacing w:val="-8"/>
          <w:w w:val="110"/>
          <w:sz w:val="50"/>
        </w:rPr>
        <w:t>the </w:t>
      </w:r>
      <w:r>
        <w:rPr>
          <w:rFonts w:ascii="Stone Sans II ITC Std X Bd" w:hAnsi="Stone Sans II ITC Std X Bd"/>
          <w:b/>
          <w:spacing w:val="-14"/>
          <w:w w:val="110"/>
          <w:sz w:val="50"/>
        </w:rPr>
        <w:t>Way </w:t>
      </w:r>
      <w:r>
        <w:rPr>
          <w:rFonts w:ascii="Stone Sans II ITC Std X Bd" w:hAnsi="Stone Sans II ITC Std X Bd"/>
          <w:b/>
          <w:w w:val="110"/>
          <w:sz w:val="50"/>
        </w:rPr>
        <w:t>– </w:t>
      </w:r>
      <w:r>
        <w:rPr>
          <w:rFonts w:ascii="Stone Sans II ITC Std X Bd" w:hAnsi="Stone Sans II ITC Std X Bd"/>
          <w:b/>
          <w:spacing w:val="-9"/>
          <w:w w:val="110"/>
          <w:sz w:val="50"/>
        </w:rPr>
        <w:t>living </w:t>
      </w:r>
      <w:r>
        <w:rPr>
          <w:rFonts w:ascii="Stone Sans II ITC Std X Bd" w:hAnsi="Stone Sans II ITC Std X Bd"/>
          <w:b/>
          <w:spacing w:val="-8"/>
          <w:w w:val="110"/>
          <w:sz w:val="50"/>
        </w:rPr>
        <w:t>the </w:t>
      </w:r>
      <w:r>
        <w:rPr>
          <w:rFonts w:ascii="Stone Sans II ITC Std X Bd" w:hAnsi="Stone Sans II ITC Std X Bd"/>
          <w:b/>
          <w:spacing w:val="-6"/>
          <w:w w:val="110"/>
          <w:sz w:val="50"/>
        </w:rPr>
        <w:t>life </w:t>
      </w:r>
      <w:r>
        <w:rPr>
          <w:rFonts w:ascii="Stone Sans II ITC Std X Bd" w:hAnsi="Stone Sans II ITC Std X Bd"/>
          <w:b/>
          <w:spacing w:val="-5"/>
          <w:w w:val="110"/>
          <w:sz w:val="50"/>
        </w:rPr>
        <w:t>of </w:t>
      </w:r>
      <w:r>
        <w:rPr>
          <w:rFonts w:ascii="Stone Sans II ITC Std X Bd" w:hAnsi="Stone Sans II ITC Std X Bd"/>
          <w:b/>
          <w:spacing w:val="-8"/>
          <w:w w:val="110"/>
          <w:sz w:val="50"/>
        </w:rPr>
        <w:t>Jesus </w:t>
      </w:r>
      <w:r>
        <w:rPr>
          <w:rFonts w:ascii="Stone Sans II ITC Std X Bd" w:hAnsi="Stone Sans II ITC Std X Bd"/>
          <w:b/>
          <w:spacing w:val="-12"/>
          <w:w w:val="110"/>
          <w:sz w:val="50"/>
        </w:rPr>
        <w:t>today</w:t>
      </w:r>
    </w:p>
    <w:p>
      <w:pPr>
        <w:spacing w:line="196" w:lineRule="auto" w:before="224"/>
        <w:ind w:left="547" w:right="2419" w:firstLine="0"/>
        <w:jc w:val="left"/>
        <w:rPr>
          <w:rFonts w:ascii="Stone Sans II ITC Std Bk"/>
          <w:b/>
          <w:sz w:val="29"/>
        </w:rPr>
      </w:pPr>
      <w:r>
        <w:rPr>
          <w:rFonts w:ascii="Stone Sans II ITC Std Bk"/>
          <w:b/>
          <w:w w:val="110"/>
          <w:sz w:val="29"/>
        </w:rPr>
        <w:t>A fresh emphasis on making and releasing disciples within the United Reformed Church.</w:t>
      </w:r>
    </w:p>
    <w:p>
      <w:pPr>
        <w:pStyle w:val="BodyText"/>
        <w:spacing w:before="10"/>
        <w:rPr>
          <w:rFonts w:ascii="Stone Sans II ITC Std Bk"/>
          <w:b/>
          <w:sz w:val="41"/>
        </w:rPr>
      </w:pPr>
    </w:p>
    <w:p>
      <w:pPr>
        <w:pStyle w:val="ListParagraph"/>
        <w:numPr>
          <w:ilvl w:val="0"/>
          <w:numId w:val="3"/>
        </w:numPr>
        <w:tabs>
          <w:tab w:pos="1227" w:val="left" w:leader="none"/>
          <w:tab w:pos="1228" w:val="left" w:leader="none"/>
        </w:tabs>
        <w:spacing w:line="235" w:lineRule="auto" w:before="0" w:after="0"/>
        <w:ind w:left="547" w:right="2201" w:firstLine="0"/>
        <w:jc w:val="left"/>
        <w:rPr>
          <w:sz w:val="20"/>
        </w:rPr>
      </w:pPr>
      <w:r>
        <w:rPr>
          <w:w w:val="120"/>
          <w:sz w:val="20"/>
        </w:rPr>
        <w:t>A brief account of the process which has led to the emergence of this emphasis is given within the mission committee report. This </w:t>
      </w:r>
      <w:r>
        <w:rPr>
          <w:spacing w:val="2"/>
          <w:w w:val="120"/>
          <w:sz w:val="20"/>
        </w:rPr>
        <w:t>report </w:t>
      </w:r>
      <w:r>
        <w:rPr>
          <w:w w:val="120"/>
          <w:sz w:val="20"/>
        </w:rPr>
        <w:t>is accordingly</w:t>
      </w:r>
      <w:r>
        <w:rPr>
          <w:spacing w:val="3"/>
          <w:w w:val="120"/>
          <w:sz w:val="20"/>
        </w:rPr>
        <w:t> </w:t>
      </w:r>
      <w:r>
        <w:rPr>
          <w:w w:val="120"/>
          <w:sz w:val="20"/>
        </w:rPr>
        <w:t>intended</w:t>
      </w:r>
    </w:p>
    <w:p>
      <w:pPr>
        <w:pStyle w:val="BodyText"/>
        <w:spacing w:line="235" w:lineRule="auto" w:before="2"/>
        <w:ind w:left="547" w:right="2419"/>
      </w:pPr>
      <w:r>
        <w:rPr>
          <w:w w:val="120"/>
        </w:rPr>
        <w:t>to convey something of the consultation and planning which has flowed from that process, marking as it does partnership working across many Assembly committees.</w:t>
      </w:r>
    </w:p>
    <w:p>
      <w:pPr>
        <w:pStyle w:val="BodyText"/>
        <w:spacing w:before="9"/>
        <w:rPr>
          <w:sz w:val="19"/>
        </w:rPr>
      </w:pPr>
    </w:p>
    <w:p>
      <w:pPr>
        <w:pStyle w:val="ListParagraph"/>
        <w:numPr>
          <w:ilvl w:val="0"/>
          <w:numId w:val="3"/>
        </w:numPr>
        <w:tabs>
          <w:tab w:pos="1227" w:val="left" w:leader="none"/>
          <w:tab w:pos="1228" w:val="left" w:leader="none"/>
        </w:tabs>
        <w:spacing w:line="235" w:lineRule="auto" w:before="0" w:after="0"/>
        <w:ind w:left="547" w:right="2274" w:firstLine="0"/>
        <w:jc w:val="left"/>
        <w:rPr>
          <w:sz w:val="20"/>
        </w:rPr>
      </w:pPr>
      <w:r>
        <w:rPr>
          <w:w w:val="120"/>
          <w:sz w:val="20"/>
        </w:rPr>
        <w:t>Members of General Assembly may recall as children being given a thousand piece jigsaw and looking with bewilderment at all the scattered pieces, wondering what sense to make of it all. However, there comes the moment when two or more </w:t>
      </w:r>
      <w:r>
        <w:rPr>
          <w:spacing w:val="2"/>
          <w:w w:val="120"/>
          <w:sz w:val="20"/>
        </w:rPr>
        <w:t>parts </w:t>
      </w:r>
      <w:r>
        <w:rPr>
          <w:w w:val="120"/>
          <w:sz w:val="20"/>
        </w:rPr>
        <w:t>interlock and a </w:t>
      </w:r>
      <w:r>
        <w:rPr>
          <w:spacing w:val="2"/>
          <w:w w:val="120"/>
          <w:sz w:val="20"/>
        </w:rPr>
        <w:t>part </w:t>
      </w:r>
      <w:r>
        <w:rPr>
          <w:w w:val="120"/>
          <w:sz w:val="20"/>
        </w:rPr>
        <w:t>of the picture begins to emerge. It is a very encouraging moment, even though the overall picture is so wide reaching that there still seems so much we do not yet</w:t>
      </w:r>
      <w:r>
        <w:rPr>
          <w:spacing w:val="10"/>
          <w:w w:val="120"/>
          <w:sz w:val="20"/>
        </w:rPr>
        <w:t> </w:t>
      </w:r>
      <w:r>
        <w:rPr>
          <w:w w:val="120"/>
          <w:sz w:val="20"/>
        </w:rPr>
        <w:t>see.</w:t>
      </w:r>
    </w:p>
    <w:p>
      <w:pPr>
        <w:pStyle w:val="BodyText"/>
        <w:spacing w:before="1"/>
      </w:pPr>
    </w:p>
    <w:p>
      <w:pPr>
        <w:pStyle w:val="BodyText"/>
        <w:tabs>
          <w:tab w:pos="1227" w:val="left" w:leader="none"/>
        </w:tabs>
        <w:spacing w:line="235" w:lineRule="auto"/>
        <w:ind w:left="547" w:right="2353"/>
      </w:pPr>
      <w:r>
        <w:rPr>
          <w:w w:val="120"/>
        </w:rPr>
        <w:t>3</w:t>
        <w:tab/>
        <w:t>Members of the missional discipleship task group established by the mission committee and the education and learning committee and authorised by Mission Council in November </w:t>
      </w:r>
      <w:r>
        <w:rPr>
          <w:spacing w:val="-7"/>
          <w:w w:val="120"/>
        </w:rPr>
        <w:t>2015 </w:t>
      </w:r>
      <w:r>
        <w:rPr>
          <w:w w:val="120"/>
        </w:rPr>
        <w:t>are aware of the scale of the task but greatly encouraged by the interlocking nature of many of the agendas of the United Reformed Church at the</w:t>
      </w:r>
      <w:r>
        <w:rPr>
          <w:spacing w:val="2"/>
          <w:w w:val="120"/>
        </w:rPr>
        <w:t> </w:t>
      </w:r>
      <w:r>
        <w:rPr>
          <w:w w:val="120"/>
        </w:rPr>
        <w:t>moment.</w:t>
      </w:r>
    </w:p>
    <w:p>
      <w:pPr>
        <w:pStyle w:val="BodyText"/>
        <w:spacing w:before="11"/>
        <w:rPr>
          <w:sz w:val="19"/>
        </w:rPr>
      </w:pPr>
    </w:p>
    <w:p>
      <w:pPr>
        <w:pStyle w:val="ListParagraph"/>
        <w:numPr>
          <w:ilvl w:val="0"/>
          <w:numId w:val="4"/>
        </w:numPr>
        <w:tabs>
          <w:tab w:pos="1227" w:val="left" w:leader="none"/>
          <w:tab w:pos="1228" w:val="left" w:leader="none"/>
        </w:tabs>
        <w:spacing w:line="235" w:lineRule="auto" w:before="1" w:after="0"/>
        <w:ind w:left="547" w:right="2310" w:firstLine="0"/>
        <w:jc w:val="left"/>
        <w:rPr>
          <w:sz w:val="20"/>
        </w:rPr>
      </w:pPr>
      <w:r>
        <w:rPr>
          <w:w w:val="120"/>
          <w:sz w:val="20"/>
        </w:rPr>
        <w:t>We are inspired by a vision of each member of the United Reformed Church recapturing a sense of being called by Jesus to be a follower of the Way and inspiring others to follow in his footsteps. One writer has defined discipleship as being ‘apprenticed to Jesus through</w:t>
      </w:r>
      <w:r>
        <w:rPr>
          <w:spacing w:val="9"/>
          <w:w w:val="120"/>
          <w:sz w:val="20"/>
        </w:rPr>
        <w:t> </w:t>
      </w:r>
      <w:r>
        <w:rPr>
          <w:spacing w:val="-3"/>
          <w:w w:val="120"/>
          <w:sz w:val="20"/>
        </w:rPr>
        <w:t>community.’</w:t>
      </w:r>
    </w:p>
    <w:p>
      <w:pPr>
        <w:pStyle w:val="BodyText"/>
        <w:spacing w:before="10"/>
        <w:rPr>
          <w:sz w:val="19"/>
        </w:rPr>
      </w:pPr>
    </w:p>
    <w:p>
      <w:pPr>
        <w:pStyle w:val="ListParagraph"/>
        <w:numPr>
          <w:ilvl w:val="0"/>
          <w:numId w:val="4"/>
        </w:numPr>
        <w:tabs>
          <w:tab w:pos="1227" w:val="left" w:leader="none"/>
          <w:tab w:pos="1228" w:val="left" w:leader="none"/>
        </w:tabs>
        <w:spacing w:line="235" w:lineRule="auto" w:before="1" w:after="0"/>
        <w:ind w:left="547" w:right="2189" w:firstLine="0"/>
        <w:jc w:val="left"/>
        <w:rPr>
          <w:sz w:val="20"/>
        </w:rPr>
      </w:pPr>
      <w:r>
        <w:rPr>
          <w:w w:val="120"/>
          <w:sz w:val="20"/>
        </w:rPr>
        <w:t>That is the big picture to which the Church is called. What follows are the steps along the way and some of the ‘jigsaw pieces’ which we have found to fit</w:t>
      </w:r>
      <w:r>
        <w:rPr>
          <w:spacing w:val="49"/>
          <w:w w:val="120"/>
          <w:sz w:val="20"/>
        </w:rPr>
        <w:t> </w:t>
      </w:r>
      <w:r>
        <w:rPr>
          <w:w w:val="120"/>
          <w:sz w:val="20"/>
        </w:rPr>
        <w:t>together.</w:t>
      </w:r>
    </w:p>
    <w:p>
      <w:pPr>
        <w:pStyle w:val="BodyText"/>
        <w:spacing w:before="1"/>
        <w:rPr>
          <w:sz w:val="22"/>
        </w:rPr>
      </w:pPr>
    </w:p>
    <w:p>
      <w:pPr>
        <w:spacing w:before="0"/>
        <w:ind w:left="547" w:right="0" w:firstLine="0"/>
        <w:jc w:val="left"/>
        <w:rPr>
          <w:rFonts w:ascii="Stone Sans II ITC Std Bk"/>
          <w:b/>
          <w:sz w:val="29"/>
        </w:rPr>
      </w:pPr>
      <w:r>
        <w:rPr>
          <w:rFonts w:ascii="Stone Sans II ITC Std Bk"/>
          <w:b/>
          <w:w w:val="110"/>
          <w:sz w:val="29"/>
        </w:rPr>
        <w:t>The process</w:t>
      </w:r>
    </w:p>
    <w:p>
      <w:pPr>
        <w:pStyle w:val="BodyText"/>
        <w:tabs>
          <w:tab w:pos="1227" w:val="left" w:leader="none"/>
        </w:tabs>
        <w:spacing w:line="235" w:lineRule="auto" w:before="70"/>
        <w:ind w:left="547" w:right="2019"/>
      </w:pPr>
      <w:r>
        <w:rPr>
          <w:w w:val="120"/>
        </w:rPr>
        <w:t>6</w:t>
        <w:tab/>
        <w:t>The mission committee had been exercised over the question of how a culture of confident faith sharing could be encouraged within the denomination. This culminated in a discipleship day in April </w:t>
      </w:r>
      <w:r>
        <w:rPr>
          <w:spacing w:val="-7"/>
          <w:w w:val="120"/>
        </w:rPr>
        <w:t>2015 </w:t>
      </w:r>
      <w:r>
        <w:rPr>
          <w:w w:val="120"/>
        </w:rPr>
        <w:t>attended by a wide range of people from across the denomination. The conclusion of the consultation was  that  developing  discipleship with a view to building confidence in evangelism was something that the URC should pursue. However it was noted that this emphasis could not be achieved by developing another programme, but should work with local churches to encourage a</w:t>
      </w:r>
      <w:r>
        <w:rPr>
          <w:spacing w:val="11"/>
          <w:w w:val="120"/>
        </w:rPr>
        <w:t> </w:t>
      </w:r>
      <w:r>
        <w:rPr>
          <w:w w:val="120"/>
        </w:rPr>
        <w:t>change</w:t>
      </w:r>
    </w:p>
    <w:p>
      <w:pPr>
        <w:pStyle w:val="BodyText"/>
        <w:spacing w:line="235" w:lineRule="auto" w:before="5"/>
        <w:ind w:left="547" w:right="2419"/>
      </w:pPr>
      <w:r>
        <w:rPr>
          <w:w w:val="120"/>
        </w:rPr>
        <w:t>of culture and the formation of habits of faithfulness which could sustain existing congregants and newcomers on their journey of faithfulness.</w:t>
      </w:r>
    </w:p>
    <w:p>
      <w:pPr>
        <w:pStyle w:val="BodyText"/>
        <w:spacing w:before="9"/>
        <w:rPr>
          <w:sz w:val="19"/>
        </w:rPr>
      </w:pPr>
    </w:p>
    <w:p>
      <w:pPr>
        <w:pStyle w:val="ListParagraph"/>
        <w:numPr>
          <w:ilvl w:val="0"/>
          <w:numId w:val="5"/>
        </w:numPr>
        <w:tabs>
          <w:tab w:pos="1227" w:val="left" w:leader="none"/>
          <w:tab w:pos="1228" w:val="left" w:leader="none"/>
        </w:tabs>
        <w:spacing w:line="235" w:lineRule="auto" w:before="0" w:after="0"/>
        <w:ind w:left="547" w:right="2121" w:firstLine="0"/>
        <w:jc w:val="left"/>
        <w:rPr>
          <w:sz w:val="20"/>
        </w:rPr>
      </w:pPr>
      <w:r>
        <w:rPr>
          <w:w w:val="120"/>
          <w:sz w:val="20"/>
        </w:rPr>
        <w:t>The education and learning committee had also been drawn in their work to addressing the question of how their work could contribute towards an integrated system of whole life discipleship, open to all, anchored in the Christian revelation and building up the Church. Much of this thinking was prompted by a review of Training   for Learning and Serving (TLS) which had originally been brought into the Church as a means by which individuals and communities throughout the church could learn and  be</w:t>
      </w:r>
      <w:r>
        <w:rPr>
          <w:spacing w:val="1"/>
          <w:w w:val="120"/>
          <w:sz w:val="20"/>
        </w:rPr>
        <w:t> </w:t>
      </w:r>
      <w:r>
        <w:rPr>
          <w:w w:val="120"/>
          <w:sz w:val="20"/>
        </w:rPr>
        <w:t>refreshed.</w:t>
      </w:r>
    </w:p>
    <w:p>
      <w:pPr>
        <w:pStyle w:val="BodyText"/>
        <w:spacing w:before="1"/>
      </w:pPr>
    </w:p>
    <w:p>
      <w:pPr>
        <w:pStyle w:val="ListParagraph"/>
        <w:numPr>
          <w:ilvl w:val="0"/>
          <w:numId w:val="5"/>
        </w:numPr>
        <w:tabs>
          <w:tab w:pos="1227" w:val="left" w:leader="none"/>
          <w:tab w:pos="1228" w:val="left" w:leader="none"/>
        </w:tabs>
        <w:spacing w:line="235" w:lineRule="auto" w:before="0" w:after="0"/>
        <w:ind w:left="547" w:right="2196" w:firstLine="0"/>
        <w:jc w:val="left"/>
        <w:rPr>
          <w:sz w:val="20"/>
        </w:rPr>
      </w:pPr>
      <w:r>
        <w:rPr>
          <w:w w:val="120"/>
          <w:sz w:val="20"/>
        </w:rPr>
        <w:t>It became clear that these two separate initiatives belonged together and a missional discipleship task group was formed comprising the Revd Dr Graham Adams, the Revd Peter Ball, the Revd Dr Michael Jagessar, the Revd </w:t>
      </w:r>
      <w:r>
        <w:rPr>
          <w:spacing w:val="-3"/>
          <w:w w:val="120"/>
          <w:sz w:val="20"/>
        </w:rPr>
        <w:t>Tracey </w:t>
      </w:r>
      <w:r>
        <w:rPr>
          <w:w w:val="120"/>
          <w:sz w:val="20"/>
        </w:rPr>
        <w:t>Lewis, the</w:t>
      </w:r>
      <w:r>
        <w:rPr>
          <w:spacing w:val="-2"/>
          <w:w w:val="120"/>
          <w:sz w:val="20"/>
        </w:rPr>
        <w:t> </w:t>
      </w:r>
      <w:r>
        <w:rPr>
          <w:w w:val="120"/>
          <w:sz w:val="20"/>
        </w:rPr>
        <w:t>Revd</w:t>
      </w:r>
    </w:p>
    <w:p>
      <w:pPr>
        <w:spacing w:after="0" w:line="235" w:lineRule="auto"/>
        <w:jc w:val="left"/>
        <w:rPr>
          <w:sz w:val="20"/>
        </w:rPr>
        <w:sectPr>
          <w:headerReference w:type="even" r:id="rId83"/>
          <w:footerReference w:type="even" r:id="rId84"/>
          <w:pgSz w:w="11910" w:h="16840"/>
          <w:pgMar w:header="0" w:footer="647" w:top="0" w:bottom="840" w:left="700" w:right="0"/>
          <w:pgNumType w:start="12"/>
        </w:sectPr>
      </w:pPr>
    </w:p>
    <w:p>
      <w:pPr>
        <w:pStyle w:val="BodyText"/>
      </w:pPr>
      <w:r>
        <w:rPr/>
        <w:drawing>
          <wp:anchor distT="0" distB="0" distL="0" distR="0" allowOverlap="1" layoutInCell="1" locked="0" behindDoc="0" simplePos="0" relativeHeight="251689984">
            <wp:simplePos x="0" y="0"/>
            <wp:positionH relativeFrom="page">
              <wp:posOffset>6974928</wp:posOffset>
            </wp:positionH>
            <wp:positionV relativeFrom="page">
              <wp:posOffset>0</wp:posOffset>
            </wp:positionV>
            <wp:extent cx="585076" cy="10692003"/>
            <wp:effectExtent l="0" t="0" r="0" b="0"/>
            <wp:wrapNone/>
            <wp:docPr id="19" name="image52.png"/>
            <wp:cNvGraphicFramePr>
              <a:graphicFrameLocks noChangeAspect="1"/>
            </wp:cNvGraphicFramePr>
            <a:graphic>
              <a:graphicData uri="http://schemas.openxmlformats.org/drawingml/2006/picture">
                <pic:pic>
                  <pic:nvPicPr>
                    <pic:cNvPr id="20" name="image52.png"/>
                    <pic:cNvPicPr/>
                  </pic:nvPicPr>
                  <pic:blipFill>
                    <a:blip r:embed="rId66" cstate="print"/>
                    <a:stretch>
                      <a:fillRect/>
                    </a:stretch>
                  </pic:blipFill>
                  <pic:spPr>
                    <a:xfrm>
                      <a:off x="0" y="0"/>
                      <a:ext cx="585076" cy="10692003"/>
                    </a:xfrm>
                    <a:prstGeom prst="rect">
                      <a:avLst/>
                    </a:prstGeom>
                  </pic:spPr>
                </pic:pic>
              </a:graphicData>
            </a:graphic>
          </wp:anchor>
        </w:drawing>
      </w:r>
    </w:p>
    <w:p>
      <w:pPr>
        <w:pStyle w:val="BodyText"/>
        <w:spacing w:before="7"/>
        <w:rPr>
          <w:sz w:val="21"/>
        </w:rPr>
      </w:pPr>
    </w:p>
    <w:p>
      <w:pPr>
        <w:spacing w:before="106"/>
        <w:ind w:left="0" w:right="1245" w:firstLine="0"/>
        <w:jc w:val="right"/>
        <w:rPr>
          <w:sz w:val="26"/>
        </w:rPr>
      </w:pPr>
      <w:r>
        <w:rPr/>
        <w:pict>
          <v:shape style="position:absolute;margin-left:554.141174pt;margin-top:22.593945pt;width:25.9pt;height:169pt;mso-position-horizontal-relative:page;mso-position-vertical-relative:paragraph;z-index:251691008" type="#_x0000_t202" filled="false" stroked="false">
            <v:textbox inset="0,0,0,0" style="layout-flow:vertical">
              <w:txbxContent>
                <w:p>
                  <w:pPr>
                    <w:spacing w:before="27"/>
                    <w:ind w:left="20" w:right="0" w:firstLine="0"/>
                    <w:jc w:val="left"/>
                    <w:rPr>
                      <w:sz w:val="39"/>
                    </w:rPr>
                  </w:pPr>
                  <w:r>
                    <w:rPr>
                      <w:color w:val="FFFFFF"/>
                      <w:w w:val="120"/>
                      <w:sz w:val="39"/>
                    </w:rPr>
                    <w:t>Walking the Way</w:t>
                  </w:r>
                </w:p>
              </w:txbxContent>
            </v:textbox>
            <w10:wrap type="none"/>
          </v:shape>
        </w:pict>
      </w:r>
      <w:r>
        <w:rPr>
          <w:color w:val="7EAABF"/>
          <w:w w:val="120"/>
          <w:sz w:val="26"/>
        </w:rPr>
        <w:t>Mission Council</w:t>
      </w:r>
    </w:p>
    <w:p>
      <w:pPr>
        <w:pStyle w:val="BodyText"/>
        <w:spacing w:line="235" w:lineRule="auto" w:before="222"/>
        <w:ind w:left="1284" w:right="1529"/>
      </w:pPr>
      <w:r>
        <w:rPr>
          <w:w w:val="120"/>
        </w:rPr>
        <w:t>Kathryn Price, the Revd Fiona Thomas and the Revd Dr Phil Wall. The group was convened jointly by Ms Francis Brienen and the Revd Richard Church. This group, together with two additional members nominated by the two Assembly committees, has now been asked by the March 2016 Mission Council to carry the work forward as the Walking the Way steering group.</w:t>
      </w:r>
    </w:p>
    <w:p>
      <w:pPr>
        <w:pStyle w:val="BodyText"/>
        <w:spacing w:before="3"/>
        <w:rPr>
          <w:sz w:val="22"/>
        </w:rPr>
      </w:pPr>
    </w:p>
    <w:p>
      <w:pPr>
        <w:spacing w:before="1"/>
        <w:ind w:left="1284" w:right="0" w:firstLine="0"/>
        <w:jc w:val="left"/>
        <w:rPr>
          <w:rFonts w:ascii="Stone Sans II ITC Std Bk"/>
          <w:b/>
          <w:sz w:val="29"/>
        </w:rPr>
      </w:pPr>
      <w:r>
        <w:rPr>
          <w:rFonts w:ascii="Stone Sans II ITC Std Bk"/>
          <w:b/>
          <w:w w:val="110"/>
          <w:sz w:val="29"/>
        </w:rPr>
        <w:t>The work so far</w:t>
      </w:r>
    </w:p>
    <w:p>
      <w:pPr>
        <w:pStyle w:val="ListParagraph"/>
        <w:numPr>
          <w:ilvl w:val="0"/>
          <w:numId w:val="5"/>
        </w:numPr>
        <w:tabs>
          <w:tab w:pos="1964" w:val="left" w:leader="none"/>
          <w:tab w:pos="1965" w:val="left" w:leader="none"/>
        </w:tabs>
        <w:spacing w:line="235" w:lineRule="auto" w:before="69" w:after="0"/>
        <w:ind w:left="1284" w:right="1277" w:firstLine="0"/>
        <w:jc w:val="left"/>
        <w:rPr>
          <w:sz w:val="20"/>
        </w:rPr>
      </w:pPr>
      <w:r>
        <w:rPr>
          <w:w w:val="120"/>
          <w:sz w:val="20"/>
        </w:rPr>
        <w:t>In its work the group has been at pains to understand what the current patterns of discipleship are within the Church. During the autumn of </w:t>
      </w:r>
      <w:r>
        <w:rPr>
          <w:spacing w:val="-7"/>
          <w:w w:val="120"/>
          <w:sz w:val="20"/>
        </w:rPr>
        <w:t>2015 </w:t>
      </w:r>
      <w:r>
        <w:rPr>
          <w:w w:val="120"/>
          <w:sz w:val="20"/>
        </w:rPr>
        <w:t>responses to a questionnaire which was circulated across a representative sample of the URC revealed that spiritual formation, worship, fellowship and community engagement are key components in discipleship growth. The responses indicated that faith formation rested </w:t>
      </w:r>
      <w:r>
        <w:rPr>
          <w:spacing w:val="-3"/>
          <w:w w:val="120"/>
          <w:sz w:val="20"/>
        </w:rPr>
        <w:t>mainly, </w:t>
      </w:r>
      <w:r>
        <w:rPr>
          <w:w w:val="120"/>
          <w:sz w:val="20"/>
        </w:rPr>
        <w:t>if not exclusively, on Sunday mornings. The survey also revealed that in order to build people up in their discipleship small groups, mentoring and coaching, as well as providing a variety of accessible materials can play a crucial</w:t>
      </w:r>
      <w:r>
        <w:rPr>
          <w:spacing w:val="22"/>
          <w:w w:val="120"/>
          <w:sz w:val="20"/>
        </w:rPr>
        <w:t> </w:t>
      </w:r>
      <w:r>
        <w:rPr>
          <w:w w:val="120"/>
          <w:sz w:val="20"/>
        </w:rPr>
        <w:t>part.</w:t>
      </w:r>
    </w:p>
    <w:p>
      <w:pPr>
        <w:pStyle w:val="BodyText"/>
        <w:spacing w:before="1"/>
      </w:pPr>
    </w:p>
    <w:p>
      <w:pPr>
        <w:pStyle w:val="ListParagraph"/>
        <w:numPr>
          <w:ilvl w:val="0"/>
          <w:numId w:val="5"/>
        </w:numPr>
        <w:tabs>
          <w:tab w:pos="1964" w:val="left" w:leader="none"/>
          <w:tab w:pos="1965" w:val="left" w:leader="none"/>
        </w:tabs>
        <w:spacing w:line="235" w:lineRule="auto" w:before="1" w:after="0"/>
        <w:ind w:left="1284" w:right="1618" w:firstLine="0"/>
        <w:jc w:val="left"/>
        <w:rPr>
          <w:i/>
          <w:sz w:val="20"/>
        </w:rPr>
      </w:pPr>
      <w:r>
        <w:rPr>
          <w:w w:val="120"/>
          <w:sz w:val="20"/>
        </w:rPr>
        <w:t>In addition we have consulted with the Head of </w:t>
      </w:r>
      <w:r>
        <w:rPr>
          <w:spacing w:val="-3"/>
          <w:w w:val="120"/>
          <w:sz w:val="20"/>
        </w:rPr>
        <w:t>Children’s </w:t>
      </w:r>
      <w:r>
        <w:rPr>
          <w:w w:val="120"/>
          <w:sz w:val="20"/>
        </w:rPr>
        <w:t>and </w:t>
      </w:r>
      <w:r>
        <w:rPr>
          <w:spacing w:val="-3"/>
          <w:w w:val="120"/>
          <w:sz w:val="20"/>
        </w:rPr>
        <w:t>Youth </w:t>
      </w:r>
      <w:r>
        <w:rPr>
          <w:w w:val="120"/>
          <w:sz w:val="20"/>
        </w:rPr>
        <w:t>Work Development, the </w:t>
      </w:r>
      <w:r>
        <w:rPr>
          <w:spacing w:val="-3"/>
          <w:w w:val="120"/>
          <w:sz w:val="20"/>
        </w:rPr>
        <w:t>children’s </w:t>
      </w:r>
      <w:r>
        <w:rPr>
          <w:w w:val="120"/>
          <w:sz w:val="20"/>
        </w:rPr>
        <w:t>and youth work committee, the Secretary for Ministries and the Secretary for Global and Intercultural Ministries. Conversations have been held with the London Institute of Contemporary Christianity, Shoreline Consultancy, the Fresh Expressions team through Mike Moynagh, and Andrew </w:t>
      </w:r>
      <w:r>
        <w:rPr>
          <w:spacing w:val="2"/>
          <w:w w:val="120"/>
          <w:sz w:val="20"/>
        </w:rPr>
        <w:t>Roberts </w:t>
      </w:r>
      <w:r>
        <w:rPr>
          <w:w w:val="120"/>
          <w:sz w:val="20"/>
        </w:rPr>
        <w:t>of the Birmingham Methodist Circuit concerning his book </w:t>
      </w:r>
      <w:r>
        <w:rPr>
          <w:i/>
          <w:w w:val="120"/>
          <w:sz w:val="20"/>
        </w:rPr>
        <w:t>Holy</w:t>
      </w:r>
      <w:r>
        <w:rPr>
          <w:i/>
          <w:spacing w:val="9"/>
          <w:w w:val="120"/>
          <w:sz w:val="20"/>
        </w:rPr>
        <w:t> </w:t>
      </w:r>
      <w:r>
        <w:rPr>
          <w:i/>
          <w:w w:val="120"/>
          <w:sz w:val="20"/>
        </w:rPr>
        <w:t>Habits.</w:t>
      </w:r>
    </w:p>
    <w:p>
      <w:pPr>
        <w:pStyle w:val="BodyText"/>
        <w:rPr>
          <w:i/>
        </w:rPr>
      </w:pPr>
    </w:p>
    <w:p>
      <w:pPr>
        <w:pStyle w:val="ListParagraph"/>
        <w:numPr>
          <w:ilvl w:val="0"/>
          <w:numId w:val="5"/>
        </w:numPr>
        <w:tabs>
          <w:tab w:pos="1964" w:val="left" w:leader="none"/>
          <w:tab w:pos="1965" w:val="left" w:leader="none"/>
        </w:tabs>
        <w:spacing w:line="235" w:lineRule="auto" w:before="0" w:after="0"/>
        <w:ind w:left="1284" w:right="1308" w:firstLine="0"/>
        <w:jc w:val="left"/>
        <w:rPr>
          <w:sz w:val="20"/>
        </w:rPr>
      </w:pPr>
      <w:r>
        <w:rPr>
          <w:w w:val="120"/>
          <w:sz w:val="20"/>
        </w:rPr>
        <w:t>We have read papers on evangelism, cultural change, how adults learn and the contribution of Fresh Expressions, notably through its Mission Shaped Introduction and Mission Shaped Ministry courses. A wide range of literature has been read by members of the</w:t>
      </w:r>
      <w:r>
        <w:rPr>
          <w:spacing w:val="4"/>
          <w:w w:val="120"/>
          <w:sz w:val="20"/>
        </w:rPr>
        <w:t> </w:t>
      </w:r>
      <w:r>
        <w:rPr>
          <w:w w:val="120"/>
          <w:sz w:val="20"/>
        </w:rPr>
        <w:t>group.</w:t>
      </w:r>
    </w:p>
    <w:p>
      <w:pPr>
        <w:pStyle w:val="BodyText"/>
        <w:spacing w:before="11"/>
        <w:rPr>
          <w:sz w:val="19"/>
        </w:rPr>
      </w:pPr>
    </w:p>
    <w:p>
      <w:pPr>
        <w:pStyle w:val="ListParagraph"/>
        <w:numPr>
          <w:ilvl w:val="0"/>
          <w:numId w:val="5"/>
        </w:numPr>
        <w:tabs>
          <w:tab w:pos="1964" w:val="left" w:leader="none"/>
          <w:tab w:pos="1965" w:val="left" w:leader="none"/>
        </w:tabs>
        <w:spacing w:line="235" w:lineRule="auto" w:before="0" w:after="0"/>
        <w:ind w:left="1284" w:right="1393" w:firstLine="0"/>
        <w:jc w:val="left"/>
        <w:rPr>
          <w:sz w:val="20"/>
        </w:rPr>
      </w:pPr>
      <w:r>
        <w:rPr>
          <w:w w:val="120"/>
          <w:sz w:val="20"/>
        </w:rPr>
        <w:t>In its thinking the group has been assisted by the image of an oak tree. The tree has roots, a trunk and branches. The roots represent the hidden aspects of our</w:t>
      </w:r>
      <w:r>
        <w:rPr>
          <w:spacing w:val="39"/>
          <w:w w:val="120"/>
          <w:sz w:val="20"/>
        </w:rPr>
        <w:t> </w:t>
      </w:r>
      <w:r>
        <w:rPr>
          <w:w w:val="120"/>
          <w:sz w:val="20"/>
        </w:rPr>
        <w:t>call</w:t>
      </w:r>
    </w:p>
    <w:p>
      <w:pPr>
        <w:pStyle w:val="BodyText"/>
        <w:spacing w:line="235" w:lineRule="auto" w:before="1"/>
        <w:ind w:left="1284" w:right="1337"/>
      </w:pPr>
      <w:r>
        <w:rPr>
          <w:w w:val="120"/>
        </w:rPr>
        <w:t>to follow Christ. People start on the journey of faith for many reasons. They are often nurtured through prayer, biblical reflection and the example of wise and godly people. We have been impressed by the number of times the topic of mentoring has come up. In September 2016 the URC retreats group will be considering how to encourage a deepening life of prayer.</w:t>
      </w:r>
    </w:p>
    <w:p>
      <w:pPr>
        <w:pStyle w:val="BodyText"/>
      </w:pPr>
    </w:p>
    <w:p>
      <w:pPr>
        <w:pStyle w:val="ListParagraph"/>
        <w:numPr>
          <w:ilvl w:val="0"/>
          <w:numId w:val="5"/>
        </w:numPr>
        <w:tabs>
          <w:tab w:pos="1965" w:val="left" w:leader="none"/>
        </w:tabs>
        <w:spacing w:line="235" w:lineRule="auto" w:before="0" w:after="0"/>
        <w:ind w:left="1284" w:right="1683" w:firstLine="0"/>
        <w:jc w:val="both"/>
        <w:rPr>
          <w:sz w:val="20"/>
        </w:rPr>
      </w:pPr>
      <w:r>
        <w:rPr>
          <w:w w:val="120"/>
          <w:sz w:val="20"/>
        </w:rPr>
        <w:t>Turning to the trunk, we have decided to commend to the churches the use of</w:t>
      </w:r>
      <w:r>
        <w:rPr>
          <w:spacing w:val="-5"/>
          <w:w w:val="120"/>
          <w:sz w:val="20"/>
        </w:rPr>
        <w:t> </w:t>
      </w:r>
      <w:r>
        <w:rPr>
          <w:i/>
          <w:w w:val="120"/>
          <w:sz w:val="20"/>
        </w:rPr>
        <w:t>Holy</w:t>
      </w:r>
      <w:r>
        <w:rPr>
          <w:i/>
          <w:spacing w:val="-7"/>
          <w:w w:val="120"/>
          <w:sz w:val="20"/>
        </w:rPr>
        <w:t> </w:t>
      </w:r>
      <w:r>
        <w:rPr>
          <w:i/>
          <w:w w:val="120"/>
          <w:sz w:val="20"/>
        </w:rPr>
        <w:t>Habits</w:t>
      </w:r>
      <w:r>
        <w:rPr>
          <w:w w:val="120"/>
          <w:sz w:val="20"/>
        </w:rPr>
        <w:t>.</w:t>
      </w:r>
      <w:r>
        <w:rPr>
          <w:spacing w:val="-5"/>
          <w:w w:val="120"/>
          <w:sz w:val="20"/>
        </w:rPr>
        <w:t> </w:t>
      </w:r>
      <w:r>
        <w:rPr>
          <w:w w:val="120"/>
          <w:sz w:val="20"/>
        </w:rPr>
        <w:t>Derived</w:t>
      </w:r>
      <w:r>
        <w:rPr>
          <w:spacing w:val="-4"/>
          <w:w w:val="120"/>
          <w:sz w:val="20"/>
        </w:rPr>
        <w:t> </w:t>
      </w:r>
      <w:r>
        <w:rPr>
          <w:w w:val="120"/>
          <w:sz w:val="20"/>
        </w:rPr>
        <w:t>from</w:t>
      </w:r>
      <w:r>
        <w:rPr>
          <w:spacing w:val="-4"/>
          <w:w w:val="120"/>
          <w:sz w:val="20"/>
        </w:rPr>
        <w:t> </w:t>
      </w:r>
      <w:r>
        <w:rPr>
          <w:w w:val="120"/>
          <w:sz w:val="20"/>
        </w:rPr>
        <w:t>the</w:t>
      </w:r>
      <w:r>
        <w:rPr>
          <w:spacing w:val="-5"/>
          <w:w w:val="120"/>
          <w:sz w:val="20"/>
        </w:rPr>
        <w:t> </w:t>
      </w:r>
      <w:r>
        <w:rPr>
          <w:spacing w:val="2"/>
          <w:w w:val="120"/>
          <w:sz w:val="20"/>
        </w:rPr>
        <w:t>Acts</w:t>
      </w:r>
      <w:r>
        <w:rPr>
          <w:spacing w:val="-4"/>
          <w:w w:val="120"/>
          <w:sz w:val="20"/>
        </w:rPr>
        <w:t> </w:t>
      </w:r>
      <w:r>
        <w:rPr>
          <w:w w:val="120"/>
          <w:sz w:val="20"/>
        </w:rPr>
        <w:t>2</w:t>
      </w:r>
      <w:r>
        <w:rPr>
          <w:spacing w:val="-5"/>
          <w:w w:val="120"/>
          <w:sz w:val="20"/>
        </w:rPr>
        <w:t> </w:t>
      </w:r>
      <w:r>
        <w:rPr>
          <w:w w:val="120"/>
          <w:sz w:val="20"/>
        </w:rPr>
        <w:t>account,</w:t>
      </w:r>
      <w:r>
        <w:rPr>
          <w:spacing w:val="-4"/>
          <w:w w:val="120"/>
          <w:sz w:val="20"/>
        </w:rPr>
        <w:t> </w:t>
      </w:r>
      <w:r>
        <w:rPr>
          <w:w w:val="120"/>
          <w:sz w:val="20"/>
        </w:rPr>
        <w:t>ten</w:t>
      </w:r>
      <w:r>
        <w:rPr>
          <w:spacing w:val="-5"/>
          <w:w w:val="120"/>
          <w:sz w:val="20"/>
        </w:rPr>
        <w:t> </w:t>
      </w:r>
      <w:r>
        <w:rPr>
          <w:w w:val="120"/>
          <w:sz w:val="20"/>
        </w:rPr>
        <w:t>habits</w:t>
      </w:r>
      <w:r>
        <w:rPr>
          <w:spacing w:val="-4"/>
          <w:w w:val="120"/>
          <w:sz w:val="20"/>
        </w:rPr>
        <w:t> </w:t>
      </w:r>
      <w:r>
        <w:rPr>
          <w:w w:val="120"/>
          <w:sz w:val="20"/>
        </w:rPr>
        <w:t>of</w:t>
      </w:r>
      <w:r>
        <w:rPr>
          <w:spacing w:val="-5"/>
          <w:w w:val="120"/>
          <w:sz w:val="20"/>
        </w:rPr>
        <w:t> </w:t>
      </w:r>
      <w:r>
        <w:rPr>
          <w:w w:val="120"/>
          <w:sz w:val="20"/>
        </w:rPr>
        <w:t>faithfulness</w:t>
      </w:r>
      <w:r>
        <w:rPr>
          <w:spacing w:val="-4"/>
          <w:w w:val="120"/>
          <w:sz w:val="20"/>
        </w:rPr>
        <w:t> </w:t>
      </w:r>
      <w:r>
        <w:rPr>
          <w:w w:val="120"/>
          <w:sz w:val="20"/>
        </w:rPr>
        <w:t>have</w:t>
      </w:r>
      <w:r>
        <w:rPr>
          <w:spacing w:val="-5"/>
          <w:w w:val="120"/>
          <w:sz w:val="20"/>
        </w:rPr>
        <w:t> </w:t>
      </w:r>
      <w:r>
        <w:rPr>
          <w:w w:val="120"/>
          <w:sz w:val="20"/>
        </w:rPr>
        <w:t>been identified: eating together, prayer, making more disciples, gladness and generosity, the</w:t>
      </w:r>
      <w:r>
        <w:rPr>
          <w:spacing w:val="6"/>
          <w:w w:val="120"/>
          <w:sz w:val="20"/>
        </w:rPr>
        <w:t> </w:t>
      </w:r>
      <w:r>
        <w:rPr>
          <w:w w:val="120"/>
          <w:sz w:val="20"/>
        </w:rPr>
        <w:t>breaking</w:t>
      </w:r>
      <w:r>
        <w:rPr>
          <w:spacing w:val="7"/>
          <w:w w:val="120"/>
          <w:sz w:val="20"/>
        </w:rPr>
        <w:t> </w:t>
      </w:r>
      <w:r>
        <w:rPr>
          <w:w w:val="120"/>
          <w:sz w:val="20"/>
        </w:rPr>
        <w:t>of</w:t>
      </w:r>
      <w:r>
        <w:rPr>
          <w:spacing w:val="7"/>
          <w:w w:val="120"/>
          <w:sz w:val="20"/>
        </w:rPr>
        <w:t> </w:t>
      </w:r>
      <w:r>
        <w:rPr>
          <w:w w:val="120"/>
          <w:sz w:val="20"/>
        </w:rPr>
        <w:t>bread,</w:t>
      </w:r>
      <w:r>
        <w:rPr>
          <w:spacing w:val="6"/>
          <w:w w:val="120"/>
          <w:sz w:val="20"/>
        </w:rPr>
        <w:t> </w:t>
      </w:r>
      <w:r>
        <w:rPr>
          <w:spacing w:val="2"/>
          <w:w w:val="120"/>
          <w:sz w:val="20"/>
        </w:rPr>
        <w:t>acts</w:t>
      </w:r>
      <w:r>
        <w:rPr>
          <w:spacing w:val="7"/>
          <w:w w:val="120"/>
          <w:sz w:val="20"/>
        </w:rPr>
        <w:t> </w:t>
      </w:r>
      <w:r>
        <w:rPr>
          <w:w w:val="120"/>
          <w:sz w:val="20"/>
        </w:rPr>
        <w:t>of</w:t>
      </w:r>
      <w:r>
        <w:rPr>
          <w:spacing w:val="7"/>
          <w:w w:val="120"/>
          <w:sz w:val="20"/>
        </w:rPr>
        <w:t> </w:t>
      </w:r>
      <w:r>
        <w:rPr>
          <w:w w:val="120"/>
          <w:sz w:val="20"/>
        </w:rPr>
        <w:t>service,</w:t>
      </w:r>
      <w:r>
        <w:rPr>
          <w:spacing w:val="7"/>
          <w:w w:val="120"/>
          <w:sz w:val="20"/>
        </w:rPr>
        <w:t> </w:t>
      </w:r>
      <w:r>
        <w:rPr>
          <w:w w:val="120"/>
          <w:sz w:val="20"/>
        </w:rPr>
        <w:t>fellowship,</w:t>
      </w:r>
      <w:r>
        <w:rPr>
          <w:spacing w:val="6"/>
          <w:w w:val="120"/>
          <w:sz w:val="20"/>
        </w:rPr>
        <w:t> </w:t>
      </w:r>
      <w:r>
        <w:rPr>
          <w:w w:val="120"/>
          <w:sz w:val="20"/>
        </w:rPr>
        <w:t>worship,</w:t>
      </w:r>
      <w:r>
        <w:rPr>
          <w:spacing w:val="7"/>
          <w:w w:val="120"/>
          <w:sz w:val="20"/>
        </w:rPr>
        <w:t> </w:t>
      </w:r>
      <w:r>
        <w:rPr>
          <w:w w:val="120"/>
          <w:sz w:val="20"/>
        </w:rPr>
        <w:t>biblical</w:t>
      </w:r>
      <w:r>
        <w:rPr>
          <w:spacing w:val="7"/>
          <w:w w:val="120"/>
          <w:sz w:val="20"/>
        </w:rPr>
        <w:t> </w:t>
      </w:r>
      <w:r>
        <w:rPr>
          <w:w w:val="120"/>
          <w:sz w:val="20"/>
        </w:rPr>
        <w:t>teaching</w:t>
      </w:r>
      <w:r>
        <w:rPr>
          <w:spacing w:val="6"/>
          <w:w w:val="120"/>
          <w:sz w:val="20"/>
        </w:rPr>
        <w:t> </w:t>
      </w:r>
      <w:r>
        <w:rPr>
          <w:w w:val="120"/>
          <w:sz w:val="20"/>
        </w:rPr>
        <w:t>and</w:t>
      </w:r>
      <w:r>
        <w:rPr>
          <w:spacing w:val="7"/>
          <w:w w:val="120"/>
          <w:sz w:val="20"/>
        </w:rPr>
        <w:t> </w:t>
      </w:r>
      <w:r>
        <w:rPr>
          <w:w w:val="120"/>
          <w:sz w:val="20"/>
        </w:rPr>
        <w:t>the</w:t>
      </w:r>
    </w:p>
    <w:p>
      <w:pPr>
        <w:pStyle w:val="BodyText"/>
        <w:spacing w:line="235" w:lineRule="auto" w:before="3"/>
        <w:ind w:left="1284" w:right="1441"/>
        <w:jc w:val="both"/>
      </w:pPr>
      <w:r>
        <w:rPr>
          <w:w w:val="120"/>
        </w:rPr>
        <w:t>sharing of resources. There is a book which has been published this year and materials produced for local church use on each of these aspects of being followers of the</w:t>
      </w:r>
      <w:r>
        <w:rPr>
          <w:spacing w:val="51"/>
          <w:w w:val="120"/>
        </w:rPr>
        <w:t> </w:t>
      </w:r>
      <w:r>
        <w:rPr>
          <w:spacing w:val="-5"/>
          <w:w w:val="120"/>
        </w:rPr>
        <w:t>Way.</w:t>
      </w:r>
    </w:p>
    <w:p>
      <w:pPr>
        <w:pStyle w:val="BodyText"/>
        <w:spacing w:before="9"/>
        <w:rPr>
          <w:sz w:val="19"/>
        </w:rPr>
      </w:pPr>
    </w:p>
    <w:p>
      <w:pPr>
        <w:pStyle w:val="ListParagraph"/>
        <w:numPr>
          <w:ilvl w:val="0"/>
          <w:numId w:val="5"/>
        </w:numPr>
        <w:tabs>
          <w:tab w:pos="1964" w:val="left" w:leader="none"/>
          <w:tab w:pos="1965" w:val="left" w:leader="none"/>
        </w:tabs>
        <w:spacing w:line="235" w:lineRule="auto" w:before="0" w:after="0"/>
        <w:ind w:left="1284" w:right="1491" w:firstLine="0"/>
        <w:jc w:val="left"/>
        <w:rPr>
          <w:sz w:val="20"/>
        </w:rPr>
      </w:pPr>
      <w:r>
        <w:rPr>
          <w:w w:val="120"/>
          <w:sz w:val="20"/>
        </w:rPr>
        <w:t>However in addition to this material we are aware of a plethora of resources including, for example, those from Shoreline Consultancy – which are more inductive in their methodology. We are currently preparing an annotated bibliography of all these</w:t>
      </w:r>
      <w:r>
        <w:rPr>
          <w:spacing w:val="1"/>
          <w:w w:val="120"/>
          <w:sz w:val="20"/>
        </w:rPr>
        <w:t> </w:t>
      </w:r>
      <w:r>
        <w:rPr>
          <w:w w:val="120"/>
          <w:sz w:val="20"/>
        </w:rPr>
        <w:t>resources.</w:t>
      </w:r>
    </w:p>
    <w:p>
      <w:pPr>
        <w:pStyle w:val="BodyText"/>
        <w:spacing w:before="11"/>
        <w:rPr>
          <w:sz w:val="19"/>
        </w:rPr>
      </w:pPr>
    </w:p>
    <w:p>
      <w:pPr>
        <w:pStyle w:val="ListParagraph"/>
        <w:numPr>
          <w:ilvl w:val="0"/>
          <w:numId w:val="5"/>
        </w:numPr>
        <w:tabs>
          <w:tab w:pos="1964" w:val="left" w:leader="none"/>
          <w:tab w:pos="1965" w:val="left" w:leader="none"/>
        </w:tabs>
        <w:spacing w:line="235" w:lineRule="auto" w:before="0" w:after="0"/>
        <w:ind w:left="1284" w:right="1534" w:firstLine="0"/>
        <w:jc w:val="left"/>
        <w:rPr>
          <w:sz w:val="20"/>
        </w:rPr>
      </w:pPr>
      <w:r>
        <w:rPr>
          <w:w w:val="120"/>
          <w:sz w:val="20"/>
        </w:rPr>
        <w:t>The branches represent the spread of different forms of service which grow out of the trunk. Some of these are familiar to us and long established such as the service offered by lay preachers, Ministers of Word and Sacraments and church related community workers. Other forms of service are just beginning to emerge: community chaplains, local church leaders, emerging church pioneers, youth pastors and family</w:t>
      </w:r>
      <w:r>
        <w:rPr>
          <w:spacing w:val="3"/>
          <w:w w:val="120"/>
          <w:sz w:val="20"/>
        </w:rPr>
        <w:t> </w:t>
      </w:r>
      <w:r>
        <w:rPr>
          <w:w w:val="120"/>
          <w:sz w:val="20"/>
        </w:rPr>
        <w:t>workers.</w:t>
      </w:r>
    </w:p>
    <w:p>
      <w:pPr>
        <w:pStyle w:val="BodyText"/>
        <w:spacing w:before="1"/>
      </w:pPr>
    </w:p>
    <w:p>
      <w:pPr>
        <w:pStyle w:val="ListParagraph"/>
        <w:numPr>
          <w:ilvl w:val="0"/>
          <w:numId w:val="5"/>
        </w:numPr>
        <w:tabs>
          <w:tab w:pos="1964" w:val="left" w:leader="none"/>
          <w:tab w:pos="1965" w:val="left" w:leader="none"/>
        </w:tabs>
        <w:spacing w:line="235" w:lineRule="auto" w:before="0" w:after="0"/>
        <w:ind w:left="1284" w:right="1367" w:firstLine="0"/>
        <w:jc w:val="left"/>
        <w:rPr>
          <w:sz w:val="20"/>
        </w:rPr>
      </w:pPr>
      <w:r>
        <w:rPr>
          <w:w w:val="120"/>
          <w:sz w:val="20"/>
        </w:rPr>
        <w:t>With regard to TLS, there will be a transitional period of two years from   summer </w:t>
      </w:r>
      <w:r>
        <w:rPr>
          <w:spacing w:val="-7"/>
          <w:w w:val="120"/>
          <w:sz w:val="20"/>
        </w:rPr>
        <w:t>2016 </w:t>
      </w:r>
      <w:r>
        <w:rPr>
          <w:w w:val="120"/>
          <w:sz w:val="20"/>
        </w:rPr>
        <w:t>during which people wishing to explore their faith further for purposes including Assembly accreditation and synod recognition will be encouraged to use a strengthened</w:t>
      </w:r>
      <w:r>
        <w:rPr>
          <w:spacing w:val="9"/>
          <w:w w:val="120"/>
          <w:sz w:val="20"/>
        </w:rPr>
        <w:t> </w:t>
      </w:r>
      <w:r>
        <w:rPr>
          <w:w w:val="120"/>
          <w:sz w:val="20"/>
        </w:rPr>
        <w:t>form</w:t>
      </w:r>
      <w:r>
        <w:rPr>
          <w:spacing w:val="10"/>
          <w:w w:val="120"/>
          <w:sz w:val="20"/>
        </w:rPr>
        <w:t> </w:t>
      </w:r>
      <w:r>
        <w:rPr>
          <w:w w:val="120"/>
          <w:sz w:val="20"/>
        </w:rPr>
        <w:t>of</w:t>
      </w:r>
      <w:r>
        <w:rPr>
          <w:spacing w:val="10"/>
          <w:w w:val="120"/>
          <w:sz w:val="20"/>
        </w:rPr>
        <w:t> </w:t>
      </w:r>
      <w:r>
        <w:rPr>
          <w:spacing w:val="2"/>
          <w:w w:val="120"/>
          <w:sz w:val="20"/>
        </w:rPr>
        <w:t>TLS</w:t>
      </w:r>
      <w:r>
        <w:rPr>
          <w:spacing w:val="10"/>
          <w:w w:val="120"/>
          <w:sz w:val="20"/>
        </w:rPr>
        <w:t> </w:t>
      </w:r>
      <w:r>
        <w:rPr>
          <w:w w:val="120"/>
          <w:sz w:val="20"/>
        </w:rPr>
        <w:t>LITE.</w:t>
      </w:r>
      <w:r>
        <w:rPr>
          <w:spacing w:val="10"/>
          <w:w w:val="120"/>
          <w:sz w:val="20"/>
        </w:rPr>
        <w:t> </w:t>
      </w:r>
      <w:r>
        <w:rPr>
          <w:w w:val="120"/>
          <w:sz w:val="20"/>
        </w:rPr>
        <w:t>This</w:t>
      </w:r>
      <w:r>
        <w:rPr>
          <w:spacing w:val="10"/>
          <w:w w:val="120"/>
          <w:sz w:val="20"/>
        </w:rPr>
        <w:t> </w:t>
      </w:r>
      <w:r>
        <w:rPr>
          <w:w w:val="120"/>
          <w:sz w:val="20"/>
        </w:rPr>
        <w:t>will</w:t>
      </w:r>
      <w:r>
        <w:rPr>
          <w:spacing w:val="10"/>
          <w:w w:val="120"/>
          <w:sz w:val="20"/>
        </w:rPr>
        <w:t> </w:t>
      </w:r>
      <w:r>
        <w:rPr>
          <w:w w:val="120"/>
          <w:sz w:val="20"/>
        </w:rPr>
        <w:t>be</w:t>
      </w:r>
      <w:r>
        <w:rPr>
          <w:spacing w:val="10"/>
          <w:w w:val="120"/>
          <w:sz w:val="20"/>
        </w:rPr>
        <w:t> </w:t>
      </w:r>
      <w:r>
        <w:rPr>
          <w:w w:val="120"/>
          <w:sz w:val="20"/>
        </w:rPr>
        <w:t>supplemented</w:t>
      </w:r>
      <w:r>
        <w:rPr>
          <w:spacing w:val="10"/>
          <w:w w:val="120"/>
          <w:sz w:val="20"/>
        </w:rPr>
        <w:t> </w:t>
      </w:r>
      <w:r>
        <w:rPr>
          <w:w w:val="120"/>
          <w:sz w:val="20"/>
        </w:rPr>
        <w:t>by</w:t>
      </w:r>
      <w:r>
        <w:rPr>
          <w:spacing w:val="10"/>
          <w:w w:val="120"/>
          <w:sz w:val="20"/>
        </w:rPr>
        <w:t> </w:t>
      </w:r>
      <w:r>
        <w:rPr>
          <w:w w:val="120"/>
          <w:sz w:val="20"/>
        </w:rPr>
        <w:t>the</w:t>
      </w:r>
      <w:r>
        <w:rPr>
          <w:spacing w:val="10"/>
          <w:w w:val="120"/>
          <w:sz w:val="20"/>
        </w:rPr>
        <w:t> </w:t>
      </w:r>
      <w:r>
        <w:rPr>
          <w:w w:val="120"/>
          <w:sz w:val="20"/>
        </w:rPr>
        <w:t>existing</w:t>
      </w:r>
      <w:r>
        <w:rPr>
          <w:spacing w:val="10"/>
          <w:w w:val="120"/>
          <w:sz w:val="20"/>
        </w:rPr>
        <w:t> </w:t>
      </w:r>
      <w:r>
        <w:rPr>
          <w:spacing w:val="2"/>
          <w:w w:val="120"/>
          <w:sz w:val="20"/>
        </w:rPr>
        <w:t>TLS</w:t>
      </w:r>
      <w:r>
        <w:rPr>
          <w:spacing w:val="9"/>
          <w:w w:val="120"/>
          <w:sz w:val="20"/>
        </w:rPr>
        <w:t> </w:t>
      </w:r>
      <w:r>
        <w:rPr>
          <w:w w:val="120"/>
          <w:sz w:val="20"/>
        </w:rPr>
        <w:t>one-year</w:t>
      </w:r>
    </w:p>
    <w:p>
      <w:pPr>
        <w:pStyle w:val="BodyText"/>
        <w:spacing w:before="8"/>
        <w:rPr>
          <w:sz w:val="25"/>
        </w:rPr>
      </w:pPr>
    </w:p>
    <w:p>
      <w:pPr>
        <w:pStyle w:val="Heading6"/>
        <w:spacing w:before="96"/>
        <w:ind w:left="3810"/>
        <w:rPr>
          <w:rFonts w:ascii="Stone Sans II ITC Std X Bd" w:hAnsi="Stone Sans II ITC Std X Bd"/>
          <w:b/>
          <w:sz w:val="24"/>
        </w:rPr>
      </w:pPr>
      <w:r>
        <w:rPr>
          <w:color w:val="7EAABF"/>
          <w:w w:val="110"/>
        </w:rPr>
        <w:t>United Reformed Church </w:t>
      </w:r>
      <w:r>
        <w:rPr>
          <w:rFonts w:ascii="Symbol" w:hAnsi="Symbol"/>
          <w:color w:val="7EAABF"/>
          <w:w w:val="110"/>
        </w:rPr>
        <w:t></w:t>
      </w:r>
      <w:r>
        <w:rPr>
          <w:rFonts w:ascii="Times New Roman" w:hAnsi="Times New Roman"/>
          <w:color w:val="7EAABF"/>
          <w:w w:val="110"/>
        </w:rPr>
        <w:t> </w:t>
      </w:r>
      <w:r>
        <w:rPr>
          <w:color w:val="7EAABF"/>
          <w:w w:val="110"/>
        </w:rPr>
        <w:t>General Assembly 2016 </w:t>
      </w:r>
      <w:r>
        <w:rPr>
          <w:rFonts w:ascii="Symbol" w:hAnsi="Symbol"/>
          <w:color w:val="7EAABF"/>
          <w:w w:val="110"/>
        </w:rPr>
        <w:t></w:t>
      </w:r>
      <w:r>
        <w:rPr>
          <w:rFonts w:ascii="Times New Roman" w:hAnsi="Times New Roman"/>
          <w:color w:val="7EAABF"/>
          <w:spacing w:val="51"/>
          <w:w w:val="110"/>
        </w:rPr>
        <w:t> </w:t>
      </w:r>
      <w:r>
        <w:rPr>
          <w:rFonts w:ascii="Stone Sans II ITC Std X Bd" w:hAnsi="Stone Sans II ITC Std X Bd"/>
          <w:b/>
          <w:w w:val="110"/>
          <w:sz w:val="24"/>
        </w:rPr>
        <w:t>13</w:t>
      </w:r>
    </w:p>
    <w:p>
      <w:pPr>
        <w:spacing w:after="0"/>
        <w:rPr>
          <w:rFonts w:ascii="Stone Sans II ITC Std X Bd" w:hAnsi="Stone Sans II ITC Std X Bd"/>
          <w:sz w:val="24"/>
        </w:rPr>
        <w:sectPr>
          <w:headerReference w:type="default" r:id="rId85"/>
          <w:footerReference w:type="default" r:id="rId86"/>
          <w:pgSz w:w="11910" w:h="16840"/>
          <w:pgMar w:header="0" w:footer="0" w:top="0" w:bottom="0" w:left="700" w:right="0"/>
        </w:sectPr>
      </w:pPr>
    </w:p>
    <w:p>
      <w:pPr>
        <w:pStyle w:val="BodyText"/>
        <w:rPr>
          <w:rFonts w:ascii="Stone Sans II ITC Std X Bd"/>
          <w:b/>
        </w:rPr>
      </w:pPr>
      <w:r>
        <w:rPr/>
        <w:drawing>
          <wp:anchor distT="0" distB="0" distL="0" distR="0" allowOverlap="1" layoutInCell="1" locked="0" behindDoc="1" simplePos="0" relativeHeight="235238400">
            <wp:simplePos x="0" y="0"/>
            <wp:positionH relativeFrom="page">
              <wp:posOffset>0</wp:posOffset>
            </wp:positionH>
            <wp:positionV relativeFrom="page">
              <wp:posOffset>0</wp:posOffset>
            </wp:positionV>
            <wp:extent cx="594067" cy="10692003"/>
            <wp:effectExtent l="0" t="0" r="0" b="0"/>
            <wp:wrapNone/>
            <wp:docPr id="21" name="image51.png"/>
            <wp:cNvGraphicFramePr>
              <a:graphicFrameLocks noChangeAspect="1"/>
            </wp:cNvGraphicFramePr>
            <a:graphic>
              <a:graphicData uri="http://schemas.openxmlformats.org/drawingml/2006/picture">
                <pic:pic>
                  <pic:nvPicPr>
                    <pic:cNvPr id="22" name="image51.png"/>
                    <pic:cNvPicPr/>
                  </pic:nvPicPr>
                  <pic:blipFill>
                    <a:blip r:embed="rId64" cstate="print"/>
                    <a:stretch>
                      <a:fillRect/>
                    </a:stretch>
                  </pic:blipFill>
                  <pic:spPr>
                    <a:xfrm>
                      <a:off x="0" y="0"/>
                      <a:ext cx="594067" cy="10692003"/>
                    </a:xfrm>
                    <a:prstGeom prst="rect">
                      <a:avLst/>
                    </a:prstGeom>
                  </pic:spPr>
                </pic:pic>
              </a:graphicData>
            </a:graphic>
          </wp:anchor>
        </w:drawing>
      </w:r>
      <w:r>
        <w:rPr/>
        <w:pict>
          <v:line style="position:absolute;mso-position-horizontal-relative:page;mso-position-vertical-relative:page;z-index:251693056" from="595.276001pt,.000015pt" to="595.276001pt,841.890015pt" stroked="true" strokeweight="0pt" strokecolor="#fef4df">
            <v:stroke dashstyle="solid"/>
            <w10:wrap type="none"/>
          </v:line>
        </w:pict>
      </w:r>
      <w:r>
        <w:rPr/>
        <w:pict>
          <v:shape style="position:absolute;margin-left:20.519100pt;margin-top:48.890015pt;width:25.9pt;height:169pt;mso-position-horizontal-relative:page;mso-position-vertical-relative:page;z-index:-268076032" type="#_x0000_t202" filled="false" stroked="false">
            <v:textbox inset="0,0,0,0" style="layout-flow:vertical">
              <w:txbxContent>
                <w:p>
                  <w:pPr>
                    <w:spacing w:before="27"/>
                    <w:ind w:left="20" w:right="0" w:firstLine="0"/>
                    <w:jc w:val="left"/>
                    <w:rPr>
                      <w:sz w:val="39"/>
                    </w:rPr>
                  </w:pPr>
                  <w:r>
                    <w:rPr>
                      <w:color w:val="FFFFFF"/>
                      <w:w w:val="120"/>
                      <w:sz w:val="39"/>
                    </w:rPr>
                    <w:t>Walking the Way</w:t>
                  </w:r>
                </w:p>
              </w:txbxContent>
            </v:textbox>
            <w10:wrap type="none"/>
          </v:shape>
        </w:pict>
      </w:r>
    </w:p>
    <w:p>
      <w:pPr>
        <w:pStyle w:val="BodyText"/>
        <w:spacing w:before="7"/>
        <w:rPr>
          <w:rFonts w:ascii="Stone Sans II ITC Std X Bd"/>
          <w:b/>
          <w:sz w:val="17"/>
        </w:rPr>
      </w:pPr>
    </w:p>
    <w:p>
      <w:pPr>
        <w:spacing w:before="107"/>
        <w:ind w:left="547" w:right="0" w:firstLine="0"/>
        <w:jc w:val="left"/>
        <w:rPr>
          <w:sz w:val="26"/>
        </w:rPr>
      </w:pPr>
      <w:r>
        <w:rPr>
          <w:color w:val="7EAABF"/>
          <w:w w:val="120"/>
          <w:sz w:val="26"/>
        </w:rPr>
        <w:t>Mission Council</w:t>
      </w:r>
    </w:p>
    <w:p>
      <w:pPr>
        <w:pStyle w:val="BodyText"/>
        <w:spacing w:line="235" w:lineRule="auto" w:before="221"/>
        <w:ind w:left="547" w:right="2083"/>
      </w:pPr>
      <w:r>
        <w:rPr>
          <w:w w:val="120"/>
        </w:rPr>
        <w:t>courses, and supervised practice under the guidance of relevant synod personnel such as training officers. Work is being started to assess ways in which other courses such</w:t>
      </w:r>
    </w:p>
    <w:p>
      <w:pPr>
        <w:pStyle w:val="BodyText"/>
        <w:spacing w:line="235" w:lineRule="auto" w:before="1"/>
        <w:ind w:left="547" w:right="1899"/>
      </w:pPr>
      <w:r>
        <w:rPr>
          <w:w w:val="120"/>
        </w:rPr>
        <w:t>as Mission Shaped Ministry can also be used to support those wishing to develop their discipleship in this way.</w:t>
      </w:r>
    </w:p>
    <w:p>
      <w:pPr>
        <w:pStyle w:val="BodyText"/>
        <w:spacing w:before="10"/>
        <w:rPr>
          <w:sz w:val="19"/>
        </w:rPr>
      </w:pPr>
    </w:p>
    <w:p>
      <w:pPr>
        <w:pStyle w:val="ListParagraph"/>
        <w:numPr>
          <w:ilvl w:val="0"/>
          <w:numId w:val="5"/>
        </w:numPr>
        <w:tabs>
          <w:tab w:pos="1227" w:val="left" w:leader="none"/>
          <w:tab w:pos="1228" w:val="left" w:leader="none"/>
        </w:tabs>
        <w:spacing w:line="235" w:lineRule="auto" w:before="0" w:after="0"/>
        <w:ind w:left="547" w:right="2309" w:firstLine="0"/>
        <w:jc w:val="left"/>
        <w:rPr>
          <w:sz w:val="20"/>
        </w:rPr>
      </w:pPr>
      <w:r>
        <w:rPr>
          <w:w w:val="120"/>
          <w:sz w:val="20"/>
        </w:rPr>
        <w:t>The education and learning committee will be responsible for drawing up the terms of reference for the design team to get to work on the new vehicle which will take the place of </w:t>
      </w:r>
      <w:r>
        <w:rPr>
          <w:spacing w:val="2"/>
          <w:w w:val="120"/>
          <w:sz w:val="20"/>
        </w:rPr>
        <w:t>TLS </w:t>
      </w:r>
      <w:r>
        <w:rPr>
          <w:w w:val="120"/>
          <w:sz w:val="20"/>
        </w:rPr>
        <w:t>and which is intended to </w:t>
      </w:r>
      <w:r>
        <w:rPr>
          <w:spacing w:val="2"/>
          <w:w w:val="120"/>
          <w:sz w:val="20"/>
        </w:rPr>
        <w:t>start </w:t>
      </w:r>
      <w:r>
        <w:rPr>
          <w:w w:val="120"/>
          <w:sz w:val="20"/>
        </w:rPr>
        <w:t>in September</w:t>
      </w:r>
      <w:r>
        <w:rPr>
          <w:spacing w:val="35"/>
          <w:w w:val="120"/>
          <w:sz w:val="20"/>
        </w:rPr>
        <w:t> </w:t>
      </w:r>
      <w:r>
        <w:rPr>
          <w:spacing w:val="-5"/>
          <w:w w:val="120"/>
          <w:sz w:val="20"/>
        </w:rPr>
        <w:t>2018.</w:t>
      </w:r>
    </w:p>
    <w:p>
      <w:pPr>
        <w:pStyle w:val="BodyText"/>
        <w:spacing w:before="2"/>
        <w:rPr>
          <w:sz w:val="22"/>
        </w:rPr>
      </w:pPr>
    </w:p>
    <w:p>
      <w:pPr>
        <w:spacing w:before="0"/>
        <w:ind w:left="547" w:right="0" w:firstLine="0"/>
        <w:jc w:val="left"/>
        <w:rPr>
          <w:rFonts w:ascii="Stone Sans II ITC Std Bk"/>
          <w:b/>
          <w:sz w:val="29"/>
        </w:rPr>
      </w:pPr>
      <w:r>
        <w:rPr>
          <w:rFonts w:ascii="Stone Sans II ITC Std Bk"/>
          <w:b/>
          <w:w w:val="110"/>
          <w:sz w:val="29"/>
        </w:rPr>
        <w:t>Putting the pieces together</w:t>
      </w:r>
    </w:p>
    <w:p>
      <w:pPr>
        <w:pStyle w:val="ListParagraph"/>
        <w:numPr>
          <w:ilvl w:val="0"/>
          <w:numId w:val="5"/>
        </w:numPr>
        <w:tabs>
          <w:tab w:pos="1227" w:val="left" w:leader="none"/>
          <w:tab w:pos="1228" w:val="left" w:leader="none"/>
        </w:tabs>
        <w:spacing w:line="235" w:lineRule="auto" w:before="70" w:after="0"/>
        <w:ind w:left="547" w:right="2398" w:firstLine="0"/>
        <w:jc w:val="left"/>
        <w:rPr>
          <w:sz w:val="20"/>
        </w:rPr>
      </w:pPr>
      <w:r>
        <w:rPr>
          <w:w w:val="120"/>
          <w:sz w:val="20"/>
        </w:rPr>
        <w:t>This </w:t>
      </w:r>
      <w:r>
        <w:rPr>
          <w:spacing w:val="2"/>
          <w:w w:val="120"/>
          <w:sz w:val="20"/>
        </w:rPr>
        <w:t>report </w:t>
      </w:r>
      <w:r>
        <w:rPr>
          <w:w w:val="120"/>
          <w:sz w:val="20"/>
        </w:rPr>
        <w:t>has been prepared recognising that many of the </w:t>
      </w:r>
      <w:r>
        <w:rPr>
          <w:spacing w:val="2"/>
          <w:w w:val="120"/>
          <w:sz w:val="20"/>
        </w:rPr>
        <w:t>reports </w:t>
      </w:r>
      <w:r>
        <w:rPr>
          <w:w w:val="120"/>
          <w:sz w:val="20"/>
        </w:rPr>
        <w:t>to this Assembly find their proper perspective within the overall picture described in paragraph 4. The picture of being a community of disciples seeking always to help others</w:t>
      </w:r>
      <w:r>
        <w:rPr>
          <w:spacing w:val="-3"/>
          <w:w w:val="120"/>
          <w:sz w:val="20"/>
        </w:rPr>
        <w:t> </w:t>
      </w:r>
      <w:r>
        <w:rPr>
          <w:w w:val="120"/>
          <w:sz w:val="20"/>
        </w:rPr>
        <w:t>to</w:t>
      </w:r>
      <w:r>
        <w:rPr>
          <w:spacing w:val="-3"/>
          <w:w w:val="120"/>
          <w:sz w:val="20"/>
        </w:rPr>
        <w:t> </w:t>
      </w:r>
      <w:r>
        <w:rPr>
          <w:w w:val="120"/>
          <w:sz w:val="20"/>
        </w:rPr>
        <w:t>follow</w:t>
      </w:r>
      <w:r>
        <w:rPr>
          <w:spacing w:val="-3"/>
          <w:w w:val="120"/>
          <w:sz w:val="20"/>
        </w:rPr>
        <w:t> </w:t>
      </w:r>
      <w:r>
        <w:rPr>
          <w:w w:val="120"/>
          <w:sz w:val="20"/>
        </w:rPr>
        <w:t>in</w:t>
      </w:r>
      <w:r>
        <w:rPr>
          <w:spacing w:val="-3"/>
          <w:w w:val="120"/>
          <w:sz w:val="20"/>
        </w:rPr>
        <w:t> </w:t>
      </w:r>
      <w:r>
        <w:rPr>
          <w:w w:val="120"/>
          <w:sz w:val="20"/>
        </w:rPr>
        <w:t>the</w:t>
      </w:r>
      <w:r>
        <w:rPr>
          <w:spacing w:val="-3"/>
          <w:w w:val="120"/>
          <w:sz w:val="20"/>
        </w:rPr>
        <w:t> </w:t>
      </w:r>
      <w:r>
        <w:rPr>
          <w:w w:val="120"/>
          <w:sz w:val="20"/>
        </w:rPr>
        <w:t>Way</w:t>
      </w:r>
      <w:r>
        <w:rPr>
          <w:spacing w:val="-2"/>
          <w:w w:val="120"/>
          <w:sz w:val="20"/>
        </w:rPr>
        <w:t> </w:t>
      </w:r>
      <w:r>
        <w:rPr>
          <w:w w:val="120"/>
          <w:sz w:val="20"/>
        </w:rPr>
        <w:t>of</w:t>
      </w:r>
      <w:r>
        <w:rPr>
          <w:spacing w:val="-3"/>
          <w:w w:val="120"/>
          <w:sz w:val="20"/>
        </w:rPr>
        <w:t> </w:t>
      </w:r>
      <w:r>
        <w:rPr>
          <w:w w:val="120"/>
          <w:sz w:val="20"/>
        </w:rPr>
        <w:t>Jesus</w:t>
      </w:r>
      <w:r>
        <w:rPr>
          <w:spacing w:val="-3"/>
          <w:w w:val="120"/>
          <w:sz w:val="20"/>
        </w:rPr>
        <w:t> </w:t>
      </w:r>
      <w:r>
        <w:rPr>
          <w:w w:val="120"/>
          <w:sz w:val="20"/>
        </w:rPr>
        <w:t>is</w:t>
      </w:r>
      <w:r>
        <w:rPr>
          <w:spacing w:val="-3"/>
          <w:w w:val="120"/>
          <w:sz w:val="20"/>
        </w:rPr>
        <w:t> </w:t>
      </w:r>
      <w:r>
        <w:rPr>
          <w:w w:val="120"/>
          <w:sz w:val="20"/>
        </w:rPr>
        <w:t>the</w:t>
      </w:r>
      <w:r>
        <w:rPr>
          <w:spacing w:val="-3"/>
          <w:w w:val="120"/>
          <w:sz w:val="20"/>
        </w:rPr>
        <w:t> </w:t>
      </w:r>
      <w:r>
        <w:rPr>
          <w:w w:val="120"/>
          <w:sz w:val="20"/>
        </w:rPr>
        <w:t>key</w:t>
      </w:r>
      <w:r>
        <w:rPr>
          <w:spacing w:val="-2"/>
          <w:w w:val="120"/>
          <w:sz w:val="20"/>
        </w:rPr>
        <w:t> </w:t>
      </w:r>
      <w:r>
        <w:rPr>
          <w:w w:val="120"/>
          <w:sz w:val="20"/>
        </w:rPr>
        <w:t>to</w:t>
      </w:r>
      <w:r>
        <w:rPr>
          <w:spacing w:val="-3"/>
          <w:w w:val="120"/>
          <w:sz w:val="20"/>
        </w:rPr>
        <w:t> </w:t>
      </w:r>
      <w:r>
        <w:rPr>
          <w:w w:val="120"/>
          <w:sz w:val="20"/>
        </w:rPr>
        <w:t>many</w:t>
      </w:r>
      <w:r>
        <w:rPr>
          <w:spacing w:val="-3"/>
          <w:w w:val="120"/>
          <w:sz w:val="20"/>
        </w:rPr>
        <w:t> </w:t>
      </w:r>
      <w:r>
        <w:rPr>
          <w:w w:val="120"/>
          <w:sz w:val="20"/>
        </w:rPr>
        <w:t>of</w:t>
      </w:r>
      <w:r>
        <w:rPr>
          <w:spacing w:val="-3"/>
          <w:w w:val="120"/>
          <w:sz w:val="20"/>
        </w:rPr>
        <w:t> </w:t>
      </w:r>
      <w:r>
        <w:rPr>
          <w:w w:val="120"/>
          <w:sz w:val="20"/>
        </w:rPr>
        <w:t>the</w:t>
      </w:r>
      <w:r>
        <w:rPr>
          <w:spacing w:val="-3"/>
          <w:w w:val="120"/>
          <w:sz w:val="20"/>
        </w:rPr>
        <w:t> </w:t>
      </w:r>
      <w:r>
        <w:rPr>
          <w:w w:val="120"/>
          <w:sz w:val="20"/>
        </w:rPr>
        <w:t>distinct</w:t>
      </w:r>
      <w:r>
        <w:rPr>
          <w:spacing w:val="-2"/>
          <w:w w:val="120"/>
          <w:sz w:val="20"/>
        </w:rPr>
        <w:t> </w:t>
      </w:r>
      <w:r>
        <w:rPr>
          <w:w w:val="120"/>
          <w:sz w:val="20"/>
        </w:rPr>
        <w:t>initiatives</w:t>
      </w:r>
      <w:r>
        <w:rPr>
          <w:spacing w:val="-3"/>
          <w:w w:val="120"/>
          <w:sz w:val="20"/>
        </w:rPr>
        <w:t> </w:t>
      </w:r>
      <w:r>
        <w:rPr>
          <w:w w:val="120"/>
          <w:sz w:val="20"/>
        </w:rPr>
        <w:t>upon which we have been</w:t>
      </w:r>
      <w:r>
        <w:rPr>
          <w:spacing w:val="9"/>
          <w:w w:val="120"/>
          <w:sz w:val="20"/>
        </w:rPr>
        <w:t> </w:t>
      </w:r>
      <w:r>
        <w:rPr>
          <w:w w:val="120"/>
          <w:sz w:val="20"/>
        </w:rPr>
        <w:t>working.</w:t>
      </w:r>
    </w:p>
    <w:p>
      <w:pPr>
        <w:pStyle w:val="BodyText"/>
        <w:spacing w:before="11"/>
        <w:rPr>
          <w:sz w:val="19"/>
        </w:rPr>
      </w:pPr>
    </w:p>
    <w:p>
      <w:pPr>
        <w:pStyle w:val="ListParagraph"/>
        <w:numPr>
          <w:ilvl w:val="0"/>
          <w:numId w:val="5"/>
        </w:numPr>
        <w:tabs>
          <w:tab w:pos="1227" w:val="left" w:leader="none"/>
          <w:tab w:pos="1228" w:val="left" w:leader="none"/>
        </w:tabs>
        <w:spacing w:line="235" w:lineRule="auto" w:before="0" w:after="0"/>
        <w:ind w:left="547" w:right="2625" w:firstLine="0"/>
        <w:jc w:val="left"/>
        <w:rPr>
          <w:sz w:val="20"/>
        </w:rPr>
      </w:pPr>
      <w:r>
        <w:rPr>
          <w:w w:val="120"/>
          <w:sz w:val="20"/>
        </w:rPr>
        <w:t>We see in the work that the faith and order committee has been doing on authorised elders the opportunity for this to be seen as a </w:t>
      </w:r>
      <w:r>
        <w:rPr>
          <w:spacing w:val="2"/>
          <w:w w:val="120"/>
          <w:sz w:val="20"/>
        </w:rPr>
        <w:t>part </w:t>
      </w:r>
      <w:r>
        <w:rPr>
          <w:w w:val="120"/>
          <w:sz w:val="20"/>
        </w:rPr>
        <w:t>of the collaborative patterns of leadership for which Assembly has called in recent </w:t>
      </w:r>
      <w:r>
        <w:rPr>
          <w:spacing w:val="2"/>
          <w:w w:val="120"/>
          <w:sz w:val="20"/>
        </w:rPr>
        <w:t>reports </w:t>
      </w:r>
      <w:r>
        <w:rPr>
          <w:w w:val="120"/>
          <w:sz w:val="20"/>
        </w:rPr>
        <w:t>and which belongs in an emphasis on our making and releasing disciples in the</w:t>
      </w:r>
      <w:r>
        <w:rPr>
          <w:spacing w:val="9"/>
          <w:w w:val="120"/>
          <w:sz w:val="20"/>
        </w:rPr>
        <w:t> </w:t>
      </w:r>
      <w:r>
        <w:rPr>
          <w:w w:val="120"/>
          <w:sz w:val="20"/>
        </w:rPr>
        <w:t>URC.</w:t>
      </w:r>
    </w:p>
    <w:p>
      <w:pPr>
        <w:pStyle w:val="BodyText"/>
        <w:spacing w:before="11"/>
        <w:rPr>
          <w:sz w:val="19"/>
        </w:rPr>
      </w:pPr>
    </w:p>
    <w:p>
      <w:pPr>
        <w:pStyle w:val="ListParagraph"/>
        <w:numPr>
          <w:ilvl w:val="0"/>
          <w:numId w:val="5"/>
        </w:numPr>
        <w:tabs>
          <w:tab w:pos="1227" w:val="left" w:leader="none"/>
          <w:tab w:pos="1228" w:val="left" w:leader="none"/>
        </w:tabs>
        <w:spacing w:line="235" w:lineRule="auto" w:before="0" w:after="0"/>
        <w:ind w:left="547" w:right="2472" w:firstLine="0"/>
        <w:jc w:val="left"/>
        <w:rPr>
          <w:sz w:val="20"/>
        </w:rPr>
      </w:pPr>
      <w:r>
        <w:rPr>
          <w:w w:val="120"/>
          <w:sz w:val="20"/>
        </w:rPr>
        <w:t>The ministries </w:t>
      </w:r>
      <w:r>
        <w:rPr>
          <w:spacing w:val="2"/>
          <w:w w:val="120"/>
          <w:sz w:val="20"/>
        </w:rPr>
        <w:t>report </w:t>
      </w:r>
      <w:r>
        <w:rPr>
          <w:w w:val="120"/>
          <w:sz w:val="20"/>
        </w:rPr>
        <w:t>refers to deployment figures which make clear that  our present way of understanding and valuing this precious resource in the form</w:t>
      </w:r>
      <w:r>
        <w:rPr>
          <w:spacing w:val="3"/>
          <w:w w:val="120"/>
          <w:sz w:val="20"/>
        </w:rPr>
        <w:t> </w:t>
      </w:r>
      <w:r>
        <w:rPr>
          <w:w w:val="120"/>
          <w:sz w:val="20"/>
        </w:rPr>
        <w:t>of</w:t>
      </w:r>
    </w:p>
    <w:p>
      <w:pPr>
        <w:pStyle w:val="BodyText"/>
        <w:spacing w:line="235" w:lineRule="auto" w:before="2"/>
        <w:ind w:left="547" w:right="1955"/>
      </w:pPr>
      <w:r>
        <w:rPr>
          <w:w w:val="120"/>
        </w:rPr>
        <w:t>stipendiary Ministers and CRCWS needs to be re-evaluated. Walking the Way provides the perspective within which this re-evaluation can take place.</w:t>
      </w:r>
    </w:p>
    <w:p>
      <w:pPr>
        <w:pStyle w:val="BodyText"/>
        <w:spacing w:before="9"/>
        <w:rPr>
          <w:sz w:val="19"/>
        </w:rPr>
      </w:pPr>
    </w:p>
    <w:p>
      <w:pPr>
        <w:pStyle w:val="ListParagraph"/>
        <w:numPr>
          <w:ilvl w:val="0"/>
          <w:numId w:val="5"/>
        </w:numPr>
        <w:tabs>
          <w:tab w:pos="1227" w:val="left" w:leader="none"/>
          <w:tab w:pos="1228" w:val="left" w:leader="none"/>
        </w:tabs>
        <w:spacing w:line="235" w:lineRule="auto" w:before="0" w:after="0"/>
        <w:ind w:left="547" w:right="2026" w:firstLine="0"/>
        <w:jc w:val="left"/>
        <w:rPr>
          <w:sz w:val="20"/>
        </w:rPr>
      </w:pPr>
      <w:r>
        <w:rPr>
          <w:w w:val="120"/>
          <w:sz w:val="20"/>
        </w:rPr>
        <w:t>Groups within the Church are calling out for our vision not to be segmented into different groups defined by theology, age or ethnicity. The </w:t>
      </w:r>
      <w:r>
        <w:rPr>
          <w:spacing w:val="-3"/>
          <w:w w:val="120"/>
          <w:sz w:val="20"/>
        </w:rPr>
        <w:t>children’s </w:t>
      </w:r>
      <w:r>
        <w:rPr>
          <w:w w:val="120"/>
          <w:sz w:val="20"/>
        </w:rPr>
        <w:t>and youth work committee want to initiate intergenerational events for the whole Church. Intercultural ministries are reminding us that their multicultural days are not simply for those with a minority ethnic background but for the whole</w:t>
      </w:r>
      <w:r>
        <w:rPr>
          <w:spacing w:val="23"/>
          <w:w w:val="120"/>
          <w:sz w:val="20"/>
        </w:rPr>
        <w:t> </w:t>
      </w:r>
      <w:r>
        <w:rPr>
          <w:w w:val="120"/>
          <w:sz w:val="20"/>
        </w:rPr>
        <w:t>Church.</w:t>
      </w:r>
    </w:p>
    <w:p>
      <w:pPr>
        <w:pStyle w:val="BodyText"/>
      </w:pPr>
    </w:p>
    <w:p>
      <w:pPr>
        <w:pStyle w:val="ListParagraph"/>
        <w:numPr>
          <w:ilvl w:val="0"/>
          <w:numId w:val="5"/>
        </w:numPr>
        <w:tabs>
          <w:tab w:pos="1227" w:val="left" w:leader="none"/>
          <w:tab w:pos="1228" w:val="left" w:leader="none"/>
        </w:tabs>
        <w:spacing w:line="235" w:lineRule="auto" w:before="0" w:after="0"/>
        <w:ind w:left="547" w:right="2287" w:firstLine="0"/>
        <w:jc w:val="left"/>
        <w:rPr>
          <w:sz w:val="20"/>
        </w:rPr>
      </w:pPr>
      <w:r>
        <w:rPr>
          <w:w w:val="120"/>
          <w:sz w:val="20"/>
        </w:rPr>
        <w:t>Accordingly in </w:t>
      </w:r>
      <w:r>
        <w:rPr>
          <w:spacing w:val="-9"/>
          <w:w w:val="120"/>
          <w:sz w:val="20"/>
        </w:rPr>
        <w:t>2017 </w:t>
      </w:r>
      <w:r>
        <w:rPr>
          <w:w w:val="120"/>
          <w:sz w:val="20"/>
        </w:rPr>
        <w:t>the theme of Feasts and Festivals has been adopted for  the prayer handbook and has been embraced by a broad coalition within the Church as a means of celebrating our inherited and developing identity. The steering group encourages every local church to engage with the events of the year using resources which will be provided. A handbook of ideas will be circulated to churches in September and this will be supported by web-based</w:t>
      </w:r>
      <w:r>
        <w:rPr>
          <w:spacing w:val="25"/>
          <w:w w:val="120"/>
          <w:sz w:val="20"/>
        </w:rPr>
        <w:t> </w:t>
      </w:r>
      <w:r>
        <w:rPr>
          <w:w w:val="120"/>
          <w:sz w:val="20"/>
        </w:rPr>
        <w:t>materials.</w:t>
      </w:r>
    </w:p>
    <w:p>
      <w:pPr>
        <w:pStyle w:val="BodyText"/>
      </w:pPr>
    </w:p>
    <w:p>
      <w:pPr>
        <w:pStyle w:val="ListParagraph"/>
        <w:numPr>
          <w:ilvl w:val="0"/>
          <w:numId w:val="5"/>
        </w:numPr>
        <w:tabs>
          <w:tab w:pos="1227" w:val="left" w:leader="none"/>
          <w:tab w:pos="1228" w:val="left" w:leader="none"/>
        </w:tabs>
        <w:spacing w:line="235" w:lineRule="auto" w:before="0" w:after="0"/>
        <w:ind w:left="547" w:right="2147" w:firstLine="0"/>
        <w:jc w:val="left"/>
        <w:rPr>
          <w:sz w:val="20"/>
        </w:rPr>
      </w:pPr>
      <w:r>
        <w:rPr>
          <w:w w:val="120"/>
          <w:sz w:val="20"/>
        </w:rPr>
        <w:t>During the spring and summer of </w:t>
      </w:r>
      <w:r>
        <w:rPr>
          <w:spacing w:val="-9"/>
          <w:w w:val="120"/>
          <w:sz w:val="20"/>
        </w:rPr>
        <w:t>2017 </w:t>
      </w:r>
      <w:r>
        <w:rPr>
          <w:w w:val="120"/>
          <w:sz w:val="20"/>
        </w:rPr>
        <w:t>members of the General Secretariat and Assembly staff will take to the road giving presentations on Walking the Way which  will help ministers and elders understand this fresh emphasis and what they can do in response to</w:t>
      </w:r>
      <w:r>
        <w:rPr>
          <w:spacing w:val="3"/>
          <w:w w:val="120"/>
          <w:sz w:val="20"/>
        </w:rPr>
        <w:t> </w:t>
      </w:r>
      <w:r>
        <w:rPr>
          <w:w w:val="120"/>
          <w:sz w:val="20"/>
        </w:rPr>
        <w:t>it.</w:t>
      </w:r>
    </w:p>
    <w:p>
      <w:pPr>
        <w:pStyle w:val="BodyText"/>
        <w:spacing w:before="11"/>
        <w:rPr>
          <w:sz w:val="19"/>
        </w:rPr>
      </w:pPr>
    </w:p>
    <w:p>
      <w:pPr>
        <w:pStyle w:val="ListParagraph"/>
        <w:numPr>
          <w:ilvl w:val="0"/>
          <w:numId w:val="5"/>
        </w:numPr>
        <w:tabs>
          <w:tab w:pos="1227" w:val="left" w:leader="none"/>
          <w:tab w:pos="1228" w:val="left" w:leader="none"/>
        </w:tabs>
        <w:spacing w:line="235" w:lineRule="auto" w:before="0" w:after="0"/>
        <w:ind w:left="547" w:right="2096" w:firstLine="0"/>
        <w:jc w:val="left"/>
        <w:rPr>
          <w:sz w:val="20"/>
        </w:rPr>
      </w:pPr>
      <w:r>
        <w:rPr>
          <w:w w:val="120"/>
          <w:sz w:val="20"/>
        </w:rPr>
        <w:t>In the summer of </w:t>
      </w:r>
      <w:r>
        <w:rPr>
          <w:spacing w:val="-9"/>
          <w:w w:val="120"/>
          <w:sz w:val="20"/>
        </w:rPr>
        <w:t>2017 </w:t>
      </w:r>
      <w:r>
        <w:rPr>
          <w:w w:val="120"/>
          <w:sz w:val="20"/>
        </w:rPr>
        <w:t>another booklet will be produced for local churches with practical suggestions as to how Walking the Way might be useful in their</w:t>
      </w:r>
      <w:r>
        <w:rPr>
          <w:spacing w:val="47"/>
          <w:w w:val="120"/>
          <w:sz w:val="20"/>
        </w:rPr>
        <w:t> </w:t>
      </w:r>
      <w:r>
        <w:rPr>
          <w:w w:val="120"/>
          <w:sz w:val="20"/>
        </w:rPr>
        <w:t>context.</w:t>
      </w:r>
    </w:p>
    <w:p>
      <w:pPr>
        <w:pStyle w:val="BodyText"/>
        <w:spacing w:before="10"/>
        <w:rPr>
          <w:sz w:val="19"/>
        </w:rPr>
      </w:pPr>
    </w:p>
    <w:p>
      <w:pPr>
        <w:pStyle w:val="ListParagraph"/>
        <w:numPr>
          <w:ilvl w:val="0"/>
          <w:numId w:val="5"/>
        </w:numPr>
        <w:tabs>
          <w:tab w:pos="1227" w:val="left" w:leader="none"/>
          <w:tab w:pos="1228" w:val="left" w:leader="none"/>
        </w:tabs>
        <w:spacing w:line="235" w:lineRule="auto" w:before="0" w:after="0"/>
        <w:ind w:left="547" w:right="2443" w:firstLine="0"/>
        <w:jc w:val="left"/>
        <w:rPr>
          <w:sz w:val="20"/>
        </w:rPr>
      </w:pPr>
      <w:r>
        <w:rPr>
          <w:w w:val="120"/>
          <w:sz w:val="20"/>
        </w:rPr>
        <w:t>The steering group are encouraged that the incoming Assembly Moderators have taken as their focus ‘People of the</w:t>
      </w:r>
      <w:r>
        <w:rPr>
          <w:spacing w:val="10"/>
          <w:w w:val="120"/>
          <w:sz w:val="20"/>
        </w:rPr>
        <w:t> </w:t>
      </w:r>
      <w:r>
        <w:rPr>
          <w:spacing w:val="-5"/>
          <w:w w:val="120"/>
          <w:sz w:val="20"/>
        </w:rPr>
        <w:t>Way’.</w:t>
      </w:r>
    </w:p>
    <w:p>
      <w:pPr>
        <w:pStyle w:val="BodyText"/>
        <w:spacing w:before="9"/>
        <w:rPr>
          <w:sz w:val="19"/>
        </w:rPr>
      </w:pPr>
    </w:p>
    <w:p>
      <w:pPr>
        <w:pStyle w:val="ListParagraph"/>
        <w:numPr>
          <w:ilvl w:val="0"/>
          <w:numId w:val="5"/>
        </w:numPr>
        <w:tabs>
          <w:tab w:pos="1227" w:val="left" w:leader="none"/>
          <w:tab w:pos="1228" w:val="left" w:leader="none"/>
        </w:tabs>
        <w:spacing w:line="235" w:lineRule="auto" w:before="0" w:after="0"/>
        <w:ind w:left="547" w:right="2110" w:firstLine="0"/>
        <w:jc w:val="left"/>
        <w:rPr>
          <w:sz w:val="20"/>
        </w:rPr>
      </w:pPr>
      <w:r>
        <w:rPr>
          <w:w w:val="120"/>
          <w:sz w:val="20"/>
        </w:rPr>
        <w:t>This report is offered in the hope that it </w:t>
      </w:r>
      <w:r>
        <w:rPr>
          <w:spacing w:val="-3"/>
          <w:w w:val="120"/>
          <w:sz w:val="20"/>
        </w:rPr>
        <w:t>may </w:t>
      </w:r>
      <w:r>
        <w:rPr>
          <w:w w:val="120"/>
          <w:sz w:val="20"/>
        </w:rPr>
        <w:t>enable us </w:t>
      </w:r>
      <w:r>
        <w:rPr>
          <w:spacing w:val="-3"/>
          <w:w w:val="120"/>
          <w:sz w:val="20"/>
        </w:rPr>
        <w:t>to come </w:t>
      </w:r>
      <w:r>
        <w:rPr>
          <w:w w:val="120"/>
          <w:sz w:val="20"/>
        </w:rPr>
        <w:t>together as we learn afresh what it means </w:t>
      </w:r>
      <w:r>
        <w:rPr>
          <w:spacing w:val="-3"/>
          <w:w w:val="120"/>
          <w:sz w:val="20"/>
        </w:rPr>
        <w:t>to envision, </w:t>
      </w:r>
      <w:r>
        <w:rPr>
          <w:w w:val="120"/>
          <w:sz w:val="20"/>
        </w:rPr>
        <w:t>with the help of some of our pioneer </w:t>
      </w:r>
      <w:r>
        <w:rPr>
          <w:spacing w:val="-3"/>
          <w:w w:val="120"/>
          <w:sz w:val="20"/>
        </w:rPr>
        <w:t>ministers, </w:t>
      </w:r>
      <w:r>
        <w:rPr>
          <w:w w:val="120"/>
          <w:sz w:val="20"/>
        </w:rPr>
        <w:t>what</w:t>
      </w:r>
      <w:r>
        <w:rPr>
          <w:spacing w:val="-9"/>
          <w:w w:val="120"/>
          <w:sz w:val="20"/>
        </w:rPr>
        <w:t> </w:t>
      </w:r>
      <w:r>
        <w:rPr>
          <w:w w:val="120"/>
          <w:sz w:val="20"/>
        </w:rPr>
        <w:t>it</w:t>
      </w:r>
      <w:r>
        <w:rPr>
          <w:spacing w:val="-8"/>
          <w:w w:val="120"/>
          <w:sz w:val="20"/>
        </w:rPr>
        <w:t> </w:t>
      </w:r>
      <w:r>
        <w:rPr>
          <w:w w:val="120"/>
          <w:sz w:val="20"/>
        </w:rPr>
        <w:t>means</w:t>
      </w:r>
      <w:r>
        <w:rPr>
          <w:spacing w:val="-8"/>
          <w:w w:val="120"/>
          <w:sz w:val="20"/>
        </w:rPr>
        <w:t> </w:t>
      </w:r>
      <w:r>
        <w:rPr>
          <w:spacing w:val="-3"/>
          <w:w w:val="120"/>
          <w:sz w:val="20"/>
        </w:rPr>
        <w:t>to</w:t>
      </w:r>
      <w:r>
        <w:rPr>
          <w:spacing w:val="-8"/>
          <w:w w:val="120"/>
          <w:sz w:val="20"/>
        </w:rPr>
        <w:t> </w:t>
      </w:r>
      <w:r>
        <w:rPr>
          <w:w w:val="120"/>
          <w:sz w:val="20"/>
        </w:rPr>
        <w:t>be</w:t>
      </w:r>
      <w:r>
        <w:rPr>
          <w:spacing w:val="-8"/>
          <w:w w:val="120"/>
          <w:sz w:val="20"/>
        </w:rPr>
        <w:t> </w:t>
      </w:r>
      <w:r>
        <w:rPr>
          <w:w w:val="120"/>
          <w:sz w:val="20"/>
        </w:rPr>
        <w:t>transformed</w:t>
      </w:r>
      <w:r>
        <w:rPr>
          <w:spacing w:val="-8"/>
          <w:w w:val="120"/>
          <w:sz w:val="20"/>
        </w:rPr>
        <w:t> </w:t>
      </w:r>
      <w:r>
        <w:rPr>
          <w:w w:val="120"/>
          <w:sz w:val="20"/>
        </w:rPr>
        <w:t>by</w:t>
      </w:r>
      <w:r>
        <w:rPr>
          <w:spacing w:val="-8"/>
          <w:w w:val="120"/>
          <w:sz w:val="20"/>
        </w:rPr>
        <w:t> </w:t>
      </w:r>
      <w:r>
        <w:rPr>
          <w:w w:val="120"/>
          <w:sz w:val="20"/>
        </w:rPr>
        <w:t>the</w:t>
      </w:r>
      <w:r>
        <w:rPr>
          <w:spacing w:val="-8"/>
          <w:w w:val="120"/>
          <w:sz w:val="20"/>
        </w:rPr>
        <w:t> </w:t>
      </w:r>
      <w:r>
        <w:rPr>
          <w:w w:val="120"/>
          <w:sz w:val="20"/>
        </w:rPr>
        <w:t>Gospel</w:t>
      </w:r>
      <w:r>
        <w:rPr>
          <w:spacing w:val="-8"/>
          <w:w w:val="120"/>
          <w:sz w:val="20"/>
        </w:rPr>
        <w:t> </w:t>
      </w:r>
      <w:r>
        <w:rPr>
          <w:w w:val="120"/>
          <w:sz w:val="20"/>
        </w:rPr>
        <w:t>and</w:t>
      </w:r>
      <w:r>
        <w:rPr>
          <w:spacing w:val="-8"/>
          <w:w w:val="120"/>
          <w:sz w:val="20"/>
        </w:rPr>
        <w:t> </w:t>
      </w:r>
      <w:r>
        <w:rPr>
          <w:w w:val="120"/>
          <w:sz w:val="20"/>
        </w:rPr>
        <w:t>making</w:t>
      </w:r>
      <w:r>
        <w:rPr>
          <w:spacing w:val="-8"/>
          <w:w w:val="120"/>
          <w:sz w:val="20"/>
        </w:rPr>
        <w:t> </w:t>
      </w:r>
      <w:r>
        <w:rPr>
          <w:w w:val="120"/>
          <w:sz w:val="20"/>
        </w:rPr>
        <w:t>a</w:t>
      </w:r>
      <w:r>
        <w:rPr>
          <w:spacing w:val="-8"/>
          <w:w w:val="120"/>
          <w:sz w:val="20"/>
        </w:rPr>
        <w:t> </w:t>
      </w:r>
      <w:r>
        <w:rPr>
          <w:w w:val="120"/>
          <w:sz w:val="20"/>
        </w:rPr>
        <w:t>difference</w:t>
      </w:r>
      <w:r>
        <w:rPr>
          <w:spacing w:val="-8"/>
          <w:w w:val="120"/>
          <w:sz w:val="20"/>
        </w:rPr>
        <w:t> </w:t>
      </w:r>
      <w:r>
        <w:rPr>
          <w:w w:val="120"/>
          <w:sz w:val="20"/>
        </w:rPr>
        <w:t>for</w:t>
      </w:r>
      <w:r>
        <w:rPr>
          <w:spacing w:val="-8"/>
          <w:w w:val="120"/>
          <w:sz w:val="20"/>
        </w:rPr>
        <w:t> </w:t>
      </w:r>
      <w:r>
        <w:rPr>
          <w:spacing w:val="-3"/>
          <w:w w:val="120"/>
          <w:sz w:val="20"/>
        </w:rPr>
        <w:t>Christ’s</w:t>
      </w:r>
      <w:r>
        <w:rPr>
          <w:spacing w:val="-8"/>
          <w:w w:val="120"/>
          <w:sz w:val="20"/>
        </w:rPr>
        <w:t> </w:t>
      </w:r>
      <w:r>
        <w:rPr>
          <w:spacing w:val="-3"/>
          <w:w w:val="120"/>
          <w:sz w:val="20"/>
        </w:rPr>
        <w:t>sake.</w:t>
      </w:r>
    </w:p>
    <w:p>
      <w:pPr>
        <w:spacing w:after="0" w:line="235" w:lineRule="auto"/>
        <w:jc w:val="left"/>
        <w:rPr>
          <w:sz w:val="20"/>
        </w:rPr>
        <w:sectPr>
          <w:headerReference w:type="even" r:id="rId87"/>
          <w:footerReference w:type="even" r:id="rId88"/>
          <w:pgSz w:w="11910" w:h="16840"/>
          <w:pgMar w:header="0" w:footer="647" w:top="0" w:bottom="840" w:left="700" w:right="0"/>
          <w:pgNumType w:start="14"/>
        </w:sectPr>
      </w:pPr>
    </w:p>
    <w:p>
      <w:pPr>
        <w:pStyle w:val="BodyText"/>
      </w:pPr>
      <w:r>
        <w:rPr/>
        <w:pict>
          <v:rect style="position:absolute;margin-left:0pt;margin-top:.000015pt;width:549.207pt;height:841.89pt;mso-position-horizontal-relative:page;mso-position-vertical-relative:page;z-index:-268075008" filled="true" fillcolor="#fef4df" stroked="false">
            <v:fill type="solid"/>
            <w10:wrap type="none"/>
          </v:rect>
        </w:pict>
      </w:r>
      <w:r>
        <w:rPr/>
        <w:drawing>
          <wp:anchor distT="0" distB="0" distL="0" distR="0" allowOverlap="1" layoutInCell="1" locked="0" behindDoc="0" simplePos="0" relativeHeight="251696128">
            <wp:simplePos x="0" y="0"/>
            <wp:positionH relativeFrom="page">
              <wp:posOffset>6974928</wp:posOffset>
            </wp:positionH>
            <wp:positionV relativeFrom="page">
              <wp:posOffset>0</wp:posOffset>
            </wp:positionV>
            <wp:extent cx="585063" cy="10692003"/>
            <wp:effectExtent l="0" t="0" r="0" b="0"/>
            <wp:wrapNone/>
            <wp:docPr id="23" name="image27.png"/>
            <wp:cNvGraphicFramePr>
              <a:graphicFrameLocks noChangeAspect="1"/>
            </wp:cNvGraphicFramePr>
            <a:graphic>
              <a:graphicData uri="http://schemas.openxmlformats.org/drawingml/2006/picture">
                <pic:pic>
                  <pic:nvPicPr>
                    <pic:cNvPr id="24" name="image27.png"/>
                    <pic:cNvPicPr/>
                  </pic:nvPicPr>
                  <pic:blipFill>
                    <a:blip r:embed="rId34" cstate="print"/>
                    <a:stretch>
                      <a:fillRect/>
                    </a:stretch>
                  </pic:blipFill>
                  <pic:spPr>
                    <a:xfrm>
                      <a:off x="0" y="0"/>
                      <a:ext cx="585063" cy="10692003"/>
                    </a:xfrm>
                    <a:prstGeom prst="rect">
                      <a:avLst/>
                    </a:prstGeom>
                  </pic:spPr>
                </pic:pic>
              </a:graphicData>
            </a:graphic>
          </wp:anchor>
        </w:drawing>
      </w:r>
    </w:p>
    <w:p>
      <w:pPr>
        <w:pStyle w:val="BodyText"/>
      </w:pPr>
    </w:p>
    <w:p>
      <w:pPr>
        <w:pStyle w:val="BodyText"/>
      </w:pPr>
    </w:p>
    <w:p>
      <w:pPr>
        <w:pStyle w:val="BodyText"/>
        <w:spacing w:before="5"/>
        <w:rPr>
          <w:sz w:val="28"/>
        </w:rPr>
      </w:pPr>
    </w:p>
    <w:p>
      <w:pPr>
        <w:spacing w:line="638" w:lineRule="exact" w:before="97"/>
        <w:ind w:left="1043" w:right="0" w:firstLine="0"/>
        <w:jc w:val="left"/>
        <w:rPr>
          <w:rFonts w:ascii="Stone Sans II ITC Std X Bd"/>
          <w:b/>
          <w:sz w:val="50"/>
        </w:rPr>
      </w:pPr>
      <w:r>
        <w:rPr/>
        <w:pict>
          <v:shape style="position:absolute;margin-left:554.141174pt;margin-top:-5.998084pt;width:25.9pt;height:313.7pt;mso-position-horizontal-relative:page;mso-position-vertical-relative:paragraph;z-index:251697152" type="#_x0000_t202" filled="false" stroked="false">
            <v:textbox inset="0,0,0,0" style="layout-flow:vertical">
              <w:txbxContent>
                <w:p>
                  <w:pPr>
                    <w:spacing w:before="27"/>
                    <w:ind w:left="20" w:right="0" w:firstLine="0"/>
                    <w:jc w:val="left"/>
                    <w:rPr>
                      <w:sz w:val="39"/>
                    </w:rPr>
                  </w:pPr>
                  <w:r>
                    <w:rPr>
                      <w:color w:val="FFFFFF"/>
                      <w:w w:val="120"/>
                      <w:sz w:val="39"/>
                    </w:rPr>
                    <w:t>Safeguarding Past Case Review</w:t>
                  </w:r>
                </w:p>
              </w:txbxContent>
            </v:textbox>
            <w10:wrap type="none"/>
          </v:shape>
        </w:pict>
      </w:r>
      <w:r>
        <w:rPr>
          <w:rFonts w:ascii="Stone Sans II ITC Std X Bd"/>
          <w:b/>
          <w:color w:val="F1B400"/>
          <w:w w:val="110"/>
          <w:sz w:val="50"/>
        </w:rPr>
        <w:t>Mission Council:</w:t>
      </w:r>
    </w:p>
    <w:p>
      <w:pPr>
        <w:spacing w:line="638" w:lineRule="exact" w:before="0"/>
        <w:ind w:left="1043" w:right="0" w:firstLine="0"/>
        <w:jc w:val="left"/>
        <w:rPr>
          <w:rFonts w:ascii="Stone Sans II ITC Std X Bd"/>
          <w:b/>
          <w:sz w:val="50"/>
        </w:rPr>
      </w:pPr>
      <w:r>
        <w:rPr>
          <w:rFonts w:ascii="Stone Sans II ITC Std X Bd"/>
          <w:b/>
          <w:w w:val="110"/>
          <w:sz w:val="50"/>
        </w:rPr>
        <w:t>Safeguarding Past Case Review</w:t>
      </w:r>
    </w:p>
    <w:p>
      <w:pPr>
        <w:pStyle w:val="Heading4"/>
        <w:spacing w:before="308"/>
        <w:ind w:left="1043"/>
      </w:pPr>
      <w:r>
        <w:rPr>
          <w:color w:val="7F7F7F"/>
        </w:rPr>
        <w:t>Basic Information</w:t>
      </w:r>
    </w:p>
    <w:tbl>
      <w:tblPr>
        <w:tblW w:w="0" w:type="auto"/>
        <w:jc w:val="left"/>
        <w:tblInd w:w="105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660"/>
        <w:gridCol w:w="6582"/>
      </w:tblGrid>
      <w:tr>
        <w:trPr>
          <w:trHeight w:val="680" w:hRule="atLeast"/>
        </w:trPr>
        <w:tc>
          <w:tcPr>
            <w:tcW w:w="2660" w:type="dxa"/>
            <w:shd w:val="clear" w:color="auto" w:fill="FFFFFF"/>
          </w:tcPr>
          <w:p>
            <w:pPr>
              <w:pStyle w:val="TableParagraph"/>
              <w:spacing w:line="213" w:lineRule="auto" w:before="151"/>
              <w:ind w:right="595"/>
              <w:rPr>
                <w:rFonts w:ascii="Stone Sans II ITC Std Bk"/>
                <w:b/>
                <w:sz w:val="20"/>
              </w:rPr>
            </w:pPr>
            <w:r>
              <w:rPr>
                <w:rFonts w:ascii="Stone Sans II ITC Std Bk"/>
                <w:b/>
                <w:w w:val="110"/>
                <w:sz w:val="20"/>
              </w:rPr>
              <w:t>Contact name and email address</w:t>
            </w:r>
          </w:p>
        </w:tc>
        <w:tc>
          <w:tcPr>
            <w:tcW w:w="6582" w:type="dxa"/>
            <w:shd w:val="clear" w:color="auto" w:fill="FFFFFF"/>
          </w:tcPr>
          <w:p>
            <w:pPr>
              <w:pStyle w:val="TableParagraph"/>
              <w:spacing w:line="235" w:lineRule="auto" w:before="145"/>
              <w:ind w:right="2089"/>
              <w:rPr>
                <w:sz w:val="20"/>
              </w:rPr>
            </w:pPr>
            <w:r>
              <w:rPr>
                <w:w w:val="120"/>
                <w:sz w:val="20"/>
              </w:rPr>
              <w:t>Cassi Wright: </w:t>
            </w:r>
            <w:hyperlink r:id="rId91">
              <w:r>
                <w:rPr>
                  <w:color w:val="006AB3"/>
                  <w:w w:val="120"/>
                  <w:sz w:val="20"/>
                </w:rPr>
                <w:t>cassi.wright@urc.org.uk</w:t>
              </w:r>
            </w:hyperlink>
            <w:r>
              <w:rPr>
                <w:color w:val="006AB3"/>
                <w:w w:val="120"/>
                <w:sz w:val="20"/>
              </w:rPr>
              <w:t> </w:t>
            </w:r>
            <w:r>
              <w:rPr>
                <w:w w:val="120"/>
                <w:sz w:val="20"/>
              </w:rPr>
              <w:t>Richard Church: </w:t>
            </w:r>
            <w:hyperlink r:id="rId82">
              <w:r>
                <w:rPr>
                  <w:color w:val="006AB3"/>
                  <w:w w:val="120"/>
                  <w:sz w:val="20"/>
                </w:rPr>
                <w:t>richard.church@urc.org.uk</w:t>
              </w:r>
            </w:hyperlink>
          </w:p>
        </w:tc>
      </w:tr>
      <w:tr>
        <w:trPr>
          <w:trHeight w:val="440" w:hRule="atLeast"/>
        </w:trPr>
        <w:tc>
          <w:tcPr>
            <w:tcW w:w="2660" w:type="dxa"/>
            <w:shd w:val="clear" w:color="auto" w:fill="FFFFFF"/>
          </w:tcPr>
          <w:p>
            <w:pPr>
              <w:pStyle w:val="TableParagraph"/>
              <w:spacing w:before="128"/>
              <w:rPr>
                <w:rFonts w:ascii="Stone Sans II ITC Std Bk"/>
                <w:b/>
                <w:sz w:val="20"/>
              </w:rPr>
            </w:pPr>
            <w:r>
              <w:rPr>
                <w:rFonts w:ascii="Stone Sans II ITC Std Bk"/>
                <w:b/>
                <w:w w:val="110"/>
                <w:sz w:val="20"/>
              </w:rPr>
              <w:t>Action required</w:t>
            </w:r>
          </w:p>
        </w:tc>
        <w:tc>
          <w:tcPr>
            <w:tcW w:w="6582" w:type="dxa"/>
            <w:shd w:val="clear" w:color="auto" w:fill="FFFFFF"/>
          </w:tcPr>
          <w:p>
            <w:pPr>
              <w:pStyle w:val="TableParagraph"/>
              <w:spacing w:before="141"/>
              <w:rPr>
                <w:sz w:val="20"/>
              </w:rPr>
            </w:pPr>
            <w:r>
              <w:rPr>
                <w:w w:val="120"/>
                <w:sz w:val="20"/>
              </w:rPr>
              <w:t>For information only</w:t>
            </w:r>
          </w:p>
        </w:tc>
      </w:tr>
      <w:tr>
        <w:trPr>
          <w:trHeight w:val="440" w:hRule="atLeast"/>
        </w:trPr>
        <w:tc>
          <w:tcPr>
            <w:tcW w:w="2660" w:type="dxa"/>
            <w:shd w:val="clear" w:color="auto" w:fill="FFFFFF"/>
          </w:tcPr>
          <w:p>
            <w:pPr>
              <w:pStyle w:val="TableParagraph"/>
              <w:spacing w:before="128"/>
              <w:rPr>
                <w:rFonts w:ascii="Stone Sans II ITC Std Bk"/>
                <w:b/>
                <w:sz w:val="20"/>
              </w:rPr>
            </w:pPr>
            <w:r>
              <w:rPr>
                <w:rFonts w:ascii="Stone Sans II ITC Std Bk"/>
                <w:b/>
                <w:w w:val="110"/>
                <w:sz w:val="20"/>
              </w:rPr>
              <w:t>Draft resolution(s)</w:t>
            </w:r>
          </w:p>
        </w:tc>
        <w:tc>
          <w:tcPr>
            <w:tcW w:w="6582" w:type="dxa"/>
            <w:shd w:val="clear" w:color="auto" w:fill="FFFFFF"/>
          </w:tcPr>
          <w:p>
            <w:pPr>
              <w:pStyle w:val="TableParagraph"/>
              <w:spacing w:before="128"/>
              <w:rPr>
                <w:rFonts w:ascii="Stone Sans II ITC Std Bk"/>
                <w:b/>
                <w:sz w:val="20"/>
              </w:rPr>
            </w:pPr>
            <w:r>
              <w:rPr>
                <w:rFonts w:ascii="Stone Sans II ITC Std Bk"/>
                <w:b/>
                <w:w w:val="110"/>
                <w:sz w:val="20"/>
              </w:rPr>
              <w:t>None</w:t>
            </w:r>
          </w:p>
        </w:tc>
      </w:tr>
    </w:tbl>
    <w:p>
      <w:pPr>
        <w:pStyle w:val="BodyText"/>
        <w:spacing w:before="4"/>
        <w:rPr>
          <w:rFonts w:ascii="Stone Sans II ITC Std Bk"/>
          <w:b/>
          <w:sz w:val="29"/>
        </w:rPr>
      </w:pPr>
    </w:p>
    <w:p>
      <w:pPr>
        <w:pStyle w:val="Heading4"/>
        <w:ind w:left="1043"/>
      </w:pPr>
      <w:r>
        <w:rPr>
          <w:color w:val="7F7F7F"/>
        </w:rPr>
        <w:t>Summary of Content</w:t>
      </w:r>
    </w:p>
    <w:tbl>
      <w:tblPr>
        <w:tblW w:w="0" w:type="auto"/>
        <w:jc w:val="left"/>
        <w:tblInd w:w="105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660"/>
        <w:gridCol w:w="6582"/>
      </w:tblGrid>
      <w:tr>
        <w:trPr>
          <w:trHeight w:val="440" w:hRule="atLeast"/>
        </w:trPr>
        <w:tc>
          <w:tcPr>
            <w:tcW w:w="2660" w:type="dxa"/>
            <w:shd w:val="clear" w:color="auto" w:fill="FFFFFF"/>
          </w:tcPr>
          <w:p>
            <w:pPr>
              <w:pStyle w:val="TableParagraph"/>
              <w:spacing w:before="128"/>
              <w:rPr>
                <w:rFonts w:ascii="Stone Sans II ITC Std Bk"/>
                <w:b/>
                <w:sz w:val="20"/>
              </w:rPr>
            </w:pPr>
            <w:r>
              <w:rPr>
                <w:rFonts w:ascii="Stone Sans II ITC Std Bk"/>
                <w:b/>
                <w:w w:val="110"/>
                <w:sz w:val="20"/>
              </w:rPr>
              <w:t>Subject and aim(s)</w:t>
            </w:r>
          </w:p>
        </w:tc>
        <w:tc>
          <w:tcPr>
            <w:tcW w:w="6582" w:type="dxa"/>
            <w:shd w:val="clear" w:color="auto" w:fill="FFFFFF"/>
          </w:tcPr>
          <w:p>
            <w:pPr>
              <w:pStyle w:val="TableParagraph"/>
              <w:spacing w:before="141"/>
              <w:rPr>
                <w:sz w:val="20"/>
              </w:rPr>
            </w:pPr>
            <w:r>
              <w:rPr>
                <w:w w:val="120"/>
                <w:sz w:val="20"/>
              </w:rPr>
              <w:t>Update on progress of phase two of the Past Case Review</w:t>
            </w:r>
          </w:p>
        </w:tc>
      </w:tr>
      <w:tr>
        <w:trPr>
          <w:trHeight w:val="680" w:hRule="atLeast"/>
        </w:trPr>
        <w:tc>
          <w:tcPr>
            <w:tcW w:w="2660" w:type="dxa"/>
            <w:shd w:val="clear" w:color="auto" w:fill="FFFFFF"/>
          </w:tcPr>
          <w:p>
            <w:pPr>
              <w:pStyle w:val="TableParagraph"/>
              <w:spacing w:before="128"/>
              <w:rPr>
                <w:rFonts w:ascii="Stone Sans II ITC Std Bk"/>
                <w:b/>
                <w:sz w:val="20"/>
              </w:rPr>
            </w:pPr>
            <w:r>
              <w:rPr>
                <w:rFonts w:ascii="Stone Sans II ITC Std Bk"/>
                <w:b/>
                <w:w w:val="110"/>
                <w:sz w:val="20"/>
              </w:rPr>
              <w:t>Main points</w:t>
            </w:r>
          </w:p>
        </w:tc>
        <w:tc>
          <w:tcPr>
            <w:tcW w:w="6582" w:type="dxa"/>
            <w:shd w:val="clear" w:color="auto" w:fill="FFFFFF"/>
          </w:tcPr>
          <w:p>
            <w:pPr>
              <w:pStyle w:val="TableParagraph"/>
              <w:spacing w:line="235" w:lineRule="auto" w:before="145"/>
              <w:ind w:right="804"/>
              <w:rPr>
                <w:sz w:val="20"/>
              </w:rPr>
            </w:pPr>
            <w:r>
              <w:rPr>
                <w:w w:val="120"/>
                <w:sz w:val="20"/>
              </w:rPr>
              <w:t>To provide an update on progress for of phase two since Mission Council March 2016</w:t>
            </w:r>
          </w:p>
        </w:tc>
      </w:tr>
      <w:tr>
        <w:trPr>
          <w:trHeight w:val="680" w:hRule="atLeast"/>
        </w:trPr>
        <w:tc>
          <w:tcPr>
            <w:tcW w:w="2660" w:type="dxa"/>
            <w:shd w:val="clear" w:color="auto" w:fill="FFFFFF"/>
          </w:tcPr>
          <w:p>
            <w:pPr>
              <w:pStyle w:val="TableParagraph"/>
              <w:spacing w:line="213" w:lineRule="auto" w:before="151"/>
              <w:ind w:right="701"/>
              <w:rPr>
                <w:rFonts w:ascii="Stone Sans II ITC Std Bk"/>
                <w:b/>
                <w:sz w:val="20"/>
              </w:rPr>
            </w:pPr>
            <w:r>
              <w:rPr>
                <w:rFonts w:ascii="Stone Sans II ITC Std Bk"/>
                <w:b/>
                <w:w w:val="110"/>
                <w:sz w:val="20"/>
              </w:rPr>
              <w:t>Previous relevant documents</w:t>
            </w:r>
          </w:p>
        </w:tc>
        <w:tc>
          <w:tcPr>
            <w:tcW w:w="6582" w:type="dxa"/>
            <w:shd w:val="clear" w:color="auto" w:fill="FFFFFF"/>
          </w:tcPr>
          <w:p>
            <w:pPr>
              <w:pStyle w:val="TableParagraph"/>
              <w:spacing w:line="235" w:lineRule="auto" w:before="145"/>
              <w:ind w:right="1443"/>
              <w:rPr>
                <w:sz w:val="20"/>
              </w:rPr>
            </w:pPr>
            <w:r>
              <w:rPr>
                <w:w w:val="120"/>
                <w:sz w:val="20"/>
              </w:rPr>
              <w:t>Papers R1 and R2, Mission Council, March 2016 Paper R2, Mission Council, November 2015</w:t>
            </w:r>
          </w:p>
        </w:tc>
      </w:tr>
      <w:tr>
        <w:trPr>
          <w:trHeight w:val="1880" w:hRule="atLeast"/>
        </w:trPr>
        <w:tc>
          <w:tcPr>
            <w:tcW w:w="2660" w:type="dxa"/>
            <w:shd w:val="clear" w:color="auto" w:fill="FFFFFF"/>
          </w:tcPr>
          <w:p>
            <w:pPr>
              <w:pStyle w:val="TableParagraph"/>
              <w:spacing w:line="213" w:lineRule="auto" w:before="151"/>
              <w:ind w:right="104"/>
              <w:rPr>
                <w:rFonts w:ascii="Stone Sans II ITC Std Bk"/>
                <w:b/>
                <w:sz w:val="20"/>
              </w:rPr>
            </w:pPr>
            <w:r>
              <w:rPr>
                <w:rFonts w:ascii="Stone Sans II ITC Std Bk"/>
                <w:b/>
                <w:w w:val="110"/>
                <w:sz w:val="20"/>
              </w:rPr>
              <w:t>Consultation has taken place with...</w:t>
            </w:r>
          </w:p>
        </w:tc>
        <w:tc>
          <w:tcPr>
            <w:tcW w:w="6582" w:type="dxa"/>
            <w:shd w:val="clear" w:color="auto" w:fill="FFFFFF"/>
          </w:tcPr>
          <w:p>
            <w:pPr>
              <w:pStyle w:val="TableParagraph"/>
              <w:spacing w:line="235" w:lineRule="auto" w:before="145"/>
              <w:ind w:right="4139"/>
              <w:rPr>
                <w:sz w:val="20"/>
              </w:rPr>
            </w:pPr>
            <w:r>
              <w:rPr>
                <w:w w:val="120"/>
                <w:sz w:val="20"/>
              </w:rPr>
              <w:t>Richard Church Elizabeth Gray-King</w:t>
            </w:r>
          </w:p>
          <w:p>
            <w:pPr>
              <w:pStyle w:val="TableParagraph"/>
              <w:spacing w:line="235" w:lineRule="auto" w:before="1"/>
              <w:ind w:right="2664"/>
              <w:rPr>
                <w:sz w:val="20"/>
              </w:rPr>
            </w:pPr>
            <w:r>
              <w:rPr>
                <w:w w:val="120"/>
                <w:sz w:val="20"/>
              </w:rPr>
              <w:t>The safeguarding advisory group Graham Wilmer – The Lantern Project Jane Dowdell – Wessex Synod</w:t>
            </w:r>
          </w:p>
          <w:p>
            <w:pPr>
              <w:pStyle w:val="TableParagraph"/>
              <w:spacing w:line="235" w:lineRule="auto" w:before="2"/>
              <w:ind w:right="3018"/>
              <w:rPr>
                <w:sz w:val="20"/>
              </w:rPr>
            </w:pPr>
            <w:r>
              <w:rPr>
                <w:w w:val="120"/>
                <w:sz w:val="20"/>
              </w:rPr>
              <w:t>Mel Campbell – Northern Synod The synod moderators</w:t>
            </w:r>
          </w:p>
        </w:tc>
      </w:tr>
    </w:tbl>
    <w:p>
      <w:pPr>
        <w:pStyle w:val="BodyText"/>
        <w:spacing w:before="3"/>
        <w:rPr>
          <w:rFonts w:ascii="Stone Sans II ITC Std Bk"/>
          <w:b/>
          <w:sz w:val="29"/>
        </w:rPr>
      </w:pPr>
    </w:p>
    <w:p>
      <w:pPr>
        <w:pStyle w:val="Heading4"/>
        <w:ind w:left="1043"/>
      </w:pPr>
      <w:r>
        <w:rPr>
          <w:color w:val="7F7F7F"/>
        </w:rPr>
        <w:t>Summary of Impact</w:t>
      </w:r>
    </w:p>
    <w:tbl>
      <w:tblPr>
        <w:tblW w:w="0" w:type="auto"/>
        <w:jc w:val="left"/>
        <w:tblInd w:w="105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660"/>
        <w:gridCol w:w="6582"/>
      </w:tblGrid>
      <w:tr>
        <w:trPr>
          <w:trHeight w:val="920" w:hRule="atLeast"/>
        </w:trPr>
        <w:tc>
          <w:tcPr>
            <w:tcW w:w="2660" w:type="dxa"/>
            <w:shd w:val="clear" w:color="auto" w:fill="FFFFFF"/>
          </w:tcPr>
          <w:p>
            <w:pPr>
              <w:pStyle w:val="TableParagraph"/>
              <w:spacing w:before="128"/>
              <w:rPr>
                <w:rFonts w:ascii="Stone Sans II ITC Std Bk"/>
                <w:b/>
                <w:sz w:val="20"/>
              </w:rPr>
            </w:pPr>
            <w:r>
              <w:rPr>
                <w:rFonts w:ascii="Stone Sans II ITC Std Bk"/>
                <w:b/>
                <w:w w:val="110"/>
                <w:sz w:val="20"/>
              </w:rPr>
              <w:t>Financial</w:t>
            </w:r>
          </w:p>
        </w:tc>
        <w:tc>
          <w:tcPr>
            <w:tcW w:w="6582" w:type="dxa"/>
            <w:shd w:val="clear" w:color="auto" w:fill="FFFFFF"/>
          </w:tcPr>
          <w:p>
            <w:pPr>
              <w:pStyle w:val="TableParagraph"/>
              <w:spacing w:line="235" w:lineRule="auto" w:before="145"/>
              <w:ind w:right="334"/>
              <w:jc w:val="both"/>
              <w:rPr>
                <w:sz w:val="20"/>
              </w:rPr>
            </w:pPr>
            <w:r>
              <w:rPr>
                <w:w w:val="120"/>
                <w:sz w:val="20"/>
              </w:rPr>
              <w:t>£10,000 has been allocated in the first instance for phase two. Further funds are available, if required, to facilitate the</w:t>
            </w:r>
            <w:r>
              <w:rPr>
                <w:spacing w:val="-33"/>
                <w:w w:val="120"/>
                <w:sz w:val="20"/>
              </w:rPr>
              <w:t> </w:t>
            </w:r>
            <w:r>
              <w:rPr>
                <w:w w:val="120"/>
                <w:sz w:val="20"/>
              </w:rPr>
              <w:t>process and</w:t>
            </w:r>
            <w:r>
              <w:rPr>
                <w:spacing w:val="1"/>
                <w:w w:val="120"/>
                <w:sz w:val="20"/>
              </w:rPr>
              <w:t> </w:t>
            </w:r>
            <w:r>
              <w:rPr>
                <w:w w:val="120"/>
                <w:sz w:val="20"/>
              </w:rPr>
              <w:t>response</w:t>
            </w:r>
          </w:p>
        </w:tc>
      </w:tr>
      <w:tr>
        <w:trPr>
          <w:trHeight w:val="920" w:hRule="atLeast"/>
        </w:trPr>
        <w:tc>
          <w:tcPr>
            <w:tcW w:w="2660" w:type="dxa"/>
            <w:shd w:val="clear" w:color="auto" w:fill="FFFFFF"/>
          </w:tcPr>
          <w:p>
            <w:pPr>
              <w:pStyle w:val="TableParagraph"/>
              <w:spacing w:line="255" w:lineRule="exact" w:before="128"/>
              <w:rPr>
                <w:rFonts w:ascii="Stone Sans II ITC Std Bk"/>
                <w:b/>
                <w:sz w:val="20"/>
              </w:rPr>
            </w:pPr>
            <w:r>
              <w:rPr>
                <w:rFonts w:ascii="Stone Sans II ITC Std Bk"/>
                <w:b/>
                <w:w w:val="110"/>
                <w:sz w:val="20"/>
              </w:rPr>
              <w:t>External</w:t>
            </w:r>
          </w:p>
          <w:p>
            <w:pPr>
              <w:pStyle w:val="TableParagraph"/>
              <w:spacing w:line="255" w:lineRule="exact"/>
              <w:rPr>
                <w:rFonts w:ascii="Stone Sans II ITC Std Bk"/>
                <w:b/>
                <w:sz w:val="20"/>
              </w:rPr>
            </w:pPr>
            <w:r>
              <w:rPr>
                <w:rFonts w:ascii="Stone Sans II ITC Std Bk"/>
                <w:b/>
                <w:w w:val="110"/>
                <w:sz w:val="20"/>
              </w:rPr>
              <w:t>(e.g. ecumenical)</w:t>
            </w:r>
          </w:p>
        </w:tc>
        <w:tc>
          <w:tcPr>
            <w:tcW w:w="6582" w:type="dxa"/>
            <w:shd w:val="clear" w:color="auto" w:fill="FFFFFF"/>
          </w:tcPr>
          <w:p>
            <w:pPr>
              <w:pStyle w:val="TableParagraph"/>
              <w:spacing w:line="235" w:lineRule="auto" w:before="145"/>
              <w:rPr>
                <w:sz w:val="20"/>
              </w:rPr>
            </w:pPr>
            <w:r>
              <w:rPr>
                <w:w w:val="120"/>
                <w:sz w:val="20"/>
              </w:rPr>
              <w:t>Liaison with the Methodist Church, the Church of England, the Lantern Project and The Churches’ Child Protection Advisory Service (CCPAS).</w:t>
            </w:r>
          </w:p>
        </w:tc>
      </w:tr>
    </w:tbl>
    <w:p>
      <w:pPr>
        <w:pStyle w:val="BodyText"/>
        <w:rPr>
          <w:rFonts w:ascii="Stone Sans II ITC Std Bk"/>
          <w:b/>
          <w:sz w:val="30"/>
        </w:rPr>
      </w:pPr>
    </w:p>
    <w:p>
      <w:pPr>
        <w:pStyle w:val="BodyText"/>
        <w:rPr>
          <w:rFonts w:ascii="Stone Sans II ITC Std Bk"/>
          <w:b/>
          <w:sz w:val="30"/>
        </w:rPr>
      </w:pPr>
    </w:p>
    <w:p>
      <w:pPr>
        <w:pStyle w:val="BodyText"/>
        <w:rPr>
          <w:rFonts w:ascii="Stone Sans II ITC Std Bk"/>
          <w:b/>
          <w:sz w:val="30"/>
        </w:rPr>
      </w:pPr>
    </w:p>
    <w:p>
      <w:pPr>
        <w:pStyle w:val="BodyText"/>
        <w:rPr>
          <w:rFonts w:ascii="Stone Sans II ITC Std Bk"/>
          <w:b/>
          <w:sz w:val="30"/>
        </w:rPr>
      </w:pPr>
    </w:p>
    <w:p>
      <w:pPr>
        <w:pStyle w:val="BodyText"/>
        <w:rPr>
          <w:rFonts w:ascii="Stone Sans II ITC Std Bk"/>
          <w:b/>
          <w:sz w:val="30"/>
        </w:rPr>
      </w:pPr>
    </w:p>
    <w:p>
      <w:pPr>
        <w:pStyle w:val="BodyText"/>
        <w:rPr>
          <w:rFonts w:ascii="Stone Sans II ITC Std Bk"/>
          <w:b/>
          <w:sz w:val="30"/>
        </w:rPr>
      </w:pPr>
    </w:p>
    <w:p>
      <w:pPr>
        <w:pStyle w:val="BodyText"/>
        <w:rPr>
          <w:rFonts w:ascii="Stone Sans II ITC Std Bk"/>
          <w:b/>
          <w:sz w:val="30"/>
        </w:rPr>
      </w:pPr>
    </w:p>
    <w:p>
      <w:pPr>
        <w:pStyle w:val="BodyText"/>
        <w:rPr>
          <w:rFonts w:ascii="Stone Sans II ITC Std Bk"/>
          <w:b/>
          <w:sz w:val="30"/>
        </w:rPr>
      </w:pPr>
    </w:p>
    <w:p>
      <w:pPr>
        <w:pStyle w:val="BodyText"/>
        <w:rPr>
          <w:rFonts w:ascii="Stone Sans II ITC Std Bk"/>
          <w:b/>
          <w:sz w:val="30"/>
        </w:rPr>
      </w:pPr>
    </w:p>
    <w:p>
      <w:pPr>
        <w:pStyle w:val="BodyText"/>
        <w:spacing w:before="12"/>
        <w:rPr>
          <w:rFonts w:ascii="Stone Sans II ITC Std Bk"/>
          <w:b/>
          <w:sz w:val="43"/>
        </w:rPr>
      </w:pPr>
    </w:p>
    <w:p>
      <w:pPr>
        <w:pStyle w:val="Heading6"/>
        <w:spacing w:before="0"/>
        <w:ind w:left="3818"/>
        <w:rPr>
          <w:rFonts w:ascii="Stone Sans II ITC Std X Bd" w:hAnsi="Stone Sans II ITC Std X Bd"/>
          <w:b/>
          <w:sz w:val="24"/>
        </w:rPr>
      </w:pPr>
      <w:r>
        <w:rPr>
          <w:color w:val="7EAABF"/>
          <w:w w:val="110"/>
        </w:rPr>
        <w:t>United Reformed Church </w:t>
      </w:r>
      <w:r>
        <w:rPr>
          <w:rFonts w:ascii="Symbol" w:hAnsi="Symbol"/>
          <w:color w:val="7EAABF"/>
          <w:w w:val="110"/>
        </w:rPr>
        <w:t></w:t>
      </w:r>
      <w:r>
        <w:rPr>
          <w:rFonts w:ascii="Times New Roman" w:hAnsi="Times New Roman"/>
          <w:color w:val="7EAABF"/>
          <w:w w:val="110"/>
        </w:rPr>
        <w:t> </w:t>
      </w:r>
      <w:r>
        <w:rPr>
          <w:color w:val="7EAABF"/>
          <w:w w:val="110"/>
        </w:rPr>
        <w:t>General Assembly 2016 </w:t>
      </w:r>
      <w:r>
        <w:rPr>
          <w:rFonts w:ascii="Symbol" w:hAnsi="Symbol"/>
          <w:color w:val="7EAABF"/>
          <w:w w:val="110"/>
        </w:rPr>
        <w:t></w:t>
      </w:r>
      <w:r>
        <w:rPr>
          <w:rFonts w:ascii="Times New Roman" w:hAnsi="Times New Roman"/>
          <w:color w:val="7EAABF"/>
          <w:w w:val="110"/>
        </w:rPr>
        <w:t> </w:t>
      </w:r>
      <w:r>
        <w:rPr>
          <w:rFonts w:ascii="Stone Sans II ITC Std X Bd" w:hAnsi="Stone Sans II ITC Std X Bd"/>
          <w:b/>
          <w:w w:val="110"/>
          <w:sz w:val="24"/>
        </w:rPr>
        <w:t>15</w:t>
      </w:r>
    </w:p>
    <w:p>
      <w:pPr>
        <w:spacing w:after="0"/>
        <w:rPr>
          <w:rFonts w:ascii="Stone Sans II ITC Std X Bd" w:hAnsi="Stone Sans II ITC Std X Bd"/>
          <w:sz w:val="24"/>
        </w:rPr>
        <w:sectPr>
          <w:headerReference w:type="default" r:id="rId89"/>
          <w:footerReference w:type="default" r:id="rId90"/>
          <w:pgSz w:w="11910" w:h="16840"/>
          <w:pgMar w:header="0" w:footer="0" w:top="0" w:bottom="0" w:left="700" w:right="0"/>
        </w:sectPr>
      </w:pPr>
    </w:p>
    <w:p>
      <w:pPr>
        <w:pStyle w:val="BodyText"/>
        <w:rPr>
          <w:rFonts w:ascii="Stone Sans II ITC Std X Bd"/>
          <w:b/>
        </w:rPr>
      </w:pPr>
      <w:r>
        <w:rPr/>
        <w:drawing>
          <wp:anchor distT="0" distB="0" distL="0" distR="0" allowOverlap="1" layoutInCell="1" locked="0" behindDoc="1" simplePos="0" relativeHeight="235244544">
            <wp:simplePos x="0" y="0"/>
            <wp:positionH relativeFrom="page">
              <wp:posOffset>0</wp:posOffset>
            </wp:positionH>
            <wp:positionV relativeFrom="page">
              <wp:posOffset>0</wp:posOffset>
            </wp:positionV>
            <wp:extent cx="594067" cy="10692003"/>
            <wp:effectExtent l="0" t="0" r="0" b="0"/>
            <wp:wrapNone/>
            <wp:docPr id="25" name="image51.png"/>
            <wp:cNvGraphicFramePr>
              <a:graphicFrameLocks noChangeAspect="1"/>
            </wp:cNvGraphicFramePr>
            <a:graphic>
              <a:graphicData uri="http://schemas.openxmlformats.org/drawingml/2006/picture">
                <pic:pic>
                  <pic:nvPicPr>
                    <pic:cNvPr id="26" name="image51.png"/>
                    <pic:cNvPicPr/>
                  </pic:nvPicPr>
                  <pic:blipFill>
                    <a:blip r:embed="rId64" cstate="print"/>
                    <a:stretch>
                      <a:fillRect/>
                    </a:stretch>
                  </pic:blipFill>
                  <pic:spPr>
                    <a:xfrm>
                      <a:off x="0" y="0"/>
                      <a:ext cx="594067" cy="10692003"/>
                    </a:xfrm>
                    <a:prstGeom prst="rect">
                      <a:avLst/>
                    </a:prstGeom>
                  </pic:spPr>
                </pic:pic>
              </a:graphicData>
            </a:graphic>
          </wp:anchor>
        </w:drawing>
      </w:r>
      <w:r>
        <w:rPr/>
        <w:pict>
          <v:shape style="position:absolute;margin-left:20.519100pt;margin-top:48.890015pt;width:25.9pt;height:313.7pt;mso-position-horizontal-relative:page;mso-position-vertical-relative:page;z-index:-268070912" type="#_x0000_t202" filled="false" stroked="false">
            <v:textbox inset="0,0,0,0" style="layout-flow:vertical">
              <w:txbxContent>
                <w:p>
                  <w:pPr>
                    <w:spacing w:before="27"/>
                    <w:ind w:left="20" w:right="0" w:firstLine="0"/>
                    <w:jc w:val="left"/>
                    <w:rPr>
                      <w:sz w:val="39"/>
                    </w:rPr>
                  </w:pPr>
                  <w:r>
                    <w:rPr>
                      <w:color w:val="FFFFFF"/>
                      <w:w w:val="120"/>
                      <w:sz w:val="39"/>
                    </w:rPr>
                    <w:t>Safeguarding Past Case Review</w:t>
                  </w:r>
                </w:p>
              </w:txbxContent>
            </v:textbox>
            <w10:wrap type="none"/>
          </v:shape>
        </w:pict>
      </w:r>
    </w:p>
    <w:p>
      <w:pPr>
        <w:pStyle w:val="BodyText"/>
        <w:spacing w:before="7"/>
        <w:rPr>
          <w:rFonts w:ascii="Stone Sans II ITC Std X Bd"/>
          <w:b/>
          <w:sz w:val="17"/>
        </w:rPr>
      </w:pPr>
    </w:p>
    <w:p>
      <w:pPr>
        <w:spacing w:before="107"/>
        <w:ind w:left="547" w:right="0" w:firstLine="0"/>
        <w:jc w:val="left"/>
        <w:rPr>
          <w:sz w:val="26"/>
        </w:rPr>
      </w:pPr>
      <w:r>
        <w:rPr>
          <w:color w:val="7EAABF"/>
          <w:w w:val="120"/>
          <w:sz w:val="26"/>
        </w:rPr>
        <w:t>Mission Council</w:t>
      </w:r>
    </w:p>
    <w:p>
      <w:pPr>
        <w:spacing w:before="245"/>
        <w:ind w:left="547" w:right="0" w:firstLine="0"/>
        <w:jc w:val="left"/>
        <w:rPr>
          <w:rFonts w:ascii="Stone Sans II ITC Std X Bd"/>
          <w:b/>
          <w:sz w:val="50"/>
        </w:rPr>
      </w:pPr>
      <w:r>
        <w:rPr>
          <w:rFonts w:ascii="Stone Sans II ITC Std X Bd"/>
          <w:b/>
          <w:w w:val="110"/>
          <w:sz w:val="50"/>
        </w:rPr>
        <w:t>Safeguarding Past Case Review</w:t>
      </w:r>
    </w:p>
    <w:p>
      <w:pPr>
        <w:pStyle w:val="ListParagraph"/>
        <w:numPr>
          <w:ilvl w:val="0"/>
          <w:numId w:val="6"/>
        </w:numPr>
        <w:tabs>
          <w:tab w:pos="1227" w:val="left" w:leader="none"/>
          <w:tab w:pos="1228" w:val="left" w:leader="none"/>
        </w:tabs>
        <w:spacing w:line="235" w:lineRule="auto" w:before="413" w:after="0"/>
        <w:ind w:left="547" w:right="2308" w:firstLine="0"/>
        <w:jc w:val="left"/>
        <w:rPr>
          <w:sz w:val="20"/>
        </w:rPr>
      </w:pPr>
      <w:r>
        <w:rPr>
          <w:w w:val="120"/>
          <w:sz w:val="20"/>
        </w:rPr>
        <w:t>At Mission Council in March </w:t>
      </w:r>
      <w:r>
        <w:rPr>
          <w:spacing w:val="-6"/>
          <w:w w:val="120"/>
          <w:sz w:val="20"/>
        </w:rPr>
        <w:t>2016, </w:t>
      </w:r>
      <w:r>
        <w:rPr>
          <w:w w:val="120"/>
          <w:sz w:val="20"/>
        </w:rPr>
        <w:t>the resolution agreeing the principle of the design, as outlined in paper </w:t>
      </w:r>
      <w:r>
        <w:rPr>
          <w:spacing w:val="-4"/>
          <w:w w:val="120"/>
          <w:sz w:val="20"/>
        </w:rPr>
        <w:t>R1 </w:t>
      </w:r>
      <w:r>
        <w:rPr>
          <w:w w:val="120"/>
          <w:sz w:val="20"/>
        </w:rPr>
        <w:t>and R2, and instructing the safeguarding advisory group to finalise plans for the process, was passed by</w:t>
      </w:r>
      <w:r>
        <w:rPr>
          <w:spacing w:val="16"/>
          <w:w w:val="120"/>
          <w:sz w:val="20"/>
        </w:rPr>
        <w:t> </w:t>
      </w:r>
      <w:r>
        <w:rPr>
          <w:w w:val="120"/>
          <w:sz w:val="20"/>
        </w:rPr>
        <w:t>consensus.</w:t>
      </w:r>
    </w:p>
    <w:p>
      <w:pPr>
        <w:pStyle w:val="BodyText"/>
        <w:spacing w:before="6"/>
        <w:rPr>
          <w:sz w:val="19"/>
        </w:rPr>
      </w:pPr>
    </w:p>
    <w:p>
      <w:pPr>
        <w:pStyle w:val="ListParagraph"/>
        <w:numPr>
          <w:ilvl w:val="0"/>
          <w:numId w:val="6"/>
        </w:numPr>
        <w:tabs>
          <w:tab w:pos="1227" w:val="left" w:leader="none"/>
          <w:tab w:pos="1228" w:val="left" w:leader="none"/>
        </w:tabs>
        <w:spacing w:line="240" w:lineRule="auto" w:before="0" w:after="0"/>
        <w:ind w:left="1227" w:right="0" w:hanging="681"/>
        <w:jc w:val="left"/>
        <w:rPr>
          <w:sz w:val="20"/>
        </w:rPr>
      </w:pPr>
      <w:r>
        <w:rPr>
          <w:w w:val="120"/>
          <w:sz w:val="20"/>
        </w:rPr>
        <w:t>The papers referenced above can be located as</w:t>
      </w:r>
      <w:r>
        <w:rPr>
          <w:spacing w:val="16"/>
          <w:w w:val="120"/>
          <w:sz w:val="20"/>
        </w:rPr>
        <w:t> </w:t>
      </w:r>
      <w:r>
        <w:rPr>
          <w:w w:val="120"/>
          <w:sz w:val="20"/>
        </w:rPr>
        <w:t>follows:</w:t>
      </w:r>
    </w:p>
    <w:p>
      <w:pPr>
        <w:pStyle w:val="BodyText"/>
        <w:spacing w:before="8"/>
        <w:rPr>
          <w:sz w:val="19"/>
        </w:rPr>
      </w:pPr>
    </w:p>
    <w:p>
      <w:pPr>
        <w:pStyle w:val="BodyText"/>
        <w:spacing w:line="235" w:lineRule="auto"/>
        <w:ind w:left="547" w:right="2083"/>
      </w:pPr>
      <w:r>
        <w:rPr>
          <w:w w:val="120"/>
        </w:rPr>
        <w:t>Paper R1: </w:t>
      </w:r>
      <w:hyperlink r:id="rId95">
        <w:r>
          <w:rPr>
            <w:color w:val="006AB3"/>
            <w:w w:val="120"/>
          </w:rPr>
          <w:t>http://www.urc.org.uk/images/MissionCouncil/March2016/R1-Safeguarding-</w:t>
        </w:r>
      </w:hyperlink>
      <w:r>
        <w:rPr>
          <w:color w:val="006AB3"/>
          <w:w w:val="120"/>
        </w:rPr>
        <w:t> </w:t>
      </w:r>
      <w:hyperlink r:id="rId95">
        <w:r>
          <w:rPr>
            <w:color w:val="006AB3"/>
            <w:w w:val="120"/>
          </w:rPr>
          <w:t>past-cases-review-March-2016.pdf</w:t>
        </w:r>
      </w:hyperlink>
    </w:p>
    <w:p>
      <w:pPr>
        <w:pStyle w:val="BodyText"/>
        <w:spacing w:before="9"/>
        <w:rPr>
          <w:sz w:val="19"/>
        </w:rPr>
      </w:pPr>
    </w:p>
    <w:p>
      <w:pPr>
        <w:pStyle w:val="BodyText"/>
        <w:spacing w:line="235" w:lineRule="auto" w:before="1"/>
        <w:ind w:left="547" w:right="2093"/>
      </w:pPr>
      <w:r>
        <w:rPr>
          <w:w w:val="120"/>
        </w:rPr>
        <w:t>Paper R2: </w:t>
      </w:r>
      <w:hyperlink r:id="rId96">
        <w:r>
          <w:rPr>
            <w:color w:val="006AB3"/>
            <w:w w:val="120"/>
          </w:rPr>
          <w:t>http://www.urc.org.uk/images/MissionCouncil/March2016/R2-Safeguarding-</w:t>
        </w:r>
      </w:hyperlink>
      <w:r>
        <w:rPr>
          <w:color w:val="006AB3"/>
          <w:w w:val="120"/>
        </w:rPr>
        <w:t> </w:t>
      </w:r>
      <w:hyperlink r:id="rId96">
        <w:r>
          <w:rPr>
            <w:color w:val="006AB3"/>
            <w:w w:val="120"/>
          </w:rPr>
          <w:t>MC-March-2016.pdf</w:t>
        </w:r>
      </w:hyperlink>
    </w:p>
    <w:p>
      <w:pPr>
        <w:pStyle w:val="BodyText"/>
        <w:spacing w:before="9"/>
        <w:rPr>
          <w:sz w:val="19"/>
        </w:rPr>
      </w:pPr>
    </w:p>
    <w:p>
      <w:pPr>
        <w:pStyle w:val="ListParagraph"/>
        <w:numPr>
          <w:ilvl w:val="0"/>
          <w:numId w:val="6"/>
        </w:numPr>
        <w:tabs>
          <w:tab w:pos="1227" w:val="left" w:leader="none"/>
          <w:tab w:pos="1228" w:val="left" w:leader="none"/>
        </w:tabs>
        <w:spacing w:line="235" w:lineRule="auto" w:before="0" w:after="0"/>
        <w:ind w:left="547" w:right="2023" w:firstLine="0"/>
        <w:jc w:val="both"/>
        <w:rPr>
          <w:sz w:val="20"/>
        </w:rPr>
      </w:pPr>
      <w:r>
        <w:rPr>
          <w:w w:val="120"/>
          <w:sz w:val="20"/>
        </w:rPr>
        <w:t>Phase two is an open invitation for anyone to raise concerns about the behaviour or conduct of anyone affiliated with the URC since its formation in </w:t>
      </w:r>
      <w:r>
        <w:rPr>
          <w:spacing w:val="-6"/>
          <w:w w:val="120"/>
          <w:sz w:val="20"/>
        </w:rPr>
        <w:t>1972. </w:t>
      </w:r>
      <w:r>
        <w:rPr>
          <w:w w:val="120"/>
          <w:sz w:val="20"/>
        </w:rPr>
        <w:t>At the</w:t>
      </w:r>
      <w:r>
        <w:rPr>
          <w:spacing w:val="39"/>
          <w:w w:val="120"/>
          <w:sz w:val="20"/>
        </w:rPr>
        <w:t> </w:t>
      </w:r>
      <w:r>
        <w:rPr>
          <w:w w:val="120"/>
          <w:sz w:val="20"/>
        </w:rPr>
        <w:t>time</w:t>
      </w:r>
    </w:p>
    <w:p>
      <w:pPr>
        <w:pStyle w:val="BodyText"/>
        <w:spacing w:line="235" w:lineRule="auto" w:before="2"/>
        <w:ind w:left="547" w:right="2309"/>
        <w:jc w:val="both"/>
      </w:pPr>
      <w:r>
        <w:rPr>
          <w:w w:val="120"/>
        </w:rPr>
        <w:t>of writing, it is hoped that this phase will commence in July 2016. Formal notification of the launch date will be made via synods, local churches, social media sites and the national press, to ensure that the message is widely received.</w:t>
      </w:r>
    </w:p>
    <w:p>
      <w:pPr>
        <w:pStyle w:val="BodyText"/>
        <w:spacing w:before="10"/>
        <w:rPr>
          <w:sz w:val="19"/>
        </w:rPr>
      </w:pPr>
    </w:p>
    <w:p>
      <w:pPr>
        <w:pStyle w:val="ListParagraph"/>
        <w:numPr>
          <w:ilvl w:val="0"/>
          <w:numId w:val="6"/>
        </w:numPr>
        <w:tabs>
          <w:tab w:pos="1227" w:val="left" w:leader="none"/>
          <w:tab w:pos="1228" w:val="left" w:leader="none"/>
        </w:tabs>
        <w:spacing w:line="235" w:lineRule="auto" w:before="0" w:after="0"/>
        <w:ind w:left="547" w:right="2206" w:firstLine="0"/>
        <w:jc w:val="left"/>
        <w:rPr>
          <w:sz w:val="20"/>
        </w:rPr>
      </w:pPr>
      <w:r>
        <w:rPr>
          <w:spacing w:val="3"/>
          <w:w w:val="120"/>
          <w:sz w:val="20"/>
        </w:rPr>
        <w:t>As </w:t>
      </w:r>
      <w:r>
        <w:rPr>
          <w:w w:val="120"/>
          <w:sz w:val="20"/>
        </w:rPr>
        <w:t>outlined, this phase will consist of four categories: listening, allegation handling, pastoral care and learning. The flow chart opposite provides an overview of the process of phase</w:t>
      </w:r>
      <w:r>
        <w:rPr>
          <w:spacing w:val="7"/>
          <w:w w:val="120"/>
          <w:sz w:val="20"/>
        </w:rPr>
        <w:t> </w:t>
      </w:r>
      <w:r>
        <w:rPr>
          <w:w w:val="120"/>
          <w:sz w:val="20"/>
        </w:rPr>
        <w:t>two.</w:t>
      </w:r>
    </w:p>
    <w:p>
      <w:pPr>
        <w:pStyle w:val="BodyText"/>
        <w:spacing w:before="10"/>
        <w:rPr>
          <w:sz w:val="19"/>
        </w:rPr>
      </w:pPr>
    </w:p>
    <w:p>
      <w:pPr>
        <w:pStyle w:val="ListParagraph"/>
        <w:numPr>
          <w:ilvl w:val="0"/>
          <w:numId w:val="6"/>
        </w:numPr>
        <w:tabs>
          <w:tab w:pos="1227" w:val="left" w:leader="none"/>
          <w:tab w:pos="1228" w:val="left" w:leader="none"/>
        </w:tabs>
        <w:spacing w:line="235" w:lineRule="auto" w:before="0" w:after="0"/>
        <w:ind w:left="547" w:right="2015" w:firstLine="0"/>
        <w:jc w:val="left"/>
        <w:rPr>
          <w:sz w:val="20"/>
        </w:rPr>
      </w:pPr>
      <w:r>
        <w:rPr>
          <w:w w:val="120"/>
          <w:sz w:val="20"/>
        </w:rPr>
        <w:t>There will be three contact methods for people wishing to make a complaint; via an automated secure telephone system which will obtain basic personal contact details, via a secure email address or via the URC website. All complainants will be allocated a listener, who will receive the complaint through either a telephone call or a face</w:t>
      </w:r>
      <w:r>
        <w:rPr>
          <w:spacing w:val="23"/>
          <w:w w:val="120"/>
          <w:sz w:val="20"/>
        </w:rPr>
        <w:t> </w:t>
      </w:r>
      <w:r>
        <w:rPr>
          <w:w w:val="120"/>
          <w:sz w:val="20"/>
        </w:rPr>
        <w:t>to</w:t>
      </w:r>
    </w:p>
    <w:p>
      <w:pPr>
        <w:pStyle w:val="BodyText"/>
        <w:spacing w:line="243" w:lineRule="exact"/>
        <w:ind w:left="547"/>
      </w:pPr>
      <w:r>
        <w:rPr>
          <w:w w:val="120"/>
        </w:rPr>
        <w:t>face meeting.</w:t>
      </w:r>
    </w:p>
    <w:p>
      <w:pPr>
        <w:pStyle w:val="BodyText"/>
        <w:spacing w:before="8"/>
        <w:rPr>
          <w:sz w:val="19"/>
        </w:rPr>
      </w:pPr>
    </w:p>
    <w:p>
      <w:pPr>
        <w:pStyle w:val="ListParagraph"/>
        <w:numPr>
          <w:ilvl w:val="0"/>
          <w:numId w:val="6"/>
        </w:numPr>
        <w:tabs>
          <w:tab w:pos="1227" w:val="left" w:leader="none"/>
          <w:tab w:pos="1228" w:val="left" w:leader="none"/>
        </w:tabs>
        <w:spacing w:line="235" w:lineRule="auto" w:before="0" w:after="0"/>
        <w:ind w:left="547" w:right="2067" w:firstLine="0"/>
        <w:jc w:val="left"/>
        <w:rPr>
          <w:sz w:val="20"/>
        </w:rPr>
      </w:pPr>
      <w:r>
        <w:rPr>
          <w:w w:val="120"/>
          <w:sz w:val="20"/>
        </w:rPr>
        <w:t>The Past Case Review team has successfully recruited volunteer listeners from within the URC (non-post-holding members) and also acquired support from our ecumenical partners and the Lantern Project. This to ensure that complainants have opportunity to share their concerns with appropriately trained listeners who will follow a specific recording process in order to record the</w:t>
      </w:r>
      <w:r>
        <w:rPr>
          <w:spacing w:val="25"/>
          <w:w w:val="120"/>
          <w:sz w:val="20"/>
        </w:rPr>
        <w:t> </w:t>
      </w:r>
      <w:r>
        <w:rPr>
          <w:w w:val="120"/>
          <w:sz w:val="20"/>
        </w:rPr>
        <w:t>complaint.</w:t>
      </w:r>
    </w:p>
    <w:p>
      <w:pPr>
        <w:pStyle w:val="BodyText"/>
        <w:spacing w:before="12"/>
        <w:rPr>
          <w:sz w:val="19"/>
        </w:rPr>
      </w:pPr>
    </w:p>
    <w:p>
      <w:pPr>
        <w:pStyle w:val="ListParagraph"/>
        <w:numPr>
          <w:ilvl w:val="0"/>
          <w:numId w:val="6"/>
        </w:numPr>
        <w:tabs>
          <w:tab w:pos="1227" w:val="left" w:leader="none"/>
          <w:tab w:pos="1228" w:val="left" w:leader="none"/>
        </w:tabs>
        <w:spacing w:line="235" w:lineRule="auto" w:before="0" w:after="0"/>
        <w:ind w:left="547" w:right="2316" w:firstLine="0"/>
        <w:jc w:val="left"/>
        <w:rPr>
          <w:sz w:val="20"/>
        </w:rPr>
      </w:pPr>
      <w:r>
        <w:rPr>
          <w:w w:val="120"/>
          <w:sz w:val="20"/>
        </w:rPr>
        <w:t>The listeners are not required to offer any pastoral or on-going support to the complainant.</w:t>
      </w:r>
    </w:p>
    <w:p>
      <w:pPr>
        <w:pStyle w:val="BodyText"/>
        <w:spacing w:before="9"/>
        <w:rPr>
          <w:sz w:val="19"/>
        </w:rPr>
      </w:pPr>
    </w:p>
    <w:p>
      <w:pPr>
        <w:pStyle w:val="ListParagraph"/>
        <w:numPr>
          <w:ilvl w:val="0"/>
          <w:numId w:val="6"/>
        </w:numPr>
        <w:tabs>
          <w:tab w:pos="1227" w:val="left" w:leader="none"/>
          <w:tab w:pos="1228" w:val="left" w:leader="none"/>
        </w:tabs>
        <w:spacing w:line="235" w:lineRule="auto" w:before="0" w:after="0"/>
        <w:ind w:left="547" w:right="2138" w:firstLine="0"/>
        <w:jc w:val="left"/>
        <w:rPr>
          <w:sz w:val="20"/>
        </w:rPr>
      </w:pPr>
      <w:r>
        <w:rPr>
          <w:w w:val="120"/>
          <w:sz w:val="20"/>
        </w:rPr>
        <w:t>The complaint will be passed from the listener to the Past Case Review team, who will allocate an allegations panel of two people to review each case. Similar to the readers in phase one, the allegations panel will assess the nature and risk of each case, categorising and determining seriousness of the</w:t>
      </w:r>
      <w:r>
        <w:rPr>
          <w:spacing w:val="16"/>
          <w:w w:val="120"/>
          <w:sz w:val="20"/>
        </w:rPr>
        <w:t> </w:t>
      </w:r>
      <w:r>
        <w:rPr>
          <w:w w:val="120"/>
          <w:sz w:val="20"/>
        </w:rPr>
        <w:t>concern.</w:t>
      </w:r>
    </w:p>
    <w:p>
      <w:pPr>
        <w:pStyle w:val="BodyText"/>
        <w:spacing w:before="11"/>
        <w:rPr>
          <w:sz w:val="19"/>
        </w:rPr>
      </w:pPr>
    </w:p>
    <w:p>
      <w:pPr>
        <w:pStyle w:val="ListParagraph"/>
        <w:numPr>
          <w:ilvl w:val="0"/>
          <w:numId w:val="6"/>
        </w:numPr>
        <w:tabs>
          <w:tab w:pos="1227" w:val="left" w:leader="none"/>
          <w:tab w:pos="1228" w:val="left" w:leader="none"/>
        </w:tabs>
        <w:spacing w:line="235" w:lineRule="auto" w:before="0" w:after="0"/>
        <w:ind w:left="547" w:right="2486" w:firstLine="0"/>
        <w:jc w:val="left"/>
        <w:rPr>
          <w:sz w:val="20"/>
        </w:rPr>
      </w:pPr>
      <w:r>
        <w:rPr>
          <w:w w:val="120"/>
          <w:sz w:val="20"/>
        </w:rPr>
        <w:t>The complaint will then be scrutinized by an independent consultant with specialist experience in the relevant field. They will recommend appropriate action dependent upon the level of risk, severity and available</w:t>
      </w:r>
      <w:r>
        <w:rPr>
          <w:spacing w:val="21"/>
          <w:w w:val="120"/>
          <w:sz w:val="20"/>
        </w:rPr>
        <w:t> </w:t>
      </w:r>
      <w:r>
        <w:rPr>
          <w:w w:val="120"/>
          <w:sz w:val="20"/>
        </w:rPr>
        <w:t>information.</w:t>
      </w:r>
    </w:p>
    <w:p>
      <w:pPr>
        <w:pStyle w:val="BodyText"/>
        <w:spacing w:before="11"/>
        <w:rPr>
          <w:sz w:val="19"/>
        </w:rPr>
      </w:pPr>
    </w:p>
    <w:p>
      <w:pPr>
        <w:pStyle w:val="ListParagraph"/>
        <w:numPr>
          <w:ilvl w:val="0"/>
          <w:numId w:val="6"/>
        </w:numPr>
        <w:tabs>
          <w:tab w:pos="1227" w:val="left" w:leader="none"/>
          <w:tab w:pos="1228" w:val="left" w:leader="none"/>
        </w:tabs>
        <w:spacing w:line="235" w:lineRule="auto" w:before="0" w:after="0"/>
        <w:ind w:left="547" w:right="2028" w:firstLine="0"/>
        <w:jc w:val="left"/>
        <w:rPr>
          <w:sz w:val="20"/>
        </w:rPr>
      </w:pPr>
      <w:r>
        <w:rPr>
          <w:w w:val="120"/>
          <w:sz w:val="20"/>
        </w:rPr>
        <w:t>Whatever the recommendation of the independent consultant, and any consequential actions, feedback will go to the relevant Synod Moderator to ensure they are</w:t>
      </w:r>
      <w:r>
        <w:rPr>
          <w:spacing w:val="1"/>
          <w:w w:val="120"/>
          <w:sz w:val="20"/>
        </w:rPr>
        <w:t> </w:t>
      </w:r>
      <w:r>
        <w:rPr>
          <w:w w:val="120"/>
          <w:sz w:val="20"/>
        </w:rPr>
        <w:t>aware.</w:t>
      </w:r>
    </w:p>
    <w:p>
      <w:pPr>
        <w:pStyle w:val="BodyText"/>
        <w:spacing w:before="10"/>
        <w:rPr>
          <w:sz w:val="19"/>
        </w:rPr>
      </w:pPr>
    </w:p>
    <w:p>
      <w:pPr>
        <w:pStyle w:val="ListParagraph"/>
        <w:numPr>
          <w:ilvl w:val="0"/>
          <w:numId w:val="6"/>
        </w:numPr>
        <w:tabs>
          <w:tab w:pos="1227" w:val="left" w:leader="none"/>
          <w:tab w:pos="1228" w:val="left" w:leader="none"/>
        </w:tabs>
        <w:spacing w:line="235" w:lineRule="auto" w:before="0" w:after="0"/>
        <w:ind w:left="547" w:right="2390" w:firstLine="0"/>
        <w:jc w:val="left"/>
        <w:rPr>
          <w:sz w:val="20"/>
        </w:rPr>
      </w:pPr>
      <w:r>
        <w:rPr>
          <w:w w:val="120"/>
          <w:sz w:val="20"/>
        </w:rPr>
        <w:t>Churches and synods will be asked to provide pastoral support as per usual procedure. However, a range of alternative support services will be provided by the URC and other organisations for those seeking support outside of the</w:t>
      </w:r>
      <w:r>
        <w:rPr>
          <w:spacing w:val="44"/>
          <w:w w:val="120"/>
          <w:sz w:val="20"/>
        </w:rPr>
        <w:t> </w:t>
      </w:r>
      <w:r>
        <w:rPr>
          <w:w w:val="120"/>
          <w:sz w:val="20"/>
        </w:rPr>
        <w:t>church.</w:t>
      </w:r>
    </w:p>
    <w:p>
      <w:pPr>
        <w:spacing w:after="0" w:line="235" w:lineRule="auto"/>
        <w:jc w:val="left"/>
        <w:rPr>
          <w:sz w:val="20"/>
        </w:rPr>
        <w:sectPr>
          <w:headerReference w:type="even" r:id="rId92"/>
          <w:footerReference w:type="even" r:id="rId93"/>
          <w:footerReference w:type="default" r:id="rId94"/>
          <w:pgSz w:w="11910" w:h="16840"/>
          <w:pgMar w:header="0" w:footer="647" w:top="0" w:bottom="840" w:left="700" w:right="0"/>
          <w:pgNumType w:start="16"/>
        </w:sectPr>
      </w:pPr>
    </w:p>
    <w:p>
      <w:pPr>
        <w:pStyle w:val="BodyText"/>
      </w:pPr>
    </w:p>
    <w:p>
      <w:pPr>
        <w:pStyle w:val="BodyText"/>
        <w:spacing w:before="7"/>
        <w:rPr>
          <w:sz w:val="21"/>
        </w:rPr>
      </w:pPr>
    </w:p>
    <w:p>
      <w:pPr>
        <w:spacing w:before="106"/>
        <w:ind w:left="0" w:right="1245" w:firstLine="0"/>
        <w:jc w:val="right"/>
        <w:rPr>
          <w:sz w:val="26"/>
        </w:rPr>
      </w:pPr>
      <w:r>
        <w:rPr/>
        <w:pict>
          <v:shape style="position:absolute;margin-left:554.141174pt;margin-top:22.593945pt;width:25.9pt;height:313.7pt;mso-position-horizontal-relative:page;mso-position-vertical-relative:paragraph;z-index:251703296" type="#_x0000_t202" filled="false" stroked="false">
            <v:textbox inset="0,0,0,0" style="layout-flow:vertical">
              <w:txbxContent>
                <w:p>
                  <w:pPr>
                    <w:spacing w:before="27"/>
                    <w:ind w:left="20" w:right="0" w:firstLine="0"/>
                    <w:jc w:val="left"/>
                    <w:rPr>
                      <w:sz w:val="39"/>
                    </w:rPr>
                  </w:pPr>
                  <w:r>
                    <w:rPr>
                      <w:color w:val="FFFFFF"/>
                      <w:w w:val="120"/>
                      <w:sz w:val="39"/>
                    </w:rPr>
                    <w:t>Safeguarding Past Case Review</w:t>
                  </w:r>
                </w:p>
              </w:txbxContent>
            </v:textbox>
            <w10:wrap type="none"/>
          </v:shape>
        </w:pict>
      </w:r>
      <w:bookmarkStart w:name="_GoBack" w:id="1"/>
      <w:bookmarkEnd w:id="1"/>
      <w:r>
        <w:rPr/>
      </w:r>
      <w:r>
        <w:rPr>
          <w:color w:val="7EAABF"/>
          <w:w w:val="120"/>
          <w:sz w:val="26"/>
        </w:rPr>
        <w:t>Mission Council</w:t>
      </w:r>
    </w:p>
    <w:p>
      <w:pPr>
        <w:pStyle w:val="ListParagraph"/>
        <w:numPr>
          <w:ilvl w:val="0"/>
          <w:numId w:val="6"/>
        </w:numPr>
        <w:tabs>
          <w:tab w:pos="1964" w:val="left" w:leader="none"/>
          <w:tab w:pos="1965" w:val="left" w:leader="none"/>
        </w:tabs>
        <w:spacing w:line="235" w:lineRule="auto" w:before="222" w:after="0"/>
        <w:ind w:left="1284" w:right="1403" w:firstLine="0"/>
        <w:jc w:val="left"/>
        <w:rPr>
          <w:sz w:val="20"/>
        </w:rPr>
      </w:pPr>
      <w:r>
        <w:rPr>
          <w:w w:val="120"/>
          <w:sz w:val="20"/>
        </w:rPr>
        <w:t>The final stage of the process is to learn from our findings and the information shared with us during phase two, in order to ensure a safe church environment for the future, to recognise errors of the past and to offer theological reflection. The learning group will be comprised of others outside the safeguarding advisory group to provide  a balanced and impartial analysis of the findings of phase</w:t>
      </w:r>
      <w:r>
        <w:rPr>
          <w:spacing w:val="19"/>
          <w:w w:val="120"/>
          <w:sz w:val="20"/>
        </w:rPr>
        <w:t> </w:t>
      </w:r>
      <w:r>
        <w:rPr>
          <w:w w:val="120"/>
          <w:sz w:val="20"/>
        </w:rPr>
        <w:t>two.</w:t>
      </w:r>
    </w:p>
    <w:p>
      <w:pPr>
        <w:pStyle w:val="BodyText"/>
      </w:pPr>
    </w:p>
    <w:p>
      <w:pPr>
        <w:pStyle w:val="BodyText"/>
        <w:spacing w:before="1"/>
        <w:rPr>
          <w:sz w:val="25"/>
        </w:rPr>
      </w:pPr>
    </w:p>
    <w:p>
      <w:pPr>
        <w:spacing w:after="0"/>
        <w:rPr>
          <w:sz w:val="25"/>
        </w:rPr>
        <w:sectPr>
          <w:headerReference w:type="default" r:id="rId97"/>
          <w:pgSz w:w="11910" w:h="16840"/>
          <w:pgMar w:header="0" w:footer="647" w:top="0" w:bottom="840" w:left="700" w:right="0"/>
        </w:sectPr>
      </w:pPr>
    </w:p>
    <w:p>
      <w:pPr>
        <w:pStyle w:val="BodyText"/>
        <w:spacing w:before="106"/>
        <w:ind w:left="1382"/>
      </w:pPr>
      <w:r>
        <w:rPr/>
        <w:pict>
          <v:group style="position:absolute;margin-left:97.797997pt;margin-top:-5.667945pt;width:433.15pt;height:599.4pt;mso-position-horizontal-relative:page;mso-position-vertical-relative:paragraph;z-index:-268067840" coordorigin="1956,-113" coordsize="8663,11988">
            <v:shape style="position:absolute;left:1962;top:-107;width:1719;height:683" coordorigin="1963,-106" coordsize="1719,683" path="m3569,576l2076,576,2032,567,1996,542,1972,506,1963,461,1963,2,1972,-43,1996,-80,2032,-104,2042,-106,3603,-106,3613,-104,3649,-80,3673,-43,3682,2,3682,461,3673,506,3649,542,3613,567,3569,576xe" filled="true" fillcolor="#deebf7" stroked="false">
              <v:path arrowok="t"/>
              <v:fill type="solid"/>
            </v:shape>
            <v:shape style="position:absolute;left:0;top:13374;width:1663;height:648" coordorigin="0,13374" coordsize="1663,648" path="m1963,2l1972,-43,1996,-80,2032,-104,2042,-106m3603,-106l3613,-104,3649,-80,3673,-43,3682,2,3682,461,3673,506,3649,542,3613,567,3569,576,2076,576,2032,567,1996,542,1972,506,1963,461,1963,2e" filled="false" stroked="true" strokeweight=".683512pt" strokecolor="#4472c4">
              <v:path arrowok="t"/>
              <v:stroke dashstyle="solid"/>
            </v:shape>
            <v:line style="position:absolute" from="2818,556" to="2818,844" stroked="true" strokeweight="2.260213pt" strokecolor="#5b9bd5">
              <v:stroke dashstyle="solid"/>
            </v:line>
            <v:shape style="position:absolute;left:1962;top:934;width:1733;height:910" coordorigin="1963,934" coordsize="1733,910" path="m3546,1844l2112,1844,2054,1832,2006,1800,1975,1752,1963,1693,1963,1086,1975,1027,2006,979,2054,946,2112,934,3546,934,3604,946,3652,979,3684,1027,3695,1086,3695,1693,3684,1752,3652,1800,3604,1832,3546,1844xe" filled="true" fillcolor="#deebf7" stroked="false">
              <v:path arrowok="t"/>
              <v:fill type="solid"/>
            </v:shape>
            <v:shape style="position:absolute;left:1962;top:934;width:1733;height:910" coordorigin="1963,934" coordsize="1733,910" path="m1963,1086l1975,1027,2006,979,2054,946,2112,934,3546,934,3604,946,3652,979,3684,1027,3695,1086,3695,1693,3684,1752,3652,1800,3604,1832,3546,1844,2112,1844,2054,1832,2006,1800,1975,1752,1963,1693,1963,1086xe" filled="false" stroked="true" strokeweight=".687075pt" strokecolor="#4472c4">
              <v:path arrowok="t"/>
              <v:stroke dashstyle="solid"/>
            </v:shape>
            <v:shape style="position:absolute;left:2758;top:802;width:122;height:126" coordorigin="2759,802" coordsize="122,126" path="m2822,928l2759,805,2881,802,2822,928xe" filled="true" fillcolor="#5b9bd5" stroked="false">
              <v:path arrowok="t"/>
              <v:fill type="solid"/>
            </v:shape>
            <v:shape style="position:absolute;left:4534;top:1044;width:1787;height:690" coordorigin="4535,1045" coordsize="1787,690" path="m6208,1734l4647,1734,4603,1725,4568,1700,4543,1664,4535,1619,4535,1160,4543,1115,4568,1078,4603,1054,4647,1045,6208,1045,6252,1054,6288,1078,6312,1115,6321,1160,6321,1619,6312,1664,6288,1700,6252,1725,6208,1734xe" filled="true" fillcolor="#deebf7" stroked="false">
              <v:path arrowok="t"/>
              <v:fill type="solid"/>
            </v:shape>
            <v:shape style="position:absolute;left:4534;top:1044;width:1787;height:690" coordorigin="4535,1045" coordsize="1787,690" path="m4535,1160l4543,1115,4568,1078,4603,1054,4647,1045,6208,1045,6252,1054,6288,1078,6312,1115,6321,1160,6321,1619,6312,1664,6288,1700,6252,1725,6208,1734,4647,1734,4603,1725,4568,1700,4543,1664,4535,1619,4535,1160xe" filled="false" stroked="true" strokeweight=".688163pt" strokecolor="#4472c4">
              <v:path arrowok="t"/>
              <v:stroke dashstyle="solid"/>
            </v:shape>
            <v:line style="position:absolute" from="3695,1391" to="4441,1390" stroked="true" strokeweight="2.068318pt" strokecolor="#5b9bd5">
              <v:stroke dashstyle="solid"/>
            </v:line>
            <v:shape style="position:absolute;left:4420;top:1327;width:122;height:125" coordorigin="4421,1328" coordsize="122,125" path="m4421,1452l4421,1328,4543,1389,4421,1452xe" filled="true" fillcolor="#5b9bd5" stroked="false">
              <v:path arrowok="t"/>
              <v:fill type="solid"/>
            </v:shape>
            <v:shape style="position:absolute;left:7133;top:1003;width:3479;height:841" coordorigin="7133,1003" coordsize="3479,841" path="m10474,1844l7271,1844,7217,1833,7174,1803,7144,1759,7133,1704,7133,1143,7144,1089,7174,1044,7217,1014,7271,1003,10474,1003,10528,1014,10572,1044,10601,1089,10612,1143,10612,1704,10601,1759,10572,1803,10528,1833,10474,1844xe" filled="true" fillcolor="#c5e0b4" stroked="false">
              <v:path arrowok="t"/>
              <v:fill type="solid"/>
            </v:shape>
            <v:shape style="position:absolute;left:7133;top:1003;width:3479;height:841" coordorigin="7133,1003" coordsize="3479,841" path="m7133,1143l7144,1089,7174,1044,7217,1014,7271,1003,10474,1003,10528,1014,10572,1044,10601,1089,10612,1143,10612,1704,10601,1759,10572,1803,10528,1833,10474,1844,7271,1844,7217,1833,7174,1803,7144,1759,7133,1704,7133,1143xe" filled="false" stroked="true" strokeweight=".689097pt" strokecolor="#548235">
              <v:path arrowok="t"/>
              <v:stroke dashstyle="solid"/>
            </v:shape>
            <v:shape style="position:absolute;left:5427;top:272;width:1615;height:763" coordorigin="5428,273" coordsize="1615,763" path="m5428,1035l5428,273,7042,273e" filled="false" stroked="true" strokeweight="2.061455pt" strokecolor="#5b9bd5">
              <v:path arrowok="t"/>
              <v:stroke dashstyle="solid"/>
            </v:shape>
            <v:shape style="position:absolute;left:7146;top:-59;width:3438;height:676" coordorigin="7147,-58" coordsize="3438,676" path="m10474,617l7257,617,7214,608,7179,584,7156,549,7147,505,7147,54,7156,11,7179,-25,7214,-49,7257,-58,10474,-58,10517,-49,10552,-25,10576,11,10585,54,10585,505,10576,549,10552,584,10517,608,10474,617xe" filled="true" fillcolor="#c5e0b4" stroked="false">
              <v:path arrowok="t"/>
              <v:fill type="solid"/>
            </v:shape>
            <v:shape style="position:absolute;left:7146;top:-59;width:3438;height:676" coordorigin="7147,-58" coordsize="3438,676" path="m7147,54l7156,11,7179,-25,7214,-49,7257,-58,10474,-58,10517,-49,10552,-25,10576,11,10585,54,10585,505,10576,549,10552,584,10517,608,10474,617,7257,617,7214,608,7179,584,7156,549,7147,505,7147,54xe" filled="false" stroked="true" strokeweight=".689324pt" strokecolor="#548235">
              <v:path arrowok="t"/>
              <v:stroke dashstyle="solid"/>
            </v:shape>
            <v:shape style="position:absolute;left:7022;top:210;width:122;height:125" coordorigin="7022,211" coordsize="122,125" path="m7022,335l7022,211,7144,273,7022,335xe" filled="true" fillcolor="#5b9bd5" stroked="false">
              <v:path arrowok="t"/>
              <v:fill type="solid"/>
            </v:shape>
            <v:line style="position:absolute" from="8866,617" to="8866,894" stroked="true" strokeweight="2.030664pt" strokecolor="#5b9bd5">
              <v:stroke dashstyle="solid"/>
            </v:line>
            <v:shape style="position:absolute;left:8804;top:873;width:122;height:125" coordorigin="8805,873" coordsize="122,125" path="m8866,997l8805,873,8927,873,8866,997xe" filled="true" fillcolor="#5b9bd5" stroked="false">
              <v:path arrowok="t"/>
              <v:fill type="solid"/>
            </v:shape>
            <v:line style="position:absolute" from="8866,1844" to="8866,2163" stroked="true" strokeweight="2.030664pt" strokecolor="#5b9bd5">
              <v:stroke dashstyle="solid"/>
            </v:line>
            <v:shape style="position:absolute;left:7119;top:2271;width:3493;height:717" coordorigin="7120,2272" coordsize="3493,717" path="m10495,2989l7237,2989,7191,2979,7154,2954,7129,2916,7120,2869,7120,2391,7129,2345,7154,2307,7191,2281,7237,2272,10495,2272,10540,2281,10578,2307,10603,2345,10612,2391,10612,2869,10603,2916,10578,2954,10540,2979,10495,2989xe" filled="true" fillcolor="#c5e0b4" stroked="false">
              <v:path arrowok="t"/>
              <v:fill type="solid"/>
            </v:shape>
            <v:shape style="position:absolute;left:7119;top:2271;width:3493;height:717" coordorigin="7120,2272" coordsize="3493,717" path="m7120,2391l7129,2345,7154,2307,7191,2281,7237,2272,10495,2272,10540,2281,10578,2307,10603,2345,10612,2391,10612,2869,10603,2916,10578,2954,10540,2979,10495,2989,7237,2989,7191,2979,7154,2954,7129,2916,7120,2869,7120,2391xe" filled="false" stroked="true" strokeweight=".689282pt" strokecolor="#548235">
              <v:path arrowok="t"/>
              <v:stroke dashstyle="solid"/>
            </v:shape>
            <v:shape style="position:absolute;left:8804;top:2142;width:122;height:125" coordorigin="8805,2143" coordsize="122,125" path="m8866,2267l8805,2143,8927,2143,8866,2267xe" filled="true" fillcolor="#5b9bd5" stroked="false">
              <v:path arrowok="t"/>
              <v:fill type="solid"/>
            </v:shape>
            <v:line style="position:absolute" from="7120,2630" to="4135,2642" stroked="true" strokeweight="2.068317pt" strokecolor="#5b9bd5">
              <v:stroke dashstyle="solid"/>
            </v:line>
            <v:shape style="position:absolute;left:2301;top:2120;width:1733;height:1048" coordorigin="2301,2120" coordsize="1733,1048" path="m3862,3168l2473,3168,2406,3154,2351,3117,2315,3061,2301,2993,2301,2295,2315,2227,2351,2171,2406,2134,2473,2120,3862,2120,3929,2134,3984,2171,4020,2227,4034,2295,4034,2993,4020,3061,3984,3117,3929,3154,3862,3168xe" filled="true" fillcolor="#f8cbad" stroked="false">
              <v:path arrowok="t"/>
              <v:fill type="solid"/>
            </v:shape>
            <v:shape style="position:absolute;left:2301;top:2120;width:1733;height:1048" coordorigin="2301,2120" coordsize="1733,1048" path="m2301,2295l2315,2227,2351,2171,2406,2134,2473,2120,3862,2120,3929,2134,3984,2171,4020,2227,4034,2295,4034,2993,4020,3061,3984,3117,3929,3154,3862,3168,2473,3168,2406,3154,2351,3117,2315,3061,2301,2993,2301,2295xe" filled="false" stroked="true" strokeweight=".686428pt" strokecolor="#c55a11">
              <v:path arrowok="t"/>
              <v:stroke dashstyle="solid"/>
            </v:shape>
            <v:shape style="position:absolute;left:4033;top:2579;width:123;height:125" coordorigin="4034,2580" coordsize="123,125" path="m4156,2704l4034,2642,4155,2580,4156,2704xe" filled="true" fillcolor="#5b9bd5" stroked="false">
              <v:path arrowok="t"/>
              <v:fill type="solid"/>
            </v:shape>
            <v:shape style="position:absolute;left:3167;top:3167;width:1729;height:294" coordorigin="3167,3168" coordsize="1729,294" path="m3167,3168l3167,3461,4896,3461e" filled="false" stroked="true" strokeweight="2.067264pt" strokecolor="#5b9bd5">
              <v:path arrowok="t"/>
              <v:stroke dashstyle="solid"/>
            </v:shape>
            <v:shape style="position:absolute;left:4994;top:2919;width:1625;height:1090" coordorigin="4995,2920" coordsize="1625,1090" path="m6441,4009l5173,4009,5104,3994,5047,3956,5009,3898,4995,3827,4995,3101,5009,3030,5047,2973,5104,2934,5173,2920,6441,2920,6510,2934,6567,2973,6605,3030,6619,3101,6619,3827,6605,3898,6567,3956,6510,3994,6441,4009xe" filled="true" fillcolor="#f8cbad" stroked="false">
              <v:path arrowok="t"/>
              <v:fill type="solid"/>
            </v:shape>
            <v:shape style="position:absolute;left:4994;top:2919;width:1625;height:1090" coordorigin="4995,2920" coordsize="1625,1090" path="m4995,3101l5009,3030,5047,2973,5104,2934,5173,2920,6441,2920,6510,2934,6567,2973,6605,3030,6619,3101,6619,3827,6605,3898,6567,3956,6510,3994,6441,4009,5173,4009,5104,3994,5047,3956,5009,3898,4995,3827,4995,3101xe" filled="false" stroked="true" strokeweight=".685895pt" strokecolor="#c55a11">
              <v:path arrowok="t"/>
              <v:stroke dashstyle="solid"/>
            </v:shape>
            <v:shape style="position:absolute;left:4875;top:3399;width:122;height:125" coordorigin="4875,3399" coordsize="122,125" path="m4875,3523l4875,3399,4997,3461,4875,3523xe" filled="true" fillcolor="#5b9bd5" stroked="false">
              <v:path arrowok="t"/>
              <v:fill type="solid"/>
            </v:shape>
            <v:shape style="position:absolute;left:6618;top:3457;width:2214;height:127" coordorigin="6619,3457" coordsize="2214,127" path="m6619,3457l8833,3457,8833,3584e" filled="false" stroked="true" strokeweight="2.068195pt" strokecolor="#5b9bd5">
              <v:path arrowok="t"/>
              <v:stroke dashstyle="solid"/>
            </v:shape>
            <v:shape style="position:absolute;left:7593;top:3691;width:2477;height:1090" coordorigin="7594,3692" coordsize="2477,1090" path="m9892,4781l7772,4781,7702,4766,7646,4728,7608,4670,7594,4599,7594,3873,7608,3802,7646,3745,7702,3706,7772,3692,9892,3692,9962,3706,10018,3745,10056,3802,10070,3873,10070,4599,10056,4670,10018,4728,9962,4766,9892,4781xe" filled="true" fillcolor="#f8cbad" stroked="false">
              <v:path arrowok="t"/>
              <v:fill type="solid"/>
            </v:shape>
            <v:shape style="position:absolute;left:7593;top:3691;width:2477;height:1090" coordorigin="7594,3692" coordsize="2477,1090" path="m7594,3873l7608,3802,7646,3745,7702,3706,7772,3692,9892,3692,9962,3706,10018,3745,10056,3802,10070,3873,10070,4599,10056,4670,10018,4728,9962,4766,9892,4781,7772,4781,7702,4766,7646,4728,7608,4670,7594,4599,7594,3873xe" filled="false" stroked="true" strokeweight=".687756pt" strokecolor="#c55a11">
              <v:path arrowok="t"/>
              <v:stroke dashstyle="solid"/>
            </v:shape>
            <v:line style="position:absolute" from="7596,4229" to="4704,4229" stroked="true" strokeweight="2.068318pt" strokecolor="#5b9bd5">
              <v:stroke dashstyle="solid"/>
            </v:line>
            <v:shape style="position:absolute;left:2301;top:3788;width:2301;height:883" coordorigin="2301,3788" coordsize="2301,883" path="m4458,4670l2446,4670,2389,4659,2344,4627,2313,4581,2301,4523,2301,3935,2313,3878,2344,3831,2389,3800,2446,3788,4458,3788,4514,3800,4560,3831,4591,3878,4602,3935,4602,4523,4591,4581,4560,4627,4514,4659,4458,4670xe" filled="true" fillcolor="#f8cbad" stroked="false">
              <v:path arrowok="t"/>
              <v:fill type="solid"/>
            </v:shape>
            <v:shape style="position:absolute;left:2301;top:3788;width:2301;height:883" coordorigin="2301,3788" coordsize="2301,883" path="m2301,3935l2313,3878,2344,3831,2389,3800,2446,3788,4458,3788,4514,3800,4560,3831,4591,3878,4602,3935,4602,4523,4591,4581,4560,4627,4514,4659,4458,4670,2446,4670,2389,4659,2344,4627,2313,4581,2301,4523,2301,3935xe" filled="false" stroked="true" strokeweight=".688181pt" strokecolor="#c55a11">
              <v:path arrowok="t"/>
              <v:stroke dashstyle="solid"/>
            </v:shape>
            <v:shape style="position:absolute;left:4602;top:3563;width:4292;height:729" coordorigin="4602,3563" coordsize="4292,729" path="m4724,4167l4602,4229,4724,4291,4724,4167m8894,3563l8772,3563,8833,3687,8894,3563e" filled="true" fillcolor="#5b9bd5" stroked="false">
              <v:path arrowok="t"/>
              <v:fill type="solid"/>
            </v:shape>
            <v:shape style="position:absolute;left:4142;top:4863;width:1923;height:1048" coordorigin="4142,4863" coordsize="1923,1048" path="m5893,5911l4313,5911,4247,5897,4192,5860,4155,5805,4142,5737,4142,5038,4155,4970,4192,4915,4247,4877,4313,4863,5893,4863,5959,4877,6014,4915,6051,4970,6064,5038,6064,5737,6051,5805,6014,5860,5959,5897,5893,5911xe" filled="true" fillcolor="#f8cbad" stroked="false">
              <v:path arrowok="t"/>
              <v:fill type="solid"/>
            </v:shape>
            <v:shape style="position:absolute;left:4142;top:4863;width:1923;height:1048" coordorigin="4142,4863" coordsize="1923,1048" path="m4142,5038l4155,4970,4192,4915,4247,4877,4313,4863,5893,4863,5959,4877,6014,4915,6051,4970,6064,5038,6064,5737,6051,5805,6014,5860,5959,5897,5893,5911,4313,5911,4247,5897,4192,5860,4155,5805,4142,5737,4142,5038xe" filled="false" stroked="true" strokeweight=".686913pt" strokecolor="#c55a11">
              <v:path arrowok="t"/>
              <v:stroke dashstyle="solid"/>
            </v:shape>
            <v:shape style="position:absolute;left:3451;top:4670;width:597;height:713" coordorigin="3452,4670" coordsize="597,713" path="m3452,4670l3452,5383,4048,5383e" filled="false" stroked="true" strokeweight="2.046196pt" strokecolor="#5b9bd5">
              <v:path arrowok="t"/>
              <v:stroke dashstyle="solid"/>
            </v:shape>
            <v:shape style="position:absolute;left:4028;top:5320;width:122;height:125" coordorigin="4028,5321" coordsize="122,125" path="m4028,5445l4028,5321,4150,5383,4028,5445xe" filled="true" fillcolor="#5b9bd5" stroked="false">
              <v:path arrowok="t"/>
              <v:fill type="solid"/>
            </v:shape>
            <v:line style="position:absolute" from="6064,5382" to="6573,5375" stroked="true" strokeweight="2.06831pt" strokecolor="#5b9bd5">
              <v:stroke dashstyle="solid"/>
            </v:line>
            <v:shape style="position:absolute;left:6673;top:4987;width:2708;height:773" coordorigin="6673,4988" coordsize="2708,773" path="m9254,5760l6799,5760,6750,5749,6710,5722,6683,5681,6673,5631,6673,5116,6683,5066,6710,5025,6750,4998,6799,4988,9254,4988,9303,4998,9343,5025,9370,5066,9380,5116,9380,5631,9370,5681,9343,5722,9303,5749,9254,5760xe" filled="true" fillcolor="#f8cbad" stroked="false">
              <v:path arrowok="t"/>
              <v:fill type="solid"/>
            </v:shape>
            <v:shape style="position:absolute;left:6673;top:4987;width:2708;height:773" coordorigin="6673,4988" coordsize="2708,773" path="m6673,5116l6683,5066,6710,5025,6750,4998,6799,4988,9254,4988,9303,4998,9343,5025,9370,5066,9380,5116,9380,5631,9370,5681,9343,5722,9303,5749,9254,5760,6799,5760,6750,5749,6710,5722,6683,5681,6673,5631,6673,5116xe" filled="false" stroked="true" strokeweight=".688846pt" strokecolor="#c55a11">
              <v:path arrowok="t"/>
              <v:stroke dashstyle="solid"/>
            </v:shape>
            <v:shape style="position:absolute;left:6552;top:5313;width:123;height:125" coordorigin="6552,5313" coordsize="123,125" path="m6554,5437l6552,5313,6675,5374,6554,5437xe" filled="true" fillcolor="#5b9bd5" stroked="false">
              <v:path arrowok="t"/>
              <v:fill type="solid"/>
            </v:shape>
            <v:shape style="position:absolute;left:2206;top:6421;width:5157;height:731" coordorigin="2206,6421" coordsize="5157,731" path="m7244,7152l2326,7152,2280,7142,2242,7116,2216,7078,2206,7030,2206,6543,2216,6496,2242,6457,2280,6431,2326,6421,7244,6421,7290,6431,7328,6457,7354,6496,7363,6543,7363,7030,7354,7078,7328,7116,7290,7142,7244,7152xe" filled="true" fillcolor="#e2cff1" stroked="false">
              <v:path arrowok="t"/>
              <v:fill type="solid"/>
            </v:shape>
            <v:shape style="position:absolute;left:2206;top:6421;width:5157;height:731" coordorigin="2206,6421" coordsize="5157,731" path="m2206,6543l2216,6496,2242,6457,2280,6431,2326,6421,7244,6421,7290,6431,7328,6457,7354,6496,7363,6543,7363,7030,7354,7078,7328,7116,7290,7142,7244,7152,2326,7152,2280,7142,2242,7116,2216,7078,2206,7030,2206,6543xe" filled="false" stroked="true" strokeweight="2.067577pt" strokecolor="#7030a0">
              <v:path arrowok="t"/>
              <v:stroke dashstyle="solid"/>
            </v:shape>
            <v:shape style="position:absolute;left:7464;top:5759;width:563;height:1028" coordorigin="7465,5760" coordsize="563,1028" path="m8028,5760l8028,6787,7465,6787e" filled="false" stroked="true" strokeweight="2.039356pt" strokecolor="#5b9bd5">
              <v:path arrowok="t"/>
              <v:stroke dashstyle="solid"/>
            </v:shape>
            <v:shape style="position:absolute;left:7363;top:6724;width:122;height:125" coordorigin="7363,6725" coordsize="122,125" path="m7485,6849l7363,6787,7485,6725,7485,6849xe" filled="true" fillcolor="#5b9bd5" stroked="false">
              <v:path arrowok="t"/>
              <v:fill type="solid"/>
            </v:shape>
            <v:shape style="position:absolute;left:9285;top:5373;width:417;height:1974" coordorigin="9285,5374" coordsize="417,1974" path="m9377,5374l9702,5374,9702,6852,9285,6852,9285,7348e" filled="false" stroked="true" strokeweight="2.032269pt" strokecolor="#5b9bd5">
              <v:path arrowok="t"/>
              <v:stroke dashstyle="solid"/>
            </v:shape>
            <v:shape style="position:absolute;left:8473;top:7455;width:1638;height:1365" coordorigin="8473,7455" coordsize="1638,1365" path="m9888,8820l8697,8820,8626,8809,8565,8776,8516,8727,8485,8665,8473,8593,8473,7683,8485,7611,8516,7548,8565,7499,8626,7467,8697,7455,9888,7455,9958,7467,10020,7499,10068,7548,10100,7611,10111,7683,10111,8593,10100,8665,10068,8727,10020,8776,9958,8809,9888,8820xe" filled="true" fillcolor="#e2cff1" stroked="false">
              <v:path arrowok="t"/>
              <v:fill type="solid"/>
            </v:shape>
            <v:shape style="position:absolute;left:8473;top:7455;width:1638;height:1365" coordorigin="8473,7455" coordsize="1638,1365" path="m8473,7683l8485,7611,8516,7548,8565,7499,8626,7467,8697,7455,9888,7455,9958,7467,10020,7499,10068,7548,10100,7611,10111,7683,10111,8593,10100,8665,10068,8727,10020,8776,9958,8809,9888,8820,8697,8820,8626,8809,8565,8776,8516,8727,8485,8665,8473,8593,8473,7683xe" filled="false" stroked="true" strokeweight=".684644pt" strokecolor="#7030a0">
              <v:path arrowok="t"/>
              <v:stroke dashstyle="solid"/>
            </v:shape>
            <v:shape style="position:absolute;left:9224;top:7326;width:122;height:125" coordorigin="9225,7327" coordsize="122,125" path="m9285,7451l9225,7327,9346,7327,9285,7451xe" filled="true" fillcolor="#5b9bd5" stroked="false">
              <v:path arrowok="t"/>
              <v:fill type="solid"/>
            </v:shape>
            <v:shape style="position:absolute;left:7464;top:6793;width:1008;height:1348" coordorigin="7465,6794" coordsize="1008,1348" path="m8473,8141l8026,8141,8026,6794,7465,6794e" filled="false" stroked="true" strokeweight="2.044173pt" strokecolor="#5b9bd5">
              <v:path arrowok="t"/>
              <v:stroke dashstyle="solid"/>
            </v:shape>
            <v:shape style="position:absolute;left:7363;top:6731;width:122;height:125" coordorigin="7363,6731" coordsize="122,125" path="m7485,6856l7363,6794,7485,6731,7485,6856xe" filled="true" fillcolor="#5b9bd5" stroked="false">
              <v:path arrowok="t"/>
              <v:fill type="solid"/>
            </v:shape>
            <v:shape style="position:absolute;left:2382;top:7924;width:2085;height:814" coordorigin="2382,7924" coordsize="2085,814" path="m4334,8737l2516,8737,2464,8727,2421,8698,2393,8655,2382,8602,2382,8060,2393,8007,2421,7964,2464,7935,2516,7924,4334,7924,4386,7935,4428,7964,4456,8007,4467,8060,4467,8602,4456,8655,4428,8698,4386,8727,4334,8737xe" filled="true" fillcolor="#e2cff1" stroked="false">
              <v:path arrowok="t"/>
              <v:fill type="solid"/>
            </v:shape>
            <v:shape style="position:absolute;left:2382;top:7924;width:2085;height:814" coordorigin="2382,7924" coordsize="2085,814" path="m2382,8060l2393,8007,2421,7964,2464,7935,2516,7924,4334,7924,4386,7935,4428,7964,4456,8007,4467,8060,4467,8602,4456,8655,4428,8698,4386,8727,4334,8737,2516,8737,2464,8727,2421,8698,2393,8655,2382,8602,2382,8060xe" filled="false" stroked="true" strokeweight=".688131pt" strokecolor="#7030a0">
              <v:path arrowok="t"/>
              <v:stroke dashstyle="solid"/>
            </v:shape>
            <v:line style="position:absolute" from="4781,7152" to="3514,7865" stroked="true" strokeweight="2.059271pt" strokecolor="#5b9bd5">
              <v:stroke dashstyle="solid"/>
            </v:line>
            <v:shape style="position:absolute;left:3424;top:7800;width:137;height:115" coordorigin="3425,7800" coordsize="137,115" path="m3425,7915l3502,7800,3561,7909,3425,7915xe" filled="true" fillcolor="#5b9bd5" stroked="false">
              <v:path arrowok="t"/>
              <v:fill type="solid"/>
            </v:shape>
            <v:shape style="position:absolute;left:5116;top:7937;width:2126;height:814" coordorigin="5117,7938" coordsize="2126,814" path="m7109,8751l5250,8751,5198,8741,5156,8711,5127,8668,5117,8616,5117,8073,5127,8021,5156,7977,5198,7948,5250,7938,7109,7938,7160,7948,7203,7977,7231,8021,7242,8073,7242,8616,7231,8668,7203,8711,7160,8741,7109,8751xe" filled="true" fillcolor="#e2cff1" stroked="false">
              <v:path arrowok="t"/>
              <v:fill type="solid"/>
            </v:shape>
            <v:shape style="position:absolute;left:5116;top:7937;width:2126;height:814" coordorigin="5117,7938" coordsize="2126,814" path="m5117,8073l5127,8021,5156,7977,5198,7948,5250,7938,7109,7938,7160,7948,7203,7977,7231,8021,7242,8073,7242,8616,7231,8668,7203,8711,7160,8741,7109,8751,5250,8751,5198,8741,5156,8711,5127,8668,5117,8616,5117,8073xe" filled="false" stroked="true" strokeweight=".688186pt" strokecolor="#7030a0">
              <v:path arrowok="t"/>
              <v:stroke dashstyle="solid"/>
            </v:shape>
            <v:line style="position:absolute" from="4792,7152" to="6097,7882" stroked="true" strokeweight="2.059341pt" strokecolor="#5b9bd5">
              <v:stroke dashstyle="solid"/>
            </v:line>
            <v:shape style="position:absolute;left:6050;top:7818;width:137;height:115" coordorigin="6050,7818" coordsize="137,115" path="m6186,7932l6050,7927,6109,7818,6186,7932xe" filled="true" fillcolor="#5b9bd5" stroked="false">
              <v:path arrowok="t"/>
              <v:fill type="solid"/>
            </v:shape>
            <v:line style="position:absolute" from="4792,7152" to="4798,8929" stroked="true" strokeweight="2.030665pt" strokecolor="#5b9bd5">
              <v:stroke dashstyle="solid"/>
            </v:line>
            <v:shape style="position:absolute;left:3654;top:9040;width:2288;height:607" coordorigin="3655,9041" coordsize="2288,607" path="m5843,9647l3754,9647,3715,9639,3684,9618,3663,9586,3655,9546,3655,9142,3663,9102,3684,9070,3715,9049,3754,9041,5843,9041,5882,9049,5913,9070,5934,9102,5942,9142,5942,9546,5934,9586,5913,9618,5882,9639,5843,9647xe" filled="true" fillcolor="#e2cff1" stroked="false">
              <v:path arrowok="t"/>
              <v:fill type="solid"/>
            </v:shape>
            <v:shape style="position:absolute;left:3654;top:9040;width:2288;height:607" coordorigin="3655,9041" coordsize="2288,607" path="m3655,9142l3663,9102,3684,9070,3715,9049,3754,9041,5843,9041,5882,9049,5913,9070,5934,9102,5942,9142,5942,9546,5934,9586,5913,9618,5882,9639,5843,9647,3754,9647,3715,9639,3684,9618,3663,9586,3655,9546,3655,9142xe" filled="false" stroked="true" strokeweight="2.065844pt" strokecolor="#7030a0">
              <v:path arrowok="t"/>
              <v:stroke dashstyle="solid"/>
            </v:shape>
            <v:shape style="position:absolute;left:4737;top:8908;width:122;height:125" coordorigin="4737,8908" coordsize="122,125" path="m4799,9033l4737,8909,4859,8908,4799,9033xe" filled="true" fillcolor="#5b9bd5" stroked="false">
              <v:path arrowok="t"/>
              <v:fill type="solid"/>
            </v:shape>
            <v:line style="position:absolute" from="4795,9627" to="4795,9990" stroked="true" strokeweight="2.212643pt" strokecolor="#5b9bd5">
              <v:stroke dashstyle="solid"/>
            </v:line>
            <v:shape style="position:absolute;left:3979;top:10074;width:1625;height:635" coordorigin="3980,10075" coordsize="1625,635" path="m5500,10709l4083,10709,4043,10701,4010,10678,3988,10644,3980,10603,3980,10180,3988,10139,4010,10106,4043,10083,4083,10075,5500,10075,5540,10083,5573,10106,5596,10139,5604,10180,5604,10603,5596,10644,5573,10678,5540,10701,5500,10709xe" filled="true" fillcolor="#e2cff1" stroked="false">
              <v:path arrowok="t"/>
              <v:fill type="solid"/>
            </v:shape>
            <v:shape style="position:absolute;left:3979;top:10074;width:1625;height:635" coordorigin="3980,10075" coordsize="1625,635" path="m3980,10180l3988,10139,4010,10106,4043,10083,4083,10075,5500,10075,5540,10083,5573,10106,5596,10139,5604,10180,5604,10603,5596,10644,5573,10678,5540,10701,5500,10709,4083,10709,4043,10701,4010,10678,3988,10644,3980,10603,3980,10180xe" filled="false" stroked="true" strokeweight=".688129pt" strokecolor="#7030a0">
              <v:path arrowok="t"/>
              <v:stroke dashstyle="solid"/>
            </v:shape>
            <v:shape style="position:absolute;left:4732;top:9948;width:122;height:125" coordorigin="4732,9948" coordsize="122,125" path="m4792,10073l4732,9948,4854,9949,4792,10073xe" filled="true" fillcolor="#5b9bd5" stroked="false">
              <v:path arrowok="t"/>
              <v:fill type="solid"/>
            </v:shape>
            <v:line style="position:absolute" from="4792,10709" to="4792,11190" stroked="true" strokeweight="2.030664pt" strokecolor="#5b9bd5">
              <v:stroke dashstyle="solid"/>
            </v:line>
            <v:shape style="position:absolute;left:3979;top:11301;width:1625;height:566" coordorigin="3980,11302" coordsize="1625,566" path="m5511,11867l4072,11867,4036,11859,4007,11839,3987,11809,3980,11773,3980,11396,3987,11359,4007,11329,4036,11309,4072,11302,5511,11302,5547,11309,5577,11329,5597,11359,5604,11396,5604,11773,5597,11809,5577,11839,5547,11859,5511,11867xe" filled="true" fillcolor="#bdd7ee" stroked="false">
              <v:path arrowok="t"/>
              <v:fill type="solid"/>
            </v:shape>
            <v:shape style="position:absolute;left:3979;top:11301;width:1625;height:566" coordorigin="3980,11302" coordsize="1625,566" path="m3980,11396l3987,11359,4007,11329,4036,11309,4072,11302,5511,11302,5547,11309,5577,11329,5597,11359,5604,11396,5604,11773,5597,11809,5577,11839,5547,11859,5511,11867,4072,11867,4036,11859,4007,11839,3987,11809,3980,11773,3980,11396xe" filled="false" stroked="true" strokeweight=".688434pt" strokecolor="#2f5597">
              <v:path arrowok="t"/>
              <v:stroke dashstyle="solid"/>
            </v:shape>
            <v:shape style="position:absolute;left:4730;top:11169;width:122;height:125" coordorigin="4731,11170" coordsize="122,125" path="m4792,11294l4731,11170,4853,11170,4792,11294xe" filled="true" fillcolor="#5b9bd5" stroked="false">
              <v:path arrowok="t"/>
              <v:fill type="solid"/>
            </v:shape>
            <w10:wrap type="none"/>
          </v:group>
        </w:pict>
      </w:r>
      <w:r>
        <w:rPr/>
        <w:t>Complaint arrives</w:t>
      </w:r>
    </w:p>
    <w:p>
      <w:pPr>
        <w:pStyle w:val="BodyText"/>
        <w:spacing w:before="150"/>
        <w:ind w:left="1382"/>
      </w:pPr>
      <w:r>
        <w:rPr/>
        <w:br w:type="column"/>
      </w:r>
      <w:r>
        <w:rPr/>
        <w:t>Listener receives complainant contacts</w:t>
      </w:r>
    </w:p>
    <w:p>
      <w:pPr>
        <w:spacing w:after="0"/>
        <w:sectPr>
          <w:type w:val="continuous"/>
          <w:pgSz w:w="11910" w:h="16840"/>
          <w:pgMar w:top="1580" w:bottom="280" w:left="700" w:right="0"/>
          <w:cols w:num="2" w:equalWidth="0">
            <w:col w:w="2883" w:space="2301"/>
            <w:col w:w="6026"/>
          </w:cols>
        </w:sectPr>
      </w:pPr>
    </w:p>
    <w:p>
      <w:pPr>
        <w:pStyle w:val="BodyText"/>
      </w:pPr>
    </w:p>
    <w:p>
      <w:pPr>
        <w:pStyle w:val="BodyText"/>
        <w:spacing w:before="9"/>
        <w:rPr>
          <w:sz w:val="18"/>
        </w:rPr>
      </w:pPr>
    </w:p>
    <w:p>
      <w:pPr>
        <w:spacing w:after="0"/>
        <w:rPr>
          <w:sz w:val="18"/>
        </w:rPr>
        <w:sectPr>
          <w:type w:val="continuous"/>
          <w:pgSz w:w="11910" w:h="16840"/>
          <w:pgMar w:top="1580" w:bottom="280" w:left="700" w:right="0"/>
        </w:sectPr>
      </w:pPr>
    </w:p>
    <w:p>
      <w:pPr>
        <w:pStyle w:val="BodyText"/>
        <w:spacing w:line="244" w:lineRule="auto" w:before="106"/>
        <w:ind w:left="1394" w:hanging="16"/>
        <w:jc w:val="center"/>
      </w:pPr>
      <w:r>
        <w:rPr/>
        <w:t>Complaint registered by PCR team</w:t>
      </w:r>
    </w:p>
    <w:p>
      <w:pPr>
        <w:pStyle w:val="BodyText"/>
        <w:spacing w:line="244" w:lineRule="auto" w:before="202"/>
        <w:ind w:left="1510" w:hanging="461"/>
      </w:pPr>
      <w:r>
        <w:rPr/>
        <w:br w:type="column"/>
      </w:r>
      <w:r>
        <w:rPr/>
        <w:t>PCR team allocates listener</w:t>
      </w:r>
    </w:p>
    <w:p>
      <w:pPr>
        <w:pStyle w:val="BodyText"/>
        <w:spacing w:before="10"/>
        <w:rPr>
          <w:sz w:val="24"/>
        </w:rPr>
      </w:pPr>
      <w:r>
        <w:rPr/>
        <w:br w:type="column"/>
      </w:r>
      <w:r>
        <w:rPr>
          <w:sz w:val="24"/>
        </w:rPr>
      </w:r>
    </w:p>
    <w:p>
      <w:pPr>
        <w:pStyle w:val="BodyText"/>
        <w:spacing w:line="244" w:lineRule="auto"/>
        <w:ind w:left="1714" w:right="1005" w:hanging="595"/>
      </w:pPr>
      <w:r>
        <w:rPr/>
        <w:t>Listenerand complainant set up safe process for disclosure</w:t>
      </w:r>
    </w:p>
    <w:p>
      <w:pPr>
        <w:spacing w:after="0" w:line="244" w:lineRule="auto"/>
        <w:sectPr>
          <w:type w:val="continuous"/>
          <w:pgSz w:w="11910" w:h="16840"/>
          <w:pgMar w:top="1580" w:bottom="280" w:left="700" w:right="0"/>
          <w:cols w:num="3" w:equalWidth="0">
            <w:col w:w="2845" w:space="40"/>
            <w:col w:w="2620" w:space="39"/>
            <w:col w:w="5666"/>
          </w:cols>
        </w:sectPr>
      </w:pPr>
    </w:p>
    <w:p>
      <w:pPr>
        <w:pStyle w:val="BodyText"/>
      </w:pPr>
    </w:p>
    <w:p>
      <w:pPr>
        <w:pStyle w:val="BodyText"/>
        <w:spacing w:before="2"/>
        <w:rPr>
          <w:sz w:val="16"/>
        </w:rPr>
      </w:pPr>
    </w:p>
    <w:p>
      <w:pPr>
        <w:spacing w:after="0"/>
        <w:rPr>
          <w:sz w:val="16"/>
        </w:rPr>
        <w:sectPr>
          <w:type w:val="continuous"/>
          <w:pgSz w:w="11910" w:h="16840"/>
          <w:pgMar w:top="1580" w:bottom="280" w:left="700" w:right="0"/>
        </w:sectPr>
      </w:pPr>
    </w:p>
    <w:p>
      <w:pPr>
        <w:pStyle w:val="BodyText"/>
        <w:spacing w:line="244" w:lineRule="auto" w:before="106"/>
        <w:ind w:left="1739" w:right="324" w:hanging="5"/>
        <w:jc w:val="center"/>
      </w:pPr>
      <w:r>
        <w:rPr/>
        <w:t>Allegation registered by PCR team</w:t>
      </w:r>
    </w:p>
    <w:p>
      <w:pPr>
        <w:pStyle w:val="BodyText"/>
        <w:rPr>
          <w:sz w:val="24"/>
        </w:rPr>
      </w:pPr>
    </w:p>
    <w:p>
      <w:pPr>
        <w:pStyle w:val="BodyText"/>
        <w:rPr>
          <w:sz w:val="24"/>
        </w:rPr>
      </w:pPr>
    </w:p>
    <w:p>
      <w:pPr>
        <w:pStyle w:val="BodyText"/>
        <w:spacing w:before="3"/>
        <w:rPr>
          <w:sz w:val="31"/>
        </w:rPr>
      </w:pPr>
    </w:p>
    <w:p>
      <w:pPr>
        <w:pStyle w:val="BodyText"/>
        <w:spacing w:line="244" w:lineRule="auto"/>
        <w:ind w:left="2016" w:hanging="55"/>
      </w:pPr>
      <w:r>
        <w:rPr/>
        <w:t>PCR team registers recommendation</w:t>
      </w:r>
    </w:p>
    <w:p>
      <w:pPr>
        <w:pStyle w:val="BodyText"/>
        <w:rPr>
          <w:sz w:val="24"/>
        </w:rPr>
      </w:pPr>
      <w:r>
        <w:rPr/>
        <w:br w:type="column"/>
      </w:r>
      <w:r>
        <w:rPr>
          <w:sz w:val="24"/>
        </w:rPr>
      </w:r>
    </w:p>
    <w:p>
      <w:pPr>
        <w:pStyle w:val="BodyText"/>
        <w:rPr>
          <w:sz w:val="24"/>
        </w:rPr>
      </w:pPr>
    </w:p>
    <w:p>
      <w:pPr>
        <w:pStyle w:val="BodyText"/>
        <w:rPr>
          <w:sz w:val="24"/>
        </w:rPr>
      </w:pPr>
    </w:p>
    <w:p>
      <w:pPr>
        <w:pStyle w:val="BodyText"/>
        <w:spacing w:line="244" w:lineRule="auto" w:before="170"/>
        <w:ind w:left="1286" w:hanging="420"/>
      </w:pPr>
      <w:r>
        <w:rPr/>
        <w:t>Allegation panel called</w:t>
      </w:r>
    </w:p>
    <w:p>
      <w:pPr>
        <w:pStyle w:val="BodyText"/>
        <w:spacing w:before="10"/>
        <w:rPr>
          <w:sz w:val="17"/>
        </w:rPr>
      </w:pPr>
      <w:r>
        <w:rPr/>
        <w:br w:type="column"/>
      </w:r>
      <w:r>
        <w:rPr>
          <w:sz w:val="17"/>
        </w:rPr>
      </w:r>
    </w:p>
    <w:p>
      <w:pPr>
        <w:pStyle w:val="BodyText"/>
        <w:spacing w:line="244" w:lineRule="auto"/>
        <w:ind w:left="1032" w:right="1724"/>
        <w:jc w:val="center"/>
      </w:pPr>
      <w:r>
        <w:rPr/>
        <w:t>Listener and complainant ﬁll out allegation template</w:t>
      </w:r>
    </w:p>
    <w:p>
      <w:pPr>
        <w:pStyle w:val="BodyText"/>
        <w:rPr>
          <w:sz w:val="24"/>
        </w:rPr>
      </w:pPr>
    </w:p>
    <w:p>
      <w:pPr>
        <w:pStyle w:val="BodyText"/>
        <w:rPr>
          <w:sz w:val="24"/>
        </w:rPr>
      </w:pPr>
    </w:p>
    <w:p>
      <w:pPr>
        <w:pStyle w:val="BodyText"/>
        <w:spacing w:before="4"/>
        <w:rPr>
          <w:sz w:val="32"/>
        </w:rPr>
      </w:pPr>
    </w:p>
    <w:p>
      <w:pPr>
        <w:pStyle w:val="BodyText"/>
        <w:spacing w:line="244" w:lineRule="auto" w:before="1"/>
        <w:ind w:left="1155" w:right="1905"/>
        <w:jc w:val="center"/>
      </w:pPr>
      <w:r>
        <w:rPr/>
        <w:t>Allegation panel agrees type and urgency; recommends action</w:t>
      </w:r>
    </w:p>
    <w:p>
      <w:pPr>
        <w:spacing w:after="0" w:line="244" w:lineRule="auto"/>
        <w:jc w:val="center"/>
        <w:sectPr>
          <w:type w:val="continuous"/>
          <w:pgSz w:w="11910" w:h="16840"/>
          <w:pgMar w:top="1580" w:bottom="280" w:left="700" w:right="0"/>
          <w:cols w:num="3" w:equalWidth="0">
            <w:col w:w="3517" w:space="40"/>
            <w:col w:w="2212" w:space="39"/>
            <w:col w:w="5402"/>
          </w:cols>
        </w:sectPr>
      </w:pPr>
    </w:p>
    <w:p>
      <w:pPr>
        <w:pStyle w:val="BodyText"/>
      </w:pPr>
    </w:p>
    <w:p>
      <w:pPr>
        <w:spacing w:after="0"/>
        <w:sectPr>
          <w:type w:val="continuous"/>
          <w:pgSz w:w="11910" w:h="16840"/>
          <w:pgMar w:top="1580" w:bottom="280" w:left="700" w:right="0"/>
        </w:sectPr>
      </w:pPr>
    </w:p>
    <w:p>
      <w:pPr>
        <w:pStyle w:val="BodyText"/>
        <w:spacing w:before="4"/>
        <w:rPr>
          <w:sz w:val="23"/>
        </w:rPr>
      </w:pPr>
    </w:p>
    <w:p>
      <w:pPr>
        <w:pStyle w:val="BodyText"/>
        <w:spacing w:line="244" w:lineRule="auto"/>
        <w:ind w:left="4005" w:hanging="394"/>
      </w:pPr>
      <w:r>
        <w:rPr/>
        <w:t>PCR team allocates specialist</w:t>
      </w:r>
    </w:p>
    <w:p>
      <w:pPr>
        <w:pStyle w:val="BodyText"/>
        <w:spacing w:before="7"/>
        <w:rPr>
          <w:sz w:val="22"/>
        </w:rPr>
      </w:pPr>
      <w:r>
        <w:rPr/>
        <w:br w:type="column"/>
      </w:r>
      <w:r>
        <w:rPr>
          <w:sz w:val="22"/>
        </w:rPr>
      </w:r>
    </w:p>
    <w:p>
      <w:pPr>
        <w:pStyle w:val="BodyText"/>
        <w:spacing w:line="244" w:lineRule="auto"/>
        <w:ind w:left="1281" w:right="1631" w:hanging="420"/>
      </w:pPr>
      <w:r>
        <w:rPr/>
        <w:t>Specialist consultant assesses; recommends action</w:t>
      </w:r>
    </w:p>
    <w:p>
      <w:pPr>
        <w:spacing w:after="0" w:line="244" w:lineRule="auto"/>
        <w:sectPr>
          <w:type w:val="continuous"/>
          <w:pgSz w:w="11910" w:h="16840"/>
          <w:pgMar w:top="1580" w:bottom="280" w:left="700" w:right="0"/>
          <w:cols w:num="2" w:equalWidth="0">
            <w:col w:w="5182" w:space="40"/>
            <w:col w:w="5988"/>
          </w:cols>
        </w:sectPr>
      </w:pPr>
    </w:p>
    <w:p>
      <w:pPr>
        <w:pStyle w:val="BodyText"/>
      </w:pPr>
    </w:p>
    <w:p>
      <w:pPr>
        <w:pStyle w:val="BodyText"/>
      </w:pPr>
    </w:p>
    <w:p>
      <w:pPr>
        <w:pStyle w:val="BodyText"/>
      </w:pPr>
    </w:p>
    <w:p>
      <w:pPr>
        <w:pStyle w:val="BodyText"/>
        <w:spacing w:before="5"/>
        <w:rPr>
          <w:sz w:val="15"/>
        </w:rPr>
      </w:pPr>
    </w:p>
    <w:p>
      <w:pPr>
        <w:pStyle w:val="BodyText"/>
        <w:spacing w:before="106"/>
        <w:ind w:left="2797"/>
      </w:pPr>
      <w:r>
        <w:rPr/>
        <w:t>Synod Moderator receives case</w:t>
      </w:r>
    </w:p>
    <w:p>
      <w:pPr>
        <w:pStyle w:val="BodyText"/>
      </w:pPr>
    </w:p>
    <w:p>
      <w:pPr>
        <w:pStyle w:val="BodyText"/>
      </w:pPr>
    </w:p>
    <w:p>
      <w:pPr>
        <w:pStyle w:val="BodyText"/>
      </w:pPr>
    </w:p>
    <w:p>
      <w:pPr>
        <w:spacing w:after="0"/>
        <w:sectPr>
          <w:type w:val="continuous"/>
          <w:pgSz w:w="11910" w:h="16840"/>
          <w:pgMar w:top="1580" w:bottom="280" w:left="700" w:right="0"/>
        </w:sectPr>
      </w:pPr>
    </w:p>
    <w:p>
      <w:pPr>
        <w:pStyle w:val="BodyText"/>
        <w:rPr>
          <w:sz w:val="22"/>
        </w:rPr>
      </w:pPr>
    </w:p>
    <w:p>
      <w:pPr>
        <w:pStyle w:val="BodyText"/>
        <w:spacing w:before="4"/>
        <w:rPr>
          <w:sz w:val="16"/>
        </w:rPr>
      </w:pPr>
    </w:p>
    <w:p>
      <w:pPr>
        <w:spacing w:before="0"/>
        <w:ind w:left="2302" w:right="0" w:hanging="569"/>
        <w:jc w:val="left"/>
        <w:rPr>
          <w:sz w:val="18"/>
        </w:rPr>
      </w:pPr>
      <w:r>
        <w:rPr>
          <w:sz w:val="18"/>
        </w:rPr>
        <w:t>Complainant pastoral care set in place</w:t>
      </w:r>
    </w:p>
    <w:p>
      <w:pPr>
        <w:pStyle w:val="BodyText"/>
        <w:rPr>
          <w:sz w:val="22"/>
        </w:rPr>
      </w:pPr>
      <w:r>
        <w:rPr/>
        <w:br w:type="column"/>
      </w:r>
      <w:r>
        <w:rPr>
          <w:sz w:val="22"/>
        </w:rPr>
      </w:r>
    </w:p>
    <w:p>
      <w:pPr>
        <w:pStyle w:val="BodyText"/>
        <w:spacing w:before="8"/>
        <w:rPr>
          <w:sz w:val="17"/>
        </w:rPr>
      </w:pPr>
    </w:p>
    <w:p>
      <w:pPr>
        <w:spacing w:before="0"/>
        <w:ind w:left="806" w:right="0" w:firstLine="202"/>
        <w:jc w:val="left"/>
        <w:rPr>
          <w:sz w:val="18"/>
        </w:rPr>
      </w:pPr>
      <w:r>
        <w:rPr>
          <w:sz w:val="18"/>
        </w:rPr>
        <w:t>Alleged perpetrator pastoral care set in place</w:t>
      </w:r>
    </w:p>
    <w:p>
      <w:pPr>
        <w:pStyle w:val="BodyText"/>
        <w:spacing w:before="3"/>
      </w:pPr>
      <w:r>
        <w:rPr/>
        <w:br w:type="column"/>
      </w:r>
      <w:r>
        <w:rPr/>
      </w:r>
    </w:p>
    <w:p>
      <w:pPr>
        <w:pStyle w:val="BodyText"/>
        <w:spacing w:line="244" w:lineRule="auto"/>
        <w:ind w:left="1450" w:right="1942"/>
        <w:jc w:val="center"/>
      </w:pPr>
      <w:r>
        <w:rPr/>
        <w:t>Statutory agency engaged</w:t>
      </w:r>
    </w:p>
    <w:p>
      <w:pPr>
        <w:spacing w:after="0" w:line="244" w:lineRule="auto"/>
        <w:jc w:val="center"/>
        <w:sectPr>
          <w:type w:val="continuous"/>
          <w:pgSz w:w="11910" w:h="16840"/>
          <w:pgMar w:top="1580" w:bottom="280" w:left="700" w:right="0"/>
          <w:cols w:num="3" w:equalWidth="0">
            <w:col w:w="3702" w:space="40"/>
            <w:col w:w="2653" w:space="39"/>
            <w:col w:w="4776"/>
          </w:cols>
        </w:sectPr>
      </w:pPr>
    </w:p>
    <w:p>
      <w:pPr>
        <w:pStyle w:val="BodyText"/>
      </w:pPr>
    </w:p>
    <w:p>
      <w:pPr>
        <w:pStyle w:val="BodyText"/>
        <w:spacing w:before="11"/>
        <w:rPr>
          <w:sz w:val="24"/>
        </w:rPr>
      </w:pPr>
    </w:p>
    <w:p>
      <w:pPr>
        <w:pStyle w:val="BodyText"/>
        <w:spacing w:before="106"/>
        <w:ind w:left="3173"/>
      </w:pPr>
      <w:r>
        <w:rPr/>
        <w:pict>
          <v:group style="position:absolute;margin-left:357.003967pt;margin-top:62.497555pt;width:44pt;height:55.85pt;mso-position-horizontal-relative:page;mso-position-vertical-relative:paragraph;z-index:-268068864" coordorigin="7140,1250" coordsize="880,1117">
            <v:rect style="position:absolute;left:7140;top:1249;width:880;height:276" filled="true" fillcolor="#bdd7ee" stroked="false">
              <v:fill type="solid"/>
            </v:rect>
            <v:rect style="position:absolute;left:7140;top:1525;width:880;height:276" filled="true" fillcolor="#a9d08e" stroked="false">
              <v:fill type="solid"/>
            </v:rect>
            <v:rect style="position:absolute;left:7140;top:1801;width:880;height:276" filled="true" fillcolor="#f8cbad" stroked="false">
              <v:fill type="solid"/>
            </v:rect>
            <v:rect style="position:absolute;left:7140;top:2077;width:880;height:290" filled="true" fillcolor="#e2cff1" stroked="false">
              <v:fill type="solid"/>
            </v:rect>
            <w10:wrap type="none"/>
          </v:group>
        </w:pict>
      </w:r>
      <w:r>
        <w:rPr/>
        <w:t>Case process is agreed</w:t>
      </w:r>
    </w:p>
    <w:p>
      <w:pPr>
        <w:pStyle w:val="BodyText"/>
      </w:pPr>
    </w:p>
    <w:p>
      <w:pPr>
        <w:pStyle w:val="BodyText"/>
        <w:spacing w:before="5"/>
        <w:rPr>
          <w:sz w:val="25"/>
        </w:rPr>
      </w:pPr>
    </w:p>
    <w:p>
      <w:pPr>
        <w:spacing w:after="0"/>
        <w:rPr>
          <w:sz w:val="25"/>
        </w:rPr>
        <w:sectPr>
          <w:type w:val="continuous"/>
          <w:pgSz w:w="11910" w:h="16840"/>
          <w:pgMar w:top="1580" w:bottom="280" w:left="700" w:right="0"/>
        </w:sectPr>
      </w:pPr>
    </w:p>
    <w:p>
      <w:pPr>
        <w:pStyle w:val="BodyText"/>
        <w:spacing w:before="9"/>
      </w:pPr>
      <w:r>
        <w:rPr/>
        <w:drawing>
          <wp:anchor distT="0" distB="0" distL="0" distR="0" allowOverlap="1" layoutInCell="1" locked="0" behindDoc="0" simplePos="0" relativeHeight="251700224">
            <wp:simplePos x="0" y="0"/>
            <wp:positionH relativeFrom="page">
              <wp:posOffset>6974928</wp:posOffset>
            </wp:positionH>
            <wp:positionV relativeFrom="page">
              <wp:posOffset>0</wp:posOffset>
            </wp:positionV>
            <wp:extent cx="585076" cy="10692003"/>
            <wp:effectExtent l="0" t="0" r="0" b="0"/>
            <wp:wrapNone/>
            <wp:docPr id="27" name="image52.png"/>
            <wp:cNvGraphicFramePr>
              <a:graphicFrameLocks noChangeAspect="1"/>
            </wp:cNvGraphicFramePr>
            <a:graphic>
              <a:graphicData uri="http://schemas.openxmlformats.org/drawingml/2006/picture">
                <pic:pic>
                  <pic:nvPicPr>
                    <pic:cNvPr id="28" name="image52.png"/>
                    <pic:cNvPicPr/>
                  </pic:nvPicPr>
                  <pic:blipFill>
                    <a:blip r:embed="rId66" cstate="print"/>
                    <a:stretch>
                      <a:fillRect/>
                    </a:stretch>
                  </pic:blipFill>
                  <pic:spPr>
                    <a:xfrm>
                      <a:off x="0" y="0"/>
                      <a:ext cx="585076" cy="10692003"/>
                    </a:xfrm>
                    <a:prstGeom prst="rect">
                      <a:avLst/>
                    </a:prstGeom>
                  </pic:spPr>
                </pic:pic>
              </a:graphicData>
            </a:graphic>
          </wp:anchor>
        </w:drawing>
      </w:r>
    </w:p>
    <w:p>
      <w:pPr>
        <w:pStyle w:val="BodyText"/>
        <w:jc w:val="right"/>
      </w:pPr>
      <w:r>
        <w:rPr/>
        <w:t>Case is handled</w:t>
      </w:r>
    </w:p>
    <w:p>
      <w:pPr>
        <w:pStyle w:val="BodyText"/>
        <w:rPr>
          <w:sz w:val="24"/>
        </w:rPr>
      </w:pPr>
    </w:p>
    <w:p>
      <w:pPr>
        <w:pStyle w:val="BodyText"/>
        <w:rPr>
          <w:sz w:val="24"/>
        </w:rPr>
      </w:pPr>
    </w:p>
    <w:p>
      <w:pPr>
        <w:pStyle w:val="BodyText"/>
        <w:spacing w:before="4"/>
        <w:rPr>
          <w:sz w:val="29"/>
        </w:rPr>
      </w:pPr>
    </w:p>
    <w:p>
      <w:pPr>
        <w:pStyle w:val="BodyText"/>
        <w:ind w:right="68"/>
        <w:jc w:val="right"/>
      </w:pPr>
      <w:r>
        <w:rPr/>
        <w:t>Case is closed</w:t>
      </w:r>
    </w:p>
    <w:p>
      <w:pPr>
        <w:spacing w:before="106"/>
        <w:ind w:left="0" w:right="0" w:firstLine="0"/>
        <w:jc w:val="right"/>
        <w:rPr>
          <w:sz w:val="20"/>
        </w:rPr>
      </w:pPr>
      <w:r>
        <w:rPr/>
        <w:br w:type="column"/>
      </w:r>
      <w:r>
        <w:rPr>
          <w:sz w:val="20"/>
        </w:rPr>
        <w:t>Key</w:t>
      </w:r>
    </w:p>
    <w:p>
      <w:pPr>
        <w:pStyle w:val="BodyText"/>
        <w:spacing w:before="4"/>
        <w:rPr>
          <w:sz w:val="31"/>
        </w:rPr>
      </w:pPr>
      <w:r>
        <w:rPr/>
        <w:br w:type="column"/>
      </w:r>
      <w:r>
        <w:rPr>
          <w:sz w:val="31"/>
        </w:rPr>
      </w:r>
    </w:p>
    <w:p>
      <w:pPr>
        <w:pStyle w:val="BodyText"/>
        <w:spacing w:line="271" w:lineRule="auto"/>
        <w:ind w:left="517" w:right="1698"/>
      </w:pPr>
      <w:r>
        <w:rPr/>
        <w:t>Complainant contact Listening</w:t>
      </w:r>
    </w:p>
    <w:p>
      <w:pPr>
        <w:pStyle w:val="BodyText"/>
        <w:spacing w:line="271" w:lineRule="auto"/>
        <w:ind w:left="517" w:right="1698"/>
      </w:pPr>
      <w:r>
        <w:rPr/>
        <w:t>Allegation assessment Case handling</w:t>
      </w:r>
    </w:p>
    <w:p>
      <w:pPr>
        <w:spacing w:after="0" w:line="271" w:lineRule="auto"/>
        <w:sectPr>
          <w:type w:val="continuous"/>
          <w:pgSz w:w="11910" w:h="16840"/>
          <w:pgMar w:top="1580" w:bottom="280" w:left="700" w:right="0"/>
          <w:cols w:num="3" w:equalWidth="0">
            <w:col w:w="4722" w:space="40"/>
            <w:col w:w="2028" w:space="39"/>
            <w:col w:w="4381"/>
          </w:cols>
        </w:sectPr>
      </w:pPr>
    </w:p>
    <w:p>
      <w:pPr>
        <w:pStyle w:val="BodyText"/>
      </w:pPr>
      <w:r>
        <w:rPr/>
        <w:pict>
          <v:rect style="position:absolute;margin-left:46.777pt;margin-top:.000015pt;width:548.498pt;height:841.89pt;mso-position-horizontal-relative:page;mso-position-vertical-relative:page;z-index:-268065792" filled="true" fillcolor="#fef4df" stroked="false">
            <v:fill type="solid"/>
            <w10:wrap type="none"/>
          </v:rect>
        </w:pict>
      </w:r>
      <w:r>
        <w:rPr/>
        <w:drawing>
          <wp:anchor distT="0" distB="0" distL="0" distR="0" allowOverlap="1" layoutInCell="1" locked="0" behindDoc="1" simplePos="0" relativeHeight="235251712">
            <wp:simplePos x="0" y="0"/>
            <wp:positionH relativeFrom="page">
              <wp:posOffset>0</wp:posOffset>
            </wp:positionH>
            <wp:positionV relativeFrom="page">
              <wp:posOffset>0</wp:posOffset>
            </wp:positionV>
            <wp:extent cx="594067" cy="10692003"/>
            <wp:effectExtent l="0" t="0" r="0" b="0"/>
            <wp:wrapNone/>
            <wp:docPr id="29" name="image53.png"/>
            <wp:cNvGraphicFramePr>
              <a:graphicFrameLocks noChangeAspect="1"/>
            </wp:cNvGraphicFramePr>
            <a:graphic>
              <a:graphicData uri="http://schemas.openxmlformats.org/drawingml/2006/picture">
                <pic:pic>
                  <pic:nvPicPr>
                    <pic:cNvPr id="30" name="image53.png"/>
                    <pic:cNvPicPr/>
                  </pic:nvPicPr>
                  <pic:blipFill>
                    <a:blip r:embed="rId100" cstate="print"/>
                    <a:stretch>
                      <a:fillRect/>
                    </a:stretch>
                  </pic:blipFill>
                  <pic:spPr>
                    <a:xfrm>
                      <a:off x="0" y="0"/>
                      <a:ext cx="594067" cy="10692003"/>
                    </a:xfrm>
                    <a:prstGeom prst="rect">
                      <a:avLst/>
                    </a:prstGeom>
                  </pic:spPr>
                </pic:pic>
              </a:graphicData>
            </a:graphic>
          </wp:anchor>
        </w:drawing>
      </w:r>
      <w:r>
        <w:rPr/>
        <w:pict>
          <v:shape style="position:absolute;margin-left:20.519100pt;margin-top:48.890015pt;width:25.9pt;height:247.6pt;mso-position-horizontal-relative:page;mso-position-vertical-relative:page;z-index:-268063744" type="#_x0000_t202" filled="false" stroked="false">
            <v:textbox inset="0,0,0,0" style="layout-flow:vertical">
              <w:txbxContent>
                <w:p>
                  <w:pPr>
                    <w:spacing w:before="27"/>
                    <w:ind w:left="20" w:right="0" w:firstLine="0"/>
                    <w:jc w:val="left"/>
                    <w:rPr>
                      <w:sz w:val="39"/>
                    </w:rPr>
                  </w:pPr>
                  <w:r>
                    <w:rPr>
                      <w:color w:val="FFFFFF"/>
                      <w:w w:val="120"/>
                      <w:sz w:val="39"/>
                    </w:rPr>
                    <w:t>Nomination of Treasurer</w:t>
                  </w:r>
                </w:p>
              </w:txbxContent>
            </v:textbox>
            <w10:wrap type="none"/>
          </v:shape>
        </w:pict>
      </w:r>
    </w:p>
    <w:p>
      <w:pPr>
        <w:pStyle w:val="BodyText"/>
      </w:pPr>
    </w:p>
    <w:p>
      <w:pPr>
        <w:pStyle w:val="BodyText"/>
      </w:pPr>
    </w:p>
    <w:p>
      <w:pPr>
        <w:pStyle w:val="BodyText"/>
        <w:spacing w:before="5"/>
        <w:rPr>
          <w:sz w:val="28"/>
        </w:rPr>
      </w:pPr>
    </w:p>
    <w:p>
      <w:pPr>
        <w:spacing w:line="213" w:lineRule="auto" w:before="153"/>
        <w:ind w:left="547" w:right="3247" w:firstLine="0"/>
        <w:jc w:val="left"/>
        <w:rPr>
          <w:rFonts w:ascii="Stone Sans II ITC Std X Bd"/>
          <w:b/>
          <w:sz w:val="50"/>
        </w:rPr>
      </w:pPr>
      <w:r>
        <w:rPr>
          <w:rFonts w:ascii="Stone Sans II ITC Std X Bd"/>
          <w:b/>
          <w:color w:val="F1B400"/>
          <w:spacing w:val="-9"/>
          <w:w w:val="110"/>
          <w:sz w:val="50"/>
        </w:rPr>
        <w:t>Mission </w:t>
      </w:r>
      <w:r>
        <w:rPr>
          <w:rFonts w:ascii="Stone Sans II ITC Std X Bd"/>
          <w:b/>
          <w:color w:val="F1B400"/>
          <w:spacing w:val="-11"/>
          <w:w w:val="110"/>
          <w:sz w:val="50"/>
        </w:rPr>
        <w:t>Council: </w:t>
      </w:r>
      <w:r>
        <w:rPr>
          <w:rFonts w:ascii="Stone Sans II ITC Std X Bd"/>
          <w:b/>
          <w:spacing w:val="-10"/>
          <w:w w:val="110"/>
          <w:sz w:val="50"/>
        </w:rPr>
        <w:t>Nomination </w:t>
      </w:r>
      <w:r>
        <w:rPr>
          <w:rFonts w:ascii="Stone Sans II ITC Std X Bd"/>
          <w:b/>
          <w:spacing w:val="-5"/>
          <w:w w:val="110"/>
          <w:sz w:val="50"/>
        </w:rPr>
        <w:t>of </w:t>
      </w:r>
      <w:r>
        <w:rPr>
          <w:rFonts w:ascii="Stone Sans II ITC Std X Bd"/>
          <w:b/>
          <w:spacing w:val="-15"/>
          <w:w w:val="110"/>
          <w:sz w:val="50"/>
        </w:rPr>
        <w:t>Treasurer</w:t>
      </w:r>
    </w:p>
    <w:p>
      <w:pPr>
        <w:pStyle w:val="Heading4"/>
        <w:spacing w:before="325"/>
        <w:ind w:left="547"/>
      </w:pPr>
      <w:r>
        <w:rPr>
          <w:color w:val="7F7F7F"/>
        </w:rPr>
        <w:t>Basic Information</w:t>
      </w:r>
    </w:p>
    <w:tbl>
      <w:tblPr>
        <w:tblW w:w="0" w:type="auto"/>
        <w:jc w:val="left"/>
        <w:tblInd w:w="55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660"/>
        <w:gridCol w:w="6582"/>
      </w:tblGrid>
      <w:tr>
        <w:trPr>
          <w:trHeight w:val="680" w:hRule="atLeast"/>
        </w:trPr>
        <w:tc>
          <w:tcPr>
            <w:tcW w:w="2660" w:type="dxa"/>
            <w:shd w:val="clear" w:color="auto" w:fill="FFFFFF"/>
          </w:tcPr>
          <w:p>
            <w:pPr>
              <w:pStyle w:val="TableParagraph"/>
              <w:spacing w:line="213" w:lineRule="auto" w:before="151"/>
              <w:ind w:right="595"/>
              <w:rPr>
                <w:rFonts w:ascii="Stone Sans II ITC Std Bk"/>
                <w:b/>
                <w:sz w:val="20"/>
              </w:rPr>
            </w:pPr>
            <w:r>
              <w:rPr>
                <w:rFonts w:ascii="Stone Sans II ITC Std Bk"/>
                <w:b/>
                <w:w w:val="110"/>
                <w:sz w:val="20"/>
              </w:rPr>
              <w:t>Contact name and email address</w:t>
            </w:r>
          </w:p>
        </w:tc>
        <w:tc>
          <w:tcPr>
            <w:tcW w:w="6582" w:type="dxa"/>
            <w:shd w:val="clear" w:color="auto" w:fill="FFFFFF"/>
          </w:tcPr>
          <w:p>
            <w:pPr>
              <w:pStyle w:val="TableParagraph"/>
              <w:spacing w:before="141"/>
              <w:rPr>
                <w:sz w:val="20"/>
              </w:rPr>
            </w:pPr>
            <w:r>
              <w:rPr>
                <w:w w:val="120"/>
                <w:sz w:val="20"/>
              </w:rPr>
              <w:t>John Proctor: </w:t>
            </w:r>
            <w:hyperlink r:id="rId60">
              <w:r>
                <w:rPr>
                  <w:color w:val="006AB3"/>
                  <w:w w:val="120"/>
                  <w:sz w:val="20"/>
                </w:rPr>
                <w:t>john.proctor@urc.org.uk</w:t>
              </w:r>
            </w:hyperlink>
          </w:p>
        </w:tc>
      </w:tr>
      <w:tr>
        <w:trPr>
          <w:trHeight w:val="440" w:hRule="atLeast"/>
        </w:trPr>
        <w:tc>
          <w:tcPr>
            <w:tcW w:w="2660" w:type="dxa"/>
            <w:shd w:val="clear" w:color="auto" w:fill="FFFFFF"/>
          </w:tcPr>
          <w:p>
            <w:pPr>
              <w:pStyle w:val="TableParagraph"/>
              <w:spacing w:before="128"/>
              <w:rPr>
                <w:rFonts w:ascii="Stone Sans II ITC Std Bk"/>
                <w:b/>
                <w:sz w:val="20"/>
              </w:rPr>
            </w:pPr>
            <w:r>
              <w:rPr>
                <w:rFonts w:ascii="Stone Sans II ITC Std Bk"/>
                <w:b/>
                <w:w w:val="110"/>
                <w:sz w:val="20"/>
              </w:rPr>
              <w:t>Action required</w:t>
            </w:r>
          </w:p>
        </w:tc>
        <w:tc>
          <w:tcPr>
            <w:tcW w:w="6582" w:type="dxa"/>
            <w:shd w:val="clear" w:color="auto" w:fill="FFFFFF"/>
          </w:tcPr>
          <w:p>
            <w:pPr>
              <w:pStyle w:val="TableParagraph"/>
              <w:spacing w:before="141"/>
              <w:rPr>
                <w:sz w:val="20"/>
              </w:rPr>
            </w:pPr>
            <w:r>
              <w:rPr>
                <w:w w:val="120"/>
                <w:sz w:val="20"/>
              </w:rPr>
              <w:t>Decision</w:t>
            </w:r>
          </w:p>
        </w:tc>
      </w:tr>
      <w:tr>
        <w:trPr>
          <w:trHeight w:val="680" w:hRule="atLeast"/>
        </w:trPr>
        <w:tc>
          <w:tcPr>
            <w:tcW w:w="2660" w:type="dxa"/>
            <w:shd w:val="clear" w:color="auto" w:fill="FFFFFF"/>
          </w:tcPr>
          <w:p>
            <w:pPr>
              <w:pStyle w:val="TableParagraph"/>
              <w:spacing w:before="128"/>
              <w:rPr>
                <w:rFonts w:ascii="Stone Sans II ITC Std Bk"/>
                <w:b/>
                <w:sz w:val="20"/>
              </w:rPr>
            </w:pPr>
            <w:r>
              <w:rPr>
                <w:rFonts w:ascii="Stone Sans II ITC Std Bk"/>
                <w:b/>
                <w:w w:val="110"/>
                <w:sz w:val="20"/>
              </w:rPr>
              <w:t>Draft resolution(s)</w:t>
            </w:r>
          </w:p>
        </w:tc>
        <w:tc>
          <w:tcPr>
            <w:tcW w:w="6582" w:type="dxa"/>
            <w:shd w:val="clear" w:color="auto" w:fill="FFFFFF"/>
          </w:tcPr>
          <w:p>
            <w:pPr>
              <w:pStyle w:val="TableParagraph"/>
              <w:tabs>
                <w:tab w:pos="760" w:val="left" w:leader="none"/>
              </w:tabs>
              <w:spacing w:line="213" w:lineRule="auto" w:before="151"/>
              <w:ind w:right="747"/>
              <w:rPr>
                <w:rFonts w:ascii="Stone Sans II ITC Std Bk"/>
                <w:b/>
                <w:sz w:val="20"/>
              </w:rPr>
            </w:pPr>
            <w:r>
              <w:rPr>
                <w:rFonts w:ascii="Stone Sans II ITC Std Bk"/>
                <w:b/>
                <w:w w:val="110"/>
                <w:sz w:val="20"/>
              </w:rPr>
              <w:t>2.</w:t>
              <w:tab/>
              <w:t>General Assembly appoints Mr Ian Hardie as Treasurer of the Church from 1 July </w:t>
            </w:r>
            <w:r>
              <w:rPr>
                <w:rFonts w:ascii="Stone Sans II ITC Std Bk"/>
                <w:b/>
                <w:spacing w:val="-7"/>
                <w:w w:val="110"/>
                <w:sz w:val="20"/>
              </w:rPr>
              <w:t>2017 </w:t>
            </w:r>
            <w:r>
              <w:rPr>
                <w:rFonts w:ascii="Stone Sans II ITC Std Bk"/>
                <w:b/>
                <w:w w:val="110"/>
                <w:sz w:val="20"/>
              </w:rPr>
              <w:t>for six</w:t>
            </w:r>
            <w:r>
              <w:rPr>
                <w:rFonts w:ascii="Stone Sans II ITC Std Bk"/>
                <w:b/>
                <w:spacing w:val="-3"/>
                <w:w w:val="110"/>
                <w:sz w:val="20"/>
              </w:rPr>
              <w:t> </w:t>
            </w:r>
            <w:r>
              <w:rPr>
                <w:rFonts w:ascii="Stone Sans II ITC Std Bk"/>
                <w:b/>
                <w:w w:val="110"/>
                <w:sz w:val="20"/>
              </w:rPr>
              <w:t>years.</w:t>
            </w:r>
          </w:p>
        </w:tc>
      </w:tr>
    </w:tbl>
    <w:p>
      <w:pPr>
        <w:pStyle w:val="BodyText"/>
        <w:spacing w:before="3"/>
        <w:rPr>
          <w:rFonts w:ascii="Stone Sans II ITC Std Bk"/>
          <w:b/>
          <w:sz w:val="29"/>
        </w:rPr>
      </w:pPr>
    </w:p>
    <w:p>
      <w:pPr>
        <w:pStyle w:val="Heading4"/>
        <w:spacing w:before="1"/>
        <w:ind w:left="547"/>
      </w:pPr>
      <w:r>
        <w:rPr>
          <w:color w:val="7F7F7F"/>
        </w:rPr>
        <w:t>Summary of Content</w:t>
      </w:r>
    </w:p>
    <w:tbl>
      <w:tblPr>
        <w:tblW w:w="0" w:type="auto"/>
        <w:jc w:val="left"/>
        <w:tblInd w:w="55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660"/>
        <w:gridCol w:w="6582"/>
      </w:tblGrid>
      <w:tr>
        <w:trPr>
          <w:trHeight w:val="440" w:hRule="atLeast"/>
        </w:trPr>
        <w:tc>
          <w:tcPr>
            <w:tcW w:w="2660" w:type="dxa"/>
            <w:shd w:val="clear" w:color="auto" w:fill="FFFFFF"/>
          </w:tcPr>
          <w:p>
            <w:pPr>
              <w:pStyle w:val="TableParagraph"/>
              <w:spacing w:before="128"/>
              <w:rPr>
                <w:rFonts w:ascii="Stone Sans II ITC Std Bk"/>
                <w:b/>
                <w:sz w:val="20"/>
              </w:rPr>
            </w:pPr>
            <w:r>
              <w:rPr>
                <w:rFonts w:ascii="Stone Sans II ITC Std Bk"/>
                <w:b/>
                <w:w w:val="110"/>
                <w:sz w:val="20"/>
              </w:rPr>
              <w:t>Subject and aim(s)</w:t>
            </w:r>
          </w:p>
        </w:tc>
        <w:tc>
          <w:tcPr>
            <w:tcW w:w="6582" w:type="dxa"/>
            <w:shd w:val="clear" w:color="auto" w:fill="FFFFFF"/>
          </w:tcPr>
          <w:p>
            <w:pPr>
              <w:pStyle w:val="TableParagraph"/>
              <w:spacing w:before="141"/>
              <w:rPr>
                <w:sz w:val="20"/>
              </w:rPr>
            </w:pPr>
            <w:r>
              <w:rPr>
                <w:w w:val="120"/>
                <w:sz w:val="20"/>
              </w:rPr>
              <w:t>Appointment of Treasurer</w:t>
            </w:r>
          </w:p>
        </w:tc>
      </w:tr>
      <w:tr>
        <w:trPr>
          <w:trHeight w:val="680" w:hRule="atLeast"/>
        </w:trPr>
        <w:tc>
          <w:tcPr>
            <w:tcW w:w="2660" w:type="dxa"/>
            <w:shd w:val="clear" w:color="auto" w:fill="FFFFFF"/>
          </w:tcPr>
          <w:p>
            <w:pPr>
              <w:pStyle w:val="TableParagraph"/>
              <w:spacing w:before="128"/>
              <w:rPr>
                <w:rFonts w:ascii="Stone Sans II ITC Std Bk"/>
                <w:b/>
                <w:sz w:val="20"/>
              </w:rPr>
            </w:pPr>
            <w:r>
              <w:rPr>
                <w:rFonts w:ascii="Stone Sans II ITC Std Bk"/>
                <w:b/>
                <w:w w:val="110"/>
                <w:sz w:val="20"/>
              </w:rPr>
              <w:t>Main points</w:t>
            </w:r>
          </w:p>
        </w:tc>
        <w:tc>
          <w:tcPr>
            <w:tcW w:w="6582" w:type="dxa"/>
            <w:shd w:val="clear" w:color="auto" w:fill="FFFFFF"/>
          </w:tcPr>
          <w:p>
            <w:pPr>
              <w:pStyle w:val="TableParagraph"/>
              <w:spacing w:line="235" w:lineRule="auto" w:before="145"/>
              <w:rPr>
                <w:sz w:val="20"/>
              </w:rPr>
            </w:pPr>
            <w:r>
              <w:rPr>
                <w:w w:val="120"/>
                <w:sz w:val="20"/>
              </w:rPr>
              <w:t>A process of enquiry and interview has identified a suitable candidate</w:t>
            </w:r>
          </w:p>
        </w:tc>
      </w:tr>
      <w:tr>
        <w:trPr>
          <w:trHeight w:val="680" w:hRule="atLeast"/>
        </w:trPr>
        <w:tc>
          <w:tcPr>
            <w:tcW w:w="2660" w:type="dxa"/>
            <w:shd w:val="clear" w:color="auto" w:fill="FFFFFF"/>
          </w:tcPr>
          <w:p>
            <w:pPr>
              <w:pStyle w:val="TableParagraph"/>
              <w:spacing w:line="213" w:lineRule="auto" w:before="151"/>
              <w:ind w:right="701"/>
              <w:rPr>
                <w:rFonts w:ascii="Stone Sans II ITC Std Bk"/>
                <w:b/>
                <w:sz w:val="20"/>
              </w:rPr>
            </w:pPr>
            <w:r>
              <w:rPr>
                <w:rFonts w:ascii="Stone Sans II ITC Std Bk"/>
                <w:b/>
                <w:w w:val="110"/>
                <w:sz w:val="20"/>
              </w:rPr>
              <w:t>Previous relevant documents</w:t>
            </w:r>
          </w:p>
        </w:tc>
        <w:tc>
          <w:tcPr>
            <w:tcW w:w="6582" w:type="dxa"/>
            <w:shd w:val="clear" w:color="auto" w:fill="FFFFFF"/>
          </w:tcPr>
          <w:p>
            <w:pPr>
              <w:pStyle w:val="TableParagraph"/>
              <w:spacing w:before="141"/>
              <w:rPr>
                <w:sz w:val="20"/>
              </w:rPr>
            </w:pPr>
            <w:r>
              <w:rPr>
                <w:w w:val="120"/>
                <w:sz w:val="20"/>
              </w:rPr>
              <w:t>Nothing recent</w:t>
            </w:r>
          </w:p>
        </w:tc>
      </w:tr>
      <w:tr>
        <w:trPr>
          <w:trHeight w:val="680" w:hRule="atLeast"/>
        </w:trPr>
        <w:tc>
          <w:tcPr>
            <w:tcW w:w="2660" w:type="dxa"/>
            <w:shd w:val="clear" w:color="auto" w:fill="FFFFFF"/>
          </w:tcPr>
          <w:p>
            <w:pPr>
              <w:pStyle w:val="TableParagraph"/>
              <w:spacing w:line="213" w:lineRule="auto" w:before="151"/>
              <w:ind w:right="104"/>
              <w:rPr>
                <w:rFonts w:ascii="Stone Sans II ITC Std Bk"/>
                <w:b/>
                <w:sz w:val="20"/>
              </w:rPr>
            </w:pPr>
            <w:r>
              <w:rPr>
                <w:rFonts w:ascii="Stone Sans II ITC Std Bk"/>
                <w:b/>
                <w:w w:val="110"/>
                <w:sz w:val="20"/>
              </w:rPr>
              <w:t>Consultation has taken place with...</w:t>
            </w:r>
          </w:p>
        </w:tc>
        <w:tc>
          <w:tcPr>
            <w:tcW w:w="6582" w:type="dxa"/>
            <w:shd w:val="clear" w:color="auto" w:fill="FFFFFF"/>
          </w:tcPr>
          <w:p>
            <w:pPr>
              <w:pStyle w:val="TableParagraph"/>
              <w:spacing w:line="235" w:lineRule="auto" w:before="145"/>
              <w:ind w:right="182"/>
              <w:rPr>
                <w:sz w:val="20"/>
              </w:rPr>
            </w:pPr>
            <w:r>
              <w:rPr>
                <w:w w:val="120"/>
                <w:sz w:val="20"/>
              </w:rPr>
              <w:t>Synod Moderators, Nominations Committee, Treasurer. See also Para 2 below</w:t>
            </w:r>
          </w:p>
        </w:tc>
      </w:tr>
    </w:tbl>
    <w:p>
      <w:pPr>
        <w:pStyle w:val="BodyText"/>
        <w:spacing w:before="3"/>
        <w:rPr>
          <w:rFonts w:ascii="Stone Sans II ITC Std Bk"/>
          <w:b/>
          <w:sz w:val="29"/>
        </w:rPr>
      </w:pPr>
    </w:p>
    <w:p>
      <w:pPr>
        <w:pStyle w:val="Heading4"/>
        <w:ind w:left="547"/>
      </w:pPr>
      <w:r>
        <w:rPr>
          <w:color w:val="7F7F7F"/>
        </w:rPr>
        <w:t>Summary of Impact</w:t>
      </w:r>
    </w:p>
    <w:tbl>
      <w:tblPr>
        <w:tblW w:w="0" w:type="auto"/>
        <w:jc w:val="left"/>
        <w:tblInd w:w="55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660"/>
        <w:gridCol w:w="6582"/>
      </w:tblGrid>
      <w:tr>
        <w:trPr>
          <w:trHeight w:val="440" w:hRule="atLeast"/>
        </w:trPr>
        <w:tc>
          <w:tcPr>
            <w:tcW w:w="2660" w:type="dxa"/>
            <w:shd w:val="clear" w:color="auto" w:fill="FFFFFF"/>
          </w:tcPr>
          <w:p>
            <w:pPr>
              <w:pStyle w:val="TableParagraph"/>
              <w:spacing w:before="128"/>
              <w:rPr>
                <w:rFonts w:ascii="Stone Sans II ITC Std Bk"/>
                <w:b/>
                <w:sz w:val="20"/>
              </w:rPr>
            </w:pPr>
            <w:r>
              <w:rPr>
                <w:rFonts w:ascii="Stone Sans II ITC Std Bk"/>
                <w:b/>
                <w:w w:val="110"/>
                <w:sz w:val="20"/>
              </w:rPr>
              <w:t>Financial</w:t>
            </w:r>
          </w:p>
        </w:tc>
        <w:tc>
          <w:tcPr>
            <w:tcW w:w="6582" w:type="dxa"/>
            <w:shd w:val="clear" w:color="auto" w:fill="FFFFFF"/>
          </w:tcPr>
          <w:p>
            <w:pPr>
              <w:pStyle w:val="TableParagraph"/>
              <w:spacing w:before="141"/>
              <w:rPr>
                <w:sz w:val="20"/>
              </w:rPr>
            </w:pPr>
            <w:r>
              <w:rPr>
                <w:w w:val="120"/>
                <w:sz w:val="20"/>
              </w:rPr>
              <w:t>None</w:t>
            </w:r>
          </w:p>
        </w:tc>
      </w:tr>
      <w:tr>
        <w:trPr>
          <w:trHeight w:val="680" w:hRule="atLeast"/>
        </w:trPr>
        <w:tc>
          <w:tcPr>
            <w:tcW w:w="2660" w:type="dxa"/>
            <w:shd w:val="clear" w:color="auto" w:fill="FFFFFF"/>
          </w:tcPr>
          <w:p>
            <w:pPr>
              <w:pStyle w:val="TableParagraph"/>
              <w:spacing w:line="255" w:lineRule="exact" w:before="128"/>
              <w:rPr>
                <w:rFonts w:ascii="Stone Sans II ITC Std Bk"/>
                <w:b/>
                <w:sz w:val="20"/>
              </w:rPr>
            </w:pPr>
            <w:r>
              <w:rPr>
                <w:rFonts w:ascii="Stone Sans II ITC Std Bk"/>
                <w:b/>
                <w:w w:val="110"/>
                <w:sz w:val="20"/>
              </w:rPr>
              <w:t>External</w:t>
            </w:r>
          </w:p>
          <w:p>
            <w:pPr>
              <w:pStyle w:val="TableParagraph"/>
              <w:spacing w:line="255" w:lineRule="exact"/>
              <w:rPr>
                <w:rFonts w:ascii="Stone Sans II ITC Std Bk"/>
                <w:b/>
                <w:sz w:val="20"/>
              </w:rPr>
            </w:pPr>
            <w:r>
              <w:rPr>
                <w:rFonts w:ascii="Stone Sans II ITC Std Bk"/>
                <w:b/>
                <w:w w:val="110"/>
                <w:sz w:val="20"/>
              </w:rPr>
              <w:t>(e.g. ecumenical)</w:t>
            </w:r>
          </w:p>
        </w:tc>
        <w:tc>
          <w:tcPr>
            <w:tcW w:w="6582" w:type="dxa"/>
            <w:shd w:val="clear" w:color="auto" w:fill="FFFFFF"/>
          </w:tcPr>
          <w:p>
            <w:pPr>
              <w:pStyle w:val="TableParagraph"/>
              <w:spacing w:line="235" w:lineRule="auto" w:before="145"/>
              <w:rPr>
                <w:sz w:val="20"/>
              </w:rPr>
            </w:pPr>
            <w:r>
              <w:rPr>
                <w:w w:val="120"/>
                <w:sz w:val="20"/>
              </w:rPr>
              <w:t>Competent oversight of our finances is a legal and reputational requirement.</w:t>
            </w:r>
          </w:p>
        </w:tc>
      </w:tr>
    </w:tbl>
    <w:p>
      <w:pPr>
        <w:pStyle w:val="BodyText"/>
        <w:rPr>
          <w:rFonts w:ascii="Stone Sans II ITC Std Bk"/>
          <w:b/>
          <w:sz w:val="30"/>
        </w:rPr>
      </w:pPr>
    </w:p>
    <w:p>
      <w:pPr>
        <w:pStyle w:val="BodyText"/>
        <w:rPr>
          <w:rFonts w:ascii="Stone Sans II ITC Std Bk"/>
          <w:b/>
          <w:sz w:val="30"/>
        </w:rPr>
      </w:pPr>
    </w:p>
    <w:p>
      <w:pPr>
        <w:pStyle w:val="BodyText"/>
        <w:rPr>
          <w:rFonts w:ascii="Stone Sans II ITC Std Bk"/>
          <w:b/>
          <w:sz w:val="30"/>
        </w:rPr>
      </w:pPr>
    </w:p>
    <w:p>
      <w:pPr>
        <w:pStyle w:val="BodyText"/>
        <w:rPr>
          <w:rFonts w:ascii="Stone Sans II ITC Std Bk"/>
          <w:b/>
          <w:sz w:val="30"/>
        </w:rPr>
      </w:pPr>
    </w:p>
    <w:p>
      <w:pPr>
        <w:pStyle w:val="BodyText"/>
        <w:rPr>
          <w:rFonts w:ascii="Stone Sans II ITC Std Bk"/>
          <w:b/>
          <w:sz w:val="30"/>
        </w:rPr>
      </w:pPr>
    </w:p>
    <w:p>
      <w:pPr>
        <w:pStyle w:val="BodyText"/>
        <w:rPr>
          <w:rFonts w:ascii="Stone Sans II ITC Std Bk"/>
          <w:b/>
          <w:sz w:val="30"/>
        </w:rPr>
      </w:pPr>
    </w:p>
    <w:p>
      <w:pPr>
        <w:pStyle w:val="BodyText"/>
        <w:rPr>
          <w:rFonts w:ascii="Stone Sans II ITC Std Bk"/>
          <w:b/>
          <w:sz w:val="30"/>
        </w:rPr>
      </w:pPr>
    </w:p>
    <w:p>
      <w:pPr>
        <w:pStyle w:val="BodyText"/>
        <w:rPr>
          <w:rFonts w:ascii="Stone Sans II ITC Std Bk"/>
          <w:b/>
          <w:sz w:val="30"/>
        </w:rPr>
      </w:pPr>
    </w:p>
    <w:p>
      <w:pPr>
        <w:pStyle w:val="BodyText"/>
        <w:rPr>
          <w:rFonts w:ascii="Stone Sans II ITC Std Bk"/>
          <w:b/>
          <w:sz w:val="30"/>
        </w:rPr>
      </w:pPr>
    </w:p>
    <w:p>
      <w:pPr>
        <w:pStyle w:val="BodyText"/>
        <w:rPr>
          <w:rFonts w:ascii="Stone Sans II ITC Std Bk"/>
          <w:b/>
          <w:sz w:val="30"/>
        </w:rPr>
      </w:pPr>
    </w:p>
    <w:p>
      <w:pPr>
        <w:pStyle w:val="BodyText"/>
        <w:rPr>
          <w:rFonts w:ascii="Stone Sans II ITC Std Bk"/>
          <w:b/>
          <w:sz w:val="30"/>
        </w:rPr>
      </w:pPr>
    </w:p>
    <w:p>
      <w:pPr>
        <w:pStyle w:val="BodyText"/>
        <w:rPr>
          <w:rFonts w:ascii="Stone Sans II ITC Std Bk"/>
          <w:b/>
          <w:sz w:val="30"/>
        </w:rPr>
      </w:pPr>
    </w:p>
    <w:p>
      <w:pPr>
        <w:pStyle w:val="BodyText"/>
        <w:rPr>
          <w:rFonts w:ascii="Stone Sans II ITC Std Bk"/>
          <w:b/>
          <w:sz w:val="30"/>
        </w:rPr>
      </w:pPr>
    </w:p>
    <w:p>
      <w:pPr>
        <w:pStyle w:val="BodyText"/>
        <w:rPr>
          <w:rFonts w:ascii="Stone Sans II ITC Std Bk"/>
          <w:b/>
          <w:sz w:val="30"/>
        </w:rPr>
      </w:pPr>
    </w:p>
    <w:p>
      <w:pPr>
        <w:pStyle w:val="Heading6"/>
        <w:spacing w:before="245"/>
        <w:ind w:left="547"/>
      </w:pPr>
      <w:r>
        <w:rPr>
          <w:rFonts w:ascii="Stone Sans II ITC Std X Bd" w:hAnsi="Stone Sans II ITC Std X Bd"/>
          <w:b/>
          <w:w w:val="110"/>
          <w:sz w:val="24"/>
        </w:rPr>
        <w:t>18 </w:t>
      </w:r>
      <w:r>
        <w:rPr>
          <w:rFonts w:ascii="Symbol" w:hAnsi="Symbol"/>
          <w:color w:val="7EAABF"/>
          <w:w w:val="110"/>
        </w:rPr>
        <w:t></w:t>
      </w:r>
      <w:r>
        <w:rPr>
          <w:rFonts w:ascii="Times New Roman" w:hAnsi="Times New Roman"/>
          <w:color w:val="7EAABF"/>
          <w:w w:val="110"/>
        </w:rPr>
        <w:t> </w:t>
      </w:r>
      <w:r>
        <w:rPr>
          <w:color w:val="7EAABF"/>
          <w:w w:val="110"/>
        </w:rPr>
        <w:t>United Reformed Church </w:t>
      </w:r>
      <w:r>
        <w:rPr>
          <w:rFonts w:ascii="Symbol" w:hAnsi="Symbol"/>
          <w:color w:val="7EAABF"/>
          <w:w w:val="110"/>
        </w:rPr>
        <w:t></w:t>
      </w:r>
      <w:r>
        <w:rPr>
          <w:rFonts w:ascii="Times New Roman" w:hAnsi="Times New Roman"/>
          <w:color w:val="7EAABF"/>
          <w:w w:val="110"/>
        </w:rPr>
        <w:t> </w:t>
      </w:r>
      <w:r>
        <w:rPr>
          <w:color w:val="7EAABF"/>
          <w:w w:val="110"/>
        </w:rPr>
        <w:t>General Assembly 2016</w:t>
      </w:r>
    </w:p>
    <w:p>
      <w:pPr>
        <w:spacing w:after="0"/>
        <w:sectPr>
          <w:headerReference w:type="even" r:id="rId98"/>
          <w:footerReference w:type="even" r:id="rId99"/>
          <w:pgSz w:w="11910" w:h="16840"/>
          <w:pgMar w:header="0" w:footer="0" w:top="0" w:bottom="0" w:left="700" w:right="0"/>
        </w:sectPr>
      </w:pPr>
    </w:p>
    <w:p>
      <w:pPr>
        <w:pStyle w:val="BodyText"/>
      </w:pPr>
    </w:p>
    <w:p>
      <w:pPr>
        <w:pStyle w:val="BodyText"/>
        <w:spacing w:before="7"/>
        <w:rPr>
          <w:sz w:val="21"/>
        </w:rPr>
      </w:pPr>
    </w:p>
    <w:p>
      <w:pPr>
        <w:spacing w:after="0"/>
        <w:rPr>
          <w:sz w:val="21"/>
        </w:rPr>
        <w:sectPr>
          <w:headerReference w:type="default" r:id="rId101"/>
          <w:footerReference w:type="default" r:id="rId102"/>
          <w:pgSz w:w="11910" w:h="16840"/>
          <w:pgMar w:header="0" w:footer="647" w:top="0" w:bottom="840" w:left="700" w:right="0"/>
          <w:pgNumType w:start="19"/>
        </w:sectPr>
      </w:pPr>
    </w:p>
    <w:p>
      <w:pPr>
        <w:pStyle w:val="BodyText"/>
        <w:spacing w:before="10"/>
        <w:rPr>
          <w:sz w:val="54"/>
        </w:rPr>
      </w:pPr>
    </w:p>
    <w:p>
      <w:pPr>
        <w:spacing w:before="0"/>
        <w:ind w:left="1284" w:right="0" w:firstLine="0"/>
        <w:jc w:val="left"/>
        <w:rPr>
          <w:rFonts w:ascii="Stone Sans II ITC Std X Bd"/>
          <w:b/>
          <w:sz w:val="50"/>
        </w:rPr>
      </w:pPr>
      <w:r>
        <w:rPr>
          <w:rFonts w:ascii="Stone Sans II ITC Std X Bd"/>
          <w:b/>
          <w:spacing w:val="-10"/>
          <w:w w:val="110"/>
          <w:sz w:val="50"/>
        </w:rPr>
        <w:t>Nomination </w:t>
      </w:r>
      <w:r>
        <w:rPr>
          <w:rFonts w:ascii="Stone Sans II ITC Std X Bd"/>
          <w:b/>
          <w:spacing w:val="-5"/>
          <w:w w:val="110"/>
          <w:sz w:val="50"/>
        </w:rPr>
        <w:t>of </w:t>
      </w:r>
      <w:r>
        <w:rPr>
          <w:rFonts w:ascii="Stone Sans II ITC Std X Bd"/>
          <w:b/>
          <w:spacing w:val="-15"/>
          <w:w w:val="110"/>
          <w:sz w:val="50"/>
        </w:rPr>
        <w:t>Treasurer</w:t>
      </w:r>
    </w:p>
    <w:p>
      <w:pPr>
        <w:spacing w:before="106"/>
        <w:ind w:left="-19" w:right="0" w:firstLine="0"/>
        <w:jc w:val="left"/>
        <w:rPr>
          <w:sz w:val="26"/>
        </w:rPr>
      </w:pPr>
      <w:r>
        <w:rPr/>
        <w:br w:type="column"/>
      </w:r>
      <w:r>
        <w:rPr>
          <w:color w:val="7EAABF"/>
          <w:w w:val="120"/>
          <w:sz w:val="26"/>
        </w:rPr>
        <w:t>Mission Council</w:t>
      </w:r>
    </w:p>
    <w:p>
      <w:pPr>
        <w:spacing w:after="0"/>
        <w:jc w:val="left"/>
        <w:rPr>
          <w:sz w:val="26"/>
        </w:rPr>
        <w:sectPr>
          <w:type w:val="continuous"/>
          <w:pgSz w:w="11910" w:h="16840"/>
          <w:pgMar w:top="1580" w:bottom="280" w:left="700" w:right="0"/>
          <w:cols w:num="2" w:equalWidth="0">
            <w:col w:w="7990" w:space="40"/>
            <w:col w:w="3180"/>
          </w:cols>
        </w:sectPr>
      </w:pPr>
    </w:p>
    <w:p>
      <w:pPr>
        <w:pStyle w:val="BodyText"/>
        <w:spacing w:before="4"/>
        <w:rPr>
          <w:sz w:val="25"/>
        </w:rPr>
      </w:pPr>
      <w:r>
        <w:rPr/>
        <w:drawing>
          <wp:anchor distT="0" distB="0" distL="0" distR="0" allowOverlap="1" layoutInCell="1" locked="0" behindDoc="0" simplePos="0" relativeHeight="251707392">
            <wp:simplePos x="0" y="0"/>
            <wp:positionH relativeFrom="page">
              <wp:posOffset>6974928</wp:posOffset>
            </wp:positionH>
            <wp:positionV relativeFrom="page">
              <wp:posOffset>0</wp:posOffset>
            </wp:positionV>
            <wp:extent cx="585076" cy="10692003"/>
            <wp:effectExtent l="0" t="0" r="0" b="0"/>
            <wp:wrapNone/>
            <wp:docPr id="31" name="image52.png"/>
            <wp:cNvGraphicFramePr>
              <a:graphicFrameLocks noChangeAspect="1"/>
            </wp:cNvGraphicFramePr>
            <a:graphic>
              <a:graphicData uri="http://schemas.openxmlformats.org/drawingml/2006/picture">
                <pic:pic>
                  <pic:nvPicPr>
                    <pic:cNvPr id="32" name="image52.png"/>
                    <pic:cNvPicPr/>
                  </pic:nvPicPr>
                  <pic:blipFill>
                    <a:blip r:embed="rId66" cstate="print"/>
                    <a:stretch>
                      <a:fillRect/>
                    </a:stretch>
                  </pic:blipFill>
                  <pic:spPr>
                    <a:xfrm>
                      <a:off x="0" y="0"/>
                      <a:ext cx="585076" cy="10692003"/>
                    </a:xfrm>
                    <a:prstGeom prst="rect">
                      <a:avLst/>
                    </a:prstGeom>
                  </pic:spPr>
                </pic:pic>
              </a:graphicData>
            </a:graphic>
          </wp:anchor>
        </w:drawing>
      </w:r>
    </w:p>
    <w:p>
      <w:pPr>
        <w:pStyle w:val="ListParagraph"/>
        <w:numPr>
          <w:ilvl w:val="0"/>
          <w:numId w:val="7"/>
        </w:numPr>
        <w:tabs>
          <w:tab w:pos="1964" w:val="left" w:leader="none"/>
          <w:tab w:pos="1965" w:val="left" w:leader="none"/>
        </w:tabs>
        <w:spacing w:line="235" w:lineRule="auto" w:before="104" w:after="0"/>
        <w:ind w:left="1284" w:right="1761" w:firstLine="0"/>
        <w:jc w:val="left"/>
        <w:rPr>
          <w:sz w:val="20"/>
        </w:rPr>
      </w:pPr>
      <w:r>
        <w:rPr/>
        <w:pict>
          <v:shape style="position:absolute;margin-left:554.141174pt;margin-top:-60.092052pt;width:25.9pt;height:247.6pt;mso-position-horizontal-relative:page;mso-position-vertical-relative:paragraph;z-index:251708416" type="#_x0000_t202" filled="false" stroked="false">
            <v:textbox inset="0,0,0,0" style="layout-flow:vertical">
              <w:txbxContent>
                <w:p>
                  <w:pPr>
                    <w:spacing w:before="27"/>
                    <w:ind w:left="20" w:right="0" w:firstLine="0"/>
                    <w:jc w:val="left"/>
                    <w:rPr>
                      <w:sz w:val="39"/>
                    </w:rPr>
                  </w:pPr>
                  <w:r>
                    <w:rPr>
                      <w:color w:val="FFFFFF"/>
                      <w:w w:val="120"/>
                      <w:sz w:val="39"/>
                    </w:rPr>
                    <w:t>Nomination of Treasurer</w:t>
                  </w:r>
                </w:p>
              </w:txbxContent>
            </v:textbox>
            <w10:wrap type="none"/>
          </v:shape>
        </w:pict>
      </w:r>
      <w:r>
        <w:rPr>
          <w:w w:val="120"/>
          <w:sz w:val="20"/>
        </w:rPr>
        <w:t>John </w:t>
      </w:r>
      <w:r>
        <w:rPr>
          <w:spacing w:val="-3"/>
          <w:w w:val="120"/>
          <w:sz w:val="20"/>
        </w:rPr>
        <w:t>Ellis’s </w:t>
      </w:r>
      <w:r>
        <w:rPr>
          <w:w w:val="120"/>
          <w:sz w:val="20"/>
        </w:rPr>
        <w:t>service as our treasurer will come to an end in June </w:t>
      </w:r>
      <w:r>
        <w:rPr>
          <w:spacing w:val="-12"/>
          <w:w w:val="120"/>
          <w:sz w:val="20"/>
        </w:rPr>
        <w:t>2017, </w:t>
      </w:r>
      <w:r>
        <w:rPr>
          <w:w w:val="120"/>
          <w:sz w:val="20"/>
        </w:rPr>
        <w:t>and a successor will be needed. An earlier search process in </w:t>
      </w:r>
      <w:r>
        <w:rPr>
          <w:spacing w:val="-8"/>
          <w:w w:val="120"/>
          <w:sz w:val="20"/>
        </w:rPr>
        <w:t>2013 </w:t>
      </w:r>
      <w:r>
        <w:rPr>
          <w:w w:val="120"/>
          <w:sz w:val="20"/>
        </w:rPr>
        <w:t>was undertaken with diligence and care, but proved unfruitful. The General Secretary therefore consulted the synod moderators in spring </w:t>
      </w:r>
      <w:r>
        <w:rPr>
          <w:spacing w:val="-7"/>
          <w:w w:val="120"/>
          <w:sz w:val="20"/>
        </w:rPr>
        <w:t>2015,  </w:t>
      </w:r>
      <w:r>
        <w:rPr>
          <w:w w:val="120"/>
          <w:sz w:val="20"/>
        </w:rPr>
        <w:t>and two names emerged after  that conversation. </w:t>
      </w:r>
      <w:r>
        <w:rPr>
          <w:spacing w:val="2"/>
          <w:w w:val="120"/>
          <w:sz w:val="20"/>
        </w:rPr>
        <w:t>Of </w:t>
      </w:r>
      <w:r>
        <w:rPr>
          <w:w w:val="120"/>
          <w:sz w:val="20"/>
        </w:rPr>
        <w:t>these, Ian Hardie indicated that he was able and willing to be considered for the</w:t>
      </w:r>
      <w:r>
        <w:rPr>
          <w:spacing w:val="6"/>
          <w:w w:val="120"/>
          <w:sz w:val="20"/>
        </w:rPr>
        <w:t> </w:t>
      </w:r>
      <w:r>
        <w:rPr>
          <w:w w:val="120"/>
          <w:sz w:val="20"/>
        </w:rPr>
        <w:t>post.</w:t>
      </w:r>
    </w:p>
    <w:p>
      <w:pPr>
        <w:pStyle w:val="BodyText"/>
      </w:pPr>
    </w:p>
    <w:p>
      <w:pPr>
        <w:pStyle w:val="ListParagraph"/>
        <w:numPr>
          <w:ilvl w:val="0"/>
          <w:numId w:val="7"/>
        </w:numPr>
        <w:tabs>
          <w:tab w:pos="1964" w:val="left" w:leader="none"/>
          <w:tab w:pos="1965" w:val="left" w:leader="none"/>
        </w:tabs>
        <w:spacing w:line="235" w:lineRule="auto" w:before="0" w:after="0"/>
        <w:ind w:left="1284" w:right="1801" w:firstLine="0"/>
        <w:jc w:val="left"/>
        <w:rPr>
          <w:sz w:val="20"/>
        </w:rPr>
      </w:pPr>
      <w:r>
        <w:rPr>
          <w:w w:val="120"/>
          <w:sz w:val="20"/>
        </w:rPr>
        <w:t>Ian Hardie CBE is a long-standing member and elder of Witham URC in Eastern Synod and is currently treasurer of that synod. He has retired after a</w:t>
      </w:r>
      <w:r>
        <w:rPr>
          <w:spacing w:val="-38"/>
          <w:w w:val="120"/>
          <w:sz w:val="20"/>
        </w:rPr>
        <w:t> </w:t>
      </w:r>
      <w:r>
        <w:rPr>
          <w:w w:val="120"/>
          <w:sz w:val="20"/>
        </w:rPr>
        <w:t>career</w:t>
      </w:r>
    </w:p>
    <w:p>
      <w:pPr>
        <w:pStyle w:val="BodyText"/>
        <w:spacing w:line="235" w:lineRule="auto" w:before="1"/>
        <w:ind w:left="1284" w:right="1418"/>
      </w:pPr>
      <w:r>
        <w:rPr>
          <w:w w:val="120"/>
        </w:rPr>
        <w:t>of more than thirty years in HM Revenue and Customs. The officers of the nominations committee agreed that he be interviewed by a panel of four – Jane Baird (Deputy General Secretary </w:t>
      </w:r>
      <w:r>
        <w:rPr>
          <w:spacing w:val="-2"/>
          <w:w w:val="120"/>
        </w:rPr>
        <w:t>[Admin </w:t>
      </w:r>
      <w:r>
        <w:rPr>
          <w:w w:val="120"/>
        </w:rPr>
        <w:t>and </w:t>
      </w:r>
      <w:r>
        <w:rPr>
          <w:spacing w:val="-3"/>
          <w:w w:val="120"/>
        </w:rPr>
        <w:t>Resources]), </w:t>
      </w:r>
      <w:r>
        <w:rPr>
          <w:w w:val="120"/>
        </w:rPr>
        <w:t>Dick Gray  </w:t>
      </w:r>
      <w:r>
        <w:rPr>
          <w:spacing w:val="-3"/>
          <w:w w:val="120"/>
        </w:rPr>
        <w:t>(convenor  </w:t>
      </w:r>
      <w:r>
        <w:rPr>
          <w:w w:val="120"/>
        </w:rPr>
        <w:t>of  URC  </w:t>
      </w:r>
      <w:r>
        <w:rPr>
          <w:spacing w:val="-4"/>
          <w:w w:val="120"/>
        </w:rPr>
        <w:t>Trust), </w:t>
      </w:r>
      <w:r>
        <w:rPr>
          <w:w w:val="120"/>
        </w:rPr>
        <w:t>Andrew Grimwade </w:t>
      </w:r>
      <w:r>
        <w:rPr>
          <w:spacing w:val="-3"/>
          <w:w w:val="120"/>
        </w:rPr>
        <w:t>(Chief </w:t>
      </w:r>
      <w:r>
        <w:rPr>
          <w:w w:val="120"/>
        </w:rPr>
        <w:t>Finance Officer) and John Proctor (General</w:t>
      </w:r>
      <w:r>
        <w:rPr>
          <w:spacing w:val="44"/>
          <w:w w:val="120"/>
        </w:rPr>
        <w:t> </w:t>
      </w:r>
      <w:r>
        <w:rPr>
          <w:w w:val="120"/>
        </w:rPr>
        <w:t>Secretary).</w:t>
      </w:r>
    </w:p>
    <w:p>
      <w:pPr>
        <w:pStyle w:val="BodyText"/>
        <w:spacing w:line="235" w:lineRule="auto" w:before="3"/>
        <w:ind w:left="1284" w:right="1529"/>
      </w:pPr>
      <w:r>
        <w:rPr>
          <w:w w:val="120"/>
        </w:rPr>
        <w:t>All four took the view, after reading Mr Hardie’s CV and questioning him in interview, that he would be suitable for the role of Treasurer.</w:t>
      </w:r>
    </w:p>
    <w:p>
      <w:pPr>
        <w:pStyle w:val="BodyText"/>
        <w:spacing w:before="10"/>
        <w:rPr>
          <w:sz w:val="19"/>
        </w:rPr>
      </w:pPr>
    </w:p>
    <w:p>
      <w:pPr>
        <w:pStyle w:val="ListParagraph"/>
        <w:numPr>
          <w:ilvl w:val="0"/>
          <w:numId w:val="7"/>
        </w:numPr>
        <w:tabs>
          <w:tab w:pos="1964" w:val="left" w:leader="none"/>
          <w:tab w:pos="1965" w:val="left" w:leader="none"/>
        </w:tabs>
        <w:spacing w:line="235" w:lineRule="auto" w:before="0" w:after="0"/>
        <w:ind w:left="1284" w:right="1328" w:firstLine="0"/>
        <w:jc w:val="left"/>
        <w:rPr>
          <w:sz w:val="20"/>
        </w:rPr>
      </w:pPr>
      <w:r>
        <w:rPr>
          <w:w w:val="120"/>
          <w:sz w:val="20"/>
        </w:rPr>
        <w:t>Since the Treasurer is an officer of the General Assembly, it is right that</w:t>
      </w:r>
      <w:r>
        <w:rPr>
          <w:spacing w:val="-37"/>
          <w:w w:val="120"/>
          <w:sz w:val="20"/>
        </w:rPr>
        <w:t> </w:t>
      </w:r>
      <w:r>
        <w:rPr>
          <w:w w:val="120"/>
          <w:sz w:val="20"/>
        </w:rPr>
        <w:t>Assembly take its own decision about this appointment. Mission Council commends Ian Hardie   to Assembly as a capable and fitting candidate, who has already carried major financial responsibility in our Church with competence and care. Assembly is invited to appoint him for the stated initial term of six</w:t>
      </w:r>
      <w:r>
        <w:rPr>
          <w:spacing w:val="10"/>
          <w:w w:val="120"/>
          <w:sz w:val="20"/>
        </w:rPr>
        <w:t> </w:t>
      </w:r>
      <w:r>
        <w:rPr>
          <w:w w:val="120"/>
          <w:sz w:val="20"/>
        </w:rPr>
        <w:t>years.</w:t>
      </w:r>
    </w:p>
    <w:p>
      <w:pPr>
        <w:pStyle w:val="BodyText"/>
        <w:spacing w:before="12"/>
        <w:rPr>
          <w:sz w:val="19"/>
        </w:rPr>
      </w:pPr>
    </w:p>
    <w:p>
      <w:pPr>
        <w:pStyle w:val="ListParagraph"/>
        <w:numPr>
          <w:ilvl w:val="0"/>
          <w:numId w:val="7"/>
        </w:numPr>
        <w:tabs>
          <w:tab w:pos="1964" w:val="left" w:leader="none"/>
          <w:tab w:pos="1965" w:val="left" w:leader="none"/>
        </w:tabs>
        <w:spacing w:line="235" w:lineRule="auto" w:before="0" w:after="0"/>
        <w:ind w:left="1284" w:right="1817" w:firstLine="0"/>
        <w:jc w:val="left"/>
        <w:rPr>
          <w:sz w:val="20"/>
        </w:rPr>
      </w:pPr>
      <w:r>
        <w:rPr>
          <w:w w:val="120"/>
          <w:sz w:val="20"/>
        </w:rPr>
        <w:t>Our rules allow a treasurer to be nominated for a second term of four years, after the initial six. But that is not at all a decision for this</w:t>
      </w:r>
      <w:r>
        <w:rPr>
          <w:spacing w:val="5"/>
          <w:w w:val="120"/>
          <w:sz w:val="20"/>
        </w:rPr>
        <w:t> </w:t>
      </w:r>
      <w:r>
        <w:rPr>
          <w:spacing w:val="-4"/>
          <w:w w:val="120"/>
          <w:sz w:val="20"/>
        </w:rPr>
        <w:t>year.</w:t>
      </w:r>
    </w:p>
    <w:p>
      <w:pPr>
        <w:spacing w:after="0" w:line="235" w:lineRule="auto"/>
        <w:jc w:val="left"/>
        <w:rPr>
          <w:sz w:val="20"/>
        </w:rPr>
        <w:sectPr>
          <w:type w:val="continuous"/>
          <w:pgSz w:w="11910" w:h="16840"/>
          <w:pgMar w:top="1580" w:bottom="280" w:left="700" w:right="0"/>
        </w:sectPr>
      </w:pPr>
    </w:p>
    <w:p>
      <w:pPr>
        <w:pStyle w:val="BodyText"/>
      </w:pPr>
      <w:r>
        <w:rPr/>
        <w:pict>
          <v:rect style="position:absolute;margin-left:46.777pt;margin-top:.000015pt;width:548.498pt;height:841.89pt;mso-position-horizontal-relative:page;mso-position-vertical-relative:page;z-index:-268059648" filled="true" fillcolor="#fef4df" stroked="false">
            <v:fill type="solid"/>
            <w10:wrap type="none"/>
          </v:rect>
        </w:pict>
      </w:r>
      <w:r>
        <w:rPr/>
        <w:drawing>
          <wp:anchor distT="0" distB="0" distL="0" distR="0" allowOverlap="1" layoutInCell="1" locked="0" behindDoc="1" simplePos="0" relativeHeight="235257856">
            <wp:simplePos x="0" y="0"/>
            <wp:positionH relativeFrom="page">
              <wp:posOffset>0</wp:posOffset>
            </wp:positionH>
            <wp:positionV relativeFrom="page">
              <wp:posOffset>0</wp:posOffset>
            </wp:positionV>
            <wp:extent cx="594067" cy="10692003"/>
            <wp:effectExtent l="0" t="0" r="0" b="0"/>
            <wp:wrapNone/>
            <wp:docPr id="33" name="image53.png"/>
            <wp:cNvGraphicFramePr>
              <a:graphicFrameLocks noChangeAspect="1"/>
            </wp:cNvGraphicFramePr>
            <a:graphic>
              <a:graphicData uri="http://schemas.openxmlformats.org/drawingml/2006/picture">
                <pic:pic>
                  <pic:nvPicPr>
                    <pic:cNvPr id="34" name="image53.png"/>
                    <pic:cNvPicPr/>
                  </pic:nvPicPr>
                  <pic:blipFill>
                    <a:blip r:embed="rId100" cstate="print"/>
                    <a:stretch>
                      <a:fillRect/>
                    </a:stretch>
                  </pic:blipFill>
                  <pic:spPr>
                    <a:xfrm>
                      <a:off x="0" y="0"/>
                      <a:ext cx="594067" cy="10692003"/>
                    </a:xfrm>
                    <a:prstGeom prst="rect">
                      <a:avLst/>
                    </a:prstGeom>
                  </pic:spPr>
                </pic:pic>
              </a:graphicData>
            </a:graphic>
          </wp:anchor>
        </w:drawing>
      </w:r>
      <w:r>
        <w:rPr/>
        <w:pict>
          <v:shape style="position:absolute;margin-left:20.519100pt;margin-top:48.890015pt;width:25.9pt;height:234.95pt;mso-position-horizontal-relative:page;mso-position-vertical-relative:page;z-index:-268057600" type="#_x0000_t202" filled="false" stroked="false">
            <v:textbox inset="0,0,0,0" style="layout-flow:vertical">
              <w:txbxContent>
                <w:p>
                  <w:pPr>
                    <w:spacing w:before="27"/>
                    <w:ind w:left="20" w:right="0" w:firstLine="0"/>
                    <w:jc w:val="left"/>
                    <w:rPr>
                      <w:sz w:val="39"/>
                    </w:rPr>
                  </w:pPr>
                  <w:r>
                    <w:rPr>
                      <w:color w:val="FFFFFF"/>
                      <w:w w:val="125"/>
                      <w:sz w:val="39"/>
                    </w:rPr>
                    <w:t>Councils of the Church</w:t>
                  </w:r>
                </w:p>
              </w:txbxContent>
            </v:textbox>
            <w10:wrap type="none"/>
          </v:shape>
        </w:pict>
      </w:r>
    </w:p>
    <w:p>
      <w:pPr>
        <w:pStyle w:val="BodyText"/>
      </w:pPr>
    </w:p>
    <w:p>
      <w:pPr>
        <w:pStyle w:val="BodyText"/>
      </w:pPr>
    </w:p>
    <w:p>
      <w:pPr>
        <w:pStyle w:val="BodyText"/>
        <w:spacing w:before="5"/>
        <w:rPr>
          <w:sz w:val="28"/>
        </w:rPr>
      </w:pPr>
    </w:p>
    <w:p>
      <w:pPr>
        <w:spacing w:line="638" w:lineRule="exact" w:before="97"/>
        <w:ind w:left="547" w:right="0" w:firstLine="0"/>
        <w:jc w:val="left"/>
        <w:rPr>
          <w:rFonts w:ascii="Stone Sans II ITC Std X Bd"/>
          <w:b/>
          <w:sz w:val="50"/>
        </w:rPr>
      </w:pPr>
      <w:r>
        <w:rPr/>
        <w:pict>
          <v:line style="position:absolute;mso-position-horizontal-relative:page;mso-position-vertical-relative:paragraph;z-index:251709440" from="595.276001pt,-54.888084pt" to="595.276001pt,129.363916pt" stroked="true" strokeweight="0pt" strokecolor="#fef4df">
            <v:stroke dashstyle="solid"/>
            <w10:wrap type="none"/>
          </v:line>
        </w:pict>
      </w:r>
      <w:r>
        <w:rPr>
          <w:rFonts w:ascii="Stone Sans II ITC Std X Bd"/>
          <w:b/>
          <w:color w:val="F1B400"/>
          <w:w w:val="110"/>
          <w:sz w:val="50"/>
        </w:rPr>
        <w:t>Mission Council:</w:t>
      </w:r>
    </w:p>
    <w:p>
      <w:pPr>
        <w:spacing w:line="213" w:lineRule="auto" w:before="18"/>
        <w:ind w:left="547" w:right="2419" w:firstLine="0"/>
        <w:jc w:val="left"/>
        <w:rPr>
          <w:rFonts w:ascii="Stone Sans II ITC Std X Bd"/>
          <w:b/>
          <w:sz w:val="50"/>
        </w:rPr>
      </w:pPr>
      <w:r>
        <w:rPr>
          <w:rFonts w:ascii="Stone Sans II ITC Std X Bd"/>
          <w:b/>
          <w:spacing w:val="-9"/>
          <w:w w:val="110"/>
          <w:sz w:val="50"/>
        </w:rPr>
        <w:t>Appeal, </w:t>
      </w:r>
      <w:r>
        <w:rPr>
          <w:rFonts w:ascii="Stone Sans II ITC Std X Bd"/>
          <w:b/>
          <w:spacing w:val="-10"/>
          <w:w w:val="110"/>
          <w:sz w:val="50"/>
        </w:rPr>
        <w:t>reference </w:t>
      </w:r>
      <w:r>
        <w:rPr>
          <w:rFonts w:ascii="Stone Sans II ITC Std X Bd"/>
          <w:b/>
          <w:spacing w:val="-7"/>
          <w:w w:val="110"/>
          <w:sz w:val="50"/>
        </w:rPr>
        <w:t>and </w:t>
      </w:r>
      <w:r>
        <w:rPr>
          <w:rFonts w:ascii="Stone Sans II ITC Std X Bd"/>
          <w:b/>
          <w:spacing w:val="-11"/>
          <w:w w:val="110"/>
          <w:sz w:val="50"/>
        </w:rPr>
        <w:t>constitutional review </w:t>
      </w:r>
      <w:r>
        <w:rPr>
          <w:rFonts w:ascii="Stone Sans II ITC Std X Bd"/>
          <w:b/>
          <w:spacing w:val="-8"/>
          <w:w w:val="110"/>
          <w:sz w:val="50"/>
        </w:rPr>
        <w:t>between </w:t>
      </w:r>
      <w:r>
        <w:rPr>
          <w:rFonts w:ascii="Stone Sans II ITC Std X Bd"/>
          <w:b/>
          <w:spacing w:val="-10"/>
          <w:w w:val="110"/>
          <w:sz w:val="50"/>
        </w:rPr>
        <w:t>councils </w:t>
      </w:r>
      <w:r>
        <w:rPr>
          <w:rFonts w:ascii="Stone Sans II ITC Std X Bd"/>
          <w:b/>
          <w:spacing w:val="-5"/>
          <w:w w:val="110"/>
          <w:sz w:val="50"/>
        </w:rPr>
        <w:t>of </w:t>
      </w:r>
      <w:r>
        <w:rPr>
          <w:rFonts w:ascii="Stone Sans II ITC Std X Bd"/>
          <w:b/>
          <w:spacing w:val="-8"/>
          <w:w w:val="110"/>
          <w:sz w:val="50"/>
        </w:rPr>
        <w:t>the </w:t>
      </w:r>
      <w:r>
        <w:rPr>
          <w:rFonts w:ascii="Stone Sans II ITC Std X Bd"/>
          <w:b/>
          <w:spacing w:val="-10"/>
          <w:w w:val="110"/>
          <w:sz w:val="50"/>
        </w:rPr>
        <w:t>Church</w:t>
      </w:r>
    </w:p>
    <w:p>
      <w:pPr>
        <w:pStyle w:val="Heading4"/>
        <w:spacing w:before="323"/>
        <w:ind w:left="547"/>
      </w:pPr>
      <w:r>
        <w:rPr>
          <w:color w:val="7F7F7F"/>
        </w:rPr>
        <w:t>Basic Information</w:t>
      </w:r>
    </w:p>
    <w:tbl>
      <w:tblPr>
        <w:tblW w:w="0" w:type="auto"/>
        <w:jc w:val="left"/>
        <w:tblInd w:w="55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660"/>
        <w:gridCol w:w="6582"/>
      </w:tblGrid>
      <w:tr>
        <w:trPr>
          <w:trHeight w:val="680" w:hRule="atLeast"/>
        </w:trPr>
        <w:tc>
          <w:tcPr>
            <w:tcW w:w="2660" w:type="dxa"/>
            <w:shd w:val="clear" w:color="auto" w:fill="FFFFFF"/>
          </w:tcPr>
          <w:p>
            <w:pPr>
              <w:pStyle w:val="TableParagraph"/>
              <w:spacing w:line="213" w:lineRule="auto" w:before="151"/>
              <w:ind w:right="595"/>
              <w:rPr>
                <w:rFonts w:ascii="Stone Sans II ITC Std Bk"/>
                <w:b/>
                <w:sz w:val="20"/>
              </w:rPr>
            </w:pPr>
            <w:r>
              <w:rPr>
                <w:rFonts w:ascii="Stone Sans II ITC Std Bk"/>
                <w:b/>
                <w:w w:val="110"/>
                <w:sz w:val="20"/>
              </w:rPr>
              <w:t>Contact name and email address</w:t>
            </w:r>
          </w:p>
        </w:tc>
        <w:tc>
          <w:tcPr>
            <w:tcW w:w="6582" w:type="dxa"/>
            <w:shd w:val="clear" w:color="auto" w:fill="FFFFFF"/>
          </w:tcPr>
          <w:p>
            <w:pPr>
              <w:pStyle w:val="TableParagraph"/>
              <w:spacing w:line="235" w:lineRule="auto" w:before="145"/>
              <w:ind w:right="2664"/>
              <w:rPr>
                <w:sz w:val="20"/>
              </w:rPr>
            </w:pPr>
            <w:r>
              <w:rPr>
                <w:w w:val="120"/>
                <w:sz w:val="20"/>
              </w:rPr>
              <w:t>David Thompson: </w:t>
            </w:r>
            <w:hyperlink r:id="rId105">
              <w:r>
                <w:rPr>
                  <w:color w:val="006AB3"/>
                  <w:w w:val="120"/>
                  <w:sz w:val="20"/>
                </w:rPr>
                <w:t>dmt3@cam.ac.uk</w:t>
              </w:r>
            </w:hyperlink>
            <w:r>
              <w:rPr>
                <w:color w:val="006AB3"/>
                <w:w w:val="120"/>
                <w:sz w:val="20"/>
              </w:rPr>
              <w:t> </w:t>
            </w:r>
            <w:r>
              <w:rPr>
                <w:w w:val="120"/>
                <w:sz w:val="20"/>
              </w:rPr>
              <w:t>Augur Pearce: </w:t>
            </w:r>
            <w:hyperlink r:id="rId106">
              <w:r>
                <w:rPr>
                  <w:color w:val="006AB3"/>
                  <w:w w:val="120"/>
                  <w:sz w:val="20"/>
                </w:rPr>
                <w:t>augur@dunelm.org.uk</w:t>
              </w:r>
            </w:hyperlink>
          </w:p>
        </w:tc>
      </w:tr>
      <w:tr>
        <w:trPr>
          <w:trHeight w:val="440" w:hRule="atLeast"/>
        </w:trPr>
        <w:tc>
          <w:tcPr>
            <w:tcW w:w="2660" w:type="dxa"/>
            <w:shd w:val="clear" w:color="auto" w:fill="FFFFFF"/>
          </w:tcPr>
          <w:p>
            <w:pPr>
              <w:pStyle w:val="TableParagraph"/>
              <w:spacing w:before="128"/>
              <w:rPr>
                <w:rFonts w:ascii="Stone Sans II ITC Std Bk"/>
                <w:b/>
                <w:sz w:val="20"/>
              </w:rPr>
            </w:pPr>
            <w:r>
              <w:rPr>
                <w:rFonts w:ascii="Stone Sans II ITC Std Bk"/>
                <w:b/>
                <w:w w:val="110"/>
                <w:sz w:val="20"/>
              </w:rPr>
              <w:t>Action required</w:t>
            </w:r>
          </w:p>
        </w:tc>
        <w:tc>
          <w:tcPr>
            <w:tcW w:w="6582" w:type="dxa"/>
            <w:shd w:val="clear" w:color="auto" w:fill="FFFFFF"/>
          </w:tcPr>
          <w:p>
            <w:pPr>
              <w:pStyle w:val="TableParagraph"/>
              <w:ind w:left="0"/>
              <w:rPr>
                <w:rFonts w:ascii="Times New Roman"/>
                <w:sz w:val="24"/>
              </w:rPr>
            </w:pPr>
          </w:p>
        </w:tc>
      </w:tr>
      <w:tr>
        <w:trPr>
          <w:trHeight w:val="1640" w:hRule="atLeast"/>
        </w:trPr>
        <w:tc>
          <w:tcPr>
            <w:tcW w:w="2660" w:type="dxa"/>
            <w:shd w:val="clear" w:color="auto" w:fill="FFFFFF"/>
          </w:tcPr>
          <w:p>
            <w:pPr>
              <w:pStyle w:val="TableParagraph"/>
              <w:spacing w:before="128"/>
              <w:rPr>
                <w:rFonts w:ascii="Stone Sans II ITC Std Bk"/>
                <w:b/>
                <w:sz w:val="20"/>
              </w:rPr>
            </w:pPr>
            <w:r>
              <w:rPr>
                <w:rFonts w:ascii="Stone Sans II ITC Std Bk"/>
                <w:b/>
                <w:w w:val="110"/>
                <w:sz w:val="20"/>
              </w:rPr>
              <w:t>Draft resolution(s)</w:t>
            </w:r>
          </w:p>
        </w:tc>
        <w:tc>
          <w:tcPr>
            <w:tcW w:w="6582" w:type="dxa"/>
            <w:shd w:val="clear" w:color="auto" w:fill="FFFFFF"/>
          </w:tcPr>
          <w:p>
            <w:pPr>
              <w:pStyle w:val="TableParagraph"/>
              <w:numPr>
                <w:ilvl w:val="0"/>
                <w:numId w:val="8"/>
              </w:numPr>
              <w:tabs>
                <w:tab w:pos="760" w:val="left" w:leader="none"/>
                <w:tab w:pos="761" w:val="left" w:leader="none"/>
              </w:tabs>
              <w:spacing w:line="213" w:lineRule="auto" w:before="151" w:after="0"/>
              <w:ind w:left="760" w:right="200" w:hanging="681"/>
              <w:jc w:val="left"/>
              <w:rPr>
                <w:rFonts w:ascii="Stone Sans II ITC Std Bk"/>
                <w:b/>
                <w:sz w:val="20"/>
              </w:rPr>
            </w:pPr>
            <w:r>
              <w:rPr>
                <w:rFonts w:ascii="Stone Sans II ITC Std Bk"/>
                <w:b/>
                <w:w w:val="110"/>
                <w:sz w:val="20"/>
              </w:rPr>
              <w:t>General Assembly adopts the following</w:t>
            </w:r>
            <w:r>
              <w:rPr>
                <w:rFonts w:ascii="Stone Sans II ITC Std Bk"/>
                <w:b/>
                <w:spacing w:val="-22"/>
                <w:w w:val="110"/>
                <w:sz w:val="20"/>
              </w:rPr>
              <w:t> </w:t>
            </w:r>
            <w:r>
              <w:rPr>
                <w:rFonts w:ascii="Stone Sans II ITC Std Bk"/>
                <w:b/>
                <w:w w:val="110"/>
                <w:sz w:val="20"/>
              </w:rPr>
              <w:t>amendments to the Structure of the</w:t>
            </w:r>
            <w:r>
              <w:rPr>
                <w:rFonts w:ascii="Stone Sans II ITC Std Bk"/>
                <w:b/>
                <w:spacing w:val="-2"/>
                <w:w w:val="110"/>
                <w:sz w:val="20"/>
              </w:rPr>
              <w:t> </w:t>
            </w:r>
            <w:r>
              <w:rPr>
                <w:rFonts w:ascii="Stone Sans II ITC Std Bk"/>
                <w:b/>
                <w:w w:val="110"/>
                <w:sz w:val="20"/>
              </w:rPr>
              <w:t>URC;</w:t>
            </w:r>
          </w:p>
          <w:p>
            <w:pPr>
              <w:pStyle w:val="TableParagraph"/>
              <w:numPr>
                <w:ilvl w:val="0"/>
                <w:numId w:val="8"/>
              </w:numPr>
              <w:tabs>
                <w:tab w:pos="760" w:val="left" w:leader="none"/>
                <w:tab w:pos="761" w:val="left" w:leader="none"/>
              </w:tabs>
              <w:spacing w:line="213" w:lineRule="auto" w:before="0" w:after="0"/>
              <w:ind w:left="760" w:right="342" w:hanging="681"/>
              <w:jc w:val="left"/>
              <w:rPr>
                <w:rFonts w:ascii="Stone Sans II ITC Std Bk"/>
                <w:b/>
                <w:sz w:val="20"/>
              </w:rPr>
            </w:pPr>
            <w:r>
              <w:rPr>
                <w:rFonts w:ascii="Stone Sans II ITC Std Bk"/>
                <w:b/>
                <w:w w:val="110"/>
                <w:sz w:val="20"/>
              </w:rPr>
              <w:t>General Assembly directs Mission Council to </w:t>
            </w:r>
            <w:r>
              <w:rPr>
                <w:rFonts w:ascii="Stone Sans II ITC Std Bk"/>
                <w:b/>
                <w:spacing w:val="-3"/>
                <w:w w:val="110"/>
                <w:sz w:val="20"/>
              </w:rPr>
              <w:t>amend </w:t>
            </w:r>
            <w:r>
              <w:rPr>
                <w:rFonts w:ascii="Stone Sans II ITC Std Bk"/>
                <w:b/>
                <w:w w:val="110"/>
                <w:sz w:val="20"/>
              </w:rPr>
              <w:t>the Rules of Procedure, in order that the Structure changes may be appropriately implemented in practice.</w:t>
            </w:r>
          </w:p>
        </w:tc>
      </w:tr>
    </w:tbl>
    <w:p>
      <w:pPr>
        <w:pStyle w:val="BodyText"/>
        <w:spacing w:before="4"/>
        <w:rPr>
          <w:rFonts w:ascii="Stone Sans II ITC Std Bk"/>
          <w:b/>
          <w:sz w:val="29"/>
        </w:rPr>
      </w:pPr>
    </w:p>
    <w:p>
      <w:pPr>
        <w:pStyle w:val="Heading4"/>
        <w:ind w:left="547"/>
      </w:pPr>
      <w:r>
        <w:rPr>
          <w:color w:val="7F7F7F"/>
        </w:rPr>
        <w:t>Summary of Content</w:t>
      </w:r>
    </w:p>
    <w:tbl>
      <w:tblPr>
        <w:tblW w:w="0" w:type="auto"/>
        <w:jc w:val="left"/>
        <w:tblInd w:w="55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660"/>
        <w:gridCol w:w="6582"/>
      </w:tblGrid>
      <w:tr>
        <w:trPr>
          <w:trHeight w:val="1160" w:hRule="atLeast"/>
        </w:trPr>
        <w:tc>
          <w:tcPr>
            <w:tcW w:w="2660" w:type="dxa"/>
            <w:shd w:val="clear" w:color="auto" w:fill="FFFFFF"/>
          </w:tcPr>
          <w:p>
            <w:pPr>
              <w:pStyle w:val="TableParagraph"/>
              <w:spacing w:before="128"/>
              <w:rPr>
                <w:rFonts w:ascii="Stone Sans II ITC Std Bk"/>
                <w:b/>
                <w:sz w:val="20"/>
              </w:rPr>
            </w:pPr>
            <w:r>
              <w:rPr>
                <w:rFonts w:ascii="Stone Sans II ITC Std Bk"/>
                <w:b/>
                <w:w w:val="110"/>
                <w:sz w:val="20"/>
              </w:rPr>
              <w:t>Subject and aim(s)</w:t>
            </w:r>
          </w:p>
        </w:tc>
        <w:tc>
          <w:tcPr>
            <w:tcW w:w="6582" w:type="dxa"/>
            <w:shd w:val="clear" w:color="auto" w:fill="FFFFFF"/>
          </w:tcPr>
          <w:p>
            <w:pPr>
              <w:pStyle w:val="TableParagraph"/>
              <w:spacing w:line="235" w:lineRule="auto" w:before="145"/>
              <w:ind w:right="280"/>
              <w:rPr>
                <w:sz w:val="20"/>
              </w:rPr>
            </w:pPr>
            <w:r>
              <w:rPr>
                <w:w w:val="120"/>
                <w:sz w:val="20"/>
              </w:rPr>
              <w:t>To amend and clarify the mechanism for appeals from more local councils of the Church to wider councils; to introduce a procedure for reviewing decisions of more local councils which are believed to lie outside their competence</w:t>
            </w:r>
          </w:p>
        </w:tc>
      </w:tr>
      <w:tr>
        <w:trPr>
          <w:trHeight w:val="3560" w:hRule="atLeast"/>
        </w:trPr>
        <w:tc>
          <w:tcPr>
            <w:tcW w:w="2660" w:type="dxa"/>
            <w:shd w:val="clear" w:color="auto" w:fill="FFFFFF"/>
          </w:tcPr>
          <w:p>
            <w:pPr>
              <w:pStyle w:val="TableParagraph"/>
              <w:spacing w:before="128"/>
              <w:rPr>
                <w:rFonts w:ascii="Stone Sans II ITC Std Bk"/>
                <w:b/>
                <w:sz w:val="20"/>
              </w:rPr>
            </w:pPr>
            <w:r>
              <w:rPr>
                <w:rFonts w:ascii="Stone Sans II ITC Std Bk"/>
                <w:b/>
                <w:w w:val="110"/>
                <w:sz w:val="20"/>
              </w:rPr>
              <w:t>Main points</w:t>
            </w:r>
          </w:p>
        </w:tc>
        <w:tc>
          <w:tcPr>
            <w:tcW w:w="6582" w:type="dxa"/>
            <w:shd w:val="clear" w:color="auto" w:fill="FFFFFF"/>
          </w:tcPr>
          <w:p>
            <w:pPr>
              <w:pStyle w:val="TableParagraph"/>
              <w:spacing w:line="242" w:lineRule="exact" w:before="141"/>
              <w:rPr>
                <w:sz w:val="20"/>
              </w:rPr>
            </w:pPr>
            <w:r>
              <w:rPr>
                <w:w w:val="120"/>
                <w:sz w:val="20"/>
              </w:rPr>
              <w:t>The proposals:</w:t>
            </w:r>
          </w:p>
          <w:p>
            <w:pPr>
              <w:pStyle w:val="TableParagraph"/>
              <w:numPr>
                <w:ilvl w:val="0"/>
                <w:numId w:val="9"/>
              </w:numPr>
              <w:tabs>
                <w:tab w:pos="760" w:val="left" w:leader="none"/>
                <w:tab w:pos="761" w:val="left" w:leader="none"/>
              </w:tabs>
              <w:spacing w:line="240" w:lineRule="exact" w:before="0" w:after="0"/>
              <w:ind w:left="760" w:right="0" w:hanging="681"/>
              <w:jc w:val="left"/>
              <w:rPr>
                <w:sz w:val="20"/>
              </w:rPr>
            </w:pPr>
            <w:r>
              <w:rPr>
                <w:spacing w:val="-3"/>
                <w:w w:val="120"/>
                <w:sz w:val="20"/>
              </w:rPr>
              <w:t>clarify </w:t>
            </w:r>
            <w:r>
              <w:rPr>
                <w:w w:val="120"/>
                <w:sz w:val="20"/>
              </w:rPr>
              <w:t>who can</w:t>
            </w:r>
            <w:r>
              <w:rPr>
                <w:spacing w:val="-4"/>
                <w:w w:val="120"/>
                <w:sz w:val="20"/>
              </w:rPr>
              <w:t> </w:t>
            </w:r>
            <w:r>
              <w:rPr>
                <w:spacing w:val="-3"/>
                <w:w w:val="120"/>
                <w:sz w:val="20"/>
              </w:rPr>
              <w:t>appeal;</w:t>
            </w:r>
          </w:p>
          <w:p>
            <w:pPr>
              <w:pStyle w:val="TableParagraph"/>
              <w:numPr>
                <w:ilvl w:val="0"/>
                <w:numId w:val="9"/>
              </w:numPr>
              <w:tabs>
                <w:tab w:pos="760" w:val="left" w:leader="none"/>
                <w:tab w:pos="761" w:val="left" w:leader="none"/>
              </w:tabs>
              <w:spacing w:line="235" w:lineRule="auto" w:before="2" w:after="0"/>
              <w:ind w:left="760" w:right="105" w:hanging="681"/>
              <w:jc w:val="left"/>
              <w:rPr>
                <w:sz w:val="20"/>
              </w:rPr>
            </w:pPr>
            <w:r>
              <w:rPr>
                <w:spacing w:val="-3"/>
                <w:w w:val="120"/>
                <w:sz w:val="20"/>
              </w:rPr>
              <w:t>confirm </w:t>
            </w:r>
            <w:r>
              <w:rPr>
                <w:w w:val="120"/>
                <w:sz w:val="20"/>
              </w:rPr>
              <w:t>that a </w:t>
            </w:r>
            <w:r>
              <w:rPr>
                <w:spacing w:val="-3"/>
                <w:w w:val="120"/>
                <w:sz w:val="20"/>
              </w:rPr>
              <w:t>wider council </w:t>
            </w:r>
            <w:r>
              <w:rPr>
                <w:w w:val="120"/>
                <w:sz w:val="20"/>
              </w:rPr>
              <w:t>can </w:t>
            </w:r>
            <w:r>
              <w:rPr>
                <w:spacing w:val="-3"/>
                <w:w w:val="120"/>
                <w:sz w:val="20"/>
              </w:rPr>
              <w:t>substitute </w:t>
            </w:r>
            <w:r>
              <w:rPr>
                <w:w w:val="120"/>
                <w:sz w:val="20"/>
              </w:rPr>
              <w:t>its </w:t>
            </w:r>
            <w:r>
              <w:rPr>
                <w:spacing w:val="-3"/>
                <w:w w:val="120"/>
                <w:sz w:val="20"/>
              </w:rPr>
              <w:t>own decision </w:t>
            </w:r>
            <w:r>
              <w:rPr>
                <w:w w:val="120"/>
                <w:sz w:val="20"/>
              </w:rPr>
              <w:t>on an</w:t>
            </w:r>
            <w:r>
              <w:rPr>
                <w:spacing w:val="-5"/>
                <w:w w:val="120"/>
                <w:sz w:val="20"/>
              </w:rPr>
              <w:t> </w:t>
            </w:r>
            <w:r>
              <w:rPr>
                <w:spacing w:val="-3"/>
                <w:w w:val="120"/>
                <w:sz w:val="20"/>
              </w:rPr>
              <w:t>appeal;</w:t>
            </w:r>
          </w:p>
          <w:p>
            <w:pPr>
              <w:pStyle w:val="TableParagraph"/>
              <w:numPr>
                <w:ilvl w:val="0"/>
                <w:numId w:val="9"/>
              </w:numPr>
              <w:tabs>
                <w:tab w:pos="760" w:val="left" w:leader="none"/>
                <w:tab w:pos="761" w:val="left" w:leader="none"/>
              </w:tabs>
              <w:spacing w:line="235" w:lineRule="auto" w:before="1" w:after="0"/>
              <w:ind w:left="760" w:right="454" w:hanging="681"/>
              <w:jc w:val="left"/>
              <w:rPr>
                <w:sz w:val="20"/>
              </w:rPr>
            </w:pPr>
            <w:r>
              <w:rPr>
                <w:spacing w:val="-3"/>
                <w:w w:val="120"/>
                <w:sz w:val="20"/>
              </w:rPr>
              <w:t>allow for mediation before </w:t>
            </w:r>
            <w:r>
              <w:rPr>
                <w:w w:val="120"/>
                <w:sz w:val="20"/>
              </w:rPr>
              <w:t>the </w:t>
            </w:r>
            <w:r>
              <w:rPr>
                <w:spacing w:val="-3"/>
                <w:w w:val="120"/>
                <w:sz w:val="20"/>
              </w:rPr>
              <w:t>formal appeal procedure where </w:t>
            </w:r>
            <w:r>
              <w:rPr>
                <w:w w:val="120"/>
                <w:sz w:val="20"/>
              </w:rPr>
              <w:t>this </w:t>
            </w:r>
            <w:r>
              <w:rPr>
                <w:spacing w:val="-3"/>
                <w:w w:val="120"/>
                <w:sz w:val="20"/>
              </w:rPr>
              <w:t>seems</w:t>
            </w:r>
            <w:r>
              <w:rPr>
                <w:spacing w:val="-4"/>
                <w:w w:val="120"/>
                <w:sz w:val="20"/>
              </w:rPr>
              <w:t> appropriate;</w:t>
            </w:r>
          </w:p>
          <w:p>
            <w:pPr>
              <w:pStyle w:val="TableParagraph"/>
              <w:numPr>
                <w:ilvl w:val="0"/>
                <w:numId w:val="9"/>
              </w:numPr>
              <w:tabs>
                <w:tab w:pos="760" w:val="left" w:leader="none"/>
                <w:tab w:pos="761" w:val="left" w:leader="none"/>
              </w:tabs>
              <w:spacing w:line="235" w:lineRule="auto" w:before="2" w:after="0"/>
              <w:ind w:left="760" w:right="535" w:hanging="681"/>
              <w:jc w:val="left"/>
              <w:rPr>
                <w:sz w:val="20"/>
              </w:rPr>
            </w:pPr>
            <w:r>
              <w:rPr>
                <w:spacing w:val="-3"/>
                <w:w w:val="120"/>
                <w:sz w:val="20"/>
              </w:rPr>
              <w:t>allow</w:t>
            </w:r>
            <w:r>
              <w:rPr>
                <w:spacing w:val="-8"/>
                <w:w w:val="120"/>
                <w:sz w:val="20"/>
              </w:rPr>
              <w:t> </w:t>
            </w:r>
            <w:r>
              <w:rPr>
                <w:spacing w:val="-3"/>
                <w:w w:val="120"/>
                <w:sz w:val="20"/>
              </w:rPr>
              <w:t>appeals</w:t>
            </w:r>
            <w:r>
              <w:rPr>
                <w:spacing w:val="-7"/>
                <w:w w:val="120"/>
                <w:sz w:val="20"/>
              </w:rPr>
              <w:t> </w:t>
            </w:r>
            <w:r>
              <w:rPr>
                <w:w w:val="120"/>
                <w:sz w:val="20"/>
              </w:rPr>
              <w:t>out</w:t>
            </w:r>
            <w:r>
              <w:rPr>
                <w:spacing w:val="-7"/>
                <w:w w:val="120"/>
                <w:sz w:val="20"/>
              </w:rPr>
              <w:t> </w:t>
            </w:r>
            <w:r>
              <w:rPr>
                <w:w w:val="120"/>
                <w:sz w:val="20"/>
              </w:rPr>
              <w:t>of</w:t>
            </w:r>
            <w:r>
              <w:rPr>
                <w:spacing w:val="-7"/>
                <w:w w:val="120"/>
                <w:sz w:val="20"/>
              </w:rPr>
              <w:t> </w:t>
            </w:r>
            <w:r>
              <w:rPr>
                <w:spacing w:val="-3"/>
                <w:w w:val="120"/>
                <w:sz w:val="20"/>
              </w:rPr>
              <w:t>time</w:t>
            </w:r>
            <w:r>
              <w:rPr>
                <w:spacing w:val="-8"/>
                <w:w w:val="120"/>
                <w:sz w:val="20"/>
              </w:rPr>
              <w:t> </w:t>
            </w:r>
            <w:r>
              <w:rPr>
                <w:spacing w:val="-3"/>
                <w:w w:val="120"/>
                <w:sz w:val="20"/>
              </w:rPr>
              <w:t>when</w:t>
            </w:r>
            <w:r>
              <w:rPr>
                <w:spacing w:val="-7"/>
                <w:w w:val="120"/>
                <w:sz w:val="20"/>
              </w:rPr>
              <w:t> </w:t>
            </w:r>
            <w:r>
              <w:rPr>
                <w:spacing w:val="-3"/>
                <w:w w:val="120"/>
                <w:sz w:val="20"/>
              </w:rPr>
              <w:t>fairness</w:t>
            </w:r>
            <w:r>
              <w:rPr>
                <w:spacing w:val="-7"/>
                <w:w w:val="120"/>
                <w:sz w:val="20"/>
              </w:rPr>
              <w:t> </w:t>
            </w:r>
            <w:r>
              <w:rPr>
                <w:w w:val="120"/>
                <w:sz w:val="20"/>
              </w:rPr>
              <w:t>or</w:t>
            </w:r>
            <w:r>
              <w:rPr>
                <w:spacing w:val="-7"/>
                <w:w w:val="120"/>
                <w:sz w:val="20"/>
              </w:rPr>
              <w:t> </w:t>
            </w:r>
            <w:r>
              <w:rPr>
                <w:w w:val="120"/>
                <w:sz w:val="20"/>
              </w:rPr>
              <w:t>the</w:t>
            </w:r>
            <w:r>
              <w:rPr>
                <w:spacing w:val="-8"/>
                <w:w w:val="120"/>
                <w:sz w:val="20"/>
              </w:rPr>
              <w:t> </w:t>
            </w:r>
            <w:r>
              <w:rPr>
                <w:spacing w:val="-4"/>
                <w:w w:val="120"/>
                <w:sz w:val="20"/>
              </w:rPr>
              <w:t>interests </w:t>
            </w:r>
            <w:r>
              <w:rPr>
                <w:w w:val="120"/>
                <w:sz w:val="20"/>
              </w:rPr>
              <w:t>of the </w:t>
            </w:r>
            <w:r>
              <w:rPr>
                <w:spacing w:val="-3"/>
                <w:w w:val="120"/>
                <w:sz w:val="20"/>
              </w:rPr>
              <w:t>Church require</w:t>
            </w:r>
            <w:r>
              <w:rPr>
                <w:spacing w:val="-5"/>
                <w:w w:val="120"/>
                <w:sz w:val="20"/>
              </w:rPr>
              <w:t> </w:t>
            </w:r>
            <w:r>
              <w:rPr>
                <w:spacing w:val="-3"/>
                <w:w w:val="120"/>
                <w:sz w:val="20"/>
              </w:rPr>
              <w:t>this;</w:t>
            </w:r>
          </w:p>
          <w:p>
            <w:pPr>
              <w:pStyle w:val="TableParagraph"/>
              <w:numPr>
                <w:ilvl w:val="0"/>
                <w:numId w:val="9"/>
              </w:numPr>
              <w:tabs>
                <w:tab w:pos="760" w:val="left" w:leader="none"/>
                <w:tab w:pos="761" w:val="left" w:leader="none"/>
              </w:tabs>
              <w:spacing w:line="235" w:lineRule="auto" w:before="1" w:after="0"/>
              <w:ind w:left="760" w:right="941" w:hanging="681"/>
              <w:jc w:val="left"/>
              <w:rPr>
                <w:sz w:val="20"/>
              </w:rPr>
            </w:pPr>
            <w:r>
              <w:rPr>
                <w:spacing w:val="-4"/>
                <w:w w:val="120"/>
                <w:sz w:val="20"/>
              </w:rPr>
              <w:t>provide </w:t>
            </w:r>
            <w:r>
              <w:rPr>
                <w:spacing w:val="-3"/>
                <w:w w:val="120"/>
                <w:sz w:val="20"/>
              </w:rPr>
              <w:t>for hearing by </w:t>
            </w:r>
            <w:r>
              <w:rPr>
                <w:w w:val="120"/>
                <w:sz w:val="20"/>
              </w:rPr>
              <w:t>a </w:t>
            </w:r>
            <w:r>
              <w:rPr>
                <w:spacing w:val="-3"/>
                <w:w w:val="120"/>
                <w:sz w:val="20"/>
              </w:rPr>
              <w:t>commission </w:t>
            </w:r>
            <w:r>
              <w:rPr>
                <w:w w:val="120"/>
                <w:sz w:val="20"/>
              </w:rPr>
              <w:t>as the </w:t>
            </w:r>
            <w:r>
              <w:rPr>
                <w:spacing w:val="-3"/>
                <w:w w:val="120"/>
                <w:sz w:val="20"/>
              </w:rPr>
              <w:t>normal procedure for disposal </w:t>
            </w:r>
            <w:r>
              <w:rPr>
                <w:w w:val="120"/>
                <w:sz w:val="20"/>
              </w:rPr>
              <w:t>of </w:t>
            </w:r>
            <w:r>
              <w:rPr>
                <w:spacing w:val="-3"/>
                <w:w w:val="120"/>
                <w:sz w:val="20"/>
              </w:rPr>
              <w:t>appeals;</w:t>
            </w:r>
            <w:r>
              <w:rPr>
                <w:spacing w:val="1"/>
                <w:w w:val="120"/>
                <w:sz w:val="20"/>
              </w:rPr>
              <w:t> </w:t>
            </w:r>
            <w:r>
              <w:rPr>
                <w:spacing w:val="-3"/>
                <w:w w:val="120"/>
                <w:sz w:val="20"/>
              </w:rPr>
              <w:t>and</w:t>
            </w:r>
          </w:p>
          <w:p>
            <w:pPr>
              <w:pStyle w:val="TableParagraph"/>
              <w:numPr>
                <w:ilvl w:val="0"/>
                <w:numId w:val="9"/>
              </w:numPr>
              <w:tabs>
                <w:tab w:pos="760" w:val="left" w:leader="none"/>
                <w:tab w:pos="761" w:val="left" w:leader="none"/>
              </w:tabs>
              <w:spacing w:line="235" w:lineRule="auto" w:before="2" w:after="0"/>
              <w:ind w:left="760" w:right="519" w:hanging="681"/>
              <w:jc w:val="left"/>
              <w:rPr>
                <w:sz w:val="20"/>
              </w:rPr>
            </w:pPr>
            <w:r>
              <w:rPr>
                <w:spacing w:val="-3"/>
                <w:w w:val="120"/>
                <w:sz w:val="20"/>
              </w:rPr>
              <w:t>allow </w:t>
            </w:r>
            <w:r>
              <w:rPr>
                <w:w w:val="120"/>
                <w:sz w:val="20"/>
              </w:rPr>
              <w:t>a </w:t>
            </w:r>
            <w:r>
              <w:rPr>
                <w:spacing w:val="-3"/>
                <w:w w:val="120"/>
                <w:sz w:val="20"/>
              </w:rPr>
              <w:t>wider council, </w:t>
            </w:r>
            <w:r>
              <w:rPr>
                <w:spacing w:val="-4"/>
                <w:w w:val="120"/>
                <w:sz w:val="20"/>
              </w:rPr>
              <w:t>following </w:t>
            </w:r>
            <w:r>
              <w:rPr>
                <w:spacing w:val="-3"/>
                <w:w w:val="120"/>
                <w:sz w:val="20"/>
              </w:rPr>
              <w:t>constitutional </w:t>
            </w:r>
            <w:r>
              <w:rPr>
                <w:spacing w:val="-4"/>
                <w:w w:val="120"/>
                <w:sz w:val="20"/>
              </w:rPr>
              <w:t>review, </w:t>
            </w:r>
            <w:r>
              <w:rPr>
                <w:w w:val="120"/>
                <w:sz w:val="20"/>
              </w:rPr>
              <w:t>to </w:t>
            </w:r>
            <w:r>
              <w:rPr>
                <w:spacing w:val="-3"/>
                <w:w w:val="120"/>
                <w:sz w:val="20"/>
              </w:rPr>
              <w:t>quash </w:t>
            </w:r>
            <w:r>
              <w:rPr>
                <w:w w:val="120"/>
                <w:sz w:val="20"/>
              </w:rPr>
              <w:t>a </w:t>
            </w:r>
            <w:r>
              <w:rPr>
                <w:spacing w:val="-3"/>
                <w:w w:val="120"/>
                <w:sz w:val="20"/>
              </w:rPr>
              <w:t>more local </w:t>
            </w:r>
            <w:r>
              <w:rPr>
                <w:spacing w:val="-6"/>
                <w:w w:val="120"/>
                <w:sz w:val="20"/>
              </w:rPr>
              <w:t>council’s </w:t>
            </w:r>
            <w:r>
              <w:rPr>
                <w:spacing w:val="-3"/>
                <w:w w:val="120"/>
                <w:sz w:val="20"/>
              </w:rPr>
              <w:t>decision </w:t>
            </w:r>
            <w:r>
              <w:rPr>
                <w:w w:val="120"/>
                <w:sz w:val="20"/>
              </w:rPr>
              <w:t>taken </w:t>
            </w:r>
            <w:r>
              <w:rPr>
                <w:spacing w:val="-3"/>
                <w:w w:val="120"/>
                <w:sz w:val="20"/>
              </w:rPr>
              <w:t>outside </w:t>
            </w:r>
            <w:r>
              <w:rPr>
                <w:w w:val="120"/>
                <w:sz w:val="20"/>
              </w:rPr>
              <w:t>its </w:t>
            </w:r>
            <w:r>
              <w:rPr>
                <w:spacing w:val="-4"/>
                <w:w w:val="120"/>
                <w:sz w:val="20"/>
              </w:rPr>
              <w:t>competence </w:t>
            </w:r>
            <w:r>
              <w:rPr>
                <w:w w:val="120"/>
                <w:sz w:val="20"/>
              </w:rPr>
              <w:t>or </w:t>
            </w:r>
            <w:r>
              <w:rPr>
                <w:spacing w:val="-4"/>
                <w:w w:val="120"/>
                <w:sz w:val="20"/>
              </w:rPr>
              <w:t>contravening </w:t>
            </w:r>
            <w:r>
              <w:rPr>
                <w:w w:val="120"/>
                <w:sz w:val="20"/>
              </w:rPr>
              <w:t>a </w:t>
            </w:r>
            <w:r>
              <w:rPr>
                <w:spacing w:val="-3"/>
                <w:w w:val="120"/>
                <w:sz w:val="20"/>
              </w:rPr>
              <w:t>binding resolution of </w:t>
            </w:r>
            <w:r>
              <w:rPr>
                <w:w w:val="120"/>
                <w:sz w:val="20"/>
              </w:rPr>
              <w:t>the</w:t>
            </w:r>
            <w:r>
              <w:rPr>
                <w:spacing w:val="-2"/>
                <w:w w:val="120"/>
                <w:sz w:val="20"/>
              </w:rPr>
              <w:t> </w:t>
            </w:r>
            <w:r>
              <w:rPr>
                <w:spacing w:val="-5"/>
                <w:w w:val="120"/>
                <w:sz w:val="20"/>
              </w:rPr>
              <w:t>Assembly.</w:t>
            </w:r>
          </w:p>
        </w:tc>
      </w:tr>
      <w:tr>
        <w:trPr>
          <w:trHeight w:val="680" w:hRule="atLeast"/>
        </w:trPr>
        <w:tc>
          <w:tcPr>
            <w:tcW w:w="2660" w:type="dxa"/>
            <w:shd w:val="clear" w:color="auto" w:fill="FFFFFF"/>
          </w:tcPr>
          <w:p>
            <w:pPr>
              <w:pStyle w:val="TableParagraph"/>
              <w:spacing w:line="213" w:lineRule="auto" w:before="151"/>
              <w:ind w:right="701"/>
              <w:rPr>
                <w:rFonts w:ascii="Stone Sans II ITC Std Bk"/>
                <w:b/>
                <w:sz w:val="20"/>
              </w:rPr>
            </w:pPr>
            <w:r>
              <w:rPr>
                <w:rFonts w:ascii="Stone Sans II ITC Std Bk"/>
                <w:b/>
                <w:w w:val="110"/>
                <w:sz w:val="20"/>
              </w:rPr>
              <w:t>Previous relevant documents</w:t>
            </w:r>
          </w:p>
        </w:tc>
        <w:tc>
          <w:tcPr>
            <w:tcW w:w="6582" w:type="dxa"/>
            <w:shd w:val="clear" w:color="auto" w:fill="FFFFFF"/>
          </w:tcPr>
          <w:p>
            <w:pPr>
              <w:pStyle w:val="TableParagraph"/>
              <w:spacing w:line="235" w:lineRule="auto" w:before="145"/>
              <w:ind w:right="3720"/>
              <w:rPr>
                <w:sz w:val="20"/>
              </w:rPr>
            </w:pPr>
            <w:r>
              <w:rPr>
                <w:w w:val="120"/>
                <w:sz w:val="20"/>
              </w:rPr>
              <w:t>The Structure of the URC The Rules of Procedure</w:t>
            </w:r>
          </w:p>
        </w:tc>
      </w:tr>
      <w:tr>
        <w:trPr>
          <w:trHeight w:val="680" w:hRule="atLeast"/>
        </w:trPr>
        <w:tc>
          <w:tcPr>
            <w:tcW w:w="2660" w:type="dxa"/>
            <w:shd w:val="clear" w:color="auto" w:fill="FFFFFF"/>
          </w:tcPr>
          <w:p>
            <w:pPr>
              <w:pStyle w:val="TableParagraph"/>
              <w:spacing w:line="213" w:lineRule="auto" w:before="151"/>
              <w:ind w:right="104"/>
              <w:rPr>
                <w:rFonts w:ascii="Stone Sans II ITC Std Bk"/>
                <w:b/>
                <w:sz w:val="20"/>
              </w:rPr>
            </w:pPr>
            <w:r>
              <w:rPr>
                <w:rFonts w:ascii="Stone Sans II ITC Std Bk"/>
                <w:b/>
                <w:w w:val="110"/>
                <w:sz w:val="20"/>
              </w:rPr>
              <w:t>Consultation has taken place with...</w:t>
            </w:r>
          </w:p>
        </w:tc>
        <w:tc>
          <w:tcPr>
            <w:tcW w:w="6582" w:type="dxa"/>
            <w:shd w:val="clear" w:color="auto" w:fill="FFFFFF"/>
          </w:tcPr>
          <w:p>
            <w:pPr>
              <w:pStyle w:val="TableParagraph"/>
              <w:spacing w:before="141"/>
              <w:rPr>
                <w:sz w:val="20"/>
              </w:rPr>
            </w:pPr>
            <w:r>
              <w:rPr>
                <w:w w:val="120"/>
                <w:sz w:val="20"/>
              </w:rPr>
              <w:t>Mission Council</w:t>
            </w:r>
          </w:p>
        </w:tc>
      </w:tr>
    </w:tbl>
    <w:p>
      <w:pPr>
        <w:pStyle w:val="BodyText"/>
        <w:rPr>
          <w:rFonts w:ascii="Stone Sans II ITC Std Bk"/>
          <w:b/>
          <w:sz w:val="30"/>
        </w:rPr>
      </w:pPr>
    </w:p>
    <w:p>
      <w:pPr>
        <w:pStyle w:val="BodyText"/>
        <w:rPr>
          <w:rFonts w:ascii="Stone Sans II ITC Std Bk"/>
          <w:b/>
          <w:sz w:val="30"/>
        </w:rPr>
      </w:pPr>
    </w:p>
    <w:p>
      <w:pPr>
        <w:pStyle w:val="BodyText"/>
        <w:rPr>
          <w:rFonts w:ascii="Stone Sans II ITC Std Bk"/>
          <w:b/>
          <w:sz w:val="30"/>
        </w:rPr>
      </w:pPr>
    </w:p>
    <w:p>
      <w:pPr>
        <w:pStyle w:val="BodyText"/>
        <w:rPr>
          <w:rFonts w:ascii="Stone Sans II ITC Std Bk"/>
          <w:b/>
          <w:sz w:val="30"/>
        </w:rPr>
      </w:pPr>
    </w:p>
    <w:p>
      <w:pPr>
        <w:pStyle w:val="BodyText"/>
        <w:spacing w:before="5"/>
        <w:rPr>
          <w:rFonts w:ascii="Stone Sans II ITC Std Bk"/>
          <w:b/>
          <w:sz w:val="30"/>
        </w:rPr>
      </w:pPr>
    </w:p>
    <w:p>
      <w:pPr>
        <w:pStyle w:val="Heading6"/>
        <w:spacing w:before="1"/>
        <w:ind w:left="547"/>
      </w:pPr>
      <w:r>
        <w:rPr>
          <w:rFonts w:ascii="Stone Sans II ITC Std X Bd" w:hAnsi="Stone Sans II ITC Std X Bd"/>
          <w:b/>
          <w:w w:val="110"/>
          <w:sz w:val="24"/>
        </w:rPr>
        <w:t>20 </w:t>
      </w:r>
      <w:r>
        <w:rPr>
          <w:rFonts w:ascii="Symbol" w:hAnsi="Symbol"/>
          <w:color w:val="7EAABF"/>
          <w:w w:val="110"/>
        </w:rPr>
        <w:t></w:t>
      </w:r>
      <w:r>
        <w:rPr>
          <w:rFonts w:ascii="Times New Roman" w:hAnsi="Times New Roman"/>
          <w:color w:val="7EAABF"/>
          <w:w w:val="110"/>
        </w:rPr>
        <w:t> </w:t>
      </w:r>
      <w:r>
        <w:rPr>
          <w:color w:val="7EAABF"/>
          <w:w w:val="110"/>
        </w:rPr>
        <w:t>United Reformed Church </w:t>
      </w:r>
      <w:r>
        <w:rPr>
          <w:rFonts w:ascii="Symbol" w:hAnsi="Symbol"/>
          <w:color w:val="7EAABF"/>
          <w:w w:val="110"/>
        </w:rPr>
        <w:t></w:t>
      </w:r>
      <w:r>
        <w:rPr>
          <w:rFonts w:ascii="Times New Roman" w:hAnsi="Times New Roman"/>
          <w:color w:val="7EAABF"/>
          <w:w w:val="110"/>
        </w:rPr>
        <w:t> </w:t>
      </w:r>
      <w:r>
        <w:rPr>
          <w:color w:val="7EAABF"/>
          <w:w w:val="110"/>
        </w:rPr>
        <w:t>General Assembly 2016</w:t>
      </w:r>
    </w:p>
    <w:p>
      <w:pPr>
        <w:spacing w:after="0"/>
        <w:sectPr>
          <w:headerReference w:type="even" r:id="rId103"/>
          <w:footerReference w:type="even" r:id="rId104"/>
          <w:pgSz w:w="11910" w:h="16840"/>
          <w:pgMar w:header="0" w:footer="0" w:top="0" w:bottom="0" w:left="700" w:right="0"/>
        </w:sectPr>
      </w:pPr>
    </w:p>
    <w:p>
      <w:pPr>
        <w:pStyle w:val="Heading4"/>
        <w:spacing w:before="76"/>
        <w:ind w:left="1043"/>
      </w:pPr>
      <w:r>
        <w:rPr/>
        <w:pict>
          <v:group style="position:absolute;margin-left:0pt;margin-top:.000015pt;width:595.3pt;height:841.9pt;mso-position-horizontal-relative:page;mso-position-vertical-relative:page;z-index:-268056576" coordorigin="0,0" coordsize="11906,16838">
            <v:rect style="position:absolute;left:0;top:0;width:10985;height:3686" filled="true" fillcolor="#fef4df" stroked="false">
              <v:fill type="solid"/>
            </v:rect>
            <v:shape style="position:absolute;left:10984;top:0;width:922;height:16838" type="#_x0000_t75" stroked="false">
              <v:imagedata r:id="rId34" o:title=""/>
            </v:shape>
            <w10:wrap type="none"/>
          </v:group>
        </w:pict>
      </w:r>
      <w:r>
        <w:rPr/>
        <w:pict>
          <v:shape style="position:absolute;margin-left:554.141174pt;margin-top:-4.003093pt;width:25.9pt;height:234.95pt;mso-position-horizontal-relative:page;mso-position-vertical-relative:paragraph;z-index:251714560" type="#_x0000_t202" filled="false" stroked="false">
            <v:textbox inset="0,0,0,0" style="layout-flow:vertical">
              <w:txbxContent>
                <w:p>
                  <w:pPr>
                    <w:spacing w:before="27"/>
                    <w:ind w:left="20" w:right="0" w:firstLine="0"/>
                    <w:jc w:val="left"/>
                    <w:rPr>
                      <w:sz w:val="39"/>
                    </w:rPr>
                  </w:pPr>
                  <w:r>
                    <w:rPr>
                      <w:color w:val="FFFFFF"/>
                      <w:w w:val="125"/>
                      <w:sz w:val="39"/>
                    </w:rPr>
                    <w:t>Councils of the Church</w:t>
                  </w:r>
                </w:p>
              </w:txbxContent>
            </v:textbox>
            <w10:wrap type="none"/>
          </v:shape>
        </w:pict>
      </w:r>
      <w:r>
        <w:rPr>
          <w:color w:val="7F7F7F"/>
        </w:rPr>
        <w:t>Summary of Impact</w:t>
      </w:r>
    </w:p>
    <w:tbl>
      <w:tblPr>
        <w:tblW w:w="0" w:type="auto"/>
        <w:jc w:val="left"/>
        <w:tblInd w:w="105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660"/>
        <w:gridCol w:w="6582"/>
      </w:tblGrid>
      <w:tr>
        <w:trPr>
          <w:trHeight w:val="920" w:hRule="atLeast"/>
        </w:trPr>
        <w:tc>
          <w:tcPr>
            <w:tcW w:w="2660" w:type="dxa"/>
            <w:shd w:val="clear" w:color="auto" w:fill="FFFFFF"/>
          </w:tcPr>
          <w:p>
            <w:pPr>
              <w:pStyle w:val="TableParagraph"/>
              <w:spacing w:before="128"/>
              <w:rPr>
                <w:rFonts w:ascii="Stone Sans II ITC Std Bk"/>
                <w:b/>
                <w:sz w:val="20"/>
              </w:rPr>
            </w:pPr>
            <w:r>
              <w:rPr>
                <w:rFonts w:ascii="Stone Sans II ITC Std Bk"/>
                <w:b/>
                <w:w w:val="110"/>
                <w:sz w:val="20"/>
              </w:rPr>
              <w:t>Financial</w:t>
            </w:r>
          </w:p>
        </w:tc>
        <w:tc>
          <w:tcPr>
            <w:tcW w:w="6582" w:type="dxa"/>
            <w:shd w:val="clear" w:color="auto" w:fill="FFFFFF"/>
          </w:tcPr>
          <w:p>
            <w:pPr>
              <w:pStyle w:val="TableParagraph"/>
              <w:spacing w:line="235" w:lineRule="auto" w:before="145"/>
              <w:ind w:right="218"/>
              <w:jc w:val="both"/>
              <w:rPr>
                <w:sz w:val="20"/>
              </w:rPr>
            </w:pPr>
            <w:r>
              <w:rPr>
                <w:w w:val="120"/>
                <w:sz w:val="20"/>
              </w:rPr>
              <w:t>Appeal hearings already have a cost in terms of time and travel. The proposals may increase their frequency, but the regular use of commissions would reduce the number of people involved</w:t>
            </w:r>
          </w:p>
        </w:tc>
      </w:tr>
      <w:tr>
        <w:trPr>
          <w:trHeight w:val="920" w:hRule="atLeast"/>
        </w:trPr>
        <w:tc>
          <w:tcPr>
            <w:tcW w:w="2660" w:type="dxa"/>
            <w:shd w:val="clear" w:color="auto" w:fill="FFFFFF"/>
          </w:tcPr>
          <w:p>
            <w:pPr>
              <w:pStyle w:val="TableParagraph"/>
              <w:spacing w:line="255" w:lineRule="exact" w:before="128"/>
              <w:rPr>
                <w:rFonts w:ascii="Stone Sans II ITC Std Bk"/>
                <w:b/>
                <w:sz w:val="20"/>
              </w:rPr>
            </w:pPr>
            <w:r>
              <w:rPr>
                <w:rFonts w:ascii="Stone Sans II ITC Std Bk"/>
                <w:b/>
                <w:w w:val="110"/>
                <w:sz w:val="20"/>
              </w:rPr>
              <w:t>External</w:t>
            </w:r>
          </w:p>
          <w:p>
            <w:pPr>
              <w:pStyle w:val="TableParagraph"/>
              <w:spacing w:line="255" w:lineRule="exact"/>
              <w:rPr>
                <w:rFonts w:ascii="Stone Sans II ITC Std Bk"/>
                <w:b/>
                <w:sz w:val="20"/>
              </w:rPr>
            </w:pPr>
            <w:r>
              <w:rPr>
                <w:rFonts w:ascii="Stone Sans II ITC Std Bk"/>
                <w:b/>
                <w:w w:val="110"/>
                <w:sz w:val="20"/>
              </w:rPr>
              <w:t>(e.g. ecumenical)</w:t>
            </w:r>
          </w:p>
        </w:tc>
        <w:tc>
          <w:tcPr>
            <w:tcW w:w="6582" w:type="dxa"/>
            <w:shd w:val="clear" w:color="auto" w:fill="FFFFFF"/>
          </w:tcPr>
          <w:p>
            <w:pPr>
              <w:pStyle w:val="TableParagraph"/>
              <w:spacing w:line="235" w:lineRule="auto" w:before="145"/>
              <w:ind w:right="804"/>
              <w:rPr>
                <w:sz w:val="20"/>
              </w:rPr>
            </w:pPr>
            <w:r>
              <w:rPr>
                <w:w w:val="120"/>
                <w:sz w:val="20"/>
              </w:rPr>
              <w:t>Decisions of an ecumenical area meeting are now clearly brought within the URC oversight mechanism if they have implications for the URC or any part of it.</w:t>
            </w:r>
          </w:p>
        </w:tc>
      </w:tr>
    </w:tbl>
    <w:p>
      <w:pPr>
        <w:pStyle w:val="BodyText"/>
        <w:rPr>
          <w:rFonts w:ascii="Stone Sans II ITC Std Bk"/>
          <w:b/>
          <w:sz w:val="30"/>
        </w:rPr>
      </w:pPr>
    </w:p>
    <w:p>
      <w:pPr>
        <w:pStyle w:val="BodyText"/>
        <w:rPr>
          <w:rFonts w:ascii="Stone Sans II ITC Std Bk"/>
          <w:b/>
          <w:sz w:val="30"/>
        </w:rPr>
      </w:pPr>
    </w:p>
    <w:p>
      <w:pPr>
        <w:pStyle w:val="BodyText"/>
        <w:spacing w:before="11"/>
        <w:rPr>
          <w:rFonts w:ascii="Stone Sans II ITC Std Bk"/>
          <w:b/>
          <w:sz w:val="38"/>
        </w:rPr>
      </w:pPr>
    </w:p>
    <w:p>
      <w:pPr>
        <w:spacing w:line="213" w:lineRule="auto" w:before="0"/>
        <w:ind w:left="1284" w:right="1716" w:firstLine="0"/>
        <w:jc w:val="left"/>
        <w:rPr>
          <w:rFonts w:ascii="Stone Sans II ITC Std X Bd"/>
          <w:b/>
          <w:sz w:val="50"/>
        </w:rPr>
      </w:pPr>
      <w:r>
        <w:rPr>
          <w:rFonts w:ascii="Stone Sans II ITC Std X Bd"/>
          <w:b/>
          <w:spacing w:val="-9"/>
          <w:w w:val="110"/>
          <w:sz w:val="50"/>
        </w:rPr>
        <w:t>Appeal, </w:t>
      </w:r>
      <w:r>
        <w:rPr>
          <w:rFonts w:ascii="Stone Sans II ITC Std X Bd"/>
          <w:b/>
          <w:spacing w:val="-10"/>
          <w:w w:val="110"/>
          <w:sz w:val="50"/>
        </w:rPr>
        <w:t>reference </w:t>
      </w:r>
      <w:r>
        <w:rPr>
          <w:rFonts w:ascii="Stone Sans II ITC Std X Bd"/>
          <w:b/>
          <w:spacing w:val="-7"/>
          <w:w w:val="110"/>
          <w:sz w:val="50"/>
        </w:rPr>
        <w:t>and </w:t>
      </w:r>
      <w:r>
        <w:rPr>
          <w:rFonts w:ascii="Stone Sans II ITC Std X Bd"/>
          <w:b/>
          <w:spacing w:val="-11"/>
          <w:w w:val="110"/>
          <w:sz w:val="50"/>
        </w:rPr>
        <w:t>constitutional review </w:t>
      </w:r>
      <w:r>
        <w:rPr>
          <w:rFonts w:ascii="Stone Sans II ITC Std X Bd"/>
          <w:b/>
          <w:spacing w:val="-8"/>
          <w:w w:val="110"/>
          <w:sz w:val="50"/>
        </w:rPr>
        <w:t>between </w:t>
      </w:r>
      <w:r>
        <w:rPr>
          <w:rFonts w:ascii="Stone Sans II ITC Std X Bd"/>
          <w:b/>
          <w:spacing w:val="-10"/>
          <w:w w:val="110"/>
          <w:sz w:val="50"/>
        </w:rPr>
        <w:t>councils </w:t>
      </w:r>
      <w:r>
        <w:rPr>
          <w:rFonts w:ascii="Stone Sans II ITC Std X Bd"/>
          <w:b/>
          <w:spacing w:val="-5"/>
          <w:w w:val="110"/>
          <w:sz w:val="50"/>
        </w:rPr>
        <w:t>of </w:t>
      </w:r>
      <w:r>
        <w:rPr>
          <w:rFonts w:ascii="Stone Sans II ITC Std X Bd"/>
          <w:b/>
          <w:spacing w:val="-8"/>
          <w:w w:val="110"/>
          <w:sz w:val="50"/>
        </w:rPr>
        <w:t>the </w:t>
      </w:r>
      <w:r>
        <w:rPr>
          <w:rFonts w:ascii="Stone Sans II ITC Std X Bd"/>
          <w:b/>
          <w:spacing w:val="-10"/>
          <w:w w:val="110"/>
          <w:sz w:val="50"/>
        </w:rPr>
        <w:t>Church</w:t>
      </w:r>
    </w:p>
    <w:p>
      <w:pPr>
        <w:pStyle w:val="ListParagraph"/>
        <w:numPr>
          <w:ilvl w:val="0"/>
          <w:numId w:val="10"/>
        </w:numPr>
        <w:tabs>
          <w:tab w:pos="1964" w:val="left" w:leader="none"/>
          <w:tab w:pos="1965" w:val="left" w:leader="none"/>
        </w:tabs>
        <w:spacing w:line="235" w:lineRule="auto" w:before="381" w:after="0"/>
        <w:ind w:left="1284" w:right="1458" w:firstLine="0"/>
        <w:jc w:val="left"/>
        <w:rPr>
          <w:sz w:val="20"/>
        </w:rPr>
      </w:pPr>
      <w:r>
        <w:rPr>
          <w:w w:val="120"/>
          <w:sz w:val="20"/>
        </w:rPr>
        <w:t>The law and polity advisory group </w:t>
      </w:r>
      <w:r>
        <w:rPr>
          <w:spacing w:val="-4"/>
          <w:w w:val="120"/>
          <w:sz w:val="20"/>
        </w:rPr>
        <w:t>(LPAG) </w:t>
      </w:r>
      <w:r>
        <w:rPr>
          <w:w w:val="120"/>
          <w:sz w:val="20"/>
        </w:rPr>
        <w:t>was asked by the former Clerk of Assembly (Margaret Carrick-Smith) and General Secretary (Roberta Rominger) to look at the </w:t>
      </w:r>
      <w:r>
        <w:rPr>
          <w:spacing w:val="-3"/>
          <w:w w:val="120"/>
          <w:sz w:val="20"/>
        </w:rPr>
        <w:t>Church’s </w:t>
      </w:r>
      <w:r>
        <w:rPr>
          <w:w w:val="120"/>
          <w:sz w:val="20"/>
        </w:rPr>
        <w:t>rules for appeals from its more local to its wider councils. The topic  was introduced at the </w:t>
      </w:r>
      <w:r>
        <w:rPr>
          <w:spacing w:val="-3"/>
          <w:w w:val="120"/>
          <w:sz w:val="20"/>
        </w:rPr>
        <w:t>group’s </w:t>
      </w:r>
      <w:r>
        <w:rPr>
          <w:w w:val="120"/>
          <w:sz w:val="20"/>
        </w:rPr>
        <w:t>meeting in June </w:t>
      </w:r>
      <w:r>
        <w:rPr>
          <w:spacing w:val="-7"/>
          <w:w w:val="120"/>
          <w:sz w:val="20"/>
        </w:rPr>
        <w:t>2014 </w:t>
      </w:r>
      <w:r>
        <w:rPr>
          <w:w w:val="120"/>
          <w:sz w:val="20"/>
        </w:rPr>
        <w:t>and general principles discussed. Agreement having been reached on the main points, a detailed </w:t>
      </w:r>
      <w:r>
        <w:rPr>
          <w:spacing w:val="2"/>
          <w:w w:val="120"/>
          <w:sz w:val="20"/>
        </w:rPr>
        <w:t>draft </w:t>
      </w:r>
      <w:r>
        <w:rPr>
          <w:w w:val="120"/>
          <w:sz w:val="20"/>
        </w:rPr>
        <w:t>was presented for the </w:t>
      </w:r>
      <w:r>
        <w:rPr>
          <w:spacing w:val="-3"/>
          <w:w w:val="120"/>
          <w:sz w:val="20"/>
        </w:rPr>
        <w:t>group’s </w:t>
      </w:r>
      <w:r>
        <w:rPr>
          <w:w w:val="120"/>
          <w:sz w:val="20"/>
        </w:rPr>
        <w:t>November meeting. The current </w:t>
      </w:r>
      <w:r>
        <w:rPr>
          <w:spacing w:val="2"/>
          <w:w w:val="120"/>
          <w:sz w:val="20"/>
        </w:rPr>
        <w:t>draft, </w:t>
      </w:r>
      <w:r>
        <w:rPr>
          <w:w w:val="120"/>
          <w:sz w:val="20"/>
        </w:rPr>
        <w:t>reflecting one alteration asked for in November, was adopted by the group in June </w:t>
      </w:r>
      <w:r>
        <w:rPr>
          <w:spacing w:val="-7"/>
          <w:w w:val="120"/>
          <w:sz w:val="20"/>
        </w:rPr>
        <w:t>2015 </w:t>
      </w:r>
      <w:r>
        <w:rPr>
          <w:w w:val="120"/>
          <w:sz w:val="20"/>
        </w:rPr>
        <w:t>and commended to Mission Council. The latter found the proposals broadly acceptable, but asked for there to</w:t>
      </w:r>
      <w:r>
        <w:rPr>
          <w:spacing w:val="6"/>
          <w:w w:val="120"/>
          <w:sz w:val="20"/>
        </w:rPr>
        <w:t> </w:t>
      </w:r>
      <w:r>
        <w:rPr>
          <w:w w:val="120"/>
          <w:sz w:val="20"/>
        </w:rPr>
        <w:t>be</w:t>
      </w:r>
    </w:p>
    <w:p>
      <w:pPr>
        <w:pStyle w:val="BodyText"/>
        <w:spacing w:line="235" w:lineRule="auto" w:before="6"/>
        <w:ind w:left="1284" w:right="1337"/>
      </w:pPr>
      <w:r>
        <w:rPr>
          <w:w w:val="120"/>
        </w:rPr>
        <w:t>provision for mediation as a first option, before moving to formal appeal. This has been done by adding a clause to the proposed first sentence of para 5.4. The substance</w:t>
      </w:r>
    </w:p>
    <w:p>
      <w:pPr>
        <w:pStyle w:val="BodyText"/>
        <w:spacing w:line="240" w:lineRule="exact"/>
        <w:ind w:left="1284"/>
      </w:pPr>
      <w:r>
        <w:rPr>
          <w:w w:val="120"/>
        </w:rPr>
        <w:t>of how mediation will be handled will need to be covered in the Rules of Procedure.</w:t>
      </w:r>
    </w:p>
    <w:p>
      <w:pPr>
        <w:pStyle w:val="BodyText"/>
        <w:spacing w:line="235" w:lineRule="auto" w:before="1"/>
        <w:ind w:left="1284" w:right="1337"/>
      </w:pPr>
      <w:r>
        <w:rPr>
          <w:w w:val="120"/>
        </w:rPr>
        <w:t>At the time the </w:t>
      </w:r>
      <w:r>
        <w:rPr>
          <w:i/>
          <w:w w:val="120"/>
        </w:rPr>
        <w:t>Book of Reports </w:t>
      </w:r>
      <w:r>
        <w:rPr>
          <w:w w:val="120"/>
        </w:rPr>
        <w:t>goes to press LPAG has not had time to give detailed consideration to the full implications of this change for the Rules, but will do so in June, and bring detailed proposals to Mission Council in the autumn.</w:t>
      </w:r>
    </w:p>
    <w:p>
      <w:pPr>
        <w:pStyle w:val="BodyText"/>
        <w:spacing w:before="7"/>
        <w:rPr>
          <w:sz w:val="19"/>
        </w:rPr>
      </w:pPr>
    </w:p>
    <w:p>
      <w:pPr>
        <w:pStyle w:val="ListParagraph"/>
        <w:numPr>
          <w:ilvl w:val="0"/>
          <w:numId w:val="10"/>
        </w:numPr>
        <w:tabs>
          <w:tab w:pos="1964" w:val="left" w:leader="none"/>
          <w:tab w:pos="1965" w:val="left" w:leader="none"/>
        </w:tabs>
        <w:spacing w:line="212" w:lineRule="exact" w:before="0" w:after="0"/>
        <w:ind w:left="1964" w:right="0" w:hanging="681"/>
        <w:jc w:val="left"/>
        <w:rPr>
          <w:sz w:val="20"/>
        </w:rPr>
      </w:pPr>
      <w:r>
        <w:rPr>
          <w:w w:val="120"/>
          <w:sz w:val="20"/>
        </w:rPr>
        <w:t>The proposed amendments</w:t>
      </w:r>
      <w:r>
        <w:rPr>
          <w:spacing w:val="6"/>
          <w:w w:val="120"/>
          <w:sz w:val="20"/>
        </w:rPr>
        <w:t> </w:t>
      </w:r>
      <w:r>
        <w:rPr>
          <w:w w:val="120"/>
          <w:sz w:val="20"/>
        </w:rPr>
        <w:t>seek:</w:t>
      </w:r>
    </w:p>
    <w:p>
      <w:pPr>
        <w:pStyle w:val="ListParagraph"/>
        <w:numPr>
          <w:ilvl w:val="0"/>
          <w:numId w:val="11"/>
        </w:numPr>
        <w:tabs>
          <w:tab w:pos="1964" w:val="left" w:leader="none"/>
          <w:tab w:pos="1965" w:val="left" w:leader="none"/>
        </w:tabs>
        <w:spacing w:line="213" w:lineRule="auto" w:before="0" w:after="0"/>
        <w:ind w:left="1964" w:right="1244" w:hanging="681"/>
        <w:jc w:val="left"/>
        <w:rPr>
          <w:sz w:val="20"/>
        </w:rPr>
      </w:pPr>
      <w:r>
        <w:rPr>
          <w:w w:val="120"/>
          <w:sz w:val="20"/>
        </w:rPr>
        <w:t>to remedy one clear omission from para 5 of the Structure as it stands </w:t>
      </w:r>
      <w:r>
        <w:rPr>
          <w:spacing w:val="-3"/>
          <w:w w:val="120"/>
          <w:sz w:val="20"/>
        </w:rPr>
        <w:t>(the </w:t>
      </w:r>
      <w:r>
        <w:rPr>
          <w:w w:val="120"/>
          <w:sz w:val="20"/>
        </w:rPr>
        <w:t>lack of any appeal from an ecumenical area meeting, even if it has itself determined an appeal from a local</w:t>
      </w:r>
      <w:r>
        <w:rPr>
          <w:spacing w:val="9"/>
          <w:w w:val="120"/>
          <w:sz w:val="20"/>
        </w:rPr>
        <w:t> </w:t>
      </w:r>
      <w:r>
        <w:rPr>
          <w:spacing w:val="-3"/>
          <w:w w:val="120"/>
          <w:sz w:val="20"/>
        </w:rPr>
        <w:t>church);</w:t>
      </w:r>
    </w:p>
    <w:p>
      <w:pPr>
        <w:pStyle w:val="ListParagraph"/>
        <w:numPr>
          <w:ilvl w:val="0"/>
          <w:numId w:val="11"/>
        </w:numPr>
        <w:tabs>
          <w:tab w:pos="1964" w:val="left" w:leader="none"/>
          <w:tab w:pos="1965" w:val="left" w:leader="none"/>
        </w:tabs>
        <w:spacing w:line="239" w:lineRule="exact" w:before="0" w:after="0"/>
        <w:ind w:left="1964" w:right="0" w:hanging="681"/>
        <w:jc w:val="left"/>
        <w:rPr>
          <w:sz w:val="20"/>
        </w:rPr>
      </w:pPr>
      <w:r>
        <w:rPr>
          <w:w w:val="120"/>
          <w:sz w:val="20"/>
        </w:rPr>
        <w:t>to clarify who can</w:t>
      </w:r>
      <w:r>
        <w:rPr>
          <w:spacing w:val="8"/>
          <w:w w:val="120"/>
          <w:sz w:val="20"/>
        </w:rPr>
        <w:t> </w:t>
      </w:r>
      <w:r>
        <w:rPr>
          <w:w w:val="120"/>
          <w:sz w:val="20"/>
        </w:rPr>
        <w:t>appeal;</w:t>
      </w:r>
    </w:p>
    <w:p>
      <w:pPr>
        <w:pStyle w:val="ListParagraph"/>
        <w:numPr>
          <w:ilvl w:val="0"/>
          <w:numId w:val="11"/>
        </w:numPr>
        <w:tabs>
          <w:tab w:pos="1964" w:val="left" w:leader="none"/>
          <w:tab w:pos="1965" w:val="left" w:leader="none"/>
        </w:tabs>
        <w:spacing w:line="196" w:lineRule="auto" w:before="0" w:after="0"/>
        <w:ind w:left="1964" w:right="1373" w:hanging="681"/>
        <w:jc w:val="left"/>
        <w:rPr>
          <w:sz w:val="20"/>
        </w:rPr>
      </w:pPr>
      <w:r>
        <w:rPr>
          <w:w w:val="120"/>
          <w:sz w:val="20"/>
        </w:rPr>
        <w:t>to resolve any doubt whether a wider council can substitute its own decision on an</w:t>
      </w:r>
      <w:r>
        <w:rPr>
          <w:spacing w:val="1"/>
          <w:w w:val="120"/>
          <w:sz w:val="20"/>
        </w:rPr>
        <w:t> </w:t>
      </w:r>
      <w:r>
        <w:rPr>
          <w:w w:val="120"/>
          <w:sz w:val="20"/>
        </w:rPr>
        <w:t>appeal;</w:t>
      </w:r>
    </w:p>
    <w:p>
      <w:pPr>
        <w:pStyle w:val="ListParagraph"/>
        <w:numPr>
          <w:ilvl w:val="0"/>
          <w:numId w:val="11"/>
        </w:numPr>
        <w:tabs>
          <w:tab w:pos="1964" w:val="left" w:leader="none"/>
          <w:tab w:pos="1965" w:val="left" w:leader="none"/>
        </w:tabs>
        <w:spacing w:line="241" w:lineRule="exact" w:before="0" w:after="0"/>
        <w:ind w:left="1964" w:right="0" w:hanging="681"/>
        <w:jc w:val="left"/>
        <w:rPr>
          <w:sz w:val="20"/>
        </w:rPr>
      </w:pPr>
      <w:r>
        <w:rPr>
          <w:w w:val="120"/>
          <w:sz w:val="20"/>
        </w:rPr>
        <w:t>to make provision for mediation before appeals where this seems</w:t>
      </w:r>
      <w:r>
        <w:rPr>
          <w:spacing w:val="11"/>
          <w:w w:val="120"/>
          <w:sz w:val="20"/>
        </w:rPr>
        <w:t> </w:t>
      </w:r>
      <w:r>
        <w:rPr>
          <w:w w:val="120"/>
          <w:sz w:val="20"/>
        </w:rPr>
        <w:t>appropriate;</w:t>
      </w:r>
    </w:p>
    <w:p>
      <w:pPr>
        <w:pStyle w:val="ListParagraph"/>
        <w:numPr>
          <w:ilvl w:val="0"/>
          <w:numId w:val="11"/>
        </w:numPr>
        <w:tabs>
          <w:tab w:pos="1964" w:val="left" w:leader="none"/>
          <w:tab w:pos="1965" w:val="left" w:leader="none"/>
        </w:tabs>
        <w:spacing w:line="196" w:lineRule="auto" w:before="0" w:after="0"/>
        <w:ind w:left="1964" w:right="1367" w:hanging="681"/>
        <w:jc w:val="left"/>
        <w:rPr>
          <w:sz w:val="20"/>
        </w:rPr>
      </w:pPr>
      <w:r>
        <w:rPr>
          <w:w w:val="120"/>
          <w:sz w:val="20"/>
        </w:rPr>
        <w:t>to allow appeals out of time when fairness or the interests of the Church require this;</w:t>
      </w:r>
    </w:p>
    <w:p>
      <w:pPr>
        <w:pStyle w:val="ListParagraph"/>
        <w:numPr>
          <w:ilvl w:val="0"/>
          <w:numId w:val="11"/>
        </w:numPr>
        <w:tabs>
          <w:tab w:pos="1964" w:val="left" w:leader="none"/>
          <w:tab w:pos="1965" w:val="left" w:leader="none"/>
        </w:tabs>
        <w:spacing w:line="196" w:lineRule="auto" w:before="0" w:after="0"/>
        <w:ind w:left="1964" w:right="1709" w:hanging="681"/>
        <w:jc w:val="left"/>
        <w:rPr>
          <w:sz w:val="20"/>
        </w:rPr>
      </w:pPr>
      <w:r>
        <w:rPr>
          <w:w w:val="120"/>
          <w:sz w:val="20"/>
        </w:rPr>
        <w:t>to provide for hearing by a commission as the normal procedure for disposal of</w:t>
      </w:r>
      <w:r>
        <w:rPr>
          <w:spacing w:val="1"/>
          <w:w w:val="120"/>
          <w:sz w:val="20"/>
        </w:rPr>
        <w:t> </w:t>
      </w:r>
      <w:r>
        <w:rPr>
          <w:w w:val="120"/>
          <w:sz w:val="20"/>
        </w:rPr>
        <w:t>appeals.</w:t>
      </w:r>
    </w:p>
    <w:p>
      <w:pPr>
        <w:pStyle w:val="ListParagraph"/>
        <w:numPr>
          <w:ilvl w:val="0"/>
          <w:numId w:val="10"/>
        </w:numPr>
        <w:tabs>
          <w:tab w:pos="1964" w:val="left" w:leader="none"/>
          <w:tab w:pos="1965" w:val="left" w:leader="none"/>
        </w:tabs>
        <w:spacing w:line="235" w:lineRule="auto" w:before="207" w:after="0"/>
        <w:ind w:left="1284" w:right="1441" w:firstLine="0"/>
        <w:jc w:val="left"/>
        <w:rPr>
          <w:sz w:val="20"/>
        </w:rPr>
      </w:pPr>
      <w:r>
        <w:rPr>
          <w:w w:val="120"/>
          <w:sz w:val="20"/>
        </w:rPr>
        <w:t>They also introduce a new procedure – ‘constitutional review’ – whereby a wider council can, on application or on its own initiative, review a more local council’s action when that action is believed to lie outside the more local council’s competence or to contravene a binding resolution of the General</w:t>
      </w:r>
      <w:r>
        <w:rPr>
          <w:spacing w:val="21"/>
          <w:w w:val="120"/>
          <w:sz w:val="20"/>
        </w:rPr>
        <w:t> </w:t>
      </w:r>
      <w:r>
        <w:rPr>
          <w:w w:val="120"/>
          <w:sz w:val="20"/>
        </w:rPr>
        <w:t>Assembly.</w:t>
      </w:r>
    </w:p>
    <w:p>
      <w:pPr>
        <w:pStyle w:val="BodyText"/>
        <w:spacing w:before="11"/>
        <w:rPr>
          <w:sz w:val="19"/>
        </w:rPr>
      </w:pPr>
    </w:p>
    <w:p>
      <w:pPr>
        <w:pStyle w:val="ListParagraph"/>
        <w:numPr>
          <w:ilvl w:val="0"/>
          <w:numId w:val="10"/>
        </w:numPr>
        <w:tabs>
          <w:tab w:pos="1964" w:val="left" w:leader="none"/>
          <w:tab w:pos="1965" w:val="left" w:leader="none"/>
        </w:tabs>
        <w:spacing w:line="235" w:lineRule="auto" w:before="0" w:after="0"/>
        <w:ind w:left="1284" w:right="1835" w:firstLine="0"/>
        <w:jc w:val="left"/>
        <w:rPr>
          <w:sz w:val="20"/>
        </w:rPr>
      </w:pPr>
      <w:r>
        <w:rPr>
          <w:w w:val="120"/>
          <w:sz w:val="20"/>
        </w:rPr>
        <w:t>They do not cover decisions made by trust bodies, or by members of  elders’ meetings when acting as trustees, since these are not decisions of Councils of the</w:t>
      </w:r>
      <w:r>
        <w:rPr>
          <w:spacing w:val="4"/>
          <w:w w:val="120"/>
          <w:sz w:val="20"/>
        </w:rPr>
        <w:t> </w:t>
      </w:r>
      <w:r>
        <w:rPr>
          <w:w w:val="120"/>
          <w:sz w:val="20"/>
        </w:rPr>
        <w:t>Church.</w:t>
      </w:r>
    </w:p>
    <w:p>
      <w:pPr>
        <w:spacing w:after="0" w:line="235" w:lineRule="auto"/>
        <w:jc w:val="left"/>
        <w:rPr>
          <w:sz w:val="20"/>
        </w:rPr>
        <w:sectPr>
          <w:headerReference w:type="default" r:id="rId107"/>
          <w:footerReference w:type="default" r:id="rId108"/>
          <w:footerReference w:type="even" r:id="rId109"/>
          <w:pgSz w:w="11910" w:h="16840"/>
          <w:pgMar w:header="0" w:footer="647" w:top="1040" w:bottom="840" w:left="700" w:right="0"/>
          <w:pgNumType w:start="21"/>
        </w:sectPr>
      </w:pPr>
    </w:p>
    <w:p>
      <w:pPr>
        <w:pStyle w:val="BodyText"/>
      </w:pPr>
      <w:r>
        <w:rPr/>
        <w:drawing>
          <wp:anchor distT="0" distB="0" distL="0" distR="0" allowOverlap="1" layoutInCell="1" locked="0" behindDoc="1" simplePos="0" relativeHeight="235261952">
            <wp:simplePos x="0" y="0"/>
            <wp:positionH relativeFrom="page">
              <wp:posOffset>0</wp:posOffset>
            </wp:positionH>
            <wp:positionV relativeFrom="page">
              <wp:posOffset>0</wp:posOffset>
            </wp:positionV>
            <wp:extent cx="594067" cy="10692003"/>
            <wp:effectExtent l="0" t="0" r="0" b="0"/>
            <wp:wrapNone/>
            <wp:docPr id="35" name="image51.png"/>
            <wp:cNvGraphicFramePr>
              <a:graphicFrameLocks noChangeAspect="1"/>
            </wp:cNvGraphicFramePr>
            <a:graphic>
              <a:graphicData uri="http://schemas.openxmlformats.org/drawingml/2006/picture">
                <pic:pic>
                  <pic:nvPicPr>
                    <pic:cNvPr id="36" name="image51.png"/>
                    <pic:cNvPicPr/>
                  </pic:nvPicPr>
                  <pic:blipFill>
                    <a:blip r:embed="rId64" cstate="print"/>
                    <a:stretch>
                      <a:fillRect/>
                    </a:stretch>
                  </pic:blipFill>
                  <pic:spPr>
                    <a:xfrm>
                      <a:off x="0" y="0"/>
                      <a:ext cx="594067" cy="10692003"/>
                    </a:xfrm>
                    <a:prstGeom prst="rect">
                      <a:avLst/>
                    </a:prstGeom>
                  </pic:spPr>
                </pic:pic>
              </a:graphicData>
            </a:graphic>
          </wp:anchor>
        </w:drawing>
      </w:r>
      <w:r>
        <w:rPr/>
        <w:pict>
          <v:shape style="position:absolute;margin-left:20.519100pt;margin-top:48.890015pt;width:25.9pt;height:234.95pt;mso-position-horizontal-relative:page;mso-position-vertical-relative:page;z-index:-268052480" type="#_x0000_t202" filled="false" stroked="false">
            <v:textbox inset="0,0,0,0" style="layout-flow:vertical">
              <w:txbxContent>
                <w:p>
                  <w:pPr>
                    <w:spacing w:before="27"/>
                    <w:ind w:left="20" w:right="0" w:firstLine="0"/>
                    <w:jc w:val="left"/>
                    <w:rPr>
                      <w:sz w:val="39"/>
                    </w:rPr>
                  </w:pPr>
                  <w:r>
                    <w:rPr>
                      <w:color w:val="FFFFFF"/>
                      <w:w w:val="125"/>
                      <w:sz w:val="39"/>
                    </w:rPr>
                    <w:t>Councils of the Church</w:t>
                  </w:r>
                </w:p>
              </w:txbxContent>
            </v:textbox>
            <w10:wrap type="none"/>
          </v:shape>
        </w:pict>
      </w:r>
    </w:p>
    <w:p>
      <w:pPr>
        <w:pStyle w:val="BodyText"/>
        <w:spacing w:before="7"/>
        <w:rPr>
          <w:sz w:val="21"/>
        </w:rPr>
      </w:pPr>
    </w:p>
    <w:p>
      <w:pPr>
        <w:spacing w:before="106"/>
        <w:ind w:left="547" w:right="0" w:firstLine="0"/>
        <w:jc w:val="left"/>
        <w:rPr>
          <w:sz w:val="26"/>
        </w:rPr>
      </w:pPr>
      <w:r>
        <w:rPr>
          <w:color w:val="7EAABF"/>
          <w:w w:val="120"/>
          <w:sz w:val="26"/>
        </w:rPr>
        <w:t>Mission Council</w:t>
      </w:r>
    </w:p>
    <w:p>
      <w:pPr>
        <w:spacing w:before="215"/>
        <w:ind w:left="547" w:right="0" w:firstLine="0"/>
        <w:jc w:val="left"/>
        <w:rPr>
          <w:rFonts w:ascii="Stone Sans II ITC Std Bk"/>
          <w:b/>
          <w:sz w:val="29"/>
        </w:rPr>
      </w:pPr>
      <w:r>
        <w:rPr>
          <w:rFonts w:ascii="Stone Sans II ITC Std Bk"/>
          <w:b/>
          <w:w w:val="110"/>
          <w:sz w:val="29"/>
        </w:rPr>
        <w:t>Proposed Structure para 5</w:t>
      </w:r>
    </w:p>
    <w:p>
      <w:pPr>
        <w:pStyle w:val="ListParagraph"/>
        <w:numPr>
          <w:ilvl w:val="1"/>
          <w:numId w:val="12"/>
        </w:numPr>
        <w:tabs>
          <w:tab w:pos="1227" w:val="left" w:leader="none"/>
          <w:tab w:pos="1228" w:val="left" w:leader="none"/>
        </w:tabs>
        <w:spacing w:line="235" w:lineRule="auto" w:before="69" w:after="0"/>
        <w:ind w:left="547" w:right="2381" w:firstLine="0"/>
        <w:jc w:val="left"/>
        <w:rPr>
          <w:sz w:val="20"/>
        </w:rPr>
      </w:pPr>
      <w:r>
        <w:rPr>
          <w:w w:val="120"/>
          <w:sz w:val="20"/>
        </w:rPr>
        <w:t>The first three sub-paragraphs distinguish the three ways in which a council’s decision may be brought before a wider council for</w:t>
      </w:r>
      <w:r>
        <w:rPr>
          <w:spacing w:val="25"/>
          <w:w w:val="120"/>
          <w:sz w:val="20"/>
        </w:rPr>
        <w:t> </w:t>
      </w:r>
      <w:r>
        <w:rPr>
          <w:w w:val="120"/>
          <w:sz w:val="20"/>
        </w:rPr>
        <w:t>review.</w:t>
      </w:r>
    </w:p>
    <w:p>
      <w:pPr>
        <w:pStyle w:val="BodyText"/>
        <w:spacing w:before="8"/>
        <w:rPr>
          <w:sz w:val="19"/>
        </w:rPr>
      </w:pPr>
    </w:p>
    <w:p>
      <w:pPr>
        <w:pStyle w:val="ListParagraph"/>
        <w:numPr>
          <w:ilvl w:val="1"/>
          <w:numId w:val="12"/>
        </w:numPr>
        <w:tabs>
          <w:tab w:pos="1227" w:val="left" w:leader="none"/>
          <w:tab w:pos="1228" w:val="left" w:leader="none"/>
        </w:tabs>
        <w:spacing w:line="223" w:lineRule="auto" w:before="0" w:after="0"/>
        <w:ind w:left="547" w:right="2037" w:firstLine="0"/>
        <w:jc w:val="left"/>
        <w:rPr>
          <w:sz w:val="20"/>
        </w:rPr>
      </w:pPr>
      <w:r>
        <w:rPr>
          <w:w w:val="120"/>
          <w:sz w:val="20"/>
        </w:rPr>
        <w:t>An </w:t>
      </w:r>
      <w:r>
        <w:rPr>
          <w:rFonts w:ascii="Stone Sans II ITC Std Bk" w:hAnsi="Stone Sans II ITC Std Bk"/>
          <w:b/>
          <w:w w:val="120"/>
          <w:sz w:val="20"/>
        </w:rPr>
        <w:t>appeal </w:t>
      </w:r>
      <w:r>
        <w:rPr>
          <w:w w:val="120"/>
          <w:sz w:val="20"/>
        </w:rPr>
        <w:t>is appropriate when a council’s decision aggrieves individuals </w:t>
      </w:r>
      <w:r>
        <w:rPr>
          <w:spacing w:val="-6"/>
          <w:w w:val="120"/>
          <w:sz w:val="20"/>
        </w:rPr>
        <w:t>(or </w:t>
      </w:r>
      <w:r>
        <w:rPr>
          <w:w w:val="120"/>
          <w:sz w:val="20"/>
        </w:rPr>
        <w:t>some other council) who wish to challenge it, and have standing to do so. A </w:t>
      </w:r>
      <w:r>
        <w:rPr>
          <w:rFonts w:ascii="Stone Sans II ITC Std Bk" w:hAnsi="Stone Sans II ITC Std Bk"/>
          <w:b/>
          <w:w w:val="120"/>
          <w:sz w:val="20"/>
        </w:rPr>
        <w:t>reference</w:t>
      </w:r>
      <w:r>
        <w:rPr>
          <w:w w:val="120"/>
          <w:sz w:val="20"/>
        </w:rPr>
        <w:t>, on the other hand, is made when a council wishes a difference arising in the local church, ecumenical area, province or nation under its oversight to be considered</w:t>
      </w:r>
      <w:r>
        <w:rPr>
          <w:spacing w:val="48"/>
          <w:w w:val="120"/>
          <w:sz w:val="20"/>
        </w:rPr>
        <w:t> </w:t>
      </w:r>
      <w:r>
        <w:rPr>
          <w:w w:val="120"/>
          <w:sz w:val="20"/>
        </w:rPr>
        <w:t>at</w:t>
      </w:r>
    </w:p>
    <w:p>
      <w:pPr>
        <w:pStyle w:val="BodyText"/>
        <w:spacing w:line="235" w:lineRule="auto" w:before="5"/>
        <w:ind w:left="547" w:right="2419"/>
      </w:pPr>
      <w:r>
        <w:rPr>
          <w:w w:val="120"/>
        </w:rPr>
        <w:t>a wider level – this can include questions that lie within the referring council’s own competence, but which it feels have a wider import or would benefit from being considered elsewhere.</w:t>
      </w:r>
    </w:p>
    <w:p>
      <w:pPr>
        <w:pStyle w:val="BodyText"/>
      </w:pPr>
    </w:p>
    <w:p>
      <w:pPr>
        <w:pStyle w:val="ListParagraph"/>
        <w:numPr>
          <w:ilvl w:val="1"/>
          <w:numId w:val="12"/>
        </w:numPr>
        <w:tabs>
          <w:tab w:pos="1227" w:val="left" w:leader="none"/>
          <w:tab w:pos="1228" w:val="left" w:leader="none"/>
        </w:tabs>
        <w:spacing w:line="232" w:lineRule="auto" w:before="0" w:after="0"/>
        <w:ind w:left="547" w:right="2197" w:firstLine="0"/>
        <w:jc w:val="left"/>
        <w:rPr>
          <w:sz w:val="20"/>
        </w:rPr>
      </w:pPr>
      <w:r>
        <w:rPr>
          <w:w w:val="120"/>
          <w:sz w:val="20"/>
        </w:rPr>
        <w:t>Appeal and reference are both concerned with policy decisions, and can be used when it is felt that the more local council’s decision is simply wrong. Para </w:t>
      </w:r>
      <w:r>
        <w:rPr>
          <w:spacing w:val="-4"/>
          <w:w w:val="120"/>
          <w:sz w:val="20"/>
        </w:rPr>
        <w:t>5.4 </w:t>
      </w:r>
      <w:r>
        <w:rPr>
          <w:w w:val="120"/>
          <w:sz w:val="20"/>
        </w:rPr>
        <w:t>indicates that the wider council can substitute its own judgment for that of the more local council. </w:t>
      </w:r>
      <w:r>
        <w:rPr>
          <w:rFonts w:ascii="Stone Sans II ITC Std Bk" w:hAnsi="Stone Sans II ITC Std Bk"/>
          <w:b/>
          <w:w w:val="120"/>
          <w:sz w:val="20"/>
        </w:rPr>
        <w:t>Constitutional </w:t>
      </w:r>
      <w:r>
        <w:rPr>
          <w:rFonts w:ascii="Stone Sans II ITC Std Bk" w:hAnsi="Stone Sans II ITC Std Bk"/>
          <w:b/>
          <w:spacing w:val="-3"/>
          <w:w w:val="120"/>
          <w:sz w:val="20"/>
        </w:rPr>
        <w:t>review</w:t>
      </w:r>
      <w:r>
        <w:rPr>
          <w:spacing w:val="-3"/>
          <w:w w:val="120"/>
          <w:sz w:val="20"/>
        </w:rPr>
        <w:t>, </w:t>
      </w:r>
      <w:r>
        <w:rPr>
          <w:w w:val="120"/>
          <w:sz w:val="20"/>
        </w:rPr>
        <w:t>on the other hand, is not about the rights and wrongs of policy: it is about a more local council arrogating a wider council’s power   to itself without authority, or taking action contrary to the Basis of Union, Structure of the URC or a binding resolution of Assembly. Here there is no question of substituting a decision: the outcome of a successful review application is simply that the lower </w:t>
      </w:r>
      <w:r>
        <w:rPr>
          <w:spacing w:val="-3"/>
          <w:w w:val="120"/>
          <w:sz w:val="20"/>
        </w:rPr>
        <w:t>council’s </w:t>
      </w:r>
      <w:r>
        <w:rPr>
          <w:w w:val="120"/>
          <w:sz w:val="20"/>
        </w:rPr>
        <w:t>decision is declared a</w:t>
      </w:r>
      <w:r>
        <w:rPr>
          <w:spacing w:val="15"/>
          <w:w w:val="120"/>
          <w:sz w:val="20"/>
        </w:rPr>
        <w:t> </w:t>
      </w:r>
      <w:r>
        <w:rPr>
          <w:w w:val="120"/>
          <w:sz w:val="20"/>
        </w:rPr>
        <w:t>nullity.</w:t>
      </w:r>
    </w:p>
    <w:p>
      <w:pPr>
        <w:pStyle w:val="BodyText"/>
        <w:spacing w:before="1"/>
        <w:rPr>
          <w:sz w:val="22"/>
        </w:rPr>
      </w:pPr>
    </w:p>
    <w:p>
      <w:pPr>
        <w:spacing w:before="1"/>
        <w:ind w:left="547" w:right="0" w:firstLine="0"/>
        <w:jc w:val="left"/>
        <w:rPr>
          <w:rFonts w:ascii="Stone Sans II ITC Std Bk"/>
          <w:b/>
          <w:sz w:val="29"/>
        </w:rPr>
      </w:pPr>
      <w:r>
        <w:rPr>
          <w:rFonts w:ascii="Stone Sans II ITC Std Bk"/>
          <w:b/>
          <w:w w:val="110"/>
          <w:sz w:val="29"/>
        </w:rPr>
        <w:t>Resolution</w:t>
      </w:r>
    </w:p>
    <w:p>
      <w:pPr>
        <w:pStyle w:val="ListParagraph"/>
        <w:numPr>
          <w:ilvl w:val="0"/>
          <w:numId w:val="13"/>
        </w:numPr>
        <w:tabs>
          <w:tab w:pos="1227" w:val="left" w:leader="none"/>
          <w:tab w:pos="1228" w:val="left" w:leader="none"/>
        </w:tabs>
        <w:spacing w:line="235" w:lineRule="auto" w:before="69" w:after="0"/>
        <w:ind w:left="547" w:right="2842" w:firstLine="0"/>
        <w:jc w:val="left"/>
        <w:rPr>
          <w:sz w:val="20"/>
        </w:rPr>
      </w:pPr>
      <w:r>
        <w:rPr/>
        <w:pict>
          <v:group style="position:absolute;margin-left:58.819pt;margin-top:34.728745pt;width:520.2pt;height:396.15pt;mso-position-horizontal-relative:page;mso-position-vertical-relative:paragraph;z-index:-268053504" coordorigin="1176,695" coordsize="10404,7923">
            <v:rect style="position:absolute;left:1295;top:867;width:9317;height:7486" filled="false" stroked="true" strokeweight="1pt" strokecolor="#000000">
              <v:stroke dashstyle="solid"/>
            </v:rect>
            <v:shape style="position:absolute;left:1176;top:694;width:10404;height:7923" coordorigin="1176,695" coordsize="10404,7923" path="m11509,7880l1176,7880,1176,8617,11509,8617,11509,7880m11580,695l1247,695,1247,1077,11580,1077,11580,695e" filled="true" fillcolor="#ffffff" stroked="false">
              <v:path arrowok="t"/>
              <v:fill type="solid"/>
            </v:shape>
            <w10:wrap type="none"/>
          </v:group>
        </w:pict>
      </w:r>
      <w:r>
        <w:rPr>
          <w:w w:val="120"/>
          <w:sz w:val="20"/>
        </w:rPr>
        <w:t>The following new wording is therefore proposed for Paragraph 5 of the Structure of the</w:t>
      </w:r>
      <w:r>
        <w:rPr>
          <w:spacing w:val="6"/>
          <w:w w:val="120"/>
          <w:sz w:val="20"/>
        </w:rPr>
        <w:t> </w:t>
      </w:r>
      <w:r>
        <w:rPr>
          <w:w w:val="120"/>
          <w:sz w:val="20"/>
        </w:rPr>
        <w:t>URC:</w:t>
      </w:r>
    </w:p>
    <w:p>
      <w:pPr>
        <w:pStyle w:val="BodyText"/>
        <w:rPr>
          <w:sz w:val="24"/>
        </w:rPr>
      </w:pPr>
    </w:p>
    <w:p>
      <w:pPr>
        <w:pStyle w:val="BodyText"/>
        <w:spacing w:before="9"/>
        <w:rPr>
          <w:sz w:val="17"/>
        </w:rPr>
      </w:pPr>
    </w:p>
    <w:p>
      <w:pPr>
        <w:spacing w:before="1"/>
        <w:ind w:left="1000" w:right="0" w:firstLine="0"/>
        <w:jc w:val="left"/>
        <w:rPr>
          <w:rFonts w:ascii="Stone Sans II ITC Std Bk"/>
          <w:b/>
          <w:sz w:val="29"/>
        </w:rPr>
      </w:pPr>
      <w:r>
        <w:rPr>
          <w:rFonts w:ascii="Stone Sans II ITC Std Bk"/>
          <w:b/>
          <w:w w:val="110"/>
          <w:sz w:val="29"/>
        </w:rPr>
        <w:t>Structure of the URC</w:t>
      </w:r>
    </w:p>
    <w:p>
      <w:pPr>
        <w:pStyle w:val="Heading7"/>
        <w:numPr>
          <w:ilvl w:val="1"/>
          <w:numId w:val="13"/>
        </w:numPr>
        <w:tabs>
          <w:tab w:pos="1887" w:val="left" w:leader="none"/>
          <w:tab w:pos="1888" w:val="left" w:leader="none"/>
        </w:tabs>
        <w:spacing w:line="261" w:lineRule="exact" w:before="52" w:after="0"/>
        <w:ind w:left="1887" w:right="0" w:hanging="888"/>
        <w:jc w:val="left"/>
      </w:pPr>
      <w:r>
        <w:rPr>
          <w:w w:val="110"/>
        </w:rPr>
        <w:t>Appeal, Reference and Constitutional</w:t>
      </w:r>
      <w:r>
        <w:rPr>
          <w:spacing w:val="-2"/>
          <w:w w:val="110"/>
        </w:rPr>
        <w:t> </w:t>
      </w:r>
      <w:r>
        <w:rPr>
          <w:w w:val="110"/>
        </w:rPr>
        <w:t>Review</w:t>
      </w:r>
    </w:p>
    <w:p>
      <w:pPr>
        <w:pStyle w:val="ListParagraph"/>
        <w:numPr>
          <w:ilvl w:val="2"/>
          <w:numId w:val="13"/>
        </w:numPr>
        <w:tabs>
          <w:tab w:pos="1887" w:val="left" w:leader="none"/>
          <w:tab w:pos="1888" w:val="left" w:leader="none"/>
        </w:tabs>
        <w:spacing w:line="235" w:lineRule="auto" w:before="0" w:after="0"/>
        <w:ind w:left="1000" w:right="1986" w:firstLine="0"/>
        <w:jc w:val="left"/>
        <w:rPr>
          <w:sz w:val="20"/>
        </w:rPr>
      </w:pPr>
      <w:r>
        <w:rPr>
          <w:w w:val="120"/>
          <w:sz w:val="20"/>
        </w:rPr>
        <w:t>Any decision of a Church Meeting within an area of ecumenical  experiment may be taken by way of appeal to the area meeting. A decision of any other Church Meeting may be taken by way of appeal to the synod on which the local church concerned is represented. Any decision of an ecumenical area meeting having implications for the United Reformed Church or any </w:t>
      </w:r>
      <w:r>
        <w:rPr>
          <w:spacing w:val="2"/>
          <w:w w:val="120"/>
          <w:sz w:val="20"/>
        </w:rPr>
        <w:t>part </w:t>
      </w:r>
      <w:r>
        <w:rPr>
          <w:w w:val="120"/>
          <w:sz w:val="20"/>
        </w:rPr>
        <w:t>thereof</w:t>
      </w:r>
      <w:r>
        <w:rPr>
          <w:spacing w:val="27"/>
          <w:w w:val="120"/>
          <w:sz w:val="20"/>
        </w:rPr>
        <w:t> </w:t>
      </w:r>
      <w:r>
        <w:rPr>
          <w:w w:val="120"/>
          <w:sz w:val="20"/>
        </w:rPr>
        <w:t>may</w:t>
      </w:r>
    </w:p>
    <w:p>
      <w:pPr>
        <w:pStyle w:val="BodyText"/>
        <w:spacing w:line="235" w:lineRule="auto"/>
        <w:ind w:left="1000" w:right="2419"/>
      </w:pPr>
      <w:r>
        <w:rPr>
          <w:w w:val="120"/>
        </w:rPr>
        <w:t>be taken by way of appeal to the synod on which local churches in the area are represented. Any decision of a synod may be taken by way of appeal to the General Assembly.</w:t>
      </w:r>
    </w:p>
    <w:p>
      <w:pPr>
        <w:pStyle w:val="BodyText"/>
        <w:spacing w:before="9"/>
        <w:rPr>
          <w:sz w:val="19"/>
        </w:rPr>
      </w:pPr>
    </w:p>
    <w:p>
      <w:pPr>
        <w:pStyle w:val="ListParagraph"/>
        <w:numPr>
          <w:ilvl w:val="2"/>
          <w:numId w:val="13"/>
        </w:numPr>
        <w:tabs>
          <w:tab w:pos="1887" w:val="left" w:leader="none"/>
          <w:tab w:pos="1888" w:val="left" w:leader="none"/>
        </w:tabs>
        <w:spacing w:line="235" w:lineRule="auto" w:before="0" w:after="0"/>
        <w:ind w:left="1000" w:right="2109" w:firstLine="0"/>
        <w:jc w:val="left"/>
        <w:rPr>
          <w:sz w:val="20"/>
        </w:rPr>
      </w:pPr>
      <w:r>
        <w:rPr>
          <w:w w:val="120"/>
          <w:sz w:val="20"/>
        </w:rPr>
        <w:t>A Church Meeting may itself refer any dispute or difference arising within the local church for resolution by the synod. An ecumenical area meeting may refer any dispute or difference arising within the area for resolution by the synod. A synod may refer any dispute or difference arising within the province or nation under its oversight for resolution by the General</w:t>
      </w:r>
      <w:r>
        <w:rPr>
          <w:spacing w:val="18"/>
          <w:w w:val="120"/>
          <w:sz w:val="20"/>
        </w:rPr>
        <w:t> </w:t>
      </w:r>
      <w:r>
        <w:rPr>
          <w:w w:val="120"/>
          <w:sz w:val="20"/>
        </w:rPr>
        <w:t>Assembly.</w:t>
      </w:r>
    </w:p>
    <w:p>
      <w:pPr>
        <w:pStyle w:val="BodyText"/>
        <w:spacing w:before="12"/>
        <w:rPr>
          <w:sz w:val="19"/>
        </w:rPr>
      </w:pPr>
    </w:p>
    <w:p>
      <w:pPr>
        <w:pStyle w:val="ListParagraph"/>
        <w:numPr>
          <w:ilvl w:val="2"/>
          <w:numId w:val="13"/>
        </w:numPr>
        <w:tabs>
          <w:tab w:pos="1887" w:val="left" w:leader="none"/>
          <w:tab w:pos="1888" w:val="left" w:leader="none"/>
        </w:tabs>
        <w:spacing w:line="235" w:lineRule="auto" w:before="0" w:after="0"/>
        <w:ind w:left="1000" w:right="2014" w:firstLine="0"/>
        <w:jc w:val="left"/>
        <w:rPr>
          <w:sz w:val="20"/>
        </w:rPr>
      </w:pPr>
      <w:r>
        <w:rPr>
          <w:w w:val="120"/>
          <w:sz w:val="20"/>
        </w:rPr>
        <w:t>The synod may declare any decision of a Church Meeting within the province or nation under its oversight, or any decision of an ecumenical area meeting within that province or nation having implications for the United  Reformed Church or any </w:t>
      </w:r>
      <w:r>
        <w:rPr>
          <w:spacing w:val="2"/>
          <w:w w:val="120"/>
          <w:sz w:val="20"/>
        </w:rPr>
        <w:t>part </w:t>
      </w:r>
      <w:r>
        <w:rPr>
          <w:w w:val="120"/>
          <w:sz w:val="20"/>
        </w:rPr>
        <w:t>thereof, which is </w:t>
      </w:r>
      <w:r>
        <w:rPr>
          <w:spacing w:val="-6"/>
          <w:w w:val="120"/>
          <w:sz w:val="20"/>
        </w:rPr>
        <w:t>(or </w:t>
      </w:r>
      <w:r>
        <w:rPr>
          <w:w w:val="120"/>
          <w:sz w:val="20"/>
        </w:rPr>
        <w:t>has been reached by a procedure) incompatible with the Basis of Union, the Structure of the URC, the constitution of the ecumenical area (where applicable) or any rule or resolution of Assembly binding on the local church or the ecumenical area to be a nullity. The General Assembly may declare any decision of a Synod to be a nullity on analogous grounds. The review of any decision with a view to declaring it a nullity shall be known as constitutional</w:t>
      </w:r>
      <w:r>
        <w:rPr>
          <w:spacing w:val="5"/>
          <w:w w:val="120"/>
          <w:sz w:val="20"/>
        </w:rPr>
        <w:t> </w:t>
      </w:r>
      <w:r>
        <w:rPr>
          <w:w w:val="120"/>
          <w:sz w:val="20"/>
        </w:rPr>
        <w:t>review.</w:t>
      </w:r>
    </w:p>
    <w:p>
      <w:pPr>
        <w:spacing w:after="0" w:line="235" w:lineRule="auto"/>
        <w:jc w:val="left"/>
        <w:rPr>
          <w:sz w:val="20"/>
        </w:rPr>
        <w:sectPr>
          <w:headerReference w:type="even" r:id="rId110"/>
          <w:pgSz w:w="11910" w:h="16840"/>
          <w:pgMar w:header="0" w:footer="647" w:top="0" w:bottom="840" w:left="700" w:right="0"/>
        </w:sectPr>
      </w:pPr>
    </w:p>
    <w:p>
      <w:pPr>
        <w:spacing w:before="94"/>
        <w:ind w:left="0" w:right="1245" w:firstLine="0"/>
        <w:jc w:val="right"/>
        <w:rPr>
          <w:sz w:val="26"/>
        </w:rPr>
      </w:pPr>
      <w:r>
        <w:rPr/>
        <w:pict>
          <v:group style="position:absolute;margin-left:32.592999pt;margin-top:.000015pt;width:562.7pt;height:841.9pt;mso-position-horizontal-relative:page;mso-position-vertical-relative:page;z-index:-268051456" coordorigin="652,0" coordsize="11254,16838">
            <v:rect style="position:absolute;left:2022;top:1007;width:9317;height:3320" filled="false" stroked="true" strokeweight="1pt" strokecolor="#000000">
              <v:stroke dashstyle="solid"/>
            </v:rect>
            <v:shape style="position:absolute;left:10984;top:0;width:922;height:16838" type="#_x0000_t75" stroked="false">
              <v:imagedata r:id="rId34" o:title=""/>
            </v:shape>
            <v:shape style="position:absolute;left:651;top:963;width:10333;height:3412" coordorigin="652,964" coordsize="10333,3412" path="m10984,3837l652,3837,652,4375,10984,4375,10984,3837m10984,964l652,964,652,1134,10984,1134,10984,964e" filled="true" fillcolor="#ffffff" stroked="false">
              <v:path arrowok="t"/>
              <v:fill type="solid"/>
            </v:shape>
            <w10:wrap type="none"/>
          </v:group>
        </w:pict>
      </w:r>
      <w:r>
        <w:rPr/>
        <w:pict>
          <v:shape style="position:absolute;margin-left:554.141174pt;margin-top:21.993946pt;width:25.9pt;height:234.95pt;mso-position-horizontal-relative:page;mso-position-vertical-relative:paragraph;z-index:251719680" type="#_x0000_t202" filled="false" stroked="false">
            <v:textbox inset="0,0,0,0" style="layout-flow:vertical">
              <w:txbxContent>
                <w:p>
                  <w:pPr>
                    <w:spacing w:before="27"/>
                    <w:ind w:left="20" w:right="0" w:firstLine="0"/>
                    <w:jc w:val="left"/>
                    <w:rPr>
                      <w:sz w:val="39"/>
                    </w:rPr>
                  </w:pPr>
                  <w:r>
                    <w:rPr>
                      <w:color w:val="FFFFFF"/>
                      <w:w w:val="125"/>
                      <w:sz w:val="39"/>
                    </w:rPr>
                    <w:t>Councils of the Church</w:t>
                  </w:r>
                </w:p>
              </w:txbxContent>
            </v:textbox>
            <w10:wrap type="none"/>
          </v:shape>
        </w:pict>
      </w:r>
      <w:r>
        <w:rPr>
          <w:color w:val="7EAABF"/>
          <w:w w:val="120"/>
          <w:sz w:val="26"/>
        </w:rPr>
        <w:t>Mission Council</w:t>
      </w:r>
    </w:p>
    <w:p>
      <w:pPr>
        <w:pStyle w:val="ListParagraph"/>
        <w:numPr>
          <w:ilvl w:val="2"/>
          <w:numId w:val="13"/>
        </w:numPr>
        <w:tabs>
          <w:tab w:pos="2624" w:val="left" w:leader="none"/>
          <w:tab w:pos="2625" w:val="left" w:leader="none"/>
        </w:tabs>
        <w:spacing w:line="235" w:lineRule="auto" w:before="221" w:after="0"/>
        <w:ind w:left="1737" w:right="1617" w:firstLine="0"/>
        <w:jc w:val="left"/>
        <w:rPr>
          <w:sz w:val="20"/>
        </w:rPr>
      </w:pPr>
      <w:r>
        <w:rPr>
          <w:w w:val="120"/>
          <w:sz w:val="20"/>
        </w:rPr>
        <w:t>Appeals, references and constitutional review under this paragraph shall be subject to conditions and processes laid down by the Assembly in Rules of Procedure, which shall allow scope for the subject-matter of an appeal</w:t>
      </w:r>
      <w:r>
        <w:rPr>
          <w:spacing w:val="7"/>
          <w:w w:val="120"/>
          <w:sz w:val="20"/>
        </w:rPr>
        <w:t> </w:t>
      </w:r>
      <w:r>
        <w:rPr>
          <w:w w:val="120"/>
          <w:sz w:val="20"/>
        </w:rPr>
        <w:t>to</w:t>
      </w:r>
    </w:p>
    <w:p>
      <w:pPr>
        <w:pStyle w:val="BodyText"/>
        <w:spacing w:line="235" w:lineRule="auto" w:before="2"/>
        <w:ind w:left="1737" w:right="1529"/>
      </w:pPr>
      <w:r>
        <w:rPr>
          <w:w w:val="120"/>
        </w:rPr>
        <w:t>be resolved by mediation where appropriate. A wider council determining an appeal or reference may either substitute its own decision for that of the more local council, or remit the issue to the more local council for reconsideration. No procedure governed by this paragraph shall be used to review decisions reached under the ministerial disciplinary process or the incapacity procedure.</w:t>
      </w:r>
    </w:p>
    <w:p>
      <w:pPr>
        <w:pStyle w:val="BodyText"/>
      </w:pPr>
    </w:p>
    <w:p>
      <w:pPr>
        <w:pStyle w:val="ListParagraph"/>
        <w:numPr>
          <w:ilvl w:val="2"/>
          <w:numId w:val="13"/>
        </w:numPr>
        <w:tabs>
          <w:tab w:pos="2624" w:val="left" w:leader="none"/>
          <w:tab w:pos="2625" w:val="left" w:leader="none"/>
        </w:tabs>
        <w:spacing w:line="235" w:lineRule="auto" w:before="0" w:after="0"/>
        <w:ind w:left="1737" w:right="1549" w:firstLine="0"/>
        <w:jc w:val="left"/>
        <w:rPr>
          <w:sz w:val="20"/>
        </w:rPr>
      </w:pPr>
      <w:r>
        <w:rPr>
          <w:w w:val="120"/>
          <w:sz w:val="20"/>
        </w:rPr>
        <w:t>The decision of the General Assembly on any matter which has come before it on appeal, reference or constitutional review shall be final and</w:t>
      </w:r>
      <w:r>
        <w:rPr>
          <w:spacing w:val="47"/>
          <w:w w:val="120"/>
          <w:sz w:val="20"/>
        </w:rPr>
        <w:t> </w:t>
      </w:r>
      <w:r>
        <w:rPr>
          <w:w w:val="120"/>
          <w:sz w:val="20"/>
        </w:rPr>
        <w:t>binding.</w:t>
      </w:r>
    </w:p>
    <w:p>
      <w:pPr>
        <w:spacing w:after="0" w:line="235" w:lineRule="auto"/>
        <w:jc w:val="left"/>
        <w:rPr>
          <w:sz w:val="20"/>
        </w:rPr>
        <w:sectPr>
          <w:headerReference w:type="default" r:id="rId111"/>
          <w:footerReference w:type="default" r:id="rId112"/>
          <w:footerReference w:type="even" r:id="rId113"/>
          <w:pgSz w:w="11910" w:h="16840"/>
          <w:pgMar w:header="0" w:footer="647" w:top="520" w:bottom="840" w:left="700" w:right="0"/>
          <w:pgNumType w:start="23"/>
        </w:sectPr>
      </w:pPr>
    </w:p>
    <w:p>
      <w:pPr>
        <w:pStyle w:val="BodyText"/>
      </w:pPr>
      <w:r>
        <w:rPr/>
        <w:drawing>
          <wp:anchor distT="0" distB="0" distL="0" distR="0" allowOverlap="1" layoutInCell="1" locked="0" behindDoc="1" simplePos="0" relativeHeight="235267072">
            <wp:simplePos x="0" y="0"/>
            <wp:positionH relativeFrom="page">
              <wp:posOffset>0</wp:posOffset>
            </wp:positionH>
            <wp:positionV relativeFrom="page">
              <wp:posOffset>0</wp:posOffset>
            </wp:positionV>
            <wp:extent cx="594067" cy="10692003"/>
            <wp:effectExtent l="0" t="0" r="0" b="0"/>
            <wp:wrapNone/>
            <wp:docPr id="37" name="image51.png"/>
            <wp:cNvGraphicFramePr>
              <a:graphicFrameLocks noChangeAspect="1"/>
            </wp:cNvGraphicFramePr>
            <a:graphic>
              <a:graphicData uri="http://schemas.openxmlformats.org/drawingml/2006/picture">
                <pic:pic>
                  <pic:nvPicPr>
                    <pic:cNvPr id="38" name="image51.png"/>
                    <pic:cNvPicPr/>
                  </pic:nvPicPr>
                  <pic:blipFill>
                    <a:blip r:embed="rId64" cstate="print"/>
                    <a:stretch>
                      <a:fillRect/>
                    </a:stretch>
                  </pic:blipFill>
                  <pic:spPr>
                    <a:xfrm>
                      <a:off x="0" y="0"/>
                      <a:ext cx="594067" cy="10692003"/>
                    </a:xfrm>
                    <a:prstGeom prst="rect">
                      <a:avLst/>
                    </a:prstGeom>
                  </pic:spPr>
                </pic:pic>
              </a:graphicData>
            </a:graphic>
          </wp:anchor>
        </w:drawing>
      </w:r>
      <w:r>
        <w:rPr/>
        <w:pict>
          <v:line style="position:absolute;mso-position-horizontal-relative:page;mso-position-vertical-relative:page;z-index:251721728" from="595.276001pt,.000015pt" to="595.276001pt,841.890015pt" stroked="true" strokeweight="0pt" strokecolor="#fef4df">
            <v:stroke dashstyle="solid"/>
            <w10:wrap type="none"/>
          </v:line>
        </w:pict>
      </w:r>
      <w:r>
        <w:rPr/>
        <w:pict>
          <v:shape style="position:absolute;margin-left:20.519100pt;margin-top:48.890015pt;width:25.9pt;height:308.95pt;mso-position-horizontal-relative:page;mso-position-vertical-relative:page;z-index:-268047360" type="#_x0000_t202" filled="false" stroked="false">
            <v:textbox inset="0,0,0,0" style="layout-flow:vertical">
              <w:txbxContent>
                <w:p>
                  <w:pPr>
                    <w:spacing w:before="27"/>
                    <w:ind w:left="20" w:right="0" w:firstLine="0"/>
                    <w:jc w:val="left"/>
                    <w:rPr>
                      <w:sz w:val="39"/>
                    </w:rPr>
                  </w:pPr>
                  <w:r>
                    <w:rPr>
                      <w:color w:val="FFFFFF"/>
                      <w:spacing w:val="9"/>
                      <w:w w:val="120"/>
                      <w:sz w:val="39"/>
                    </w:rPr>
                    <w:t>Resolutions </w:t>
                  </w:r>
                  <w:r>
                    <w:rPr>
                      <w:color w:val="FFFFFF"/>
                      <w:spacing w:val="8"/>
                      <w:w w:val="120"/>
                      <w:sz w:val="39"/>
                    </w:rPr>
                    <w:t>referred </w:t>
                  </w:r>
                  <w:r>
                    <w:rPr>
                      <w:color w:val="FFFFFF"/>
                      <w:spacing w:val="3"/>
                      <w:w w:val="120"/>
                      <w:sz w:val="39"/>
                    </w:rPr>
                    <w:t>to</w:t>
                  </w:r>
                  <w:r>
                    <w:rPr>
                      <w:color w:val="FFFFFF"/>
                      <w:spacing w:val="57"/>
                      <w:w w:val="120"/>
                      <w:sz w:val="39"/>
                    </w:rPr>
                    <w:t> </w:t>
                  </w:r>
                  <w:r>
                    <w:rPr>
                      <w:color w:val="FFFFFF"/>
                      <w:spacing w:val="11"/>
                      <w:w w:val="120"/>
                      <w:sz w:val="39"/>
                    </w:rPr>
                    <w:t>synods</w:t>
                  </w:r>
                </w:p>
              </w:txbxContent>
            </v:textbox>
            <w10:wrap type="none"/>
          </v:shape>
        </w:pict>
      </w:r>
    </w:p>
    <w:p>
      <w:pPr>
        <w:pStyle w:val="BodyText"/>
        <w:spacing w:before="7"/>
        <w:rPr>
          <w:sz w:val="21"/>
        </w:rPr>
      </w:pPr>
    </w:p>
    <w:p>
      <w:pPr>
        <w:spacing w:before="106"/>
        <w:ind w:left="547" w:right="0" w:firstLine="0"/>
        <w:jc w:val="left"/>
        <w:rPr>
          <w:sz w:val="26"/>
        </w:rPr>
      </w:pPr>
      <w:r>
        <w:rPr>
          <w:color w:val="7EAABF"/>
          <w:w w:val="120"/>
          <w:sz w:val="26"/>
        </w:rPr>
        <w:t>Mission Council</w:t>
      </w:r>
    </w:p>
    <w:p>
      <w:pPr>
        <w:pStyle w:val="BodyText"/>
        <w:spacing w:before="7"/>
        <w:rPr>
          <w:sz w:val="45"/>
        </w:rPr>
      </w:pPr>
    </w:p>
    <w:p>
      <w:pPr>
        <w:spacing w:line="213" w:lineRule="auto" w:before="0"/>
        <w:ind w:left="547" w:right="2419" w:firstLine="0"/>
        <w:jc w:val="left"/>
        <w:rPr>
          <w:rFonts w:ascii="Stone Sans II ITC Std X Bd"/>
          <w:b/>
          <w:sz w:val="50"/>
        </w:rPr>
      </w:pPr>
      <w:r>
        <w:rPr>
          <w:rFonts w:ascii="Stone Sans II ITC Std X Bd"/>
          <w:b/>
          <w:spacing w:val="-10"/>
          <w:w w:val="110"/>
          <w:sz w:val="50"/>
        </w:rPr>
        <w:t>Resolutions </w:t>
      </w:r>
      <w:r>
        <w:rPr>
          <w:rFonts w:ascii="Stone Sans II ITC Std X Bd"/>
          <w:b/>
          <w:spacing w:val="-9"/>
          <w:w w:val="110"/>
          <w:sz w:val="50"/>
        </w:rPr>
        <w:t>referred </w:t>
      </w:r>
      <w:r>
        <w:rPr>
          <w:rFonts w:ascii="Stone Sans II ITC Std X Bd"/>
          <w:b/>
          <w:spacing w:val="-10"/>
          <w:w w:val="110"/>
          <w:sz w:val="50"/>
        </w:rPr>
        <w:t>to </w:t>
      </w:r>
      <w:r>
        <w:rPr>
          <w:rFonts w:ascii="Stone Sans II ITC Std X Bd"/>
          <w:b/>
          <w:spacing w:val="-8"/>
          <w:w w:val="110"/>
          <w:sz w:val="50"/>
        </w:rPr>
        <w:t>synods </w:t>
      </w:r>
      <w:r>
        <w:rPr>
          <w:rFonts w:ascii="Stone Sans II ITC Std X Bd"/>
          <w:b/>
          <w:spacing w:val="-16"/>
          <w:w w:val="110"/>
          <w:sz w:val="50"/>
        </w:rPr>
        <w:t>(preface)</w:t>
      </w:r>
    </w:p>
    <w:p>
      <w:pPr>
        <w:pStyle w:val="BodyText"/>
        <w:rPr>
          <w:rFonts w:ascii="Stone Sans II ITC Std X Bd"/>
          <w:b/>
          <w:sz w:val="46"/>
        </w:rPr>
      </w:pPr>
    </w:p>
    <w:p>
      <w:pPr>
        <w:pStyle w:val="ListParagraph"/>
        <w:numPr>
          <w:ilvl w:val="0"/>
          <w:numId w:val="14"/>
        </w:numPr>
        <w:tabs>
          <w:tab w:pos="1227" w:val="left" w:leader="none"/>
          <w:tab w:pos="1228" w:val="left" w:leader="none"/>
        </w:tabs>
        <w:spacing w:line="235" w:lineRule="auto" w:before="0" w:after="0"/>
        <w:ind w:left="547" w:right="2121" w:firstLine="0"/>
        <w:jc w:val="left"/>
        <w:rPr>
          <w:sz w:val="20"/>
        </w:rPr>
      </w:pPr>
      <w:r>
        <w:rPr>
          <w:w w:val="120"/>
          <w:sz w:val="20"/>
        </w:rPr>
        <w:t>In </w:t>
      </w:r>
      <w:r>
        <w:rPr>
          <w:spacing w:val="-7"/>
          <w:w w:val="120"/>
          <w:sz w:val="20"/>
        </w:rPr>
        <w:t>2015 </w:t>
      </w:r>
      <w:r>
        <w:rPr>
          <w:w w:val="120"/>
          <w:sz w:val="20"/>
        </w:rPr>
        <w:t>four resolutions were referred from Mission Council or General Assembly to the Synods of the Church. This paper </w:t>
      </w:r>
      <w:r>
        <w:rPr>
          <w:spacing w:val="2"/>
          <w:w w:val="120"/>
          <w:sz w:val="20"/>
        </w:rPr>
        <w:t>reports </w:t>
      </w:r>
      <w:r>
        <w:rPr>
          <w:w w:val="120"/>
          <w:sz w:val="20"/>
        </w:rPr>
        <w:t>that one of the resolutions has completed due process and received final approval. It also </w:t>
      </w:r>
      <w:r>
        <w:rPr>
          <w:spacing w:val="2"/>
          <w:w w:val="120"/>
          <w:sz w:val="20"/>
        </w:rPr>
        <w:t>reports </w:t>
      </w:r>
      <w:r>
        <w:rPr>
          <w:w w:val="120"/>
          <w:sz w:val="20"/>
        </w:rPr>
        <w:t>on the Synods’ responses to the other three resolutions, and brings these three resolutions forward so that Assembly may consider giving final approval to the measures they</w:t>
      </w:r>
      <w:r>
        <w:rPr>
          <w:spacing w:val="31"/>
          <w:w w:val="120"/>
          <w:sz w:val="20"/>
        </w:rPr>
        <w:t> </w:t>
      </w:r>
      <w:r>
        <w:rPr>
          <w:w w:val="120"/>
          <w:sz w:val="20"/>
        </w:rPr>
        <w:t>propose.</w:t>
      </w:r>
    </w:p>
    <w:p>
      <w:pPr>
        <w:pStyle w:val="BodyText"/>
        <w:spacing w:before="12"/>
        <w:rPr>
          <w:sz w:val="19"/>
        </w:rPr>
      </w:pPr>
    </w:p>
    <w:p>
      <w:pPr>
        <w:pStyle w:val="ListParagraph"/>
        <w:numPr>
          <w:ilvl w:val="0"/>
          <w:numId w:val="14"/>
        </w:numPr>
        <w:tabs>
          <w:tab w:pos="1227" w:val="left" w:leader="none"/>
          <w:tab w:pos="1228" w:val="left" w:leader="none"/>
        </w:tabs>
        <w:spacing w:line="235" w:lineRule="auto" w:before="0" w:after="0"/>
        <w:ind w:left="547" w:right="1953" w:firstLine="0"/>
        <w:jc w:val="left"/>
        <w:rPr>
          <w:sz w:val="20"/>
        </w:rPr>
      </w:pPr>
      <w:r>
        <w:rPr>
          <w:w w:val="120"/>
          <w:sz w:val="20"/>
        </w:rPr>
        <w:t>In each case the process for decision is set out in Paragraph </w:t>
      </w:r>
      <w:r>
        <w:rPr>
          <w:spacing w:val="-9"/>
          <w:w w:val="120"/>
          <w:sz w:val="20"/>
        </w:rPr>
        <w:t>3(1) </w:t>
      </w:r>
      <w:r>
        <w:rPr>
          <w:w w:val="120"/>
          <w:sz w:val="20"/>
        </w:rPr>
        <w:t>of the Structure of the Church, which can be found on page </w:t>
      </w:r>
      <w:r>
        <w:rPr>
          <w:spacing w:val="-4"/>
          <w:w w:val="120"/>
          <w:sz w:val="20"/>
        </w:rPr>
        <w:t>32 </w:t>
      </w:r>
      <w:r>
        <w:rPr>
          <w:w w:val="120"/>
          <w:sz w:val="20"/>
        </w:rPr>
        <w:t>of the </w:t>
      </w:r>
      <w:r>
        <w:rPr>
          <w:spacing w:val="-7"/>
          <w:w w:val="120"/>
          <w:sz w:val="20"/>
        </w:rPr>
        <w:t>2015 </w:t>
      </w:r>
      <w:r>
        <w:rPr>
          <w:w w:val="120"/>
          <w:sz w:val="20"/>
        </w:rPr>
        <w:t>Assembly </w:t>
      </w:r>
      <w:r>
        <w:rPr>
          <w:spacing w:val="2"/>
          <w:w w:val="120"/>
          <w:sz w:val="20"/>
        </w:rPr>
        <w:t>Reports</w:t>
      </w:r>
      <w:hyperlink r:id="rId115">
        <w:r>
          <w:rPr>
            <w:color w:val="006AB3"/>
            <w:spacing w:val="2"/>
            <w:w w:val="120"/>
            <w:sz w:val="20"/>
          </w:rPr>
          <w:t> </w:t>
        </w:r>
        <w:r>
          <w:rPr>
            <w:color w:val="006AB3"/>
            <w:spacing w:val="-1"/>
            <w:w w:val="120"/>
            <w:sz w:val="20"/>
          </w:rPr>
          <w:t>http://urc.org.uk/images/General-Assemblies/Assembly-2015/GA-papers-JUNE-2015.pdf</w:t>
        </w:r>
      </w:hyperlink>
      <w:r>
        <w:rPr>
          <w:color w:val="006AB3"/>
          <w:spacing w:val="-1"/>
          <w:w w:val="120"/>
          <w:sz w:val="20"/>
        </w:rPr>
        <w:t>.</w:t>
      </w:r>
      <w:r>
        <w:rPr>
          <w:spacing w:val="-1"/>
          <w:w w:val="120"/>
          <w:sz w:val="20"/>
        </w:rPr>
        <w:t> </w:t>
      </w:r>
      <w:r>
        <w:rPr>
          <w:w w:val="120"/>
          <w:sz w:val="20"/>
        </w:rPr>
        <w:t>Three of the four measures involve changes to the Structure and so require this process, and the fourth </w:t>
      </w:r>
      <w:r>
        <w:rPr>
          <w:spacing w:val="-6"/>
          <w:w w:val="120"/>
          <w:sz w:val="20"/>
        </w:rPr>
        <w:t>(on </w:t>
      </w:r>
      <w:r>
        <w:rPr>
          <w:w w:val="120"/>
          <w:sz w:val="20"/>
        </w:rPr>
        <w:t>the marriage of same-sex </w:t>
      </w:r>
      <w:r>
        <w:rPr>
          <w:spacing w:val="-3"/>
          <w:w w:val="120"/>
          <w:sz w:val="20"/>
        </w:rPr>
        <w:t>couples) </w:t>
      </w:r>
      <w:r>
        <w:rPr>
          <w:w w:val="120"/>
          <w:sz w:val="20"/>
        </w:rPr>
        <w:t>was explicitly assigned to this process by Resolution 5 of the Birmingham Assembly meeting in</w:t>
      </w:r>
      <w:r>
        <w:rPr>
          <w:spacing w:val="36"/>
          <w:w w:val="120"/>
          <w:sz w:val="20"/>
        </w:rPr>
        <w:t> </w:t>
      </w:r>
      <w:r>
        <w:rPr>
          <w:spacing w:val="-7"/>
          <w:w w:val="120"/>
          <w:sz w:val="20"/>
        </w:rPr>
        <w:t>2015.</w:t>
      </w:r>
    </w:p>
    <w:p>
      <w:pPr>
        <w:pStyle w:val="BodyText"/>
      </w:pPr>
    </w:p>
    <w:p>
      <w:pPr>
        <w:pStyle w:val="ListParagraph"/>
        <w:numPr>
          <w:ilvl w:val="0"/>
          <w:numId w:val="14"/>
        </w:numPr>
        <w:tabs>
          <w:tab w:pos="1227" w:val="left" w:leader="none"/>
          <w:tab w:pos="1228" w:val="left" w:leader="none"/>
        </w:tabs>
        <w:spacing w:line="235" w:lineRule="auto" w:before="0" w:after="0"/>
        <w:ind w:left="547" w:right="2319" w:firstLine="0"/>
        <w:jc w:val="left"/>
        <w:rPr>
          <w:sz w:val="20"/>
        </w:rPr>
      </w:pPr>
      <w:r>
        <w:rPr>
          <w:w w:val="120"/>
          <w:sz w:val="20"/>
        </w:rPr>
        <w:t>Thus for each of the three measures that is presented for Assembly decision in </w:t>
      </w:r>
      <w:r>
        <w:rPr>
          <w:spacing w:val="-6"/>
          <w:w w:val="120"/>
          <w:sz w:val="20"/>
        </w:rPr>
        <w:t>2016, </w:t>
      </w:r>
      <w:r>
        <w:rPr>
          <w:w w:val="120"/>
          <w:sz w:val="20"/>
        </w:rPr>
        <w:t>a two-thirds majority would be necessary to effect final</w:t>
      </w:r>
      <w:r>
        <w:rPr>
          <w:spacing w:val="33"/>
          <w:w w:val="120"/>
          <w:sz w:val="20"/>
        </w:rPr>
        <w:t> </w:t>
      </w:r>
      <w:r>
        <w:rPr>
          <w:w w:val="120"/>
          <w:sz w:val="20"/>
        </w:rPr>
        <w:t>approval.</w:t>
      </w:r>
    </w:p>
    <w:p>
      <w:pPr>
        <w:spacing w:after="0" w:line="235" w:lineRule="auto"/>
        <w:jc w:val="left"/>
        <w:rPr>
          <w:sz w:val="20"/>
        </w:rPr>
        <w:sectPr>
          <w:headerReference w:type="even" r:id="rId114"/>
          <w:pgSz w:w="11910" w:h="16840"/>
          <w:pgMar w:header="0" w:footer="647" w:top="0" w:bottom="840" w:left="700" w:right="0"/>
        </w:sectPr>
      </w:pPr>
    </w:p>
    <w:p>
      <w:pPr>
        <w:pStyle w:val="BodyText"/>
      </w:pPr>
      <w:r>
        <w:rPr/>
        <w:pict>
          <v:rect style="position:absolute;margin-left:0pt;margin-top:.000015pt;width:549.207pt;height:841.89pt;mso-position-horizontal-relative:page;mso-position-vertical-relative:page;z-index:-268046336" filled="true" fillcolor="#fef4df" stroked="false">
            <v:fill type="solid"/>
            <w10:wrap type="none"/>
          </v:rect>
        </w:pict>
      </w:r>
      <w:r>
        <w:rPr/>
        <w:drawing>
          <wp:anchor distT="0" distB="0" distL="0" distR="0" allowOverlap="1" layoutInCell="1" locked="0" behindDoc="0" simplePos="0" relativeHeight="251724800">
            <wp:simplePos x="0" y="0"/>
            <wp:positionH relativeFrom="page">
              <wp:posOffset>6974928</wp:posOffset>
            </wp:positionH>
            <wp:positionV relativeFrom="page">
              <wp:posOffset>0</wp:posOffset>
            </wp:positionV>
            <wp:extent cx="585063" cy="10692003"/>
            <wp:effectExtent l="0" t="0" r="0" b="0"/>
            <wp:wrapNone/>
            <wp:docPr id="39" name="image27.png"/>
            <wp:cNvGraphicFramePr>
              <a:graphicFrameLocks noChangeAspect="1"/>
            </wp:cNvGraphicFramePr>
            <a:graphic>
              <a:graphicData uri="http://schemas.openxmlformats.org/drawingml/2006/picture">
                <pic:pic>
                  <pic:nvPicPr>
                    <pic:cNvPr id="40" name="image27.png"/>
                    <pic:cNvPicPr/>
                  </pic:nvPicPr>
                  <pic:blipFill>
                    <a:blip r:embed="rId34" cstate="print"/>
                    <a:stretch>
                      <a:fillRect/>
                    </a:stretch>
                  </pic:blipFill>
                  <pic:spPr>
                    <a:xfrm>
                      <a:off x="0" y="0"/>
                      <a:ext cx="585063" cy="10692003"/>
                    </a:xfrm>
                    <a:prstGeom prst="rect">
                      <a:avLst/>
                    </a:prstGeom>
                  </pic:spPr>
                </pic:pic>
              </a:graphicData>
            </a:graphic>
          </wp:anchor>
        </w:drawing>
      </w:r>
    </w:p>
    <w:p>
      <w:pPr>
        <w:pStyle w:val="BodyText"/>
      </w:pPr>
    </w:p>
    <w:p>
      <w:pPr>
        <w:pStyle w:val="BodyText"/>
      </w:pPr>
    </w:p>
    <w:p>
      <w:pPr>
        <w:spacing w:line="638" w:lineRule="exact" w:before="260"/>
        <w:ind w:left="1057" w:right="0" w:firstLine="0"/>
        <w:jc w:val="left"/>
        <w:rPr>
          <w:rFonts w:ascii="Stone Sans II ITC Std X Bd"/>
          <w:b/>
          <w:sz w:val="50"/>
        </w:rPr>
      </w:pPr>
      <w:r>
        <w:rPr/>
        <w:pict>
          <v:shape style="position:absolute;margin-left:554.141174pt;margin-top:11.36438pt;width:25.9pt;height:347.3pt;mso-position-horizontal-relative:page;mso-position-vertical-relative:paragraph;z-index:251725824" type="#_x0000_t202" filled="false" stroked="false">
            <v:textbox inset="0,0,0,0" style="layout-flow:vertical">
              <w:txbxContent>
                <w:p>
                  <w:pPr>
                    <w:spacing w:before="27"/>
                    <w:ind w:left="20" w:right="0" w:firstLine="0"/>
                    <w:jc w:val="left"/>
                    <w:rPr>
                      <w:sz w:val="39"/>
                    </w:rPr>
                  </w:pPr>
                  <w:r>
                    <w:rPr>
                      <w:color w:val="FFFFFF"/>
                      <w:w w:val="120"/>
                      <w:sz w:val="39"/>
                    </w:rPr>
                    <w:t>Resolutions referred to synods (A)</w:t>
                  </w:r>
                </w:p>
              </w:txbxContent>
            </v:textbox>
            <w10:wrap type="none"/>
          </v:shape>
        </w:pict>
      </w:r>
      <w:r>
        <w:rPr>
          <w:rFonts w:ascii="Stone Sans II ITC Std X Bd"/>
          <w:b/>
          <w:color w:val="F1B400"/>
          <w:w w:val="110"/>
          <w:sz w:val="50"/>
        </w:rPr>
        <w:t>Mission Council:</w:t>
      </w:r>
    </w:p>
    <w:p>
      <w:pPr>
        <w:spacing w:line="213" w:lineRule="auto" w:before="18"/>
        <w:ind w:left="1057" w:right="1899" w:firstLine="0"/>
        <w:jc w:val="left"/>
        <w:rPr>
          <w:rFonts w:ascii="Stone Sans II ITC Std X Bd"/>
          <w:b/>
          <w:sz w:val="50"/>
        </w:rPr>
      </w:pPr>
      <w:r>
        <w:rPr>
          <w:rFonts w:ascii="Stone Sans II ITC Std X Bd"/>
          <w:b/>
          <w:spacing w:val="-10"/>
          <w:w w:val="110"/>
          <w:sz w:val="50"/>
        </w:rPr>
        <w:t>Resolutions </w:t>
      </w:r>
      <w:r>
        <w:rPr>
          <w:rFonts w:ascii="Stone Sans II ITC Std X Bd"/>
          <w:b/>
          <w:spacing w:val="-9"/>
          <w:w w:val="110"/>
          <w:sz w:val="50"/>
        </w:rPr>
        <w:t>referred </w:t>
      </w:r>
      <w:r>
        <w:rPr>
          <w:rFonts w:ascii="Stone Sans II ITC Std X Bd"/>
          <w:b/>
          <w:spacing w:val="-10"/>
          <w:w w:val="110"/>
          <w:sz w:val="50"/>
        </w:rPr>
        <w:t>to </w:t>
      </w:r>
      <w:r>
        <w:rPr>
          <w:rFonts w:ascii="Stone Sans II ITC Std X Bd"/>
          <w:b/>
          <w:spacing w:val="-8"/>
          <w:w w:val="110"/>
          <w:sz w:val="50"/>
        </w:rPr>
        <w:t>synods </w:t>
      </w:r>
      <w:r>
        <w:rPr>
          <w:rFonts w:ascii="Stone Sans II ITC Std X Bd"/>
          <w:b/>
          <w:spacing w:val="-22"/>
          <w:w w:val="110"/>
          <w:sz w:val="50"/>
        </w:rPr>
        <w:t>(A): </w:t>
      </w:r>
      <w:r>
        <w:rPr>
          <w:rFonts w:ascii="Stone Sans II ITC Std X Bd"/>
          <w:b/>
          <w:spacing w:val="-9"/>
          <w:w w:val="110"/>
          <w:sz w:val="50"/>
        </w:rPr>
        <w:t>membership </w:t>
      </w:r>
      <w:r>
        <w:rPr>
          <w:rFonts w:ascii="Stone Sans II ITC Std X Bd"/>
          <w:b/>
          <w:spacing w:val="-5"/>
          <w:w w:val="110"/>
          <w:sz w:val="50"/>
        </w:rPr>
        <w:t>of </w:t>
      </w:r>
      <w:r>
        <w:rPr>
          <w:rFonts w:ascii="Stone Sans II ITC Std X Bd"/>
          <w:b/>
          <w:spacing w:val="-9"/>
          <w:w w:val="110"/>
          <w:sz w:val="50"/>
        </w:rPr>
        <w:t>General </w:t>
      </w:r>
      <w:r>
        <w:rPr>
          <w:rFonts w:ascii="Stone Sans II ITC Std X Bd"/>
          <w:b/>
          <w:spacing w:val="-8"/>
          <w:w w:val="110"/>
          <w:sz w:val="50"/>
        </w:rPr>
        <w:t>Assembly </w:t>
      </w:r>
      <w:r>
        <w:rPr>
          <w:rFonts w:ascii="Stone Sans II ITC Std X Bd"/>
          <w:b/>
          <w:spacing w:val="-7"/>
          <w:w w:val="110"/>
          <w:sz w:val="50"/>
        </w:rPr>
        <w:t>and </w:t>
      </w:r>
      <w:r>
        <w:rPr>
          <w:rFonts w:ascii="Stone Sans II ITC Std X Bd"/>
          <w:b/>
          <w:spacing w:val="-5"/>
          <w:w w:val="110"/>
          <w:sz w:val="50"/>
        </w:rPr>
        <w:t>of </w:t>
      </w:r>
      <w:r>
        <w:rPr>
          <w:rFonts w:ascii="Stone Sans II ITC Std X Bd"/>
          <w:b/>
          <w:spacing w:val="-8"/>
          <w:w w:val="110"/>
          <w:sz w:val="50"/>
        </w:rPr>
        <w:t>synods</w:t>
      </w:r>
    </w:p>
    <w:p>
      <w:pPr>
        <w:pStyle w:val="Heading4"/>
        <w:spacing w:before="83"/>
        <w:ind w:left="1057"/>
      </w:pPr>
      <w:r>
        <w:rPr>
          <w:color w:val="7F7F7F"/>
        </w:rPr>
        <w:t>Basic Information</w:t>
      </w:r>
    </w:p>
    <w:tbl>
      <w:tblPr>
        <w:tblW w:w="0" w:type="auto"/>
        <w:jc w:val="left"/>
        <w:tblInd w:w="106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660"/>
        <w:gridCol w:w="6582"/>
      </w:tblGrid>
      <w:tr>
        <w:trPr>
          <w:trHeight w:val="680" w:hRule="atLeast"/>
        </w:trPr>
        <w:tc>
          <w:tcPr>
            <w:tcW w:w="2660" w:type="dxa"/>
            <w:shd w:val="clear" w:color="auto" w:fill="FFFFFF"/>
          </w:tcPr>
          <w:p>
            <w:pPr>
              <w:pStyle w:val="TableParagraph"/>
              <w:spacing w:line="213" w:lineRule="auto" w:before="151"/>
              <w:ind w:right="595"/>
              <w:rPr>
                <w:rFonts w:ascii="Stone Sans II ITC Std Bk"/>
                <w:b/>
                <w:sz w:val="20"/>
              </w:rPr>
            </w:pPr>
            <w:r>
              <w:rPr>
                <w:rFonts w:ascii="Stone Sans II ITC Std Bk"/>
                <w:b/>
                <w:w w:val="110"/>
                <w:sz w:val="20"/>
              </w:rPr>
              <w:t>Contact name and email address</w:t>
            </w:r>
          </w:p>
        </w:tc>
        <w:tc>
          <w:tcPr>
            <w:tcW w:w="6582" w:type="dxa"/>
            <w:shd w:val="clear" w:color="auto" w:fill="FFFFFF"/>
          </w:tcPr>
          <w:p>
            <w:pPr>
              <w:pStyle w:val="TableParagraph"/>
              <w:spacing w:before="141"/>
              <w:rPr>
                <w:sz w:val="20"/>
              </w:rPr>
            </w:pPr>
            <w:r>
              <w:rPr>
                <w:w w:val="120"/>
                <w:sz w:val="20"/>
              </w:rPr>
              <w:t>John Proctor: </w:t>
            </w:r>
            <w:hyperlink r:id="rId60">
              <w:r>
                <w:rPr>
                  <w:color w:val="006AB3"/>
                  <w:w w:val="120"/>
                  <w:sz w:val="20"/>
                </w:rPr>
                <w:t>john.proctor@urc.org.uk</w:t>
              </w:r>
            </w:hyperlink>
          </w:p>
        </w:tc>
      </w:tr>
      <w:tr>
        <w:trPr>
          <w:trHeight w:val="680" w:hRule="atLeast"/>
        </w:trPr>
        <w:tc>
          <w:tcPr>
            <w:tcW w:w="2660" w:type="dxa"/>
            <w:shd w:val="clear" w:color="auto" w:fill="FFFFFF"/>
          </w:tcPr>
          <w:p>
            <w:pPr>
              <w:pStyle w:val="TableParagraph"/>
              <w:spacing w:before="128"/>
              <w:rPr>
                <w:rFonts w:ascii="Stone Sans II ITC Std Bk"/>
                <w:b/>
                <w:sz w:val="20"/>
              </w:rPr>
            </w:pPr>
            <w:r>
              <w:rPr>
                <w:rFonts w:ascii="Stone Sans II ITC Std Bk"/>
                <w:b/>
                <w:w w:val="110"/>
                <w:sz w:val="20"/>
              </w:rPr>
              <w:t>Action required</w:t>
            </w:r>
          </w:p>
        </w:tc>
        <w:tc>
          <w:tcPr>
            <w:tcW w:w="6582" w:type="dxa"/>
            <w:shd w:val="clear" w:color="auto" w:fill="FFFFFF"/>
          </w:tcPr>
          <w:p>
            <w:pPr>
              <w:pStyle w:val="TableParagraph"/>
              <w:spacing w:line="235" w:lineRule="auto" w:before="145"/>
              <w:rPr>
                <w:sz w:val="20"/>
              </w:rPr>
            </w:pPr>
            <w:r>
              <w:rPr>
                <w:w w:val="120"/>
                <w:sz w:val="20"/>
              </w:rPr>
              <w:t>None: Mission Council has confirmed these changes to the Structure of the URC</w:t>
            </w:r>
          </w:p>
        </w:tc>
      </w:tr>
      <w:tr>
        <w:trPr>
          <w:trHeight w:val="5720" w:hRule="atLeast"/>
        </w:trPr>
        <w:tc>
          <w:tcPr>
            <w:tcW w:w="2660" w:type="dxa"/>
            <w:shd w:val="clear" w:color="auto" w:fill="FFFFFF"/>
          </w:tcPr>
          <w:p>
            <w:pPr>
              <w:pStyle w:val="TableParagraph"/>
              <w:spacing w:line="213" w:lineRule="auto" w:before="151"/>
              <w:ind w:right="271"/>
              <w:rPr>
                <w:rFonts w:ascii="Stone Sans II ITC Std Bk"/>
                <w:b/>
                <w:sz w:val="20"/>
              </w:rPr>
            </w:pPr>
            <w:r>
              <w:rPr>
                <w:rFonts w:ascii="Stone Sans II ITC Std Bk"/>
                <w:b/>
                <w:w w:val="110"/>
                <w:sz w:val="20"/>
              </w:rPr>
              <w:t>Resolution(s) which have completed their process of approval</w:t>
            </w:r>
          </w:p>
        </w:tc>
        <w:tc>
          <w:tcPr>
            <w:tcW w:w="6582" w:type="dxa"/>
            <w:shd w:val="clear" w:color="auto" w:fill="FFFFFF"/>
          </w:tcPr>
          <w:p>
            <w:pPr>
              <w:pStyle w:val="TableParagraph"/>
              <w:spacing w:line="213" w:lineRule="auto" w:before="151"/>
              <w:ind w:right="396"/>
              <w:rPr>
                <w:rFonts w:ascii="Stone Sans II ITC Std Bk" w:hAnsi="Stone Sans II ITC Std Bk"/>
                <w:b/>
                <w:sz w:val="20"/>
              </w:rPr>
            </w:pPr>
            <w:r>
              <w:rPr>
                <w:rFonts w:ascii="Stone Sans II ITC Std Bk" w:hAnsi="Stone Sans II ITC Std Bk"/>
                <w:b/>
                <w:w w:val="110"/>
                <w:sz w:val="20"/>
              </w:rPr>
              <w:t>Resolution 19B(2) from General Assembly 2014 resolved ‘to amend the Structure of the United Reformed Church by deleting the words “a committee convener or otherwise entitled to membership of the Assembly” from Paragraph 2(6)(d).’</w:t>
            </w:r>
          </w:p>
          <w:p>
            <w:pPr>
              <w:pStyle w:val="TableParagraph"/>
              <w:spacing w:line="229" w:lineRule="exact"/>
              <w:rPr>
                <w:sz w:val="20"/>
              </w:rPr>
            </w:pPr>
            <w:r>
              <w:rPr>
                <w:w w:val="120"/>
                <w:sz w:val="20"/>
              </w:rPr>
              <w:t>That sentence therefore changes to read:</w:t>
            </w:r>
          </w:p>
          <w:p>
            <w:pPr>
              <w:pStyle w:val="TableParagraph"/>
              <w:spacing w:line="235" w:lineRule="auto" w:before="1"/>
              <w:rPr>
                <w:sz w:val="20"/>
              </w:rPr>
            </w:pPr>
            <w:r>
              <w:rPr>
                <w:w w:val="120"/>
                <w:sz w:val="20"/>
              </w:rPr>
              <w:t>‘Where the </w:t>
            </w:r>
            <w:r>
              <w:rPr>
                <w:spacing w:val="-3"/>
                <w:w w:val="120"/>
                <w:sz w:val="20"/>
              </w:rPr>
              <w:t>moderator </w:t>
            </w:r>
            <w:r>
              <w:rPr>
                <w:w w:val="120"/>
                <w:sz w:val="20"/>
              </w:rPr>
              <w:t>of </w:t>
            </w:r>
            <w:r>
              <w:rPr>
                <w:spacing w:val="-3"/>
                <w:w w:val="120"/>
                <w:sz w:val="20"/>
              </w:rPr>
              <w:t>synod </w:t>
            </w:r>
            <w:r>
              <w:rPr>
                <w:w w:val="120"/>
                <w:sz w:val="20"/>
              </w:rPr>
              <w:t>is an </w:t>
            </w:r>
            <w:r>
              <w:rPr>
                <w:spacing w:val="-3"/>
                <w:w w:val="120"/>
                <w:sz w:val="20"/>
              </w:rPr>
              <w:t>officer </w:t>
            </w:r>
            <w:r>
              <w:rPr>
                <w:w w:val="120"/>
                <w:sz w:val="20"/>
              </w:rPr>
              <w:t>of the </w:t>
            </w:r>
            <w:r>
              <w:rPr>
                <w:spacing w:val="-3"/>
                <w:w w:val="120"/>
                <w:sz w:val="20"/>
              </w:rPr>
              <w:t>Assembly the synod concerned shall appoint </w:t>
            </w:r>
            <w:r>
              <w:rPr>
                <w:w w:val="120"/>
                <w:sz w:val="20"/>
              </w:rPr>
              <w:t>a </w:t>
            </w:r>
            <w:r>
              <w:rPr>
                <w:spacing w:val="-3"/>
                <w:w w:val="120"/>
                <w:sz w:val="20"/>
              </w:rPr>
              <w:t>substitute </w:t>
            </w:r>
            <w:r>
              <w:rPr>
                <w:w w:val="120"/>
                <w:sz w:val="20"/>
              </w:rPr>
              <w:t>as its </w:t>
            </w:r>
            <w:r>
              <w:rPr>
                <w:spacing w:val="-3"/>
                <w:w w:val="120"/>
                <w:sz w:val="20"/>
              </w:rPr>
              <w:t>representative’</w:t>
            </w:r>
          </w:p>
          <w:p>
            <w:pPr>
              <w:pStyle w:val="TableParagraph"/>
              <w:spacing w:before="4"/>
              <w:ind w:left="0"/>
              <w:rPr>
                <w:rFonts w:ascii="Stone Sans II ITC Std Bk"/>
                <w:b/>
                <w:sz w:val="18"/>
              </w:rPr>
            </w:pPr>
          </w:p>
          <w:p>
            <w:pPr>
              <w:pStyle w:val="TableParagraph"/>
              <w:spacing w:line="213" w:lineRule="auto" w:before="1"/>
              <w:ind w:right="280"/>
              <w:rPr>
                <w:rFonts w:ascii="Stone Sans II ITC Std Bk" w:hAnsi="Stone Sans II ITC Std Bk"/>
                <w:b/>
                <w:sz w:val="20"/>
              </w:rPr>
            </w:pPr>
            <w:r>
              <w:rPr>
                <w:rFonts w:ascii="Stone Sans II ITC Std Bk" w:hAnsi="Stone Sans II ITC Std Bk"/>
                <w:b/>
                <w:spacing w:val="-3"/>
                <w:w w:val="110"/>
                <w:sz w:val="20"/>
              </w:rPr>
              <w:t>Resolution </w:t>
            </w:r>
            <w:r>
              <w:rPr>
                <w:rFonts w:ascii="Stone Sans II ITC Std Bk" w:hAnsi="Stone Sans II ITC Std Bk"/>
                <w:b/>
                <w:w w:val="110"/>
                <w:sz w:val="20"/>
              </w:rPr>
              <w:t>19E </w:t>
            </w:r>
            <w:r>
              <w:rPr>
                <w:rFonts w:ascii="Stone Sans II ITC Std Bk" w:hAnsi="Stone Sans II ITC Std Bk"/>
                <w:b/>
                <w:spacing w:val="-3"/>
                <w:w w:val="110"/>
                <w:sz w:val="20"/>
              </w:rPr>
              <w:t>from Cardiff resolved </w:t>
            </w:r>
            <w:r>
              <w:rPr>
                <w:rFonts w:ascii="Stone Sans II ITC Std Bk" w:hAnsi="Stone Sans II ITC Std Bk"/>
                <w:b/>
                <w:w w:val="110"/>
                <w:sz w:val="20"/>
              </w:rPr>
              <w:t>‘to </w:t>
            </w:r>
            <w:r>
              <w:rPr>
                <w:rFonts w:ascii="Stone Sans II ITC Std Bk" w:hAnsi="Stone Sans II ITC Std Bk"/>
                <w:b/>
                <w:spacing w:val="-3"/>
                <w:w w:val="110"/>
                <w:sz w:val="20"/>
              </w:rPr>
              <w:t>amend </w:t>
            </w:r>
            <w:r>
              <w:rPr>
                <w:rFonts w:ascii="Stone Sans II ITC Std Bk" w:hAnsi="Stone Sans II ITC Std Bk"/>
                <w:b/>
                <w:spacing w:val="-4"/>
                <w:w w:val="110"/>
                <w:sz w:val="20"/>
              </w:rPr>
              <w:t>paragraph </w:t>
            </w:r>
            <w:r>
              <w:rPr>
                <w:rFonts w:ascii="Stone Sans II ITC Std Bk" w:hAnsi="Stone Sans II ITC Std Bk"/>
                <w:b/>
                <w:spacing w:val="-3"/>
                <w:w w:val="110"/>
                <w:sz w:val="20"/>
              </w:rPr>
              <w:t>2(4)(a) </w:t>
            </w:r>
            <w:r>
              <w:rPr>
                <w:rFonts w:ascii="Stone Sans II ITC Std Bk" w:hAnsi="Stone Sans II ITC Std Bk"/>
                <w:b/>
                <w:w w:val="110"/>
                <w:sz w:val="20"/>
              </w:rPr>
              <w:t>of the </w:t>
            </w:r>
            <w:r>
              <w:rPr>
                <w:rFonts w:ascii="Stone Sans II ITC Std Bk" w:hAnsi="Stone Sans II ITC Std Bk"/>
                <w:b/>
                <w:spacing w:val="-3"/>
                <w:w w:val="110"/>
                <w:sz w:val="20"/>
              </w:rPr>
              <w:t>Structure </w:t>
            </w:r>
            <w:r>
              <w:rPr>
                <w:rFonts w:ascii="Stone Sans II ITC Std Bk" w:hAnsi="Stone Sans II ITC Std Bk"/>
                <w:b/>
                <w:w w:val="110"/>
                <w:sz w:val="20"/>
              </w:rPr>
              <w:t>of the </w:t>
            </w:r>
            <w:r>
              <w:rPr>
                <w:rFonts w:ascii="Stone Sans II ITC Std Bk" w:hAnsi="Stone Sans II ITC Std Bk"/>
                <w:b/>
                <w:spacing w:val="-3"/>
                <w:w w:val="110"/>
                <w:sz w:val="20"/>
              </w:rPr>
              <w:t>United Reformed Church </w:t>
            </w:r>
            <w:r>
              <w:rPr>
                <w:rFonts w:ascii="Stone Sans II ITC Std Bk" w:hAnsi="Stone Sans II ITC Std Bk"/>
                <w:b/>
                <w:w w:val="110"/>
                <w:sz w:val="20"/>
              </w:rPr>
              <w:t>by </w:t>
            </w:r>
            <w:r>
              <w:rPr>
                <w:rFonts w:ascii="Stone Sans II ITC Std Bk" w:hAnsi="Stone Sans II ITC Std Bk"/>
                <w:b/>
                <w:spacing w:val="-3"/>
                <w:w w:val="110"/>
                <w:sz w:val="20"/>
              </w:rPr>
              <w:t>adding </w:t>
            </w:r>
            <w:r>
              <w:rPr>
                <w:rFonts w:ascii="Stone Sans II ITC Std Bk" w:hAnsi="Stone Sans II ITC Std Bk"/>
                <w:b/>
                <w:w w:val="110"/>
                <w:sz w:val="20"/>
              </w:rPr>
              <w:t>the </w:t>
            </w:r>
            <w:r>
              <w:rPr>
                <w:rFonts w:ascii="Stone Sans II ITC Std Bk" w:hAnsi="Stone Sans II ITC Std Bk"/>
                <w:b/>
                <w:spacing w:val="-3"/>
                <w:w w:val="110"/>
                <w:sz w:val="20"/>
              </w:rPr>
              <w:t>words “former </w:t>
            </w:r>
            <w:r>
              <w:rPr>
                <w:rFonts w:ascii="Stone Sans II ITC Std Bk" w:hAnsi="Stone Sans II ITC Std Bk"/>
                <w:b/>
                <w:spacing w:val="-4"/>
                <w:w w:val="110"/>
                <w:sz w:val="20"/>
              </w:rPr>
              <w:t>Moderators </w:t>
            </w:r>
            <w:r>
              <w:rPr>
                <w:rFonts w:ascii="Stone Sans II ITC Std Bk" w:hAnsi="Stone Sans II ITC Std Bk"/>
                <w:b/>
                <w:w w:val="110"/>
                <w:sz w:val="20"/>
              </w:rPr>
              <w:t>of </w:t>
            </w:r>
            <w:r>
              <w:rPr>
                <w:rFonts w:ascii="Stone Sans II ITC Std Bk" w:hAnsi="Stone Sans II ITC Std Bk"/>
                <w:b/>
                <w:spacing w:val="-4"/>
                <w:w w:val="110"/>
                <w:sz w:val="20"/>
              </w:rPr>
              <w:t>General </w:t>
            </w:r>
            <w:r>
              <w:rPr>
                <w:rFonts w:ascii="Stone Sans II ITC Std Bk" w:hAnsi="Stone Sans II ITC Std Bk"/>
                <w:b/>
                <w:spacing w:val="-3"/>
                <w:w w:val="110"/>
                <w:sz w:val="20"/>
              </w:rPr>
              <w:t>Assembly </w:t>
            </w:r>
            <w:r>
              <w:rPr>
                <w:rFonts w:ascii="Stone Sans II ITC Std Bk" w:hAnsi="Stone Sans II ITC Std Bk"/>
                <w:b/>
                <w:w w:val="110"/>
                <w:sz w:val="20"/>
              </w:rPr>
              <w:t>and </w:t>
            </w:r>
            <w:r>
              <w:rPr>
                <w:rFonts w:ascii="Stone Sans II ITC Std Bk" w:hAnsi="Stone Sans II ITC Std Bk"/>
                <w:b/>
                <w:spacing w:val="-3"/>
                <w:w w:val="110"/>
                <w:sz w:val="20"/>
              </w:rPr>
              <w:t>Assembly appointed ministers </w:t>
            </w:r>
            <w:r>
              <w:rPr>
                <w:rFonts w:ascii="Stone Sans II ITC Std Bk" w:hAnsi="Stone Sans II ITC Std Bk"/>
                <w:b/>
                <w:w w:val="110"/>
                <w:sz w:val="20"/>
              </w:rPr>
              <w:t>who are </w:t>
            </w:r>
            <w:r>
              <w:rPr>
                <w:rFonts w:ascii="Stone Sans II ITC Std Bk" w:hAnsi="Stone Sans II ITC Std Bk"/>
                <w:b/>
                <w:spacing w:val="-3"/>
                <w:w w:val="110"/>
                <w:sz w:val="20"/>
              </w:rPr>
              <w:t>members </w:t>
            </w:r>
            <w:r>
              <w:rPr>
                <w:rFonts w:ascii="Stone Sans II ITC Std Bk" w:hAnsi="Stone Sans II ITC Std Bk"/>
                <w:b/>
                <w:w w:val="110"/>
                <w:sz w:val="20"/>
              </w:rPr>
              <w:t>of a </w:t>
            </w:r>
            <w:r>
              <w:rPr>
                <w:rFonts w:ascii="Stone Sans II ITC Std Bk" w:hAnsi="Stone Sans II ITC Std Bk"/>
                <w:b/>
                <w:spacing w:val="-3"/>
                <w:w w:val="110"/>
                <w:sz w:val="20"/>
              </w:rPr>
              <w:t>local church </w:t>
            </w:r>
            <w:r>
              <w:rPr>
                <w:rFonts w:ascii="Stone Sans II ITC Std Bk" w:hAnsi="Stone Sans II ITC Std Bk"/>
                <w:b/>
                <w:w w:val="110"/>
                <w:sz w:val="20"/>
              </w:rPr>
              <w:t>in that </w:t>
            </w:r>
            <w:r>
              <w:rPr>
                <w:rFonts w:ascii="Stone Sans II ITC Std Bk" w:hAnsi="Stone Sans II ITC Std Bk"/>
                <w:b/>
                <w:spacing w:val="-7"/>
                <w:w w:val="110"/>
                <w:sz w:val="20"/>
              </w:rPr>
              <w:t>synod”.’</w:t>
            </w:r>
          </w:p>
          <w:p>
            <w:pPr>
              <w:pStyle w:val="TableParagraph"/>
              <w:spacing w:line="229" w:lineRule="exact"/>
              <w:rPr>
                <w:sz w:val="20"/>
              </w:rPr>
            </w:pPr>
            <w:r>
              <w:rPr>
                <w:w w:val="120"/>
                <w:sz w:val="20"/>
              </w:rPr>
              <w:t>This sentence thus changes to read:</w:t>
            </w:r>
          </w:p>
          <w:p>
            <w:pPr>
              <w:pStyle w:val="TableParagraph"/>
              <w:spacing w:line="235" w:lineRule="auto" w:before="1"/>
              <w:ind w:right="384"/>
              <w:rPr>
                <w:sz w:val="20"/>
              </w:rPr>
            </w:pPr>
            <w:r>
              <w:rPr>
                <w:w w:val="120"/>
                <w:sz w:val="20"/>
              </w:rPr>
              <w:t>‘The </w:t>
            </w:r>
            <w:r>
              <w:rPr>
                <w:spacing w:val="-3"/>
                <w:w w:val="120"/>
                <w:sz w:val="20"/>
              </w:rPr>
              <w:t>synod being representative </w:t>
            </w:r>
            <w:r>
              <w:rPr>
                <w:w w:val="120"/>
                <w:sz w:val="20"/>
              </w:rPr>
              <w:t>of the </w:t>
            </w:r>
            <w:r>
              <w:rPr>
                <w:spacing w:val="-3"/>
                <w:w w:val="120"/>
                <w:sz w:val="20"/>
              </w:rPr>
              <w:t>local churches </w:t>
            </w:r>
            <w:r>
              <w:rPr>
                <w:w w:val="120"/>
                <w:sz w:val="20"/>
              </w:rPr>
              <w:t>in </w:t>
            </w:r>
            <w:r>
              <w:rPr>
                <w:spacing w:val="-3"/>
                <w:w w:val="120"/>
                <w:sz w:val="20"/>
              </w:rPr>
              <w:t>that </w:t>
            </w:r>
            <w:r>
              <w:rPr>
                <w:spacing w:val="-4"/>
                <w:w w:val="120"/>
                <w:sz w:val="20"/>
              </w:rPr>
              <w:t>province </w:t>
            </w:r>
            <w:r>
              <w:rPr>
                <w:w w:val="120"/>
                <w:sz w:val="20"/>
              </w:rPr>
              <w:t>or </w:t>
            </w:r>
            <w:r>
              <w:rPr>
                <w:spacing w:val="-3"/>
                <w:w w:val="120"/>
                <w:sz w:val="20"/>
              </w:rPr>
              <w:t>nation united for </w:t>
            </w:r>
            <w:r>
              <w:rPr>
                <w:w w:val="120"/>
                <w:sz w:val="20"/>
              </w:rPr>
              <w:t>the </w:t>
            </w:r>
            <w:r>
              <w:rPr>
                <w:spacing w:val="-3"/>
                <w:w w:val="120"/>
                <w:sz w:val="20"/>
              </w:rPr>
              <w:t>purpose </w:t>
            </w:r>
            <w:r>
              <w:rPr>
                <w:w w:val="120"/>
                <w:sz w:val="20"/>
              </w:rPr>
              <w:t>of </w:t>
            </w:r>
            <w:r>
              <w:rPr>
                <w:spacing w:val="-3"/>
                <w:w w:val="120"/>
                <w:sz w:val="20"/>
              </w:rPr>
              <w:t>dealing </w:t>
            </w:r>
            <w:r>
              <w:rPr>
                <w:w w:val="120"/>
                <w:sz w:val="20"/>
              </w:rPr>
              <w:t>with </w:t>
            </w:r>
            <w:r>
              <w:rPr>
                <w:spacing w:val="-3"/>
                <w:w w:val="120"/>
                <w:sz w:val="20"/>
              </w:rPr>
              <w:t>matters </w:t>
            </w:r>
            <w:r>
              <w:rPr>
                <w:w w:val="120"/>
                <w:sz w:val="20"/>
              </w:rPr>
              <w:t>of </w:t>
            </w:r>
            <w:r>
              <w:rPr>
                <w:spacing w:val="-3"/>
                <w:w w:val="120"/>
                <w:sz w:val="20"/>
              </w:rPr>
              <w:t>wider concern shall consist </w:t>
            </w:r>
            <w:r>
              <w:rPr>
                <w:w w:val="120"/>
                <w:sz w:val="20"/>
              </w:rPr>
              <w:t>of: (a) All </w:t>
            </w:r>
            <w:r>
              <w:rPr>
                <w:spacing w:val="-4"/>
                <w:w w:val="120"/>
                <w:sz w:val="20"/>
              </w:rPr>
              <w:t>ministers, </w:t>
            </w:r>
            <w:r>
              <w:rPr>
                <w:spacing w:val="-3"/>
                <w:w w:val="120"/>
                <w:sz w:val="20"/>
              </w:rPr>
              <w:t>registered pastors </w:t>
            </w:r>
            <w:r>
              <w:rPr>
                <w:w w:val="120"/>
                <w:sz w:val="20"/>
              </w:rPr>
              <w:t>(in </w:t>
            </w:r>
            <w:r>
              <w:rPr>
                <w:spacing w:val="-3"/>
                <w:w w:val="120"/>
                <w:sz w:val="20"/>
              </w:rPr>
              <w:t>Scotland) </w:t>
            </w:r>
            <w:r>
              <w:rPr>
                <w:w w:val="120"/>
                <w:sz w:val="20"/>
              </w:rPr>
              <w:t>and </w:t>
            </w:r>
            <w:r>
              <w:rPr>
                <w:spacing w:val="-3"/>
                <w:w w:val="120"/>
                <w:sz w:val="20"/>
              </w:rPr>
              <w:t>church related community workers </w:t>
            </w:r>
            <w:r>
              <w:rPr>
                <w:w w:val="120"/>
                <w:sz w:val="20"/>
              </w:rPr>
              <w:t>engaged </w:t>
            </w:r>
            <w:r>
              <w:rPr>
                <w:spacing w:val="-3"/>
                <w:w w:val="120"/>
                <w:sz w:val="20"/>
              </w:rPr>
              <w:t>directly </w:t>
            </w:r>
            <w:r>
              <w:rPr>
                <w:w w:val="120"/>
                <w:sz w:val="20"/>
              </w:rPr>
              <w:t>in the service of the </w:t>
            </w:r>
            <w:r>
              <w:rPr>
                <w:spacing w:val="-3"/>
                <w:w w:val="120"/>
                <w:sz w:val="20"/>
              </w:rPr>
              <w:t>United Reformed Church within </w:t>
            </w:r>
            <w:r>
              <w:rPr>
                <w:w w:val="120"/>
                <w:sz w:val="20"/>
              </w:rPr>
              <w:t>that </w:t>
            </w:r>
            <w:r>
              <w:rPr>
                <w:spacing w:val="-3"/>
                <w:w w:val="120"/>
                <w:sz w:val="20"/>
              </w:rPr>
              <w:t>synod, former Moderators </w:t>
            </w:r>
            <w:r>
              <w:rPr>
                <w:w w:val="120"/>
                <w:sz w:val="20"/>
              </w:rPr>
              <w:t>of </w:t>
            </w:r>
            <w:r>
              <w:rPr>
                <w:spacing w:val="-4"/>
                <w:w w:val="120"/>
                <w:sz w:val="20"/>
              </w:rPr>
              <w:t>General </w:t>
            </w:r>
            <w:r>
              <w:rPr>
                <w:spacing w:val="-3"/>
                <w:w w:val="120"/>
                <w:sz w:val="20"/>
              </w:rPr>
              <w:t>Assembly </w:t>
            </w:r>
            <w:r>
              <w:rPr>
                <w:w w:val="120"/>
                <w:sz w:val="20"/>
              </w:rPr>
              <w:t>and </w:t>
            </w:r>
            <w:r>
              <w:rPr>
                <w:spacing w:val="-3"/>
                <w:w w:val="120"/>
                <w:sz w:val="20"/>
              </w:rPr>
              <w:t>Assembly appointed ministers </w:t>
            </w:r>
            <w:r>
              <w:rPr>
                <w:w w:val="120"/>
                <w:sz w:val="20"/>
              </w:rPr>
              <w:t>who </w:t>
            </w:r>
            <w:r>
              <w:rPr>
                <w:spacing w:val="-3"/>
                <w:w w:val="120"/>
                <w:sz w:val="20"/>
              </w:rPr>
              <w:t>are members </w:t>
            </w:r>
            <w:r>
              <w:rPr>
                <w:w w:val="120"/>
                <w:sz w:val="20"/>
              </w:rPr>
              <w:t>of a </w:t>
            </w:r>
            <w:r>
              <w:rPr>
                <w:spacing w:val="-3"/>
                <w:w w:val="120"/>
                <w:sz w:val="20"/>
              </w:rPr>
              <w:t>local church </w:t>
            </w:r>
            <w:r>
              <w:rPr>
                <w:w w:val="120"/>
                <w:sz w:val="20"/>
              </w:rPr>
              <w:t>in that </w:t>
            </w:r>
            <w:r>
              <w:rPr>
                <w:spacing w:val="-4"/>
                <w:w w:val="120"/>
                <w:sz w:val="20"/>
              </w:rPr>
              <w:t>synod.’</w:t>
            </w:r>
          </w:p>
        </w:tc>
      </w:tr>
    </w:tbl>
    <w:p>
      <w:pPr>
        <w:pStyle w:val="BodyText"/>
        <w:spacing w:before="5"/>
        <w:rPr>
          <w:rFonts w:ascii="Stone Sans II ITC Std Bk"/>
          <w:b/>
        </w:rPr>
      </w:pPr>
    </w:p>
    <w:p>
      <w:pPr>
        <w:pStyle w:val="Heading4"/>
        <w:ind w:left="1057"/>
      </w:pPr>
      <w:r>
        <w:rPr>
          <w:color w:val="7F7F7F"/>
        </w:rPr>
        <w:t>Summary of Content</w:t>
      </w:r>
    </w:p>
    <w:tbl>
      <w:tblPr>
        <w:tblW w:w="0" w:type="auto"/>
        <w:jc w:val="left"/>
        <w:tblInd w:w="106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660"/>
        <w:gridCol w:w="6582"/>
      </w:tblGrid>
      <w:tr>
        <w:trPr>
          <w:trHeight w:val="440" w:hRule="atLeast"/>
        </w:trPr>
        <w:tc>
          <w:tcPr>
            <w:tcW w:w="2660" w:type="dxa"/>
            <w:shd w:val="clear" w:color="auto" w:fill="FFFFFF"/>
          </w:tcPr>
          <w:p>
            <w:pPr>
              <w:pStyle w:val="TableParagraph"/>
              <w:spacing w:before="128"/>
              <w:rPr>
                <w:rFonts w:ascii="Stone Sans II ITC Std Bk"/>
                <w:b/>
                <w:sz w:val="20"/>
              </w:rPr>
            </w:pPr>
            <w:r>
              <w:rPr>
                <w:rFonts w:ascii="Stone Sans II ITC Std Bk"/>
                <w:b/>
                <w:w w:val="110"/>
                <w:sz w:val="20"/>
              </w:rPr>
              <w:t>Subject and aim(s)</w:t>
            </w:r>
          </w:p>
        </w:tc>
        <w:tc>
          <w:tcPr>
            <w:tcW w:w="6582" w:type="dxa"/>
            <w:shd w:val="clear" w:color="auto" w:fill="FFFFFF"/>
          </w:tcPr>
          <w:p>
            <w:pPr>
              <w:pStyle w:val="TableParagraph"/>
              <w:spacing w:before="141"/>
              <w:rPr>
                <w:sz w:val="20"/>
              </w:rPr>
            </w:pPr>
            <w:r>
              <w:rPr>
                <w:w w:val="120"/>
                <w:sz w:val="20"/>
              </w:rPr>
              <w:t>The membership of General Assembly and of synods</w:t>
            </w:r>
          </w:p>
        </w:tc>
      </w:tr>
      <w:tr>
        <w:trPr>
          <w:trHeight w:val="440" w:hRule="atLeast"/>
        </w:trPr>
        <w:tc>
          <w:tcPr>
            <w:tcW w:w="2660" w:type="dxa"/>
            <w:shd w:val="clear" w:color="auto" w:fill="FFFFFF"/>
          </w:tcPr>
          <w:p>
            <w:pPr>
              <w:pStyle w:val="TableParagraph"/>
              <w:spacing w:before="128"/>
              <w:rPr>
                <w:rFonts w:ascii="Stone Sans II ITC Std Bk"/>
                <w:b/>
                <w:sz w:val="20"/>
              </w:rPr>
            </w:pPr>
            <w:r>
              <w:rPr>
                <w:rFonts w:ascii="Stone Sans II ITC Std Bk"/>
                <w:b/>
                <w:w w:val="110"/>
                <w:sz w:val="20"/>
              </w:rPr>
              <w:t>Main points</w:t>
            </w:r>
          </w:p>
        </w:tc>
        <w:tc>
          <w:tcPr>
            <w:tcW w:w="6582" w:type="dxa"/>
            <w:shd w:val="clear" w:color="auto" w:fill="FFFFFF"/>
          </w:tcPr>
          <w:p>
            <w:pPr>
              <w:pStyle w:val="TableParagraph"/>
              <w:spacing w:before="141"/>
              <w:rPr>
                <w:sz w:val="20"/>
              </w:rPr>
            </w:pPr>
            <w:r>
              <w:rPr>
                <w:w w:val="120"/>
                <w:sz w:val="20"/>
              </w:rPr>
              <w:t>As above</w:t>
            </w:r>
          </w:p>
        </w:tc>
      </w:tr>
      <w:tr>
        <w:trPr>
          <w:trHeight w:val="680" w:hRule="atLeast"/>
        </w:trPr>
        <w:tc>
          <w:tcPr>
            <w:tcW w:w="2660" w:type="dxa"/>
            <w:shd w:val="clear" w:color="auto" w:fill="FFFFFF"/>
          </w:tcPr>
          <w:p>
            <w:pPr>
              <w:pStyle w:val="TableParagraph"/>
              <w:spacing w:line="213" w:lineRule="auto" w:before="151"/>
              <w:ind w:right="701"/>
              <w:rPr>
                <w:rFonts w:ascii="Stone Sans II ITC Std Bk"/>
                <w:b/>
                <w:sz w:val="20"/>
              </w:rPr>
            </w:pPr>
            <w:r>
              <w:rPr>
                <w:rFonts w:ascii="Stone Sans II ITC Std Bk"/>
                <w:b/>
                <w:w w:val="110"/>
                <w:sz w:val="20"/>
              </w:rPr>
              <w:t>Previous relevant documents</w:t>
            </w:r>
          </w:p>
        </w:tc>
        <w:tc>
          <w:tcPr>
            <w:tcW w:w="6582" w:type="dxa"/>
            <w:shd w:val="clear" w:color="auto" w:fill="FFFFFF"/>
          </w:tcPr>
          <w:p>
            <w:pPr>
              <w:pStyle w:val="TableParagraph"/>
              <w:spacing w:line="235" w:lineRule="auto" w:before="145"/>
              <w:ind w:right="2664"/>
              <w:rPr>
                <w:sz w:val="20"/>
              </w:rPr>
            </w:pPr>
            <w:r>
              <w:rPr>
                <w:w w:val="120"/>
                <w:sz w:val="20"/>
              </w:rPr>
              <w:t>General Assembly Resolution 19, 2014; Mission Council papers May 2015</w:t>
            </w:r>
          </w:p>
        </w:tc>
      </w:tr>
      <w:tr>
        <w:trPr>
          <w:trHeight w:val="680" w:hRule="atLeast"/>
        </w:trPr>
        <w:tc>
          <w:tcPr>
            <w:tcW w:w="2660" w:type="dxa"/>
            <w:shd w:val="clear" w:color="auto" w:fill="FFFFFF"/>
          </w:tcPr>
          <w:p>
            <w:pPr>
              <w:pStyle w:val="TableParagraph"/>
              <w:spacing w:line="213" w:lineRule="auto" w:before="151"/>
              <w:ind w:right="104"/>
              <w:rPr>
                <w:rFonts w:ascii="Stone Sans II ITC Std Bk"/>
                <w:b/>
                <w:sz w:val="20"/>
              </w:rPr>
            </w:pPr>
            <w:r>
              <w:rPr>
                <w:rFonts w:ascii="Stone Sans II ITC Std Bk"/>
                <w:b/>
                <w:w w:val="110"/>
                <w:sz w:val="20"/>
              </w:rPr>
              <w:t>Consultation has taken place with...</w:t>
            </w:r>
          </w:p>
        </w:tc>
        <w:tc>
          <w:tcPr>
            <w:tcW w:w="6582" w:type="dxa"/>
            <w:shd w:val="clear" w:color="auto" w:fill="FFFFFF"/>
          </w:tcPr>
          <w:p>
            <w:pPr>
              <w:pStyle w:val="TableParagraph"/>
              <w:spacing w:before="141"/>
              <w:rPr>
                <w:sz w:val="20"/>
              </w:rPr>
            </w:pPr>
            <w:r>
              <w:rPr>
                <w:w w:val="120"/>
                <w:sz w:val="20"/>
              </w:rPr>
              <w:t>All synods, and Mission Council</w:t>
            </w:r>
          </w:p>
        </w:tc>
      </w:tr>
    </w:tbl>
    <w:p>
      <w:pPr>
        <w:pStyle w:val="BodyText"/>
        <w:spacing w:before="5"/>
        <w:rPr>
          <w:rFonts w:ascii="Stone Sans II ITC Std Bk"/>
          <w:b/>
        </w:rPr>
      </w:pPr>
    </w:p>
    <w:p>
      <w:pPr>
        <w:pStyle w:val="Heading4"/>
        <w:ind w:left="1057"/>
      </w:pPr>
      <w:r>
        <w:rPr>
          <w:color w:val="7F7F7F"/>
        </w:rPr>
        <w:t>Summary of Impact</w:t>
      </w:r>
    </w:p>
    <w:tbl>
      <w:tblPr>
        <w:tblW w:w="0" w:type="auto"/>
        <w:jc w:val="left"/>
        <w:tblInd w:w="106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660"/>
        <w:gridCol w:w="6582"/>
      </w:tblGrid>
      <w:tr>
        <w:trPr>
          <w:trHeight w:val="680" w:hRule="atLeast"/>
        </w:trPr>
        <w:tc>
          <w:tcPr>
            <w:tcW w:w="2660" w:type="dxa"/>
            <w:shd w:val="clear" w:color="auto" w:fill="FFFFFF"/>
          </w:tcPr>
          <w:p>
            <w:pPr>
              <w:pStyle w:val="TableParagraph"/>
              <w:spacing w:before="128"/>
              <w:rPr>
                <w:rFonts w:ascii="Stone Sans II ITC Std Bk"/>
                <w:b/>
                <w:sz w:val="20"/>
              </w:rPr>
            </w:pPr>
            <w:r>
              <w:rPr>
                <w:rFonts w:ascii="Stone Sans II ITC Std Bk"/>
                <w:b/>
                <w:w w:val="110"/>
                <w:sz w:val="20"/>
              </w:rPr>
              <w:t>Financial</w:t>
            </w:r>
          </w:p>
        </w:tc>
        <w:tc>
          <w:tcPr>
            <w:tcW w:w="6582" w:type="dxa"/>
            <w:shd w:val="clear" w:color="auto" w:fill="FFFFFF"/>
          </w:tcPr>
          <w:p>
            <w:pPr>
              <w:pStyle w:val="TableParagraph"/>
              <w:spacing w:line="235" w:lineRule="auto" w:before="145"/>
              <w:rPr>
                <w:sz w:val="20"/>
              </w:rPr>
            </w:pPr>
            <w:r>
              <w:rPr>
                <w:w w:val="120"/>
                <w:sz w:val="20"/>
              </w:rPr>
              <w:t>Occasional small savings in Assembly cost, and regular small increase in synod costs</w:t>
            </w:r>
          </w:p>
        </w:tc>
      </w:tr>
      <w:tr>
        <w:trPr>
          <w:trHeight w:val="680" w:hRule="atLeast"/>
        </w:trPr>
        <w:tc>
          <w:tcPr>
            <w:tcW w:w="2660" w:type="dxa"/>
            <w:shd w:val="clear" w:color="auto" w:fill="FFFFFF"/>
          </w:tcPr>
          <w:p>
            <w:pPr>
              <w:pStyle w:val="TableParagraph"/>
              <w:spacing w:line="255" w:lineRule="exact" w:before="128"/>
              <w:rPr>
                <w:rFonts w:ascii="Stone Sans II ITC Std Bk"/>
                <w:b/>
                <w:sz w:val="20"/>
              </w:rPr>
            </w:pPr>
            <w:r>
              <w:rPr>
                <w:rFonts w:ascii="Stone Sans II ITC Std Bk"/>
                <w:b/>
                <w:w w:val="110"/>
                <w:sz w:val="20"/>
              </w:rPr>
              <w:t>External</w:t>
            </w:r>
          </w:p>
          <w:p>
            <w:pPr>
              <w:pStyle w:val="TableParagraph"/>
              <w:spacing w:line="255" w:lineRule="exact"/>
              <w:rPr>
                <w:rFonts w:ascii="Stone Sans II ITC Std Bk"/>
                <w:b/>
                <w:sz w:val="20"/>
              </w:rPr>
            </w:pPr>
            <w:r>
              <w:rPr>
                <w:rFonts w:ascii="Stone Sans II ITC Std Bk"/>
                <w:b/>
                <w:w w:val="110"/>
                <w:sz w:val="20"/>
              </w:rPr>
              <w:t>(e.g. ecumenical)</w:t>
            </w:r>
          </w:p>
        </w:tc>
        <w:tc>
          <w:tcPr>
            <w:tcW w:w="6582" w:type="dxa"/>
            <w:shd w:val="clear" w:color="auto" w:fill="FFFFFF"/>
          </w:tcPr>
          <w:p>
            <w:pPr>
              <w:pStyle w:val="TableParagraph"/>
              <w:spacing w:before="141"/>
              <w:rPr>
                <w:sz w:val="20"/>
              </w:rPr>
            </w:pPr>
            <w:r>
              <w:rPr>
                <w:w w:val="125"/>
                <w:sz w:val="20"/>
              </w:rPr>
              <w:t>None.</w:t>
            </w:r>
          </w:p>
        </w:tc>
      </w:tr>
    </w:tbl>
    <w:p>
      <w:pPr>
        <w:pStyle w:val="Heading6"/>
        <w:spacing w:before="108"/>
        <w:ind w:left="3818"/>
        <w:rPr>
          <w:rFonts w:ascii="Stone Sans II ITC Std X Bd" w:hAnsi="Stone Sans II ITC Std X Bd"/>
          <w:b/>
          <w:sz w:val="24"/>
        </w:rPr>
      </w:pPr>
      <w:r>
        <w:rPr>
          <w:color w:val="7EAABF"/>
          <w:w w:val="110"/>
        </w:rPr>
        <w:t>United Reformed Church </w:t>
      </w:r>
      <w:r>
        <w:rPr>
          <w:rFonts w:ascii="Symbol" w:hAnsi="Symbol"/>
          <w:color w:val="7EAABF"/>
          <w:w w:val="110"/>
        </w:rPr>
        <w:t></w:t>
      </w:r>
      <w:r>
        <w:rPr>
          <w:rFonts w:ascii="Times New Roman" w:hAnsi="Times New Roman"/>
          <w:color w:val="7EAABF"/>
          <w:w w:val="110"/>
        </w:rPr>
        <w:t> </w:t>
      </w:r>
      <w:r>
        <w:rPr>
          <w:color w:val="7EAABF"/>
          <w:w w:val="110"/>
        </w:rPr>
        <w:t>General Assembly 2016 </w:t>
      </w:r>
      <w:r>
        <w:rPr>
          <w:rFonts w:ascii="Symbol" w:hAnsi="Symbol"/>
          <w:color w:val="7EAABF"/>
          <w:w w:val="110"/>
        </w:rPr>
        <w:t></w:t>
      </w:r>
      <w:r>
        <w:rPr>
          <w:rFonts w:ascii="Times New Roman" w:hAnsi="Times New Roman"/>
          <w:color w:val="7EAABF"/>
          <w:w w:val="110"/>
        </w:rPr>
        <w:t> </w:t>
      </w:r>
      <w:r>
        <w:rPr>
          <w:rFonts w:ascii="Stone Sans II ITC Std X Bd" w:hAnsi="Stone Sans II ITC Std X Bd"/>
          <w:b/>
          <w:w w:val="110"/>
          <w:sz w:val="24"/>
        </w:rPr>
        <w:t>25</w:t>
      </w:r>
    </w:p>
    <w:p>
      <w:pPr>
        <w:spacing w:after="0"/>
        <w:rPr>
          <w:rFonts w:ascii="Stone Sans II ITC Std X Bd" w:hAnsi="Stone Sans II ITC Std X Bd"/>
          <w:sz w:val="24"/>
        </w:rPr>
        <w:sectPr>
          <w:headerReference w:type="default" r:id="rId116"/>
          <w:footerReference w:type="default" r:id="rId117"/>
          <w:pgSz w:w="11910" w:h="16840"/>
          <w:pgMar w:header="0" w:footer="0" w:top="0" w:bottom="0" w:left="700" w:right="0"/>
        </w:sectPr>
      </w:pPr>
    </w:p>
    <w:p>
      <w:pPr>
        <w:pStyle w:val="BodyText"/>
        <w:rPr>
          <w:rFonts w:ascii="Stone Sans II ITC Std X Bd"/>
          <w:b/>
        </w:rPr>
      </w:pPr>
      <w:r>
        <w:rPr/>
        <w:drawing>
          <wp:anchor distT="0" distB="0" distL="0" distR="0" allowOverlap="1" layoutInCell="1" locked="0" behindDoc="1" simplePos="0" relativeHeight="235273216">
            <wp:simplePos x="0" y="0"/>
            <wp:positionH relativeFrom="page">
              <wp:posOffset>0</wp:posOffset>
            </wp:positionH>
            <wp:positionV relativeFrom="page">
              <wp:posOffset>0</wp:posOffset>
            </wp:positionV>
            <wp:extent cx="594067" cy="10692003"/>
            <wp:effectExtent l="0" t="0" r="0" b="0"/>
            <wp:wrapNone/>
            <wp:docPr id="41" name="image51.png"/>
            <wp:cNvGraphicFramePr>
              <a:graphicFrameLocks noChangeAspect="1"/>
            </wp:cNvGraphicFramePr>
            <a:graphic>
              <a:graphicData uri="http://schemas.openxmlformats.org/drawingml/2006/picture">
                <pic:pic>
                  <pic:nvPicPr>
                    <pic:cNvPr id="42" name="image51.png"/>
                    <pic:cNvPicPr/>
                  </pic:nvPicPr>
                  <pic:blipFill>
                    <a:blip r:embed="rId64" cstate="print"/>
                    <a:stretch>
                      <a:fillRect/>
                    </a:stretch>
                  </pic:blipFill>
                  <pic:spPr>
                    <a:xfrm>
                      <a:off x="0" y="0"/>
                      <a:ext cx="594067" cy="10692003"/>
                    </a:xfrm>
                    <a:prstGeom prst="rect">
                      <a:avLst/>
                    </a:prstGeom>
                  </pic:spPr>
                </pic:pic>
              </a:graphicData>
            </a:graphic>
          </wp:anchor>
        </w:drawing>
      </w:r>
      <w:r>
        <w:rPr/>
        <w:pict>
          <v:line style="position:absolute;mso-position-horizontal-relative:page;mso-position-vertical-relative:page;z-index:251727872" from="595.276001pt,.000015pt" to="595.276001pt,841.890015pt" stroked="true" strokeweight="0pt" strokecolor="#fef4df">
            <v:stroke dashstyle="solid"/>
            <w10:wrap type="none"/>
          </v:line>
        </w:pict>
      </w:r>
      <w:r>
        <w:rPr/>
        <w:pict>
          <v:shape style="position:absolute;margin-left:20.519100pt;margin-top:48.890015pt;width:25.9pt;height:347.3pt;mso-position-horizontal-relative:page;mso-position-vertical-relative:page;z-index:-268041216" type="#_x0000_t202" filled="false" stroked="false">
            <v:textbox inset="0,0,0,0" style="layout-flow:vertical">
              <w:txbxContent>
                <w:p>
                  <w:pPr>
                    <w:spacing w:before="27"/>
                    <w:ind w:left="20" w:right="0" w:firstLine="0"/>
                    <w:jc w:val="left"/>
                    <w:rPr>
                      <w:sz w:val="39"/>
                    </w:rPr>
                  </w:pPr>
                  <w:r>
                    <w:rPr>
                      <w:color w:val="FFFFFF"/>
                      <w:w w:val="120"/>
                      <w:sz w:val="39"/>
                    </w:rPr>
                    <w:t>Resolutions referred to synods (A)</w:t>
                  </w:r>
                </w:p>
              </w:txbxContent>
            </v:textbox>
            <w10:wrap type="none"/>
          </v:shape>
        </w:pict>
      </w:r>
    </w:p>
    <w:p>
      <w:pPr>
        <w:pStyle w:val="BodyText"/>
        <w:spacing w:before="7"/>
        <w:rPr>
          <w:rFonts w:ascii="Stone Sans II ITC Std X Bd"/>
          <w:b/>
          <w:sz w:val="17"/>
        </w:rPr>
      </w:pPr>
    </w:p>
    <w:p>
      <w:pPr>
        <w:spacing w:before="107"/>
        <w:ind w:left="547" w:right="0" w:firstLine="0"/>
        <w:jc w:val="left"/>
        <w:rPr>
          <w:sz w:val="26"/>
        </w:rPr>
      </w:pPr>
      <w:r>
        <w:rPr>
          <w:color w:val="7EAABF"/>
          <w:w w:val="120"/>
          <w:sz w:val="26"/>
        </w:rPr>
        <w:t>Mission Council</w:t>
      </w:r>
    </w:p>
    <w:p>
      <w:pPr>
        <w:pStyle w:val="BodyText"/>
        <w:spacing w:before="8"/>
        <w:rPr>
          <w:sz w:val="24"/>
        </w:rPr>
      </w:pPr>
    </w:p>
    <w:p>
      <w:pPr>
        <w:spacing w:line="213" w:lineRule="auto" w:before="0"/>
        <w:ind w:left="547" w:right="2419" w:firstLine="0"/>
        <w:jc w:val="left"/>
        <w:rPr>
          <w:rFonts w:ascii="Stone Sans II ITC Std X Bd"/>
          <w:b/>
          <w:sz w:val="50"/>
        </w:rPr>
      </w:pPr>
      <w:r>
        <w:rPr>
          <w:rFonts w:ascii="Stone Sans II ITC Std X Bd"/>
          <w:b/>
          <w:spacing w:val="-10"/>
          <w:w w:val="110"/>
          <w:sz w:val="50"/>
        </w:rPr>
        <w:t>Resolutions </w:t>
      </w:r>
      <w:r>
        <w:rPr>
          <w:rFonts w:ascii="Stone Sans II ITC Std X Bd"/>
          <w:b/>
          <w:spacing w:val="-9"/>
          <w:w w:val="110"/>
          <w:sz w:val="50"/>
        </w:rPr>
        <w:t>referred </w:t>
      </w:r>
      <w:r>
        <w:rPr>
          <w:rFonts w:ascii="Stone Sans II ITC Std X Bd"/>
          <w:b/>
          <w:spacing w:val="-10"/>
          <w:w w:val="110"/>
          <w:sz w:val="50"/>
        </w:rPr>
        <w:t>to </w:t>
      </w:r>
      <w:r>
        <w:rPr>
          <w:rFonts w:ascii="Stone Sans II ITC Std X Bd"/>
          <w:b/>
          <w:spacing w:val="-8"/>
          <w:w w:val="110"/>
          <w:sz w:val="50"/>
        </w:rPr>
        <w:t>synods </w:t>
      </w:r>
      <w:r>
        <w:rPr>
          <w:rFonts w:ascii="Stone Sans II ITC Std X Bd"/>
          <w:b/>
          <w:spacing w:val="-22"/>
          <w:w w:val="110"/>
          <w:sz w:val="50"/>
        </w:rPr>
        <w:t>(A): </w:t>
      </w:r>
      <w:r>
        <w:rPr>
          <w:rFonts w:ascii="Stone Sans II ITC Std X Bd"/>
          <w:b/>
          <w:spacing w:val="-9"/>
          <w:w w:val="110"/>
          <w:sz w:val="50"/>
        </w:rPr>
        <w:t>membership </w:t>
      </w:r>
      <w:r>
        <w:rPr>
          <w:rFonts w:ascii="Stone Sans II ITC Std X Bd"/>
          <w:b/>
          <w:spacing w:val="-5"/>
          <w:w w:val="110"/>
          <w:sz w:val="50"/>
        </w:rPr>
        <w:t>of </w:t>
      </w:r>
      <w:r>
        <w:rPr>
          <w:rFonts w:ascii="Stone Sans II ITC Std X Bd"/>
          <w:b/>
          <w:spacing w:val="-9"/>
          <w:w w:val="110"/>
          <w:sz w:val="50"/>
        </w:rPr>
        <w:t>General </w:t>
      </w:r>
      <w:r>
        <w:rPr>
          <w:rFonts w:ascii="Stone Sans II ITC Std X Bd"/>
          <w:b/>
          <w:spacing w:val="-8"/>
          <w:w w:val="110"/>
          <w:sz w:val="50"/>
        </w:rPr>
        <w:t>Assembly </w:t>
      </w:r>
      <w:r>
        <w:rPr>
          <w:rFonts w:ascii="Stone Sans II ITC Std X Bd"/>
          <w:b/>
          <w:spacing w:val="-7"/>
          <w:w w:val="110"/>
          <w:sz w:val="50"/>
        </w:rPr>
        <w:t>and </w:t>
      </w:r>
      <w:r>
        <w:rPr>
          <w:rFonts w:ascii="Stone Sans II ITC Std X Bd"/>
          <w:b/>
          <w:spacing w:val="-5"/>
          <w:w w:val="110"/>
          <w:sz w:val="50"/>
        </w:rPr>
        <w:t>of </w:t>
      </w:r>
      <w:r>
        <w:rPr>
          <w:rFonts w:ascii="Stone Sans II ITC Std X Bd"/>
          <w:b/>
          <w:spacing w:val="-8"/>
          <w:w w:val="110"/>
          <w:sz w:val="50"/>
        </w:rPr>
        <w:t>synods</w:t>
      </w:r>
    </w:p>
    <w:p>
      <w:pPr>
        <w:pStyle w:val="ListParagraph"/>
        <w:numPr>
          <w:ilvl w:val="0"/>
          <w:numId w:val="14"/>
        </w:numPr>
        <w:tabs>
          <w:tab w:pos="1227" w:val="left" w:leader="none"/>
          <w:tab w:pos="1228" w:val="left" w:leader="none"/>
        </w:tabs>
        <w:spacing w:line="235" w:lineRule="auto" w:before="380" w:after="0"/>
        <w:ind w:left="547" w:right="2058" w:firstLine="0"/>
        <w:jc w:val="left"/>
        <w:rPr>
          <w:sz w:val="20"/>
        </w:rPr>
      </w:pPr>
      <w:r>
        <w:rPr>
          <w:w w:val="120"/>
          <w:sz w:val="20"/>
        </w:rPr>
        <w:t>Resolution </w:t>
      </w:r>
      <w:r>
        <w:rPr>
          <w:spacing w:val="-8"/>
          <w:w w:val="120"/>
          <w:sz w:val="20"/>
        </w:rPr>
        <w:t>19 </w:t>
      </w:r>
      <w:r>
        <w:rPr>
          <w:w w:val="120"/>
          <w:sz w:val="20"/>
        </w:rPr>
        <w:t>at the </w:t>
      </w:r>
      <w:r>
        <w:rPr>
          <w:spacing w:val="-7"/>
          <w:w w:val="120"/>
          <w:sz w:val="20"/>
        </w:rPr>
        <w:t>2014 </w:t>
      </w:r>
      <w:r>
        <w:rPr>
          <w:w w:val="120"/>
          <w:sz w:val="20"/>
        </w:rPr>
        <w:t>General Assembly in Cardiff concerned the membership of various councils of the Church. Some sections of the resolution were agreed at that Assembly and were implemented immediately. </w:t>
      </w:r>
      <w:r>
        <w:rPr>
          <w:spacing w:val="-6"/>
          <w:w w:val="120"/>
          <w:sz w:val="20"/>
        </w:rPr>
        <w:t>Two </w:t>
      </w:r>
      <w:r>
        <w:rPr>
          <w:w w:val="120"/>
          <w:sz w:val="20"/>
        </w:rPr>
        <w:t>further sections that were agreed at Cardiff required reference to the synods and further consideration at a central council, if they were to become </w:t>
      </w:r>
      <w:r>
        <w:rPr>
          <w:spacing w:val="2"/>
          <w:w w:val="120"/>
          <w:sz w:val="20"/>
        </w:rPr>
        <w:t>part </w:t>
      </w:r>
      <w:r>
        <w:rPr>
          <w:w w:val="120"/>
          <w:sz w:val="20"/>
        </w:rPr>
        <w:t>of the Structure of the</w:t>
      </w:r>
      <w:r>
        <w:rPr>
          <w:spacing w:val="29"/>
          <w:w w:val="120"/>
          <w:sz w:val="20"/>
        </w:rPr>
        <w:t> </w:t>
      </w:r>
      <w:r>
        <w:rPr>
          <w:w w:val="120"/>
          <w:sz w:val="20"/>
        </w:rPr>
        <w:t>Church.</w:t>
      </w:r>
    </w:p>
    <w:p>
      <w:pPr>
        <w:pStyle w:val="BodyText"/>
        <w:spacing w:before="8"/>
        <w:rPr>
          <w:sz w:val="19"/>
        </w:rPr>
      </w:pPr>
    </w:p>
    <w:p>
      <w:pPr>
        <w:pStyle w:val="ListParagraph"/>
        <w:numPr>
          <w:ilvl w:val="0"/>
          <w:numId w:val="14"/>
        </w:numPr>
        <w:tabs>
          <w:tab w:pos="1227" w:val="left" w:leader="none"/>
          <w:tab w:pos="1228" w:val="left" w:leader="none"/>
        </w:tabs>
        <w:spacing w:line="236" w:lineRule="exact" w:before="0" w:after="0"/>
        <w:ind w:left="1227" w:right="0" w:hanging="681"/>
        <w:jc w:val="left"/>
        <w:rPr>
          <w:sz w:val="20"/>
        </w:rPr>
      </w:pPr>
      <w:r>
        <w:rPr>
          <w:w w:val="120"/>
          <w:sz w:val="20"/>
        </w:rPr>
        <w:t>The first of these two sections reads as</w:t>
      </w:r>
      <w:r>
        <w:rPr>
          <w:spacing w:val="12"/>
          <w:w w:val="120"/>
          <w:sz w:val="20"/>
        </w:rPr>
        <w:t> </w:t>
      </w:r>
      <w:r>
        <w:rPr>
          <w:w w:val="120"/>
          <w:sz w:val="20"/>
        </w:rPr>
        <w:t>follows:</w:t>
      </w:r>
    </w:p>
    <w:p>
      <w:pPr>
        <w:pStyle w:val="Heading7"/>
        <w:spacing w:line="213" w:lineRule="auto" w:before="14"/>
        <w:ind w:left="547" w:right="2284"/>
      </w:pPr>
      <w:r>
        <w:rPr>
          <w:w w:val="110"/>
        </w:rPr>
        <w:t>Resolution 19B(2) from Cardiff resolved ‘to amend the Structure of the United Reformed Church by deleting the words “a committee convener or otherwise entitled to membership of the Assembly” from Paragraph 2(6)(d).’</w:t>
      </w:r>
    </w:p>
    <w:p>
      <w:pPr>
        <w:pStyle w:val="BodyText"/>
        <w:spacing w:before="2"/>
        <w:rPr>
          <w:rFonts w:ascii="Stone Sans II ITC Std Bk"/>
          <w:b/>
          <w:sz w:val="17"/>
        </w:rPr>
      </w:pPr>
    </w:p>
    <w:p>
      <w:pPr>
        <w:pStyle w:val="ListParagraph"/>
        <w:numPr>
          <w:ilvl w:val="0"/>
          <w:numId w:val="14"/>
        </w:numPr>
        <w:tabs>
          <w:tab w:pos="1227" w:val="left" w:leader="none"/>
          <w:tab w:pos="1228" w:val="left" w:leader="none"/>
        </w:tabs>
        <w:spacing w:line="235" w:lineRule="auto" w:before="0" w:after="0"/>
        <w:ind w:left="547" w:right="2237" w:firstLine="0"/>
        <w:jc w:val="left"/>
        <w:rPr>
          <w:sz w:val="20"/>
        </w:rPr>
      </w:pPr>
      <w:r>
        <w:rPr>
          <w:w w:val="120"/>
          <w:sz w:val="20"/>
        </w:rPr>
        <w:t>In practical terms this first means that where a Synod Moderator is a member of General Assembly in more than one capacity, the synod would now only appoint a substitute if that other capacity is as an officer of Assembly. The Assembly judged that this was the only conflict of interest that was really sufficient to merit a</w:t>
      </w:r>
      <w:r>
        <w:rPr>
          <w:spacing w:val="-37"/>
          <w:w w:val="120"/>
          <w:sz w:val="20"/>
        </w:rPr>
        <w:t> </w:t>
      </w:r>
      <w:r>
        <w:rPr>
          <w:w w:val="120"/>
          <w:sz w:val="20"/>
        </w:rPr>
        <w:t>substitute.</w:t>
      </w:r>
    </w:p>
    <w:p>
      <w:pPr>
        <w:pStyle w:val="BodyText"/>
        <w:spacing w:before="7"/>
        <w:rPr>
          <w:sz w:val="19"/>
        </w:rPr>
      </w:pPr>
    </w:p>
    <w:p>
      <w:pPr>
        <w:pStyle w:val="ListParagraph"/>
        <w:numPr>
          <w:ilvl w:val="0"/>
          <w:numId w:val="14"/>
        </w:numPr>
        <w:tabs>
          <w:tab w:pos="1227" w:val="left" w:leader="none"/>
          <w:tab w:pos="1228" w:val="left" w:leader="none"/>
        </w:tabs>
        <w:spacing w:line="236" w:lineRule="exact" w:before="0" w:after="0"/>
        <w:ind w:left="1227" w:right="0" w:hanging="681"/>
        <w:jc w:val="left"/>
        <w:rPr>
          <w:sz w:val="20"/>
        </w:rPr>
      </w:pPr>
      <w:r>
        <w:rPr>
          <w:w w:val="120"/>
          <w:sz w:val="20"/>
        </w:rPr>
        <w:t>The second of the sections</w:t>
      </w:r>
      <w:r>
        <w:rPr>
          <w:spacing w:val="9"/>
          <w:w w:val="120"/>
          <w:sz w:val="20"/>
        </w:rPr>
        <w:t> </w:t>
      </w:r>
      <w:r>
        <w:rPr>
          <w:w w:val="120"/>
          <w:sz w:val="20"/>
        </w:rPr>
        <w:t>reads:</w:t>
      </w:r>
    </w:p>
    <w:p>
      <w:pPr>
        <w:pStyle w:val="Heading7"/>
        <w:spacing w:line="213" w:lineRule="auto" w:before="14"/>
        <w:ind w:left="547" w:right="2419"/>
      </w:pPr>
      <w:r>
        <w:rPr>
          <w:w w:val="110"/>
        </w:rPr>
        <w:t>Resolution </w:t>
      </w:r>
      <w:r>
        <w:rPr>
          <w:spacing w:val="-4"/>
          <w:w w:val="110"/>
        </w:rPr>
        <w:t>19E </w:t>
      </w:r>
      <w:r>
        <w:rPr>
          <w:w w:val="110"/>
        </w:rPr>
        <w:t>from Cardiff resolved ‘to amend paragraph </w:t>
      </w:r>
      <w:r>
        <w:rPr>
          <w:spacing w:val="-10"/>
          <w:w w:val="110"/>
        </w:rPr>
        <w:t>2(4)(a) </w:t>
      </w:r>
      <w:r>
        <w:rPr>
          <w:w w:val="110"/>
        </w:rPr>
        <w:t>of the Structure of the United Reformed Church by adding the words “former Moderators of General Assembly and Assembly appointed ministers who are members of a local church in that</w:t>
      </w:r>
      <w:r>
        <w:rPr>
          <w:spacing w:val="-1"/>
          <w:w w:val="110"/>
        </w:rPr>
        <w:t> </w:t>
      </w:r>
      <w:r>
        <w:rPr>
          <w:spacing w:val="-4"/>
          <w:w w:val="110"/>
        </w:rPr>
        <w:t>synod”.’</w:t>
      </w:r>
    </w:p>
    <w:p>
      <w:pPr>
        <w:pStyle w:val="BodyText"/>
        <w:spacing w:before="12"/>
        <w:rPr>
          <w:rFonts w:ascii="Stone Sans II ITC Std Bk"/>
          <w:b/>
          <w:sz w:val="16"/>
        </w:rPr>
      </w:pPr>
    </w:p>
    <w:p>
      <w:pPr>
        <w:pStyle w:val="ListParagraph"/>
        <w:numPr>
          <w:ilvl w:val="0"/>
          <w:numId w:val="14"/>
        </w:numPr>
        <w:tabs>
          <w:tab w:pos="1227" w:val="left" w:leader="none"/>
          <w:tab w:pos="1228" w:val="left" w:leader="none"/>
        </w:tabs>
        <w:spacing w:line="240" w:lineRule="auto" w:before="0" w:after="0"/>
        <w:ind w:left="1227" w:right="0" w:hanging="681"/>
        <w:jc w:val="left"/>
        <w:rPr>
          <w:sz w:val="20"/>
        </w:rPr>
      </w:pPr>
      <w:r>
        <w:rPr>
          <w:w w:val="120"/>
          <w:sz w:val="20"/>
        </w:rPr>
        <w:t>This adds two categories of people to the roll of a Provincial or National</w:t>
      </w:r>
      <w:r>
        <w:rPr>
          <w:spacing w:val="36"/>
          <w:w w:val="120"/>
          <w:sz w:val="20"/>
        </w:rPr>
        <w:t> </w:t>
      </w:r>
      <w:r>
        <w:rPr>
          <w:w w:val="120"/>
          <w:sz w:val="20"/>
        </w:rPr>
        <w:t>Synod.</w:t>
      </w:r>
    </w:p>
    <w:p>
      <w:pPr>
        <w:pStyle w:val="BodyText"/>
        <w:spacing w:before="7"/>
        <w:rPr>
          <w:sz w:val="19"/>
        </w:rPr>
      </w:pPr>
    </w:p>
    <w:p>
      <w:pPr>
        <w:pStyle w:val="ListParagraph"/>
        <w:numPr>
          <w:ilvl w:val="0"/>
          <w:numId w:val="14"/>
        </w:numPr>
        <w:tabs>
          <w:tab w:pos="1227" w:val="left" w:leader="none"/>
          <w:tab w:pos="1228" w:val="left" w:leader="none"/>
        </w:tabs>
        <w:spacing w:line="235" w:lineRule="auto" w:before="0" w:after="0"/>
        <w:ind w:left="547" w:right="2172" w:firstLine="0"/>
        <w:jc w:val="left"/>
        <w:rPr>
          <w:sz w:val="20"/>
        </w:rPr>
      </w:pPr>
      <w:r>
        <w:rPr>
          <w:w w:val="120"/>
          <w:sz w:val="20"/>
        </w:rPr>
        <w:t>All thirteen synods had opportunity to consider these two matters. None asked that they ‘be not proceeded</w:t>
      </w:r>
      <w:r>
        <w:rPr>
          <w:spacing w:val="11"/>
          <w:w w:val="120"/>
          <w:sz w:val="20"/>
        </w:rPr>
        <w:t> </w:t>
      </w:r>
      <w:r>
        <w:rPr>
          <w:spacing w:val="-4"/>
          <w:w w:val="120"/>
          <w:sz w:val="20"/>
        </w:rPr>
        <w:t>with’.</w:t>
      </w:r>
    </w:p>
    <w:p>
      <w:pPr>
        <w:pStyle w:val="BodyText"/>
        <w:spacing w:before="10"/>
        <w:rPr>
          <w:sz w:val="19"/>
        </w:rPr>
      </w:pPr>
    </w:p>
    <w:p>
      <w:pPr>
        <w:pStyle w:val="ListParagraph"/>
        <w:numPr>
          <w:ilvl w:val="0"/>
          <w:numId w:val="14"/>
        </w:numPr>
        <w:tabs>
          <w:tab w:pos="1227" w:val="left" w:leader="none"/>
          <w:tab w:pos="1228" w:val="left" w:leader="none"/>
        </w:tabs>
        <w:spacing w:line="235" w:lineRule="auto" w:before="0" w:after="0"/>
        <w:ind w:left="547" w:right="2112" w:firstLine="0"/>
        <w:jc w:val="left"/>
        <w:rPr>
          <w:sz w:val="20"/>
        </w:rPr>
      </w:pPr>
      <w:r>
        <w:rPr>
          <w:w w:val="120"/>
          <w:sz w:val="20"/>
        </w:rPr>
        <w:t>The matters therefore came to Mission Council in March </w:t>
      </w:r>
      <w:r>
        <w:rPr>
          <w:spacing w:val="-6"/>
          <w:w w:val="120"/>
          <w:sz w:val="20"/>
        </w:rPr>
        <w:t>2016, </w:t>
      </w:r>
      <w:r>
        <w:rPr>
          <w:w w:val="120"/>
          <w:sz w:val="20"/>
        </w:rPr>
        <w:t>where they received final approval. Mission Council thus acted on behalf of General Assembly, and made these changes in the Structure of the Church, with immediate</w:t>
      </w:r>
      <w:r>
        <w:rPr>
          <w:spacing w:val="28"/>
          <w:w w:val="120"/>
          <w:sz w:val="20"/>
        </w:rPr>
        <w:t> </w:t>
      </w:r>
      <w:r>
        <w:rPr>
          <w:w w:val="120"/>
          <w:sz w:val="20"/>
        </w:rPr>
        <w:t>effect.</w:t>
      </w:r>
    </w:p>
    <w:p>
      <w:pPr>
        <w:pStyle w:val="BodyText"/>
        <w:spacing w:before="10"/>
        <w:rPr>
          <w:sz w:val="19"/>
        </w:rPr>
      </w:pPr>
    </w:p>
    <w:p>
      <w:pPr>
        <w:pStyle w:val="ListParagraph"/>
        <w:numPr>
          <w:ilvl w:val="0"/>
          <w:numId w:val="14"/>
        </w:numPr>
        <w:tabs>
          <w:tab w:pos="1227" w:val="left" w:leader="none"/>
          <w:tab w:pos="1228" w:val="left" w:leader="none"/>
        </w:tabs>
        <w:spacing w:line="235" w:lineRule="auto" w:before="0" w:after="0"/>
        <w:ind w:left="547" w:right="2082" w:firstLine="0"/>
        <w:jc w:val="left"/>
        <w:rPr>
          <w:sz w:val="20"/>
        </w:rPr>
      </w:pPr>
      <w:r>
        <w:rPr>
          <w:w w:val="120"/>
          <w:sz w:val="20"/>
        </w:rPr>
        <w:t>There were two further </w:t>
      </w:r>
      <w:r>
        <w:rPr>
          <w:spacing w:val="2"/>
          <w:w w:val="120"/>
          <w:sz w:val="20"/>
        </w:rPr>
        <w:t>parts </w:t>
      </w:r>
      <w:r>
        <w:rPr>
          <w:w w:val="120"/>
          <w:sz w:val="20"/>
        </w:rPr>
        <w:t>of Resolution </w:t>
      </w:r>
      <w:r>
        <w:rPr>
          <w:spacing w:val="-8"/>
          <w:w w:val="120"/>
          <w:sz w:val="20"/>
        </w:rPr>
        <w:t>19 </w:t>
      </w:r>
      <w:r>
        <w:rPr>
          <w:w w:val="120"/>
          <w:sz w:val="20"/>
        </w:rPr>
        <w:t>– </w:t>
      </w:r>
      <w:r>
        <w:rPr>
          <w:spacing w:val="-5"/>
          <w:w w:val="120"/>
          <w:sz w:val="20"/>
        </w:rPr>
        <w:t>B(3) </w:t>
      </w:r>
      <w:r>
        <w:rPr>
          <w:w w:val="120"/>
          <w:sz w:val="20"/>
        </w:rPr>
        <w:t>and </w:t>
      </w:r>
      <w:r>
        <w:rPr>
          <w:spacing w:val="-7"/>
          <w:w w:val="120"/>
          <w:sz w:val="20"/>
        </w:rPr>
        <w:t>B(4) </w:t>
      </w:r>
      <w:r>
        <w:rPr>
          <w:w w:val="120"/>
          <w:sz w:val="20"/>
        </w:rPr>
        <w:t>– that the </w:t>
      </w:r>
      <w:r>
        <w:rPr>
          <w:spacing w:val="-7"/>
          <w:w w:val="120"/>
          <w:sz w:val="20"/>
        </w:rPr>
        <w:t>2014 </w:t>
      </w:r>
      <w:r>
        <w:rPr>
          <w:w w:val="120"/>
          <w:sz w:val="20"/>
        </w:rPr>
        <w:t>Assembly had wished to refer to the synods. In the event Mission Council, acting on behalf of General Assembly, decided not to refer these at the moment, because both  of them are linked to resolutions that were not passed at Cardiff in </w:t>
      </w:r>
      <w:r>
        <w:rPr>
          <w:spacing w:val="-6"/>
          <w:w w:val="120"/>
          <w:sz w:val="20"/>
        </w:rPr>
        <w:t>2014. </w:t>
      </w:r>
      <w:r>
        <w:rPr>
          <w:w w:val="120"/>
          <w:sz w:val="20"/>
        </w:rPr>
        <w:t>Resolution </w:t>
      </w:r>
      <w:r>
        <w:rPr>
          <w:spacing w:val="-8"/>
          <w:w w:val="120"/>
          <w:sz w:val="20"/>
        </w:rPr>
        <w:t>19 </w:t>
      </w:r>
      <w:r>
        <w:rPr>
          <w:w w:val="120"/>
          <w:sz w:val="20"/>
        </w:rPr>
        <w:t>had been originally designed as a package, and not all of its fragments can helpfully be considered on their</w:t>
      </w:r>
      <w:r>
        <w:rPr>
          <w:spacing w:val="6"/>
          <w:w w:val="120"/>
          <w:sz w:val="20"/>
        </w:rPr>
        <w:t> </w:t>
      </w:r>
      <w:r>
        <w:rPr>
          <w:w w:val="120"/>
          <w:sz w:val="20"/>
        </w:rPr>
        <w:t>own.</w:t>
      </w:r>
    </w:p>
    <w:p>
      <w:pPr>
        <w:pStyle w:val="BodyText"/>
      </w:pPr>
    </w:p>
    <w:p>
      <w:pPr>
        <w:pStyle w:val="ListParagraph"/>
        <w:numPr>
          <w:ilvl w:val="0"/>
          <w:numId w:val="14"/>
        </w:numPr>
        <w:tabs>
          <w:tab w:pos="1227" w:val="left" w:leader="none"/>
          <w:tab w:pos="1228" w:val="left" w:leader="none"/>
        </w:tabs>
        <w:spacing w:line="235" w:lineRule="auto" w:before="1" w:after="0"/>
        <w:ind w:left="547" w:right="2506" w:firstLine="0"/>
        <w:jc w:val="left"/>
        <w:rPr>
          <w:sz w:val="20"/>
        </w:rPr>
      </w:pPr>
      <w:r>
        <w:rPr>
          <w:w w:val="120"/>
          <w:sz w:val="20"/>
        </w:rPr>
        <w:t>Resolution </w:t>
      </w:r>
      <w:r>
        <w:rPr>
          <w:spacing w:val="-7"/>
          <w:w w:val="120"/>
          <w:sz w:val="20"/>
        </w:rPr>
        <w:t>19B(4) </w:t>
      </w:r>
      <w:r>
        <w:rPr>
          <w:w w:val="120"/>
          <w:sz w:val="20"/>
        </w:rPr>
        <w:t>was linked to Resolution </w:t>
      </w:r>
      <w:r>
        <w:rPr>
          <w:spacing w:val="-4"/>
          <w:w w:val="120"/>
          <w:sz w:val="20"/>
        </w:rPr>
        <w:t>19A, </w:t>
      </w:r>
      <w:r>
        <w:rPr>
          <w:w w:val="120"/>
          <w:sz w:val="20"/>
        </w:rPr>
        <w:t>which was deferred by the Cardiff Assembly. Both concern the representation at Assembly of the Synod of Scotland, which they would together have reduced. Following the </w:t>
      </w:r>
      <w:r>
        <w:rPr>
          <w:spacing w:val="2"/>
          <w:w w:val="120"/>
          <w:sz w:val="20"/>
        </w:rPr>
        <w:t>report </w:t>
      </w:r>
      <w:r>
        <w:rPr>
          <w:w w:val="120"/>
          <w:sz w:val="20"/>
        </w:rPr>
        <w:t>of the National Synods task group, Mission Council withdrew </w:t>
      </w:r>
      <w:r>
        <w:rPr>
          <w:spacing w:val="-8"/>
          <w:w w:val="120"/>
          <w:sz w:val="20"/>
        </w:rPr>
        <w:t>19A </w:t>
      </w:r>
      <w:r>
        <w:rPr>
          <w:w w:val="120"/>
          <w:sz w:val="20"/>
        </w:rPr>
        <w:t>and agreed not to refer </w:t>
      </w:r>
      <w:r>
        <w:rPr>
          <w:spacing w:val="-7"/>
          <w:w w:val="120"/>
          <w:sz w:val="20"/>
        </w:rPr>
        <w:t>19B(4) </w:t>
      </w:r>
      <w:r>
        <w:rPr>
          <w:w w:val="120"/>
          <w:sz w:val="20"/>
        </w:rPr>
        <w:t>to</w:t>
      </w:r>
      <w:r>
        <w:rPr>
          <w:spacing w:val="11"/>
          <w:w w:val="120"/>
          <w:sz w:val="20"/>
        </w:rPr>
        <w:t> </w:t>
      </w:r>
      <w:r>
        <w:rPr>
          <w:w w:val="120"/>
          <w:sz w:val="20"/>
        </w:rPr>
        <w:t>Synods.</w:t>
      </w:r>
    </w:p>
    <w:p>
      <w:pPr>
        <w:pStyle w:val="BodyText"/>
        <w:spacing w:before="11"/>
        <w:rPr>
          <w:sz w:val="19"/>
        </w:rPr>
      </w:pPr>
    </w:p>
    <w:p>
      <w:pPr>
        <w:pStyle w:val="ListParagraph"/>
        <w:numPr>
          <w:ilvl w:val="0"/>
          <w:numId w:val="14"/>
        </w:numPr>
        <w:tabs>
          <w:tab w:pos="1227" w:val="left" w:leader="none"/>
          <w:tab w:pos="1228" w:val="left" w:leader="none"/>
        </w:tabs>
        <w:spacing w:line="235" w:lineRule="auto" w:before="0" w:after="0"/>
        <w:ind w:left="547" w:right="2206" w:firstLine="0"/>
        <w:jc w:val="left"/>
        <w:rPr>
          <w:sz w:val="20"/>
        </w:rPr>
      </w:pPr>
      <w:r>
        <w:rPr>
          <w:w w:val="120"/>
          <w:sz w:val="20"/>
        </w:rPr>
        <w:t>Resolution </w:t>
      </w:r>
      <w:r>
        <w:rPr>
          <w:spacing w:val="-6"/>
          <w:w w:val="120"/>
          <w:sz w:val="20"/>
        </w:rPr>
        <w:t>19B(3) </w:t>
      </w:r>
      <w:r>
        <w:rPr>
          <w:w w:val="120"/>
          <w:sz w:val="20"/>
        </w:rPr>
        <w:t>was linked to </w:t>
      </w:r>
      <w:r>
        <w:rPr>
          <w:spacing w:val="-7"/>
          <w:w w:val="120"/>
          <w:sz w:val="20"/>
        </w:rPr>
        <w:t>19B(1), </w:t>
      </w:r>
      <w:r>
        <w:rPr>
          <w:w w:val="120"/>
          <w:sz w:val="20"/>
        </w:rPr>
        <w:t>which was withdrawn at Cardiff, and to </w:t>
      </w:r>
      <w:r>
        <w:rPr>
          <w:spacing w:val="-6"/>
          <w:w w:val="120"/>
          <w:sz w:val="20"/>
        </w:rPr>
        <w:t>19B(5), </w:t>
      </w:r>
      <w:r>
        <w:rPr>
          <w:w w:val="120"/>
          <w:sz w:val="20"/>
        </w:rPr>
        <w:t>which was deferred; all of these concern the question of whether members of General Assembly must also be members of the URC. Since the Cardiff Assembly had not come to decision on </w:t>
      </w:r>
      <w:r>
        <w:rPr>
          <w:spacing w:val="-7"/>
          <w:w w:val="120"/>
          <w:sz w:val="20"/>
        </w:rPr>
        <w:t>B(1) </w:t>
      </w:r>
      <w:r>
        <w:rPr>
          <w:w w:val="120"/>
          <w:sz w:val="20"/>
        </w:rPr>
        <w:t>or </w:t>
      </w:r>
      <w:r>
        <w:rPr>
          <w:spacing w:val="-6"/>
          <w:w w:val="120"/>
          <w:sz w:val="20"/>
        </w:rPr>
        <w:t>B(5),  </w:t>
      </w:r>
      <w:r>
        <w:rPr>
          <w:w w:val="120"/>
          <w:sz w:val="20"/>
        </w:rPr>
        <w:t>Mission Council paused consideration of </w:t>
      </w:r>
      <w:r>
        <w:rPr>
          <w:spacing w:val="-5"/>
          <w:w w:val="120"/>
          <w:sz w:val="20"/>
        </w:rPr>
        <w:t>B(3) </w:t>
      </w:r>
      <w:r>
        <w:rPr>
          <w:w w:val="120"/>
          <w:sz w:val="20"/>
        </w:rPr>
        <w:t>until further work is done on membership. It is now hoped that the faith and order committee’s work on ‘The Wider Fold’ will be helpful in this</w:t>
      </w:r>
      <w:r>
        <w:rPr>
          <w:spacing w:val="34"/>
          <w:w w:val="120"/>
          <w:sz w:val="20"/>
        </w:rPr>
        <w:t> </w:t>
      </w:r>
      <w:r>
        <w:rPr>
          <w:w w:val="120"/>
          <w:sz w:val="20"/>
        </w:rPr>
        <w:t>regard.</w:t>
      </w:r>
    </w:p>
    <w:p>
      <w:pPr>
        <w:spacing w:after="0" w:line="235" w:lineRule="auto"/>
        <w:jc w:val="left"/>
        <w:rPr>
          <w:sz w:val="20"/>
        </w:rPr>
        <w:sectPr>
          <w:headerReference w:type="even" r:id="rId118"/>
          <w:footerReference w:type="even" r:id="rId119"/>
          <w:pgSz w:w="11910" w:h="16840"/>
          <w:pgMar w:header="0" w:footer="647" w:top="0" w:bottom="840" w:left="700" w:right="0"/>
          <w:pgNumType w:start="26"/>
        </w:sectPr>
      </w:pPr>
    </w:p>
    <w:p>
      <w:pPr>
        <w:pStyle w:val="BodyText"/>
      </w:pPr>
      <w:r>
        <w:rPr/>
        <w:pict>
          <v:rect style="position:absolute;margin-left:0pt;margin-top:.000015pt;width:549.207pt;height:841.89pt;mso-position-horizontal-relative:page;mso-position-vertical-relative:page;z-index:-268040192" filled="true" fillcolor="#fef4df" stroked="false">
            <v:fill type="solid"/>
            <w10:wrap type="none"/>
          </v:rect>
        </w:pict>
      </w:r>
      <w:r>
        <w:rPr/>
        <w:drawing>
          <wp:anchor distT="0" distB="0" distL="0" distR="0" allowOverlap="1" layoutInCell="1" locked="0" behindDoc="0" simplePos="0" relativeHeight="251730944">
            <wp:simplePos x="0" y="0"/>
            <wp:positionH relativeFrom="page">
              <wp:posOffset>6974928</wp:posOffset>
            </wp:positionH>
            <wp:positionV relativeFrom="page">
              <wp:posOffset>0</wp:posOffset>
            </wp:positionV>
            <wp:extent cx="585063" cy="10692003"/>
            <wp:effectExtent l="0" t="0" r="0" b="0"/>
            <wp:wrapNone/>
            <wp:docPr id="43" name="image27.png"/>
            <wp:cNvGraphicFramePr>
              <a:graphicFrameLocks noChangeAspect="1"/>
            </wp:cNvGraphicFramePr>
            <a:graphic>
              <a:graphicData uri="http://schemas.openxmlformats.org/drawingml/2006/picture">
                <pic:pic>
                  <pic:nvPicPr>
                    <pic:cNvPr id="44" name="image27.png"/>
                    <pic:cNvPicPr/>
                  </pic:nvPicPr>
                  <pic:blipFill>
                    <a:blip r:embed="rId34" cstate="print"/>
                    <a:stretch>
                      <a:fillRect/>
                    </a:stretch>
                  </pic:blipFill>
                  <pic:spPr>
                    <a:xfrm>
                      <a:off x="0" y="0"/>
                      <a:ext cx="585063" cy="10692003"/>
                    </a:xfrm>
                    <a:prstGeom prst="rect">
                      <a:avLst/>
                    </a:prstGeom>
                  </pic:spPr>
                </pic:pic>
              </a:graphicData>
            </a:graphic>
          </wp:anchor>
        </w:drawing>
      </w:r>
    </w:p>
    <w:p>
      <w:pPr>
        <w:pStyle w:val="BodyText"/>
      </w:pPr>
    </w:p>
    <w:p>
      <w:pPr>
        <w:pStyle w:val="BodyText"/>
      </w:pPr>
    </w:p>
    <w:p>
      <w:pPr>
        <w:pStyle w:val="BodyText"/>
        <w:spacing w:before="5"/>
        <w:rPr>
          <w:sz w:val="28"/>
        </w:rPr>
      </w:pPr>
    </w:p>
    <w:p>
      <w:pPr>
        <w:spacing w:line="638" w:lineRule="exact" w:before="97"/>
        <w:ind w:left="1043" w:right="0" w:firstLine="0"/>
        <w:jc w:val="left"/>
        <w:rPr>
          <w:rFonts w:ascii="Stone Sans II ITC Std X Bd"/>
          <w:b/>
          <w:sz w:val="50"/>
        </w:rPr>
      </w:pPr>
      <w:r>
        <w:rPr/>
        <w:pict>
          <v:shape style="position:absolute;margin-left:554.141174pt;margin-top:-5.998084pt;width:25.9pt;height:346.05pt;mso-position-horizontal-relative:page;mso-position-vertical-relative:paragraph;z-index:251731968" type="#_x0000_t202" filled="false" stroked="false">
            <v:textbox inset="0,0,0,0" style="layout-flow:vertical">
              <w:txbxContent>
                <w:p>
                  <w:pPr>
                    <w:spacing w:before="27"/>
                    <w:ind w:left="20" w:right="0" w:firstLine="0"/>
                    <w:jc w:val="left"/>
                    <w:rPr>
                      <w:sz w:val="39"/>
                    </w:rPr>
                  </w:pPr>
                  <w:r>
                    <w:rPr>
                      <w:color w:val="FFFFFF"/>
                      <w:w w:val="120"/>
                      <w:sz w:val="39"/>
                    </w:rPr>
                    <w:t>Resolutions referred to synods (B)</w:t>
                  </w:r>
                </w:p>
              </w:txbxContent>
            </v:textbox>
            <w10:wrap type="none"/>
          </v:shape>
        </w:pict>
      </w:r>
      <w:r>
        <w:rPr>
          <w:rFonts w:ascii="Stone Sans II ITC Std X Bd"/>
          <w:b/>
          <w:color w:val="F1B400"/>
          <w:w w:val="110"/>
          <w:sz w:val="50"/>
        </w:rPr>
        <w:t>Mission Council:</w:t>
      </w:r>
    </w:p>
    <w:p>
      <w:pPr>
        <w:spacing w:line="638" w:lineRule="exact" w:before="0"/>
        <w:ind w:left="1043" w:right="0" w:firstLine="0"/>
        <w:jc w:val="left"/>
        <w:rPr>
          <w:rFonts w:ascii="Stone Sans II ITC Std X Bd"/>
          <w:b/>
          <w:sz w:val="50"/>
        </w:rPr>
      </w:pPr>
      <w:r>
        <w:rPr>
          <w:rFonts w:ascii="Stone Sans II ITC Std X Bd"/>
          <w:b/>
          <w:w w:val="110"/>
          <w:sz w:val="50"/>
        </w:rPr>
        <w:t>(B): ministerial candidacy</w:t>
      </w:r>
    </w:p>
    <w:p>
      <w:pPr>
        <w:pStyle w:val="Heading4"/>
        <w:spacing w:before="148"/>
        <w:ind w:left="1043"/>
      </w:pPr>
      <w:r>
        <w:rPr>
          <w:color w:val="7F7F7F"/>
        </w:rPr>
        <w:t>Basic Information</w:t>
      </w:r>
    </w:p>
    <w:tbl>
      <w:tblPr>
        <w:tblW w:w="0" w:type="auto"/>
        <w:jc w:val="left"/>
        <w:tblInd w:w="105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660"/>
        <w:gridCol w:w="6582"/>
      </w:tblGrid>
      <w:tr>
        <w:trPr>
          <w:trHeight w:val="680" w:hRule="atLeast"/>
        </w:trPr>
        <w:tc>
          <w:tcPr>
            <w:tcW w:w="2660" w:type="dxa"/>
            <w:shd w:val="clear" w:color="auto" w:fill="FFFFFF"/>
          </w:tcPr>
          <w:p>
            <w:pPr>
              <w:pStyle w:val="TableParagraph"/>
              <w:spacing w:line="213" w:lineRule="auto" w:before="151"/>
              <w:ind w:right="595"/>
              <w:rPr>
                <w:rFonts w:ascii="Stone Sans II ITC Std Bk"/>
                <w:b/>
                <w:sz w:val="20"/>
              </w:rPr>
            </w:pPr>
            <w:r>
              <w:rPr>
                <w:rFonts w:ascii="Stone Sans II ITC Std Bk"/>
                <w:b/>
                <w:w w:val="110"/>
                <w:sz w:val="20"/>
              </w:rPr>
              <w:t>Contact name and email address</w:t>
            </w:r>
          </w:p>
        </w:tc>
        <w:tc>
          <w:tcPr>
            <w:tcW w:w="6582" w:type="dxa"/>
            <w:shd w:val="clear" w:color="auto" w:fill="FFFFFF"/>
          </w:tcPr>
          <w:p>
            <w:pPr>
              <w:pStyle w:val="TableParagraph"/>
              <w:spacing w:before="141"/>
              <w:rPr>
                <w:sz w:val="20"/>
              </w:rPr>
            </w:pPr>
            <w:r>
              <w:rPr>
                <w:w w:val="120"/>
                <w:sz w:val="20"/>
              </w:rPr>
              <w:t>John Proctor: </w:t>
            </w:r>
            <w:hyperlink r:id="rId60">
              <w:r>
                <w:rPr>
                  <w:color w:val="006AB3"/>
                  <w:w w:val="120"/>
                  <w:sz w:val="20"/>
                </w:rPr>
                <w:t>john.proctor@urc.org.uk</w:t>
              </w:r>
            </w:hyperlink>
          </w:p>
        </w:tc>
      </w:tr>
      <w:tr>
        <w:trPr>
          <w:trHeight w:val="440" w:hRule="atLeast"/>
        </w:trPr>
        <w:tc>
          <w:tcPr>
            <w:tcW w:w="2660" w:type="dxa"/>
            <w:shd w:val="clear" w:color="auto" w:fill="FFFFFF"/>
          </w:tcPr>
          <w:p>
            <w:pPr>
              <w:pStyle w:val="TableParagraph"/>
              <w:spacing w:before="128"/>
              <w:rPr>
                <w:rFonts w:ascii="Stone Sans II ITC Std Bk"/>
                <w:b/>
                <w:sz w:val="20"/>
              </w:rPr>
            </w:pPr>
            <w:r>
              <w:rPr>
                <w:rFonts w:ascii="Stone Sans II ITC Std Bk"/>
                <w:b/>
                <w:w w:val="110"/>
                <w:sz w:val="20"/>
              </w:rPr>
              <w:t>Action required</w:t>
            </w:r>
          </w:p>
        </w:tc>
        <w:tc>
          <w:tcPr>
            <w:tcW w:w="6582" w:type="dxa"/>
            <w:shd w:val="clear" w:color="auto" w:fill="FFFFFF"/>
          </w:tcPr>
          <w:p>
            <w:pPr>
              <w:pStyle w:val="TableParagraph"/>
              <w:spacing w:before="141"/>
              <w:rPr>
                <w:sz w:val="20"/>
              </w:rPr>
            </w:pPr>
            <w:r>
              <w:rPr>
                <w:w w:val="120"/>
                <w:sz w:val="20"/>
              </w:rPr>
              <w:t>Decision</w:t>
            </w:r>
          </w:p>
        </w:tc>
      </w:tr>
      <w:tr>
        <w:trPr>
          <w:trHeight w:val="9080" w:hRule="atLeast"/>
        </w:trPr>
        <w:tc>
          <w:tcPr>
            <w:tcW w:w="2660" w:type="dxa"/>
            <w:shd w:val="clear" w:color="auto" w:fill="FFFFFF"/>
          </w:tcPr>
          <w:p>
            <w:pPr>
              <w:pStyle w:val="TableParagraph"/>
              <w:spacing w:before="128"/>
              <w:rPr>
                <w:rFonts w:ascii="Stone Sans II ITC Std Bk"/>
                <w:b/>
                <w:sz w:val="20"/>
              </w:rPr>
            </w:pPr>
            <w:r>
              <w:rPr>
                <w:rFonts w:ascii="Stone Sans II ITC Std Bk"/>
                <w:b/>
                <w:w w:val="110"/>
                <w:sz w:val="20"/>
              </w:rPr>
              <w:t>Draft resolution(s)</w:t>
            </w:r>
          </w:p>
        </w:tc>
        <w:tc>
          <w:tcPr>
            <w:tcW w:w="6582" w:type="dxa"/>
            <w:shd w:val="clear" w:color="auto" w:fill="FFFFFF"/>
          </w:tcPr>
          <w:p>
            <w:pPr>
              <w:pStyle w:val="TableParagraph"/>
              <w:tabs>
                <w:tab w:pos="760" w:val="left" w:leader="none"/>
              </w:tabs>
              <w:spacing w:line="213" w:lineRule="auto" w:before="151"/>
              <w:ind w:right="580"/>
              <w:rPr>
                <w:rFonts w:ascii="Stone Sans II ITC Std Bk"/>
                <w:b/>
                <w:sz w:val="20"/>
              </w:rPr>
            </w:pPr>
            <w:r>
              <w:rPr>
                <w:rFonts w:ascii="Stone Sans II ITC Std Bk"/>
                <w:b/>
                <w:spacing w:val="-3"/>
                <w:w w:val="110"/>
                <w:sz w:val="20"/>
              </w:rPr>
              <w:t>5.</w:t>
              <w:tab/>
            </w:r>
            <w:r>
              <w:rPr>
                <w:rFonts w:ascii="Stone Sans II ITC Std Bk"/>
                <w:b/>
                <w:w w:val="110"/>
                <w:sz w:val="20"/>
              </w:rPr>
              <w:t>General Assembly resolves to make the following changes to the</w:t>
            </w:r>
            <w:r>
              <w:rPr>
                <w:rFonts w:ascii="Stone Sans II ITC Std Bk"/>
                <w:b/>
                <w:spacing w:val="-1"/>
                <w:w w:val="110"/>
                <w:sz w:val="20"/>
              </w:rPr>
              <w:t> </w:t>
            </w:r>
            <w:r>
              <w:rPr>
                <w:rFonts w:ascii="Stone Sans II ITC Std Bk"/>
                <w:b/>
                <w:w w:val="110"/>
                <w:sz w:val="20"/>
              </w:rPr>
              <w:t>Structure:</w:t>
            </w:r>
          </w:p>
          <w:p>
            <w:pPr>
              <w:pStyle w:val="TableParagraph"/>
              <w:spacing w:line="232" w:lineRule="exact"/>
              <w:rPr>
                <w:rFonts w:ascii="Stone Sans II ITC Std Bk"/>
                <w:b/>
                <w:sz w:val="20"/>
              </w:rPr>
            </w:pPr>
            <w:r>
              <w:rPr>
                <w:rFonts w:ascii="Stone Sans II ITC Std Bk"/>
                <w:b/>
                <w:w w:val="110"/>
                <w:sz w:val="20"/>
              </w:rPr>
              <w:t>Functions of synods:</w:t>
            </w:r>
          </w:p>
          <w:p>
            <w:pPr>
              <w:pStyle w:val="TableParagraph"/>
              <w:spacing w:line="246" w:lineRule="exact"/>
              <w:rPr>
                <w:rFonts w:ascii="Stone Sans II ITC Std Bk"/>
                <w:b/>
                <w:sz w:val="20"/>
              </w:rPr>
            </w:pPr>
            <w:r>
              <w:rPr>
                <w:rFonts w:ascii="Stone Sans II ITC Std Bk"/>
                <w:b/>
                <w:w w:val="110"/>
                <w:sz w:val="20"/>
              </w:rPr>
              <w:t>2(4)(A)(xvi) Present version:</w:t>
            </w:r>
          </w:p>
          <w:p>
            <w:pPr>
              <w:pStyle w:val="TableParagraph"/>
              <w:spacing w:line="235" w:lineRule="auto"/>
              <w:ind w:right="580"/>
              <w:rPr>
                <w:sz w:val="20"/>
              </w:rPr>
            </w:pPr>
            <w:r>
              <w:rPr>
                <w:w w:val="120"/>
                <w:sz w:val="20"/>
              </w:rPr>
              <w:t>to give oversight to candidates for the Ministries of Word and Sacraments and church related community work and to candidates for any form of full-time service in the Church at</w:t>
            </w:r>
          </w:p>
          <w:p>
            <w:pPr>
              <w:pStyle w:val="TableParagraph"/>
              <w:spacing w:line="235" w:lineRule="auto"/>
              <w:rPr>
                <w:sz w:val="20"/>
              </w:rPr>
            </w:pPr>
            <w:r>
              <w:rPr>
                <w:w w:val="120"/>
                <w:sz w:val="20"/>
              </w:rPr>
              <w:t>home and abroad, and, in the case of candidates for the above ministries, determine their eligibility for a call</w:t>
            </w:r>
          </w:p>
          <w:p>
            <w:pPr>
              <w:pStyle w:val="TableParagraph"/>
              <w:spacing w:line="240" w:lineRule="exact"/>
              <w:rPr>
                <w:rFonts w:ascii="Stone Sans II ITC Std Bk"/>
                <w:b/>
                <w:sz w:val="20"/>
              </w:rPr>
            </w:pPr>
            <w:r>
              <w:rPr>
                <w:rFonts w:ascii="Stone Sans II ITC Std Bk"/>
                <w:b/>
                <w:w w:val="110"/>
                <w:sz w:val="20"/>
              </w:rPr>
              <w:t>New version:</w:t>
            </w:r>
          </w:p>
          <w:p>
            <w:pPr>
              <w:pStyle w:val="TableParagraph"/>
              <w:spacing w:line="213" w:lineRule="auto" w:before="4"/>
              <w:ind w:right="580"/>
              <w:rPr>
                <w:rFonts w:ascii="Stone Sans II ITC Std Bk"/>
                <w:b/>
                <w:sz w:val="20"/>
              </w:rPr>
            </w:pPr>
            <w:r>
              <w:rPr>
                <w:rFonts w:ascii="Stone Sans II ITC Std Bk"/>
                <w:b/>
                <w:w w:val="110"/>
                <w:sz w:val="20"/>
              </w:rPr>
              <w:t>to consider on the recommendation of local churches applications for recognition as candidates for the Ministries of Word and Sacraments and church related community work and to transmit them, if approved, to the Assembly for decision, and, in partnership with the relevant Resource Centre for Learning, to give pastoral care to such candidates during their training.</w:t>
            </w:r>
          </w:p>
          <w:p>
            <w:pPr>
              <w:pStyle w:val="TableParagraph"/>
              <w:spacing w:before="5"/>
              <w:ind w:left="0"/>
              <w:rPr>
                <w:rFonts w:ascii="Stone Sans II ITC Std Bk"/>
                <w:b/>
                <w:sz w:val="17"/>
              </w:rPr>
            </w:pPr>
          </w:p>
          <w:p>
            <w:pPr>
              <w:pStyle w:val="TableParagraph"/>
              <w:spacing w:line="213" w:lineRule="auto" w:before="1"/>
              <w:ind w:right="2089"/>
              <w:rPr>
                <w:rFonts w:ascii="Stone Sans II ITC Std Bk"/>
                <w:b/>
                <w:sz w:val="20"/>
              </w:rPr>
            </w:pPr>
            <w:r>
              <w:rPr>
                <w:rFonts w:ascii="Stone Sans II ITC Std Bk"/>
                <w:b/>
                <w:w w:val="110"/>
                <w:sz w:val="20"/>
              </w:rPr>
              <w:t>Functions of Ecumenical United Areas: 2(5)(A)(vi) Present version:</w:t>
            </w:r>
          </w:p>
          <w:p>
            <w:pPr>
              <w:pStyle w:val="TableParagraph"/>
              <w:spacing w:line="232" w:lineRule="auto"/>
              <w:ind w:right="422"/>
              <w:rPr>
                <w:rFonts w:ascii="Stone Sans II ITC Std Bk"/>
                <w:b/>
                <w:sz w:val="20"/>
              </w:rPr>
            </w:pPr>
            <w:r>
              <w:rPr>
                <w:w w:val="120"/>
                <w:sz w:val="20"/>
              </w:rPr>
              <w:t>to consider, on the recommendation of Local Churches, applications for recognition as candidates for the Ministries  of Word and Sacraments and church related community work and to transmit them, if approved, to the synod for decision. </w:t>
            </w:r>
            <w:r>
              <w:rPr>
                <w:rFonts w:ascii="Stone Sans II ITC Std Bk"/>
                <w:b/>
                <w:w w:val="120"/>
                <w:sz w:val="20"/>
              </w:rPr>
              <w:t>New</w:t>
            </w:r>
            <w:r>
              <w:rPr>
                <w:rFonts w:ascii="Stone Sans II ITC Std Bk"/>
                <w:b/>
                <w:spacing w:val="-8"/>
                <w:w w:val="120"/>
                <w:sz w:val="20"/>
              </w:rPr>
              <w:t> </w:t>
            </w:r>
            <w:r>
              <w:rPr>
                <w:rFonts w:ascii="Stone Sans II ITC Std Bk"/>
                <w:b/>
                <w:w w:val="120"/>
                <w:sz w:val="20"/>
              </w:rPr>
              <w:t>version:</w:t>
            </w:r>
          </w:p>
          <w:p>
            <w:pPr>
              <w:pStyle w:val="TableParagraph"/>
              <w:spacing w:line="213" w:lineRule="auto"/>
              <w:ind w:right="567"/>
              <w:rPr>
                <w:rFonts w:ascii="Stone Sans II ITC Std Bk"/>
                <w:b/>
                <w:sz w:val="20"/>
              </w:rPr>
            </w:pPr>
            <w:r>
              <w:rPr>
                <w:rFonts w:ascii="Stone Sans II ITC Std Bk"/>
                <w:b/>
                <w:w w:val="110"/>
                <w:sz w:val="20"/>
              </w:rPr>
              <w:t>to consider, on the recommendation of Local Churches, applications for recognition as candidates for the Ministries of Word and Sacraments and church related community work and to transmit them to the synod.</w:t>
            </w:r>
          </w:p>
          <w:p>
            <w:pPr>
              <w:pStyle w:val="TableParagraph"/>
              <w:spacing w:line="255" w:lineRule="exact" w:before="204"/>
              <w:rPr>
                <w:rFonts w:ascii="Stone Sans II ITC Std Bk"/>
                <w:b/>
                <w:sz w:val="20"/>
              </w:rPr>
            </w:pPr>
            <w:r>
              <w:rPr>
                <w:rFonts w:ascii="Stone Sans II ITC Std Bk"/>
                <w:b/>
                <w:w w:val="110"/>
                <w:sz w:val="20"/>
              </w:rPr>
              <w:t>Functions of General Assembly:</w:t>
            </w:r>
          </w:p>
          <w:p>
            <w:pPr>
              <w:pStyle w:val="TableParagraph"/>
              <w:spacing w:line="213" w:lineRule="auto" w:before="7"/>
              <w:ind w:right="1443"/>
              <w:rPr>
                <w:rFonts w:ascii="Stone Sans II ITC Std Bk"/>
                <w:b/>
                <w:sz w:val="20"/>
              </w:rPr>
            </w:pPr>
            <w:r>
              <w:rPr>
                <w:rFonts w:ascii="Stone Sans II ITC Std Bk"/>
                <w:b/>
                <w:w w:val="110"/>
                <w:sz w:val="20"/>
              </w:rPr>
              <w:t>New function [numbering to be determined]: to consider, on the recommendation of synods,</w:t>
            </w:r>
          </w:p>
          <w:p>
            <w:pPr>
              <w:pStyle w:val="TableParagraph"/>
              <w:spacing w:line="213" w:lineRule="auto"/>
              <w:ind w:right="280"/>
              <w:rPr>
                <w:rFonts w:ascii="Stone Sans II ITC Std Bk"/>
                <w:b/>
                <w:sz w:val="20"/>
              </w:rPr>
            </w:pPr>
            <w:r>
              <w:rPr>
                <w:rFonts w:ascii="Stone Sans II ITC Std Bk"/>
                <w:b/>
                <w:w w:val="110"/>
                <w:sz w:val="20"/>
              </w:rPr>
              <w:t>applications for recognition as candidates for the Ministries of Word and Sacraments and church related community work, to oversee their training, and to determine their eligibility for a call.</w:t>
            </w:r>
          </w:p>
        </w:tc>
      </w:tr>
    </w:tbl>
    <w:p>
      <w:pPr>
        <w:pStyle w:val="Heading4"/>
        <w:spacing w:before="216"/>
        <w:ind w:left="1043"/>
      </w:pPr>
      <w:r>
        <w:rPr>
          <w:color w:val="7F7F7F"/>
        </w:rPr>
        <w:t>Summary of Content</w:t>
      </w:r>
    </w:p>
    <w:tbl>
      <w:tblPr>
        <w:tblW w:w="0" w:type="auto"/>
        <w:jc w:val="left"/>
        <w:tblInd w:w="105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660"/>
        <w:gridCol w:w="6582"/>
      </w:tblGrid>
      <w:tr>
        <w:trPr>
          <w:trHeight w:val="440" w:hRule="atLeast"/>
        </w:trPr>
        <w:tc>
          <w:tcPr>
            <w:tcW w:w="2660" w:type="dxa"/>
            <w:shd w:val="clear" w:color="auto" w:fill="FFFFFF"/>
          </w:tcPr>
          <w:p>
            <w:pPr>
              <w:pStyle w:val="TableParagraph"/>
              <w:spacing w:before="128"/>
              <w:rPr>
                <w:rFonts w:ascii="Stone Sans II ITC Std Bk"/>
                <w:b/>
                <w:sz w:val="20"/>
              </w:rPr>
            </w:pPr>
            <w:r>
              <w:rPr>
                <w:rFonts w:ascii="Stone Sans II ITC Std Bk"/>
                <w:b/>
                <w:w w:val="110"/>
                <w:sz w:val="20"/>
              </w:rPr>
              <w:t>Subject and aim(s)</w:t>
            </w:r>
          </w:p>
        </w:tc>
        <w:tc>
          <w:tcPr>
            <w:tcW w:w="6582" w:type="dxa"/>
            <w:shd w:val="clear" w:color="auto" w:fill="FFFFFF"/>
          </w:tcPr>
          <w:p>
            <w:pPr>
              <w:pStyle w:val="TableParagraph"/>
              <w:spacing w:before="141"/>
              <w:rPr>
                <w:sz w:val="20"/>
              </w:rPr>
            </w:pPr>
            <w:r>
              <w:rPr>
                <w:w w:val="120"/>
                <w:sz w:val="20"/>
              </w:rPr>
              <w:t>Assessment and oversight of ministerial candidates</w:t>
            </w:r>
          </w:p>
        </w:tc>
      </w:tr>
      <w:tr>
        <w:trPr>
          <w:trHeight w:val="920" w:hRule="atLeast"/>
        </w:trPr>
        <w:tc>
          <w:tcPr>
            <w:tcW w:w="2660" w:type="dxa"/>
            <w:shd w:val="clear" w:color="auto" w:fill="FFFFFF"/>
          </w:tcPr>
          <w:p>
            <w:pPr>
              <w:pStyle w:val="TableParagraph"/>
              <w:spacing w:before="128"/>
              <w:rPr>
                <w:rFonts w:ascii="Stone Sans II ITC Std Bk"/>
                <w:b/>
                <w:sz w:val="20"/>
              </w:rPr>
            </w:pPr>
            <w:r>
              <w:rPr>
                <w:rFonts w:ascii="Stone Sans II ITC Std Bk"/>
                <w:b/>
                <w:w w:val="110"/>
                <w:sz w:val="20"/>
              </w:rPr>
              <w:t>Main points</w:t>
            </w:r>
          </w:p>
        </w:tc>
        <w:tc>
          <w:tcPr>
            <w:tcW w:w="6582" w:type="dxa"/>
            <w:shd w:val="clear" w:color="auto" w:fill="FFFFFF"/>
          </w:tcPr>
          <w:p>
            <w:pPr>
              <w:pStyle w:val="TableParagraph"/>
              <w:spacing w:line="235" w:lineRule="auto" w:before="145"/>
              <w:ind w:right="454"/>
              <w:jc w:val="both"/>
              <w:rPr>
                <w:sz w:val="20"/>
              </w:rPr>
            </w:pPr>
            <w:r>
              <w:rPr>
                <w:w w:val="120"/>
                <w:sz w:val="20"/>
              </w:rPr>
              <w:t>Making formal changes to the Structure to match operational and policy changes that were approved by Assembly in 2007 and have worked well ever since</w:t>
            </w:r>
          </w:p>
        </w:tc>
      </w:tr>
      <w:tr>
        <w:trPr>
          <w:trHeight w:val="680" w:hRule="atLeast"/>
        </w:trPr>
        <w:tc>
          <w:tcPr>
            <w:tcW w:w="2660" w:type="dxa"/>
            <w:shd w:val="clear" w:color="auto" w:fill="FFFFFF"/>
          </w:tcPr>
          <w:p>
            <w:pPr>
              <w:pStyle w:val="TableParagraph"/>
              <w:spacing w:line="213" w:lineRule="auto" w:before="151"/>
              <w:ind w:right="701"/>
              <w:rPr>
                <w:rFonts w:ascii="Stone Sans II ITC Std Bk"/>
                <w:b/>
                <w:sz w:val="20"/>
              </w:rPr>
            </w:pPr>
            <w:r>
              <w:rPr>
                <w:rFonts w:ascii="Stone Sans II ITC Std Bk"/>
                <w:b/>
                <w:w w:val="110"/>
                <w:sz w:val="20"/>
              </w:rPr>
              <w:t>Previous relevant documents</w:t>
            </w:r>
          </w:p>
        </w:tc>
        <w:tc>
          <w:tcPr>
            <w:tcW w:w="6582" w:type="dxa"/>
            <w:shd w:val="clear" w:color="auto" w:fill="FFFFFF"/>
          </w:tcPr>
          <w:p>
            <w:pPr>
              <w:pStyle w:val="TableParagraph"/>
              <w:spacing w:line="242" w:lineRule="exact" w:before="141"/>
              <w:rPr>
                <w:sz w:val="20"/>
              </w:rPr>
            </w:pPr>
            <w:r>
              <w:rPr>
                <w:w w:val="120"/>
                <w:sz w:val="20"/>
              </w:rPr>
              <w:t>General Assembly 2007, Resolution 40 – </w:t>
            </w:r>
            <w:r>
              <w:rPr>
                <w:i/>
                <w:w w:val="120"/>
                <w:sz w:val="20"/>
              </w:rPr>
              <w:t>Record </w:t>
            </w:r>
            <w:r>
              <w:rPr>
                <w:w w:val="120"/>
                <w:sz w:val="20"/>
              </w:rPr>
              <w:t>pp 51-54,</w:t>
            </w:r>
          </w:p>
          <w:p>
            <w:pPr>
              <w:pStyle w:val="TableParagraph"/>
              <w:spacing w:line="242" w:lineRule="exact"/>
              <w:rPr>
                <w:sz w:val="20"/>
              </w:rPr>
            </w:pPr>
            <w:r>
              <w:rPr>
                <w:i/>
                <w:w w:val="115"/>
                <w:sz w:val="20"/>
              </w:rPr>
              <w:t>Book of Reports </w:t>
            </w:r>
            <w:r>
              <w:rPr>
                <w:w w:val="115"/>
                <w:sz w:val="20"/>
              </w:rPr>
              <w:t>pp 163-6</w:t>
            </w:r>
          </w:p>
        </w:tc>
      </w:tr>
    </w:tbl>
    <w:p>
      <w:pPr>
        <w:pStyle w:val="Heading6"/>
        <w:spacing w:before="184"/>
        <w:ind w:left="3818"/>
        <w:rPr>
          <w:rFonts w:ascii="Stone Sans II ITC Std X Bd" w:hAnsi="Stone Sans II ITC Std X Bd"/>
          <w:b/>
          <w:sz w:val="24"/>
        </w:rPr>
      </w:pPr>
      <w:r>
        <w:rPr>
          <w:color w:val="7EAABF"/>
          <w:w w:val="110"/>
        </w:rPr>
        <w:t>United Reformed Church </w:t>
      </w:r>
      <w:r>
        <w:rPr>
          <w:rFonts w:ascii="Symbol" w:hAnsi="Symbol"/>
          <w:color w:val="7EAABF"/>
          <w:w w:val="110"/>
        </w:rPr>
        <w:t></w:t>
      </w:r>
      <w:r>
        <w:rPr>
          <w:rFonts w:ascii="Times New Roman" w:hAnsi="Times New Roman"/>
          <w:color w:val="7EAABF"/>
          <w:w w:val="110"/>
        </w:rPr>
        <w:t> </w:t>
      </w:r>
      <w:r>
        <w:rPr>
          <w:color w:val="7EAABF"/>
          <w:w w:val="110"/>
        </w:rPr>
        <w:t>General Assembly 2016 </w:t>
      </w:r>
      <w:r>
        <w:rPr>
          <w:rFonts w:ascii="Symbol" w:hAnsi="Symbol"/>
          <w:color w:val="7EAABF"/>
          <w:w w:val="110"/>
        </w:rPr>
        <w:t></w:t>
      </w:r>
      <w:r>
        <w:rPr>
          <w:rFonts w:ascii="Times New Roman" w:hAnsi="Times New Roman"/>
          <w:color w:val="7EAABF"/>
          <w:w w:val="110"/>
        </w:rPr>
        <w:t> </w:t>
      </w:r>
      <w:r>
        <w:rPr>
          <w:rFonts w:ascii="Stone Sans II ITC Std X Bd" w:hAnsi="Stone Sans II ITC Std X Bd"/>
          <w:b/>
          <w:w w:val="110"/>
          <w:sz w:val="24"/>
        </w:rPr>
        <w:t>27</w:t>
      </w:r>
    </w:p>
    <w:p>
      <w:pPr>
        <w:spacing w:after="0"/>
        <w:rPr>
          <w:rFonts w:ascii="Stone Sans II ITC Std X Bd" w:hAnsi="Stone Sans II ITC Std X Bd"/>
          <w:sz w:val="24"/>
        </w:rPr>
        <w:sectPr>
          <w:headerReference w:type="default" r:id="rId120"/>
          <w:footerReference w:type="default" r:id="rId121"/>
          <w:pgSz w:w="11910" w:h="16840"/>
          <w:pgMar w:header="0" w:footer="0" w:top="0" w:bottom="0" w:left="700" w:right="0"/>
        </w:sectPr>
      </w:pPr>
    </w:p>
    <w:tbl>
      <w:tblPr>
        <w:tblW w:w="0" w:type="auto"/>
        <w:jc w:val="left"/>
        <w:tblInd w:w="55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660"/>
        <w:gridCol w:w="6582"/>
      </w:tblGrid>
      <w:tr>
        <w:trPr>
          <w:trHeight w:val="680" w:hRule="atLeast"/>
        </w:trPr>
        <w:tc>
          <w:tcPr>
            <w:tcW w:w="2660" w:type="dxa"/>
            <w:shd w:val="clear" w:color="auto" w:fill="FFFFFF"/>
          </w:tcPr>
          <w:p>
            <w:pPr>
              <w:pStyle w:val="TableParagraph"/>
              <w:spacing w:line="213" w:lineRule="auto" w:before="147"/>
              <w:ind w:right="104"/>
              <w:rPr>
                <w:rFonts w:ascii="Stone Sans II ITC Std Bk"/>
                <w:b/>
                <w:sz w:val="20"/>
              </w:rPr>
            </w:pPr>
            <w:r>
              <w:rPr>
                <w:rFonts w:ascii="Stone Sans II ITC Std Bk"/>
                <w:b/>
                <w:w w:val="110"/>
                <w:sz w:val="20"/>
              </w:rPr>
              <w:t>Consultation has taken place with...</w:t>
            </w:r>
          </w:p>
        </w:tc>
        <w:tc>
          <w:tcPr>
            <w:tcW w:w="6582" w:type="dxa"/>
            <w:shd w:val="clear" w:color="auto" w:fill="FFFFFF"/>
          </w:tcPr>
          <w:p>
            <w:pPr>
              <w:pStyle w:val="TableParagraph"/>
              <w:spacing w:line="242" w:lineRule="exact" w:before="137"/>
              <w:rPr>
                <w:sz w:val="20"/>
              </w:rPr>
            </w:pPr>
            <w:r>
              <w:rPr>
                <w:w w:val="120"/>
                <w:sz w:val="20"/>
              </w:rPr>
              <w:t>Mission Council; synods.</w:t>
            </w:r>
          </w:p>
          <w:p>
            <w:pPr>
              <w:pStyle w:val="TableParagraph"/>
              <w:spacing w:line="242" w:lineRule="exact"/>
              <w:rPr>
                <w:sz w:val="20"/>
              </w:rPr>
            </w:pPr>
            <w:r>
              <w:rPr>
                <w:w w:val="120"/>
                <w:sz w:val="20"/>
              </w:rPr>
              <w:t>Mission committee (regarding the reference to service abroad)</w:t>
            </w:r>
          </w:p>
        </w:tc>
      </w:tr>
    </w:tbl>
    <w:p>
      <w:pPr>
        <w:pStyle w:val="BodyText"/>
        <w:spacing w:before="1"/>
        <w:rPr>
          <w:rFonts w:ascii="Stone Sans II ITC Std X Bd"/>
          <w:b/>
          <w:sz w:val="22"/>
        </w:rPr>
      </w:pPr>
      <w:r>
        <w:rPr/>
        <w:pict>
          <v:group style="position:absolute;margin-left:0pt;margin-top:.000015pt;width:595.3pt;height:841.9pt;mso-position-horizontal-relative:page;mso-position-vertical-relative:page;z-index:-268037120" coordorigin="0,0" coordsize="11906,16838">
            <v:line style="position:absolute" from="11906,0" to="11906,16838" stroked="true" strokeweight="0pt" strokecolor="#fef4df">
              <v:stroke dashstyle="solid"/>
            </v:line>
            <v:rect style="position:absolute;left:935;top:0;width:10970;height:4111" filled="true" fillcolor="#fef4df" stroked="false">
              <v:fill type="solid"/>
            </v:rect>
            <v:shape style="position:absolute;left:0;top:0;width:936;height:16838" type="#_x0000_t75" stroked="false">
              <v:imagedata r:id="rId100" o:title=""/>
            </v:shape>
            <w10:wrap type="none"/>
          </v:group>
        </w:pict>
      </w:r>
      <w:r>
        <w:rPr/>
        <w:pict>
          <v:shape style="position:absolute;margin-left:20.519100pt;margin-top:48.890015pt;width:25.9pt;height:346.05pt;mso-position-horizontal-relative:page;mso-position-vertical-relative:page;z-index:-268036096" type="#_x0000_t202" filled="false" stroked="false">
            <v:textbox inset="0,0,0,0" style="layout-flow:vertical">
              <w:txbxContent>
                <w:p>
                  <w:pPr>
                    <w:spacing w:before="27"/>
                    <w:ind w:left="20" w:right="0" w:firstLine="0"/>
                    <w:jc w:val="left"/>
                    <w:rPr>
                      <w:sz w:val="39"/>
                    </w:rPr>
                  </w:pPr>
                  <w:r>
                    <w:rPr>
                      <w:color w:val="FFFFFF"/>
                      <w:w w:val="120"/>
                      <w:sz w:val="39"/>
                    </w:rPr>
                    <w:t>Resolutions referred to synods (B)</w:t>
                  </w:r>
                </w:p>
              </w:txbxContent>
            </v:textbox>
            <w10:wrap type="none"/>
          </v:shape>
        </w:pict>
      </w:r>
    </w:p>
    <w:p>
      <w:pPr>
        <w:pStyle w:val="Heading4"/>
        <w:spacing w:before="94"/>
        <w:ind w:left="547"/>
      </w:pPr>
      <w:r>
        <w:rPr>
          <w:color w:val="7F7F7F"/>
        </w:rPr>
        <w:t>Summary of Impact</w:t>
      </w:r>
    </w:p>
    <w:tbl>
      <w:tblPr>
        <w:tblW w:w="0" w:type="auto"/>
        <w:jc w:val="left"/>
        <w:tblInd w:w="55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660"/>
        <w:gridCol w:w="6582"/>
      </w:tblGrid>
      <w:tr>
        <w:trPr>
          <w:trHeight w:val="440" w:hRule="atLeast"/>
        </w:trPr>
        <w:tc>
          <w:tcPr>
            <w:tcW w:w="2660" w:type="dxa"/>
            <w:shd w:val="clear" w:color="auto" w:fill="FFFFFF"/>
          </w:tcPr>
          <w:p>
            <w:pPr>
              <w:pStyle w:val="TableParagraph"/>
              <w:spacing w:before="128"/>
              <w:rPr>
                <w:rFonts w:ascii="Stone Sans II ITC Std Bk"/>
                <w:b/>
                <w:sz w:val="20"/>
              </w:rPr>
            </w:pPr>
            <w:r>
              <w:rPr>
                <w:rFonts w:ascii="Stone Sans II ITC Std Bk"/>
                <w:b/>
                <w:w w:val="110"/>
                <w:sz w:val="20"/>
              </w:rPr>
              <w:t>Financial</w:t>
            </w:r>
          </w:p>
        </w:tc>
        <w:tc>
          <w:tcPr>
            <w:tcW w:w="6582" w:type="dxa"/>
            <w:shd w:val="clear" w:color="auto" w:fill="FFFFFF"/>
          </w:tcPr>
          <w:p>
            <w:pPr>
              <w:pStyle w:val="TableParagraph"/>
              <w:spacing w:before="141"/>
              <w:rPr>
                <w:sz w:val="20"/>
              </w:rPr>
            </w:pPr>
            <w:r>
              <w:rPr>
                <w:w w:val="120"/>
                <w:sz w:val="20"/>
              </w:rPr>
              <w:t>None</w:t>
            </w:r>
          </w:p>
        </w:tc>
      </w:tr>
      <w:tr>
        <w:trPr>
          <w:trHeight w:val="680" w:hRule="atLeast"/>
        </w:trPr>
        <w:tc>
          <w:tcPr>
            <w:tcW w:w="2660" w:type="dxa"/>
            <w:shd w:val="clear" w:color="auto" w:fill="FFFFFF"/>
          </w:tcPr>
          <w:p>
            <w:pPr>
              <w:pStyle w:val="TableParagraph"/>
              <w:spacing w:line="255" w:lineRule="exact" w:before="128"/>
              <w:rPr>
                <w:rFonts w:ascii="Stone Sans II ITC Std Bk"/>
                <w:b/>
                <w:sz w:val="20"/>
              </w:rPr>
            </w:pPr>
            <w:r>
              <w:rPr>
                <w:rFonts w:ascii="Stone Sans II ITC Std Bk"/>
                <w:b/>
                <w:w w:val="110"/>
                <w:sz w:val="20"/>
              </w:rPr>
              <w:t>External</w:t>
            </w:r>
          </w:p>
          <w:p>
            <w:pPr>
              <w:pStyle w:val="TableParagraph"/>
              <w:spacing w:line="255" w:lineRule="exact"/>
              <w:rPr>
                <w:rFonts w:ascii="Stone Sans II ITC Std Bk"/>
                <w:b/>
                <w:sz w:val="20"/>
              </w:rPr>
            </w:pPr>
            <w:r>
              <w:rPr>
                <w:rFonts w:ascii="Stone Sans II ITC Std Bk"/>
                <w:b/>
                <w:w w:val="110"/>
                <w:sz w:val="20"/>
              </w:rPr>
              <w:t>(e.g. ecumenical)</w:t>
            </w:r>
          </w:p>
        </w:tc>
        <w:tc>
          <w:tcPr>
            <w:tcW w:w="6582" w:type="dxa"/>
            <w:shd w:val="clear" w:color="auto" w:fill="FFFFFF"/>
          </w:tcPr>
          <w:p>
            <w:pPr>
              <w:pStyle w:val="TableParagraph"/>
              <w:spacing w:before="141"/>
              <w:rPr>
                <w:sz w:val="20"/>
              </w:rPr>
            </w:pPr>
            <w:r>
              <w:rPr>
                <w:w w:val="125"/>
                <w:sz w:val="20"/>
              </w:rPr>
              <w:t>None.</w:t>
            </w:r>
          </w:p>
        </w:tc>
      </w:tr>
    </w:tbl>
    <w:p>
      <w:pPr>
        <w:pStyle w:val="BodyText"/>
        <w:rPr>
          <w:rFonts w:ascii="Stone Sans II ITC Std Bk"/>
          <w:b/>
          <w:sz w:val="30"/>
        </w:rPr>
      </w:pPr>
    </w:p>
    <w:p>
      <w:pPr>
        <w:pStyle w:val="BodyText"/>
        <w:spacing w:before="1"/>
        <w:rPr>
          <w:rFonts w:ascii="Stone Sans II ITC Std Bk"/>
          <w:b/>
          <w:sz w:val="37"/>
        </w:rPr>
      </w:pPr>
    </w:p>
    <w:p>
      <w:pPr>
        <w:spacing w:line="213" w:lineRule="auto" w:before="0"/>
        <w:ind w:left="547" w:right="2419" w:firstLine="0"/>
        <w:jc w:val="left"/>
        <w:rPr>
          <w:rFonts w:ascii="Stone Sans II ITC Std X Bd"/>
          <w:b/>
          <w:sz w:val="50"/>
        </w:rPr>
      </w:pPr>
      <w:r>
        <w:rPr>
          <w:rFonts w:ascii="Stone Sans II ITC Std X Bd"/>
          <w:b/>
          <w:spacing w:val="-10"/>
          <w:w w:val="110"/>
          <w:sz w:val="50"/>
        </w:rPr>
        <w:t>Resolutions </w:t>
      </w:r>
      <w:r>
        <w:rPr>
          <w:rFonts w:ascii="Stone Sans II ITC Std X Bd"/>
          <w:b/>
          <w:spacing w:val="-9"/>
          <w:w w:val="110"/>
          <w:sz w:val="50"/>
        </w:rPr>
        <w:t>referred </w:t>
      </w:r>
      <w:r>
        <w:rPr>
          <w:rFonts w:ascii="Stone Sans II ITC Std X Bd"/>
          <w:b/>
          <w:spacing w:val="-10"/>
          <w:w w:val="110"/>
          <w:sz w:val="50"/>
        </w:rPr>
        <w:t>to </w:t>
      </w:r>
      <w:r>
        <w:rPr>
          <w:rFonts w:ascii="Stone Sans II ITC Std X Bd"/>
          <w:b/>
          <w:spacing w:val="-8"/>
          <w:w w:val="110"/>
          <w:sz w:val="50"/>
        </w:rPr>
        <w:t>synods </w:t>
      </w:r>
      <w:r>
        <w:rPr>
          <w:rFonts w:ascii="Stone Sans II ITC Std X Bd"/>
          <w:b/>
          <w:spacing w:val="-23"/>
          <w:w w:val="110"/>
          <w:sz w:val="50"/>
        </w:rPr>
        <w:t>(B): </w:t>
      </w:r>
      <w:r>
        <w:rPr>
          <w:rFonts w:ascii="Stone Sans II ITC Std X Bd"/>
          <w:b/>
          <w:spacing w:val="-11"/>
          <w:w w:val="110"/>
          <w:sz w:val="50"/>
        </w:rPr>
        <w:t>ministerial </w:t>
      </w:r>
      <w:r>
        <w:rPr>
          <w:rFonts w:ascii="Stone Sans II ITC Std X Bd"/>
          <w:b/>
          <w:spacing w:val="-9"/>
          <w:w w:val="110"/>
          <w:sz w:val="50"/>
        </w:rPr>
        <w:t>candidacy</w:t>
      </w:r>
    </w:p>
    <w:p>
      <w:pPr>
        <w:pStyle w:val="ListParagraph"/>
        <w:numPr>
          <w:ilvl w:val="0"/>
          <w:numId w:val="14"/>
        </w:numPr>
        <w:tabs>
          <w:tab w:pos="1227" w:val="left" w:leader="none"/>
          <w:tab w:pos="1228" w:val="left" w:leader="none"/>
        </w:tabs>
        <w:spacing w:line="235" w:lineRule="auto" w:before="382" w:after="0"/>
        <w:ind w:left="547" w:right="2214" w:firstLine="0"/>
        <w:jc w:val="left"/>
        <w:rPr>
          <w:sz w:val="20"/>
        </w:rPr>
      </w:pPr>
      <w:r>
        <w:rPr>
          <w:w w:val="120"/>
          <w:sz w:val="20"/>
        </w:rPr>
        <w:t>These resolutions were approved by Mission Council in May </w:t>
      </w:r>
      <w:r>
        <w:rPr>
          <w:spacing w:val="-7"/>
          <w:w w:val="120"/>
          <w:sz w:val="20"/>
        </w:rPr>
        <w:t>2015. </w:t>
      </w:r>
      <w:r>
        <w:rPr>
          <w:w w:val="120"/>
          <w:sz w:val="20"/>
        </w:rPr>
        <w:t>All thirteen synods have since had opportunity to consider them. None asked that they ‘be not proceeded </w:t>
      </w:r>
      <w:r>
        <w:rPr>
          <w:spacing w:val="-4"/>
          <w:w w:val="120"/>
          <w:sz w:val="20"/>
        </w:rPr>
        <w:t>with’. </w:t>
      </w:r>
      <w:r>
        <w:rPr>
          <w:w w:val="120"/>
          <w:sz w:val="20"/>
        </w:rPr>
        <w:t>The matters therefore come to General Assembly, which </w:t>
      </w:r>
      <w:r>
        <w:rPr>
          <w:spacing w:val="-4"/>
          <w:w w:val="120"/>
          <w:sz w:val="20"/>
        </w:rPr>
        <w:t>may, </w:t>
      </w:r>
      <w:r>
        <w:rPr>
          <w:w w:val="120"/>
          <w:sz w:val="20"/>
        </w:rPr>
        <w:t>if it so decides, make these changes in the Structure of the Church, with immediate effect; for this a two-thirds majority would be</w:t>
      </w:r>
      <w:r>
        <w:rPr>
          <w:spacing w:val="13"/>
          <w:w w:val="120"/>
          <w:sz w:val="20"/>
        </w:rPr>
        <w:t> </w:t>
      </w:r>
      <w:r>
        <w:rPr>
          <w:w w:val="120"/>
          <w:sz w:val="20"/>
        </w:rPr>
        <w:t>necessary.</w:t>
      </w:r>
    </w:p>
    <w:p>
      <w:pPr>
        <w:pStyle w:val="BodyText"/>
        <w:spacing w:before="8"/>
        <w:rPr>
          <w:sz w:val="19"/>
        </w:rPr>
      </w:pPr>
    </w:p>
    <w:p>
      <w:pPr>
        <w:pStyle w:val="ListParagraph"/>
        <w:numPr>
          <w:ilvl w:val="0"/>
          <w:numId w:val="14"/>
        </w:numPr>
        <w:tabs>
          <w:tab w:pos="1227" w:val="left" w:leader="none"/>
          <w:tab w:pos="1228" w:val="left" w:leader="none"/>
        </w:tabs>
        <w:spacing w:line="240" w:lineRule="auto" w:before="0" w:after="0"/>
        <w:ind w:left="1227" w:right="0" w:hanging="681"/>
        <w:jc w:val="left"/>
        <w:rPr>
          <w:sz w:val="20"/>
        </w:rPr>
      </w:pPr>
      <w:r>
        <w:rPr>
          <w:w w:val="120"/>
          <w:sz w:val="20"/>
        </w:rPr>
        <w:t>The ministries committee outlines the background to the matter as</w:t>
      </w:r>
      <w:r>
        <w:rPr>
          <w:spacing w:val="18"/>
          <w:w w:val="120"/>
          <w:sz w:val="20"/>
        </w:rPr>
        <w:t> </w:t>
      </w:r>
      <w:r>
        <w:rPr>
          <w:w w:val="120"/>
          <w:sz w:val="20"/>
        </w:rPr>
        <w:t>follows.</w:t>
      </w:r>
    </w:p>
    <w:p>
      <w:pPr>
        <w:pStyle w:val="BodyText"/>
        <w:spacing w:before="8"/>
        <w:rPr>
          <w:sz w:val="19"/>
        </w:rPr>
      </w:pPr>
    </w:p>
    <w:p>
      <w:pPr>
        <w:pStyle w:val="ListParagraph"/>
        <w:numPr>
          <w:ilvl w:val="0"/>
          <w:numId w:val="14"/>
        </w:numPr>
        <w:tabs>
          <w:tab w:pos="1227" w:val="left" w:leader="none"/>
          <w:tab w:pos="1228" w:val="left" w:leader="none"/>
        </w:tabs>
        <w:spacing w:line="235" w:lineRule="auto" w:before="0" w:after="0"/>
        <w:ind w:left="547" w:right="2194" w:firstLine="0"/>
        <w:jc w:val="left"/>
        <w:rPr>
          <w:sz w:val="20"/>
        </w:rPr>
      </w:pPr>
      <w:r>
        <w:rPr>
          <w:w w:val="120"/>
          <w:sz w:val="20"/>
        </w:rPr>
        <w:t>Assembly 2007 passed a lengthy resolution (Resolution </w:t>
      </w:r>
      <w:r>
        <w:rPr>
          <w:spacing w:val="-3"/>
          <w:w w:val="120"/>
          <w:sz w:val="20"/>
        </w:rPr>
        <w:t>40) </w:t>
      </w:r>
      <w:r>
        <w:rPr>
          <w:w w:val="120"/>
          <w:sz w:val="20"/>
        </w:rPr>
        <w:t>relating to the process for interviewing and assessing applicants for recognition as candidates for the ministry, and the oversight of candidates in training. The principles agreed then have operated successfully since, and robust procedures have developed for ensuring that synods and Assembly work in close partnership in these</w:t>
      </w:r>
      <w:r>
        <w:rPr>
          <w:spacing w:val="19"/>
          <w:w w:val="120"/>
          <w:sz w:val="20"/>
        </w:rPr>
        <w:t> </w:t>
      </w:r>
      <w:r>
        <w:rPr>
          <w:w w:val="120"/>
          <w:sz w:val="20"/>
        </w:rPr>
        <w:t>matters.</w:t>
      </w:r>
    </w:p>
    <w:p>
      <w:pPr>
        <w:pStyle w:val="BodyText"/>
        <w:spacing w:before="11"/>
        <w:rPr>
          <w:sz w:val="19"/>
        </w:rPr>
      </w:pPr>
    </w:p>
    <w:p>
      <w:pPr>
        <w:pStyle w:val="ListParagraph"/>
        <w:numPr>
          <w:ilvl w:val="0"/>
          <w:numId w:val="14"/>
        </w:numPr>
        <w:tabs>
          <w:tab w:pos="1227" w:val="left" w:leader="none"/>
          <w:tab w:pos="1228" w:val="left" w:leader="none"/>
        </w:tabs>
        <w:spacing w:line="235" w:lineRule="auto" w:before="1" w:after="0"/>
        <w:ind w:left="547" w:right="2233" w:firstLine="0"/>
        <w:jc w:val="left"/>
        <w:rPr>
          <w:sz w:val="20"/>
        </w:rPr>
      </w:pPr>
      <w:r>
        <w:rPr>
          <w:w w:val="120"/>
          <w:sz w:val="20"/>
        </w:rPr>
        <w:t>Unfortunately, nobody noticed in 2007 that the passing of Resolution 40 required amendments to the Structure of the United Reformed Church. Now that this has been spotted, the required changes have been</w:t>
      </w:r>
      <w:r>
        <w:rPr>
          <w:spacing w:val="21"/>
          <w:w w:val="120"/>
          <w:sz w:val="20"/>
        </w:rPr>
        <w:t> </w:t>
      </w:r>
      <w:r>
        <w:rPr>
          <w:w w:val="120"/>
          <w:sz w:val="20"/>
        </w:rPr>
        <w:t>drafted.</w:t>
      </w:r>
    </w:p>
    <w:p>
      <w:pPr>
        <w:pStyle w:val="BodyText"/>
        <w:spacing w:before="10"/>
        <w:rPr>
          <w:sz w:val="19"/>
        </w:rPr>
      </w:pPr>
    </w:p>
    <w:p>
      <w:pPr>
        <w:pStyle w:val="ListParagraph"/>
        <w:numPr>
          <w:ilvl w:val="0"/>
          <w:numId w:val="14"/>
        </w:numPr>
        <w:tabs>
          <w:tab w:pos="1227" w:val="left" w:leader="none"/>
          <w:tab w:pos="1228" w:val="left" w:leader="none"/>
        </w:tabs>
        <w:spacing w:line="235" w:lineRule="auto" w:before="0" w:after="0"/>
        <w:ind w:left="547" w:right="2005" w:firstLine="0"/>
        <w:jc w:val="left"/>
        <w:rPr>
          <w:sz w:val="20"/>
        </w:rPr>
      </w:pPr>
      <w:r>
        <w:rPr>
          <w:w w:val="120"/>
          <w:sz w:val="20"/>
        </w:rPr>
        <w:t>This will not result in any changes to procedures which have operated successfully since </w:t>
      </w:r>
      <w:r>
        <w:rPr>
          <w:spacing w:val="-6"/>
          <w:w w:val="120"/>
          <w:sz w:val="20"/>
        </w:rPr>
        <w:t>2007. </w:t>
      </w:r>
      <w:r>
        <w:rPr>
          <w:w w:val="120"/>
          <w:sz w:val="20"/>
        </w:rPr>
        <w:t>It is a ‘tidying </w:t>
      </w:r>
      <w:r>
        <w:rPr>
          <w:spacing w:val="-4"/>
          <w:w w:val="120"/>
          <w:sz w:val="20"/>
        </w:rPr>
        <w:t>up’ </w:t>
      </w:r>
      <w:r>
        <w:rPr>
          <w:w w:val="120"/>
          <w:sz w:val="20"/>
        </w:rPr>
        <w:t>exercise, ensuring that the Structure of the URC provides an accurate account of the functions of the various councils of the</w:t>
      </w:r>
      <w:r>
        <w:rPr>
          <w:spacing w:val="39"/>
          <w:w w:val="120"/>
          <w:sz w:val="20"/>
        </w:rPr>
        <w:t> </w:t>
      </w:r>
      <w:r>
        <w:rPr>
          <w:w w:val="120"/>
          <w:sz w:val="20"/>
        </w:rPr>
        <w:t>church.</w:t>
      </w:r>
    </w:p>
    <w:p>
      <w:pPr>
        <w:pStyle w:val="BodyText"/>
        <w:spacing w:before="10"/>
        <w:rPr>
          <w:sz w:val="19"/>
        </w:rPr>
      </w:pPr>
    </w:p>
    <w:p>
      <w:pPr>
        <w:pStyle w:val="ListParagraph"/>
        <w:numPr>
          <w:ilvl w:val="0"/>
          <w:numId w:val="14"/>
        </w:numPr>
        <w:tabs>
          <w:tab w:pos="1227" w:val="left" w:leader="none"/>
          <w:tab w:pos="1228" w:val="left" w:leader="none"/>
        </w:tabs>
        <w:spacing w:line="235" w:lineRule="auto" w:before="0" w:after="0"/>
        <w:ind w:left="547" w:right="2206" w:firstLine="0"/>
        <w:jc w:val="left"/>
        <w:rPr>
          <w:sz w:val="20"/>
        </w:rPr>
      </w:pPr>
      <w:r>
        <w:rPr>
          <w:w w:val="120"/>
          <w:sz w:val="20"/>
        </w:rPr>
        <w:t>Clause </w:t>
      </w:r>
      <w:r>
        <w:rPr>
          <w:spacing w:val="-5"/>
          <w:w w:val="120"/>
          <w:sz w:val="20"/>
        </w:rPr>
        <w:t>2(4)(A)(xvi) </w:t>
      </w:r>
      <w:r>
        <w:rPr>
          <w:w w:val="120"/>
          <w:sz w:val="20"/>
        </w:rPr>
        <w:t>gives synods responsibility for assessing applicants for full- time service abroad. This clause has not altered since </w:t>
      </w:r>
      <w:r>
        <w:rPr>
          <w:spacing w:val="-7"/>
          <w:w w:val="120"/>
          <w:sz w:val="20"/>
        </w:rPr>
        <w:t>1972, </w:t>
      </w:r>
      <w:r>
        <w:rPr>
          <w:w w:val="120"/>
          <w:sz w:val="20"/>
        </w:rPr>
        <w:t>although the formation of </w:t>
      </w:r>
      <w:r>
        <w:rPr>
          <w:spacing w:val="3"/>
          <w:w w:val="120"/>
          <w:sz w:val="20"/>
        </w:rPr>
        <w:t>CWM </w:t>
      </w:r>
      <w:r>
        <w:rPr>
          <w:w w:val="120"/>
          <w:sz w:val="20"/>
        </w:rPr>
        <w:t>in </w:t>
      </w:r>
      <w:r>
        <w:rPr>
          <w:spacing w:val="-7"/>
          <w:w w:val="120"/>
          <w:sz w:val="20"/>
        </w:rPr>
        <w:t>1977 </w:t>
      </w:r>
      <w:r>
        <w:rPr>
          <w:w w:val="120"/>
          <w:sz w:val="20"/>
        </w:rPr>
        <w:t>in </w:t>
      </w:r>
      <w:r>
        <w:rPr>
          <w:spacing w:val="2"/>
          <w:w w:val="120"/>
          <w:sz w:val="20"/>
        </w:rPr>
        <w:t>fact </w:t>
      </w:r>
      <w:r>
        <w:rPr>
          <w:w w:val="120"/>
          <w:sz w:val="20"/>
        </w:rPr>
        <w:t>changed the situation. Any applicant for full-time service abroad through the URC would now be referred to the application process of </w:t>
      </w:r>
      <w:r>
        <w:rPr>
          <w:spacing w:val="3"/>
          <w:w w:val="120"/>
          <w:sz w:val="20"/>
        </w:rPr>
        <w:t>CWM, </w:t>
      </w:r>
      <w:r>
        <w:rPr>
          <w:w w:val="120"/>
          <w:sz w:val="20"/>
        </w:rPr>
        <w:t>in which synods play no formal role, so this wording would be removed as it is no longer necessary.</w:t>
      </w:r>
    </w:p>
    <w:p>
      <w:pPr>
        <w:pStyle w:val="BodyText"/>
      </w:pPr>
    </w:p>
    <w:p>
      <w:pPr>
        <w:pStyle w:val="ListParagraph"/>
        <w:numPr>
          <w:ilvl w:val="0"/>
          <w:numId w:val="14"/>
        </w:numPr>
        <w:tabs>
          <w:tab w:pos="1227" w:val="left" w:leader="none"/>
          <w:tab w:pos="1228" w:val="left" w:leader="none"/>
        </w:tabs>
        <w:spacing w:line="235" w:lineRule="auto" w:before="0" w:after="0"/>
        <w:ind w:left="547" w:right="2107" w:firstLine="0"/>
        <w:jc w:val="left"/>
        <w:rPr>
          <w:sz w:val="20"/>
        </w:rPr>
      </w:pPr>
      <w:r>
        <w:rPr>
          <w:w w:val="120"/>
          <w:sz w:val="20"/>
        </w:rPr>
        <w:t>Note that the Structure uses one word and one phrase in a technical </w:t>
      </w:r>
      <w:r>
        <w:rPr>
          <w:spacing w:val="-4"/>
          <w:w w:val="120"/>
          <w:sz w:val="20"/>
        </w:rPr>
        <w:t>way, </w:t>
      </w:r>
      <w:r>
        <w:rPr>
          <w:w w:val="120"/>
          <w:sz w:val="20"/>
        </w:rPr>
        <w:t>which varies from ordinary usage. No change is proposed to these usages, as to do so would require further extensive re-writing of the</w:t>
      </w:r>
      <w:r>
        <w:rPr>
          <w:spacing w:val="11"/>
          <w:w w:val="120"/>
          <w:sz w:val="20"/>
        </w:rPr>
        <w:t> </w:t>
      </w:r>
      <w:r>
        <w:rPr>
          <w:w w:val="120"/>
          <w:sz w:val="20"/>
        </w:rPr>
        <w:t>Structure.</w:t>
      </w:r>
    </w:p>
    <w:p>
      <w:pPr>
        <w:pStyle w:val="ListParagraph"/>
        <w:numPr>
          <w:ilvl w:val="0"/>
          <w:numId w:val="15"/>
        </w:numPr>
        <w:tabs>
          <w:tab w:pos="1227" w:val="left" w:leader="none"/>
          <w:tab w:pos="1228" w:val="left" w:leader="none"/>
        </w:tabs>
        <w:spacing w:line="235" w:lineRule="auto" w:before="3" w:after="0"/>
        <w:ind w:left="1227" w:right="2229" w:hanging="681"/>
        <w:jc w:val="left"/>
        <w:rPr>
          <w:sz w:val="20"/>
        </w:rPr>
      </w:pPr>
      <w:r>
        <w:rPr>
          <w:w w:val="120"/>
          <w:sz w:val="20"/>
        </w:rPr>
        <w:t>the word ‘decision’ refers to the FINAL decision on candidacy, not the intermediate decisions of church meeting whether to refer an applicant to synod, or of a synod whether or not to refer an applicant to Assessment</w:t>
      </w:r>
      <w:r>
        <w:rPr>
          <w:spacing w:val="12"/>
          <w:w w:val="120"/>
          <w:sz w:val="20"/>
        </w:rPr>
        <w:t> </w:t>
      </w:r>
      <w:r>
        <w:rPr>
          <w:w w:val="120"/>
          <w:sz w:val="20"/>
        </w:rPr>
        <w:t>Board.</w:t>
      </w:r>
    </w:p>
    <w:p>
      <w:pPr>
        <w:pStyle w:val="ListParagraph"/>
        <w:numPr>
          <w:ilvl w:val="0"/>
          <w:numId w:val="15"/>
        </w:numPr>
        <w:tabs>
          <w:tab w:pos="1228" w:val="left" w:leader="none"/>
        </w:tabs>
        <w:spacing w:line="235" w:lineRule="auto" w:before="2" w:after="0"/>
        <w:ind w:left="1227" w:right="2195" w:hanging="681"/>
        <w:jc w:val="both"/>
        <w:rPr>
          <w:sz w:val="20"/>
        </w:rPr>
      </w:pPr>
      <w:r>
        <w:rPr>
          <w:w w:val="120"/>
          <w:sz w:val="20"/>
        </w:rPr>
        <w:t>the phrase ‘candidate for ministry’ refers to those whose call has been affirmed by the Church as a whole, and at earlier stages applicants are called ‘applicants for recognition as </w:t>
      </w:r>
      <w:r>
        <w:rPr>
          <w:spacing w:val="-3"/>
          <w:w w:val="120"/>
          <w:sz w:val="20"/>
        </w:rPr>
        <w:t>candidates’. </w:t>
      </w:r>
      <w:r>
        <w:rPr>
          <w:w w:val="120"/>
          <w:sz w:val="20"/>
        </w:rPr>
        <w:t>This is consistent with ecumenical</w:t>
      </w:r>
      <w:r>
        <w:rPr>
          <w:spacing w:val="35"/>
          <w:w w:val="120"/>
          <w:sz w:val="20"/>
        </w:rPr>
        <w:t> </w:t>
      </w:r>
      <w:r>
        <w:rPr>
          <w:w w:val="120"/>
          <w:sz w:val="20"/>
        </w:rPr>
        <w:t>usage.</w:t>
      </w:r>
    </w:p>
    <w:p>
      <w:pPr>
        <w:spacing w:after="0" w:line="235" w:lineRule="auto"/>
        <w:jc w:val="both"/>
        <w:rPr>
          <w:sz w:val="20"/>
        </w:rPr>
        <w:sectPr>
          <w:headerReference w:type="even" r:id="rId122"/>
          <w:footerReference w:type="even" r:id="rId123"/>
          <w:pgSz w:w="11910" w:h="16840"/>
          <w:pgMar w:header="0" w:footer="647" w:top="1120" w:bottom="840" w:left="700" w:right="0"/>
          <w:pgNumType w:start="28"/>
        </w:sectPr>
      </w:pPr>
    </w:p>
    <w:p>
      <w:pPr>
        <w:pStyle w:val="BodyText"/>
      </w:pPr>
      <w:r>
        <w:rPr/>
        <w:pict>
          <v:rect style="position:absolute;margin-left:0pt;margin-top:.000015pt;width:549.207pt;height:841.89pt;mso-position-horizontal-relative:page;mso-position-vertical-relative:page;z-index:-268035072" filled="true" fillcolor="#fef4df" stroked="false">
            <v:fill type="solid"/>
            <w10:wrap type="none"/>
          </v:rect>
        </w:pict>
      </w:r>
      <w:r>
        <w:rPr/>
        <w:drawing>
          <wp:anchor distT="0" distB="0" distL="0" distR="0" allowOverlap="1" layoutInCell="1" locked="0" behindDoc="0" simplePos="0" relativeHeight="251736064">
            <wp:simplePos x="0" y="0"/>
            <wp:positionH relativeFrom="page">
              <wp:posOffset>6974928</wp:posOffset>
            </wp:positionH>
            <wp:positionV relativeFrom="page">
              <wp:posOffset>0</wp:posOffset>
            </wp:positionV>
            <wp:extent cx="585063" cy="10692003"/>
            <wp:effectExtent l="0" t="0" r="0" b="0"/>
            <wp:wrapNone/>
            <wp:docPr id="45" name="image27.png"/>
            <wp:cNvGraphicFramePr>
              <a:graphicFrameLocks noChangeAspect="1"/>
            </wp:cNvGraphicFramePr>
            <a:graphic>
              <a:graphicData uri="http://schemas.openxmlformats.org/drawingml/2006/picture">
                <pic:pic>
                  <pic:nvPicPr>
                    <pic:cNvPr id="46" name="image27.png"/>
                    <pic:cNvPicPr/>
                  </pic:nvPicPr>
                  <pic:blipFill>
                    <a:blip r:embed="rId34" cstate="print"/>
                    <a:stretch>
                      <a:fillRect/>
                    </a:stretch>
                  </pic:blipFill>
                  <pic:spPr>
                    <a:xfrm>
                      <a:off x="0" y="0"/>
                      <a:ext cx="585063" cy="10692003"/>
                    </a:xfrm>
                    <a:prstGeom prst="rect">
                      <a:avLst/>
                    </a:prstGeom>
                  </pic:spPr>
                </pic:pic>
              </a:graphicData>
            </a:graphic>
          </wp:anchor>
        </w:drawing>
      </w:r>
    </w:p>
    <w:p>
      <w:pPr>
        <w:pStyle w:val="BodyText"/>
      </w:pPr>
    </w:p>
    <w:p>
      <w:pPr>
        <w:pStyle w:val="BodyText"/>
      </w:pPr>
    </w:p>
    <w:p>
      <w:pPr>
        <w:pStyle w:val="BodyText"/>
        <w:spacing w:before="5"/>
        <w:rPr>
          <w:sz w:val="28"/>
        </w:rPr>
      </w:pPr>
    </w:p>
    <w:p>
      <w:pPr>
        <w:spacing w:line="638" w:lineRule="exact" w:before="97"/>
        <w:ind w:left="1043" w:right="0" w:firstLine="0"/>
        <w:jc w:val="left"/>
        <w:rPr>
          <w:rFonts w:ascii="Stone Sans II ITC Std X Bd"/>
          <w:b/>
          <w:sz w:val="50"/>
        </w:rPr>
      </w:pPr>
      <w:r>
        <w:rPr/>
        <w:pict>
          <v:shape style="position:absolute;margin-left:554.141174pt;margin-top:-5.998084pt;width:25.9pt;height:348.85pt;mso-position-horizontal-relative:page;mso-position-vertical-relative:paragraph;z-index:251737088" type="#_x0000_t202" filled="false" stroked="false">
            <v:textbox inset="0,0,0,0" style="layout-flow:vertical">
              <w:txbxContent>
                <w:p>
                  <w:pPr>
                    <w:spacing w:before="27"/>
                    <w:ind w:left="20" w:right="0" w:firstLine="0"/>
                    <w:jc w:val="left"/>
                    <w:rPr>
                      <w:sz w:val="39"/>
                    </w:rPr>
                  </w:pPr>
                  <w:r>
                    <w:rPr>
                      <w:color w:val="FFFFFF"/>
                      <w:spacing w:val="9"/>
                      <w:w w:val="125"/>
                      <w:sz w:val="39"/>
                    </w:rPr>
                    <w:t>Resolutions </w:t>
                  </w:r>
                  <w:r>
                    <w:rPr>
                      <w:color w:val="FFFFFF"/>
                      <w:spacing w:val="8"/>
                      <w:w w:val="125"/>
                      <w:sz w:val="39"/>
                    </w:rPr>
                    <w:t>referred </w:t>
                  </w:r>
                  <w:r>
                    <w:rPr>
                      <w:color w:val="FFFFFF"/>
                      <w:spacing w:val="3"/>
                      <w:w w:val="125"/>
                      <w:sz w:val="39"/>
                    </w:rPr>
                    <w:t>to </w:t>
                  </w:r>
                  <w:r>
                    <w:rPr>
                      <w:color w:val="FFFFFF"/>
                      <w:spacing w:val="9"/>
                      <w:w w:val="125"/>
                      <w:sz w:val="39"/>
                    </w:rPr>
                    <w:t>synods</w:t>
                  </w:r>
                  <w:r>
                    <w:rPr>
                      <w:color w:val="FFFFFF"/>
                      <w:spacing w:val="-71"/>
                      <w:w w:val="125"/>
                      <w:sz w:val="39"/>
                    </w:rPr>
                    <w:t> </w:t>
                  </w:r>
                  <w:r>
                    <w:rPr>
                      <w:color w:val="FFFFFF"/>
                      <w:spacing w:val="11"/>
                      <w:w w:val="125"/>
                      <w:sz w:val="39"/>
                    </w:rPr>
                    <w:t>(C)</w:t>
                  </w:r>
                </w:p>
              </w:txbxContent>
            </v:textbox>
            <w10:wrap type="none"/>
          </v:shape>
        </w:pict>
      </w:r>
      <w:r>
        <w:rPr>
          <w:rFonts w:ascii="Stone Sans II ITC Std X Bd"/>
          <w:b/>
          <w:color w:val="F1B400"/>
          <w:w w:val="110"/>
          <w:sz w:val="50"/>
        </w:rPr>
        <w:t>Mission Council:</w:t>
      </w:r>
    </w:p>
    <w:p>
      <w:pPr>
        <w:pStyle w:val="ListParagraph"/>
        <w:numPr>
          <w:ilvl w:val="1"/>
          <w:numId w:val="15"/>
        </w:numPr>
        <w:tabs>
          <w:tab w:pos="1904" w:val="left" w:leader="none"/>
        </w:tabs>
        <w:spacing w:line="638" w:lineRule="exact" w:before="0" w:after="0"/>
        <w:ind w:left="1903" w:right="0" w:hanging="861"/>
        <w:jc w:val="left"/>
        <w:rPr>
          <w:rFonts w:ascii="Stone Sans II ITC Std X Bd"/>
          <w:b/>
          <w:sz w:val="50"/>
        </w:rPr>
      </w:pPr>
      <w:r>
        <w:rPr>
          <w:rFonts w:ascii="Stone Sans II ITC Std X Bd"/>
          <w:b/>
          <w:w w:val="110"/>
          <w:sz w:val="50"/>
        </w:rPr>
        <w:t>: </w:t>
      </w:r>
      <w:r>
        <w:rPr>
          <w:rFonts w:ascii="Stone Sans II ITC Std X Bd"/>
          <w:b/>
          <w:spacing w:val="-10"/>
          <w:w w:val="110"/>
          <w:sz w:val="50"/>
        </w:rPr>
        <w:t>National</w:t>
      </w:r>
      <w:r>
        <w:rPr>
          <w:rFonts w:ascii="Stone Sans II ITC Std X Bd"/>
          <w:b/>
          <w:spacing w:val="-14"/>
          <w:w w:val="110"/>
          <w:sz w:val="50"/>
        </w:rPr>
        <w:t> </w:t>
      </w:r>
      <w:r>
        <w:rPr>
          <w:rFonts w:ascii="Stone Sans II ITC Std X Bd"/>
          <w:b/>
          <w:spacing w:val="-11"/>
          <w:w w:val="110"/>
          <w:sz w:val="50"/>
        </w:rPr>
        <w:t>Synods</w:t>
      </w:r>
    </w:p>
    <w:p>
      <w:pPr>
        <w:pStyle w:val="Heading4"/>
        <w:spacing w:before="308"/>
        <w:ind w:left="1043"/>
      </w:pPr>
      <w:r>
        <w:rPr>
          <w:color w:val="7F7F7F"/>
        </w:rPr>
        <w:t>Basic Information</w:t>
      </w:r>
    </w:p>
    <w:tbl>
      <w:tblPr>
        <w:tblW w:w="0" w:type="auto"/>
        <w:jc w:val="left"/>
        <w:tblInd w:w="105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660"/>
        <w:gridCol w:w="6582"/>
      </w:tblGrid>
      <w:tr>
        <w:trPr>
          <w:trHeight w:val="680" w:hRule="atLeast"/>
        </w:trPr>
        <w:tc>
          <w:tcPr>
            <w:tcW w:w="2660" w:type="dxa"/>
            <w:shd w:val="clear" w:color="auto" w:fill="FFFFFF"/>
          </w:tcPr>
          <w:p>
            <w:pPr>
              <w:pStyle w:val="TableParagraph"/>
              <w:spacing w:line="213" w:lineRule="auto" w:before="151"/>
              <w:ind w:right="595"/>
              <w:rPr>
                <w:rFonts w:ascii="Stone Sans II ITC Std Bk"/>
                <w:b/>
                <w:sz w:val="20"/>
              </w:rPr>
            </w:pPr>
            <w:r>
              <w:rPr>
                <w:rFonts w:ascii="Stone Sans II ITC Std Bk"/>
                <w:b/>
                <w:w w:val="110"/>
                <w:sz w:val="20"/>
              </w:rPr>
              <w:t>Contact name and email address</w:t>
            </w:r>
          </w:p>
        </w:tc>
        <w:tc>
          <w:tcPr>
            <w:tcW w:w="6582" w:type="dxa"/>
            <w:shd w:val="clear" w:color="auto" w:fill="FFFFFF"/>
          </w:tcPr>
          <w:p>
            <w:pPr>
              <w:pStyle w:val="TableParagraph"/>
              <w:spacing w:before="141"/>
              <w:rPr>
                <w:sz w:val="20"/>
              </w:rPr>
            </w:pPr>
            <w:r>
              <w:rPr>
                <w:w w:val="120"/>
                <w:sz w:val="20"/>
              </w:rPr>
              <w:t>John Proctor: </w:t>
            </w:r>
            <w:hyperlink r:id="rId60">
              <w:r>
                <w:rPr>
                  <w:color w:val="006AB3"/>
                  <w:w w:val="120"/>
                  <w:sz w:val="20"/>
                </w:rPr>
                <w:t>john.proctor@urc.org.uk</w:t>
              </w:r>
            </w:hyperlink>
          </w:p>
        </w:tc>
      </w:tr>
      <w:tr>
        <w:trPr>
          <w:trHeight w:val="440" w:hRule="atLeast"/>
        </w:trPr>
        <w:tc>
          <w:tcPr>
            <w:tcW w:w="2660" w:type="dxa"/>
            <w:shd w:val="clear" w:color="auto" w:fill="FFFFFF"/>
          </w:tcPr>
          <w:p>
            <w:pPr>
              <w:pStyle w:val="TableParagraph"/>
              <w:spacing w:before="128"/>
              <w:rPr>
                <w:rFonts w:ascii="Stone Sans II ITC Std Bk"/>
                <w:b/>
                <w:sz w:val="20"/>
              </w:rPr>
            </w:pPr>
            <w:r>
              <w:rPr>
                <w:rFonts w:ascii="Stone Sans II ITC Std Bk"/>
                <w:b/>
                <w:w w:val="110"/>
                <w:sz w:val="20"/>
              </w:rPr>
              <w:t>Action required</w:t>
            </w:r>
          </w:p>
        </w:tc>
        <w:tc>
          <w:tcPr>
            <w:tcW w:w="6582" w:type="dxa"/>
            <w:shd w:val="clear" w:color="auto" w:fill="FFFFFF"/>
          </w:tcPr>
          <w:p>
            <w:pPr>
              <w:pStyle w:val="TableParagraph"/>
              <w:spacing w:before="141"/>
              <w:rPr>
                <w:sz w:val="20"/>
              </w:rPr>
            </w:pPr>
            <w:r>
              <w:rPr>
                <w:w w:val="120"/>
                <w:sz w:val="20"/>
              </w:rPr>
              <w:t>Decision</w:t>
            </w:r>
          </w:p>
        </w:tc>
      </w:tr>
      <w:tr>
        <w:trPr>
          <w:trHeight w:val="5240" w:hRule="atLeast"/>
        </w:trPr>
        <w:tc>
          <w:tcPr>
            <w:tcW w:w="2660" w:type="dxa"/>
            <w:shd w:val="clear" w:color="auto" w:fill="FFFFFF"/>
          </w:tcPr>
          <w:p>
            <w:pPr>
              <w:pStyle w:val="TableParagraph"/>
              <w:spacing w:before="128"/>
              <w:rPr>
                <w:rFonts w:ascii="Stone Sans II ITC Std Bk"/>
                <w:b/>
                <w:sz w:val="20"/>
              </w:rPr>
            </w:pPr>
            <w:r>
              <w:rPr>
                <w:rFonts w:ascii="Stone Sans II ITC Std Bk"/>
                <w:b/>
                <w:w w:val="110"/>
                <w:sz w:val="20"/>
              </w:rPr>
              <w:t>Draft resolution(s)</w:t>
            </w:r>
          </w:p>
        </w:tc>
        <w:tc>
          <w:tcPr>
            <w:tcW w:w="6582" w:type="dxa"/>
            <w:shd w:val="clear" w:color="auto" w:fill="FFFFFF"/>
          </w:tcPr>
          <w:p>
            <w:pPr>
              <w:pStyle w:val="TableParagraph"/>
              <w:tabs>
                <w:tab w:pos="760" w:val="left" w:leader="none"/>
              </w:tabs>
              <w:spacing w:line="213" w:lineRule="auto" w:before="151"/>
              <w:ind w:right="579"/>
              <w:rPr>
                <w:rFonts w:ascii="Stone Sans II ITC Std Bk"/>
                <w:b/>
                <w:sz w:val="20"/>
              </w:rPr>
            </w:pPr>
            <w:r>
              <w:rPr>
                <w:rFonts w:ascii="Stone Sans II ITC Std Bk"/>
                <w:b/>
                <w:w w:val="110"/>
                <w:sz w:val="20"/>
              </w:rPr>
              <w:t>6.</w:t>
              <w:tab/>
              <w:t>General Assembly resolves to make the following changes to Paragraph </w:t>
            </w:r>
            <w:r>
              <w:rPr>
                <w:rFonts w:ascii="Stone Sans II ITC Std Bk"/>
                <w:b/>
                <w:spacing w:val="-5"/>
                <w:w w:val="110"/>
                <w:sz w:val="20"/>
              </w:rPr>
              <w:t>2(4)A(xxii) </w:t>
            </w:r>
            <w:r>
              <w:rPr>
                <w:rFonts w:ascii="Stone Sans II ITC Std Bk"/>
                <w:b/>
                <w:w w:val="110"/>
                <w:sz w:val="20"/>
              </w:rPr>
              <w:t>of the Structure. Present</w:t>
            </w:r>
            <w:r>
              <w:rPr>
                <w:rFonts w:ascii="Stone Sans II ITC Std Bk"/>
                <w:b/>
                <w:spacing w:val="-1"/>
                <w:w w:val="110"/>
                <w:sz w:val="20"/>
              </w:rPr>
              <w:t> </w:t>
            </w:r>
            <w:r>
              <w:rPr>
                <w:rFonts w:ascii="Stone Sans II ITC Std Bk"/>
                <w:b/>
                <w:w w:val="110"/>
                <w:sz w:val="20"/>
              </w:rPr>
              <w:t>version:</w:t>
            </w:r>
          </w:p>
          <w:p>
            <w:pPr>
              <w:pStyle w:val="TableParagraph"/>
              <w:spacing w:line="235" w:lineRule="auto"/>
              <w:ind w:right="580"/>
              <w:rPr>
                <w:sz w:val="20"/>
              </w:rPr>
            </w:pPr>
            <w:r>
              <w:rPr>
                <w:w w:val="115"/>
                <w:sz w:val="20"/>
              </w:rPr>
              <w:t>to seek to expand the range and deepen the nature of the Christian common life and witness in each local community, and in Scotland and Wales to undertake responsibility for national ecumenical relationships on behalf of the whole United Reformed Church, subject to the final authority of the General</w:t>
            </w:r>
            <w:r>
              <w:rPr>
                <w:spacing w:val="4"/>
                <w:w w:val="115"/>
                <w:sz w:val="20"/>
              </w:rPr>
              <w:t> </w:t>
            </w:r>
            <w:r>
              <w:rPr>
                <w:w w:val="115"/>
                <w:sz w:val="20"/>
              </w:rPr>
              <w:t>Assembly</w:t>
            </w:r>
          </w:p>
          <w:p>
            <w:pPr>
              <w:pStyle w:val="TableParagraph"/>
              <w:spacing w:line="243" w:lineRule="exact"/>
              <w:rPr>
                <w:rFonts w:ascii="Stone Sans II ITC Std Bk"/>
                <w:b/>
                <w:sz w:val="20"/>
              </w:rPr>
            </w:pPr>
            <w:r>
              <w:rPr>
                <w:rFonts w:ascii="Stone Sans II ITC Std Bk"/>
                <w:b/>
                <w:w w:val="110"/>
                <w:sz w:val="20"/>
              </w:rPr>
              <w:t>New version:</w:t>
            </w:r>
          </w:p>
          <w:p>
            <w:pPr>
              <w:pStyle w:val="TableParagraph"/>
              <w:numPr>
                <w:ilvl w:val="0"/>
                <w:numId w:val="16"/>
              </w:numPr>
              <w:tabs>
                <w:tab w:pos="760" w:val="left" w:leader="none"/>
                <w:tab w:pos="761" w:val="left" w:leader="none"/>
              </w:tabs>
              <w:spacing w:line="213" w:lineRule="auto" w:before="0" w:after="0"/>
              <w:ind w:left="760" w:right="327" w:hanging="681"/>
              <w:jc w:val="left"/>
              <w:rPr>
                <w:rFonts w:ascii="Stone Sans II ITC Std Bk"/>
                <w:b/>
                <w:sz w:val="20"/>
              </w:rPr>
            </w:pPr>
            <w:r>
              <w:rPr>
                <w:rFonts w:ascii="Stone Sans II ITC Std Bk"/>
                <w:b/>
                <w:w w:val="110"/>
                <w:sz w:val="20"/>
              </w:rPr>
              <w:t>to seek to expand the range and deepen the </w:t>
            </w:r>
            <w:r>
              <w:rPr>
                <w:rFonts w:ascii="Stone Sans II ITC Std Bk"/>
                <w:b/>
                <w:spacing w:val="-3"/>
                <w:w w:val="110"/>
                <w:sz w:val="20"/>
              </w:rPr>
              <w:t>nature </w:t>
            </w:r>
            <w:r>
              <w:rPr>
                <w:rFonts w:ascii="Stone Sans II ITC Std Bk"/>
                <w:b/>
                <w:w w:val="110"/>
                <w:sz w:val="20"/>
              </w:rPr>
              <w:t>of the Christian common life and witness in each local community,</w:t>
            </w:r>
            <w:r>
              <w:rPr>
                <w:rFonts w:ascii="Stone Sans II ITC Std Bk"/>
                <w:b/>
                <w:spacing w:val="-1"/>
                <w:w w:val="110"/>
                <w:sz w:val="20"/>
              </w:rPr>
              <w:t> </w:t>
            </w:r>
            <w:r>
              <w:rPr>
                <w:rFonts w:ascii="Stone Sans II ITC Std Bk"/>
                <w:b/>
                <w:w w:val="110"/>
                <w:sz w:val="20"/>
              </w:rPr>
              <w:t>and</w:t>
            </w:r>
          </w:p>
          <w:p>
            <w:pPr>
              <w:pStyle w:val="TableParagraph"/>
              <w:numPr>
                <w:ilvl w:val="0"/>
                <w:numId w:val="16"/>
              </w:numPr>
              <w:tabs>
                <w:tab w:pos="760" w:val="left" w:leader="none"/>
                <w:tab w:pos="761" w:val="left" w:leader="none"/>
              </w:tabs>
              <w:spacing w:line="213" w:lineRule="auto" w:before="0" w:after="0"/>
              <w:ind w:left="760" w:right="324" w:hanging="681"/>
              <w:jc w:val="left"/>
              <w:rPr>
                <w:rFonts w:ascii="Stone Sans II ITC Std Bk" w:hAnsi="Stone Sans II ITC Std Bk"/>
                <w:b/>
                <w:sz w:val="20"/>
              </w:rPr>
            </w:pPr>
            <w:r>
              <w:rPr>
                <w:rFonts w:ascii="Stone Sans II ITC Std Bk" w:hAnsi="Stone Sans II ITC Std Bk"/>
                <w:b/>
                <w:w w:val="110"/>
                <w:sz w:val="20"/>
              </w:rPr>
              <w:t>in Scotland and </w:t>
            </w:r>
            <w:r>
              <w:rPr>
                <w:rFonts w:ascii="Stone Sans II ITC Std Bk" w:hAnsi="Stone Sans II ITC Std Bk"/>
                <w:b/>
                <w:spacing w:val="-3"/>
                <w:w w:val="110"/>
                <w:sz w:val="20"/>
              </w:rPr>
              <w:t>Wales </w:t>
            </w:r>
            <w:r>
              <w:rPr>
                <w:rFonts w:ascii="Stone Sans II ITC Std Bk" w:hAnsi="Stone Sans II ITC Std Bk"/>
                <w:b/>
                <w:w w:val="110"/>
                <w:sz w:val="20"/>
              </w:rPr>
              <w:t>to speak and act on behalf of the whole United Reformed Church in public affairs or the conduct of ecumenical relationships specific to the nation concerned, in the General </w:t>
            </w:r>
            <w:r>
              <w:rPr>
                <w:rFonts w:ascii="Stone Sans II ITC Std Bk" w:hAnsi="Stone Sans II ITC Std Bk"/>
                <w:b/>
                <w:spacing w:val="-3"/>
                <w:w w:val="110"/>
                <w:sz w:val="20"/>
              </w:rPr>
              <w:t>Assembly’s </w:t>
            </w:r>
            <w:r>
              <w:rPr>
                <w:rFonts w:ascii="Stone Sans II ITC Std Bk" w:hAnsi="Stone Sans II ITC Std Bk"/>
                <w:b/>
                <w:w w:val="110"/>
                <w:sz w:val="20"/>
              </w:rPr>
              <w:t>name but without prejudice to the </w:t>
            </w:r>
            <w:r>
              <w:rPr>
                <w:rFonts w:ascii="Stone Sans II ITC Std Bk" w:hAnsi="Stone Sans II ITC Std Bk"/>
                <w:b/>
                <w:spacing w:val="-3"/>
                <w:w w:val="110"/>
                <w:sz w:val="20"/>
              </w:rPr>
              <w:t>Assembly’s  </w:t>
            </w:r>
            <w:r>
              <w:rPr>
                <w:rFonts w:ascii="Stone Sans II ITC Std Bk" w:hAnsi="Stone Sans II ITC Std Bk"/>
                <w:b/>
                <w:w w:val="110"/>
                <w:sz w:val="20"/>
              </w:rPr>
              <w:t>right to speak and act in the same field on behalf  of the church either in England or throughout Great</w:t>
            </w:r>
            <w:r>
              <w:rPr>
                <w:rFonts w:ascii="Stone Sans II ITC Std Bk" w:hAnsi="Stone Sans II ITC Std Bk"/>
                <w:b/>
                <w:spacing w:val="-1"/>
                <w:w w:val="110"/>
                <w:sz w:val="20"/>
              </w:rPr>
              <w:t> </w:t>
            </w:r>
            <w:r>
              <w:rPr>
                <w:rFonts w:ascii="Stone Sans II ITC Std Bk" w:hAnsi="Stone Sans II ITC Std Bk"/>
                <w:b/>
                <w:w w:val="110"/>
                <w:sz w:val="20"/>
              </w:rPr>
              <w:t>Britain.</w:t>
            </w:r>
          </w:p>
        </w:tc>
      </w:tr>
    </w:tbl>
    <w:p>
      <w:pPr>
        <w:pStyle w:val="BodyText"/>
        <w:spacing w:before="4"/>
        <w:rPr>
          <w:rFonts w:ascii="Stone Sans II ITC Std Bk"/>
          <w:b/>
          <w:sz w:val="29"/>
        </w:rPr>
      </w:pPr>
    </w:p>
    <w:p>
      <w:pPr>
        <w:pStyle w:val="Heading4"/>
        <w:ind w:left="1043"/>
      </w:pPr>
      <w:r>
        <w:rPr>
          <w:color w:val="7F7F7F"/>
        </w:rPr>
        <w:t>Summary of Content</w:t>
      </w:r>
    </w:p>
    <w:tbl>
      <w:tblPr>
        <w:tblW w:w="0" w:type="auto"/>
        <w:jc w:val="left"/>
        <w:tblInd w:w="105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660"/>
        <w:gridCol w:w="6582"/>
      </w:tblGrid>
      <w:tr>
        <w:trPr>
          <w:trHeight w:val="440" w:hRule="atLeast"/>
        </w:trPr>
        <w:tc>
          <w:tcPr>
            <w:tcW w:w="2660" w:type="dxa"/>
            <w:shd w:val="clear" w:color="auto" w:fill="FFFFFF"/>
          </w:tcPr>
          <w:p>
            <w:pPr>
              <w:pStyle w:val="TableParagraph"/>
              <w:spacing w:before="128"/>
              <w:rPr>
                <w:rFonts w:ascii="Stone Sans II ITC Std Bk"/>
                <w:b/>
                <w:sz w:val="20"/>
              </w:rPr>
            </w:pPr>
            <w:r>
              <w:rPr>
                <w:rFonts w:ascii="Stone Sans II ITC Std Bk"/>
                <w:b/>
                <w:w w:val="110"/>
                <w:sz w:val="20"/>
              </w:rPr>
              <w:t>Subject and aim(s)</w:t>
            </w:r>
          </w:p>
        </w:tc>
        <w:tc>
          <w:tcPr>
            <w:tcW w:w="6582" w:type="dxa"/>
            <w:shd w:val="clear" w:color="auto" w:fill="FFFFFF"/>
          </w:tcPr>
          <w:p>
            <w:pPr>
              <w:pStyle w:val="TableParagraph"/>
              <w:spacing w:before="141"/>
              <w:rPr>
                <w:sz w:val="20"/>
              </w:rPr>
            </w:pPr>
            <w:r>
              <w:rPr>
                <w:w w:val="120"/>
                <w:sz w:val="20"/>
              </w:rPr>
              <w:t>The role of our National Synods in Scotland and Wales</w:t>
            </w:r>
          </w:p>
        </w:tc>
      </w:tr>
      <w:tr>
        <w:trPr>
          <w:trHeight w:val="680" w:hRule="atLeast"/>
        </w:trPr>
        <w:tc>
          <w:tcPr>
            <w:tcW w:w="2660" w:type="dxa"/>
            <w:shd w:val="clear" w:color="auto" w:fill="FFFFFF"/>
          </w:tcPr>
          <w:p>
            <w:pPr>
              <w:pStyle w:val="TableParagraph"/>
              <w:spacing w:before="128"/>
              <w:rPr>
                <w:rFonts w:ascii="Stone Sans II ITC Std Bk"/>
                <w:b/>
                <w:sz w:val="20"/>
              </w:rPr>
            </w:pPr>
            <w:r>
              <w:rPr>
                <w:rFonts w:ascii="Stone Sans II ITC Std Bk"/>
                <w:b/>
                <w:w w:val="110"/>
                <w:sz w:val="20"/>
              </w:rPr>
              <w:t>Main points</w:t>
            </w:r>
          </w:p>
        </w:tc>
        <w:tc>
          <w:tcPr>
            <w:tcW w:w="6582" w:type="dxa"/>
            <w:shd w:val="clear" w:color="auto" w:fill="FFFFFF"/>
          </w:tcPr>
          <w:p>
            <w:pPr>
              <w:pStyle w:val="TableParagraph"/>
              <w:spacing w:line="235" w:lineRule="auto" w:before="145"/>
              <w:rPr>
                <w:sz w:val="20"/>
              </w:rPr>
            </w:pPr>
            <w:r>
              <w:rPr>
                <w:w w:val="120"/>
                <w:sz w:val="20"/>
              </w:rPr>
              <w:t>Making formal changes to the Structure to reflect the 1998 Proposals for Union</w:t>
            </w:r>
          </w:p>
        </w:tc>
      </w:tr>
      <w:tr>
        <w:trPr>
          <w:trHeight w:val="680" w:hRule="atLeast"/>
        </w:trPr>
        <w:tc>
          <w:tcPr>
            <w:tcW w:w="2660" w:type="dxa"/>
            <w:shd w:val="clear" w:color="auto" w:fill="FFFFFF"/>
          </w:tcPr>
          <w:p>
            <w:pPr>
              <w:pStyle w:val="TableParagraph"/>
              <w:spacing w:line="213" w:lineRule="auto" w:before="151"/>
              <w:ind w:right="701"/>
              <w:rPr>
                <w:rFonts w:ascii="Stone Sans II ITC Std Bk"/>
                <w:b/>
                <w:sz w:val="20"/>
              </w:rPr>
            </w:pPr>
            <w:r>
              <w:rPr>
                <w:rFonts w:ascii="Stone Sans II ITC Std Bk"/>
                <w:b/>
                <w:w w:val="110"/>
                <w:sz w:val="20"/>
              </w:rPr>
              <w:t>Previous relevant documents</w:t>
            </w:r>
          </w:p>
        </w:tc>
        <w:tc>
          <w:tcPr>
            <w:tcW w:w="6582" w:type="dxa"/>
            <w:shd w:val="clear" w:color="auto" w:fill="FFFFFF"/>
          </w:tcPr>
          <w:p>
            <w:pPr>
              <w:pStyle w:val="TableParagraph"/>
              <w:spacing w:line="235" w:lineRule="auto" w:before="145"/>
              <w:ind w:right="1195"/>
              <w:rPr>
                <w:sz w:val="20"/>
              </w:rPr>
            </w:pPr>
            <w:r>
              <w:rPr>
                <w:w w:val="120"/>
                <w:sz w:val="20"/>
              </w:rPr>
              <w:t>Proposals for Union </w:t>
            </w:r>
            <w:r>
              <w:rPr>
                <w:spacing w:val="-5"/>
                <w:w w:val="120"/>
                <w:sz w:val="20"/>
              </w:rPr>
              <w:t>1998 </w:t>
            </w:r>
            <w:r>
              <w:rPr>
                <w:w w:val="120"/>
                <w:sz w:val="20"/>
              </w:rPr>
              <w:t>(especially  Part  </w:t>
            </w:r>
            <w:r>
              <w:rPr>
                <w:spacing w:val="-12"/>
                <w:w w:val="120"/>
                <w:sz w:val="20"/>
              </w:rPr>
              <w:t>5:1) </w:t>
            </w:r>
            <w:r>
              <w:rPr>
                <w:w w:val="120"/>
                <w:sz w:val="20"/>
              </w:rPr>
              <w:t>National synods consultation notes (April</w:t>
            </w:r>
            <w:r>
              <w:rPr>
                <w:spacing w:val="45"/>
                <w:w w:val="120"/>
                <w:sz w:val="20"/>
              </w:rPr>
              <w:t> </w:t>
            </w:r>
            <w:r>
              <w:rPr>
                <w:spacing w:val="-8"/>
                <w:w w:val="120"/>
                <w:sz w:val="20"/>
              </w:rPr>
              <w:t>14-15, </w:t>
            </w:r>
            <w:r>
              <w:rPr>
                <w:spacing w:val="-11"/>
                <w:w w:val="120"/>
                <w:sz w:val="20"/>
              </w:rPr>
              <w:t>2011)</w:t>
            </w:r>
          </w:p>
        </w:tc>
      </w:tr>
      <w:tr>
        <w:trPr>
          <w:trHeight w:val="1160" w:hRule="atLeast"/>
        </w:trPr>
        <w:tc>
          <w:tcPr>
            <w:tcW w:w="2660" w:type="dxa"/>
            <w:shd w:val="clear" w:color="auto" w:fill="FFFFFF"/>
          </w:tcPr>
          <w:p>
            <w:pPr>
              <w:pStyle w:val="TableParagraph"/>
              <w:spacing w:line="213" w:lineRule="auto" w:before="151"/>
              <w:ind w:right="104"/>
              <w:rPr>
                <w:rFonts w:ascii="Stone Sans II ITC Std Bk"/>
                <w:b/>
                <w:sz w:val="20"/>
              </w:rPr>
            </w:pPr>
            <w:r>
              <w:rPr>
                <w:rFonts w:ascii="Stone Sans II ITC Std Bk"/>
                <w:b/>
                <w:w w:val="110"/>
                <w:sz w:val="20"/>
              </w:rPr>
              <w:t>Consultation has taken place with...</w:t>
            </w:r>
          </w:p>
        </w:tc>
        <w:tc>
          <w:tcPr>
            <w:tcW w:w="6582" w:type="dxa"/>
            <w:shd w:val="clear" w:color="auto" w:fill="FFFFFF"/>
          </w:tcPr>
          <w:p>
            <w:pPr>
              <w:pStyle w:val="TableParagraph"/>
              <w:spacing w:line="235" w:lineRule="auto" w:before="145"/>
              <w:rPr>
                <w:sz w:val="20"/>
              </w:rPr>
            </w:pPr>
            <w:r>
              <w:rPr>
                <w:w w:val="120"/>
                <w:sz w:val="20"/>
              </w:rPr>
              <w:t>Members of the joint negotiating committee which drafted the 1998 Proposals for Union</w:t>
            </w:r>
          </w:p>
          <w:p>
            <w:pPr>
              <w:pStyle w:val="TableParagraph"/>
              <w:spacing w:line="235" w:lineRule="auto" w:before="1"/>
              <w:ind w:right="2469"/>
              <w:rPr>
                <w:sz w:val="20"/>
              </w:rPr>
            </w:pPr>
            <w:r>
              <w:rPr>
                <w:w w:val="120"/>
                <w:sz w:val="20"/>
              </w:rPr>
              <w:t>The law and polity advisory group Mission Council, and all thirteen synods</w:t>
            </w:r>
          </w:p>
        </w:tc>
      </w:tr>
    </w:tbl>
    <w:p>
      <w:pPr>
        <w:pStyle w:val="BodyText"/>
        <w:spacing w:before="3"/>
        <w:rPr>
          <w:rFonts w:ascii="Stone Sans II ITC Std Bk"/>
          <w:b/>
          <w:sz w:val="29"/>
        </w:rPr>
      </w:pPr>
    </w:p>
    <w:p>
      <w:pPr>
        <w:pStyle w:val="Heading4"/>
        <w:ind w:left="1043"/>
      </w:pPr>
      <w:r>
        <w:rPr>
          <w:color w:val="7F7F7F"/>
        </w:rPr>
        <w:t>Summary of Impact</w:t>
      </w:r>
    </w:p>
    <w:tbl>
      <w:tblPr>
        <w:tblW w:w="0" w:type="auto"/>
        <w:jc w:val="left"/>
        <w:tblInd w:w="105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660"/>
        <w:gridCol w:w="6582"/>
      </w:tblGrid>
      <w:tr>
        <w:trPr>
          <w:trHeight w:val="440" w:hRule="atLeast"/>
        </w:trPr>
        <w:tc>
          <w:tcPr>
            <w:tcW w:w="2660" w:type="dxa"/>
            <w:shd w:val="clear" w:color="auto" w:fill="FFFFFF"/>
          </w:tcPr>
          <w:p>
            <w:pPr>
              <w:pStyle w:val="TableParagraph"/>
              <w:spacing w:before="128"/>
              <w:rPr>
                <w:rFonts w:ascii="Stone Sans II ITC Std Bk"/>
                <w:b/>
                <w:sz w:val="20"/>
              </w:rPr>
            </w:pPr>
            <w:r>
              <w:rPr>
                <w:rFonts w:ascii="Stone Sans II ITC Std Bk"/>
                <w:b/>
                <w:w w:val="110"/>
                <w:sz w:val="20"/>
              </w:rPr>
              <w:t>Financial</w:t>
            </w:r>
          </w:p>
        </w:tc>
        <w:tc>
          <w:tcPr>
            <w:tcW w:w="6582" w:type="dxa"/>
            <w:shd w:val="clear" w:color="auto" w:fill="FFFFFF"/>
          </w:tcPr>
          <w:p>
            <w:pPr>
              <w:pStyle w:val="TableParagraph"/>
              <w:spacing w:before="141"/>
              <w:rPr>
                <w:sz w:val="20"/>
              </w:rPr>
            </w:pPr>
            <w:r>
              <w:rPr>
                <w:w w:val="120"/>
                <w:sz w:val="20"/>
              </w:rPr>
              <w:t>None</w:t>
            </w:r>
          </w:p>
        </w:tc>
      </w:tr>
      <w:tr>
        <w:trPr>
          <w:trHeight w:val="920" w:hRule="atLeast"/>
        </w:trPr>
        <w:tc>
          <w:tcPr>
            <w:tcW w:w="2660" w:type="dxa"/>
            <w:shd w:val="clear" w:color="auto" w:fill="FFFFFF"/>
          </w:tcPr>
          <w:p>
            <w:pPr>
              <w:pStyle w:val="TableParagraph"/>
              <w:spacing w:line="255" w:lineRule="exact" w:before="128"/>
              <w:rPr>
                <w:rFonts w:ascii="Stone Sans II ITC Std Bk"/>
                <w:b/>
                <w:sz w:val="20"/>
              </w:rPr>
            </w:pPr>
            <w:r>
              <w:rPr>
                <w:rFonts w:ascii="Stone Sans II ITC Std Bk"/>
                <w:b/>
                <w:w w:val="110"/>
                <w:sz w:val="20"/>
              </w:rPr>
              <w:t>External</w:t>
            </w:r>
          </w:p>
          <w:p>
            <w:pPr>
              <w:pStyle w:val="TableParagraph"/>
              <w:spacing w:line="255" w:lineRule="exact"/>
              <w:rPr>
                <w:rFonts w:ascii="Stone Sans II ITC Std Bk"/>
                <w:b/>
                <w:sz w:val="20"/>
              </w:rPr>
            </w:pPr>
            <w:r>
              <w:rPr>
                <w:rFonts w:ascii="Stone Sans II ITC Std Bk"/>
                <w:b/>
                <w:w w:val="110"/>
                <w:sz w:val="20"/>
              </w:rPr>
              <w:t>(e.g. ecumenical)</w:t>
            </w:r>
          </w:p>
        </w:tc>
        <w:tc>
          <w:tcPr>
            <w:tcW w:w="6582" w:type="dxa"/>
            <w:shd w:val="clear" w:color="auto" w:fill="FFFFFF"/>
          </w:tcPr>
          <w:p>
            <w:pPr>
              <w:pStyle w:val="TableParagraph"/>
              <w:spacing w:line="235" w:lineRule="auto" w:before="145"/>
              <w:ind w:right="643"/>
              <w:rPr>
                <w:sz w:val="20"/>
              </w:rPr>
            </w:pPr>
            <w:r>
              <w:rPr>
                <w:w w:val="120"/>
                <w:sz w:val="20"/>
              </w:rPr>
              <w:t>This will strengthen and extend the right and responsibility of the two national synods to speak and act for the United Reformed Church in their respective nations.</w:t>
            </w:r>
          </w:p>
        </w:tc>
      </w:tr>
    </w:tbl>
    <w:p>
      <w:pPr>
        <w:pStyle w:val="BodyText"/>
        <w:rPr>
          <w:rFonts w:ascii="Stone Sans II ITC Std Bk"/>
          <w:b/>
          <w:sz w:val="30"/>
        </w:rPr>
      </w:pPr>
    </w:p>
    <w:p>
      <w:pPr>
        <w:pStyle w:val="Heading6"/>
        <w:spacing w:before="238"/>
        <w:ind w:left="3818"/>
        <w:rPr>
          <w:rFonts w:ascii="Stone Sans II ITC Std X Bd" w:hAnsi="Stone Sans II ITC Std X Bd"/>
          <w:b/>
          <w:sz w:val="24"/>
        </w:rPr>
      </w:pPr>
      <w:r>
        <w:rPr>
          <w:color w:val="7EAABF"/>
          <w:w w:val="110"/>
        </w:rPr>
        <w:t>United Reformed Church </w:t>
      </w:r>
      <w:r>
        <w:rPr>
          <w:rFonts w:ascii="Symbol" w:hAnsi="Symbol"/>
          <w:color w:val="7EAABF"/>
          <w:w w:val="110"/>
        </w:rPr>
        <w:t></w:t>
      </w:r>
      <w:r>
        <w:rPr>
          <w:rFonts w:ascii="Times New Roman" w:hAnsi="Times New Roman"/>
          <w:color w:val="7EAABF"/>
          <w:w w:val="110"/>
        </w:rPr>
        <w:t> </w:t>
      </w:r>
      <w:r>
        <w:rPr>
          <w:color w:val="7EAABF"/>
          <w:w w:val="110"/>
        </w:rPr>
        <w:t>General Assembly 2016 </w:t>
      </w:r>
      <w:r>
        <w:rPr>
          <w:rFonts w:ascii="Symbol" w:hAnsi="Symbol"/>
          <w:color w:val="7EAABF"/>
          <w:w w:val="110"/>
        </w:rPr>
        <w:t></w:t>
      </w:r>
      <w:r>
        <w:rPr>
          <w:rFonts w:ascii="Times New Roman" w:hAnsi="Times New Roman"/>
          <w:color w:val="7EAABF"/>
          <w:w w:val="110"/>
        </w:rPr>
        <w:t> </w:t>
      </w:r>
      <w:r>
        <w:rPr>
          <w:rFonts w:ascii="Stone Sans II ITC Std X Bd" w:hAnsi="Stone Sans II ITC Std X Bd"/>
          <w:b/>
          <w:w w:val="110"/>
          <w:sz w:val="24"/>
        </w:rPr>
        <w:t>29</w:t>
      </w:r>
    </w:p>
    <w:p>
      <w:pPr>
        <w:spacing w:after="0"/>
        <w:rPr>
          <w:rFonts w:ascii="Stone Sans II ITC Std X Bd" w:hAnsi="Stone Sans II ITC Std X Bd"/>
          <w:sz w:val="24"/>
        </w:rPr>
        <w:sectPr>
          <w:headerReference w:type="default" r:id="rId124"/>
          <w:footerReference w:type="default" r:id="rId125"/>
          <w:pgSz w:w="11910" w:h="16840"/>
          <w:pgMar w:header="0" w:footer="0" w:top="0" w:bottom="0" w:left="700" w:right="0"/>
        </w:sectPr>
      </w:pPr>
    </w:p>
    <w:p>
      <w:pPr>
        <w:pStyle w:val="BodyText"/>
        <w:rPr>
          <w:rFonts w:ascii="Stone Sans II ITC Std X Bd"/>
          <w:b/>
        </w:rPr>
      </w:pPr>
      <w:r>
        <w:rPr/>
        <w:drawing>
          <wp:anchor distT="0" distB="0" distL="0" distR="0" allowOverlap="1" layoutInCell="1" locked="0" behindDoc="1" simplePos="0" relativeHeight="235284480">
            <wp:simplePos x="0" y="0"/>
            <wp:positionH relativeFrom="page">
              <wp:posOffset>0</wp:posOffset>
            </wp:positionH>
            <wp:positionV relativeFrom="page">
              <wp:posOffset>0</wp:posOffset>
            </wp:positionV>
            <wp:extent cx="594067" cy="10692003"/>
            <wp:effectExtent l="0" t="0" r="0" b="0"/>
            <wp:wrapNone/>
            <wp:docPr id="47" name="image51.png"/>
            <wp:cNvGraphicFramePr>
              <a:graphicFrameLocks noChangeAspect="1"/>
            </wp:cNvGraphicFramePr>
            <a:graphic>
              <a:graphicData uri="http://schemas.openxmlformats.org/drawingml/2006/picture">
                <pic:pic>
                  <pic:nvPicPr>
                    <pic:cNvPr id="48" name="image51.png"/>
                    <pic:cNvPicPr/>
                  </pic:nvPicPr>
                  <pic:blipFill>
                    <a:blip r:embed="rId64" cstate="print"/>
                    <a:stretch>
                      <a:fillRect/>
                    </a:stretch>
                  </pic:blipFill>
                  <pic:spPr>
                    <a:xfrm>
                      <a:off x="0" y="0"/>
                      <a:ext cx="594067" cy="10692003"/>
                    </a:xfrm>
                    <a:prstGeom prst="rect">
                      <a:avLst/>
                    </a:prstGeom>
                  </pic:spPr>
                </pic:pic>
              </a:graphicData>
            </a:graphic>
          </wp:anchor>
        </w:drawing>
      </w:r>
      <w:r>
        <w:rPr/>
        <w:pict>
          <v:shape style="position:absolute;margin-left:20.519100pt;margin-top:48.890015pt;width:25.9pt;height:348.85pt;mso-position-horizontal-relative:page;mso-position-vertical-relative:page;z-index:-268030976" type="#_x0000_t202" filled="false" stroked="false">
            <v:textbox inset="0,0,0,0" style="layout-flow:vertical">
              <w:txbxContent>
                <w:p>
                  <w:pPr>
                    <w:spacing w:before="27"/>
                    <w:ind w:left="20" w:right="0" w:firstLine="0"/>
                    <w:jc w:val="left"/>
                    <w:rPr>
                      <w:sz w:val="39"/>
                    </w:rPr>
                  </w:pPr>
                  <w:r>
                    <w:rPr>
                      <w:color w:val="FFFFFF"/>
                      <w:spacing w:val="9"/>
                      <w:w w:val="125"/>
                      <w:sz w:val="39"/>
                    </w:rPr>
                    <w:t>Resolutions </w:t>
                  </w:r>
                  <w:r>
                    <w:rPr>
                      <w:color w:val="FFFFFF"/>
                      <w:spacing w:val="8"/>
                      <w:w w:val="125"/>
                      <w:sz w:val="39"/>
                    </w:rPr>
                    <w:t>referred </w:t>
                  </w:r>
                  <w:r>
                    <w:rPr>
                      <w:color w:val="FFFFFF"/>
                      <w:spacing w:val="3"/>
                      <w:w w:val="125"/>
                      <w:sz w:val="39"/>
                    </w:rPr>
                    <w:t>to </w:t>
                  </w:r>
                  <w:r>
                    <w:rPr>
                      <w:color w:val="FFFFFF"/>
                      <w:spacing w:val="9"/>
                      <w:w w:val="125"/>
                      <w:sz w:val="39"/>
                    </w:rPr>
                    <w:t>synods</w:t>
                  </w:r>
                  <w:r>
                    <w:rPr>
                      <w:color w:val="FFFFFF"/>
                      <w:spacing w:val="-71"/>
                      <w:w w:val="125"/>
                      <w:sz w:val="39"/>
                    </w:rPr>
                    <w:t> </w:t>
                  </w:r>
                  <w:r>
                    <w:rPr>
                      <w:color w:val="FFFFFF"/>
                      <w:spacing w:val="11"/>
                      <w:w w:val="125"/>
                      <w:sz w:val="39"/>
                    </w:rPr>
                    <w:t>(C)</w:t>
                  </w:r>
                </w:p>
              </w:txbxContent>
            </v:textbox>
            <w10:wrap type="none"/>
          </v:shape>
        </w:pict>
      </w:r>
    </w:p>
    <w:p>
      <w:pPr>
        <w:pStyle w:val="BodyText"/>
        <w:spacing w:before="7"/>
        <w:rPr>
          <w:rFonts w:ascii="Stone Sans II ITC Std X Bd"/>
          <w:b/>
          <w:sz w:val="17"/>
        </w:rPr>
      </w:pPr>
    </w:p>
    <w:p>
      <w:pPr>
        <w:spacing w:before="107"/>
        <w:ind w:left="547" w:right="0" w:firstLine="0"/>
        <w:jc w:val="left"/>
        <w:rPr>
          <w:sz w:val="26"/>
        </w:rPr>
      </w:pPr>
      <w:r>
        <w:rPr>
          <w:color w:val="7EAABF"/>
          <w:w w:val="120"/>
          <w:sz w:val="26"/>
        </w:rPr>
        <w:t>Mission Council</w:t>
      </w:r>
    </w:p>
    <w:p>
      <w:pPr>
        <w:pStyle w:val="BodyText"/>
        <w:spacing w:before="8"/>
        <w:rPr>
          <w:sz w:val="24"/>
        </w:rPr>
      </w:pPr>
    </w:p>
    <w:p>
      <w:pPr>
        <w:spacing w:line="213" w:lineRule="auto" w:before="0"/>
        <w:ind w:left="547" w:right="2419" w:firstLine="0"/>
        <w:jc w:val="left"/>
        <w:rPr>
          <w:rFonts w:ascii="Stone Sans II ITC Std X Bd"/>
          <w:b/>
          <w:sz w:val="50"/>
        </w:rPr>
      </w:pPr>
      <w:r>
        <w:rPr>
          <w:rFonts w:ascii="Stone Sans II ITC Std X Bd"/>
          <w:b/>
          <w:spacing w:val="-10"/>
          <w:w w:val="110"/>
          <w:sz w:val="50"/>
        </w:rPr>
        <w:t>Resolutions </w:t>
      </w:r>
      <w:r>
        <w:rPr>
          <w:rFonts w:ascii="Stone Sans II ITC Std X Bd"/>
          <w:b/>
          <w:spacing w:val="-9"/>
          <w:w w:val="110"/>
          <w:sz w:val="50"/>
        </w:rPr>
        <w:t>referred </w:t>
      </w:r>
      <w:r>
        <w:rPr>
          <w:rFonts w:ascii="Stone Sans II ITC Std X Bd"/>
          <w:b/>
          <w:spacing w:val="-10"/>
          <w:w w:val="110"/>
          <w:sz w:val="50"/>
        </w:rPr>
        <w:t>to </w:t>
      </w:r>
      <w:r>
        <w:rPr>
          <w:rFonts w:ascii="Stone Sans II ITC Std X Bd"/>
          <w:b/>
          <w:spacing w:val="-8"/>
          <w:w w:val="110"/>
          <w:sz w:val="50"/>
        </w:rPr>
        <w:t>synods </w:t>
      </w:r>
      <w:r>
        <w:rPr>
          <w:rFonts w:ascii="Stone Sans II ITC Std X Bd"/>
          <w:b/>
          <w:spacing w:val="-21"/>
          <w:w w:val="110"/>
          <w:sz w:val="50"/>
        </w:rPr>
        <w:t>(C): </w:t>
      </w:r>
      <w:r>
        <w:rPr>
          <w:rFonts w:ascii="Stone Sans II ITC Std X Bd"/>
          <w:b/>
          <w:spacing w:val="-11"/>
          <w:w w:val="110"/>
          <w:sz w:val="50"/>
        </w:rPr>
        <w:t>national </w:t>
      </w:r>
      <w:r>
        <w:rPr>
          <w:rFonts w:ascii="Stone Sans II ITC Std X Bd"/>
          <w:b/>
          <w:spacing w:val="-8"/>
          <w:w w:val="110"/>
          <w:sz w:val="50"/>
        </w:rPr>
        <w:t>synods</w:t>
      </w:r>
    </w:p>
    <w:p>
      <w:pPr>
        <w:pStyle w:val="ListParagraph"/>
        <w:numPr>
          <w:ilvl w:val="0"/>
          <w:numId w:val="14"/>
        </w:numPr>
        <w:tabs>
          <w:tab w:pos="1227" w:val="left" w:leader="none"/>
          <w:tab w:pos="1228" w:val="left" w:leader="none"/>
        </w:tabs>
        <w:spacing w:line="235" w:lineRule="auto" w:before="382" w:after="0"/>
        <w:ind w:left="547" w:right="2235" w:firstLine="0"/>
        <w:jc w:val="left"/>
        <w:rPr>
          <w:sz w:val="20"/>
        </w:rPr>
      </w:pPr>
      <w:r>
        <w:rPr>
          <w:w w:val="120"/>
          <w:sz w:val="20"/>
        </w:rPr>
        <w:t>This</w:t>
      </w:r>
      <w:r>
        <w:rPr>
          <w:spacing w:val="-8"/>
          <w:w w:val="120"/>
          <w:sz w:val="20"/>
        </w:rPr>
        <w:t> </w:t>
      </w:r>
      <w:r>
        <w:rPr>
          <w:w w:val="120"/>
          <w:sz w:val="20"/>
        </w:rPr>
        <w:t>resolution</w:t>
      </w:r>
      <w:r>
        <w:rPr>
          <w:spacing w:val="-8"/>
          <w:w w:val="120"/>
          <w:sz w:val="20"/>
        </w:rPr>
        <w:t> </w:t>
      </w:r>
      <w:r>
        <w:rPr>
          <w:w w:val="120"/>
          <w:sz w:val="20"/>
        </w:rPr>
        <w:t>emerged</w:t>
      </w:r>
      <w:r>
        <w:rPr>
          <w:spacing w:val="-8"/>
          <w:w w:val="120"/>
          <w:sz w:val="20"/>
        </w:rPr>
        <w:t> </w:t>
      </w:r>
      <w:r>
        <w:rPr>
          <w:w w:val="120"/>
          <w:sz w:val="20"/>
        </w:rPr>
        <w:t>from</w:t>
      </w:r>
      <w:r>
        <w:rPr>
          <w:spacing w:val="-8"/>
          <w:w w:val="120"/>
          <w:sz w:val="20"/>
        </w:rPr>
        <w:t> </w:t>
      </w:r>
      <w:r>
        <w:rPr>
          <w:w w:val="120"/>
          <w:sz w:val="20"/>
        </w:rPr>
        <w:t>the</w:t>
      </w:r>
      <w:r>
        <w:rPr>
          <w:spacing w:val="-8"/>
          <w:w w:val="120"/>
          <w:sz w:val="20"/>
        </w:rPr>
        <w:t> </w:t>
      </w:r>
      <w:r>
        <w:rPr>
          <w:w w:val="120"/>
          <w:sz w:val="20"/>
        </w:rPr>
        <w:t>work</w:t>
      </w:r>
      <w:r>
        <w:rPr>
          <w:spacing w:val="-8"/>
          <w:w w:val="120"/>
          <w:sz w:val="20"/>
        </w:rPr>
        <w:t> </w:t>
      </w:r>
      <w:r>
        <w:rPr>
          <w:w w:val="120"/>
          <w:sz w:val="20"/>
        </w:rPr>
        <w:t>of</w:t>
      </w:r>
      <w:r>
        <w:rPr>
          <w:spacing w:val="-8"/>
          <w:w w:val="120"/>
          <w:sz w:val="20"/>
        </w:rPr>
        <w:t> </w:t>
      </w:r>
      <w:r>
        <w:rPr>
          <w:w w:val="120"/>
          <w:sz w:val="20"/>
        </w:rPr>
        <w:t>the</w:t>
      </w:r>
      <w:r>
        <w:rPr>
          <w:spacing w:val="-8"/>
          <w:w w:val="120"/>
          <w:sz w:val="20"/>
        </w:rPr>
        <w:t> </w:t>
      </w:r>
      <w:r>
        <w:rPr>
          <w:w w:val="120"/>
          <w:sz w:val="20"/>
        </w:rPr>
        <w:t>national</w:t>
      </w:r>
      <w:r>
        <w:rPr>
          <w:spacing w:val="-8"/>
          <w:w w:val="120"/>
          <w:sz w:val="20"/>
        </w:rPr>
        <w:t> </w:t>
      </w:r>
      <w:r>
        <w:rPr>
          <w:w w:val="120"/>
          <w:sz w:val="20"/>
        </w:rPr>
        <w:t>synods</w:t>
      </w:r>
      <w:r>
        <w:rPr>
          <w:spacing w:val="-8"/>
          <w:w w:val="120"/>
          <w:sz w:val="20"/>
        </w:rPr>
        <w:t> </w:t>
      </w:r>
      <w:r>
        <w:rPr>
          <w:w w:val="120"/>
          <w:sz w:val="20"/>
        </w:rPr>
        <w:t>task</w:t>
      </w:r>
      <w:r>
        <w:rPr>
          <w:spacing w:val="-8"/>
          <w:w w:val="120"/>
          <w:sz w:val="20"/>
        </w:rPr>
        <w:t> </w:t>
      </w:r>
      <w:r>
        <w:rPr>
          <w:w w:val="120"/>
          <w:sz w:val="20"/>
        </w:rPr>
        <w:t>group,</w:t>
      </w:r>
      <w:r>
        <w:rPr>
          <w:spacing w:val="-8"/>
          <w:w w:val="120"/>
          <w:sz w:val="20"/>
        </w:rPr>
        <w:t> </w:t>
      </w:r>
      <w:r>
        <w:rPr>
          <w:w w:val="120"/>
          <w:sz w:val="20"/>
        </w:rPr>
        <w:t>which reported to Mission Council in May </w:t>
      </w:r>
      <w:r>
        <w:rPr>
          <w:spacing w:val="-7"/>
          <w:w w:val="120"/>
          <w:sz w:val="20"/>
        </w:rPr>
        <w:t>2015, </w:t>
      </w:r>
      <w:r>
        <w:rPr>
          <w:w w:val="120"/>
          <w:sz w:val="20"/>
        </w:rPr>
        <w:t>where the resolution now before Assembly was approved. All thirteen synods have since had opportunity to consider it.</w:t>
      </w:r>
      <w:r>
        <w:rPr>
          <w:spacing w:val="47"/>
          <w:w w:val="120"/>
          <w:sz w:val="20"/>
        </w:rPr>
        <w:t> </w:t>
      </w:r>
      <w:r>
        <w:rPr>
          <w:w w:val="120"/>
          <w:sz w:val="20"/>
        </w:rPr>
        <w:t>None</w:t>
      </w:r>
    </w:p>
    <w:p>
      <w:pPr>
        <w:pStyle w:val="BodyText"/>
        <w:spacing w:line="235" w:lineRule="auto" w:before="2"/>
        <w:ind w:left="547" w:right="1899"/>
      </w:pPr>
      <w:r>
        <w:rPr>
          <w:w w:val="120"/>
        </w:rPr>
        <w:t>asked that it ‘be not proceeded with’. The matter therefore comes to General Assembly, which may, if it so decides, make these changes in the Structure of the Church, with immediate effect; for this a two-thirds majority would be necessary.</w:t>
      </w:r>
    </w:p>
    <w:p>
      <w:pPr>
        <w:pStyle w:val="BodyText"/>
        <w:spacing w:before="6"/>
        <w:rPr>
          <w:sz w:val="19"/>
        </w:rPr>
      </w:pPr>
    </w:p>
    <w:p>
      <w:pPr>
        <w:pStyle w:val="ListParagraph"/>
        <w:numPr>
          <w:ilvl w:val="0"/>
          <w:numId w:val="14"/>
        </w:numPr>
        <w:tabs>
          <w:tab w:pos="1227" w:val="left" w:leader="none"/>
          <w:tab w:pos="1228" w:val="left" w:leader="none"/>
        </w:tabs>
        <w:spacing w:line="240" w:lineRule="auto" w:before="0" w:after="0"/>
        <w:ind w:left="1227" w:right="0" w:hanging="681"/>
        <w:jc w:val="left"/>
        <w:rPr>
          <w:sz w:val="20"/>
        </w:rPr>
      </w:pPr>
      <w:r>
        <w:rPr>
          <w:w w:val="120"/>
          <w:sz w:val="20"/>
        </w:rPr>
        <w:t>The task group outlines the matter as</w:t>
      </w:r>
      <w:r>
        <w:rPr>
          <w:spacing w:val="12"/>
          <w:w w:val="120"/>
          <w:sz w:val="20"/>
        </w:rPr>
        <w:t> </w:t>
      </w:r>
      <w:r>
        <w:rPr>
          <w:w w:val="120"/>
          <w:sz w:val="20"/>
        </w:rPr>
        <w:t>follows.</w:t>
      </w:r>
    </w:p>
    <w:p>
      <w:pPr>
        <w:pStyle w:val="BodyText"/>
        <w:spacing w:before="8"/>
        <w:rPr>
          <w:sz w:val="19"/>
        </w:rPr>
      </w:pPr>
    </w:p>
    <w:p>
      <w:pPr>
        <w:pStyle w:val="ListParagraph"/>
        <w:numPr>
          <w:ilvl w:val="0"/>
          <w:numId w:val="14"/>
        </w:numPr>
        <w:tabs>
          <w:tab w:pos="1227" w:val="left" w:leader="none"/>
          <w:tab w:pos="1228" w:val="left" w:leader="none"/>
        </w:tabs>
        <w:spacing w:line="235" w:lineRule="auto" w:before="0" w:after="0"/>
        <w:ind w:left="547" w:right="2043" w:firstLine="0"/>
        <w:jc w:val="left"/>
        <w:rPr>
          <w:sz w:val="20"/>
        </w:rPr>
      </w:pPr>
      <w:r>
        <w:rPr>
          <w:w w:val="120"/>
          <w:sz w:val="20"/>
        </w:rPr>
        <w:t>Although the United Reformed Church was from </w:t>
      </w:r>
      <w:r>
        <w:rPr>
          <w:spacing w:val="-7"/>
          <w:w w:val="120"/>
          <w:sz w:val="20"/>
        </w:rPr>
        <w:t>1972 </w:t>
      </w:r>
      <w:r>
        <w:rPr>
          <w:spacing w:val="-3"/>
          <w:w w:val="120"/>
          <w:sz w:val="20"/>
        </w:rPr>
        <w:t>‘one </w:t>
      </w:r>
      <w:r>
        <w:rPr>
          <w:w w:val="120"/>
          <w:sz w:val="20"/>
        </w:rPr>
        <w:t>church in two  nations’ (England and </w:t>
      </w:r>
      <w:r>
        <w:rPr>
          <w:spacing w:val="-4"/>
          <w:w w:val="120"/>
          <w:sz w:val="20"/>
        </w:rPr>
        <w:t>Wales), </w:t>
      </w:r>
      <w:r>
        <w:rPr>
          <w:w w:val="120"/>
          <w:sz w:val="20"/>
        </w:rPr>
        <w:t>and then became </w:t>
      </w:r>
      <w:r>
        <w:rPr>
          <w:spacing w:val="-3"/>
          <w:w w:val="120"/>
          <w:sz w:val="20"/>
        </w:rPr>
        <w:t>‘one </w:t>
      </w:r>
      <w:r>
        <w:rPr>
          <w:w w:val="120"/>
          <w:sz w:val="20"/>
        </w:rPr>
        <w:t>church in three nations’ as a result of the union with Churches of Christ in </w:t>
      </w:r>
      <w:r>
        <w:rPr>
          <w:spacing w:val="-8"/>
          <w:w w:val="120"/>
          <w:sz w:val="20"/>
        </w:rPr>
        <w:t>1981, </w:t>
      </w:r>
      <w:r>
        <w:rPr>
          <w:w w:val="120"/>
          <w:sz w:val="20"/>
        </w:rPr>
        <w:t>awareness of this was sharpened by the union with the Congregational Union of Scotland in 2000. In the years since then we have</w:t>
      </w:r>
      <w:r>
        <w:rPr>
          <w:spacing w:val="4"/>
          <w:w w:val="120"/>
          <w:sz w:val="20"/>
        </w:rPr>
        <w:t> </w:t>
      </w:r>
      <w:r>
        <w:rPr>
          <w:w w:val="120"/>
          <w:sz w:val="20"/>
        </w:rPr>
        <w:t>grown</w:t>
      </w:r>
      <w:r>
        <w:rPr>
          <w:spacing w:val="5"/>
          <w:w w:val="120"/>
          <w:sz w:val="20"/>
        </w:rPr>
        <w:t> </w:t>
      </w:r>
      <w:r>
        <w:rPr>
          <w:w w:val="120"/>
          <w:sz w:val="20"/>
        </w:rPr>
        <w:t>to</w:t>
      </w:r>
      <w:r>
        <w:rPr>
          <w:spacing w:val="5"/>
          <w:w w:val="120"/>
          <w:sz w:val="20"/>
        </w:rPr>
        <w:t> </w:t>
      </w:r>
      <w:r>
        <w:rPr>
          <w:w w:val="120"/>
          <w:sz w:val="20"/>
        </w:rPr>
        <w:t>appreciate</w:t>
      </w:r>
      <w:r>
        <w:rPr>
          <w:spacing w:val="4"/>
          <w:w w:val="120"/>
          <w:sz w:val="20"/>
        </w:rPr>
        <w:t> </w:t>
      </w:r>
      <w:r>
        <w:rPr>
          <w:w w:val="120"/>
          <w:sz w:val="20"/>
        </w:rPr>
        <w:t>both</w:t>
      </w:r>
      <w:r>
        <w:rPr>
          <w:spacing w:val="5"/>
          <w:w w:val="120"/>
          <w:sz w:val="20"/>
        </w:rPr>
        <w:t> </w:t>
      </w:r>
      <w:r>
        <w:rPr>
          <w:w w:val="120"/>
          <w:sz w:val="20"/>
        </w:rPr>
        <w:t>the</w:t>
      </w:r>
      <w:r>
        <w:rPr>
          <w:spacing w:val="5"/>
          <w:w w:val="120"/>
          <w:sz w:val="20"/>
        </w:rPr>
        <w:t> </w:t>
      </w:r>
      <w:r>
        <w:rPr>
          <w:w w:val="120"/>
          <w:sz w:val="20"/>
        </w:rPr>
        <w:t>rich</w:t>
      </w:r>
      <w:r>
        <w:rPr>
          <w:spacing w:val="4"/>
          <w:w w:val="120"/>
          <w:sz w:val="20"/>
        </w:rPr>
        <w:t> </w:t>
      </w:r>
      <w:r>
        <w:rPr>
          <w:w w:val="120"/>
          <w:sz w:val="20"/>
        </w:rPr>
        <w:t>diversity</w:t>
      </w:r>
      <w:r>
        <w:rPr>
          <w:spacing w:val="5"/>
          <w:w w:val="120"/>
          <w:sz w:val="20"/>
        </w:rPr>
        <w:t> </w:t>
      </w:r>
      <w:r>
        <w:rPr>
          <w:w w:val="120"/>
          <w:sz w:val="20"/>
        </w:rPr>
        <w:t>this</w:t>
      </w:r>
      <w:r>
        <w:rPr>
          <w:spacing w:val="5"/>
          <w:w w:val="120"/>
          <w:sz w:val="20"/>
        </w:rPr>
        <w:t> </w:t>
      </w:r>
      <w:r>
        <w:rPr>
          <w:w w:val="120"/>
          <w:sz w:val="20"/>
        </w:rPr>
        <w:t>brings</w:t>
      </w:r>
      <w:r>
        <w:rPr>
          <w:spacing w:val="5"/>
          <w:w w:val="120"/>
          <w:sz w:val="20"/>
        </w:rPr>
        <w:t> </w:t>
      </w:r>
      <w:r>
        <w:rPr>
          <w:w w:val="120"/>
          <w:sz w:val="20"/>
        </w:rPr>
        <w:t>to</w:t>
      </w:r>
      <w:r>
        <w:rPr>
          <w:spacing w:val="4"/>
          <w:w w:val="120"/>
          <w:sz w:val="20"/>
        </w:rPr>
        <w:t> </w:t>
      </w:r>
      <w:r>
        <w:rPr>
          <w:w w:val="120"/>
          <w:sz w:val="20"/>
        </w:rPr>
        <w:t>our</w:t>
      </w:r>
      <w:r>
        <w:rPr>
          <w:spacing w:val="5"/>
          <w:w w:val="120"/>
          <w:sz w:val="20"/>
        </w:rPr>
        <w:t> </w:t>
      </w:r>
      <w:r>
        <w:rPr>
          <w:w w:val="120"/>
          <w:sz w:val="20"/>
        </w:rPr>
        <w:t>Church,</w:t>
      </w:r>
      <w:r>
        <w:rPr>
          <w:spacing w:val="5"/>
          <w:w w:val="120"/>
          <w:sz w:val="20"/>
        </w:rPr>
        <w:t> </w:t>
      </w:r>
      <w:r>
        <w:rPr>
          <w:w w:val="120"/>
          <w:sz w:val="20"/>
        </w:rPr>
        <w:t>as</w:t>
      </w:r>
      <w:r>
        <w:rPr>
          <w:spacing w:val="4"/>
          <w:w w:val="120"/>
          <w:sz w:val="20"/>
        </w:rPr>
        <w:t> </w:t>
      </w:r>
      <w:r>
        <w:rPr>
          <w:w w:val="120"/>
          <w:sz w:val="20"/>
        </w:rPr>
        <w:t>well</w:t>
      </w:r>
    </w:p>
    <w:p>
      <w:pPr>
        <w:pStyle w:val="BodyText"/>
        <w:spacing w:line="235" w:lineRule="auto" w:before="4"/>
        <w:ind w:left="547" w:right="2419"/>
      </w:pPr>
      <w:r>
        <w:rPr>
          <w:w w:val="120"/>
        </w:rPr>
        <w:t>as the new challenges brought by developing experience of the political devolution within the United Kingdom enacted in 1999 following referendums in 1997.</w:t>
      </w:r>
    </w:p>
    <w:p>
      <w:pPr>
        <w:pStyle w:val="BodyText"/>
        <w:spacing w:before="9"/>
        <w:rPr>
          <w:sz w:val="19"/>
        </w:rPr>
      </w:pPr>
    </w:p>
    <w:p>
      <w:pPr>
        <w:pStyle w:val="ListParagraph"/>
        <w:numPr>
          <w:ilvl w:val="0"/>
          <w:numId w:val="14"/>
        </w:numPr>
        <w:tabs>
          <w:tab w:pos="1227" w:val="left" w:leader="none"/>
          <w:tab w:pos="1228" w:val="left" w:leader="none"/>
        </w:tabs>
        <w:spacing w:line="235" w:lineRule="auto" w:before="0" w:after="0"/>
        <w:ind w:left="547" w:right="2135" w:firstLine="0"/>
        <w:jc w:val="left"/>
        <w:rPr>
          <w:sz w:val="20"/>
        </w:rPr>
      </w:pPr>
      <w:r>
        <w:rPr>
          <w:w w:val="120"/>
          <w:sz w:val="20"/>
        </w:rPr>
        <w:t>The Proposals for Union with the Congregational Union of Scotland – in their entirety – were approved by the </w:t>
      </w:r>
      <w:r>
        <w:rPr>
          <w:color w:val="333333"/>
          <w:w w:val="120"/>
          <w:sz w:val="20"/>
        </w:rPr>
        <w:t>Annual Assembly of the Congregational Union of Scotland </w:t>
      </w:r>
      <w:r>
        <w:rPr>
          <w:w w:val="120"/>
          <w:sz w:val="20"/>
        </w:rPr>
        <w:t>and the URC General Assembly in </w:t>
      </w:r>
      <w:r>
        <w:rPr>
          <w:spacing w:val="-4"/>
          <w:w w:val="120"/>
          <w:sz w:val="20"/>
        </w:rPr>
        <w:t>1998,  </w:t>
      </w:r>
      <w:r>
        <w:rPr>
          <w:w w:val="120"/>
          <w:sz w:val="20"/>
        </w:rPr>
        <w:t>although only limited changes to    the Structure of the URC were proposed at that point </w:t>
      </w:r>
      <w:r>
        <w:rPr>
          <w:spacing w:val="-5"/>
          <w:w w:val="120"/>
          <w:sz w:val="20"/>
        </w:rPr>
        <w:t>(and </w:t>
      </w:r>
      <w:r>
        <w:rPr>
          <w:w w:val="120"/>
          <w:sz w:val="20"/>
        </w:rPr>
        <w:t>approved in 2000). The proposals provided (in Part </w:t>
      </w:r>
      <w:r>
        <w:rPr>
          <w:spacing w:val="-11"/>
          <w:w w:val="120"/>
          <w:sz w:val="20"/>
        </w:rPr>
        <w:t>5.1) </w:t>
      </w:r>
      <w:r>
        <w:rPr>
          <w:w w:val="120"/>
          <w:sz w:val="20"/>
        </w:rPr>
        <w:t>for both national synods to speak and act ‘in the name of the URC’ in their nations’ ecclesiastical and public affairs. The term ‘ecclesiastical’ as used in that context meant</w:t>
      </w:r>
      <w:r>
        <w:rPr>
          <w:spacing w:val="9"/>
          <w:w w:val="120"/>
          <w:sz w:val="20"/>
        </w:rPr>
        <w:t> </w:t>
      </w:r>
      <w:r>
        <w:rPr>
          <w:w w:val="120"/>
          <w:sz w:val="20"/>
        </w:rPr>
        <w:t>ecumenical.</w:t>
      </w:r>
    </w:p>
    <w:p>
      <w:pPr>
        <w:pStyle w:val="BodyText"/>
        <w:spacing w:before="1"/>
      </w:pPr>
    </w:p>
    <w:p>
      <w:pPr>
        <w:pStyle w:val="ListParagraph"/>
        <w:numPr>
          <w:ilvl w:val="0"/>
          <w:numId w:val="14"/>
        </w:numPr>
        <w:tabs>
          <w:tab w:pos="1227" w:val="left" w:leader="none"/>
          <w:tab w:pos="1228" w:val="left" w:leader="none"/>
        </w:tabs>
        <w:spacing w:line="235" w:lineRule="auto" w:before="0" w:after="0"/>
        <w:ind w:left="547" w:right="2113" w:firstLine="0"/>
        <w:jc w:val="left"/>
        <w:rPr>
          <w:sz w:val="20"/>
        </w:rPr>
      </w:pPr>
      <w:r>
        <w:rPr>
          <w:w w:val="120"/>
          <w:sz w:val="20"/>
        </w:rPr>
        <w:t>Part </w:t>
      </w:r>
      <w:r>
        <w:rPr>
          <w:spacing w:val="-8"/>
          <w:w w:val="120"/>
          <w:sz w:val="20"/>
        </w:rPr>
        <w:t>5.1 </w:t>
      </w:r>
      <w:r>
        <w:rPr>
          <w:w w:val="120"/>
          <w:sz w:val="20"/>
        </w:rPr>
        <w:t>of the proposals talks of ‘speaking for the </w:t>
      </w:r>
      <w:r>
        <w:rPr>
          <w:spacing w:val="-5"/>
          <w:w w:val="120"/>
          <w:sz w:val="20"/>
        </w:rPr>
        <w:t>URC’, </w:t>
      </w:r>
      <w:r>
        <w:rPr>
          <w:w w:val="120"/>
          <w:sz w:val="20"/>
        </w:rPr>
        <w:t>whereas </w:t>
      </w:r>
      <w:r>
        <w:rPr>
          <w:spacing w:val="2"/>
          <w:w w:val="120"/>
          <w:sz w:val="20"/>
        </w:rPr>
        <w:t>part </w:t>
      </w:r>
      <w:r>
        <w:rPr>
          <w:w w:val="120"/>
          <w:sz w:val="20"/>
        </w:rPr>
        <w:t>4C(i) speaks of ‘acting with the delegated authority of the General Assembly’. The current Structure para </w:t>
      </w:r>
      <w:r>
        <w:rPr>
          <w:spacing w:val="-4"/>
          <w:w w:val="120"/>
          <w:sz w:val="20"/>
        </w:rPr>
        <w:t>2(4)A(xxii) </w:t>
      </w:r>
      <w:r>
        <w:rPr>
          <w:w w:val="120"/>
          <w:sz w:val="20"/>
        </w:rPr>
        <w:t>speaks of responsibility for national ecumenical relationships undertaken </w:t>
      </w:r>
      <w:r>
        <w:rPr>
          <w:spacing w:val="-4"/>
          <w:w w:val="120"/>
          <w:sz w:val="20"/>
        </w:rPr>
        <w:t>‘on </w:t>
      </w:r>
      <w:r>
        <w:rPr>
          <w:w w:val="120"/>
          <w:sz w:val="20"/>
        </w:rPr>
        <w:t>behalf of the whole URC’ but ‘subject to the final authority of the General Assembly’. Each of these expressions potentially means something a little different, which opens the door to confusion or dispute. The main difference now identified is that councils which speak or act ‘subject to the final authority of the Assembly’ </w:t>
      </w:r>
      <w:r>
        <w:rPr>
          <w:spacing w:val="-3"/>
          <w:w w:val="120"/>
          <w:sz w:val="20"/>
        </w:rPr>
        <w:t>(the </w:t>
      </w:r>
      <w:r>
        <w:rPr>
          <w:w w:val="120"/>
          <w:sz w:val="20"/>
        </w:rPr>
        <w:t>normal situation for local councils and synods) may have their decisions appealed to the Assembly; whereas councils, commissions etc. which act with delegated authority may not. </w:t>
      </w:r>
      <w:r>
        <w:rPr>
          <w:spacing w:val="-3"/>
          <w:w w:val="120"/>
          <w:sz w:val="20"/>
        </w:rPr>
        <w:t>(Such </w:t>
      </w:r>
      <w:r>
        <w:rPr>
          <w:w w:val="120"/>
          <w:sz w:val="20"/>
        </w:rPr>
        <w:t>as Mission Council acting for Assembly between sessions, and Assembly commissions in disciplinary</w:t>
      </w:r>
      <w:r>
        <w:rPr>
          <w:spacing w:val="14"/>
          <w:w w:val="120"/>
          <w:sz w:val="20"/>
        </w:rPr>
        <w:t> </w:t>
      </w:r>
      <w:r>
        <w:rPr>
          <w:spacing w:val="-3"/>
          <w:w w:val="120"/>
          <w:sz w:val="20"/>
        </w:rPr>
        <w:t>cases.)</w:t>
      </w:r>
    </w:p>
    <w:p>
      <w:pPr>
        <w:pStyle w:val="BodyText"/>
        <w:spacing w:before="4"/>
      </w:pPr>
    </w:p>
    <w:p>
      <w:pPr>
        <w:pStyle w:val="ListParagraph"/>
        <w:numPr>
          <w:ilvl w:val="0"/>
          <w:numId w:val="14"/>
        </w:numPr>
        <w:tabs>
          <w:tab w:pos="1227" w:val="left" w:leader="none"/>
          <w:tab w:pos="1228" w:val="left" w:leader="none"/>
        </w:tabs>
        <w:spacing w:line="235" w:lineRule="auto" w:before="0" w:after="0"/>
        <w:ind w:left="547" w:right="2186" w:firstLine="0"/>
        <w:jc w:val="left"/>
        <w:rPr>
          <w:sz w:val="20"/>
        </w:rPr>
      </w:pPr>
      <w:r>
        <w:rPr>
          <w:w w:val="120"/>
          <w:sz w:val="20"/>
        </w:rPr>
        <w:t>We felt that the national synods’ responsibility in specifically national questions should</w:t>
      </w:r>
      <w:r>
        <w:rPr>
          <w:spacing w:val="6"/>
          <w:w w:val="120"/>
          <w:sz w:val="20"/>
        </w:rPr>
        <w:t> </w:t>
      </w:r>
      <w:r>
        <w:rPr>
          <w:w w:val="120"/>
          <w:sz w:val="20"/>
        </w:rPr>
        <w:t>not</w:t>
      </w:r>
      <w:r>
        <w:rPr>
          <w:spacing w:val="6"/>
          <w:w w:val="120"/>
          <w:sz w:val="20"/>
        </w:rPr>
        <w:t> </w:t>
      </w:r>
      <w:r>
        <w:rPr>
          <w:w w:val="120"/>
          <w:sz w:val="20"/>
        </w:rPr>
        <w:t>be</w:t>
      </w:r>
      <w:r>
        <w:rPr>
          <w:spacing w:val="6"/>
          <w:w w:val="120"/>
          <w:sz w:val="20"/>
        </w:rPr>
        <w:t> </w:t>
      </w:r>
      <w:r>
        <w:rPr>
          <w:w w:val="120"/>
          <w:sz w:val="20"/>
        </w:rPr>
        <w:t>simply</w:t>
      </w:r>
      <w:r>
        <w:rPr>
          <w:spacing w:val="6"/>
          <w:w w:val="120"/>
          <w:sz w:val="20"/>
        </w:rPr>
        <w:t> </w:t>
      </w:r>
      <w:r>
        <w:rPr>
          <w:w w:val="120"/>
          <w:sz w:val="20"/>
        </w:rPr>
        <w:t>overruled</w:t>
      </w:r>
      <w:r>
        <w:rPr>
          <w:spacing w:val="6"/>
          <w:w w:val="120"/>
          <w:sz w:val="20"/>
        </w:rPr>
        <w:t> </w:t>
      </w:r>
      <w:r>
        <w:rPr>
          <w:w w:val="120"/>
          <w:sz w:val="20"/>
        </w:rPr>
        <w:t>by</w:t>
      </w:r>
      <w:r>
        <w:rPr>
          <w:spacing w:val="6"/>
          <w:w w:val="120"/>
          <w:sz w:val="20"/>
        </w:rPr>
        <w:t> </w:t>
      </w:r>
      <w:r>
        <w:rPr>
          <w:w w:val="120"/>
          <w:sz w:val="20"/>
        </w:rPr>
        <w:t>an</w:t>
      </w:r>
      <w:r>
        <w:rPr>
          <w:spacing w:val="6"/>
          <w:w w:val="120"/>
          <w:sz w:val="20"/>
        </w:rPr>
        <w:t> </w:t>
      </w:r>
      <w:r>
        <w:rPr>
          <w:w w:val="120"/>
          <w:sz w:val="20"/>
        </w:rPr>
        <w:t>English</w:t>
      </w:r>
      <w:r>
        <w:rPr>
          <w:spacing w:val="7"/>
          <w:w w:val="120"/>
          <w:sz w:val="20"/>
        </w:rPr>
        <w:t> </w:t>
      </w:r>
      <w:r>
        <w:rPr>
          <w:w w:val="120"/>
          <w:sz w:val="20"/>
        </w:rPr>
        <w:t>majority</w:t>
      </w:r>
      <w:r>
        <w:rPr>
          <w:spacing w:val="6"/>
          <w:w w:val="120"/>
          <w:sz w:val="20"/>
        </w:rPr>
        <w:t> </w:t>
      </w:r>
      <w:r>
        <w:rPr>
          <w:w w:val="120"/>
          <w:sz w:val="20"/>
        </w:rPr>
        <w:t>in</w:t>
      </w:r>
      <w:r>
        <w:rPr>
          <w:spacing w:val="6"/>
          <w:w w:val="120"/>
          <w:sz w:val="20"/>
        </w:rPr>
        <w:t> </w:t>
      </w:r>
      <w:r>
        <w:rPr>
          <w:w w:val="120"/>
          <w:sz w:val="20"/>
        </w:rPr>
        <w:t>General</w:t>
      </w:r>
      <w:r>
        <w:rPr>
          <w:spacing w:val="6"/>
          <w:w w:val="120"/>
          <w:sz w:val="20"/>
        </w:rPr>
        <w:t> </w:t>
      </w:r>
      <w:r>
        <w:rPr>
          <w:w w:val="120"/>
          <w:sz w:val="20"/>
        </w:rPr>
        <w:t>Assembly.</w:t>
      </w:r>
      <w:r>
        <w:rPr>
          <w:spacing w:val="6"/>
          <w:w w:val="120"/>
          <w:sz w:val="20"/>
        </w:rPr>
        <w:t> </w:t>
      </w:r>
      <w:r>
        <w:rPr>
          <w:w w:val="120"/>
          <w:sz w:val="20"/>
        </w:rPr>
        <w:t>A</w:t>
      </w:r>
      <w:r>
        <w:rPr>
          <w:spacing w:val="6"/>
          <w:w w:val="120"/>
          <w:sz w:val="20"/>
        </w:rPr>
        <w:t> </w:t>
      </w:r>
      <w:r>
        <w:rPr>
          <w:w w:val="120"/>
          <w:sz w:val="20"/>
        </w:rPr>
        <w:t>right</w:t>
      </w:r>
    </w:p>
    <w:p>
      <w:pPr>
        <w:pStyle w:val="BodyText"/>
        <w:spacing w:line="235" w:lineRule="auto" w:before="2"/>
        <w:ind w:left="547" w:right="2419"/>
      </w:pPr>
      <w:r>
        <w:rPr>
          <w:w w:val="120"/>
        </w:rPr>
        <w:t>of appeal to Assembly, therefore, is not appropriate and the ‘deemed delegation’ approach expresses this best. The language in our draft resolution is taken from the language already used in Structure para 2(6) in relation to Mission Council.</w:t>
      </w:r>
    </w:p>
    <w:p>
      <w:pPr>
        <w:pStyle w:val="BodyText"/>
        <w:spacing w:before="10"/>
        <w:rPr>
          <w:sz w:val="19"/>
        </w:rPr>
      </w:pPr>
    </w:p>
    <w:p>
      <w:pPr>
        <w:pStyle w:val="ListParagraph"/>
        <w:numPr>
          <w:ilvl w:val="0"/>
          <w:numId w:val="14"/>
        </w:numPr>
        <w:tabs>
          <w:tab w:pos="1227" w:val="left" w:leader="none"/>
          <w:tab w:pos="1228" w:val="left" w:leader="none"/>
        </w:tabs>
        <w:spacing w:line="235" w:lineRule="auto" w:before="0" w:after="0"/>
        <w:ind w:left="547" w:right="2076" w:firstLine="0"/>
        <w:jc w:val="left"/>
        <w:rPr>
          <w:sz w:val="20"/>
        </w:rPr>
      </w:pPr>
      <w:r>
        <w:rPr>
          <w:w w:val="120"/>
          <w:sz w:val="20"/>
        </w:rPr>
        <w:t>However, we also felt that it could never have been intended that a national synod should, by speaking on some moral or religious issue in the national context, be able to prevent the General Assembly expressing the view of the wider church on that same issue. Nor should the other national synod be so prevented; nor should  Assembly</w:t>
      </w:r>
    </w:p>
    <w:p>
      <w:pPr>
        <w:pStyle w:val="ListParagraph"/>
        <w:numPr>
          <w:ilvl w:val="0"/>
          <w:numId w:val="17"/>
        </w:numPr>
        <w:tabs>
          <w:tab w:pos="732" w:val="left" w:leader="none"/>
        </w:tabs>
        <w:spacing w:line="235" w:lineRule="auto" w:before="3" w:after="0"/>
        <w:ind w:left="547" w:right="2360" w:firstLine="0"/>
        <w:jc w:val="left"/>
        <w:rPr>
          <w:sz w:val="20"/>
        </w:rPr>
      </w:pPr>
      <w:r>
        <w:rPr>
          <w:w w:val="120"/>
          <w:sz w:val="20"/>
        </w:rPr>
        <w:t>which at present is the only forum in which the collective view of URC members   in England can be expressed – be prevented from expressing an English perspective simply because a Celtic national synod with delegated authority had spoken</w:t>
      </w:r>
      <w:r>
        <w:rPr>
          <w:spacing w:val="6"/>
          <w:w w:val="120"/>
          <w:sz w:val="20"/>
        </w:rPr>
        <w:t> </w:t>
      </w:r>
      <w:r>
        <w:rPr>
          <w:w w:val="120"/>
          <w:sz w:val="20"/>
        </w:rPr>
        <w:t>first.</w:t>
      </w:r>
    </w:p>
    <w:p>
      <w:pPr>
        <w:pStyle w:val="BodyText"/>
        <w:spacing w:line="235" w:lineRule="auto" w:before="2"/>
        <w:ind w:left="547" w:right="2419"/>
      </w:pPr>
      <w:r>
        <w:rPr>
          <w:w w:val="120"/>
        </w:rPr>
        <w:t>The words in our amendment to the Structure beginning ‘but without prejudice’ are designed to express this.</w:t>
      </w:r>
    </w:p>
    <w:p>
      <w:pPr>
        <w:spacing w:after="0" w:line="235" w:lineRule="auto"/>
        <w:sectPr>
          <w:headerReference w:type="even" r:id="rId126"/>
          <w:footerReference w:type="even" r:id="rId127"/>
          <w:pgSz w:w="11910" w:h="16840"/>
          <w:pgMar w:header="0" w:footer="647" w:top="0" w:bottom="840" w:left="700" w:right="0"/>
          <w:pgNumType w:start="30"/>
        </w:sectPr>
      </w:pPr>
    </w:p>
    <w:p>
      <w:pPr>
        <w:pStyle w:val="BodyText"/>
      </w:pPr>
      <w:r>
        <w:rPr/>
        <w:drawing>
          <wp:anchor distT="0" distB="0" distL="0" distR="0" allowOverlap="1" layoutInCell="1" locked="0" behindDoc="0" simplePos="0" relativeHeight="251740160">
            <wp:simplePos x="0" y="0"/>
            <wp:positionH relativeFrom="page">
              <wp:posOffset>6974928</wp:posOffset>
            </wp:positionH>
            <wp:positionV relativeFrom="page">
              <wp:posOffset>0</wp:posOffset>
            </wp:positionV>
            <wp:extent cx="585076" cy="10692003"/>
            <wp:effectExtent l="0" t="0" r="0" b="0"/>
            <wp:wrapNone/>
            <wp:docPr id="49" name="image52.png"/>
            <wp:cNvGraphicFramePr>
              <a:graphicFrameLocks noChangeAspect="1"/>
            </wp:cNvGraphicFramePr>
            <a:graphic>
              <a:graphicData uri="http://schemas.openxmlformats.org/drawingml/2006/picture">
                <pic:pic>
                  <pic:nvPicPr>
                    <pic:cNvPr id="50" name="image52.png"/>
                    <pic:cNvPicPr/>
                  </pic:nvPicPr>
                  <pic:blipFill>
                    <a:blip r:embed="rId66" cstate="print"/>
                    <a:stretch>
                      <a:fillRect/>
                    </a:stretch>
                  </pic:blipFill>
                  <pic:spPr>
                    <a:xfrm>
                      <a:off x="0" y="0"/>
                      <a:ext cx="585076" cy="10692003"/>
                    </a:xfrm>
                    <a:prstGeom prst="rect">
                      <a:avLst/>
                    </a:prstGeom>
                  </pic:spPr>
                </pic:pic>
              </a:graphicData>
            </a:graphic>
          </wp:anchor>
        </w:drawing>
      </w:r>
    </w:p>
    <w:p>
      <w:pPr>
        <w:pStyle w:val="BodyText"/>
        <w:spacing w:before="7"/>
        <w:rPr>
          <w:sz w:val="21"/>
        </w:rPr>
      </w:pPr>
    </w:p>
    <w:p>
      <w:pPr>
        <w:spacing w:before="106"/>
        <w:ind w:left="0" w:right="1245" w:firstLine="0"/>
        <w:jc w:val="right"/>
        <w:rPr>
          <w:sz w:val="26"/>
        </w:rPr>
      </w:pPr>
      <w:r>
        <w:rPr/>
        <w:pict>
          <v:shape style="position:absolute;margin-left:554.141174pt;margin-top:22.593945pt;width:25.9pt;height:348.85pt;mso-position-horizontal-relative:page;mso-position-vertical-relative:paragraph;z-index:251741184" type="#_x0000_t202" filled="false" stroked="false">
            <v:textbox inset="0,0,0,0" style="layout-flow:vertical">
              <w:txbxContent>
                <w:p>
                  <w:pPr>
                    <w:spacing w:before="27"/>
                    <w:ind w:left="20" w:right="0" w:firstLine="0"/>
                    <w:jc w:val="left"/>
                    <w:rPr>
                      <w:sz w:val="39"/>
                    </w:rPr>
                  </w:pPr>
                  <w:r>
                    <w:rPr>
                      <w:color w:val="FFFFFF"/>
                      <w:spacing w:val="9"/>
                      <w:w w:val="125"/>
                      <w:sz w:val="39"/>
                    </w:rPr>
                    <w:t>Resolutions </w:t>
                  </w:r>
                  <w:r>
                    <w:rPr>
                      <w:color w:val="FFFFFF"/>
                      <w:spacing w:val="8"/>
                      <w:w w:val="125"/>
                      <w:sz w:val="39"/>
                    </w:rPr>
                    <w:t>referred </w:t>
                  </w:r>
                  <w:r>
                    <w:rPr>
                      <w:color w:val="FFFFFF"/>
                      <w:spacing w:val="3"/>
                      <w:w w:val="125"/>
                      <w:sz w:val="39"/>
                    </w:rPr>
                    <w:t>to </w:t>
                  </w:r>
                  <w:r>
                    <w:rPr>
                      <w:color w:val="FFFFFF"/>
                      <w:spacing w:val="9"/>
                      <w:w w:val="125"/>
                      <w:sz w:val="39"/>
                    </w:rPr>
                    <w:t>synods</w:t>
                  </w:r>
                  <w:r>
                    <w:rPr>
                      <w:color w:val="FFFFFF"/>
                      <w:spacing w:val="-71"/>
                      <w:w w:val="125"/>
                      <w:sz w:val="39"/>
                    </w:rPr>
                    <w:t> </w:t>
                  </w:r>
                  <w:r>
                    <w:rPr>
                      <w:color w:val="FFFFFF"/>
                      <w:spacing w:val="11"/>
                      <w:w w:val="125"/>
                      <w:sz w:val="39"/>
                    </w:rPr>
                    <w:t>(C)</w:t>
                  </w:r>
                </w:p>
              </w:txbxContent>
            </v:textbox>
            <w10:wrap type="none"/>
          </v:shape>
        </w:pict>
      </w:r>
      <w:r>
        <w:rPr>
          <w:color w:val="7EAABF"/>
          <w:w w:val="120"/>
          <w:sz w:val="26"/>
        </w:rPr>
        <w:t>Mission Council</w:t>
      </w:r>
    </w:p>
    <w:p>
      <w:pPr>
        <w:pStyle w:val="ListParagraph"/>
        <w:numPr>
          <w:ilvl w:val="0"/>
          <w:numId w:val="14"/>
        </w:numPr>
        <w:tabs>
          <w:tab w:pos="1964" w:val="left" w:leader="none"/>
          <w:tab w:pos="1965" w:val="left" w:leader="none"/>
        </w:tabs>
        <w:spacing w:line="235" w:lineRule="auto" w:before="222" w:after="0"/>
        <w:ind w:left="1284" w:right="1284" w:firstLine="0"/>
        <w:jc w:val="left"/>
        <w:rPr>
          <w:sz w:val="20"/>
        </w:rPr>
      </w:pPr>
      <w:r>
        <w:rPr>
          <w:w w:val="120"/>
          <w:sz w:val="20"/>
        </w:rPr>
        <w:t>Spelling this out, of course, raises the possibility that the opinion of church members in one of the three nations, expressed by a synod in the Celtic nations or by the Assembly in right of England, will diverge from the opinion of church members in another nation, and the URC will be seen by the outside world to be speaking with two or more voices. We do not believe this is always undesirable. It is certainly honest. But there should always be careful thought before the Church takes this course. The main means of ‘taking thought’ is consultation, between the synod and Assembly levels of  the church, usually through their responsible committees. No new provision is required for this in the Structure – para 4 already calls for consultation – but the </w:t>
      </w:r>
      <w:r>
        <w:rPr>
          <w:spacing w:val="2"/>
          <w:w w:val="120"/>
          <w:sz w:val="20"/>
        </w:rPr>
        <w:t>report </w:t>
      </w:r>
      <w:r>
        <w:rPr>
          <w:w w:val="120"/>
          <w:sz w:val="20"/>
        </w:rPr>
        <w:t>spells out some implications, e.g. reminding Assembly committees to be alert to the possibility of  a distinctive national</w:t>
      </w:r>
      <w:r>
        <w:rPr>
          <w:spacing w:val="6"/>
          <w:w w:val="120"/>
          <w:sz w:val="20"/>
        </w:rPr>
        <w:t> </w:t>
      </w:r>
      <w:r>
        <w:rPr>
          <w:w w:val="120"/>
          <w:sz w:val="20"/>
        </w:rPr>
        <w:t>perspective.</w:t>
      </w:r>
    </w:p>
    <w:p>
      <w:pPr>
        <w:pStyle w:val="BodyText"/>
        <w:spacing w:before="3"/>
      </w:pPr>
    </w:p>
    <w:p>
      <w:pPr>
        <w:pStyle w:val="ListParagraph"/>
        <w:numPr>
          <w:ilvl w:val="0"/>
          <w:numId w:val="14"/>
        </w:numPr>
        <w:tabs>
          <w:tab w:pos="1964" w:val="left" w:leader="none"/>
          <w:tab w:pos="1965" w:val="left" w:leader="none"/>
        </w:tabs>
        <w:spacing w:line="235" w:lineRule="auto" w:before="1" w:after="0"/>
        <w:ind w:left="1284" w:right="1294" w:firstLine="0"/>
        <w:jc w:val="left"/>
        <w:rPr>
          <w:sz w:val="20"/>
        </w:rPr>
      </w:pPr>
      <w:r>
        <w:rPr>
          <w:w w:val="120"/>
          <w:sz w:val="20"/>
        </w:rPr>
        <w:t>When it seems desirable for there to be a single public URC view on a question, the opening words of Structure </w:t>
      </w:r>
      <w:r>
        <w:rPr>
          <w:spacing w:val="-7"/>
          <w:w w:val="120"/>
          <w:sz w:val="20"/>
        </w:rPr>
        <w:t>2(6)  </w:t>
      </w:r>
      <w:r>
        <w:rPr>
          <w:w w:val="120"/>
          <w:sz w:val="20"/>
        </w:rPr>
        <w:t>suggest this should be the Assembly view. We   have not spelt out in so many words that the synods would then abide by the Assembly or Mission Council decision; but past experience suggests that national synods take seriously what Proposals </w:t>
      </w:r>
      <w:r>
        <w:rPr>
          <w:spacing w:val="-8"/>
          <w:w w:val="120"/>
          <w:sz w:val="20"/>
        </w:rPr>
        <w:t>5.1 </w:t>
      </w:r>
      <w:r>
        <w:rPr>
          <w:w w:val="120"/>
          <w:sz w:val="20"/>
        </w:rPr>
        <w:t>called ‘their continued participation in and commitment to the conciliar structures of the</w:t>
      </w:r>
      <w:r>
        <w:rPr>
          <w:spacing w:val="10"/>
          <w:w w:val="120"/>
          <w:sz w:val="20"/>
        </w:rPr>
        <w:t> </w:t>
      </w:r>
      <w:r>
        <w:rPr>
          <w:spacing w:val="-5"/>
          <w:w w:val="120"/>
          <w:sz w:val="20"/>
        </w:rPr>
        <w:t>URC’.</w:t>
      </w:r>
    </w:p>
    <w:p>
      <w:pPr>
        <w:pStyle w:val="BodyText"/>
      </w:pPr>
    </w:p>
    <w:p>
      <w:pPr>
        <w:pStyle w:val="ListParagraph"/>
        <w:numPr>
          <w:ilvl w:val="0"/>
          <w:numId w:val="14"/>
        </w:numPr>
        <w:tabs>
          <w:tab w:pos="1964" w:val="left" w:leader="none"/>
          <w:tab w:pos="1965" w:val="left" w:leader="none"/>
        </w:tabs>
        <w:spacing w:line="235" w:lineRule="auto" w:before="0" w:after="0"/>
        <w:ind w:left="1284" w:right="1324" w:firstLine="0"/>
        <w:jc w:val="left"/>
        <w:rPr>
          <w:sz w:val="20"/>
        </w:rPr>
      </w:pPr>
      <w:r>
        <w:rPr>
          <w:w w:val="120"/>
          <w:sz w:val="20"/>
        </w:rPr>
        <w:t>We envisage that, under the Structure as amended and subject to the provisions for consultation, each national synod</w:t>
      </w:r>
      <w:r>
        <w:rPr>
          <w:spacing w:val="10"/>
          <w:w w:val="120"/>
          <w:sz w:val="20"/>
        </w:rPr>
        <w:t> </w:t>
      </w:r>
      <w:r>
        <w:rPr>
          <w:w w:val="120"/>
          <w:sz w:val="20"/>
        </w:rPr>
        <w:t>would</w:t>
      </w:r>
    </w:p>
    <w:p>
      <w:pPr>
        <w:pStyle w:val="ListParagraph"/>
        <w:numPr>
          <w:ilvl w:val="0"/>
          <w:numId w:val="18"/>
        </w:numPr>
        <w:tabs>
          <w:tab w:pos="1964" w:val="left" w:leader="none"/>
          <w:tab w:pos="1965" w:val="left" w:leader="none"/>
        </w:tabs>
        <w:spacing w:line="213" w:lineRule="auto" w:before="204" w:after="0"/>
        <w:ind w:left="1964" w:right="1282" w:hanging="681"/>
        <w:jc w:val="left"/>
        <w:rPr>
          <w:sz w:val="20"/>
        </w:rPr>
      </w:pPr>
      <w:r>
        <w:rPr>
          <w:w w:val="120"/>
          <w:sz w:val="20"/>
        </w:rPr>
        <w:t>co-operate with churches indigenous to the nation concerned and </w:t>
      </w:r>
      <w:r>
        <w:rPr>
          <w:spacing w:val="-6"/>
          <w:w w:val="120"/>
          <w:sz w:val="20"/>
        </w:rPr>
        <w:t>(so </w:t>
      </w:r>
      <w:r>
        <w:rPr>
          <w:w w:val="120"/>
          <w:sz w:val="20"/>
        </w:rPr>
        <w:t>far as  those churches’ polity allowed) with the Welsh or Scottish organs of Britain-wide or international</w:t>
      </w:r>
      <w:r>
        <w:rPr>
          <w:spacing w:val="3"/>
          <w:w w:val="120"/>
          <w:sz w:val="20"/>
        </w:rPr>
        <w:t> </w:t>
      </w:r>
      <w:r>
        <w:rPr>
          <w:w w:val="120"/>
          <w:sz w:val="20"/>
        </w:rPr>
        <w:t>churches;</w:t>
      </w:r>
    </w:p>
    <w:p>
      <w:pPr>
        <w:pStyle w:val="ListParagraph"/>
        <w:numPr>
          <w:ilvl w:val="0"/>
          <w:numId w:val="18"/>
        </w:numPr>
        <w:tabs>
          <w:tab w:pos="1964" w:val="left" w:leader="none"/>
          <w:tab w:pos="1965" w:val="left" w:leader="none"/>
        </w:tabs>
        <w:spacing w:line="196" w:lineRule="auto" w:before="0" w:after="0"/>
        <w:ind w:left="1964" w:right="1483" w:hanging="681"/>
        <w:jc w:val="left"/>
        <w:rPr>
          <w:sz w:val="20"/>
        </w:rPr>
      </w:pPr>
      <w:r>
        <w:rPr>
          <w:w w:val="120"/>
          <w:sz w:val="20"/>
        </w:rPr>
        <w:t>conduct negotiations for church union within the nation concerned, subject to Structure para </w:t>
      </w:r>
      <w:r>
        <w:rPr>
          <w:spacing w:val="-7"/>
          <w:w w:val="120"/>
          <w:sz w:val="20"/>
        </w:rPr>
        <w:t>3(2) </w:t>
      </w:r>
      <w:r>
        <w:rPr>
          <w:w w:val="120"/>
          <w:sz w:val="20"/>
        </w:rPr>
        <w:t>regulating final approval of any</w:t>
      </w:r>
      <w:r>
        <w:rPr>
          <w:spacing w:val="33"/>
          <w:w w:val="120"/>
          <w:sz w:val="20"/>
        </w:rPr>
        <w:t> </w:t>
      </w:r>
      <w:r>
        <w:rPr>
          <w:w w:val="120"/>
          <w:sz w:val="20"/>
        </w:rPr>
        <w:t>union;</w:t>
      </w:r>
    </w:p>
    <w:p>
      <w:pPr>
        <w:pStyle w:val="ListParagraph"/>
        <w:numPr>
          <w:ilvl w:val="0"/>
          <w:numId w:val="18"/>
        </w:numPr>
        <w:tabs>
          <w:tab w:pos="1964" w:val="left" w:leader="none"/>
          <w:tab w:pos="1965" w:val="left" w:leader="none"/>
        </w:tabs>
        <w:spacing w:line="196" w:lineRule="auto" w:before="0" w:after="0"/>
        <w:ind w:left="1964" w:right="1678" w:hanging="681"/>
        <w:jc w:val="left"/>
        <w:rPr>
          <w:sz w:val="20"/>
        </w:rPr>
      </w:pPr>
      <w:r>
        <w:rPr>
          <w:w w:val="120"/>
          <w:sz w:val="20"/>
        </w:rPr>
        <w:t>speak and act on behalf of the URC on matters relating to Scottish and Welsh public</w:t>
      </w:r>
      <w:r>
        <w:rPr>
          <w:spacing w:val="1"/>
          <w:w w:val="120"/>
          <w:sz w:val="20"/>
        </w:rPr>
        <w:t> </w:t>
      </w:r>
      <w:r>
        <w:rPr>
          <w:w w:val="120"/>
          <w:sz w:val="20"/>
        </w:rPr>
        <w:t>affairs;</w:t>
      </w:r>
    </w:p>
    <w:p>
      <w:pPr>
        <w:pStyle w:val="ListParagraph"/>
        <w:numPr>
          <w:ilvl w:val="0"/>
          <w:numId w:val="18"/>
        </w:numPr>
        <w:tabs>
          <w:tab w:pos="1964" w:val="left" w:leader="none"/>
          <w:tab w:pos="1965" w:val="left" w:leader="none"/>
        </w:tabs>
        <w:spacing w:line="241" w:lineRule="exact" w:before="0" w:after="0"/>
        <w:ind w:left="1964" w:right="0" w:hanging="681"/>
        <w:jc w:val="left"/>
        <w:rPr>
          <w:sz w:val="20"/>
        </w:rPr>
      </w:pPr>
      <w:r>
        <w:rPr>
          <w:w w:val="120"/>
          <w:sz w:val="20"/>
        </w:rPr>
        <w:t>respond to consultations initiated by the devolved</w:t>
      </w:r>
      <w:r>
        <w:rPr>
          <w:spacing w:val="15"/>
          <w:w w:val="120"/>
          <w:sz w:val="20"/>
        </w:rPr>
        <w:t> </w:t>
      </w:r>
      <w:r>
        <w:rPr>
          <w:w w:val="120"/>
          <w:sz w:val="20"/>
        </w:rPr>
        <w:t>legislatures;</w:t>
      </w:r>
    </w:p>
    <w:p>
      <w:pPr>
        <w:pStyle w:val="ListParagraph"/>
        <w:numPr>
          <w:ilvl w:val="0"/>
          <w:numId w:val="18"/>
        </w:numPr>
        <w:tabs>
          <w:tab w:pos="1964" w:val="left" w:leader="none"/>
          <w:tab w:pos="1965" w:val="left" w:leader="none"/>
        </w:tabs>
        <w:spacing w:line="196" w:lineRule="auto" w:before="0" w:after="0"/>
        <w:ind w:left="1964" w:right="1440" w:hanging="681"/>
        <w:jc w:val="left"/>
        <w:rPr>
          <w:sz w:val="20"/>
        </w:rPr>
      </w:pPr>
      <w:r>
        <w:rPr>
          <w:w w:val="120"/>
          <w:sz w:val="20"/>
        </w:rPr>
        <w:t>play a full and active </w:t>
      </w:r>
      <w:r>
        <w:rPr>
          <w:spacing w:val="2"/>
          <w:w w:val="120"/>
          <w:sz w:val="20"/>
        </w:rPr>
        <w:t>part </w:t>
      </w:r>
      <w:r>
        <w:rPr>
          <w:w w:val="120"/>
          <w:sz w:val="20"/>
        </w:rPr>
        <w:t>in Scottish and Welsh ecumenical and public affairs in relation to organisations, institutions and activities indigenous to Scotland</w:t>
      </w:r>
      <w:r>
        <w:rPr>
          <w:spacing w:val="40"/>
          <w:w w:val="120"/>
          <w:sz w:val="20"/>
        </w:rPr>
        <w:t> </w:t>
      </w:r>
      <w:r>
        <w:rPr>
          <w:w w:val="120"/>
          <w:sz w:val="20"/>
        </w:rPr>
        <w:t>and</w:t>
      </w:r>
    </w:p>
    <w:p>
      <w:pPr>
        <w:pStyle w:val="BodyText"/>
        <w:spacing w:line="212" w:lineRule="exact"/>
        <w:ind w:left="1964"/>
      </w:pPr>
      <w:r>
        <w:rPr>
          <w:w w:val="120"/>
        </w:rPr>
        <w:t>Wales; and</w:t>
      </w:r>
    </w:p>
    <w:p>
      <w:pPr>
        <w:pStyle w:val="ListParagraph"/>
        <w:numPr>
          <w:ilvl w:val="0"/>
          <w:numId w:val="18"/>
        </w:numPr>
        <w:tabs>
          <w:tab w:pos="1964" w:val="left" w:leader="none"/>
          <w:tab w:pos="1965" w:val="left" w:leader="none"/>
        </w:tabs>
        <w:spacing w:line="196" w:lineRule="auto" w:before="0" w:after="0"/>
        <w:ind w:left="1964" w:right="1335" w:hanging="681"/>
        <w:jc w:val="left"/>
        <w:rPr>
          <w:sz w:val="20"/>
        </w:rPr>
      </w:pPr>
      <w:r>
        <w:rPr>
          <w:w w:val="120"/>
          <w:sz w:val="20"/>
        </w:rPr>
        <w:t>represent the URC to the devolved legislatures on matters of social, political and economic significance to the nation</w:t>
      </w:r>
      <w:r>
        <w:rPr>
          <w:spacing w:val="13"/>
          <w:w w:val="120"/>
          <w:sz w:val="20"/>
        </w:rPr>
        <w:t> </w:t>
      </w:r>
      <w:r>
        <w:rPr>
          <w:w w:val="120"/>
          <w:sz w:val="20"/>
        </w:rPr>
        <w:t>concerned.</w:t>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9"/>
        <w:rPr>
          <w:sz w:val="16"/>
        </w:rPr>
      </w:pPr>
    </w:p>
    <w:p>
      <w:pPr>
        <w:pStyle w:val="Heading6"/>
        <w:spacing w:before="97"/>
        <w:ind w:left="3810"/>
        <w:rPr>
          <w:rFonts w:ascii="Stone Sans II ITC Std X Bd" w:hAnsi="Stone Sans II ITC Std X Bd"/>
          <w:b/>
          <w:sz w:val="24"/>
        </w:rPr>
      </w:pPr>
      <w:r>
        <w:rPr>
          <w:color w:val="7EAABF"/>
          <w:w w:val="110"/>
        </w:rPr>
        <w:t>United Reformed Church </w:t>
      </w:r>
      <w:r>
        <w:rPr>
          <w:rFonts w:ascii="Symbol" w:hAnsi="Symbol"/>
          <w:color w:val="7EAABF"/>
          <w:w w:val="110"/>
        </w:rPr>
        <w:t></w:t>
      </w:r>
      <w:r>
        <w:rPr>
          <w:rFonts w:ascii="Times New Roman" w:hAnsi="Times New Roman"/>
          <w:color w:val="7EAABF"/>
          <w:w w:val="110"/>
        </w:rPr>
        <w:t> </w:t>
      </w:r>
      <w:r>
        <w:rPr>
          <w:color w:val="7EAABF"/>
          <w:w w:val="110"/>
        </w:rPr>
        <w:t>General Assembly 2016 </w:t>
      </w:r>
      <w:r>
        <w:rPr>
          <w:rFonts w:ascii="Symbol" w:hAnsi="Symbol"/>
          <w:color w:val="7EAABF"/>
          <w:w w:val="110"/>
        </w:rPr>
        <w:t></w:t>
      </w:r>
      <w:r>
        <w:rPr>
          <w:rFonts w:ascii="Times New Roman" w:hAnsi="Times New Roman"/>
          <w:color w:val="7EAABF"/>
          <w:spacing w:val="51"/>
          <w:w w:val="110"/>
        </w:rPr>
        <w:t> </w:t>
      </w:r>
      <w:r>
        <w:rPr>
          <w:rFonts w:ascii="Stone Sans II ITC Std X Bd" w:hAnsi="Stone Sans II ITC Std X Bd"/>
          <w:b/>
          <w:w w:val="110"/>
          <w:sz w:val="24"/>
        </w:rPr>
        <w:t>31</w:t>
      </w:r>
    </w:p>
    <w:p>
      <w:pPr>
        <w:spacing w:after="0"/>
        <w:rPr>
          <w:rFonts w:ascii="Stone Sans II ITC Std X Bd" w:hAnsi="Stone Sans II ITC Std X Bd"/>
          <w:sz w:val="24"/>
        </w:rPr>
        <w:sectPr>
          <w:headerReference w:type="default" r:id="rId128"/>
          <w:footerReference w:type="default" r:id="rId129"/>
          <w:pgSz w:w="11910" w:h="16840"/>
          <w:pgMar w:header="0" w:footer="0" w:top="0" w:bottom="0" w:left="700" w:right="0"/>
        </w:sectPr>
      </w:pPr>
    </w:p>
    <w:p>
      <w:pPr>
        <w:pStyle w:val="BodyText"/>
        <w:rPr>
          <w:rFonts w:ascii="Stone Sans II ITC Std X Bd"/>
          <w:b/>
        </w:rPr>
      </w:pPr>
      <w:r>
        <w:rPr/>
        <w:pict>
          <v:line style="position:absolute;mso-position-horizontal-relative:page;mso-position-vertical-relative:page;z-index:251742208" from="595.276001pt,.000015pt" to="595.276001pt,841.890015pt" stroked="true" strokeweight="0pt" strokecolor="#fef4df">
            <v:stroke dashstyle="solid"/>
            <w10:wrap type="none"/>
          </v:line>
        </w:pict>
      </w:r>
      <w:r>
        <w:rPr/>
        <w:pict>
          <v:rect style="position:absolute;margin-left:46.777pt;margin-top:.000015pt;width:548.498pt;height:841.89pt;mso-position-horizontal-relative:page;mso-position-vertical-relative:page;z-index:-268026880" filled="true" fillcolor="#fef4df" stroked="false">
            <v:fill type="solid"/>
            <w10:wrap type="none"/>
          </v:rect>
        </w:pict>
      </w:r>
      <w:r>
        <w:rPr/>
        <w:drawing>
          <wp:anchor distT="0" distB="0" distL="0" distR="0" allowOverlap="1" layoutInCell="1" locked="0" behindDoc="1" simplePos="0" relativeHeight="235290624">
            <wp:simplePos x="0" y="0"/>
            <wp:positionH relativeFrom="page">
              <wp:posOffset>0</wp:posOffset>
            </wp:positionH>
            <wp:positionV relativeFrom="page">
              <wp:posOffset>0</wp:posOffset>
            </wp:positionV>
            <wp:extent cx="594067" cy="10692003"/>
            <wp:effectExtent l="0" t="0" r="0" b="0"/>
            <wp:wrapNone/>
            <wp:docPr id="51" name="image53.png"/>
            <wp:cNvGraphicFramePr>
              <a:graphicFrameLocks noChangeAspect="1"/>
            </wp:cNvGraphicFramePr>
            <a:graphic>
              <a:graphicData uri="http://schemas.openxmlformats.org/drawingml/2006/picture">
                <pic:pic>
                  <pic:nvPicPr>
                    <pic:cNvPr id="52" name="image53.png"/>
                    <pic:cNvPicPr/>
                  </pic:nvPicPr>
                  <pic:blipFill>
                    <a:blip r:embed="rId100" cstate="print"/>
                    <a:stretch>
                      <a:fillRect/>
                    </a:stretch>
                  </pic:blipFill>
                  <pic:spPr>
                    <a:xfrm>
                      <a:off x="0" y="0"/>
                      <a:ext cx="594067" cy="10692003"/>
                    </a:xfrm>
                    <a:prstGeom prst="rect">
                      <a:avLst/>
                    </a:prstGeom>
                  </pic:spPr>
                </pic:pic>
              </a:graphicData>
            </a:graphic>
          </wp:anchor>
        </w:drawing>
      </w:r>
      <w:r>
        <w:rPr/>
        <w:pict>
          <v:shape style="position:absolute;margin-left:20.519100pt;margin-top:48.890015pt;width:25.9pt;height:349.8pt;mso-position-horizontal-relative:page;mso-position-vertical-relative:page;z-index:-268024832" type="#_x0000_t202" filled="false" stroked="false">
            <v:textbox inset="0,0,0,0" style="layout-flow:vertical">
              <w:txbxContent>
                <w:p>
                  <w:pPr>
                    <w:spacing w:before="27"/>
                    <w:ind w:left="20" w:right="0" w:firstLine="0"/>
                    <w:jc w:val="left"/>
                    <w:rPr>
                      <w:sz w:val="39"/>
                    </w:rPr>
                  </w:pPr>
                  <w:r>
                    <w:rPr>
                      <w:color w:val="FFFFFF"/>
                      <w:w w:val="120"/>
                      <w:sz w:val="39"/>
                    </w:rPr>
                    <w:t>Resolutions referred to synods (D)</w:t>
                  </w:r>
                </w:p>
              </w:txbxContent>
            </v:textbox>
            <w10:wrap type="none"/>
          </v:shape>
        </w:pict>
      </w:r>
    </w:p>
    <w:p>
      <w:pPr>
        <w:pStyle w:val="BodyText"/>
        <w:rPr>
          <w:rFonts w:ascii="Stone Sans II ITC Std X Bd"/>
          <w:b/>
        </w:rPr>
      </w:pPr>
    </w:p>
    <w:p>
      <w:pPr>
        <w:pStyle w:val="BodyText"/>
        <w:rPr>
          <w:rFonts w:ascii="Stone Sans II ITC Std X Bd"/>
          <w:b/>
        </w:rPr>
      </w:pPr>
    </w:p>
    <w:p>
      <w:pPr>
        <w:pStyle w:val="BodyText"/>
        <w:spacing w:before="11"/>
        <w:rPr>
          <w:rFonts w:ascii="Stone Sans II ITC Std X Bd"/>
          <w:b/>
          <w:sz w:val="19"/>
        </w:rPr>
      </w:pPr>
    </w:p>
    <w:p>
      <w:pPr>
        <w:spacing w:line="638" w:lineRule="exact" w:before="98"/>
        <w:ind w:left="547" w:right="0" w:firstLine="0"/>
        <w:jc w:val="left"/>
        <w:rPr>
          <w:rFonts w:ascii="Stone Sans II ITC Std X Bd"/>
          <w:b/>
          <w:sz w:val="50"/>
        </w:rPr>
      </w:pPr>
      <w:r>
        <w:rPr>
          <w:rFonts w:ascii="Stone Sans II ITC Std X Bd"/>
          <w:b/>
          <w:color w:val="F1B400"/>
          <w:w w:val="110"/>
          <w:sz w:val="50"/>
        </w:rPr>
        <w:t>Mission Council:</w:t>
      </w:r>
    </w:p>
    <w:p>
      <w:pPr>
        <w:pStyle w:val="ListParagraph"/>
        <w:numPr>
          <w:ilvl w:val="1"/>
          <w:numId w:val="15"/>
        </w:numPr>
        <w:tabs>
          <w:tab w:pos="1461" w:val="left" w:leader="none"/>
        </w:tabs>
        <w:spacing w:line="213" w:lineRule="auto" w:before="17" w:after="0"/>
        <w:ind w:left="547" w:right="2522" w:firstLine="0"/>
        <w:jc w:val="left"/>
        <w:rPr>
          <w:rFonts w:ascii="Stone Sans II ITC Std X Bd"/>
          <w:b/>
          <w:sz w:val="50"/>
        </w:rPr>
      </w:pPr>
      <w:r>
        <w:rPr>
          <w:rFonts w:ascii="Stone Sans II ITC Std X Bd"/>
          <w:b/>
          <w:w w:val="110"/>
          <w:sz w:val="50"/>
        </w:rPr>
        <w:t>: </w:t>
      </w:r>
      <w:r>
        <w:rPr>
          <w:rFonts w:ascii="Stone Sans II ITC Std X Bd"/>
          <w:b/>
          <w:spacing w:val="-8"/>
          <w:w w:val="110"/>
          <w:sz w:val="50"/>
        </w:rPr>
        <w:t>the </w:t>
      </w:r>
      <w:r>
        <w:rPr>
          <w:rFonts w:ascii="Stone Sans II ITC Std X Bd"/>
          <w:b/>
          <w:spacing w:val="-10"/>
          <w:w w:val="110"/>
          <w:sz w:val="50"/>
        </w:rPr>
        <w:t>marriage  </w:t>
      </w:r>
      <w:r>
        <w:rPr>
          <w:rFonts w:ascii="Stone Sans II ITC Std X Bd"/>
          <w:b/>
          <w:spacing w:val="-5"/>
          <w:w w:val="110"/>
          <w:sz w:val="50"/>
        </w:rPr>
        <w:t>of </w:t>
      </w:r>
      <w:r>
        <w:rPr>
          <w:rFonts w:ascii="Stone Sans II ITC Std X Bd"/>
          <w:b/>
          <w:spacing w:val="-7"/>
          <w:w w:val="110"/>
          <w:sz w:val="50"/>
        </w:rPr>
        <w:t>same-sex</w:t>
      </w:r>
      <w:r>
        <w:rPr>
          <w:rFonts w:ascii="Stone Sans II ITC Std X Bd"/>
          <w:b/>
          <w:spacing w:val="6"/>
          <w:w w:val="110"/>
          <w:sz w:val="50"/>
        </w:rPr>
        <w:t> </w:t>
      </w:r>
      <w:r>
        <w:rPr>
          <w:rFonts w:ascii="Stone Sans II ITC Std X Bd"/>
          <w:b/>
          <w:spacing w:val="-10"/>
          <w:w w:val="110"/>
          <w:sz w:val="50"/>
        </w:rPr>
        <w:t>couples</w:t>
      </w:r>
    </w:p>
    <w:p>
      <w:pPr>
        <w:pStyle w:val="Heading4"/>
        <w:spacing w:before="325"/>
        <w:ind w:left="547"/>
      </w:pPr>
      <w:r>
        <w:rPr>
          <w:color w:val="7F7F7F"/>
        </w:rPr>
        <w:t>Basic Information</w:t>
      </w:r>
    </w:p>
    <w:tbl>
      <w:tblPr>
        <w:tblW w:w="0" w:type="auto"/>
        <w:jc w:val="left"/>
        <w:tblInd w:w="55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660"/>
        <w:gridCol w:w="6582"/>
      </w:tblGrid>
      <w:tr>
        <w:trPr>
          <w:trHeight w:val="680" w:hRule="atLeast"/>
        </w:trPr>
        <w:tc>
          <w:tcPr>
            <w:tcW w:w="2660" w:type="dxa"/>
            <w:shd w:val="clear" w:color="auto" w:fill="FFFFFF"/>
          </w:tcPr>
          <w:p>
            <w:pPr>
              <w:pStyle w:val="TableParagraph"/>
              <w:spacing w:line="213" w:lineRule="auto" w:before="151"/>
              <w:ind w:right="595"/>
              <w:rPr>
                <w:rFonts w:ascii="Stone Sans II ITC Std Bk"/>
                <w:b/>
                <w:sz w:val="20"/>
              </w:rPr>
            </w:pPr>
            <w:r>
              <w:rPr>
                <w:rFonts w:ascii="Stone Sans II ITC Std Bk"/>
                <w:b/>
                <w:w w:val="110"/>
                <w:sz w:val="20"/>
              </w:rPr>
              <w:t>Contact name and email address</w:t>
            </w:r>
          </w:p>
        </w:tc>
        <w:tc>
          <w:tcPr>
            <w:tcW w:w="6582" w:type="dxa"/>
            <w:shd w:val="clear" w:color="auto" w:fill="FFFFFF"/>
          </w:tcPr>
          <w:p>
            <w:pPr>
              <w:pStyle w:val="TableParagraph"/>
              <w:spacing w:before="141"/>
              <w:rPr>
                <w:sz w:val="20"/>
              </w:rPr>
            </w:pPr>
            <w:r>
              <w:rPr>
                <w:w w:val="120"/>
                <w:sz w:val="20"/>
              </w:rPr>
              <w:t>John Proctor: </w:t>
            </w:r>
            <w:hyperlink r:id="rId60">
              <w:r>
                <w:rPr>
                  <w:color w:val="006AB3"/>
                  <w:w w:val="120"/>
                  <w:sz w:val="20"/>
                </w:rPr>
                <w:t>john.proctor@urc.org.uk</w:t>
              </w:r>
            </w:hyperlink>
          </w:p>
        </w:tc>
      </w:tr>
      <w:tr>
        <w:trPr>
          <w:trHeight w:val="440" w:hRule="atLeast"/>
        </w:trPr>
        <w:tc>
          <w:tcPr>
            <w:tcW w:w="2660" w:type="dxa"/>
            <w:shd w:val="clear" w:color="auto" w:fill="FFFFFF"/>
          </w:tcPr>
          <w:p>
            <w:pPr>
              <w:pStyle w:val="TableParagraph"/>
              <w:spacing w:before="128"/>
              <w:rPr>
                <w:rFonts w:ascii="Stone Sans II ITC Std Bk"/>
                <w:b/>
                <w:sz w:val="20"/>
              </w:rPr>
            </w:pPr>
            <w:r>
              <w:rPr>
                <w:rFonts w:ascii="Stone Sans II ITC Std Bk"/>
                <w:b/>
                <w:w w:val="110"/>
                <w:sz w:val="20"/>
              </w:rPr>
              <w:t>Action required</w:t>
            </w:r>
          </w:p>
        </w:tc>
        <w:tc>
          <w:tcPr>
            <w:tcW w:w="6582" w:type="dxa"/>
            <w:shd w:val="clear" w:color="auto" w:fill="FFFFFF"/>
          </w:tcPr>
          <w:p>
            <w:pPr>
              <w:pStyle w:val="TableParagraph"/>
              <w:spacing w:before="141"/>
              <w:rPr>
                <w:sz w:val="20"/>
              </w:rPr>
            </w:pPr>
            <w:r>
              <w:rPr>
                <w:w w:val="120"/>
                <w:sz w:val="20"/>
              </w:rPr>
              <w:t>Decision</w:t>
            </w:r>
          </w:p>
        </w:tc>
      </w:tr>
      <w:tr>
        <w:trPr>
          <w:trHeight w:val="10841" w:hRule="atLeast"/>
        </w:trPr>
        <w:tc>
          <w:tcPr>
            <w:tcW w:w="2660" w:type="dxa"/>
            <w:shd w:val="clear" w:color="auto" w:fill="FFFFFF"/>
          </w:tcPr>
          <w:p>
            <w:pPr>
              <w:pStyle w:val="TableParagraph"/>
              <w:spacing w:before="128"/>
              <w:rPr>
                <w:rFonts w:ascii="Stone Sans II ITC Std Bk"/>
                <w:b/>
                <w:sz w:val="20"/>
              </w:rPr>
            </w:pPr>
            <w:r>
              <w:rPr>
                <w:rFonts w:ascii="Stone Sans II ITC Std Bk"/>
                <w:b/>
                <w:w w:val="110"/>
                <w:sz w:val="20"/>
              </w:rPr>
              <w:t>Draft resolution(s)</w:t>
            </w:r>
          </w:p>
        </w:tc>
        <w:tc>
          <w:tcPr>
            <w:tcW w:w="6582" w:type="dxa"/>
            <w:shd w:val="clear" w:color="auto" w:fill="FFFFFF"/>
          </w:tcPr>
          <w:p>
            <w:pPr>
              <w:pStyle w:val="TableParagraph"/>
              <w:tabs>
                <w:tab w:pos="760" w:val="left" w:leader="none"/>
              </w:tabs>
              <w:spacing w:line="213" w:lineRule="auto" w:before="151"/>
              <w:ind w:right="596"/>
              <w:rPr>
                <w:rFonts w:ascii="Stone Sans II ITC Std Bk"/>
                <w:b/>
                <w:sz w:val="20"/>
              </w:rPr>
            </w:pPr>
            <w:r>
              <w:rPr>
                <w:rFonts w:ascii="Stone Sans II ITC Std Bk"/>
                <w:b/>
                <w:spacing w:val="-11"/>
                <w:w w:val="110"/>
                <w:sz w:val="20"/>
              </w:rPr>
              <w:t>7.a)</w:t>
              <w:tab/>
            </w:r>
            <w:r>
              <w:rPr>
                <w:rFonts w:ascii="Stone Sans II ITC Std Bk"/>
                <w:b/>
                <w:w w:val="110"/>
                <w:sz w:val="20"/>
              </w:rPr>
              <w:t>In keeping with the </w:t>
            </w:r>
            <w:r>
              <w:rPr>
                <w:rFonts w:ascii="Stone Sans II ITC Std Bk"/>
                <w:b/>
                <w:spacing w:val="-3"/>
                <w:w w:val="110"/>
                <w:sz w:val="20"/>
              </w:rPr>
              <w:t>2007 </w:t>
            </w:r>
            <w:r>
              <w:rPr>
                <w:rFonts w:ascii="Stone Sans II ITC Std Bk"/>
                <w:b/>
                <w:w w:val="110"/>
                <w:sz w:val="20"/>
              </w:rPr>
              <w:t>commitment on Human</w:t>
            </w:r>
            <w:r>
              <w:rPr>
                <w:rFonts w:ascii="Stone Sans II ITC Std Bk"/>
                <w:b/>
                <w:spacing w:val="-11"/>
                <w:w w:val="110"/>
                <w:sz w:val="20"/>
              </w:rPr>
              <w:t> </w:t>
            </w:r>
            <w:r>
              <w:rPr>
                <w:rFonts w:ascii="Stone Sans II ITC Std Bk"/>
                <w:b/>
                <w:spacing w:val="-3"/>
                <w:w w:val="110"/>
                <w:sz w:val="20"/>
              </w:rPr>
              <w:t>Sexuality,</w:t>
            </w:r>
            <w:r>
              <w:rPr>
                <w:rFonts w:ascii="Stone Sans II ITC Std Bk"/>
                <w:b/>
                <w:spacing w:val="-11"/>
                <w:w w:val="110"/>
                <w:sz w:val="20"/>
              </w:rPr>
              <w:t> </w:t>
            </w:r>
            <w:r>
              <w:rPr>
                <w:rFonts w:ascii="Stone Sans II ITC Std Bk"/>
                <w:b/>
                <w:w w:val="110"/>
                <w:sz w:val="20"/>
              </w:rPr>
              <w:t>General</w:t>
            </w:r>
            <w:r>
              <w:rPr>
                <w:rFonts w:ascii="Stone Sans II ITC Std Bk"/>
                <w:b/>
                <w:spacing w:val="-10"/>
                <w:w w:val="110"/>
                <w:sz w:val="20"/>
              </w:rPr>
              <w:t> </w:t>
            </w:r>
            <w:r>
              <w:rPr>
                <w:rFonts w:ascii="Stone Sans II ITC Std Bk"/>
                <w:b/>
                <w:w w:val="110"/>
                <w:sz w:val="20"/>
              </w:rPr>
              <w:t>Assembly</w:t>
            </w:r>
            <w:r>
              <w:rPr>
                <w:rFonts w:ascii="Stone Sans II ITC Std Bk"/>
                <w:b/>
                <w:spacing w:val="-11"/>
                <w:w w:val="110"/>
                <w:sz w:val="20"/>
              </w:rPr>
              <w:t> </w:t>
            </w:r>
            <w:r>
              <w:rPr>
                <w:rFonts w:ascii="Stone Sans II ITC Std Bk"/>
                <w:b/>
                <w:w w:val="110"/>
                <w:sz w:val="20"/>
              </w:rPr>
              <w:t>does</w:t>
            </w:r>
            <w:r>
              <w:rPr>
                <w:rFonts w:ascii="Stone Sans II ITC Std Bk"/>
                <w:b/>
                <w:spacing w:val="-11"/>
                <w:w w:val="110"/>
                <w:sz w:val="20"/>
              </w:rPr>
              <w:t> </w:t>
            </w:r>
            <w:r>
              <w:rPr>
                <w:rFonts w:ascii="Stone Sans II ITC Std Bk"/>
                <w:b/>
                <w:w w:val="110"/>
                <w:sz w:val="20"/>
              </w:rPr>
              <w:t>not</w:t>
            </w:r>
            <w:r>
              <w:rPr>
                <w:rFonts w:ascii="Stone Sans II ITC Std Bk"/>
                <w:b/>
                <w:spacing w:val="-10"/>
                <w:w w:val="110"/>
                <w:sz w:val="20"/>
              </w:rPr>
              <w:t> </w:t>
            </w:r>
            <w:r>
              <w:rPr>
                <w:rFonts w:ascii="Stone Sans II ITC Std Bk"/>
                <w:b/>
                <w:w w:val="110"/>
                <w:sz w:val="20"/>
              </w:rPr>
              <w:t>consider</w:t>
            </w:r>
            <w:r>
              <w:rPr>
                <w:rFonts w:ascii="Stone Sans II ITC Std Bk"/>
                <w:b/>
                <w:spacing w:val="-11"/>
                <w:w w:val="110"/>
                <w:sz w:val="20"/>
              </w:rPr>
              <w:t> </w:t>
            </w:r>
            <w:r>
              <w:rPr>
                <w:rFonts w:ascii="Stone Sans II ITC Std Bk"/>
                <w:b/>
                <w:w w:val="110"/>
                <w:sz w:val="20"/>
              </w:rPr>
              <w:t>it</w:t>
            </w:r>
          </w:p>
          <w:p>
            <w:pPr>
              <w:pStyle w:val="TableParagraph"/>
              <w:spacing w:line="213" w:lineRule="auto"/>
              <w:ind w:right="298"/>
              <w:rPr>
                <w:rFonts w:ascii="Stone Sans II ITC Std Bk"/>
                <w:b/>
                <w:sz w:val="20"/>
              </w:rPr>
            </w:pPr>
            <w:r>
              <w:rPr>
                <w:rFonts w:ascii="Stone Sans II ITC Std Bk"/>
                <w:b/>
                <w:w w:val="110"/>
                <w:sz w:val="20"/>
              </w:rPr>
              <w:t>appropriate</w:t>
            </w:r>
            <w:r>
              <w:rPr>
                <w:rFonts w:ascii="Stone Sans II ITC Std Bk"/>
                <w:b/>
                <w:spacing w:val="-12"/>
                <w:w w:val="110"/>
                <w:sz w:val="20"/>
              </w:rPr>
              <w:t> </w:t>
            </w:r>
            <w:r>
              <w:rPr>
                <w:rFonts w:ascii="Stone Sans II ITC Std Bk"/>
                <w:b/>
                <w:spacing w:val="-3"/>
                <w:w w:val="110"/>
                <w:sz w:val="20"/>
              </w:rPr>
              <w:t>to</w:t>
            </w:r>
            <w:r>
              <w:rPr>
                <w:rFonts w:ascii="Stone Sans II ITC Std Bk"/>
                <w:b/>
                <w:spacing w:val="-11"/>
                <w:w w:val="110"/>
                <w:sz w:val="20"/>
              </w:rPr>
              <w:t> </w:t>
            </w:r>
            <w:r>
              <w:rPr>
                <w:rFonts w:ascii="Stone Sans II ITC Std Bk"/>
                <w:b/>
                <w:w w:val="110"/>
                <w:sz w:val="20"/>
              </w:rPr>
              <w:t>express</w:t>
            </w:r>
            <w:r>
              <w:rPr>
                <w:rFonts w:ascii="Stone Sans II ITC Std Bk"/>
                <w:b/>
                <w:spacing w:val="-11"/>
                <w:w w:val="110"/>
                <w:sz w:val="20"/>
              </w:rPr>
              <w:t> </w:t>
            </w:r>
            <w:r>
              <w:rPr>
                <w:rFonts w:ascii="Stone Sans II ITC Std Bk"/>
                <w:b/>
                <w:w w:val="110"/>
                <w:sz w:val="20"/>
              </w:rPr>
              <w:t>a</w:t>
            </w:r>
            <w:r>
              <w:rPr>
                <w:rFonts w:ascii="Stone Sans II ITC Std Bk"/>
                <w:b/>
                <w:spacing w:val="-12"/>
                <w:w w:val="110"/>
                <w:sz w:val="20"/>
              </w:rPr>
              <w:t> </w:t>
            </w:r>
            <w:r>
              <w:rPr>
                <w:rFonts w:ascii="Stone Sans II ITC Std Bk"/>
                <w:b/>
                <w:w w:val="110"/>
                <w:sz w:val="20"/>
              </w:rPr>
              <w:t>single</w:t>
            </w:r>
            <w:r>
              <w:rPr>
                <w:rFonts w:ascii="Stone Sans II ITC Std Bk"/>
                <w:b/>
                <w:spacing w:val="-11"/>
                <w:w w:val="110"/>
                <w:sz w:val="20"/>
              </w:rPr>
              <w:t> </w:t>
            </w:r>
            <w:r>
              <w:rPr>
                <w:rFonts w:ascii="Stone Sans II ITC Std Bk"/>
                <w:b/>
                <w:w w:val="110"/>
                <w:sz w:val="20"/>
              </w:rPr>
              <w:t>view</w:t>
            </w:r>
            <w:r>
              <w:rPr>
                <w:rFonts w:ascii="Stone Sans II ITC Std Bk"/>
                <w:b/>
                <w:spacing w:val="-11"/>
                <w:w w:val="110"/>
                <w:sz w:val="20"/>
              </w:rPr>
              <w:t> </w:t>
            </w:r>
            <w:r>
              <w:rPr>
                <w:rFonts w:ascii="Stone Sans II ITC Std Bk"/>
                <w:b/>
                <w:w w:val="110"/>
                <w:sz w:val="20"/>
              </w:rPr>
              <w:t>on</w:t>
            </w:r>
            <w:r>
              <w:rPr>
                <w:rFonts w:ascii="Stone Sans II ITC Std Bk"/>
                <w:b/>
                <w:spacing w:val="-11"/>
                <w:w w:val="110"/>
                <w:sz w:val="20"/>
              </w:rPr>
              <w:t> </w:t>
            </w:r>
            <w:r>
              <w:rPr>
                <w:rFonts w:ascii="Stone Sans II ITC Std Bk"/>
                <w:b/>
                <w:w w:val="110"/>
                <w:sz w:val="20"/>
              </w:rPr>
              <w:t>behalf</w:t>
            </w:r>
            <w:r>
              <w:rPr>
                <w:rFonts w:ascii="Stone Sans II ITC Std Bk"/>
                <w:b/>
                <w:spacing w:val="-12"/>
                <w:w w:val="110"/>
                <w:sz w:val="20"/>
              </w:rPr>
              <w:t> </w:t>
            </w:r>
            <w:r>
              <w:rPr>
                <w:rFonts w:ascii="Stone Sans II ITC Std Bk"/>
                <w:b/>
                <w:w w:val="110"/>
                <w:sz w:val="20"/>
              </w:rPr>
              <w:t>of</w:t>
            </w:r>
            <w:r>
              <w:rPr>
                <w:rFonts w:ascii="Stone Sans II ITC Std Bk"/>
                <w:b/>
                <w:spacing w:val="-11"/>
                <w:w w:val="110"/>
                <w:sz w:val="20"/>
              </w:rPr>
              <w:t> </w:t>
            </w:r>
            <w:r>
              <w:rPr>
                <w:rFonts w:ascii="Stone Sans II ITC Std Bk"/>
                <w:b/>
                <w:w w:val="110"/>
                <w:sz w:val="20"/>
              </w:rPr>
              <w:t>the</w:t>
            </w:r>
            <w:r>
              <w:rPr>
                <w:rFonts w:ascii="Stone Sans II ITC Std Bk"/>
                <w:b/>
                <w:spacing w:val="-11"/>
                <w:w w:val="110"/>
                <w:sz w:val="20"/>
              </w:rPr>
              <w:t> </w:t>
            </w:r>
            <w:r>
              <w:rPr>
                <w:rFonts w:ascii="Stone Sans II ITC Std Bk"/>
                <w:b/>
                <w:w w:val="110"/>
                <w:sz w:val="20"/>
              </w:rPr>
              <w:t>whole United Reformed Church on the matter of the marriage of same-sex</w:t>
            </w:r>
            <w:r>
              <w:rPr>
                <w:rFonts w:ascii="Stone Sans II ITC Std Bk"/>
                <w:b/>
                <w:spacing w:val="-6"/>
                <w:w w:val="110"/>
                <w:sz w:val="20"/>
              </w:rPr>
              <w:t> </w:t>
            </w:r>
            <w:r>
              <w:rPr>
                <w:rFonts w:ascii="Stone Sans II ITC Std Bk"/>
                <w:b/>
                <w:w w:val="110"/>
                <w:sz w:val="20"/>
              </w:rPr>
              <w:t>couples.</w:t>
            </w:r>
          </w:p>
          <w:p>
            <w:pPr>
              <w:pStyle w:val="TableParagraph"/>
              <w:spacing w:before="6"/>
              <w:ind w:left="0"/>
              <w:rPr>
                <w:rFonts w:ascii="Stone Sans II ITC Std Bk"/>
                <w:b/>
                <w:sz w:val="17"/>
              </w:rPr>
            </w:pPr>
          </w:p>
          <w:p>
            <w:pPr>
              <w:pStyle w:val="TableParagraph"/>
              <w:numPr>
                <w:ilvl w:val="0"/>
                <w:numId w:val="19"/>
              </w:numPr>
              <w:tabs>
                <w:tab w:pos="760" w:val="left" w:leader="none"/>
                <w:tab w:pos="761" w:val="left" w:leader="none"/>
              </w:tabs>
              <w:spacing w:line="213" w:lineRule="auto" w:before="1" w:after="0"/>
              <w:ind w:left="80" w:right="362" w:firstLine="0"/>
              <w:jc w:val="left"/>
              <w:rPr>
                <w:rFonts w:ascii="Stone Sans II ITC Std Bk"/>
                <w:b/>
                <w:sz w:val="20"/>
              </w:rPr>
            </w:pPr>
            <w:r>
              <w:rPr>
                <w:rFonts w:ascii="Stone Sans II ITC Std Bk"/>
                <w:b/>
                <w:w w:val="110"/>
                <w:sz w:val="20"/>
              </w:rPr>
              <w:t>General</w:t>
            </w:r>
            <w:r>
              <w:rPr>
                <w:rFonts w:ascii="Stone Sans II ITC Std Bk"/>
                <w:b/>
                <w:spacing w:val="-15"/>
                <w:w w:val="110"/>
                <w:sz w:val="20"/>
              </w:rPr>
              <w:t> </w:t>
            </w:r>
            <w:r>
              <w:rPr>
                <w:rFonts w:ascii="Stone Sans II ITC Std Bk"/>
                <w:b/>
                <w:w w:val="110"/>
                <w:sz w:val="20"/>
              </w:rPr>
              <w:t>Assembly</w:t>
            </w:r>
            <w:r>
              <w:rPr>
                <w:rFonts w:ascii="Stone Sans II ITC Std Bk"/>
                <w:b/>
                <w:spacing w:val="-15"/>
                <w:w w:val="110"/>
                <w:sz w:val="20"/>
              </w:rPr>
              <w:t> </w:t>
            </w:r>
            <w:r>
              <w:rPr>
                <w:rFonts w:ascii="Stone Sans II ITC Std Bk"/>
                <w:b/>
                <w:w w:val="110"/>
                <w:sz w:val="20"/>
              </w:rPr>
              <w:t>declares</w:t>
            </w:r>
            <w:r>
              <w:rPr>
                <w:rFonts w:ascii="Stone Sans II ITC Std Bk"/>
                <w:b/>
                <w:spacing w:val="-15"/>
                <w:w w:val="110"/>
                <w:sz w:val="20"/>
              </w:rPr>
              <w:t> </w:t>
            </w:r>
            <w:r>
              <w:rPr>
                <w:rFonts w:ascii="Stone Sans II ITC Std Bk"/>
                <w:b/>
                <w:w w:val="110"/>
                <w:sz w:val="20"/>
              </w:rPr>
              <w:t>that</w:t>
            </w:r>
            <w:r>
              <w:rPr>
                <w:rFonts w:ascii="Stone Sans II ITC Std Bk"/>
                <w:b/>
                <w:spacing w:val="-15"/>
                <w:w w:val="110"/>
                <w:sz w:val="20"/>
              </w:rPr>
              <w:t> </w:t>
            </w:r>
            <w:r>
              <w:rPr>
                <w:rFonts w:ascii="Stone Sans II ITC Std Bk"/>
                <w:b/>
                <w:w w:val="110"/>
                <w:sz w:val="20"/>
              </w:rPr>
              <w:t>the</w:t>
            </w:r>
            <w:r>
              <w:rPr>
                <w:rFonts w:ascii="Stone Sans II ITC Std Bk"/>
                <w:b/>
                <w:spacing w:val="-15"/>
                <w:w w:val="110"/>
                <w:sz w:val="20"/>
              </w:rPr>
              <w:t> </w:t>
            </w:r>
            <w:r>
              <w:rPr>
                <w:rFonts w:ascii="Stone Sans II ITC Std Bk"/>
                <w:b/>
                <w:w w:val="110"/>
                <w:sz w:val="20"/>
              </w:rPr>
              <w:t>Church</w:t>
            </w:r>
            <w:r>
              <w:rPr>
                <w:rFonts w:ascii="Stone Sans II ITC Std Bk"/>
                <w:b/>
                <w:spacing w:val="-15"/>
                <w:w w:val="110"/>
                <w:sz w:val="20"/>
              </w:rPr>
              <w:t> </w:t>
            </w:r>
            <w:r>
              <w:rPr>
                <w:rFonts w:ascii="Stone Sans II ITC Std Bk"/>
                <w:b/>
                <w:w w:val="110"/>
                <w:sz w:val="20"/>
              </w:rPr>
              <w:t>Meeting of each Local Church of the United Reformed Church in England</w:t>
            </w:r>
            <w:r>
              <w:rPr>
                <w:rFonts w:ascii="Stone Sans II ITC Std Bk"/>
                <w:b/>
                <w:spacing w:val="-8"/>
                <w:w w:val="110"/>
                <w:sz w:val="20"/>
              </w:rPr>
              <w:t> </w:t>
            </w:r>
            <w:r>
              <w:rPr>
                <w:rFonts w:ascii="Stone Sans II ITC Std Bk"/>
                <w:b/>
                <w:w w:val="110"/>
                <w:sz w:val="20"/>
              </w:rPr>
              <w:t>and</w:t>
            </w:r>
            <w:r>
              <w:rPr>
                <w:rFonts w:ascii="Stone Sans II ITC Std Bk"/>
                <w:b/>
                <w:spacing w:val="-7"/>
                <w:w w:val="110"/>
                <w:sz w:val="20"/>
              </w:rPr>
              <w:t> </w:t>
            </w:r>
            <w:r>
              <w:rPr>
                <w:rFonts w:ascii="Stone Sans II ITC Std Bk"/>
                <w:b/>
                <w:spacing w:val="-3"/>
                <w:w w:val="110"/>
                <w:sz w:val="20"/>
              </w:rPr>
              <w:t>Wales</w:t>
            </w:r>
            <w:r>
              <w:rPr>
                <w:rFonts w:ascii="Stone Sans II ITC Std Bk"/>
                <w:b/>
                <w:spacing w:val="-8"/>
                <w:w w:val="110"/>
                <w:sz w:val="20"/>
              </w:rPr>
              <w:t> </w:t>
            </w:r>
            <w:r>
              <w:rPr>
                <w:rFonts w:ascii="Stone Sans II ITC Std Bk"/>
                <w:b/>
                <w:w w:val="110"/>
                <w:sz w:val="20"/>
              </w:rPr>
              <w:t>is</w:t>
            </w:r>
            <w:r>
              <w:rPr>
                <w:rFonts w:ascii="Stone Sans II ITC Std Bk"/>
                <w:b/>
                <w:spacing w:val="-7"/>
                <w:w w:val="110"/>
                <w:sz w:val="20"/>
              </w:rPr>
              <w:t> </w:t>
            </w:r>
            <w:r>
              <w:rPr>
                <w:rFonts w:ascii="Stone Sans II ITC Std Bk"/>
                <w:b/>
                <w:w w:val="110"/>
                <w:sz w:val="20"/>
              </w:rPr>
              <w:t>the</w:t>
            </w:r>
            <w:r>
              <w:rPr>
                <w:rFonts w:ascii="Stone Sans II ITC Std Bk"/>
                <w:b/>
                <w:spacing w:val="-8"/>
                <w:w w:val="110"/>
                <w:sz w:val="20"/>
              </w:rPr>
              <w:t> </w:t>
            </w:r>
            <w:r>
              <w:rPr>
                <w:rFonts w:ascii="Stone Sans II ITC Std Bk"/>
                <w:b/>
                <w:spacing w:val="-3"/>
                <w:w w:val="110"/>
                <w:sz w:val="20"/>
              </w:rPr>
              <w:t>relevant</w:t>
            </w:r>
            <w:r>
              <w:rPr>
                <w:rFonts w:ascii="Stone Sans II ITC Std Bk"/>
                <w:b/>
                <w:spacing w:val="-7"/>
                <w:w w:val="110"/>
                <w:sz w:val="20"/>
              </w:rPr>
              <w:t> </w:t>
            </w:r>
            <w:r>
              <w:rPr>
                <w:rFonts w:ascii="Stone Sans II ITC Std Bk"/>
                <w:b/>
                <w:w w:val="110"/>
                <w:sz w:val="20"/>
              </w:rPr>
              <w:t>governing</w:t>
            </w:r>
            <w:r>
              <w:rPr>
                <w:rFonts w:ascii="Stone Sans II ITC Std Bk"/>
                <w:b/>
                <w:spacing w:val="-8"/>
                <w:w w:val="110"/>
                <w:sz w:val="20"/>
              </w:rPr>
              <w:t> </w:t>
            </w:r>
            <w:r>
              <w:rPr>
                <w:rFonts w:ascii="Stone Sans II ITC Std Bk"/>
                <w:b/>
                <w:w w:val="110"/>
                <w:sz w:val="20"/>
              </w:rPr>
              <w:t>authority</w:t>
            </w:r>
          </w:p>
          <w:p>
            <w:pPr>
              <w:pStyle w:val="TableParagraph"/>
              <w:spacing w:line="213" w:lineRule="auto"/>
              <w:ind w:right="280"/>
              <w:rPr>
                <w:rFonts w:ascii="Stone Sans II ITC Std Bk"/>
                <w:b/>
                <w:sz w:val="20"/>
              </w:rPr>
            </w:pPr>
            <w:r>
              <w:rPr>
                <w:rFonts w:ascii="Stone Sans II ITC Std Bk"/>
                <w:b/>
                <w:w w:val="110"/>
                <w:sz w:val="20"/>
              </w:rPr>
              <w:t>for the purpose of giving consent for the trustees of its building </w:t>
            </w:r>
            <w:r>
              <w:rPr>
                <w:rFonts w:ascii="Stone Sans II ITC Std Bk"/>
                <w:b/>
                <w:spacing w:val="-3"/>
                <w:w w:val="110"/>
                <w:sz w:val="20"/>
              </w:rPr>
              <w:t>to </w:t>
            </w:r>
            <w:r>
              <w:rPr>
                <w:rFonts w:ascii="Stone Sans II ITC Std Bk"/>
                <w:b/>
                <w:w w:val="110"/>
                <w:sz w:val="20"/>
              </w:rPr>
              <w:t>seek the registration of that building for religious marriage ceremonies of same-sex couples, in </w:t>
            </w:r>
            <w:r>
              <w:rPr>
                <w:rFonts w:ascii="Stone Sans II ITC Std Bk"/>
                <w:b/>
                <w:spacing w:val="-3"/>
                <w:w w:val="110"/>
                <w:sz w:val="20"/>
              </w:rPr>
              <w:t>accordance </w:t>
            </w:r>
            <w:r>
              <w:rPr>
                <w:rFonts w:ascii="Stone Sans II ITC Std Bk"/>
                <w:b/>
                <w:w w:val="110"/>
                <w:sz w:val="20"/>
              </w:rPr>
              <w:t>with the </w:t>
            </w:r>
            <w:r>
              <w:rPr>
                <w:rFonts w:ascii="Stone Sans II ITC Std Bk"/>
                <w:b/>
                <w:spacing w:val="-2"/>
                <w:w w:val="110"/>
                <w:sz w:val="20"/>
              </w:rPr>
              <w:t>provisions </w:t>
            </w:r>
            <w:r>
              <w:rPr>
                <w:rFonts w:ascii="Stone Sans II ITC Std Bk"/>
                <w:b/>
                <w:w w:val="110"/>
                <w:sz w:val="20"/>
              </w:rPr>
              <w:t>of Section </w:t>
            </w:r>
            <w:r>
              <w:rPr>
                <w:rFonts w:ascii="Stone Sans II ITC Std Bk"/>
                <w:b/>
                <w:spacing w:val="-8"/>
                <w:w w:val="110"/>
                <w:sz w:val="20"/>
              </w:rPr>
              <w:t>26A(1) </w:t>
            </w:r>
            <w:r>
              <w:rPr>
                <w:rFonts w:ascii="Stone Sans II ITC Std Bk"/>
                <w:b/>
                <w:w w:val="110"/>
                <w:sz w:val="20"/>
              </w:rPr>
              <w:t>of the Marriage Act </w:t>
            </w:r>
            <w:r>
              <w:rPr>
                <w:rFonts w:ascii="Stone Sans II ITC Std Bk"/>
                <w:b/>
                <w:spacing w:val="-7"/>
                <w:w w:val="110"/>
                <w:sz w:val="20"/>
              </w:rPr>
              <w:t>1949 </w:t>
            </w:r>
            <w:r>
              <w:rPr>
                <w:rFonts w:ascii="Stone Sans II ITC Std Bk"/>
                <w:b/>
                <w:w w:val="110"/>
                <w:sz w:val="20"/>
              </w:rPr>
              <w:t>as amended by the Marriage </w:t>
            </w:r>
            <w:r>
              <w:rPr>
                <w:rFonts w:ascii="Stone Sans II ITC Std Bk"/>
                <w:b/>
                <w:spacing w:val="-4"/>
                <w:w w:val="110"/>
                <w:sz w:val="20"/>
              </w:rPr>
              <w:t>(Same </w:t>
            </w:r>
            <w:r>
              <w:rPr>
                <w:rFonts w:ascii="Stone Sans II ITC Std Bk"/>
                <w:b/>
                <w:w w:val="110"/>
                <w:sz w:val="20"/>
              </w:rPr>
              <w:t>Sex </w:t>
            </w:r>
            <w:r>
              <w:rPr>
                <w:rFonts w:ascii="Stone Sans II ITC Std Bk"/>
                <w:b/>
                <w:spacing w:val="-4"/>
                <w:w w:val="110"/>
                <w:sz w:val="20"/>
              </w:rPr>
              <w:t>Couples) </w:t>
            </w:r>
            <w:r>
              <w:rPr>
                <w:rFonts w:ascii="Stone Sans II ITC Std Bk"/>
                <w:b/>
                <w:w w:val="110"/>
                <w:sz w:val="20"/>
              </w:rPr>
              <w:t>Act </w:t>
            </w:r>
            <w:r>
              <w:rPr>
                <w:rFonts w:ascii="Stone Sans II ITC Std Bk"/>
                <w:b/>
                <w:spacing w:val="-8"/>
                <w:w w:val="110"/>
                <w:sz w:val="20"/>
              </w:rPr>
              <w:t>2013.</w:t>
            </w:r>
          </w:p>
          <w:p>
            <w:pPr>
              <w:pStyle w:val="TableParagraph"/>
              <w:spacing w:before="4"/>
              <w:ind w:left="0"/>
              <w:rPr>
                <w:rFonts w:ascii="Stone Sans II ITC Std Bk"/>
                <w:b/>
                <w:sz w:val="17"/>
              </w:rPr>
            </w:pPr>
          </w:p>
          <w:p>
            <w:pPr>
              <w:pStyle w:val="TableParagraph"/>
              <w:numPr>
                <w:ilvl w:val="0"/>
                <w:numId w:val="19"/>
              </w:numPr>
              <w:tabs>
                <w:tab w:pos="760" w:val="left" w:leader="none"/>
                <w:tab w:pos="761" w:val="left" w:leader="none"/>
              </w:tabs>
              <w:spacing w:line="213" w:lineRule="auto" w:before="0" w:after="0"/>
              <w:ind w:left="80" w:right="913" w:firstLine="0"/>
              <w:jc w:val="left"/>
              <w:rPr>
                <w:rFonts w:ascii="Stone Sans II ITC Std Bk"/>
                <w:b/>
                <w:sz w:val="20"/>
              </w:rPr>
            </w:pPr>
            <w:r>
              <w:rPr>
                <w:rFonts w:ascii="Stone Sans II ITC Std Bk"/>
                <w:b/>
                <w:w w:val="110"/>
                <w:sz w:val="20"/>
              </w:rPr>
              <w:t>In the case of Local Ecumenical Partnerships and Union Churches, where the constitution </w:t>
            </w:r>
            <w:r>
              <w:rPr>
                <w:rFonts w:ascii="Stone Sans II ITC Std Bk"/>
                <w:b/>
                <w:spacing w:val="-3"/>
                <w:w w:val="110"/>
                <w:sz w:val="20"/>
              </w:rPr>
              <w:t>makes </w:t>
            </w:r>
            <w:r>
              <w:rPr>
                <w:rFonts w:ascii="Stone Sans II ITC Std Bk"/>
                <w:b/>
                <w:w w:val="110"/>
                <w:sz w:val="20"/>
              </w:rPr>
              <w:t>no</w:t>
            </w:r>
            <w:r>
              <w:rPr>
                <w:rFonts w:ascii="Stone Sans II ITC Std Bk"/>
                <w:b/>
                <w:spacing w:val="-15"/>
                <w:w w:val="110"/>
                <w:sz w:val="20"/>
              </w:rPr>
              <w:t> </w:t>
            </w:r>
            <w:r>
              <w:rPr>
                <w:rFonts w:ascii="Stone Sans II ITC Std Bk"/>
                <w:b/>
                <w:w w:val="110"/>
                <w:sz w:val="20"/>
              </w:rPr>
              <w:t>provision</w:t>
            </w:r>
            <w:r>
              <w:rPr>
                <w:rFonts w:ascii="Stone Sans II ITC Std Bk"/>
                <w:b/>
                <w:spacing w:val="-15"/>
                <w:w w:val="110"/>
                <w:sz w:val="20"/>
              </w:rPr>
              <w:t> </w:t>
            </w:r>
            <w:r>
              <w:rPr>
                <w:rFonts w:ascii="Stone Sans II ITC Std Bk"/>
                <w:b/>
                <w:w w:val="110"/>
                <w:sz w:val="20"/>
              </w:rPr>
              <w:t>for</w:t>
            </w:r>
            <w:r>
              <w:rPr>
                <w:rFonts w:ascii="Stone Sans II ITC Std Bk"/>
                <w:b/>
                <w:spacing w:val="-15"/>
                <w:w w:val="110"/>
                <w:sz w:val="20"/>
              </w:rPr>
              <w:t> </w:t>
            </w:r>
            <w:r>
              <w:rPr>
                <w:rFonts w:ascii="Stone Sans II ITC Std Bk"/>
                <w:b/>
                <w:w w:val="110"/>
                <w:sz w:val="20"/>
              </w:rPr>
              <w:t>a</w:t>
            </w:r>
            <w:r>
              <w:rPr>
                <w:rFonts w:ascii="Stone Sans II ITC Std Bk"/>
                <w:b/>
                <w:spacing w:val="-14"/>
                <w:w w:val="110"/>
                <w:sz w:val="20"/>
              </w:rPr>
              <w:t> </w:t>
            </w:r>
            <w:r>
              <w:rPr>
                <w:rFonts w:ascii="Stone Sans II ITC Std Bk"/>
                <w:b/>
                <w:w w:val="110"/>
                <w:sz w:val="20"/>
              </w:rPr>
              <w:t>Church</w:t>
            </w:r>
            <w:r>
              <w:rPr>
                <w:rFonts w:ascii="Stone Sans II ITC Std Bk"/>
                <w:b/>
                <w:spacing w:val="-15"/>
                <w:w w:val="110"/>
                <w:sz w:val="20"/>
              </w:rPr>
              <w:t> </w:t>
            </w:r>
            <w:r>
              <w:rPr>
                <w:rFonts w:ascii="Stone Sans II ITC Std Bk"/>
                <w:b/>
                <w:w w:val="110"/>
                <w:sz w:val="20"/>
              </w:rPr>
              <w:t>or</w:t>
            </w:r>
            <w:r>
              <w:rPr>
                <w:rFonts w:ascii="Stone Sans II ITC Std Bk"/>
                <w:b/>
                <w:spacing w:val="-15"/>
                <w:w w:val="110"/>
                <w:sz w:val="20"/>
              </w:rPr>
              <w:t> </w:t>
            </w:r>
            <w:r>
              <w:rPr>
                <w:rFonts w:ascii="Stone Sans II ITC Std Bk"/>
                <w:b/>
                <w:w w:val="110"/>
                <w:sz w:val="20"/>
              </w:rPr>
              <w:t>Congregational</w:t>
            </w:r>
            <w:r>
              <w:rPr>
                <w:rFonts w:ascii="Stone Sans II ITC Std Bk"/>
                <w:b/>
                <w:spacing w:val="-15"/>
                <w:w w:val="110"/>
                <w:sz w:val="20"/>
              </w:rPr>
              <w:t> </w:t>
            </w:r>
            <w:r>
              <w:rPr>
                <w:rFonts w:ascii="Stone Sans II ITC Std Bk"/>
                <w:b/>
                <w:w w:val="110"/>
                <w:sz w:val="20"/>
              </w:rPr>
              <w:t>Meeting</w:t>
            </w:r>
          </w:p>
          <w:p>
            <w:pPr>
              <w:pStyle w:val="TableParagraph"/>
              <w:spacing w:line="213" w:lineRule="auto"/>
              <w:ind w:right="461"/>
              <w:rPr>
                <w:rFonts w:ascii="Stone Sans II ITC Std Bk"/>
                <w:b/>
                <w:sz w:val="20"/>
              </w:rPr>
            </w:pPr>
            <w:r>
              <w:rPr>
                <w:rFonts w:ascii="Stone Sans II ITC Std Bk"/>
                <w:b/>
                <w:spacing w:val="-2"/>
                <w:w w:val="110"/>
                <w:sz w:val="20"/>
              </w:rPr>
              <w:t>(including </w:t>
            </w:r>
            <w:r>
              <w:rPr>
                <w:rFonts w:ascii="Stone Sans II ITC Std Bk"/>
                <w:b/>
                <w:w w:val="110"/>
                <w:sz w:val="20"/>
              </w:rPr>
              <w:t>a Special or Extraordinary General </w:t>
            </w:r>
            <w:r>
              <w:rPr>
                <w:rFonts w:ascii="Stone Sans II ITC Std Bk"/>
                <w:b/>
                <w:spacing w:val="-3"/>
                <w:w w:val="110"/>
                <w:sz w:val="20"/>
              </w:rPr>
              <w:t>Meeting) </w:t>
            </w:r>
            <w:r>
              <w:rPr>
                <w:rFonts w:ascii="Stone Sans II ITC Std Bk"/>
                <w:b/>
                <w:w w:val="110"/>
                <w:sz w:val="20"/>
              </w:rPr>
              <w:t>the</w:t>
            </w:r>
            <w:r>
              <w:rPr>
                <w:rFonts w:ascii="Stone Sans II ITC Std Bk"/>
                <w:b/>
                <w:spacing w:val="-11"/>
                <w:w w:val="110"/>
                <w:sz w:val="20"/>
              </w:rPr>
              <w:t> </w:t>
            </w:r>
            <w:r>
              <w:rPr>
                <w:rFonts w:ascii="Stone Sans II ITC Std Bk"/>
                <w:b/>
                <w:spacing w:val="-3"/>
                <w:w w:val="110"/>
                <w:sz w:val="20"/>
              </w:rPr>
              <w:t>relevant</w:t>
            </w:r>
            <w:r>
              <w:rPr>
                <w:rFonts w:ascii="Stone Sans II ITC Std Bk"/>
                <w:b/>
                <w:spacing w:val="-11"/>
                <w:w w:val="110"/>
                <w:sz w:val="20"/>
              </w:rPr>
              <w:t> </w:t>
            </w:r>
            <w:r>
              <w:rPr>
                <w:rFonts w:ascii="Stone Sans II ITC Std Bk"/>
                <w:b/>
                <w:w w:val="110"/>
                <w:sz w:val="20"/>
              </w:rPr>
              <w:t>governing</w:t>
            </w:r>
            <w:r>
              <w:rPr>
                <w:rFonts w:ascii="Stone Sans II ITC Std Bk"/>
                <w:b/>
                <w:spacing w:val="-11"/>
                <w:w w:val="110"/>
                <w:sz w:val="20"/>
              </w:rPr>
              <w:t> </w:t>
            </w:r>
            <w:r>
              <w:rPr>
                <w:rFonts w:ascii="Stone Sans II ITC Std Bk"/>
                <w:b/>
                <w:w w:val="110"/>
                <w:sz w:val="20"/>
              </w:rPr>
              <w:t>authority</w:t>
            </w:r>
            <w:r>
              <w:rPr>
                <w:rFonts w:ascii="Stone Sans II ITC Std Bk"/>
                <w:b/>
                <w:spacing w:val="-11"/>
                <w:w w:val="110"/>
                <w:sz w:val="20"/>
              </w:rPr>
              <w:t> </w:t>
            </w:r>
            <w:r>
              <w:rPr>
                <w:rFonts w:ascii="Stone Sans II ITC Std Bk"/>
                <w:b/>
                <w:w w:val="110"/>
                <w:sz w:val="20"/>
              </w:rPr>
              <w:t>of</w:t>
            </w:r>
            <w:r>
              <w:rPr>
                <w:rFonts w:ascii="Stone Sans II ITC Std Bk"/>
                <w:b/>
                <w:spacing w:val="-11"/>
                <w:w w:val="110"/>
                <w:sz w:val="20"/>
              </w:rPr>
              <w:t> </w:t>
            </w:r>
            <w:r>
              <w:rPr>
                <w:rFonts w:ascii="Stone Sans II ITC Std Bk"/>
                <w:b/>
                <w:w w:val="110"/>
                <w:sz w:val="20"/>
              </w:rPr>
              <w:t>the</w:t>
            </w:r>
            <w:r>
              <w:rPr>
                <w:rFonts w:ascii="Stone Sans II ITC Std Bk"/>
                <w:b/>
                <w:spacing w:val="-11"/>
                <w:w w:val="110"/>
                <w:sz w:val="20"/>
              </w:rPr>
              <w:t> </w:t>
            </w:r>
            <w:r>
              <w:rPr>
                <w:rFonts w:ascii="Stone Sans II ITC Std Bk"/>
                <w:b/>
                <w:w w:val="110"/>
                <w:sz w:val="20"/>
              </w:rPr>
              <w:t>United</w:t>
            </w:r>
            <w:r>
              <w:rPr>
                <w:rFonts w:ascii="Stone Sans II ITC Std Bk"/>
                <w:b/>
                <w:spacing w:val="-11"/>
                <w:w w:val="110"/>
                <w:sz w:val="20"/>
              </w:rPr>
              <w:t> </w:t>
            </w:r>
            <w:r>
              <w:rPr>
                <w:rFonts w:ascii="Stone Sans II ITC Std Bk"/>
                <w:b/>
                <w:w w:val="110"/>
                <w:sz w:val="20"/>
              </w:rPr>
              <w:t>Reformed Church</w:t>
            </w:r>
            <w:r>
              <w:rPr>
                <w:rFonts w:ascii="Stone Sans II ITC Std Bk"/>
                <w:b/>
                <w:spacing w:val="-10"/>
                <w:w w:val="110"/>
                <w:sz w:val="20"/>
              </w:rPr>
              <w:t> </w:t>
            </w:r>
            <w:r>
              <w:rPr>
                <w:rFonts w:ascii="Stone Sans II ITC Std Bk"/>
                <w:b/>
                <w:w w:val="110"/>
                <w:sz w:val="20"/>
              </w:rPr>
              <w:t>under</w:t>
            </w:r>
            <w:r>
              <w:rPr>
                <w:rFonts w:ascii="Stone Sans II ITC Std Bk"/>
                <w:b/>
                <w:spacing w:val="-9"/>
                <w:w w:val="110"/>
                <w:sz w:val="20"/>
              </w:rPr>
              <w:t> </w:t>
            </w:r>
            <w:r>
              <w:rPr>
                <w:rFonts w:ascii="Stone Sans II ITC Std Bk"/>
                <w:b/>
                <w:w w:val="110"/>
                <w:sz w:val="20"/>
              </w:rPr>
              <w:t>Section</w:t>
            </w:r>
            <w:r>
              <w:rPr>
                <w:rFonts w:ascii="Stone Sans II ITC Std Bk"/>
                <w:b/>
                <w:spacing w:val="-9"/>
                <w:w w:val="110"/>
                <w:sz w:val="20"/>
              </w:rPr>
              <w:t> </w:t>
            </w:r>
            <w:r>
              <w:rPr>
                <w:rFonts w:ascii="Stone Sans II ITC Std Bk"/>
                <w:b/>
                <w:spacing w:val="-8"/>
                <w:w w:val="110"/>
                <w:sz w:val="20"/>
              </w:rPr>
              <w:t>26A(1)</w:t>
            </w:r>
            <w:r>
              <w:rPr>
                <w:rFonts w:ascii="Stone Sans II ITC Std Bk"/>
                <w:b/>
                <w:spacing w:val="-9"/>
                <w:w w:val="110"/>
                <w:sz w:val="20"/>
              </w:rPr>
              <w:t> </w:t>
            </w:r>
            <w:r>
              <w:rPr>
                <w:rFonts w:ascii="Stone Sans II ITC Std Bk"/>
                <w:b/>
                <w:w w:val="110"/>
                <w:sz w:val="20"/>
              </w:rPr>
              <w:t>of</w:t>
            </w:r>
            <w:r>
              <w:rPr>
                <w:rFonts w:ascii="Stone Sans II ITC Std Bk"/>
                <w:b/>
                <w:spacing w:val="-9"/>
                <w:w w:val="110"/>
                <w:sz w:val="20"/>
              </w:rPr>
              <w:t> </w:t>
            </w:r>
            <w:r>
              <w:rPr>
                <w:rFonts w:ascii="Stone Sans II ITC Std Bk"/>
                <w:b/>
                <w:w w:val="110"/>
                <w:sz w:val="20"/>
              </w:rPr>
              <w:t>the</w:t>
            </w:r>
            <w:r>
              <w:rPr>
                <w:rFonts w:ascii="Stone Sans II ITC Std Bk"/>
                <w:b/>
                <w:spacing w:val="-9"/>
                <w:w w:val="110"/>
                <w:sz w:val="20"/>
              </w:rPr>
              <w:t> </w:t>
            </w:r>
            <w:r>
              <w:rPr>
                <w:rFonts w:ascii="Stone Sans II ITC Std Bk"/>
                <w:b/>
                <w:w w:val="110"/>
                <w:sz w:val="20"/>
              </w:rPr>
              <w:t>Marriage</w:t>
            </w:r>
            <w:r>
              <w:rPr>
                <w:rFonts w:ascii="Stone Sans II ITC Std Bk"/>
                <w:b/>
                <w:spacing w:val="-9"/>
                <w:w w:val="110"/>
                <w:sz w:val="20"/>
              </w:rPr>
              <w:t> </w:t>
            </w:r>
            <w:r>
              <w:rPr>
                <w:rFonts w:ascii="Stone Sans II ITC Std Bk"/>
                <w:b/>
                <w:w w:val="110"/>
                <w:sz w:val="20"/>
              </w:rPr>
              <w:t>Act</w:t>
            </w:r>
            <w:r>
              <w:rPr>
                <w:rFonts w:ascii="Stone Sans II ITC Std Bk"/>
                <w:b/>
                <w:spacing w:val="-9"/>
                <w:w w:val="110"/>
                <w:sz w:val="20"/>
              </w:rPr>
              <w:t> </w:t>
            </w:r>
            <w:r>
              <w:rPr>
                <w:rFonts w:ascii="Stone Sans II ITC Std Bk"/>
                <w:b/>
                <w:spacing w:val="-7"/>
                <w:w w:val="110"/>
                <w:sz w:val="20"/>
              </w:rPr>
              <w:t>1949</w:t>
            </w:r>
            <w:r>
              <w:rPr>
                <w:rFonts w:ascii="Stone Sans II ITC Std Bk"/>
                <w:b/>
                <w:spacing w:val="-9"/>
                <w:w w:val="110"/>
                <w:sz w:val="20"/>
              </w:rPr>
              <w:t> </w:t>
            </w:r>
            <w:r>
              <w:rPr>
                <w:rFonts w:ascii="Stone Sans II ITC Std Bk"/>
                <w:b/>
                <w:w w:val="110"/>
                <w:sz w:val="20"/>
              </w:rPr>
              <w:t>as amended by the Marriage </w:t>
            </w:r>
            <w:r>
              <w:rPr>
                <w:rFonts w:ascii="Stone Sans II ITC Std Bk"/>
                <w:b/>
                <w:spacing w:val="-4"/>
                <w:w w:val="110"/>
                <w:sz w:val="20"/>
              </w:rPr>
              <w:t>(Same </w:t>
            </w:r>
            <w:r>
              <w:rPr>
                <w:rFonts w:ascii="Stone Sans II ITC Std Bk"/>
                <w:b/>
                <w:w w:val="110"/>
                <w:sz w:val="20"/>
              </w:rPr>
              <w:t>Sex </w:t>
            </w:r>
            <w:r>
              <w:rPr>
                <w:rFonts w:ascii="Stone Sans II ITC Std Bk"/>
                <w:b/>
                <w:spacing w:val="-4"/>
                <w:w w:val="110"/>
                <w:sz w:val="20"/>
              </w:rPr>
              <w:t>Couples) </w:t>
            </w:r>
            <w:r>
              <w:rPr>
                <w:rFonts w:ascii="Stone Sans II ITC Std Bk"/>
                <w:b/>
                <w:w w:val="110"/>
                <w:sz w:val="20"/>
              </w:rPr>
              <w:t>Act </w:t>
            </w:r>
            <w:r>
              <w:rPr>
                <w:rFonts w:ascii="Stone Sans II ITC Std Bk"/>
                <w:b/>
                <w:spacing w:val="-9"/>
                <w:w w:val="110"/>
                <w:sz w:val="20"/>
              </w:rPr>
              <w:t>2013 </w:t>
            </w:r>
            <w:r>
              <w:rPr>
                <w:rFonts w:ascii="Stone Sans II ITC Std Bk"/>
                <w:b/>
                <w:w w:val="110"/>
                <w:sz w:val="20"/>
              </w:rPr>
              <w:t>is</w:t>
            </w:r>
            <w:r>
              <w:rPr>
                <w:rFonts w:ascii="Stone Sans II ITC Std Bk"/>
                <w:b/>
                <w:spacing w:val="-10"/>
                <w:w w:val="110"/>
                <w:sz w:val="20"/>
              </w:rPr>
              <w:t> </w:t>
            </w:r>
            <w:r>
              <w:rPr>
                <w:rFonts w:ascii="Stone Sans II ITC Std Bk"/>
                <w:b/>
                <w:w w:val="110"/>
                <w:sz w:val="20"/>
              </w:rPr>
              <w:t>the</w:t>
            </w:r>
            <w:r>
              <w:rPr>
                <w:rFonts w:ascii="Stone Sans II ITC Std Bk"/>
                <w:b/>
                <w:spacing w:val="-9"/>
                <w:w w:val="110"/>
                <w:sz w:val="20"/>
              </w:rPr>
              <w:t> </w:t>
            </w:r>
            <w:r>
              <w:rPr>
                <w:rFonts w:ascii="Stone Sans II ITC Std Bk"/>
                <w:b/>
                <w:w w:val="110"/>
                <w:sz w:val="20"/>
              </w:rPr>
              <w:t>council</w:t>
            </w:r>
            <w:r>
              <w:rPr>
                <w:rFonts w:ascii="Stone Sans II ITC Std Bk"/>
                <w:b/>
                <w:spacing w:val="-9"/>
                <w:w w:val="110"/>
                <w:sz w:val="20"/>
              </w:rPr>
              <w:t> </w:t>
            </w:r>
            <w:r>
              <w:rPr>
                <w:rFonts w:ascii="Stone Sans II ITC Std Bk"/>
                <w:b/>
                <w:w w:val="110"/>
                <w:sz w:val="20"/>
              </w:rPr>
              <w:t>which</w:t>
            </w:r>
            <w:r>
              <w:rPr>
                <w:rFonts w:ascii="Stone Sans II ITC Std Bk"/>
                <w:b/>
                <w:spacing w:val="-9"/>
                <w:w w:val="110"/>
                <w:sz w:val="20"/>
              </w:rPr>
              <w:t> </w:t>
            </w:r>
            <w:r>
              <w:rPr>
                <w:rFonts w:ascii="Stone Sans II ITC Std Bk"/>
                <w:b/>
                <w:w w:val="110"/>
                <w:sz w:val="20"/>
              </w:rPr>
              <w:t>represents</w:t>
            </w:r>
            <w:r>
              <w:rPr>
                <w:rFonts w:ascii="Stone Sans II ITC Std Bk"/>
                <w:b/>
                <w:spacing w:val="-9"/>
                <w:w w:val="110"/>
                <w:sz w:val="20"/>
              </w:rPr>
              <w:t> </w:t>
            </w:r>
            <w:r>
              <w:rPr>
                <w:rFonts w:ascii="Stone Sans II ITC Std Bk"/>
                <w:b/>
                <w:w w:val="110"/>
                <w:sz w:val="20"/>
              </w:rPr>
              <w:t>the</w:t>
            </w:r>
            <w:r>
              <w:rPr>
                <w:rFonts w:ascii="Stone Sans II ITC Std Bk"/>
                <w:b/>
                <w:spacing w:val="-9"/>
                <w:w w:val="110"/>
                <w:sz w:val="20"/>
              </w:rPr>
              <w:t> </w:t>
            </w:r>
            <w:r>
              <w:rPr>
                <w:rFonts w:ascii="Stone Sans II ITC Std Bk"/>
                <w:b/>
                <w:w w:val="110"/>
                <w:sz w:val="20"/>
              </w:rPr>
              <w:t>widest</w:t>
            </w:r>
            <w:r>
              <w:rPr>
                <w:rFonts w:ascii="Stone Sans II ITC Std Bk"/>
                <w:b/>
                <w:spacing w:val="-9"/>
                <w:w w:val="110"/>
                <w:sz w:val="20"/>
              </w:rPr>
              <w:t> </w:t>
            </w:r>
            <w:r>
              <w:rPr>
                <w:rFonts w:ascii="Stone Sans II ITC Std Bk"/>
                <w:b/>
                <w:w w:val="110"/>
                <w:sz w:val="20"/>
              </w:rPr>
              <w:t>gathering</w:t>
            </w:r>
          </w:p>
          <w:p>
            <w:pPr>
              <w:pStyle w:val="TableParagraph"/>
              <w:spacing w:line="213" w:lineRule="auto"/>
              <w:ind w:right="280"/>
              <w:rPr>
                <w:rFonts w:ascii="Stone Sans II ITC Std Bk"/>
                <w:b/>
                <w:sz w:val="20"/>
              </w:rPr>
            </w:pPr>
            <w:r>
              <w:rPr>
                <w:rFonts w:ascii="Stone Sans II ITC Std Bk"/>
                <w:b/>
                <w:w w:val="110"/>
                <w:sz w:val="20"/>
              </w:rPr>
              <w:t>of members of that Church or Partnership. In case of doubt the council </w:t>
            </w:r>
            <w:r>
              <w:rPr>
                <w:rFonts w:ascii="Stone Sans II ITC Std Bk"/>
                <w:b/>
                <w:spacing w:val="-3"/>
                <w:w w:val="110"/>
                <w:sz w:val="20"/>
              </w:rPr>
              <w:t>to </w:t>
            </w:r>
            <w:r>
              <w:rPr>
                <w:rFonts w:ascii="Stone Sans II ITC Std Bk"/>
                <w:b/>
                <w:w w:val="110"/>
                <w:sz w:val="20"/>
              </w:rPr>
              <w:t>act in this matter shall be </w:t>
            </w:r>
            <w:r>
              <w:rPr>
                <w:rFonts w:ascii="Stone Sans II ITC Std Bk"/>
                <w:b/>
                <w:spacing w:val="-3"/>
                <w:w w:val="110"/>
                <w:sz w:val="20"/>
              </w:rPr>
              <w:t>jointly </w:t>
            </w:r>
            <w:r>
              <w:rPr>
                <w:rFonts w:ascii="Stone Sans II ITC Std Bk"/>
                <w:b/>
                <w:w w:val="110"/>
                <w:sz w:val="20"/>
              </w:rPr>
              <w:t>determined, in light of the LEP constitution and </w:t>
            </w:r>
            <w:r>
              <w:rPr>
                <w:rFonts w:ascii="Stone Sans II ITC Std Bk"/>
                <w:b/>
                <w:spacing w:val="-3"/>
                <w:w w:val="110"/>
                <w:sz w:val="20"/>
              </w:rPr>
              <w:t>any </w:t>
            </w:r>
            <w:r>
              <w:rPr>
                <w:rFonts w:ascii="Stone Sans II ITC Std Bk"/>
                <w:b/>
                <w:w w:val="110"/>
                <w:sz w:val="20"/>
              </w:rPr>
              <w:t>sharing</w:t>
            </w:r>
            <w:r>
              <w:rPr>
                <w:rFonts w:ascii="Stone Sans II ITC Std Bk"/>
                <w:b/>
                <w:spacing w:val="-13"/>
                <w:w w:val="110"/>
                <w:sz w:val="20"/>
              </w:rPr>
              <w:t> </w:t>
            </w:r>
            <w:r>
              <w:rPr>
                <w:rFonts w:ascii="Stone Sans II ITC Std Bk"/>
                <w:b/>
                <w:w w:val="110"/>
                <w:sz w:val="20"/>
              </w:rPr>
              <w:t>agreement,</w:t>
            </w:r>
            <w:r>
              <w:rPr>
                <w:rFonts w:ascii="Stone Sans II ITC Std Bk"/>
                <w:b/>
                <w:spacing w:val="-13"/>
                <w:w w:val="110"/>
                <w:sz w:val="20"/>
              </w:rPr>
              <w:t> </w:t>
            </w:r>
            <w:r>
              <w:rPr>
                <w:rFonts w:ascii="Stone Sans II ITC Std Bk"/>
                <w:b/>
                <w:w w:val="110"/>
                <w:sz w:val="20"/>
              </w:rPr>
              <w:t>by</w:t>
            </w:r>
            <w:r>
              <w:rPr>
                <w:rFonts w:ascii="Stone Sans II ITC Std Bk"/>
                <w:b/>
                <w:spacing w:val="-12"/>
                <w:w w:val="110"/>
                <w:sz w:val="20"/>
              </w:rPr>
              <w:t> </w:t>
            </w:r>
            <w:r>
              <w:rPr>
                <w:rFonts w:ascii="Stone Sans II ITC Std Bk"/>
                <w:b/>
                <w:w w:val="110"/>
                <w:sz w:val="20"/>
              </w:rPr>
              <w:t>the</w:t>
            </w:r>
            <w:r>
              <w:rPr>
                <w:rFonts w:ascii="Stone Sans II ITC Std Bk"/>
                <w:b/>
                <w:spacing w:val="-13"/>
                <w:w w:val="110"/>
                <w:sz w:val="20"/>
              </w:rPr>
              <w:t> </w:t>
            </w:r>
            <w:r>
              <w:rPr>
                <w:rFonts w:ascii="Stone Sans II ITC Std Bk"/>
                <w:b/>
                <w:w w:val="110"/>
                <w:sz w:val="20"/>
              </w:rPr>
              <w:t>Moderator</w:t>
            </w:r>
            <w:r>
              <w:rPr>
                <w:rFonts w:ascii="Stone Sans II ITC Std Bk"/>
                <w:b/>
                <w:spacing w:val="-12"/>
                <w:w w:val="110"/>
                <w:sz w:val="20"/>
              </w:rPr>
              <w:t> </w:t>
            </w:r>
            <w:r>
              <w:rPr>
                <w:rFonts w:ascii="Stone Sans II ITC Std Bk"/>
                <w:b/>
                <w:w w:val="110"/>
                <w:sz w:val="20"/>
              </w:rPr>
              <w:t>and</w:t>
            </w:r>
            <w:r>
              <w:rPr>
                <w:rFonts w:ascii="Stone Sans II ITC Std Bk"/>
                <w:b/>
                <w:spacing w:val="-13"/>
                <w:w w:val="110"/>
                <w:sz w:val="20"/>
              </w:rPr>
              <w:t> </w:t>
            </w:r>
            <w:r>
              <w:rPr>
                <w:rFonts w:ascii="Stone Sans II ITC Std Bk"/>
                <w:b/>
                <w:w w:val="110"/>
                <w:sz w:val="20"/>
              </w:rPr>
              <w:t>Clerk</w:t>
            </w:r>
            <w:r>
              <w:rPr>
                <w:rFonts w:ascii="Stone Sans II ITC Std Bk"/>
                <w:b/>
                <w:spacing w:val="-12"/>
                <w:w w:val="110"/>
                <w:sz w:val="20"/>
              </w:rPr>
              <w:t> </w:t>
            </w:r>
            <w:r>
              <w:rPr>
                <w:rFonts w:ascii="Stone Sans II ITC Std Bk"/>
                <w:b/>
                <w:w w:val="110"/>
                <w:sz w:val="20"/>
              </w:rPr>
              <w:t>of</w:t>
            </w:r>
            <w:r>
              <w:rPr>
                <w:rFonts w:ascii="Stone Sans II ITC Std Bk"/>
                <w:b/>
                <w:spacing w:val="-13"/>
                <w:w w:val="110"/>
                <w:sz w:val="20"/>
              </w:rPr>
              <w:t> </w:t>
            </w:r>
            <w:r>
              <w:rPr>
                <w:rFonts w:ascii="Stone Sans II ITC Std Bk"/>
                <w:b/>
                <w:w w:val="110"/>
                <w:sz w:val="20"/>
              </w:rPr>
              <w:t>the synod on which that Church is</w:t>
            </w:r>
            <w:r>
              <w:rPr>
                <w:rFonts w:ascii="Stone Sans II ITC Std Bk"/>
                <w:b/>
                <w:spacing w:val="-39"/>
                <w:w w:val="110"/>
                <w:sz w:val="20"/>
              </w:rPr>
              <w:t> </w:t>
            </w:r>
            <w:r>
              <w:rPr>
                <w:rFonts w:ascii="Stone Sans II ITC Std Bk"/>
                <w:b/>
                <w:spacing w:val="-2"/>
                <w:w w:val="110"/>
                <w:sz w:val="20"/>
              </w:rPr>
              <w:t>represented.</w:t>
            </w:r>
          </w:p>
          <w:p>
            <w:pPr>
              <w:pStyle w:val="TableParagraph"/>
              <w:spacing w:before="1"/>
              <w:ind w:left="0"/>
              <w:rPr>
                <w:rFonts w:ascii="Stone Sans II ITC Std Bk"/>
                <w:b/>
                <w:sz w:val="17"/>
              </w:rPr>
            </w:pPr>
          </w:p>
          <w:p>
            <w:pPr>
              <w:pStyle w:val="TableParagraph"/>
              <w:numPr>
                <w:ilvl w:val="0"/>
                <w:numId w:val="19"/>
              </w:numPr>
              <w:tabs>
                <w:tab w:pos="760" w:val="left" w:leader="none"/>
                <w:tab w:pos="761" w:val="left" w:leader="none"/>
              </w:tabs>
              <w:spacing w:line="213" w:lineRule="auto" w:before="0" w:after="0"/>
              <w:ind w:left="80" w:right="321" w:firstLine="0"/>
              <w:jc w:val="left"/>
              <w:rPr>
                <w:rFonts w:ascii="Stone Sans II ITC Std Bk" w:hAnsi="Stone Sans II ITC Std Bk"/>
                <w:b/>
                <w:sz w:val="20"/>
              </w:rPr>
            </w:pPr>
            <w:r>
              <w:rPr>
                <w:rFonts w:ascii="Stone Sans II ITC Std Bk" w:hAnsi="Stone Sans II ITC Std Bk"/>
                <w:b/>
                <w:w w:val="110"/>
                <w:sz w:val="20"/>
              </w:rPr>
              <w:t>Noting</w:t>
            </w:r>
            <w:r>
              <w:rPr>
                <w:rFonts w:ascii="Stone Sans II ITC Std Bk" w:hAnsi="Stone Sans II ITC Std Bk"/>
                <w:b/>
                <w:spacing w:val="-14"/>
                <w:w w:val="110"/>
                <w:sz w:val="20"/>
              </w:rPr>
              <w:t> </w:t>
            </w:r>
            <w:r>
              <w:rPr>
                <w:rFonts w:ascii="Stone Sans II ITC Std Bk" w:hAnsi="Stone Sans II ITC Std Bk"/>
                <w:b/>
                <w:w w:val="110"/>
                <w:sz w:val="20"/>
              </w:rPr>
              <w:t>that</w:t>
            </w:r>
            <w:r>
              <w:rPr>
                <w:rFonts w:ascii="Stone Sans II ITC Std Bk" w:hAnsi="Stone Sans II ITC Std Bk"/>
                <w:b/>
                <w:spacing w:val="-13"/>
                <w:w w:val="110"/>
                <w:sz w:val="20"/>
              </w:rPr>
              <w:t> </w:t>
            </w:r>
            <w:r>
              <w:rPr>
                <w:rFonts w:ascii="Stone Sans II ITC Std Bk" w:hAnsi="Stone Sans II ITC Std Bk"/>
                <w:b/>
                <w:w w:val="110"/>
                <w:sz w:val="20"/>
              </w:rPr>
              <w:t>Mission</w:t>
            </w:r>
            <w:r>
              <w:rPr>
                <w:rFonts w:ascii="Stone Sans II ITC Std Bk" w:hAnsi="Stone Sans II ITC Std Bk"/>
                <w:b/>
                <w:spacing w:val="-13"/>
                <w:w w:val="110"/>
                <w:sz w:val="20"/>
              </w:rPr>
              <w:t> </w:t>
            </w:r>
            <w:r>
              <w:rPr>
                <w:rFonts w:ascii="Stone Sans II ITC Std Bk" w:hAnsi="Stone Sans II ITC Std Bk"/>
                <w:b/>
                <w:spacing w:val="-3"/>
                <w:w w:val="110"/>
                <w:sz w:val="20"/>
              </w:rPr>
              <w:t>Council</w:t>
            </w:r>
            <w:r>
              <w:rPr>
                <w:rFonts w:ascii="Stone Sans II ITC Std Bk" w:hAnsi="Stone Sans II ITC Std Bk"/>
                <w:b/>
                <w:spacing w:val="-13"/>
                <w:w w:val="110"/>
                <w:sz w:val="20"/>
              </w:rPr>
              <w:t> </w:t>
            </w:r>
            <w:r>
              <w:rPr>
                <w:rFonts w:ascii="Stone Sans II ITC Std Bk" w:hAnsi="Stone Sans II ITC Std Bk"/>
                <w:b/>
                <w:w w:val="110"/>
                <w:sz w:val="20"/>
              </w:rPr>
              <w:t>has</w:t>
            </w:r>
            <w:r>
              <w:rPr>
                <w:rFonts w:ascii="Stone Sans II ITC Std Bk" w:hAnsi="Stone Sans II ITC Std Bk"/>
                <w:b/>
                <w:spacing w:val="-14"/>
                <w:w w:val="110"/>
                <w:sz w:val="20"/>
              </w:rPr>
              <w:t> </w:t>
            </w:r>
            <w:r>
              <w:rPr>
                <w:rFonts w:ascii="Stone Sans II ITC Std Bk" w:hAnsi="Stone Sans II ITC Std Bk"/>
                <w:b/>
                <w:w w:val="110"/>
                <w:sz w:val="20"/>
              </w:rPr>
              <w:t>already</w:t>
            </w:r>
            <w:r>
              <w:rPr>
                <w:rFonts w:ascii="Stone Sans II ITC Std Bk" w:hAnsi="Stone Sans II ITC Std Bk"/>
                <w:b/>
                <w:spacing w:val="-13"/>
                <w:w w:val="110"/>
                <w:sz w:val="20"/>
              </w:rPr>
              <w:t> </w:t>
            </w:r>
            <w:r>
              <w:rPr>
                <w:rFonts w:ascii="Stone Sans II ITC Std Bk" w:hAnsi="Stone Sans II ITC Std Bk"/>
                <w:b/>
                <w:w w:val="110"/>
                <w:sz w:val="20"/>
              </w:rPr>
              <w:t>recognised, on behalf of General </w:t>
            </w:r>
            <w:r>
              <w:rPr>
                <w:rFonts w:ascii="Stone Sans II ITC Std Bk" w:hAnsi="Stone Sans II ITC Std Bk"/>
                <w:b/>
                <w:spacing w:val="-3"/>
                <w:w w:val="110"/>
                <w:sz w:val="20"/>
              </w:rPr>
              <w:t>Assembly, ‘that </w:t>
            </w:r>
            <w:r>
              <w:rPr>
                <w:rFonts w:ascii="Stone Sans II ITC Std Bk" w:hAnsi="Stone Sans II ITC Std Bk"/>
                <w:b/>
                <w:w w:val="110"/>
                <w:sz w:val="20"/>
              </w:rPr>
              <w:t>if a future Assembly </w:t>
            </w:r>
            <w:r>
              <w:rPr>
                <w:rFonts w:ascii="Stone Sans II ITC Std Bk" w:hAnsi="Stone Sans II ITC Std Bk"/>
                <w:b/>
                <w:spacing w:val="-3"/>
                <w:w w:val="110"/>
                <w:sz w:val="20"/>
              </w:rPr>
              <w:t>were to </w:t>
            </w:r>
            <w:r>
              <w:rPr>
                <w:rFonts w:ascii="Stone Sans II ITC Std Bk" w:hAnsi="Stone Sans II ITC Std Bk"/>
                <w:b/>
                <w:w w:val="110"/>
                <w:sz w:val="20"/>
              </w:rPr>
              <w:t>allow for ministers and members of the United Reformed Church </w:t>
            </w:r>
            <w:r>
              <w:rPr>
                <w:rFonts w:ascii="Stone Sans II ITC Std Bk" w:hAnsi="Stone Sans II ITC Std Bk"/>
                <w:b/>
                <w:spacing w:val="-3"/>
                <w:w w:val="110"/>
                <w:sz w:val="20"/>
              </w:rPr>
              <w:t>to </w:t>
            </w:r>
            <w:r>
              <w:rPr>
                <w:rFonts w:ascii="Stone Sans II ITC Std Bk" w:hAnsi="Stone Sans II ITC Std Bk"/>
                <w:b/>
                <w:w w:val="110"/>
                <w:sz w:val="20"/>
              </w:rPr>
              <w:t>solemnise same-sex marriages under Scots</w:t>
            </w:r>
            <w:r>
              <w:rPr>
                <w:rFonts w:ascii="Stone Sans II ITC Std Bk" w:hAnsi="Stone Sans II ITC Std Bk"/>
                <w:b/>
                <w:spacing w:val="-13"/>
                <w:w w:val="110"/>
                <w:sz w:val="20"/>
              </w:rPr>
              <w:t> </w:t>
            </w:r>
            <w:r>
              <w:rPr>
                <w:rFonts w:ascii="Stone Sans II ITC Std Bk" w:hAnsi="Stone Sans II ITC Std Bk"/>
                <w:b/>
                <w:spacing w:val="-4"/>
                <w:w w:val="110"/>
                <w:sz w:val="20"/>
              </w:rPr>
              <w:t>Law,</w:t>
            </w:r>
            <w:r>
              <w:rPr>
                <w:rFonts w:ascii="Stone Sans II ITC Std Bk" w:hAnsi="Stone Sans II ITC Std Bk"/>
                <w:b/>
                <w:spacing w:val="-13"/>
                <w:w w:val="110"/>
                <w:sz w:val="20"/>
              </w:rPr>
              <w:t> </w:t>
            </w:r>
            <w:r>
              <w:rPr>
                <w:rFonts w:ascii="Stone Sans II ITC Std Bk" w:hAnsi="Stone Sans II ITC Std Bk"/>
                <w:b/>
                <w:w w:val="110"/>
                <w:sz w:val="20"/>
              </w:rPr>
              <w:t>the</w:t>
            </w:r>
            <w:r>
              <w:rPr>
                <w:rFonts w:ascii="Stone Sans II ITC Std Bk" w:hAnsi="Stone Sans II ITC Std Bk"/>
                <w:b/>
                <w:spacing w:val="-12"/>
                <w:w w:val="110"/>
                <w:sz w:val="20"/>
              </w:rPr>
              <w:t> </w:t>
            </w:r>
            <w:r>
              <w:rPr>
                <w:rFonts w:ascii="Stone Sans II ITC Std Bk" w:hAnsi="Stone Sans II ITC Std Bk"/>
                <w:b/>
                <w:w w:val="110"/>
                <w:sz w:val="20"/>
              </w:rPr>
              <w:t>Synod</w:t>
            </w:r>
            <w:r>
              <w:rPr>
                <w:rFonts w:ascii="Stone Sans II ITC Std Bk" w:hAnsi="Stone Sans II ITC Std Bk"/>
                <w:b/>
                <w:spacing w:val="-13"/>
                <w:w w:val="110"/>
                <w:sz w:val="20"/>
              </w:rPr>
              <w:t> </w:t>
            </w:r>
            <w:r>
              <w:rPr>
                <w:rFonts w:ascii="Stone Sans II ITC Std Bk" w:hAnsi="Stone Sans II ITC Std Bk"/>
                <w:b/>
                <w:w w:val="110"/>
                <w:sz w:val="20"/>
              </w:rPr>
              <w:t>of</w:t>
            </w:r>
            <w:r>
              <w:rPr>
                <w:rFonts w:ascii="Stone Sans II ITC Std Bk" w:hAnsi="Stone Sans II ITC Std Bk"/>
                <w:b/>
                <w:spacing w:val="-13"/>
                <w:w w:val="110"/>
                <w:sz w:val="20"/>
              </w:rPr>
              <w:t> </w:t>
            </w:r>
            <w:r>
              <w:rPr>
                <w:rFonts w:ascii="Stone Sans II ITC Std Bk" w:hAnsi="Stone Sans II ITC Std Bk"/>
                <w:b/>
                <w:w w:val="110"/>
                <w:sz w:val="20"/>
              </w:rPr>
              <w:t>Scotland</w:t>
            </w:r>
            <w:r>
              <w:rPr>
                <w:rFonts w:ascii="Stone Sans II ITC Std Bk" w:hAnsi="Stone Sans II ITC Std Bk"/>
                <w:b/>
                <w:spacing w:val="-12"/>
                <w:w w:val="110"/>
                <w:sz w:val="20"/>
              </w:rPr>
              <w:t> </w:t>
            </w:r>
            <w:r>
              <w:rPr>
                <w:rFonts w:ascii="Stone Sans II ITC Std Bk" w:hAnsi="Stone Sans II ITC Std Bk"/>
                <w:b/>
                <w:w w:val="110"/>
                <w:sz w:val="20"/>
              </w:rPr>
              <w:t>would</w:t>
            </w:r>
            <w:r>
              <w:rPr>
                <w:rFonts w:ascii="Stone Sans II ITC Std Bk" w:hAnsi="Stone Sans II ITC Std Bk"/>
                <w:b/>
                <w:spacing w:val="-13"/>
                <w:w w:val="110"/>
                <w:sz w:val="20"/>
              </w:rPr>
              <w:t> </w:t>
            </w:r>
            <w:r>
              <w:rPr>
                <w:rFonts w:ascii="Stone Sans II ITC Std Bk" w:hAnsi="Stone Sans II ITC Std Bk"/>
                <w:b/>
                <w:w w:val="110"/>
                <w:sz w:val="20"/>
              </w:rPr>
              <w:t>be</w:t>
            </w:r>
            <w:r>
              <w:rPr>
                <w:rFonts w:ascii="Stone Sans II ITC Std Bk" w:hAnsi="Stone Sans II ITC Std Bk"/>
                <w:b/>
                <w:spacing w:val="-13"/>
                <w:w w:val="110"/>
                <w:sz w:val="20"/>
              </w:rPr>
              <w:t> </w:t>
            </w:r>
            <w:r>
              <w:rPr>
                <w:rFonts w:ascii="Stone Sans II ITC Std Bk" w:hAnsi="Stone Sans II ITC Std Bk"/>
                <w:b/>
                <w:w w:val="110"/>
                <w:sz w:val="20"/>
              </w:rPr>
              <w:t>the</w:t>
            </w:r>
            <w:r>
              <w:rPr>
                <w:rFonts w:ascii="Stone Sans II ITC Std Bk" w:hAnsi="Stone Sans II ITC Std Bk"/>
                <w:b/>
                <w:spacing w:val="-12"/>
                <w:w w:val="110"/>
                <w:sz w:val="20"/>
              </w:rPr>
              <w:t> </w:t>
            </w:r>
            <w:r>
              <w:rPr>
                <w:rFonts w:ascii="Stone Sans II ITC Std Bk" w:hAnsi="Stone Sans II ITC Std Bk"/>
                <w:b/>
                <w:w w:val="110"/>
                <w:sz w:val="20"/>
              </w:rPr>
              <w:t>appropriate council</w:t>
            </w:r>
            <w:r>
              <w:rPr>
                <w:rFonts w:ascii="Stone Sans II ITC Std Bk" w:hAnsi="Stone Sans II ITC Std Bk"/>
                <w:b/>
                <w:spacing w:val="-9"/>
                <w:w w:val="110"/>
                <w:sz w:val="20"/>
              </w:rPr>
              <w:t> </w:t>
            </w:r>
            <w:r>
              <w:rPr>
                <w:rFonts w:ascii="Stone Sans II ITC Std Bk" w:hAnsi="Stone Sans II ITC Std Bk"/>
                <w:b/>
                <w:w w:val="110"/>
                <w:sz w:val="20"/>
              </w:rPr>
              <w:t>of</w:t>
            </w:r>
            <w:r>
              <w:rPr>
                <w:rFonts w:ascii="Stone Sans II ITC Std Bk" w:hAnsi="Stone Sans II ITC Std Bk"/>
                <w:b/>
                <w:spacing w:val="-8"/>
                <w:w w:val="110"/>
                <w:sz w:val="20"/>
              </w:rPr>
              <w:t> </w:t>
            </w:r>
            <w:r>
              <w:rPr>
                <w:rFonts w:ascii="Stone Sans II ITC Std Bk" w:hAnsi="Stone Sans II ITC Std Bk"/>
                <w:b/>
                <w:w w:val="110"/>
                <w:sz w:val="20"/>
              </w:rPr>
              <w:t>the</w:t>
            </w:r>
            <w:r>
              <w:rPr>
                <w:rFonts w:ascii="Stone Sans II ITC Std Bk" w:hAnsi="Stone Sans II ITC Std Bk"/>
                <w:b/>
                <w:spacing w:val="-8"/>
                <w:w w:val="110"/>
                <w:sz w:val="20"/>
              </w:rPr>
              <w:t> </w:t>
            </w:r>
            <w:r>
              <w:rPr>
                <w:rFonts w:ascii="Stone Sans II ITC Std Bk" w:hAnsi="Stone Sans II ITC Std Bk"/>
                <w:b/>
                <w:w w:val="110"/>
                <w:sz w:val="20"/>
              </w:rPr>
              <w:t>URC</w:t>
            </w:r>
            <w:r>
              <w:rPr>
                <w:rFonts w:ascii="Stone Sans II ITC Std Bk" w:hAnsi="Stone Sans II ITC Std Bk"/>
                <w:b/>
                <w:spacing w:val="-8"/>
                <w:w w:val="110"/>
                <w:sz w:val="20"/>
              </w:rPr>
              <w:t> </w:t>
            </w:r>
            <w:r>
              <w:rPr>
                <w:rFonts w:ascii="Stone Sans II ITC Std Bk" w:hAnsi="Stone Sans II ITC Std Bk"/>
                <w:b/>
                <w:spacing w:val="-3"/>
                <w:w w:val="110"/>
                <w:sz w:val="20"/>
              </w:rPr>
              <w:t>to</w:t>
            </w:r>
            <w:r>
              <w:rPr>
                <w:rFonts w:ascii="Stone Sans II ITC Std Bk" w:hAnsi="Stone Sans II ITC Std Bk"/>
                <w:b/>
                <w:spacing w:val="-8"/>
                <w:w w:val="110"/>
                <w:sz w:val="20"/>
              </w:rPr>
              <w:t> </w:t>
            </w:r>
            <w:r>
              <w:rPr>
                <w:rFonts w:ascii="Stone Sans II ITC Std Bk" w:hAnsi="Stone Sans II ITC Std Bk"/>
                <w:b/>
                <w:w w:val="110"/>
                <w:sz w:val="20"/>
              </w:rPr>
              <w:t>approach</w:t>
            </w:r>
            <w:r>
              <w:rPr>
                <w:rFonts w:ascii="Stone Sans II ITC Std Bk" w:hAnsi="Stone Sans II ITC Std Bk"/>
                <w:b/>
                <w:spacing w:val="-9"/>
                <w:w w:val="110"/>
                <w:sz w:val="20"/>
              </w:rPr>
              <w:t> </w:t>
            </w:r>
            <w:r>
              <w:rPr>
                <w:rFonts w:ascii="Stone Sans II ITC Std Bk" w:hAnsi="Stone Sans II ITC Std Bk"/>
                <w:b/>
                <w:w w:val="110"/>
                <w:sz w:val="20"/>
              </w:rPr>
              <w:t>the</w:t>
            </w:r>
            <w:r>
              <w:rPr>
                <w:rFonts w:ascii="Stone Sans II ITC Std Bk" w:hAnsi="Stone Sans II ITC Std Bk"/>
                <w:b/>
                <w:spacing w:val="-8"/>
                <w:w w:val="110"/>
                <w:sz w:val="20"/>
              </w:rPr>
              <w:t> </w:t>
            </w:r>
            <w:r>
              <w:rPr>
                <w:rFonts w:ascii="Stone Sans II ITC Std Bk" w:hAnsi="Stone Sans II ITC Std Bk"/>
                <w:b/>
                <w:w w:val="110"/>
                <w:sz w:val="20"/>
              </w:rPr>
              <w:t>Registrar</w:t>
            </w:r>
            <w:r>
              <w:rPr>
                <w:rFonts w:ascii="Stone Sans II ITC Std Bk" w:hAnsi="Stone Sans II ITC Std Bk"/>
                <w:b/>
                <w:spacing w:val="-8"/>
                <w:w w:val="110"/>
                <w:sz w:val="20"/>
              </w:rPr>
              <w:t> </w:t>
            </w:r>
            <w:r>
              <w:rPr>
                <w:rFonts w:ascii="Stone Sans II ITC Std Bk" w:hAnsi="Stone Sans II ITC Std Bk"/>
                <w:b/>
                <w:w w:val="110"/>
                <w:sz w:val="20"/>
              </w:rPr>
              <w:t>General</w:t>
            </w:r>
          </w:p>
          <w:p>
            <w:pPr>
              <w:pStyle w:val="TableParagraph"/>
              <w:spacing w:line="213" w:lineRule="auto"/>
              <w:ind w:right="294"/>
              <w:rPr>
                <w:rFonts w:ascii="Stone Sans II ITC Std Bk" w:hAnsi="Stone Sans II ITC Std Bk"/>
                <w:b/>
                <w:sz w:val="20"/>
              </w:rPr>
            </w:pPr>
            <w:r>
              <w:rPr>
                <w:rFonts w:ascii="Stone Sans II ITC Std Bk" w:hAnsi="Stone Sans II ITC Std Bk"/>
                <w:b/>
                <w:w w:val="110"/>
                <w:sz w:val="20"/>
              </w:rPr>
              <w:t>for </w:t>
            </w:r>
            <w:r>
              <w:rPr>
                <w:rFonts w:ascii="Stone Sans II ITC Std Bk" w:hAnsi="Stone Sans II ITC Std Bk"/>
                <w:b/>
                <w:spacing w:val="-5"/>
                <w:w w:val="110"/>
                <w:sz w:val="20"/>
              </w:rPr>
              <w:t>Scotland’, </w:t>
            </w:r>
            <w:r>
              <w:rPr>
                <w:rFonts w:ascii="Stone Sans II ITC Std Bk" w:hAnsi="Stone Sans II ITC Std Bk"/>
                <w:b/>
                <w:w w:val="110"/>
                <w:sz w:val="20"/>
              </w:rPr>
              <w:t>the General Assembly confirms that it now lies within the competence of the National Synod of Scotland </w:t>
            </w:r>
            <w:r>
              <w:rPr>
                <w:rFonts w:ascii="Stone Sans II ITC Std Bk" w:hAnsi="Stone Sans II ITC Std Bk"/>
                <w:b/>
                <w:spacing w:val="-3"/>
                <w:w w:val="110"/>
                <w:sz w:val="20"/>
              </w:rPr>
              <w:t>to </w:t>
            </w:r>
            <w:r>
              <w:rPr>
                <w:rFonts w:ascii="Stone Sans II ITC Std Bk" w:hAnsi="Stone Sans II ITC Std Bk"/>
                <w:b/>
                <w:w w:val="110"/>
                <w:sz w:val="20"/>
              </w:rPr>
              <w:t>nominate under Section </w:t>
            </w:r>
            <w:r>
              <w:rPr>
                <w:rFonts w:ascii="Stone Sans II ITC Std Bk" w:hAnsi="Stone Sans II ITC Std Bk"/>
                <w:b/>
                <w:spacing w:val="-9"/>
                <w:w w:val="110"/>
                <w:sz w:val="20"/>
              </w:rPr>
              <w:t>9(1A) </w:t>
            </w:r>
            <w:r>
              <w:rPr>
                <w:rFonts w:ascii="Stone Sans II ITC Std Bk" w:hAnsi="Stone Sans II ITC Std Bk"/>
                <w:b/>
                <w:w w:val="110"/>
                <w:sz w:val="20"/>
              </w:rPr>
              <w:t>of the Marriage </w:t>
            </w:r>
            <w:r>
              <w:rPr>
                <w:rFonts w:ascii="Stone Sans II ITC Std Bk" w:hAnsi="Stone Sans II ITC Std Bk"/>
                <w:b/>
                <w:spacing w:val="-4"/>
                <w:w w:val="110"/>
                <w:sz w:val="20"/>
              </w:rPr>
              <w:t>(Scotland) </w:t>
            </w:r>
            <w:r>
              <w:rPr>
                <w:rFonts w:ascii="Stone Sans II ITC Std Bk" w:hAnsi="Stone Sans II ITC Std Bk"/>
                <w:b/>
                <w:w w:val="110"/>
                <w:sz w:val="20"/>
              </w:rPr>
              <w:t>Act</w:t>
            </w:r>
            <w:r>
              <w:rPr>
                <w:rFonts w:ascii="Stone Sans II ITC Std Bk" w:hAnsi="Stone Sans II ITC Std Bk"/>
                <w:b/>
                <w:spacing w:val="-8"/>
                <w:w w:val="110"/>
                <w:sz w:val="20"/>
              </w:rPr>
              <w:t> 1977 </w:t>
            </w:r>
            <w:r>
              <w:rPr>
                <w:rFonts w:ascii="Stone Sans II ITC Std Bk" w:hAnsi="Stone Sans II ITC Std Bk"/>
                <w:b/>
                <w:w w:val="110"/>
                <w:sz w:val="20"/>
              </w:rPr>
              <w:t>as amended by the Marriage and Civil Partnership </w:t>
            </w:r>
            <w:r>
              <w:rPr>
                <w:rFonts w:ascii="Stone Sans II ITC Std Bk" w:hAnsi="Stone Sans II ITC Std Bk"/>
                <w:b/>
                <w:spacing w:val="-4"/>
                <w:w w:val="110"/>
                <w:sz w:val="20"/>
              </w:rPr>
              <w:t>(Scotland) </w:t>
            </w:r>
            <w:r>
              <w:rPr>
                <w:rFonts w:ascii="Stone Sans II ITC Std Bk" w:hAnsi="Stone Sans II ITC Std Bk"/>
                <w:b/>
                <w:w w:val="110"/>
                <w:sz w:val="20"/>
              </w:rPr>
              <w:t>Act </w:t>
            </w:r>
            <w:r>
              <w:rPr>
                <w:rFonts w:ascii="Stone Sans II ITC Std Bk" w:hAnsi="Stone Sans II ITC Std Bk"/>
                <w:b/>
                <w:spacing w:val="-8"/>
                <w:w w:val="110"/>
                <w:sz w:val="20"/>
              </w:rPr>
              <w:t>2014 </w:t>
            </w:r>
            <w:r>
              <w:rPr>
                <w:rFonts w:ascii="Stone Sans II ITC Std Bk" w:hAnsi="Stone Sans II ITC Std Bk"/>
                <w:b/>
                <w:w w:val="110"/>
                <w:sz w:val="20"/>
              </w:rPr>
              <w:t>members of the United Reformed Church who </w:t>
            </w:r>
            <w:r>
              <w:rPr>
                <w:rFonts w:ascii="Stone Sans II ITC Std Bk" w:hAnsi="Stone Sans II ITC Std Bk"/>
                <w:b/>
                <w:spacing w:val="-3"/>
                <w:w w:val="110"/>
                <w:sz w:val="20"/>
              </w:rPr>
              <w:t>have </w:t>
            </w:r>
            <w:r>
              <w:rPr>
                <w:rFonts w:ascii="Stone Sans II ITC Std Bk" w:hAnsi="Stone Sans II ITC Std Bk"/>
                <w:b/>
                <w:w w:val="110"/>
                <w:sz w:val="20"/>
              </w:rPr>
              <w:t>indicated their willingness</w:t>
            </w:r>
          </w:p>
          <w:p>
            <w:pPr>
              <w:pStyle w:val="TableParagraph"/>
              <w:spacing w:line="213" w:lineRule="auto"/>
              <w:ind w:right="427"/>
              <w:rPr>
                <w:rFonts w:ascii="Stone Sans II ITC Std Bk"/>
                <w:b/>
                <w:sz w:val="20"/>
              </w:rPr>
            </w:pPr>
            <w:r>
              <w:rPr>
                <w:rFonts w:ascii="Stone Sans II ITC Std Bk"/>
                <w:b/>
                <w:w w:val="110"/>
                <w:sz w:val="20"/>
              </w:rPr>
              <w:t>in writing </w:t>
            </w:r>
            <w:r>
              <w:rPr>
                <w:rFonts w:ascii="Stone Sans II ITC Std Bk"/>
                <w:b/>
                <w:spacing w:val="-3"/>
                <w:w w:val="110"/>
                <w:sz w:val="20"/>
              </w:rPr>
              <w:t>to </w:t>
            </w:r>
            <w:r>
              <w:rPr>
                <w:rFonts w:ascii="Stone Sans II ITC Std Bk"/>
                <w:b/>
                <w:w w:val="110"/>
                <w:sz w:val="20"/>
              </w:rPr>
              <w:t>the synod </w:t>
            </w:r>
            <w:r>
              <w:rPr>
                <w:rFonts w:ascii="Stone Sans II ITC Std Bk"/>
                <w:b/>
                <w:spacing w:val="-3"/>
                <w:w w:val="110"/>
                <w:sz w:val="20"/>
              </w:rPr>
              <w:t>to </w:t>
            </w:r>
            <w:r>
              <w:rPr>
                <w:rFonts w:ascii="Stone Sans II ITC Std Bk"/>
                <w:b/>
                <w:w w:val="110"/>
                <w:sz w:val="20"/>
              </w:rPr>
              <w:t>be approved celebrants for the marriages of same-sex couples in Scotland.</w:t>
            </w:r>
          </w:p>
        </w:tc>
      </w:tr>
    </w:tbl>
    <w:p>
      <w:pPr>
        <w:pStyle w:val="BodyText"/>
        <w:spacing w:before="12"/>
        <w:rPr>
          <w:rFonts w:ascii="Stone Sans II ITC Std Bk"/>
          <w:b/>
        </w:rPr>
      </w:pPr>
    </w:p>
    <w:p>
      <w:pPr>
        <w:pStyle w:val="Heading6"/>
        <w:spacing w:before="0"/>
        <w:ind w:left="547"/>
      </w:pPr>
      <w:r>
        <w:rPr>
          <w:rFonts w:ascii="Stone Sans II ITC Std X Bd" w:hAnsi="Stone Sans II ITC Std X Bd"/>
          <w:b/>
          <w:w w:val="110"/>
          <w:sz w:val="24"/>
        </w:rPr>
        <w:t>32 </w:t>
      </w:r>
      <w:r>
        <w:rPr>
          <w:rFonts w:ascii="Symbol" w:hAnsi="Symbol"/>
          <w:color w:val="7EAABF"/>
          <w:w w:val="110"/>
        </w:rPr>
        <w:t></w:t>
      </w:r>
      <w:r>
        <w:rPr>
          <w:rFonts w:ascii="Times New Roman" w:hAnsi="Times New Roman"/>
          <w:color w:val="7EAABF"/>
          <w:w w:val="110"/>
        </w:rPr>
        <w:t> </w:t>
      </w:r>
      <w:r>
        <w:rPr>
          <w:color w:val="7EAABF"/>
          <w:w w:val="110"/>
        </w:rPr>
        <w:t>United Reformed Church </w:t>
      </w:r>
      <w:r>
        <w:rPr>
          <w:rFonts w:ascii="Symbol" w:hAnsi="Symbol"/>
          <w:color w:val="7EAABF"/>
          <w:w w:val="110"/>
        </w:rPr>
        <w:t></w:t>
      </w:r>
      <w:r>
        <w:rPr>
          <w:rFonts w:ascii="Times New Roman" w:hAnsi="Times New Roman"/>
          <w:color w:val="7EAABF"/>
          <w:w w:val="110"/>
        </w:rPr>
        <w:t> </w:t>
      </w:r>
      <w:r>
        <w:rPr>
          <w:color w:val="7EAABF"/>
          <w:w w:val="110"/>
        </w:rPr>
        <w:t>General Assembly 2016</w:t>
      </w:r>
    </w:p>
    <w:p>
      <w:pPr>
        <w:spacing w:after="0"/>
        <w:sectPr>
          <w:headerReference w:type="even" r:id="rId130"/>
          <w:footerReference w:type="even" r:id="rId131"/>
          <w:pgSz w:w="11910" w:h="16840"/>
          <w:pgMar w:header="0" w:footer="0" w:top="0" w:bottom="0" w:left="700" w:right="0"/>
        </w:sectPr>
      </w:pPr>
    </w:p>
    <w:p>
      <w:pPr>
        <w:pStyle w:val="BodyText"/>
      </w:pPr>
      <w:r>
        <w:rPr/>
        <w:pict>
          <v:rect style="position:absolute;margin-left:0pt;margin-top:.000015pt;width:549.207pt;height:841.89pt;mso-position-horizontal-relative:page;mso-position-vertical-relative:page;z-index:-268023808" filled="true" fillcolor="#fef4df" stroked="false">
            <v:fill type="solid"/>
            <w10:wrap type="none"/>
          </v:rect>
        </w:pict>
      </w:r>
      <w:r>
        <w:rPr/>
        <w:drawing>
          <wp:anchor distT="0" distB="0" distL="0" distR="0" allowOverlap="1" layoutInCell="1" locked="0" behindDoc="0" simplePos="0" relativeHeight="251747328">
            <wp:simplePos x="0" y="0"/>
            <wp:positionH relativeFrom="page">
              <wp:posOffset>6974928</wp:posOffset>
            </wp:positionH>
            <wp:positionV relativeFrom="page">
              <wp:posOffset>0</wp:posOffset>
            </wp:positionV>
            <wp:extent cx="585063" cy="10692003"/>
            <wp:effectExtent l="0" t="0" r="0" b="0"/>
            <wp:wrapNone/>
            <wp:docPr id="53" name="image27.png"/>
            <wp:cNvGraphicFramePr>
              <a:graphicFrameLocks noChangeAspect="1"/>
            </wp:cNvGraphicFramePr>
            <a:graphic>
              <a:graphicData uri="http://schemas.openxmlformats.org/drawingml/2006/picture">
                <pic:pic>
                  <pic:nvPicPr>
                    <pic:cNvPr id="54" name="image27.png"/>
                    <pic:cNvPicPr/>
                  </pic:nvPicPr>
                  <pic:blipFill>
                    <a:blip r:embed="rId34" cstate="print"/>
                    <a:stretch>
                      <a:fillRect/>
                    </a:stretch>
                  </pic:blipFill>
                  <pic:spPr>
                    <a:xfrm>
                      <a:off x="0" y="0"/>
                      <a:ext cx="585063" cy="10692003"/>
                    </a:xfrm>
                    <a:prstGeom prst="rect">
                      <a:avLst/>
                    </a:prstGeom>
                  </pic:spPr>
                </pic:pic>
              </a:graphicData>
            </a:graphic>
          </wp:anchor>
        </w:drawing>
      </w:r>
    </w:p>
    <w:p>
      <w:pPr>
        <w:pStyle w:val="BodyText"/>
      </w:pPr>
    </w:p>
    <w:p>
      <w:pPr>
        <w:pStyle w:val="BodyText"/>
      </w:pPr>
    </w:p>
    <w:p>
      <w:pPr>
        <w:pStyle w:val="BodyText"/>
      </w:pPr>
    </w:p>
    <w:p>
      <w:pPr>
        <w:pStyle w:val="BodyText"/>
        <w:spacing w:before="5"/>
        <w:rPr>
          <w:sz w:val="11"/>
        </w:rPr>
      </w:pPr>
    </w:p>
    <w:tbl>
      <w:tblPr>
        <w:tblW w:w="0" w:type="auto"/>
        <w:jc w:val="left"/>
        <w:tblInd w:w="105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660"/>
        <w:gridCol w:w="6582"/>
      </w:tblGrid>
      <w:tr>
        <w:trPr>
          <w:trHeight w:val="2928" w:hRule="atLeast"/>
        </w:trPr>
        <w:tc>
          <w:tcPr>
            <w:tcW w:w="2660" w:type="dxa"/>
            <w:shd w:val="clear" w:color="auto" w:fill="FFFFFF"/>
          </w:tcPr>
          <w:p>
            <w:pPr>
              <w:pStyle w:val="TableParagraph"/>
              <w:ind w:left="0"/>
              <w:rPr>
                <w:rFonts w:ascii="Times New Roman"/>
                <w:sz w:val="22"/>
              </w:rPr>
            </w:pPr>
          </w:p>
        </w:tc>
        <w:tc>
          <w:tcPr>
            <w:tcW w:w="6582" w:type="dxa"/>
            <w:shd w:val="clear" w:color="auto" w:fill="FFFFFF"/>
          </w:tcPr>
          <w:p>
            <w:pPr>
              <w:pStyle w:val="TableParagraph"/>
              <w:numPr>
                <w:ilvl w:val="0"/>
                <w:numId w:val="20"/>
              </w:numPr>
              <w:tabs>
                <w:tab w:pos="760" w:val="left" w:leader="none"/>
                <w:tab w:pos="761" w:val="left" w:leader="none"/>
              </w:tabs>
              <w:spacing w:line="213" w:lineRule="auto" w:before="151" w:after="0"/>
              <w:ind w:left="80" w:right="875" w:firstLine="0"/>
              <w:jc w:val="left"/>
              <w:rPr>
                <w:rFonts w:ascii="Stone Sans II ITC Std Bk"/>
                <w:b/>
                <w:sz w:val="20"/>
              </w:rPr>
            </w:pPr>
            <w:r>
              <w:rPr>
                <w:rFonts w:ascii="Stone Sans II ITC Std Bk"/>
                <w:b/>
                <w:w w:val="110"/>
                <w:sz w:val="20"/>
              </w:rPr>
              <w:t>The General Assembly recalls that the trusts on which Local Church buildings are commonly</w:t>
            </w:r>
            <w:r>
              <w:rPr>
                <w:rFonts w:ascii="Stone Sans II ITC Std Bk"/>
                <w:b/>
                <w:spacing w:val="12"/>
                <w:w w:val="110"/>
                <w:sz w:val="20"/>
              </w:rPr>
              <w:t> </w:t>
            </w:r>
            <w:r>
              <w:rPr>
                <w:rFonts w:ascii="Stone Sans II ITC Std Bk"/>
                <w:b/>
                <w:w w:val="110"/>
                <w:sz w:val="20"/>
              </w:rPr>
              <w:t>held</w:t>
            </w:r>
          </w:p>
          <w:p>
            <w:pPr>
              <w:pStyle w:val="TableParagraph"/>
              <w:spacing w:line="213" w:lineRule="auto"/>
              <w:ind w:right="280"/>
              <w:rPr>
                <w:rFonts w:ascii="Stone Sans II ITC Std Bk"/>
                <w:b/>
                <w:sz w:val="20"/>
              </w:rPr>
            </w:pPr>
            <w:r>
              <w:rPr>
                <w:rFonts w:ascii="Stone Sans II ITC Std Bk"/>
                <w:b/>
                <w:w w:val="110"/>
                <w:sz w:val="20"/>
              </w:rPr>
              <w:t>empower the Church Meeting to direct in what ways such a building is or is not to be used for public worship and ancillary purposes.</w:t>
            </w:r>
          </w:p>
          <w:p>
            <w:pPr>
              <w:pStyle w:val="TableParagraph"/>
              <w:spacing w:before="4"/>
              <w:ind w:left="0"/>
              <w:rPr>
                <w:sz w:val="19"/>
              </w:rPr>
            </w:pPr>
          </w:p>
          <w:p>
            <w:pPr>
              <w:pStyle w:val="TableParagraph"/>
              <w:numPr>
                <w:ilvl w:val="0"/>
                <w:numId w:val="20"/>
              </w:numPr>
              <w:tabs>
                <w:tab w:pos="760" w:val="left" w:leader="none"/>
                <w:tab w:pos="761" w:val="left" w:leader="none"/>
              </w:tabs>
              <w:spacing w:line="213" w:lineRule="auto" w:before="1" w:after="0"/>
              <w:ind w:left="80" w:right="486" w:firstLine="0"/>
              <w:jc w:val="left"/>
              <w:rPr>
                <w:rFonts w:ascii="Stone Sans II ITC Std Bk"/>
                <w:b/>
                <w:sz w:val="20"/>
              </w:rPr>
            </w:pPr>
            <w:r>
              <w:rPr>
                <w:rFonts w:ascii="Stone Sans II ITC Std Bk"/>
                <w:b/>
                <w:w w:val="110"/>
                <w:sz w:val="20"/>
              </w:rPr>
              <w:t>The General Assembly authorises the General Secretary, the Clerk, or any Deputy General Secretary to sign and furnish a copy of this resolution </w:t>
            </w:r>
            <w:r>
              <w:rPr>
                <w:rFonts w:ascii="Stone Sans II ITC Std Bk"/>
                <w:b/>
                <w:spacing w:val="-5"/>
                <w:w w:val="110"/>
                <w:sz w:val="20"/>
              </w:rPr>
              <w:t>(or </w:t>
            </w:r>
            <w:r>
              <w:rPr>
                <w:rFonts w:ascii="Stone Sans II ITC Std Bk"/>
                <w:b/>
                <w:w w:val="110"/>
                <w:sz w:val="20"/>
              </w:rPr>
              <w:t>a relevant extract) in the name of the Assembly, whenever such a copy may be required by</w:t>
            </w:r>
            <w:r>
              <w:rPr>
                <w:rFonts w:ascii="Stone Sans II ITC Std Bk"/>
                <w:b/>
                <w:spacing w:val="-2"/>
                <w:w w:val="110"/>
                <w:sz w:val="20"/>
              </w:rPr>
              <w:t> </w:t>
            </w:r>
            <w:r>
              <w:rPr>
                <w:rFonts w:ascii="Stone Sans II ITC Std Bk"/>
                <w:b/>
                <w:spacing w:val="-3"/>
                <w:w w:val="110"/>
                <w:sz w:val="20"/>
              </w:rPr>
              <w:t>law.</w:t>
            </w:r>
          </w:p>
        </w:tc>
      </w:tr>
    </w:tbl>
    <w:p>
      <w:pPr>
        <w:pStyle w:val="BodyText"/>
        <w:spacing w:before="9"/>
        <w:rPr>
          <w:sz w:val="24"/>
        </w:rPr>
      </w:pPr>
    </w:p>
    <w:p>
      <w:pPr>
        <w:pStyle w:val="Heading4"/>
        <w:spacing w:before="94"/>
        <w:ind w:left="1043"/>
      </w:pPr>
      <w:r>
        <w:rPr/>
        <w:pict>
          <v:shape style="position:absolute;margin-left:554.141174pt;margin-top:-170.324707pt;width:25.9pt;height:349.8pt;mso-position-horizontal-relative:page;mso-position-vertical-relative:paragraph;z-index:251748352" type="#_x0000_t202" filled="false" stroked="false">
            <v:textbox inset="0,0,0,0" style="layout-flow:vertical">
              <w:txbxContent>
                <w:p>
                  <w:pPr>
                    <w:spacing w:before="27"/>
                    <w:ind w:left="20" w:right="0" w:firstLine="0"/>
                    <w:jc w:val="left"/>
                    <w:rPr>
                      <w:sz w:val="39"/>
                    </w:rPr>
                  </w:pPr>
                  <w:r>
                    <w:rPr>
                      <w:color w:val="FFFFFF"/>
                      <w:w w:val="120"/>
                      <w:sz w:val="39"/>
                    </w:rPr>
                    <w:t>Resolutions referred to synods (D)</w:t>
                  </w:r>
                </w:p>
              </w:txbxContent>
            </v:textbox>
            <w10:wrap type="none"/>
          </v:shape>
        </w:pict>
      </w:r>
      <w:r>
        <w:rPr>
          <w:color w:val="7F7F7F"/>
        </w:rPr>
        <w:t>Summary of Content</w:t>
      </w:r>
    </w:p>
    <w:tbl>
      <w:tblPr>
        <w:tblW w:w="0" w:type="auto"/>
        <w:jc w:val="left"/>
        <w:tblInd w:w="105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660"/>
        <w:gridCol w:w="6582"/>
      </w:tblGrid>
      <w:tr>
        <w:trPr>
          <w:trHeight w:val="1640" w:hRule="atLeast"/>
        </w:trPr>
        <w:tc>
          <w:tcPr>
            <w:tcW w:w="2660" w:type="dxa"/>
            <w:shd w:val="clear" w:color="auto" w:fill="FFFFFF"/>
          </w:tcPr>
          <w:p>
            <w:pPr>
              <w:pStyle w:val="TableParagraph"/>
              <w:spacing w:before="128"/>
              <w:rPr>
                <w:rFonts w:ascii="Stone Sans II ITC Std Bk"/>
                <w:b/>
                <w:sz w:val="20"/>
              </w:rPr>
            </w:pPr>
            <w:r>
              <w:rPr>
                <w:rFonts w:ascii="Stone Sans II ITC Std Bk"/>
                <w:b/>
                <w:w w:val="110"/>
                <w:sz w:val="20"/>
              </w:rPr>
              <w:t>Subject and aim(s)</w:t>
            </w:r>
          </w:p>
        </w:tc>
        <w:tc>
          <w:tcPr>
            <w:tcW w:w="6582" w:type="dxa"/>
            <w:shd w:val="clear" w:color="auto" w:fill="FFFFFF"/>
          </w:tcPr>
          <w:p>
            <w:pPr>
              <w:pStyle w:val="TableParagraph"/>
              <w:spacing w:line="235" w:lineRule="auto" w:before="145"/>
              <w:ind w:right="571"/>
              <w:rPr>
                <w:sz w:val="20"/>
              </w:rPr>
            </w:pPr>
            <w:r>
              <w:rPr>
                <w:w w:val="120"/>
                <w:sz w:val="20"/>
              </w:rPr>
              <w:t>The marriage of same-sex couples. </w:t>
            </w:r>
            <w:r>
              <w:rPr>
                <w:spacing w:val="-7"/>
                <w:w w:val="120"/>
                <w:sz w:val="20"/>
              </w:rPr>
              <w:t>To </w:t>
            </w:r>
            <w:r>
              <w:rPr>
                <w:w w:val="120"/>
                <w:sz w:val="20"/>
              </w:rPr>
              <w:t>affirm that the Church as a whole does not have a single view on this matter. In  that light, to consider where appropriate decisions might</w:t>
            </w:r>
            <w:r>
              <w:rPr>
                <w:spacing w:val="14"/>
                <w:w w:val="120"/>
                <w:sz w:val="20"/>
              </w:rPr>
              <w:t> </w:t>
            </w:r>
            <w:r>
              <w:rPr>
                <w:w w:val="120"/>
                <w:sz w:val="20"/>
              </w:rPr>
              <w:t>be</w:t>
            </w:r>
          </w:p>
          <w:p>
            <w:pPr>
              <w:pStyle w:val="TableParagraph"/>
              <w:spacing w:line="235" w:lineRule="auto" w:before="2"/>
              <w:ind w:right="280"/>
              <w:rPr>
                <w:sz w:val="20"/>
              </w:rPr>
            </w:pPr>
            <w:r>
              <w:rPr>
                <w:w w:val="120"/>
                <w:sz w:val="20"/>
              </w:rPr>
              <w:t>taken within the Church about the registration of local church buildings (in England and Wales) and the nomination of celebrants (in Scotland)</w:t>
            </w:r>
          </w:p>
        </w:tc>
      </w:tr>
      <w:tr>
        <w:trPr>
          <w:trHeight w:val="2840" w:hRule="atLeast"/>
        </w:trPr>
        <w:tc>
          <w:tcPr>
            <w:tcW w:w="2660" w:type="dxa"/>
            <w:shd w:val="clear" w:color="auto" w:fill="FFFFFF"/>
          </w:tcPr>
          <w:p>
            <w:pPr>
              <w:pStyle w:val="TableParagraph"/>
              <w:spacing w:before="128"/>
              <w:rPr>
                <w:rFonts w:ascii="Stone Sans II ITC Std Bk"/>
                <w:b/>
                <w:sz w:val="20"/>
              </w:rPr>
            </w:pPr>
            <w:r>
              <w:rPr>
                <w:rFonts w:ascii="Stone Sans II ITC Std Bk"/>
                <w:b/>
                <w:w w:val="110"/>
                <w:sz w:val="20"/>
              </w:rPr>
              <w:t>Main points</w:t>
            </w:r>
          </w:p>
        </w:tc>
        <w:tc>
          <w:tcPr>
            <w:tcW w:w="6582" w:type="dxa"/>
            <w:shd w:val="clear" w:color="auto" w:fill="FFFFFF"/>
          </w:tcPr>
          <w:p>
            <w:pPr>
              <w:pStyle w:val="TableParagraph"/>
              <w:spacing w:line="235" w:lineRule="auto" w:before="145"/>
              <w:ind w:right="804"/>
              <w:rPr>
                <w:sz w:val="20"/>
              </w:rPr>
            </w:pPr>
            <w:r>
              <w:rPr>
                <w:w w:val="120"/>
                <w:sz w:val="20"/>
              </w:rPr>
              <w:t>Affirming that the Church as a whole does not express a single view</w:t>
            </w:r>
          </w:p>
          <w:p>
            <w:pPr>
              <w:pStyle w:val="TableParagraph"/>
              <w:spacing w:before="11"/>
              <w:ind w:left="0"/>
              <w:rPr>
                <w:rFonts w:ascii="Stone Sans II ITC Std Bk"/>
                <w:b/>
                <w:sz w:val="17"/>
              </w:rPr>
            </w:pPr>
          </w:p>
          <w:p>
            <w:pPr>
              <w:pStyle w:val="TableParagraph"/>
              <w:spacing w:line="235" w:lineRule="auto"/>
              <w:ind w:right="396"/>
              <w:rPr>
                <w:sz w:val="20"/>
              </w:rPr>
            </w:pPr>
            <w:r>
              <w:rPr>
                <w:w w:val="120"/>
                <w:sz w:val="20"/>
              </w:rPr>
              <w:t>Declaring that Church Meetings hold a ‘governing authority’ role in this matter in URC congregations in England and Wales</w:t>
            </w:r>
          </w:p>
          <w:p>
            <w:pPr>
              <w:pStyle w:val="TableParagraph"/>
              <w:spacing w:before="12"/>
              <w:ind w:left="0"/>
              <w:rPr>
                <w:rFonts w:ascii="Stone Sans II ITC Std Bk"/>
                <w:b/>
                <w:sz w:val="17"/>
              </w:rPr>
            </w:pPr>
          </w:p>
          <w:p>
            <w:pPr>
              <w:pStyle w:val="TableParagraph"/>
              <w:spacing w:line="235" w:lineRule="auto"/>
              <w:ind w:right="580"/>
              <w:rPr>
                <w:sz w:val="20"/>
              </w:rPr>
            </w:pPr>
            <w:r>
              <w:rPr>
                <w:w w:val="120"/>
                <w:sz w:val="20"/>
              </w:rPr>
              <w:t>Identifying where a ‘governing authority’ role would be held in LEPs and Union Churches in England and Wales</w:t>
            </w:r>
          </w:p>
          <w:p>
            <w:pPr>
              <w:pStyle w:val="TableParagraph"/>
              <w:spacing w:before="12"/>
              <w:ind w:left="0"/>
              <w:rPr>
                <w:rFonts w:ascii="Stone Sans II ITC Std Bk"/>
                <w:b/>
                <w:sz w:val="17"/>
              </w:rPr>
            </w:pPr>
          </w:p>
          <w:p>
            <w:pPr>
              <w:pStyle w:val="TableParagraph"/>
              <w:spacing w:line="235" w:lineRule="auto"/>
              <w:ind w:right="804"/>
              <w:rPr>
                <w:sz w:val="20"/>
              </w:rPr>
            </w:pPr>
            <w:r>
              <w:rPr>
                <w:w w:val="120"/>
                <w:sz w:val="20"/>
              </w:rPr>
              <w:t>Recognising the role of the National Synod to nominate celebrants in Scotland</w:t>
            </w:r>
          </w:p>
        </w:tc>
      </w:tr>
      <w:tr>
        <w:trPr>
          <w:trHeight w:val="1160" w:hRule="atLeast"/>
        </w:trPr>
        <w:tc>
          <w:tcPr>
            <w:tcW w:w="2660" w:type="dxa"/>
            <w:shd w:val="clear" w:color="auto" w:fill="FFFFFF"/>
          </w:tcPr>
          <w:p>
            <w:pPr>
              <w:pStyle w:val="TableParagraph"/>
              <w:spacing w:line="213" w:lineRule="auto" w:before="151"/>
              <w:ind w:right="701"/>
              <w:rPr>
                <w:rFonts w:ascii="Stone Sans II ITC Std Bk"/>
                <w:b/>
                <w:sz w:val="20"/>
              </w:rPr>
            </w:pPr>
            <w:r>
              <w:rPr>
                <w:rFonts w:ascii="Stone Sans II ITC Std Bk"/>
                <w:b/>
                <w:w w:val="110"/>
                <w:sz w:val="20"/>
              </w:rPr>
              <w:t>Previous relevant documents</w:t>
            </w:r>
          </w:p>
        </w:tc>
        <w:tc>
          <w:tcPr>
            <w:tcW w:w="6582" w:type="dxa"/>
            <w:shd w:val="clear" w:color="auto" w:fill="FFFFFF"/>
          </w:tcPr>
          <w:p>
            <w:pPr>
              <w:pStyle w:val="TableParagraph"/>
              <w:spacing w:line="242" w:lineRule="exact" w:before="141"/>
              <w:rPr>
                <w:sz w:val="20"/>
              </w:rPr>
            </w:pPr>
            <w:r>
              <w:rPr>
                <w:w w:val="120"/>
                <w:sz w:val="20"/>
              </w:rPr>
              <w:t>General Assembly, Cardiff 2014:</w:t>
            </w:r>
          </w:p>
          <w:p>
            <w:pPr>
              <w:pStyle w:val="TableParagraph"/>
              <w:spacing w:line="235" w:lineRule="auto" w:before="2"/>
              <w:ind w:right="866"/>
              <w:rPr>
                <w:sz w:val="20"/>
              </w:rPr>
            </w:pPr>
            <w:r>
              <w:rPr>
                <w:w w:val="120"/>
                <w:sz w:val="20"/>
              </w:rPr>
              <w:t>The </w:t>
            </w:r>
            <w:r>
              <w:rPr>
                <w:i/>
                <w:w w:val="120"/>
                <w:sz w:val="20"/>
              </w:rPr>
              <w:t>Record </w:t>
            </w:r>
            <w:r>
              <w:rPr>
                <w:w w:val="120"/>
                <w:sz w:val="20"/>
              </w:rPr>
              <w:t>pages 7, 23 and 25, with Resolution 31. Special meeting of General Assembly, Birmingham 2015:</w:t>
            </w:r>
          </w:p>
          <w:p>
            <w:pPr>
              <w:pStyle w:val="TableParagraph"/>
              <w:spacing w:line="242" w:lineRule="exact"/>
              <w:rPr>
                <w:sz w:val="20"/>
              </w:rPr>
            </w:pPr>
            <w:r>
              <w:rPr>
                <w:i/>
                <w:w w:val="115"/>
                <w:sz w:val="20"/>
              </w:rPr>
              <w:t>Book of Reports </w:t>
            </w:r>
            <w:r>
              <w:rPr>
                <w:w w:val="115"/>
                <w:sz w:val="20"/>
              </w:rPr>
              <w:t>and </w:t>
            </w:r>
            <w:r>
              <w:rPr>
                <w:i/>
                <w:w w:val="115"/>
                <w:sz w:val="20"/>
              </w:rPr>
              <w:t>Record</w:t>
            </w:r>
            <w:r>
              <w:rPr>
                <w:w w:val="115"/>
                <w:sz w:val="20"/>
              </w:rPr>
              <w:t>, particularly resolutions 4, 4A and 5.</w:t>
            </w:r>
          </w:p>
        </w:tc>
      </w:tr>
      <w:tr>
        <w:trPr>
          <w:trHeight w:val="680" w:hRule="atLeast"/>
        </w:trPr>
        <w:tc>
          <w:tcPr>
            <w:tcW w:w="2660" w:type="dxa"/>
            <w:shd w:val="clear" w:color="auto" w:fill="FFFFFF"/>
          </w:tcPr>
          <w:p>
            <w:pPr>
              <w:pStyle w:val="TableParagraph"/>
              <w:spacing w:line="213" w:lineRule="auto" w:before="151"/>
              <w:ind w:right="104"/>
              <w:rPr>
                <w:rFonts w:ascii="Stone Sans II ITC Std Bk"/>
                <w:b/>
                <w:sz w:val="20"/>
              </w:rPr>
            </w:pPr>
            <w:r>
              <w:rPr>
                <w:rFonts w:ascii="Stone Sans II ITC Std Bk"/>
                <w:b/>
                <w:w w:val="110"/>
                <w:sz w:val="20"/>
              </w:rPr>
              <w:t>Consultation has taken place with...</w:t>
            </w:r>
          </w:p>
        </w:tc>
        <w:tc>
          <w:tcPr>
            <w:tcW w:w="6582" w:type="dxa"/>
            <w:shd w:val="clear" w:color="auto" w:fill="FFFFFF"/>
          </w:tcPr>
          <w:p>
            <w:pPr>
              <w:pStyle w:val="TableParagraph"/>
              <w:spacing w:line="235" w:lineRule="auto" w:before="145"/>
              <w:ind w:right="804"/>
              <w:rPr>
                <w:sz w:val="20"/>
              </w:rPr>
            </w:pPr>
            <w:r>
              <w:rPr>
                <w:w w:val="120"/>
                <w:sz w:val="20"/>
              </w:rPr>
              <w:t>Local congregations, synods, Mission Council, the human sexuality task group, the law and polity advisory group</w:t>
            </w:r>
          </w:p>
        </w:tc>
      </w:tr>
    </w:tbl>
    <w:p>
      <w:pPr>
        <w:pStyle w:val="BodyText"/>
        <w:spacing w:before="3"/>
        <w:rPr>
          <w:rFonts w:ascii="Stone Sans II ITC Std Bk"/>
          <w:b/>
          <w:sz w:val="29"/>
        </w:rPr>
      </w:pPr>
    </w:p>
    <w:p>
      <w:pPr>
        <w:pStyle w:val="Heading4"/>
        <w:spacing w:before="1"/>
        <w:ind w:left="1043"/>
      </w:pPr>
      <w:r>
        <w:rPr>
          <w:color w:val="7F7F7F"/>
        </w:rPr>
        <w:t>Summary of Impact</w:t>
      </w:r>
    </w:p>
    <w:tbl>
      <w:tblPr>
        <w:tblW w:w="0" w:type="auto"/>
        <w:jc w:val="left"/>
        <w:tblInd w:w="105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660"/>
        <w:gridCol w:w="6582"/>
      </w:tblGrid>
      <w:tr>
        <w:trPr>
          <w:trHeight w:val="440" w:hRule="atLeast"/>
        </w:trPr>
        <w:tc>
          <w:tcPr>
            <w:tcW w:w="2660" w:type="dxa"/>
            <w:shd w:val="clear" w:color="auto" w:fill="FFFFFF"/>
          </w:tcPr>
          <w:p>
            <w:pPr>
              <w:pStyle w:val="TableParagraph"/>
              <w:spacing w:before="128"/>
              <w:rPr>
                <w:rFonts w:ascii="Stone Sans II ITC Std Bk"/>
                <w:b/>
                <w:sz w:val="20"/>
              </w:rPr>
            </w:pPr>
            <w:r>
              <w:rPr>
                <w:rFonts w:ascii="Stone Sans II ITC Std Bk"/>
                <w:b/>
                <w:w w:val="110"/>
                <w:sz w:val="20"/>
              </w:rPr>
              <w:t>Financial</w:t>
            </w:r>
          </w:p>
        </w:tc>
        <w:tc>
          <w:tcPr>
            <w:tcW w:w="6582" w:type="dxa"/>
            <w:shd w:val="clear" w:color="auto" w:fill="FFFFFF"/>
          </w:tcPr>
          <w:p>
            <w:pPr>
              <w:pStyle w:val="TableParagraph"/>
              <w:spacing w:before="141"/>
              <w:rPr>
                <w:sz w:val="20"/>
              </w:rPr>
            </w:pPr>
            <w:r>
              <w:rPr>
                <w:w w:val="120"/>
                <w:sz w:val="20"/>
              </w:rPr>
              <w:t>None</w:t>
            </w:r>
          </w:p>
        </w:tc>
      </w:tr>
      <w:tr>
        <w:trPr>
          <w:trHeight w:val="680" w:hRule="atLeast"/>
        </w:trPr>
        <w:tc>
          <w:tcPr>
            <w:tcW w:w="2660" w:type="dxa"/>
            <w:shd w:val="clear" w:color="auto" w:fill="FFFFFF"/>
          </w:tcPr>
          <w:p>
            <w:pPr>
              <w:pStyle w:val="TableParagraph"/>
              <w:spacing w:line="255" w:lineRule="exact" w:before="128"/>
              <w:rPr>
                <w:rFonts w:ascii="Stone Sans II ITC Std Bk"/>
                <w:b/>
                <w:sz w:val="20"/>
              </w:rPr>
            </w:pPr>
            <w:r>
              <w:rPr>
                <w:rFonts w:ascii="Stone Sans II ITC Std Bk"/>
                <w:b/>
                <w:w w:val="110"/>
                <w:sz w:val="20"/>
              </w:rPr>
              <w:t>External</w:t>
            </w:r>
          </w:p>
          <w:p>
            <w:pPr>
              <w:pStyle w:val="TableParagraph"/>
              <w:spacing w:line="255" w:lineRule="exact"/>
              <w:rPr>
                <w:rFonts w:ascii="Stone Sans II ITC Std Bk"/>
                <w:b/>
                <w:sz w:val="20"/>
              </w:rPr>
            </w:pPr>
            <w:r>
              <w:rPr>
                <w:rFonts w:ascii="Stone Sans II ITC Std Bk"/>
                <w:b/>
                <w:w w:val="110"/>
                <w:sz w:val="20"/>
              </w:rPr>
              <w:t>(e.g. ecumenical)</w:t>
            </w:r>
          </w:p>
        </w:tc>
        <w:tc>
          <w:tcPr>
            <w:tcW w:w="6582" w:type="dxa"/>
            <w:shd w:val="clear" w:color="auto" w:fill="FFFFFF"/>
          </w:tcPr>
          <w:p>
            <w:pPr>
              <w:pStyle w:val="TableParagraph"/>
              <w:spacing w:line="235" w:lineRule="auto" w:before="145"/>
              <w:rPr>
                <w:sz w:val="20"/>
              </w:rPr>
            </w:pPr>
            <w:r>
              <w:rPr>
                <w:w w:val="120"/>
                <w:sz w:val="20"/>
              </w:rPr>
              <w:t>Other churches in the UK and internationally are also considering this issue, with a wide spectrum of opinions and responses.</w:t>
            </w:r>
          </w:p>
        </w:tc>
      </w:tr>
    </w:tbl>
    <w:p>
      <w:pPr>
        <w:pStyle w:val="BodyText"/>
        <w:rPr>
          <w:rFonts w:ascii="Stone Sans II ITC Std Bk"/>
          <w:b/>
          <w:sz w:val="30"/>
        </w:rPr>
      </w:pPr>
    </w:p>
    <w:p>
      <w:pPr>
        <w:pStyle w:val="BodyText"/>
        <w:rPr>
          <w:rFonts w:ascii="Stone Sans II ITC Std Bk"/>
          <w:b/>
          <w:sz w:val="30"/>
        </w:rPr>
      </w:pPr>
    </w:p>
    <w:p>
      <w:pPr>
        <w:pStyle w:val="BodyText"/>
        <w:rPr>
          <w:rFonts w:ascii="Stone Sans II ITC Std Bk"/>
          <w:b/>
          <w:sz w:val="30"/>
        </w:rPr>
      </w:pPr>
    </w:p>
    <w:p>
      <w:pPr>
        <w:pStyle w:val="BodyText"/>
        <w:rPr>
          <w:rFonts w:ascii="Stone Sans II ITC Std Bk"/>
          <w:b/>
          <w:sz w:val="30"/>
        </w:rPr>
      </w:pPr>
    </w:p>
    <w:p>
      <w:pPr>
        <w:pStyle w:val="BodyText"/>
        <w:rPr>
          <w:rFonts w:ascii="Stone Sans II ITC Std Bk"/>
          <w:b/>
          <w:sz w:val="30"/>
        </w:rPr>
      </w:pPr>
    </w:p>
    <w:p>
      <w:pPr>
        <w:pStyle w:val="BodyText"/>
        <w:rPr>
          <w:rFonts w:ascii="Stone Sans II ITC Std Bk"/>
          <w:b/>
          <w:sz w:val="30"/>
        </w:rPr>
      </w:pPr>
    </w:p>
    <w:p>
      <w:pPr>
        <w:pStyle w:val="BodyText"/>
        <w:spacing w:before="10"/>
        <w:rPr>
          <w:rFonts w:ascii="Stone Sans II ITC Std Bk"/>
          <w:b/>
          <w:sz w:val="37"/>
        </w:rPr>
      </w:pPr>
    </w:p>
    <w:p>
      <w:pPr>
        <w:pStyle w:val="Heading6"/>
        <w:spacing w:before="0"/>
        <w:ind w:left="3818"/>
        <w:rPr>
          <w:rFonts w:ascii="Stone Sans II ITC Std X Bd" w:hAnsi="Stone Sans II ITC Std X Bd"/>
          <w:b/>
          <w:sz w:val="24"/>
        </w:rPr>
      </w:pPr>
      <w:r>
        <w:rPr>
          <w:color w:val="7EAABF"/>
          <w:w w:val="110"/>
        </w:rPr>
        <w:t>United Reformed Church </w:t>
      </w:r>
      <w:r>
        <w:rPr>
          <w:rFonts w:ascii="Symbol" w:hAnsi="Symbol"/>
          <w:color w:val="7EAABF"/>
          <w:w w:val="110"/>
        </w:rPr>
        <w:t></w:t>
      </w:r>
      <w:r>
        <w:rPr>
          <w:rFonts w:ascii="Times New Roman" w:hAnsi="Times New Roman"/>
          <w:color w:val="7EAABF"/>
          <w:w w:val="110"/>
        </w:rPr>
        <w:t> </w:t>
      </w:r>
      <w:r>
        <w:rPr>
          <w:color w:val="7EAABF"/>
          <w:w w:val="110"/>
        </w:rPr>
        <w:t>General Assembly 2016 </w:t>
      </w:r>
      <w:r>
        <w:rPr>
          <w:rFonts w:ascii="Symbol" w:hAnsi="Symbol"/>
          <w:color w:val="7EAABF"/>
          <w:w w:val="110"/>
        </w:rPr>
        <w:t></w:t>
      </w:r>
      <w:r>
        <w:rPr>
          <w:rFonts w:ascii="Times New Roman" w:hAnsi="Times New Roman"/>
          <w:color w:val="7EAABF"/>
          <w:w w:val="110"/>
        </w:rPr>
        <w:t> </w:t>
      </w:r>
      <w:r>
        <w:rPr>
          <w:rFonts w:ascii="Stone Sans II ITC Std X Bd" w:hAnsi="Stone Sans II ITC Std X Bd"/>
          <w:b/>
          <w:w w:val="110"/>
          <w:sz w:val="24"/>
        </w:rPr>
        <w:t>33</w:t>
      </w:r>
    </w:p>
    <w:p>
      <w:pPr>
        <w:spacing w:after="0"/>
        <w:rPr>
          <w:rFonts w:ascii="Stone Sans II ITC Std X Bd" w:hAnsi="Stone Sans II ITC Std X Bd"/>
          <w:sz w:val="24"/>
        </w:rPr>
        <w:sectPr>
          <w:headerReference w:type="default" r:id="rId132"/>
          <w:footerReference w:type="default" r:id="rId133"/>
          <w:pgSz w:w="11910" w:h="16840"/>
          <w:pgMar w:header="0" w:footer="0" w:top="0" w:bottom="0" w:left="700" w:right="0"/>
        </w:sectPr>
      </w:pPr>
    </w:p>
    <w:p>
      <w:pPr>
        <w:pStyle w:val="BodyText"/>
        <w:rPr>
          <w:rFonts w:ascii="Stone Sans II ITC Std X Bd"/>
          <w:b/>
        </w:rPr>
      </w:pPr>
      <w:r>
        <w:rPr/>
        <w:pict>
          <v:line style="position:absolute;mso-position-horizontal-relative:page;mso-position-vertical-relative:page;z-index:251749376" from="595.276001pt,.000015pt" to="595.276001pt,841.890015pt" stroked="true" strokeweight="0pt" strokecolor="#fef4df">
            <v:stroke dashstyle="solid"/>
            <w10:wrap type="none"/>
          </v:line>
        </w:pict>
      </w:r>
      <w:r>
        <w:rPr/>
        <w:drawing>
          <wp:anchor distT="0" distB="0" distL="0" distR="0" allowOverlap="1" layoutInCell="1" locked="0" behindDoc="1" simplePos="0" relativeHeight="235296768">
            <wp:simplePos x="0" y="0"/>
            <wp:positionH relativeFrom="page">
              <wp:posOffset>0</wp:posOffset>
            </wp:positionH>
            <wp:positionV relativeFrom="page">
              <wp:posOffset>0</wp:posOffset>
            </wp:positionV>
            <wp:extent cx="594067" cy="10692003"/>
            <wp:effectExtent l="0" t="0" r="0" b="0"/>
            <wp:wrapNone/>
            <wp:docPr id="55" name="image53.png"/>
            <wp:cNvGraphicFramePr>
              <a:graphicFrameLocks noChangeAspect="1"/>
            </wp:cNvGraphicFramePr>
            <a:graphic>
              <a:graphicData uri="http://schemas.openxmlformats.org/drawingml/2006/picture">
                <pic:pic>
                  <pic:nvPicPr>
                    <pic:cNvPr id="56" name="image53.png"/>
                    <pic:cNvPicPr/>
                  </pic:nvPicPr>
                  <pic:blipFill>
                    <a:blip r:embed="rId100" cstate="print"/>
                    <a:stretch>
                      <a:fillRect/>
                    </a:stretch>
                  </pic:blipFill>
                  <pic:spPr>
                    <a:xfrm>
                      <a:off x="0" y="0"/>
                      <a:ext cx="594067" cy="10692003"/>
                    </a:xfrm>
                    <a:prstGeom prst="rect">
                      <a:avLst/>
                    </a:prstGeom>
                  </pic:spPr>
                </pic:pic>
              </a:graphicData>
            </a:graphic>
          </wp:anchor>
        </w:drawing>
      </w:r>
      <w:r>
        <w:rPr/>
        <w:pict>
          <v:shape style="position:absolute;margin-left:20.519100pt;margin-top:48.890015pt;width:25.9pt;height:349.8pt;mso-position-horizontal-relative:page;mso-position-vertical-relative:page;z-index:-268018688" type="#_x0000_t202" filled="false" stroked="false">
            <v:textbox inset="0,0,0,0" style="layout-flow:vertical">
              <w:txbxContent>
                <w:p>
                  <w:pPr>
                    <w:spacing w:before="27"/>
                    <w:ind w:left="20" w:right="0" w:firstLine="0"/>
                    <w:jc w:val="left"/>
                    <w:rPr>
                      <w:sz w:val="39"/>
                    </w:rPr>
                  </w:pPr>
                  <w:r>
                    <w:rPr>
                      <w:color w:val="FFFFFF"/>
                      <w:w w:val="120"/>
                      <w:sz w:val="39"/>
                    </w:rPr>
                    <w:t>Resolutions referred to synods (D)</w:t>
                  </w:r>
                </w:p>
              </w:txbxContent>
            </v:textbox>
            <w10:wrap type="none"/>
          </v:shape>
        </w:pict>
      </w:r>
    </w:p>
    <w:p>
      <w:pPr>
        <w:pStyle w:val="BodyText"/>
        <w:spacing w:before="7"/>
        <w:rPr>
          <w:rFonts w:ascii="Stone Sans II ITC Std X Bd"/>
          <w:b/>
          <w:sz w:val="16"/>
        </w:rPr>
      </w:pPr>
    </w:p>
    <w:p>
      <w:pPr>
        <w:spacing w:before="101"/>
        <w:ind w:left="547" w:right="0" w:firstLine="0"/>
        <w:jc w:val="left"/>
        <w:rPr>
          <w:sz w:val="28"/>
        </w:rPr>
      </w:pPr>
      <w:r>
        <w:rPr>
          <w:color w:val="7EAABF"/>
          <w:w w:val="110"/>
          <w:sz w:val="28"/>
        </w:rPr>
        <w:t>Mission Council</w:t>
      </w:r>
    </w:p>
    <w:p>
      <w:pPr>
        <w:spacing w:line="213" w:lineRule="auto" w:before="296"/>
        <w:ind w:left="547" w:right="2419" w:firstLine="0"/>
        <w:jc w:val="left"/>
        <w:rPr>
          <w:rFonts w:ascii="Stone Sans II ITC Std X Bd"/>
          <w:b/>
          <w:sz w:val="50"/>
        </w:rPr>
      </w:pPr>
      <w:r>
        <w:rPr>
          <w:rFonts w:ascii="Stone Sans II ITC Std X Bd"/>
          <w:b/>
          <w:spacing w:val="-10"/>
          <w:w w:val="110"/>
          <w:sz w:val="50"/>
        </w:rPr>
        <w:t>Resolutions </w:t>
      </w:r>
      <w:r>
        <w:rPr>
          <w:rFonts w:ascii="Stone Sans II ITC Std X Bd"/>
          <w:b/>
          <w:spacing w:val="-9"/>
          <w:w w:val="110"/>
          <w:sz w:val="50"/>
        </w:rPr>
        <w:t>referred </w:t>
      </w:r>
      <w:r>
        <w:rPr>
          <w:rFonts w:ascii="Stone Sans II ITC Std X Bd"/>
          <w:b/>
          <w:spacing w:val="-10"/>
          <w:w w:val="110"/>
          <w:sz w:val="50"/>
        </w:rPr>
        <w:t>to </w:t>
      </w:r>
      <w:r>
        <w:rPr>
          <w:rFonts w:ascii="Stone Sans II ITC Std X Bd"/>
          <w:b/>
          <w:spacing w:val="-8"/>
          <w:w w:val="110"/>
          <w:sz w:val="50"/>
        </w:rPr>
        <w:t>synods </w:t>
      </w:r>
      <w:r>
        <w:rPr>
          <w:rFonts w:ascii="Stone Sans II ITC Std X Bd"/>
          <w:b/>
          <w:spacing w:val="-24"/>
          <w:w w:val="110"/>
          <w:sz w:val="50"/>
        </w:rPr>
        <w:t>(D): </w:t>
      </w:r>
      <w:r>
        <w:rPr>
          <w:rFonts w:ascii="Stone Sans II ITC Std X Bd"/>
          <w:b/>
          <w:spacing w:val="-8"/>
          <w:w w:val="110"/>
          <w:sz w:val="50"/>
        </w:rPr>
        <w:t>the </w:t>
      </w:r>
      <w:r>
        <w:rPr>
          <w:rFonts w:ascii="Stone Sans II ITC Std X Bd"/>
          <w:b/>
          <w:spacing w:val="-10"/>
          <w:w w:val="110"/>
          <w:sz w:val="50"/>
        </w:rPr>
        <w:t>marriage </w:t>
      </w:r>
      <w:r>
        <w:rPr>
          <w:rFonts w:ascii="Stone Sans II ITC Std X Bd"/>
          <w:b/>
          <w:spacing w:val="-5"/>
          <w:w w:val="110"/>
          <w:sz w:val="50"/>
        </w:rPr>
        <w:t>of </w:t>
      </w:r>
      <w:r>
        <w:rPr>
          <w:rFonts w:ascii="Stone Sans II ITC Std X Bd"/>
          <w:b/>
          <w:spacing w:val="-8"/>
          <w:w w:val="110"/>
          <w:sz w:val="50"/>
        </w:rPr>
        <w:t>same </w:t>
      </w:r>
      <w:r>
        <w:rPr>
          <w:rFonts w:ascii="Stone Sans II ITC Std X Bd"/>
          <w:b/>
          <w:spacing w:val="-6"/>
          <w:w w:val="110"/>
          <w:sz w:val="50"/>
        </w:rPr>
        <w:t>sex </w:t>
      </w:r>
      <w:r>
        <w:rPr>
          <w:rFonts w:ascii="Stone Sans II ITC Std X Bd"/>
          <w:b/>
          <w:spacing w:val="-10"/>
          <w:w w:val="110"/>
          <w:sz w:val="50"/>
        </w:rPr>
        <w:t>couples</w:t>
      </w:r>
    </w:p>
    <w:p>
      <w:pPr>
        <w:pStyle w:val="ListParagraph"/>
        <w:numPr>
          <w:ilvl w:val="0"/>
          <w:numId w:val="14"/>
        </w:numPr>
        <w:tabs>
          <w:tab w:pos="1227" w:val="left" w:leader="none"/>
          <w:tab w:pos="1228" w:val="left" w:leader="none"/>
        </w:tabs>
        <w:spacing w:line="235" w:lineRule="auto" w:before="380" w:after="0"/>
        <w:ind w:left="547" w:right="2105" w:firstLine="0"/>
        <w:jc w:val="left"/>
        <w:rPr>
          <w:sz w:val="20"/>
        </w:rPr>
      </w:pPr>
      <w:r>
        <w:rPr>
          <w:w w:val="120"/>
          <w:sz w:val="20"/>
        </w:rPr>
        <w:t>This resolution was agreed by a majority of 205 votes to </w:t>
      </w:r>
      <w:r>
        <w:rPr>
          <w:spacing w:val="-8"/>
          <w:w w:val="120"/>
          <w:sz w:val="20"/>
        </w:rPr>
        <w:t>14 </w:t>
      </w:r>
      <w:r>
        <w:rPr>
          <w:w w:val="120"/>
          <w:sz w:val="20"/>
        </w:rPr>
        <w:t>at the Birmingham meeting of General Assembly in </w:t>
      </w:r>
      <w:r>
        <w:rPr>
          <w:spacing w:val="-7"/>
          <w:w w:val="120"/>
          <w:sz w:val="20"/>
        </w:rPr>
        <w:t>2015. </w:t>
      </w:r>
      <w:r>
        <w:rPr>
          <w:w w:val="120"/>
          <w:sz w:val="20"/>
        </w:rPr>
        <w:t>That meeting of Assembly further resolved that this matter should be referred to the synods of the Church by the process in Paragraph </w:t>
      </w:r>
      <w:r>
        <w:rPr>
          <w:spacing w:val="-9"/>
          <w:w w:val="120"/>
          <w:sz w:val="20"/>
        </w:rPr>
        <w:t>3(1) </w:t>
      </w:r>
      <w:r>
        <w:rPr>
          <w:w w:val="120"/>
          <w:sz w:val="20"/>
        </w:rPr>
        <w:t>of the</w:t>
      </w:r>
      <w:r>
        <w:rPr>
          <w:spacing w:val="15"/>
          <w:w w:val="120"/>
          <w:sz w:val="20"/>
        </w:rPr>
        <w:t> </w:t>
      </w:r>
      <w:r>
        <w:rPr>
          <w:w w:val="120"/>
          <w:sz w:val="20"/>
        </w:rPr>
        <w:t>Structure.</w:t>
      </w:r>
    </w:p>
    <w:p>
      <w:pPr>
        <w:pStyle w:val="BodyText"/>
        <w:spacing w:before="11"/>
        <w:rPr>
          <w:sz w:val="19"/>
        </w:rPr>
      </w:pPr>
    </w:p>
    <w:p>
      <w:pPr>
        <w:pStyle w:val="ListParagraph"/>
        <w:numPr>
          <w:ilvl w:val="0"/>
          <w:numId w:val="14"/>
        </w:numPr>
        <w:tabs>
          <w:tab w:pos="1227" w:val="left" w:leader="none"/>
          <w:tab w:pos="1228" w:val="left" w:leader="none"/>
        </w:tabs>
        <w:spacing w:line="235" w:lineRule="auto" w:before="0" w:after="0"/>
        <w:ind w:left="547" w:right="2116" w:firstLine="0"/>
        <w:jc w:val="left"/>
        <w:rPr>
          <w:sz w:val="20"/>
        </w:rPr>
      </w:pPr>
      <w:r>
        <w:rPr>
          <w:w w:val="120"/>
          <w:sz w:val="20"/>
        </w:rPr>
        <w:t>All thirteen synods have since had opportunity to consider the resolution. None asked that it ‘be not proceeded</w:t>
      </w:r>
      <w:r>
        <w:rPr>
          <w:spacing w:val="13"/>
          <w:w w:val="120"/>
          <w:sz w:val="20"/>
        </w:rPr>
        <w:t> </w:t>
      </w:r>
      <w:r>
        <w:rPr>
          <w:spacing w:val="-4"/>
          <w:w w:val="120"/>
          <w:sz w:val="20"/>
        </w:rPr>
        <w:t>with’.</w:t>
      </w:r>
    </w:p>
    <w:p>
      <w:pPr>
        <w:pStyle w:val="BodyText"/>
        <w:spacing w:before="9"/>
        <w:rPr>
          <w:sz w:val="19"/>
        </w:rPr>
      </w:pPr>
    </w:p>
    <w:p>
      <w:pPr>
        <w:pStyle w:val="ListParagraph"/>
        <w:numPr>
          <w:ilvl w:val="0"/>
          <w:numId w:val="14"/>
        </w:numPr>
        <w:tabs>
          <w:tab w:pos="1228" w:val="left" w:leader="none"/>
        </w:tabs>
        <w:spacing w:line="235" w:lineRule="auto" w:before="1" w:after="0"/>
        <w:ind w:left="547" w:right="2372" w:firstLine="0"/>
        <w:jc w:val="both"/>
        <w:rPr>
          <w:sz w:val="20"/>
        </w:rPr>
      </w:pPr>
      <w:r>
        <w:rPr>
          <w:w w:val="120"/>
          <w:sz w:val="20"/>
        </w:rPr>
        <w:t>The matter therefore comes to General Assembly, which </w:t>
      </w:r>
      <w:r>
        <w:rPr>
          <w:spacing w:val="-4"/>
          <w:w w:val="120"/>
          <w:sz w:val="20"/>
        </w:rPr>
        <w:t>may, </w:t>
      </w:r>
      <w:r>
        <w:rPr>
          <w:w w:val="120"/>
          <w:sz w:val="20"/>
        </w:rPr>
        <w:t>if it so decides, determine this matter with immediate effect; for this a two-thirds majority would be necessary.</w:t>
      </w:r>
    </w:p>
    <w:p>
      <w:pPr>
        <w:pStyle w:val="BodyText"/>
        <w:spacing w:before="10"/>
        <w:rPr>
          <w:sz w:val="19"/>
        </w:rPr>
      </w:pPr>
    </w:p>
    <w:p>
      <w:pPr>
        <w:pStyle w:val="ListParagraph"/>
        <w:numPr>
          <w:ilvl w:val="0"/>
          <w:numId w:val="14"/>
        </w:numPr>
        <w:tabs>
          <w:tab w:pos="1227" w:val="left" w:leader="none"/>
          <w:tab w:pos="1228" w:val="left" w:leader="none"/>
        </w:tabs>
        <w:spacing w:line="235" w:lineRule="auto" w:before="0" w:after="0"/>
        <w:ind w:left="547" w:right="2012" w:firstLine="0"/>
        <w:jc w:val="left"/>
        <w:rPr>
          <w:sz w:val="20"/>
        </w:rPr>
      </w:pPr>
      <w:r>
        <w:rPr>
          <w:w w:val="120"/>
          <w:sz w:val="20"/>
        </w:rPr>
        <w:t>The matter was brought by the human sexuality task group to the Birmingham Assembly meeting, and their </w:t>
      </w:r>
      <w:r>
        <w:rPr>
          <w:spacing w:val="2"/>
          <w:w w:val="120"/>
          <w:sz w:val="20"/>
        </w:rPr>
        <w:t>report </w:t>
      </w:r>
      <w:r>
        <w:rPr>
          <w:w w:val="120"/>
          <w:sz w:val="20"/>
        </w:rPr>
        <w:t>is on pages </w:t>
      </w:r>
      <w:r>
        <w:rPr>
          <w:spacing w:val="-9"/>
          <w:w w:val="120"/>
          <w:sz w:val="20"/>
        </w:rPr>
        <w:t>9-17 </w:t>
      </w:r>
      <w:r>
        <w:rPr>
          <w:w w:val="120"/>
          <w:sz w:val="20"/>
        </w:rPr>
        <w:t>of the </w:t>
      </w:r>
      <w:r>
        <w:rPr>
          <w:spacing w:val="-7"/>
          <w:w w:val="120"/>
          <w:sz w:val="20"/>
        </w:rPr>
        <w:t>2015 </w:t>
      </w:r>
      <w:r>
        <w:rPr>
          <w:w w:val="120"/>
          <w:sz w:val="20"/>
        </w:rPr>
        <w:t>Assembly </w:t>
      </w:r>
      <w:r>
        <w:rPr>
          <w:spacing w:val="2"/>
          <w:w w:val="120"/>
          <w:sz w:val="20"/>
        </w:rPr>
        <w:t>Reports. </w:t>
      </w:r>
      <w:r>
        <w:rPr>
          <w:w w:val="120"/>
          <w:sz w:val="20"/>
        </w:rPr>
        <w:t>Those pages give a substantial and reasoned background to the present resolution, which may still be of help to some members of Assembly in </w:t>
      </w:r>
      <w:r>
        <w:rPr>
          <w:spacing w:val="-6"/>
          <w:w w:val="120"/>
          <w:sz w:val="20"/>
        </w:rPr>
        <w:t>2016:</w:t>
      </w:r>
      <w:hyperlink r:id="rId115">
        <w:r>
          <w:rPr>
            <w:color w:val="006AB3"/>
            <w:spacing w:val="-6"/>
            <w:w w:val="120"/>
            <w:sz w:val="20"/>
          </w:rPr>
          <w:t> </w:t>
        </w:r>
        <w:r>
          <w:rPr>
            <w:color w:val="006AB3"/>
            <w:spacing w:val="-1"/>
            <w:w w:val="120"/>
            <w:sz w:val="20"/>
          </w:rPr>
          <w:t>http://urc.org.uk/images/General-Assemblies/Assembly-2015/GA-papers-JUNE-2015.pdf</w:t>
        </w:r>
      </w:hyperlink>
    </w:p>
    <w:p>
      <w:pPr>
        <w:pStyle w:val="BodyText"/>
        <w:spacing w:before="12"/>
        <w:rPr>
          <w:sz w:val="19"/>
        </w:rPr>
      </w:pPr>
    </w:p>
    <w:p>
      <w:pPr>
        <w:pStyle w:val="ListParagraph"/>
        <w:numPr>
          <w:ilvl w:val="0"/>
          <w:numId w:val="14"/>
        </w:numPr>
        <w:tabs>
          <w:tab w:pos="1227" w:val="left" w:leader="none"/>
          <w:tab w:pos="1228" w:val="left" w:leader="none"/>
        </w:tabs>
        <w:spacing w:line="235" w:lineRule="auto" w:before="0" w:after="0"/>
        <w:ind w:left="547" w:right="1993" w:firstLine="0"/>
        <w:jc w:val="left"/>
        <w:rPr>
          <w:sz w:val="20"/>
        </w:rPr>
      </w:pPr>
      <w:r>
        <w:rPr>
          <w:w w:val="120"/>
          <w:sz w:val="20"/>
        </w:rPr>
        <w:t>Should General Assembly reach a decision on this matter, it may wish to thank and discharge the human sexuality task group, who have understood their work in the context</w:t>
      </w:r>
      <w:r>
        <w:rPr>
          <w:spacing w:val="5"/>
          <w:w w:val="120"/>
          <w:sz w:val="20"/>
        </w:rPr>
        <w:t> </w:t>
      </w:r>
      <w:r>
        <w:rPr>
          <w:w w:val="120"/>
          <w:sz w:val="20"/>
        </w:rPr>
        <w:t>of</w:t>
      </w:r>
      <w:r>
        <w:rPr>
          <w:spacing w:val="6"/>
          <w:w w:val="120"/>
          <w:sz w:val="20"/>
        </w:rPr>
        <w:t> </w:t>
      </w:r>
      <w:r>
        <w:rPr>
          <w:w w:val="120"/>
          <w:sz w:val="20"/>
        </w:rPr>
        <w:t>recent</w:t>
      </w:r>
      <w:r>
        <w:rPr>
          <w:spacing w:val="6"/>
          <w:w w:val="120"/>
          <w:sz w:val="20"/>
        </w:rPr>
        <w:t> </w:t>
      </w:r>
      <w:r>
        <w:rPr>
          <w:w w:val="120"/>
          <w:sz w:val="20"/>
        </w:rPr>
        <w:t>legislation,</w:t>
      </w:r>
      <w:r>
        <w:rPr>
          <w:spacing w:val="5"/>
          <w:w w:val="120"/>
          <w:sz w:val="20"/>
        </w:rPr>
        <w:t> </w:t>
      </w:r>
      <w:r>
        <w:rPr>
          <w:w w:val="120"/>
          <w:sz w:val="20"/>
        </w:rPr>
        <w:t>and</w:t>
      </w:r>
      <w:r>
        <w:rPr>
          <w:spacing w:val="6"/>
          <w:w w:val="120"/>
          <w:sz w:val="20"/>
        </w:rPr>
        <w:t> </w:t>
      </w:r>
      <w:r>
        <w:rPr>
          <w:w w:val="120"/>
          <w:sz w:val="20"/>
        </w:rPr>
        <w:t>do</w:t>
      </w:r>
      <w:r>
        <w:rPr>
          <w:spacing w:val="6"/>
          <w:w w:val="120"/>
          <w:sz w:val="20"/>
        </w:rPr>
        <w:t> </w:t>
      </w:r>
      <w:r>
        <w:rPr>
          <w:w w:val="120"/>
          <w:sz w:val="20"/>
        </w:rPr>
        <w:t>not</w:t>
      </w:r>
      <w:r>
        <w:rPr>
          <w:spacing w:val="6"/>
          <w:w w:val="120"/>
          <w:sz w:val="20"/>
        </w:rPr>
        <w:t> </w:t>
      </w:r>
      <w:r>
        <w:rPr>
          <w:w w:val="120"/>
          <w:sz w:val="20"/>
        </w:rPr>
        <w:t>expect</w:t>
      </w:r>
      <w:r>
        <w:rPr>
          <w:spacing w:val="5"/>
          <w:w w:val="120"/>
          <w:sz w:val="20"/>
        </w:rPr>
        <w:t> </w:t>
      </w:r>
      <w:r>
        <w:rPr>
          <w:w w:val="120"/>
          <w:sz w:val="20"/>
        </w:rPr>
        <w:t>to</w:t>
      </w:r>
      <w:r>
        <w:rPr>
          <w:spacing w:val="6"/>
          <w:w w:val="120"/>
          <w:sz w:val="20"/>
        </w:rPr>
        <w:t> </w:t>
      </w:r>
      <w:r>
        <w:rPr>
          <w:w w:val="120"/>
          <w:sz w:val="20"/>
        </w:rPr>
        <w:t>be</w:t>
      </w:r>
      <w:r>
        <w:rPr>
          <w:spacing w:val="6"/>
          <w:w w:val="120"/>
          <w:sz w:val="20"/>
        </w:rPr>
        <w:t> </w:t>
      </w:r>
      <w:r>
        <w:rPr>
          <w:w w:val="120"/>
          <w:sz w:val="20"/>
        </w:rPr>
        <w:t>retained</w:t>
      </w:r>
      <w:r>
        <w:rPr>
          <w:spacing w:val="6"/>
          <w:w w:val="120"/>
          <w:sz w:val="20"/>
        </w:rPr>
        <w:t> </w:t>
      </w:r>
      <w:r>
        <w:rPr>
          <w:w w:val="120"/>
          <w:sz w:val="20"/>
        </w:rPr>
        <w:t>as</w:t>
      </w:r>
      <w:r>
        <w:rPr>
          <w:spacing w:val="5"/>
          <w:w w:val="120"/>
          <w:sz w:val="20"/>
        </w:rPr>
        <w:t> </w:t>
      </w:r>
      <w:r>
        <w:rPr>
          <w:w w:val="120"/>
          <w:sz w:val="20"/>
        </w:rPr>
        <w:t>a</w:t>
      </w:r>
      <w:r>
        <w:rPr>
          <w:spacing w:val="6"/>
          <w:w w:val="120"/>
          <w:sz w:val="20"/>
        </w:rPr>
        <w:t> </w:t>
      </w:r>
      <w:r>
        <w:rPr>
          <w:w w:val="120"/>
          <w:sz w:val="20"/>
        </w:rPr>
        <w:t>standing</w:t>
      </w:r>
      <w:r>
        <w:rPr>
          <w:spacing w:val="6"/>
          <w:w w:val="120"/>
          <w:sz w:val="20"/>
        </w:rPr>
        <w:t> </w:t>
      </w:r>
      <w:r>
        <w:rPr>
          <w:w w:val="120"/>
          <w:sz w:val="20"/>
        </w:rPr>
        <w:t>committee.</w:t>
      </w:r>
    </w:p>
    <w:p>
      <w:pPr>
        <w:spacing w:after="0" w:line="235" w:lineRule="auto"/>
        <w:jc w:val="left"/>
        <w:rPr>
          <w:sz w:val="20"/>
        </w:rPr>
        <w:sectPr>
          <w:headerReference w:type="even" r:id="rId134"/>
          <w:footerReference w:type="even" r:id="rId135"/>
          <w:pgSz w:w="11910" w:h="16840"/>
          <w:pgMar w:header="0" w:footer="647" w:top="0" w:bottom="840" w:left="700" w:right="0"/>
          <w:pgNumType w:start="34"/>
        </w:sectPr>
      </w:pPr>
    </w:p>
    <w:p>
      <w:pPr>
        <w:pStyle w:val="BodyText"/>
      </w:pPr>
      <w:r>
        <w:rPr/>
        <w:pict>
          <v:rect style="position:absolute;margin-left:0pt;margin-top:.000015pt;width:549.207pt;height:841.89pt;mso-position-horizontal-relative:page;mso-position-vertical-relative:page;z-index:-268017664" filled="true" fillcolor="#fef4df" stroked="false">
            <v:fill type="solid"/>
            <w10:wrap type="none"/>
          </v:rect>
        </w:pict>
      </w:r>
      <w:r>
        <w:rPr/>
        <w:drawing>
          <wp:anchor distT="0" distB="0" distL="0" distR="0" allowOverlap="1" layoutInCell="1" locked="0" behindDoc="0" simplePos="0" relativeHeight="251753472">
            <wp:simplePos x="0" y="0"/>
            <wp:positionH relativeFrom="page">
              <wp:posOffset>6974928</wp:posOffset>
            </wp:positionH>
            <wp:positionV relativeFrom="page">
              <wp:posOffset>0</wp:posOffset>
            </wp:positionV>
            <wp:extent cx="585063" cy="10692003"/>
            <wp:effectExtent l="0" t="0" r="0" b="0"/>
            <wp:wrapNone/>
            <wp:docPr id="57" name="image27.png"/>
            <wp:cNvGraphicFramePr>
              <a:graphicFrameLocks noChangeAspect="1"/>
            </wp:cNvGraphicFramePr>
            <a:graphic>
              <a:graphicData uri="http://schemas.openxmlformats.org/drawingml/2006/picture">
                <pic:pic>
                  <pic:nvPicPr>
                    <pic:cNvPr id="58" name="image27.png"/>
                    <pic:cNvPicPr/>
                  </pic:nvPicPr>
                  <pic:blipFill>
                    <a:blip r:embed="rId34" cstate="print"/>
                    <a:stretch>
                      <a:fillRect/>
                    </a:stretch>
                  </pic:blipFill>
                  <pic:spPr>
                    <a:xfrm>
                      <a:off x="0" y="0"/>
                      <a:ext cx="585063" cy="10692003"/>
                    </a:xfrm>
                    <a:prstGeom prst="rect">
                      <a:avLst/>
                    </a:prstGeom>
                  </pic:spPr>
                </pic:pic>
              </a:graphicData>
            </a:graphic>
          </wp:anchor>
        </w:drawing>
      </w:r>
    </w:p>
    <w:p>
      <w:pPr>
        <w:pStyle w:val="BodyText"/>
      </w:pPr>
    </w:p>
    <w:p>
      <w:pPr>
        <w:pStyle w:val="BodyText"/>
      </w:pPr>
    </w:p>
    <w:p>
      <w:pPr>
        <w:pStyle w:val="BodyText"/>
        <w:spacing w:before="5"/>
        <w:rPr>
          <w:sz w:val="28"/>
        </w:rPr>
      </w:pPr>
    </w:p>
    <w:p>
      <w:pPr>
        <w:spacing w:line="648" w:lineRule="exact" w:before="97"/>
        <w:ind w:left="1029" w:right="0" w:firstLine="0"/>
        <w:jc w:val="left"/>
        <w:rPr>
          <w:rFonts w:ascii="Stone Sans II ITC Std X Bd"/>
          <w:b/>
          <w:sz w:val="50"/>
        </w:rPr>
      </w:pPr>
      <w:r>
        <w:rPr/>
        <w:pict>
          <v:shape style="position:absolute;margin-left:554.141174pt;margin-top:-5.998084pt;width:25.9pt;height:297pt;mso-position-horizontal-relative:page;mso-position-vertical-relative:paragraph;z-index:251754496" type="#_x0000_t202" filled="false" stroked="false">
            <v:textbox inset="0,0,0,0" style="layout-flow:vertical">
              <w:txbxContent>
                <w:p>
                  <w:pPr>
                    <w:spacing w:before="27"/>
                    <w:ind w:left="20" w:right="0" w:firstLine="0"/>
                    <w:jc w:val="left"/>
                    <w:rPr>
                      <w:sz w:val="39"/>
                    </w:rPr>
                  </w:pPr>
                  <w:r>
                    <w:rPr>
                      <w:color w:val="FFFFFF"/>
                      <w:spacing w:val="8"/>
                      <w:w w:val="120"/>
                      <w:sz w:val="39"/>
                    </w:rPr>
                    <w:t>Presbyterian Church </w:t>
                  </w:r>
                  <w:r>
                    <w:rPr>
                      <w:color w:val="FFFFFF"/>
                      <w:spacing w:val="5"/>
                      <w:w w:val="120"/>
                      <w:sz w:val="39"/>
                    </w:rPr>
                    <w:t>of</w:t>
                  </w:r>
                  <w:r>
                    <w:rPr>
                      <w:color w:val="FFFFFF"/>
                      <w:spacing w:val="101"/>
                      <w:w w:val="120"/>
                      <w:sz w:val="39"/>
                    </w:rPr>
                    <w:t> </w:t>
                  </w:r>
                  <w:r>
                    <w:rPr>
                      <w:color w:val="FFFFFF"/>
                      <w:spacing w:val="9"/>
                      <w:w w:val="120"/>
                      <w:sz w:val="39"/>
                    </w:rPr>
                    <w:t>Kor</w:t>
                  </w:r>
                  <w:hyperlink r:id="rId138">
                    <w:r>
                      <w:rPr>
                        <w:color w:val="FFFFFF"/>
                        <w:spacing w:val="9"/>
                        <w:w w:val="120"/>
                        <w:sz w:val="39"/>
                      </w:rPr>
                      <w:t>ea</w:t>
                    </w:r>
                  </w:hyperlink>
                </w:p>
              </w:txbxContent>
            </v:textbox>
            <w10:wrap type="none"/>
          </v:shape>
        </w:pict>
      </w:r>
      <w:r>
        <w:rPr>
          <w:rFonts w:ascii="Stone Sans II ITC Std X Bd"/>
          <w:b/>
          <w:color w:val="F1B400"/>
          <w:w w:val="110"/>
          <w:sz w:val="50"/>
        </w:rPr>
        <w:t>Mission Council:</w:t>
      </w:r>
    </w:p>
    <w:p>
      <w:pPr>
        <w:spacing w:line="220" w:lineRule="auto" w:before="12"/>
        <w:ind w:left="1029" w:right="1611" w:firstLine="0"/>
        <w:jc w:val="left"/>
        <w:rPr>
          <w:rFonts w:ascii="Stone Sans II ITC Std X Bd"/>
          <w:b/>
          <w:sz w:val="48"/>
        </w:rPr>
      </w:pPr>
      <w:r>
        <w:rPr>
          <w:rFonts w:ascii="Stone Sans II ITC Std X Bd"/>
          <w:b/>
          <w:spacing w:val="-9"/>
          <w:w w:val="115"/>
          <w:sz w:val="48"/>
        </w:rPr>
        <w:t>Memorandum</w:t>
      </w:r>
      <w:r>
        <w:rPr>
          <w:rFonts w:ascii="Stone Sans II ITC Std X Bd"/>
          <w:b/>
          <w:spacing w:val="-98"/>
          <w:w w:val="115"/>
          <w:sz w:val="48"/>
        </w:rPr>
        <w:t> </w:t>
      </w:r>
      <w:r>
        <w:rPr>
          <w:rFonts w:ascii="Stone Sans II ITC Std X Bd"/>
          <w:b/>
          <w:spacing w:val="-5"/>
          <w:w w:val="115"/>
          <w:sz w:val="48"/>
        </w:rPr>
        <w:t>of</w:t>
      </w:r>
      <w:r>
        <w:rPr>
          <w:rFonts w:ascii="Stone Sans II ITC Std X Bd"/>
          <w:b/>
          <w:spacing w:val="-98"/>
          <w:w w:val="115"/>
          <w:sz w:val="48"/>
        </w:rPr>
        <w:t> </w:t>
      </w:r>
      <w:r>
        <w:rPr>
          <w:rFonts w:ascii="Stone Sans II ITC Std X Bd"/>
          <w:b/>
          <w:spacing w:val="-9"/>
          <w:w w:val="115"/>
          <w:sz w:val="48"/>
        </w:rPr>
        <w:t>Understanding </w:t>
      </w:r>
      <w:r>
        <w:rPr>
          <w:rFonts w:ascii="Stone Sans II ITC Std X Bd"/>
          <w:b/>
          <w:spacing w:val="-7"/>
          <w:w w:val="115"/>
          <w:sz w:val="48"/>
        </w:rPr>
        <w:t>between </w:t>
      </w:r>
      <w:r>
        <w:rPr>
          <w:rFonts w:ascii="Stone Sans II ITC Std X Bd"/>
          <w:b/>
          <w:spacing w:val="-8"/>
          <w:w w:val="115"/>
          <w:sz w:val="48"/>
        </w:rPr>
        <w:t>the </w:t>
      </w:r>
      <w:r>
        <w:rPr>
          <w:rFonts w:ascii="Stone Sans II ITC Std X Bd"/>
          <w:b/>
          <w:spacing w:val="-9"/>
          <w:w w:val="115"/>
          <w:sz w:val="48"/>
        </w:rPr>
        <w:t>United Reformed </w:t>
      </w:r>
      <w:r>
        <w:rPr>
          <w:rFonts w:ascii="Stone Sans II ITC Std X Bd"/>
          <w:b/>
          <w:spacing w:val="-10"/>
          <w:w w:val="115"/>
          <w:sz w:val="48"/>
        </w:rPr>
        <w:t>Church </w:t>
      </w:r>
      <w:r>
        <w:rPr>
          <w:rFonts w:ascii="Stone Sans II ITC Std X Bd"/>
          <w:b/>
          <w:spacing w:val="-7"/>
          <w:w w:val="115"/>
          <w:sz w:val="48"/>
        </w:rPr>
        <w:t>and </w:t>
      </w:r>
      <w:r>
        <w:rPr>
          <w:rFonts w:ascii="Stone Sans II ITC Std X Bd"/>
          <w:b/>
          <w:spacing w:val="-8"/>
          <w:w w:val="115"/>
          <w:sz w:val="48"/>
        </w:rPr>
        <w:t>the </w:t>
      </w:r>
      <w:r>
        <w:rPr>
          <w:rFonts w:ascii="Stone Sans II ITC Std X Bd"/>
          <w:b/>
          <w:spacing w:val="-11"/>
          <w:w w:val="115"/>
          <w:sz w:val="48"/>
        </w:rPr>
        <w:t>Presbyterian </w:t>
      </w:r>
      <w:r>
        <w:rPr>
          <w:rFonts w:ascii="Stone Sans II ITC Std X Bd"/>
          <w:b/>
          <w:spacing w:val="-10"/>
          <w:w w:val="115"/>
          <w:sz w:val="48"/>
        </w:rPr>
        <w:t>Church </w:t>
      </w:r>
      <w:r>
        <w:rPr>
          <w:rFonts w:ascii="Stone Sans II ITC Std X Bd"/>
          <w:b/>
          <w:spacing w:val="-5"/>
          <w:w w:val="115"/>
          <w:sz w:val="48"/>
        </w:rPr>
        <w:t>of </w:t>
      </w:r>
      <w:r>
        <w:rPr>
          <w:rFonts w:ascii="Stone Sans II ITC Std X Bd"/>
          <w:b/>
          <w:spacing w:val="-11"/>
          <w:w w:val="115"/>
          <w:sz w:val="48"/>
        </w:rPr>
        <w:t>Korea</w:t>
      </w:r>
    </w:p>
    <w:p>
      <w:pPr>
        <w:pStyle w:val="Heading4"/>
        <w:spacing w:before="336"/>
        <w:ind w:left="1029"/>
      </w:pPr>
      <w:r>
        <w:rPr>
          <w:color w:val="7F7F7F"/>
        </w:rPr>
        <w:t>Basic Information</w:t>
      </w:r>
    </w:p>
    <w:tbl>
      <w:tblPr>
        <w:tblW w:w="0" w:type="auto"/>
        <w:jc w:val="left"/>
        <w:tblInd w:w="103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660"/>
        <w:gridCol w:w="6582"/>
      </w:tblGrid>
      <w:tr>
        <w:trPr>
          <w:trHeight w:val="680" w:hRule="atLeast"/>
        </w:trPr>
        <w:tc>
          <w:tcPr>
            <w:tcW w:w="2660" w:type="dxa"/>
            <w:shd w:val="clear" w:color="auto" w:fill="FFFFFF"/>
          </w:tcPr>
          <w:p>
            <w:pPr>
              <w:pStyle w:val="TableParagraph"/>
              <w:spacing w:line="213" w:lineRule="auto" w:before="151"/>
              <w:ind w:right="595"/>
              <w:rPr>
                <w:rFonts w:ascii="Stone Sans II ITC Std Bk"/>
                <w:b/>
                <w:sz w:val="20"/>
              </w:rPr>
            </w:pPr>
            <w:r>
              <w:rPr>
                <w:rFonts w:ascii="Stone Sans II ITC Std Bk"/>
                <w:b/>
                <w:w w:val="110"/>
                <w:sz w:val="20"/>
              </w:rPr>
              <w:t>Contact name and email address</w:t>
            </w:r>
          </w:p>
        </w:tc>
        <w:tc>
          <w:tcPr>
            <w:tcW w:w="6582" w:type="dxa"/>
            <w:shd w:val="clear" w:color="auto" w:fill="FFFFFF"/>
          </w:tcPr>
          <w:p>
            <w:pPr>
              <w:pStyle w:val="TableParagraph"/>
              <w:spacing w:line="235" w:lineRule="auto" w:before="145"/>
              <w:ind w:right="1443"/>
              <w:rPr>
                <w:sz w:val="20"/>
              </w:rPr>
            </w:pPr>
            <w:r>
              <w:rPr>
                <w:w w:val="120"/>
                <w:sz w:val="20"/>
              </w:rPr>
              <w:t>Tracey Lewis: </w:t>
            </w:r>
            <w:hyperlink r:id="rId139">
              <w:r>
                <w:rPr>
                  <w:color w:val="006AB3"/>
                  <w:w w:val="120"/>
                  <w:sz w:val="20"/>
                </w:rPr>
                <w:t>tracey.a.lewis@btinternet.com</w:t>
              </w:r>
            </w:hyperlink>
            <w:r>
              <w:rPr>
                <w:color w:val="006AB3"/>
                <w:w w:val="120"/>
                <w:sz w:val="20"/>
              </w:rPr>
              <w:t> </w:t>
            </w:r>
            <w:r>
              <w:rPr>
                <w:w w:val="120"/>
                <w:sz w:val="20"/>
              </w:rPr>
              <w:t>Michael Jagessar: </w:t>
            </w:r>
            <w:hyperlink r:id="rId138">
              <w:r>
                <w:rPr>
                  <w:color w:val="006AB3"/>
                  <w:w w:val="120"/>
                  <w:sz w:val="20"/>
                </w:rPr>
                <w:t>michael.jagessar@urc.org.uk</w:t>
              </w:r>
            </w:hyperlink>
          </w:p>
        </w:tc>
      </w:tr>
      <w:tr>
        <w:trPr>
          <w:trHeight w:val="440" w:hRule="atLeast"/>
        </w:trPr>
        <w:tc>
          <w:tcPr>
            <w:tcW w:w="2660" w:type="dxa"/>
            <w:shd w:val="clear" w:color="auto" w:fill="FFFFFF"/>
          </w:tcPr>
          <w:p>
            <w:pPr>
              <w:pStyle w:val="TableParagraph"/>
              <w:spacing w:before="128"/>
              <w:rPr>
                <w:rFonts w:ascii="Stone Sans II ITC Std Bk"/>
                <w:b/>
                <w:sz w:val="20"/>
              </w:rPr>
            </w:pPr>
            <w:r>
              <w:rPr>
                <w:rFonts w:ascii="Stone Sans II ITC Std Bk"/>
                <w:b/>
                <w:w w:val="110"/>
                <w:sz w:val="20"/>
              </w:rPr>
              <w:t>Action required</w:t>
            </w:r>
          </w:p>
        </w:tc>
        <w:tc>
          <w:tcPr>
            <w:tcW w:w="6582" w:type="dxa"/>
            <w:shd w:val="clear" w:color="auto" w:fill="FFFFFF"/>
          </w:tcPr>
          <w:p>
            <w:pPr>
              <w:pStyle w:val="TableParagraph"/>
              <w:spacing w:before="141"/>
              <w:rPr>
                <w:sz w:val="20"/>
              </w:rPr>
            </w:pPr>
            <w:r>
              <w:rPr>
                <w:w w:val="120"/>
                <w:sz w:val="20"/>
              </w:rPr>
              <w:t>Take note</w:t>
            </w:r>
          </w:p>
        </w:tc>
      </w:tr>
      <w:tr>
        <w:trPr>
          <w:trHeight w:val="440" w:hRule="atLeast"/>
        </w:trPr>
        <w:tc>
          <w:tcPr>
            <w:tcW w:w="2660" w:type="dxa"/>
            <w:shd w:val="clear" w:color="auto" w:fill="FFFFFF"/>
          </w:tcPr>
          <w:p>
            <w:pPr>
              <w:pStyle w:val="TableParagraph"/>
              <w:spacing w:before="128"/>
              <w:rPr>
                <w:rFonts w:ascii="Stone Sans II ITC Std Bk"/>
                <w:b/>
                <w:sz w:val="20"/>
              </w:rPr>
            </w:pPr>
            <w:r>
              <w:rPr>
                <w:rFonts w:ascii="Stone Sans II ITC Std Bk"/>
                <w:b/>
                <w:w w:val="110"/>
                <w:sz w:val="20"/>
              </w:rPr>
              <w:t>Draft resolution(s)</w:t>
            </w:r>
          </w:p>
        </w:tc>
        <w:tc>
          <w:tcPr>
            <w:tcW w:w="6582" w:type="dxa"/>
            <w:shd w:val="clear" w:color="auto" w:fill="FFFFFF"/>
          </w:tcPr>
          <w:p>
            <w:pPr>
              <w:pStyle w:val="TableParagraph"/>
              <w:spacing w:before="128"/>
              <w:rPr>
                <w:rFonts w:ascii="Stone Sans II ITC Std Bk"/>
                <w:b/>
                <w:sz w:val="20"/>
              </w:rPr>
            </w:pPr>
            <w:r>
              <w:rPr>
                <w:rFonts w:ascii="Stone Sans II ITC Std Bk"/>
                <w:b/>
                <w:w w:val="110"/>
                <w:sz w:val="20"/>
              </w:rPr>
              <w:t>None</w:t>
            </w:r>
          </w:p>
        </w:tc>
      </w:tr>
    </w:tbl>
    <w:p>
      <w:pPr>
        <w:pStyle w:val="BodyText"/>
        <w:spacing w:before="3"/>
        <w:rPr>
          <w:rFonts w:ascii="Stone Sans II ITC Std Bk"/>
          <w:b/>
          <w:sz w:val="29"/>
        </w:rPr>
      </w:pPr>
    </w:p>
    <w:p>
      <w:pPr>
        <w:pStyle w:val="Heading4"/>
        <w:ind w:left="1029"/>
      </w:pPr>
      <w:r>
        <w:rPr>
          <w:color w:val="7F7F7F"/>
        </w:rPr>
        <w:t>Summary of Content</w:t>
      </w:r>
    </w:p>
    <w:tbl>
      <w:tblPr>
        <w:tblW w:w="0" w:type="auto"/>
        <w:jc w:val="left"/>
        <w:tblInd w:w="103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660"/>
        <w:gridCol w:w="6582"/>
      </w:tblGrid>
      <w:tr>
        <w:trPr>
          <w:trHeight w:val="680" w:hRule="atLeast"/>
        </w:trPr>
        <w:tc>
          <w:tcPr>
            <w:tcW w:w="2660" w:type="dxa"/>
            <w:shd w:val="clear" w:color="auto" w:fill="FFFFFF"/>
          </w:tcPr>
          <w:p>
            <w:pPr>
              <w:pStyle w:val="TableParagraph"/>
              <w:spacing w:before="128"/>
              <w:rPr>
                <w:rFonts w:ascii="Stone Sans II ITC Std Bk"/>
                <w:b/>
                <w:sz w:val="20"/>
              </w:rPr>
            </w:pPr>
            <w:r>
              <w:rPr>
                <w:rFonts w:ascii="Stone Sans II ITC Std Bk"/>
                <w:b/>
                <w:w w:val="110"/>
                <w:sz w:val="20"/>
              </w:rPr>
              <w:t>Subject and aim(s)</w:t>
            </w:r>
          </w:p>
        </w:tc>
        <w:tc>
          <w:tcPr>
            <w:tcW w:w="6582" w:type="dxa"/>
            <w:shd w:val="clear" w:color="auto" w:fill="FFFFFF"/>
          </w:tcPr>
          <w:p>
            <w:pPr>
              <w:pStyle w:val="TableParagraph"/>
              <w:spacing w:line="235" w:lineRule="auto" w:before="145"/>
              <w:rPr>
                <w:sz w:val="20"/>
              </w:rPr>
            </w:pPr>
            <w:r>
              <w:rPr>
                <w:w w:val="120"/>
                <w:sz w:val="20"/>
              </w:rPr>
              <w:t>Memorandum of understanding between the United Reformed Church (URC) and the Presbyterian Church of Korean (PCK)</w:t>
            </w:r>
          </w:p>
        </w:tc>
      </w:tr>
      <w:tr>
        <w:trPr>
          <w:trHeight w:val="2120" w:hRule="atLeast"/>
        </w:trPr>
        <w:tc>
          <w:tcPr>
            <w:tcW w:w="2660" w:type="dxa"/>
            <w:shd w:val="clear" w:color="auto" w:fill="FFFFFF"/>
          </w:tcPr>
          <w:p>
            <w:pPr>
              <w:pStyle w:val="TableParagraph"/>
              <w:spacing w:before="128"/>
              <w:rPr>
                <w:rFonts w:ascii="Stone Sans II ITC Std Bk"/>
                <w:b/>
                <w:sz w:val="20"/>
              </w:rPr>
            </w:pPr>
            <w:r>
              <w:rPr>
                <w:rFonts w:ascii="Stone Sans II ITC Std Bk"/>
                <w:b/>
                <w:w w:val="110"/>
                <w:sz w:val="20"/>
              </w:rPr>
              <w:t>Main points</w:t>
            </w:r>
          </w:p>
        </w:tc>
        <w:tc>
          <w:tcPr>
            <w:tcW w:w="6582" w:type="dxa"/>
            <w:shd w:val="clear" w:color="auto" w:fill="FFFFFF"/>
          </w:tcPr>
          <w:p>
            <w:pPr>
              <w:pStyle w:val="TableParagraph"/>
              <w:spacing w:line="235" w:lineRule="auto" w:before="145"/>
              <w:ind w:right="83"/>
              <w:rPr>
                <w:sz w:val="20"/>
              </w:rPr>
            </w:pPr>
            <w:r>
              <w:rPr>
                <w:w w:val="120"/>
                <w:sz w:val="20"/>
              </w:rPr>
              <w:t>The changing landscapes in which the URC and PCK find themselves have resulted in a growing and significant partnership. The momentum and the opportunities before both Churches suggest the need to continue to work intentionally to grow and deepen the relationship between our  Churches,  so that mission and ministry are undertaken in partnership between our Churches (in both South Korea and the UK) for the sake of God’s mission in the</w:t>
            </w:r>
            <w:r>
              <w:rPr>
                <w:spacing w:val="9"/>
                <w:w w:val="120"/>
                <w:sz w:val="20"/>
              </w:rPr>
              <w:t> </w:t>
            </w:r>
            <w:r>
              <w:rPr>
                <w:w w:val="120"/>
                <w:sz w:val="20"/>
              </w:rPr>
              <w:t>world</w:t>
            </w:r>
          </w:p>
        </w:tc>
      </w:tr>
      <w:tr>
        <w:trPr>
          <w:trHeight w:val="680" w:hRule="atLeast"/>
        </w:trPr>
        <w:tc>
          <w:tcPr>
            <w:tcW w:w="2660" w:type="dxa"/>
            <w:shd w:val="clear" w:color="auto" w:fill="FFFFFF"/>
          </w:tcPr>
          <w:p>
            <w:pPr>
              <w:pStyle w:val="TableParagraph"/>
              <w:spacing w:line="213" w:lineRule="auto" w:before="151"/>
              <w:ind w:right="701"/>
              <w:rPr>
                <w:rFonts w:ascii="Stone Sans II ITC Std Bk"/>
                <w:b/>
                <w:sz w:val="20"/>
              </w:rPr>
            </w:pPr>
            <w:r>
              <w:rPr>
                <w:rFonts w:ascii="Stone Sans II ITC Std Bk"/>
                <w:b/>
                <w:w w:val="110"/>
                <w:sz w:val="20"/>
              </w:rPr>
              <w:t>Previous relevant documents</w:t>
            </w:r>
          </w:p>
        </w:tc>
        <w:tc>
          <w:tcPr>
            <w:tcW w:w="6582" w:type="dxa"/>
            <w:shd w:val="clear" w:color="auto" w:fill="FFFFFF"/>
          </w:tcPr>
          <w:p>
            <w:pPr>
              <w:pStyle w:val="TableParagraph"/>
              <w:spacing w:before="141"/>
              <w:rPr>
                <w:sz w:val="20"/>
              </w:rPr>
            </w:pPr>
            <w:r>
              <w:rPr>
                <w:w w:val="120"/>
                <w:sz w:val="20"/>
              </w:rPr>
              <w:t>None</w:t>
            </w:r>
          </w:p>
        </w:tc>
      </w:tr>
      <w:tr>
        <w:trPr>
          <w:trHeight w:val="1640" w:hRule="atLeast"/>
        </w:trPr>
        <w:tc>
          <w:tcPr>
            <w:tcW w:w="2660" w:type="dxa"/>
            <w:shd w:val="clear" w:color="auto" w:fill="FFFFFF"/>
          </w:tcPr>
          <w:p>
            <w:pPr>
              <w:pStyle w:val="TableParagraph"/>
              <w:spacing w:line="213" w:lineRule="auto" w:before="151"/>
              <w:ind w:right="104"/>
              <w:rPr>
                <w:rFonts w:ascii="Stone Sans II ITC Std Bk"/>
                <w:b/>
                <w:sz w:val="20"/>
              </w:rPr>
            </w:pPr>
            <w:r>
              <w:rPr>
                <w:rFonts w:ascii="Stone Sans II ITC Std Bk"/>
                <w:b/>
                <w:w w:val="110"/>
                <w:sz w:val="20"/>
              </w:rPr>
              <w:t>Consultation has taken place with...</w:t>
            </w:r>
          </w:p>
        </w:tc>
        <w:tc>
          <w:tcPr>
            <w:tcW w:w="6582" w:type="dxa"/>
            <w:shd w:val="clear" w:color="auto" w:fill="FFFFFF"/>
          </w:tcPr>
          <w:p>
            <w:pPr>
              <w:pStyle w:val="TableParagraph"/>
              <w:spacing w:line="235" w:lineRule="auto" w:before="145"/>
              <w:ind w:right="4139"/>
              <w:rPr>
                <w:sz w:val="20"/>
              </w:rPr>
            </w:pPr>
            <w:r>
              <w:rPr>
                <w:w w:val="120"/>
                <w:sz w:val="20"/>
              </w:rPr>
              <w:t>Mission committee Ministries</w:t>
            </w:r>
          </w:p>
          <w:p>
            <w:pPr>
              <w:pStyle w:val="TableParagraph"/>
              <w:spacing w:line="240" w:lineRule="exact"/>
              <w:rPr>
                <w:sz w:val="20"/>
              </w:rPr>
            </w:pPr>
            <w:r>
              <w:rPr>
                <w:w w:val="120"/>
                <w:sz w:val="20"/>
              </w:rPr>
              <w:t>General Secretary</w:t>
            </w:r>
          </w:p>
          <w:p>
            <w:pPr>
              <w:pStyle w:val="TableParagraph"/>
              <w:spacing w:line="235" w:lineRule="auto" w:before="2"/>
              <w:ind w:right="580"/>
              <w:rPr>
                <w:sz w:val="20"/>
              </w:rPr>
            </w:pPr>
            <w:r>
              <w:rPr>
                <w:w w:val="120"/>
                <w:sz w:val="20"/>
              </w:rPr>
              <w:t>URC Korean Ministers, Ministers of Kingston, New Malden and Bristol Korean/Redland Park URC and Bournemouth International Church</w:t>
            </w:r>
          </w:p>
        </w:tc>
      </w:tr>
    </w:tbl>
    <w:p>
      <w:pPr>
        <w:pStyle w:val="BodyText"/>
        <w:spacing w:before="4"/>
        <w:rPr>
          <w:rFonts w:ascii="Stone Sans II ITC Std Bk"/>
          <w:b/>
          <w:sz w:val="29"/>
        </w:rPr>
      </w:pPr>
    </w:p>
    <w:p>
      <w:pPr>
        <w:pStyle w:val="Heading4"/>
        <w:ind w:left="1029"/>
      </w:pPr>
      <w:r>
        <w:rPr>
          <w:color w:val="7F7F7F"/>
        </w:rPr>
        <w:t>Summary of Impact</w:t>
      </w:r>
    </w:p>
    <w:tbl>
      <w:tblPr>
        <w:tblW w:w="0" w:type="auto"/>
        <w:jc w:val="left"/>
        <w:tblInd w:w="103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660"/>
        <w:gridCol w:w="6582"/>
      </w:tblGrid>
      <w:tr>
        <w:trPr>
          <w:trHeight w:val="680" w:hRule="atLeast"/>
        </w:trPr>
        <w:tc>
          <w:tcPr>
            <w:tcW w:w="2660" w:type="dxa"/>
            <w:shd w:val="clear" w:color="auto" w:fill="FFFFFF"/>
          </w:tcPr>
          <w:p>
            <w:pPr>
              <w:pStyle w:val="TableParagraph"/>
              <w:spacing w:before="128"/>
              <w:rPr>
                <w:rFonts w:ascii="Stone Sans II ITC Std Bk"/>
                <w:b/>
                <w:sz w:val="20"/>
              </w:rPr>
            </w:pPr>
            <w:r>
              <w:rPr>
                <w:rFonts w:ascii="Stone Sans II ITC Std Bk"/>
                <w:b/>
                <w:w w:val="110"/>
                <w:sz w:val="20"/>
              </w:rPr>
              <w:t>Financial</w:t>
            </w:r>
          </w:p>
        </w:tc>
        <w:tc>
          <w:tcPr>
            <w:tcW w:w="6582" w:type="dxa"/>
            <w:shd w:val="clear" w:color="auto" w:fill="FFFFFF"/>
          </w:tcPr>
          <w:p>
            <w:pPr>
              <w:pStyle w:val="TableParagraph"/>
              <w:spacing w:line="235" w:lineRule="auto" w:before="145"/>
              <w:ind w:right="1099"/>
              <w:rPr>
                <w:sz w:val="20"/>
              </w:rPr>
            </w:pPr>
            <w:r>
              <w:rPr>
                <w:w w:val="120"/>
                <w:sz w:val="20"/>
              </w:rPr>
              <w:t>Potential sharing of mission partners will have financial implications</w:t>
            </w:r>
          </w:p>
        </w:tc>
      </w:tr>
      <w:tr>
        <w:trPr>
          <w:trHeight w:val="920" w:hRule="atLeast"/>
        </w:trPr>
        <w:tc>
          <w:tcPr>
            <w:tcW w:w="2660" w:type="dxa"/>
            <w:shd w:val="clear" w:color="auto" w:fill="FFFFFF"/>
          </w:tcPr>
          <w:p>
            <w:pPr>
              <w:pStyle w:val="TableParagraph"/>
              <w:spacing w:line="255" w:lineRule="exact" w:before="128"/>
              <w:rPr>
                <w:rFonts w:ascii="Stone Sans II ITC Std Bk"/>
                <w:b/>
                <w:sz w:val="20"/>
              </w:rPr>
            </w:pPr>
            <w:r>
              <w:rPr>
                <w:rFonts w:ascii="Stone Sans II ITC Std Bk"/>
                <w:b/>
                <w:w w:val="110"/>
                <w:sz w:val="20"/>
              </w:rPr>
              <w:t>External</w:t>
            </w:r>
          </w:p>
          <w:p>
            <w:pPr>
              <w:pStyle w:val="TableParagraph"/>
              <w:spacing w:line="255" w:lineRule="exact"/>
              <w:rPr>
                <w:rFonts w:ascii="Stone Sans II ITC Std Bk"/>
                <w:b/>
                <w:sz w:val="20"/>
              </w:rPr>
            </w:pPr>
            <w:r>
              <w:rPr>
                <w:rFonts w:ascii="Stone Sans II ITC Std Bk"/>
                <w:b/>
                <w:w w:val="110"/>
                <w:sz w:val="20"/>
              </w:rPr>
              <w:t>(e.g. ecumenical)</w:t>
            </w:r>
          </w:p>
        </w:tc>
        <w:tc>
          <w:tcPr>
            <w:tcW w:w="6582" w:type="dxa"/>
            <w:shd w:val="clear" w:color="auto" w:fill="FFFFFF"/>
          </w:tcPr>
          <w:p>
            <w:pPr>
              <w:pStyle w:val="TableParagraph"/>
              <w:spacing w:line="235" w:lineRule="auto" w:before="145"/>
              <w:ind w:right="280"/>
              <w:rPr>
                <w:sz w:val="20"/>
              </w:rPr>
            </w:pPr>
            <w:r>
              <w:rPr>
                <w:w w:val="120"/>
                <w:sz w:val="20"/>
              </w:rPr>
              <w:t>The memorandum may lead to a new way of sharing resources for cutting edge ministry. As such it could provide a model that could have wider ecumenical implications.</w:t>
            </w:r>
          </w:p>
        </w:tc>
      </w:tr>
    </w:tbl>
    <w:p>
      <w:pPr>
        <w:pStyle w:val="BodyText"/>
        <w:rPr>
          <w:rFonts w:ascii="Stone Sans II ITC Std Bk"/>
          <w:b/>
          <w:sz w:val="30"/>
        </w:rPr>
      </w:pPr>
    </w:p>
    <w:p>
      <w:pPr>
        <w:pStyle w:val="BodyText"/>
        <w:rPr>
          <w:rFonts w:ascii="Stone Sans II ITC Std Bk"/>
          <w:b/>
          <w:sz w:val="30"/>
        </w:rPr>
      </w:pPr>
    </w:p>
    <w:p>
      <w:pPr>
        <w:pStyle w:val="BodyText"/>
        <w:spacing w:before="13"/>
        <w:rPr>
          <w:rFonts w:ascii="Stone Sans II ITC Std Bk"/>
          <w:b/>
          <w:sz w:val="31"/>
        </w:rPr>
      </w:pPr>
    </w:p>
    <w:p>
      <w:pPr>
        <w:pStyle w:val="Heading6"/>
        <w:spacing w:before="0"/>
        <w:ind w:left="3822"/>
        <w:rPr>
          <w:rFonts w:ascii="Stone Sans II ITC Std X Bd" w:hAnsi="Stone Sans II ITC Std X Bd"/>
          <w:b/>
          <w:sz w:val="24"/>
        </w:rPr>
      </w:pPr>
      <w:r>
        <w:rPr>
          <w:color w:val="7EAABF"/>
          <w:w w:val="110"/>
        </w:rPr>
        <w:t>United Reformed Church </w:t>
      </w:r>
      <w:r>
        <w:rPr>
          <w:rFonts w:ascii="Symbol" w:hAnsi="Symbol"/>
          <w:color w:val="7EAABF"/>
          <w:w w:val="110"/>
        </w:rPr>
        <w:t></w:t>
      </w:r>
      <w:r>
        <w:rPr>
          <w:rFonts w:ascii="Times New Roman" w:hAnsi="Times New Roman"/>
          <w:color w:val="7EAABF"/>
          <w:w w:val="110"/>
        </w:rPr>
        <w:t> </w:t>
      </w:r>
      <w:r>
        <w:rPr>
          <w:color w:val="7EAABF"/>
          <w:w w:val="110"/>
        </w:rPr>
        <w:t>General Assembly 2016 </w:t>
      </w:r>
      <w:r>
        <w:rPr>
          <w:rFonts w:ascii="Symbol" w:hAnsi="Symbol"/>
          <w:color w:val="7EAABF"/>
          <w:w w:val="110"/>
        </w:rPr>
        <w:t></w:t>
      </w:r>
      <w:r>
        <w:rPr>
          <w:rFonts w:ascii="Times New Roman" w:hAnsi="Times New Roman"/>
          <w:color w:val="7EAABF"/>
          <w:w w:val="110"/>
        </w:rPr>
        <w:t> </w:t>
      </w:r>
      <w:r>
        <w:rPr>
          <w:rFonts w:ascii="Stone Sans II ITC Std X Bd" w:hAnsi="Stone Sans II ITC Std X Bd"/>
          <w:b/>
          <w:w w:val="110"/>
          <w:sz w:val="24"/>
        </w:rPr>
        <w:t>35</w:t>
      </w:r>
    </w:p>
    <w:p>
      <w:pPr>
        <w:spacing w:after="0"/>
        <w:rPr>
          <w:rFonts w:ascii="Stone Sans II ITC Std X Bd" w:hAnsi="Stone Sans II ITC Std X Bd"/>
          <w:sz w:val="24"/>
        </w:rPr>
        <w:sectPr>
          <w:headerReference w:type="default" r:id="rId136"/>
          <w:footerReference w:type="default" r:id="rId137"/>
          <w:pgSz w:w="11910" w:h="16840"/>
          <w:pgMar w:header="0" w:footer="0" w:top="0" w:bottom="0" w:left="700" w:right="0"/>
        </w:sectPr>
      </w:pPr>
    </w:p>
    <w:p>
      <w:pPr>
        <w:pStyle w:val="BodyText"/>
        <w:rPr>
          <w:rFonts w:ascii="Stone Sans II ITC Std X Bd"/>
          <w:b/>
        </w:rPr>
      </w:pPr>
      <w:r>
        <w:rPr/>
        <w:drawing>
          <wp:anchor distT="0" distB="0" distL="0" distR="0" allowOverlap="1" layoutInCell="1" locked="0" behindDoc="1" simplePos="0" relativeHeight="235301888">
            <wp:simplePos x="0" y="0"/>
            <wp:positionH relativeFrom="page">
              <wp:posOffset>0</wp:posOffset>
            </wp:positionH>
            <wp:positionV relativeFrom="page">
              <wp:posOffset>0</wp:posOffset>
            </wp:positionV>
            <wp:extent cx="594067" cy="10692003"/>
            <wp:effectExtent l="0" t="0" r="0" b="0"/>
            <wp:wrapNone/>
            <wp:docPr id="59" name="image51.png"/>
            <wp:cNvGraphicFramePr>
              <a:graphicFrameLocks noChangeAspect="1"/>
            </wp:cNvGraphicFramePr>
            <a:graphic>
              <a:graphicData uri="http://schemas.openxmlformats.org/drawingml/2006/picture">
                <pic:pic>
                  <pic:nvPicPr>
                    <pic:cNvPr id="60" name="image51.png"/>
                    <pic:cNvPicPr/>
                  </pic:nvPicPr>
                  <pic:blipFill>
                    <a:blip r:embed="rId64" cstate="print"/>
                    <a:stretch>
                      <a:fillRect/>
                    </a:stretch>
                  </pic:blipFill>
                  <pic:spPr>
                    <a:xfrm>
                      <a:off x="0" y="0"/>
                      <a:ext cx="594067" cy="10692003"/>
                    </a:xfrm>
                    <a:prstGeom prst="rect">
                      <a:avLst/>
                    </a:prstGeom>
                  </pic:spPr>
                </pic:pic>
              </a:graphicData>
            </a:graphic>
          </wp:anchor>
        </w:drawing>
      </w:r>
      <w:r>
        <w:rPr/>
        <w:pict>
          <v:shape style="position:absolute;margin-left:20.519100pt;margin-top:48.890015pt;width:25.9pt;height:297pt;mso-position-horizontal-relative:page;mso-position-vertical-relative:page;z-index:-268013568" type="#_x0000_t202" filled="false" stroked="false">
            <v:textbox inset="0,0,0,0" style="layout-flow:vertical">
              <w:txbxContent>
                <w:p>
                  <w:pPr>
                    <w:spacing w:before="27"/>
                    <w:ind w:left="20" w:right="0" w:firstLine="0"/>
                    <w:jc w:val="left"/>
                    <w:rPr>
                      <w:sz w:val="39"/>
                    </w:rPr>
                  </w:pPr>
                  <w:r>
                    <w:rPr>
                      <w:color w:val="FFFFFF"/>
                      <w:spacing w:val="8"/>
                      <w:w w:val="120"/>
                      <w:sz w:val="39"/>
                    </w:rPr>
                    <w:t>Presbyterian Church </w:t>
                  </w:r>
                  <w:r>
                    <w:rPr>
                      <w:color w:val="FFFFFF"/>
                      <w:spacing w:val="5"/>
                      <w:w w:val="120"/>
                      <w:sz w:val="39"/>
                    </w:rPr>
                    <w:t>of</w:t>
                  </w:r>
                  <w:r>
                    <w:rPr>
                      <w:color w:val="FFFFFF"/>
                      <w:spacing w:val="101"/>
                      <w:w w:val="120"/>
                      <w:sz w:val="39"/>
                    </w:rPr>
                    <w:t> </w:t>
                  </w:r>
                  <w:r>
                    <w:rPr>
                      <w:color w:val="FFFFFF"/>
                      <w:spacing w:val="9"/>
                      <w:w w:val="120"/>
                      <w:sz w:val="39"/>
                    </w:rPr>
                    <w:t>Korea</w:t>
                  </w:r>
                </w:p>
              </w:txbxContent>
            </v:textbox>
            <w10:wrap type="none"/>
          </v:shape>
        </w:pict>
      </w:r>
    </w:p>
    <w:p>
      <w:pPr>
        <w:pStyle w:val="BodyText"/>
        <w:spacing w:before="7"/>
        <w:rPr>
          <w:rFonts w:ascii="Stone Sans II ITC Std X Bd"/>
          <w:b/>
          <w:sz w:val="17"/>
        </w:rPr>
      </w:pPr>
    </w:p>
    <w:p>
      <w:pPr>
        <w:spacing w:before="107"/>
        <w:ind w:left="547" w:right="0" w:firstLine="0"/>
        <w:jc w:val="left"/>
        <w:rPr>
          <w:sz w:val="26"/>
        </w:rPr>
      </w:pPr>
      <w:r>
        <w:rPr>
          <w:color w:val="7EAABF"/>
          <w:w w:val="120"/>
          <w:sz w:val="26"/>
        </w:rPr>
        <w:t>Mission Council</w:t>
      </w:r>
    </w:p>
    <w:p>
      <w:pPr>
        <w:pStyle w:val="BodyText"/>
        <w:spacing w:before="8"/>
        <w:rPr>
          <w:sz w:val="24"/>
        </w:rPr>
      </w:pPr>
    </w:p>
    <w:p>
      <w:pPr>
        <w:spacing w:line="213" w:lineRule="auto" w:before="0"/>
        <w:ind w:left="547" w:right="1713" w:firstLine="0"/>
        <w:jc w:val="left"/>
        <w:rPr>
          <w:rFonts w:ascii="Stone Sans II ITC Std X Bd"/>
          <w:b/>
          <w:sz w:val="50"/>
        </w:rPr>
      </w:pPr>
      <w:r>
        <w:rPr>
          <w:rFonts w:ascii="Stone Sans II ITC Std X Bd"/>
          <w:b/>
          <w:w w:val="110"/>
          <w:sz w:val="50"/>
        </w:rPr>
        <w:t>Memorandum of Understanding between the United Reformed Church and the Presbyterian Church of Korea</w:t>
      </w:r>
    </w:p>
    <w:p>
      <w:pPr>
        <w:pStyle w:val="ListParagraph"/>
        <w:numPr>
          <w:ilvl w:val="0"/>
          <w:numId w:val="21"/>
        </w:numPr>
        <w:tabs>
          <w:tab w:pos="1227" w:val="left" w:leader="none"/>
          <w:tab w:pos="1228" w:val="left" w:leader="none"/>
        </w:tabs>
        <w:spacing w:line="235" w:lineRule="auto" w:before="378" w:after="0"/>
        <w:ind w:left="547" w:right="2027" w:firstLine="0"/>
        <w:jc w:val="left"/>
        <w:rPr>
          <w:sz w:val="20"/>
        </w:rPr>
      </w:pPr>
      <w:r>
        <w:rPr>
          <w:spacing w:val="3"/>
          <w:w w:val="120"/>
          <w:sz w:val="20"/>
        </w:rPr>
        <w:t>As </w:t>
      </w:r>
      <w:r>
        <w:rPr>
          <w:w w:val="120"/>
          <w:sz w:val="20"/>
        </w:rPr>
        <w:t>partner Churches, the United Reformed Church (URC) and the Presbyterian Church of Korea (PCK) share in the life of the Council for World Mission </w:t>
      </w:r>
      <w:r>
        <w:rPr>
          <w:spacing w:val="-3"/>
          <w:w w:val="120"/>
          <w:sz w:val="20"/>
        </w:rPr>
        <w:t>(CWM), </w:t>
      </w:r>
      <w:r>
        <w:rPr>
          <w:w w:val="120"/>
          <w:sz w:val="20"/>
        </w:rPr>
        <w:t>the World Communion of Reformed Churches (WCRC) and the World Council of Churches (WCC). Our partnership in God’s mission has emerged from the historic missionary movement to current expressions of the sharing of mission personnel and resources, mutual accountability and common witness. The PCK treasures its long relationship  with the URC and especially its antecedent denominations’ contributions to Christianity in Korea. The URC values the presence of Koreans, their faith and their contributions to our life</w:t>
      </w:r>
      <w:r>
        <w:rPr>
          <w:spacing w:val="3"/>
          <w:w w:val="120"/>
          <w:sz w:val="20"/>
        </w:rPr>
        <w:t> </w:t>
      </w:r>
      <w:r>
        <w:rPr>
          <w:w w:val="120"/>
          <w:sz w:val="20"/>
        </w:rPr>
        <w:t>together.</w:t>
      </w:r>
    </w:p>
    <w:p>
      <w:pPr>
        <w:pStyle w:val="BodyText"/>
        <w:spacing w:before="3"/>
      </w:pPr>
    </w:p>
    <w:p>
      <w:pPr>
        <w:pStyle w:val="ListParagraph"/>
        <w:numPr>
          <w:ilvl w:val="0"/>
          <w:numId w:val="21"/>
        </w:numPr>
        <w:tabs>
          <w:tab w:pos="1227" w:val="left" w:leader="none"/>
          <w:tab w:pos="1228" w:val="left" w:leader="none"/>
        </w:tabs>
        <w:spacing w:line="235" w:lineRule="auto" w:before="0" w:after="0"/>
        <w:ind w:left="547" w:right="2198" w:firstLine="0"/>
        <w:jc w:val="left"/>
        <w:rPr>
          <w:sz w:val="20"/>
        </w:rPr>
      </w:pPr>
      <w:r>
        <w:rPr>
          <w:w w:val="120"/>
          <w:sz w:val="20"/>
        </w:rPr>
        <w:t>We have sought over the years, through multilateral and bilateral relationships, to deepen our commitment to new forms and expressions of partnership in</w:t>
      </w:r>
      <w:r>
        <w:rPr>
          <w:spacing w:val="27"/>
          <w:w w:val="120"/>
          <w:sz w:val="20"/>
        </w:rPr>
        <w:t> </w:t>
      </w:r>
      <w:r>
        <w:rPr>
          <w:w w:val="120"/>
          <w:sz w:val="20"/>
        </w:rPr>
        <w:t>the</w:t>
      </w:r>
    </w:p>
    <w:p>
      <w:pPr>
        <w:pStyle w:val="BodyText"/>
        <w:spacing w:line="235" w:lineRule="auto" w:before="1"/>
        <w:ind w:left="547" w:right="2189"/>
      </w:pPr>
      <w:r>
        <w:rPr>
          <w:w w:val="120"/>
        </w:rPr>
        <w:t>world so that God’s people and God’s world may be blessed. Both the global and   local contexts in which our Churches find themselves mean that our partnership has been growing in creative and inspiring ways. This momentum and the opportunities before both Churches suggest that we need to continue to work intentionally to grow and deepen the relationship between our Churches, so that mission and ministry</w:t>
      </w:r>
      <w:r>
        <w:rPr>
          <w:spacing w:val="47"/>
          <w:w w:val="120"/>
        </w:rPr>
        <w:t> </w:t>
      </w:r>
      <w:r>
        <w:rPr>
          <w:w w:val="120"/>
        </w:rPr>
        <w:t>is</w:t>
      </w:r>
    </w:p>
    <w:p>
      <w:pPr>
        <w:pStyle w:val="BodyText"/>
        <w:spacing w:line="235" w:lineRule="auto" w:before="4"/>
        <w:ind w:left="547" w:right="1955"/>
      </w:pPr>
      <w:r>
        <w:rPr>
          <w:w w:val="120"/>
        </w:rPr>
        <w:t>undertaken in partnership between our Churches (in both South Korea and the UK) for the sake of God’s mission in the world.</w:t>
      </w:r>
    </w:p>
    <w:p>
      <w:pPr>
        <w:pStyle w:val="BodyText"/>
        <w:spacing w:before="6"/>
        <w:rPr>
          <w:sz w:val="19"/>
        </w:rPr>
      </w:pPr>
    </w:p>
    <w:p>
      <w:pPr>
        <w:pStyle w:val="BodyText"/>
        <w:spacing w:line="242" w:lineRule="exact"/>
        <w:ind w:left="547"/>
      </w:pPr>
      <w:r>
        <w:rPr>
          <w:w w:val="120"/>
        </w:rPr>
        <w:t>The URC and the PCK commit to:</w:t>
      </w:r>
    </w:p>
    <w:p>
      <w:pPr>
        <w:pStyle w:val="ListParagraph"/>
        <w:numPr>
          <w:ilvl w:val="0"/>
          <w:numId w:val="22"/>
        </w:numPr>
        <w:tabs>
          <w:tab w:pos="1227" w:val="left" w:leader="none"/>
          <w:tab w:pos="1228" w:val="left" w:leader="none"/>
        </w:tabs>
        <w:spacing w:line="235" w:lineRule="auto" w:before="2" w:after="0"/>
        <w:ind w:left="1227" w:right="2391" w:hanging="681"/>
        <w:jc w:val="left"/>
        <w:rPr>
          <w:sz w:val="20"/>
        </w:rPr>
      </w:pPr>
      <w:r>
        <w:rPr>
          <w:w w:val="120"/>
          <w:sz w:val="20"/>
        </w:rPr>
        <w:t>hold the mission and ministry of each other in prayer: praying for a peaceful reunification of the two Koreas, peace and justice for life in the UK and in the Korean Peninsula and </w:t>
      </w:r>
      <w:r>
        <w:rPr>
          <w:spacing w:val="2"/>
          <w:w w:val="120"/>
          <w:sz w:val="20"/>
        </w:rPr>
        <w:t>North </w:t>
      </w:r>
      <w:r>
        <w:rPr>
          <w:w w:val="120"/>
          <w:sz w:val="20"/>
        </w:rPr>
        <w:t>East Asia, for nuclear free societies in the world, for persecuted minorities everywhere, including victims of extreme religious violence, for our damaged environment, and for discerning new and creative ways to respond to new mission and ministry</w:t>
      </w:r>
      <w:r>
        <w:rPr>
          <w:spacing w:val="19"/>
          <w:w w:val="120"/>
          <w:sz w:val="20"/>
        </w:rPr>
        <w:t> </w:t>
      </w:r>
      <w:r>
        <w:rPr>
          <w:w w:val="120"/>
          <w:sz w:val="20"/>
        </w:rPr>
        <w:t>challenges;</w:t>
      </w:r>
    </w:p>
    <w:p>
      <w:pPr>
        <w:pStyle w:val="ListParagraph"/>
        <w:numPr>
          <w:ilvl w:val="0"/>
          <w:numId w:val="22"/>
        </w:numPr>
        <w:tabs>
          <w:tab w:pos="1227" w:val="left" w:leader="none"/>
          <w:tab w:pos="1228" w:val="left" w:leader="none"/>
        </w:tabs>
        <w:spacing w:line="235" w:lineRule="auto" w:before="4" w:after="0"/>
        <w:ind w:left="1227" w:right="2233" w:hanging="681"/>
        <w:jc w:val="left"/>
        <w:rPr>
          <w:sz w:val="20"/>
        </w:rPr>
      </w:pPr>
      <w:r>
        <w:rPr>
          <w:w w:val="120"/>
          <w:sz w:val="20"/>
        </w:rPr>
        <w:t>work together to map, read, interpret and respond to the changing contextual realities in which we will together partner in mission and</w:t>
      </w:r>
      <w:r>
        <w:rPr>
          <w:spacing w:val="25"/>
          <w:w w:val="120"/>
          <w:sz w:val="20"/>
        </w:rPr>
        <w:t> </w:t>
      </w:r>
      <w:r>
        <w:rPr>
          <w:w w:val="120"/>
          <w:sz w:val="20"/>
        </w:rPr>
        <w:t>ministry;</w:t>
      </w:r>
    </w:p>
    <w:p>
      <w:pPr>
        <w:pStyle w:val="ListParagraph"/>
        <w:numPr>
          <w:ilvl w:val="0"/>
          <w:numId w:val="22"/>
        </w:numPr>
        <w:tabs>
          <w:tab w:pos="1227" w:val="left" w:leader="none"/>
          <w:tab w:pos="1228" w:val="left" w:leader="none"/>
        </w:tabs>
        <w:spacing w:line="235" w:lineRule="auto" w:before="2" w:after="0"/>
        <w:ind w:left="1227" w:right="2427" w:hanging="681"/>
        <w:jc w:val="left"/>
        <w:rPr>
          <w:sz w:val="20"/>
        </w:rPr>
      </w:pPr>
      <w:r>
        <w:rPr>
          <w:w w:val="120"/>
          <w:sz w:val="20"/>
        </w:rPr>
        <w:t>explore opportunities to share good practices and stories that would help to </w:t>
      </w:r>
      <w:r>
        <w:rPr>
          <w:spacing w:val="-3"/>
          <w:w w:val="120"/>
          <w:sz w:val="20"/>
        </w:rPr>
        <w:t>grow, </w:t>
      </w:r>
      <w:r>
        <w:rPr>
          <w:w w:val="120"/>
          <w:sz w:val="20"/>
        </w:rPr>
        <w:t>renew and reignite the ecumenical</w:t>
      </w:r>
      <w:r>
        <w:rPr>
          <w:spacing w:val="20"/>
          <w:w w:val="120"/>
          <w:sz w:val="20"/>
        </w:rPr>
        <w:t> </w:t>
      </w:r>
      <w:r>
        <w:rPr>
          <w:w w:val="120"/>
          <w:sz w:val="20"/>
        </w:rPr>
        <w:t>vocation;</w:t>
      </w:r>
    </w:p>
    <w:p>
      <w:pPr>
        <w:pStyle w:val="ListParagraph"/>
        <w:numPr>
          <w:ilvl w:val="0"/>
          <w:numId w:val="22"/>
        </w:numPr>
        <w:tabs>
          <w:tab w:pos="1227" w:val="left" w:leader="none"/>
          <w:tab w:pos="1228" w:val="left" w:leader="none"/>
        </w:tabs>
        <w:spacing w:line="235" w:lineRule="auto" w:before="1" w:after="0"/>
        <w:ind w:left="1227" w:right="2035" w:hanging="681"/>
        <w:jc w:val="left"/>
        <w:rPr>
          <w:sz w:val="20"/>
        </w:rPr>
      </w:pPr>
      <w:r>
        <w:rPr>
          <w:w w:val="120"/>
          <w:sz w:val="20"/>
        </w:rPr>
        <w:t>therefore work together for a new global ecumenical movement that seeks unity of Christian witness in the midst of immense historical, cultural and geopolitical changes in order to enrich our life and to promote reconciliation and healing in Korea, in the UK and in the</w:t>
      </w:r>
      <w:r>
        <w:rPr>
          <w:spacing w:val="15"/>
          <w:w w:val="120"/>
          <w:sz w:val="20"/>
        </w:rPr>
        <w:t> </w:t>
      </w:r>
      <w:r>
        <w:rPr>
          <w:w w:val="120"/>
          <w:sz w:val="20"/>
        </w:rPr>
        <w:t>world;</w:t>
      </w:r>
    </w:p>
    <w:p>
      <w:pPr>
        <w:pStyle w:val="ListParagraph"/>
        <w:numPr>
          <w:ilvl w:val="0"/>
          <w:numId w:val="22"/>
        </w:numPr>
        <w:tabs>
          <w:tab w:pos="1227" w:val="left" w:leader="none"/>
          <w:tab w:pos="1228" w:val="left" w:leader="none"/>
        </w:tabs>
        <w:spacing w:line="235" w:lineRule="auto" w:before="3" w:after="0"/>
        <w:ind w:left="1227" w:right="2220" w:hanging="681"/>
        <w:jc w:val="left"/>
        <w:rPr>
          <w:sz w:val="20"/>
        </w:rPr>
      </w:pPr>
      <w:r>
        <w:rPr>
          <w:w w:val="120"/>
          <w:sz w:val="20"/>
        </w:rPr>
        <w:t>recognise mutually that ministers of both the PCK and URC approved, trained and ordained through their respective processes, and who have demonstrated effective and faithful qualities, character and witness are considered valid ministry</w:t>
      </w:r>
      <w:r>
        <w:rPr>
          <w:spacing w:val="2"/>
          <w:w w:val="120"/>
          <w:sz w:val="20"/>
        </w:rPr>
        <w:t> </w:t>
      </w:r>
      <w:r>
        <w:rPr>
          <w:w w:val="120"/>
          <w:sz w:val="20"/>
        </w:rPr>
        <w:t>partners.</w:t>
      </w:r>
    </w:p>
    <w:p>
      <w:pPr>
        <w:pStyle w:val="BodyText"/>
        <w:spacing w:before="11"/>
        <w:rPr>
          <w:sz w:val="19"/>
        </w:rPr>
      </w:pPr>
    </w:p>
    <w:p>
      <w:pPr>
        <w:pStyle w:val="BodyText"/>
        <w:spacing w:line="235" w:lineRule="auto"/>
        <w:ind w:left="547" w:right="2269"/>
      </w:pPr>
      <w:r>
        <w:rPr>
          <w:w w:val="120"/>
        </w:rPr>
        <w:t>The URC and the PCK envision the outworking of these commitments in the following practical ways:</w:t>
      </w:r>
    </w:p>
    <w:p>
      <w:pPr>
        <w:pStyle w:val="ListParagraph"/>
        <w:numPr>
          <w:ilvl w:val="0"/>
          <w:numId w:val="22"/>
        </w:numPr>
        <w:tabs>
          <w:tab w:pos="1227" w:val="left" w:leader="none"/>
          <w:tab w:pos="1228" w:val="left" w:leader="none"/>
        </w:tabs>
        <w:spacing w:line="235" w:lineRule="auto" w:before="2" w:after="0"/>
        <w:ind w:left="1227" w:right="2574" w:hanging="681"/>
        <w:jc w:val="left"/>
        <w:rPr>
          <w:sz w:val="20"/>
        </w:rPr>
      </w:pPr>
      <w:r>
        <w:rPr>
          <w:w w:val="120"/>
          <w:sz w:val="20"/>
        </w:rPr>
        <w:t>The URC and the PCK continuously exchange information  about  events and developments within their churches, to better enable congregations   to understand and pray for each </w:t>
      </w:r>
      <w:r>
        <w:rPr>
          <w:spacing w:val="-3"/>
          <w:w w:val="120"/>
          <w:sz w:val="20"/>
        </w:rPr>
        <w:t>other. </w:t>
      </w:r>
      <w:r>
        <w:rPr>
          <w:w w:val="120"/>
          <w:sz w:val="20"/>
        </w:rPr>
        <w:t>Representatives of the churches</w:t>
      </w:r>
      <w:r>
        <w:rPr>
          <w:spacing w:val="15"/>
          <w:w w:val="120"/>
          <w:sz w:val="20"/>
        </w:rPr>
        <w:t> </w:t>
      </w:r>
      <w:r>
        <w:rPr>
          <w:w w:val="120"/>
          <w:sz w:val="20"/>
        </w:rPr>
        <w:t>will</w:t>
      </w:r>
    </w:p>
    <w:p>
      <w:pPr>
        <w:pStyle w:val="BodyText"/>
        <w:spacing w:line="235" w:lineRule="auto" w:before="2"/>
        <w:ind w:left="1227" w:right="1899"/>
      </w:pPr>
      <w:r>
        <w:rPr>
          <w:w w:val="120"/>
        </w:rPr>
        <w:t>exchange visits to enable them to become acquainted with all aspects of the life and work of the respective churches.</w:t>
      </w:r>
    </w:p>
    <w:p>
      <w:pPr>
        <w:spacing w:after="0" w:line="235" w:lineRule="auto"/>
        <w:sectPr>
          <w:headerReference w:type="even" r:id="rId140"/>
          <w:footerReference w:type="even" r:id="rId141"/>
          <w:footerReference w:type="default" r:id="rId142"/>
          <w:pgSz w:w="11910" w:h="16840"/>
          <w:pgMar w:header="0" w:footer="647" w:top="0" w:bottom="840" w:left="700" w:right="0"/>
          <w:pgNumType w:start="36"/>
        </w:sectPr>
      </w:pPr>
    </w:p>
    <w:p>
      <w:pPr>
        <w:pStyle w:val="BodyText"/>
      </w:pPr>
      <w:r>
        <w:rPr/>
        <w:drawing>
          <wp:anchor distT="0" distB="0" distL="0" distR="0" allowOverlap="1" layoutInCell="1" locked="0" behindDoc="0" simplePos="0" relativeHeight="251757568">
            <wp:simplePos x="0" y="0"/>
            <wp:positionH relativeFrom="page">
              <wp:posOffset>6974928</wp:posOffset>
            </wp:positionH>
            <wp:positionV relativeFrom="page">
              <wp:posOffset>0</wp:posOffset>
            </wp:positionV>
            <wp:extent cx="585076" cy="10692003"/>
            <wp:effectExtent l="0" t="0" r="0" b="0"/>
            <wp:wrapNone/>
            <wp:docPr id="61" name="image52.png"/>
            <wp:cNvGraphicFramePr>
              <a:graphicFrameLocks noChangeAspect="1"/>
            </wp:cNvGraphicFramePr>
            <a:graphic>
              <a:graphicData uri="http://schemas.openxmlformats.org/drawingml/2006/picture">
                <pic:pic>
                  <pic:nvPicPr>
                    <pic:cNvPr id="62" name="image52.png"/>
                    <pic:cNvPicPr/>
                  </pic:nvPicPr>
                  <pic:blipFill>
                    <a:blip r:embed="rId66" cstate="print"/>
                    <a:stretch>
                      <a:fillRect/>
                    </a:stretch>
                  </pic:blipFill>
                  <pic:spPr>
                    <a:xfrm>
                      <a:off x="0" y="0"/>
                      <a:ext cx="585076" cy="10692003"/>
                    </a:xfrm>
                    <a:prstGeom prst="rect">
                      <a:avLst/>
                    </a:prstGeom>
                  </pic:spPr>
                </pic:pic>
              </a:graphicData>
            </a:graphic>
          </wp:anchor>
        </w:drawing>
      </w:r>
    </w:p>
    <w:p>
      <w:pPr>
        <w:pStyle w:val="BodyText"/>
        <w:spacing w:before="7"/>
        <w:rPr>
          <w:sz w:val="21"/>
        </w:rPr>
      </w:pPr>
    </w:p>
    <w:p>
      <w:pPr>
        <w:spacing w:before="106"/>
        <w:ind w:left="0" w:right="1245" w:firstLine="0"/>
        <w:jc w:val="right"/>
        <w:rPr>
          <w:sz w:val="26"/>
        </w:rPr>
      </w:pPr>
      <w:r>
        <w:rPr/>
        <w:pict>
          <v:shape style="position:absolute;margin-left:554.141174pt;margin-top:22.593945pt;width:25.9pt;height:297pt;mso-position-horizontal-relative:page;mso-position-vertical-relative:paragraph;z-index:251758592" type="#_x0000_t202" filled="false" stroked="false">
            <v:textbox inset="0,0,0,0" style="layout-flow:vertical">
              <w:txbxContent>
                <w:p>
                  <w:pPr>
                    <w:spacing w:before="27"/>
                    <w:ind w:left="20" w:right="0" w:firstLine="0"/>
                    <w:jc w:val="left"/>
                    <w:rPr>
                      <w:sz w:val="39"/>
                    </w:rPr>
                  </w:pPr>
                  <w:r>
                    <w:rPr>
                      <w:color w:val="FFFFFF"/>
                      <w:spacing w:val="8"/>
                      <w:w w:val="120"/>
                      <w:sz w:val="39"/>
                    </w:rPr>
                    <w:t>Presbyterian Church </w:t>
                  </w:r>
                  <w:r>
                    <w:rPr>
                      <w:color w:val="FFFFFF"/>
                      <w:spacing w:val="5"/>
                      <w:w w:val="120"/>
                      <w:sz w:val="39"/>
                    </w:rPr>
                    <w:t>of</w:t>
                  </w:r>
                  <w:r>
                    <w:rPr>
                      <w:color w:val="FFFFFF"/>
                      <w:spacing w:val="101"/>
                      <w:w w:val="120"/>
                      <w:sz w:val="39"/>
                    </w:rPr>
                    <w:t> </w:t>
                  </w:r>
                  <w:r>
                    <w:rPr>
                      <w:color w:val="FFFFFF"/>
                      <w:spacing w:val="9"/>
                      <w:w w:val="120"/>
                      <w:sz w:val="39"/>
                    </w:rPr>
                    <w:t>Korea</w:t>
                  </w:r>
                </w:p>
              </w:txbxContent>
            </v:textbox>
            <w10:wrap type="none"/>
          </v:shape>
        </w:pict>
      </w:r>
      <w:r>
        <w:rPr>
          <w:color w:val="7EAABF"/>
          <w:w w:val="120"/>
          <w:sz w:val="26"/>
        </w:rPr>
        <w:t>Mission Council</w:t>
      </w:r>
    </w:p>
    <w:p>
      <w:pPr>
        <w:pStyle w:val="ListParagraph"/>
        <w:numPr>
          <w:ilvl w:val="0"/>
          <w:numId w:val="22"/>
        </w:numPr>
        <w:tabs>
          <w:tab w:pos="1964" w:val="left" w:leader="none"/>
          <w:tab w:pos="1965" w:val="left" w:leader="none"/>
        </w:tabs>
        <w:spacing w:line="235" w:lineRule="auto" w:before="222" w:after="0"/>
        <w:ind w:left="1964" w:right="2046" w:hanging="681"/>
        <w:jc w:val="left"/>
        <w:rPr>
          <w:sz w:val="20"/>
        </w:rPr>
      </w:pPr>
      <w:r>
        <w:rPr>
          <w:w w:val="120"/>
          <w:sz w:val="20"/>
        </w:rPr>
        <w:t>Members of the URC and PCK who have moved or migrated to either   the UK or Korea will be encouraged to develop active relationship with a congregation of the URC or the PCK. Congregations of both the PCK and URC are encouraged to extend hospitality to each other’s</w:t>
      </w:r>
      <w:r>
        <w:rPr>
          <w:spacing w:val="44"/>
          <w:w w:val="120"/>
          <w:sz w:val="20"/>
        </w:rPr>
        <w:t> </w:t>
      </w:r>
      <w:r>
        <w:rPr>
          <w:w w:val="120"/>
          <w:sz w:val="20"/>
        </w:rPr>
        <w:t>membership.</w:t>
      </w:r>
    </w:p>
    <w:p>
      <w:pPr>
        <w:pStyle w:val="ListParagraph"/>
        <w:numPr>
          <w:ilvl w:val="0"/>
          <w:numId w:val="22"/>
        </w:numPr>
        <w:tabs>
          <w:tab w:pos="1964" w:val="left" w:leader="none"/>
          <w:tab w:pos="1965" w:val="left" w:leader="none"/>
        </w:tabs>
        <w:spacing w:line="235" w:lineRule="auto" w:before="3" w:after="0"/>
        <w:ind w:left="1964" w:right="1379" w:hanging="681"/>
        <w:jc w:val="left"/>
        <w:rPr>
          <w:sz w:val="20"/>
        </w:rPr>
      </w:pPr>
      <w:r>
        <w:rPr>
          <w:w w:val="120"/>
          <w:sz w:val="20"/>
        </w:rPr>
        <w:t>The URC and the PCK will work intentionally to connect with the growing  Korean communities in the </w:t>
      </w:r>
      <w:r>
        <w:rPr>
          <w:spacing w:val="2"/>
          <w:w w:val="120"/>
          <w:sz w:val="20"/>
        </w:rPr>
        <w:t>UK. </w:t>
      </w:r>
      <w:r>
        <w:rPr>
          <w:w w:val="120"/>
          <w:sz w:val="20"/>
        </w:rPr>
        <w:t>The URC in partnership with the PCK will help support and resource these communities pastorally and otherwise as able. Through this work we seek to receive one another’s </w:t>
      </w:r>
      <w:r>
        <w:rPr>
          <w:spacing w:val="2"/>
          <w:w w:val="120"/>
          <w:sz w:val="20"/>
        </w:rPr>
        <w:t>gifts, </w:t>
      </w:r>
      <w:r>
        <w:rPr>
          <w:w w:val="120"/>
          <w:sz w:val="20"/>
        </w:rPr>
        <w:t>including the </w:t>
      </w:r>
      <w:r>
        <w:rPr>
          <w:spacing w:val="2"/>
          <w:w w:val="120"/>
          <w:sz w:val="20"/>
        </w:rPr>
        <w:t>gift </w:t>
      </w:r>
      <w:r>
        <w:rPr>
          <w:w w:val="120"/>
          <w:sz w:val="20"/>
        </w:rPr>
        <w:t>of ministry, and become a transformed and transforming Christian presence in the new British</w:t>
      </w:r>
      <w:r>
        <w:rPr>
          <w:spacing w:val="3"/>
          <w:w w:val="120"/>
          <w:sz w:val="20"/>
        </w:rPr>
        <w:t> </w:t>
      </w:r>
      <w:r>
        <w:rPr>
          <w:w w:val="120"/>
          <w:sz w:val="20"/>
        </w:rPr>
        <w:t>reality.</w:t>
      </w:r>
    </w:p>
    <w:p>
      <w:pPr>
        <w:pStyle w:val="ListParagraph"/>
        <w:numPr>
          <w:ilvl w:val="0"/>
          <w:numId w:val="22"/>
        </w:numPr>
        <w:tabs>
          <w:tab w:pos="1964" w:val="left" w:leader="none"/>
          <w:tab w:pos="1965" w:val="left" w:leader="none"/>
        </w:tabs>
        <w:spacing w:line="235" w:lineRule="auto" w:before="4" w:after="0"/>
        <w:ind w:left="1964" w:right="1381" w:hanging="681"/>
        <w:jc w:val="left"/>
        <w:rPr>
          <w:sz w:val="20"/>
        </w:rPr>
      </w:pPr>
      <w:r>
        <w:rPr>
          <w:w w:val="120"/>
          <w:sz w:val="20"/>
        </w:rPr>
        <w:t>The PCK wishes to draw on the experience and expertise of the URC to respond to the mission and ministry opportunities provided by a growing English speaking population, an increasing multicultural landscape and a younger generation that communicates more readily in English in South</w:t>
      </w:r>
      <w:r>
        <w:rPr>
          <w:spacing w:val="26"/>
          <w:w w:val="120"/>
          <w:sz w:val="20"/>
        </w:rPr>
        <w:t> </w:t>
      </w:r>
      <w:r>
        <w:rPr>
          <w:w w:val="120"/>
          <w:sz w:val="20"/>
        </w:rPr>
        <w:t>Korea.</w:t>
      </w:r>
    </w:p>
    <w:p>
      <w:pPr>
        <w:pStyle w:val="ListParagraph"/>
        <w:numPr>
          <w:ilvl w:val="0"/>
          <w:numId w:val="22"/>
        </w:numPr>
        <w:tabs>
          <w:tab w:pos="1964" w:val="left" w:leader="none"/>
          <w:tab w:pos="1965" w:val="left" w:leader="none"/>
        </w:tabs>
        <w:spacing w:line="235" w:lineRule="auto" w:before="3" w:after="0"/>
        <w:ind w:left="1964" w:right="1681" w:hanging="681"/>
        <w:jc w:val="left"/>
        <w:rPr>
          <w:sz w:val="20"/>
        </w:rPr>
      </w:pPr>
      <w:r>
        <w:rPr>
          <w:w w:val="120"/>
          <w:sz w:val="20"/>
        </w:rPr>
        <w:t>The URC and the PCK will explore ways to respond to the growing number    of </w:t>
      </w:r>
      <w:r>
        <w:rPr>
          <w:spacing w:val="2"/>
          <w:w w:val="120"/>
          <w:sz w:val="20"/>
        </w:rPr>
        <w:t>North </w:t>
      </w:r>
      <w:r>
        <w:rPr>
          <w:w w:val="120"/>
          <w:sz w:val="20"/>
        </w:rPr>
        <w:t>Korean migrants in the </w:t>
      </w:r>
      <w:r>
        <w:rPr>
          <w:spacing w:val="2"/>
          <w:w w:val="120"/>
          <w:sz w:val="20"/>
        </w:rPr>
        <w:t>UK, </w:t>
      </w:r>
      <w:r>
        <w:rPr>
          <w:w w:val="120"/>
          <w:sz w:val="20"/>
        </w:rPr>
        <w:t>especially in New Malden and Kingston. The PCK is especially keen to work with the URC on this potential mission opportunity to offer some form of ministry to a specific cultural group of Koreans.</w:t>
      </w:r>
    </w:p>
    <w:p>
      <w:pPr>
        <w:pStyle w:val="ListParagraph"/>
        <w:numPr>
          <w:ilvl w:val="0"/>
          <w:numId w:val="22"/>
        </w:numPr>
        <w:tabs>
          <w:tab w:pos="1964" w:val="left" w:leader="none"/>
          <w:tab w:pos="1965" w:val="left" w:leader="none"/>
        </w:tabs>
        <w:spacing w:line="235" w:lineRule="auto" w:before="4" w:after="0"/>
        <w:ind w:left="1964" w:right="1526" w:hanging="681"/>
        <w:jc w:val="left"/>
        <w:rPr>
          <w:sz w:val="20"/>
        </w:rPr>
      </w:pPr>
      <w:r>
        <w:rPr>
          <w:w w:val="120"/>
          <w:sz w:val="20"/>
        </w:rPr>
        <w:t>The URC and the PCK will consider the development of joint PCK/URC congregations in the </w:t>
      </w:r>
      <w:r>
        <w:rPr>
          <w:spacing w:val="2"/>
          <w:w w:val="120"/>
          <w:sz w:val="20"/>
        </w:rPr>
        <w:t>UK, </w:t>
      </w:r>
      <w:r>
        <w:rPr>
          <w:w w:val="120"/>
          <w:sz w:val="20"/>
        </w:rPr>
        <w:t>especially in locations with a high Korean population and not currently served by existing URC congregations and in locations of historical missionary significance to the PCK and the</w:t>
      </w:r>
      <w:r>
        <w:rPr>
          <w:spacing w:val="24"/>
          <w:w w:val="120"/>
          <w:sz w:val="20"/>
        </w:rPr>
        <w:t> </w:t>
      </w:r>
      <w:r>
        <w:rPr>
          <w:w w:val="120"/>
          <w:sz w:val="20"/>
        </w:rPr>
        <w:t>URC.</w:t>
      </w:r>
    </w:p>
    <w:p>
      <w:pPr>
        <w:pStyle w:val="ListParagraph"/>
        <w:numPr>
          <w:ilvl w:val="0"/>
          <w:numId w:val="22"/>
        </w:numPr>
        <w:tabs>
          <w:tab w:pos="1964" w:val="left" w:leader="none"/>
          <w:tab w:pos="1965" w:val="left" w:leader="none"/>
        </w:tabs>
        <w:spacing w:line="235" w:lineRule="auto" w:before="3" w:after="0"/>
        <w:ind w:left="1964" w:right="1683" w:hanging="681"/>
        <w:jc w:val="both"/>
        <w:rPr>
          <w:sz w:val="20"/>
        </w:rPr>
      </w:pPr>
      <w:r>
        <w:rPr>
          <w:w w:val="120"/>
          <w:sz w:val="20"/>
        </w:rPr>
        <w:t>Both the URC and the PCK will explore the possibility for supervised ministry internship/placement opportunities for cross-cultural learning for ministerial students and ministers in their early years of</w:t>
      </w:r>
      <w:r>
        <w:rPr>
          <w:spacing w:val="7"/>
          <w:w w:val="120"/>
          <w:sz w:val="20"/>
        </w:rPr>
        <w:t> </w:t>
      </w:r>
      <w:r>
        <w:rPr>
          <w:w w:val="120"/>
          <w:sz w:val="20"/>
        </w:rPr>
        <w:t>ministry.</w:t>
      </w:r>
    </w:p>
    <w:p>
      <w:pPr>
        <w:pStyle w:val="BodyText"/>
        <w:spacing w:before="10"/>
        <w:rPr>
          <w:sz w:val="19"/>
        </w:rPr>
      </w:pPr>
    </w:p>
    <w:p>
      <w:pPr>
        <w:pStyle w:val="ListParagraph"/>
        <w:numPr>
          <w:ilvl w:val="0"/>
          <w:numId w:val="21"/>
        </w:numPr>
        <w:tabs>
          <w:tab w:pos="1964" w:val="left" w:leader="none"/>
          <w:tab w:pos="1965" w:val="left" w:leader="none"/>
        </w:tabs>
        <w:spacing w:line="235" w:lineRule="auto" w:before="0" w:after="0"/>
        <w:ind w:left="1284" w:right="1390" w:firstLine="0"/>
        <w:jc w:val="left"/>
        <w:rPr>
          <w:sz w:val="20"/>
        </w:rPr>
      </w:pPr>
      <w:r>
        <w:rPr>
          <w:w w:val="120"/>
          <w:sz w:val="20"/>
        </w:rPr>
        <w:t>This Memorandum of Understanding will be reviewed </w:t>
      </w:r>
      <w:r>
        <w:rPr>
          <w:spacing w:val="-7"/>
          <w:w w:val="120"/>
          <w:sz w:val="20"/>
        </w:rPr>
        <w:t>18 </w:t>
      </w:r>
      <w:r>
        <w:rPr>
          <w:w w:val="120"/>
          <w:sz w:val="20"/>
        </w:rPr>
        <w:t>months from the date of signing by both Churches, and annually</w:t>
      </w:r>
      <w:r>
        <w:rPr>
          <w:spacing w:val="18"/>
          <w:w w:val="120"/>
          <w:sz w:val="20"/>
        </w:rPr>
        <w:t> </w:t>
      </w:r>
      <w:r>
        <w:rPr>
          <w:w w:val="120"/>
          <w:sz w:val="20"/>
        </w:rPr>
        <w:t>thereafter.</w:t>
      </w:r>
    </w:p>
    <w:p>
      <w:pPr>
        <w:pStyle w:val="BodyText"/>
        <w:spacing w:before="9"/>
        <w:rPr>
          <w:sz w:val="19"/>
        </w:rPr>
      </w:pPr>
    </w:p>
    <w:p>
      <w:pPr>
        <w:pStyle w:val="ListParagraph"/>
        <w:numPr>
          <w:ilvl w:val="0"/>
          <w:numId w:val="21"/>
        </w:numPr>
        <w:tabs>
          <w:tab w:pos="1964" w:val="left" w:leader="none"/>
          <w:tab w:pos="1965" w:val="left" w:leader="none"/>
        </w:tabs>
        <w:spacing w:line="235" w:lineRule="auto" w:before="0" w:after="0"/>
        <w:ind w:left="1284" w:right="1278" w:firstLine="0"/>
        <w:jc w:val="left"/>
        <w:rPr>
          <w:sz w:val="20"/>
        </w:rPr>
      </w:pPr>
      <w:r>
        <w:rPr>
          <w:w w:val="120"/>
          <w:sz w:val="20"/>
        </w:rPr>
        <w:t>In obedience to Christ’s prayer and intention for the unity of his Body, we acknowledge that this partnership is the result of the design, power and strength of the Holy Spirit. Trusting that what we seek to encourage in this exciting and developing relationship will be fulfilled through that same Holy Spirit, we pray that our witness to each </w:t>
      </w:r>
      <w:r>
        <w:rPr>
          <w:spacing w:val="-3"/>
          <w:w w:val="120"/>
          <w:sz w:val="20"/>
        </w:rPr>
        <w:t>other, </w:t>
      </w:r>
      <w:r>
        <w:rPr>
          <w:w w:val="120"/>
          <w:sz w:val="20"/>
        </w:rPr>
        <w:t>the world and to the whole Church will be strengthened, to the </w:t>
      </w:r>
      <w:r>
        <w:rPr>
          <w:spacing w:val="2"/>
          <w:w w:val="120"/>
          <w:sz w:val="20"/>
        </w:rPr>
        <w:t>glory </w:t>
      </w:r>
      <w:r>
        <w:rPr>
          <w:w w:val="120"/>
          <w:sz w:val="20"/>
        </w:rPr>
        <w:t>of   God and the praise of Jesus Christ, our Saviour and</w:t>
      </w:r>
      <w:r>
        <w:rPr>
          <w:spacing w:val="24"/>
          <w:w w:val="120"/>
          <w:sz w:val="20"/>
        </w:rPr>
        <w:t> </w:t>
      </w:r>
      <w:r>
        <w:rPr>
          <w:w w:val="120"/>
          <w:sz w:val="20"/>
        </w:rPr>
        <w:t>Lord.</w:t>
      </w:r>
    </w:p>
    <w:p>
      <w:pPr>
        <w:pStyle w:val="BodyText"/>
        <w:rPr>
          <w:sz w:val="24"/>
        </w:rPr>
      </w:pPr>
    </w:p>
    <w:p>
      <w:pPr>
        <w:spacing w:line="261" w:lineRule="auto" w:before="207"/>
        <w:ind w:left="1284" w:right="1716" w:firstLine="0"/>
        <w:jc w:val="left"/>
        <w:rPr>
          <w:sz w:val="18"/>
        </w:rPr>
      </w:pPr>
      <w:r>
        <w:rPr>
          <w:color w:val="707172"/>
          <w:spacing w:val="2"/>
          <w:w w:val="120"/>
          <w:sz w:val="18"/>
        </w:rPr>
        <w:t>Drafted </w:t>
      </w:r>
      <w:r>
        <w:rPr>
          <w:color w:val="707172"/>
          <w:w w:val="120"/>
          <w:sz w:val="18"/>
        </w:rPr>
        <w:t>by representatives of the two Churches in </w:t>
      </w:r>
      <w:r>
        <w:rPr>
          <w:color w:val="707172"/>
          <w:spacing w:val="2"/>
          <w:w w:val="120"/>
          <w:sz w:val="18"/>
        </w:rPr>
        <w:t>February </w:t>
      </w:r>
      <w:r>
        <w:rPr>
          <w:color w:val="707172"/>
          <w:spacing w:val="-5"/>
          <w:w w:val="120"/>
          <w:sz w:val="18"/>
        </w:rPr>
        <w:t>2015, </w:t>
      </w:r>
      <w:r>
        <w:rPr>
          <w:color w:val="707172"/>
          <w:w w:val="120"/>
          <w:sz w:val="18"/>
        </w:rPr>
        <w:t>agreed by Mission Council  in May </w:t>
      </w:r>
      <w:r>
        <w:rPr>
          <w:color w:val="707172"/>
          <w:spacing w:val="-5"/>
          <w:w w:val="120"/>
          <w:sz w:val="18"/>
        </w:rPr>
        <w:t>2015, </w:t>
      </w:r>
      <w:r>
        <w:rPr>
          <w:color w:val="707172"/>
          <w:w w:val="120"/>
          <w:sz w:val="18"/>
        </w:rPr>
        <w:t>and signed at the General Assembly of the Presbyterian Church of Korea in September </w:t>
      </w:r>
      <w:r>
        <w:rPr>
          <w:color w:val="707172"/>
          <w:spacing w:val="-5"/>
          <w:w w:val="120"/>
          <w:sz w:val="18"/>
        </w:rPr>
        <w:t>2015,  </w:t>
      </w:r>
      <w:r>
        <w:rPr>
          <w:color w:val="707172"/>
          <w:w w:val="120"/>
          <w:sz w:val="18"/>
        </w:rPr>
        <w:t>the URC signatory being the Revd David Grosch-Miller, Moderator of  General</w:t>
      </w:r>
      <w:r>
        <w:rPr>
          <w:color w:val="707172"/>
          <w:spacing w:val="2"/>
          <w:w w:val="120"/>
          <w:sz w:val="18"/>
        </w:rPr>
        <w:t> </w:t>
      </w:r>
      <w:r>
        <w:rPr>
          <w:color w:val="707172"/>
          <w:w w:val="120"/>
          <w:sz w:val="18"/>
        </w:rPr>
        <w:t>Assembly.</w:t>
      </w:r>
    </w:p>
    <w:p>
      <w:pPr>
        <w:spacing w:after="0" w:line="261" w:lineRule="auto"/>
        <w:jc w:val="left"/>
        <w:rPr>
          <w:sz w:val="18"/>
        </w:rPr>
        <w:sectPr>
          <w:headerReference w:type="default" r:id="rId143"/>
          <w:pgSz w:w="11910" w:h="16840"/>
          <w:pgMar w:header="0" w:footer="647" w:top="0" w:bottom="840" w:left="700" w:right="0"/>
        </w:sectPr>
      </w:pPr>
    </w:p>
    <w:p>
      <w:pPr>
        <w:pStyle w:val="BodyText"/>
      </w:pPr>
      <w:r>
        <w:rPr/>
        <w:pict>
          <v:rect style="position:absolute;margin-left:46.777pt;margin-top:.000015pt;width:548.498pt;height:841.89pt;mso-position-horizontal-relative:page;mso-position-vertical-relative:page;z-index:-268010496" filled="true" fillcolor="#fef4df" stroked="false">
            <v:fill type="solid"/>
            <w10:wrap type="none"/>
          </v:rect>
        </w:pict>
      </w:r>
      <w:r>
        <w:rPr/>
        <w:drawing>
          <wp:anchor distT="0" distB="0" distL="0" distR="0" allowOverlap="1" layoutInCell="1" locked="0" behindDoc="1" simplePos="0" relativeHeight="235307008">
            <wp:simplePos x="0" y="0"/>
            <wp:positionH relativeFrom="page">
              <wp:posOffset>0</wp:posOffset>
            </wp:positionH>
            <wp:positionV relativeFrom="page">
              <wp:posOffset>0</wp:posOffset>
            </wp:positionV>
            <wp:extent cx="594067" cy="10692003"/>
            <wp:effectExtent l="0" t="0" r="0" b="0"/>
            <wp:wrapNone/>
            <wp:docPr id="63" name="image53.png"/>
            <wp:cNvGraphicFramePr>
              <a:graphicFrameLocks noChangeAspect="1"/>
            </wp:cNvGraphicFramePr>
            <a:graphic>
              <a:graphicData uri="http://schemas.openxmlformats.org/drawingml/2006/picture">
                <pic:pic>
                  <pic:nvPicPr>
                    <pic:cNvPr id="64" name="image53.png"/>
                    <pic:cNvPicPr/>
                  </pic:nvPicPr>
                  <pic:blipFill>
                    <a:blip r:embed="rId100" cstate="print"/>
                    <a:stretch>
                      <a:fillRect/>
                    </a:stretch>
                  </pic:blipFill>
                  <pic:spPr>
                    <a:xfrm>
                      <a:off x="0" y="0"/>
                      <a:ext cx="594067" cy="10692003"/>
                    </a:xfrm>
                    <a:prstGeom prst="rect">
                      <a:avLst/>
                    </a:prstGeom>
                  </pic:spPr>
                </pic:pic>
              </a:graphicData>
            </a:graphic>
          </wp:anchor>
        </w:drawing>
      </w:r>
      <w:r>
        <w:rPr/>
        <w:pict>
          <v:shape style="position:absolute;margin-left:20.519100pt;margin-top:48.890015pt;width:25.9pt;height:267.3pt;mso-position-horizontal-relative:page;mso-position-vertical-relative:page;z-index:-268008448" type="#_x0000_t202" filled="false" stroked="false">
            <v:textbox inset="0,0,0,0" style="layout-flow:vertical">
              <w:txbxContent>
                <w:p>
                  <w:pPr>
                    <w:spacing w:before="27"/>
                    <w:ind w:left="20" w:right="0" w:firstLine="0"/>
                    <w:jc w:val="left"/>
                    <w:rPr>
                      <w:sz w:val="39"/>
                    </w:rPr>
                  </w:pPr>
                  <w:r>
                    <w:rPr>
                      <w:color w:val="FFFFFF"/>
                      <w:spacing w:val="8"/>
                      <w:w w:val="120"/>
                      <w:sz w:val="39"/>
                    </w:rPr>
                    <w:t>URCIC Terms </w:t>
                  </w:r>
                  <w:r>
                    <w:rPr>
                      <w:color w:val="FFFFFF"/>
                      <w:spacing w:val="5"/>
                      <w:w w:val="120"/>
                      <w:sz w:val="39"/>
                    </w:rPr>
                    <w:t>of</w:t>
                  </w:r>
                  <w:r>
                    <w:rPr>
                      <w:color w:val="FFFFFF"/>
                      <w:spacing w:val="114"/>
                      <w:w w:val="120"/>
                      <w:sz w:val="39"/>
                    </w:rPr>
                    <w:t> </w:t>
                  </w:r>
                  <w:r>
                    <w:rPr>
                      <w:color w:val="FFFFFF"/>
                      <w:spacing w:val="9"/>
                      <w:w w:val="120"/>
                      <w:sz w:val="39"/>
                    </w:rPr>
                    <w:t>Reference</w:t>
                  </w:r>
                </w:p>
              </w:txbxContent>
            </v:textbox>
            <w10:wrap type="none"/>
          </v:shape>
        </w:pict>
      </w:r>
    </w:p>
    <w:p>
      <w:pPr>
        <w:pStyle w:val="BodyText"/>
      </w:pPr>
    </w:p>
    <w:p>
      <w:pPr>
        <w:pStyle w:val="BodyText"/>
      </w:pPr>
    </w:p>
    <w:p>
      <w:pPr>
        <w:pStyle w:val="BodyText"/>
        <w:spacing w:before="5"/>
        <w:rPr>
          <w:sz w:val="28"/>
        </w:rPr>
      </w:pPr>
    </w:p>
    <w:p>
      <w:pPr>
        <w:spacing w:line="213" w:lineRule="auto" w:before="153"/>
        <w:ind w:left="547" w:right="3011" w:firstLine="0"/>
        <w:jc w:val="left"/>
        <w:rPr>
          <w:rFonts w:ascii="Stone Sans II ITC Std X Bd"/>
          <w:b/>
          <w:sz w:val="50"/>
        </w:rPr>
      </w:pPr>
      <w:r>
        <w:rPr>
          <w:rFonts w:ascii="Stone Sans II ITC Std X Bd"/>
          <w:b/>
          <w:color w:val="F1B400"/>
          <w:w w:val="110"/>
          <w:sz w:val="50"/>
        </w:rPr>
        <w:t>URC Investment Committee (URCIC):</w:t>
      </w:r>
    </w:p>
    <w:p>
      <w:pPr>
        <w:spacing w:line="617" w:lineRule="exact" w:before="0"/>
        <w:ind w:left="547" w:right="0" w:firstLine="0"/>
        <w:jc w:val="left"/>
        <w:rPr>
          <w:rFonts w:ascii="Stone Sans II ITC Std X Bd"/>
          <w:b/>
          <w:sz w:val="50"/>
        </w:rPr>
      </w:pPr>
      <w:r>
        <w:rPr>
          <w:rFonts w:ascii="Stone Sans II ITC Std X Bd"/>
          <w:b/>
          <w:w w:val="110"/>
          <w:sz w:val="50"/>
        </w:rPr>
        <w:t>URCIC Terms of Reference</w:t>
      </w:r>
    </w:p>
    <w:p>
      <w:pPr>
        <w:pStyle w:val="Heading4"/>
        <w:spacing w:before="308"/>
        <w:ind w:left="547"/>
      </w:pPr>
      <w:r>
        <w:rPr>
          <w:color w:val="7F7F7F"/>
        </w:rPr>
        <w:t>Basic Information</w:t>
      </w:r>
    </w:p>
    <w:tbl>
      <w:tblPr>
        <w:tblW w:w="0" w:type="auto"/>
        <w:jc w:val="left"/>
        <w:tblInd w:w="55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660"/>
        <w:gridCol w:w="6582"/>
      </w:tblGrid>
      <w:tr>
        <w:trPr>
          <w:trHeight w:val="680" w:hRule="atLeast"/>
        </w:trPr>
        <w:tc>
          <w:tcPr>
            <w:tcW w:w="2660" w:type="dxa"/>
            <w:shd w:val="clear" w:color="auto" w:fill="FFFFFF"/>
          </w:tcPr>
          <w:p>
            <w:pPr>
              <w:pStyle w:val="TableParagraph"/>
              <w:spacing w:line="213" w:lineRule="auto" w:before="151"/>
              <w:ind w:right="595"/>
              <w:rPr>
                <w:rFonts w:ascii="Stone Sans II ITC Std Bk"/>
                <w:b/>
                <w:sz w:val="20"/>
              </w:rPr>
            </w:pPr>
            <w:r>
              <w:rPr>
                <w:rFonts w:ascii="Stone Sans II ITC Std Bk"/>
                <w:b/>
                <w:w w:val="110"/>
                <w:sz w:val="20"/>
              </w:rPr>
              <w:t>Contact name and email address</w:t>
            </w:r>
          </w:p>
        </w:tc>
        <w:tc>
          <w:tcPr>
            <w:tcW w:w="6582" w:type="dxa"/>
            <w:shd w:val="clear" w:color="auto" w:fill="FFFFFF"/>
          </w:tcPr>
          <w:p>
            <w:pPr>
              <w:pStyle w:val="TableParagraph"/>
              <w:spacing w:before="141"/>
              <w:rPr>
                <w:sz w:val="20"/>
              </w:rPr>
            </w:pPr>
            <w:r>
              <w:rPr>
                <w:w w:val="120"/>
                <w:sz w:val="20"/>
              </w:rPr>
              <w:t>Sandi Hallam-Jones: </w:t>
            </w:r>
            <w:hyperlink r:id="rId146">
              <w:r>
                <w:rPr>
                  <w:color w:val="006AB3"/>
                  <w:w w:val="120"/>
                  <w:sz w:val="20"/>
                </w:rPr>
                <w:t>s.hallam-jones@urc.org.uk</w:t>
              </w:r>
            </w:hyperlink>
          </w:p>
        </w:tc>
      </w:tr>
      <w:tr>
        <w:trPr>
          <w:trHeight w:val="680" w:hRule="atLeast"/>
        </w:trPr>
        <w:tc>
          <w:tcPr>
            <w:tcW w:w="2660" w:type="dxa"/>
            <w:shd w:val="clear" w:color="auto" w:fill="FFFFFF"/>
          </w:tcPr>
          <w:p>
            <w:pPr>
              <w:pStyle w:val="TableParagraph"/>
              <w:spacing w:before="128"/>
              <w:rPr>
                <w:rFonts w:ascii="Stone Sans II ITC Std Bk"/>
                <w:b/>
                <w:sz w:val="20"/>
              </w:rPr>
            </w:pPr>
            <w:r>
              <w:rPr>
                <w:rFonts w:ascii="Stone Sans II ITC Std Bk"/>
                <w:b/>
                <w:w w:val="110"/>
                <w:sz w:val="20"/>
              </w:rPr>
              <w:t>Action required</w:t>
            </w:r>
          </w:p>
        </w:tc>
        <w:tc>
          <w:tcPr>
            <w:tcW w:w="6582" w:type="dxa"/>
            <w:shd w:val="clear" w:color="auto" w:fill="FFFFFF"/>
          </w:tcPr>
          <w:p>
            <w:pPr>
              <w:pStyle w:val="TableParagraph"/>
              <w:spacing w:line="235" w:lineRule="auto" w:before="145"/>
              <w:ind w:right="255"/>
              <w:rPr>
                <w:sz w:val="20"/>
              </w:rPr>
            </w:pPr>
            <w:r>
              <w:rPr>
                <w:w w:val="120"/>
                <w:sz w:val="20"/>
              </w:rPr>
              <w:t>Take note. Mission Council has approved these revised terms of reference for the URC investment committee</w:t>
            </w:r>
          </w:p>
        </w:tc>
      </w:tr>
      <w:tr>
        <w:trPr>
          <w:trHeight w:val="440" w:hRule="atLeast"/>
        </w:trPr>
        <w:tc>
          <w:tcPr>
            <w:tcW w:w="2660" w:type="dxa"/>
            <w:shd w:val="clear" w:color="auto" w:fill="FFFFFF"/>
          </w:tcPr>
          <w:p>
            <w:pPr>
              <w:pStyle w:val="TableParagraph"/>
              <w:spacing w:before="128"/>
              <w:rPr>
                <w:rFonts w:ascii="Stone Sans II ITC Std Bk"/>
                <w:b/>
                <w:sz w:val="20"/>
              </w:rPr>
            </w:pPr>
            <w:r>
              <w:rPr>
                <w:rFonts w:ascii="Stone Sans II ITC Std Bk"/>
                <w:b/>
                <w:w w:val="110"/>
                <w:sz w:val="20"/>
              </w:rPr>
              <w:t>Draft resolution(s)</w:t>
            </w:r>
          </w:p>
        </w:tc>
        <w:tc>
          <w:tcPr>
            <w:tcW w:w="6582" w:type="dxa"/>
            <w:shd w:val="clear" w:color="auto" w:fill="FFFFFF"/>
          </w:tcPr>
          <w:p>
            <w:pPr>
              <w:pStyle w:val="TableParagraph"/>
              <w:spacing w:before="128"/>
              <w:rPr>
                <w:rFonts w:ascii="Stone Sans II ITC Std Bk"/>
                <w:b/>
                <w:sz w:val="20"/>
              </w:rPr>
            </w:pPr>
            <w:r>
              <w:rPr>
                <w:rFonts w:ascii="Stone Sans II ITC Std Bk"/>
                <w:b/>
                <w:w w:val="110"/>
                <w:sz w:val="20"/>
              </w:rPr>
              <w:t>None</w:t>
            </w:r>
          </w:p>
        </w:tc>
      </w:tr>
    </w:tbl>
    <w:p>
      <w:pPr>
        <w:pStyle w:val="BodyText"/>
        <w:spacing w:before="3"/>
        <w:rPr>
          <w:rFonts w:ascii="Stone Sans II ITC Std Bk"/>
          <w:b/>
          <w:sz w:val="29"/>
        </w:rPr>
      </w:pPr>
    </w:p>
    <w:p>
      <w:pPr>
        <w:pStyle w:val="Heading4"/>
        <w:spacing w:before="1"/>
        <w:ind w:left="547"/>
      </w:pPr>
      <w:r>
        <w:rPr>
          <w:color w:val="7F7F7F"/>
        </w:rPr>
        <w:t>Summary of Content</w:t>
      </w:r>
    </w:p>
    <w:tbl>
      <w:tblPr>
        <w:tblW w:w="0" w:type="auto"/>
        <w:jc w:val="left"/>
        <w:tblInd w:w="55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660"/>
        <w:gridCol w:w="6582"/>
      </w:tblGrid>
      <w:tr>
        <w:trPr>
          <w:trHeight w:val="680" w:hRule="atLeast"/>
        </w:trPr>
        <w:tc>
          <w:tcPr>
            <w:tcW w:w="2660" w:type="dxa"/>
            <w:shd w:val="clear" w:color="auto" w:fill="FFFFFF"/>
          </w:tcPr>
          <w:p>
            <w:pPr>
              <w:pStyle w:val="TableParagraph"/>
              <w:spacing w:before="128"/>
              <w:rPr>
                <w:rFonts w:ascii="Stone Sans II ITC Std Bk"/>
                <w:b/>
                <w:sz w:val="20"/>
              </w:rPr>
            </w:pPr>
            <w:r>
              <w:rPr>
                <w:rFonts w:ascii="Stone Sans II ITC Std Bk"/>
                <w:b/>
                <w:w w:val="110"/>
                <w:sz w:val="20"/>
              </w:rPr>
              <w:t>Subject and aim(s)</w:t>
            </w:r>
          </w:p>
        </w:tc>
        <w:tc>
          <w:tcPr>
            <w:tcW w:w="6582" w:type="dxa"/>
            <w:shd w:val="clear" w:color="auto" w:fill="FFFFFF"/>
          </w:tcPr>
          <w:p>
            <w:pPr>
              <w:pStyle w:val="TableParagraph"/>
              <w:spacing w:line="235" w:lineRule="auto" w:before="145"/>
              <w:ind w:right="1703"/>
              <w:rPr>
                <w:sz w:val="20"/>
              </w:rPr>
            </w:pPr>
            <w:r>
              <w:rPr>
                <w:w w:val="120"/>
                <w:sz w:val="20"/>
              </w:rPr>
              <w:t>URC investment committee terms of reference To approve the updated terms of reference</w:t>
            </w:r>
          </w:p>
        </w:tc>
      </w:tr>
      <w:tr>
        <w:trPr>
          <w:trHeight w:val="1160" w:hRule="atLeast"/>
        </w:trPr>
        <w:tc>
          <w:tcPr>
            <w:tcW w:w="2660" w:type="dxa"/>
            <w:shd w:val="clear" w:color="auto" w:fill="FFFFFF"/>
          </w:tcPr>
          <w:p>
            <w:pPr>
              <w:pStyle w:val="TableParagraph"/>
              <w:spacing w:before="128"/>
              <w:rPr>
                <w:rFonts w:ascii="Stone Sans II ITC Std Bk"/>
                <w:b/>
                <w:sz w:val="20"/>
              </w:rPr>
            </w:pPr>
            <w:r>
              <w:rPr>
                <w:rFonts w:ascii="Stone Sans II ITC Std Bk"/>
                <w:b/>
                <w:w w:val="110"/>
                <w:sz w:val="20"/>
              </w:rPr>
              <w:t>Main points</w:t>
            </w:r>
          </w:p>
        </w:tc>
        <w:tc>
          <w:tcPr>
            <w:tcW w:w="6582" w:type="dxa"/>
            <w:shd w:val="clear" w:color="auto" w:fill="FFFFFF"/>
          </w:tcPr>
          <w:p>
            <w:pPr>
              <w:pStyle w:val="TableParagraph"/>
              <w:spacing w:line="235" w:lineRule="auto" w:before="145"/>
              <w:ind w:right="182"/>
              <w:rPr>
                <w:sz w:val="20"/>
              </w:rPr>
            </w:pPr>
            <w:r>
              <w:rPr>
                <w:w w:val="120"/>
                <w:sz w:val="20"/>
              </w:rPr>
              <w:t>The URC investment committee has re-drafted its terms of reference to include responsibility for the lay staff pension fund and to allow for flexibility in the members of the committee in the event that a particular member could not attend</w:t>
            </w:r>
          </w:p>
        </w:tc>
      </w:tr>
      <w:tr>
        <w:trPr>
          <w:trHeight w:val="680" w:hRule="atLeast"/>
        </w:trPr>
        <w:tc>
          <w:tcPr>
            <w:tcW w:w="2660" w:type="dxa"/>
            <w:shd w:val="clear" w:color="auto" w:fill="FFFFFF"/>
          </w:tcPr>
          <w:p>
            <w:pPr>
              <w:pStyle w:val="TableParagraph"/>
              <w:spacing w:line="213" w:lineRule="auto" w:before="151"/>
              <w:ind w:right="701"/>
              <w:rPr>
                <w:rFonts w:ascii="Stone Sans II ITC Std Bk"/>
                <w:b/>
                <w:sz w:val="20"/>
              </w:rPr>
            </w:pPr>
            <w:r>
              <w:rPr>
                <w:rFonts w:ascii="Stone Sans II ITC Std Bk"/>
                <w:b/>
                <w:w w:val="110"/>
                <w:sz w:val="20"/>
              </w:rPr>
              <w:t>Previous relevant documents</w:t>
            </w:r>
          </w:p>
        </w:tc>
        <w:tc>
          <w:tcPr>
            <w:tcW w:w="6582" w:type="dxa"/>
            <w:shd w:val="clear" w:color="auto" w:fill="FFFFFF"/>
          </w:tcPr>
          <w:p>
            <w:pPr>
              <w:pStyle w:val="TableParagraph"/>
              <w:spacing w:before="141"/>
              <w:rPr>
                <w:sz w:val="20"/>
              </w:rPr>
            </w:pPr>
            <w:r>
              <w:rPr>
                <w:w w:val="120"/>
                <w:sz w:val="20"/>
              </w:rPr>
              <w:t>Previous URCIC terms of reference</w:t>
            </w:r>
          </w:p>
        </w:tc>
      </w:tr>
      <w:tr>
        <w:trPr>
          <w:trHeight w:val="920" w:hRule="atLeast"/>
        </w:trPr>
        <w:tc>
          <w:tcPr>
            <w:tcW w:w="2660" w:type="dxa"/>
            <w:shd w:val="clear" w:color="auto" w:fill="FFFFFF"/>
          </w:tcPr>
          <w:p>
            <w:pPr>
              <w:pStyle w:val="TableParagraph"/>
              <w:spacing w:line="213" w:lineRule="auto" w:before="151"/>
              <w:ind w:right="104"/>
              <w:rPr>
                <w:rFonts w:ascii="Stone Sans II ITC Std Bk"/>
                <w:b/>
                <w:sz w:val="20"/>
              </w:rPr>
            </w:pPr>
            <w:r>
              <w:rPr>
                <w:rFonts w:ascii="Stone Sans II ITC Std Bk"/>
                <w:b/>
                <w:w w:val="110"/>
                <w:sz w:val="20"/>
              </w:rPr>
              <w:t>Consultation has taken place with...</w:t>
            </w:r>
          </w:p>
        </w:tc>
        <w:tc>
          <w:tcPr>
            <w:tcW w:w="6582" w:type="dxa"/>
            <w:shd w:val="clear" w:color="auto" w:fill="FFFFFF"/>
          </w:tcPr>
          <w:p>
            <w:pPr>
              <w:pStyle w:val="TableParagraph"/>
              <w:spacing w:line="235" w:lineRule="auto" w:before="145"/>
              <w:ind w:right="3720"/>
              <w:rPr>
                <w:sz w:val="20"/>
              </w:rPr>
            </w:pPr>
            <w:r>
              <w:rPr>
                <w:w w:val="120"/>
                <w:sz w:val="20"/>
              </w:rPr>
              <w:t>URC investment committee URC Trust</w:t>
            </w:r>
          </w:p>
          <w:p>
            <w:pPr>
              <w:pStyle w:val="TableParagraph"/>
              <w:spacing w:line="242" w:lineRule="exact"/>
              <w:rPr>
                <w:sz w:val="20"/>
              </w:rPr>
            </w:pPr>
            <w:r>
              <w:rPr>
                <w:w w:val="120"/>
                <w:sz w:val="20"/>
              </w:rPr>
              <w:t>URC Ministers’ Pensions’ Trust</w:t>
            </w:r>
          </w:p>
        </w:tc>
      </w:tr>
    </w:tbl>
    <w:p>
      <w:pPr>
        <w:pStyle w:val="BodyText"/>
        <w:spacing w:before="3"/>
        <w:rPr>
          <w:rFonts w:ascii="Stone Sans II ITC Std Bk"/>
          <w:b/>
          <w:sz w:val="29"/>
        </w:rPr>
      </w:pPr>
    </w:p>
    <w:p>
      <w:pPr>
        <w:pStyle w:val="Heading4"/>
        <w:ind w:left="547"/>
      </w:pPr>
      <w:r>
        <w:rPr>
          <w:color w:val="7F7F7F"/>
        </w:rPr>
        <w:t>Summary of Impact</w:t>
      </w:r>
    </w:p>
    <w:tbl>
      <w:tblPr>
        <w:tblW w:w="0" w:type="auto"/>
        <w:jc w:val="left"/>
        <w:tblInd w:w="55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660"/>
        <w:gridCol w:w="6582"/>
      </w:tblGrid>
      <w:tr>
        <w:trPr>
          <w:trHeight w:val="440" w:hRule="atLeast"/>
        </w:trPr>
        <w:tc>
          <w:tcPr>
            <w:tcW w:w="2660" w:type="dxa"/>
            <w:shd w:val="clear" w:color="auto" w:fill="FFFFFF"/>
          </w:tcPr>
          <w:p>
            <w:pPr>
              <w:pStyle w:val="TableParagraph"/>
              <w:spacing w:before="128"/>
              <w:rPr>
                <w:rFonts w:ascii="Stone Sans II ITC Std Bk"/>
                <w:b/>
                <w:sz w:val="20"/>
              </w:rPr>
            </w:pPr>
            <w:r>
              <w:rPr>
                <w:rFonts w:ascii="Stone Sans II ITC Std Bk"/>
                <w:b/>
                <w:w w:val="110"/>
                <w:sz w:val="20"/>
              </w:rPr>
              <w:t>Financial</w:t>
            </w:r>
          </w:p>
        </w:tc>
        <w:tc>
          <w:tcPr>
            <w:tcW w:w="6582" w:type="dxa"/>
            <w:shd w:val="clear" w:color="auto" w:fill="FFFFFF"/>
          </w:tcPr>
          <w:p>
            <w:pPr>
              <w:pStyle w:val="TableParagraph"/>
              <w:spacing w:before="141"/>
              <w:rPr>
                <w:sz w:val="20"/>
              </w:rPr>
            </w:pPr>
            <w:r>
              <w:rPr>
                <w:w w:val="120"/>
                <w:sz w:val="20"/>
              </w:rPr>
              <w:t>None</w:t>
            </w:r>
          </w:p>
        </w:tc>
      </w:tr>
      <w:tr>
        <w:trPr>
          <w:trHeight w:val="680" w:hRule="atLeast"/>
        </w:trPr>
        <w:tc>
          <w:tcPr>
            <w:tcW w:w="2660" w:type="dxa"/>
            <w:shd w:val="clear" w:color="auto" w:fill="FFFFFF"/>
          </w:tcPr>
          <w:p>
            <w:pPr>
              <w:pStyle w:val="TableParagraph"/>
              <w:spacing w:line="255" w:lineRule="exact" w:before="128"/>
              <w:rPr>
                <w:rFonts w:ascii="Stone Sans II ITC Std Bk"/>
                <w:b/>
                <w:sz w:val="20"/>
              </w:rPr>
            </w:pPr>
            <w:r>
              <w:rPr>
                <w:rFonts w:ascii="Stone Sans II ITC Std Bk"/>
                <w:b/>
                <w:w w:val="110"/>
                <w:sz w:val="20"/>
              </w:rPr>
              <w:t>External</w:t>
            </w:r>
          </w:p>
          <w:p>
            <w:pPr>
              <w:pStyle w:val="TableParagraph"/>
              <w:spacing w:line="255" w:lineRule="exact"/>
              <w:rPr>
                <w:rFonts w:ascii="Stone Sans II ITC Std Bk"/>
                <w:b/>
                <w:sz w:val="20"/>
              </w:rPr>
            </w:pPr>
            <w:r>
              <w:rPr>
                <w:rFonts w:ascii="Stone Sans II ITC Std Bk"/>
                <w:b/>
                <w:w w:val="110"/>
                <w:sz w:val="20"/>
              </w:rPr>
              <w:t>(e.g. ecumenical)</w:t>
            </w:r>
          </w:p>
        </w:tc>
        <w:tc>
          <w:tcPr>
            <w:tcW w:w="6582" w:type="dxa"/>
            <w:shd w:val="clear" w:color="auto" w:fill="FFFFFF"/>
          </w:tcPr>
          <w:p>
            <w:pPr>
              <w:pStyle w:val="TableParagraph"/>
              <w:spacing w:before="141"/>
              <w:rPr>
                <w:sz w:val="20"/>
              </w:rPr>
            </w:pPr>
            <w:r>
              <w:rPr>
                <w:w w:val="125"/>
                <w:sz w:val="20"/>
              </w:rPr>
              <w:t>None.</w:t>
            </w:r>
          </w:p>
        </w:tc>
      </w:tr>
    </w:tbl>
    <w:p>
      <w:pPr>
        <w:pStyle w:val="BodyText"/>
        <w:rPr>
          <w:rFonts w:ascii="Stone Sans II ITC Std Bk"/>
          <w:b/>
          <w:sz w:val="30"/>
        </w:rPr>
      </w:pPr>
    </w:p>
    <w:p>
      <w:pPr>
        <w:pStyle w:val="BodyText"/>
        <w:rPr>
          <w:rFonts w:ascii="Stone Sans II ITC Std Bk"/>
          <w:b/>
          <w:sz w:val="30"/>
        </w:rPr>
      </w:pPr>
    </w:p>
    <w:p>
      <w:pPr>
        <w:pStyle w:val="BodyText"/>
        <w:rPr>
          <w:rFonts w:ascii="Stone Sans II ITC Std Bk"/>
          <w:b/>
          <w:sz w:val="30"/>
        </w:rPr>
      </w:pPr>
    </w:p>
    <w:p>
      <w:pPr>
        <w:pStyle w:val="BodyText"/>
        <w:rPr>
          <w:rFonts w:ascii="Stone Sans II ITC Std Bk"/>
          <w:b/>
          <w:sz w:val="30"/>
        </w:rPr>
      </w:pPr>
    </w:p>
    <w:p>
      <w:pPr>
        <w:pStyle w:val="BodyText"/>
        <w:rPr>
          <w:rFonts w:ascii="Stone Sans II ITC Std Bk"/>
          <w:b/>
          <w:sz w:val="30"/>
        </w:rPr>
      </w:pPr>
    </w:p>
    <w:p>
      <w:pPr>
        <w:pStyle w:val="BodyText"/>
        <w:rPr>
          <w:rFonts w:ascii="Stone Sans II ITC Std Bk"/>
          <w:b/>
          <w:sz w:val="30"/>
        </w:rPr>
      </w:pPr>
    </w:p>
    <w:p>
      <w:pPr>
        <w:pStyle w:val="BodyText"/>
        <w:rPr>
          <w:rFonts w:ascii="Stone Sans II ITC Std Bk"/>
          <w:b/>
          <w:sz w:val="30"/>
        </w:rPr>
      </w:pPr>
    </w:p>
    <w:p>
      <w:pPr>
        <w:pStyle w:val="BodyText"/>
        <w:rPr>
          <w:rFonts w:ascii="Stone Sans II ITC Std Bk"/>
          <w:b/>
          <w:sz w:val="30"/>
        </w:rPr>
      </w:pPr>
    </w:p>
    <w:p>
      <w:pPr>
        <w:pStyle w:val="BodyText"/>
        <w:rPr>
          <w:rFonts w:ascii="Stone Sans II ITC Std Bk"/>
          <w:b/>
          <w:sz w:val="30"/>
        </w:rPr>
      </w:pPr>
    </w:p>
    <w:p>
      <w:pPr>
        <w:pStyle w:val="BodyText"/>
        <w:rPr>
          <w:rFonts w:ascii="Stone Sans II ITC Std Bk"/>
          <w:b/>
          <w:sz w:val="30"/>
        </w:rPr>
      </w:pPr>
    </w:p>
    <w:p>
      <w:pPr>
        <w:pStyle w:val="BodyText"/>
        <w:spacing w:before="10"/>
        <w:rPr>
          <w:rFonts w:ascii="Stone Sans II ITC Std Bk"/>
          <w:b/>
          <w:sz w:val="22"/>
        </w:rPr>
      </w:pPr>
    </w:p>
    <w:p>
      <w:pPr>
        <w:pStyle w:val="Heading6"/>
        <w:spacing w:before="0"/>
        <w:ind w:left="547"/>
      </w:pPr>
      <w:r>
        <w:rPr>
          <w:rFonts w:ascii="Stone Sans II ITC Std X Bd" w:hAnsi="Stone Sans II ITC Std X Bd"/>
          <w:b/>
          <w:w w:val="110"/>
          <w:sz w:val="24"/>
        </w:rPr>
        <w:t>38 </w:t>
      </w:r>
      <w:r>
        <w:rPr>
          <w:rFonts w:ascii="Symbol" w:hAnsi="Symbol"/>
          <w:color w:val="7EAABF"/>
          <w:w w:val="110"/>
        </w:rPr>
        <w:t></w:t>
      </w:r>
      <w:r>
        <w:rPr>
          <w:rFonts w:ascii="Times New Roman" w:hAnsi="Times New Roman"/>
          <w:color w:val="7EAABF"/>
          <w:w w:val="110"/>
        </w:rPr>
        <w:t> </w:t>
      </w:r>
      <w:r>
        <w:rPr>
          <w:color w:val="7EAABF"/>
          <w:w w:val="110"/>
        </w:rPr>
        <w:t>United Reformed Church </w:t>
      </w:r>
      <w:r>
        <w:rPr>
          <w:rFonts w:ascii="Symbol" w:hAnsi="Symbol"/>
          <w:color w:val="7EAABF"/>
          <w:w w:val="110"/>
        </w:rPr>
        <w:t></w:t>
      </w:r>
      <w:r>
        <w:rPr>
          <w:rFonts w:ascii="Times New Roman" w:hAnsi="Times New Roman"/>
          <w:color w:val="7EAABF"/>
          <w:w w:val="110"/>
        </w:rPr>
        <w:t> </w:t>
      </w:r>
      <w:r>
        <w:rPr>
          <w:color w:val="7EAABF"/>
          <w:w w:val="110"/>
        </w:rPr>
        <w:t>General Assembly 2016</w:t>
      </w:r>
    </w:p>
    <w:p>
      <w:pPr>
        <w:spacing w:after="0"/>
        <w:sectPr>
          <w:headerReference w:type="even" r:id="rId144"/>
          <w:footerReference w:type="even" r:id="rId145"/>
          <w:pgSz w:w="11910" w:h="16840"/>
          <w:pgMar w:header="0" w:footer="0" w:top="0" w:bottom="0" w:left="700" w:right="0"/>
        </w:sectPr>
      </w:pPr>
    </w:p>
    <w:p>
      <w:pPr>
        <w:pStyle w:val="BodyText"/>
      </w:pPr>
      <w:r>
        <w:rPr/>
        <w:drawing>
          <wp:anchor distT="0" distB="0" distL="0" distR="0" allowOverlap="1" layoutInCell="1" locked="0" behindDoc="0" simplePos="0" relativeHeight="251763712">
            <wp:simplePos x="0" y="0"/>
            <wp:positionH relativeFrom="page">
              <wp:posOffset>6974928</wp:posOffset>
            </wp:positionH>
            <wp:positionV relativeFrom="page">
              <wp:posOffset>0</wp:posOffset>
            </wp:positionV>
            <wp:extent cx="585076" cy="10692003"/>
            <wp:effectExtent l="0" t="0" r="0" b="0"/>
            <wp:wrapNone/>
            <wp:docPr id="65" name="image52.png"/>
            <wp:cNvGraphicFramePr>
              <a:graphicFrameLocks noChangeAspect="1"/>
            </wp:cNvGraphicFramePr>
            <a:graphic>
              <a:graphicData uri="http://schemas.openxmlformats.org/drawingml/2006/picture">
                <pic:pic>
                  <pic:nvPicPr>
                    <pic:cNvPr id="66" name="image52.png"/>
                    <pic:cNvPicPr/>
                  </pic:nvPicPr>
                  <pic:blipFill>
                    <a:blip r:embed="rId66" cstate="print"/>
                    <a:stretch>
                      <a:fillRect/>
                    </a:stretch>
                  </pic:blipFill>
                  <pic:spPr>
                    <a:xfrm>
                      <a:off x="0" y="0"/>
                      <a:ext cx="585076" cy="10692003"/>
                    </a:xfrm>
                    <a:prstGeom prst="rect">
                      <a:avLst/>
                    </a:prstGeom>
                  </pic:spPr>
                </pic:pic>
              </a:graphicData>
            </a:graphic>
          </wp:anchor>
        </w:drawing>
      </w:r>
    </w:p>
    <w:p>
      <w:pPr>
        <w:pStyle w:val="BodyText"/>
        <w:spacing w:before="7"/>
        <w:rPr>
          <w:sz w:val="21"/>
        </w:rPr>
      </w:pPr>
    </w:p>
    <w:p>
      <w:pPr>
        <w:spacing w:before="106"/>
        <w:ind w:left="0" w:right="1245" w:firstLine="0"/>
        <w:jc w:val="right"/>
        <w:rPr>
          <w:sz w:val="26"/>
        </w:rPr>
      </w:pPr>
      <w:r>
        <w:rPr/>
        <w:pict>
          <v:shape style="position:absolute;margin-left:554.141174pt;margin-top:22.593945pt;width:25.9pt;height:267.3pt;mso-position-horizontal-relative:page;mso-position-vertical-relative:paragraph;z-index:251764736" type="#_x0000_t202" filled="false" stroked="false">
            <v:textbox inset="0,0,0,0" style="layout-flow:vertical">
              <w:txbxContent>
                <w:p>
                  <w:pPr>
                    <w:spacing w:before="27"/>
                    <w:ind w:left="20" w:right="0" w:firstLine="0"/>
                    <w:jc w:val="left"/>
                    <w:rPr>
                      <w:sz w:val="39"/>
                    </w:rPr>
                  </w:pPr>
                  <w:r>
                    <w:rPr>
                      <w:color w:val="FFFFFF"/>
                      <w:spacing w:val="8"/>
                      <w:w w:val="120"/>
                      <w:sz w:val="39"/>
                    </w:rPr>
                    <w:t>URCIC Terms </w:t>
                  </w:r>
                  <w:r>
                    <w:rPr>
                      <w:color w:val="FFFFFF"/>
                      <w:spacing w:val="5"/>
                      <w:w w:val="120"/>
                      <w:sz w:val="39"/>
                    </w:rPr>
                    <w:t>of</w:t>
                  </w:r>
                  <w:r>
                    <w:rPr>
                      <w:color w:val="FFFFFF"/>
                      <w:spacing w:val="114"/>
                      <w:w w:val="120"/>
                      <w:sz w:val="39"/>
                    </w:rPr>
                    <w:t> </w:t>
                  </w:r>
                  <w:r>
                    <w:rPr>
                      <w:color w:val="FFFFFF"/>
                      <w:spacing w:val="9"/>
                      <w:w w:val="120"/>
                      <w:sz w:val="39"/>
                    </w:rPr>
                    <w:t>Reference</w:t>
                  </w:r>
                </w:p>
              </w:txbxContent>
            </v:textbox>
            <w10:wrap type="none"/>
          </v:shape>
        </w:pict>
      </w:r>
      <w:r>
        <w:rPr>
          <w:color w:val="7EAABF"/>
          <w:w w:val="120"/>
          <w:sz w:val="26"/>
        </w:rPr>
        <w:t>Mission Council</w:t>
      </w:r>
    </w:p>
    <w:p>
      <w:pPr>
        <w:spacing w:line="196" w:lineRule="auto" w:before="268"/>
        <w:ind w:left="1270" w:right="2419" w:firstLine="0"/>
        <w:jc w:val="left"/>
        <w:rPr>
          <w:rFonts w:ascii="Stone Sans II ITC Std Bk" w:hAnsi="Stone Sans II ITC Std Bk"/>
          <w:b/>
          <w:sz w:val="29"/>
        </w:rPr>
      </w:pPr>
      <w:r>
        <w:rPr>
          <w:rFonts w:ascii="Stone Sans II ITC Std Bk" w:hAnsi="Stone Sans II ITC Std Bk"/>
          <w:b/>
          <w:w w:val="110"/>
          <w:sz w:val="29"/>
        </w:rPr>
        <w:t>United Reformed Church Trust and the United Reformed Church Ministers’ Pension Trust</w:t>
      </w:r>
    </w:p>
    <w:p>
      <w:pPr>
        <w:spacing w:line="213" w:lineRule="auto" w:before="180"/>
        <w:ind w:left="1270" w:right="1899" w:firstLine="0"/>
        <w:jc w:val="left"/>
        <w:rPr>
          <w:rFonts w:ascii="Stone Sans II ITC Std X Bd" w:hAnsi="Stone Sans II ITC Std X Bd"/>
          <w:b/>
          <w:sz w:val="50"/>
        </w:rPr>
      </w:pPr>
      <w:r>
        <w:rPr>
          <w:rFonts w:ascii="Stone Sans II ITC Std X Bd" w:hAnsi="Stone Sans II ITC Std X Bd"/>
          <w:b/>
          <w:spacing w:val="-5"/>
          <w:w w:val="110"/>
          <w:sz w:val="50"/>
        </w:rPr>
        <w:t>URC </w:t>
      </w:r>
      <w:r>
        <w:rPr>
          <w:rFonts w:ascii="Stone Sans II ITC Std X Bd" w:hAnsi="Stone Sans II ITC Std X Bd"/>
          <w:b/>
          <w:spacing w:val="-12"/>
          <w:w w:val="110"/>
          <w:sz w:val="50"/>
        </w:rPr>
        <w:t>investment </w:t>
      </w:r>
      <w:r>
        <w:rPr>
          <w:rFonts w:ascii="Stone Sans II ITC Std X Bd" w:hAnsi="Stone Sans II ITC Std X Bd"/>
          <w:b/>
          <w:spacing w:val="-10"/>
          <w:w w:val="110"/>
          <w:sz w:val="50"/>
        </w:rPr>
        <w:t>committee </w:t>
      </w:r>
      <w:r>
        <w:rPr>
          <w:rFonts w:ascii="Stone Sans II ITC Std X Bd" w:hAnsi="Stone Sans II ITC Std X Bd"/>
          <w:b/>
          <w:w w:val="110"/>
          <w:sz w:val="50"/>
        </w:rPr>
        <w:t>– </w:t>
      </w:r>
      <w:r>
        <w:rPr>
          <w:rFonts w:ascii="Stone Sans II ITC Std X Bd" w:hAnsi="Stone Sans II ITC Std X Bd"/>
          <w:b/>
          <w:spacing w:val="-10"/>
          <w:w w:val="110"/>
          <w:sz w:val="50"/>
        </w:rPr>
        <w:t>terms </w:t>
      </w:r>
      <w:r>
        <w:rPr>
          <w:rFonts w:ascii="Stone Sans II ITC Std X Bd" w:hAnsi="Stone Sans II ITC Std X Bd"/>
          <w:b/>
          <w:spacing w:val="-5"/>
          <w:w w:val="110"/>
          <w:sz w:val="50"/>
        </w:rPr>
        <w:t>of </w:t>
      </w:r>
      <w:r>
        <w:rPr>
          <w:rFonts w:ascii="Stone Sans II ITC Std X Bd" w:hAnsi="Stone Sans II ITC Std X Bd"/>
          <w:b/>
          <w:spacing w:val="-10"/>
          <w:w w:val="110"/>
          <w:sz w:val="50"/>
        </w:rPr>
        <w:t>reference</w:t>
      </w:r>
    </w:p>
    <w:p>
      <w:pPr>
        <w:pStyle w:val="ListParagraph"/>
        <w:numPr>
          <w:ilvl w:val="0"/>
          <w:numId w:val="23"/>
        </w:numPr>
        <w:tabs>
          <w:tab w:pos="1950" w:val="left" w:leader="none"/>
          <w:tab w:pos="1951" w:val="left" w:leader="none"/>
        </w:tabs>
        <w:spacing w:line="235" w:lineRule="auto" w:before="382" w:after="0"/>
        <w:ind w:left="1270" w:right="1592" w:firstLine="0"/>
        <w:jc w:val="left"/>
        <w:rPr>
          <w:sz w:val="20"/>
        </w:rPr>
      </w:pPr>
      <w:r>
        <w:rPr>
          <w:w w:val="120"/>
          <w:sz w:val="20"/>
        </w:rPr>
        <w:t>The terms of reference of the United Reformed Church investment committee (URCIC) shall be as</w:t>
      </w:r>
      <w:r>
        <w:rPr>
          <w:spacing w:val="9"/>
          <w:w w:val="120"/>
          <w:sz w:val="20"/>
        </w:rPr>
        <w:t> </w:t>
      </w:r>
      <w:r>
        <w:rPr>
          <w:w w:val="120"/>
          <w:sz w:val="20"/>
        </w:rPr>
        <w:t>follows:</w:t>
      </w:r>
    </w:p>
    <w:p>
      <w:pPr>
        <w:pStyle w:val="ListParagraph"/>
        <w:numPr>
          <w:ilvl w:val="0"/>
          <w:numId w:val="24"/>
        </w:numPr>
        <w:tabs>
          <w:tab w:pos="1950" w:val="left" w:leader="none"/>
          <w:tab w:pos="1951" w:val="left" w:leader="none"/>
        </w:tabs>
        <w:spacing w:line="235" w:lineRule="auto" w:before="2" w:after="0"/>
        <w:ind w:left="1950" w:right="1528" w:hanging="681"/>
        <w:jc w:val="left"/>
        <w:rPr>
          <w:sz w:val="20"/>
        </w:rPr>
      </w:pPr>
      <w:r>
        <w:rPr>
          <w:w w:val="120"/>
          <w:sz w:val="20"/>
        </w:rPr>
        <w:t>the committee shall provide guidance to the URC Trust and the URC Ministers’ Pension Trust in relation to all matters relating to the investment of the assets held by those</w:t>
      </w:r>
      <w:r>
        <w:rPr>
          <w:spacing w:val="5"/>
          <w:w w:val="120"/>
          <w:sz w:val="20"/>
        </w:rPr>
        <w:t> </w:t>
      </w:r>
      <w:r>
        <w:rPr>
          <w:w w:val="120"/>
          <w:sz w:val="20"/>
        </w:rPr>
        <w:t>Trusts;</w:t>
      </w:r>
    </w:p>
    <w:p>
      <w:pPr>
        <w:pStyle w:val="ListParagraph"/>
        <w:numPr>
          <w:ilvl w:val="0"/>
          <w:numId w:val="24"/>
        </w:numPr>
        <w:tabs>
          <w:tab w:pos="1950" w:val="left" w:leader="none"/>
          <w:tab w:pos="1951" w:val="left" w:leader="none"/>
        </w:tabs>
        <w:spacing w:line="235" w:lineRule="auto" w:before="2" w:after="0"/>
        <w:ind w:left="1950" w:right="1498" w:hanging="681"/>
        <w:jc w:val="left"/>
        <w:rPr>
          <w:sz w:val="20"/>
        </w:rPr>
      </w:pPr>
      <w:r>
        <w:rPr>
          <w:w w:val="120"/>
          <w:sz w:val="20"/>
        </w:rPr>
        <w:t>the committee shall also interpret the </w:t>
      </w:r>
      <w:r>
        <w:rPr>
          <w:spacing w:val="-3"/>
          <w:w w:val="120"/>
          <w:sz w:val="20"/>
        </w:rPr>
        <w:t>Church’s </w:t>
      </w:r>
      <w:r>
        <w:rPr>
          <w:w w:val="120"/>
          <w:sz w:val="20"/>
        </w:rPr>
        <w:t>views on investment strategy and ethical investment for input to The Pensions Trust in respect of the lay staff pension</w:t>
      </w:r>
      <w:r>
        <w:rPr>
          <w:spacing w:val="2"/>
          <w:w w:val="120"/>
          <w:sz w:val="20"/>
        </w:rPr>
        <w:t> </w:t>
      </w:r>
      <w:r>
        <w:rPr>
          <w:w w:val="120"/>
          <w:sz w:val="20"/>
        </w:rPr>
        <w:t>scheme;</w:t>
      </w:r>
    </w:p>
    <w:p>
      <w:pPr>
        <w:pStyle w:val="ListParagraph"/>
        <w:numPr>
          <w:ilvl w:val="0"/>
          <w:numId w:val="24"/>
        </w:numPr>
        <w:tabs>
          <w:tab w:pos="1950" w:val="left" w:leader="none"/>
          <w:tab w:pos="1951" w:val="left" w:leader="none"/>
        </w:tabs>
        <w:spacing w:line="235" w:lineRule="auto" w:before="2" w:after="0"/>
        <w:ind w:left="1950" w:right="1789" w:hanging="681"/>
        <w:jc w:val="left"/>
        <w:rPr>
          <w:sz w:val="20"/>
        </w:rPr>
      </w:pPr>
      <w:r>
        <w:rPr>
          <w:w w:val="120"/>
          <w:sz w:val="20"/>
        </w:rPr>
        <w:t>the committee shall also act as monitor on the performance of The Pensions Trust investment managers in order to make any necessary representations to</w:t>
      </w:r>
      <w:r>
        <w:rPr>
          <w:spacing w:val="1"/>
          <w:w w:val="120"/>
          <w:sz w:val="20"/>
        </w:rPr>
        <w:t> </w:t>
      </w:r>
      <w:r>
        <w:rPr>
          <w:w w:val="120"/>
          <w:sz w:val="20"/>
        </w:rPr>
        <w:t>them;</w:t>
      </w:r>
    </w:p>
    <w:p>
      <w:pPr>
        <w:pStyle w:val="ListParagraph"/>
        <w:numPr>
          <w:ilvl w:val="0"/>
          <w:numId w:val="24"/>
        </w:numPr>
        <w:tabs>
          <w:tab w:pos="1950" w:val="left" w:leader="none"/>
          <w:tab w:pos="1951" w:val="left" w:leader="none"/>
        </w:tabs>
        <w:spacing w:line="235" w:lineRule="auto" w:before="2" w:after="0"/>
        <w:ind w:left="1950" w:right="1882" w:hanging="681"/>
        <w:jc w:val="left"/>
        <w:rPr>
          <w:sz w:val="20"/>
        </w:rPr>
      </w:pPr>
      <w:r>
        <w:rPr>
          <w:w w:val="120"/>
          <w:sz w:val="20"/>
        </w:rPr>
        <w:t>the committee shall secure advice and support from investment specialists to enable clear recommendations to be made to the Boards of the Trusts in</w:t>
      </w:r>
    </w:p>
    <w:p>
      <w:pPr>
        <w:pStyle w:val="ListParagraph"/>
        <w:numPr>
          <w:ilvl w:val="1"/>
          <w:numId w:val="24"/>
        </w:numPr>
        <w:tabs>
          <w:tab w:pos="2263" w:val="left" w:leader="none"/>
        </w:tabs>
        <w:spacing w:line="240" w:lineRule="exact" w:before="0" w:after="0"/>
        <w:ind w:left="2262" w:right="0" w:hanging="313"/>
        <w:jc w:val="left"/>
        <w:rPr>
          <w:sz w:val="20"/>
        </w:rPr>
      </w:pPr>
      <w:r>
        <w:rPr>
          <w:w w:val="120"/>
          <w:sz w:val="20"/>
        </w:rPr>
        <w:t>above;</w:t>
      </w:r>
    </w:p>
    <w:p>
      <w:pPr>
        <w:pStyle w:val="ListParagraph"/>
        <w:numPr>
          <w:ilvl w:val="0"/>
          <w:numId w:val="24"/>
        </w:numPr>
        <w:tabs>
          <w:tab w:pos="1950" w:val="left" w:leader="none"/>
          <w:tab w:pos="1951" w:val="left" w:leader="none"/>
        </w:tabs>
        <w:spacing w:line="235" w:lineRule="auto" w:before="2" w:after="0"/>
        <w:ind w:left="1950" w:right="1547" w:hanging="681"/>
        <w:jc w:val="left"/>
        <w:rPr>
          <w:sz w:val="20"/>
        </w:rPr>
      </w:pPr>
      <w:r>
        <w:rPr>
          <w:w w:val="120"/>
          <w:sz w:val="20"/>
        </w:rPr>
        <w:t>the committee shall take decisions on behalf of the Boards, subject to the authority of the Trust Boards and within guidelines for delegation agreed with the</w:t>
      </w:r>
      <w:r>
        <w:rPr>
          <w:spacing w:val="1"/>
          <w:w w:val="120"/>
          <w:sz w:val="20"/>
        </w:rPr>
        <w:t> </w:t>
      </w:r>
      <w:r>
        <w:rPr>
          <w:w w:val="120"/>
          <w:sz w:val="20"/>
        </w:rPr>
        <w:t>Boards;</w:t>
      </w:r>
    </w:p>
    <w:p>
      <w:pPr>
        <w:pStyle w:val="ListParagraph"/>
        <w:numPr>
          <w:ilvl w:val="0"/>
          <w:numId w:val="24"/>
        </w:numPr>
        <w:tabs>
          <w:tab w:pos="1950" w:val="left" w:leader="none"/>
          <w:tab w:pos="1951" w:val="left" w:leader="none"/>
        </w:tabs>
        <w:spacing w:line="235" w:lineRule="auto" w:before="2" w:after="0"/>
        <w:ind w:left="1950" w:right="1636" w:hanging="681"/>
        <w:jc w:val="left"/>
        <w:rPr>
          <w:sz w:val="20"/>
        </w:rPr>
      </w:pPr>
      <w:r>
        <w:rPr>
          <w:w w:val="120"/>
          <w:sz w:val="20"/>
        </w:rPr>
        <w:t>the committee shall organise such training for its members as will enable it to </w:t>
      </w:r>
      <w:r>
        <w:rPr>
          <w:spacing w:val="2"/>
          <w:w w:val="120"/>
          <w:sz w:val="20"/>
        </w:rPr>
        <w:t>carry </w:t>
      </w:r>
      <w:r>
        <w:rPr>
          <w:w w:val="120"/>
          <w:sz w:val="20"/>
        </w:rPr>
        <w:t>out its duties in a professional</w:t>
      </w:r>
      <w:r>
        <w:rPr>
          <w:spacing w:val="9"/>
          <w:w w:val="120"/>
          <w:sz w:val="20"/>
        </w:rPr>
        <w:t> </w:t>
      </w:r>
      <w:r>
        <w:rPr>
          <w:w w:val="120"/>
          <w:sz w:val="20"/>
        </w:rPr>
        <w:t>manner;</w:t>
      </w:r>
    </w:p>
    <w:p>
      <w:pPr>
        <w:pStyle w:val="ListParagraph"/>
        <w:numPr>
          <w:ilvl w:val="0"/>
          <w:numId w:val="24"/>
        </w:numPr>
        <w:tabs>
          <w:tab w:pos="1951" w:val="left" w:leader="none"/>
        </w:tabs>
        <w:spacing w:line="235" w:lineRule="auto" w:before="2" w:after="0"/>
        <w:ind w:left="1950" w:right="1835" w:hanging="681"/>
        <w:jc w:val="both"/>
        <w:rPr>
          <w:sz w:val="20"/>
        </w:rPr>
      </w:pPr>
      <w:r>
        <w:rPr>
          <w:w w:val="120"/>
          <w:sz w:val="20"/>
        </w:rPr>
        <w:t>the committee shall work with ethical investment guidelines agreed by the General Assembly and give advice on ethical investment matters to Mission Council.</w:t>
      </w:r>
    </w:p>
    <w:p>
      <w:pPr>
        <w:pStyle w:val="BodyText"/>
        <w:spacing w:before="6"/>
        <w:rPr>
          <w:sz w:val="19"/>
        </w:rPr>
      </w:pPr>
    </w:p>
    <w:p>
      <w:pPr>
        <w:pStyle w:val="ListParagraph"/>
        <w:numPr>
          <w:ilvl w:val="0"/>
          <w:numId w:val="23"/>
        </w:numPr>
        <w:tabs>
          <w:tab w:pos="1950" w:val="left" w:leader="none"/>
          <w:tab w:pos="1951" w:val="left" w:leader="none"/>
        </w:tabs>
        <w:spacing w:line="242" w:lineRule="exact" w:before="0" w:after="0"/>
        <w:ind w:left="1950" w:right="0" w:hanging="681"/>
        <w:jc w:val="left"/>
        <w:rPr>
          <w:sz w:val="20"/>
        </w:rPr>
      </w:pPr>
      <w:r>
        <w:rPr>
          <w:w w:val="120"/>
          <w:sz w:val="20"/>
        </w:rPr>
        <w:t>The composition of the URCIC shall be as</w:t>
      </w:r>
      <w:r>
        <w:rPr>
          <w:spacing w:val="18"/>
          <w:w w:val="120"/>
          <w:sz w:val="20"/>
        </w:rPr>
        <w:t> </w:t>
      </w:r>
      <w:r>
        <w:rPr>
          <w:w w:val="120"/>
          <w:sz w:val="20"/>
        </w:rPr>
        <w:t>follows:</w:t>
      </w:r>
    </w:p>
    <w:p>
      <w:pPr>
        <w:pStyle w:val="ListParagraph"/>
        <w:numPr>
          <w:ilvl w:val="0"/>
          <w:numId w:val="25"/>
        </w:numPr>
        <w:tabs>
          <w:tab w:pos="1950" w:val="left" w:leader="none"/>
          <w:tab w:pos="1951" w:val="left" w:leader="none"/>
        </w:tabs>
        <w:spacing w:line="240" w:lineRule="exact" w:before="0" w:after="0"/>
        <w:ind w:left="1950" w:right="0" w:hanging="681"/>
        <w:jc w:val="left"/>
        <w:rPr>
          <w:sz w:val="20"/>
        </w:rPr>
      </w:pPr>
      <w:r>
        <w:rPr>
          <w:w w:val="120"/>
          <w:sz w:val="20"/>
        </w:rPr>
        <w:t>Ex-officio</w:t>
      </w:r>
      <w:r>
        <w:rPr>
          <w:spacing w:val="1"/>
          <w:w w:val="120"/>
          <w:sz w:val="20"/>
        </w:rPr>
        <w:t> </w:t>
      </w:r>
      <w:r>
        <w:rPr>
          <w:w w:val="120"/>
          <w:sz w:val="20"/>
        </w:rPr>
        <w:t>members:</w:t>
      </w:r>
    </w:p>
    <w:p>
      <w:pPr>
        <w:pStyle w:val="ListParagraph"/>
        <w:numPr>
          <w:ilvl w:val="1"/>
          <w:numId w:val="25"/>
        </w:numPr>
        <w:tabs>
          <w:tab w:pos="2630" w:val="left" w:leader="none"/>
          <w:tab w:pos="2631" w:val="left" w:leader="none"/>
        </w:tabs>
        <w:spacing w:line="240" w:lineRule="exact" w:before="0" w:after="0"/>
        <w:ind w:left="2630" w:right="0" w:hanging="681"/>
        <w:jc w:val="left"/>
        <w:rPr>
          <w:sz w:val="20"/>
        </w:rPr>
      </w:pPr>
      <w:r>
        <w:rPr>
          <w:w w:val="120"/>
          <w:sz w:val="20"/>
        </w:rPr>
        <w:t>the chair of the URC Trust or another</w:t>
      </w:r>
      <w:r>
        <w:rPr>
          <w:spacing w:val="14"/>
          <w:w w:val="120"/>
          <w:sz w:val="20"/>
        </w:rPr>
        <w:t> </w:t>
      </w:r>
      <w:r>
        <w:rPr>
          <w:w w:val="120"/>
          <w:sz w:val="20"/>
        </w:rPr>
        <w:t>director;</w:t>
      </w:r>
    </w:p>
    <w:p>
      <w:pPr>
        <w:pStyle w:val="ListParagraph"/>
        <w:numPr>
          <w:ilvl w:val="1"/>
          <w:numId w:val="25"/>
        </w:numPr>
        <w:tabs>
          <w:tab w:pos="2630" w:val="left" w:leader="none"/>
          <w:tab w:pos="2631" w:val="left" w:leader="none"/>
        </w:tabs>
        <w:spacing w:line="240" w:lineRule="exact" w:before="0" w:after="0"/>
        <w:ind w:left="2630" w:right="0" w:hanging="681"/>
        <w:jc w:val="left"/>
        <w:rPr>
          <w:sz w:val="20"/>
        </w:rPr>
      </w:pPr>
      <w:r>
        <w:rPr>
          <w:w w:val="120"/>
          <w:sz w:val="20"/>
        </w:rPr>
        <w:t>the chair of the URC Ministers’ Pension Trust Board or another</w:t>
      </w:r>
      <w:r>
        <w:rPr>
          <w:spacing w:val="9"/>
          <w:w w:val="120"/>
          <w:sz w:val="20"/>
        </w:rPr>
        <w:t> </w:t>
      </w:r>
      <w:r>
        <w:rPr>
          <w:w w:val="120"/>
          <w:sz w:val="20"/>
        </w:rPr>
        <w:t>director;</w:t>
      </w:r>
    </w:p>
    <w:p>
      <w:pPr>
        <w:pStyle w:val="ListParagraph"/>
        <w:numPr>
          <w:ilvl w:val="1"/>
          <w:numId w:val="25"/>
        </w:numPr>
        <w:tabs>
          <w:tab w:pos="2630" w:val="left" w:leader="none"/>
          <w:tab w:pos="2631" w:val="left" w:leader="none"/>
        </w:tabs>
        <w:spacing w:line="240" w:lineRule="exact" w:before="0" w:after="0"/>
        <w:ind w:left="2630" w:right="0" w:hanging="681"/>
        <w:jc w:val="left"/>
        <w:rPr>
          <w:sz w:val="20"/>
        </w:rPr>
      </w:pPr>
      <w:r>
        <w:rPr>
          <w:w w:val="120"/>
          <w:sz w:val="20"/>
        </w:rPr>
        <w:t>the Treasurer of the United Reformed</w:t>
      </w:r>
      <w:r>
        <w:rPr>
          <w:spacing w:val="9"/>
          <w:w w:val="120"/>
          <w:sz w:val="20"/>
        </w:rPr>
        <w:t> </w:t>
      </w:r>
      <w:r>
        <w:rPr>
          <w:w w:val="120"/>
          <w:sz w:val="20"/>
        </w:rPr>
        <w:t>Church;</w:t>
      </w:r>
    </w:p>
    <w:p>
      <w:pPr>
        <w:pStyle w:val="ListParagraph"/>
        <w:numPr>
          <w:ilvl w:val="1"/>
          <w:numId w:val="25"/>
        </w:numPr>
        <w:tabs>
          <w:tab w:pos="2630" w:val="left" w:leader="none"/>
          <w:tab w:pos="2631" w:val="left" w:leader="none"/>
        </w:tabs>
        <w:spacing w:line="240" w:lineRule="exact" w:before="0" w:after="0"/>
        <w:ind w:left="2630" w:right="0" w:hanging="681"/>
        <w:jc w:val="left"/>
        <w:rPr>
          <w:sz w:val="20"/>
        </w:rPr>
      </w:pPr>
      <w:r>
        <w:rPr>
          <w:w w:val="120"/>
          <w:sz w:val="20"/>
        </w:rPr>
        <w:t>the treasurer of Westminster College, or their nominated</w:t>
      </w:r>
      <w:r>
        <w:rPr>
          <w:spacing w:val="2"/>
          <w:w w:val="120"/>
          <w:sz w:val="20"/>
        </w:rPr>
        <w:t> </w:t>
      </w:r>
      <w:r>
        <w:rPr>
          <w:w w:val="120"/>
          <w:sz w:val="20"/>
        </w:rPr>
        <w:t>representative;</w:t>
      </w:r>
    </w:p>
    <w:p>
      <w:pPr>
        <w:pStyle w:val="ListParagraph"/>
        <w:numPr>
          <w:ilvl w:val="1"/>
          <w:numId w:val="25"/>
        </w:numPr>
        <w:tabs>
          <w:tab w:pos="2630" w:val="left" w:leader="none"/>
          <w:tab w:pos="2631" w:val="left" w:leader="none"/>
        </w:tabs>
        <w:spacing w:line="235" w:lineRule="auto" w:before="2" w:after="0"/>
        <w:ind w:left="2630" w:right="2750" w:hanging="681"/>
        <w:jc w:val="left"/>
        <w:rPr>
          <w:sz w:val="20"/>
        </w:rPr>
      </w:pPr>
      <w:r>
        <w:rPr>
          <w:w w:val="120"/>
          <w:sz w:val="20"/>
        </w:rPr>
        <w:t>the convenor of the Pensions Executive, or their nominated representative.</w:t>
      </w:r>
    </w:p>
    <w:p>
      <w:pPr>
        <w:pStyle w:val="ListParagraph"/>
        <w:numPr>
          <w:ilvl w:val="0"/>
          <w:numId w:val="25"/>
        </w:numPr>
        <w:tabs>
          <w:tab w:pos="1950" w:val="left" w:leader="none"/>
          <w:tab w:pos="1951" w:val="left" w:leader="none"/>
        </w:tabs>
        <w:spacing w:line="235" w:lineRule="auto" w:before="1" w:after="0"/>
        <w:ind w:left="1950" w:right="2345" w:hanging="681"/>
        <w:jc w:val="left"/>
        <w:rPr>
          <w:sz w:val="20"/>
        </w:rPr>
      </w:pPr>
      <w:r>
        <w:rPr>
          <w:w w:val="120"/>
          <w:sz w:val="20"/>
        </w:rPr>
        <w:t>Five members appointed by the General Assembly for four year terms, renewable</w:t>
      </w:r>
      <w:r>
        <w:rPr>
          <w:spacing w:val="2"/>
          <w:w w:val="120"/>
          <w:sz w:val="20"/>
        </w:rPr>
        <w:t> </w:t>
      </w:r>
      <w:r>
        <w:rPr>
          <w:w w:val="120"/>
          <w:sz w:val="20"/>
        </w:rPr>
        <w:t>once.</w:t>
      </w:r>
    </w:p>
    <w:p>
      <w:pPr>
        <w:pStyle w:val="ListParagraph"/>
        <w:numPr>
          <w:ilvl w:val="0"/>
          <w:numId w:val="25"/>
        </w:numPr>
        <w:tabs>
          <w:tab w:pos="1950" w:val="left" w:leader="none"/>
          <w:tab w:pos="1951" w:val="left" w:leader="none"/>
        </w:tabs>
        <w:spacing w:line="240" w:lineRule="exact" w:before="0" w:after="0"/>
        <w:ind w:left="1950" w:right="0" w:hanging="681"/>
        <w:jc w:val="left"/>
        <w:rPr>
          <w:sz w:val="20"/>
        </w:rPr>
      </w:pPr>
      <w:r>
        <w:rPr>
          <w:w w:val="120"/>
          <w:sz w:val="20"/>
        </w:rPr>
        <w:t>Any additional members co-opted by the</w:t>
      </w:r>
      <w:r>
        <w:rPr>
          <w:spacing w:val="15"/>
          <w:w w:val="120"/>
          <w:sz w:val="20"/>
        </w:rPr>
        <w:t> </w:t>
      </w:r>
      <w:r>
        <w:rPr>
          <w:w w:val="120"/>
          <w:sz w:val="20"/>
        </w:rPr>
        <w:t>committee.</w:t>
      </w:r>
    </w:p>
    <w:p>
      <w:pPr>
        <w:pStyle w:val="ListParagraph"/>
        <w:numPr>
          <w:ilvl w:val="0"/>
          <w:numId w:val="25"/>
        </w:numPr>
        <w:tabs>
          <w:tab w:pos="1950" w:val="left" w:leader="none"/>
          <w:tab w:pos="1951" w:val="left" w:leader="none"/>
        </w:tabs>
        <w:spacing w:line="240" w:lineRule="exact" w:before="0" w:after="0"/>
        <w:ind w:left="1950" w:right="0" w:hanging="681"/>
        <w:jc w:val="left"/>
        <w:rPr>
          <w:sz w:val="20"/>
        </w:rPr>
      </w:pPr>
      <w:r>
        <w:rPr>
          <w:w w:val="120"/>
          <w:sz w:val="20"/>
        </w:rPr>
        <w:t>Staff in</w:t>
      </w:r>
      <w:r>
        <w:rPr>
          <w:spacing w:val="3"/>
          <w:w w:val="120"/>
          <w:sz w:val="20"/>
        </w:rPr>
        <w:t> </w:t>
      </w:r>
      <w:r>
        <w:rPr>
          <w:w w:val="120"/>
          <w:sz w:val="20"/>
        </w:rPr>
        <w:t>attendance:</w:t>
      </w:r>
    </w:p>
    <w:p>
      <w:pPr>
        <w:pStyle w:val="ListParagraph"/>
        <w:numPr>
          <w:ilvl w:val="1"/>
          <w:numId w:val="25"/>
        </w:numPr>
        <w:tabs>
          <w:tab w:pos="2630" w:val="left" w:leader="none"/>
          <w:tab w:pos="2631" w:val="left" w:leader="none"/>
        </w:tabs>
        <w:spacing w:line="240" w:lineRule="exact" w:before="0" w:after="0"/>
        <w:ind w:left="2630" w:right="0" w:hanging="681"/>
        <w:jc w:val="left"/>
        <w:rPr>
          <w:sz w:val="20"/>
        </w:rPr>
      </w:pPr>
      <w:r>
        <w:rPr>
          <w:w w:val="120"/>
          <w:sz w:val="20"/>
        </w:rPr>
        <w:t>the Chief Finance</w:t>
      </w:r>
      <w:r>
        <w:rPr>
          <w:spacing w:val="5"/>
          <w:w w:val="120"/>
          <w:sz w:val="20"/>
        </w:rPr>
        <w:t> </w:t>
      </w:r>
      <w:r>
        <w:rPr>
          <w:w w:val="120"/>
          <w:sz w:val="20"/>
        </w:rPr>
        <w:t>Officer;</w:t>
      </w:r>
    </w:p>
    <w:p>
      <w:pPr>
        <w:pStyle w:val="ListParagraph"/>
        <w:numPr>
          <w:ilvl w:val="1"/>
          <w:numId w:val="25"/>
        </w:numPr>
        <w:tabs>
          <w:tab w:pos="2630" w:val="left" w:leader="none"/>
          <w:tab w:pos="2631" w:val="left" w:leader="none"/>
        </w:tabs>
        <w:spacing w:line="218" w:lineRule="auto" w:before="16" w:after="0"/>
        <w:ind w:left="2630" w:right="1872" w:hanging="681"/>
        <w:jc w:val="left"/>
        <w:rPr>
          <w:sz w:val="20"/>
        </w:rPr>
      </w:pPr>
      <w:r>
        <w:rPr>
          <w:w w:val="120"/>
          <w:sz w:val="20"/>
        </w:rPr>
        <w:t>the secretary to the URC Trust and the URC Ministers’ Pension Trust, who shall act as secretary of</w:t>
      </w:r>
      <w:r>
        <w:rPr>
          <w:spacing w:val="10"/>
          <w:w w:val="120"/>
          <w:sz w:val="20"/>
        </w:rPr>
        <w:t> </w:t>
      </w:r>
      <w:r>
        <w:rPr>
          <w:w w:val="120"/>
          <w:sz w:val="20"/>
        </w:rPr>
        <w:t>URCIC</w:t>
      </w:r>
      <w:r>
        <w:rPr>
          <w:w w:val="120"/>
          <w:position w:val="4"/>
          <w:sz w:val="18"/>
        </w:rPr>
        <w:t>1</w:t>
      </w:r>
      <w:r>
        <w:rPr>
          <w:w w:val="120"/>
          <w:sz w:val="20"/>
        </w:rPr>
        <w:t>;</w:t>
      </w:r>
    </w:p>
    <w:p>
      <w:pPr>
        <w:pStyle w:val="ListParagraph"/>
        <w:numPr>
          <w:ilvl w:val="0"/>
          <w:numId w:val="25"/>
        </w:numPr>
        <w:tabs>
          <w:tab w:pos="1950" w:val="left" w:leader="none"/>
          <w:tab w:pos="1951" w:val="left" w:leader="none"/>
        </w:tabs>
        <w:spacing w:line="235" w:lineRule="auto" w:before="1" w:after="0"/>
        <w:ind w:left="1950" w:right="1801" w:hanging="681"/>
        <w:jc w:val="left"/>
        <w:rPr>
          <w:sz w:val="20"/>
        </w:rPr>
      </w:pPr>
      <w:r>
        <w:rPr>
          <w:w w:val="120"/>
          <w:sz w:val="20"/>
        </w:rPr>
        <w:t>A convener for the URC investment committee, appointed by the General Assembly from amongst those in groups </w:t>
      </w:r>
      <w:r>
        <w:rPr>
          <w:spacing w:val="-11"/>
          <w:w w:val="120"/>
          <w:sz w:val="20"/>
        </w:rPr>
        <w:t>(a) </w:t>
      </w:r>
      <w:r>
        <w:rPr>
          <w:w w:val="120"/>
          <w:sz w:val="20"/>
        </w:rPr>
        <w:t>and </w:t>
      </w:r>
      <w:r>
        <w:rPr>
          <w:spacing w:val="-7"/>
          <w:w w:val="120"/>
          <w:sz w:val="20"/>
        </w:rPr>
        <w:t>(b), </w:t>
      </w:r>
      <w:r>
        <w:rPr>
          <w:w w:val="120"/>
          <w:sz w:val="20"/>
        </w:rPr>
        <w:t>with the agreement of both Trust Boards and who, if not already a member, will attend each Board as an</w:t>
      </w:r>
      <w:r>
        <w:rPr>
          <w:spacing w:val="3"/>
          <w:w w:val="120"/>
          <w:sz w:val="20"/>
        </w:rPr>
        <w:t> </w:t>
      </w:r>
      <w:r>
        <w:rPr>
          <w:w w:val="120"/>
          <w:sz w:val="20"/>
        </w:rPr>
        <w:t>advisor.</w:t>
      </w:r>
    </w:p>
    <w:p>
      <w:pPr>
        <w:pStyle w:val="BodyText"/>
        <w:spacing w:before="11"/>
        <w:rPr>
          <w:sz w:val="19"/>
        </w:rPr>
      </w:pPr>
    </w:p>
    <w:p>
      <w:pPr>
        <w:pStyle w:val="ListParagraph"/>
        <w:numPr>
          <w:ilvl w:val="0"/>
          <w:numId w:val="23"/>
        </w:numPr>
        <w:tabs>
          <w:tab w:pos="1950" w:val="left" w:leader="none"/>
          <w:tab w:pos="1951" w:val="left" w:leader="none"/>
        </w:tabs>
        <w:spacing w:line="235" w:lineRule="auto" w:before="0" w:after="0"/>
        <w:ind w:left="1270" w:right="1506" w:firstLine="0"/>
        <w:jc w:val="left"/>
        <w:rPr>
          <w:sz w:val="20"/>
        </w:rPr>
      </w:pPr>
      <w:r>
        <w:rPr>
          <w:w w:val="120"/>
          <w:sz w:val="20"/>
        </w:rPr>
        <w:t>A quorum for committee decisions shall be a total of five members drawn from groups </w:t>
      </w:r>
      <w:r>
        <w:rPr>
          <w:spacing w:val="-11"/>
          <w:w w:val="120"/>
          <w:sz w:val="20"/>
        </w:rPr>
        <w:t>(a) </w:t>
      </w:r>
      <w:r>
        <w:rPr>
          <w:w w:val="120"/>
          <w:sz w:val="20"/>
        </w:rPr>
        <w:t>and </w:t>
      </w:r>
      <w:r>
        <w:rPr>
          <w:spacing w:val="-7"/>
          <w:w w:val="120"/>
          <w:sz w:val="20"/>
        </w:rPr>
        <w:t>(b)</w:t>
      </w:r>
      <w:r>
        <w:rPr>
          <w:spacing w:val="-21"/>
          <w:w w:val="120"/>
          <w:sz w:val="20"/>
        </w:rPr>
        <w:t> </w:t>
      </w:r>
      <w:r>
        <w:rPr>
          <w:w w:val="120"/>
          <w:sz w:val="20"/>
        </w:rPr>
        <w:t>above.</w:t>
      </w:r>
    </w:p>
    <w:p>
      <w:pPr>
        <w:pStyle w:val="BodyText"/>
      </w:pPr>
    </w:p>
    <w:p>
      <w:pPr>
        <w:pStyle w:val="BodyText"/>
        <w:rPr>
          <w:sz w:val="27"/>
        </w:rPr>
      </w:pPr>
      <w:r>
        <w:rPr/>
        <w:pict>
          <v:shape style="position:absolute;margin-left:99.212601pt;margin-top:18.833143pt;width:114.85pt;height:.1pt;mso-position-horizontal-relative:page;mso-position-vertical-relative:paragraph;z-index:-251553792;mso-wrap-distance-left:0;mso-wrap-distance-right:0" coordorigin="1984,377" coordsize="2297,0" path="m1984,377l4280,377e" filled="false" stroked="true" strokeweight=".75pt" strokecolor="#f1b400">
            <v:path arrowok="t"/>
            <v:stroke dashstyle="solid"/>
            <w10:wrap type="topAndBottom"/>
          </v:shape>
        </w:pict>
      </w:r>
    </w:p>
    <w:p>
      <w:pPr>
        <w:tabs>
          <w:tab w:pos="1723" w:val="left" w:leader="none"/>
        </w:tabs>
        <w:spacing w:before="99"/>
        <w:ind w:left="1723" w:right="1337" w:hanging="454"/>
        <w:jc w:val="left"/>
        <w:rPr>
          <w:sz w:val="18"/>
        </w:rPr>
      </w:pPr>
      <w:r>
        <w:rPr>
          <w:spacing w:val="-6"/>
          <w:w w:val="115"/>
          <w:sz w:val="18"/>
        </w:rPr>
        <w:t>1.</w:t>
        <w:tab/>
      </w:r>
      <w:r>
        <w:rPr>
          <w:w w:val="115"/>
          <w:sz w:val="18"/>
        </w:rPr>
        <w:t>In the event of the unavailability of the secretary s/he will make arrangements for a substitute   to attend in liaison with the convenor of the</w:t>
      </w:r>
      <w:r>
        <w:rPr>
          <w:spacing w:val="5"/>
          <w:w w:val="115"/>
          <w:sz w:val="18"/>
        </w:rPr>
        <w:t> </w:t>
      </w:r>
      <w:r>
        <w:rPr>
          <w:w w:val="115"/>
          <w:sz w:val="18"/>
        </w:rPr>
        <w:t>committee.</w:t>
      </w:r>
    </w:p>
    <w:p>
      <w:pPr>
        <w:spacing w:after="0"/>
        <w:jc w:val="left"/>
        <w:rPr>
          <w:sz w:val="18"/>
        </w:rPr>
        <w:sectPr>
          <w:headerReference w:type="default" r:id="rId147"/>
          <w:footerReference w:type="default" r:id="rId148"/>
          <w:footerReference w:type="even" r:id="rId149"/>
          <w:pgSz w:w="11910" w:h="16840"/>
          <w:pgMar w:header="0" w:footer="647" w:top="0" w:bottom="840" w:left="700" w:right="0"/>
          <w:pgNumType w:start="39"/>
        </w:sectPr>
      </w:pPr>
    </w:p>
    <w:p>
      <w:pPr>
        <w:pStyle w:val="BodyText"/>
      </w:pPr>
      <w:r>
        <w:rPr/>
        <w:drawing>
          <wp:anchor distT="0" distB="0" distL="0" distR="0" allowOverlap="1" layoutInCell="1" locked="0" behindDoc="1" simplePos="0" relativeHeight="235312128">
            <wp:simplePos x="0" y="0"/>
            <wp:positionH relativeFrom="page">
              <wp:posOffset>0</wp:posOffset>
            </wp:positionH>
            <wp:positionV relativeFrom="page">
              <wp:posOffset>0</wp:posOffset>
            </wp:positionV>
            <wp:extent cx="594067" cy="10692003"/>
            <wp:effectExtent l="0" t="0" r="0" b="0"/>
            <wp:wrapNone/>
            <wp:docPr id="67" name="image53.png"/>
            <wp:cNvGraphicFramePr>
              <a:graphicFrameLocks noChangeAspect="1"/>
            </wp:cNvGraphicFramePr>
            <a:graphic>
              <a:graphicData uri="http://schemas.openxmlformats.org/drawingml/2006/picture">
                <pic:pic>
                  <pic:nvPicPr>
                    <pic:cNvPr id="68" name="image53.png"/>
                    <pic:cNvPicPr/>
                  </pic:nvPicPr>
                  <pic:blipFill>
                    <a:blip r:embed="rId100" cstate="print"/>
                    <a:stretch>
                      <a:fillRect/>
                    </a:stretch>
                  </pic:blipFill>
                  <pic:spPr>
                    <a:xfrm>
                      <a:off x="0" y="0"/>
                      <a:ext cx="594067" cy="10692003"/>
                    </a:xfrm>
                    <a:prstGeom prst="rect">
                      <a:avLst/>
                    </a:prstGeom>
                  </pic:spPr>
                </pic:pic>
              </a:graphicData>
            </a:graphic>
          </wp:anchor>
        </w:drawing>
      </w:r>
      <w:r>
        <w:rPr/>
        <w:pict>
          <v:shape style="position:absolute;margin-left:20.519100pt;margin-top:48.890015pt;width:25.9pt;height:267.3pt;mso-position-horizontal-relative:page;mso-position-vertical-relative:page;z-index:-268003328" type="#_x0000_t202" filled="false" stroked="false">
            <v:textbox inset="0,0,0,0" style="layout-flow:vertical">
              <w:txbxContent>
                <w:p>
                  <w:pPr>
                    <w:spacing w:before="27"/>
                    <w:ind w:left="20" w:right="0" w:firstLine="0"/>
                    <w:jc w:val="left"/>
                    <w:rPr>
                      <w:sz w:val="39"/>
                    </w:rPr>
                  </w:pPr>
                  <w:r>
                    <w:rPr>
                      <w:color w:val="FFFFFF"/>
                      <w:spacing w:val="8"/>
                      <w:w w:val="120"/>
                      <w:sz w:val="39"/>
                    </w:rPr>
                    <w:t>URCIC Terms </w:t>
                  </w:r>
                  <w:r>
                    <w:rPr>
                      <w:color w:val="FFFFFF"/>
                      <w:spacing w:val="5"/>
                      <w:w w:val="120"/>
                      <w:sz w:val="39"/>
                    </w:rPr>
                    <w:t>of</w:t>
                  </w:r>
                  <w:r>
                    <w:rPr>
                      <w:color w:val="FFFFFF"/>
                      <w:spacing w:val="114"/>
                      <w:w w:val="120"/>
                      <w:sz w:val="39"/>
                    </w:rPr>
                    <w:t> </w:t>
                  </w:r>
                  <w:r>
                    <w:rPr>
                      <w:color w:val="FFFFFF"/>
                      <w:spacing w:val="9"/>
                      <w:w w:val="120"/>
                      <w:sz w:val="39"/>
                    </w:rPr>
                    <w:t>Reference</w:t>
                  </w:r>
                </w:p>
              </w:txbxContent>
            </v:textbox>
            <w10:wrap type="none"/>
          </v:shape>
        </w:pict>
      </w:r>
    </w:p>
    <w:p>
      <w:pPr>
        <w:pStyle w:val="BodyText"/>
        <w:spacing w:before="7"/>
        <w:rPr>
          <w:sz w:val="21"/>
        </w:rPr>
      </w:pPr>
    </w:p>
    <w:p>
      <w:pPr>
        <w:spacing w:before="106"/>
        <w:ind w:left="547" w:right="0" w:firstLine="0"/>
        <w:jc w:val="left"/>
        <w:rPr>
          <w:sz w:val="26"/>
        </w:rPr>
      </w:pPr>
      <w:r>
        <w:rPr>
          <w:color w:val="7EAABF"/>
          <w:w w:val="120"/>
          <w:sz w:val="26"/>
        </w:rPr>
        <w:t>Mission Council</w:t>
      </w:r>
    </w:p>
    <w:p>
      <w:pPr>
        <w:pStyle w:val="BodyText"/>
        <w:spacing w:before="8"/>
        <w:rPr>
          <w:sz w:val="24"/>
        </w:rPr>
      </w:pPr>
    </w:p>
    <w:p>
      <w:pPr>
        <w:spacing w:line="213" w:lineRule="auto" w:before="1"/>
        <w:ind w:left="547" w:right="3042" w:firstLine="0"/>
        <w:jc w:val="left"/>
        <w:rPr>
          <w:rFonts w:ascii="Stone Sans II ITC Std X Bd" w:hAnsi="Stone Sans II ITC Std X Bd"/>
          <w:b/>
          <w:sz w:val="50"/>
        </w:rPr>
      </w:pPr>
      <w:r>
        <w:rPr>
          <w:rFonts w:ascii="Stone Sans II ITC Std X Bd" w:hAnsi="Stone Sans II ITC Std X Bd"/>
          <w:b/>
          <w:w w:val="110"/>
          <w:sz w:val="50"/>
        </w:rPr>
        <w:t>Summary statement – recommended mandate for investors</w:t>
      </w:r>
    </w:p>
    <w:p>
      <w:pPr>
        <w:pStyle w:val="ListParagraph"/>
        <w:numPr>
          <w:ilvl w:val="0"/>
          <w:numId w:val="26"/>
        </w:numPr>
        <w:tabs>
          <w:tab w:pos="1227" w:val="left" w:leader="none"/>
          <w:tab w:pos="1228" w:val="left" w:leader="none"/>
        </w:tabs>
        <w:spacing w:line="235" w:lineRule="auto" w:before="380" w:after="0"/>
        <w:ind w:left="547" w:right="2611" w:firstLine="0"/>
        <w:jc w:val="left"/>
        <w:rPr>
          <w:sz w:val="20"/>
        </w:rPr>
      </w:pPr>
      <w:r>
        <w:rPr>
          <w:w w:val="120"/>
          <w:sz w:val="20"/>
        </w:rPr>
        <w:t>General Assembly recommends that trustees and all those with investment responsibilities connected with the United Reformed Church should avoid any investment</w:t>
      </w:r>
      <w:r>
        <w:rPr>
          <w:spacing w:val="1"/>
          <w:w w:val="120"/>
          <w:sz w:val="20"/>
        </w:rPr>
        <w:t> </w:t>
      </w:r>
      <w:r>
        <w:rPr>
          <w:w w:val="120"/>
          <w:sz w:val="20"/>
        </w:rPr>
        <w:t>in:</w:t>
      </w:r>
    </w:p>
    <w:p>
      <w:pPr>
        <w:pStyle w:val="BodyText"/>
        <w:spacing w:before="6"/>
        <w:rPr>
          <w:sz w:val="19"/>
        </w:rPr>
      </w:pPr>
    </w:p>
    <w:p>
      <w:pPr>
        <w:pStyle w:val="ListParagraph"/>
        <w:numPr>
          <w:ilvl w:val="0"/>
          <w:numId w:val="27"/>
        </w:numPr>
        <w:tabs>
          <w:tab w:pos="1227" w:val="left" w:leader="none"/>
          <w:tab w:pos="1228" w:val="left" w:leader="none"/>
        </w:tabs>
        <w:spacing w:line="242" w:lineRule="exact" w:before="0" w:after="0"/>
        <w:ind w:left="1227" w:right="0" w:hanging="681"/>
        <w:jc w:val="left"/>
        <w:rPr>
          <w:sz w:val="20"/>
        </w:rPr>
      </w:pPr>
      <w:r>
        <w:rPr>
          <w:w w:val="120"/>
          <w:sz w:val="20"/>
        </w:rPr>
        <w:t>companies directly engaged in the manufacture or supply of</w:t>
      </w:r>
      <w:r>
        <w:rPr>
          <w:spacing w:val="27"/>
          <w:w w:val="120"/>
          <w:sz w:val="20"/>
        </w:rPr>
        <w:t> </w:t>
      </w:r>
      <w:r>
        <w:rPr>
          <w:w w:val="120"/>
          <w:sz w:val="20"/>
        </w:rPr>
        <w:t>weapons;</w:t>
      </w:r>
    </w:p>
    <w:p>
      <w:pPr>
        <w:pStyle w:val="ListParagraph"/>
        <w:numPr>
          <w:ilvl w:val="0"/>
          <w:numId w:val="27"/>
        </w:numPr>
        <w:tabs>
          <w:tab w:pos="1227" w:val="left" w:leader="none"/>
          <w:tab w:pos="1228" w:val="left" w:leader="none"/>
        </w:tabs>
        <w:spacing w:line="235" w:lineRule="auto" w:before="2" w:after="0"/>
        <w:ind w:left="1227" w:right="2336" w:hanging="681"/>
        <w:jc w:val="left"/>
        <w:rPr>
          <w:sz w:val="20"/>
        </w:rPr>
      </w:pPr>
      <w:r>
        <w:rPr>
          <w:w w:val="120"/>
          <w:sz w:val="20"/>
        </w:rPr>
        <w:t>companies a significant </w:t>
      </w:r>
      <w:r>
        <w:rPr>
          <w:spacing w:val="2"/>
          <w:w w:val="120"/>
          <w:sz w:val="20"/>
        </w:rPr>
        <w:t>part </w:t>
      </w:r>
      <w:r>
        <w:rPr>
          <w:w w:val="120"/>
          <w:sz w:val="20"/>
        </w:rPr>
        <w:t>of whose business is in the manufacture or supply of: alcoholic drinks, or tobacco products, or military equipment </w:t>
      </w:r>
      <w:r>
        <w:rPr>
          <w:spacing w:val="-3"/>
          <w:w w:val="120"/>
          <w:sz w:val="20"/>
        </w:rPr>
        <w:t>(other </w:t>
      </w:r>
      <w:r>
        <w:rPr>
          <w:w w:val="120"/>
          <w:sz w:val="20"/>
        </w:rPr>
        <w:t>than </w:t>
      </w:r>
      <w:r>
        <w:rPr>
          <w:spacing w:val="-3"/>
          <w:w w:val="120"/>
          <w:sz w:val="20"/>
        </w:rPr>
        <w:t>weapons); </w:t>
      </w:r>
      <w:r>
        <w:rPr>
          <w:w w:val="120"/>
          <w:sz w:val="20"/>
        </w:rPr>
        <w:t>or the provision of gambling facilities; or the</w:t>
      </w:r>
      <w:r>
        <w:rPr>
          <w:spacing w:val="4"/>
          <w:w w:val="120"/>
          <w:sz w:val="20"/>
        </w:rPr>
        <w:t> </w:t>
      </w:r>
      <w:r>
        <w:rPr>
          <w:w w:val="120"/>
          <w:sz w:val="20"/>
        </w:rPr>
        <w:t>publication</w:t>
      </w:r>
    </w:p>
    <w:p>
      <w:pPr>
        <w:pStyle w:val="BodyText"/>
        <w:spacing w:line="235" w:lineRule="auto" w:before="2"/>
        <w:ind w:left="1227" w:right="2419"/>
      </w:pPr>
      <w:r>
        <w:rPr>
          <w:w w:val="120"/>
        </w:rPr>
        <w:t>or distribution of pornography; or in the extraction of thermal coal or the production of oil from oil sands;</w:t>
      </w:r>
    </w:p>
    <w:p>
      <w:pPr>
        <w:pStyle w:val="ListParagraph"/>
        <w:numPr>
          <w:ilvl w:val="0"/>
          <w:numId w:val="27"/>
        </w:numPr>
        <w:tabs>
          <w:tab w:pos="1227" w:val="left" w:leader="none"/>
          <w:tab w:pos="1228" w:val="left" w:leader="none"/>
        </w:tabs>
        <w:spacing w:line="235" w:lineRule="auto" w:before="2" w:after="0"/>
        <w:ind w:left="1227" w:right="2329" w:hanging="681"/>
        <w:jc w:val="left"/>
        <w:rPr>
          <w:sz w:val="20"/>
        </w:rPr>
      </w:pPr>
      <w:r>
        <w:rPr>
          <w:w w:val="120"/>
          <w:sz w:val="20"/>
        </w:rPr>
        <w:t>companies who benefit by offering credit at usurious rates of interest to those who do not have access to funds through normal lending</w:t>
      </w:r>
      <w:r>
        <w:rPr>
          <w:spacing w:val="40"/>
          <w:w w:val="120"/>
          <w:sz w:val="20"/>
        </w:rPr>
        <w:t> </w:t>
      </w:r>
      <w:r>
        <w:rPr>
          <w:w w:val="120"/>
          <w:sz w:val="20"/>
        </w:rPr>
        <w:t>channels.</w:t>
      </w:r>
    </w:p>
    <w:p>
      <w:pPr>
        <w:pStyle w:val="BodyText"/>
        <w:spacing w:before="5"/>
        <w:rPr>
          <w:sz w:val="19"/>
        </w:rPr>
      </w:pPr>
    </w:p>
    <w:p>
      <w:pPr>
        <w:pStyle w:val="BodyText"/>
        <w:spacing w:line="242" w:lineRule="exact"/>
        <w:ind w:left="547"/>
      </w:pPr>
      <w:r>
        <w:rPr>
          <w:w w:val="120"/>
        </w:rPr>
        <w:t>General Assembly is of the view that in the definition of the activities outlined in</w:t>
      </w:r>
    </w:p>
    <w:p>
      <w:pPr>
        <w:pStyle w:val="BodyText"/>
        <w:spacing w:line="235" w:lineRule="auto" w:before="2"/>
        <w:ind w:left="547" w:right="2419"/>
      </w:pPr>
      <w:r>
        <w:rPr>
          <w:w w:val="120"/>
        </w:rPr>
        <w:t>b) above, ‘significant’ means that the share of turnover derived from the activity concerned is more than 10% of the company’s total turnover; for c) above the equivalent threshold should be 25%.</w:t>
      </w:r>
    </w:p>
    <w:p>
      <w:pPr>
        <w:pStyle w:val="BodyText"/>
        <w:spacing w:before="10"/>
        <w:rPr>
          <w:sz w:val="19"/>
        </w:rPr>
      </w:pPr>
    </w:p>
    <w:p>
      <w:pPr>
        <w:pStyle w:val="ListParagraph"/>
        <w:numPr>
          <w:ilvl w:val="0"/>
          <w:numId w:val="26"/>
        </w:numPr>
        <w:tabs>
          <w:tab w:pos="1227" w:val="left" w:leader="none"/>
          <w:tab w:pos="1228" w:val="left" w:leader="none"/>
        </w:tabs>
        <w:spacing w:line="235" w:lineRule="auto" w:before="0" w:after="0"/>
        <w:ind w:left="547" w:right="2271" w:firstLine="0"/>
        <w:jc w:val="left"/>
        <w:rPr>
          <w:sz w:val="20"/>
        </w:rPr>
      </w:pPr>
      <w:r>
        <w:rPr>
          <w:w w:val="120"/>
          <w:sz w:val="20"/>
        </w:rPr>
        <w:t>In addition to the exclusions listed above, the </w:t>
      </w:r>
      <w:r>
        <w:rPr>
          <w:spacing w:val="-3"/>
          <w:w w:val="120"/>
          <w:sz w:val="20"/>
        </w:rPr>
        <w:t>URC’s </w:t>
      </w:r>
      <w:r>
        <w:rPr>
          <w:w w:val="120"/>
          <w:sz w:val="20"/>
        </w:rPr>
        <w:t>investment bodies should reserve the right to avoid investment in companies whose operations are deemed</w:t>
      </w:r>
      <w:r>
        <w:rPr>
          <w:spacing w:val="38"/>
          <w:w w:val="120"/>
          <w:sz w:val="20"/>
        </w:rPr>
        <w:t> </w:t>
      </w:r>
      <w:r>
        <w:rPr>
          <w:spacing w:val="-3"/>
          <w:w w:val="120"/>
          <w:sz w:val="20"/>
        </w:rPr>
        <w:t>to:</w:t>
      </w:r>
    </w:p>
    <w:p>
      <w:pPr>
        <w:pStyle w:val="BodyText"/>
        <w:spacing w:before="2"/>
        <w:rPr>
          <w:sz w:val="18"/>
        </w:rPr>
      </w:pPr>
    </w:p>
    <w:p>
      <w:pPr>
        <w:pStyle w:val="ListParagraph"/>
        <w:numPr>
          <w:ilvl w:val="0"/>
          <w:numId w:val="28"/>
        </w:numPr>
        <w:tabs>
          <w:tab w:pos="1227" w:val="left" w:leader="none"/>
          <w:tab w:pos="1228" w:val="left" w:leader="none"/>
        </w:tabs>
        <w:spacing w:line="196" w:lineRule="auto" w:before="1" w:after="0"/>
        <w:ind w:left="1227" w:right="2435" w:hanging="681"/>
        <w:jc w:val="left"/>
        <w:rPr>
          <w:sz w:val="20"/>
        </w:rPr>
      </w:pPr>
      <w:r>
        <w:rPr>
          <w:w w:val="120"/>
          <w:sz w:val="20"/>
        </w:rPr>
        <w:t>contribute directly to human rights violations or support the maintenance of oppressive regimes who are guilty of gross human rights</w:t>
      </w:r>
      <w:r>
        <w:rPr>
          <w:spacing w:val="37"/>
          <w:w w:val="120"/>
          <w:sz w:val="20"/>
        </w:rPr>
        <w:t> </w:t>
      </w:r>
      <w:r>
        <w:rPr>
          <w:w w:val="120"/>
          <w:sz w:val="20"/>
        </w:rPr>
        <w:t>violations;</w:t>
      </w:r>
    </w:p>
    <w:p>
      <w:pPr>
        <w:pStyle w:val="ListParagraph"/>
        <w:numPr>
          <w:ilvl w:val="0"/>
          <w:numId w:val="28"/>
        </w:numPr>
        <w:tabs>
          <w:tab w:pos="1227" w:val="left" w:leader="none"/>
          <w:tab w:pos="1228" w:val="left" w:leader="none"/>
        </w:tabs>
        <w:spacing w:line="241" w:lineRule="exact" w:before="0" w:after="0"/>
        <w:ind w:left="1227" w:right="0" w:hanging="681"/>
        <w:jc w:val="left"/>
        <w:rPr>
          <w:sz w:val="20"/>
        </w:rPr>
      </w:pPr>
      <w:r>
        <w:rPr>
          <w:w w:val="120"/>
          <w:sz w:val="20"/>
        </w:rPr>
        <w:t>contribute to a systematic, harmful impact on the social or natural</w:t>
      </w:r>
      <w:r>
        <w:rPr>
          <w:spacing w:val="16"/>
          <w:w w:val="120"/>
          <w:sz w:val="20"/>
        </w:rPr>
        <w:t> </w:t>
      </w:r>
      <w:r>
        <w:rPr>
          <w:w w:val="120"/>
          <w:sz w:val="20"/>
        </w:rPr>
        <w:t>environment;</w:t>
      </w:r>
    </w:p>
    <w:p>
      <w:pPr>
        <w:pStyle w:val="ListParagraph"/>
        <w:numPr>
          <w:ilvl w:val="0"/>
          <w:numId w:val="28"/>
        </w:numPr>
        <w:tabs>
          <w:tab w:pos="1227" w:val="left" w:leader="none"/>
          <w:tab w:pos="1228" w:val="left" w:leader="none"/>
        </w:tabs>
        <w:spacing w:line="240" w:lineRule="exact" w:before="0" w:after="0"/>
        <w:ind w:left="1227" w:right="0" w:hanging="681"/>
        <w:jc w:val="left"/>
        <w:rPr>
          <w:sz w:val="20"/>
        </w:rPr>
      </w:pPr>
      <w:r>
        <w:rPr>
          <w:w w:val="120"/>
          <w:sz w:val="20"/>
        </w:rPr>
        <w:t>harm the society in which they operate more than they benefit</w:t>
      </w:r>
      <w:r>
        <w:rPr>
          <w:spacing w:val="21"/>
          <w:w w:val="120"/>
          <w:sz w:val="20"/>
        </w:rPr>
        <w:t> </w:t>
      </w:r>
      <w:r>
        <w:rPr>
          <w:w w:val="120"/>
          <w:sz w:val="20"/>
        </w:rPr>
        <w:t>it;</w:t>
      </w:r>
    </w:p>
    <w:p>
      <w:pPr>
        <w:pStyle w:val="ListParagraph"/>
        <w:numPr>
          <w:ilvl w:val="0"/>
          <w:numId w:val="28"/>
        </w:numPr>
        <w:tabs>
          <w:tab w:pos="1227" w:val="left" w:leader="none"/>
          <w:tab w:pos="1228" w:val="left" w:leader="none"/>
        </w:tabs>
        <w:spacing w:line="298" w:lineRule="exact" w:before="0" w:after="0"/>
        <w:ind w:left="1227" w:right="0" w:hanging="681"/>
        <w:jc w:val="left"/>
        <w:rPr>
          <w:sz w:val="20"/>
        </w:rPr>
      </w:pPr>
      <w:r>
        <w:rPr>
          <w:w w:val="120"/>
          <w:sz w:val="20"/>
        </w:rPr>
        <w:t>promote</w:t>
      </w:r>
      <w:r>
        <w:rPr>
          <w:spacing w:val="1"/>
          <w:w w:val="120"/>
          <w:sz w:val="20"/>
        </w:rPr>
        <w:t> </w:t>
      </w:r>
      <w:r>
        <w:rPr>
          <w:w w:val="120"/>
          <w:sz w:val="20"/>
        </w:rPr>
        <w:t>injustice.</w:t>
      </w:r>
    </w:p>
    <w:p>
      <w:pPr>
        <w:pStyle w:val="ListParagraph"/>
        <w:numPr>
          <w:ilvl w:val="0"/>
          <w:numId w:val="26"/>
        </w:numPr>
        <w:tabs>
          <w:tab w:pos="1227" w:val="left" w:leader="none"/>
          <w:tab w:pos="1228" w:val="left" w:leader="none"/>
        </w:tabs>
        <w:spacing w:line="235" w:lineRule="auto" w:before="189" w:after="0"/>
        <w:ind w:left="547" w:right="2035" w:firstLine="0"/>
        <w:jc w:val="left"/>
        <w:rPr>
          <w:sz w:val="20"/>
        </w:rPr>
      </w:pPr>
      <w:r>
        <w:rPr>
          <w:w w:val="120"/>
          <w:sz w:val="20"/>
        </w:rPr>
        <w:t>Further, it is expected that governance standards of our advisers, our fund managers, their agents, and the companies in which we invest, both directly and indirectly, should meet internationally accepted norms. By focusing on these standards, investors will favour companies which will be seeking to develop their businesses sustainably in the long term interests of their shareholders and other</w:t>
      </w:r>
      <w:r>
        <w:rPr>
          <w:spacing w:val="8"/>
          <w:w w:val="120"/>
          <w:sz w:val="20"/>
        </w:rPr>
        <w:t> </w:t>
      </w:r>
      <w:r>
        <w:rPr>
          <w:w w:val="120"/>
          <w:sz w:val="20"/>
        </w:rPr>
        <w:t>stakeholders.</w:t>
      </w:r>
    </w:p>
    <w:p>
      <w:pPr>
        <w:pStyle w:val="BodyText"/>
      </w:pPr>
    </w:p>
    <w:p>
      <w:pPr>
        <w:pStyle w:val="ListParagraph"/>
        <w:numPr>
          <w:ilvl w:val="0"/>
          <w:numId w:val="26"/>
        </w:numPr>
        <w:tabs>
          <w:tab w:pos="1227" w:val="left" w:leader="none"/>
          <w:tab w:pos="1228" w:val="left" w:leader="none"/>
        </w:tabs>
        <w:spacing w:line="235" w:lineRule="auto" w:before="0" w:after="0"/>
        <w:ind w:left="547" w:right="2376" w:firstLine="0"/>
        <w:jc w:val="both"/>
        <w:rPr>
          <w:sz w:val="20"/>
        </w:rPr>
      </w:pPr>
      <w:r>
        <w:rPr>
          <w:w w:val="120"/>
          <w:sz w:val="20"/>
        </w:rPr>
        <w:t>Nestlé clarification: for investment purposes all companies should be treated in accordance with this ethical investment policy. There is no further requirement to exclude holdings in this</w:t>
      </w:r>
      <w:r>
        <w:rPr>
          <w:spacing w:val="10"/>
          <w:w w:val="120"/>
          <w:sz w:val="20"/>
        </w:rPr>
        <w:t> </w:t>
      </w:r>
      <w:r>
        <w:rPr>
          <w:spacing w:val="-3"/>
          <w:w w:val="120"/>
          <w:sz w:val="20"/>
        </w:rPr>
        <w:t>company.</w:t>
      </w:r>
    </w:p>
    <w:p>
      <w:pPr>
        <w:pStyle w:val="BodyText"/>
        <w:spacing w:before="10"/>
        <w:rPr>
          <w:sz w:val="19"/>
        </w:rPr>
      </w:pPr>
    </w:p>
    <w:p>
      <w:pPr>
        <w:pStyle w:val="ListParagraph"/>
        <w:numPr>
          <w:ilvl w:val="0"/>
          <w:numId w:val="26"/>
        </w:numPr>
        <w:tabs>
          <w:tab w:pos="1227" w:val="left" w:leader="none"/>
          <w:tab w:pos="1228" w:val="left" w:leader="none"/>
        </w:tabs>
        <w:spacing w:line="235" w:lineRule="auto" w:before="0" w:after="0"/>
        <w:ind w:left="547" w:right="2028" w:firstLine="0"/>
        <w:jc w:val="left"/>
        <w:rPr>
          <w:sz w:val="20"/>
        </w:rPr>
      </w:pPr>
      <w:r>
        <w:rPr>
          <w:w w:val="120"/>
          <w:sz w:val="20"/>
        </w:rPr>
        <w:t>General Assembly recognises that this policy cannot be binding upon those with responsibility for specific investment decisions but when these bodies seek advice on investment matters they should apply due diligence to ensure that the integrity and reputation of the United Reformed Church is, as far as is practical,</w:t>
      </w:r>
      <w:r>
        <w:rPr>
          <w:spacing w:val="24"/>
          <w:w w:val="120"/>
          <w:sz w:val="20"/>
        </w:rPr>
        <w:t> </w:t>
      </w:r>
      <w:r>
        <w:rPr>
          <w:w w:val="120"/>
          <w:sz w:val="20"/>
        </w:rPr>
        <w:t>protected.</w:t>
      </w:r>
    </w:p>
    <w:p>
      <w:pPr>
        <w:spacing w:after="0" w:line="235" w:lineRule="auto"/>
        <w:jc w:val="left"/>
        <w:rPr>
          <w:sz w:val="20"/>
        </w:rPr>
        <w:sectPr>
          <w:headerReference w:type="even" r:id="rId150"/>
          <w:pgSz w:w="11910" w:h="16840"/>
          <w:pgMar w:header="0" w:footer="647" w:top="0" w:bottom="840" w:left="700" w:right="0"/>
        </w:sectPr>
      </w:pPr>
    </w:p>
    <w:p>
      <w:pPr>
        <w:pStyle w:val="BodyText"/>
      </w:pPr>
      <w:r>
        <w:rPr/>
        <w:drawing>
          <wp:anchor distT="0" distB="0" distL="0" distR="0" allowOverlap="1" layoutInCell="1" locked="0" behindDoc="0" simplePos="0" relativeHeight="251767808">
            <wp:simplePos x="0" y="0"/>
            <wp:positionH relativeFrom="page">
              <wp:posOffset>6974928</wp:posOffset>
            </wp:positionH>
            <wp:positionV relativeFrom="page">
              <wp:posOffset>0</wp:posOffset>
            </wp:positionV>
            <wp:extent cx="585063" cy="10692003"/>
            <wp:effectExtent l="0" t="0" r="0" b="0"/>
            <wp:wrapNone/>
            <wp:docPr id="69" name="image27.png"/>
            <wp:cNvGraphicFramePr>
              <a:graphicFrameLocks noChangeAspect="1"/>
            </wp:cNvGraphicFramePr>
            <a:graphic>
              <a:graphicData uri="http://schemas.openxmlformats.org/drawingml/2006/picture">
                <pic:pic>
                  <pic:nvPicPr>
                    <pic:cNvPr id="70" name="image27.png"/>
                    <pic:cNvPicPr/>
                  </pic:nvPicPr>
                  <pic:blipFill>
                    <a:blip r:embed="rId34" cstate="print"/>
                    <a:stretch>
                      <a:fillRect/>
                    </a:stretch>
                  </pic:blipFill>
                  <pic:spPr>
                    <a:xfrm>
                      <a:off x="0" y="0"/>
                      <a:ext cx="585063" cy="10692003"/>
                    </a:xfrm>
                    <a:prstGeom prst="rect">
                      <a:avLst/>
                    </a:prstGeom>
                  </pic:spPr>
                </pic:pic>
              </a:graphicData>
            </a:graphic>
          </wp:anchor>
        </w:drawing>
      </w:r>
    </w:p>
    <w:p>
      <w:pPr>
        <w:pStyle w:val="BodyText"/>
        <w:spacing w:before="7"/>
        <w:rPr>
          <w:sz w:val="21"/>
        </w:rPr>
      </w:pPr>
    </w:p>
    <w:p>
      <w:pPr>
        <w:spacing w:before="106"/>
        <w:ind w:left="0" w:right="1245" w:firstLine="0"/>
        <w:jc w:val="right"/>
        <w:rPr>
          <w:sz w:val="26"/>
        </w:rPr>
      </w:pPr>
      <w:r>
        <w:rPr/>
        <w:pict>
          <v:shape style="position:absolute;margin-left:554.282898pt;margin-top:22.593945pt;width:25.9pt;height:264.55pt;mso-position-horizontal-relative:page;mso-position-vertical-relative:paragraph;z-index:251768832" type="#_x0000_t202" filled="false" stroked="false">
            <v:textbox inset="0,0,0,0" style="layout-flow:vertical">
              <w:txbxContent>
                <w:p>
                  <w:pPr>
                    <w:spacing w:before="27"/>
                    <w:ind w:left="20" w:right="0" w:firstLine="0"/>
                    <w:jc w:val="left"/>
                    <w:rPr>
                      <w:sz w:val="39"/>
                    </w:rPr>
                  </w:pPr>
                  <w:r>
                    <w:rPr>
                      <w:color w:val="FFFFFF"/>
                      <w:w w:val="120"/>
                      <w:sz w:val="39"/>
                    </w:rPr>
                    <w:t>Synod moderators’ report</w:t>
                  </w:r>
                </w:p>
              </w:txbxContent>
            </v:textbox>
            <w10:wrap type="none"/>
          </v:shape>
        </w:pict>
      </w:r>
      <w:r>
        <w:rPr>
          <w:color w:val="7EAABF"/>
          <w:w w:val="120"/>
          <w:sz w:val="26"/>
        </w:rPr>
        <w:t>Mission Council</w:t>
      </w:r>
    </w:p>
    <w:p>
      <w:pPr>
        <w:spacing w:before="246"/>
        <w:ind w:left="1284" w:right="0" w:firstLine="0"/>
        <w:jc w:val="left"/>
        <w:rPr>
          <w:rFonts w:ascii="Stone Sans II ITC Std X Bd" w:hAnsi="Stone Sans II ITC Std X Bd"/>
          <w:b/>
          <w:sz w:val="50"/>
        </w:rPr>
      </w:pPr>
      <w:r>
        <w:rPr>
          <w:rFonts w:ascii="Stone Sans II ITC Std X Bd" w:hAnsi="Stone Sans II ITC Std X Bd"/>
          <w:b/>
          <w:w w:val="110"/>
          <w:sz w:val="50"/>
        </w:rPr>
        <w:t>Synod moderators’ report</w:t>
      </w:r>
    </w:p>
    <w:p>
      <w:pPr>
        <w:pStyle w:val="Heading2"/>
        <w:spacing w:line="228" w:lineRule="auto" w:before="207"/>
        <w:ind w:left="1929" w:right="1890" w:firstLine="355"/>
      </w:pPr>
      <w:r>
        <w:rPr>
          <w:w w:val="110"/>
        </w:rPr>
        <w:t>‘I like </w:t>
      </w:r>
      <w:r>
        <w:rPr>
          <w:spacing w:val="3"/>
          <w:w w:val="110"/>
        </w:rPr>
        <w:t>espressos... </w:t>
      </w:r>
      <w:r>
        <w:rPr>
          <w:spacing w:val="2"/>
          <w:w w:val="110"/>
        </w:rPr>
        <w:t>small,  </w:t>
      </w:r>
      <w:r>
        <w:rPr>
          <w:spacing w:val="3"/>
          <w:w w:val="110"/>
        </w:rPr>
        <w:t>but incredibly </w:t>
      </w:r>
      <w:r>
        <w:rPr>
          <w:spacing w:val="2"/>
          <w:w w:val="110"/>
        </w:rPr>
        <w:t>potent... </w:t>
      </w:r>
      <w:r>
        <w:rPr>
          <w:w w:val="110"/>
        </w:rPr>
        <w:t>tell</w:t>
      </w:r>
      <w:r>
        <w:rPr>
          <w:spacing w:val="28"/>
          <w:w w:val="110"/>
        </w:rPr>
        <w:t> </w:t>
      </w:r>
      <w:r>
        <w:rPr>
          <w:w w:val="110"/>
        </w:rPr>
        <w:t>your</w:t>
      </w:r>
      <w:r>
        <w:rPr>
          <w:spacing w:val="28"/>
          <w:w w:val="110"/>
        </w:rPr>
        <w:t> </w:t>
      </w:r>
      <w:r>
        <w:rPr>
          <w:spacing w:val="4"/>
          <w:w w:val="110"/>
        </w:rPr>
        <w:t>people</w:t>
      </w:r>
      <w:r>
        <w:rPr>
          <w:spacing w:val="28"/>
          <w:w w:val="110"/>
        </w:rPr>
        <w:t> </w:t>
      </w:r>
      <w:r>
        <w:rPr>
          <w:w w:val="110"/>
        </w:rPr>
        <w:t>to</w:t>
      </w:r>
      <w:r>
        <w:rPr>
          <w:spacing w:val="29"/>
          <w:w w:val="110"/>
        </w:rPr>
        <w:t> </w:t>
      </w:r>
      <w:r>
        <w:rPr>
          <w:spacing w:val="2"/>
          <w:w w:val="110"/>
        </w:rPr>
        <w:t>stop</w:t>
      </w:r>
      <w:r>
        <w:rPr>
          <w:spacing w:val="28"/>
          <w:w w:val="110"/>
        </w:rPr>
        <w:t> </w:t>
      </w:r>
      <w:r>
        <w:rPr>
          <w:spacing w:val="4"/>
          <w:w w:val="110"/>
        </w:rPr>
        <w:t>trying</w:t>
      </w:r>
      <w:r>
        <w:rPr>
          <w:spacing w:val="28"/>
          <w:w w:val="110"/>
        </w:rPr>
        <w:t> </w:t>
      </w:r>
      <w:r>
        <w:rPr>
          <w:w w:val="110"/>
        </w:rPr>
        <w:t>to</w:t>
      </w:r>
      <w:r>
        <w:rPr>
          <w:spacing w:val="29"/>
          <w:w w:val="110"/>
        </w:rPr>
        <w:t> </w:t>
      </w:r>
      <w:r>
        <w:rPr>
          <w:spacing w:val="3"/>
          <w:w w:val="110"/>
        </w:rPr>
        <w:t>be</w:t>
      </w:r>
      <w:r>
        <w:rPr>
          <w:spacing w:val="28"/>
          <w:w w:val="110"/>
        </w:rPr>
        <w:t> </w:t>
      </w:r>
      <w:r>
        <w:rPr>
          <w:w w:val="110"/>
        </w:rPr>
        <w:t>like</w:t>
      </w:r>
      <w:r>
        <w:rPr>
          <w:spacing w:val="28"/>
          <w:w w:val="110"/>
        </w:rPr>
        <w:t> </w:t>
      </w:r>
      <w:r>
        <w:rPr>
          <w:spacing w:val="3"/>
          <w:w w:val="110"/>
        </w:rPr>
        <w:t>cappuccinos</w:t>
      </w:r>
    </w:p>
    <w:p>
      <w:pPr>
        <w:pStyle w:val="Heading2"/>
        <w:spacing w:line="323" w:lineRule="exact"/>
        <w:ind w:left="3236"/>
      </w:pPr>
      <w:r>
        <w:rPr>
          <w:w w:val="110"/>
        </w:rPr>
        <w:t>and try to be more like espressos.’</w:t>
      </w:r>
    </w:p>
    <w:p>
      <w:pPr>
        <w:spacing w:before="36"/>
        <w:ind w:left="2322" w:right="2281" w:firstLine="0"/>
        <w:jc w:val="center"/>
        <w:rPr>
          <w:i/>
          <w:sz w:val="21"/>
        </w:rPr>
      </w:pPr>
      <w:r>
        <w:rPr>
          <w:w w:val="120"/>
          <w:sz w:val="21"/>
        </w:rPr>
        <w:t>Nick Page </w:t>
      </w:r>
      <w:r>
        <w:rPr>
          <w:i/>
          <w:w w:val="120"/>
          <w:sz w:val="21"/>
        </w:rPr>
        <w:t>The Invisible Church</w:t>
      </w:r>
    </w:p>
    <w:p>
      <w:pPr>
        <w:pStyle w:val="BodyText"/>
        <w:rPr>
          <w:i/>
          <w:sz w:val="26"/>
        </w:rPr>
      </w:pPr>
    </w:p>
    <w:p>
      <w:pPr>
        <w:pStyle w:val="BodyText"/>
        <w:spacing w:before="9"/>
        <w:rPr>
          <w:i/>
          <w:sz w:val="24"/>
        </w:rPr>
      </w:pPr>
    </w:p>
    <w:p>
      <w:pPr>
        <w:spacing w:before="0"/>
        <w:ind w:left="1284" w:right="0" w:firstLine="0"/>
        <w:jc w:val="left"/>
        <w:rPr>
          <w:rFonts w:ascii="Stone Sans II ITC Std Bk"/>
          <w:b/>
          <w:sz w:val="29"/>
        </w:rPr>
      </w:pPr>
      <w:r>
        <w:rPr>
          <w:rFonts w:ascii="Stone Sans II ITC Std Bk"/>
          <w:b/>
          <w:spacing w:val="4"/>
          <w:w w:val="110"/>
          <w:sz w:val="29"/>
        </w:rPr>
        <w:t>Looking </w:t>
      </w:r>
      <w:r>
        <w:rPr>
          <w:rFonts w:ascii="Stone Sans II ITC Std Bk"/>
          <w:b/>
          <w:spacing w:val="3"/>
          <w:w w:val="110"/>
          <w:sz w:val="29"/>
        </w:rPr>
        <w:t>for </w:t>
      </w:r>
      <w:r>
        <w:rPr>
          <w:rFonts w:ascii="Stone Sans II ITC Std Bk"/>
          <w:b/>
          <w:w w:val="110"/>
          <w:sz w:val="29"/>
        </w:rPr>
        <w:t>a </w:t>
      </w:r>
      <w:r>
        <w:rPr>
          <w:rFonts w:ascii="Stone Sans II ITC Std Bk"/>
          <w:b/>
          <w:spacing w:val="4"/>
          <w:w w:val="110"/>
          <w:sz w:val="29"/>
        </w:rPr>
        <w:t>good </w:t>
      </w:r>
      <w:r>
        <w:rPr>
          <w:rFonts w:ascii="Stone Sans II ITC Std Bk"/>
          <w:b/>
          <w:spacing w:val="2"/>
          <w:w w:val="110"/>
          <w:sz w:val="29"/>
        </w:rPr>
        <w:t>cup </w:t>
      </w:r>
      <w:r>
        <w:rPr>
          <w:rFonts w:ascii="Stone Sans II ITC Std Bk"/>
          <w:b/>
          <w:w w:val="110"/>
          <w:sz w:val="29"/>
        </w:rPr>
        <w:t>of</w:t>
      </w:r>
      <w:r>
        <w:rPr>
          <w:rFonts w:ascii="Stone Sans II ITC Std Bk"/>
          <w:b/>
          <w:spacing w:val="63"/>
          <w:w w:val="110"/>
          <w:sz w:val="29"/>
        </w:rPr>
        <w:t> </w:t>
      </w:r>
      <w:r>
        <w:rPr>
          <w:rFonts w:ascii="Stone Sans II ITC Std Bk"/>
          <w:b/>
          <w:spacing w:val="5"/>
          <w:w w:val="110"/>
          <w:sz w:val="29"/>
        </w:rPr>
        <w:t>coffee</w:t>
      </w:r>
    </w:p>
    <w:p>
      <w:pPr>
        <w:pStyle w:val="ListParagraph"/>
        <w:numPr>
          <w:ilvl w:val="1"/>
          <w:numId w:val="26"/>
        </w:numPr>
        <w:tabs>
          <w:tab w:pos="1964" w:val="left" w:leader="none"/>
          <w:tab w:pos="1965" w:val="left" w:leader="none"/>
        </w:tabs>
        <w:spacing w:line="235" w:lineRule="auto" w:before="69" w:after="0"/>
        <w:ind w:left="1284" w:right="1396" w:firstLine="0"/>
        <w:jc w:val="left"/>
        <w:rPr>
          <w:sz w:val="20"/>
        </w:rPr>
      </w:pPr>
      <w:r>
        <w:rPr>
          <w:w w:val="120"/>
          <w:sz w:val="20"/>
        </w:rPr>
        <w:t>What do you look for in a good cup of coffee? At Starbucks, Costa or Caffè Nero everybody knows what to expect. Nobody will receive a latte with no milk. Milk is </w:t>
      </w:r>
      <w:r>
        <w:rPr>
          <w:spacing w:val="2"/>
          <w:w w:val="120"/>
          <w:sz w:val="20"/>
        </w:rPr>
        <w:t>part </w:t>
      </w:r>
      <w:r>
        <w:rPr>
          <w:w w:val="120"/>
          <w:sz w:val="20"/>
        </w:rPr>
        <w:t>of what defines a latte. There are other coffee shops, including small outlets, not </w:t>
      </w:r>
      <w:r>
        <w:rPr>
          <w:spacing w:val="2"/>
          <w:w w:val="120"/>
          <w:sz w:val="20"/>
        </w:rPr>
        <w:t>part </w:t>
      </w:r>
      <w:r>
        <w:rPr>
          <w:w w:val="120"/>
          <w:sz w:val="20"/>
        </w:rPr>
        <w:t>of a big chain or franchise, which can also refresh and may surprise! What do you look for in a good United Reformed Church? Variety is the spice of life; but what makes us distinctively United Reformed? A big question for all mainline denominations in the United Kingdom today is that of identity. Who are the United Reformed? What is the </w:t>
      </w:r>
      <w:r>
        <w:rPr>
          <w:spacing w:val="-3"/>
          <w:w w:val="120"/>
          <w:sz w:val="20"/>
        </w:rPr>
        <w:t>Church’s </w:t>
      </w:r>
      <w:r>
        <w:rPr>
          <w:w w:val="120"/>
          <w:sz w:val="20"/>
        </w:rPr>
        <w:t>role in a rampantly secular, and sometimes militantly atheistic, society? How is it possible to engage with a culture that has substantially lost the Christian </w:t>
      </w:r>
      <w:r>
        <w:rPr>
          <w:spacing w:val="2"/>
          <w:w w:val="120"/>
          <w:sz w:val="20"/>
        </w:rPr>
        <w:t>story </w:t>
      </w:r>
      <w:r>
        <w:rPr>
          <w:w w:val="120"/>
          <w:sz w:val="20"/>
        </w:rPr>
        <w:t>and prefers to avoid engagement with faith of any </w:t>
      </w:r>
      <w:r>
        <w:rPr>
          <w:spacing w:val="-3"/>
          <w:w w:val="120"/>
          <w:sz w:val="20"/>
        </w:rPr>
        <w:t>hue? </w:t>
      </w:r>
      <w:r>
        <w:rPr>
          <w:w w:val="120"/>
          <w:sz w:val="20"/>
        </w:rPr>
        <w:t>The seemingly trivial questions about </w:t>
      </w:r>
      <w:r>
        <w:rPr>
          <w:spacing w:val="-4"/>
          <w:w w:val="120"/>
          <w:sz w:val="20"/>
        </w:rPr>
        <w:t>why, </w:t>
      </w:r>
      <w:r>
        <w:rPr>
          <w:w w:val="120"/>
          <w:sz w:val="20"/>
        </w:rPr>
        <w:t>for example, a nativity play requires a baby and a manger represent a profound challenge for today’s</w:t>
      </w:r>
      <w:r>
        <w:rPr>
          <w:spacing w:val="10"/>
          <w:w w:val="120"/>
          <w:sz w:val="20"/>
        </w:rPr>
        <w:t> </w:t>
      </w:r>
      <w:r>
        <w:rPr>
          <w:w w:val="120"/>
          <w:sz w:val="20"/>
        </w:rPr>
        <w:t>Church.</w:t>
      </w:r>
    </w:p>
    <w:p>
      <w:pPr>
        <w:pStyle w:val="BodyText"/>
        <w:spacing w:before="9"/>
        <w:rPr>
          <w:sz w:val="22"/>
        </w:rPr>
      </w:pPr>
    </w:p>
    <w:p>
      <w:pPr>
        <w:spacing w:before="0"/>
        <w:ind w:left="1284" w:right="0" w:firstLine="0"/>
        <w:jc w:val="left"/>
        <w:rPr>
          <w:rFonts w:ascii="Stone Sans II ITC Std Bk"/>
          <w:b/>
          <w:sz w:val="29"/>
        </w:rPr>
      </w:pPr>
      <w:r>
        <w:rPr>
          <w:rFonts w:ascii="Stone Sans II ITC Std Bk"/>
          <w:b/>
          <w:w w:val="110"/>
          <w:sz w:val="29"/>
        </w:rPr>
        <w:t>Seeking the United Reformed Church identity</w:t>
      </w:r>
    </w:p>
    <w:p>
      <w:pPr>
        <w:pStyle w:val="ListParagraph"/>
        <w:numPr>
          <w:ilvl w:val="1"/>
          <w:numId w:val="26"/>
        </w:numPr>
        <w:tabs>
          <w:tab w:pos="1964" w:val="left" w:leader="none"/>
          <w:tab w:pos="1965" w:val="left" w:leader="none"/>
        </w:tabs>
        <w:spacing w:line="235" w:lineRule="auto" w:before="69" w:after="0"/>
        <w:ind w:left="1284" w:right="1358" w:firstLine="0"/>
        <w:jc w:val="left"/>
        <w:rPr>
          <w:sz w:val="20"/>
        </w:rPr>
      </w:pPr>
      <w:r>
        <w:rPr>
          <w:w w:val="120"/>
          <w:sz w:val="20"/>
        </w:rPr>
        <w:t>The identity question is probably larger for the URC than it is for our sister denominations. Our </w:t>
      </w:r>
      <w:r>
        <w:rPr>
          <w:spacing w:val="-5"/>
          <w:w w:val="120"/>
          <w:sz w:val="20"/>
        </w:rPr>
        <w:t>pre-1972 </w:t>
      </w:r>
      <w:r>
        <w:rPr>
          <w:w w:val="120"/>
          <w:sz w:val="20"/>
        </w:rPr>
        <w:t>leaders who carried out the brave decision to form this denomination did so in what they thought was the clear knowledge that it would not be around very long. They believed that the URC would be a stepping stone to greater Church unity. People often joke about the abundant use of the word ‘normally’</w:t>
      </w:r>
      <w:r>
        <w:rPr>
          <w:spacing w:val="46"/>
          <w:w w:val="120"/>
          <w:sz w:val="20"/>
        </w:rPr>
        <w:t> </w:t>
      </w:r>
      <w:r>
        <w:rPr>
          <w:w w:val="120"/>
          <w:sz w:val="20"/>
        </w:rPr>
        <w:t>in</w:t>
      </w:r>
    </w:p>
    <w:p>
      <w:pPr>
        <w:pStyle w:val="BodyText"/>
        <w:spacing w:line="235" w:lineRule="auto" w:before="4"/>
        <w:ind w:left="1284" w:right="1337"/>
      </w:pPr>
      <w:r>
        <w:rPr>
          <w:w w:val="120"/>
        </w:rPr>
        <w:t>URC procedures – but this is where it came from. A whole tranche of things had to be agreed, but, if some individuals did it a little bit differently, it did not really matter. It was all temporary. A ‘normally’ way of doing things was established but, by definition, that meant that some would do it differently, and that was fine. It is important to learn that God has a bigger picture and is not yet finished with the URC.</w:t>
      </w:r>
    </w:p>
    <w:p>
      <w:pPr>
        <w:pStyle w:val="BodyText"/>
        <w:spacing w:before="11"/>
        <w:rPr>
          <w:sz w:val="19"/>
        </w:rPr>
      </w:pPr>
    </w:p>
    <w:p>
      <w:pPr>
        <w:pStyle w:val="ListParagraph"/>
        <w:numPr>
          <w:ilvl w:val="1"/>
          <w:numId w:val="26"/>
        </w:numPr>
        <w:tabs>
          <w:tab w:pos="1964" w:val="left" w:leader="none"/>
          <w:tab w:pos="1965" w:val="left" w:leader="none"/>
        </w:tabs>
        <w:spacing w:line="235" w:lineRule="auto" w:before="1" w:after="0"/>
        <w:ind w:left="1284" w:right="1301" w:firstLine="0"/>
        <w:jc w:val="left"/>
        <w:rPr>
          <w:sz w:val="20"/>
        </w:rPr>
      </w:pPr>
      <w:r>
        <w:rPr>
          <w:w w:val="120"/>
          <w:sz w:val="20"/>
        </w:rPr>
        <w:t>So what does the URC bring to the </w:t>
      </w:r>
      <w:r>
        <w:rPr>
          <w:spacing w:val="2"/>
          <w:w w:val="120"/>
          <w:sz w:val="20"/>
        </w:rPr>
        <w:t>party </w:t>
      </w:r>
      <w:r>
        <w:rPr>
          <w:spacing w:val="-6"/>
          <w:w w:val="120"/>
          <w:sz w:val="20"/>
        </w:rPr>
        <w:t>(or </w:t>
      </w:r>
      <w:r>
        <w:rPr>
          <w:w w:val="120"/>
          <w:sz w:val="20"/>
        </w:rPr>
        <w:t>coffee </w:t>
      </w:r>
      <w:r>
        <w:rPr>
          <w:spacing w:val="-3"/>
          <w:w w:val="120"/>
          <w:sz w:val="20"/>
        </w:rPr>
        <w:t>shop) </w:t>
      </w:r>
      <w:r>
        <w:rPr>
          <w:w w:val="120"/>
          <w:sz w:val="20"/>
        </w:rPr>
        <w:t>that is the Church? So far as the record states, Jesus did not say anything about drinking coffee – but he was clear that eating together is a kingdom activity. ‘Then people will come from east and west, from north and south, and will eat in the kingdom of </w:t>
      </w:r>
      <w:r>
        <w:rPr>
          <w:spacing w:val="-3"/>
          <w:w w:val="120"/>
          <w:sz w:val="20"/>
        </w:rPr>
        <w:t>God.’ </w:t>
      </w:r>
      <w:r>
        <w:rPr>
          <w:w w:val="120"/>
          <w:sz w:val="20"/>
        </w:rPr>
        <w:t>(Luke </w:t>
      </w:r>
      <w:r>
        <w:rPr>
          <w:spacing w:val="-8"/>
          <w:w w:val="120"/>
          <w:sz w:val="20"/>
        </w:rPr>
        <w:t>13:29)  </w:t>
      </w:r>
      <w:r>
        <w:rPr>
          <w:w w:val="120"/>
          <w:sz w:val="20"/>
        </w:rPr>
        <w:t>The URC  is called to contribute to the feasting that offers hints of God’s kingdom on God’s</w:t>
      </w:r>
      <w:r>
        <w:rPr>
          <w:spacing w:val="51"/>
          <w:w w:val="120"/>
          <w:sz w:val="20"/>
        </w:rPr>
        <w:t> </w:t>
      </w:r>
      <w:r>
        <w:rPr>
          <w:w w:val="120"/>
          <w:sz w:val="20"/>
        </w:rPr>
        <w:t>earth.</w:t>
      </w:r>
    </w:p>
    <w:p>
      <w:pPr>
        <w:pStyle w:val="BodyText"/>
        <w:spacing w:before="11"/>
        <w:rPr>
          <w:sz w:val="19"/>
        </w:rPr>
      </w:pPr>
    </w:p>
    <w:p>
      <w:pPr>
        <w:pStyle w:val="ListParagraph"/>
        <w:numPr>
          <w:ilvl w:val="1"/>
          <w:numId w:val="26"/>
        </w:numPr>
        <w:tabs>
          <w:tab w:pos="1964" w:val="left" w:leader="none"/>
          <w:tab w:pos="1965" w:val="left" w:leader="none"/>
        </w:tabs>
        <w:spacing w:line="235" w:lineRule="auto" w:before="0" w:after="0"/>
        <w:ind w:left="1284" w:right="1285" w:firstLine="0"/>
        <w:jc w:val="left"/>
        <w:rPr>
          <w:sz w:val="20"/>
        </w:rPr>
      </w:pPr>
      <w:r>
        <w:rPr>
          <w:w w:val="120"/>
          <w:sz w:val="20"/>
        </w:rPr>
        <w:t>One of the </w:t>
      </w:r>
      <w:r>
        <w:rPr>
          <w:spacing w:val="2"/>
          <w:w w:val="120"/>
          <w:sz w:val="20"/>
        </w:rPr>
        <w:t>gifts </w:t>
      </w:r>
      <w:r>
        <w:rPr>
          <w:w w:val="120"/>
          <w:sz w:val="20"/>
        </w:rPr>
        <w:t>that the URC brings is to be discovered in our smallness. United Reformed Christians immediately recognise that they are not, and cannot be, the whole of the </w:t>
      </w:r>
      <w:r>
        <w:rPr>
          <w:spacing w:val="2"/>
          <w:w w:val="120"/>
          <w:sz w:val="20"/>
        </w:rPr>
        <w:t>story </w:t>
      </w:r>
      <w:r>
        <w:rPr>
          <w:w w:val="120"/>
          <w:sz w:val="20"/>
        </w:rPr>
        <w:t>of the church. The contribution of others is valued and, as that</w:t>
      </w:r>
      <w:r>
        <w:rPr>
          <w:spacing w:val="29"/>
          <w:w w:val="120"/>
          <w:sz w:val="20"/>
        </w:rPr>
        <w:t> </w:t>
      </w:r>
      <w:r>
        <w:rPr>
          <w:w w:val="120"/>
          <w:sz w:val="20"/>
        </w:rPr>
        <w:t>happens,</w:t>
      </w:r>
    </w:p>
    <w:p>
      <w:pPr>
        <w:pStyle w:val="BodyText"/>
        <w:spacing w:line="235" w:lineRule="auto" w:before="3"/>
        <w:ind w:left="1284" w:right="1529"/>
      </w:pPr>
      <w:r>
        <w:rPr>
          <w:w w:val="120"/>
        </w:rPr>
        <w:t>so often the URC becomes the catalyst for doing things together. So, for example, in St. Neots the URC has played a key role in the establishment of a Churches Together-</w:t>
      </w:r>
    </w:p>
    <w:p>
      <w:pPr>
        <w:pStyle w:val="BodyText"/>
        <w:spacing w:line="235" w:lineRule="auto" w:before="1"/>
        <w:ind w:left="1284" w:right="1296"/>
      </w:pPr>
      <w:r>
        <w:rPr>
          <w:w w:val="120"/>
        </w:rPr>
        <w:t>sponsored appointment of a pioneer minister to the new housing area of </w:t>
      </w:r>
      <w:r>
        <w:rPr>
          <w:spacing w:val="-4"/>
          <w:w w:val="120"/>
        </w:rPr>
        <w:t>Love’s </w:t>
      </w:r>
      <w:r>
        <w:rPr>
          <w:w w:val="120"/>
        </w:rPr>
        <w:t>Farm. In a similar pioneer ministry position in Cranbrook, near Exeter, the URC has led partners  in drawing up an ecumenical vision</w:t>
      </w:r>
      <w:r>
        <w:rPr>
          <w:spacing w:val="14"/>
          <w:w w:val="120"/>
        </w:rPr>
        <w:t> </w:t>
      </w:r>
      <w:r>
        <w:rPr>
          <w:w w:val="120"/>
        </w:rPr>
        <w:t>statement.</w:t>
      </w:r>
    </w:p>
    <w:p>
      <w:pPr>
        <w:pStyle w:val="BodyText"/>
        <w:spacing w:before="10"/>
        <w:rPr>
          <w:sz w:val="19"/>
        </w:rPr>
      </w:pPr>
    </w:p>
    <w:p>
      <w:pPr>
        <w:pStyle w:val="ListParagraph"/>
        <w:numPr>
          <w:ilvl w:val="1"/>
          <w:numId w:val="26"/>
        </w:numPr>
        <w:tabs>
          <w:tab w:pos="1964" w:val="left" w:leader="none"/>
          <w:tab w:pos="1965" w:val="left" w:leader="none"/>
        </w:tabs>
        <w:spacing w:line="235" w:lineRule="auto" w:before="0" w:after="0"/>
        <w:ind w:left="1284" w:right="1344" w:firstLine="0"/>
        <w:jc w:val="left"/>
        <w:rPr>
          <w:sz w:val="20"/>
        </w:rPr>
      </w:pPr>
      <w:r>
        <w:rPr>
          <w:spacing w:val="3"/>
          <w:w w:val="120"/>
          <w:sz w:val="20"/>
        </w:rPr>
        <w:t>As </w:t>
      </w:r>
      <w:r>
        <w:rPr>
          <w:w w:val="120"/>
          <w:sz w:val="20"/>
        </w:rPr>
        <w:t>well as being small, the URC knows that it is broken. The faultlines of our founding still run through us and help us to value the contributions of our differing Churches of Christ, Congregational and Presbyterian antecedents, recognising, in turn, that each of those strands has a varied, and not a single, history. The URC continues to live out the </w:t>
      </w:r>
      <w:r>
        <w:rPr>
          <w:spacing w:val="2"/>
          <w:w w:val="120"/>
          <w:sz w:val="20"/>
        </w:rPr>
        <w:t>gifts </w:t>
      </w:r>
      <w:r>
        <w:rPr>
          <w:w w:val="120"/>
          <w:sz w:val="20"/>
        </w:rPr>
        <w:t>that are provided by unity in</w:t>
      </w:r>
      <w:r>
        <w:rPr>
          <w:spacing w:val="21"/>
          <w:w w:val="120"/>
          <w:sz w:val="20"/>
        </w:rPr>
        <w:t> </w:t>
      </w:r>
      <w:r>
        <w:rPr>
          <w:w w:val="120"/>
          <w:sz w:val="20"/>
        </w:rPr>
        <w:t>diversity.</w:t>
      </w:r>
    </w:p>
    <w:p>
      <w:pPr>
        <w:spacing w:after="0" w:line="235" w:lineRule="auto"/>
        <w:jc w:val="left"/>
        <w:rPr>
          <w:sz w:val="20"/>
        </w:rPr>
        <w:sectPr>
          <w:headerReference w:type="default" r:id="rId151"/>
          <w:footerReference w:type="default" r:id="rId152"/>
          <w:footerReference w:type="even" r:id="rId153"/>
          <w:pgSz w:w="11910" w:h="16840"/>
          <w:pgMar w:header="0" w:footer="647" w:top="0" w:bottom="840" w:left="700" w:right="0"/>
          <w:pgNumType w:start="41"/>
        </w:sectPr>
      </w:pPr>
    </w:p>
    <w:p>
      <w:pPr>
        <w:pStyle w:val="BodyText"/>
      </w:pPr>
      <w:r>
        <w:rPr/>
        <w:drawing>
          <wp:anchor distT="0" distB="0" distL="0" distR="0" allowOverlap="1" layoutInCell="1" locked="0" behindDoc="1" simplePos="0" relativeHeight="235316224">
            <wp:simplePos x="0" y="0"/>
            <wp:positionH relativeFrom="page">
              <wp:posOffset>0</wp:posOffset>
            </wp:positionH>
            <wp:positionV relativeFrom="page">
              <wp:posOffset>0</wp:posOffset>
            </wp:positionV>
            <wp:extent cx="594067" cy="10692003"/>
            <wp:effectExtent l="0" t="0" r="0" b="0"/>
            <wp:wrapNone/>
            <wp:docPr id="71" name="image53.png"/>
            <wp:cNvGraphicFramePr>
              <a:graphicFrameLocks noChangeAspect="1"/>
            </wp:cNvGraphicFramePr>
            <a:graphic>
              <a:graphicData uri="http://schemas.openxmlformats.org/drawingml/2006/picture">
                <pic:pic>
                  <pic:nvPicPr>
                    <pic:cNvPr id="72" name="image53.png"/>
                    <pic:cNvPicPr/>
                  </pic:nvPicPr>
                  <pic:blipFill>
                    <a:blip r:embed="rId100" cstate="print"/>
                    <a:stretch>
                      <a:fillRect/>
                    </a:stretch>
                  </pic:blipFill>
                  <pic:spPr>
                    <a:xfrm>
                      <a:off x="0" y="0"/>
                      <a:ext cx="594067" cy="10692003"/>
                    </a:xfrm>
                    <a:prstGeom prst="rect">
                      <a:avLst/>
                    </a:prstGeom>
                  </pic:spPr>
                </pic:pic>
              </a:graphicData>
            </a:graphic>
          </wp:anchor>
        </w:drawing>
      </w:r>
      <w:r>
        <w:rPr/>
        <w:pict>
          <v:shape style="position:absolute;margin-left:19.101801pt;margin-top:48.890015pt;width:25.9pt;height:264.55pt;mso-position-horizontal-relative:page;mso-position-vertical-relative:page;z-index:-267999232" type="#_x0000_t202" filled="false" stroked="false">
            <v:textbox inset="0,0,0,0" style="layout-flow:vertical">
              <w:txbxContent>
                <w:p>
                  <w:pPr>
                    <w:spacing w:before="27"/>
                    <w:ind w:left="20" w:right="0" w:firstLine="0"/>
                    <w:jc w:val="left"/>
                    <w:rPr>
                      <w:sz w:val="39"/>
                    </w:rPr>
                  </w:pPr>
                  <w:r>
                    <w:rPr>
                      <w:color w:val="FFFFFF"/>
                      <w:w w:val="120"/>
                      <w:sz w:val="39"/>
                    </w:rPr>
                    <w:t>Synod moderators’ report</w:t>
                  </w:r>
                </w:p>
              </w:txbxContent>
            </v:textbox>
            <w10:wrap type="none"/>
          </v:shape>
        </w:pict>
      </w:r>
    </w:p>
    <w:p>
      <w:pPr>
        <w:pStyle w:val="BodyText"/>
        <w:spacing w:before="7"/>
        <w:rPr>
          <w:sz w:val="21"/>
        </w:rPr>
      </w:pPr>
    </w:p>
    <w:p>
      <w:pPr>
        <w:spacing w:before="106"/>
        <w:ind w:left="547" w:right="0" w:firstLine="0"/>
        <w:jc w:val="left"/>
        <w:rPr>
          <w:sz w:val="26"/>
        </w:rPr>
      </w:pPr>
      <w:r>
        <w:rPr>
          <w:color w:val="7EAABF"/>
          <w:w w:val="120"/>
          <w:sz w:val="26"/>
        </w:rPr>
        <w:t>Mission Council</w:t>
      </w:r>
    </w:p>
    <w:p>
      <w:pPr>
        <w:pStyle w:val="ListParagraph"/>
        <w:numPr>
          <w:ilvl w:val="1"/>
          <w:numId w:val="26"/>
        </w:numPr>
        <w:tabs>
          <w:tab w:pos="1213" w:val="left" w:leader="none"/>
          <w:tab w:pos="1214" w:val="left" w:leader="none"/>
        </w:tabs>
        <w:spacing w:line="235" w:lineRule="auto" w:before="222" w:after="0"/>
        <w:ind w:left="533" w:right="2275" w:firstLine="0"/>
        <w:jc w:val="both"/>
        <w:rPr>
          <w:sz w:val="20"/>
        </w:rPr>
      </w:pPr>
      <w:r>
        <w:rPr>
          <w:w w:val="120"/>
          <w:sz w:val="20"/>
        </w:rPr>
        <w:t>That still leaves the question of identity. The name provides the two indicators that we are United and Reformed, but leaves us to explain what these mean. In doing that, perhaps there needs to be an acknowledgement of the tendency to be far more engaged with the ‘United’ than the ‘Reformed’. </w:t>
      </w:r>
      <w:r>
        <w:rPr>
          <w:spacing w:val="3"/>
          <w:w w:val="120"/>
          <w:sz w:val="20"/>
        </w:rPr>
        <w:t>As </w:t>
      </w:r>
      <w:r>
        <w:rPr>
          <w:w w:val="120"/>
          <w:sz w:val="20"/>
        </w:rPr>
        <w:t>David Peel points</w:t>
      </w:r>
      <w:r>
        <w:rPr>
          <w:spacing w:val="37"/>
          <w:w w:val="120"/>
          <w:sz w:val="20"/>
        </w:rPr>
        <w:t> </w:t>
      </w:r>
      <w:r>
        <w:rPr>
          <w:w w:val="120"/>
          <w:sz w:val="20"/>
        </w:rPr>
        <w:t>out:</w:t>
      </w:r>
    </w:p>
    <w:p>
      <w:pPr>
        <w:pStyle w:val="BodyText"/>
        <w:spacing w:before="10"/>
        <w:rPr>
          <w:sz w:val="19"/>
        </w:rPr>
      </w:pPr>
    </w:p>
    <w:p>
      <w:pPr>
        <w:spacing w:line="235" w:lineRule="auto" w:before="1"/>
        <w:ind w:left="1213" w:right="2189" w:firstLine="0"/>
        <w:jc w:val="left"/>
        <w:rPr>
          <w:sz w:val="13"/>
        </w:rPr>
      </w:pPr>
      <w:r>
        <w:rPr>
          <w:i/>
          <w:w w:val="110"/>
          <w:sz w:val="20"/>
        </w:rPr>
        <w:t>I get the impression that URC folk are far more likely to show an interest in their </w:t>
      </w:r>
      <w:r>
        <w:rPr>
          <w:i/>
          <w:w w:val="110"/>
          <w:sz w:val="20"/>
        </w:rPr>
        <w:t>denomination’s history than in its theology. After all we are living in an age which  yearns for the past, or at least selected </w:t>
      </w:r>
      <w:r>
        <w:rPr>
          <w:i/>
          <w:spacing w:val="2"/>
          <w:w w:val="110"/>
          <w:sz w:val="20"/>
        </w:rPr>
        <w:t>parts </w:t>
      </w:r>
      <w:r>
        <w:rPr>
          <w:i/>
          <w:w w:val="110"/>
          <w:sz w:val="20"/>
        </w:rPr>
        <w:t>of it, with the growth of the heritage industry being a prominent feature. But, by and large, theology is not held in esteem in our churches. It is widely held that it is best left alone, since it only complicates simple believing and undermines</w:t>
      </w:r>
      <w:r>
        <w:rPr>
          <w:i/>
          <w:spacing w:val="12"/>
          <w:w w:val="110"/>
          <w:sz w:val="20"/>
        </w:rPr>
        <w:t> </w:t>
      </w:r>
      <w:r>
        <w:rPr>
          <w:i/>
          <w:spacing w:val="-3"/>
          <w:w w:val="110"/>
          <w:sz w:val="20"/>
        </w:rPr>
        <w:t>faith.</w:t>
      </w:r>
      <w:r>
        <w:rPr>
          <w:spacing w:val="-3"/>
          <w:w w:val="110"/>
          <w:position w:val="7"/>
          <w:sz w:val="13"/>
        </w:rPr>
        <w:t>1</w:t>
      </w:r>
    </w:p>
    <w:p>
      <w:pPr>
        <w:pStyle w:val="BodyText"/>
        <w:spacing w:before="9"/>
        <w:rPr>
          <w:sz w:val="19"/>
        </w:rPr>
      </w:pPr>
    </w:p>
    <w:p>
      <w:pPr>
        <w:pStyle w:val="ListParagraph"/>
        <w:numPr>
          <w:ilvl w:val="1"/>
          <w:numId w:val="26"/>
        </w:numPr>
        <w:tabs>
          <w:tab w:pos="1213" w:val="left" w:leader="none"/>
          <w:tab w:pos="1214" w:val="left" w:leader="none"/>
        </w:tabs>
        <w:spacing w:line="235" w:lineRule="auto" w:before="0" w:after="0"/>
        <w:ind w:left="533" w:right="2053" w:firstLine="0"/>
        <w:jc w:val="left"/>
        <w:rPr>
          <w:sz w:val="20"/>
        </w:rPr>
      </w:pPr>
      <w:r>
        <w:rPr>
          <w:spacing w:val="-5"/>
          <w:w w:val="120"/>
          <w:sz w:val="20"/>
        </w:rPr>
        <w:t>Yet </w:t>
      </w:r>
      <w:r>
        <w:rPr>
          <w:w w:val="120"/>
          <w:sz w:val="20"/>
        </w:rPr>
        <w:t>surely our theology should be our driving force, and it must be in exploring our theology that our identity is discovered. So, in exploring what God is like, it  becomes apparent how to live and be. It is important to consider carefully questions about what it means to be Reformed and united but, in addition, to offer more  explicitly those elements of our Church life that are distinctive and important. </w:t>
      </w:r>
      <w:r>
        <w:rPr>
          <w:spacing w:val="3"/>
          <w:w w:val="120"/>
          <w:sz w:val="20"/>
        </w:rPr>
        <w:t>As </w:t>
      </w:r>
      <w:r>
        <w:rPr>
          <w:w w:val="120"/>
          <w:sz w:val="20"/>
        </w:rPr>
        <w:t>Synod Moderators we see both the challenges and the opportunities of doing</w:t>
      </w:r>
      <w:r>
        <w:rPr>
          <w:spacing w:val="41"/>
          <w:w w:val="120"/>
          <w:sz w:val="20"/>
        </w:rPr>
        <w:t> </w:t>
      </w:r>
      <w:r>
        <w:rPr>
          <w:w w:val="120"/>
          <w:sz w:val="20"/>
        </w:rPr>
        <w:t>this.</w:t>
      </w:r>
    </w:p>
    <w:p>
      <w:pPr>
        <w:pStyle w:val="BodyText"/>
      </w:pPr>
    </w:p>
    <w:p>
      <w:pPr>
        <w:pStyle w:val="ListParagraph"/>
        <w:numPr>
          <w:ilvl w:val="1"/>
          <w:numId w:val="26"/>
        </w:numPr>
        <w:tabs>
          <w:tab w:pos="1213" w:val="left" w:leader="none"/>
          <w:tab w:pos="1214" w:val="left" w:leader="none"/>
        </w:tabs>
        <w:spacing w:line="235" w:lineRule="auto" w:before="0" w:after="0"/>
        <w:ind w:left="533" w:right="2044" w:firstLine="0"/>
        <w:jc w:val="left"/>
        <w:rPr>
          <w:sz w:val="20"/>
        </w:rPr>
      </w:pPr>
      <w:r>
        <w:rPr>
          <w:w w:val="120"/>
          <w:sz w:val="20"/>
        </w:rPr>
        <w:t>The URC has never been able to do everything, though sometimes it has   seemed as though that is what was being attempted. So what are the distinctive United Reformed contributions to the wider Church? Without trying to do everything, there remains quite a long list of valuable contributions. Eldership, Pilots, the Joint Public Issues </w:t>
      </w:r>
      <w:r>
        <w:rPr>
          <w:spacing w:val="-4"/>
          <w:w w:val="120"/>
          <w:sz w:val="20"/>
        </w:rPr>
        <w:t>Team, </w:t>
      </w:r>
      <w:r>
        <w:rPr>
          <w:w w:val="120"/>
          <w:sz w:val="20"/>
        </w:rPr>
        <w:t>and the church related community work programme are all relatively distinct elements of URC life which need to be resourced if this denomination is going  to contribute</w:t>
      </w:r>
      <w:r>
        <w:rPr>
          <w:spacing w:val="3"/>
          <w:w w:val="120"/>
          <w:sz w:val="20"/>
        </w:rPr>
        <w:t> </w:t>
      </w:r>
      <w:r>
        <w:rPr>
          <w:w w:val="120"/>
          <w:sz w:val="20"/>
        </w:rPr>
        <w:t>well.</w:t>
      </w:r>
    </w:p>
    <w:p>
      <w:pPr>
        <w:pStyle w:val="BodyText"/>
        <w:spacing w:before="1"/>
      </w:pPr>
    </w:p>
    <w:p>
      <w:pPr>
        <w:pStyle w:val="ListParagraph"/>
        <w:numPr>
          <w:ilvl w:val="1"/>
          <w:numId w:val="26"/>
        </w:numPr>
        <w:tabs>
          <w:tab w:pos="1213" w:val="left" w:leader="none"/>
          <w:tab w:pos="1214" w:val="left" w:leader="none"/>
        </w:tabs>
        <w:spacing w:line="235" w:lineRule="auto" w:before="0" w:after="0"/>
        <w:ind w:left="533" w:right="1983" w:firstLine="0"/>
        <w:jc w:val="left"/>
        <w:rPr>
          <w:sz w:val="20"/>
        </w:rPr>
      </w:pPr>
      <w:r>
        <w:rPr>
          <w:w w:val="120"/>
          <w:sz w:val="20"/>
        </w:rPr>
        <w:t>The </w:t>
      </w:r>
      <w:r>
        <w:rPr>
          <w:spacing w:val="2"/>
          <w:w w:val="120"/>
          <w:sz w:val="20"/>
        </w:rPr>
        <w:t>gift </w:t>
      </w:r>
      <w:r>
        <w:rPr>
          <w:w w:val="120"/>
          <w:sz w:val="20"/>
        </w:rPr>
        <w:t>of eldership has come to our tradition from a variety of roots, as have the opportunities for checks and balances provided by a conciliar system of governance. How can these be helpfully shared on the wider church </w:t>
      </w:r>
      <w:r>
        <w:rPr>
          <w:spacing w:val="-3"/>
          <w:w w:val="120"/>
          <w:sz w:val="20"/>
        </w:rPr>
        <w:t>scene? </w:t>
      </w:r>
      <w:r>
        <w:rPr>
          <w:w w:val="120"/>
          <w:sz w:val="20"/>
        </w:rPr>
        <w:t>Though it has never reached the scope that was envisaged, how can the Church Related Community Work programme, so often highly valued by those of other denominations who encounter it, contribute to the life of the whole church? In particular, how can its insights shed light   in places where it is not currently </w:t>
      </w:r>
      <w:r>
        <w:rPr>
          <w:spacing w:val="2"/>
          <w:w w:val="120"/>
          <w:sz w:val="20"/>
        </w:rPr>
        <w:t>part </w:t>
      </w:r>
      <w:r>
        <w:rPr>
          <w:w w:val="120"/>
          <w:sz w:val="20"/>
        </w:rPr>
        <w:t>of the specific ministry? Good examples help. Jenny Crane is CRCW at Castle Hill URC, Northampton, a church that exudes history as one of the Philip Doddridge churches, but set in a deprived ward of the city. Supported by Jenny’s ministry some exciting things have been happening, connecting with the community</w:t>
      </w:r>
      <w:r>
        <w:rPr>
          <w:spacing w:val="9"/>
          <w:w w:val="120"/>
          <w:sz w:val="20"/>
        </w:rPr>
        <w:t> </w:t>
      </w:r>
      <w:r>
        <w:rPr>
          <w:w w:val="120"/>
          <w:sz w:val="20"/>
        </w:rPr>
        <w:t>using</w:t>
      </w:r>
      <w:r>
        <w:rPr>
          <w:spacing w:val="10"/>
          <w:w w:val="120"/>
          <w:sz w:val="20"/>
        </w:rPr>
        <w:t> </w:t>
      </w:r>
      <w:r>
        <w:rPr>
          <w:w w:val="120"/>
          <w:sz w:val="20"/>
        </w:rPr>
        <w:t>projects</w:t>
      </w:r>
      <w:r>
        <w:rPr>
          <w:spacing w:val="9"/>
          <w:w w:val="120"/>
          <w:sz w:val="20"/>
        </w:rPr>
        <w:t> </w:t>
      </w:r>
      <w:r>
        <w:rPr>
          <w:w w:val="120"/>
          <w:sz w:val="20"/>
        </w:rPr>
        <w:t>ranging</w:t>
      </w:r>
      <w:r>
        <w:rPr>
          <w:spacing w:val="10"/>
          <w:w w:val="120"/>
          <w:sz w:val="20"/>
        </w:rPr>
        <w:t> </w:t>
      </w:r>
      <w:r>
        <w:rPr>
          <w:w w:val="120"/>
          <w:sz w:val="20"/>
        </w:rPr>
        <w:t>from</w:t>
      </w:r>
      <w:r>
        <w:rPr>
          <w:spacing w:val="9"/>
          <w:w w:val="120"/>
          <w:sz w:val="20"/>
        </w:rPr>
        <w:t> </w:t>
      </w:r>
      <w:r>
        <w:rPr>
          <w:w w:val="120"/>
          <w:sz w:val="20"/>
        </w:rPr>
        <w:t>‘guerrilla</w:t>
      </w:r>
      <w:r>
        <w:rPr>
          <w:spacing w:val="9"/>
          <w:w w:val="120"/>
          <w:sz w:val="20"/>
        </w:rPr>
        <w:t> </w:t>
      </w:r>
      <w:r>
        <w:rPr>
          <w:w w:val="120"/>
          <w:sz w:val="20"/>
        </w:rPr>
        <w:t>gardening’</w:t>
      </w:r>
      <w:r>
        <w:rPr>
          <w:spacing w:val="10"/>
          <w:w w:val="120"/>
          <w:sz w:val="20"/>
        </w:rPr>
        <w:t> </w:t>
      </w:r>
      <w:r>
        <w:rPr>
          <w:w w:val="120"/>
          <w:sz w:val="20"/>
        </w:rPr>
        <w:t>through</w:t>
      </w:r>
      <w:r>
        <w:rPr>
          <w:spacing w:val="9"/>
          <w:w w:val="120"/>
          <w:sz w:val="20"/>
        </w:rPr>
        <w:t> </w:t>
      </w:r>
      <w:r>
        <w:rPr>
          <w:w w:val="120"/>
          <w:sz w:val="20"/>
        </w:rPr>
        <w:t>to</w:t>
      </w:r>
      <w:r>
        <w:rPr>
          <w:spacing w:val="10"/>
          <w:w w:val="120"/>
          <w:sz w:val="20"/>
        </w:rPr>
        <w:t> </w:t>
      </w:r>
      <w:r>
        <w:rPr>
          <w:w w:val="120"/>
          <w:sz w:val="20"/>
        </w:rPr>
        <w:t>a</w:t>
      </w:r>
      <w:r>
        <w:rPr>
          <w:spacing w:val="9"/>
          <w:w w:val="120"/>
          <w:sz w:val="20"/>
        </w:rPr>
        <w:t> </w:t>
      </w:r>
      <w:r>
        <w:rPr>
          <w:w w:val="120"/>
          <w:sz w:val="20"/>
        </w:rPr>
        <w:t>film</w:t>
      </w:r>
      <w:r>
        <w:rPr>
          <w:spacing w:val="10"/>
          <w:w w:val="120"/>
          <w:sz w:val="20"/>
        </w:rPr>
        <w:t> </w:t>
      </w:r>
      <w:r>
        <w:rPr>
          <w:w w:val="120"/>
          <w:sz w:val="20"/>
        </w:rPr>
        <w:t>club</w:t>
      </w:r>
    </w:p>
    <w:p>
      <w:pPr>
        <w:pStyle w:val="BodyText"/>
        <w:spacing w:line="235" w:lineRule="auto" w:before="8"/>
        <w:ind w:left="533" w:right="2269"/>
      </w:pPr>
      <w:r>
        <w:rPr>
          <w:w w:val="120"/>
        </w:rPr>
        <w:t>that is packed out. Amongst many other things, Jenny helped set up Street Church, an ecumenical Fresh Expressions congregation run by and for people who are homeless, now a key part of Northampton’s church landscape.</w:t>
      </w:r>
    </w:p>
    <w:p>
      <w:pPr>
        <w:pStyle w:val="BodyText"/>
        <w:spacing w:before="10"/>
        <w:rPr>
          <w:sz w:val="19"/>
        </w:rPr>
      </w:pPr>
    </w:p>
    <w:p>
      <w:pPr>
        <w:pStyle w:val="ListParagraph"/>
        <w:numPr>
          <w:ilvl w:val="1"/>
          <w:numId w:val="26"/>
        </w:numPr>
        <w:tabs>
          <w:tab w:pos="1213" w:val="left" w:leader="none"/>
          <w:tab w:pos="1214" w:val="left" w:leader="none"/>
        </w:tabs>
        <w:spacing w:line="235" w:lineRule="auto" w:before="1" w:after="0"/>
        <w:ind w:left="533" w:right="2120" w:firstLine="0"/>
        <w:jc w:val="left"/>
        <w:rPr>
          <w:sz w:val="20"/>
        </w:rPr>
      </w:pPr>
      <w:r>
        <w:rPr>
          <w:w w:val="120"/>
          <w:sz w:val="20"/>
        </w:rPr>
        <w:t>How</w:t>
      </w:r>
      <w:r>
        <w:rPr>
          <w:spacing w:val="-6"/>
          <w:w w:val="120"/>
          <w:sz w:val="20"/>
        </w:rPr>
        <w:t> </w:t>
      </w:r>
      <w:r>
        <w:rPr>
          <w:w w:val="120"/>
          <w:sz w:val="20"/>
        </w:rPr>
        <w:t>can</w:t>
      </w:r>
      <w:r>
        <w:rPr>
          <w:spacing w:val="-5"/>
          <w:w w:val="120"/>
          <w:sz w:val="20"/>
        </w:rPr>
        <w:t> </w:t>
      </w:r>
      <w:r>
        <w:rPr>
          <w:w w:val="120"/>
          <w:sz w:val="20"/>
        </w:rPr>
        <w:t>the</w:t>
      </w:r>
      <w:r>
        <w:rPr>
          <w:spacing w:val="-5"/>
          <w:w w:val="120"/>
          <w:sz w:val="20"/>
        </w:rPr>
        <w:t> </w:t>
      </w:r>
      <w:r>
        <w:rPr>
          <w:spacing w:val="-2"/>
          <w:w w:val="120"/>
          <w:sz w:val="20"/>
        </w:rPr>
        <w:t>thinking</w:t>
      </w:r>
      <w:r>
        <w:rPr>
          <w:spacing w:val="-5"/>
          <w:w w:val="120"/>
          <w:sz w:val="20"/>
        </w:rPr>
        <w:t> </w:t>
      </w:r>
      <w:r>
        <w:rPr>
          <w:w w:val="120"/>
          <w:sz w:val="20"/>
        </w:rPr>
        <w:t>and</w:t>
      </w:r>
      <w:r>
        <w:rPr>
          <w:spacing w:val="-5"/>
          <w:w w:val="120"/>
          <w:sz w:val="20"/>
        </w:rPr>
        <w:t> </w:t>
      </w:r>
      <w:r>
        <w:rPr>
          <w:w w:val="120"/>
          <w:sz w:val="20"/>
        </w:rPr>
        <w:t>practice</w:t>
      </w:r>
      <w:r>
        <w:rPr>
          <w:spacing w:val="-5"/>
          <w:w w:val="120"/>
          <w:sz w:val="20"/>
        </w:rPr>
        <w:t> </w:t>
      </w:r>
      <w:r>
        <w:rPr>
          <w:w w:val="120"/>
          <w:sz w:val="20"/>
        </w:rPr>
        <w:t>that</w:t>
      </w:r>
      <w:r>
        <w:rPr>
          <w:spacing w:val="-5"/>
          <w:w w:val="120"/>
          <w:sz w:val="20"/>
        </w:rPr>
        <w:t> </w:t>
      </w:r>
      <w:r>
        <w:rPr>
          <w:w w:val="120"/>
          <w:sz w:val="20"/>
        </w:rPr>
        <w:t>is</w:t>
      </w:r>
      <w:r>
        <w:rPr>
          <w:spacing w:val="-5"/>
          <w:w w:val="120"/>
          <w:sz w:val="20"/>
        </w:rPr>
        <w:t> </w:t>
      </w:r>
      <w:r>
        <w:rPr>
          <w:w w:val="120"/>
          <w:sz w:val="20"/>
        </w:rPr>
        <w:t>Pilots</w:t>
      </w:r>
      <w:r>
        <w:rPr>
          <w:spacing w:val="-5"/>
          <w:w w:val="120"/>
          <w:sz w:val="20"/>
        </w:rPr>
        <w:t> </w:t>
      </w:r>
      <w:r>
        <w:rPr>
          <w:w w:val="120"/>
          <w:sz w:val="20"/>
        </w:rPr>
        <w:t>be</w:t>
      </w:r>
      <w:r>
        <w:rPr>
          <w:spacing w:val="-5"/>
          <w:w w:val="120"/>
          <w:sz w:val="20"/>
        </w:rPr>
        <w:t> </w:t>
      </w:r>
      <w:r>
        <w:rPr>
          <w:w w:val="120"/>
          <w:sz w:val="20"/>
        </w:rPr>
        <w:t>more</w:t>
      </w:r>
      <w:r>
        <w:rPr>
          <w:spacing w:val="-5"/>
          <w:w w:val="120"/>
          <w:sz w:val="20"/>
        </w:rPr>
        <w:t> </w:t>
      </w:r>
      <w:r>
        <w:rPr>
          <w:w w:val="120"/>
          <w:sz w:val="20"/>
        </w:rPr>
        <w:t>widely</w:t>
      </w:r>
      <w:r>
        <w:rPr>
          <w:spacing w:val="-5"/>
          <w:w w:val="120"/>
          <w:sz w:val="20"/>
        </w:rPr>
        <w:t> </w:t>
      </w:r>
      <w:r>
        <w:rPr>
          <w:w w:val="120"/>
          <w:sz w:val="20"/>
        </w:rPr>
        <w:t>offered?</w:t>
      </w:r>
      <w:r>
        <w:rPr>
          <w:spacing w:val="-5"/>
          <w:w w:val="120"/>
          <w:sz w:val="20"/>
        </w:rPr>
        <w:t> </w:t>
      </w:r>
      <w:r>
        <w:rPr>
          <w:w w:val="120"/>
          <w:sz w:val="20"/>
        </w:rPr>
        <w:t>How</w:t>
      </w:r>
      <w:r>
        <w:rPr>
          <w:spacing w:val="-5"/>
          <w:w w:val="120"/>
          <w:sz w:val="20"/>
        </w:rPr>
        <w:t> </w:t>
      </w:r>
      <w:r>
        <w:rPr>
          <w:w w:val="120"/>
          <w:sz w:val="20"/>
        </w:rPr>
        <w:t>can the</w:t>
      </w:r>
      <w:r>
        <w:rPr>
          <w:spacing w:val="-6"/>
          <w:w w:val="120"/>
          <w:sz w:val="20"/>
        </w:rPr>
        <w:t> </w:t>
      </w:r>
      <w:r>
        <w:rPr>
          <w:w w:val="120"/>
          <w:sz w:val="20"/>
        </w:rPr>
        <w:t>work</w:t>
      </w:r>
      <w:r>
        <w:rPr>
          <w:spacing w:val="-5"/>
          <w:w w:val="120"/>
          <w:sz w:val="20"/>
        </w:rPr>
        <w:t> </w:t>
      </w:r>
      <w:r>
        <w:rPr>
          <w:w w:val="120"/>
          <w:sz w:val="20"/>
        </w:rPr>
        <w:t>of</w:t>
      </w:r>
      <w:r>
        <w:rPr>
          <w:spacing w:val="-6"/>
          <w:w w:val="120"/>
          <w:sz w:val="20"/>
        </w:rPr>
        <w:t> </w:t>
      </w:r>
      <w:r>
        <w:rPr>
          <w:w w:val="120"/>
          <w:sz w:val="20"/>
        </w:rPr>
        <w:t>the</w:t>
      </w:r>
      <w:r>
        <w:rPr>
          <w:spacing w:val="-5"/>
          <w:w w:val="120"/>
          <w:sz w:val="20"/>
        </w:rPr>
        <w:t> </w:t>
      </w:r>
      <w:r>
        <w:rPr>
          <w:w w:val="120"/>
          <w:sz w:val="20"/>
        </w:rPr>
        <w:t>Joint</w:t>
      </w:r>
      <w:r>
        <w:rPr>
          <w:spacing w:val="-5"/>
          <w:w w:val="120"/>
          <w:sz w:val="20"/>
        </w:rPr>
        <w:t> </w:t>
      </w:r>
      <w:r>
        <w:rPr>
          <w:spacing w:val="-3"/>
          <w:w w:val="120"/>
          <w:sz w:val="20"/>
        </w:rPr>
        <w:t>Public</w:t>
      </w:r>
      <w:r>
        <w:rPr>
          <w:spacing w:val="-6"/>
          <w:w w:val="120"/>
          <w:sz w:val="20"/>
        </w:rPr>
        <w:t> </w:t>
      </w:r>
      <w:r>
        <w:rPr>
          <w:spacing w:val="-3"/>
          <w:w w:val="120"/>
          <w:sz w:val="20"/>
        </w:rPr>
        <w:t>Issues</w:t>
      </w:r>
      <w:r>
        <w:rPr>
          <w:spacing w:val="-5"/>
          <w:w w:val="120"/>
          <w:sz w:val="20"/>
        </w:rPr>
        <w:t> </w:t>
      </w:r>
      <w:r>
        <w:rPr>
          <w:spacing w:val="-6"/>
          <w:w w:val="120"/>
          <w:sz w:val="20"/>
        </w:rPr>
        <w:t>Team </w:t>
      </w:r>
      <w:r>
        <w:rPr>
          <w:w w:val="120"/>
          <w:sz w:val="20"/>
        </w:rPr>
        <w:t>be</w:t>
      </w:r>
      <w:r>
        <w:rPr>
          <w:spacing w:val="-5"/>
          <w:w w:val="120"/>
          <w:sz w:val="20"/>
        </w:rPr>
        <w:t> </w:t>
      </w:r>
      <w:r>
        <w:rPr>
          <w:spacing w:val="-3"/>
          <w:w w:val="120"/>
          <w:sz w:val="20"/>
        </w:rPr>
        <w:t>disseminated</w:t>
      </w:r>
      <w:r>
        <w:rPr>
          <w:spacing w:val="-5"/>
          <w:w w:val="120"/>
          <w:sz w:val="20"/>
        </w:rPr>
        <w:t> </w:t>
      </w:r>
      <w:r>
        <w:rPr>
          <w:spacing w:val="-3"/>
          <w:w w:val="120"/>
          <w:sz w:val="20"/>
        </w:rPr>
        <w:t>across</w:t>
      </w:r>
      <w:r>
        <w:rPr>
          <w:spacing w:val="-6"/>
          <w:w w:val="120"/>
          <w:sz w:val="20"/>
        </w:rPr>
        <w:t> </w:t>
      </w:r>
      <w:r>
        <w:rPr>
          <w:w w:val="120"/>
          <w:sz w:val="20"/>
        </w:rPr>
        <w:t>a</w:t>
      </w:r>
      <w:r>
        <w:rPr>
          <w:spacing w:val="-5"/>
          <w:w w:val="120"/>
          <w:sz w:val="20"/>
        </w:rPr>
        <w:t> </w:t>
      </w:r>
      <w:r>
        <w:rPr>
          <w:w w:val="120"/>
          <w:sz w:val="20"/>
        </w:rPr>
        <w:t>broader</w:t>
      </w:r>
      <w:r>
        <w:rPr>
          <w:spacing w:val="-6"/>
          <w:w w:val="120"/>
          <w:sz w:val="20"/>
        </w:rPr>
        <w:t> </w:t>
      </w:r>
      <w:r>
        <w:rPr>
          <w:w w:val="120"/>
          <w:sz w:val="20"/>
        </w:rPr>
        <w:t>spectrum?</w:t>
      </w:r>
    </w:p>
    <w:p>
      <w:pPr>
        <w:pStyle w:val="BodyText"/>
        <w:spacing w:before="9"/>
        <w:rPr>
          <w:sz w:val="19"/>
        </w:rPr>
      </w:pPr>
    </w:p>
    <w:p>
      <w:pPr>
        <w:pStyle w:val="ListParagraph"/>
        <w:numPr>
          <w:ilvl w:val="1"/>
          <w:numId w:val="26"/>
        </w:numPr>
        <w:tabs>
          <w:tab w:pos="1213" w:val="left" w:leader="none"/>
          <w:tab w:pos="1214" w:val="left" w:leader="none"/>
        </w:tabs>
        <w:spacing w:line="235" w:lineRule="auto" w:before="0" w:after="0"/>
        <w:ind w:left="533" w:right="2296" w:firstLine="0"/>
        <w:jc w:val="left"/>
        <w:rPr>
          <w:sz w:val="20"/>
        </w:rPr>
      </w:pPr>
      <w:r>
        <w:rPr>
          <w:w w:val="120"/>
          <w:sz w:val="20"/>
        </w:rPr>
        <w:t>Alongside these, it is essential to contribute to those more widely-shared elements of church staying, as one example, with the three key themes of</w:t>
      </w:r>
      <w:r>
        <w:rPr>
          <w:spacing w:val="24"/>
          <w:w w:val="120"/>
          <w:sz w:val="20"/>
        </w:rPr>
        <w:t> </w:t>
      </w:r>
      <w:r>
        <w:rPr>
          <w:w w:val="120"/>
          <w:sz w:val="20"/>
        </w:rPr>
        <w:t>Vision4Life</w:t>
      </w:r>
    </w:p>
    <w:p>
      <w:pPr>
        <w:pStyle w:val="ListParagraph"/>
        <w:numPr>
          <w:ilvl w:val="0"/>
          <w:numId w:val="17"/>
        </w:numPr>
        <w:tabs>
          <w:tab w:pos="718" w:val="left" w:leader="none"/>
        </w:tabs>
        <w:spacing w:line="235" w:lineRule="auto" w:before="2" w:after="0"/>
        <w:ind w:left="533" w:right="1983" w:firstLine="0"/>
        <w:jc w:val="left"/>
        <w:rPr>
          <w:sz w:val="20"/>
        </w:rPr>
      </w:pPr>
      <w:r>
        <w:rPr>
          <w:w w:val="120"/>
          <w:sz w:val="20"/>
        </w:rPr>
        <w:t>the Bible, prayer and evangelism – as well as regularly checking against the ten priorities of Vision </w:t>
      </w:r>
      <w:r>
        <w:rPr>
          <w:spacing w:val="-3"/>
          <w:w w:val="120"/>
          <w:sz w:val="20"/>
        </w:rPr>
        <w:t>2020. </w:t>
      </w:r>
      <w:r>
        <w:rPr>
          <w:w w:val="120"/>
          <w:sz w:val="20"/>
        </w:rPr>
        <w:t>What is to be learned about the critical challenges of discipleship, now helpfully presented and resourced by a restructured General Secretariat and a remodelled department of Discipleship that urges us to do what it says on its particular</w:t>
      </w:r>
      <w:r>
        <w:rPr>
          <w:spacing w:val="6"/>
          <w:w w:val="120"/>
          <w:sz w:val="20"/>
        </w:rPr>
        <w:t> </w:t>
      </w:r>
      <w:r>
        <w:rPr>
          <w:w w:val="120"/>
          <w:sz w:val="20"/>
        </w:rPr>
        <w:t>tin.</w:t>
      </w:r>
    </w:p>
    <w:p>
      <w:pPr>
        <w:pStyle w:val="BodyText"/>
        <w:spacing w:before="11"/>
        <w:rPr>
          <w:sz w:val="19"/>
        </w:rPr>
      </w:pPr>
    </w:p>
    <w:p>
      <w:pPr>
        <w:pStyle w:val="ListParagraph"/>
        <w:numPr>
          <w:ilvl w:val="1"/>
          <w:numId w:val="26"/>
        </w:numPr>
        <w:tabs>
          <w:tab w:pos="1213" w:val="left" w:leader="none"/>
          <w:tab w:pos="1214" w:val="left" w:leader="none"/>
        </w:tabs>
        <w:spacing w:line="235" w:lineRule="auto" w:before="0" w:after="0"/>
        <w:ind w:left="533" w:right="2051" w:firstLine="0"/>
        <w:jc w:val="left"/>
        <w:rPr>
          <w:sz w:val="20"/>
        </w:rPr>
      </w:pPr>
      <w:r>
        <w:rPr>
          <w:w w:val="120"/>
          <w:sz w:val="20"/>
        </w:rPr>
        <w:t>Going around the synods, we, Synod Moderators, encounter those places where God’s people are struggling and where a sense of direction is difficult to pinpoint. However, in other places, often quite remarkably, we see exciting things happening as our folk set off on a variety of adventures. For example, Messy Church at </w:t>
      </w:r>
      <w:r>
        <w:rPr>
          <w:spacing w:val="-4"/>
          <w:w w:val="120"/>
          <w:sz w:val="20"/>
        </w:rPr>
        <w:t>Toll </w:t>
      </w:r>
      <w:r>
        <w:rPr>
          <w:w w:val="120"/>
          <w:sz w:val="20"/>
        </w:rPr>
        <w:t>Bar with Prescot URC is really connecting with local families and impacting their own faith as  they seek to present it visually and physically to others. This led to dancing by one of  the Messy Church girls at the induction of their new</w:t>
      </w:r>
      <w:r>
        <w:rPr>
          <w:spacing w:val="21"/>
          <w:w w:val="120"/>
          <w:sz w:val="20"/>
        </w:rPr>
        <w:t> </w:t>
      </w:r>
      <w:r>
        <w:rPr>
          <w:w w:val="120"/>
          <w:sz w:val="20"/>
        </w:rPr>
        <w:t>minister.</w:t>
      </w:r>
    </w:p>
    <w:p>
      <w:pPr>
        <w:spacing w:after="0" w:line="235" w:lineRule="auto"/>
        <w:jc w:val="left"/>
        <w:rPr>
          <w:sz w:val="20"/>
        </w:rPr>
        <w:sectPr>
          <w:headerReference w:type="even" r:id="rId154"/>
          <w:pgSz w:w="11910" w:h="16840"/>
          <w:pgMar w:header="0" w:footer="647" w:top="0" w:bottom="840" w:left="700" w:right="0"/>
        </w:sectPr>
      </w:pPr>
    </w:p>
    <w:p>
      <w:pPr>
        <w:pStyle w:val="BodyText"/>
      </w:pPr>
      <w:r>
        <w:rPr/>
        <w:drawing>
          <wp:anchor distT="0" distB="0" distL="0" distR="0" allowOverlap="1" layoutInCell="1" locked="0" behindDoc="0" simplePos="0" relativeHeight="251771904">
            <wp:simplePos x="0" y="0"/>
            <wp:positionH relativeFrom="page">
              <wp:posOffset>6974928</wp:posOffset>
            </wp:positionH>
            <wp:positionV relativeFrom="page">
              <wp:posOffset>0</wp:posOffset>
            </wp:positionV>
            <wp:extent cx="585063" cy="10692003"/>
            <wp:effectExtent l="0" t="0" r="0" b="0"/>
            <wp:wrapNone/>
            <wp:docPr id="73" name="image27.png"/>
            <wp:cNvGraphicFramePr>
              <a:graphicFrameLocks noChangeAspect="1"/>
            </wp:cNvGraphicFramePr>
            <a:graphic>
              <a:graphicData uri="http://schemas.openxmlformats.org/drawingml/2006/picture">
                <pic:pic>
                  <pic:nvPicPr>
                    <pic:cNvPr id="74" name="image27.png"/>
                    <pic:cNvPicPr/>
                  </pic:nvPicPr>
                  <pic:blipFill>
                    <a:blip r:embed="rId34" cstate="print"/>
                    <a:stretch>
                      <a:fillRect/>
                    </a:stretch>
                  </pic:blipFill>
                  <pic:spPr>
                    <a:xfrm>
                      <a:off x="0" y="0"/>
                      <a:ext cx="585063" cy="10692003"/>
                    </a:xfrm>
                    <a:prstGeom prst="rect">
                      <a:avLst/>
                    </a:prstGeom>
                  </pic:spPr>
                </pic:pic>
              </a:graphicData>
            </a:graphic>
          </wp:anchor>
        </w:drawing>
      </w:r>
    </w:p>
    <w:p>
      <w:pPr>
        <w:pStyle w:val="BodyText"/>
        <w:spacing w:before="7"/>
        <w:rPr>
          <w:sz w:val="21"/>
        </w:rPr>
      </w:pPr>
    </w:p>
    <w:p>
      <w:pPr>
        <w:spacing w:before="106"/>
        <w:ind w:left="0" w:right="1245" w:firstLine="0"/>
        <w:jc w:val="right"/>
        <w:rPr>
          <w:sz w:val="26"/>
        </w:rPr>
      </w:pPr>
      <w:r>
        <w:rPr/>
        <w:pict>
          <v:shape style="position:absolute;margin-left:554.282898pt;margin-top:22.593945pt;width:25.9pt;height:264.55pt;mso-position-horizontal-relative:page;mso-position-vertical-relative:paragraph;z-index:251772928" type="#_x0000_t202" filled="false" stroked="false">
            <v:textbox inset="0,0,0,0" style="layout-flow:vertical">
              <w:txbxContent>
                <w:p>
                  <w:pPr>
                    <w:spacing w:before="27"/>
                    <w:ind w:left="20" w:right="0" w:firstLine="0"/>
                    <w:jc w:val="left"/>
                    <w:rPr>
                      <w:sz w:val="39"/>
                    </w:rPr>
                  </w:pPr>
                  <w:r>
                    <w:rPr>
                      <w:color w:val="FFFFFF"/>
                      <w:w w:val="120"/>
                      <w:sz w:val="39"/>
                    </w:rPr>
                    <w:t>Synod moderators’ report</w:t>
                  </w:r>
                </w:p>
              </w:txbxContent>
            </v:textbox>
            <w10:wrap type="none"/>
          </v:shape>
        </w:pict>
      </w:r>
      <w:r>
        <w:rPr>
          <w:color w:val="7EAABF"/>
          <w:w w:val="120"/>
          <w:sz w:val="26"/>
        </w:rPr>
        <w:t>Mission Council</w:t>
      </w:r>
    </w:p>
    <w:p>
      <w:pPr>
        <w:pStyle w:val="ListParagraph"/>
        <w:numPr>
          <w:ilvl w:val="1"/>
          <w:numId w:val="26"/>
        </w:numPr>
        <w:tabs>
          <w:tab w:pos="1832" w:val="left" w:leader="none"/>
          <w:tab w:pos="1833" w:val="left" w:leader="none"/>
        </w:tabs>
        <w:spacing w:line="235" w:lineRule="auto" w:before="222" w:after="0"/>
        <w:ind w:left="1151" w:right="1494" w:firstLine="0"/>
        <w:jc w:val="left"/>
        <w:rPr>
          <w:sz w:val="20"/>
        </w:rPr>
      </w:pPr>
      <w:r>
        <w:rPr>
          <w:w w:val="120"/>
          <w:sz w:val="20"/>
        </w:rPr>
        <w:t>It is important to note that, though it can be, it is not always the relatively larger churches that are doing all the risky stuff. In some cases it is small churches with an ageing membership who set out on some unexpected journey to which God is calling them. The elderly Abraham, as he set off from Haran, remains a valuable model.</w:t>
      </w:r>
      <w:r>
        <w:rPr>
          <w:spacing w:val="16"/>
          <w:w w:val="120"/>
          <w:sz w:val="20"/>
        </w:rPr>
        <w:t> </w:t>
      </w:r>
      <w:r>
        <w:rPr>
          <w:w w:val="120"/>
          <w:sz w:val="20"/>
        </w:rPr>
        <w:t>So</w:t>
      </w:r>
    </w:p>
    <w:p>
      <w:pPr>
        <w:pStyle w:val="BodyText"/>
        <w:spacing w:line="235" w:lineRule="auto" w:before="3"/>
        <w:ind w:left="1151" w:right="1377"/>
      </w:pPr>
      <w:r>
        <w:rPr>
          <w:w w:val="120"/>
        </w:rPr>
        <w:t>the small URC congregation at Upton Cheyney </w:t>
      </w:r>
      <w:r>
        <w:rPr>
          <w:spacing w:val="-4"/>
          <w:w w:val="120"/>
        </w:rPr>
        <w:t>(near  </w:t>
      </w:r>
      <w:r>
        <w:rPr>
          <w:w w:val="120"/>
        </w:rPr>
        <w:t>Bristol) was facing closure but,   with a rallying call to the village and neighbouring URCs, and the inspiration of </w:t>
      </w:r>
      <w:r>
        <w:rPr>
          <w:spacing w:val="2"/>
          <w:w w:val="120"/>
        </w:rPr>
        <w:t>Meryl </w:t>
      </w:r>
      <w:r>
        <w:rPr>
          <w:w w:val="120"/>
        </w:rPr>
        <w:t>White, a non-stipendiary minister, they have engaged with the community in new ways. Last Christmas they held a successful ‘Crafts and Carols in the Barn’ event, as well as completing Phase 1 of their ambitious church building</w:t>
      </w:r>
      <w:r>
        <w:rPr>
          <w:spacing w:val="28"/>
          <w:w w:val="120"/>
        </w:rPr>
        <w:t> </w:t>
      </w:r>
      <w:r>
        <w:rPr>
          <w:w w:val="120"/>
        </w:rPr>
        <w:t>refurbishment.</w:t>
      </w:r>
    </w:p>
    <w:p>
      <w:pPr>
        <w:pStyle w:val="BodyText"/>
        <w:spacing w:before="3"/>
        <w:rPr>
          <w:sz w:val="22"/>
        </w:rPr>
      </w:pPr>
    </w:p>
    <w:p>
      <w:pPr>
        <w:spacing w:before="1"/>
        <w:ind w:left="1151" w:right="0" w:firstLine="0"/>
        <w:jc w:val="left"/>
        <w:rPr>
          <w:rFonts w:ascii="Stone Sans II ITC Std Bk"/>
          <w:b/>
          <w:sz w:val="29"/>
        </w:rPr>
      </w:pPr>
      <w:r>
        <w:rPr>
          <w:rFonts w:ascii="Stone Sans II ITC Std Bk"/>
          <w:b/>
          <w:w w:val="110"/>
          <w:sz w:val="29"/>
        </w:rPr>
        <w:t>Being Reformed</w:t>
      </w:r>
    </w:p>
    <w:p>
      <w:pPr>
        <w:pStyle w:val="Heading5"/>
        <w:spacing w:line="244" w:lineRule="auto" w:before="99"/>
      </w:pPr>
      <w:r>
        <w:rPr>
          <w:w w:val="115"/>
        </w:rPr>
        <w:t>We limit not the truth of God, to our poor reach of mind,</w:t>
      </w:r>
    </w:p>
    <w:p>
      <w:pPr>
        <w:pStyle w:val="Heading5"/>
        <w:spacing w:line="244" w:lineRule="auto"/>
      </w:pPr>
      <w:r>
        <w:rPr>
          <w:w w:val="115"/>
        </w:rPr>
        <w:t>by notions of our day and sect, crude, partial and confined: no, let a new and better hope within our hearts be stirred:</w:t>
      </w:r>
    </w:p>
    <w:p>
      <w:pPr>
        <w:pStyle w:val="Heading5"/>
        <w:spacing w:line="244" w:lineRule="auto"/>
        <w:ind w:left="3154" w:right="3247"/>
      </w:pPr>
      <w:r>
        <w:rPr>
          <w:w w:val="115"/>
        </w:rPr>
        <w:t>the Lord has yet more light and truth to break forth from his word.</w:t>
      </w:r>
    </w:p>
    <w:p>
      <w:pPr>
        <w:pStyle w:val="BodyText"/>
        <w:spacing w:line="276" w:lineRule="auto" w:before="42"/>
        <w:ind w:left="1848" w:right="1942"/>
        <w:jc w:val="center"/>
      </w:pPr>
      <w:r>
        <w:rPr>
          <w:spacing w:val="4"/>
          <w:w w:val="120"/>
        </w:rPr>
        <w:t>George </w:t>
      </w:r>
      <w:r>
        <w:rPr>
          <w:spacing w:val="3"/>
          <w:w w:val="120"/>
        </w:rPr>
        <w:t>Rawson </w:t>
      </w:r>
      <w:r>
        <w:rPr>
          <w:w w:val="120"/>
        </w:rPr>
        <w:t>– </w:t>
      </w:r>
      <w:r>
        <w:rPr>
          <w:spacing w:val="3"/>
          <w:w w:val="120"/>
        </w:rPr>
        <w:t>‘We </w:t>
      </w:r>
      <w:r>
        <w:rPr>
          <w:spacing w:val="2"/>
          <w:w w:val="120"/>
        </w:rPr>
        <w:t>limit not </w:t>
      </w:r>
      <w:r>
        <w:rPr>
          <w:spacing w:val="3"/>
          <w:w w:val="120"/>
        </w:rPr>
        <w:t>the </w:t>
      </w:r>
      <w:r>
        <w:rPr>
          <w:spacing w:val="4"/>
          <w:w w:val="120"/>
        </w:rPr>
        <w:t>truth </w:t>
      </w:r>
      <w:r>
        <w:rPr>
          <w:spacing w:val="2"/>
          <w:w w:val="120"/>
        </w:rPr>
        <w:t>of </w:t>
      </w:r>
      <w:r>
        <w:rPr>
          <w:spacing w:val="3"/>
          <w:w w:val="120"/>
        </w:rPr>
        <w:t>God’ (based </w:t>
      </w:r>
      <w:r>
        <w:rPr>
          <w:spacing w:val="2"/>
          <w:w w:val="120"/>
        </w:rPr>
        <w:t>on </w:t>
      </w:r>
      <w:r>
        <w:rPr>
          <w:spacing w:val="5"/>
          <w:w w:val="120"/>
        </w:rPr>
        <w:t>parting </w:t>
      </w:r>
      <w:r>
        <w:rPr>
          <w:spacing w:val="3"/>
          <w:w w:val="120"/>
        </w:rPr>
        <w:t>words </w:t>
      </w:r>
      <w:r>
        <w:rPr>
          <w:spacing w:val="2"/>
          <w:w w:val="120"/>
        </w:rPr>
        <w:t>of </w:t>
      </w:r>
      <w:r>
        <w:rPr>
          <w:spacing w:val="3"/>
          <w:w w:val="120"/>
        </w:rPr>
        <w:t>Pastor John Robinson </w:t>
      </w:r>
      <w:r>
        <w:rPr>
          <w:w w:val="120"/>
        </w:rPr>
        <w:t>to </w:t>
      </w:r>
      <w:r>
        <w:rPr>
          <w:spacing w:val="3"/>
          <w:w w:val="120"/>
        </w:rPr>
        <w:t>the Pilgrim</w:t>
      </w:r>
      <w:r>
        <w:rPr>
          <w:spacing w:val="37"/>
          <w:w w:val="120"/>
        </w:rPr>
        <w:t> </w:t>
      </w:r>
      <w:r>
        <w:rPr>
          <w:spacing w:val="4"/>
          <w:w w:val="120"/>
        </w:rPr>
        <w:t>Fathers, </w:t>
      </w:r>
      <w:r>
        <w:rPr>
          <w:spacing w:val="-3"/>
          <w:w w:val="120"/>
        </w:rPr>
        <w:t>1620)</w:t>
      </w:r>
    </w:p>
    <w:p>
      <w:pPr>
        <w:pStyle w:val="ListParagraph"/>
        <w:numPr>
          <w:ilvl w:val="1"/>
          <w:numId w:val="26"/>
        </w:numPr>
        <w:tabs>
          <w:tab w:pos="1832" w:val="left" w:leader="none"/>
          <w:tab w:pos="1833" w:val="left" w:leader="none"/>
        </w:tabs>
        <w:spacing w:line="235" w:lineRule="auto" w:before="202" w:after="0"/>
        <w:ind w:left="1151" w:right="1384" w:firstLine="0"/>
        <w:jc w:val="left"/>
        <w:rPr>
          <w:sz w:val="20"/>
        </w:rPr>
      </w:pPr>
      <w:r>
        <w:rPr>
          <w:w w:val="120"/>
          <w:sz w:val="20"/>
        </w:rPr>
        <w:t>The URC needs to be fleet of foot in looking to the challenges of mission </w:t>
      </w:r>
      <w:r>
        <w:rPr>
          <w:spacing w:val="-3"/>
          <w:w w:val="120"/>
          <w:sz w:val="20"/>
        </w:rPr>
        <w:t>today. </w:t>
      </w:r>
      <w:r>
        <w:rPr>
          <w:w w:val="120"/>
          <w:sz w:val="20"/>
        </w:rPr>
        <w:t>That is being reformed, and </w:t>
      </w:r>
      <w:r>
        <w:rPr>
          <w:spacing w:val="2"/>
          <w:w w:val="120"/>
          <w:sz w:val="20"/>
        </w:rPr>
        <w:t>part </w:t>
      </w:r>
      <w:r>
        <w:rPr>
          <w:w w:val="120"/>
          <w:sz w:val="20"/>
        </w:rPr>
        <w:t>of our unique gift. One of the clues as to what it   means to be Reformed is found in that great summary of what the URC is and stands  </w:t>
      </w:r>
      <w:r>
        <w:rPr>
          <w:spacing w:val="-3"/>
          <w:w w:val="120"/>
          <w:sz w:val="20"/>
        </w:rPr>
        <w:t>for, </w:t>
      </w:r>
      <w:r>
        <w:rPr>
          <w:w w:val="120"/>
          <w:sz w:val="20"/>
        </w:rPr>
        <w:t>the statement of ‘The Nature, Faith and Order of the United Reformed Church’</w:t>
      </w:r>
      <w:r>
        <w:rPr>
          <w:spacing w:val="25"/>
          <w:w w:val="120"/>
          <w:sz w:val="20"/>
        </w:rPr>
        <w:t> </w:t>
      </w:r>
      <w:r>
        <w:rPr>
          <w:w w:val="120"/>
          <w:sz w:val="20"/>
        </w:rPr>
        <w:t>most</w:t>
      </w:r>
    </w:p>
    <w:p>
      <w:pPr>
        <w:pStyle w:val="BodyText"/>
        <w:spacing w:line="235" w:lineRule="auto"/>
        <w:ind w:left="1151" w:right="1337"/>
      </w:pPr>
      <w:r>
        <w:rPr>
          <w:w w:val="120"/>
        </w:rPr>
        <w:t>commonly used in version II.</w:t>
      </w:r>
      <w:r>
        <w:rPr>
          <w:w w:val="120"/>
          <w:position w:val="7"/>
          <w:sz w:val="13"/>
        </w:rPr>
        <w:t>2 </w:t>
      </w:r>
      <w:r>
        <w:rPr>
          <w:w w:val="120"/>
        </w:rPr>
        <w:t>(It is encouraging to note how often colleagues from other denominations wistfully mention their wish for ‘something like that </w:t>
      </w:r>
      <w:r>
        <w:rPr>
          <w:spacing w:val="-3"/>
          <w:w w:val="120"/>
        </w:rPr>
        <w:t>statement’.) </w:t>
      </w:r>
      <w:r>
        <w:rPr>
          <w:w w:val="120"/>
        </w:rPr>
        <w:t>One of its important assertions is the expression of our readiness to embrace change. It talks about the willingness to </w:t>
      </w:r>
      <w:r>
        <w:rPr>
          <w:spacing w:val="-3"/>
          <w:w w:val="120"/>
        </w:rPr>
        <w:t>‘make </w:t>
      </w:r>
      <w:r>
        <w:rPr>
          <w:w w:val="120"/>
        </w:rPr>
        <w:t>new statements of faith in ever new obedience to the Living Christ’. The specific reference is to credal statements, but our faith is also stated in our actions and they must be changed where that is</w:t>
      </w:r>
      <w:r>
        <w:rPr>
          <w:spacing w:val="27"/>
          <w:w w:val="120"/>
        </w:rPr>
        <w:t> </w:t>
      </w:r>
      <w:r>
        <w:rPr>
          <w:w w:val="120"/>
        </w:rPr>
        <w:t>needed.</w:t>
      </w:r>
    </w:p>
    <w:p>
      <w:pPr>
        <w:pStyle w:val="BodyText"/>
      </w:pPr>
    </w:p>
    <w:p>
      <w:pPr>
        <w:pStyle w:val="ListParagraph"/>
        <w:numPr>
          <w:ilvl w:val="1"/>
          <w:numId w:val="26"/>
        </w:numPr>
        <w:tabs>
          <w:tab w:pos="1832" w:val="left" w:leader="none"/>
          <w:tab w:pos="1833" w:val="left" w:leader="none"/>
        </w:tabs>
        <w:spacing w:line="235" w:lineRule="auto" w:before="0" w:after="0"/>
        <w:ind w:left="1151" w:right="1438" w:firstLine="0"/>
        <w:jc w:val="left"/>
        <w:rPr>
          <w:sz w:val="20"/>
        </w:rPr>
      </w:pPr>
      <w:r>
        <w:rPr>
          <w:w w:val="120"/>
          <w:sz w:val="20"/>
        </w:rPr>
        <w:t>Being reformed can be defined in many ways but, if it means anything, it surely means openness to change. </w:t>
      </w:r>
      <w:r>
        <w:rPr>
          <w:spacing w:val="2"/>
          <w:w w:val="120"/>
          <w:sz w:val="20"/>
        </w:rPr>
        <w:t>Of </w:t>
      </w:r>
      <w:r>
        <w:rPr>
          <w:w w:val="120"/>
          <w:sz w:val="20"/>
        </w:rPr>
        <w:t>course, there are times to resist change, but Synod Moderators see plenty of URC evidence of willingness to tackle the new challenges that God sets before</w:t>
      </w:r>
      <w:r>
        <w:rPr>
          <w:spacing w:val="6"/>
          <w:w w:val="120"/>
          <w:sz w:val="20"/>
        </w:rPr>
        <w:t> </w:t>
      </w:r>
      <w:r>
        <w:rPr>
          <w:w w:val="120"/>
          <w:sz w:val="20"/>
        </w:rPr>
        <w:t>us.</w:t>
      </w:r>
    </w:p>
    <w:p>
      <w:pPr>
        <w:pStyle w:val="BodyText"/>
        <w:spacing w:before="11"/>
        <w:rPr>
          <w:sz w:val="19"/>
        </w:rPr>
      </w:pPr>
    </w:p>
    <w:p>
      <w:pPr>
        <w:pStyle w:val="ListParagraph"/>
        <w:numPr>
          <w:ilvl w:val="1"/>
          <w:numId w:val="26"/>
        </w:numPr>
        <w:tabs>
          <w:tab w:pos="1832" w:val="left" w:leader="none"/>
          <w:tab w:pos="1833" w:val="left" w:leader="none"/>
        </w:tabs>
        <w:spacing w:line="235" w:lineRule="auto" w:before="0" w:after="0"/>
        <w:ind w:left="1151" w:right="1254" w:firstLine="0"/>
        <w:jc w:val="left"/>
        <w:rPr>
          <w:sz w:val="20"/>
        </w:rPr>
      </w:pPr>
      <w:r>
        <w:rPr>
          <w:w w:val="120"/>
          <w:sz w:val="20"/>
        </w:rPr>
        <w:t>The </w:t>
      </w:r>
      <w:r>
        <w:rPr>
          <w:spacing w:val="-3"/>
          <w:w w:val="120"/>
          <w:sz w:val="20"/>
        </w:rPr>
        <w:t>innovative </w:t>
      </w:r>
      <w:r>
        <w:rPr>
          <w:w w:val="120"/>
          <w:sz w:val="20"/>
        </w:rPr>
        <w:t>ministries of </w:t>
      </w:r>
      <w:r>
        <w:rPr>
          <w:spacing w:val="-3"/>
          <w:w w:val="120"/>
          <w:sz w:val="20"/>
        </w:rPr>
        <w:t>Mike Walsh </w:t>
      </w:r>
      <w:r>
        <w:rPr>
          <w:w w:val="120"/>
          <w:sz w:val="20"/>
        </w:rPr>
        <w:t>in Manchester and Ruth Maxey in </w:t>
      </w:r>
      <w:r>
        <w:rPr>
          <w:spacing w:val="-3"/>
          <w:w w:val="120"/>
          <w:sz w:val="20"/>
        </w:rPr>
        <w:t>Milton Keynes </w:t>
      </w:r>
      <w:r>
        <w:rPr>
          <w:w w:val="120"/>
          <w:sz w:val="20"/>
        </w:rPr>
        <w:t>are just two examples among </w:t>
      </w:r>
      <w:r>
        <w:rPr>
          <w:spacing w:val="-5"/>
          <w:w w:val="120"/>
          <w:sz w:val="20"/>
        </w:rPr>
        <w:t>many. </w:t>
      </w:r>
      <w:r>
        <w:rPr>
          <w:w w:val="120"/>
          <w:sz w:val="20"/>
        </w:rPr>
        <w:t>St. </w:t>
      </w:r>
      <w:r>
        <w:rPr>
          <w:spacing w:val="-3"/>
          <w:w w:val="120"/>
          <w:sz w:val="20"/>
        </w:rPr>
        <w:t>Cuthbert’s, </w:t>
      </w:r>
      <w:r>
        <w:rPr>
          <w:w w:val="120"/>
          <w:sz w:val="20"/>
        </w:rPr>
        <w:t>Holy </w:t>
      </w:r>
      <w:r>
        <w:rPr>
          <w:spacing w:val="-3"/>
          <w:w w:val="120"/>
          <w:sz w:val="20"/>
        </w:rPr>
        <w:t>Island, </w:t>
      </w:r>
      <w:r>
        <w:rPr>
          <w:w w:val="120"/>
          <w:sz w:val="20"/>
        </w:rPr>
        <w:t>has Rachel </w:t>
      </w:r>
      <w:r>
        <w:rPr>
          <w:spacing w:val="-3"/>
          <w:w w:val="120"/>
          <w:sz w:val="20"/>
        </w:rPr>
        <w:t>Poolman </w:t>
      </w:r>
      <w:r>
        <w:rPr>
          <w:w w:val="120"/>
          <w:sz w:val="20"/>
        </w:rPr>
        <w:t>as Special Category </w:t>
      </w:r>
      <w:r>
        <w:rPr>
          <w:spacing w:val="-4"/>
          <w:w w:val="120"/>
          <w:sz w:val="20"/>
        </w:rPr>
        <w:t>Minister. </w:t>
      </w:r>
      <w:r>
        <w:rPr>
          <w:w w:val="120"/>
          <w:sz w:val="20"/>
        </w:rPr>
        <w:t>Here is an example of the </w:t>
      </w:r>
      <w:r>
        <w:rPr>
          <w:spacing w:val="-3"/>
          <w:w w:val="120"/>
          <w:sz w:val="20"/>
        </w:rPr>
        <w:t>church </w:t>
      </w:r>
      <w:r>
        <w:rPr>
          <w:w w:val="120"/>
          <w:sz w:val="20"/>
        </w:rPr>
        <w:t>responding</w:t>
      </w:r>
      <w:r>
        <w:rPr>
          <w:spacing w:val="-17"/>
          <w:w w:val="120"/>
          <w:sz w:val="20"/>
        </w:rPr>
        <w:t> </w:t>
      </w:r>
      <w:r>
        <w:rPr>
          <w:spacing w:val="-3"/>
          <w:w w:val="120"/>
          <w:sz w:val="20"/>
        </w:rPr>
        <w:t>contextually</w:t>
      </w:r>
    </w:p>
    <w:p>
      <w:pPr>
        <w:pStyle w:val="BodyText"/>
        <w:spacing w:line="235" w:lineRule="auto" w:before="2"/>
        <w:ind w:left="1151" w:right="1261"/>
      </w:pPr>
      <w:r>
        <w:rPr>
          <w:spacing w:val="-3"/>
          <w:w w:val="120"/>
        </w:rPr>
        <w:t>to </w:t>
      </w:r>
      <w:r>
        <w:rPr>
          <w:w w:val="120"/>
        </w:rPr>
        <w:t>the </w:t>
      </w:r>
      <w:r>
        <w:rPr>
          <w:spacing w:val="-3"/>
          <w:w w:val="120"/>
        </w:rPr>
        <w:t>mission </w:t>
      </w:r>
      <w:r>
        <w:rPr>
          <w:w w:val="120"/>
        </w:rPr>
        <w:t>opportunities presented by </w:t>
      </w:r>
      <w:r>
        <w:rPr>
          <w:spacing w:val="-3"/>
          <w:w w:val="120"/>
        </w:rPr>
        <w:t>tourism, retreat </w:t>
      </w:r>
      <w:r>
        <w:rPr>
          <w:w w:val="120"/>
        </w:rPr>
        <w:t>seekers, </w:t>
      </w:r>
      <w:r>
        <w:rPr>
          <w:spacing w:val="-3"/>
          <w:w w:val="120"/>
        </w:rPr>
        <w:t>day </w:t>
      </w:r>
      <w:r>
        <w:rPr>
          <w:w w:val="120"/>
        </w:rPr>
        <w:t>trippers and </w:t>
      </w:r>
      <w:r>
        <w:rPr>
          <w:spacing w:val="-3"/>
          <w:w w:val="120"/>
        </w:rPr>
        <w:t>anyone </w:t>
      </w:r>
      <w:r>
        <w:rPr>
          <w:w w:val="120"/>
        </w:rPr>
        <w:t>else who arrives at the </w:t>
      </w:r>
      <w:r>
        <w:rPr>
          <w:spacing w:val="-3"/>
          <w:w w:val="120"/>
        </w:rPr>
        <w:t>centre. </w:t>
      </w:r>
      <w:r>
        <w:rPr>
          <w:w w:val="120"/>
        </w:rPr>
        <w:t>The stories of </w:t>
      </w:r>
      <w:r>
        <w:rPr>
          <w:spacing w:val="-3"/>
          <w:w w:val="120"/>
        </w:rPr>
        <w:t>churches willing to </w:t>
      </w:r>
      <w:r>
        <w:rPr>
          <w:w w:val="120"/>
        </w:rPr>
        <w:t>radically </w:t>
      </w:r>
      <w:r>
        <w:rPr>
          <w:spacing w:val="-3"/>
          <w:w w:val="120"/>
        </w:rPr>
        <w:t>alter </w:t>
      </w:r>
      <w:r>
        <w:rPr>
          <w:w w:val="120"/>
        </w:rPr>
        <w:t>their </w:t>
      </w:r>
      <w:r>
        <w:rPr>
          <w:spacing w:val="-3"/>
          <w:w w:val="120"/>
        </w:rPr>
        <w:t>buildings, </w:t>
      </w:r>
      <w:r>
        <w:rPr>
          <w:w w:val="120"/>
        </w:rPr>
        <w:t>so that they can better serve the </w:t>
      </w:r>
      <w:r>
        <w:rPr>
          <w:spacing w:val="-4"/>
          <w:w w:val="120"/>
        </w:rPr>
        <w:t>community, </w:t>
      </w:r>
      <w:r>
        <w:rPr>
          <w:w w:val="120"/>
        </w:rPr>
        <w:t>are </w:t>
      </w:r>
      <w:r>
        <w:rPr>
          <w:spacing w:val="-3"/>
          <w:w w:val="120"/>
        </w:rPr>
        <w:t>many </w:t>
      </w:r>
      <w:r>
        <w:rPr>
          <w:w w:val="120"/>
        </w:rPr>
        <w:t>and varied.</w:t>
      </w:r>
    </w:p>
    <w:p>
      <w:pPr>
        <w:pStyle w:val="BodyText"/>
        <w:spacing w:before="3"/>
        <w:rPr>
          <w:sz w:val="22"/>
        </w:rPr>
      </w:pPr>
    </w:p>
    <w:p>
      <w:pPr>
        <w:spacing w:before="0"/>
        <w:ind w:left="1151" w:right="0" w:firstLine="0"/>
        <w:jc w:val="left"/>
        <w:rPr>
          <w:rFonts w:ascii="Stone Sans II ITC Std Bk"/>
          <w:b/>
          <w:sz w:val="29"/>
        </w:rPr>
      </w:pPr>
      <w:r>
        <w:rPr>
          <w:rFonts w:ascii="Stone Sans II ITC Std Bk"/>
          <w:b/>
          <w:w w:val="110"/>
          <w:sz w:val="29"/>
        </w:rPr>
        <w:t>Being united</w:t>
      </w:r>
    </w:p>
    <w:p>
      <w:pPr>
        <w:pStyle w:val="Heading5"/>
        <w:spacing w:line="247" w:lineRule="auto" w:before="99"/>
        <w:ind w:left="1848" w:right="1942"/>
      </w:pPr>
      <w:r>
        <w:rPr>
          <w:w w:val="115"/>
        </w:rPr>
        <w:t>If we walk together, the Lord will help us to live that communion that precedes all argument.</w:t>
      </w:r>
    </w:p>
    <w:p>
      <w:pPr>
        <w:pStyle w:val="BodyText"/>
        <w:spacing w:before="42"/>
        <w:ind w:left="1025" w:right="1118"/>
        <w:jc w:val="center"/>
      </w:pPr>
      <w:r>
        <w:rPr>
          <w:w w:val="120"/>
        </w:rPr>
        <w:t>Pope Francis, ‘Address to the Waldensians’, 22 June 2015</w:t>
      </w:r>
    </w:p>
    <w:p>
      <w:pPr>
        <w:pStyle w:val="BodyText"/>
        <w:spacing w:before="8"/>
        <w:rPr>
          <w:sz w:val="19"/>
        </w:rPr>
      </w:pPr>
    </w:p>
    <w:p>
      <w:pPr>
        <w:pStyle w:val="ListParagraph"/>
        <w:numPr>
          <w:ilvl w:val="1"/>
          <w:numId w:val="26"/>
        </w:numPr>
        <w:tabs>
          <w:tab w:pos="1832" w:val="left" w:leader="none"/>
          <w:tab w:pos="1833" w:val="left" w:leader="none"/>
        </w:tabs>
        <w:spacing w:line="235" w:lineRule="auto" w:before="0" w:after="0"/>
        <w:ind w:left="1151" w:right="1334" w:firstLine="0"/>
        <w:jc w:val="left"/>
        <w:rPr>
          <w:sz w:val="20"/>
        </w:rPr>
      </w:pPr>
      <w:r>
        <w:rPr>
          <w:w w:val="120"/>
          <w:sz w:val="20"/>
        </w:rPr>
        <w:t>The ecumenical agenda remains fundamental to United Reformed thinking. Many of our congregations are </w:t>
      </w:r>
      <w:r>
        <w:rPr>
          <w:spacing w:val="2"/>
          <w:w w:val="120"/>
          <w:sz w:val="20"/>
        </w:rPr>
        <w:t>part </w:t>
      </w:r>
      <w:r>
        <w:rPr>
          <w:w w:val="120"/>
          <w:sz w:val="20"/>
        </w:rPr>
        <w:t>of a Local Ecumenical Partnership and, though it is now often suggested that the ecumenical agenda is changing and that Local Ecumenical Partnerships have passed their sell-by date, the URC experience tends to be that</w:t>
      </w:r>
      <w:r>
        <w:rPr>
          <w:spacing w:val="12"/>
          <w:w w:val="120"/>
          <w:sz w:val="20"/>
        </w:rPr>
        <w:t> </w:t>
      </w:r>
      <w:r>
        <w:rPr>
          <w:w w:val="120"/>
          <w:sz w:val="20"/>
        </w:rPr>
        <w:t>there</w:t>
      </w:r>
    </w:p>
    <w:p>
      <w:pPr>
        <w:spacing w:after="0" w:line="235" w:lineRule="auto"/>
        <w:jc w:val="left"/>
        <w:rPr>
          <w:sz w:val="20"/>
        </w:rPr>
        <w:sectPr>
          <w:headerReference w:type="default" r:id="rId155"/>
          <w:footerReference w:type="default" r:id="rId156"/>
          <w:footerReference w:type="even" r:id="rId157"/>
          <w:pgSz w:w="11910" w:h="16840"/>
          <w:pgMar w:header="0" w:footer="647" w:top="0" w:bottom="840" w:left="700" w:right="0"/>
          <w:pgNumType w:start="43"/>
        </w:sectPr>
      </w:pPr>
    </w:p>
    <w:p>
      <w:pPr>
        <w:pStyle w:val="BodyText"/>
      </w:pPr>
      <w:r>
        <w:rPr/>
        <w:drawing>
          <wp:anchor distT="0" distB="0" distL="0" distR="0" allowOverlap="1" layoutInCell="1" locked="0" behindDoc="1" simplePos="0" relativeHeight="235320320">
            <wp:simplePos x="0" y="0"/>
            <wp:positionH relativeFrom="page">
              <wp:posOffset>0</wp:posOffset>
            </wp:positionH>
            <wp:positionV relativeFrom="page">
              <wp:posOffset>0</wp:posOffset>
            </wp:positionV>
            <wp:extent cx="594067" cy="10692003"/>
            <wp:effectExtent l="0" t="0" r="0" b="0"/>
            <wp:wrapNone/>
            <wp:docPr id="75" name="image53.png"/>
            <wp:cNvGraphicFramePr>
              <a:graphicFrameLocks noChangeAspect="1"/>
            </wp:cNvGraphicFramePr>
            <a:graphic>
              <a:graphicData uri="http://schemas.openxmlformats.org/drawingml/2006/picture">
                <pic:pic>
                  <pic:nvPicPr>
                    <pic:cNvPr id="76" name="image53.png"/>
                    <pic:cNvPicPr/>
                  </pic:nvPicPr>
                  <pic:blipFill>
                    <a:blip r:embed="rId100" cstate="print"/>
                    <a:stretch>
                      <a:fillRect/>
                    </a:stretch>
                  </pic:blipFill>
                  <pic:spPr>
                    <a:xfrm>
                      <a:off x="0" y="0"/>
                      <a:ext cx="594067" cy="10692003"/>
                    </a:xfrm>
                    <a:prstGeom prst="rect">
                      <a:avLst/>
                    </a:prstGeom>
                  </pic:spPr>
                </pic:pic>
              </a:graphicData>
            </a:graphic>
          </wp:anchor>
        </w:drawing>
      </w:r>
      <w:r>
        <w:rPr/>
        <w:pict>
          <v:shape style="position:absolute;margin-left:19.101801pt;margin-top:48.890015pt;width:25.9pt;height:264.55pt;mso-position-horizontal-relative:page;mso-position-vertical-relative:page;z-index:-267995136" type="#_x0000_t202" filled="false" stroked="false">
            <v:textbox inset="0,0,0,0" style="layout-flow:vertical">
              <w:txbxContent>
                <w:p>
                  <w:pPr>
                    <w:spacing w:before="27"/>
                    <w:ind w:left="20" w:right="0" w:firstLine="0"/>
                    <w:jc w:val="left"/>
                    <w:rPr>
                      <w:sz w:val="39"/>
                    </w:rPr>
                  </w:pPr>
                  <w:r>
                    <w:rPr>
                      <w:color w:val="FFFFFF"/>
                      <w:w w:val="120"/>
                      <w:sz w:val="39"/>
                    </w:rPr>
                    <w:t>Synod moderators’ report</w:t>
                  </w:r>
                </w:p>
              </w:txbxContent>
            </v:textbox>
            <w10:wrap type="none"/>
          </v:shape>
        </w:pict>
      </w:r>
    </w:p>
    <w:p>
      <w:pPr>
        <w:pStyle w:val="BodyText"/>
        <w:spacing w:before="7"/>
        <w:rPr>
          <w:sz w:val="21"/>
        </w:rPr>
      </w:pPr>
    </w:p>
    <w:p>
      <w:pPr>
        <w:spacing w:before="106"/>
        <w:ind w:left="547" w:right="0" w:firstLine="0"/>
        <w:jc w:val="left"/>
        <w:rPr>
          <w:sz w:val="26"/>
        </w:rPr>
      </w:pPr>
      <w:r>
        <w:rPr>
          <w:color w:val="7EAABF"/>
          <w:w w:val="120"/>
          <w:sz w:val="26"/>
        </w:rPr>
        <w:t>Mission Council</w:t>
      </w:r>
    </w:p>
    <w:p>
      <w:pPr>
        <w:pStyle w:val="BodyText"/>
        <w:spacing w:line="235" w:lineRule="auto" w:before="222"/>
        <w:ind w:left="547" w:right="2083"/>
      </w:pPr>
      <w:r>
        <w:rPr>
          <w:w w:val="120"/>
        </w:rPr>
        <w:t>is still much that is good about life in Local Ecumenical Partnerships with new ones developing all the time. However, despite supportive noises in what might be called ‘high places’, as with the Archbishop of Canterbury stating that ecumenism is not important, but indispensable,</w:t>
      </w:r>
      <w:r>
        <w:rPr>
          <w:w w:val="120"/>
          <w:position w:val="7"/>
          <w:sz w:val="13"/>
        </w:rPr>
        <w:t>3 </w:t>
      </w:r>
      <w:r>
        <w:rPr>
          <w:w w:val="120"/>
        </w:rPr>
        <w:t>URC leaders often struggle with those who do not want to collaborate in that way.</w:t>
      </w:r>
    </w:p>
    <w:p>
      <w:pPr>
        <w:pStyle w:val="BodyText"/>
        <w:spacing w:before="8"/>
        <w:rPr>
          <w:sz w:val="19"/>
        </w:rPr>
      </w:pPr>
    </w:p>
    <w:p>
      <w:pPr>
        <w:pStyle w:val="ListParagraph"/>
        <w:numPr>
          <w:ilvl w:val="1"/>
          <w:numId w:val="26"/>
        </w:numPr>
        <w:tabs>
          <w:tab w:pos="1227" w:val="left" w:leader="none"/>
          <w:tab w:pos="1228" w:val="left" w:leader="none"/>
        </w:tabs>
        <w:spacing w:line="235" w:lineRule="auto" w:before="0" w:after="0"/>
        <w:ind w:left="547" w:right="2165" w:firstLine="0"/>
        <w:jc w:val="left"/>
        <w:rPr>
          <w:sz w:val="20"/>
        </w:rPr>
      </w:pPr>
      <w:r>
        <w:rPr>
          <w:w w:val="120"/>
          <w:sz w:val="20"/>
        </w:rPr>
        <w:t>How can the URC remain a prophetic voice, calling the Church to greater unity, even though others have moved away from that place? Ecumenism is messy and  needs to be contextual. The ecumenical landscape is changed and changing, but the ecumenical imperative remains </w:t>
      </w:r>
      <w:r>
        <w:rPr>
          <w:spacing w:val="2"/>
          <w:w w:val="120"/>
          <w:sz w:val="20"/>
        </w:rPr>
        <w:t>part </w:t>
      </w:r>
      <w:r>
        <w:rPr>
          <w:w w:val="120"/>
          <w:sz w:val="20"/>
        </w:rPr>
        <w:t>of the </w:t>
      </w:r>
      <w:r>
        <w:rPr>
          <w:spacing w:val="-3"/>
          <w:w w:val="120"/>
          <w:sz w:val="20"/>
        </w:rPr>
        <w:t>URC’s </w:t>
      </w:r>
      <w:r>
        <w:rPr>
          <w:spacing w:val="3"/>
          <w:w w:val="120"/>
          <w:sz w:val="20"/>
        </w:rPr>
        <w:t>DNA. </w:t>
      </w:r>
      <w:r>
        <w:rPr>
          <w:w w:val="120"/>
          <w:sz w:val="20"/>
        </w:rPr>
        <w:t>How can this</w:t>
      </w:r>
      <w:r>
        <w:rPr>
          <w:spacing w:val="46"/>
          <w:w w:val="120"/>
          <w:sz w:val="20"/>
        </w:rPr>
        <w:t> </w:t>
      </w:r>
      <w:r>
        <w:rPr>
          <w:w w:val="120"/>
          <w:sz w:val="20"/>
        </w:rPr>
        <w:t>denomination</w:t>
      </w:r>
    </w:p>
    <w:p>
      <w:pPr>
        <w:pStyle w:val="BodyText"/>
        <w:spacing w:line="235" w:lineRule="auto" w:before="3"/>
        <w:ind w:left="547" w:right="1955"/>
      </w:pPr>
      <w:r>
        <w:rPr>
          <w:w w:val="120"/>
        </w:rPr>
        <w:t>be the sand in the oyster, hopefully producing a pearl? How can new ways of being Churches together be encouraged? How might Churches other than the traditional mainline denominations be welcomed to the ecumenical scene? There are indications that some of these Churches want to cooperate, but it will fail if we refuse to amend the traditional structures.</w:t>
      </w:r>
    </w:p>
    <w:p>
      <w:pPr>
        <w:pStyle w:val="BodyText"/>
        <w:spacing w:before="12"/>
        <w:rPr>
          <w:sz w:val="19"/>
        </w:rPr>
      </w:pPr>
    </w:p>
    <w:p>
      <w:pPr>
        <w:pStyle w:val="ListParagraph"/>
        <w:numPr>
          <w:ilvl w:val="1"/>
          <w:numId w:val="26"/>
        </w:numPr>
        <w:tabs>
          <w:tab w:pos="1227" w:val="left" w:leader="none"/>
          <w:tab w:pos="1228" w:val="left" w:leader="none"/>
        </w:tabs>
        <w:spacing w:line="235" w:lineRule="auto" w:before="0" w:after="0"/>
        <w:ind w:left="547" w:right="2054" w:firstLine="0"/>
        <w:jc w:val="left"/>
        <w:rPr>
          <w:sz w:val="20"/>
        </w:rPr>
      </w:pPr>
      <w:r>
        <w:rPr>
          <w:w w:val="120"/>
          <w:sz w:val="20"/>
        </w:rPr>
        <w:t>Like others, the URC values the new ecumenical initiatives, such as street pastors and foodbanks, as well as continuing to share in the likes of Christian Aid, but, too  often, united congregations are not receiving the across-the-denominations support that they ought to be able to</w:t>
      </w:r>
      <w:r>
        <w:rPr>
          <w:spacing w:val="16"/>
          <w:w w:val="120"/>
          <w:sz w:val="20"/>
        </w:rPr>
        <w:t> </w:t>
      </w:r>
      <w:r>
        <w:rPr>
          <w:w w:val="120"/>
          <w:sz w:val="20"/>
        </w:rPr>
        <w:t>expect.</w:t>
      </w:r>
    </w:p>
    <w:p>
      <w:pPr>
        <w:pStyle w:val="BodyText"/>
        <w:spacing w:before="11"/>
        <w:rPr>
          <w:sz w:val="19"/>
        </w:rPr>
      </w:pPr>
    </w:p>
    <w:p>
      <w:pPr>
        <w:pStyle w:val="ListParagraph"/>
        <w:numPr>
          <w:ilvl w:val="1"/>
          <w:numId w:val="26"/>
        </w:numPr>
        <w:tabs>
          <w:tab w:pos="1227" w:val="left" w:leader="none"/>
          <w:tab w:pos="1228" w:val="left" w:leader="none"/>
        </w:tabs>
        <w:spacing w:line="235" w:lineRule="auto" w:before="0" w:after="0"/>
        <w:ind w:left="547" w:right="2418" w:firstLine="0"/>
        <w:jc w:val="left"/>
        <w:rPr>
          <w:sz w:val="20"/>
        </w:rPr>
      </w:pPr>
      <w:r>
        <w:rPr>
          <w:w w:val="120"/>
          <w:sz w:val="20"/>
        </w:rPr>
        <w:t>All this does not imply diversity is not valued by the URC. On the contrary,  we embrace it. The range of theology that is represented by Free to Believe and</w:t>
      </w:r>
      <w:r>
        <w:rPr>
          <w:spacing w:val="47"/>
          <w:w w:val="120"/>
          <w:sz w:val="20"/>
        </w:rPr>
        <w:t> </w:t>
      </w:r>
      <w:r>
        <w:rPr>
          <w:w w:val="120"/>
          <w:sz w:val="20"/>
        </w:rPr>
        <w:t>the</w:t>
      </w:r>
    </w:p>
    <w:p>
      <w:pPr>
        <w:pStyle w:val="BodyText"/>
        <w:spacing w:line="235" w:lineRule="auto" w:before="1"/>
        <w:ind w:left="547" w:right="2083"/>
      </w:pPr>
      <w:r>
        <w:rPr>
          <w:w w:val="120"/>
        </w:rPr>
        <w:t>Group for Evangelism and Renewal is a highly valued aspect of our denominational life, even though the differences in perspective can make for an uneasy, and sometimes competitive, coexistence. When working well across the range of opinions, the URC does (and sometimes forgets) some really superb ‘stuff’. So, for example, the 2007 commitment on human sexuality and some of what has emerged from that, not least the 2012 ‘living with difference’ material, make such a contribution – but too often we are not holding things together and valuing each other as we should within the URC.</w:t>
      </w:r>
    </w:p>
    <w:p>
      <w:pPr>
        <w:pStyle w:val="BodyText"/>
        <w:spacing w:before="1"/>
      </w:pPr>
    </w:p>
    <w:p>
      <w:pPr>
        <w:pStyle w:val="ListParagraph"/>
        <w:numPr>
          <w:ilvl w:val="1"/>
          <w:numId w:val="26"/>
        </w:numPr>
        <w:tabs>
          <w:tab w:pos="1227" w:val="left" w:leader="none"/>
          <w:tab w:pos="1228" w:val="left" w:leader="none"/>
        </w:tabs>
        <w:spacing w:line="235" w:lineRule="auto" w:before="0" w:after="0"/>
        <w:ind w:left="547" w:right="2300" w:firstLine="0"/>
        <w:jc w:val="left"/>
        <w:rPr>
          <w:sz w:val="20"/>
        </w:rPr>
      </w:pPr>
      <w:r>
        <w:rPr>
          <w:w w:val="120"/>
          <w:sz w:val="20"/>
        </w:rPr>
        <w:t>It is important to continue to make the space to speak courteously and listen carefully to each </w:t>
      </w:r>
      <w:r>
        <w:rPr>
          <w:spacing w:val="-3"/>
          <w:w w:val="120"/>
          <w:sz w:val="20"/>
        </w:rPr>
        <w:t>other. </w:t>
      </w:r>
      <w:r>
        <w:rPr>
          <w:w w:val="120"/>
          <w:sz w:val="20"/>
        </w:rPr>
        <w:t>A number of synods have managed to do this at recent discussions of same-sex marriage legislation, and we must never tire of conversations which help us to understand one another in our</w:t>
      </w:r>
      <w:r>
        <w:rPr>
          <w:spacing w:val="21"/>
          <w:w w:val="120"/>
          <w:sz w:val="20"/>
        </w:rPr>
        <w:t> </w:t>
      </w:r>
      <w:r>
        <w:rPr>
          <w:w w:val="120"/>
          <w:sz w:val="20"/>
        </w:rPr>
        <w:t>diversity.</w:t>
      </w:r>
    </w:p>
    <w:p>
      <w:pPr>
        <w:pStyle w:val="BodyText"/>
        <w:spacing w:before="11"/>
        <w:rPr>
          <w:sz w:val="19"/>
        </w:rPr>
      </w:pPr>
    </w:p>
    <w:p>
      <w:pPr>
        <w:pStyle w:val="ListParagraph"/>
        <w:numPr>
          <w:ilvl w:val="1"/>
          <w:numId w:val="26"/>
        </w:numPr>
        <w:tabs>
          <w:tab w:pos="1227" w:val="left" w:leader="none"/>
          <w:tab w:pos="1228" w:val="left" w:leader="none"/>
        </w:tabs>
        <w:spacing w:line="235" w:lineRule="auto" w:before="0" w:after="0"/>
        <w:ind w:left="547" w:right="2058" w:firstLine="0"/>
        <w:jc w:val="left"/>
        <w:rPr>
          <w:sz w:val="20"/>
        </w:rPr>
      </w:pPr>
      <w:r>
        <w:rPr>
          <w:w w:val="120"/>
          <w:sz w:val="20"/>
        </w:rPr>
        <w:t>Most, if not all, of us recognise the value of, and need </w:t>
      </w:r>
      <w:r>
        <w:rPr>
          <w:spacing w:val="-3"/>
          <w:w w:val="120"/>
          <w:sz w:val="20"/>
        </w:rPr>
        <w:t>for, </w:t>
      </w:r>
      <w:r>
        <w:rPr>
          <w:w w:val="120"/>
          <w:sz w:val="20"/>
        </w:rPr>
        <w:t>new ways of being   the Church, often called ‘fresh expressions’. There are many examples, such as Priesthill working with a community management group, Clacton hosting one of what is  currently just a handful of Special Educational Needs and Disabilities </w:t>
      </w:r>
      <w:r>
        <w:rPr>
          <w:spacing w:val="-4"/>
          <w:w w:val="120"/>
          <w:sz w:val="20"/>
        </w:rPr>
        <w:t>(SEND) </w:t>
      </w:r>
      <w:r>
        <w:rPr>
          <w:w w:val="120"/>
          <w:sz w:val="20"/>
        </w:rPr>
        <w:t>Messy Churches, and Augustine hosting a mental health chaplaincy for Edinburgh. The  obvious ‘fresh expressions’ are the Messy Churches and cafe worship that happen</w:t>
      </w:r>
      <w:r>
        <w:rPr>
          <w:spacing w:val="28"/>
          <w:w w:val="120"/>
          <w:sz w:val="20"/>
        </w:rPr>
        <w:t> </w:t>
      </w:r>
      <w:r>
        <w:rPr>
          <w:w w:val="120"/>
          <w:sz w:val="20"/>
        </w:rPr>
        <w:t>in</w:t>
      </w:r>
    </w:p>
    <w:p>
      <w:pPr>
        <w:pStyle w:val="BodyText"/>
        <w:spacing w:line="235" w:lineRule="auto" w:before="5"/>
        <w:ind w:left="547" w:right="2269"/>
      </w:pPr>
      <w:r>
        <w:rPr>
          <w:w w:val="120"/>
        </w:rPr>
        <w:t>a range of ways in so many places. However, though the imaginative range of such is wider and expanding, many more are still needed.</w:t>
      </w:r>
    </w:p>
    <w:p>
      <w:pPr>
        <w:pStyle w:val="BodyText"/>
        <w:spacing w:before="2"/>
        <w:rPr>
          <w:sz w:val="22"/>
        </w:rPr>
      </w:pPr>
    </w:p>
    <w:p>
      <w:pPr>
        <w:spacing w:before="0"/>
        <w:ind w:left="547" w:right="0" w:firstLine="0"/>
        <w:jc w:val="left"/>
        <w:rPr>
          <w:rFonts w:ascii="Stone Sans II ITC Std Bk"/>
          <w:b/>
          <w:sz w:val="29"/>
        </w:rPr>
      </w:pPr>
      <w:r>
        <w:rPr>
          <w:rFonts w:ascii="Stone Sans II ITC Std Bk"/>
          <w:b/>
          <w:w w:val="110"/>
          <w:sz w:val="29"/>
        </w:rPr>
        <w:t>So where is that cup of coffee for the road?</w:t>
      </w:r>
    </w:p>
    <w:p>
      <w:pPr>
        <w:pStyle w:val="ListParagraph"/>
        <w:numPr>
          <w:ilvl w:val="1"/>
          <w:numId w:val="26"/>
        </w:numPr>
        <w:tabs>
          <w:tab w:pos="1227" w:val="left" w:leader="none"/>
          <w:tab w:pos="1228" w:val="left" w:leader="none"/>
        </w:tabs>
        <w:spacing w:line="235" w:lineRule="auto" w:before="69" w:after="0"/>
        <w:ind w:left="547" w:right="2100" w:firstLine="0"/>
        <w:jc w:val="left"/>
        <w:rPr>
          <w:sz w:val="20"/>
        </w:rPr>
      </w:pPr>
      <w:r>
        <w:rPr>
          <w:spacing w:val="3"/>
          <w:w w:val="120"/>
          <w:sz w:val="20"/>
        </w:rPr>
        <w:t>As </w:t>
      </w:r>
      <w:r>
        <w:rPr>
          <w:w w:val="120"/>
          <w:sz w:val="20"/>
        </w:rPr>
        <w:t>Synod Moderators, we see these issues being worked through, sometimes implicitly, sometimes explicitly, as we travel round our synods. The Synod Moderators recognise that many struggle with the challenges of being a 21st-century church in the United</w:t>
      </w:r>
      <w:r>
        <w:rPr>
          <w:spacing w:val="7"/>
          <w:w w:val="120"/>
          <w:sz w:val="20"/>
        </w:rPr>
        <w:t> </w:t>
      </w:r>
      <w:r>
        <w:rPr>
          <w:w w:val="120"/>
          <w:sz w:val="20"/>
        </w:rPr>
        <w:t>Kingdom,</w:t>
      </w:r>
      <w:r>
        <w:rPr>
          <w:spacing w:val="7"/>
          <w:w w:val="120"/>
          <w:sz w:val="20"/>
        </w:rPr>
        <w:t> </w:t>
      </w:r>
      <w:r>
        <w:rPr>
          <w:w w:val="120"/>
          <w:sz w:val="20"/>
        </w:rPr>
        <w:t>though</w:t>
      </w:r>
      <w:r>
        <w:rPr>
          <w:spacing w:val="7"/>
          <w:w w:val="120"/>
          <w:sz w:val="20"/>
        </w:rPr>
        <w:t> </w:t>
      </w:r>
      <w:r>
        <w:rPr>
          <w:w w:val="120"/>
          <w:sz w:val="20"/>
        </w:rPr>
        <w:t>many</w:t>
      </w:r>
      <w:r>
        <w:rPr>
          <w:spacing w:val="7"/>
          <w:w w:val="120"/>
          <w:sz w:val="20"/>
        </w:rPr>
        <w:t> </w:t>
      </w:r>
      <w:r>
        <w:rPr>
          <w:w w:val="120"/>
          <w:sz w:val="20"/>
        </w:rPr>
        <w:t>do</w:t>
      </w:r>
      <w:r>
        <w:rPr>
          <w:spacing w:val="8"/>
          <w:w w:val="120"/>
          <w:sz w:val="20"/>
        </w:rPr>
        <w:t> </w:t>
      </w:r>
      <w:r>
        <w:rPr>
          <w:w w:val="120"/>
          <w:sz w:val="20"/>
        </w:rPr>
        <w:t>so</w:t>
      </w:r>
      <w:r>
        <w:rPr>
          <w:spacing w:val="7"/>
          <w:w w:val="120"/>
          <w:sz w:val="20"/>
        </w:rPr>
        <w:t> </w:t>
      </w:r>
      <w:r>
        <w:rPr>
          <w:w w:val="120"/>
          <w:sz w:val="20"/>
        </w:rPr>
        <w:t>creatively,</w:t>
      </w:r>
      <w:r>
        <w:rPr>
          <w:spacing w:val="7"/>
          <w:w w:val="120"/>
          <w:sz w:val="20"/>
        </w:rPr>
        <w:t> </w:t>
      </w:r>
      <w:r>
        <w:rPr>
          <w:w w:val="120"/>
          <w:sz w:val="20"/>
        </w:rPr>
        <w:t>like</w:t>
      </w:r>
      <w:r>
        <w:rPr>
          <w:spacing w:val="7"/>
          <w:w w:val="120"/>
          <w:sz w:val="20"/>
        </w:rPr>
        <w:t> </w:t>
      </w:r>
      <w:r>
        <w:rPr>
          <w:w w:val="120"/>
          <w:sz w:val="20"/>
        </w:rPr>
        <w:t>the</w:t>
      </w:r>
      <w:r>
        <w:rPr>
          <w:spacing w:val="8"/>
          <w:w w:val="120"/>
          <w:sz w:val="20"/>
        </w:rPr>
        <w:t> </w:t>
      </w:r>
      <w:r>
        <w:rPr>
          <w:w w:val="120"/>
          <w:sz w:val="20"/>
        </w:rPr>
        <w:t>small</w:t>
      </w:r>
      <w:r>
        <w:rPr>
          <w:spacing w:val="7"/>
          <w:w w:val="120"/>
          <w:sz w:val="20"/>
        </w:rPr>
        <w:t> </w:t>
      </w:r>
      <w:r>
        <w:rPr>
          <w:w w:val="120"/>
          <w:sz w:val="20"/>
        </w:rPr>
        <w:t>elderly</w:t>
      </w:r>
      <w:r>
        <w:rPr>
          <w:spacing w:val="7"/>
          <w:w w:val="120"/>
          <w:sz w:val="20"/>
        </w:rPr>
        <w:t> </w:t>
      </w:r>
      <w:r>
        <w:rPr>
          <w:w w:val="120"/>
          <w:sz w:val="20"/>
        </w:rPr>
        <w:t>congregation</w:t>
      </w:r>
    </w:p>
    <w:p>
      <w:pPr>
        <w:pStyle w:val="BodyText"/>
        <w:spacing w:line="235" w:lineRule="auto" w:before="3"/>
        <w:ind w:left="547" w:right="2083"/>
      </w:pPr>
      <w:r>
        <w:rPr>
          <w:w w:val="120"/>
        </w:rPr>
        <w:t>in Avonbridge running a weekly luncheon club. One of the frequent problems is that, like Costa and the rest, we look to offer a full range of lattes, cappuccinos, americanos and all the rest. Within the URC, we need to learn to specialise. Robert Warren has suggested that one of the marks of a healthy church is that it ‘does a few things and does them well’.</w:t>
      </w:r>
      <w:r>
        <w:rPr>
          <w:w w:val="120"/>
          <w:position w:val="7"/>
          <w:sz w:val="13"/>
        </w:rPr>
        <w:t>4 </w:t>
      </w:r>
      <w:r>
        <w:rPr>
          <w:w w:val="120"/>
        </w:rPr>
        <w:t>That is a lesson that still needs to be learned by many. When, as in a number of our churches, God is calling us to a ministry to the elderly, we find ourselves being side-tracked as many of our number fret about the absence of children.</w:t>
      </w:r>
    </w:p>
    <w:p>
      <w:pPr>
        <w:spacing w:after="0" w:line="235" w:lineRule="auto"/>
        <w:sectPr>
          <w:headerReference w:type="even" r:id="rId158"/>
          <w:pgSz w:w="11910" w:h="16840"/>
          <w:pgMar w:header="0" w:footer="647" w:top="0" w:bottom="840" w:left="700" w:right="0"/>
        </w:sectPr>
      </w:pPr>
    </w:p>
    <w:p>
      <w:pPr>
        <w:pStyle w:val="BodyText"/>
      </w:pPr>
      <w:r>
        <w:rPr/>
        <w:drawing>
          <wp:anchor distT="0" distB="0" distL="0" distR="0" allowOverlap="1" layoutInCell="1" locked="0" behindDoc="0" simplePos="0" relativeHeight="251776000">
            <wp:simplePos x="0" y="0"/>
            <wp:positionH relativeFrom="page">
              <wp:posOffset>6974928</wp:posOffset>
            </wp:positionH>
            <wp:positionV relativeFrom="page">
              <wp:posOffset>0</wp:posOffset>
            </wp:positionV>
            <wp:extent cx="585063" cy="10692003"/>
            <wp:effectExtent l="0" t="0" r="0" b="0"/>
            <wp:wrapNone/>
            <wp:docPr id="77" name="image27.png"/>
            <wp:cNvGraphicFramePr>
              <a:graphicFrameLocks noChangeAspect="1"/>
            </wp:cNvGraphicFramePr>
            <a:graphic>
              <a:graphicData uri="http://schemas.openxmlformats.org/drawingml/2006/picture">
                <pic:pic>
                  <pic:nvPicPr>
                    <pic:cNvPr id="78" name="image27.png"/>
                    <pic:cNvPicPr/>
                  </pic:nvPicPr>
                  <pic:blipFill>
                    <a:blip r:embed="rId34" cstate="print"/>
                    <a:stretch>
                      <a:fillRect/>
                    </a:stretch>
                  </pic:blipFill>
                  <pic:spPr>
                    <a:xfrm>
                      <a:off x="0" y="0"/>
                      <a:ext cx="585063" cy="10692003"/>
                    </a:xfrm>
                    <a:prstGeom prst="rect">
                      <a:avLst/>
                    </a:prstGeom>
                  </pic:spPr>
                </pic:pic>
              </a:graphicData>
            </a:graphic>
          </wp:anchor>
        </w:drawing>
      </w:r>
    </w:p>
    <w:p>
      <w:pPr>
        <w:pStyle w:val="BodyText"/>
        <w:spacing w:before="7"/>
        <w:rPr>
          <w:sz w:val="21"/>
        </w:rPr>
      </w:pPr>
    </w:p>
    <w:p>
      <w:pPr>
        <w:spacing w:before="106"/>
        <w:ind w:left="0" w:right="1245" w:firstLine="0"/>
        <w:jc w:val="right"/>
        <w:rPr>
          <w:sz w:val="26"/>
        </w:rPr>
      </w:pPr>
      <w:r>
        <w:rPr/>
        <w:pict>
          <v:shape style="position:absolute;margin-left:554.282898pt;margin-top:22.593945pt;width:25.9pt;height:264.55pt;mso-position-horizontal-relative:page;mso-position-vertical-relative:paragraph;z-index:251777024" type="#_x0000_t202" filled="false" stroked="false">
            <v:textbox inset="0,0,0,0" style="layout-flow:vertical">
              <w:txbxContent>
                <w:p>
                  <w:pPr>
                    <w:spacing w:before="27"/>
                    <w:ind w:left="20" w:right="0" w:firstLine="0"/>
                    <w:jc w:val="left"/>
                    <w:rPr>
                      <w:sz w:val="39"/>
                    </w:rPr>
                  </w:pPr>
                  <w:r>
                    <w:rPr>
                      <w:color w:val="FFFFFF"/>
                      <w:w w:val="120"/>
                      <w:sz w:val="39"/>
                    </w:rPr>
                    <w:t>Synod moderators’ report</w:t>
                  </w:r>
                </w:p>
              </w:txbxContent>
            </v:textbox>
            <w10:wrap type="none"/>
          </v:shape>
        </w:pict>
      </w:r>
      <w:r>
        <w:rPr>
          <w:color w:val="7EAABF"/>
          <w:w w:val="120"/>
          <w:sz w:val="26"/>
        </w:rPr>
        <w:t>Mission Council</w:t>
      </w:r>
    </w:p>
    <w:p>
      <w:pPr>
        <w:pStyle w:val="ListParagraph"/>
        <w:numPr>
          <w:ilvl w:val="1"/>
          <w:numId w:val="26"/>
        </w:numPr>
        <w:tabs>
          <w:tab w:pos="1964" w:val="left" w:leader="none"/>
          <w:tab w:pos="1965" w:val="left" w:leader="none"/>
        </w:tabs>
        <w:spacing w:line="235" w:lineRule="auto" w:before="222" w:after="0"/>
        <w:ind w:left="1284" w:right="1526" w:firstLine="0"/>
        <w:jc w:val="left"/>
        <w:rPr>
          <w:sz w:val="20"/>
        </w:rPr>
      </w:pPr>
      <w:r>
        <w:rPr>
          <w:w w:val="120"/>
          <w:sz w:val="20"/>
        </w:rPr>
        <w:t>Many rather take the opportunities for mission and community engagement offered by such a profile. Several work with dementia sufferers and their carers, like Basingstoke and their weekly “Memory </w:t>
      </w:r>
      <w:r>
        <w:rPr>
          <w:spacing w:val="-3"/>
          <w:w w:val="120"/>
          <w:sz w:val="20"/>
        </w:rPr>
        <w:t>Tree </w:t>
      </w:r>
      <w:r>
        <w:rPr>
          <w:spacing w:val="-4"/>
          <w:w w:val="120"/>
          <w:sz w:val="20"/>
        </w:rPr>
        <w:t>Club”, </w:t>
      </w:r>
      <w:r>
        <w:rPr>
          <w:w w:val="120"/>
          <w:sz w:val="20"/>
        </w:rPr>
        <w:t>Wymondham </w:t>
      </w:r>
      <w:r>
        <w:rPr>
          <w:spacing w:val="-4"/>
          <w:w w:val="120"/>
          <w:sz w:val="20"/>
        </w:rPr>
        <w:t>(near </w:t>
      </w:r>
      <w:r>
        <w:rPr>
          <w:w w:val="120"/>
          <w:sz w:val="20"/>
        </w:rPr>
        <w:t>Norwich) and their weekly Pabulum Café with a range of activities including snooker, curling, films and singing, and Verwood with a monthly ‘Music for the Mind’ group. Cotteridge (Birmingham) operate an Older Adults</w:t>
      </w:r>
      <w:r>
        <w:rPr>
          <w:spacing w:val="13"/>
          <w:w w:val="120"/>
          <w:sz w:val="20"/>
        </w:rPr>
        <w:t> </w:t>
      </w:r>
      <w:r>
        <w:rPr>
          <w:w w:val="120"/>
          <w:sz w:val="20"/>
        </w:rPr>
        <w:t>Centre.</w:t>
      </w:r>
    </w:p>
    <w:p>
      <w:pPr>
        <w:pStyle w:val="BodyText"/>
      </w:pPr>
    </w:p>
    <w:p>
      <w:pPr>
        <w:pStyle w:val="ListParagraph"/>
        <w:numPr>
          <w:ilvl w:val="1"/>
          <w:numId w:val="26"/>
        </w:numPr>
        <w:tabs>
          <w:tab w:pos="1964" w:val="left" w:leader="none"/>
          <w:tab w:pos="1965" w:val="left" w:leader="none"/>
        </w:tabs>
        <w:spacing w:line="235" w:lineRule="auto" w:before="0" w:after="0"/>
        <w:ind w:left="1284" w:right="1428" w:firstLine="0"/>
        <w:jc w:val="left"/>
        <w:rPr>
          <w:sz w:val="20"/>
        </w:rPr>
      </w:pPr>
      <w:r>
        <w:rPr>
          <w:w w:val="120"/>
          <w:sz w:val="20"/>
        </w:rPr>
        <w:t>Others look for different ways of sharing their message, like Belford (North Northumberland) who engaged in a community-based local history project about the dissenting history of the church. A booklet and beautifully presented pictures around the walls of the hall are </w:t>
      </w:r>
      <w:r>
        <w:rPr>
          <w:spacing w:val="2"/>
          <w:w w:val="120"/>
          <w:sz w:val="20"/>
        </w:rPr>
        <w:t>part </w:t>
      </w:r>
      <w:r>
        <w:rPr>
          <w:w w:val="120"/>
          <w:sz w:val="20"/>
        </w:rPr>
        <w:t>of an initiative which </w:t>
      </w:r>
      <w:r>
        <w:rPr>
          <w:spacing w:val="2"/>
          <w:w w:val="120"/>
          <w:sz w:val="20"/>
        </w:rPr>
        <w:t>attracts </w:t>
      </w:r>
      <w:r>
        <w:rPr>
          <w:w w:val="120"/>
          <w:sz w:val="20"/>
        </w:rPr>
        <w:t>tourists and school</w:t>
      </w:r>
      <w:r>
        <w:rPr>
          <w:spacing w:val="-17"/>
          <w:w w:val="120"/>
          <w:sz w:val="20"/>
        </w:rPr>
        <w:t> </w:t>
      </w:r>
      <w:r>
        <w:rPr>
          <w:w w:val="120"/>
          <w:sz w:val="20"/>
        </w:rPr>
        <w:t>children.</w:t>
      </w:r>
    </w:p>
    <w:p>
      <w:pPr>
        <w:pStyle w:val="BodyText"/>
        <w:spacing w:before="11"/>
        <w:rPr>
          <w:sz w:val="19"/>
        </w:rPr>
      </w:pPr>
    </w:p>
    <w:p>
      <w:pPr>
        <w:pStyle w:val="ListParagraph"/>
        <w:numPr>
          <w:ilvl w:val="1"/>
          <w:numId w:val="26"/>
        </w:numPr>
        <w:tabs>
          <w:tab w:pos="1964" w:val="left" w:leader="none"/>
          <w:tab w:pos="1965" w:val="left" w:leader="none"/>
        </w:tabs>
        <w:spacing w:line="235" w:lineRule="auto" w:before="0" w:after="0"/>
        <w:ind w:left="1284" w:right="1378" w:firstLine="0"/>
        <w:jc w:val="left"/>
        <w:rPr>
          <w:sz w:val="20"/>
        </w:rPr>
      </w:pPr>
      <w:r>
        <w:rPr>
          <w:spacing w:val="2"/>
          <w:w w:val="120"/>
          <w:sz w:val="20"/>
        </w:rPr>
        <w:t>Of </w:t>
      </w:r>
      <w:r>
        <w:rPr>
          <w:w w:val="120"/>
          <w:sz w:val="20"/>
        </w:rPr>
        <w:t>course, the examples are just that, and most are replicated in many other places. Messy churches and cafe churches abound, as do a whole range of community and social activities which form a crucial </w:t>
      </w:r>
      <w:r>
        <w:rPr>
          <w:spacing w:val="2"/>
          <w:w w:val="120"/>
          <w:sz w:val="20"/>
        </w:rPr>
        <w:t>part </w:t>
      </w:r>
      <w:r>
        <w:rPr>
          <w:w w:val="120"/>
          <w:sz w:val="20"/>
        </w:rPr>
        <w:t>of the mission of the URC. There is no synod without congregations involved in foodbanks. The ecological challenge is being taken up in each synod in different ways: small churches are being used as retreat centres, as at Monks Eleigh </w:t>
      </w:r>
      <w:r>
        <w:rPr>
          <w:spacing w:val="-3"/>
          <w:w w:val="120"/>
          <w:sz w:val="20"/>
        </w:rPr>
        <w:t>(Suffolk); </w:t>
      </w:r>
      <w:r>
        <w:rPr>
          <w:w w:val="120"/>
          <w:sz w:val="20"/>
        </w:rPr>
        <w:t>community gardens are being developed as at Helensburgh and Winson Green (Birmingham); building developments are taking  place, either with partners, as with a housing association in Granton and Leith, or to make older buildings fit for purpose, as at Plymstock, Thurso and Annan; and</w:t>
      </w:r>
      <w:r>
        <w:rPr>
          <w:spacing w:val="37"/>
          <w:w w:val="120"/>
          <w:sz w:val="20"/>
        </w:rPr>
        <w:t> </w:t>
      </w:r>
      <w:r>
        <w:rPr>
          <w:w w:val="120"/>
          <w:sz w:val="20"/>
        </w:rPr>
        <w:t>some</w:t>
      </w:r>
    </w:p>
    <w:p>
      <w:pPr>
        <w:pStyle w:val="BodyText"/>
        <w:spacing w:line="235" w:lineRule="auto" w:before="7"/>
        <w:ind w:left="1284" w:right="1529"/>
      </w:pPr>
      <w:r>
        <w:rPr>
          <w:w w:val="120"/>
        </w:rPr>
        <w:t>are hosting important community facilities – Long Melford house the local library and Duxford the post office.</w:t>
      </w:r>
    </w:p>
    <w:p>
      <w:pPr>
        <w:pStyle w:val="BodyText"/>
        <w:spacing w:before="9"/>
        <w:rPr>
          <w:sz w:val="19"/>
        </w:rPr>
      </w:pPr>
    </w:p>
    <w:p>
      <w:pPr>
        <w:pStyle w:val="ListParagraph"/>
        <w:numPr>
          <w:ilvl w:val="1"/>
          <w:numId w:val="26"/>
        </w:numPr>
        <w:tabs>
          <w:tab w:pos="1964" w:val="left" w:leader="none"/>
          <w:tab w:pos="1965" w:val="left" w:leader="none"/>
        </w:tabs>
        <w:spacing w:line="235" w:lineRule="auto" w:before="0" w:after="0"/>
        <w:ind w:left="1284" w:right="1629" w:firstLine="0"/>
        <w:jc w:val="left"/>
        <w:rPr>
          <w:sz w:val="20"/>
        </w:rPr>
      </w:pPr>
      <w:r>
        <w:rPr>
          <w:w w:val="120"/>
          <w:sz w:val="20"/>
        </w:rPr>
        <w:t>So what are our cups of coffee </w:t>
      </w:r>
      <w:r>
        <w:rPr>
          <w:spacing w:val="-3"/>
          <w:w w:val="120"/>
          <w:sz w:val="20"/>
        </w:rPr>
        <w:t>like? </w:t>
      </w:r>
      <w:r>
        <w:rPr>
          <w:w w:val="120"/>
          <w:sz w:val="20"/>
        </w:rPr>
        <w:t>Do they remind us of too much church coffee – </w:t>
      </w:r>
      <w:r>
        <w:rPr>
          <w:spacing w:val="-4"/>
          <w:w w:val="120"/>
          <w:sz w:val="20"/>
        </w:rPr>
        <w:t>(dare </w:t>
      </w:r>
      <w:r>
        <w:rPr>
          <w:w w:val="120"/>
          <w:sz w:val="20"/>
        </w:rPr>
        <w:t>it be said?) weak and insipid? Many of us remember being committed to the original CafeDirect, despite its awful taste, because of the principle it represented. Our commitment and patience have long since been rewarded with  the range of great-tasting Fairtrade coffees that are available </w:t>
      </w:r>
      <w:r>
        <w:rPr>
          <w:spacing w:val="-3"/>
          <w:w w:val="120"/>
          <w:sz w:val="20"/>
        </w:rPr>
        <w:t>today. </w:t>
      </w:r>
      <w:r>
        <w:rPr>
          <w:w w:val="120"/>
          <w:sz w:val="20"/>
        </w:rPr>
        <w:t>So is there</w:t>
      </w:r>
      <w:r>
        <w:rPr>
          <w:spacing w:val="-8"/>
          <w:w w:val="120"/>
          <w:sz w:val="20"/>
        </w:rPr>
        <w:t> </w:t>
      </w:r>
      <w:r>
        <w:rPr>
          <w:w w:val="120"/>
          <w:sz w:val="20"/>
        </w:rPr>
        <w:t>an</w:t>
      </w:r>
    </w:p>
    <w:p>
      <w:pPr>
        <w:pStyle w:val="BodyText"/>
        <w:spacing w:line="235" w:lineRule="auto" w:before="4"/>
        <w:ind w:left="1284" w:right="1410"/>
      </w:pPr>
      <w:r>
        <w:rPr>
          <w:w w:val="120"/>
        </w:rPr>
        <w:t>investment in decent coffee and a proper machine to make it? Is there a willingness to share the coffee? One of our other great gifts to each other is the covenant by which we contribute to the Mission and Ministry fund, not according to what is going to be received, but according to what can be afforded. In today’s economic climate, that can be challenging. It is counter-cultural. In the world you pay for what you get; but in the</w:t>
      </w:r>
    </w:p>
    <w:p>
      <w:pPr>
        <w:pStyle w:val="BodyText"/>
        <w:spacing w:line="235" w:lineRule="auto" w:before="4"/>
        <w:ind w:left="1284" w:right="1261"/>
      </w:pPr>
      <w:r>
        <w:rPr>
          <w:w w:val="120"/>
        </w:rPr>
        <w:t>URC’s M&amp;M world, somebody else might be drinking your coffee, and it doesn’t matter. The espresso is the basis for every coffee, providing the essence. What is our espresso and what are we doing with it – or are we going to end up with a pile of babycinos that don’t have any coffee?</w:t>
      </w:r>
    </w:p>
    <w:p>
      <w:pPr>
        <w:pStyle w:val="BodyText"/>
        <w:spacing w:before="10"/>
        <w:rPr>
          <w:sz w:val="19"/>
        </w:rPr>
      </w:pPr>
    </w:p>
    <w:p>
      <w:pPr>
        <w:pStyle w:val="ListParagraph"/>
        <w:numPr>
          <w:ilvl w:val="1"/>
          <w:numId w:val="26"/>
        </w:numPr>
        <w:tabs>
          <w:tab w:pos="1964" w:val="left" w:leader="none"/>
          <w:tab w:pos="1965" w:val="left" w:leader="none"/>
        </w:tabs>
        <w:spacing w:line="235" w:lineRule="auto" w:before="1" w:after="0"/>
        <w:ind w:left="1284" w:right="1589" w:firstLine="0"/>
        <w:jc w:val="left"/>
        <w:rPr>
          <w:sz w:val="20"/>
        </w:rPr>
      </w:pPr>
      <w:r>
        <w:rPr>
          <w:spacing w:val="-9"/>
          <w:w w:val="120"/>
          <w:sz w:val="20"/>
        </w:rPr>
        <w:t>2017 </w:t>
      </w:r>
      <w:r>
        <w:rPr>
          <w:w w:val="120"/>
          <w:sz w:val="20"/>
        </w:rPr>
        <w:t>marks the 500th anniversary of Luther posting his </w:t>
      </w:r>
      <w:r>
        <w:rPr>
          <w:spacing w:val="-4"/>
          <w:w w:val="120"/>
          <w:sz w:val="20"/>
        </w:rPr>
        <w:t>95 </w:t>
      </w:r>
      <w:r>
        <w:rPr>
          <w:w w:val="120"/>
          <w:sz w:val="20"/>
        </w:rPr>
        <w:t>theses. What are the changes </w:t>
      </w:r>
      <w:r>
        <w:rPr>
          <w:spacing w:val="-6"/>
          <w:w w:val="120"/>
          <w:sz w:val="20"/>
        </w:rPr>
        <w:t>(or </w:t>
      </w:r>
      <w:r>
        <w:rPr>
          <w:w w:val="120"/>
          <w:sz w:val="20"/>
        </w:rPr>
        <w:t>reforms) that are needed in church? What are the theses that today’s URC ought to be posting? How can the coffee be shared appropriately? The Synod Moderators believe that we will discover some exciting and adventurous answers to those questions before General Assembly meets</w:t>
      </w:r>
      <w:r>
        <w:rPr>
          <w:spacing w:val="13"/>
          <w:w w:val="120"/>
          <w:sz w:val="20"/>
        </w:rPr>
        <w:t> </w:t>
      </w:r>
      <w:r>
        <w:rPr>
          <w:w w:val="120"/>
          <w:sz w:val="20"/>
        </w:rPr>
        <w:t>again.</w:t>
      </w:r>
    </w:p>
    <w:p>
      <w:pPr>
        <w:pStyle w:val="BodyText"/>
        <w:spacing w:before="4"/>
        <w:rPr>
          <w:sz w:val="22"/>
        </w:rPr>
      </w:pPr>
    </w:p>
    <w:p>
      <w:pPr>
        <w:spacing w:before="0"/>
        <w:ind w:left="1284" w:right="0" w:firstLine="0"/>
        <w:jc w:val="left"/>
        <w:rPr>
          <w:rFonts w:ascii="Stone Sans II ITC Std Bk"/>
          <w:b/>
          <w:sz w:val="29"/>
        </w:rPr>
      </w:pPr>
      <w:r>
        <w:rPr>
          <w:rFonts w:ascii="Stone Sans II ITC Std Bk"/>
          <w:b/>
          <w:w w:val="110"/>
          <w:sz w:val="29"/>
        </w:rPr>
        <w:t>Personalia</w:t>
      </w:r>
    </w:p>
    <w:p>
      <w:pPr>
        <w:pStyle w:val="ListParagraph"/>
        <w:numPr>
          <w:ilvl w:val="1"/>
          <w:numId w:val="26"/>
        </w:numPr>
        <w:tabs>
          <w:tab w:pos="1964" w:val="left" w:leader="none"/>
          <w:tab w:pos="1965" w:val="left" w:leader="none"/>
        </w:tabs>
        <w:spacing w:line="235" w:lineRule="auto" w:before="69" w:after="0"/>
        <w:ind w:left="1284" w:right="1418" w:firstLine="0"/>
        <w:jc w:val="left"/>
        <w:rPr>
          <w:sz w:val="20"/>
        </w:rPr>
      </w:pPr>
      <w:r>
        <w:rPr>
          <w:w w:val="120"/>
          <w:sz w:val="20"/>
        </w:rPr>
        <w:t>Since our last </w:t>
      </w:r>
      <w:r>
        <w:rPr>
          <w:spacing w:val="2"/>
          <w:w w:val="120"/>
          <w:sz w:val="20"/>
        </w:rPr>
        <w:t>report </w:t>
      </w:r>
      <w:r>
        <w:rPr>
          <w:w w:val="120"/>
          <w:sz w:val="20"/>
        </w:rPr>
        <w:t>to General Assembly we have welcomed Jacky Embrey as Moderator of Mersey Synod. We have bidden farewell to Richard Church, who has moved to be Deputy General Secretary (Discipleship) and welcomed Andrew Mills as Moderator of </w:t>
      </w:r>
      <w:r>
        <w:rPr>
          <w:spacing w:val="2"/>
          <w:w w:val="120"/>
          <w:sz w:val="20"/>
        </w:rPr>
        <w:t>North </w:t>
      </w:r>
      <w:r>
        <w:rPr>
          <w:w w:val="120"/>
          <w:sz w:val="20"/>
        </w:rPr>
        <w:t>Western Synod. Roy Lowes and John Humphreys have </w:t>
      </w:r>
      <w:r>
        <w:rPr>
          <w:spacing w:val="2"/>
          <w:w w:val="120"/>
          <w:sz w:val="20"/>
        </w:rPr>
        <w:t>left </w:t>
      </w:r>
      <w:r>
        <w:rPr>
          <w:w w:val="120"/>
          <w:sz w:val="20"/>
        </w:rPr>
        <w:t>us for retirement and Lis Mullen is about to do so. Roy has been succeeded by Steve Faber as Moderator of West Midlands Synod and John by David Pickering in the National Synod of Scotland. We look forward to welcoming </w:t>
      </w:r>
      <w:r>
        <w:rPr>
          <w:spacing w:val="-4"/>
          <w:w w:val="120"/>
          <w:sz w:val="20"/>
        </w:rPr>
        <w:t>Lis’s </w:t>
      </w:r>
      <w:r>
        <w:rPr>
          <w:w w:val="120"/>
          <w:sz w:val="20"/>
        </w:rPr>
        <w:t>successor in </w:t>
      </w:r>
      <w:r>
        <w:rPr>
          <w:spacing w:val="2"/>
          <w:w w:val="120"/>
          <w:sz w:val="20"/>
        </w:rPr>
        <w:t>Northern </w:t>
      </w:r>
      <w:r>
        <w:rPr>
          <w:w w:val="120"/>
          <w:sz w:val="20"/>
        </w:rPr>
        <w:t>Synod, that appointment being unknown at the time of writing. We miss Richard and Roy and will miss John and Lis, but we welcome the contributions that Andrew, Steve and David bring to all that we</w:t>
      </w:r>
      <w:r>
        <w:rPr>
          <w:spacing w:val="9"/>
          <w:w w:val="120"/>
          <w:sz w:val="20"/>
        </w:rPr>
        <w:t> </w:t>
      </w:r>
      <w:r>
        <w:rPr>
          <w:w w:val="120"/>
          <w:sz w:val="20"/>
        </w:rPr>
        <w:t>share.</w:t>
      </w:r>
    </w:p>
    <w:p>
      <w:pPr>
        <w:spacing w:after="0" w:line="235" w:lineRule="auto"/>
        <w:jc w:val="left"/>
        <w:rPr>
          <w:sz w:val="20"/>
        </w:rPr>
        <w:sectPr>
          <w:headerReference w:type="default" r:id="rId159"/>
          <w:footerReference w:type="default" r:id="rId160"/>
          <w:footerReference w:type="even" r:id="rId161"/>
          <w:pgSz w:w="11910" w:h="16840"/>
          <w:pgMar w:header="0" w:footer="647" w:top="0" w:bottom="840" w:left="700" w:right="0"/>
          <w:pgNumType w:start="45"/>
        </w:sectPr>
      </w:pPr>
    </w:p>
    <w:p>
      <w:pPr>
        <w:pStyle w:val="BodyText"/>
      </w:pPr>
      <w:r>
        <w:rPr/>
        <w:drawing>
          <wp:anchor distT="0" distB="0" distL="0" distR="0" allowOverlap="1" layoutInCell="1" locked="0" behindDoc="1" simplePos="0" relativeHeight="235325440">
            <wp:simplePos x="0" y="0"/>
            <wp:positionH relativeFrom="page">
              <wp:posOffset>0</wp:posOffset>
            </wp:positionH>
            <wp:positionV relativeFrom="page">
              <wp:posOffset>0</wp:posOffset>
            </wp:positionV>
            <wp:extent cx="594067" cy="10692003"/>
            <wp:effectExtent l="0" t="0" r="0" b="0"/>
            <wp:wrapNone/>
            <wp:docPr id="79" name="image53.png"/>
            <wp:cNvGraphicFramePr>
              <a:graphicFrameLocks noChangeAspect="1"/>
            </wp:cNvGraphicFramePr>
            <a:graphic>
              <a:graphicData uri="http://schemas.openxmlformats.org/drawingml/2006/picture">
                <pic:pic>
                  <pic:nvPicPr>
                    <pic:cNvPr id="80" name="image53.png"/>
                    <pic:cNvPicPr/>
                  </pic:nvPicPr>
                  <pic:blipFill>
                    <a:blip r:embed="rId100" cstate="print"/>
                    <a:stretch>
                      <a:fillRect/>
                    </a:stretch>
                  </pic:blipFill>
                  <pic:spPr>
                    <a:xfrm>
                      <a:off x="0" y="0"/>
                      <a:ext cx="594067" cy="10692003"/>
                    </a:xfrm>
                    <a:prstGeom prst="rect">
                      <a:avLst/>
                    </a:prstGeom>
                  </pic:spPr>
                </pic:pic>
              </a:graphicData>
            </a:graphic>
          </wp:anchor>
        </w:drawing>
      </w:r>
      <w:r>
        <w:rPr/>
        <w:pict>
          <v:shape style="position:absolute;margin-left:19.101801pt;margin-top:48.890015pt;width:25.9pt;height:264.55pt;mso-position-horizontal-relative:page;mso-position-vertical-relative:page;z-index:-267990016" type="#_x0000_t202" filled="false" stroked="false">
            <v:textbox inset="0,0,0,0" style="layout-flow:vertical">
              <w:txbxContent>
                <w:p>
                  <w:pPr>
                    <w:spacing w:before="27"/>
                    <w:ind w:left="20" w:right="0" w:firstLine="0"/>
                    <w:jc w:val="left"/>
                    <w:rPr>
                      <w:sz w:val="39"/>
                    </w:rPr>
                  </w:pPr>
                  <w:r>
                    <w:rPr>
                      <w:color w:val="FFFFFF"/>
                      <w:w w:val="120"/>
                      <w:sz w:val="39"/>
                    </w:rPr>
                    <w:t>Synod moderators’ report</w:t>
                  </w:r>
                </w:p>
              </w:txbxContent>
            </v:textbox>
            <w10:wrap type="none"/>
          </v:shape>
        </w:pict>
      </w:r>
    </w:p>
    <w:p>
      <w:pPr>
        <w:pStyle w:val="BodyText"/>
        <w:spacing w:before="7"/>
        <w:rPr>
          <w:sz w:val="21"/>
        </w:rPr>
      </w:pPr>
    </w:p>
    <w:p>
      <w:pPr>
        <w:spacing w:before="106"/>
        <w:ind w:left="547" w:right="0" w:firstLine="0"/>
        <w:jc w:val="left"/>
        <w:rPr>
          <w:sz w:val="26"/>
        </w:rPr>
      </w:pPr>
      <w:r>
        <w:rPr>
          <w:color w:val="7EAABF"/>
          <w:w w:val="120"/>
          <w:sz w:val="26"/>
        </w:rPr>
        <w:t>Mission Council</w:t>
      </w:r>
    </w:p>
    <w:p>
      <w:pPr>
        <w:spacing w:before="215"/>
        <w:ind w:left="547" w:right="0" w:firstLine="0"/>
        <w:jc w:val="left"/>
        <w:rPr>
          <w:rFonts w:ascii="Stone Sans II ITC Std Bk"/>
          <w:b/>
          <w:sz w:val="29"/>
        </w:rPr>
      </w:pPr>
      <w:r>
        <w:rPr>
          <w:rFonts w:ascii="Stone Sans II ITC Std Bk"/>
          <w:b/>
          <w:w w:val="110"/>
          <w:sz w:val="29"/>
        </w:rPr>
        <w:t>Questions for reflection and discussion</w:t>
      </w:r>
    </w:p>
    <w:p>
      <w:pPr>
        <w:pStyle w:val="ListParagraph"/>
        <w:numPr>
          <w:ilvl w:val="0"/>
          <w:numId w:val="29"/>
        </w:numPr>
        <w:tabs>
          <w:tab w:pos="1227" w:val="left" w:leader="none"/>
          <w:tab w:pos="1228" w:val="left" w:leader="none"/>
        </w:tabs>
        <w:spacing w:line="235" w:lineRule="auto" w:before="69" w:after="0"/>
        <w:ind w:left="547" w:right="2018" w:firstLine="0"/>
        <w:jc w:val="left"/>
        <w:rPr>
          <w:sz w:val="20"/>
        </w:rPr>
      </w:pPr>
      <w:r>
        <w:rPr>
          <w:w w:val="120"/>
          <w:sz w:val="20"/>
        </w:rPr>
        <w:t>What is the essence of your local church? Look back over the last five years and the last generation. If it has lost its </w:t>
      </w:r>
      <w:r>
        <w:rPr>
          <w:spacing w:val="-3"/>
          <w:w w:val="120"/>
          <w:sz w:val="20"/>
        </w:rPr>
        <w:t>flavour, </w:t>
      </w:r>
      <w:r>
        <w:rPr>
          <w:w w:val="120"/>
          <w:sz w:val="20"/>
        </w:rPr>
        <w:t>potency and purpose, what is missing and what help do you need to recapture what has been lost? If you now have a better blend and brew than before, what has changed and how can you share and celebrate the   new</w:t>
      </w:r>
      <w:r>
        <w:rPr>
          <w:spacing w:val="1"/>
          <w:w w:val="120"/>
          <w:sz w:val="20"/>
        </w:rPr>
        <w:t> </w:t>
      </w:r>
      <w:r>
        <w:rPr>
          <w:spacing w:val="-3"/>
          <w:w w:val="120"/>
          <w:sz w:val="20"/>
        </w:rPr>
        <w:t>flavour?</w:t>
      </w:r>
    </w:p>
    <w:p>
      <w:pPr>
        <w:pStyle w:val="BodyText"/>
      </w:pPr>
    </w:p>
    <w:p>
      <w:pPr>
        <w:pStyle w:val="ListParagraph"/>
        <w:numPr>
          <w:ilvl w:val="0"/>
          <w:numId w:val="29"/>
        </w:numPr>
        <w:tabs>
          <w:tab w:pos="1227" w:val="left" w:leader="none"/>
          <w:tab w:pos="1228" w:val="left" w:leader="none"/>
        </w:tabs>
        <w:spacing w:line="235" w:lineRule="auto" w:before="0" w:after="0"/>
        <w:ind w:left="547" w:right="2166" w:firstLine="0"/>
        <w:jc w:val="left"/>
        <w:rPr>
          <w:sz w:val="20"/>
        </w:rPr>
      </w:pPr>
      <w:r>
        <w:rPr>
          <w:w w:val="120"/>
          <w:sz w:val="20"/>
        </w:rPr>
        <w:t>If we are to be fleet of foot in looking to the challenges of developing mission </w:t>
      </w:r>
      <w:r>
        <w:rPr>
          <w:spacing w:val="-3"/>
          <w:w w:val="120"/>
          <w:sz w:val="20"/>
        </w:rPr>
        <w:t>today, </w:t>
      </w:r>
      <w:r>
        <w:rPr>
          <w:w w:val="120"/>
          <w:sz w:val="20"/>
        </w:rPr>
        <w:t>are there things holding you back? What can and must you do locally to shed that burden so that you can do fewer things but do them well? What difference would that make to the whole</w:t>
      </w:r>
      <w:r>
        <w:rPr>
          <w:spacing w:val="8"/>
          <w:w w:val="120"/>
          <w:sz w:val="20"/>
        </w:rPr>
        <w:t> </w:t>
      </w:r>
      <w:r>
        <w:rPr>
          <w:w w:val="120"/>
          <w:sz w:val="20"/>
        </w:rPr>
        <w:t>denomination?</w:t>
      </w:r>
    </w:p>
    <w:p>
      <w:pPr>
        <w:pStyle w:val="BodyText"/>
        <w:spacing w:before="11"/>
        <w:rPr>
          <w:sz w:val="19"/>
        </w:rPr>
      </w:pPr>
    </w:p>
    <w:p>
      <w:pPr>
        <w:pStyle w:val="ListParagraph"/>
        <w:numPr>
          <w:ilvl w:val="0"/>
          <w:numId w:val="29"/>
        </w:numPr>
        <w:tabs>
          <w:tab w:pos="1227" w:val="left" w:leader="none"/>
          <w:tab w:pos="1228" w:val="left" w:leader="none"/>
        </w:tabs>
        <w:spacing w:line="235" w:lineRule="auto" w:before="0" w:after="0"/>
        <w:ind w:left="547" w:right="1998" w:firstLine="0"/>
        <w:jc w:val="left"/>
        <w:rPr>
          <w:sz w:val="20"/>
        </w:rPr>
      </w:pPr>
      <w:r>
        <w:rPr>
          <w:w w:val="120"/>
          <w:sz w:val="20"/>
        </w:rPr>
        <w:t>If the URC is the small grain of sand in an ecumenical </w:t>
      </w:r>
      <w:r>
        <w:rPr>
          <w:spacing w:val="-3"/>
          <w:w w:val="120"/>
          <w:sz w:val="20"/>
        </w:rPr>
        <w:t>oyster, </w:t>
      </w:r>
      <w:r>
        <w:rPr>
          <w:w w:val="120"/>
          <w:sz w:val="20"/>
        </w:rPr>
        <w:t>what should we do to help produce pearls? What do you see as the distinctives that we bring and that must be preserved in order to let those pearls</w:t>
      </w:r>
      <w:r>
        <w:rPr>
          <w:spacing w:val="16"/>
          <w:w w:val="120"/>
          <w:sz w:val="20"/>
        </w:rPr>
        <w:t> </w:t>
      </w:r>
      <w:r>
        <w:rPr>
          <w:w w:val="120"/>
          <w:sz w:val="20"/>
        </w:rPr>
        <w:t>develop?</w:t>
      </w:r>
    </w:p>
    <w:p>
      <w:pPr>
        <w:pStyle w:val="BodyText"/>
        <w:spacing w:before="10"/>
        <w:rPr>
          <w:sz w:val="19"/>
        </w:rPr>
      </w:pPr>
    </w:p>
    <w:p>
      <w:pPr>
        <w:pStyle w:val="ListParagraph"/>
        <w:numPr>
          <w:ilvl w:val="0"/>
          <w:numId w:val="29"/>
        </w:numPr>
        <w:tabs>
          <w:tab w:pos="1227" w:val="left" w:leader="none"/>
          <w:tab w:pos="1228" w:val="left" w:leader="none"/>
        </w:tabs>
        <w:spacing w:line="235" w:lineRule="auto" w:before="0" w:after="0"/>
        <w:ind w:left="547" w:right="2137" w:firstLine="0"/>
        <w:jc w:val="left"/>
        <w:rPr>
          <w:sz w:val="20"/>
        </w:rPr>
      </w:pPr>
      <w:r>
        <w:rPr>
          <w:w w:val="120"/>
          <w:sz w:val="20"/>
        </w:rPr>
        <w:t>Abram was led into a risky adventure and his faith was credited to him as righteousness. How can we show great faithfulness in the face of decline, and how can we reframe the </w:t>
      </w:r>
      <w:r>
        <w:rPr>
          <w:spacing w:val="2"/>
          <w:w w:val="120"/>
          <w:sz w:val="20"/>
        </w:rPr>
        <w:t>story </w:t>
      </w:r>
      <w:r>
        <w:rPr>
          <w:w w:val="120"/>
          <w:sz w:val="20"/>
        </w:rPr>
        <w:t>to get past</w:t>
      </w:r>
      <w:r>
        <w:rPr>
          <w:spacing w:val="10"/>
          <w:w w:val="120"/>
          <w:sz w:val="20"/>
        </w:rPr>
        <w:t> </w:t>
      </w:r>
      <w:r>
        <w:rPr>
          <w:w w:val="120"/>
          <w:sz w:val="20"/>
        </w:rPr>
        <w:t>decline?</w:t>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6"/>
      </w:pPr>
      <w:r>
        <w:rPr/>
        <w:pict>
          <v:shape style="position:absolute;margin-left:72.737198pt;margin-top:14.885158pt;width:114.85pt;height:.1pt;mso-position-horizontal-relative:page;mso-position-vertical-relative:paragraph;z-index:-251538432;mso-wrap-distance-left:0;mso-wrap-distance-right:0" coordorigin="1455,298" coordsize="2297,0" path="m1455,298l3751,298e" filled="false" stroked="true" strokeweight=".75pt" strokecolor="#f1b400">
            <v:path arrowok="t"/>
            <v:stroke dashstyle="solid"/>
            <w10:wrap type="topAndBottom"/>
          </v:shape>
        </w:pict>
      </w:r>
    </w:p>
    <w:p>
      <w:pPr>
        <w:pStyle w:val="BodyText"/>
        <w:spacing w:before="10"/>
        <w:rPr>
          <w:sz w:val="12"/>
        </w:rPr>
      </w:pPr>
    </w:p>
    <w:p>
      <w:pPr>
        <w:pStyle w:val="ListParagraph"/>
        <w:numPr>
          <w:ilvl w:val="1"/>
          <w:numId w:val="29"/>
        </w:numPr>
        <w:tabs>
          <w:tab w:pos="1170" w:val="left" w:leader="none"/>
          <w:tab w:pos="1171" w:val="left" w:leader="none"/>
        </w:tabs>
        <w:spacing w:line="240" w:lineRule="auto" w:before="102" w:after="0"/>
        <w:ind w:left="1170" w:right="0" w:hanging="454"/>
        <w:jc w:val="left"/>
        <w:rPr>
          <w:sz w:val="18"/>
        </w:rPr>
      </w:pPr>
      <w:r>
        <w:rPr>
          <w:w w:val="120"/>
          <w:sz w:val="18"/>
        </w:rPr>
        <w:t>David Peel, </w:t>
      </w:r>
      <w:r>
        <w:rPr>
          <w:i/>
          <w:w w:val="120"/>
          <w:sz w:val="18"/>
        </w:rPr>
        <w:t>Reforming Theology</w:t>
      </w:r>
      <w:r>
        <w:rPr>
          <w:w w:val="120"/>
          <w:sz w:val="18"/>
        </w:rPr>
        <w:t>, The United Reformed Church, 2002,</w:t>
      </w:r>
      <w:r>
        <w:rPr>
          <w:spacing w:val="5"/>
          <w:w w:val="120"/>
          <w:sz w:val="18"/>
        </w:rPr>
        <w:t> </w:t>
      </w:r>
      <w:r>
        <w:rPr>
          <w:spacing w:val="-3"/>
          <w:w w:val="120"/>
          <w:sz w:val="18"/>
        </w:rPr>
        <w:t>p.9</w:t>
      </w:r>
    </w:p>
    <w:p>
      <w:pPr>
        <w:pStyle w:val="ListParagraph"/>
        <w:numPr>
          <w:ilvl w:val="1"/>
          <w:numId w:val="29"/>
        </w:numPr>
        <w:tabs>
          <w:tab w:pos="1170" w:val="left" w:leader="none"/>
          <w:tab w:pos="1171" w:val="left" w:leader="none"/>
        </w:tabs>
        <w:spacing w:line="240" w:lineRule="auto" w:before="1" w:after="0"/>
        <w:ind w:left="1170" w:right="0" w:hanging="454"/>
        <w:jc w:val="left"/>
        <w:rPr>
          <w:sz w:val="18"/>
        </w:rPr>
      </w:pPr>
      <w:r>
        <w:rPr>
          <w:i/>
          <w:w w:val="115"/>
          <w:sz w:val="18"/>
        </w:rPr>
        <w:t>Rejoice and Sing</w:t>
      </w:r>
      <w:r>
        <w:rPr>
          <w:w w:val="115"/>
          <w:sz w:val="18"/>
        </w:rPr>
        <w:t>, No.</w:t>
      </w:r>
      <w:r>
        <w:rPr>
          <w:spacing w:val="9"/>
          <w:w w:val="115"/>
          <w:sz w:val="18"/>
        </w:rPr>
        <w:t> </w:t>
      </w:r>
      <w:r>
        <w:rPr>
          <w:spacing w:val="-7"/>
          <w:w w:val="115"/>
          <w:sz w:val="18"/>
        </w:rPr>
        <w:t>761</w:t>
      </w:r>
    </w:p>
    <w:p>
      <w:pPr>
        <w:pStyle w:val="ListParagraph"/>
        <w:numPr>
          <w:ilvl w:val="1"/>
          <w:numId w:val="29"/>
        </w:numPr>
        <w:tabs>
          <w:tab w:pos="1170" w:val="left" w:leader="none"/>
          <w:tab w:pos="1171" w:val="left" w:leader="none"/>
        </w:tabs>
        <w:spacing w:line="240" w:lineRule="auto" w:before="0" w:after="0"/>
        <w:ind w:left="1170" w:right="2044" w:hanging="454"/>
        <w:jc w:val="left"/>
        <w:rPr>
          <w:sz w:val="18"/>
        </w:rPr>
      </w:pPr>
      <w:r>
        <w:rPr>
          <w:w w:val="120"/>
          <w:sz w:val="18"/>
        </w:rPr>
        <w:t>Archbishop Justin Welby’s comment to the Churches Together in England Forum on video, 29 May</w:t>
      </w:r>
      <w:r>
        <w:rPr>
          <w:spacing w:val="3"/>
          <w:w w:val="120"/>
          <w:sz w:val="18"/>
        </w:rPr>
        <w:t> </w:t>
      </w:r>
      <w:r>
        <w:rPr>
          <w:spacing w:val="-6"/>
          <w:w w:val="120"/>
          <w:sz w:val="18"/>
        </w:rPr>
        <w:t>2015</w:t>
      </w:r>
    </w:p>
    <w:p>
      <w:pPr>
        <w:pStyle w:val="ListParagraph"/>
        <w:numPr>
          <w:ilvl w:val="1"/>
          <w:numId w:val="29"/>
        </w:numPr>
        <w:tabs>
          <w:tab w:pos="1170" w:val="left" w:leader="none"/>
          <w:tab w:pos="1171" w:val="left" w:leader="none"/>
        </w:tabs>
        <w:spacing w:line="240" w:lineRule="auto" w:before="0" w:after="0"/>
        <w:ind w:left="1170" w:right="2092" w:hanging="454"/>
        <w:jc w:val="left"/>
        <w:rPr>
          <w:sz w:val="18"/>
        </w:rPr>
      </w:pPr>
      <w:r>
        <w:rPr>
          <w:spacing w:val="2"/>
          <w:w w:val="115"/>
          <w:sz w:val="18"/>
        </w:rPr>
        <w:t>Robert </w:t>
      </w:r>
      <w:r>
        <w:rPr>
          <w:w w:val="115"/>
          <w:sz w:val="18"/>
        </w:rPr>
        <w:t>Warren, </w:t>
      </w:r>
      <w:r>
        <w:rPr>
          <w:i/>
          <w:w w:val="115"/>
          <w:sz w:val="18"/>
        </w:rPr>
        <w:t>Healthy Churches’ Handbook</w:t>
      </w:r>
      <w:r>
        <w:rPr>
          <w:w w:val="115"/>
          <w:sz w:val="18"/>
        </w:rPr>
        <w:t>, Church House Publishing, 2004, p.44. It is the seventh of the seven marks of a healthy</w:t>
      </w:r>
      <w:r>
        <w:rPr>
          <w:spacing w:val="40"/>
          <w:w w:val="115"/>
          <w:sz w:val="18"/>
        </w:rPr>
        <w:t> </w:t>
      </w:r>
      <w:r>
        <w:rPr>
          <w:w w:val="115"/>
          <w:sz w:val="18"/>
        </w:rPr>
        <w:t>church</w:t>
      </w:r>
    </w:p>
    <w:p>
      <w:pPr>
        <w:spacing w:after="0" w:line="240" w:lineRule="auto"/>
        <w:jc w:val="left"/>
        <w:rPr>
          <w:sz w:val="18"/>
        </w:rPr>
        <w:sectPr>
          <w:headerReference w:type="even" r:id="rId162"/>
          <w:pgSz w:w="11910" w:h="16840"/>
          <w:pgMar w:header="0" w:footer="647" w:top="0" w:bottom="840" w:left="700" w:right="0"/>
        </w:sectPr>
      </w:pPr>
    </w:p>
    <w:p>
      <w:pPr>
        <w:pStyle w:val="BodyText"/>
      </w:pPr>
      <w:r>
        <w:rPr/>
        <w:drawing>
          <wp:anchor distT="0" distB="0" distL="0" distR="0" allowOverlap="1" layoutInCell="1" locked="0" behindDoc="0" simplePos="0" relativeHeight="251781120">
            <wp:simplePos x="0" y="0"/>
            <wp:positionH relativeFrom="page">
              <wp:posOffset>6974928</wp:posOffset>
            </wp:positionH>
            <wp:positionV relativeFrom="page">
              <wp:posOffset>0</wp:posOffset>
            </wp:positionV>
            <wp:extent cx="585063" cy="10692003"/>
            <wp:effectExtent l="0" t="0" r="0" b="0"/>
            <wp:wrapNone/>
            <wp:docPr id="81" name="image27.png"/>
            <wp:cNvGraphicFramePr>
              <a:graphicFrameLocks noChangeAspect="1"/>
            </wp:cNvGraphicFramePr>
            <a:graphic>
              <a:graphicData uri="http://schemas.openxmlformats.org/drawingml/2006/picture">
                <pic:pic>
                  <pic:nvPicPr>
                    <pic:cNvPr id="82" name="image27.png"/>
                    <pic:cNvPicPr/>
                  </pic:nvPicPr>
                  <pic:blipFill>
                    <a:blip r:embed="rId34" cstate="print"/>
                    <a:stretch>
                      <a:fillRect/>
                    </a:stretch>
                  </pic:blipFill>
                  <pic:spPr>
                    <a:xfrm>
                      <a:off x="0" y="0"/>
                      <a:ext cx="585063" cy="10692003"/>
                    </a:xfrm>
                    <a:prstGeom prst="rect">
                      <a:avLst/>
                    </a:prstGeom>
                  </pic:spPr>
                </pic:pic>
              </a:graphicData>
            </a:graphic>
          </wp:anchor>
        </w:drawing>
      </w:r>
    </w:p>
    <w:p>
      <w:pPr>
        <w:pStyle w:val="BodyText"/>
        <w:spacing w:before="7"/>
        <w:rPr>
          <w:sz w:val="21"/>
        </w:rPr>
      </w:pPr>
    </w:p>
    <w:p>
      <w:pPr>
        <w:spacing w:before="106"/>
        <w:ind w:left="0" w:right="1245" w:firstLine="0"/>
        <w:jc w:val="right"/>
        <w:rPr>
          <w:sz w:val="26"/>
        </w:rPr>
      </w:pPr>
      <w:r>
        <w:rPr/>
        <w:pict>
          <v:shape style="position:absolute;margin-left:554.141174pt;margin-top:22.593945pt;width:25.9pt;height:166.3pt;mso-position-horizontal-relative:page;mso-position-vertical-relative:paragraph;z-index:251782144" type="#_x0000_t202" filled="false" stroked="false">
            <v:textbox inset="0,0,0,0" style="layout-flow:vertical">
              <w:txbxContent>
                <w:p>
                  <w:pPr>
                    <w:spacing w:before="27"/>
                    <w:ind w:left="20" w:right="0" w:firstLine="0"/>
                    <w:jc w:val="left"/>
                    <w:rPr>
                      <w:sz w:val="39"/>
                    </w:rPr>
                  </w:pPr>
                  <w:r>
                    <w:rPr>
                      <w:color w:val="FFFFFF"/>
                      <w:w w:val="125"/>
                      <w:sz w:val="39"/>
                    </w:rPr>
                    <w:t>Church changes</w:t>
                  </w:r>
                </w:p>
              </w:txbxContent>
            </v:textbox>
            <w10:wrap type="none"/>
          </v:shape>
        </w:pict>
      </w:r>
      <w:r>
        <w:rPr>
          <w:color w:val="7EAABF"/>
          <w:w w:val="120"/>
          <w:sz w:val="26"/>
        </w:rPr>
        <w:t>Mission Council</w:t>
      </w:r>
    </w:p>
    <w:p>
      <w:pPr>
        <w:pStyle w:val="BodyText"/>
        <w:spacing w:before="8"/>
        <w:rPr>
          <w:sz w:val="24"/>
        </w:rPr>
      </w:pPr>
    </w:p>
    <w:p>
      <w:pPr>
        <w:spacing w:line="213" w:lineRule="auto" w:before="1"/>
        <w:ind w:left="1284" w:right="0" w:firstLine="0"/>
        <w:jc w:val="left"/>
        <w:rPr>
          <w:rFonts w:ascii="Stone Sans II ITC Std X Bd"/>
          <w:b/>
          <w:sz w:val="50"/>
        </w:rPr>
      </w:pPr>
      <w:bookmarkStart w:name="_GoBack" w:id="2"/>
      <w:bookmarkEnd w:id="2"/>
      <w:r>
        <w:rPr/>
      </w:r>
      <w:r>
        <w:rPr>
          <w:rFonts w:ascii="Stone Sans II ITC Std X Bd"/>
          <w:b/>
          <w:spacing w:val="-10"/>
          <w:w w:val="110"/>
          <w:sz w:val="50"/>
        </w:rPr>
        <w:t>Church </w:t>
      </w:r>
      <w:r>
        <w:rPr>
          <w:rFonts w:ascii="Stone Sans II ITC Std X Bd"/>
          <w:b/>
          <w:spacing w:val="-9"/>
          <w:w w:val="110"/>
          <w:sz w:val="50"/>
        </w:rPr>
        <w:t>changes not </w:t>
      </w:r>
      <w:r>
        <w:rPr>
          <w:rFonts w:ascii="Stone Sans II ITC Std X Bd"/>
          <w:b/>
          <w:spacing w:val="-10"/>
          <w:w w:val="110"/>
          <w:sz w:val="50"/>
        </w:rPr>
        <w:t>previously </w:t>
      </w:r>
      <w:r>
        <w:rPr>
          <w:rFonts w:ascii="Stone Sans II ITC Std X Bd"/>
          <w:b/>
          <w:spacing w:val="-8"/>
          <w:w w:val="110"/>
          <w:sz w:val="50"/>
        </w:rPr>
        <w:t>reported </w:t>
      </w:r>
      <w:r>
        <w:rPr>
          <w:rFonts w:ascii="Stone Sans II ITC Std X Bd"/>
          <w:b/>
          <w:spacing w:val="-10"/>
          <w:w w:val="110"/>
          <w:sz w:val="50"/>
        </w:rPr>
        <w:t>to </w:t>
      </w:r>
      <w:r>
        <w:rPr>
          <w:rFonts w:ascii="Stone Sans II ITC Std X Bd"/>
          <w:b/>
          <w:spacing w:val="-9"/>
          <w:w w:val="110"/>
          <w:sz w:val="50"/>
        </w:rPr>
        <w:t>General</w:t>
      </w:r>
      <w:r>
        <w:rPr>
          <w:rFonts w:ascii="Stone Sans II ITC Std X Bd"/>
          <w:b/>
          <w:spacing w:val="91"/>
          <w:w w:val="110"/>
          <w:sz w:val="50"/>
        </w:rPr>
        <w:t> </w:t>
      </w:r>
      <w:r>
        <w:rPr>
          <w:rFonts w:ascii="Stone Sans II ITC Std X Bd"/>
          <w:b/>
          <w:spacing w:val="-8"/>
          <w:w w:val="110"/>
          <w:sz w:val="50"/>
        </w:rPr>
        <w:t>Assembly</w:t>
      </w:r>
    </w:p>
    <w:p>
      <w:pPr>
        <w:pStyle w:val="BodyText"/>
        <w:spacing w:before="13"/>
        <w:rPr>
          <w:rFonts w:ascii="Stone Sans II ITC Std X Bd"/>
          <w:b/>
          <w:sz w:val="45"/>
        </w:rPr>
      </w:pPr>
    </w:p>
    <w:p>
      <w:pPr>
        <w:pStyle w:val="ListParagraph"/>
        <w:numPr>
          <w:ilvl w:val="1"/>
          <w:numId w:val="30"/>
        </w:numPr>
        <w:tabs>
          <w:tab w:pos="1964" w:val="left" w:leader="none"/>
          <w:tab w:pos="1965" w:val="left" w:leader="none"/>
        </w:tabs>
        <w:spacing w:line="235" w:lineRule="auto" w:before="0" w:after="0"/>
        <w:ind w:left="1284" w:right="1301" w:firstLine="0"/>
        <w:jc w:val="left"/>
        <w:rPr>
          <w:sz w:val="20"/>
        </w:rPr>
      </w:pPr>
      <w:r>
        <w:rPr>
          <w:w w:val="120"/>
          <w:sz w:val="20"/>
        </w:rPr>
        <w:t>In an ideal world this list would only include church changes – that is a note of churches that have closed – or opened – between 1 April </w:t>
      </w:r>
      <w:r>
        <w:rPr>
          <w:spacing w:val="-7"/>
          <w:w w:val="120"/>
          <w:sz w:val="20"/>
        </w:rPr>
        <w:t>2014 </w:t>
      </w:r>
      <w:r>
        <w:rPr>
          <w:w w:val="120"/>
          <w:sz w:val="20"/>
        </w:rPr>
        <w:t>and </w:t>
      </w:r>
      <w:r>
        <w:rPr>
          <w:spacing w:val="-7"/>
          <w:w w:val="120"/>
          <w:sz w:val="20"/>
        </w:rPr>
        <w:t>31 </w:t>
      </w:r>
      <w:r>
        <w:rPr>
          <w:w w:val="120"/>
          <w:sz w:val="20"/>
        </w:rPr>
        <w:t>March </w:t>
      </w:r>
      <w:r>
        <w:rPr>
          <w:spacing w:val="-7"/>
          <w:w w:val="120"/>
          <w:sz w:val="20"/>
        </w:rPr>
        <w:t>2016</w:t>
      </w:r>
      <w:r>
        <w:rPr>
          <w:spacing w:val="40"/>
          <w:w w:val="120"/>
          <w:sz w:val="20"/>
        </w:rPr>
        <w:t> </w:t>
      </w:r>
      <w:r>
        <w:rPr>
          <w:w w:val="120"/>
          <w:sz w:val="20"/>
        </w:rPr>
        <w:t>(these are the cut-off dates that we need to work to prepare the </w:t>
      </w:r>
      <w:r>
        <w:rPr>
          <w:i/>
          <w:w w:val="120"/>
          <w:sz w:val="20"/>
        </w:rPr>
        <w:t>Book of Reports </w:t>
      </w:r>
      <w:r>
        <w:rPr>
          <w:w w:val="120"/>
          <w:sz w:val="20"/>
        </w:rPr>
        <w:t>for General Assembly). Unfortunately some churches that closed between 1 April </w:t>
      </w:r>
      <w:r>
        <w:rPr>
          <w:spacing w:val="-7"/>
          <w:w w:val="120"/>
          <w:sz w:val="20"/>
        </w:rPr>
        <w:t>2012 </w:t>
      </w:r>
      <w:r>
        <w:rPr>
          <w:w w:val="120"/>
          <w:sz w:val="20"/>
        </w:rPr>
        <w:t>and </w:t>
      </w:r>
      <w:r>
        <w:rPr>
          <w:spacing w:val="-7"/>
          <w:w w:val="120"/>
          <w:sz w:val="20"/>
        </w:rPr>
        <w:t>31 </w:t>
      </w:r>
      <w:r>
        <w:rPr>
          <w:w w:val="120"/>
          <w:sz w:val="20"/>
        </w:rPr>
        <w:t>March </w:t>
      </w:r>
      <w:r>
        <w:rPr>
          <w:spacing w:val="-7"/>
          <w:w w:val="120"/>
          <w:sz w:val="20"/>
        </w:rPr>
        <w:t>2014 </w:t>
      </w:r>
      <w:r>
        <w:rPr>
          <w:spacing w:val="-4"/>
          <w:w w:val="120"/>
          <w:sz w:val="20"/>
        </w:rPr>
        <w:t>(and, </w:t>
      </w:r>
      <w:r>
        <w:rPr>
          <w:w w:val="120"/>
          <w:sz w:val="20"/>
        </w:rPr>
        <w:t>in one case, even earlier) were not included in the appropriate </w:t>
      </w:r>
      <w:r>
        <w:rPr>
          <w:spacing w:val="2"/>
          <w:w w:val="120"/>
          <w:sz w:val="20"/>
        </w:rPr>
        <w:t>report </w:t>
      </w:r>
      <w:r>
        <w:rPr>
          <w:w w:val="120"/>
          <w:sz w:val="20"/>
        </w:rPr>
        <w:t>to General Assembly, and we have wanted to include them</w:t>
      </w:r>
      <w:r>
        <w:rPr>
          <w:spacing w:val="22"/>
          <w:w w:val="120"/>
          <w:sz w:val="20"/>
        </w:rPr>
        <w:t> </w:t>
      </w:r>
      <w:r>
        <w:rPr>
          <w:w w:val="120"/>
          <w:sz w:val="20"/>
        </w:rPr>
        <w:t>here.</w:t>
      </w:r>
    </w:p>
    <w:p>
      <w:pPr>
        <w:pStyle w:val="BodyText"/>
      </w:pPr>
    </w:p>
    <w:p>
      <w:pPr>
        <w:pStyle w:val="ListParagraph"/>
        <w:numPr>
          <w:ilvl w:val="1"/>
          <w:numId w:val="30"/>
        </w:numPr>
        <w:tabs>
          <w:tab w:pos="1964" w:val="left" w:leader="none"/>
          <w:tab w:pos="1965" w:val="left" w:leader="none"/>
        </w:tabs>
        <w:spacing w:line="235" w:lineRule="auto" w:before="0" w:after="0"/>
        <w:ind w:left="1284" w:right="1674" w:firstLine="0"/>
        <w:jc w:val="left"/>
        <w:rPr>
          <w:sz w:val="20"/>
        </w:rPr>
      </w:pPr>
      <w:r>
        <w:rPr>
          <w:w w:val="120"/>
          <w:sz w:val="20"/>
        </w:rPr>
        <w:t>Below is a simple listing of the closed churches, synod by synod, listed in alphabetical order with the date of closure. The </w:t>
      </w:r>
      <w:r>
        <w:rPr>
          <w:i/>
          <w:w w:val="120"/>
          <w:sz w:val="20"/>
        </w:rPr>
        <w:t>Record of Assembly </w:t>
      </w:r>
      <w:r>
        <w:rPr>
          <w:w w:val="120"/>
          <w:sz w:val="20"/>
        </w:rPr>
        <w:t>will include a section on church ‘obituaries’ and all churches that have closed in the qualifying period have been invited to submit an obituary for inclusion in that. We are grateful to the Revd Mark Meatcher for his careful work in compiling this</w:t>
      </w:r>
      <w:r>
        <w:rPr>
          <w:spacing w:val="12"/>
          <w:w w:val="120"/>
          <w:sz w:val="20"/>
        </w:rPr>
        <w:t> </w:t>
      </w:r>
      <w:r>
        <w:rPr>
          <w:w w:val="120"/>
          <w:sz w:val="20"/>
        </w:rPr>
        <w:t>list.</w:t>
      </w:r>
    </w:p>
    <w:p>
      <w:pPr>
        <w:pStyle w:val="BodyText"/>
        <w:rPr>
          <w:sz w:val="24"/>
        </w:rPr>
      </w:pPr>
    </w:p>
    <w:p>
      <w:pPr>
        <w:pStyle w:val="BodyText"/>
        <w:rPr>
          <w:sz w:val="18"/>
        </w:rPr>
      </w:pPr>
    </w:p>
    <w:p>
      <w:pPr>
        <w:spacing w:before="0"/>
        <w:ind w:left="1284" w:right="0" w:firstLine="0"/>
        <w:jc w:val="left"/>
        <w:rPr>
          <w:rFonts w:ascii="Stone Sans II ITC Std Bk"/>
          <w:b/>
          <w:sz w:val="29"/>
        </w:rPr>
      </w:pPr>
      <w:r>
        <w:rPr>
          <w:rFonts w:ascii="Stone Sans II ITC Std Bk"/>
          <w:b/>
          <w:w w:val="110"/>
          <w:sz w:val="29"/>
        </w:rPr>
        <w:t>Resolution 8</w:t>
      </w:r>
    </w:p>
    <w:p>
      <w:pPr>
        <w:pStyle w:val="Heading7"/>
        <w:spacing w:line="213" w:lineRule="auto" w:before="75"/>
        <w:ind w:left="1284" w:right="1529"/>
      </w:pPr>
      <w:r>
        <w:rPr>
          <w:w w:val="110"/>
        </w:rPr>
        <w:t>General Assembly notes the closures listed, with praise to God for the worship and witness offered by these fellowships across the years.</w:t>
      </w:r>
    </w:p>
    <w:p>
      <w:pPr>
        <w:pStyle w:val="BodyText"/>
        <w:spacing w:before="5"/>
        <w:rPr>
          <w:rFonts w:ascii="Stone Sans II ITC Std Bk"/>
          <w:b/>
          <w:sz w:val="19"/>
        </w:rPr>
      </w:pPr>
    </w:p>
    <w:p>
      <w:pPr>
        <w:spacing w:before="0"/>
        <w:ind w:left="1284" w:right="0" w:firstLine="0"/>
        <w:jc w:val="left"/>
        <w:rPr>
          <w:rFonts w:ascii="Stone Sans II ITC Std Bk"/>
          <w:b/>
          <w:sz w:val="29"/>
        </w:rPr>
      </w:pPr>
      <w:r>
        <w:rPr>
          <w:rFonts w:ascii="Stone Sans II ITC Std Bk"/>
          <w:b/>
          <w:w w:val="110"/>
          <w:sz w:val="29"/>
        </w:rPr>
        <w:t>Church closures</w:t>
      </w:r>
    </w:p>
    <w:p>
      <w:pPr>
        <w:pStyle w:val="Heading7"/>
        <w:spacing w:before="213"/>
        <w:ind w:left="1284"/>
      </w:pPr>
      <w:r>
        <w:rPr>
          <w:w w:val="110"/>
        </w:rPr>
        <w:t>Synod 1: Northern</w:t>
      </w:r>
    </w:p>
    <w:p>
      <w:pPr>
        <w:pStyle w:val="BodyText"/>
        <w:spacing w:line="235" w:lineRule="auto"/>
        <w:ind w:left="1284" w:right="3991"/>
      </w:pPr>
      <w:r>
        <w:rPr>
          <w:w w:val="120"/>
        </w:rPr>
        <w:t>Chatton United Reformed Church, Chatton 3 May </w:t>
      </w:r>
      <w:r>
        <w:rPr>
          <w:spacing w:val="-7"/>
          <w:w w:val="120"/>
        </w:rPr>
        <w:t>2015 </w:t>
      </w:r>
      <w:r>
        <w:rPr>
          <w:w w:val="120"/>
        </w:rPr>
        <w:t>Felton United Reformed Church, Felton 28 </w:t>
      </w:r>
      <w:r>
        <w:rPr>
          <w:spacing w:val="2"/>
          <w:w w:val="120"/>
        </w:rPr>
        <w:t>February </w:t>
      </w:r>
      <w:r>
        <w:rPr>
          <w:spacing w:val="-7"/>
          <w:w w:val="120"/>
        </w:rPr>
        <w:t>2016 </w:t>
      </w:r>
      <w:r>
        <w:rPr>
          <w:w w:val="120"/>
        </w:rPr>
        <w:t>Lingdale United Reformed Church, Lingdale 5 April </w:t>
      </w:r>
      <w:r>
        <w:rPr>
          <w:spacing w:val="-7"/>
          <w:w w:val="120"/>
        </w:rPr>
        <w:t>2015 </w:t>
      </w:r>
      <w:r>
        <w:rPr>
          <w:w w:val="120"/>
        </w:rPr>
        <w:t>Winlaton United Reformed Church, Gateshead </w:t>
      </w:r>
      <w:r>
        <w:rPr>
          <w:spacing w:val="-3"/>
          <w:w w:val="120"/>
        </w:rPr>
        <w:t>26 </w:t>
      </w:r>
      <w:r>
        <w:rPr>
          <w:w w:val="120"/>
        </w:rPr>
        <w:t>July </w:t>
      </w:r>
      <w:r>
        <w:rPr>
          <w:spacing w:val="-7"/>
          <w:w w:val="120"/>
        </w:rPr>
        <w:t>2015</w:t>
      </w:r>
    </w:p>
    <w:p>
      <w:pPr>
        <w:pStyle w:val="BodyText"/>
        <w:spacing w:before="1"/>
        <w:rPr>
          <w:sz w:val="18"/>
        </w:rPr>
      </w:pPr>
    </w:p>
    <w:p>
      <w:pPr>
        <w:pStyle w:val="Heading7"/>
        <w:spacing w:before="1"/>
        <w:ind w:left="1284"/>
      </w:pPr>
      <w:r>
        <w:rPr>
          <w:w w:val="110"/>
        </w:rPr>
        <w:t>Synod 2: North Western</w:t>
      </w:r>
    </w:p>
    <w:p>
      <w:pPr>
        <w:pStyle w:val="BodyText"/>
        <w:spacing w:line="233" w:lineRule="exact"/>
        <w:ind w:left="1284"/>
      </w:pPr>
      <w:r>
        <w:rPr>
          <w:w w:val="120"/>
        </w:rPr>
        <w:t>Barrow United Reformed Church 21 June 2015</w:t>
      </w:r>
    </w:p>
    <w:p>
      <w:pPr>
        <w:pStyle w:val="BodyText"/>
        <w:spacing w:line="235" w:lineRule="auto" w:before="1"/>
        <w:ind w:left="1284" w:right="3489"/>
      </w:pPr>
      <w:r>
        <w:rPr>
          <w:w w:val="120"/>
        </w:rPr>
        <w:t>Haslingden United Reformed Church, Rossendale 5 October </w:t>
      </w:r>
      <w:r>
        <w:rPr>
          <w:spacing w:val="-7"/>
          <w:w w:val="120"/>
        </w:rPr>
        <w:t>2014 </w:t>
      </w:r>
      <w:r>
        <w:rPr>
          <w:w w:val="120"/>
        </w:rPr>
        <w:t>Lytham United Reformed Church </w:t>
      </w:r>
      <w:r>
        <w:rPr>
          <w:spacing w:val="-4"/>
          <w:w w:val="120"/>
        </w:rPr>
        <w:t>21 </w:t>
      </w:r>
      <w:r>
        <w:rPr>
          <w:w w:val="120"/>
        </w:rPr>
        <w:t>September </w:t>
      </w:r>
      <w:r>
        <w:rPr>
          <w:spacing w:val="-7"/>
          <w:w w:val="120"/>
        </w:rPr>
        <w:t>2014 </w:t>
      </w:r>
      <w:r>
        <w:rPr>
          <w:w w:val="120"/>
        </w:rPr>
        <w:t>Metropolitan Church Mission Project, Manchester </w:t>
      </w:r>
      <w:r>
        <w:rPr>
          <w:spacing w:val="-9"/>
          <w:w w:val="120"/>
        </w:rPr>
        <w:t>12 </w:t>
      </w:r>
      <w:r>
        <w:rPr>
          <w:w w:val="120"/>
        </w:rPr>
        <w:t>March</w:t>
      </w:r>
      <w:r>
        <w:rPr>
          <w:spacing w:val="34"/>
          <w:w w:val="120"/>
        </w:rPr>
        <w:t> </w:t>
      </w:r>
      <w:r>
        <w:rPr>
          <w:spacing w:val="-7"/>
          <w:w w:val="120"/>
        </w:rPr>
        <w:t>2016</w:t>
      </w:r>
    </w:p>
    <w:p>
      <w:pPr>
        <w:spacing w:line="235" w:lineRule="auto" w:before="2"/>
        <w:ind w:left="1284" w:right="2419" w:firstLine="0"/>
        <w:jc w:val="left"/>
        <w:rPr>
          <w:i/>
          <w:sz w:val="20"/>
        </w:rPr>
      </w:pPr>
      <w:r>
        <w:rPr>
          <w:i/>
          <w:w w:val="110"/>
          <w:sz w:val="20"/>
        </w:rPr>
        <w:t>(Noting that the mission project has now amalgamated with their host church – </w:t>
      </w:r>
      <w:r>
        <w:rPr>
          <w:i/>
          <w:w w:val="110"/>
          <w:sz w:val="20"/>
        </w:rPr>
        <w:t>Wilbraham St Ninian’s URC, Chorlton, Manchester.)</w:t>
      </w:r>
    </w:p>
    <w:p>
      <w:pPr>
        <w:pStyle w:val="BodyText"/>
        <w:spacing w:before="6"/>
        <w:rPr>
          <w:i/>
          <w:sz w:val="18"/>
        </w:rPr>
      </w:pPr>
    </w:p>
    <w:p>
      <w:pPr>
        <w:pStyle w:val="Heading7"/>
        <w:ind w:left="1284"/>
      </w:pPr>
      <w:r>
        <w:rPr>
          <w:w w:val="110"/>
        </w:rPr>
        <w:t>Synod 3: Mersey</w:t>
      </w:r>
    </w:p>
    <w:p>
      <w:pPr>
        <w:pStyle w:val="BodyText"/>
        <w:spacing w:line="235" w:lineRule="auto"/>
        <w:ind w:left="1284" w:right="3011"/>
      </w:pPr>
      <w:r>
        <w:rPr>
          <w:w w:val="120"/>
        </w:rPr>
        <w:t>Beechwood West United Reformed Church, Runcorn 30 March 2014 Upton United Reformed Church, Wirral 26 July 2015</w:t>
      </w:r>
    </w:p>
    <w:p>
      <w:pPr>
        <w:pStyle w:val="BodyText"/>
        <w:rPr>
          <w:sz w:val="18"/>
        </w:rPr>
      </w:pPr>
    </w:p>
    <w:p>
      <w:pPr>
        <w:pStyle w:val="Heading7"/>
        <w:ind w:left="1284"/>
      </w:pPr>
      <w:r>
        <w:rPr>
          <w:w w:val="110"/>
        </w:rPr>
        <w:t>Synod 4: Yorkshire</w:t>
      </w:r>
    </w:p>
    <w:p>
      <w:pPr>
        <w:pStyle w:val="BodyText"/>
        <w:spacing w:line="235" w:lineRule="auto"/>
        <w:ind w:left="1284" w:right="3247"/>
      </w:pPr>
      <w:r>
        <w:rPr>
          <w:w w:val="120"/>
        </w:rPr>
        <w:t>Brotherton United Reformed Church, Brotherton 27 March 2016 Holderness Road United Reformed Church, Hull 28 September 2014 Wadsley United Reformed Church, Sheffield 19 July 2014</w:t>
      </w:r>
    </w:p>
    <w:p>
      <w:pPr>
        <w:pStyle w:val="BodyText"/>
        <w:spacing w:before="1"/>
        <w:rPr>
          <w:sz w:val="18"/>
        </w:rPr>
      </w:pPr>
    </w:p>
    <w:p>
      <w:pPr>
        <w:pStyle w:val="Heading7"/>
        <w:ind w:left="1284"/>
      </w:pPr>
      <w:r>
        <w:rPr>
          <w:w w:val="110"/>
        </w:rPr>
        <w:t>Synod 5: East Midlands</w:t>
      </w:r>
    </w:p>
    <w:p>
      <w:pPr>
        <w:pStyle w:val="BodyText"/>
        <w:spacing w:line="235" w:lineRule="auto"/>
        <w:ind w:left="1284" w:right="3714"/>
      </w:pPr>
      <w:r>
        <w:rPr>
          <w:w w:val="125"/>
        </w:rPr>
        <w:t>Chaddesden</w:t>
      </w:r>
      <w:r>
        <w:rPr>
          <w:spacing w:val="-17"/>
          <w:w w:val="125"/>
        </w:rPr>
        <w:t> </w:t>
      </w:r>
      <w:r>
        <w:rPr>
          <w:w w:val="125"/>
        </w:rPr>
        <w:t>United</w:t>
      </w:r>
      <w:r>
        <w:rPr>
          <w:spacing w:val="-17"/>
          <w:w w:val="125"/>
        </w:rPr>
        <w:t> </w:t>
      </w:r>
      <w:r>
        <w:rPr>
          <w:w w:val="125"/>
        </w:rPr>
        <w:t>Reformed</w:t>
      </w:r>
      <w:r>
        <w:rPr>
          <w:spacing w:val="-17"/>
          <w:w w:val="125"/>
        </w:rPr>
        <w:t> </w:t>
      </w:r>
      <w:r>
        <w:rPr>
          <w:w w:val="125"/>
        </w:rPr>
        <w:t>Church,</w:t>
      </w:r>
      <w:r>
        <w:rPr>
          <w:spacing w:val="-17"/>
          <w:w w:val="125"/>
        </w:rPr>
        <w:t> </w:t>
      </w:r>
      <w:r>
        <w:rPr>
          <w:w w:val="125"/>
        </w:rPr>
        <w:t>Derby</w:t>
      </w:r>
      <w:r>
        <w:rPr>
          <w:spacing w:val="-16"/>
          <w:w w:val="125"/>
        </w:rPr>
        <w:t> </w:t>
      </w:r>
      <w:r>
        <w:rPr>
          <w:w w:val="125"/>
        </w:rPr>
        <w:t>29</w:t>
      </w:r>
      <w:r>
        <w:rPr>
          <w:spacing w:val="-17"/>
          <w:w w:val="125"/>
        </w:rPr>
        <w:t> </w:t>
      </w:r>
      <w:r>
        <w:rPr>
          <w:w w:val="125"/>
        </w:rPr>
        <w:t>March</w:t>
      </w:r>
      <w:r>
        <w:rPr>
          <w:spacing w:val="-17"/>
          <w:w w:val="125"/>
        </w:rPr>
        <w:t> </w:t>
      </w:r>
      <w:r>
        <w:rPr>
          <w:spacing w:val="-7"/>
          <w:w w:val="125"/>
        </w:rPr>
        <w:t>2015 </w:t>
      </w:r>
      <w:r>
        <w:rPr>
          <w:w w:val="125"/>
        </w:rPr>
        <w:t>Hill</w:t>
      </w:r>
      <w:r>
        <w:rPr>
          <w:spacing w:val="-10"/>
          <w:w w:val="125"/>
        </w:rPr>
        <w:t> </w:t>
      </w:r>
      <w:r>
        <w:rPr>
          <w:spacing w:val="-5"/>
          <w:w w:val="125"/>
        </w:rPr>
        <w:t>Top</w:t>
      </w:r>
      <w:r>
        <w:rPr>
          <w:spacing w:val="-10"/>
          <w:w w:val="125"/>
        </w:rPr>
        <w:t> </w:t>
      </w:r>
      <w:r>
        <w:rPr>
          <w:w w:val="125"/>
        </w:rPr>
        <w:t>United</w:t>
      </w:r>
      <w:r>
        <w:rPr>
          <w:spacing w:val="-9"/>
          <w:w w:val="125"/>
        </w:rPr>
        <w:t> </w:t>
      </w:r>
      <w:r>
        <w:rPr>
          <w:w w:val="125"/>
        </w:rPr>
        <w:t>Reformed</w:t>
      </w:r>
      <w:r>
        <w:rPr>
          <w:spacing w:val="-10"/>
          <w:w w:val="125"/>
        </w:rPr>
        <w:t> </w:t>
      </w:r>
      <w:r>
        <w:rPr>
          <w:w w:val="125"/>
        </w:rPr>
        <w:t>Church,</w:t>
      </w:r>
      <w:r>
        <w:rPr>
          <w:spacing w:val="-9"/>
          <w:w w:val="125"/>
        </w:rPr>
        <w:t> </w:t>
      </w:r>
      <w:r>
        <w:rPr>
          <w:w w:val="125"/>
        </w:rPr>
        <w:t>Dronfield</w:t>
      </w:r>
      <w:r>
        <w:rPr>
          <w:spacing w:val="-10"/>
          <w:w w:val="125"/>
        </w:rPr>
        <w:t> </w:t>
      </w:r>
      <w:r>
        <w:rPr>
          <w:w w:val="125"/>
        </w:rPr>
        <w:t>8</w:t>
      </w:r>
      <w:r>
        <w:rPr>
          <w:spacing w:val="-9"/>
          <w:w w:val="125"/>
        </w:rPr>
        <w:t> </w:t>
      </w:r>
      <w:r>
        <w:rPr>
          <w:w w:val="125"/>
        </w:rPr>
        <w:t>March</w:t>
      </w:r>
      <w:r>
        <w:rPr>
          <w:spacing w:val="-10"/>
          <w:w w:val="125"/>
        </w:rPr>
        <w:t> </w:t>
      </w:r>
      <w:r>
        <w:rPr>
          <w:spacing w:val="-7"/>
          <w:w w:val="125"/>
        </w:rPr>
        <w:t>2015</w:t>
      </w:r>
    </w:p>
    <w:p>
      <w:pPr>
        <w:pStyle w:val="BodyText"/>
        <w:spacing w:line="242" w:lineRule="exact"/>
        <w:ind w:left="1284"/>
      </w:pPr>
      <w:r>
        <w:rPr>
          <w:w w:val="125"/>
        </w:rPr>
        <w:t>Thurnby &amp; Bushby United Reformed Church, Bushby 1 February 2015</w:t>
      </w:r>
    </w:p>
    <w:p>
      <w:pPr>
        <w:pStyle w:val="BodyText"/>
        <w:spacing w:before="11"/>
        <w:rPr>
          <w:sz w:val="17"/>
        </w:rPr>
      </w:pPr>
    </w:p>
    <w:p>
      <w:pPr>
        <w:pStyle w:val="Heading7"/>
        <w:ind w:left="1284"/>
      </w:pPr>
      <w:r>
        <w:rPr>
          <w:w w:val="110"/>
        </w:rPr>
        <w:t>Synod 6: West Midlands</w:t>
      </w:r>
    </w:p>
    <w:p>
      <w:pPr>
        <w:pStyle w:val="BodyText"/>
        <w:spacing w:line="235" w:lineRule="exact"/>
        <w:ind w:left="1284"/>
      </w:pPr>
      <w:r>
        <w:rPr>
          <w:w w:val="120"/>
        </w:rPr>
        <w:t>No closures to report in the period</w:t>
      </w:r>
    </w:p>
    <w:p>
      <w:pPr>
        <w:spacing w:after="0" w:line="235" w:lineRule="exact"/>
        <w:sectPr>
          <w:headerReference w:type="default" r:id="rId163"/>
          <w:footerReference w:type="default" r:id="rId164"/>
          <w:footerReference w:type="even" r:id="rId165"/>
          <w:pgSz w:w="11910" w:h="16840"/>
          <w:pgMar w:header="0" w:footer="647" w:top="0" w:bottom="840" w:left="700" w:right="0"/>
          <w:pgNumType w:start="47"/>
        </w:sectPr>
      </w:pPr>
    </w:p>
    <w:p>
      <w:pPr>
        <w:pStyle w:val="BodyText"/>
      </w:pPr>
      <w:r>
        <w:rPr/>
        <w:drawing>
          <wp:anchor distT="0" distB="0" distL="0" distR="0" allowOverlap="1" layoutInCell="1" locked="0" behindDoc="1" simplePos="0" relativeHeight="235329536">
            <wp:simplePos x="0" y="0"/>
            <wp:positionH relativeFrom="page">
              <wp:posOffset>0</wp:posOffset>
            </wp:positionH>
            <wp:positionV relativeFrom="page">
              <wp:posOffset>0</wp:posOffset>
            </wp:positionV>
            <wp:extent cx="594067" cy="10692003"/>
            <wp:effectExtent l="0" t="0" r="0" b="0"/>
            <wp:wrapNone/>
            <wp:docPr id="83" name="image53.png"/>
            <wp:cNvGraphicFramePr>
              <a:graphicFrameLocks noChangeAspect="1"/>
            </wp:cNvGraphicFramePr>
            <a:graphic>
              <a:graphicData uri="http://schemas.openxmlformats.org/drawingml/2006/picture">
                <pic:pic>
                  <pic:nvPicPr>
                    <pic:cNvPr id="84" name="image53.png"/>
                    <pic:cNvPicPr/>
                  </pic:nvPicPr>
                  <pic:blipFill>
                    <a:blip r:embed="rId100" cstate="print"/>
                    <a:stretch>
                      <a:fillRect/>
                    </a:stretch>
                  </pic:blipFill>
                  <pic:spPr>
                    <a:xfrm>
                      <a:off x="0" y="0"/>
                      <a:ext cx="594067" cy="10692003"/>
                    </a:xfrm>
                    <a:prstGeom prst="rect">
                      <a:avLst/>
                    </a:prstGeom>
                  </pic:spPr>
                </pic:pic>
              </a:graphicData>
            </a:graphic>
          </wp:anchor>
        </w:drawing>
      </w:r>
      <w:r>
        <w:rPr/>
        <w:pict>
          <v:shape style="position:absolute;margin-left:20.519100pt;margin-top:48.890015pt;width:25.9pt;height:166.3pt;mso-position-horizontal-relative:page;mso-position-vertical-relative:page;z-index:-267985920" type="#_x0000_t202" filled="false" stroked="false">
            <v:textbox inset="0,0,0,0" style="layout-flow:vertical">
              <w:txbxContent>
                <w:p>
                  <w:pPr>
                    <w:spacing w:before="27"/>
                    <w:ind w:left="20" w:right="0" w:firstLine="0"/>
                    <w:jc w:val="left"/>
                    <w:rPr>
                      <w:sz w:val="39"/>
                    </w:rPr>
                  </w:pPr>
                  <w:r>
                    <w:rPr>
                      <w:color w:val="FFFFFF"/>
                      <w:w w:val="125"/>
                      <w:sz w:val="39"/>
                    </w:rPr>
                    <w:t>Church changes</w:t>
                  </w:r>
                </w:p>
              </w:txbxContent>
            </v:textbox>
            <w10:wrap type="none"/>
          </v:shape>
        </w:pict>
      </w:r>
    </w:p>
    <w:p>
      <w:pPr>
        <w:pStyle w:val="BodyText"/>
        <w:spacing w:before="7"/>
        <w:rPr>
          <w:sz w:val="21"/>
        </w:rPr>
      </w:pPr>
    </w:p>
    <w:p>
      <w:pPr>
        <w:spacing w:before="106"/>
        <w:ind w:left="547" w:right="0" w:firstLine="0"/>
        <w:jc w:val="left"/>
        <w:rPr>
          <w:sz w:val="26"/>
        </w:rPr>
      </w:pPr>
      <w:r>
        <w:rPr>
          <w:color w:val="7EAABF"/>
          <w:w w:val="120"/>
          <w:sz w:val="26"/>
        </w:rPr>
        <w:t>Mission Council</w:t>
      </w:r>
    </w:p>
    <w:p>
      <w:pPr>
        <w:pStyle w:val="Heading7"/>
        <w:spacing w:before="205"/>
        <w:ind w:left="547"/>
      </w:pPr>
      <w:r>
        <w:rPr>
          <w:w w:val="110"/>
        </w:rPr>
        <w:t>Synod 7: Eastern</w:t>
      </w:r>
    </w:p>
    <w:p>
      <w:pPr>
        <w:pStyle w:val="BodyText"/>
        <w:spacing w:line="233" w:lineRule="exact"/>
        <w:ind w:left="547"/>
      </w:pPr>
      <w:r>
        <w:rPr>
          <w:w w:val="120"/>
        </w:rPr>
        <w:t>Eastwood United Reformed Church, Southend-on-Sea 9 August 2015</w:t>
      </w:r>
    </w:p>
    <w:p>
      <w:pPr>
        <w:pStyle w:val="BodyText"/>
        <w:spacing w:line="235" w:lineRule="auto" w:before="2"/>
        <w:ind w:left="547" w:right="2019"/>
      </w:pPr>
      <w:r>
        <w:rPr>
          <w:w w:val="125"/>
        </w:rPr>
        <w:t>The Independent Chapel </w:t>
      </w:r>
      <w:r>
        <w:rPr>
          <w:spacing w:val="-7"/>
          <w:w w:val="125"/>
        </w:rPr>
        <w:t>(1662), </w:t>
      </w:r>
      <w:r>
        <w:rPr>
          <w:w w:val="125"/>
        </w:rPr>
        <w:t>Congregational Church and United Reformed Church in Finchingfield 20 September </w:t>
      </w:r>
      <w:r>
        <w:rPr>
          <w:spacing w:val="-7"/>
          <w:w w:val="125"/>
        </w:rPr>
        <w:t>2014</w:t>
      </w:r>
    </w:p>
    <w:p>
      <w:pPr>
        <w:pStyle w:val="BodyText"/>
        <w:spacing w:line="242" w:lineRule="exact"/>
        <w:ind w:left="547"/>
      </w:pPr>
      <w:r>
        <w:rPr>
          <w:w w:val="120"/>
        </w:rPr>
        <w:t>Trent Road, Chelmsford 30 January 2014</w:t>
      </w:r>
    </w:p>
    <w:p>
      <w:pPr>
        <w:pStyle w:val="BodyText"/>
        <w:spacing w:before="3"/>
        <w:rPr>
          <w:sz w:val="18"/>
        </w:rPr>
      </w:pPr>
    </w:p>
    <w:p>
      <w:pPr>
        <w:pStyle w:val="Heading7"/>
        <w:ind w:left="547"/>
      </w:pPr>
      <w:r>
        <w:rPr>
          <w:w w:val="110"/>
        </w:rPr>
        <w:t>Synod 8 South Western</w:t>
      </w:r>
    </w:p>
    <w:p>
      <w:pPr>
        <w:pStyle w:val="BodyText"/>
        <w:spacing w:line="233" w:lineRule="exact"/>
        <w:ind w:left="547"/>
      </w:pPr>
      <w:r>
        <w:rPr>
          <w:w w:val="120"/>
        </w:rPr>
        <w:t>Avebury Chapel Centre, Avebury 21 July 2014</w:t>
      </w:r>
    </w:p>
    <w:p>
      <w:pPr>
        <w:pStyle w:val="BodyText"/>
        <w:spacing w:line="235" w:lineRule="auto" w:before="2"/>
        <w:ind w:left="547" w:right="3331"/>
      </w:pPr>
      <w:r>
        <w:rPr>
          <w:w w:val="120"/>
        </w:rPr>
        <w:t>Bishopsworth United Reformed Church, Bishopsworth 30 December 2012 Tabernacle United Reformed Church, Chippenham 23 March 2016 Lawrence Hill United Reformed Church, Bristol 23 June 2013 Morcombelake United Reformed Church, Morcombelake 1 June 2014 Penhill United Reformed Church, Swindon 30 March 2014</w:t>
      </w:r>
    </w:p>
    <w:p>
      <w:pPr>
        <w:pStyle w:val="BodyText"/>
        <w:spacing w:before="8"/>
        <w:rPr>
          <w:sz w:val="18"/>
        </w:rPr>
      </w:pPr>
    </w:p>
    <w:p>
      <w:pPr>
        <w:pStyle w:val="Heading7"/>
        <w:ind w:left="547"/>
      </w:pPr>
      <w:r>
        <w:rPr>
          <w:w w:val="110"/>
        </w:rPr>
        <w:t>Synod 9: Wessex</w:t>
      </w:r>
    </w:p>
    <w:p>
      <w:pPr>
        <w:pStyle w:val="BodyText"/>
        <w:spacing w:line="235" w:lineRule="auto"/>
        <w:ind w:left="547" w:right="2419"/>
      </w:pPr>
      <w:r>
        <w:rPr>
          <w:w w:val="120"/>
        </w:rPr>
        <w:t>The United Free Church (St Peter’s Shared Church LEP), Chertsey 9 March 2014 Newbury United Reformed Church, Newbury 11 April 2015</w:t>
      </w:r>
    </w:p>
    <w:p>
      <w:pPr>
        <w:pStyle w:val="BodyText"/>
        <w:rPr>
          <w:sz w:val="18"/>
        </w:rPr>
      </w:pPr>
    </w:p>
    <w:p>
      <w:pPr>
        <w:pStyle w:val="Heading7"/>
        <w:ind w:left="547"/>
      </w:pPr>
      <w:r>
        <w:rPr>
          <w:w w:val="110"/>
        </w:rPr>
        <w:t>Synod 10: Thames North</w:t>
      </w:r>
    </w:p>
    <w:p>
      <w:pPr>
        <w:pStyle w:val="BodyText"/>
        <w:spacing w:line="235" w:lineRule="exact"/>
        <w:ind w:left="547"/>
      </w:pPr>
      <w:r>
        <w:rPr>
          <w:w w:val="120"/>
        </w:rPr>
        <w:t>St Mark’s Church, Aylesbury 17 September 2011</w:t>
      </w:r>
    </w:p>
    <w:p>
      <w:pPr>
        <w:pStyle w:val="BodyText"/>
        <w:spacing w:before="3"/>
        <w:rPr>
          <w:sz w:val="18"/>
        </w:rPr>
      </w:pPr>
    </w:p>
    <w:p>
      <w:pPr>
        <w:pStyle w:val="Heading7"/>
        <w:spacing w:before="1"/>
        <w:ind w:left="547"/>
      </w:pPr>
      <w:r>
        <w:rPr>
          <w:w w:val="110"/>
        </w:rPr>
        <w:t>Synod 11 Southern</w:t>
      </w:r>
    </w:p>
    <w:p>
      <w:pPr>
        <w:pStyle w:val="BodyText"/>
        <w:spacing w:line="233" w:lineRule="exact"/>
        <w:ind w:left="547"/>
      </w:pPr>
      <w:r>
        <w:rPr>
          <w:w w:val="120"/>
        </w:rPr>
        <w:t>Ash, Kent 19 September 2015</w:t>
      </w:r>
    </w:p>
    <w:p>
      <w:pPr>
        <w:pStyle w:val="BodyText"/>
        <w:spacing w:line="240" w:lineRule="exact"/>
        <w:ind w:left="547"/>
      </w:pPr>
      <w:r>
        <w:rPr>
          <w:w w:val="120"/>
        </w:rPr>
        <w:t>Ashburnham United Reformed Church, Ashburnham 31 December 2013</w:t>
      </w:r>
    </w:p>
    <w:p>
      <w:pPr>
        <w:spacing w:line="240" w:lineRule="exact" w:before="0"/>
        <w:ind w:left="547" w:right="0" w:firstLine="0"/>
        <w:jc w:val="left"/>
        <w:rPr>
          <w:i/>
          <w:sz w:val="20"/>
        </w:rPr>
      </w:pPr>
      <w:r>
        <w:rPr>
          <w:i/>
          <w:w w:val="115"/>
          <w:sz w:val="20"/>
        </w:rPr>
        <w:t>(Noting that the church has become an independent chapel.)</w:t>
      </w:r>
    </w:p>
    <w:p>
      <w:pPr>
        <w:pStyle w:val="BodyText"/>
        <w:spacing w:line="235" w:lineRule="auto" w:before="1"/>
        <w:ind w:left="547" w:right="3714"/>
      </w:pPr>
      <w:r>
        <w:rPr>
          <w:w w:val="120"/>
        </w:rPr>
        <w:t>Robertson Street United Reformed Church, Hastings December 2012 Pratts Bottom Free Church 6 April 2013</w:t>
      </w:r>
    </w:p>
    <w:p>
      <w:pPr>
        <w:pStyle w:val="BodyText"/>
        <w:spacing w:line="240" w:lineRule="exact"/>
        <w:ind w:left="547"/>
      </w:pPr>
      <w:r>
        <w:rPr>
          <w:w w:val="125"/>
        </w:rPr>
        <w:t>Richmond Green 30 August 2015</w:t>
      </w:r>
    </w:p>
    <w:p>
      <w:pPr>
        <w:pStyle w:val="BodyText"/>
        <w:spacing w:line="235" w:lineRule="auto" w:before="2"/>
        <w:ind w:left="547" w:right="3247"/>
      </w:pPr>
      <w:r>
        <w:rPr>
          <w:w w:val="120"/>
        </w:rPr>
        <w:t>Robertsbridge United Reformed Church, Robertsbridge 5 September 2015 Sittingbourne and Milton Regis 25 July 2015</w:t>
      </w:r>
    </w:p>
    <w:p>
      <w:pPr>
        <w:pStyle w:val="BodyText"/>
        <w:spacing w:line="240" w:lineRule="exact"/>
        <w:ind w:left="547"/>
      </w:pPr>
      <w:r>
        <w:rPr>
          <w:w w:val="120"/>
        </w:rPr>
        <w:t>South Norwood URC 25 January 2015</w:t>
      </w:r>
    </w:p>
    <w:p>
      <w:pPr>
        <w:pStyle w:val="BodyText"/>
        <w:spacing w:line="240" w:lineRule="exact"/>
        <w:ind w:left="547"/>
      </w:pPr>
      <w:r>
        <w:rPr>
          <w:w w:val="120"/>
        </w:rPr>
        <w:t>St Mary’s Island Ecumenical Church, Chatham 30 November 2012</w:t>
      </w:r>
    </w:p>
    <w:p>
      <w:pPr>
        <w:spacing w:line="242" w:lineRule="exact" w:before="0"/>
        <w:ind w:left="547" w:right="0" w:firstLine="0"/>
        <w:jc w:val="left"/>
        <w:rPr>
          <w:i/>
          <w:sz w:val="20"/>
        </w:rPr>
      </w:pPr>
      <w:r>
        <w:rPr>
          <w:i/>
          <w:w w:val="110"/>
          <w:sz w:val="20"/>
        </w:rPr>
        <w:t>(Noting that the church ceased to be an LEP but continues as an Anglican church.)</w:t>
      </w:r>
    </w:p>
    <w:p>
      <w:pPr>
        <w:pStyle w:val="BodyText"/>
        <w:spacing w:before="4"/>
        <w:rPr>
          <w:i/>
          <w:sz w:val="18"/>
        </w:rPr>
      </w:pPr>
    </w:p>
    <w:p>
      <w:pPr>
        <w:pStyle w:val="Heading7"/>
        <w:ind w:left="547"/>
      </w:pPr>
      <w:r>
        <w:rPr>
          <w:w w:val="110"/>
        </w:rPr>
        <w:t>Synod 12: Synod of Wales</w:t>
      </w:r>
    </w:p>
    <w:p>
      <w:pPr>
        <w:pStyle w:val="BodyText"/>
        <w:spacing w:line="233" w:lineRule="exact"/>
        <w:ind w:left="547"/>
      </w:pPr>
      <w:r>
        <w:rPr>
          <w:w w:val="120"/>
        </w:rPr>
        <w:t>Carmel United Reformed Church, Nantmel 18 October 2014</w:t>
      </w:r>
    </w:p>
    <w:p>
      <w:pPr>
        <w:pStyle w:val="BodyText"/>
        <w:spacing w:line="242" w:lineRule="exact"/>
        <w:ind w:left="547"/>
      </w:pPr>
      <w:r>
        <w:rPr>
          <w:w w:val="120"/>
        </w:rPr>
        <w:t>Christchurch United Reformed Church, Llandaff North Cardiff 31 January 2016</w:t>
      </w:r>
    </w:p>
    <w:p>
      <w:pPr>
        <w:pStyle w:val="BodyText"/>
        <w:spacing w:before="3"/>
        <w:rPr>
          <w:sz w:val="18"/>
        </w:rPr>
      </w:pPr>
    </w:p>
    <w:p>
      <w:pPr>
        <w:pStyle w:val="Heading7"/>
        <w:ind w:left="547"/>
      </w:pPr>
      <w:r>
        <w:rPr>
          <w:w w:val="110"/>
        </w:rPr>
        <w:t>Synod 13: Synod of Scotland</w:t>
      </w:r>
    </w:p>
    <w:p>
      <w:pPr>
        <w:pStyle w:val="BodyText"/>
        <w:spacing w:line="235" w:lineRule="exact"/>
        <w:ind w:left="547"/>
      </w:pPr>
      <w:r>
        <w:rPr>
          <w:w w:val="120"/>
        </w:rPr>
        <w:t>No church closures to report in this period.</w:t>
      </w:r>
    </w:p>
    <w:p>
      <w:pPr>
        <w:pStyle w:val="BodyText"/>
        <w:spacing w:before="6"/>
        <w:rPr>
          <w:sz w:val="30"/>
        </w:rPr>
      </w:pPr>
    </w:p>
    <w:p>
      <w:pPr>
        <w:spacing w:line="368" w:lineRule="exact" w:before="0"/>
        <w:ind w:left="547" w:right="0" w:firstLine="0"/>
        <w:jc w:val="left"/>
        <w:rPr>
          <w:rFonts w:ascii="Stone Sans II ITC Std Bk"/>
          <w:b/>
          <w:sz w:val="29"/>
        </w:rPr>
      </w:pPr>
      <w:r>
        <w:rPr>
          <w:rFonts w:ascii="Stone Sans II ITC Std Bk"/>
          <w:b/>
          <w:w w:val="110"/>
          <w:sz w:val="29"/>
        </w:rPr>
        <w:t>Church openings</w:t>
      </w:r>
    </w:p>
    <w:p>
      <w:pPr>
        <w:pStyle w:val="BodyText"/>
        <w:spacing w:line="218" w:lineRule="exact"/>
        <w:ind w:left="547"/>
      </w:pPr>
      <w:r>
        <w:rPr>
          <w:w w:val="120"/>
        </w:rPr>
        <w:t>No new United Reformed churches, or local ecumenical partnerships involving the</w:t>
      </w:r>
    </w:p>
    <w:p>
      <w:pPr>
        <w:pStyle w:val="BodyText"/>
        <w:spacing w:line="242" w:lineRule="exact"/>
        <w:ind w:left="547"/>
      </w:pPr>
      <w:r>
        <w:rPr>
          <w:w w:val="120"/>
        </w:rPr>
        <w:t>URC, have opened in the period between 31 March 2014 and 1 April 2016.</w:t>
      </w:r>
    </w:p>
    <w:p>
      <w:pPr>
        <w:spacing w:after="0" w:line="242" w:lineRule="exact"/>
        <w:sectPr>
          <w:headerReference w:type="even" r:id="rId166"/>
          <w:pgSz w:w="11910" w:h="16840"/>
          <w:pgMar w:header="0" w:footer="647" w:top="0" w:bottom="840" w:left="700" w:right="0"/>
        </w:sectPr>
      </w:pPr>
    </w:p>
    <w:p>
      <w:pPr>
        <w:pStyle w:val="BodyText"/>
      </w:pPr>
      <w:r>
        <w:rPr/>
        <w:pict>
          <v:rect style="position:absolute;margin-left:1.417pt;margin-top:.000015pt;width:547.79pt;height:841.89pt;mso-position-horizontal-relative:page;mso-position-vertical-relative:page;z-index:-267984896" filled="true" fillcolor="#d4e9f7" stroked="false">
            <v:fill type="solid"/>
            <w10:wrap type="none"/>
          </v:rect>
        </w:pict>
      </w:r>
      <w:r>
        <w:rPr/>
        <w:pict>
          <v:group style="position:absolute;margin-left:0pt;margin-top:.000015pt;width:595.3pt;height:841.9pt;mso-position-horizontal-relative:page;mso-position-vertical-relative:page;z-index:-267983872" coordorigin="0,0" coordsize="11906,16838">
            <v:shape style="position:absolute;left:10984;top:0;width:922;height:16838" type="#_x0000_t75" stroked="false">
              <v:imagedata r:id="rId169" o:title=""/>
            </v:shape>
            <v:shape style="position:absolute;left:0;top:0;width:11906;height:16838" type="#_x0000_t75" stroked="false">
              <v:imagedata r:id="rId170" o:title=""/>
            </v:shape>
            <v:shape style="position:absolute;left:3440;top:3239;width:1627;height:857" coordorigin="3440,3240" coordsize="1627,857" path="m4200,3240l3904,3307,3663,3454,3500,3601,3440,3668,3643,3916,3790,4043,3952,4090,4200,4097,4282,4090,4363,4072,4444,4043,4521,4007,4596,3966,4624,3948,4200,3948,3993,3904,3824,3808,3711,3712,3669,3668,3811,3507,3914,3424,4027,3393,4200,3389,4645,3389,4612,3368,4538,3327,4459,3292,4376,3264,4289,3246,4200,3240xm5046,3782l4841,3782,5038,3972,5065,3893,5063,3825,5046,3782xm4645,3389l4200,3389,4402,3433,4571,3529,4687,3625,4730,3668,4577,3830,4471,3913,4362,3943,4200,3948,4624,3948,4666,3920,4731,3873,4790,3827,4841,3782,5046,3782,5040,3766,5003,3715,4959,3668,5003,3622,5041,3569,5050,3549,4847,3549,4798,3505,4743,3459,4680,3412,4645,3389xm5039,3362l4847,3549,5050,3549,5065,3510,5067,3441,5039,3362xe" filled="true" fillcolor="#7c7b7b" stroked="false">
              <v:path arrowok="t"/>
              <v:fill type="solid"/>
            </v:shape>
            <v:shape style="position:absolute;left:3135;top:1811;width:2158;height:3246" coordorigin="3136,1811" coordsize="2158,3246" path="m4167,4901l4098,4901,4100,4902,4105,4927,4112,4965,4119,5001,4123,5020,4134,5042,4141,5054,4149,5057,4160,5056,4167,4901xm4373,4687l4177,4687,4187,5057,4232,5049,4261,5032,4278,5014,4283,5006,4279,4986,4280,4969,4282,4959,4286,4952,4295,4943,4310,4932,4320,4809,4326,4747,4328,4725,4328,4725,4373,4725,4373,4687xm4373,3076l4063,3076,4063,4754,4064,4778,4066,4823,4067,4872,4069,4935,4070,4950,4086,4944,4093,4937,4097,4927,4098,4912,4098,4901,4167,4901,4177,4687,4373,4687,4373,3076xm4373,4725l4328,4725,4330,4754,4331,4803,4332,4848,4334,4870,4338,4878,4344,4889,4353,4897,4367,4896,4372,4872,4373,4823,4373,4771,4373,4754,4373,4725xm5159,2746l5086,2746,3234,2746,3219,2751,3217,2761,3223,2774,3229,2785,3254,2791,3306,2796,3363,2802,3404,2807,3405,2812,3345,2816,3316,2818,3259,2821,3195,2827,3145,2834,3138,2844,3136,2853,3136,2862,3136,2866,3139,2886,3151,2930,3165,2953,3178,2963,3183,2965,3275,2986,3275,2989,3261,2992,3245,2999,3238,3013,3261,3017,3356,3025,3377,3028,3363,3032,3333,3036,3300,3042,3280,3049,3273,3055,3269,3069,3270,3076,3360,3077,5211,3076,5215,3069,5226,3054,5218,3045,5202,3037,5175,3029,5151,3022,5141,3019,5158,3016,5190,3011,5222,3006,5241,2998,5266,2981,5279,2966,5287,2943,5293,2904,5282,2893,5273,2887,5260,2884,5237,2880,5191,2876,5031,2864,5053,2862,5117,2862,5185,2852,5217,2824,5204,2816,5147,2791,5135,2784,5136,2779,5154,2774,5157,2771,5167,2763,5160,2754,5159,2746xm5211,3076l4373,3076,5105,3077,5211,3076xm4091,1864l4084,1866,4076,1874,4068,1888,4064,1906,4063,2746,4373,2746,4373,2051,4314,2051,4311,2026,4156,2026,4152,2016,4152,1999,4105,1999,4103,1980,4099,1933,4095,1886,4091,1864xm4352,1908l4342,1908,4331,1935,4322,1984,4316,2030,4314,2051,4373,2051,4372,2026,4372,1999,4373,1924,4369,1921,4362,1913,4352,1908xm4293,1811l4289,1813,4259,1815,4207,1828,4180,1853,4171,1877,4170,1888,4156,2026,4311,2026,4309,2016,4306,1937,4302,1856,4293,1811xm4130,1940l4122,1947,4114,1965,4105,1999,4152,1999,4151,1987,4148,1957,4141,1941,4130,1940xe" filled="true" fillcolor="#000000" stroked="false">
              <v:path arrowok="t"/>
              <v:fill type="solid"/>
            </v:shape>
            <v:shape style="position:absolute;left:5488;top:2368;width:472;height:379" type="#_x0000_t75" stroked="false">
              <v:imagedata r:id="rId171" o:title=""/>
            </v:shape>
            <v:shape style="position:absolute;left:6006;top:2483;width:217;height:269" type="#_x0000_t75" stroked="false">
              <v:imagedata r:id="rId172" o:title=""/>
            </v:shape>
            <v:shape style="position:absolute;left:5496;top:3001;width:314;height:409" coordorigin="5496,3001" coordsize="314,409" path="m5569,3001l5496,3001,5496,3231,5507,3313,5538,3368,5586,3400,5649,3410,5715,3399,5765,3367,5775,3351,5651,3351,5618,3344,5592,3323,5575,3287,5569,3236,5569,3001xm5809,3001l5736,3001,5736,3236,5730,3287,5714,3323,5687,3344,5651,3351,5775,3351,5798,3311,5809,3231,5809,3001xe" filled="true" fillcolor="#000000" stroked="false">
              <v:path arrowok="t"/>
              <v:fill type="solid"/>
            </v:shape>
            <v:shape style="position:absolute;left:5875;top:3106;width:266;height:298" type="#_x0000_t75" stroked="false">
              <v:imagedata r:id="rId173" o:title=""/>
            </v:shape>
            <v:shape style="position:absolute;left:6202;top:2991;width:83;height:412" coordorigin="6203,2992" coordsize="83,412" path="m6280,3113l6207,3113,6207,3404,6280,3404,6280,3113xm6244,2992l6227,2995,6214,3003,6205,3016,6203,3032,6205,3047,6214,3060,6227,3068,6243,3071,6261,3068,6274,3060,6282,3047,6285,3032,6282,3016,6274,3003,6261,2995,6244,2992xe" filled="true" fillcolor="#000000" stroked="false">
              <v:path arrowok="t"/>
              <v:fill type="solid"/>
            </v:shape>
            <v:shape style="position:absolute;left:6330;top:3030;width:183;height:380" type="#_x0000_t75" stroked="false">
              <v:imagedata r:id="rId174" o:title=""/>
            </v:shape>
            <v:shape style="position:absolute;left:6546;top:3106;width:267;height:304" type="#_x0000_t75" stroked="false">
              <v:imagedata r:id="rId175" o:title=""/>
            </v:shape>
            <v:shape style="position:absolute;left:5496;top:2979;width:1646;height:1080" coordorigin="5497,2980" coordsize="1646,1080" path="m5781,4060l5774,4043,5766,4017,5758,3984,5749,3948,5740,3921,5728,3898,5724,3894,5713,3881,5693,3870,5693,3868,5720,3854,5735,3840,5744,3832,5760,3803,5766,3768,5763,3743,5757,3721,5750,3710,5746,3702,5731,3687,5709,3672,5693,3667,5693,3775,5688,3802,5671,3823,5646,3836,5613,3840,5569,3840,5569,3714,5576,3712,5586,3711,5599,3710,5615,3710,5647,3714,5672,3725,5688,3746,5693,3775,5693,3667,5681,3662,5647,3657,5607,3655,5576,3655,5546,3657,5520,3660,5497,3663,5497,4060,5569,4060,5569,3894,5606,3894,5633,3898,5654,3910,5668,3932,5678,3965,5686,3999,5693,4026,5700,4047,5705,4060,5781,4060m7142,3404l7141,3387,7140,3366,7140,3357,7140,3351,7140,3344,7140,3163,7140,3144,7140,2980,7066,2980,7066,3144,7066,3144,7066,3221,7066,3292,7064,3299,7055,3320,7041,3337,7022,3347,7000,3351,6970,3344,6947,3325,6933,3296,6928,3259,6933,3221,6947,3191,6970,3170,7001,3163,7024,3167,7043,3178,7057,3195,7064,3215,7066,3221,7066,3144,7065,3144,7052,3129,7034,3117,7011,3109,6983,3106,6934,3117,6892,3147,6864,3196,6854,3262,6863,3322,6890,3369,6929,3399,6978,3410,7008,3406,7034,3396,7056,3379,7072,3357,7073,3357,7076,3404,7142,3404e" filled="true" fillcolor="#000000" stroked="false">
              <v:path arrowok="t"/>
              <v:fill type="solid"/>
            </v:shape>
            <v:shape style="position:absolute;left:5809;top:3762;width:267;height:304" type="#_x0000_t75" stroked="false">
              <v:imagedata r:id="rId176" o:title=""/>
            </v:shape>
            <v:shape style="position:absolute;left:6098;top:3629;width:198;height:431" coordorigin="6098,3629" coordsize="198,431" path="m6211,3824l6138,3824,6138,4060,6211,4060,6211,3824xm6274,3769l6098,3769,6098,3824,6274,3824,6274,3769xm6248,3629l6229,3631,6209,3636,6190,3644,6173,3657,6157,3678,6146,3702,6140,3729,6138,3754,6138,3769,6210,3769,6210,3754,6213,3729,6221,3708,6236,3694,6259,3688,6291,3688,6296,3637,6286,3634,6275,3631,6262,3630,6248,3629xm6291,3688l6273,3688,6283,3691,6290,3693,6291,3688xe" filled="true" fillcolor="#000000" stroked="false">
              <v:path arrowok="t"/>
              <v:fill type="solid"/>
            </v:shape>
            <v:shape style="position:absolute;left:6646;top:3762;width:166;height:298" type="#_x0000_t75" stroked="false">
              <v:imagedata r:id="rId177" o:title=""/>
            </v:shape>
            <v:shape style="position:absolute;left:6294;top:3762;width:294;height:305" type="#_x0000_t75" stroked="false">
              <v:imagedata r:id="rId178" o:title=""/>
            </v:shape>
            <v:shape style="position:absolute;left:6858;top:3762;width:430;height:298" coordorigin="6858,3762" coordsize="430,298" path="m6921,3769l6858,3769,6859,3787,6860,3809,6861,3830,6861,4060,6932,4060,6932,3880,6933,3871,6936,3864,6944,3849,6955,3836,6970,3826,6989,3823,7276,3823,7272,3816,7096,3816,7094,3812,6924,3812,6921,3769xm7165,3823l6989,3823,7011,3828,7026,3842,7036,3864,7039,3892,7039,4060,7110,4060,7110,3877,7112,3868,7114,3861,7122,3846,7133,3834,7148,3826,7165,3823xm7276,3823l7165,3823,7188,3828,7204,3843,7213,3867,7217,3899,7217,4060,7288,4060,7288,3889,7280,3830,7276,3823xm7191,3762l7174,3763,7159,3767,7145,3773,7133,3780,7123,3787,7114,3795,7105,3805,7097,3816,7272,3816,7258,3791,7226,3769,7191,3762xm7016,3762l6983,3767,6958,3779,6939,3795,6927,3812,7094,3812,7084,3794,7065,3777,7043,3766,7016,3762xe" filled="true" fillcolor="#000000" stroked="false">
              <v:path arrowok="t"/>
              <v:fill type="solid"/>
            </v:shape>
            <v:shape style="position:absolute;left:7347;top:3762;width:267;height:304" type="#_x0000_t75" stroked="false">
              <v:imagedata r:id="rId179" o:title=""/>
            </v:shape>
            <v:shape style="position:absolute;left:5475;top:3635;width:2468;height:1086" coordorigin="5476,3636" coordsize="2468,1086" path="m5788,4325l5773,4319,5751,4313,5724,4309,5690,4307,5621,4316,5562,4344,5516,4388,5486,4447,5476,4519,5485,4588,5511,4644,5553,4686,5610,4712,5680,4722,5715,4720,5744,4716,5767,4710,5784,4704,5775,4661,5772,4646,5756,4652,5736,4657,5715,4660,5693,4661,5634,4651,5590,4622,5562,4576,5553,4516,5563,4452,5592,4406,5637,4378,5693,4368,5717,4369,5738,4373,5756,4378,5772,4384,5776,4368,5788,4325m6098,4545l6090,4486,6085,4479,6077,4465,6066,4447,6034,4425,5997,4419,5984,4419,5971,4422,5959,4426,5947,4432,5936,4439,5927,4447,5918,4456,5911,4465,5910,4465,5910,4292,5836,4292,5836,4716,5910,4716,5910,4534,5910,4526,5913,4520,5921,4504,5933,4491,5949,4482,5969,4479,5995,4484,6012,4500,6022,4523,6025,4553,6025,4716,6098,4716,6098,4545m7943,4060l7942,4043,7941,4023,7941,4014,7940,4007,7940,4000,7940,3981,7940,3819,7940,3800,7940,3636,7867,3636,7867,3800,7867,3884,7867,3941,7866,3949,7865,3956,7856,3977,7841,3993,7823,4003,7801,4007,7770,4000,7748,3981,7734,3952,7729,3915,7734,3877,7748,3847,7771,3827,7802,3819,7825,3823,7843,3835,7857,3851,7865,3871,7866,3877,7867,3884,7867,3800,7866,3800,7853,3785,7835,3773,7812,3765,7784,3762,7734,3773,7693,3803,7664,3852,7654,3918,7664,3979,7690,4026,7729,4056,7778,4066,7808,4063,7835,4052,7857,4036,7873,4014,7874,4014,7877,4060,7943,4060e" filled="true" fillcolor="#000000" stroked="false">
              <v:path arrowok="t"/>
              <v:fill type="solid"/>
            </v:shape>
            <v:shape style="position:absolute;left:6157;top:4425;width:264;height:298" type="#_x0000_t75" stroked="false">
              <v:imagedata r:id="rId180" o:title=""/>
            </v:shape>
            <v:shape style="position:absolute;left:6476;top:4418;width:418;height:303" type="#_x0000_t75" stroked="false">
              <v:imagedata r:id="rId181" o:title=""/>
            </v:shape>
            <v:shape style="position:absolute;left:6941;top:4292;width:263;height:424" coordorigin="6942,4292" coordsize="263,424" path="m7016,4292l6942,4292,6942,4716,7016,4716,7016,4526,7018,4520,7026,4504,7039,4491,7055,4482,7075,4479,7191,4479,7183,4465,7016,4465,7016,4292xm7191,4479l7075,4479,7101,4484,7118,4500,7128,4523,7131,4553,7131,4716,7204,4716,7204,4545,7195,4486,7191,4479xm7103,4419l7089,4419,7076,4422,7064,4426,7053,4432,7042,4439,7032,4447,7024,4456,7017,4465,7183,4465,7172,4447,7140,4425,7103,4419xe" filled="true" fillcolor="#000000" stroked="false">
              <v:path arrowok="t"/>
              <v:fill type="solid"/>
            </v:shape>
            <v:shape style="position:absolute;left:4009;top:3897;width:414;height:199" coordorigin="4009,3898" coordsize="414,199" path="m4018,3914l4009,4064,4058,4078,4109,4088,4160,4094,4212,4097,4268,4093,4321,4083,4373,4068,4423,4052,4415,3948,4194,3948,4148,3945,4103,3939,4059,3928,4018,3914xm4411,3898l4361,3918,4307,3934,4252,3944,4194,3948,4415,3948,4411,3898xe" filled="true" fillcolor="#7c7b7b" stroked="false">
              <v:path arrowok="t"/>
              <v:fill type="solid"/>
            </v:shape>
            <w10:wrap type="none"/>
          </v:group>
        </w:pict>
      </w:r>
      <w:r>
        <w:rPr/>
        <w:pict>
          <v:shape style="position:absolute;margin-left:554.141174pt;margin-top:48.890015pt;width:25.9pt;height:354.55pt;mso-position-horizontal-relative:page;mso-position-vertical-relative:page;z-index:251787264" type="#_x0000_t202" filled="false" stroked="false">
            <v:textbox inset="0,0,0,0" style="layout-flow:vertical">
              <w:txbxContent>
                <w:p>
                  <w:pPr>
                    <w:spacing w:before="27"/>
                    <w:ind w:left="20" w:right="0" w:firstLine="0"/>
                    <w:jc w:val="left"/>
                    <w:rPr>
                      <w:sz w:val="39"/>
                    </w:rPr>
                  </w:pPr>
                  <w:r>
                    <w:rPr>
                      <w:color w:val="FFFFFF"/>
                      <w:spacing w:val="9"/>
                      <w:w w:val="120"/>
                      <w:sz w:val="39"/>
                    </w:rPr>
                    <w:t>Assembly committee </w:t>
                  </w:r>
                  <w:r>
                    <w:rPr>
                      <w:color w:val="FFFFFF"/>
                      <w:spacing w:val="11"/>
                      <w:w w:val="120"/>
                      <w:sz w:val="39"/>
                    </w:rPr>
                    <w:t>reports</w:t>
                  </w:r>
                  <w:r>
                    <w:rPr>
                      <w:color w:val="FFFFFF"/>
                      <w:spacing w:val="117"/>
                      <w:w w:val="120"/>
                      <w:sz w:val="39"/>
                    </w:rPr>
                    <w:t> </w:t>
                  </w:r>
                  <w:r>
                    <w:rPr>
                      <w:color w:val="FFFFFF"/>
                      <w:spacing w:val="9"/>
                      <w:w w:val="120"/>
                      <w:sz w:val="39"/>
                    </w:rPr>
                    <w:t>index</w:t>
                  </w:r>
                </w:p>
              </w:txbxContent>
            </v:textbox>
            <w10:wrap type="none"/>
          </v:shape>
        </w:pict>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spacing w:line="206" w:lineRule="auto" w:before="182"/>
        <w:ind w:left="2351" w:right="0" w:firstLine="0"/>
        <w:jc w:val="left"/>
        <w:rPr>
          <w:rFonts w:ascii="Stone Sans II ITC Std X Bd"/>
          <w:b/>
          <w:sz w:val="65"/>
        </w:rPr>
      </w:pPr>
      <w:r>
        <w:rPr>
          <w:rFonts w:ascii="Stone Sans II ITC Std X Bd"/>
          <w:b/>
          <w:w w:val="110"/>
          <w:sz w:val="65"/>
        </w:rPr>
        <w:t>Assembly committee reports index</w:t>
      </w:r>
    </w:p>
    <w:sdt>
      <w:sdtPr>
        <w:docPartObj>
          <w:docPartGallery w:val="Table of Contents"/>
          <w:docPartUnique/>
        </w:docPartObj>
      </w:sdtPr>
      <w:sdtEndPr/>
      <w:sdtContent>
        <w:p>
          <w:pPr>
            <w:pStyle w:val="TOC1"/>
            <w:tabs>
              <w:tab w:pos="7971" w:val="right" w:leader="none"/>
            </w:tabs>
            <w:spacing w:before="587"/>
            <w:rPr>
              <w:b/>
            </w:rPr>
          </w:pPr>
          <w:hyperlink w:history="true" w:anchor="_TOC_250012">
            <w:r>
              <w:rPr>
                <w:b/>
                <w:w w:val="110"/>
              </w:rPr>
              <w:t>Assembly arrangements</w:t>
              <w:tab/>
              <w:t>50</w:t>
            </w:r>
          </w:hyperlink>
        </w:p>
        <w:p>
          <w:pPr>
            <w:pStyle w:val="TOC1"/>
            <w:tabs>
              <w:tab w:pos="7971" w:val="right" w:leader="none"/>
            </w:tabs>
            <w:spacing w:before="9"/>
            <w:rPr>
              <w:b/>
            </w:rPr>
          </w:pPr>
          <w:hyperlink w:history="true" w:anchor="_TOC_250011">
            <w:r>
              <w:rPr>
                <w:b/>
                <w:spacing w:val="-3"/>
                <w:w w:val="110"/>
              </w:rPr>
              <w:t>Children’s </w:t>
            </w:r>
            <w:r>
              <w:rPr>
                <w:b/>
                <w:w w:val="110"/>
              </w:rPr>
              <w:t>and</w:t>
            </w:r>
            <w:r>
              <w:rPr>
                <w:b/>
                <w:spacing w:val="2"/>
                <w:w w:val="110"/>
              </w:rPr>
              <w:t> </w:t>
            </w:r>
            <w:r>
              <w:rPr>
                <w:b/>
                <w:w w:val="110"/>
              </w:rPr>
              <w:t>youth work</w:t>
              <w:tab/>
              <w:t>54</w:t>
            </w:r>
          </w:hyperlink>
        </w:p>
        <w:p>
          <w:pPr>
            <w:pStyle w:val="TOC1"/>
            <w:tabs>
              <w:tab w:pos="7971" w:val="right" w:leader="none"/>
            </w:tabs>
            <w:rPr>
              <w:b/>
            </w:rPr>
          </w:pPr>
          <w:hyperlink w:history="true" w:anchor="_TOC_250010">
            <w:r>
              <w:rPr>
                <w:b/>
                <w:w w:val="110"/>
              </w:rPr>
              <w:t>Communications</w:t>
            </w:r>
            <w:r>
              <w:rPr>
                <w:b/>
                <w:spacing w:val="-1"/>
                <w:w w:val="110"/>
              </w:rPr>
              <w:t> </w:t>
            </w:r>
            <w:r>
              <w:rPr>
                <w:b/>
                <w:w w:val="110"/>
              </w:rPr>
              <w:t>and editorial</w:t>
              <w:tab/>
              <w:t>60</w:t>
            </w:r>
          </w:hyperlink>
        </w:p>
        <w:p>
          <w:pPr>
            <w:pStyle w:val="TOC1"/>
            <w:tabs>
              <w:tab w:pos="7971" w:val="right" w:leader="none"/>
            </w:tabs>
            <w:rPr>
              <w:b/>
            </w:rPr>
          </w:pPr>
          <w:hyperlink w:history="true" w:anchor="_TOC_250009">
            <w:r>
              <w:rPr>
                <w:b/>
                <w:w w:val="110"/>
              </w:rPr>
              <w:t>Education</w:t>
            </w:r>
            <w:r>
              <w:rPr>
                <w:b/>
                <w:spacing w:val="-1"/>
                <w:w w:val="110"/>
              </w:rPr>
              <w:t> </w:t>
            </w:r>
            <w:r>
              <w:rPr>
                <w:b/>
                <w:w w:val="110"/>
              </w:rPr>
              <w:t>and learning</w:t>
              <w:tab/>
              <w:t>66</w:t>
            </w:r>
          </w:hyperlink>
        </w:p>
        <w:p>
          <w:pPr>
            <w:pStyle w:val="TOC1"/>
            <w:tabs>
              <w:tab w:pos="7971" w:val="right" w:leader="none"/>
            </w:tabs>
            <w:spacing w:before="9"/>
            <w:rPr>
              <w:b/>
            </w:rPr>
          </w:pPr>
          <w:hyperlink w:history="true" w:anchor="_TOC_250008">
            <w:r>
              <w:rPr>
                <w:b/>
                <w:w w:val="110"/>
              </w:rPr>
              <w:t>Equalities</w:t>
              <w:tab/>
            </w:r>
            <w:r>
              <w:rPr>
                <w:b/>
                <w:spacing w:val="-4"/>
                <w:w w:val="110"/>
              </w:rPr>
              <w:t>83</w:t>
            </w:r>
          </w:hyperlink>
        </w:p>
        <w:p>
          <w:pPr>
            <w:pStyle w:val="TOC1"/>
            <w:tabs>
              <w:tab w:pos="7971" w:val="right" w:leader="none"/>
            </w:tabs>
            <w:rPr>
              <w:b/>
            </w:rPr>
          </w:pPr>
          <w:hyperlink w:history="true" w:anchor="_TOC_250007">
            <w:r>
              <w:rPr>
                <w:b/>
                <w:w w:val="110"/>
              </w:rPr>
              <w:t>Faith</w:t>
            </w:r>
            <w:r>
              <w:rPr>
                <w:b/>
                <w:spacing w:val="-1"/>
                <w:w w:val="110"/>
              </w:rPr>
              <w:t> </w:t>
            </w:r>
            <w:r>
              <w:rPr>
                <w:b/>
                <w:w w:val="110"/>
              </w:rPr>
              <w:t>and order</w:t>
              <w:tab/>
              <w:t>86</w:t>
            </w:r>
          </w:hyperlink>
        </w:p>
        <w:p>
          <w:pPr>
            <w:pStyle w:val="TOC1"/>
            <w:tabs>
              <w:tab w:pos="7971" w:val="right" w:leader="none"/>
            </w:tabs>
            <w:spacing w:before="9"/>
            <w:rPr>
              <w:b/>
            </w:rPr>
          </w:pPr>
          <w:hyperlink w:history="true" w:anchor="_TOC_250006">
            <w:r>
              <w:rPr>
                <w:b/>
                <w:w w:val="110"/>
              </w:rPr>
              <w:t>Finance</w:t>
              <w:tab/>
            </w:r>
            <w:r>
              <w:rPr>
                <w:b/>
                <w:spacing w:val="-9"/>
                <w:w w:val="110"/>
              </w:rPr>
              <w:t>135</w:t>
            </w:r>
          </w:hyperlink>
        </w:p>
        <w:p>
          <w:pPr>
            <w:pStyle w:val="TOC1"/>
            <w:tabs>
              <w:tab w:pos="7971" w:val="right" w:leader="none"/>
            </w:tabs>
            <w:rPr>
              <w:b/>
            </w:rPr>
          </w:pPr>
          <w:hyperlink w:history="true" w:anchor="_TOC_250005">
            <w:r>
              <w:rPr>
                <w:b/>
                <w:w w:val="110"/>
              </w:rPr>
              <w:t>Ministries</w:t>
              <w:tab/>
            </w:r>
            <w:r>
              <w:rPr>
                <w:b/>
                <w:spacing w:val="-8"/>
                <w:w w:val="110"/>
              </w:rPr>
              <w:t>142</w:t>
            </w:r>
          </w:hyperlink>
        </w:p>
        <w:p>
          <w:pPr>
            <w:pStyle w:val="TOC1"/>
            <w:tabs>
              <w:tab w:pos="7971" w:val="right" w:leader="none"/>
            </w:tabs>
            <w:rPr>
              <w:b/>
            </w:rPr>
          </w:pPr>
          <w:hyperlink w:history="true" w:anchor="_TOC_250004">
            <w:r>
              <w:rPr>
                <w:b/>
                <w:w w:val="110"/>
              </w:rPr>
              <w:t>Mission</w:t>
              <w:tab/>
            </w:r>
            <w:r>
              <w:rPr>
                <w:b/>
                <w:spacing w:val="-8"/>
                <w:w w:val="110"/>
              </w:rPr>
              <w:t>167</w:t>
            </w:r>
          </w:hyperlink>
        </w:p>
        <w:p>
          <w:pPr>
            <w:pStyle w:val="TOC1"/>
            <w:tabs>
              <w:tab w:pos="7971" w:val="right" w:leader="none"/>
            </w:tabs>
            <w:spacing w:before="9"/>
            <w:rPr>
              <w:b/>
            </w:rPr>
          </w:pPr>
          <w:hyperlink w:history="true" w:anchor="_TOC_250003">
            <w:r>
              <w:rPr>
                <w:b/>
                <w:w w:val="110"/>
              </w:rPr>
              <w:t>Nominations</w:t>
              <w:tab/>
            </w:r>
            <w:r>
              <w:rPr>
                <w:b/>
                <w:spacing w:val="-5"/>
                <w:w w:val="110"/>
              </w:rPr>
              <w:t>199</w:t>
            </w:r>
          </w:hyperlink>
        </w:p>
        <w:p>
          <w:pPr>
            <w:pStyle w:val="TOC1"/>
            <w:tabs>
              <w:tab w:pos="7971" w:val="right" w:leader="none"/>
            </w:tabs>
            <w:rPr>
              <w:b/>
            </w:rPr>
          </w:pPr>
          <w:hyperlink w:history="true" w:anchor="_TOC_250002">
            <w:r>
              <w:rPr>
                <w:b/>
                <w:w w:val="110"/>
              </w:rPr>
              <w:t>Pastoral reference</w:t>
            </w:r>
            <w:r>
              <w:rPr>
                <w:b/>
                <w:spacing w:val="-1"/>
                <w:w w:val="110"/>
              </w:rPr>
              <w:t> </w:t>
            </w:r>
            <w:r>
              <w:rPr>
                <w:b/>
                <w:w w:val="110"/>
              </w:rPr>
              <w:t>and welfare</w:t>
              <w:tab/>
            </w:r>
            <w:r>
              <w:rPr>
                <w:b/>
                <w:spacing w:val="-8"/>
                <w:w w:val="110"/>
              </w:rPr>
              <w:t>215</w:t>
            </w:r>
          </w:hyperlink>
        </w:p>
        <w:p>
          <w:pPr>
            <w:pStyle w:val="TOC1"/>
            <w:tabs>
              <w:tab w:pos="7971" w:val="right" w:leader="none"/>
            </w:tabs>
            <w:spacing w:before="9"/>
            <w:rPr>
              <w:b/>
            </w:rPr>
          </w:pPr>
          <w:hyperlink w:history="true" w:anchor="_TOC_250001">
            <w:r>
              <w:rPr>
                <w:b/>
                <w:w w:val="110"/>
              </w:rPr>
              <w:t>Eastern, Thames North and Wessex Synods</w:t>
              <w:tab/>
            </w:r>
            <w:r>
              <w:rPr>
                <w:b/>
                <w:spacing w:val="-7"/>
                <w:w w:val="110"/>
              </w:rPr>
              <w:t>218</w:t>
            </w:r>
          </w:hyperlink>
        </w:p>
        <w:p>
          <w:pPr>
            <w:pStyle w:val="TOC1"/>
            <w:tabs>
              <w:tab w:pos="7971" w:val="right" w:leader="none"/>
            </w:tabs>
            <w:rPr>
              <w:b/>
            </w:rPr>
          </w:pPr>
          <w:hyperlink w:history="true" w:anchor="_TOC_250000">
            <w:r>
              <w:rPr>
                <w:b/>
                <w:w w:val="110"/>
              </w:rPr>
              <w:t>Southern</w:t>
            </w:r>
            <w:r>
              <w:rPr>
                <w:b/>
                <w:spacing w:val="-1"/>
                <w:w w:val="110"/>
              </w:rPr>
              <w:t> </w:t>
            </w:r>
            <w:r>
              <w:rPr>
                <w:b/>
                <w:w w:val="110"/>
              </w:rPr>
              <w:t>Synod</w:t>
              <w:tab/>
              <w:t>222</w:t>
            </w:r>
          </w:hyperlink>
        </w:p>
      </w:sdtContent>
    </w:sdt>
    <w:p>
      <w:pPr>
        <w:pStyle w:val="BodyText"/>
        <w:rPr>
          <w:rFonts w:ascii="Stone Sans II ITC Std Sm"/>
          <w:b/>
          <w:sz w:val="24"/>
        </w:rPr>
      </w:pPr>
    </w:p>
    <w:p>
      <w:pPr>
        <w:pStyle w:val="BodyText"/>
        <w:rPr>
          <w:rFonts w:ascii="Stone Sans II ITC Std Sm"/>
          <w:b/>
          <w:sz w:val="24"/>
        </w:rPr>
      </w:pPr>
    </w:p>
    <w:p>
      <w:pPr>
        <w:pStyle w:val="BodyText"/>
        <w:rPr>
          <w:rFonts w:ascii="Stone Sans II ITC Std Sm"/>
          <w:b/>
          <w:sz w:val="24"/>
        </w:rPr>
      </w:pPr>
    </w:p>
    <w:p>
      <w:pPr>
        <w:pStyle w:val="BodyText"/>
        <w:rPr>
          <w:rFonts w:ascii="Stone Sans II ITC Std Sm"/>
          <w:b/>
          <w:sz w:val="24"/>
        </w:rPr>
      </w:pPr>
    </w:p>
    <w:p>
      <w:pPr>
        <w:pStyle w:val="BodyText"/>
        <w:rPr>
          <w:rFonts w:ascii="Stone Sans II ITC Std Sm"/>
          <w:b/>
          <w:sz w:val="24"/>
        </w:rPr>
      </w:pPr>
    </w:p>
    <w:p>
      <w:pPr>
        <w:pStyle w:val="BodyText"/>
        <w:rPr>
          <w:rFonts w:ascii="Stone Sans II ITC Std Sm"/>
          <w:b/>
          <w:sz w:val="24"/>
        </w:rPr>
      </w:pPr>
    </w:p>
    <w:p>
      <w:pPr>
        <w:pStyle w:val="BodyText"/>
        <w:rPr>
          <w:rFonts w:ascii="Stone Sans II ITC Std Sm"/>
          <w:b/>
          <w:sz w:val="24"/>
        </w:rPr>
      </w:pPr>
    </w:p>
    <w:p>
      <w:pPr>
        <w:pStyle w:val="BodyText"/>
        <w:rPr>
          <w:rFonts w:ascii="Stone Sans II ITC Std Sm"/>
          <w:b/>
          <w:sz w:val="24"/>
        </w:rPr>
      </w:pPr>
    </w:p>
    <w:p>
      <w:pPr>
        <w:pStyle w:val="BodyText"/>
        <w:rPr>
          <w:rFonts w:ascii="Stone Sans II ITC Std Sm"/>
          <w:b/>
          <w:sz w:val="24"/>
        </w:rPr>
      </w:pPr>
    </w:p>
    <w:p>
      <w:pPr>
        <w:pStyle w:val="BodyText"/>
        <w:rPr>
          <w:rFonts w:ascii="Stone Sans II ITC Std Sm"/>
          <w:b/>
          <w:sz w:val="24"/>
        </w:rPr>
      </w:pPr>
    </w:p>
    <w:p>
      <w:pPr>
        <w:pStyle w:val="BodyText"/>
        <w:rPr>
          <w:rFonts w:ascii="Stone Sans II ITC Std Sm"/>
          <w:b/>
          <w:sz w:val="24"/>
        </w:rPr>
      </w:pPr>
    </w:p>
    <w:p>
      <w:pPr>
        <w:pStyle w:val="BodyText"/>
        <w:rPr>
          <w:rFonts w:ascii="Stone Sans II ITC Std Sm"/>
          <w:b/>
        </w:rPr>
      </w:pPr>
    </w:p>
    <w:p>
      <w:pPr>
        <w:pStyle w:val="Heading6"/>
        <w:spacing w:before="0"/>
        <w:ind w:left="3818"/>
        <w:rPr>
          <w:rFonts w:ascii="Stone Sans II ITC Std X Bd" w:hAnsi="Stone Sans II ITC Std X Bd"/>
          <w:b/>
          <w:sz w:val="24"/>
        </w:rPr>
      </w:pPr>
      <w:r>
        <w:rPr>
          <w:color w:val="7EAABF"/>
          <w:w w:val="110"/>
        </w:rPr>
        <w:t>United Reformed Church </w:t>
      </w:r>
      <w:r>
        <w:rPr>
          <w:rFonts w:ascii="Symbol" w:hAnsi="Symbol"/>
          <w:color w:val="7EAABF"/>
          <w:w w:val="110"/>
        </w:rPr>
        <w:t></w:t>
      </w:r>
      <w:r>
        <w:rPr>
          <w:rFonts w:ascii="Times New Roman" w:hAnsi="Times New Roman"/>
          <w:color w:val="7EAABF"/>
          <w:w w:val="110"/>
        </w:rPr>
        <w:t> </w:t>
      </w:r>
      <w:r>
        <w:rPr>
          <w:color w:val="7EAABF"/>
          <w:w w:val="110"/>
        </w:rPr>
        <w:t>General Assembly 2016 </w:t>
      </w:r>
      <w:r>
        <w:rPr>
          <w:rFonts w:ascii="Symbol" w:hAnsi="Symbol"/>
          <w:color w:val="7EAABF"/>
          <w:w w:val="110"/>
        </w:rPr>
        <w:t></w:t>
      </w:r>
      <w:r>
        <w:rPr>
          <w:rFonts w:ascii="Times New Roman" w:hAnsi="Times New Roman"/>
          <w:color w:val="7EAABF"/>
          <w:w w:val="110"/>
        </w:rPr>
        <w:t> </w:t>
      </w:r>
      <w:r>
        <w:rPr>
          <w:rFonts w:ascii="Stone Sans II ITC Std X Bd" w:hAnsi="Stone Sans II ITC Std X Bd"/>
          <w:b/>
          <w:w w:val="110"/>
          <w:sz w:val="24"/>
        </w:rPr>
        <w:t>49</w:t>
      </w:r>
    </w:p>
    <w:p>
      <w:pPr>
        <w:spacing w:after="0"/>
        <w:rPr>
          <w:rFonts w:ascii="Stone Sans II ITC Std X Bd" w:hAnsi="Stone Sans II ITC Std X Bd"/>
          <w:sz w:val="24"/>
        </w:rPr>
        <w:sectPr>
          <w:headerReference w:type="default" r:id="rId167"/>
          <w:footerReference w:type="default" r:id="rId168"/>
          <w:pgSz w:w="11910" w:h="16840"/>
          <w:pgMar w:header="0" w:footer="0" w:top="1580" w:bottom="280" w:left="700" w:right="0"/>
        </w:sectPr>
      </w:pPr>
    </w:p>
    <w:p>
      <w:pPr>
        <w:pStyle w:val="BodyText"/>
        <w:rPr>
          <w:rFonts w:ascii="Stone Sans II ITC Std X Bd"/>
          <w:b/>
        </w:rPr>
      </w:pPr>
      <w:r>
        <w:rPr/>
        <w:pict>
          <v:rect style="position:absolute;margin-left:46.777pt;margin-top:.000015pt;width:548.498pt;height:841.89pt;mso-position-horizontal-relative:page;mso-position-vertical-relative:page;z-index:-267981824" filled="true" fillcolor="#d4e9f7" stroked="false">
            <v:fill type="solid"/>
            <w10:wrap type="none"/>
          </v:rect>
        </w:pict>
      </w:r>
      <w:r>
        <w:rPr/>
        <w:drawing>
          <wp:anchor distT="0" distB="0" distL="0" distR="0" allowOverlap="1" layoutInCell="1" locked="0" behindDoc="1" simplePos="0" relativeHeight="235335680">
            <wp:simplePos x="0" y="0"/>
            <wp:positionH relativeFrom="page">
              <wp:posOffset>0</wp:posOffset>
            </wp:positionH>
            <wp:positionV relativeFrom="page">
              <wp:posOffset>0</wp:posOffset>
            </wp:positionV>
            <wp:extent cx="594067" cy="10692003"/>
            <wp:effectExtent l="0" t="0" r="0" b="0"/>
            <wp:wrapNone/>
            <wp:docPr id="85" name="image67.png"/>
            <wp:cNvGraphicFramePr>
              <a:graphicFrameLocks noChangeAspect="1"/>
            </wp:cNvGraphicFramePr>
            <a:graphic>
              <a:graphicData uri="http://schemas.openxmlformats.org/drawingml/2006/picture">
                <pic:pic>
                  <pic:nvPicPr>
                    <pic:cNvPr id="86" name="image67.png"/>
                    <pic:cNvPicPr/>
                  </pic:nvPicPr>
                  <pic:blipFill>
                    <a:blip r:embed="rId184" cstate="print"/>
                    <a:stretch>
                      <a:fillRect/>
                    </a:stretch>
                  </pic:blipFill>
                  <pic:spPr>
                    <a:xfrm>
                      <a:off x="0" y="0"/>
                      <a:ext cx="594067" cy="10692003"/>
                    </a:xfrm>
                    <a:prstGeom prst="rect">
                      <a:avLst/>
                    </a:prstGeom>
                  </pic:spPr>
                </pic:pic>
              </a:graphicData>
            </a:graphic>
          </wp:anchor>
        </w:drawing>
      </w:r>
      <w:r>
        <w:rPr/>
        <w:pict>
          <v:shape style="position:absolute;margin-left:20.519100pt;margin-top:48.890015pt;width:25.9pt;height:243.3pt;mso-position-horizontal-relative:page;mso-position-vertical-relative:page;z-index:-267979776" type="#_x0000_t202" filled="false" stroked="false">
            <v:textbox inset="0,0,0,0" style="layout-flow:vertical">
              <w:txbxContent>
                <w:p>
                  <w:pPr>
                    <w:spacing w:before="27"/>
                    <w:ind w:left="20" w:right="0" w:firstLine="0"/>
                    <w:jc w:val="left"/>
                    <w:rPr>
                      <w:sz w:val="39"/>
                    </w:rPr>
                  </w:pPr>
                  <w:r>
                    <w:rPr>
                      <w:color w:val="FFFFFF"/>
                      <w:w w:val="120"/>
                      <w:sz w:val="39"/>
                    </w:rPr>
                    <w:t>Assembly arrangements</w:t>
                  </w:r>
                </w:p>
              </w:txbxContent>
            </v:textbox>
            <w10:wrap type="none"/>
          </v:shape>
        </w:pict>
      </w:r>
    </w:p>
    <w:p>
      <w:pPr>
        <w:pStyle w:val="BodyText"/>
        <w:rPr>
          <w:rFonts w:ascii="Stone Sans II ITC Std X Bd"/>
          <w:b/>
        </w:rPr>
      </w:pPr>
    </w:p>
    <w:p>
      <w:pPr>
        <w:pStyle w:val="BodyText"/>
        <w:rPr>
          <w:rFonts w:ascii="Stone Sans II ITC Std X Bd"/>
          <w:b/>
        </w:rPr>
      </w:pPr>
    </w:p>
    <w:p>
      <w:pPr>
        <w:pStyle w:val="BodyText"/>
        <w:spacing w:before="11"/>
        <w:rPr>
          <w:rFonts w:ascii="Stone Sans II ITC Std X Bd"/>
          <w:b/>
          <w:sz w:val="19"/>
        </w:rPr>
      </w:pPr>
    </w:p>
    <w:p>
      <w:pPr>
        <w:spacing w:line="213" w:lineRule="auto" w:before="153"/>
        <w:ind w:left="547" w:right="3984" w:firstLine="0"/>
        <w:jc w:val="left"/>
        <w:rPr>
          <w:rFonts w:ascii="Stone Sans II ITC Std X Bd"/>
          <w:b/>
          <w:sz w:val="50"/>
        </w:rPr>
      </w:pPr>
      <w:r>
        <w:rPr>
          <w:rFonts w:ascii="Stone Sans II ITC Std X Bd"/>
          <w:b/>
          <w:color w:val="0090D4"/>
          <w:w w:val="110"/>
          <w:sz w:val="50"/>
        </w:rPr>
        <w:t>Assembly arrangements committee:</w:t>
      </w:r>
    </w:p>
    <w:p>
      <w:pPr>
        <w:spacing w:line="213" w:lineRule="auto" w:before="0"/>
        <w:ind w:left="547" w:right="2966" w:firstLine="0"/>
        <w:jc w:val="left"/>
        <w:rPr>
          <w:rFonts w:ascii="Stone Sans II ITC Std X Bd"/>
          <w:b/>
          <w:sz w:val="50"/>
        </w:rPr>
      </w:pPr>
      <w:r>
        <w:rPr>
          <w:rFonts w:ascii="Stone Sans II ITC Std X Bd"/>
          <w:b/>
          <w:w w:val="110"/>
          <w:sz w:val="50"/>
        </w:rPr>
        <w:t>Report to General Assembly 2016</w:t>
      </w:r>
    </w:p>
    <w:p>
      <w:pPr>
        <w:pStyle w:val="Heading4"/>
        <w:spacing w:before="322"/>
        <w:ind w:left="547"/>
      </w:pPr>
      <w:r>
        <w:rPr>
          <w:color w:val="7F7F7F"/>
        </w:rPr>
        <w:t>Basic Information</w:t>
      </w:r>
    </w:p>
    <w:tbl>
      <w:tblPr>
        <w:tblW w:w="0" w:type="auto"/>
        <w:jc w:val="left"/>
        <w:tblInd w:w="55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660"/>
        <w:gridCol w:w="6582"/>
      </w:tblGrid>
      <w:tr>
        <w:trPr>
          <w:trHeight w:val="680" w:hRule="atLeast"/>
        </w:trPr>
        <w:tc>
          <w:tcPr>
            <w:tcW w:w="2660" w:type="dxa"/>
            <w:shd w:val="clear" w:color="auto" w:fill="FFFFFF"/>
          </w:tcPr>
          <w:p>
            <w:pPr>
              <w:pStyle w:val="TableParagraph"/>
              <w:spacing w:line="213" w:lineRule="auto" w:before="151"/>
              <w:ind w:right="595"/>
              <w:rPr>
                <w:rFonts w:ascii="Stone Sans II ITC Std Bk"/>
                <w:b/>
                <w:sz w:val="20"/>
              </w:rPr>
            </w:pPr>
            <w:r>
              <w:rPr>
                <w:rFonts w:ascii="Stone Sans II ITC Std Bk"/>
                <w:b/>
                <w:w w:val="110"/>
                <w:sz w:val="20"/>
              </w:rPr>
              <w:t>Contact name and email address</w:t>
            </w:r>
          </w:p>
        </w:tc>
        <w:tc>
          <w:tcPr>
            <w:tcW w:w="6582" w:type="dxa"/>
            <w:shd w:val="clear" w:color="auto" w:fill="FFFFFF"/>
          </w:tcPr>
          <w:p>
            <w:pPr>
              <w:pStyle w:val="TableParagraph"/>
              <w:spacing w:before="141"/>
              <w:rPr>
                <w:sz w:val="20"/>
              </w:rPr>
            </w:pPr>
            <w:r>
              <w:rPr>
                <w:w w:val="120"/>
                <w:sz w:val="20"/>
              </w:rPr>
              <w:t>The Revd James Breslin: </w:t>
            </w:r>
            <w:hyperlink r:id="rId185">
              <w:r>
                <w:rPr>
                  <w:color w:val="006AB3"/>
                  <w:w w:val="120"/>
                  <w:sz w:val="20"/>
                </w:rPr>
                <w:t>member@newcastleurc.freeserve.co.uk</w:t>
              </w:r>
            </w:hyperlink>
          </w:p>
        </w:tc>
      </w:tr>
      <w:tr>
        <w:trPr>
          <w:trHeight w:val="440" w:hRule="atLeast"/>
        </w:trPr>
        <w:tc>
          <w:tcPr>
            <w:tcW w:w="2660" w:type="dxa"/>
            <w:shd w:val="clear" w:color="auto" w:fill="FFFFFF"/>
          </w:tcPr>
          <w:p>
            <w:pPr>
              <w:pStyle w:val="TableParagraph"/>
              <w:spacing w:before="128"/>
              <w:rPr>
                <w:rFonts w:ascii="Stone Sans II ITC Std Bk"/>
                <w:b/>
                <w:sz w:val="20"/>
              </w:rPr>
            </w:pPr>
            <w:r>
              <w:rPr>
                <w:rFonts w:ascii="Stone Sans II ITC Std Bk"/>
                <w:b/>
                <w:w w:val="110"/>
                <w:sz w:val="20"/>
              </w:rPr>
              <w:t>Action required</w:t>
            </w:r>
          </w:p>
        </w:tc>
        <w:tc>
          <w:tcPr>
            <w:tcW w:w="6582" w:type="dxa"/>
            <w:shd w:val="clear" w:color="auto" w:fill="FFFFFF"/>
          </w:tcPr>
          <w:p>
            <w:pPr>
              <w:pStyle w:val="TableParagraph"/>
              <w:spacing w:before="141"/>
              <w:rPr>
                <w:sz w:val="20"/>
              </w:rPr>
            </w:pPr>
            <w:r>
              <w:rPr>
                <w:w w:val="120"/>
                <w:sz w:val="20"/>
              </w:rPr>
              <w:t>Decision</w:t>
            </w:r>
          </w:p>
        </w:tc>
      </w:tr>
      <w:tr>
        <w:trPr>
          <w:trHeight w:val="3080" w:hRule="atLeast"/>
        </w:trPr>
        <w:tc>
          <w:tcPr>
            <w:tcW w:w="2660" w:type="dxa"/>
            <w:shd w:val="clear" w:color="auto" w:fill="FFFFFF"/>
          </w:tcPr>
          <w:p>
            <w:pPr>
              <w:pStyle w:val="TableParagraph"/>
              <w:spacing w:before="128"/>
              <w:rPr>
                <w:rFonts w:ascii="Stone Sans II ITC Std Bk"/>
                <w:b/>
                <w:sz w:val="20"/>
              </w:rPr>
            </w:pPr>
            <w:r>
              <w:rPr>
                <w:rFonts w:ascii="Stone Sans II ITC Std Bk"/>
                <w:b/>
                <w:w w:val="110"/>
                <w:sz w:val="20"/>
              </w:rPr>
              <w:t>Draft resolution(s)</w:t>
            </w:r>
          </w:p>
        </w:tc>
        <w:tc>
          <w:tcPr>
            <w:tcW w:w="6582" w:type="dxa"/>
            <w:shd w:val="clear" w:color="auto" w:fill="FFFFFF"/>
          </w:tcPr>
          <w:p>
            <w:pPr>
              <w:pStyle w:val="TableParagraph"/>
              <w:numPr>
                <w:ilvl w:val="0"/>
                <w:numId w:val="31"/>
              </w:numPr>
              <w:tabs>
                <w:tab w:pos="760" w:val="left" w:leader="none"/>
                <w:tab w:pos="761" w:val="left" w:leader="none"/>
              </w:tabs>
              <w:spacing w:line="213" w:lineRule="auto" w:before="151" w:after="0"/>
              <w:ind w:left="80" w:right="299" w:firstLine="0"/>
              <w:jc w:val="left"/>
              <w:rPr>
                <w:rFonts w:ascii="Stone Sans II ITC Std Bk"/>
                <w:b/>
                <w:sz w:val="20"/>
              </w:rPr>
            </w:pPr>
            <w:r>
              <w:rPr>
                <w:rFonts w:ascii="Stone Sans II ITC Std Bk"/>
                <w:b/>
                <w:w w:val="110"/>
                <w:sz w:val="20"/>
              </w:rPr>
              <w:t>In order that the </w:t>
            </w:r>
            <w:r>
              <w:rPr>
                <w:rFonts w:ascii="Stone Sans II ITC Std Bk"/>
                <w:b/>
                <w:i/>
                <w:w w:val="110"/>
                <w:sz w:val="20"/>
              </w:rPr>
              <w:t>Book of </w:t>
            </w:r>
            <w:r>
              <w:rPr>
                <w:rFonts w:ascii="Stone Sans II ITC Std Bk"/>
                <w:b/>
                <w:i/>
                <w:spacing w:val="2"/>
                <w:w w:val="110"/>
                <w:sz w:val="20"/>
              </w:rPr>
              <w:t>Reports </w:t>
            </w:r>
            <w:r>
              <w:rPr>
                <w:rFonts w:ascii="Stone Sans II ITC Std Bk"/>
                <w:b/>
                <w:w w:val="110"/>
                <w:sz w:val="20"/>
              </w:rPr>
              <w:t>should be as accessible as possible, General Assembly requests that every </w:t>
            </w:r>
            <w:r>
              <w:rPr>
                <w:rFonts w:ascii="Stone Sans II ITC Std Bk"/>
                <w:b/>
                <w:spacing w:val="2"/>
                <w:w w:val="110"/>
                <w:sz w:val="20"/>
              </w:rPr>
              <w:t>report </w:t>
            </w:r>
            <w:r>
              <w:rPr>
                <w:rFonts w:ascii="Stone Sans II ITC Std Bk"/>
                <w:b/>
                <w:w w:val="110"/>
                <w:sz w:val="20"/>
              </w:rPr>
              <w:t>on which a decision is invited should include a summary of its main points in not more than 250 words on a cover sheet. Assembly gives to the General Secretary, as </w:t>
            </w:r>
            <w:r>
              <w:rPr>
                <w:rFonts w:ascii="Stone Sans II ITC Std Bk"/>
                <w:b/>
                <w:spacing w:val="-3"/>
                <w:w w:val="110"/>
                <w:sz w:val="20"/>
              </w:rPr>
              <w:t>editor, </w:t>
            </w:r>
            <w:r>
              <w:rPr>
                <w:rFonts w:ascii="Stone Sans II ITC Std Bk"/>
                <w:b/>
                <w:w w:val="110"/>
                <w:sz w:val="20"/>
              </w:rPr>
              <w:t>authority to vary this guideline in appropriately exceptional</w:t>
            </w:r>
            <w:r>
              <w:rPr>
                <w:rFonts w:ascii="Stone Sans II ITC Std Bk"/>
                <w:b/>
                <w:spacing w:val="-1"/>
                <w:w w:val="110"/>
                <w:sz w:val="20"/>
              </w:rPr>
              <w:t> </w:t>
            </w:r>
            <w:r>
              <w:rPr>
                <w:rFonts w:ascii="Stone Sans II ITC Std Bk"/>
                <w:b/>
                <w:w w:val="110"/>
                <w:sz w:val="20"/>
              </w:rPr>
              <w:t>cases.</w:t>
            </w:r>
          </w:p>
          <w:p>
            <w:pPr>
              <w:pStyle w:val="TableParagraph"/>
              <w:spacing w:before="5"/>
              <w:ind w:left="0"/>
              <w:rPr>
                <w:rFonts w:ascii="Stone Sans II ITC Std Bk"/>
                <w:b/>
                <w:sz w:val="17"/>
              </w:rPr>
            </w:pPr>
          </w:p>
          <w:p>
            <w:pPr>
              <w:pStyle w:val="TableParagraph"/>
              <w:numPr>
                <w:ilvl w:val="0"/>
                <w:numId w:val="31"/>
              </w:numPr>
              <w:tabs>
                <w:tab w:pos="760" w:val="left" w:leader="none"/>
                <w:tab w:pos="761" w:val="left" w:leader="none"/>
              </w:tabs>
              <w:spacing w:line="213" w:lineRule="auto" w:before="0" w:after="0"/>
              <w:ind w:left="80" w:right="283" w:firstLine="0"/>
              <w:jc w:val="left"/>
              <w:rPr>
                <w:rFonts w:ascii="Stone Sans II ITC Std Bk"/>
                <w:b/>
                <w:sz w:val="20"/>
              </w:rPr>
            </w:pPr>
            <w:r>
              <w:rPr>
                <w:rFonts w:ascii="Stone Sans II ITC Std Bk"/>
                <w:b/>
                <w:w w:val="110"/>
                <w:sz w:val="20"/>
              </w:rPr>
              <w:t>Assembly agrees that the General Assembly in </w:t>
            </w:r>
            <w:r>
              <w:rPr>
                <w:rFonts w:ascii="Stone Sans II ITC Std Bk"/>
                <w:b/>
                <w:spacing w:val="-5"/>
                <w:w w:val="110"/>
                <w:sz w:val="20"/>
              </w:rPr>
              <w:t>2018 </w:t>
            </w:r>
            <w:r>
              <w:rPr>
                <w:rFonts w:ascii="Stone Sans II ITC Std Bk"/>
                <w:b/>
                <w:w w:val="110"/>
                <w:sz w:val="20"/>
              </w:rPr>
              <w:t>will meet in the </w:t>
            </w:r>
            <w:r>
              <w:rPr>
                <w:rFonts w:ascii="Stone Sans II ITC Std Bk"/>
                <w:b/>
                <w:spacing w:val="2"/>
                <w:w w:val="110"/>
                <w:sz w:val="20"/>
              </w:rPr>
              <w:t>Albert </w:t>
            </w:r>
            <w:r>
              <w:rPr>
                <w:rFonts w:ascii="Stone Sans II ITC Std Bk"/>
                <w:b/>
                <w:w w:val="110"/>
                <w:sz w:val="20"/>
              </w:rPr>
              <w:t>Hall, Nottingham from 6 to 9 July </w:t>
            </w:r>
            <w:r>
              <w:rPr>
                <w:rFonts w:ascii="Stone Sans II ITC Std Bk"/>
                <w:b/>
                <w:spacing w:val="-5"/>
                <w:w w:val="110"/>
                <w:sz w:val="20"/>
              </w:rPr>
              <w:t>2018 </w:t>
            </w:r>
            <w:r>
              <w:rPr>
                <w:rFonts w:ascii="Stone Sans II ITC Std Bk"/>
                <w:b/>
                <w:w w:val="110"/>
                <w:sz w:val="20"/>
              </w:rPr>
              <w:t>or at such other place or on such other date as may be</w:t>
            </w:r>
            <w:r>
              <w:rPr>
                <w:rFonts w:ascii="Stone Sans II ITC Std Bk"/>
                <w:b/>
                <w:spacing w:val="-1"/>
                <w:w w:val="110"/>
                <w:sz w:val="20"/>
              </w:rPr>
              <w:t> </w:t>
            </w:r>
            <w:r>
              <w:rPr>
                <w:rFonts w:ascii="Stone Sans II ITC Std Bk"/>
                <w:b/>
                <w:w w:val="110"/>
                <w:sz w:val="20"/>
              </w:rPr>
              <w:t>necessary.</w:t>
            </w:r>
          </w:p>
        </w:tc>
      </w:tr>
    </w:tbl>
    <w:p>
      <w:pPr>
        <w:pStyle w:val="BodyText"/>
        <w:spacing w:before="3"/>
        <w:rPr>
          <w:rFonts w:ascii="Stone Sans II ITC Std Bk"/>
          <w:b/>
          <w:sz w:val="29"/>
        </w:rPr>
      </w:pPr>
    </w:p>
    <w:p>
      <w:pPr>
        <w:pStyle w:val="Heading4"/>
        <w:ind w:left="547"/>
      </w:pPr>
      <w:r>
        <w:rPr>
          <w:color w:val="7F7F7F"/>
        </w:rPr>
        <w:t>Summary of Content</w:t>
      </w:r>
    </w:p>
    <w:tbl>
      <w:tblPr>
        <w:tblW w:w="0" w:type="auto"/>
        <w:jc w:val="left"/>
        <w:tblInd w:w="55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660"/>
        <w:gridCol w:w="6582"/>
      </w:tblGrid>
      <w:tr>
        <w:trPr>
          <w:trHeight w:val="920" w:hRule="atLeast"/>
        </w:trPr>
        <w:tc>
          <w:tcPr>
            <w:tcW w:w="2660" w:type="dxa"/>
            <w:shd w:val="clear" w:color="auto" w:fill="FFFFFF"/>
          </w:tcPr>
          <w:p>
            <w:pPr>
              <w:pStyle w:val="TableParagraph"/>
              <w:spacing w:before="128"/>
              <w:rPr>
                <w:rFonts w:ascii="Stone Sans II ITC Std Bk"/>
                <w:b/>
                <w:sz w:val="20"/>
              </w:rPr>
            </w:pPr>
            <w:r>
              <w:rPr>
                <w:rFonts w:ascii="Stone Sans II ITC Std Bk"/>
                <w:b/>
                <w:w w:val="110"/>
                <w:sz w:val="20"/>
              </w:rPr>
              <w:t>Subject and aim(s)</w:t>
            </w:r>
          </w:p>
        </w:tc>
        <w:tc>
          <w:tcPr>
            <w:tcW w:w="6582" w:type="dxa"/>
            <w:shd w:val="clear" w:color="auto" w:fill="FFFFFF"/>
          </w:tcPr>
          <w:p>
            <w:pPr>
              <w:pStyle w:val="TableParagraph"/>
              <w:numPr>
                <w:ilvl w:val="0"/>
                <w:numId w:val="32"/>
              </w:numPr>
              <w:tabs>
                <w:tab w:pos="760" w:val="left" w:leader="none"/>
                <w:tab w:pos="761" w:val="left" w:leader="none"/>
              </w:tabs>
              <w:spacing w:line="242" w:lineRule="exact" w:before="141" w:after="0"/>
              <w:ind w:left="760" w:right="0" w:hanging="681"/>
              <w:jc w:val="left"/>
              <w:rPr>
                <w:sz w:val="20"/>
              </w:rPr>
            </w:pPr>
            <w:r>
              <w:rPr>
                <w:spacing w:val="-7"/>
                <w:w w:val="120"/>
                <w:sz w:val="20"/>
              </w:rPr>
              <w:t>To </w:t>
            </w:r>
            <w:r>
              <w:rPr>
                <w:w w:val="120"/>
                <w:sz w:val="20"/>
              </w:rPr>
              <w:t>appoint a venue for the </w:t>
            </w:r>
            <w:r>
              <w:rPr>
                <w:spacing w:val="-6"/>
                <w:w w:val="120"/>
                <w:sz w:val="20"/>
              </w:rPr>
              <w:t>2018</w:t>
            </w:r>
            <w:r>
              <w:rPr>
                <w:spacing w:val="27"/>
                <w:w w:val="120"/>
                <w:sz w:val="20"/>
              </w:rPr>
              <w:t> </w:t>
            </w:r>
            <w:r>
              <w:rPr>
                <w:w w:val="120"/>
                <w:sz w:val="20"/>
              </w:rPr>
              <w:t>Assembly</w:t>
            </w:r>
          </w:p>
          <w:p>
            <w:pPr>
              <w:pStyle w:val="TableParagraph"/>
              <w:numPr>
                <w:ilvl w:val="0"/>
                <w:numId w:val="32"/>
              </w:numPr>
              <w:tabs>
                <w:tab w:pos="760" w:val="left" w:leader="none"/>
                <w:tab w:pos="761" w:val="left" w:leader="none"/>
              </w:tabs>
              <w:spacing w:line="235" w:lineRule="auto" w:before="2" w:after="0"/>
              <w:ind w:left="80" w:right="1189" w:firstLine="0"/>
              <w:jc w:val="left"/>
              <w:rPr>
                <w:sz w:val="20"/>
              </w:rPr>
            </w:pPr>
            <w:r>
              <w:rPr>
                <w:spacing w:val="-7"/>
                <w:w w:val="120"/>
                <w:sz w:val="20"/>
              </w:rPr>
              <w:t>To </w:t>
            </w:r>
            <w:r>
              <w:rPr>
                <w:w w:val="120"/>
                <w:sz w:val="20"/>
              </w:rPr>
              <w:t>consider and possibly reduce the amount of preparatory reading required of</w:t>
            </w:r>
            <w:r>
              <w:rPr>
                <w:spacing w:val="14"/>
                <w:w w:val="120"/>
                <w:sz w:val="20"/>
              </w:rPr>
              <w:t> </w:t>
            </w:r>
            <w:r>
              <w:rPr>
                <w:w w:val="120"/>
                <w:sz w:val="20"/>
              </w:rPr>
              <w:t>members.</w:t>
            </w:r>
          </w:p>
        </w:tc>
      </w:tr>
      <w:tr>
        <w:trPr>
          <w:trHeight w:val="440" w:hRule="atLeast"/>
        </w:trPr>
        <w:tc>
          <w:tcPr>
            <w:tcW w:w="2660" w:type="dxa"/>
            <w:shd w:val="clear" w:color="auto" w:fill="FFFFFF"/>
          </w:tcPr>
          <w:p>
            <w:pPr>
              <w:pStyle w:val="TableParagraph"/>
              <w:spacing w:before="128"/>
              <w:rPr>
                <w:rFonts w:ascii="Stone Sans II ITC Std Bk"/>
                <w:b/>
                <w:sz w:val="20"/>
              </w:rPr>
            </w:pPr>
            <w:r>
              <w:rPr>
                <w:rFonts w:ascii="Stone Sans II ITC Std Bk"/>
                <w:b/>
                <w:w w:val="110"/>
                <w:sz w:val="20"/>
              </w:rPr>
              <w:t>Main points</w:t>
            </w:r>
          </w:p>
        </w:tc>
        <w:tc>
          <w:tcPr>
            <w:tcW w:w="6582" w:type="dxa"/>
            <w:shd w:val="clear" w:color="auto" w:fill="FFFFFF"/>
          </w:tcPr>
          <w:p>
            <w:pPr>
              <w:pStyle w:val="TableParagraph"/>
              <w:spacing w:before="141"/>
              <w:rPr>
                <w:sz w:val="20"/>
              </w:rPr>
            </w:pPr>
            <w:r>
              <w:rPr>
                <w:w w:val="120"/>
                <w:sz w:val="20"/>
              </w:rPr>
              <w:t>As above</w:t>
            </w:r>
          </w:p>
        </w:tc>
      </w:tr>
      <w:tr>
        <w:trPr>
          <w:trHeight w:val="680" w:hRule="atLeast"/>
        </w:trPr>
        <w:tc>
          <w:tcPr>
            <w:tcW w:w="2660" w:type="dxa"/>
            <w:shd w:val="clear" w:color="auto" w:fill="FFFFFF"/>
          </w:tcPr>
          <w:p>
            <w:pPr>
              <w:pStyle w:val="TableParagraph"/>
              <w:spacing w:line="213" w:lineRule="auto" w:before="151"/>
              <w:ind w:right="701"/>
              <w:rPr>
                <w:rFonts w:ascii="Stone Sans II ITC Std Bk"/>
                <w:b/>
                <w:sz w:val="20"/>
              </w:rPr>
            </w:pPr>
            <w:r>
              <w:rPr>
                <w:rFonts w:ascii="Stone Sans II ITC Std Bk"/>
                <w:b/>
                <w:w w:val="110"/>
                <w:sz w:val="20"/>
              </w:rPr>
              <w:t>Previous relevant documents</w:t>
            </w:r>
          </w:p>
        </w:tc>
        <w:tc>
          <w:tcPr>
            <w:tcW w:w="6582" w:type="dxa"/>
            <w:shd w:val="clear" w:color="auto" w:fill="FFFFFF"/>
          </w:tcPr>
          <w:p>
            <w:pPr>
              <w:pStyle w:val="TableParagraph"/>
              <w:spacing w:before="141"/>
              <w:rPr>
                <w:sz w:val="20"/>
              </w:rPr>
            </w:pPr>
            <w:r>
              <w:rPr>
                <w:w w:val="120"/>
                <w:sz w:val="20"/>
              </w:rPr>
              <w:t>None</w:t>
            </w:r>
          </w:p>
        </w:tc>
      </w:tr>
      <w:tr>
        <w:trPr>
          <w:trHeight w:val="680" w:hRule="atLeast"/>
        </w:trPr>
        <w:tc>
          <w:tcPr>
            <w:tcW w:w="2660" w:type="dxa"/>
            <w:shd w:val="clear" w:color="auto" w:fill="FFFFFF"/>
          </w:tcPr>
          <w:p>
            <w:pPr>
              <w:pStyle w:val="TableParagraph"/>
              <w:spacing w:line="213" w:lineRule="auto" w:before="151"/>
              <w:ind w:right="104"/>
              <w:rPr>
                <w:rFonts w:ascii="Stone Sans II ITC Std Bk"/>
                <w:b/>
                <w:sz w:val="20"/>
              </w:rPr>
            </w:pPr>
            <w:r>
              <w:rPr>
                <w:rFonts w:ascii="Stone Sans II ITC Std Bk"/>
                <w:b/>
                <w:w w:val="110"/>
                <w:sz w:val="20"/>
              </w:rPr>
              <w:t>Consultation has taken place with...</w:t>
            </w:r>
          </w:p>
        </w:tc>
        <w:tc>
          <w:tcPr>
            <w:tcW w:w="6582" w:type="dxa"/>
            <w:shd w:val="clear" w:color="auto" w:fill="FFFFFF"/>
          </w:tcPr>
          <w:p>
            <w:pPr>
              <w:pStyle w:val="TableParagraph"/>
              <w:spacing w:before="141"/>
              <w:rPr>
                <w:sz w:val="20"/>
              </w:rPr>
            </w:pPr>
            <w:r>
              <w:rPr>
                <w:w w:val="120"/>
                <w:sz w:val="20"/>
              </w:rPr>
              <w:t>The Assembly arrangements committee</w:t>
            </w:r>
          </w:p>
        </w:tc>
      </w:tr>
    </w:tbl>
    <w:p>
      <w:pPr>
        <w:pStyle w:val="BodyText"/>
        <w:spacing w:before="4"/>
        <w:rPr>
          <w:rFonts w:ascii="Stone Sans II ITC Std Bk"/>
          <w:b/>
          <w:sz w:val="29"/>
        </w:rPr>
      </w:pPr>
    </w:p>
    <w:p>
      <w:pPr>
        <w:pStyle w:val="Heading4"/>
        <w:ind w:left="547"/>
      </w:pPr>
      <w:r>
        <w:rPr>
          <w:color w:val="7F7F7F"/>
        </w:rPr>
        <w:t>Summary of Impact</w:t>
      </w:r>
    </w:p>
    <w:tbl>
      <w:tblPr>
        <w:tblW w:w="0" w:type="auto"/>
        <w:jc w:val="left"/>
        <w:tblInd w:w="55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660"/>
        <w:gridCol w:w="6582"/>
      </w:tblGrid>
      <w:tr>
        <w:trPr>
          <w:trHeight w:val="440" w:hRule="atLeast"/>
        </w:trPr>
        <w:tc>
          <w:tcPr>
            <w:tcW w:w="2660" w:type="dxa"/>
            <w:shd w:val="clear" w:color="auto" w:fill="FFFFFF"/>
          </w:tcPr>
          <w:p>
            <w:pPr>
              <w:pStyle w:val="TableParagraph"/>
              <w:spacing w:before="128"/>
              <w:rPr>
                <w:rFonts w:ascii="Stone Sans II ITC Std Bk"/>
                <w:b/>
                <w:sz w:val="20"/>
              </w:rPr>
            </w:pPr>
            <w:r>
              <w:rPr>
                <w:rFonts w:ascii="Stone Sans II ITC Std Bk"/>
                <w:b/>
                <w:w w:val="110"/>
                <w:sz w:val="20"/>
              </w:rPr>
              <w:t>Financial</w:t>
            </w:r>
          </w:p>
        </w:tc>
        <w:tc>
          <w:tcPr>
            <w:tcW w:w="6582" w:type="dxa"/>
            <w:shd w:val="clear" w:color="auto" w:fill="FFFFFF"/>
          </w:tcPr>
          <w:p>
            <w:pPr>
              <w:pStyle w:val="TableParagraph"/>
              <w:spacing w:before="141"/>
              <w:rPr>
                <w:sz w:val="20"/>
              </w:rPr>
            </w:pPr>
            <w:r>
              <w:rPr>
                <w:w w:val="120"/>
                <w:sz w:val="20"/>
              </w:rPr>
              <w:t>None</w:t>
            </w:r>
          </w:p>
        </w:tc>
      </w:tr>
      <w:tr>
        <w:trPr>
          <w:trHeight w:val="680" w:hRule="atLeast"/>
        </w:trPr>
        <w:tc>
          <w:tcPr>
            <w:tcW w:w="2660" w:type="dxa"/>
            <w:shd w:val="clear" w:color="auto" w:fill="FFFFFF"/>
          </w:tcPr>
          <w:p>
            <w:pPr>
              <w:pStyle w:val="TableParagraph"/>
              <w:spacing w:line="255" w:lineRule="exact" w:before="128"/>
              <w:rPr>
                <w:rFonts w:ascii="Stone Sans II ITC Std Bk"/>
                <w:b/>
                <w:sz w:val="20"/>
              </w:rPr>
            </w:pPr>
            <w:r>
              <w:rPr>
                <w:rFonts w:ascii="Stone Sans II ITC Std Bk"/>
                <w:b/>
                <w:w w:val="110"/>
                <w:sz w:val="20"/>
              </w:rPr>
              <w:t>External</w:t>
            </w:r>
          </w:p>
          <w:p>
            <w:pPr>
              <w:pStyle w:val="TableParagraph"/>
              <w:spacing w:line="255" w:lineRule="exact"/>
              <w:rPr>
                <w:rFonts w:ascii="Stone Sans II ITC Std Bk"/>
                <w:b/>
                <w:sz w:val="20"/>
              </w:rPr>
            </w:pPr>
            <w:r>
              <w:rPr>
                <w:rFonts w:ascii="Stone Sans II ITC Std Bk"/>
                <w:b/>
                <w:w w:val="110"/>
                <w:sz w:val="20"/>
              </w:rPr>
              <w:t>(e.g. ecumenical)</w:t>
            </w:r>
          </w:p>
        </w:tc>
        <w:tc>
          <w:tcPr>
            <w:tcW w:w="6582" w:type="dxa"/>
            <w:shd w:val="clear" w:color="auto" w:fill="FFFFFF"/>
          </w:tcPr>
          <w:p>
            <w:pPr>
              <w:pStyle w:val="TableParagraph"/>
              <w:spacing w:before="141"/>
              <w:rPr>
                <w:sz w:val="20"/>
              </w:rPr>
            </w:pPr>
            <w:r>
              <w:rPr>
                <w:w w:val="125"/>
                <w:sz w:val="20"/>
              </w:rPr>
              <w:t>None.</w:t>
            </w:r>
          </w:p>
        </w:tc>
      </w:tr>
    </w:tbl>
    <w:p>
      <w:pPr>
        <w:pStyle w:val="BodyText"/>
        <w:rPr>
          <w:rFonts w:ascii="Stone Sans II ITC Std Bk"/>
          <w:b/>
          <w:sz w:val="30"/>
        </w:rPr>
      </w:pPr>
    </w:p>
    <w:p>
      <w:pPr>
        <w:pStyle w:val="BodyText"/>
        <w:rPr>
          <w:rFonts w:ascii="Stone Sans II ITC Std Bk"/>
          <w:b/>
          <w:sz w:val="30"/>
        </w:rPr>
      </w:pPr>
    </w:p>
    <w:p>
      <w:pPr>
        <w:pStyle w:val="BodyText"/>
        <w:rPr>
          <w:rFonts w:ascii="Stone Sans II ITC Std Bk"/>
          <w:b/>
          <w:sz w:val="30"/>
        </w:rPr>
      </w:pPr>
    </w:p>
    <w:p>
      <w:pPr>
        <w:pStyle w:val="BodyText"/>
        <w:rPr>
          <w:rFonts w:ascii="Stone Sans II ITC Std Bk"/>
          <w:b/>
          <w:sz w:val="30"/>
        </w:rPr>
      </w:pPr>
    </w:p>
    <w:p>
      <w:pPr>
        <w:pStyle w:val="BodyText"/>
        <w:spacing w:before="1"/>
        <w:rPr>
          <w:rFonts w:ascii="Stone Sans II ITC Std Bk"/>
          <w:b/>
          <w:sz w:val="34"/>
        </w:rPr>
      </w:pPr>
    </w:p>
    <w:p>
      <w:pPr>
        <w:pStyle w:val="Heading6"/>
        <w:spacing w:before="0"/>
        <w:ind w:left="547"/>
      </w:pPr>
      <w:r>
        <w:rPr>
          <w:rFonts w:ascii="Stone Sans II ITC Std X Bd" w:hAnsi="Stone Sans II ITC Std X Bd"/>
          <w:b/>
          <w:w w:val="110"/>
          <w:sz w:val="24"/>
        </w:rPr>
        <w:t>50 </w:t>
      </w:r>
      <w:r>
        <w:rPr>
          <w:rFonts w:ascii="Symbol" w:hAnsi="Symbol"/>
          <w:color w:val="7EAABF"/>
          <w:w w:val="110"/>
        </w:rPr>
        <w:t></w:t>
      </w:r>
      <w:r>
        <w:rPr>
          <w:rFonts w:ascii="Times New Roman" w:hAnsi="Times New Roman"/>
          <w:color w:val="7EAABF"/>
          <w:w w:val="110"/>
        </w:rPr>
        <w:t> </w:t>
      </w:r>
      <w:r>
        <w:rPr>
          <w:color w:val="7EAABF"/>
          <w:w w:val="110"/>
        </w:rPr>
        <w:t>United Reformed Church </w:t>
      </w:r>
      <w:r>
        <w:rPr>
          <w:rFonts w:ascii="Symbol" w:hAnsi="Symbol"/>
          <w:color w:val="7EAABF"/>
          <w:w w:val="110"/>
        </w:rPr>
        <w:t></w:t>
      </w:r>
      <w:r>
        <w:rPr>
          <w:rFonts w:ascii="Times New Roman" w:hAnsi="Times New Roman"/>
          <w:color w:val="7EAABF"/>
          <w:w w:val="110"/>
        </w:rPr>
        <w:t> </w:t>
      </w:r>
      <w:r>
        <w:rPr>
          <w:color w:val="7EAABF"/>
          <w:w w:val="110"/>
        </w:rPr>
        <w:t>General Assembly 2016</w:t>
      </w:r>
    </w:p>
    <w:p>
      <w:pPr>
        <w:spacing w:after="0"/>
        <w:sectPr>
          <w:headerReference w:type="even" r:id="rId182"/>
          <w:footerReference w:type="even" r:id="rId183"/>
          <w:pgSz w:w="11910" w:h="16840"/>
          <w:pgMar w:header="0" w:footer="0" w:top="0" w:bottom="0" w:left="700" w:right="0"/>
        </w:sectPr>
      </w:pPr>
    </w:p>
    <w:p>
      <w:pPr>
        <w:pStyle w:val="BodyText"/>
      </w:pPr>
      <w:r>
        <w:rPr/>
        <w:drawing>
          <wp:anchor distT="0" distB="0" distL="0" distR="0" allowOverlap="1" layoutInCell="1" locked="0" behindDoc="0" simplePos="0" relativeHeight="251791360">
            <wp:simplePos x="0" y="0"/>
            <wp:positionH relativeFrom="page">
              <wp:posOffset>6974928</wp:posOffset>
            </wp:positionH>
            <wp:positionV relativeFrom="page">
              <wp:posOffset>0</wp:posOffset>
            </wp:positionV>
            <wp:extent cx="585063" cy="10692003"/>
            <wp:effectExtent l="0" t="0" r="0" b="0"/>
            <wp:wrapNone/>
            <wp:docPr id="87" name="image54.png"/>
            <wp:cNvGraphicFramePr>
              <a:graphicFrameLocks noChangeAspect="1"/>
            </wp:cNvGraphicFramePr>
            <a:graphic>
              <a:graphicData uri="http://schemas.openxmlformats.org/drawingml/2006/picture">
                <pic:pic>
                  <pic:nvPicPr>
                    <pic:cNvPr id="88" name="image54.png"/>
                    <pic:cNvPicPr/>
                  </pic:nvPicPr>
                  <pic:blipFill>
                    <a:blip r:embed="rId169" cstate="print"/>
                    <a:stretch>
                      <a:fillRect/>
                    </a:stretch>
                  </pic:blipFill>
                  <pic:spPr>
                    <a:xfrm>
                      <a:off x="0" y="0"/>
                      <a:ext cx="585063" cy="10692003"/>
                    </a:xfrm>
                    <a:prstGeom prst="rect">
                      <a:avLst/>
                    </a:prstGeom>
                  </pic:spPr>
                </pic:pic>
              </a:graphicData>
            </a:graphic>
          </wp:anchor>
        </w:drawing>
      </w:r>
    </w:p>
    <w:p>
      <w:pPr>
        <w:pStyle w:val="BodyText"/>
      </w:pPr>
    </w:p>
    <w:p>
      <w:pPr>
        <w:pStyle w:val="BodyText"/>
      </w:pPr>
    </w:p>
    <w:p>
      <w:pPr>
        <w:pStyle w:val="BodyText"/>
        <w:spacing w:before="5"/>
        <w:rPr>
          <w:sz w:val="28"/>
        </w:rPr>
      </w:pPr>
    </w:p>
    <w:p>
      <w:pPr>
        <w:spacing w:line="213" w:lineRule="auto" w:before="153"/>
        <w:ind w:left="1284" w:right="3247" w:firstLine="0"/>
        <w:jc w:val="left"/>
        <w:rPr>
          <w:rFonts w:ascii="Stone Sans II ITC Std X Bd"/>
          <w:b/>
          <w:sz w:val="50"/>
        </w:rPr>
      </w:pPr>
      <w:r>
        <w:rPr/>
        <w:pict>
          <v:shape style="position:absolute;margin-left:554.141174pt;margin-top:-5.989334pt;width:25.9pt;height:243.3pt;mso-position-horizontal-relative:page;mso-position-vertical-relative:paragraph;z-index:251793408" type="#_x0000_t202" filled="false" stroked="false">
            <v:textbox inset="0,0,0,0" style="layout-flow:vertical">
              <w:txbxContent>
                <w:p>
                  <w:pPr>
                    <w:spacing w:before="27"/>
                    <w:ind w:left="20" w:right="0" w:firstLine="0"/>
                    <w:jc w:val="left"/>
                    <w:rPr>
                      <w:sz w:val="39"/>
                    </w:rPr>
                  </w:pPr>
                  <w:r>
                    <w:rPr>
                      <w:color w:val="FFFFFF"/>
                      <w:w w:val="120"/>
                      <w:sz w:val="39"/>
                    </w:rPr>
                    <w:t>Assembly arrangements</w:t>
                  </w:r>
                </w:p>
              </w:txbxContent>
            </v:textbox>
            <w10:wrap type="none"/>
          </v:shape>
        </w:pict>
      </w:r>
      <w:r>
        <w:rPr>
          <w:rFonts w:ascii="Stone Sans II ITC Std X Bd"/>
          <w:b/>
          <w:w w:val="110"/>
          <w:sz w:val="50"/>
        </w:rPr>
        <w:t>Assembly arrangements committee</w:t>
      </w:r>
    </w:p>
    <w:p>
      <w:pPr>
        <w:spacing w:line="237" w:lineRule="auto" w:before="148"/>
        <w:ind w:left="1511" w:right="6566" w:firstLine="0"/>
        <w:jc w:val="left"/>
        <w:rPr>
          <w:sz w:val="18"/>
        </w:rPr>
      </w:pPr>
      <w:r>
        <w:rPr/>
        <w:pict>
          <v:line style="position:absolute;mso-position-horizontal-relative:page;mso-position-vertical-relative:paragraph;z-index:251792384" from="99.212601pt,8.904166pt" to="99.212601pt,67.250166pt" stroked="true" strokeweight="2pt" strokecolor="#0090d4">
            <v:stroke dashstyle="solid"/>
            <w10:wrap type="none"/>
          </v:line>
        </w:pict>
      </w:r>
      <w:r>
        <w:rPr>
          <w:rFonts w:ascii="Stone Sans II ITC Std Bk"/>
          <w:b/>
          <w:color w:val="707172"/>
          <w:w w:val="115"/>
          <w:sz w:val="18"/>
        </w:rPr>
        <w:t>Committee members Convenor: </w:t>
      </w:r>
      <w:r>
        <w:rPr>
          <w:color w:val="707172"/>
          <w:w w:val="115"/>
          <w:sz w:val="18"/>
        </w:rPr>
        <w:t>The Revd James Breslin </w:t>
      </w:r>
      <w:r>
        <w:rPr>
          <w:rFonts w:ascii="Stone Sans II ITC Std Bk"/>
          <w:b/>
          <w:color w:val="707172"/>
          <w:w w:val="115"/>
          <w:sz w:val="18"/>
        </w:rPr>
        <w:t>Secretary: </w:t>
      </w:r>
      <w:r>
        <w:rPr>
          <w:color w:val="707172"/>
          <w:w w:val="115"/>
          <w:sz w:val="18"/>
        </w:rPr>
        <w:t>Ann Barton</w:t>
      </w:r>
    </w:p>
    <w:p>
      <w:pPr>
        <w:spacing w:line="247" w:lineRule="auto" w:before="0"/>
        <w:ind w:left="1511" w:right="2419" w:firstLine="0"/>
        <w:jc w:val="left"/>
        <w:rPr>
          <w:sz w:val="18"/>
        </w:rPr>
      </w:pPr>
      <w:r>
        <w:rPr>
          <w:rFonts w:ascii="Stone Sans II ITC Std Bk"/>
          <w:b/>
          <w:color w:val="707172"/>
          <w:w w:val="120"/>
          <w:sz w:val="18"/>
        </w:rPr>
        <w:t>Members: </w:t>
      </w:r>
      <w:r>
        <w:rPr>
          <w:color w:val="707172"/>
          <w:w w:val="120"/>
          <w:sz w:val="18"/>
        </w:rPr>
        <w:t>Moderators, Moderators-elect, General Secretary, Clerk to Assembly, Convenor of local arrangements committee for the relevant year.</w:t>
      </w:r>
    </w:p>
    <w:p>
      <w:pPr>
        <w:pStyle w:val="BodyText"/>
        <w:rPr>
          <w:sz w:val="22"/>
        </w:rPr>
      </w:pPr>
    </w:p>
    <w:p>
      <w:pPr>
        <w:pStyle w:val="BodyText"/>
        <w:spacing w:before="3"/>
        <w:rPr>
          <w:sz w:val="19"/>
        </w:rPr>
      </w:pPr>
    </w:p>
    <w:p>
      <w:pPr>
        <w:spacing w:before="0"/>
        <w:ind w:left="1284" w:right="0" w:firstLine="0"/>
        <w:jc w:val="left"/>
        <w:rPr>
          <w:rFonts w:ascii="Stone Sans II ITC Std Bk"/>
          <w:b/>
          <w:sz w:val="29"/>
        </w:rPr>
      </w:pPr>
      <w:r>
        <w:rPr>
          <w:rFonts w:ascii="Stone Sans II ITC Std Bk"/>
          <w:b/>
          <w:w w:val="110"/>
          <w:sz w:val="29"/>
        </w:rPr>
        <w:t>General Assembly 2018</w:t>
      </w:r>
    </w:p>
    <w:p>
      <w:pPr>
        <w:pStyle w:val="ListParagraph"/>
        <w:numPr>
          <w:ilvl w:val="0"/>
          <w:numId w:val="33"/>
        </w:numPr>
        <w:tabs>
          <w:tab w:pos="1964" w:val="left" w:leader="none"/>
          <w:tab w:pos="1965" w:val="left" w:leader="none"/>
        </w:tabs>
        <w:spacing w:line="235" w:lineRule="auto" w:before="69" w:after="0"/>
        <w:ind w:left="1284" w:right="1791" w:firstLine="0"/>
        <w:jc w:val="left"/>
        <w:rPr>
          <w:sz w:val="20"/>
        </w:rPr>
      </w:pPr>
      <w:r>
        <w:rPr>
          <w:w w:val="120"/>
          <w:sz w:val="20"/>
        </w:rPr>
        <w:t>The committee brings a resolution that the Assembly of </w:t>
      </w:r>
      <w:r>
        <w:rPr>
          <w:spacing w:val="-6"/>
          <w:w w:val="120"/>
          <w:sz w:val="20"/>
        </w:rPr>
        <w:t>2018 </w:t>
      </w:r>
      <w:r>
        <w:rPr>
          <w:w w:val="120"/>
          <w:sz w:val="20"/>
        </w:rPr>
        <w:t>be held in the </w:t>
      </w:r>
      <w:r>
        <w:rPr>
          <w:spacing w:val="2"/>
          <w:w w:val="120"/>
          <w:sz w:val="20"/>
        </w:rPr>
        <w:t>Albert </w:t>
      </w:r>
      <w:r>
        <w:rPr>
          <w:w w:val="120"/>
          <w:sz w:val="20"/>
        </w:rPr>
        <w:t>Hall, Nottingham from 6 to 9 July</w:t>
      </w:r>
      <w:r>
        <w:rPr>
          <w:spacing w:val="18"/>
          <w:w w:val="120"/>
          <w:sz w:val="20"/>
        </w:rPr>
        <w:t> </w:t>
      </w:r>
      <w:r>
        <w:rPr>
          <w:spacing w:val="-5"/>
          <w:w w:val="120"/>
          <w:sz w:val="20"/>
        </w:rPr>
        <w:t>2018.</w:t>
      </w:r>
    </w:p>
    <w:p>
      <w:pPr>
        <w:pStyle w:val="BodyText"/>
        <w:spacing w:before="1"/>
        <w:rPr>
          <w:sz w:val="22"/>
        </w:rPr>
      </w:pPr>
    </w:p>
    <w:p>
      <w:pPr>
        <w:spacing w:before="1"/>
        <w:ind w:left="1284" w:right="0" w:firstLine="0"/>
        <w:jc w:val="left"/>
        <w:rPr>
          <w:rFonts w:ascii="Stone Sans II ITC Std Bk"/>
          <w:b/>
          <w:sz w:val="29"/>
        </w:rPr>
      </w:pPr>
      <w:r>
        <w:rPr>
          <w:rFonts w:ascii="Stone Sans II ITC Std Bk"/>
          <w:b/>
          <w:spacing w:val="4"/>
          <w:w w:val="110"/>
          <w:sz w:val="29"/>
        </w:rPr>
        <w:t>Special </w:t>
      </w:r>
      <w:r>
        <w:rPr>
          <w:rFonts w:ascii="Stone Sans II ITC Std Bk"/>
          <w:b/>
          <w:spacing w:val="3"/>
          <w:w w:val="110"/>
          <w:sz w:val="29"/>
        </w:rPr>
        <w:t>meeting </w:t>
      </w:r>
      <w:r>
        <w:rPr>
          <w:rFonts w:ascii="Stone Sans II ITC Std Bk"/>
          <w:b/>
          <w:w w:val="110"/>
          <w:sz w:val="29"/>
        </w:rPr>
        <w:t>of </w:t>
      </w:r>
      <w:r>
        <w:rPr>
          <w:rFonts w:ascii="Stone Sans II ITC Std Bk"/>
          <w:b/>
          <w:spacing w:val="4"/>
          <w:w w:val="110"/>
          <w:sz w:val="29"/>
        </w:rPr>
        <w:t>Assembly </w:t>
      </w:r>
      <w:r>
        <w:rPr>
          <w:rFonts w:ascii="Stone Sans II ITC Std Bk"/>
          <w:b/>
          <w:spacing w:val="-7"/>
          <w:w w:val="110"/>
          <w:sz w:val="29"/>
        </w:rPr>
        <w:t>2015</w:t>
      </w:r>
    </w:p>
    <w:p>
      <w:pPr>
        <w:pStyle w:val="ListParagraph"/>
        <w:numPr>
          <w:ilvl w:val="0"/>
          <w:numId w:val="33"/>
        </w:numPr>
        <w:tabs>
          <w:tab w:pos="1964" w:val="left" w:leader="none"/>
          <w:tab w:pos="1965" w:val="left" w:leader="none"/>
        </w:tabs>
        <w:spacing w:line="235" w:lineRule="auto" w:before="69" w:after="0"/>
        <w:ind w:left="1284" w:right="1474" w:firstLine="0"/>
        <w:jc w:val="left"/>
        <w:rPr>
          <w:sz w:val="20"/>
        </w:rPr>
      </w:pPr>
      <w:r>
        <w:rPr>
          <w:w w:val="120"/>
          <w:sz w:val="20"/>
        </w:rPr>
        <w:t>The normal pattern of the committee’s work was disrupted by the decision to hold a special meeting in Birmingham in </w:t>
      </w:r>
      <w:r>
        <w:rPr>
          <w:spacing w:val="-7"/>
          <w:w w:val="120"/>
          <w:sz w:val="20"/>
        </w:rPr>
        <w:t>2015. </w:t>
      </w:r>
      <w:r>
        <w:rPr>
          <w:w w:val="120"/>
          <w:sz w:val="20"/>
        </w:rPr>
        <w:t>This led to a number of </w:t>
      </w:r>
      <w:r>
        <w:rPr>
          <w:spacing w:val="2"/>
          <w:w w:val="120"/>
          <w:sz w:val="20"/>
        </w:rPr>
        <w:t>extra </w:t>
      </w:r>
      <w:r>
        <w:rPr>
          <w:w w:val="120"/>
          <w:sz w:val="20"/>
        </w:rPr>
        <w:t>meetings with a slightly different committee membership. The committee would like to express its thanks to all those, not least the minister and elders of Carrs Lane Church, whose hard</w:t>
      </w:r>
      <w:r>
        <w:rPr>
          <w:spacing w:val="5"/>
          <w:w w:val="120"/>
          <w:sz w:val="20"/>
        </w:rPr>
        <w:t> </w:t>
      </w:r>
      <w:r>
        <w:rPr>
          <w:w w:val="120"/>
          <w:sz w:val="20"/>
        </w:rPr>
        <w:t>work</w:t>
      </w:r>
      <w:r>
        <w:rPr>
          <w:spacing w:val="5"/>
          <w:w w:val="120"/>
          <w:sz w:val="20"/>
        </w:rPr>
        <w:t> </w:t>
      </w:r>
      <w:r>
        <w:rPr>
          <w:w w:val="120"/>
          <w:sz w:val="20"/>
        </w:rPr>
        <w:t>enabled</w:t>
      </w:r>
      <w:r>
        <w:rPr>
          <w:spacing w:val="5"/>
          <w:w w:val="120"/>
          <w:sz w:val="20"/>
        </w:rPr>
        <w:t> </w:t>
      </w:r>
      <w:r>
        <w:rPr>
          <w:w w:val="120"/>
          <w:sz w:val="20"/>
        </w:rPr>
        <w:t>this</w:t>
      </w:r>
      <w:r>
        <w:rPr>
          <w:spacing w:val="5"/>
          <w:w w:val="120"/>
          <w:sz w:val="20"/>
        </w:rPr>
        <w:t> </w:t>
      </w:r>
      <w:r>
        <w:rPr>
          <w:w w:val="120"/>
          <w:sz w:val="20"/>
        </w:rPr>
        <w:t>one-day</w:t>
      </w:r>
      <w:r>
        <w:rPr>
          <w:spacing w:val="5"/>
          <w:w w:val="120"/>
          <w:sz w:val="20"/>
        </w:rPr>
        <w:t> </w:t>
      </w:r>
      <w:r>
        <w:rPr>
          <w:w w:val="120"/>
          <w:sz w:val="20"/>
        </w:rPr>
        <w:t>meeting</w:t>
      </w:r>
      <w:r>
        <w:rPr>
          <w:spacing w:val="6"/>
          <w:w w:val="120"/>
          <w:sz w:val="20"/>
        </w:rPr>
        <w:t> </w:t>
      </w:r>
      <w:r>
        <w:rPr>
          <w:w w:val="120"/>
          <w:sz w:val="20"/>
        </w:rPr>
        <w:t>to</w:t>
      </w:r>
      <w:r>
        <w:rPr>
          <w:spacing w:val="5"/>
          <w:w w:val="120"/>
          <w:sz w:val="20"/>
        </w:rPr>
        <w:t> </w:t>
      </w:r>
      <w:r>
        <w:rPr>
          <w:w w:val="120"/>
          <w:sz w:val="20"/>
        </w:rPr>
        <w:t>be</w:t>
      </w:r>
      <w:r>
        <w:rPr>
          <w:spacing w:val="5"/>
          <w:w w:val="120"/>
          <w:sz w:val="20"/>
        </w:rPr>
        <w:t> </w:t>
      </w:r>
      <w:r>
        <w:rPr>
          <w:w w:val="120"/>
          <w:sz w:val="20"/>
        </w:rPr>
        <w:t>run</w:t>
      </w:r>
      <w:r>
        <w:rPr>
          <w:spacing w:val="5"/>
          <w:w w:val="120"/>
          <w:sz w:val="20"/>
        </w:rPr>
        <w:t> </w:t>
      </w:r>
      <w:r>
        <w:rPr>
          <w:w w:val="120"/>
          <w:sz w:val="20"/>
        </w:rPr>
        <w:t>so</w:t>
      </w:r>
      <w:r>
        <w:rPr>
          <w:spacing w:val="5"/>
          <w:w w:val="120"/>
          <w:sz w:val="20"/>
        </w:rPr>
        <w:t> </w:t>
      </w:r>
      <w:r>
        <w:rPr>
          <w:w w:val="120"/>
          <w:sz w:val="20"/>
        </w:rPr>
        <w:t>efficiently,</w:t>
      </w:r>
      <w:r>
        <w:rPr>
          <w:spacing w:val="6"/>
          <w:w w:val="120"/>
          <w:sz w:val="20"/>
        </w:rPr>
        <w:t> </w:t>
      </w:r>
      <w:r>
        <w:rPr>
          <w:w w:val="120"/>
          <w:sz w:val="20"/>
        </w:rPr>
        <w:t>and</w:t>
      </w:r>
      <w:r>
        <w:rPr>
          <w:spacing w:val="5"/>
          <w:w w:val="120"/>
          <w:sz w:val="20"/>
        </w:rPr>
        <w:t> </w:t>
      </w:r>
      <w:r>
        <w:rPr>
          <w:w w:val="120"/>
          <w:sz w:val="20"/>
        </w:rPr>
        <w:t>on</w:t>
      </w:r>
      <w:r>
        <w:rPr>
          <w:spacing w:val="5"/>
          <w:w w:val="120"/>
          <w:sz w:val="20"/>
        </w:rPr>
        <w:t> </w:t>
      </w:r>
      <w:r>
        <w:rPr>
          <w:w w:val="120"/>
          <w:sz w:val="20"/>
        </w:rPr>
        <w:t>budget.</w:t>
      </w:r>
    </w:p>
    <w:p>
      <w:pPr>
        <w:pStyle w:val="BodyText"/>
        <w:spacing w:before="4"/>
        <w:rPr>
          <w:sz w:val="22"/>
        </w:rPr>
      </w:pPr>
    </w:p>
    <w:p>
      <w:pPr>
        <w:spacing w:before="0"/>
        <w:ind w:left="1284" w:right="0" w:firstLine="0"/>
        <w:jc w:val="left"/>
        <w:rPr>
          <w:rFonts w:ascii="Stone Sans II ITC Std Bk"/>
          <w:b/>
          <w:sz w:val="29"/>
        </w:rPr>
      </w:pPr>
      <w:r>
        <w:rPr>
          <w:rFonts w:ascii="Stone Sans II ITC Std Bk"/>
          <w:b/>
          <w:w w:val="110"/>
          <w:sz w:val="29"/>
        </w:rPr>
        <w:t>Assembly costs</w:t>
      </w:r>
    </w:p>
    <w:p>
      <w:pPr>
        <w:pStyle w:val="ListParagraph"/>
        <w:numPr>
          <w:ilvl w:val="0"/>
          <w:numId w:val="33"/>
        </w:numPr>
        <w:tabs>
          <w:tab w:pos="1964" w:val="left" w:leader="none"/>
          <w:tab w:pos="1965" w:val="left" w:leader="none"/>
        </w:tabs>
        <w:spacing w:line="235" w:lineRule="auto" w:before="69" w:after="0"/>
        <w:ind w:left="1284" w:right="1613" w:firstLine="0"/>
        <w:jc w:val="left"/>
        <w:rPr>
          <w:sz w:val="20"/>
        </w:rPr>
      </w:pPr>
      <w:r>
        <w:rPr>
          <w:w w:val="120"/>
          <w:sz w:val="20"/>
        </w:rPr>
        <w:t>The work of the committee is such that spending decisions are being made and commitments entered into not merely for the forthcoming Assembly but for</w:t>
      </w:r>
      <w:r>
        <w:rPr>
          <w:spacing w:val="42"/>
          <w:w w:val="120"/>
          <w:sz w:val="20"/>
        </w:rPr>
        <w:t> </w:t>
      </w:r>
      <w:r>
        <w:rPr>
          <w:w w:val="120"/>
          <w:sz w:val="20"/>
        </w:rPr>
        <w:t>the</w:t>
      </w:r>
    </w:p>
    <w:p>
      <w:pPr>
        <w:pStyle w:val="BodyText"/>
        <w:spacing w:line="235" w:lineRule="auto" w:before="1"/>
        <w:ind w:left="1284" w:right="1337"/>
      </w:pPr>
      <w:r>
        <w:rPr>
          <w:w w:val="120"/>
        </w:rPr>
        <w:t>following Assembly – and often the one after that. In 2012 the budget of the Assembly was reduced by one third, and while the committee has attempted to reduce its costs accordingly, this has only proved possible by transferring a number of major costs</w:t>
      </w:r>
    </w:p>
    <w:p>
      <w:pPr>
        <w:pStyle w:val="BodyText"/>
        <w:spacing w:line="235" w:lineRule="auto" w:before="3"/>
        <w:ind w:left="1284" w:right="1721"/>
      </w:pPr>
      <w:r>
        <w:rPr>
          <w:w w:val="120"/>
        </w:rPr>
        <w:t>to other budgets. In </w:t>
      </w:r>
      <w:r>
        <w:rPr>
          <w:spacing w:val="-7"/>
          <w:w w:val="120"/>
        </w:rPr>
        <w:t>2014 </w:t>
      </w:r>
      <w:r>
        <w:rPr>
          <w:w w:val="120"/>
        </w:rPr>
        <w:t>the cost of accommodation and travel was only partly met from the Assembly budget, with several synods picking up the </w:t>
      </w:r>
      <w:r>
        <w:rPr>
          <w:spacing w:val="2"/>
          <w:w w:val="120"/>
        </w:rPr>
        <w:t>extra </w:t>
      </w:r>
      <w:r>
        <w:rPr>
          <w:w w:val="120"/>
        </w:rPr>
        <w:t>expense which otherwise fell upon the individual members. For </w:t>
      </w:r>
      <w:r>
        <w:rPr>
          <w:spacing w:val="-6"/>
          <w:w w:val="120"/>
        </w:rPr>
        <w:t>2016,  </w:t>
      </w:r>
      <w:r>
        <w:rPr>
          <w:w w:val="120"/>
        </w:rPr>
        <w:t>the Assembly budget will    pay</w:t>
      </w:r>
      <w:r>
        <w:rPr>
          <w:spacing w:val="5"/>
          <w:w w:val="120"/>
        </w:rPr>
        <w:t> </w:t>
      </w:r>
      <w:r>
        <w:rPr>
          <w:w w:val="120"/>
        </w:rPr>
        <w:t>the</w:t>
      </w:r>
      <w:r>
        <w:rPr>
          <w:spacing w:val="5"/>
          <w:w w:val="120"/>
        </w:rPr>
        <w:t> </w:t>
      </w:r>
      <w:r>
        <w:rPr>
          <w:w w:val="120"/>
        </w:rPr>
        <w:t>first</w:t>
      </w:r>
      <w:r>
        <w:rPr>
          <w:spacing w:val="6"/>
          <w:w w:val="120"/>
        </w:rPr>
        <w:t> </w:t>
      </w:r>
      <w:r>
        <w:rPr>
          <w:w w:val="120"/>
        </w:rPr>
        <w:t>£50</w:t>
      </w:r>
      <w:r>
        <w:rPr>
          <w:spacing w:val="5"/>
          <w:w w:val="120"/>
        </w:rPr>
        <w:t> </w:t>
      </w:r>
      <w:r>
        <w:rPr>
          <w:w w:val="120"/>
        </w:rPr>
        <w:t>of</w:t>
      </w:r>
      <w:r>
        <w:rPr>
          <w:spacing w:val="6"/>
          <w:w w:val="120"/>
        </w:rPr>
        <w:t> </w:t>
      </w:r>
      <w:r>
        <w:rPr>
          <w:w w:val="120"/>
        </w:rPr>
        <w:t>each</w:t>
      </w:r>
      <w:r>
        <w:rPr>
          <w:spacing w:val="5"/>
          <w:w w:val="120"/>
        </w:rPr>
        <w:t> </w:t>
      </w:r>
      <w:r>
        <w:rPr>
          <w:w w:val="120"/>
        </w:rPr>
        <w:t>night’s</w:t>
      </w:r>
      <w:r>
        <w:rPr>
          <w:spacing w:val="6"/>
          <w:w w:val="120"/>
        </w:rPr>
        <w:t> </w:t>
      </w:r>
      <w:r>
        <w:rPr>
          <w:w w:val="120"/>
        </w:rPr>
        <w:t>accommodation</w:t>
      </w:r>
      <w:r>
        <w:rPr>
          <w:spacing w:val="5"/>
          <w:w w:val="120"/>
        </w:rPr>
        <w:t> </w:t>
      </w:r>
      <w:r>
        <w:rPr>
          <w:w w:val="120"/>
        </w:rPr>
        <w:t>with</w:t>
      </w:r>
      <w:r>
        <w:rPr>
          <w:spacing w:val="5"/>
          <w:w w:val="120"/>
        </w:rPr>
        <w:t> </w:t>
      </w:r>
      <w:r>
        <w:rPr>
          <w:w w:val="120"/>
        </w:rPr>
        <w:t>synods</w:t>
      </w:r>
      <w:r>
        <w:rPr>
          <w:spacing w:val="6"/>
          <w:w w:val="120"/>
        </w:rPr>
        <w:t> </w:t>
      </w:r>
      <w:r>
        <w:rPr>
          <w:w w:val="120"/>
        </w:rPr>
        <w:t>agreeing</w:t>
      </w:r>
      <w:r>
        <w:rPr>
          <w:spacing w:val="5"/>
          <w:w w:val="120"/>
        </w:rPr>
        <w:t> </w:t>
      </w:r>
      <w:r>
        <w:rPr>
          <w:w w:val="120"/>
        </w:rPr>
        <w:t>to</w:t>
      </w:r>
      <w:r>
        <w:rPr>
          <w:spacing w:val="6"/>
          <w:w w:val="120"/>
        </w:rPr>
        <w:t> </w:t>
      </w:r>
      <w:r>
        <w:rPr>
          <w:w w:val="120"/>
        </w:rPr>
        <w:t>meet</w:t>
      </w:r>
      <w:r>
        <w:rPr>
          <w:spacing w:val="5"/>
          <w:w w:val="120"/>
        </w:rPr>
        <w:t> </w:t>
      </w:r>
      <w:r>
        <w:rPr>
          <w:w w:val="120"/>
        </w:rPr>
        <w:t>the</w:t>
      </w:r>
    </w:p>
    <w:p>
      <w:pPr>
        <w:pStyle w:val="BodyText"/>
        <w:spacing w:line="235" w:lineRule="auto" w:before="3"/>
        <w:ind w:left="1284" w:right="1377"/>
      </w:pPr>
      <w:r>
        <w:rPr>
          <w:w w:val="120"/>
        </w:rPr>
        <w:t>additional cost of accommodation and all travel costs. The committee is most grateful to the synods for agreeing this but recognises that this can only be a temporary arrangement. The Assembly of </w:t>
      </w:r>
      <w:r>
        <w:rPr>
          <w:spacing w:val="-6"/>
          <w:w w:val="120"/>
        </w:rPr>
        <w:t>2018 </w:t>
      </w:r>
      <w:r>
        <w:rPr>
          <w:w w:val="120"/>
        </w:rPr>
        <w:t>will be the first to have been planned and costed entirely on the basis of the reduced</w:t>
      </w:r>
      <w:r>
        <w:rPr>
          <w:spacing w:val="17"/>
          <w:w w:val="120"/>
        </w:rPr>
        <w:t> </w:t>
      </w:r>
      <w:r>
        <w:rPr>
          <w:w w:val="120"/>
        </w:rPr>
        <w:t>budget.</w:t>
      </w:r>
    </w:p>
    <w:p>
      <w:pPr>
        <w:pStyle w:val="BodyText"/>
        <w:spacing w:before="3"/>
        <w:rPr>
          <w:sz w:val="22"/>
        </w:rPr>
      </w:pPr>
    </w:p>
    <w:p>
      <w:pPr>
        <w:spacing w:before="0"/>
        <w:ind w:left="1284" w:right="0" w:firstLine="0"/>
        <w:jc w:val="left"/>
        <w:rPr>
          <w:rFonts w:ascii="Stone Sans II ITC Std Bk"/>
          <w:b/>
          <w:sz w:val="29"/>
        </w:rPr>
      </w:pPr>
      <w:r>
        <w:rPr>
          <w:rFonts w:ascii="Stone Sans II ITC Std Bk"/>
          <w:b/>
          <w:spacing w:val="5"/>
          <w:w w:val="110"/>
          <w:sz w:val="29"/>
        </w:rPr>
        <w:t>Short </w:t>
      </w:r>
      <w:r>
        <w:rPr>
          <w:rFonts w:ascii="Stone Sans II ITC Std Bk"/>
          <w:b/>
          <w:spacing w:val="2"/>
          <w:w w:val="110"/>
          <w:sz w:val="29"/>
        </w:rPr>
        <w:t>term </w:t>
      </w:r>
      <w:r>
        <w:rPr>
          <w:rFonts w:ascii="Stone Sans II ITC Std Bk"/>
          <w:b/>
          <w:spacing w:val="3"/>
          <w:w w:val="110"/>
          <w:sz w:val="29"/>
        </w:rPr>
        <w:t>future</w:t>
      </w:r>
      <w:r>
        <w:rPr>
          <w:rFonts w:ascii="Stone Sans II ITC Std Bk"/>
          <w:b/>
          <w:spacing w:val="56"/>
          <w:w w:val="110"/>
          <w:sz w:val="29"/>
        </w:rPr>
        <w:t> </w:t>
      </w:r>
      <w:r>
        <w:rPr>
          <w:rFonts w:ascii="Stone Sans II ITC Std Bk"/>
          <w:b/>
          <w:spacing w:val="3"/>
          <w:w w:val="110"/>
          <w:sz w:val="29"/>
        </w:rPr>
        <w:t>planning</w:t>
      </w:r>
    </w:p>
    <w:p>
      <w:pPr>
        <w:pStyle w:val="ListParagraph"/>
        <w:numPr>
          <w:ilvl w:val="0"/>
          <w:numId w:val="33"/>
        </w:numPr>
        <w:tabs>
          <w:tab w:pos="1964" w:val="left" w:leader="none"/>
          <w:tab w:pos="1965" w:val="left" w:leader="none"/>
        </w:tabs>
        <w:spacing w:line="235" w:lineRule="auto" w:before="69" w:after="0"/>
        <w:ind w:left="1284" w:right="1410" w:firstLine="0"/>
        <w:jc w:val="left"/>
        <w:rPr>
          <w:sz w:val="20"/>
        </w:rPr>
      </w:pPr>
      <w:r>
        <w:rPr>
          <w:w w:val="120"/>
          <w:sz w:val="20"/>
        </w:rPr>
        <w:t>Planning for a future Assembly begins several years in advance. Normally by   the time the Assembly meets the committee has begun detailed negotiations with the proposed venue for the Assembly following the next. This has not proved possible this time. Although we intend that the 2020 Assembly be held in Scotland, uncertainty  over our future budget, and a major review of the Assembly being carried out by the General Secretary at the request of Mission Council, has led the committee to delay making any decisions beyond</w:t>
      </w:r>
      <w:r>
        <w:rPr>
          <w:spacing w:val="10"/>
          <w:w w:val="120"/>
          <w:sz w:val="20"/>
        </w:rPr>
        <w:t> </w:t>
      </w:r>
      <w:r>
        <w:rPr>
          <w:spacing w:val="-5"/>
          <w:w w:val="120"/>
          <w:sz w:val="20"/>
        </w:rPr>
        <w:t>2018.</w:t>
      </w:r>
    </w:p>
    <w:p>
      <w:pPr>
        <w:pStyle w:val="BodyText"/>
        <w:spacing w:before="5"/>
        <w:rPr>
          <w:sz w:val="22"/>
        </w:rPr>
      </w:pPr>
    </w:p>
    <w:p>
      <w:pPr>
        <w:spacing w:before="1"/>
        <w:ind w:left="1284" w:right="0" w:firstLine="0"/>
        <w:jc w:val="left"/>
        <w:rPr>
          <w:rFonts w:ascii="Stone Sans II ITC Std Bk"/>
          <w:b/>
          <w:sz w:val="29"/>
        </w:rPr>
      </w:pPr>
      <w:r>
        <w:rPr>
          <w:rFonts w:ascii="Stone Sans II ITC Std Bk"/>
          <w:b/>
          <w:w w:val="110"/>
          <w:sz w:val="29"/>
        </w:rPr>
        <w:t>Longer term future planning</w:t>
      </w:r>
    </w:p>
    <w:p>
      <w:pPr>
        <w:pStyle w:val="ListParagraph"/>
        <w:numPr>
          <w:ilvl w:val="0"/>
          <w:numId w:val="33"/>
        </w:numPr>
        <w:tabs>
          <w:tab w:pos="1964" w:val="left" w:leader="none"/>
          <w:tab w:pos="1965" w:val="left" w:leader="none"/>
        </w:tabs>
        <w:spacing w:line="235" w:lineRule="auto" w:before="69" w:after="0"/>
        <w:ind w:left="1284" w:right="1280" w:firstLine="0"/>
        <w:jc w:val="left"/>
        <w:rPr>
          <w:sz w:val="20"/>
        </w:rPr>
      </w:pPr>
      <w:r>
        <w:rPr>
          <w:w w:val="120"/>
          <w:sz w:val="20"/>
        </w:rPr>
        <w:t>Several options for the longer term are being explored. The work already carried out by the General Secretary covered several possibilities. Four ways of reducing the cost of the Assembly were proposed, make it simpler; make it smaller; make it shorter; hold it less frequently. </w:t>
      </w:r>
      <w:r>
        <w:rPr>
          <w:spacing w:val="2"/>
          <w:w w:val="120"/>
          <w:sz w:val="20"/>
        </w:rPr>
        <w:t>Of </w:t>
      </w:r>
      <w:r>
        <w:rPr>
          <w:w w:val="120"/>
          <w:sz w:val="20"/>
        </w:rPr>
        <w:t>those only the last has been rejected. Further work</w:t>
      </w:r>
      <w:r>
        <w:rPr>
          <w:spacing w:val="4"/>
          <w:w w:val="120"/>
          <w:sz w:val="20"/>
        </w:rPr>
        <w:t> </w:t>
      </w:r>
      <w:r>
        <w:rPr>
          <w:w w:val="120"/>
          <w:sz w:val="20"/>
        </w:rPr>
        <w:t>remains</w:t>
      </w:r>
    </w:p>
    <w:p>
      <w:pPr>
        <w:pStyle w:val="BodyText"/>
        <w:spacing w:line="235" w:lineRule="auto" w:before="3"/>
        <w:ind w:left="1284" w:right="1529"/>
      </w:pPr>
      <w:r>
        <w:rPr>
          <w:w w:val="120"/>
        </w:rPr>
        <w:t>to be done on the feasibility and desirability of the other options. A shorter Assembly would involve difficult decisions about what could be removed from the Agenda</w:t>
      </w:r>
    </w:p>
    <w:p>
      <w:pPr>
        <w:spacing w:after="0" w:line="235" w:lineRule="auto"/>
        <w:sectPr>
          <w:headerReference w:type="default" r:id="rId186"/>
          <w:footerReference w:type="default" r:id="rId187"/>
          <w:pgSz w:w="11910" w:h="16840"/>
          <w:pgMar w:header="0" w:footer="647" w:top="0" w:bottom="840" w:left="700" w:right="0"/>
          <w:pgNumType w:start="51"/>
        </w:sectPr>
      </w:pPr>
    </w:p>
    <w:p>
      <w:pPr>
        <w:pStyle w:val="BodyText"/>
      </w:pPr>
      <w:r>
        <w:rPr/>
        <w:drawing>
          <wp:anchor distT="0" distB="0" distL="0" distR="0" allowOverlap="1" layoutInCell="1" locked="0" behindDoc="1" simplePos="0" relativeHeight="235340800">
            <wp:simplePos x="0" y="0"/>
            <wp:positionH relativeFrom="page">
              <wp:posOffset>0</wp:posOffset>
            </wp:positionH>
            <wp:positionV relativeFrom="page">
              <wp:posOffset>0</wp:posOffset>
            </wp:positionV>
            <wp:extent cx="594067" cy="10692003"/>
            <wp:effectExtent l="0" t="0" r="0" b="0"/>
            <wp:wrapNone/>
            <wp:docPr id="89" name="image67.png"/>
            <wp:cNvGraphicFramePr>
              <a:graphicFrameLocks noChangeAspect="1"/>
            </wp:cNvGraphicFramePr>
            <a:graphic>
              <a:graphicData uri="http://schemas.openxmlformats.org/drawingml/2006/picture">
                <pic:pic>
                  <pic:nvPicPr>
                    <pic:cNvPr id="90" name="image67.png"/>
                    <pic:cNvPicPr/>
                  </pic:nvPicPr>
                  <pic:blipFill>
                    <a:blip r:embed="rId184" cstate="print"/>
                    <a:stretch>
                      <a:fillRect/>
                    </a:stretch>
                  </pic:blipFill>
                  <pic:spPr>
                    <a:xfrm>
                      <a:off x="0" y="0"/>
                      <a:ext cx="594067" cy="10692003"/>
                    </a:xfrm>
                    <a:prstGeom prst="rect">
                      <a:avLst/>
                    </a:prstGeom>
                  </pic:spPr>
                </pic:pic>
              </a:graphicData>
            </a:graphic>
          </wp:anchor>
        </w:drawing>
      </w:r>
      <w:r>
        <w:rPr/>
        <w:pict>
          <v:shape style="position:absolute;margin-left:20.519100pt;margin-top:48.890015pt;width:25.9pt;height:243.3pt;mso-position-horizontal-relative:page;mso-position-vertical-relative:page;z-index:-267974656" type="#_x0000_t202" filled="false" stroked="false">
            <v:textbox inset="0,0,0,0" style="layout-flow:vertical">
              <w:txbxContent>
                <w:p>
                  <w:pPr>
                    <w:spacing w:before="27"/>
                    <w:ind w:left="20" w:right="0" w:firstLine="0"/>
                    <w:jc w:val="left"/>
                    <w:rPr>
                      <w:sz w:val="39"/>
                    </w:rPr>
                  </w:pPr>
                  <w:r>
                    <w:rPr>
                      <w:color w:val="FFFFFF"/>
                      <w:w w:val="120"/>
                      <w:sz w:val="39"/>
                    </w:rPr>
                    <w:t>Assembly arrangements</w:t>
                  </w:r>
                </w:p>
              </w:txbxContent>
            </v:textbox>
            <w10:wrap type="none"/>
          </v:shape>
        </w:pict>
      </w:r>
    </w:p>
    <w:p>
      <w:pPr>
        <w:pStyle w:val="BodyText"/>
        <w:spacing w:before="7"/>
        <w:rPr>
          <w:sz w:val="21"/>
        </w:rPr>
      </w:pPr>
    </w:p>
    <w:p>
      <w:pPr>
        <w:pStyle w:val="Heading1"/>
        <w:ind w:left="547"/>
      </w:pPr>
      <w:bookmarkStart w:name="_TOC_250012" w:id="3"/>
      <w:bookmarkEnd w:id="3"/>
      <w:r>
        <w:rPr>
          <w:color w:val="7EAABF"/>
          <w:w w:val="115"/>
        </w:rPr>
        <w:t>Assembly arrangements</w:t>
      </w:r>
    </w:p>
    <w:p>
      <w:pPr>
        <w:pStyle w:val="BodyText"/>
        <w:spacing w:line="235" w:lineRule="auto" w:before="222"/>
        <w:ind w:left="547" w:right="2353"/>
      </w:pPr>
      <w:r>
        <w:rPr>
          <w:w w:val="120"/>
        </w:rPr>
        <w:t>and a smaller Assembly would involve changes to the formula by which membership is calculated, and might require changes to the Structure – a lengthy process. The 2018 Assembly will be simpler and this might help the Church to see whether that</w:t>
      </w:r>
    </w:p>
    <w:p>
      <w:pPr>
        <w:pStyle w:val="BodyText"/>
        <w:spacing w:line="235" w:lineRule="auto" w:before="2"/>
        <w:ind w:left="547" w:right="2353"/>
      </w:pPr>
      <w:r>
        <w:rPr>
          <w:w w:val="120"/>
        </w:rPr>
        <w:t>is a pattern it wishes to adopt. A fifth option – not to change the Assembly but to increase the budget – is also being explored. Additionally, the committee was asked to investigate the possibility of adopting a permanent site for the Assembly to meet. Already two possible venues have been identified, one in London and one in the Midlands but this project having been suspended while awaiting the outcome of the</w:t>
      </w:r>
    </w:p>
    <w:p>
      <w:pPr>
        <w:pStyle w:val="BodyText"/>
        <w:spacing w:line="235" w:lineRule="auto" w:before="4"/>
        <w:ind w:left="547" w:right="1955"/>
      </w:pPr>
      <w:r>
        <w:rPr>
          <w:w w:val="120"/>
        </w:rPr>
        <w:t>General Secretary’s work, much more work needs to be done before any proposals can be brought forward.</w:t>
      </w:r>
    </w:p>
    <w:p>
      <w:pPr>
        <w:pStyle w:val="BodyText"/>
        <w:spacing w:before="1"/>
        <w:rPr>
          <w:sz w:val="22"/>
        </w:rPr>
      </w:pPr>
    </w:p>
    <w:p>
      <w:pPr>
        <w:spacing w:before="0"/>
        <w:ind w:left="547" w:right="0" w:firstLine="0"/>
        <w:jc w:val="left"/>
        <w:rPr>
          <w:rFonts w:ascii="Stone Sans II ITC Std Bk"/>
          <w:b/>
          <w:sz w:val="29"/>
        </w:rPr>
      </w:pPr>
      <w:r>
        <w:rPr>
          <w:rFonts w:ascii="Stone Sans II ITC Std Bk"/>
          <w:b/>
          <w:w w:val="110"/>
          <w:sz w:val="29"/>
        </w:rPr>
        <w:t>Reporting to Assembly</w:t>
      </w:r>
    </w:p>
    <w:p>
      <w:pPr>
        <w:pStyle w:val="ListParagraph"/>
        <w:numPr>
          <w:ilvl w:val="1"/>
          <w:numId w:val="34"/>
        </w:numPr>
        <w:tabs>
          <w:tab w:pos="1227" w:val="left" w:leader="none"/>
          <w:tab w:pos="1228" w:val="left" w:leader="none"/>
        </w:tabs>
        <w:spacing w:line="235" w:lineRule="auto" w:before="69" w:after="0"/>
        <w:ind w:left="547" w:right="2206" w:firstLine="0"/>
        <w:jc w:val="left"/>
        <w:rPr>
          <w:sz w:val="20"/>
        </w:rPr>
      </w:pPr>
      <w:r>
        <w:rPr>
          <w:w w:val="120"/>
          <w:sz w:val="20"/>
        </w:rPr>
        <w:t>In addition to its work on size, duration and venue the Assembly arrangements committee is also responsible for timetabling and for the structuring of</w:t>
      </w:r>
      <w:r>
        <w:rPr>
          <w:spacing w:val="30"/>
          <w:w w:val="120"/>
          <w:sz w:val="20"/>
        </w:rPr>
        <w:t> </w:t>
      </w:r>
      <w:r>
        <w:rPr>
          <w:w w:val="120"/>
          <w:sz w:val="20"/>
        </w:rPr>
        <w:t>debate.</w:t>
      </w:r>
    </w:p>
    <w:p>
      <w:pPr>
        <w:pStyle w:val="BodyText"/>
        <w:spacing w:line="235" w:lineRule="auto" w:before="2"/>
        <w:ind w:left="547" w:right="2419"/>
      </w:pPr>
      <w:r>
        <w:rPr>
          <w:w w:val="120"/>
        </w:rPr>
        <w:t>The nature of the General Assembly is such that its members have a number of complementary skills and interests.</w:t>
      </w:r>
    </w:p>
    <w:p>
      <w:pPr>
        <w:pStyle w:val="BodyText"/>
        <w:spacing w:before="9"/>
        <w:rPr>
          <w:sz w:val="19"/>
        </w:rPr>
      </w:pPr>
    </w:p>
    <w:p>
      <w:pPr>
        <w:pStyle w:val="ListParagraph"/>
        <w:numPr>
          <w:ilvl w:val="1"/>
          <w:numId w:val="34"/>
        </w:numPr>
        <w:tabs>
          <w:tab w:pos="1227" w:val="left" w:leader="none"/>
          <w:tab w:pos="1228" w:val="left" w:leader="none"/>
        </w:tabs>
        <w:spacing w:line="235" w:lineRule="auto" w:before="0" w:after="0"/>
        <w:ind w:left="547" w:right="2000" w:firstLine="0"/>
        <w:jc w:val="left"/>
        <w:rPr>
          <w:sz w:val="20"/>
        </w:rPr>
      </w:pPr>
      <w:r>
        <w:rPr>
          <w:w w:val="120"/>
          <w:sz w:val="20"/>
        </w:rPr>
        <w:t>While it is expected that members give serious consideration to all matters coming before it, it has to be recognised that different members will find some business of greater interest than</w:t>
      </w:r>
      <w:r>
        <w:rPr>
          <w:spacing w:val="6"/>
          <w:w w:val="120"/>
          <w:sz w:val="20"/>
        </w:rPr>
        <w:t> </w:t>
      </w:r>
      <w:r>
        <w:rPr>
          <w:w w:val="120"/>
          <w:sz w:val="20"/>
        </w:rPr>
        <w:t>others.</w:t>
      </w:r>
    </w:p>
    <w:p>
      <w:pPr>
        <w:pStyle w:val="BodyText"/>
        <w:spacing w:before="11"/>
        <w:rPr>
          <w:sz w:val="19"/>
        </w:rPr>
      </w:pPr>
    </w:p>
    <w:p>
      <w:pPr>
        <w:pStyle w:val="ListParagraph"/>
        <w:numPr>
          <w:ilvl w:val="1"/>
          <w:numId w:val="34"/>
        </w:numPr>
        <w:tabs>
          <w:tab w:pos="1227" w:val="left" w:leader="none"/>
          <w:tab w:pos="1228" w:val="left" w:leader="none"/>
        </w:tabs>
        <w:spacing w:line="235" w:lineRule="auto" w:before="0" w:after="0"/>
        <w:ind w:left="547" w:right="1983" w:firstLine="0"/>
        <w:jc w:val="left"/>
        <w:rPr>
          <w:sz w:val="20"/>
        </w:rPr>
      </w:pPr>
      <w:r>
        <w:rPr>
          <w:w w:val="120"/>
          <w:sz w:val="20"/>
        </w:rPr>
        <w:t>The problem of how to </w:t>
      </w:r>
      <w:r>
        <w:rPr>
          <w:spacing w:val="2"/>
          <w:w w:val="120"/>
          <w:sz w:val="20"/>
        </w:rPr>
        <w:t>report </w:t>
      </w:r>
      <w:r>
        <w:rPr>
          <w:w w:val="120"/>
          <w:sz w:val="20"/>
        </w:rPr>
        <w:t>to a body containing different levels of expertise is one which all of our councils meet – and have addressed in various</w:t>
      </w:r>
      <w:r>
        <w:rPr>
          <w:spacing w:val="30"/>
          <w:w w:val="120"/>
          <w:sz w:val="20"/>
        </w:rPr>
        <w:t> </w:t>
      </w:r>
      <w:r>
        <w:rPr>
          <w:w w:val="120"/>
          <w:sz w:val="20"/>
        </w:rPr>
        <w:t>ways.</w:t>
      </w:r>
    </w:p>
    <w:p>
      <w:pPr>
        <w:pStyle w:val="BodyText"/>
        <w:spacing w:before="9"/>
        <w:rPr>
          <w:sz w:val="19"/>
        </w:rPr>
      </w:pPr>
    </w:p>
    <w:p>
      <w:pPr>
        <w:pStyle w:val="ListParagraph"/>
        <w:numPr>
          <w:ilvl w:val="1"/>
          <w:numId w:val="34"/>
        </w:numPr>
        <w:tabs>
          <w:tab w:pos="1227" w:val="left" w:leader="none"/>
          <w:tab w:pos="1228" w:val="left" w:leader="none"/>
        </w:tabs>
        <w:spacing w:line="235" w:lineRule="auto" w:before="0" w:after="0"/>
        <w:ind w:left="547" w:right="2480" w:firstLine="0"/>
        <w:jc w:val="left"/>
        <w:rPr>
          <w:sz w:val="20"/>
        </w:rPr>
      </w:pPr>
      <w:r>
        <w:rPr>
          <w:w w:val="120"/>
          <w:sz w:val="20"/>
        </w:rPr>
        <w:t>The duty of disclosure imposed upon committees, combined with the </w:t>
      </w:r>
      <w:r>
        <w:rPr>
          <w:spacing w:val="2"/>
          <w:w w:val="120"/>
          <w:sz w:val="20"/>
        </w:rPr>
        <w:t>fact </w:t>
      </w:r>
      <w:r>
        <w:rPr>
          <w:w w:val="120"/>
          <w:sz w:val="20"/>
        </w:rPr>
        <w:t>that some of the work of the church either needs quite complex explanation or is the product of a joint exercise which may result in a lengthy document, means</w:t>
      </w:r>
      <w:r>
        <w:rPr>
          <w:spacing w:val="45"/>
          <w:w w:val="120"/>
          <w:sz w:val="20"/>
        </w:rPr>
        <w:t> </w:t>
      </w:r>
      <w:r>
        <w:rPr>
          <w:w w:val="120"/>
          <w:sz w:val="20"/>
        </w:rPr>
        <w:t>that</w:t>
      </w:r>
    </w:p>
    <w:p>
      <w:pPr>
        <w:pStyle w:val="BodyText"/>
        <w:spacing w:line="235" w:lineRule="auto" w:before="3"/>
        <w:ind w:left="547" w:right="1899"/>
      </w:pPr>
      <w:r>
        <w:rPr>
          <w:w w:val="120"/>
        </w:rPr>
        <w:t>committees occasionally produce lengthy reports which go into more detail than many members of the Assembly feel they need or are prepared to study.</w:t>
      </w:r>
    </w:p>
    <w:p>
      <w:pPr>
        <w:pStyle w:val="BodyText"/>
        <w:spacing w:before="9"/>
        <w:rPr>
          <w:sz w:val="19"/>
        </w:rPr>
      </w:pPr>
    </w:p>
    <w:p>
      <w:pPr>
        <w:pStyle w:val="ListParagraph"/>
        <w:numPr>
          <w:ilvl w:val="1"/>
          <w:numId w:val="34"/>
        </w:numPr>
        <w:tabs>
          <w:tab w:pos="1227" w:val="left" w:leader="none"/>
          <w:tab w:pos="1228" w:val="left" w:leader="none"/>
        </w:tabs>
        <w:spacing w:line="235" w:lineRule="auto" w:before="0" w:after="0"/>
        <w:ind w:left="547" w:right="2569" w:firstLine="0"/>
        <w:jc w:val="left"/>
        <w:rPr>
          <w:sz w:val="20"/>
        </w:rPr>
      </w:pPr>
      <w:r>
        <w:rPr>
          <w:spacing w:val="-7"/>
          <w:w w:val="120"/>
          <w:sz w:val="20"/>
        </w:rPr>
        <w:t>To </w:t>
      </w:r>
      <w:r>
        <w:rPr>
          <w:w w:val="120"/>
          <w:sz w:val="20"/>
        </w:rPr>
        <w:t>remove these detailed </w:t>
      </w:r>
      <w:r>
        <w:rPr>
          <w:spacing w:val="2"/>
          <w:w w:val="120"/>
          <w:sz w:val="20"/>
        </w:rPr>
        <w:t>reports </w:t>
      </w:r>
      <w:r>
        <w:rPr>
          <w:w w:val="120"/>
          <w:sz w:val="20"/>
        </w:rPr>
        <w:t>would constitute an unacceptable – and in some cases potentially illegal – restriction, but to expect all members to read and assimilate several thousand words on a matter in which they have no previous knowledge is</w:t>
      </w:r>
      <w:r>
        <w:rPr>
          <w:spacing w:val="4"/>
          <w:w w:val="120"/>
          <w:sz w:val="20"/>
        </w:rPr>
        <w:t> </w:t>
      </w:r>
      <w:r>
        <w:rPr>
          <w:w w:val="120"/>
          <w:sz w:val="20"/>
        </w:rPr>
        <w:t>unrealistic.</w:t>
      </w:r>
    </w:p>
    <w:p>
      <w:pPr>
        <w:pStyle w:val="BodyText"/>
        <w:spacing w:before="11"/>
        <w:rPr>
          <w:sz w:val="19"/>
        </w:rPr>
      </w:pPr>
    </w:p>
    <w:p>
      <w:pPr>
        <w:pStyle w:val="ListParagraph"/>
        <w:numPr>
          <w:ilvl w:val="1"/>
          <w:numId w:val="34"/>
        </w:numPr>
        <w:tabs>
          <w:tab w:pos="1227" w:val="left" w:leader="none"/>
          <w:tab w:pos="1228" w:val="left" w:leader="none"/>
        </w:tabs>
        <w:spacing w:line="235" w:lineRule="auto" w:before="0" w:after="0"/>
        <w:ind w:left="547" w:right="2230" w:firstLine="0"/>
        <w:jc w:val="left"/>
        <w:rPr>
          <w:sz w:val="20"/>
        </w:rPr>
      </w:pPr>
      <w:r>
        <w:rPr>
          <w:w w:val="120"/>
          <w:sz w:val="20"/>
        </w:rPr>
        <w:t>It is therefore proposed that committees be instructed to produce a shortened version of large </w:t>
      </w:r>
      <w:r>
        <w:rPr>
          <w:spacing w:val="2"/>
          <w:w w:val="120"/>
          <w:sz w:val="20"/>
        </w:rPr>
        <w:t>reports </w:t>
      </w:r>
      <w:r>
        <w:rPr>
          <w:w w:val="120"/>
          <w:sz w:val="20"/>
        </w:rPr>
        <w:t>in order that members might familiarise themselves with the general content and decide when they need to read the full</w:t>
      </w:r>
      <w:r>
        <w:rPr>
          <w:spacing w:val="41"/>
          <w:w w:val="120"/>
          <w:sz w:val="20"/>
        </w:rPr>
        <w:t> </w:t>
      </w:r>
      <w:r>
        <w:rPr>
          <w:w w:val="120"/>
          <w:sz w:val="20"/>
        </w:rPr>
        <w:t>document.</w:t>
      </w:r>
    </w:p>
    <w:p>
      <w:pPr>
        <w:pStyle w:val="BodyText"/>
        <w:spacing w:before="3"/>
        <w:rPr>
          <w:sz w:val="22"/>
        </w:rPr>
      </w:pPr>
    </w:p>
    <w:p>
      <w:pPr>
        <w:spacing w:before="0"/>
        <w:ind w:left="547" w:right="0" w:firstLine="0"/>
        <w:jc w:val="left"/>
        <w:rPr>
          <w:rFonts w:ascii="Stone Sans II ITC Std Bk"/>
          <w:b/>
          <w:sz w:val="29"/>
        </w:rPr>
      </w:pPr>
      <w:r>
        <w:rPr>
          <w:rFonts w:ascii="Stone Sans II ITC Std Bk"/>
          <w:b/>
          <w:w w:val="110"/>
          <w:sz w:val="29"/>
        </w:rPr>
        <w:t>Acknowledgements and thanks</w:t>
      </w:r>
    </w:p>
    <w:p>
      <w:pPr>
        <w:pStyle w:val="ListParagraph"/>
        <w:numPr>
          <w:ilvl w:val="1"/>
          <w:numId w:val="35"/>
        </w:numPr>
        <w:tabs>
          <w:tab w:pos="1227" w:val="left" w:leader="none"/>
          <w:tab w:pos="1228" w:val="left" w:leader="none"/>
        </w:tabs>
        <w:spacing w:line="235" w:lineRule="auto" w:before="69" w:after="0"/>
        <w:ind w:left="547" w:right="1984" w:firstLine="0"/>
        <w:jc w:val="left"/>
        <w:rPr>
          <w:sz w:val="20"/>
        </w:rPr>
      </w:pPr>
      <w:r>
        <w:rPr>
          <w:w w:val="120"/>
          <w:sz w:val="20"/>
        </w:rPr>
        <w:t>The committee is hugely indebted to the many people whose detailed work and planning makes the Assembly possible. Although the committee has just nine members, attendance at meetings rarely drops below twice that number as those responsible for many of the different bits of the work of the Church contribute to its</w:t>
      </w:r>
      <w:r>
        <w:rPr>
          <w:spacing w:val="24"/>
          <w:w w:val="120"/>
          <w:sz w:val="20"/>
        </w:rPr>
        <w:t> </w:t>
      </w:r>
      <w:r>
        <w:rPr>
          <w:w w:val="120"/>
          <w:sz w:val="20"/>
        </w:rPr>
        <w:t>deliberations.</w:t>
      </w:r>
    </w:p>
    <w:p>
      <w:pPr>
        <w:pStyle w:val="BodyText"/>
        <w:spacing w:before="11"/>
        <w:rPr>
          <w:sz w:val="19"/>
        </w:rPr>
      </w:pPr>
    </w:p>
    <w:p>
      <w:pPr>
        <w:pStyle w:val="ListParagraph"/>
        <w:numPr>
          <w:ilvl w:val="1"/>
          <w:numId w:val="35"/>
        </w:numPr>
        <w:tabs>
          <w:tab w:pos="1227" w:val="left" w:leader="none"/>
          <w:tab w:pos="1228" w:val="left" w:leader="none"/>
        </w:tabs>
        <w:spacing w:line="235" w:lineRule="auto" w:before="0" w:after="0"/>
        <w:ind w:left="547" w:right="2019" w:firstLine="0"/>
        <w:jc w:val="left"/>
        <w:rPr>
          <w:sz w:val="20"/>
        </w:rPr>
      </w:pPr>
      <w:r>
        <w:rPr>
          <w:w w:val="120"/>
          <w:sz w:val="20"/>
        </w:rPr>
        <w:t>Not least among these are Gill Nichol, the Head of Communications and her staff who are responsible not only for producing the </w:t>
      </w:r>
      <w:r>
        <w:rPr>
          <w:i/>
          <w:w w:val="120"/>
          <w:sz w:val="20"/>
        </w:rPr>
        <w:t>Book of Reports</w:t>
      </w:r>
      <w:r>
        <w:rPr>
          <w:w w:val="120"/>
          <w:sz w:val="20"/>
        </w:rPr>
        <w:t>, the </w:t>
      </w:r>
      <w:r>
        <w:rPr>
          <w:i/>
          <w:w w:val="120"/>
          <w:sz w:val="20"/>
        </w:rPr>
        <w:t>Record of Assembly </w:t>
      </w:r>
      <w:r>
        <w:rPr>
          <w:w w:val="120"/>
          <w:sz w:val="20"/>
        </w:rPr>
        <w:t>and the various documents and communications that accompany these, but also for the production and management of the text of resolutions which appear on the screens while the Assembly is sitting as well as for the Facebook, Twitter and print </w:t>
      </w:r>
      <w:r>
        <w:rPr>
          <w:spacing w:val="2"/>
          <w:w w:val="120"/>
          <w:sz w:val="20"/>
        </w:rPr>
        <w:t>reports </w:t>
      </w:r>
      <w:r>
        <w:rPr>
          <w:w w:val="120"/>
          <w:sz w:val="20"/>
        </w:rPr>
        <w:t>that are distributed before and after the</w:t>
      </w:r>
      <w:r>
        <w:rPr>
          <w:spacing w:val="10"/>
          <w:w w:val="120"/>
          <w:sz w:val="20"/>
        </w:rPr>
        <w:t> </w:t>
      </w:r>
      <w:r>
        <w:rPr>
          <w:w w:val="120"/>
          <w:sz w:val="20"/>
        </w:rPr>
        <w:t>Assembly.</w:t>
      </w:r>
    </w:p>
    <w:p>
      <w:pPr>
        <w:pStyle w:val="BodyText"/>
      </w:pPr>
    </w:p>
    <w:p>
      <w:pPr>
        <w:pStyle w:val="ListParagraph"/>
        <w:numPr>
          <w:ilvl w:val="1"/>
          <w:numId w:val="35"/>
        </w:numPr>
        <w:tabs>
          <w:tab w:pos="1227" w:val="left" w:leader="none"/>
          <w:tab w:pos="1228" w:val="left" w:leader="none"/>
        </w:tabs>
        <w:spacing w:line="235" w:lineRule="auto" w:before="0" w:after="0"/>
        <w:ind w:left="547" w:right="2382" w:firstLine="0"/>
        <w:jc w:val="left"/>
        <w:rPr>
          <w:sz w:val="20"/>
        </w:rPr>
      </w:pPr>
      <w:r>
        <w:rPr>
          <w:w w:val="120"/>
          <w:sz w:val="20"/>
        </w:rPr>
        <w:t>Karen Morrison, the Head of </w:t>
      </w:r>
      <w:r>
        <w:rPr>
          <w:spacing w:val="-3"/>
          <w:w w:val="120"/>
          <w:sz w:val="20"/>
        </w:rPr>
        <w:t>Children’s </w:t>
      </w:r>
      <w:r>
        <w:rPr>
          <w:w w:val="120"/>
          <w:sz w:val="20"/>
        </w:rPr>
        <w:t>and </w:t>
      </w:r>
      <w:r>
        <w:rPr>
          <w:spacing w:val="-3"/>
          <w:w w:val="120"/>
          <w:sz w:val="20"/>
        </w:rPr>
        <w:t>Youth </w:t>
      </w:r>
      <w:r>
        <w:rPr>
          <w:w w:val="120"/>
          <w:sz w:val="20"/>
        </w:rPr>
        <w:t>Work Development, works closely with the committee in assisting the younger members of the Assembly both during the Assembly and the pre-Assembly ‘What do </w:t>
      </w:r>
      <w:r>
        <w:rPr>
          <w:spacing w:val="-4"/>
          <w:w w:val="120"/>
          <w:sz w:val="20"/>
        </w:rPr>
        <w:t>You </w:t>
      </w:r>
      <w:r>
        <w:rPr>
          <w:w w:val="120"/>
          <w:sz w:val="20"/>
        </w:rPr>
        <w:t>Think’</w:t>
      </w:r>
      <w:r>
        <w:rPr>
          <w:spacing w:val="49"/>
          <w:w w:val="120"/>
          <w:sz w:val="20"/>
        </w:rPr>
        <w:t> </w:t>
      </w:r>
      <w:r>
        <w:rPr>
          <w:w w:val="120"/>
          <w:sz w:val="20"/>
        </w:rPr>
        <w:t>event.</w:t>
      </w:r>
    </w:p>
    <w:p>
      <w:pPr>
        <w:pStyle w:val="BodyText"/>
      </w:pPr>
    </w:p>
    <w:p>
      <w:pPr>
        <w:pStyle w:val="BodyText"/>
      </w:pPr>
    </w:p>
    <w:p>
      <w:pPr>
        <w:pStyle w:val="BodyText"/>
      </w:pPr>
    </w:p>
    <w:p>
      <w:pPr>
        <w:pStyle w:val="BodyText"/>
        <w:spacing w:before="9"/>
        <w:rPr>
          <w:sz w:val="23"/>
        </w:rPr>
      </w:pPr>
    </w:p>
    <w:p>
      <w:pPr>
        <w:pStyle w:val="Heading6"/>
        <w:spacing w:before="97"/>
        <w:ind w:left="547"/>
      </w:pPr>
      <w:r>
        <w:rPr>
          <w:rFonts w:ascii="Stone Sans II ITC Std X Bd" w:hAnsi="Stone Sans II ITC Std X Bd"/>
          <w:b/>
          <w:w w:val="110"/>
          <w:sz w:val="24"/>
        </w:rPr>
        <w:t>52 </w:t>
      </w:r>
      <w:r>
        <w:rPr>
          <w:rFonts w:ascii="Symbol" w:hAnsi="Symbol"/>
          <w:color w:val="7EAABF"/>
          <w:w w:val="110"/>
        </w:rPr>
        <w:t></w:t>
      </w:r>
      <w:r>
        <w:rPr>
          <w:rFonts w:ascii="Times New Roman" w:hAnsi="Times New Roman"/>
          <w:color w:val="7EAABF"/>
          <w:w w:val="110"/>
        </w:rPr>
        <w:t> </w:t>
      </w:r>
      <w:r>
        <w:rPr>
          <w:color w:val="7EAABF"/>
          <w:w w:val="110"/>
        </w:rPr>
        <w:t>United Reformed Church </w:t>
      </w:r>
      <w:r>
        <w:rPr>
          <w:rFonts w:ascii="Symbol" w:hAnsi="Symbol"/>
          <w:color w:val="7EAABF"/>
          <w:w w:val="110"/>
        </w:rPr>
        <w:t></w:t>
      </w:r>
      <w:r>
        <w:rPr>
          <w:rFonts w:ascii="Times New Roman" w:hAnsi="Times New Roman"/>
          <w:color w:val="7EAABF"/>
          <w:w w:val="110"/>
        </w:rPr>
        <w:t> </w:t>
      </w:r>
      <w:r>
        <w:rPr>
          <w:color w:val="7EAABF"/>
          <w:w w:val="110"/>
        </w:rPr>
        <w:t>General Assembly 2016</w:t>
      </w:r>
    </w:p>
    <w:p>
      <w:pPr>
        <w:spacing w:after="0"/>
        <w:sectPr>
          <w:headerReference w:type="even" r:id="rId188"/>
          <w:footerReference w:type="even" r:id="rId189"/>
          <w:pgSz w:w="11910" w:h="16840"/>
          <w:pgMar w:header="0" w:footer="0" w:top="0" w:bottom="0" w:left="700" w:right="0"/>
        </w:sectPr>
      </w:pPr>
    </w:p>
    <w:p>
      <w:pPr>
        <w:pStyle w:val="BodyText"/>
      </w:pPr>
      <w:r>
        <w:rPr/>
        <w:drawing>
          <wp:anchor distT="0" distB="0" distL="0" distR="0" allowOverlap="1" layoutInCell="1" locked="0" behindDoc="0" simplePos="0" relativeHeight="251796480">
            <wp:simplePos x="0" y="0"/>
            <wp:positionH relativeFrom="page">
              <wp:posOffset>6974928</wp:posOffset>
            </wp:positionH>
            <wp:positionV relativeFrom="page">
              <wp:posOffset>0</wp:posOffset>
            </wp:positionV>
            <wp:extent cx="585063" cy="10692003"/>
            <wp:effectExtent l="0" t="0" r="0" b="0"/>
            <wp:wrapNone/>
            <wp:docPr id="91" name="image54.png"/>
            <wp:cNvGraphicFramePr>
              <a:graphicFrameLocks noChangeAspect="1"/>
            </wp:cNvGraphicFramePr>
            <a:graphic>
              <a:graphicData uri="http://schemas.openxmlformats.org/drawingml/2006/picture">
                <pic:pic>
                  <pic:nvPicPr>
                    <pic:cNvPr id="92" name="image54.png"/>
                    <pic:cNvPicPr/>
                  </pic:nvPicPr>
                  <pic:blipFill>
                    <a:blip r:embed="rId169" cstate="print"/>
                    <a:stretch>
                      <a:fillRect/>
                    </a:stretch>
                  </pic:blipFill>
                  <pic:spPr>
                    <a:xfrm>
                      <a:off x="0" y="0"/>
                      <a:ext cx="585063" cy="10692003"/>
                    </a:xfrm>
                    <a:prstGeom prst="rect">
                      <a:avLst/>
                    </a:prstGeom>
                  </pic:spPr>
                </pic:pic>
              </a:graphicData>
            </a:graphic>
          </wp:anchor>
        </w:drawing>
      </w:r>
    </w:p>
    <w:p>
      <w:pPr>
        <w:pStyle w:val="BodyText"/>
        <w:spacing w:before="7"/>
        <w:rPr>
          <w:sz w:val="21"/>
        </w:rPr>
      </w:pPr>
    </w:p>
    <w:p>
      <w:pPr>
        <w:spacing w:before="106"/>
        <w:ind w:left="7034" w:right="0" w:firstLine="0"/>
        <w:jc w:val="left"/>
        <w:rPr>
          <w:sz w:val="26"/>
        </w:rPr>
      </w:pPr>
      <w:r>
        <w:rPr/>
        <w:pict>
          <v:shape style="position:absolute;margin-left:554.141174pt;margin-top:22.593945pt;width:25.9pt;height:243.3pt;mso-position-horizontal-relative:page;mso-position-vertical-relative:paragraph;z-index:251797504" type="#_x0000_t202" filled="false" stroked="false">
            <v:textbox inset="0,0,0,0" style="layout-flow:vertical">
              <w:txbxContent>
                <w:p>
                  <w:pPr>
                    <w:spacing w:before="27"/>
                    <w:ind w:left="20" w:right="0" w:firstLine="0"/>
                    <w:jc w:val="left"/>
                    <w:rPr>
                      <w:sz w:val="39"/>
                    </w:rPr>
                  </w:pPr>
                  <w:r>
                    <w:rPr>
                      <w:color w:val="FFFFFF"/>
                      <w:w w:val="120"/>
                      <w:sz w:val="39"/>
                    </w:rPr>
                    <w:t>Assembly arrangements</w:t>
                  </w:r>
                </w:p>
              </w:txbxContent>
            </v:textbox>
            <w10:wrap type="none"/>
          </v:shape>
        </w:pict>
      </w:r>
      <w:r>
        <w:rPr>
          <w:color w:val="7EAABF"/>
          <w:w w:val="115"/>
          <w:sz w:val="26"/>
        </w:rPr>
        <w:t>Assembly arrangements</w:t>
      </w:r>
    </w:p>
    <w:p>
      <w:pPr>
        <w:pStyle w:val="ListParagraph"/>
        <w:numPr>
          <w:ilvl w:val="1"/>
          <w:numId w:val="35"/>
        </w:numPr>
        <w:tabs>
          <w:tab w:pos="1964" w:val="left" w:leader="none"/>
          <w:tab w:pos="1965" w:val="left" w:leader="none"/>
        </w:tabs>
        <w:spacing w:line="235" w:lineRule="auto" w:before="222" w:after="0"/>
        <w:ind w:left="1284" w:right="1310" w:firstLine="0"/>
        <w:jc w:val="left"/>
        <w:rPr>
          <w:sz w:val="20"/>
        </w:rPr>
      </w:pPr>
      <w:r>
        <w:rPr>
          <w:w w:val="120"/>
          <w:sz w:val="20"/>
        </w:rPr>
        <w:t>The Revd Michael Davies has, for several years, undertaken the detailed work in overseeing the budget and monitoring expenses as well as assisting in the office during the</w:t>
      </w:r>
      <w:r>
        <w:rPr>
          <w:spacing w:val="1"/>
          <w:w w:val="120"/>
          <w:sz w:val="20"/>
        </w:rPr>
        <w:t> </w:t>
      </w:r>
      <w:r>
        <w:rPr>
          <w:w w:val="120"/>
          <w:sz w:val="20"/>
        </w:rPr>
        <w:t>Assembly.</w:t>
      </w:r>
    </w:p>
    <w:p>
      <w:pPr>
        <w:pStyle w:val="BodyText"/>
        <w:spacing w:before="10"/>
        <w:rPr>
          <w:sz w:val="19"/>
        </w:rPr>
      </w:pPr>
    </w:p>
    <w:p>
      <w:pPr>
        <w:pStyle w:val="ListParagraph"/>
        <w:numPr>
          <w:ilvl w:val="1"/>
          <w:numId w:val="35"/>
        </w:numPr>
        <w:tabs>
          <w:tab w:pos="1964" w:val="left" w:leader="none"/>
          <w:tab w:pos="1965" w:val="left" w:leader="none"/>
        </w:tabs>
        <w:spacing w:line="235" w:lineRule="auto" w:before="0" w:after="0"/>
        <w:ind w:left="1284" w:right="1439" w:firstLine="0"/>
        <w:jc w:val="left"/>
        <w:rPr>
          <w:sz w:val="20"/>
        </w:rPr>
      </w:pPr>
      <w:r>
        <w:rPr>
          <w:w w:val="120"/>
          <w:sz w:val="20"/>
        </w:rPr>
        <w:t>Without the volunteers who give of their time before and during the Assembly, it would not be possible and the committee always welcomes offers from possible  new</w:t>
      </w:r>
      <w:r>
        <w:rPr>
          <w:spacing w:val="2"/>
          <w:w w:val="120"/>
          <w:sz w:val="20"/>
        </w:rPr>
        <w:t> </w:t>
      </w:r>
      <w:r>
        <w:rPr>
          <w:w w:val="120"/>
          <w:sz w:val="20"/>
        </w:rPr>
        <w:t>helpers.</w:t>
      </w:r>
    </w:p>
    <w:p>
      <w:pPr>
        <w:pStyle w:val="BodyText"/>
        <w:spacing w:before="10"/>
        <w:rPr>
          <w:sz w:val="19"/>
        </w:rPr>
      </w:pPr>
    </w:p>
    <w:p>
      <w:pPr>
        <w:pStyle w:val="ListParagraph"/>
        <w:numPr>
          <w:ilvl w:val="1"/>
          <w:numId w:val="35"/>
        </w:numPr>
        <w:tabs>
          <w:tab w:pos="1964" w:val="left" w:leader="none"/>
          <w:tab w:pos="1965" w:val="left" w:leader="none"/>
        </w:tabs>
        <w:spacing w:line="235" w:lineRule="auto" w:before="0" w:after="0"/>
        <w:ind w:left="1284" w:right="1265" w:firstLine="0"/>
        <w:jc w:val="left"/>
        <w:rPr>
          <w:sz w:val="20"/>
        </w:rPr>
      </w:pPr>
      <w:r>
        <w:rPr>
          <w:w w:val="120"/>
          <w:sz w:val="20"/>
        </w:rPr>
        <w:t>Without the active engagement of the synod in which the Assembly meets it would not be possible to hold an Assembly in its current form. Every Assembly is staffed by a team of stewards drawn from local churches and the committee wishes to express its thanks to all those who undertake this</w:t>
      </w:r>
      <w:r>
        <w:rPr>
          <w:spacing w:val="12"/>
          <w:w w:val="120"/>
          <w:sz w:val="20"/>
        </w:rPr>
        <w:t> </w:t>
      </w:r>
      <w:r>
        <w:rPr>
          <w:w w:val="120"/>
          <w:sz w:val="20"/>
        </w:rPr>
        <w:t>task.</w:t>
      </w:r>
    </w:p>
    <w:p>
      <w:pPr>
        <w:pStyle w:val="BodyText"/>
        <w:spacing w:before="11"/>
        <w:rPr>
          <w:sz w:val="19"/>
        </w:rPr>
      </w:pPr>
    </w:p>
    <w:p>
      <w:pPr>
        <w:pStyle w:val="ListParagraph"/>
        <w:numPr>
          <w:ilvl w:val="1"/>
          <w:numId w:val="35"/>
        </w:numPr>
        <w:tabs>
          <w:tab w:pos="1964" w:val="left" w:leader="none"/>
          <w:tab w:pos="1965" w:val="left" w:leader="none"/>
        </w:tabs>
        <w:spacing w:line="235" w:lineRule="auto" w:before="0" w:after="0"/>
        <w:ind w:left="1284" w:right="1299" w:firstLine="0"/>
        <w:jc w:val="left"/>
        <w:rPr>
          <w:sz w:val="20"/>
        </w:rPr>
      </w:pPr>
      <w:r>
        <w:rPr>
          <w:w w:val="120"/>
          <w:sz w:val="20"/>
        </w:rPr>
        <w:t>While it has only been possible to mention a few of those whose contribution makes the Assembly possible, the committee particularly wishes to thank Ann Barton, its secretary. Ann has served as secretary of the Assembly arrangements committee since 2004. This she has done in addition to her main role as Facilities Manager in Church House. Although she has indicated that she does not intend to do so, Ann will  be eligible to retire just before the </w:t>
      </w:r>
      <w:r>
        <w:rPr>
          <w:spacing w:val="-6"/>
          <w:w w:val="120"/>
          <w:sz w:val="20"/>
        </w:rPr>
        <w:t>2018 </w:t>
      </w:r>
      <w:r>
        <w:rPr>
          <w:w w:val="120"/>
          <w:sz w:val="20"/>
        </w:rPr>
        <w:t>Assembly, which would make this her last Assembly as a full time staff member. We are grateful for her continuing commitment to the work of the Assembly and for her attention to detail which makes the work of  this committee so much </w:t>
      </w:r>
      <w:r>
        <w:rPr>
          <w:spacing w:val="-3"/>
          <w:w w:val="120"/>
          <w:sz w:val="20"/>
        </w:rPr>
        <w:t>easier. </w:t>
      </w:r>
      <w:r>
        <w:rPr>
          <w:w w:val="120"/>
          <w:sz w:val="20"/>
        </w:rPr>
        <w:t>In the Assembly arrangements committee </w:t>
      </w:r>
      <w:r>
        <w:rPr>
          <w:spacing w:val="2"/>
          <w:w w:val="120"/>
          <w:sz w:val="20"/>
        </w:rPr>
        <w:t>report </w:t>
      </w:r>
      <w:r>
        <w:rPr>
          <w:w w:val="120"/>
          <w:sz w:val="20"/>
        </w:rPr>
        <w:t>to the General Assembly of 2005 the then </w:t>
      </w:r>
      <w:r>
        <w:rPr>
          <w:spacing w:val="-3"/>
          <w:w w:val="120"/>
          <w:sz w:val="20"/>
        </w:rPr>
        <w:t>Convenor, </w:t>
      </w:r>
      <w:r>
        <w:rPr>
          <w:w w:val="120"/>
          <w:sz w:val="20"/>
        </w:rPr>
        <w:t>in thanking her for her first year’s work, noted that the ‘role encompasses much more than the simple title implies.’ Never was a truer word</w:t>
      </w:r>
      <w:r>
        <w:rPr>
          <w:spacing w:val="3"/>
          <w:w w:val="120"/>
          <w:sz w:val="20"/>
        </w:rPr>
        <w:t> </w:t>
      </w:r>
      <w:r>
        <w:rPr>
          <w:w w:val="120"/>
          <w:sz w:val="20"/>
        </w:rPr>
        <w:t>said!</w:t>
      </w:r>
    </w:p>
    <w:p>
      <w:pPr>
        <w:spacing w:after="0" w:line="235" w:lineRule="auto"/>
        <w:jc w:val="left"/>
        <w:rPr>
          <w:sz w:val="20"/>
        </w:rPr>
        <w:sectPr>
          <w:headerReference w:type="default" r:id="rId190"/>
          <w:footerReference w:type="default" r:id="rId191"/>
          <w:pgSz w:w="11910" w:h="16840"/>
          <w:pgMar w:header="0" w:footer="647" w:top="0" w:bottom="840" w:left="700" w:right="0"/>
          <w:pgNumType w:start="53"/>
        </w:sectPr>
      </w:pPr>
    </w:p>
    <w:p>
      <w:pPr>
        <w:pStyle w:val="BodyText"/>
      </w:pPr>
      <w:r>
        <w:rPr/>
        <w:pict>
          <v:rect style="position:absolute;margin-left:46.777pt;margin-top:.000015pt;width:548.498pt;height:841.89pt;mso-position-horizontal-relative:page;mso-position-vertical-relative:page;z-index:-267971584" filled="true" fillcolor="#d4e9f7" stroked="false">
            <v:fill type="solid"/>
            <w10:wrap type="none"/>
          </v:rect>
        </w:pict>
      </w:r>
      <w:r>
        <w:rPr/>
        <w:drawing>
          <wp:anchor distT="0" distB="0" distL="0" distR="0" allowOverlap="1" layoutInCell="1" locked="0" behindDoc="1" simplePos="0" relativeHeight="235345920">
            <wp:simplePos x="0" y="0"/>
            <wp:positionH relativeFrom="page">
              <wp:posOffset>0</wp:posOffset>
            </wp:positionH>
            <wp:positionV relativeFrom="page">
              <wp:posOffset>0</wp:posOffset>
            </wp:positionV>
            <wp:extent cx="594067" cy="10692003"/>
            <wp:effectExtent l="0" t="0" r="0" b="0"/>
            <wp:wrapNone/>
            <wp:docPr id="93" name="image67.png"/>
            <wp:cNvGraphicFramePr>
              <a:graphicFrameLocks noChangeAspect="1"/>
            </wp:cNvGraphicFramePr>
            <a:graphic>
              <a:graphicData uri="http://schemas.openxmlformats.org/drawingml/2006/picture">
                <pic:pic>
                  <pic:nvPicPr>
                    <pic:cNvPr id="94" name="image67.png"/>
                    <pic:cNvPicPr/>
                  </pic:nvPicPr>
                  <pic:blipFill>
                    <a:blip r:embed="rId184" cstate="print"/>
                    <a:stretch>
                      <a:fillRect/>
                    </a:stretch>
                  </pic:blipFill>
                  <pic:spPr>
                    <a:xfrm>
                      <a:off x="0" y="0"/>
                      <a:ext cx="594067" cy="10692003"/>
                    </a:xfrm>
                    <a:prstGeom prst="rect">
                      <a:avLst/>
                    </a:prstGeom>
                  </pic:spPr>
                </pic:pic>
              </a:graphicData>
            </a:graphic>
          </wp:anchor>
        </w:drawing>
      </w:r>
      <w:r>
        <w:rPr/>
        <w:pict>
          <v:shape style="position:absolute;margin-left:20.519100pt;margin-top:48.890015pt;width:25.9pt;height:267.8pt;mso-position-horizontal-relative:page;mso-position-vertical-relative:page;z-index:-267969536" type="#_x0000_t202" filled="false" stroked="false">
            <v:textbox inset="0,0,0,0" style="layout-flow:vertical">
              <w:txbxContent>
                <w:p>
                  <w:pPr>
                    <w:spacing w:before="27"/>
                    <w:ind w:left="20" w:right="0" w:firstLine="0"/>
                    <w:jc w:val="left"/>
                    <w:rPr>
                      <w:sz w:val="39"/>
                    </w:rPr>
                  </w:pPr>
                  <w:r>
                    <w:rPr>
                      <w:color w:val="FFFFFF"/>
                      <w:spacing w:val="3"/>
                      <w:w w:val="120"/>
                      <w:sz w:val="39"/>
                    </w:rPr>
                    <w:t>Children’s </w:t>
                  </w:r>
                  <w:r>
                    <w:rPr>
                      <w:color w:val="FFFFFF"/>
                      <w:spacing w:val="7"/>
                      <w:w w:val="120"/>
                      <w:sz w:val="39"/>
                    </w:rPr>
                    <w:t>and </w:t>
                  </w:r>
                  <w:r>
                    <w:rPr>
                      <w:color w:val="FFFFFF"/>
                      <w:spacing w:val="8"/>
                      <w:w w:val="120"/>
                      <w:sz w:val="39"/>
                    </w:rPr>
                    <w:t>youth</w:t>
                  </w:r>
                  <w:r>
                    <w:rPr>
                      <w:color w:val="FFFFFF"/>
                      <w:spacing w:val="-43"/>
                      <w:w w:val="120"/>
                      <w:sz w:val="39"/>
                    </w:rPr>
                    <w:t> </w:t>
                  </w:r>
                  <w:r>
                    <w:rPr>
                      <w:color w:val="FFFFFF"/>
                      <w:spacing w:val="7"/>
                      <w:w w:val="120"/>
                      <w:sz w:val="39"/>
                    </w:rPr>
                    <w:t>work</w:t>
                  </w:r>
                </w:p>
              </w:txbxContent>
            </v:textbox>
            <w10:wrap type="none"/>
          </v:shape>
        </w:pict>
      </w:r>
    </w:p>
    <w:p>
      <w:pPr>
        <w:pStyle w:val="BodyText"/>
      </w:pPr>
    </w:p>
    <w:p>
      <w:pPr>
        <w:pStyle w:val="BodyText"/>
      </w:pPr>
    </w:p>
    <w:p>
      <w:pPr>
        <w:pStyle w:val="BodyText"/>
        <w:spacing w:before="5"/>
        <w:rPr>
          <w:sz w:val="28"/>
        </w:rPr>
      </w:pPr>
    </w:p>
    <w:p>
      <w:pPr>
        <w:spacing w:line="213" w:lineRule="auto" w:before="153"/>
        <w:ind w:left="547" w:right="3247" w:firstLine="0"/>
        <w:jc w:val="left"/>
        <w:rPr>
          <w:rFonts w:ascii="Stone Sans II ITC Std X Bd" w:hAnsi="Stone Sans II ITC Std X Bd"/>
          <w:b/>
          <w:sz w:val="50"/>
        </w:rPr>
      </w:pPr>
      <w:r>
        <w:rPr>
          <w:rFonts w:ascii="Stone Sans II ITC Std X Bd" w:hAnsi="Stone Sans II ITC Std X Bd"/>
          <w:b/>
          <w:color w:val="0090D4"/>
          <w:spacing w:val="-14"/>
          <w:w w:val="110"/>
          <w:sz w:val="50"/>
        </w:rPr>
        <w:t>Children’s </w:t>
      </w:r>
      <w:r>
        <w:rPr>
          <w:rFonts w:ascii="Stone Sans II ITC Std X Bd" w:hAnsi="Stone Sans II ITC Std X Bd"/>
          <w:b/>
          <w:color w:val="0090D4"/>
          <w:spacing w:val="-7"/>
          <w:w w:val="110"/>
          <w:sz w:val="50"/>
        </w:rPr>
        <w:t>and </w:t>
      </w:r>
      <w:r>
        <w:rPr>
          <w:rFonts w:ascii="Stone Sans II ITC Std X Bd" w:hAnsi="Stone Sans II ITC Std X Bd"/>
          <w:b/>
          <w:color w:val="0090D4"/>
          <w:spacing w:val="-11"/>
          <w:w w:val="110"/>
          <w:sz w:val="50"/>
        </w:rPr>
        <w:t>youth </w:t>
      </w:r>
      <w:r>
        <w:rPr>
          <w:rFonts w:ascii="Stone Sans II ITC Std X Bd" w:hAnsi="Stone Sans II ITC Std X Bd"/>
          <w:b/>
          <w:color w:val="0090D4"/>
          <w:spacing w:val="-12"/>
          <w:w w:val="110"/>
          <w:sz w:val="50"/>
        </w:rPr>
        <w:t>work </w:t>
      </w:r>
      <w:r>
        <w:rPr>
          <w:rFonts w:ascii="Stone Sans II ITC Std X Bd" w:hAnsi="Stone Sans II ITC Std X Bd"/>
          <w:b/>
          <w:color w:val="0090D4"/>
          <w:spacing w:val="-11"/>
          <w:w w:val="110"/>
          <w:sz w:val="50"/>
        </w:rPr>
        <w:t>committee:</w:t>
      </w:r>
    </w:p>
    <w:p>
      <w:pPr>
        <w:spacing w:line="213" w:lineRule="auto" w:before="0"/>
        <w:ind w:left="547" w:right="2966" w:firstLine="0"/>
        <w:jc w:val="left"/>
        <w:rPr>
          <w:rFonts w:ascii="Stone Sans II ITC Std X Bd"/>
          <w:b/>
          <w:sz w:val="50"/>
        </w:rPr>
      </w:pPr>
      <w:r>
        <w:rPr>
          <w:rFonts w:ascii="Stone Sans II ITC Std X Bd"/>
          <w:b/>
          <w:w w:val="110"/>
          <w:sz w:val="50"/>
        </w:rPr>
        <w:t>Report to General Assembly 2016</w:t>
      </w:r>
    </w:p>
    <w:p>
      <w:pPr>
        <w:pStyle w:val="Heading4"/>
        <w:spacing w:before="322"/>
        <w:ind w:left="547"/>
      </w:pPr>
      <w:r>
        <w:rPr>
          <w:color w:val="7F7F7F"/>
        </w:rPr>
        <w:t>Basic Information</w:t>
      </w:r>
    </w:p>
    <w:tbl>
      <w:tblPr>
        <w:tblW w:w="0" w:type="auto"/>
        <w:jc w:val="left"/>
        <w:tblInd w:w="55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660"/>
        <w:gridCol w:w="6582"/>
      </w:tblGrid>
      <w:tr>
        <w:trPr>
          <w:trHeight w:val="680" w:hRule="atLeast"/>
        </w:trPr>
        <w:tc>
          <w:tcPr>
            <w:tcW w:w="2660" w:type="dxa"/>
            <w:shd w:val="clear" w:color="auto" w:fill="FFFFFF"/>
          </w:tcPr>
          <w:p>
            <w:pPr>
              <w:pStyle w:val="TableParagraph"/>
              <w:spacing w:line="213" w:lineRule="auto" w:before="151"/>
              <w:ind w:right="595"/>
              <w:rPr>
                <w:rFonts w:ascii="Stone Sans II ITC Std Bk"/>
                <w:b/>
                <w:sz w:val="20"/>
              </w:rPr>
            </w:pPr>
            <w:r>
              <w:rPr>
                <w:rFonts w:ascii="Stone Sans II ITC Std Bk"/>
                <w:b/>
                <w:w w:val="110"/>
                <w:sz w:val="20"/>
              </w:rPr>
              <w:t>Contact name and email address</w:t>
            </w:r>
          </w:p>
        </w:tc>
        <w:tc>
          <w:tcPr>
            <w:tcW w:w="6582" w:type="dxa"/>
            <w:shd w:val="clear" w:color="auto" w:fill="FFFFFF"/>
          </w:tcPr>
          <w:p>
            <w:pPr>
              <w:pStyle w:val="TableParagraph"/>
              <w:spacing w:line="235" w:lineRule="auto" w:before="145"/>
              <w:ind w:right="3563"/>
              <w:rPr>
                <w:sz w:val="20"/>
              </w:rPr>
            </w:pPr>
            <w:r>
              <w:rPr>
                <w:w w:val="120"/>
                <w:sz w:val="20"/>
              </w:rPr>
              <w:t>Karen Morrison; Tim Meachin </w:t>
            </w:r>
            <w:hyperlink r:id="rId194">
              <w:r>
                <w:rPr>
                  <w:color w:val="006AB3"/>
                  <w:w w:val="120"/>
                  <w:sz w:val="20"/>
                </w:rPr>
                <w:t>children.youth@urc.org.uk</w:t>
              </w:r>
            </w:hyperlink>
          </w:p>
        </w:tc>
      </w:tr>
      <w:tr>
        <w:trPr>
          <w:trHeight w:val="440" w:hRule="atLeast"/>
        </w:trPr>
        <w:tc>
          <w:tcPr>
            <w:tcW w:w="2660" w:type="dxa"/>
            <w:shd w:val="clear" w:color="auto" w:fill="FFFFFF"/>
          </w:tcPr>
          <w:p>
            <w:pPr>
              <w:pStyle w:val="TableParagraph"/>
              <w:spacing w:before="128"/>
              <w:rPr>
                <w:rFonts w:ascii="Stone Sans II ITC Std Bk"/>
                <w:b/>
                <w:sz w:val="20"/>
              </w:rPr>
            </w:pPr>
            <w:r>
              <w:rPr>
                <w:rFonts w:ascii="Stone Sans II ITC Std Bk"/>
                <w:b/>
                <w:w w:val="110"/>
                <w:sz w:val="20"/>
              </w:rPr>
              <w:t>Action required</w:t>
            </w:r>
          </w:p>
        </w:tc>
        <w:tc>
          <w:tcPr>
            <w:tcW w:w="6582" w:type="dxa"/>
            <w:shd w:val="clear" w:color="auto" w:fill="FFFFFF"/>
          </w:tcPr>
          <w:p>
            <w:pPr>
              <w:pStyle w:val="TableParagraph"/>
              <w:spacing w:before="141"/>
              <w:rPr>
                <w:sz w:val="20"/>
              </w:rPr>
            </w:pPr>
            <w:r>
              <w:rPr>
                <w:w w:val="120"/>
                <w:sz w:val="20"/>
              </w:rPr>
              <w:t>Take note</w:t>
            </w:r>
          </w:p>
        </w:tc>
      </w:tr>
      <w:tr>
        <w:trPr>
          <w:trHeight w:val="440" w:hRule="atLeast"/>
        </w:trPr>
        <w:tc>
          <w:tcPr>
            <w:tcW w:w="2660" w:type="dxa"/>
            <w:shd w:val="clear" w:color="auto" w:fill="FFFFFF"/>
          </w:tcPr>
          <w:p>
            <w:pPr>
              <w:pStyle w:val="TableParagraph"/>
              <w:spacing w:before="128"/>
              <w:rPr>
                <w:rFonts w:ascii="Stone Sans II ITC Std Bk"/>
                <w:b/>
                <w:sz w:val="20"/>
              </w:rPr>
            </w:pPr>
            <w:r>
              <w:rPr>
                <w:rFonts w:ascii="Stone Sans II ITC Std Bk"/>
                <w:b/>
                <w:w w:val="110"/>
                <w:sz w:val="20"/>
              </w:rPr>
              <w:t>Draft resolution(s)</w:t>
            </w:r>
          </w:p>
        </w:tc>
        <w:tc>
          <w:tcPr>
            <w:tcW w:w="6582" w:type="dxa"/>
            <w:shd w:val="clear" w:color="auto" w:fill="FFFFFF"/>
          </w:tcPr>
          <w:p>
            <w:pPr>
              <w:pStyle w:val="TableParagraph"/>
              <w:spacing w:before="128"/>
              <w:rPr>
                <w:rFonts w:ascii="Stone Sans II ITC Std Bk"/>
                <w:b/>
                <w:sz w:val="20"/>
              </w:rPr>
            </w:pPr>
            <w:r>
              <w:rPr>
                <w:rFonts w:ascii="Stone Sans II ITC Std Bk"/>
                <w:b/>
                <w:w w:val="110"/>
                <w:sz w:val="20"/>
              </w:rPr>
              <w:t>None</w:t>
            </w:r>
          </w:p>
        </w:tc>
      </w:tr>
    </w:tbl>
    <w:p>
      <w:pPr>
        <w:pStyle w:val="BodyText"/>
        <w:spacing w:before="3"/>
        <w:rPr>
          <w:rFonts w:ascii="Stone Sans II ITC Std Bk"/>
          <w:b/>
          <w:sz w:val="29"/>
        </w:rPr>
      </w:pPr>
    </w:p>
    <w:p>
      <w:pPr>
        <w:pStyle w:val="Heading4"/>
        <w:ind w:left="547"/>
      </w:pPr>
      <w:r>
        <w:rPr>
          <w:color w:val="7F7F7F"/>
        </w:rPr>
        <w:t>Summary of Content</w:t>
      </w:r>
    </w:p>
    <w:tbl>
      <w:tblPr>
        <w:tblW w:w="0" w:type="auto"/>
        <w:jc w:val="left"/>
        <w:tblInd w:w="55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660"/>
        <w:gridCol w:w="6582"/>
      </w:tblGrid>
      <w:tr>
        <w:trPr>
          <w:trHeight w:val="680" w:hRule="atLeast"/>
        </w:trPr>
        <w:tc>
          <w:tcPr>
            <w:tcW w:w="2660" w:type="dxa"/>
            <w:shd w:val="clear" w:color="auto" w:fill="FFFFFF"/>
          </w:tcPr>
          <w:p>
            <w:pPr>
              <w:pStyle w:val="TableParagraph"/>
              <w:spacing w:before="128"/>
              <w:rPr>
                <w:rFonts w:ascii="Stone Sans II ITC Std Bk"/>
                <w:b/>
                <w:sz w:val="20"/>
              </w:rPr>
            </w:pPr>
            <w:r>
              <w:rPr>
                <w:rFonts w:ascii="Stone Sans II ITC Std Bk"/>
                <w:b/>
                <w:w w:val="110"/>
                <w:sz w:val="20"/>
              </w:rPr>
              <w:t>Subject and aim(s)</w:t>
            </w:r>
          </w:p>
        </w:tc>
        <w:tc>
          <w:tcPr>
            <w:tcW w:w="6582" w:type="dxa"/>
            <w:shd w:val="clear" w:color="auto" w:fill="FFFFFF"/>
          </w:tcPr>
          <w:p>
            <w:pPr>
              <w:pStyle w:val="TableParagraph"/>
              <w:spacing w:line="235" w:lineRule="auto" w:before="145"/>
              <w:ind w:right="804"/>
              <w:rPr>
                <w:sz w:val="20"/>
              </w:rPr>
            </w:pPr>
            <w:r>
              <w:rPr>
                <w:w w:val="120"/>
                <w:sz w:val="20"/>
              </w:rPr>
              <w:t>Actions and developments since General Assembly 2014 Plans for the future</w:t>
            </w:r>
          </w:p>
        </w:tc>
      </w:tr>
      <w:tr>
        <w:trPr>
          <w:trHeight w:val="920" w:hRule="atLeast"/>
        </w:trPr>
        <w:tc>
          <w:tcPr>
            <w:tcW w:w="2660" w:type="dxa"/>
            <w:shd w:val="clear" w:color="auto" w:fill="FFFFFF"/>
          </w:tcPr>
          <w:p>
            <w:pPr>
              <w:pStyle w:val="TableParagraph"/>
              <w:spacing w:before="128"/>
              <w:rPr>
                <w:rFonts w:ascii="Stone Sans II ITC Std Bk"/>
                <w:b/>
                <w:sz w:val="20"/>
              </w:rPr>
            </w:pPr>
            <w:r>
              <w:rPr>
                <w:rFonts w:ascii="Stone Sans II ITC Std Bk"/>
                <w:b/>
                <w:w w:val="110"/>
                <w:sz w:val="20"/>
              </w:rPr>
              <w:t>Main points</w:t>
            </w:r>
          </w:p>
        </w:tc>
        <w:tc>
          <w:tcPr>
            <w:tcW w:w="6582" w:type="dxa"/>
            <w:shd w:val="clear" w:color="auto" w:fill="FFFFFF"/>
          </w:tcPr>
          <w:p>
            <w:pPr>
              <w:pStyle w:val="TableParagraph"/>
              <w:spacing w:line="235" w:lineRule="auto" w:before="145"/>
              <w:ind w:right="334"/>
              <w:rPr>
                <w:sz w:val="20"/>
              </w:rPr>
            </w:pPr>
            <w:r>
              <w:rPr>
                <w:w w:val="120"/>
                <w:sz w:val="20"/>
              </w:rPr>
              <w:t>Restructuring of </w:t>
            </w:r>
            <w:r>
              <w:rPr>
                <w:spacing w:val="-3"/>
                <w:w w:val="120"/>
                <w:sz w:val="20"/>
              </w:rPr>
              <w:t>FURY, </w:t>
            </w:r>
            <w:r>
              <w:rPr>
                <w:w w:val="120"/>
                <w:sz w:val="20"/>
              </w:rPr>
              <w:t>key decisions  regarding  future planning, </w:t>
            </w:r>
            <w:r>
              <w:rPr>
                <w:spacing w:val="2"/>
                <w:w w:val="120"/>
                <w:sz w:val="20"/>
              </w:rPr>
              <w:t>report </w:t>
            </w:r>
            <w:r>
              <w:rPr>
                <w:w w:val="120"/>
                <w:sz w:val="20"/>
              </w:rPr>
              <w:t>of work undertaken. Pilots and its place in the committee’s</w:t>
            </w:r>
            <w:r>
              <w:rPr>
                <w:spacing w:val="2"/>
                <w:w w:val="120"/>
                <w:sz w:val="20"/>
              </w:rPr>
              <w:t> </w:t>
            </w:r>
            <w:r>
              <w:rPr>
                <w:w w:val="120"/>
                <w:sz w:val="20"/>
              </w:rPr>
              <w:t>programme</w:t>
            </w:r>
          </w:p>
        </w:tc>
      </w:tr>
      <w:tr>
        <w:trPr>
          <w:trHeight w:val="680" w:hRule="atLeast"/>
        </w:trPr>
        <w:tc>
          <w:tcPr>
            <w:tcW w:w="2660" w:type="dxa"/>
            <w:shd w:val="clear" w:color="auto" w:fill="FFFFFF"/>
          </w:tcPr>
          <w:p>
            <w:pPr>
              <w:pStyle w:val="TableParagraph"/>
              <w:spacing w:line="213" w:lineRule="auto" w:before="151"/>
              <w:ind w:right="701"/>
              <w:rPr>
                <w:rFonts w:ascii="Stone Sans II ITC Std Bk"/>
                <w:b/>
                <w:sz w:val="20"/>
              </w:rPr>
            </w:pPr>
            <w:r>
              <w:rPr>
                <w:rFonts w:ascii="Stone Sans II ITC Std Bk"/>
                <w:b/>
                <w:w w:val="110"/>
                <w:sz w:val="20"/>
              </w:rPr>
              <w:t>Previous relevant documents</w:t>
            </w:r>
          </w:p>
        </w:tc>
        <w:tc>
          <w:tcPr>
            <w:tcW w:w="6582" w:type="dxa"/>
            <w:shd w:val="clear" w:color="auto" w:fill="FFFFFF"/>
          </w:tcPr>
          <w:p>
            <w:pPr>
              <w:pStyle w:val="TableParagraph"/>
              <w:spacing w:line="242" w:lineRule="exact" w:before="141"/>
              <w:rPr>
                <w:sz w:val="20"/>
              </w:rPr>
            </w:pPr>
            <w:r>
              <w:rPr>
                <w:w w:val="120"/>
                <w:sz w:val="20"/>
              </w:rPr>
              <w:t>Papers B1 and B2: Mission Council November 2015</w:t>
            </w:r>
          </w:p>
          <w:p>
            <w:pPr>
              <w:pStyle w:val="TableParagraph"/>
              <w:spacing w:line="242" w:lineRule="exact"/>
              <w:rPr>
                <w:sz w:val="20"/>
              </w:rPr>
            </w:pPr>
            <w:r>
              <w:rPr>
                <w:w w:val="120"/>
                <w:sz w:val="20"/>
              </w:rPr>
              <w:t>URC Youth Handbook and associated documents – online</w:t>
            </w:r>
          </w:p>
        </w:tc>
      </w:tr>
      <w:tr>
        <w:trPr>
          <w:trHeight w:val="680" w:hRule="atLeast"/>
        </w:trPr>
        <w:tc>
          <w:tcPr>
            <w:tcW w:w="2660" w:type="dxa"/>
            <w:shd w:val="clear" w:color="auto" w:fill="FFFFFF"/>
          </w:tcPr>
          <w:p>
            <w:pPr>
              <w:pStyle w:val="TableParagraph"/>
              <w:spacing w:line="213" w:lineRule="auto" w:before="151"/>
              <w:ind w:right="104"/>
              <w:rPr>
                <w:rFonts w:ascii="Stone Sans II ITC Std Bk"/>
                <w:b/>
                <w:sz w:val="20"/>
              </w:rPr>
            </w:pPr>
            <w:r>
              <w:rPr>
                <w:rFonts w:ascii="Stone Sans II ITC Std Bk"/>
                <w:b/>
                <w:w w:val="110"/>
                <w:sz w:val="20"/>
              </w:rPr>
              <w:t>Consultation has taken place with...</w:t>
            </w:r>
          </w:p>
        </w:tc>
        <w:tc>
          <w:tcPr>
            <w:tcW w:w="6582" w:type="dxa"/>
            <w:shd w:val="clear" w:color="auto" w:fill="FFFFFF"/>
          </w:tcPr>
          <w:p>
            <w:pPr>
              <w:pStyle w:val="TableParagraph"/>
              <w:spacing w:before="141"/>
              <w:rPr>
                <w:sz w:val="20"/>
              </w:rPr>
            </w:pPr>
            <w:r>
              <w:rPr>
                <w:spacing w:val="-3"/>
                <w:w w:val="120"/>
                <w:sz w:val="20"/>
              </w:rPr>
              <w:t>Youth </w:t>
            </w:r>
            <w:r>
              <w:rPr>
                <w:w w:val="120"/>
                <w:sz w:val="20"/>
              </w:rPr>
              <w:t>Assembly </w:t>
            </w:r>
            <w:r>
              <w:rPr>
                <w:spacing w:val="-7"/>
                <w:w w:val="120"/>
                <w:sz w:val="20"/>
              </w:rPr>
              <w:t>2015 </w:t>
            </w:r>
            <w:r>
              <w:rPr>
                <w:w w:val="120"/>
                <w:sz w:val="20"/>
              </w:rPr>
              <w:t>and </w:t>
            </w:r>
            <w:r>
              <w:rPr>
                <w:spacing w:val="-7"/>
                <w:w w:val="120"/>
                <w:sz w:val="20"/>
              </w:rPr>
              <w:t>2016 </w:t>
            </w:r>
            <w:r>
              <w:rPr>
                <w:w w:val="120"/>
                <w:sz w:val="20"/>
              </w:rPr>
              <w:t>and via online</w:t>
            </w:r>
            <w:r>
              <w:rPr>
                <w:spacing w:val="52"/>
                <w:w w:val="120"/>
                <w:sz w:val="20"/>
              </w:rPr>
              <w:t> </w:t>
            </w:r>
            <w:r>
              <w:rPr>
                <w:w w:val="120"/>
                <w:sz w:val="20"/>
              </w:rPr>
              <w:t>survey</w:t>
            </w:r>
          </w:p>
        </w:tc>
      </w:tr>
    </w:tbl>
    <w:p>
      <w:pPr>
        <w:pStyle w:val="BodyText"/>
        <w:spacing w:before="3"/>
        <w:rPr>
          <w:rFonts w:ascii="Stone Sans II ITC Std Bk"/>
          <w:b/>
          <w:sz w:val="29"/>
        </w:rPr>
      </w:pPr>
    </w:p>
    <w:p>
      <w:pPr>
        <w:pStyle w:val="Heading4"/>
        <w:spacing w:before="1"/>
        <w:ind w:left="547"/>
      </w:pPr>
      <w:r>
        <w:rPr>
          <w:color w:val="7F7F7F"/>
        </w:rPr>
        <w:t>Summary of Impact</w:t>
      </w:r>
    </w:p>
    <w:tbl>
      <w:tblPr>
        <w:tblW w:w="0" w:type="auto"/>
        <w:jc w:val="left"/>
        <w:tblInd w:w="55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660"/>
        <w:gridCol w:w="6582"/>
      </w:tblGrid>
      <w:tr>
        <w:trPr>
          <w:trHeight w:val="440" w:hRule="atLeast"/>
        </w:trPr>
        <w:tc>
          <w:tcPr>
            <w:tcW w:w="2660" w:type="dxa"/>
            <w:shd w:val="clear" w:color="auto" w:fill="FFFFFF"/>
          </w:tcPr>
          <w:p>
            <w:pPr>
              <w:pStyle w:val="TableParagraph"/>
              <w:spacing w:before="128"/>
              <w:rPr>
                <w:rFonts w:ascii="Stone Sans II ITC Std Bk"/>
                <w:b/>
                <w:sz w:val="20"/>
              </w:rPr>
            </w:pPr>
            <w:r>
              <w:rPr>
                <w:rFonts w:ascii="Stone Sans II ITC Std Bk"/>
                <w:b/>
                <w:w w:val="110"/>
                <w:sz w:val="20"/>
              </w:rPr>
              <w:t>Financial</w:t>
            </w:r>
          </w:p>
        </w:tc>
        <w:tc>
          <w:tcPr>
            <w:tcW w:w="6582" w:type="dxa"/>
            <w:shd w:val="clear" w:color="auto" w:fill="FFFFFF"/>
          </w:tcPr>
          <w:p>
            <w:pPr>
              <w:pStyle w:val="TableParagraph"/>
              <w:spacing w:before="141"/>
              <w:rPr>
                <w:sz w:val="20"/>
              </w:rPr>
            </w:pPr>
            <w:r>
              <w:rPr>
                <w:w w:val="120"/>
                <w:sz w:val="20"/>
              </w:rPr>
              <w:t>N/A</w:t>
            </w:r>
          </w:p>
        </w:tc>
      </w:tr>
      <w:tr>
        <w:trPr>
          <w:trHeight w:val="680" w:hRule="atLeast"/>
        </w:trPr>
        <w:tc>
          <w:tcPr>
            <w:tcW w:w="2660" w:type="dxa"/>
            <w:shd w:val="clear" w:color="auto" w:fill="FFFFFF"/>
          </w:tcPr>
          <w:p>
            <w:pPr>
              <w:pStyle w:val="TableParagraph"/>
              <w:spacing w:line="255" w:lineRule="exact" w:before="128"/>
              <w:rPr>
                <w:rFonts w:ascii="Stone Sans II ITC Std Bk"/>
                <w:b/>
                <w:sz w:val="20"/>
              </w:rPr>
            </w:pPr>
            <w:r>
              <w:rPr>
                <w:rFonts w:ascii="Stone Sans II ITC Std Bk"/>
                <w:b/>
                <w:w w:val="110"/>
                <w:sz w:val="20"/>
              </w:rPr>
              <w:t>External</w:t>
            </w:r>
          </w:p>
          <w:p>
            <w:pPr>
              <w:pStyle w:val="TableParagraph"/>
              <w:spacing w:line="255" w:lineRule="exact"/>
              <w:rPr>
                <w:rFonts w:ascii="Stone Sans II ITC Std Bk"/>
                <w:b/>
                <w:sz w:val="20"/>
              </w:rPr>
            </w:pPr>
            <w:r>
              <w:rPr>
                <w:rFonts w:ascii="Stone Sans II ITC Std Bk"/>
                <w:b/>
                <w:w w:val="110"/>
                <w:sz w:val="20"/>
              </w:rPr>
              <w:t>(e.g. ecumenical)</w:t>
            </w:r>
          </w:p>
        </w:tc>
        <w:tc>
          <w:tcPr>
            <w:tcW w:w="6582" w:type="dxa"/>
            <w:shd w:val="clear" w:color="auto" w:fill="FFFFFF"/>
          </w:tcPr>
          <w:p>
            <w:pPr>
              <w:pStyle w:val="TableParagraph"/>
              <w:spacing w:before="141"/>
              <w:rPr>
                <w:sz w:val="20"/>
              </w:rPr>
            </w:pPr>
            <w:r>
              <w:rPr>
                <w:w w:val="120"/>
                <w:sz w:val="20"/>
              </w:rPr>
              <w:t>N/A.</w:t>
            </w:r>
          </w:p>
        </w:tc>
      </w:tr>
    </w:tbl>
    <w:p>
      <w:pPr>
        <w:pStyle w:val="BodyText"/>
        <w:rPr>
          <w:rFonts w:ascii="Stone Sans II ITC Std Bk"/>
          <w:b/>
          <w:sz w:val="30"/>
        </w:rPr>
      </w:pPr>
    </w:p>
    <w:p>
      <w:pPr>
        <w:pStyle w:val="BodyText"/>
        <w:rPr>
          <w:rFonts w:ascii="Stone Sans II ITC Std Bk"/>
          <w:b/>
          <w:sz w:val="30"/>
        </w:rPr>
      </w:pPr>
    </w:p>
    <w:p>
      <w:pPr>
        <w:pStyle w:val="BodyText"/>
        <w:rPr>
          <w:rFonts w:ascii="Stone Sans II ITC Std Bk"/>
          <w:b/>
          <w:sz w:val="30"/>
        </w:rPr>
      </w:pPr>
    </w:p>
    <w:p>
      <w:pPr>
        <w:pStyle w:val="BodyText"/>
        <w:rPr>
          <w:rFonts w:ascii="Stone Sans II ITC Std Bk"/>
          <w:b/>
          <w:sz w:val="30"/>
        </w:rPr>
      </w:pPr>
    </w:p>
    <w:p>
      <w:pPr>
        <w:pStyle w:val="BodyText"/>
        <w:rPr>
          <w:rFonts w:ascii="Stone Sans II ITC Std Bk"/>
          <w:b/>
          <w:sz w:val="30"/>
        </w:rPr>
      </w:pPr>
    </w:p>
    <w:p>
      <w:pPr>
        <w:pStyle w:val="BodyText"/>
        <w:rPr>
          <w:rFonts w:ascii="Stone Sans II ITC Std Bk"/>
          <w:b/>
          <w:sz w:val="30"/>
        </w:rPr>
      </w:pPr>
    </w:p>
    <w:p>
      <w:pPr>
        <w:pStyle w:val="BodyText"/>
        <w:rPr>
          <w:rFonts w:ascii="Stone Sans II ITC Std Bk"/>
          <w:b/>
          <w:sz w:val="30"/>
        </w:rPr>
      </w:pPr>
    </w:p>
    <w:p>
      <w:pPr>
        <w:pStyle w:val="BodyText"/>
        <w:rPr>
          <w:rFonts w:ascii="Stone Sans II ITC Std Bk"/>
          <w:b/>
          <w:sz w:val="30"/>
        </w:rPr>
      </w:pPr>
    </w:p>
    <w:p>
      <w:pPr>
        <w:pStyle w:val="BodyText"/>
        <w:rPr>
          <w:rFonts w:ascii="Stone Sans II ITC Std Bk"/>
          <w:b/>
          <w:sz w:val="30"/>
        </w:rPr>
      </w:pPr>
    </w:p>
    <w:p>
      <w:pPr>
        <w:pStyle w:val="BodyText"/>
        <w:rPr>
          <w:rFonts w:ascii="Stone Sans II ITC Std Bk"/>
          <w:b/>
          <w:sz w:val="30"/>
        </w:rPr>
      </w:pPr>
    </w:p>
    <w:p>
      <w:pPr>
        <w:pStyle w:val="BodyText"/>
        <w:spacing w:before="8"/>
        <w:rPr>
          <w:rFonts w:ascii="Stone Sans II ITC Std Bk"/>
          <w:b/>
          <w:sz w:val="31"/>
        </w:rPr>
      </w:pPr>
    </w:p>
    <w:p>
      <w:pPr>
        <w:pStyle w:val="Heading6"/>
        <w:spacing w:before="0"/>
        <w:ind w:left="547"/>
      </w:pPr>
      <w:r>
        <w:rPr>
          <w:rFonts w:ascii="Stone Sans II ITC Std X Bd" w:hAnsi="Stone Sans II ITC Std X Bd"/>
          <w:b/>
          <w:w w:val="110"/>
          <w:sz w:val="24"/>
        </w:rPr>
        <w:t>54 </w:t>
      </w:r>
      <w:r>
        <w:rPr>
          <w:rFonts w:ascii="Symbol" w:hAnsi="Symbol"/>
          <w:color w:val="7EAABF"/>
          <w:w w:val="110"/>
        </w:rPr>
        <w:t></w:t>
      </w:r>
      <w:r>
        <w:rPr>
          <w:rFonts w:ascii="Times New Roman" w:hAnsi="Times New Roman"/>
          <w:color w:val="7EAABF"/>
          <w:w w:val="110"/>
        </w:rPr>
        <w:t> </w:t>
      </w:r>
      <w:r>
        <w:rPr>
          <w:color w:val="7EAABF"/>
          <w:w w:val="110"/>
        </w:rPr>
        <w:t>United Reformed Church </w:t>
      </w:r>
      <w:r>
        <w:rPr>
          <w:rFonts w:ascii="Symbol" w:hAnsi="Symbol"/>
          <w:color w:val="7EAABF"/>
          <w:w w:val="110"/>
        </w:rPr>
        <w:t></w:t>
      </w:r>
      <w:r>
        <w:rPr>
          <w:rFonts w:ascii="Times New Roman" w:hAnsi="Times New Roman"/>
          <w:color w:val="7EAABF"/>
          <w:w w:val="110"/>
        </w:rPr>
        <w:t> </w:t>
      </w:r>
      <w:r>
        <w:rPr>
          <w:color w:val="7EAABF"/>
          <w:w w:val="110"/>
        </w:rPr>
        <w:t>General Assembly 2016</w:t>
      </w:r>
    </w:p>
    <w:p>
      <w:pPr>
        <w:spacing w:after="0"/>
        <w:sectPr>
          <w:headerReference w:type="even" r:id="rId192"/>
          <w:footerReference w:type="even" r:id="rId193"/>
          <w:pgSz w:w="11910" w:h="16840"/>
          <w:pgMar w:header="0" w:footer="0" w:top="0" w:bottom="0" w:left="700" w:right="0"/>
        </w:sectPr>
      </w:pPr>
    </w:p>
    <w:p>
      <w:pPr>
        <w:pStyle w:val="BodyText"/>
      </w:pPr>
      <w:r>
        <w:rPr/>
        <w:drawing>
          <wp:anchor distT="0" distB="0" distL="0" distR="0" allowOverlap="1" layoutInCell="1" locked="0" behindDoc="0" simplePos="0" relativeHeight="251801600">
            <wp:simplePos x="0" y="0"/>
            <wp:positionH relativeFrom="page">
              <wp:posOffset>6974928</wp:posOffset>
            </wp:positionH>
            <wp:positionV relativeFrom="page">
              <wp:posOffset>0</wp:posOffset>
            </wp:positionV>
            <wp:extent cx="585063" cy="10692003"/>
            <wp:effectExtent l="0" t="0" r="0" b="0"/>
            <wp:wrapNone/>
            <wp:docPr id="95" name="image54.png"/>
            <wp:cNvGraphicFramePr>
              <a:graphicFrameLocks noChangeAspect="1"/>
            </wp:cNvGraphicFramePr>
            <a:graphic>
              <a:graphicData uri="http://schemas.openxmlformats.org/drawingml/2006/picture">
                <pic:pic>
                  <pic:nvPicPr>
                    <pic:cNvPr id="96" name="image54.png"/>
                    <pic:cNvPicPr/>
                  </pic:nvPicPr>
                  <pic:blipFill>
                    <a:blip r:embed="rId169" cstate="print"/>
                    <a:stretch>
                      <a:fillRect/>
                    </a:stretch>
                  </pic:blipFill>
                  <pic:spPr>
                    <a:xfrm>
                      <a:off x="0" y="0"/>
                      <a:ext cx="585063" cy="10692003"/>
                    </a:xfrm>
                    <a:prstGeom prst="rect">
                      <a:avLst/>
                    </a:prstGeom>
                  </pic:spPr>
                </pic:pic>
              </a:graphicData>
            </a:graphic>
          </wp:anchor>
        </w:drawing>
      </w:r>
    </w:p>
    <w:p>
      <w:pPr>
        <w:pStyle w:val="BodyText"/>
      </w:pPr>
    </w:p>
    <w:p>
      <w:pPr>
        <w:pStyle w:val="BodyText"/>
      </w:pPr>
    </w:p>
    <w:p>
      <w:pPr>
        <w:pStyle w:val="BodyText"/>
        <w:spacing w:before="5"/>
        <w:rPr>
          <w:sz w:val="28"/>
        </w:rPr>
      </w:pPr>
    </w:p>
    <w:p>
      <w:pPr>
        <w:spacing w:line="213" w:lineRule="auto" w:before="153"/>
        <w:ind w:left="1284" w:right="1865" w:firstLine="0"/>
        <w:jc w:val="left"/>
        <w:rPr>
          <w:rFonts w:ascii="Stone Sans II ITC Std X Bd" w:hAnsi="Stone Sans II ITC Std X Bd"/>
          <w:b/>
          <w:sz w:val="50"/>
        </w:rPr>
      </w:pPr>
      <w:r>
        <w:rPr/>
        <w:pict>
          <v:shape style="position:absolute;margin-left:554.141174pt;margin-top:-5.989334pt;width:25.9pt;height:267.8pt;mso-position-horizontal-relative:page;mso-position-vertical-relative:paragraph;z-index:251803648" type="#_x0000_t202" filled="false" stroked="false">
            <v:textbox inset="0,0,0,0" style="layout-flow:vertical">
              <w:txbxContent>
                <w:p>
                  <w:pPr>
                    <w:spacing w:before="27"/>
                    <w:ind w:left="20" w:right="0" w:firstLine="0"/>
                    <w:jc w:val="left"/>
                    <w:rPr>
                      <w:sz w:val="39"/>
                    </w:rPr>
                  </w:pPr>
                  <w:r>
                    <w:rPr>
                      <w:color w:val="FFFFFF"/>
                      <w:spacing w:val="3"/>
                      <w:w w:val="120"/>
                      <w:sz w:val="39"/>
                    </w:rPr>
                    <w:t>Children’s </w:t>
                  </w:r>
                  <w:r>
                    <w:rPr>
                      <w:color w:val="FFFFFF"/>
                      <w:spacing w:val="7"/>
                      <w:w w:val="120"/>
                      <w:sz w:val="39"/>
                    </w:rPr>
                    <w:t>and </w:t>
                  </w:r>
                  <w:r>
                    <w:rPr>
                      <w:color w:val="FFFFFF"/>
                      <w:spacing w:val="8"/>
                      <w:w w:val="120"/>
                      <w:sz w:val="39"/>
                    </w:rPr>
                    <w:t>youth</w:t>
                  </w:r>
                  <w:r>
                    <w:rPr>
                      <w:color w:val="FFFFFF"/>
                      <w:spacing w:val="-43"/>
                      <w:w w:val="120"/>
                      <w:sz w:val="39"/>
                    </w:rPr>
                    <w:t> </w:t>
                  </w:r>
                  <w:r>
                    <w:rPr>
                      <w:color w:val="FFFFFF"/>
                      <w:spacing w:val="7"/>
                      <w:w w:val="120"/>
                      <w:sz w:val="39"/>
                    </w:rPr>
                    <w:t>work</w:t>
                  </w:r>
                </w:p>
              </w:txbxContent>
            </v:textbox>
            <w10:wrap type="none"/>
          </v:shape>
        </w:pict>
      </w:r>
      <w:r>
        <w:rPr>
          <w:rFonts w:ascii="Stone Sans II ITC Std X Bd" w:hAnsi="Stone Sans II ITC Std X Bd"/>
          <w:b/>
          <w:w w:val="110"/>
          <w:sz w:val="50"/>
        </w:rPr>
        <w:t>Children’s and youth work committee General Assembly 2016 report</w:t>
      </w:r>
    </w:p>
    <w:p>
      <w:pPr>
        <w:spacing w:line="237" w:lineRule="auto" w:before="146"/>
        <w:ind w:left="1511" w:right="7232" w:firstLine="0"/>
        <w:jc w:val="left"/>
        <w:rPr>
          <w:sz w:val="18"/>
        </w:rPr>
      </w:pPr>
      <w:r>
        <w:rPr/>
        <w:pict>
          <v:line style="position:absolute;mso-position-horizontal-relative:page;mso-position-vertical-relative:paragraph;z-index:251802624" from="99.212601pt,8.806067pt" to="99.212601pt,126.443067pt" stroked="true" strokeweight="2pt" strokecolor="#0090d4">
            <v:stroke dashstyle="solid"/>
            <w10:wrap type="none"/>
          </v:line>
        </w:pict>
      </w:r>
      <w:r>
        <w:rPr>
          <w:rFonts w:ascii="Stone Sans II ITC Std Bk"/>
          <w:b/>
          <w:color w:val="707172"/>
          <w:w w:val="115"/>
          <w:sz w:val="18"/>
        </w:rPr>
        <w:t>Committee members Convenor: </w:t>
      </w:r>
      <w:r>
        <w:rPr>
          <w:color w:val="707172"/>
          <w:w w:val="115"/>
          <w:sz w:val="18"/>
        </w:rPr>
        <w:t>Tim Meachin</w:t>
      </w:r>
    </w:p>
    <w:p>
      <w:pPr>
        <w:spacing w:line="242" w:lineRule="auto" w:before="0"/>
        <w:ind w:left="1511" w:right="1658" w:firstLine="0"/>
        <w:jc w:val="left"/>
        <w:rPr>
          <w:sz w:val="18"/>
        </w:rPr>
      </w:pPr>
      <w:r>
        <w:rPr>
          <w:rFonts w:ascii="Stone Sans II ITC Std Bk" w:hAnsi="Stone Sans II ITC Std Bk"/>
          <w:b/>
          <w:color w:val="707172"/>
          <w:w w:val="120"/>
          <w:sz w:val="18"/>
        </w:rPr>
        <w:t>Secretary: </w:t>
      </w:r>
      <w:r>
        <w:rPr>
          <w:color w:val="707172"/>
          <w:w w:val="120"/>
          <w:sz w:val="18"/>
        </w:rPr>
        <w:t>Karen Morrison (Head of Children’s and Youth Work Development)   </w:t>
      </w:r>
      <w:r>
        <w:rPr>
          <w:rFonts w:ascii="Stone Sans II ITC Std Bk" w:hAnsi="Stone Sans II ITC Std Bk"/>
          <w:b/>
          <w:color w:val="707172"/>
          <w:w w:val="120"/>
          <w:sz w:val="18"/>
        </w:rPr>
        <w:t>Members: </w:t>
      </w:r>
      <w:r>
        <w:rPr>
          <w:color w:val="707172"/>
          <w:w w:val="120"/>
          <w:sz w:val="18"/>
        </w:rPr>
        <w:t>Sam Brown, Heather Cadoux, Lorraine Downer-Mattis, Richard Eastman </w:t>
      </w:r>
      <w:r>
        <w:rPr>
          <w:color w:val="707172"/>
          <w:spacing w:val="-3"/>
          <w:w w:val="120"/>
          <w:sz w:val="18"/>
        </w:rPr>
        <w:t>(until </w:t>
      </w:r>
      <w:r>
        <w:rPr>
          <w:color w:val="707172"/>
          <w:spacing w:val="2"/>
          <w:w w:val="120"/>
          <w:sz w:val="18"/>
        </w:rPr>
        <w:t>Fe</w:t>
      </w:r>
      <w:bookmarkStart w:name="_GoBack" w:id="4"/>
      <w:bookmarkEnd w:id="4"/>
      <w:r>
        <w:rPr>
          <w:color w:val="707172"/>
          <w:spacing w:val="2"/>
          <w:w w:val="120"/>
          <w:sz w:val="18"/>
        </w:rPr>
        <w:t>b</w:t>
      </w:r>
      <w:r>
        <w:rPr>
          <w:color w:val="707172"/>
          <w:spacing w:val="2"/>
          <w:w w:val="120"/>
          <w:sz w:val="18"/>
        </w:rPr>
        <w:t>ruary</w:t>
      </w:r>
      <w:r>
        <w:rPr>
          <w:color w:val="707172"/>
          <w:spacing w:val="26"/>
          <w:w w:val="120"/>
          <w:sz w:val="18"/>
        </w:rPr>
        <w:t> </w:t>
      </w:r>
      <w:r>
        <w:rPr>
          <w:color w:val="707172"/>
          <w:spacing w:val="-5"/>
          <w:w w:val="120"/>
          <w:sz w:val="18"/>
        </w:rPr>
        <w:t>2016),</w:t>
      </w:r>
      <w:r>
        <w:rPr>
          <w:color w:val="707172"/>
          <w:spacing w:val="27"/>
          <w:w w:val="120"/>
          <w:sz w:val="18"/>
        </w:rPr>
        <w:t> </w:t>
      </w:r>
      <w:r>
        <w:rPr>
          <w:color w:val="707172"/>
          <w:w w:val="120"/>
          <w:sz w:val="18"/>
        </w:rPr>
        <w:t>Nicola</w:t>
      </w:r>
      <w:r>
        <w:rPr>
          <w:color w:val="707172"/>
          <w:spacing w:val="27"/>
          <w:w w:val="120"/>
          <w:sz w:val="18"/>
        </w:rPr>
        <w:t> </w:t>
      </w:r>
      <w:r>
        <w:rPr>
          <w:color w:val="707172"/>
          <w:w w:val="120"/>
          <w:sz w:val="18"/>
        </w:rPr>
        <w:t>Grieves</w:t>
      </w:r>
      <w:r>
        <w:rPr>
          <w:color w:val="707172"/>
          <w:spacing w:val="26"/>
          <w:w w:val="120"/>
          <w:sz w:val="18"/>
        </w:rPr>
        <w:t> </w:t>
      </w:r>
      <w:r>
        <w:rPr>
          <w:color w:val="707172"/>
          <w:w w:val="120"/>
          <w:sz w:val="18"/>
        </w:rPr>
        <w:t>(CYDO</w:t>
      </w:r>
      <w:r>
        <w:rPr>
          <w:color w:val="707172"/>
          <w:spacing w:val="27"/>
          <w:w w:val="120"/>
          <w:sz w:val="18"/>
        </w:rPr>
        <w:t> </w:t>
      </w:r>
      <w:r>
        <w:rPr>
          <w:color w:val="707172"/>
          <w:spacing w:val="-6"/>
          <w:w w:val="120"/>
          <w:sz w:val="18"/>
        </w:rPr>
        <w:t>2016-18),</w:t>
      </w:r>
      <w:r>
        <w:rPr>
          <w:color w:val="707172"/>
          <w:spacing w:val="27"/>
          <w:w w:val="120"/>
          <w:sz w:val="18"/>
        </w:rPr>
        <w:t> </w:t>
      </w:r>
      <w:r>
        <w:rPr>
          <w:color w:val="707172"/>
          <w:w w:val="120"/>
          <w:sz w:val="18"/>
        </w:rPr>
        <w:t>Alan</w:t>
      </w:r>
      <w:r>
        <w:rPr>
          <w:color w:val="707172"/>
          <w:spacing w:val="26"/>
          <w:w w:val="120"/>
          <w:sz w:val="18"/>
        </w:rPr>
        <w:t> </w:t>
      </w:r>
      <w:r>
        <w:rPr>
          <w:color w:val="707172"/>
          <w:w w:val="120"/>
          <w:sz w:val="18"/>
        </w:rPr>
        <w:t>Kendal,</w:t>
      </w:r>
      <w:r>
        <w:rPr>
          <w:color w:val="707172"/>
          <w:spacing w:val="27"/>
          <w:w w:val="120"/>
          <w:sz w:val="18"/>
        </w:rPr>
        <w:t> </w:t>
      </w:r>
      <w:r>
        <w:rPr>
          <w:color w:val="707172"/>
          <w:w w:val="120"/>
          <w:sz w:val="18"/>
        </w:rPr>
        <w:t>Tim</w:t>
      </w:r>
      <w:r>
        <w:rPr>
          <w:color w:val="707172"/>
          <w:spacing w:val="27"/>
          <w:w w:val="120"/>
          <w:sz w:val="18"/>
        </w:rPr>
        <w:t> </w:t>
      </w:r>
      <w:r>
        <w:rPr>
          <w:color w:val="707172"/>
          <w:w w:val="120"/>
          <w:sz w:val="18"/>
        </w:rPr>
        <w:t>Lowe</w:t>
      </w:r>
      <w:r>
        <w:rPr>
          <w:color w:val="707172"/>
          <w:spacing w:val="27"/>
          <w:w w:val="120"/>
          <w:sz w:val="18"/>
        </w:rPr>
        <w:t> </w:t>
      </w:r>
      <w:r>
        <w:rPr>
          <w:color w:val="707172"/>
          <w:spacing w:val="-3"/>
          <w:w w:val="120"/>
          <w:sz w:val="18"/>
        </w:rPr>
        <w:t>(until</w:t>
      </w:r>
      <w:r>
        <w:rPr>
          <w:color w:val="707172"/>
          <w:spacing w:val="26"/>
          <w:w w:val="120"/>
          <w:sz w:val="18"/>
        </w:rPr>
        <w:t> </w:t>
      </w:r>
      <w:r>
        <w:rPr>
          <w:color w:val="707172"/>
          <w:w w:val="120"/>
          <w:sz w:val="18"/>
        </w:rPr>
        <w:t>June</w:t>
      </w:r>
      <w:r>
        <w:rPr>
          <w:color w:val="707172"/>
          <w:spacing w:val="27"/>
          <w:w w:val="120"/>
          <w:sz w:val="18"/>
        </w:rPr>
        <w:t> </w:t>
      </w:r>
      <w:r>
        <w:rPr>
          <w:color w:val="707172"/>
          <w:spacing w:val="-6"/>
          <w:w w:val="120"/>
          <w:sz w:val="18"/>
        </w:rPr>
        <w:t>2015),</w:t>
      </w:r>
    </w:p>
    <w:p>
      <w:pPr>
        <w:spacing w:line="261" w:lineRule="auto" w:before="14"/>
        <w:ind w:left="1511" w:right="1477" w:firstLine="0"/>
        <w:jc w:val="left"/>
        <w:rPr>
          <w:sz w:val="18"/>
        </w:rPr>
      </w:pPr>
      <w:r>
        <w:rPr>
          <w:color w:val="707172"/>
          <w:w w:val="125"/>
          <w:sz w:val="18"/>
        </w:rPr>
        <w:t>Maria</w:t>
      </w:r>
      <w:r>
        <w:rPr>
          <w:color w:val="707172"/>
          <w:spacing w:val="-12"/>
          <w:w w:val="125"/>
          <w:sz w:val="18"/>
        </w:rPr>
        <w:t> </w:t>
      </w:r>
      <w:r>
        <w:rPr>
          <w:color w:val="707172"/>
          <w:w w:val="125"/>
          <w:sz w:val="18"/>
        </w:rPr>
        <w:t>Mills</w:t>
      </w:r>
      <w:r>
        <w:rPr>
          <w:color w:val="707172"/>
          <w:spacing w:val="-12"/>
          <w:w w:val="125"/>
          <w:sz w:val="18"/>
        </w:rPr>
        <w:t> </w:t>
      </w:r>
      <w:r>
        <w:rPr>
          <w:color w:val="707172"/>
          <w:w w:val="125"/>
          <w:sz w:val="18"/>
        </w:rPr>
        <w:t>(Equal</w:t>
      </w:r>
      <w:r>
        <w:rPr>
          <w:color w:val="707172"/>
          <w:spacing w:val="-11"/>
          <w:w w:val="125"/>
          <w:sz w:val="18"/>
        </w:rPr>
        <w:t> </w:t>
      </w:r>
      <w:r>
        <w:rPr>
          <w:color w:val="707172"/>
          <w:w w:val="125"/>
          <w:sz w:val="18"/>
        </w:rPr>
        <w:t>opportunities),</w:t>
      </w:r>
      <w:r>
        <w:rPr>
          <w:color w:val="707172"/>
          <w:spacing w:val="-12"/>
          <w:w w:val="125"/>
          <w:sz w:val="18"/>
        </w:rPr>
        <w:t> </w:t>
      </w:r>
      <w:r>
        <w:rPr>
          <w:color w:val="707172"/>
          <w:w w:val="125"/>
          <w:sz w:val="18"/>
        </w:rPr>
        <w:t>Dan</w:t>
      </w:r>
      <w:r>
        <w:rPr>
          <w:color w:val="707172"/>
          <w:spacing w:val="-11"/>
          <w:w w:val="125"/>
          <w:sz w:val="18"/>
        </w:rPr>
        <w:t> </w:t>
      </w:r>
      <w:r>
        <w:rPr>
          <w:color w:val="707172"/>
          <w:w w:val="125"/>
          <w:sz w:val="18"/>
        </w:rPr>
        <w:t>Morrell</w:t>
      </w:r>
      <w:r>
        <w:rPr>
          <w:color w:val="707172"/>
          <w:spacing w:val="-12"/>
          <w:w w:val="125"/>
          <w:sz w:val="18"/>
        </w:rPr>
        <w:t> </w:t>
      </w:r>
      <w:r>
        <w:rPr>
          <w:color w:val="707172"/>
          <w:w w:val="125"/>
          <w:sz w:val="18"/>
        </w:rPr>
        <w:t>(Youth</w:t>
      </w:r>
      <w:r>
        <w:rPr>
          <w:color w:val="707172"/>
          <w:spacing w:val="-11"/>
          <w:w w:val="125"/>
          <w:sz w:val="18"/>
        </w:rPr>
        <w:t> </w:t>
      </w:r>
      <w:r>
        <w:rPr>
          <w:color w:val="707172"/>
          <w:w w:val="125"/>
          <w:sz w:val="18"/>
        </w:rPr>
        <w:t>Assembly</w:t>
      </w:r>
      <w:r>
        <w:rPr>
          <w:color w:val="707172"/>
          <w:spacing w:val="-12"/>
          <w:w w:val="125"/>
          <w:sz w:val="18"/>
        </w:rPr>
        <w:t> </w:t>
      </w:r>
      <w:r>
        <w:rPr>
          <w:color w:val="707172"/>
          <w:w w:val="125"/>
          <w:sz w:val="18"/>
        </w:rPr>
        <w:t>moderator</w:t>
      </w:r>
      <w:r>
        <w:rPr>
          <w:color w:val="707172"/>
          <w:spacing w:val="-11"/>
          <w:w w:val="125"/>
          <w:sz w:val="18"/>
        </w:rPr>
        <w:t> </w:t>
      </w:r>
      <w:r>
        <w:rPr>
          <w:color w:val="707172"/>
          <w:w w:val="125"/>
          <w:sz w:val="18"/>
        </w:rPr>
        <w:t>elect</w:t>
      </w:r>
      <w:r>
        <w:rPr>
          <w:color w:val="707172"/>
          <w:spacing w:val="-12"/>
          <w:w w:val="125"/>
          <w:sz w:val="18"/>
        </w:rPr>
        <w:t> </w:t>
      </w:r>
      <w:r>
        <w:rPr>
          <w:color w:val="707172"/>
          <w:spacing w:val="-5"/>
          <w:w w:val="125"/>
          <w:sz w:val="18"/>
        </w:rPr>
        <w:t>2016–17), </w:t>
      </w:r>
      <w:r>
        <w:rPr>
          <w:color w:val="707172"/>
          <w:w w:val="125"/>
          <w:sz w:val="18"/>
        </w:rPr>
        <w:t>Catey Morrison, Sandy Nunn (Youth Assembly moderator </w:t>
      </w:r>
      <w:r>
        <w:rPr>
          <w:color w:val="707172"/>
          <w:spacing w:val="-5"/>
          <w:w w:val="125"/>
          <w:sz w:val="18"/>
        </w:rPr>
        <w:t>2015–16), </w:t>
      </w:r>
      <w:r>
        <w:rPr>
          <w:color w:val="707172"/>
          <w:w w:val="125"/>
          <w:sz w:val="18"/>
        </w:rPr>
        <w:t>Philip Ray (CYDO </w:t>
      </w:r>
      <w:r>
        <w:rPr>
          <w:color w:val="707172"/>
          <w:spacing w:val="-5"/>
          <w:w w:val="125"/>
          <w:sz w:val="18"/>
        </w:rPr>
        <w:t>2014–16), </w:t>
      </w:r>
      <w:r>
        <w:rPr>
          <w:color w:val="707172"/>
          <w:w w:val="125"/>
          <w:sz w:val="18"/>
        </w:rPr>
        <w:t>Phil Reeve </w:t>
      </w:r>
      <w:r>
        <w:rPr>
          <w:color w:val="707172"/>
          <w:spacing w:val="-3"/>
          <w:w w:val="125"/>
          <w:sz w:val="18"/>
        </w:rPr>
        <w:t>(until </w:t>
      </w:r>
      <w:r>
        <w:rPr>
          <w:color w:val="707172"/>
          <w:w w:val="125"/>
          <w:sz w:val="18"/>
        </w:rPr>
        <w:t>June </w:t>
      </w:r>
      <w:r>
        <w:rPr>
          <w:color w:val="707172"/>
          <w:spacing w:val="-6"/>
          <w:w w:val="125"/>
          <w:sz w:val="18"/>
        </w:rPr>
        <w:t>2015), </w:t>
      </w:r>
      <w:r>
        <w:rPr>
          <w:color w:val="707172"/>
          <w:w w:val="125"/>
          <w:sz w:val="18"/>
        </w:rPr>
        <w:t>Ruth Roddison, Mick Smerdon, Alison Tansom, Fiona Thomas (Education and learning), Soo Webster (convenor of Pilots management committee), Andrew Weston (FURY moderator </w:t>
      </w:r>
      <w:r>
        <w:rPr>
          <w:color w:val="707172"/>
          <w:spacing w:val="-6"/>
          <w:w w:val="125"/>
          <w:sz w:val="18"/>
        </w:rPr>
        <w:t>2014-15), </w:t>
      </w:r>
      <w:r>
        <w:rPr>
          <w:color w:val="707172"/>
          <w:w w:val="125"/>
          <w:sz w:val="18"/>
        </w:rPr>
        <w:t>Adam</w:t>
      </w:r>
      <w:r>
        <w:rPr>
          <w:color w:val="707172"/>
          <w:spacing w:val="-24"/>
          <w:w w:val="125"/>
          <w:sz w:val="18"/>
        </w:rPr>
        <w:t> </w:t>
      </w:r>
      <w:r>
        <w:rPr>
          <w:color w:val="707172"/>
          <w:w w:val="125"/>
          <w:sz w:val="18"/>
        </w:rPr>
        <w:t>Woodhouse.</w:t>
      </w:r>
    </w:p>
    <w:p>
      <w:pPr>
        <w:pStyle w:val="BodyText"/>
        <w:rPr>
          <w:sz w:val="22"/>
        </w:rPr>
      </w:pPr>
    </w:p>
    <w:p>
      <w:pPr>
        <w:pStyle w:val="BodyText"/>
        <w:spacing w:before="4"/>
        <w:rPr>
          <w:sz w:val="17"/>
        </w:rPr>
      </w:pPr>
    </w:p>
    <w:p>
      <w:pPr>
        <w:spacing w:before="0"/>
        <w:ind w:left="1284" w:right="0" w:firstLine="0"/>
        <w:jc w:val="left"/>
        <w:rPr>
          <w:rFonts w:ascii="Stone Sans II ITC Std Bk"/>
          <w:b/>
          <w:sz w:val="29"/>
        </w:rPr>
      </w:pPr>
      <w:r>
        <w:rPr>
          <w:rFonts w:ascii="Stone Sans II ITC Std Bk"/>
          <w:b/>
          <w:w w:val="110"/>
          <w:sz w:val="29"/>
        </w:rPr>
        <w:t>Pilots</w:t>
      </w:r>
    </w:p>
    <w:p>
      <w:pPr>
        <w:spacing w:line="235" w:lineRule="auto" w:before="69"/>
        <w:ind w:left="1964" w:right="1716" w:firstLine="0"/>
        <w:jc w:val="left"/>
        <w:rPr>
          <w:i/>
          <w:sz w:val="20"/>
        </w:rPr>
      </w:pPr>
      <w:r>
        <w:rPr>
          <w:i/>
          <w:w w:val="110"/>
          <w:sz w:val="20"/>
        </w:rPr>
        <w:t>‘Pilots believes that children and young people matter, therefore Pilots gives local </w:t>
      </w:r>
      <w:r>
        <w:rPr>
          <w:i/>
          <w:w w:val="110"/>
          <w:sz w:val="20"/>
        </w:rPr>
        <w:t>churches the opportunity to share the love of God in the ongoing life of Jesus Christ by inviting children and young people on an exciting journey’.</w:t>
      </w:r>
    </w:p>
    <w:p>
      <w:pPr>
        <w:pStyle w:val="BodyText"/>
        <w:spacing w:line="243" w:lineRule="exact"/>
        <w:ind w:left="1964"/>
      </w:pPr>
      <w:r>
        <w:rPr>
          <w:w w:val="120"/>
        </w:rPr>
        <w:t>The Pilots mission statement.</w:t>
      </w:r>
    </w:p>
    <w:p>
      <w:pPr>
        <w:pStyle w:val="BodyText"/>
        <w:spacing w:before="8"/>
        <w:rPr>
          <w:sz w:val="19"/>
        </w:rPr>
      </w:pPr>
    </w:p>
    <w:p>
      <w:pPr>
        <w:pStyle w:val="ListParagraph"/>
        <w:numPr>
          <w:ilvl w:val="1"/>
          <w:numId w:val="36"/>
        </w:numPr>
        <w:tabs>
          <w:tab w:pos="1964" w:val="left" w:leader="none"/>
          <w:tab w:pos="1965" w:val="left" w:leader="none"/>
        </w:tabs>
        <w:spacing w:line="235" w:lineRule="auto" w:before="0" w:after="0"/>
        <w:ind w:left="1284" w:right="1357" w:firstLine="0"/>
        <w:jc w:val="left"/>
        <w:rPr>
          <w:sz w:val="20"/>
        </w:rPr>
      </w:pPr>
      <w:r>
        <w:rPr>
          <w:w w:val="120"/>
          <w:sz w:val="20"/>
        </w:rPr>
        <w:t>Work has continued apace in Pilots with </w:t>
      </w:r>
      <w:r>
        <w:rPr>
          <w:spacing w:val="-7"/>
          <w:w w:val="120"/>
          <w:sz w:val="20"/>
        </w:rPr>
        <w:t>2016 </w:t>
      </w:r>
      <w:r>
        <w:rPr>
          <w:w w:val="120"/>
          <w:sz w:val="20"/>
        </w:rPr>
        <w:t>seeing a </w:t>
      </w:r>
      <w:r>
        <w:rPr>
          <w:spacing w:val="-5"/>
          <w:w w:val="120"/>
          <w:sz w:val="20"/>
        </w:rPr>
        <w:t>24 </w:t>
      </w:r>
      <w:r>
        <w:rPr>
          <w:w w:val="120"/>
          <w:sz w:val="20"/>
        </w:rPr>
        <w:t>hour summit meeting being held for the Pilots management committee, regional Pilots officers and Pilots publication board members. This was an intense and fruitful series of meetings looking at the future of the organisation in the </w:t>
      </w:r>
      <w:r>
        <w:rPr>
          <w:spacing w:val="-5"/>
          <w:w w:val="120"/>
          <w:sz w:val="20"/>
        </w:rPr>
        <w:t>21st</w:t>
      </w:r>
      <w:r>
        <w:rPr>
          <w:spacing w:val="13"/>
          <w:w w:val="120"/>
          <w:sz w:val="20"/>
        </w:rPr>
        <w:t> </w:t>
      </w:r>
      <w:r>
        <w:rPr>
          <w:w w:val="120"/>
          <w:sz w:val="20"/>
        </w:rPr>
        <w:t>century.</w:t>
      </w:r>
    </w:p>
    <w:p>
      <w:pPr>
        <w:pStyle w:val="BodyText"/>
        <w:spacing w:before="11"/>
        <w:rPr>
          <w:sz w:val="19"/>
        </w:rPr>
      </w:pPr>
    </w:p>
    <w:p>
      <w:pPr>
        <w:pStyle w:val="ListParagraph"/>
        <w:numPr>
          <w:ilvl w:val="1"/>
          <w:numId w:val="36"/>
        </w:numPr>
        <w:tabs>
          <w:tab w:pos="1965" w:val="left" w:leader="none"/>
        </w:tabs>
        <w:spacing w:line="235" w:lineRule="auto" w:before="0" w:after="0"/>
        <w:ind w:left="1284" w:right="1915" w:firstLine="0"/>
        <w:jc w:val="both"/>
        <w:rPr>
          <w:sz w:val="20"/>
        </w:rPr>
      </w:pPr>
      <w:r>
        <w:rPr>
          <w:w w:val="120"/>
          <w:sz w:val="20"/>
        </w:rPr>
        <w:t>From this a request was made to the </w:t>
      </w:r>
      <w:r>
        <w:rPr>
          <w:spacing w:val="-3"/>
          <w:w w:val="120"/>
          <w:sz w:val="20"/>
        </w:rPr>
        <w:t>children’s </w:t>
      </w:r>
      <w:r>
        <w:rPr>
          <w:w w:val="120"/>
          <w:sz w:val="20"/>
        </w:rPr>
        <w:t>and youth work committee to clarify the organisation’s place in the committee’s programmes. Pilots received confirmation from the committee that ‘Pilots is the </w:t>
      </w:r>
      <w:r>
        <w:rPr>
          <w:spacing w:val="-3"/>
          <w:w w:val="120"/>
          <w:sz w:val="20"/>
        </w:rPr>
        <w:t>children’s </w:t>
      </w:r>
      <w:r>
        <w:rPr>
          <w:w w:val="120"/>
          <w:sz w:val="20"/>
        </w:rPr>
        <w:t>and youth</w:t>
      </w:r>
      <w:r>
        <w:rPr>
          <w:spacing w:val="23"/>
          <w:w w:val="120"/>
          <w:sz w:val="20"/>
        </w:rPr>
        <w:t> </w:t>
      </w:r>
      <w:r>
        <w:rPr>
          <w:w w:val="120"/>
          <w:sz w:val="20"/>
        </w:rPr>
        <w:t>work</w:t>
      </w:r>
    </w:p>
    <w:p>
      <w:pPr>
        <w:pStyle w:val="BodyText"/>
        <w:spacing w:line="235" w:lineRule="auto" w:before="2"/>
        <w:ind w:left="1284" w:right="1666"/>
        <w:jc w:val="both"/>
      </w:pPr>
      <w:r>
        <w:rPr>
          <w:w w:val="120"/>
        </w:rPr>
        <w:t>programme, for those aged 5 to 18, offered and supported by the United Reformed Church and will be promoted as such, where it is appropriate’.</w:t>
      </w:r>
    </w:p>
    <w:p>
      <w:pPr>
        <w:pStyle w:val="BodyText"/>
        <w:spacing w:before="10"/>
        <w:rPr>
          <w:sz w:val="19"/>
        </w:rPr>
      </w:pPr>
    </w:p>
    <w:p>
      <w:pPr>
        <w:pStyle w:val="ListParagraph"/>
        <w:numPr>
          <w:ilvl w:val="1"/>
          <w:numId w:val="36"/>
        </w:numPr>
        <w:tabs>
          <w:tab w:pos="1965" w:val="left" w:leader="none"/>
        </w:tabs>
        <w:spacing w:line="235" w:lineRule="auto" w:before="0" w:after="0"/>
        <w:ind w:left="1284" w:right="1699" w:firstLine="0"/>
        <w:jc w:val="both"/>
        <w:rPr>
          <w:sz w:val="20"/>
        </w:rPr>
      </w:pPr>
      <w:r>
        <w:rPr>
          <w:w w:val="120"/>
          <w:sz w:val="20"/>
        </w:rPr>
        <w:t>Pilots continues to produce high quality annual resources, one of which, the annual worship resource, is shared with the whole church. In addition to these, two further resources were produced in</w:t>
      </w:r>
      <w:r>
        <w:rPr>
          <w:spacing w:val="11"/>
          <w:w w:val="120"/>
          <w:sz w:val="20"/>
        </w:rPr>
        <w:t> </w:t>
      </w:r>
      <w:r>
        <w:rPr>
          <w:spacing w:val="-7"/>
          <w:w w:val="120"/>
          <w:sz w:val="20"/>
        </w:rPr>
        <w:t>2015:</w:t>
      </w:r>
    </w:p>
    <w:p>
      <w:pPr>
        <w:pStyle w:val="BodyText"/>
        <w:spacing w:before="10"/>
        <w:rPr>
          <w:sz w:val="19"/>
        </w:rPr>
      </w:pPr>
    </w:p>
    <w:p>
      <w:pPr>
        <w:pStyle w:val="ListParagraph"/>
        <w:numPr>
          <w:ilvl w:val="1"/>
          <w:numId w:val="36"/>
        </w:numPr>
        <w:tabs>
          <w:tab w:pos="1964" w:val="left" w:leader="none"/>
          <w:tab w:pos="1965" w:val="left" w:leader="none"/>
        </w:tabs>
        <w:spacing w:line="235" w:lineRule="auto" w:before="0" w:after="0"/>
        <w:ind w:left="1284" w:right="1297" w:firstLine="0"/>
        <w:jc w:val="left"/>
        <w:rPr>
          <w:sz w:val="20"/>
        </w:rPr>
      </w:pPr>
      <w:r>
        <w:rPr>
          <w:i/>
          <w:w w:val="120"/>
          <w:sz w:val="20"/>
        </w:rPr>
        <w:t>Let Justice Flow: An Introduction to Social Justice</w:t>
      </w:r>
      <w:r>
        <w:rPr>
          <w:w w:val="120"/>
          <w:sz w:val="20"/>
        </w:rPr>
        <w:t>, produced by the URC, Pilots, Christian Aid and Commitment for Life, was presented at </w:t>
      </w:r>
      <w:r>
        <w:rPr>
          <w:spacing w:val="-3"/>
          <w:w w:val="120"/>
          <w:sz w:val="20"/>
        </w:rPr>
        <w:t>Youth </w:t>
      </w:r>
      <w:r>
        <w:rPr>
          <w:w w:val="120"/>
          <w:sz w:val="20"/>
        </w:rPr>
        <w:t>Assembly. This resource aims to enable local churches to interact with topics such as climate change, poverty, equality and world</w:t>
      </w:r>
      <w:r>
        <w:rPr>
          <w:spacing w:val="6"/>
          <w:w w:val="120"/>
          <w:sz w:val="20"/>
        </w:rPr>
        <w:t> </w:t>
      </w:r>
      <w:r>
        <w:rPr>
          <w:w w:val="120"/>
          <w:sz w:val="20"/>
        </w:rPr>
        <w:t>trade.</w:t>
      </w:r>
    </w:p>
    <w:p>
      <w:pPr>
        <w:pStyle w:val="BodyText"/>
        <w:spacing w:before="11"/>
        <w:rPr>
          <w:sz w:val="19"/>
        </w:rPr>
      </w:pPr>
    </w:p>
    <w:p>
      <w:pPr>
        <w:pStyle w:val="ListParagraph"/>
        <w:numPr>
          <w:ilvl w:val="1"/>
          <w:numId w:val="36"/>
        </w:numPr>
        <w:tabs>
          <w:tab w:pos="1964" w:val="left" w:leader="none"/>
          <w:tab w:pos="1965" w:val="left" w:leader="none"/>
        </w:tabs>
        <w:spacing w:line="235" w:lineRule="auto" w:before="0" w:after="0"/>
        <w:ind w:left="1284" w:right="1320" w:firstLine="0"/>
        <w:jc w:val="left"/>
        <w:rPr>
          <w:sz w:val="20"/>
        </w:rPr>
      </w:pPr>
      <w:r>
        <w:rPr>
          <w:i/>
          <w:w w:val="120"/>
          <w:sz w:val="20"/>
        </w:rPr>
        <w:t>Theology</w:t>
      </w:r>
      <w:r>
        <w:rPr>
          <w:i/>
          <w:spacing w:val="-7"/>
          <w:w w:val="120"/>
          <w:sz w:val="20"/>
        </w:rPr>
        <w:t> </w:t>
      </w:r>
      <w:r>
        <w:rPr>
          <w:i/>
          <w:w w:val="120"/>
          <w:sz w:val="20"/>
        </w:rPr>
        <w:t>of</w:t>
      </w:r>
      <w:r>
        <w:rPr>
          <w:i/>
          <w:spacing w:val="-6"/>
          <w:w w:val="120"/>
          <w:sz w:val="20"/>
        </w:rPr>
        <w:t> </w:t>
      </w:r>
      <w:r>
        <w:rPr>
          <w:i/>
          <w:w w:val="120"/>
          <w:sz w:val="20"/>
        </w:rPr>
        <w:t>Pilots</w:t>
      </w:r>
      <w:r>
        <w:rPr>
          <w:w w:val="120"/>
          <w:sz w:val="20"/>
        </w:rPr>
        <w:t>,</w:t>
      </w:r>
      <w:r>
        <w:rPr>
          <w:spacing w:val="-4"/>
          <w:w w:val="120"/>
          <w:sz w:val="20"/>
        </w:rPr>
        <w:t> </w:t>
      </w:r>
      <w:r>
        <w:rPr>
          <w:w w:val="120"/>
          <w:sz w:val="20"/>
        </w:rPr>
        <w:t>a</w:t>
      </w:r>
      <w:r>
        <w:rPr>
          <w:spacing w:val="-4"/>
          <w:w w:val="120"/>
          <w:sz w:val="20"/>
        </w:rPr>
        <w:t> </w:t>
      </w:r>
      <w:r>
        <w:rPr>
          <w:w w:val="120"/>
          <w:sz w:val="20"/>
        </w:rPr>
        <w:t>further</w:t>
      </w:r>
      <w:r>
        <w:rPr>
          <w:spacing w:val="-3"/>
          <w:w w:val="120"/>
          <w:sz w:val="20"/>
        </w:rPr>
        <w:t> </w:t>
      </w:r>
      <w:r>
        <w:rPr>
          <w:w w:val="120"/>
          <w:sz w:val="20"/>
        </w:rPr>
        <w:t>title</w:t>
      </w:r>
      <w:r>
        <w:rPr>
          <w:spacing w:val="-4"/>
          <w:w w:val="120"/>
          <w:sz w:val="20"/>
        </w:rPr>
        <w:t> </w:t>
      </w:r>
      <w:r>
        <w:rPr>
          <w:w w:val="120"/>
          <w:sz w:val="20"/>
        </w:rPr>
        <w:t>in</w:t>
      </w:r>
      <w:r>
        <w:rPr>
          <w:spacing w:val="-4"/>
          <w:w w:val="120"/>
          <w:sz w:val="20"/>
        </w:rPr>
        <w:t> </w:t>
      </w:r>
      <w:r>
        <w:rPr>
          <w:w w:val="120"/>
          <w:sz w:val="20"/>
        </w:rPr>
        <w:t>the</w:t>
      </w:r>
      <w:r>
        <w:rPr>
          <w:spacing w:val="-3"/>
          <w:w w:val="120"/>
          <w:sz w:val="20"/>
        </w:rPr>
        <w:t> </w:t>
      </w:r>
      <w:r>
        <w:rPr>
          <w:w w:val="120"/>
          <w:sz w:val="20"/>
        </w:rPr>
        <w:t>theology</w:t>
      </w:r>
      <w:r>
        <w:rPr>
          <w:spacing w:val="-4"/>
          <w:w w:val="120"/>
          <w:sz w:val="20"/>
        </w:rPr>
        <w:t> </w:t>
      </w:r>
      <w:r>
        <w:rPr>
          <w:w w:val="120"/>
          <w:sz w:val="20"/>
        </w:rPr>
        <w:t>series</w:t>
      </w:r>
      <w:r>
        <w:rPr>
          <w:spacing w:val="-4"/>
          <w:w w:val="120"/>
          <w:sz w:val="20"/>
        </w:rPr>
        <w:t> </w:t>
      </w:r>
      <w:r>
        <w:rPr>
          <w:w w:val="120"/>
          <w:sz w:val="20"/>
        </w:rPr>
        <w:t>published</w:t>
      </w:r>
      <w:r>
        <w:rPr>
          <w:spacing w:val="-3"/>
          <w:w w:val="120"/>
          <w:sz w:val="20"/>
        </w:rPr>
        <w:t> </w:t>
      </w:r>
      <w:r>
        <w:rPr>
          <w:w w:val="120"/>
          <w:sz w:val="20"/>
        </w:rPr>
        <w:t>by</w:t>
      </w:r>
      <w:r>
        <w:rPr>
          <w:spacing w:val="-4"/>
          <w:w w:val="120"/>
          <w:sz w:val="20"/>
        </w:rPr>
        <w:t> </w:t>
      </w:r>
      <w:r>
        <w:rPr>
          <w:w w:val="120"/>
          <w:sz w:val="20"/>
        </w:rPr>
        <w:t>the</w:t>
      </w:r>
      <w:r>
        <w:rPr>
          <w:spacing w:val="-4"/>
          <w:w w:val="120"/>
          <w:sz w:val="20"/>
        </w:rPr>
        <w:t> </w:t>
      </w:r>
      <w:r>
        <w:rPr>
          <w:spacing w:val="-3"/>
          <w:w w:val="120"/>
          <w:sz w:val="20"/>
        </w:rPr>
        <w:t>children’s </w:t>
      </w:r>
      <w:r>
        <w:rPr>
          <w:w w:val="120"/>
          <w:sz w:val="20"/>
        </w:rPr>
        <w:t>and youth work committee. It is a resource for ministers, parents and Pilots, explaining why Pilots ‘does what it</w:t>
      </w:r>
      <w:r>
        <w:rPr>
          <w:spacing w:val="10"/>
          <w:w w:val="120"/>
          <w:sz w:val="20"/>
        </w:rPr>
        <w:t> </w:t>
      </w:r>
      <w:r>
        <w:rPr>
          <w:spacing w:val="-4"/>
          <w:w w:val="120"/>
          <w:sz w:val="20"/>
        </w:rPr>
        <w:t>does’.</w:t>
      </w:r>
    </w:p>
    <w:p>
      <w:pPr>
        <w:pStyle w:val="BodyText"/>
        <w:spacing w:before="10"/>
        <w:rPr>
          <w:sz w:val="19"/>
        </w:rPr>
      </w:pPr>
    </w:p>
    <w:p>
      <w:pPr>
        <w:pStyle w:val="ListParagraph"/>
        <w:numPr>
          <w:ilvl w:val="1"/>
          <w:numId w:val="36"/>
        </w:numPr>
        <w:tabs>
          <w:tab w:pos="1964" w:val="left" w:leader="none"/>
          <w:tab w:pos="1965" w:val="left" w:leader="none"/>
        </w:tabs>
        <w:spacing w:line="235" w:lineRule="auto" w:before="1" w:after="0"/>
        <w:ind w:left="1284" w:right="1606" w:firstLine="0"/>
        <w:jc w:val="left"/>
        <w:rPr>
          <w:sz w:val="20"/>
        </w:rPr>
      </w:pPr>
      <w:r>
        <w:rPr>
          <w:w w:val="120"/>
          <w:sz w:val="20"/>
        </w:rPr>
        <w:t>A Pilots ‘Big Day Out’ entitled ‘Pilots on Safari’, took place in </w:t>
      </w:r>
      <w:r>
        <w:rPr>
          <w:spacing w:val="-7"/>
          <w:w w:val="120"/>
          <w:sz w:val="20"/>
        </w:rPr>
        <w:t>2015 </w:t>
      </w:r>
      <w:r>
        <w:rPr>
          <w:w w:val="120"/>
          <w:sz w:val="20"/>
        </w:rPr>
        <w:t>to which  the</w:t>
      </w:r>
      <w:r>
        <w:rPr>
          <w:spacing w:val="6"/>
          <w:w w:val="120"/>
          <w:sz w:val="20"/>
        </w:rPr>
        <w:t> </w:t>
      </w:r>
      <w:r>
        <w:rPr>
          <w:w w:val="120"/>
          <w:sz w:val="20"/>
        </w:rPr>
        <w:t>whole</w:t>
      </w:r>
      <w:r>
        <w:rPr>
          <w:spacing w:val="6"/>
          <w:w w:val="120"/>
          <w:sz w:val="20"/>
        </w:rPr>
        <w:t> </w:t>
      </w:r>
      <w:r>
        <w:rPr>
          <w:w w:val="120"/>
          <w:sz w:val="20"/>
        </w:rPr>
        <w:t>church</w:t>
      </w:r>
      <w:r>
        <w:rPr>
          <w:spacing w:val="6"/>
          <w:w w:val="120"/>
          <w:sz w:val="20"/>
        </w:rPr>
        <w:t> </w:t>
      </w:r>
      <w:r>
        <w:rPr>
          <w:w w:val="120"/>
          <w:sz w:val="20"/>
        </w:rPr>
        <w:t>was</w:t>
      </w:r>
      <w:r>
        <w:rPr>
          <w:spacing w:val="6"/>
          <w:w w:val="120"/>
          <w:sz w:val="20"/>
        </w:rPr>
        <w:t> </w:t>
      </w:r>
      <w:r>
        <w:rPr>
          <w:w w:val="120"/>
          <w:sz w:val="20"/>
        </w:rPr>
        <w:t>invited.</w:t>
      </w:r>
      <w:r>
        <w:rPr>
          <w:spacing w:val="6"/>
          <w:w w:val="120"/>
          <w:sz w:val="20"/>
        </w:rPr>
        <w:t> </w:t>
      </w:r>
      <w:r>
        <w:rPr>
          <w:spacing w:val="-4"/>
          <w:w w:val="120"/>
          <w:sz w:val="20"/>
        </w:rPr>
        <w:t>1500</w:t>
      </w:r>
      <w:r>
        <w:rPr>
          <w:spacing w:val="6"/>
          <w:w w:val="120"/>
          <w:sz w:val="20"/>
        </w:rPr>
        <w:t> </w:t>
      </w:r>
      <w:r>
        <w:rPr>
          <w:w w:val="120"/>
          <w:sz w:val="20"/>
        </w:rPr>
        <w:t>people</w:t>
      </w:r>
      <w:r>
        <w:rPr>
          <w:spacing w:val="6"/>
          <w:w w:val="120"/>
          <w:sz w:val="20"/>
        </w:rPr>
        <w:t> </w:t>
      </w:r>
      <w:r>
        <w:rPr>
          <w:w w:val="120"/>
          <w:sz w:val="20"/>
        </w:rPr>
        <w:t>gathered</w:t>
      </w:r>
      <w:r>
        <w:rPr>
          <w:spacing w:val="6"/>
          <w:w w:val="120"/>
          <w:sz w:val="20"/>
        </w:rPr>
        <w:t> </w:t>
      </w:r>
      <w:r>
        <w:rPr>
          <w:w w:val="120"/>
          <w:sz w:val="20"/>
        </w:rPr>
        <w:t>for</w:t>
      </w:r>
      <w:r>
        <w:rPr>
          <w:spacing w:val="6"/>
          <w:w w:val="120"/>
          <w:sz w:val="20"/>
        </w:rPr>
        <w:t> </w:t>
      </w:r>
      <w:r>
        <w:rPr>
          <w:w w:val="120"/>
          <w:sz w:val="20"/>
        </w:rPr>
        <w:t>a</w:t>
      </w:r>
      <w:r>
        <w:rPr>
          <w:spacing w:val="6"/>
          <w:w w:val="120"/>
          <w:sz w:val="20"/>
        </w:rPr>
        <w:t> </w:t>
      </w:r>
      <w:r>
        <w:rPr>
          <w:w w:val="120"/>
          <w:sz w:val="20"/>
        </w:rPr>
        <w:t>day</w:t>
      </w:r>
      <w:r>
        <w:rPr>
          <w:spacing w:val="6"/>
          <w:w w:val="120"/>
          <w:sz w:val="20"/>
        </w:rPr>
        <w:t> </w:t>
      </w:r>
      <w:r>
        <w:rPr>
          <w:w w:val="120"/>
          <w:sz w:val="20"/>
        </w:rPr>
        <w:t>of</w:t>
      </w:r>
      <w:r>
        <w:rPr>
          <w:spacing w:val="6"/>
          <w:w w:val="120"/>
          <w:sz w:val="20"/>
        </w:rPr>
        <w:t> </w:t>
      </w:r>
      <w:r>
        <w:rPr>
          <w:w w:val="120"/>
          <w:sz w:val="20"/>
        </w:rPr>
        <w:t>fun</w:t>
      </w:r>
      <w:r>
        <w:rPr>
          <w:spacing w:val="6"/>
          <w:w w:val="120"/>
          <w:sz w:val="20"/>
        </w:rPr>
        <w:t> </w:t>
      </w:r>
      <w:r>
        <w:rPr>
          <w:w w:val="120"/>
          <w:sz w:val="20"/>
        </w:rPr>
        <w:t>and</w:t>
      </w:r>
      <w:r>
        <w:rPr>
          <w:spacing w:val="6"/>
          <w:w w:val="120"/>
          <w:sz w:val="20"/>
        </w:rPr>
        <w:t> </w:t>
      </w:r>
      <w:r>
        <w:rPr>
          <w:w w:val="120"/>
          <w:sz w:val="20"/>
        </w:rPr>
        <w:t>fellowship.</w:t>
      </w:r>
    </w:p>
    <w:p>
      <w:pPr>
        <w:pStyle w:val="BodyText"/>
        <w:spacing w:line="235" w:lineRule="auto" w:before="1"/>
        <w:ind w:left="1284" w:right="1477"/>
      </w:pPr>
      <w:r>
        <w:rPr>
          <w:w w:val="120"/>
        </w:rPr>
        <w:t>Materials were produced before the event to help groups engage with the theme and   a sticker collecting game helped children learn more about endangered species on the day</w:t>
      </w:r>
      <w:r>
        <w:rPr>
          <w:spacing w:val="1"/>
          <w:w w:val="120"/>
        </w:rPr>
        <w:t> </w:t>
      </w:r>
      <w:r>
        <w:rPr>
          <w:w w:val="120"/>
        </w:rPr>
        <w:t>itself.</w:t>
      </w:r>
    </w:p>
    <w:p>
      <w:pPr>
        <w:spacing w:after="0" w:line="235" w:lineRule="auto"/>
        <w:sectPr>
          <w:headerReference w:type="default" r:id="rId195"/>
          <w:footerReference w:type="default" r:id="rId196"/>
          <w:footerReference w:type="even" r:id="rId197"/>
          <w:pgSz w:w="11910" w:h="16840"/>
          <w:pgMar w:header="0" w:footer="647" w:top="0" w:bottom="840" w:left="700" w:right="0"/>
          <w:pgNumType w:start="55"/>
        </w:sectPr>
      </w:pPr>
    </w:p>
    <w:p>
      <w:pPr>
        <w:pStyle w:val="BodyText"/>
      </w:pPr>
      <w:r>
        <w:rPr/>
        <w:drawing>
          <wp:anchor distT="0" distB="0" distL="0" distR="0" allowOverlap="1" layoutInCell="1" locked="0" behindDoc="1" simplePos="0" relativeHeight="235351040">
            <wp:simplePos x="0" y="0"/>
            <wp:positionH relativeFrom="page">
              <wp:posOffset>0</wp:posOffset>
            </wp:positionH>
            <wp:positionV relativeFrom="page">
              <wp:posOffset>0</wp:posOffset>
            </wp:positionV>
            <wp:extent cx="594067" cy="10692003"/>
            <wp:effectExtent l="0" t="0" r="0" b="0"/>
            <wp:wrapNone/>
            <wp:docPr id="97" name="image67.png"/>
            <wp:cNvGraphicFramePr>
              <a:graphicFrameLocks noChangeAspect="1"/>
            </wp:cNvGraphicFramePr>
            <a:graphic>
              <a:graphicData uri="http://schemas.openxmlformats.org/drawingml/2006/picture">
                <pic:pic>
                  <pic:nvPicPr>
                    <pic:cNvPr id="98" name="image67.png"/>
                    <pic:cNvPicPr/>
                  </pic:nvPicPr>
                  <pic:blipFill>
                    <a:blip r:embed="rId184" cstate="print"/>
                    <a:stretch>
                      <a:fillRect/>
                    </a:stretch>
                  </pic:blipFill>
                  <pic:spPr>
                    <a:xfrm>
                      <a:off x="0" y="0"/>
                      <a:ext cx="594067" cy="10692003"/>
                    </a:xfrm>
                    <a:prstGeom prst="rect">
                      <a:avLst/>
                    </a:prstGeom>
                  </pic:spPr>
                </pic:pic>
              </a:graphicData>
            </a:graphic>
          </wp:anchor>
        </w:drawing>
      </w:r>
      <w:r>
        <w:rPr/>
        <w:pict>
          <v:shape style="position:absolute;margin-left:20.519100pt;margin-top:48.890015pt;width:25.9pt;height:267.8pt;mso-position-horizontal-relative:page;mso-position-vertical-relative:page;z-index:-267964416" type="#_x0000_t202" filled="false" stroked="false">
            <v:textbox inset="0,0,0,0" style="layout-flow:vertical">
              <w:txbxContent>
                <w:p>
                  <w:pPr>
                    <w:spacing w:before="27"/>
                    <w:ind w:left="20" w:right="0" w:firstLine="0"/>
                    <w:jc w:val="left"/>
                    <w:rPr>
                      <w:sz w:val="39"/>
                    </w:rPr>
                  </w:pPr>
                  <w:r>
                    <w:rPr>
                      <w:color w:val="FFFFFF"/>
                      <w:spacing w:val="3"/>
                      <w:w w:val="120"/>
                      <w:sz w:val="39"/>
                    </w:rPr>
                    <w:t>Children’s </w:t>
                  </w:r>
                  <w:r>
                    <w:rPr>
                      <w:color w:val="FFFFFF"/>
                      <w:spacing w:val="7"/>
                      <w:w w:val="120"/>
                      <w:sz w:val="39"/>
                    </w:rPr>
                    <w:t>and </w:t>
                  </w:r>
                  <w:r>
                    <w:rPr>
                      <w:color w:val="FFFFFF"/>
                      <w:spacing w:val="8"/>
                      <w:w w:val="120"/>
                      <w:sz w:val="39"/>
                    </w:rPr>
                    <w:t>youth</w:t>
                  </w:r>
                  <w:r>
                    <w:rPr>
                      <w:color w:val="FFFFFF"/>
                      <w:spacing w:val="-43"/>
                      <w:w w:val="120"/>
                      <w:sz w:val="39"/>
                    </w:rPr>
                    <w:t> </w:t>
                  </w:r>
                  <w:r>
                    <w:rPr>
                      <w:color w:val="FFFFFF"/>
                      <w:spacing w:val="7"/>
                      <w:w w:val="120"/>
                      <w:sz w:val="39"/>
                    </w:rPr>
                    <w:t>work</w:t>
                  </w:r>
                </w:p>
              </w:txbxContent>
            </v:textbox>
            <w10:wrap type="none"/>
          </v:shape>
        </w:pict>
      </w:r>
    </w:p>
    <w:p>
      <w:pPr>
        <w:pStyle w:val="BodyText"/>
        <w:spacing w:before="7"/>
        <w:rPr>
          <w:sz w:val="21"/>
        </w:rPr>
      </w:pPr>
    </w:p>
    <w:p>
      <w:pPr>
        <w:pStyle w:val="Heading1"/>
        <w:ind w:left="547"/>
      </w:pPr>
      <w:bookmarkStart w:name="_TOC_250011" w:id="5"/>
      <w:bookmarkEnd w:id="5"/>
      <w:r>
        <w:rPr>
          <w:color w:val="7EAABF"/>
          <w:w w:val="115"/>
        </w:rPr>
        <w:t>Children’s and youth work</w:t>
      </w:r>
    </w:p>
    <w:p>
      <w:pPr>
        <w:pStyle w:val="ListParagraph"/>
        <w:numPr>
          <w:ilvl w:val="1"/>
          <w:numId w:val="36"/>
        </w:numPr>
        <w:tabs>
          <w:tab w:pos="1227" w:val="left" w:leader="none"/>
          <w:tab w:pos="1228" w:val="left" w:leader="none"/>
        </w:tabs>
        <w:spacing w:line="235" w:lineRule="auto" w:before="222" w:after="0"/>
        <w:ind w:left="547" w:right="2529" w:firstLine="0"/>
        <w:jc w:val="left"/>
        <w:rPr>
          <w:sz w:val="20"/>
        </w:rPr>
      </w:pPr>
      <w:r>
        <w:rPr>
          <w:spacing w:val="-6"/>
          <w:w w:val="120"/>
          <w:sz w:val="20"/>
        </w:rPr>
        <w:t>Two </w:t>
      </w:r>
      <w:r>
        <w:rPr>
          <w:w w:val="120"/>
          <w:sz w:val="20"/>
        </w:rPr>
        <w:t>videos about Pilots were commissioned. A short video to promote the organisation and a longer video giving more of the historical back story, produced specifically for churches which are considering setting up a Pilots</w:t>
      </w:r>
      <w:r>
        <w:rPr>
          <w:spacing w:val="49"/>
          <w:w w:val="120"/>
          <w:sz w:val="20"/>
        </w:rPr>
        <w:t> </w:t>
      </w:r>
      <w:r>
        <w:rPr>
          <w:spacing w:val="-3"/>
          <w:w w:val="120"/>
          <w:sz w:val="20"/>
        </w:rPr>
        <w:t>company.</w:t>
      </w:r>
    </w:p>
    <w:p>
      <w:pPr>
        <w:pStyle w:val="BodyText"/>
        <w:spacing w:before="10"/>
        <w:rPr>
          <w:sz w:val="19"/>
        </w:rPr>
      </w:pPr>
    </w:p>
    <w:p>
      <w:pPr>
        <w:pStyle w:val="ListParagraph"/>
        <w:numPr>
          <w:ilvl w:val="1"/>
          <w:numId w:val="36"/>
        </w:numPr>
        <w:tabs>
          <w:tab w:pos="1227" w:val="left" w:leader="none"/>
          <w:tab w:pos="1228" w:val="left" w:leader="none"/>
        </w:tabs>
        <w:spacing w:line="235" w:lineRule="auto" w:before="0" w:after="0"/>
        <w:ind w:left="547" w:right="2076" w:firstLine="0"/>
        <w:jc w:val="left"/>
        <w:rPr>
          <w:sz w:val="20"/>
        </w:rPr>
      </w:pPr>
      <w:r>
        <w:rPr>
          <w:w w:val="120"/>
          <w:sz w:val="20"/>
        </w:rPr>
        <w:t>Work is nearing completion on an updated version of </w:t>
      </w:r>
      <w:r>
        <w:rPr>
          <w:i/>
          <w:w w:val="120"/>
          <w:sz w:val="20"/>
        </w:rPr>
        <w:t>The Compass</w:t>
      </w:r>
      <w:r>
        <w:rPr>
          <w:w w:val="120"/>
          <w:sz w:val="20"/>
        </w:rPr>
        <w:t>, the manual for leaders running Pilots companies. Much of the material is new and the committee is excited by the new programme</w:t>
      </w:r>
      <w:r>
        <w:rPr>
          <w:spacing w:val="11"/>
          <w:w w:val="120"/>
          <w:sz w:val="20"/>
        </w:rPr>
        <w:t> </w:t>
      </w:r>
      <w:r>
        <w:rPr>
          <w:w w:val="120"/>
          <w:sz w:val="20"/>
        </w:rPr>
        <w:t>offered.</w:t>
      </w:r>
    </w:p>
    <w:p>
      <w:pPr>
        <w:pStyle w:val="BodyText"/>
        <w:spacing w:before="10"/>
        <w:rPr>
          <w:sz w:val="19"/>
        </w:rPr>
      </w:pPr>
    </w:p>
    <w:p>
      <w:pPr>
        <w:pStyle w:val="ListParagraph"/>
        <w:numPr>
          <w:ilvl w:val="1"/>
          <w:numId w:val="36"/>
        </w:numPr>
        <w:tabs>
          <w:tab w:pos="1227" w:val="left" w:leader="none"/>
          <w:tab w:pos="1228" w:val="left" w:leader="none"/>
        </w:tabs>
        <w:spacing w:line="235" w:lineRule="auto" w:before="0" w:after="0"/>
        <w:ind w:left="547" w:right="2001" w:firstLine="0"/>
        <w:jc w:val="left"/>
        <w:rPr>
          <w:sz w:val="20"/>
        </w:rPr>
      </w:pPr>
      <w:r>
        <w:rPr>
          <w:w w:val="120"/>
          <w:sz w:val="20"/>
        </w:rPr>
        <w:t>The 80th anniversary of Pilots is in </w:t>
      </w:r>
      <w:r>
        <w:rPr>
          <w:spacing w:val="-7"/>
          <w:w w:val="120"/>
          <w:sz w:val="20"/>
        </w:rPr>
        <w:t>2016 </w:t>
      </w:r>
      <w:r>
        <w:rPr>
          <w:w w:val="120"/>
          <w:sz w:val="20"/>
        </w:rPr>
        <w:t>and a range of celebrations have been planned. A Pilots hymn, to the tune ‘Theodoric’, has been written by the Revd Janet  Lees to mark the occasion. During the anniversary </w:t>
      </w:r>
      <w:r>
        <w:rPr>
          <w:spacing w:val="-4"/>
          <w:w w:val="120"/>
          <w:sz w:val="20"/>
        </w:rPr>
        <w:t>year, </w:t>
      </w:r>
      <w:r>
        <w:rPr>
          <w:w w:val="120"/>
          <w:sz w:val="20"/>
        </w:rPr>
        <w:t>it is hoped memories and   stories from past Pilots can be captured and recorded in </w:t>
      </w:r>
      <w:r>
        <w:rPr>
          <w:i/>
          <w:w w:val="120"/>
          <w:sz w:val="20"/>
        </w:rPr>
        <w:t>The Bridge</w:t>
      </w:r>
      <w:r>
        <w:rPr>
          <w:w w:val="120"/>
          <w:sz w:val="20"/>
        </w:rPr>
        <w:t>, the Pilots</w:t>
      </w:r>
      <w:r>
        <w:rPr>
          <w:spacing w:val="-10"/>
          <w:w w:val="120"/>
          <w:sz w:val="20"/>
        </w:rPr>
        <w:t> </w:t>
      </w:r>
      <w:r>
        <w:rPr>
          <w:w w:val="120"/>
          <w:sz w:val="20"/>
        </w:rPr>
        <w:t>magazine.</w:t>
      </w:r>
    </w:p>
    <w:p>
      <w:pPr>
        <w:pStyle w:val="BodyText"/>
        <w:spacing w:before="11"/>
        <w:rPr>
          <w:sz w:val="19"/>
        </w:rPr>
      </w:pPr>
    </w:p>
    <w:p>
      <w:pPr>
        <w:pStyle w:val="ListParagraph"/>
        <w:numPr>
          <w:ilvl w:val="1"/>
          <w:numId w:val="36"/>
        </w:numPr>
        <w:tabs>
          <w:tab w:pos="1227" w:val="left" w:leader="none"/>
          <w:tab w:pos="1228" w:val="left" w:leader="none"/>
        </w:tabs>
        <w:spacing w:line="235" w:lineRule="auto" w:before="0" w:after="0"/>
        <w:ind w:left="547" w:right="2797" w:firstLine="0"/>
        <w:jc w:val="left"/>
        <w:rPr>
          <w:sz w:val="20"/>
        </w:rPr>
      </w:pPr>
      <w:r>
        <w:rPr>
          <w:w w:val="120"/>
          <w:sz w:val="20"/>
        </w:rPr>
        <w:t>Pilots</w:t>
      </w:r>
      <w:r>
        <w:rPr>
          <w:spacing w:val="-9"/>
          <w:w w:val="120"/>
          <w:sz w:val="20"/>
        </w:rPr>
        <w:t> </w:t>
      </w:r>
      <w:r>
        <w:rPr>
          <w:w w:val="120"/>
          <w:sz w:val="20"/>
        </w:rPr>
        <w:t>is</w:t>
      </w:r>
      <w:r>
        <w:rPr>
          <w:spacing w:val="-8"/>
          <w:w w:val="120"/>
          <w:sz w:val="20"/>
        </w:rPr>
        <w:t> </w:t>
      </w:r>
      <w:r>
        <w:rPr>
          <w:w w:val="120"/>
          <w:sz w:val="20"/>
        </w:rPr>
        <w:t>looking</w:t>
      </w:r>
      <w:r>
        <w:rPr>
          <w:spacing w:val="-8"/>
          <w:w w:val="120"/>
          <w:sz w:val="20"/>
        </w:rPr>
        <w:t> </w:t>
      </w:r>
      <w:r>
        <w:rPr>
          <w:w w:val="120"/>
          <w:sz w:val="20"/>
        </w:rPr>
        <w:t>forward</w:t>
      </w:r>
      <w:r>
        <w:rPr>
          <w:spacing w:val="-8"/>
          <w:w w:val="120"/>
          <w:sz w:val="20"/>
        </w:rPr>
        <w:t> </w:t>
      </w:r>
      <w:r>
        <w:rPr>
          <w:w w:val="120"/>
          <w:sz w:val="20"/>
        </w:rPr>
        <w:t>to</w:t>
      </w:r>
      <w:r>
        <w:rPr>
          <w:spacing w:val="-8"/>
          <w:w w:val="120"/>
          <w:sz w:val="20"/>
        </w:rPr>
        <w:t> </w:t>
      </w:r>
      <w:r>
        <w:rPr>
          <w:w w:val="120"/>
          <w:sz w:val="20"/>
        </w:rPr>
        <w:t>celebrating</w:t>
      </w:r>
      <w:r>
        <w:rPr>
          <w:spacing w:val="-8"/>
          <w:w w:val="120"/>
          <w:sz w:val="20"/>
        </w:rPr>
        <w:t> </w:t>
      </w:r>
      <w:r>
        <w:rPr>
          <w:i/>
          <w:w w:val="120"/>
          <w:sz w:val="20"/>
        </w:rPr>
        <w:t>Feasts</w:t>
      </w:r>
      <w:r>
        <w:rPr>
          <w:i/>
          <w:spacing w:val="-11"/>
          <w:w w:val="120"/>
          <w:sz w:val="20"/>
        </w:rPr>
        <w:t> </w:t>
      </w:r>
      <w:r>
        <w:rPr>
          <w:i/>
          <w:w w:val="120"/>
          <w:sz w:val="20"/>
        </w:rPr>
        <w:t>and</w:t>
      </w:r>
      <w:r>
        <w:rPr>
          <w:i/>
          <w:spacing w:val="-10"/>
          <w:w w:val="120"/>
          <w:sz w:val="20"/>
        </w:rPr>
        <w:t> </w:t>
      </w:r>
      <w:r>
        <w:rPr>
          <w:i/>
          <w:w w:val="120"/>
          <w:sz w:val="20"/>
        </w:rPr>
        <w:t>Festivals</w:t>
      </w:r>
      <w:r>
        <w:rPr>
          <w:i/>
          <w:spacing w:val="-11"/>
          <w:w w:val="120"/>
          <w:sz w:val="20"/>
        </w:rPr>
        <w:t> </w:t>
      </w:r>
      <w:r>
        <w:rPr>
          <w:w w:val="120"/>
          <w:sz w:val="20"/>
        </w:rPr>
        <w:t>with</w:t>
      </w:r>
      <w:r>
        <w:rPr>
          <w:spacing w:val="-8"/>
          <w:w w:val="120"/>
          <w:sz w:val="20"/>
        </w:rPr>
        <w:t> </w:t>
      </w:r>
      <w:r>
        <w:rPr>
          <w:w w:val="120"/>
          <w:sz w:val="20"/>
        </w:rPr>
        <w:t>the</w:t>
      </w:r>
      <w:r>
        <w:rPr>
          <w:spacing w:val="-8"/>
          <w:w w:val="120"/>
          <w:sz w:val="20"/>
        </w:rPr>
        <w:t> </w:t>
      </w:r>
      <w:r>
        <w:rPr>
          <w:w w:val="120"/>
          <w:sz w:val="20"/>
        </w:rPr>
        <w:t>whole denomination in </w:t>
      </w:r>
      <w:r>
        <w:rPr>
          <w:spacing w:val="-9"/>
          <w:w w:val="120"/>
          <w:sz w:val="20"/>
        </w:rPr>
        <w:t>2017 </w:t>
      </w:r>
      <w:r>
        <w:rPr>
          <w:w w:val="120"/>
          <w:sz w:val="20"/>
        </w:rPr>
        <w:t>and plans for another Big Day Out are</w:t>
      </w:r>
      <w:r>
        <w:rPr>
          <w:spacing w:val="1"/>
          <w:w w:val="120"/>
          <w:sz w:val="20"/>
        </w:rPr>
        <w:t> </w:t>
      </w:r>
      <w:r>
        <w:rPr>
          <w:w w:val="120"/>
          <w:sz w:val="20"/>
        </w:rPr>
        <w:t>underway.</w:t>
      </w:r>
    </w:p>
    <w:p>
      <w:pPr>
        <w:pStyle w:val="BodyText"/>
        <w:spacing w:before="2"/>
        <w:rPr>
          <w:sz w:val="22"/>
        </w:rPr>
      </w:pPr>
    </w:p>
    <w:p>
      <w:pPr>
        <w:spacing w:before="0"/>
        <w:ind w:left="547" w:right="0" w:firstLine="0"/>
        <w:jc w:val="left"/>
        <w:rPr>
          <w:rFonts w:ascii="Stone Sans II ITC Std Bk"/>
          <w:b/>
          <w:sz w:val="29"/>
        </w:rPr>
      </w:pPr>
      <w:r>
        <w:rPr>
          <w:rFonts w:ascii="Stone Sans II ITC Std Bk"/>
          <w:b/>
          <w:w w:val="110"/>
          <w:sz w:val="29"/>
        </w:rPr>
        <w:t>United Reformed Church Youth</w:t>
      </w:r>
    </w:p>
    <w:p>
      <w:pPr>
        <w:spacing w:line="235" w:lineRule="auto" w:before="69"/>
        <w:ind w:left="1227" w:right="2419" w:firstLine="0"/>
        <w:jc w:val="left"/>
        <w:rPr>
          <w:i/>
          <w:sz w:val="20"/>
        </w:rPr>
      </w:pPr>
      <w:r>
        <w:rPr>
          <w:i/>
          <w:w w:val="110"/>
          <w:sz w:val="20"/>
        </w:rPr>
        <w:t>‘Our mission is to discover God, to help each other grow in the Christian Faith, and </w:t>
      </w:r>
      <w:r>
        <w:rPr>
          <w:i/>
          <w:w w:val="110"/>
          <w:sz w:val="20"/>
        </w:rPr>
        <w:t>through our lives reflect God’s love to all’.</w:t>
      </w:r>
    </w:p>
    <w:p>
      <w:pPr>
        <w:pStyle w:val="BodyText"/>
        <w:spacing w:line="242" w:lineRule="exact"/>
        <w:ind w:left="1227"/>
      </w:pPr>
      <w:r>
        <w:rPr>
          <w:w w:val="120"/>
        </w:rPr>
        <w:t>The URC Youth mission statement.</w:t>
      </w:r>
    </w:p>
    <w:p>
      <w:pPr>
        <w:pStyle w:val="BodyText"/>
        <w:spacing w:before="3"/>
        <w:rPr>
          <w:sz w:val="18"/>
        </w:rPr>
      </w:pPr>
    </w:p>
    <w:p>
      <w:pPr>
        <w:pStyle w:val="Heading7"/>
        <w:numPr>
          <w:ilvl w:val="1"/>
          <w:numId w:val="37"/>
        </w:numPr>
        <w:tabs>
          <w:tab w:pos="1227" w:val="left" w:leader="none"/>
          <w:tab w:pos="1228" w:val="left" w:leader="none"/>
        </w:tabs>
        <w:spacing w:line="261" w:lineRule="exact" w:before="1" w:after="0"/>
        <w:ind w:left="1227" w:right="0" w:hanging="681"/>
        <w:jc w:val="left"/>
      </w:pPr>
      <w:r>
        <w:rPr>
          <w:w w:val="110"/>
        </w:rPr>
        <w:t>Restructuring</w:t>
      </w:r>
    </w:p>
    <w:p>
      <w:pPr>
        <w:pStyle w:val="ListParagraph"/>
        <w:numPr>
          <w:ilvl w:val="2"/>
          <w:numId w:val="37"/>
        </w:numPr>
        <w:tabs>
          <w:tab w:pos="1227" w:val="left" w:leader="none"/>
          <w:tab w:pos="1228" w:val="left" w:leader="none"/>
        </w:tabs>
        <w:spacing w:line="235" w:lineRule="auto" w:before="0" w:after="0"/>
        <w:ind w:left="547" w:right="2265" w:firstLine="0"/>
        <w:jc w:val="left"/>
        <w:rPr>
          <w:sz w:val="20"/>
        </w:rPr>
      </w:pPr>
      <w:r>
        <w:rPr>
          <w:w w:val="120"/>
          <w:sz w:val="20"/>
        </w:rPr>
        <w:t>A review of The Fellowship of United Reformed </w:t>
      </w:r>
      <w:r>
        <w:rPr>
          <w:spacing w:val="-3"/>
          <w:w w:val="120"/>
          <w:sz w:val="20"/>
        </w:rPr>
        <w:t>Youth </w:t>
      </w:r>
      <w:r>
        <w:rPr>
          <w:w w:val="120"/>
          <w:sz w:val="20"/>
        </w:rPr>
        <w:t>(FURY) has been completed. FURY has a long and precious history, playing an important role in many lives within the URC and the committee celebrates this history. The review found   that the name FURY had run its course and no longer served its original purpose. The term</w:t>
      </w:r>
      <w:r>
        <w:rPr>
          <w:spacing w:val="11"/>
          <w:w w:val="120"/>
          <w:sz w:val="20"/>
        </w:rPr>
        <w:t> </w:t>
      </w:r>
      <w:r>
        <w:rPr>
          <w:w w:val="120"/>
          <w:sz w:val="20"/>
        </w:rPr>
        <w:t>‘United</w:t>
      </w:r>
      <w:r>
        <w:rPr>
          <w:spacing w:val="12"/>
          <w:w w:val="120"/>
          <w:sz w:val="20"/>
        </w:rPr>
        <w:t> </w:t>
      </w:r>
      <w:r>
        <w:rPr>
          <w:w w:val="120"/>
          <w:sz w:val="20"/>
        </w:rPr>
        <w:t>Reformed</w:t>
      </w:r>
      <w:r>
        <w:rPr>
          <w:spacing w:val="12"/>
          <w:w w:val="120"/>
          <w:sz w:val="20"/>
        </w:rPr>
        <w:t> </w:t>
      </w:r>
      <w:r>
        <w:rPr>
          <w:w w:val="120"/>
          <w:sz w:val="20"/>
        </w:rPr>
        <w:t>Church</w:t>
      </w:r>
      <w:r>
        <w:rPr>
          <w:spacing w:val="12"/>
          <w:w w:val="120"/>
          <w:sz w:val="20"/>
        </w:rPr>
        <w:t> </w:t>
      </w:r>
      <w:r>
        <w:rPr>
          <w:spacing w:val="-3"/>
          <w:w w:val="120"/>
          <w:sz w:val="20"/>
        </w:rPr>
        <w:t>Youth’</w:t>
      </w:r>
      <w:r>
        <w:rPr>
          <w:spacing w:val="12"/>
          <w:w w:val="120"/>
          <w:sz w:val="20"/>
        </w:rPr>
        <w:t> </w:t>
      </w:r>
      <w:r>
        <w:rPr>
          <w:w w:val="120"/>
          <w:sz w:val="20"/>
        </w:rPr>
        <w:t>has</w:t>
      </w:r>
      <w:r>
        <w:rPr>
          <w:spacing w:val="12"/>
          <w:w w:val="120"/>
          <w:sz w:val="20"/>
        </w:rPr>
        <w:t> </w:t>
      </w:r>
      <w:r>
        <w:rPr>
          <w:w w:val="120"/>
          <w:sz w:val="20"/>
        </w:rPr>
        <w:t>been</w:t>
      </w:r>
      <w:r>
        <w:rPr>
          <w:spacing w:val="12"/>
          <w:w w:val="120"/>
          <w:sz w:val="20"/>
        </w:rPr>
        <w:t> </w:t>
      </w:r>
      <w:r>
        <w:rPr>
          <w:w w:val="120"/>
          <w:sz w:val="20"/>
        </w:rPr>
        <w:t>adopted</w:t>
      </w:r>
      <w:r>
        <w:rPr>
          <w:spacing w:val="12"/>
          <w:w w:val="120"/>
          <w:sz w:val="20"/>
        </w:rPr>
        <w:t> </w:t>
      </w:r>
      <w:r>
        <w:rPr>
          <w:w w:val="120"/>
          <w:sz w:val="20"/>
        </w:rPr>
        <w:t>and</w:t>
      </w:r>
      <w:r>
        <w:rPr>
          <w:spacing w:val="12"/>
          <w:w w:val="120"/>
          <w:sz w:val="20"/>
        </w:rPr>
        <w:t> </w:t>
      </w:r>
      <w:r>
        <w:rPr>
          <w:w w:val="120"/>
          <w:sz w:val="20"/>
        </w:rPr>
        <w:t>documents</w:t>
      </w:r>
      <w:r>
        <w:rPr>
          <w:spacing w:val="12"/>
          <w:w w:val="120"/>
          <w:sz w:val="20"/>
        </w:rPr>
        <w:t> </w:t>
      </w:r>
      <w:r>
        <w:rPr>
          <w:w w:val="120"/>
          <w:sz w:val="20"/>
        </w:rPr>
        <w:t>(URC</w:t>
      </w:r>
      <w:r>
        <w:rPr>
          <w:spacing w:val="12"/>
          <w:w w:val="120"/>
          <w:sz w:val="20"/>
        </w:rPr>
        <w:t> </w:t>
      </w:r>
      <w:r>
        <w:rPr>
          <w:spacing w:val="-3"/>
          <w:w w:val="120"/>
          <w:sz w:val="20"/>
        </w:rPr>
        <w:t>Youth</w:t>
      </w:r>
    </w:p>
    <w:p>
      <w:pPr>
        <w:pStyle w:val="BodyText"/>
        <w:spacing w:line="235" w:lineRule="auto"/>
        <w:ind w:left="547" w:right="2083"/>
      </w:pPr>
      <w:r>
        <w:rPr>
          <w:w w:val="120"/>
        </w:rPr>
        <w:t>Handbook, Framework and Standing Orders) have been produced to support its work and that of the new Youth Executive as well as supporting the Youth Assembly business sessions. These were received at Youth Assembly 2016.</w:t>
      </w:r>
    </w:p>
    <w:p>
      <w:pPr>
        <w:pStyle w:val="BodyText"/>
        <w:spacing w:before="8"/>
        <w:rPr>
          <w:sz w:val="19"/>
        </w:rPr>
      </w:pPr>
    </w:p>
    <w:p>
      <w:pPr>
        <w:pStyle w:val="ListParagraph"/>
        <w:numPr>
          <w:ilvl w:val="2"/>
          <w:numId w:val="37"/>
        </w:numPr>
        <w:tabs>
          <w:tab w:pos="1227" w:val="left" w:leader="none"/>
          <w:tab w:pos="1228" w:val="left" w:leader="none"/>
        </w:tabs>
        <w:spacing w:line="235" w:lineRule="auto" w:before="1" w:after="0"/>
        <w:ind w:left="547" w:right="2209" w:firstLine="0"/>
        <w:jc w:val="left"/>
        <w:rPr>
          <w:sz w:val="20"/>
        </w:rPr>
      </w:pPr>
      <w:r>
        <w:rPr>
          <w:w w:val="120"/>
          <w:sz w:val="20"/>
        </w:rPr>
        <w:t>In its final form, the URC </w:t>
      </w:r>
      <w:r>
        <w:rPr>
          <w:spacing w:val="-3"/>
          <w:w w:val="120"/>
          <w:sz w:val="20"/>
        </w:rPr>
        <w:t>Youth </w:t>
      </w:r>
      <w:r>
        <w:rPr>
          <w:w w:val="120"/>
          <w:sz w:val="20"/>
        </w:rPr>
        <w:t>restructuring has been very well received. Consequently, the </w:t>
      </w:r>
      <w:r>
        <w:rPr>
          <w:spacing w:val="-3"/>
          <w:w w:val="120"/>
          <w:sz w:val="20"/>
        </w:rPr>
        <w:t>Children’s </w:t>
      </w:r>
      <w:r>
        <w:rPr>
          <w:w w:val="120"/>
          <w:sz w:val="20"/>
        </w:rPr>
        <w:t>and </w:t>
      </w:r>
      <w:r>
        <w:rPr>
          <w:spacing w:val="-3"/>
          <w:w w:val="120"/>
          <w:sz w:val="20"/>
        </w:rPr>
        <w:t>Youth </w:t>
      </w:r>
      <w:r>
        <w:rPr>
          <w:w w:val="120"/>
          <w:sz w:val="20"/>
        </w:rPr>
        <w:t>Work Committee brought a resolution, which was agreed by Mission Council in November </w:t>
      </w:r>
      <w:r>
        <w:rPr>
          <w:spacing w:val="-7"/>
          <w:w w:val="120"/>
          <w:sz w:val="20"/>
        </w:rPr>
        <w:t>2015, </w:t>
      </w:r>
      <w:r>
        <w:rPr>
          <w:w w:val="120"/>
          <w:sz w:val="20"/>
        </w:rPr>
        <w:t>to implement the new</w:t>
      </w:r>
      <w:r>
        <w:rPr>
          <w:spacing w:val="53"/>
          <w:w w:val="120"/>
          <w:sz w:val="20"/>
        </w:rPr>
        <w:t> </w:t>
      </w:r>
      <w:r>
        <w:rPr>
          <w:w w:val="120"/>
          <w:sz w:val="20"/>
        </w:rPr>
        <w:t>structures.</w:t>
      </w:r>
    </w:p>
    <w:p>
      <w:pPr>
        <w:pStyle w:val="BodyText"/>
        <w:spacing w:before="10"/>
        <w:rPr>
          <w:sz w:val="19"/>
        </w:rPr>
      </w:pPr>
    </w:p>
    <w:p>
      <w:pPr>
        <w:pStyle w:val="ListParagraph"/>
        <w:numPr>
          <w:ilvl w:val="2"/>
          <w:numId w:val="37"/>
        </w:numPr>
        <w:tabs>
          <w:tab w:pos="1227" w:val="left" w:leader="none"/>
          <w:tab w:pos="1228" w:val="left" w:leader="none"/>
        </w:tabs>
        <w:spacing w:line="235" w:lineRule="auto" w:before="0" w:after="0"/>
        <w:ind w:left="547" w:right="2767" w:firstLine="0"/>
        <w:jc w:val="left"/>
        <w:rPr>
          <w:sz w:val="20"/>
        </w:rPr>
      </w:pPr>
      <w:r>
        <w:rPr>
          <w:w w:val="120"/>
          <w:sz w:val="20"/>
        </w:rPr>
        <w:t>The URC </w:t>
      </w:r>
      <w:r>
        <w:rPr>
          <w:spacing w:val="-3"/>
          <w:w w:val="120"/>
          <w:sz w:val="20"/>
        </w:rPr>
        <w:t>Youth </w:t>
      </w:r>
      <w:r>
        <w:rPr>
          <w:w w:val="120"/>
          <w:sz w:val="20"/>
        </w:rPr>
        <w:t>structure and procedures now parallel the rest of the denomination with synod youth representatives having a seat on the URC </w:t>
      </w:r>
      <w:r>
        <w:rPr>
          <w:spacing w:val="-3"/>
          <w:w w:val="120"/>
          <w:sz w:val="20"/>
        </w:rPr>
        <w:t>Youth </w:t>
      </w:r>
      <w:r>
        <w:rPr>
          <w:w w:val="120"/>
          <w:sz w:val="20"/>
        </w:rPr>
        <w:t>Executive.</w:t>
      </w:r>
    </w:p>
    <w:p>
      <w:pPr>
        <w:pStyle w:val="BodyText"/>
        <w:spacing w:before="6"/>
        <w:rPr>
          <w:sz w:val="18"/>
        </w:rPr>
      </w:pPr>
    </w:p>
    <w:p>
      <w:pPr>
        <w:pStyle w:val="Heading7"/>
        <w:numPr>
          <w:ilvl w:val="1"/>
          <w:numId w:val="37"/>
        </w:numPr>
        <w:tabs>
          <w:tab w:pos="1227" w:val="left" w:leader="none"/>
          <w:tab w:pos="1228" w:val="left" w:leader="none"/>
        </w:tabs>
        <w:spacing w:line="261" w:lineRule="exact" w:before="0" w:after="0"/>
        <w:ind w:left="1227" w:right="0" w:hanging="681"/>
        <w:jc w:val="left"/>
      </w:pPr>
      <w:r>
        <w:rPr>
          <w:w w:val="110"/>
        </w:rPr>
        <w:t>Youth Assembly</w:t>
      </w:r>
      <w:r>
        <w:rPr>
          <w:spacing w:val="-1"/>
          <w:w w:val="110"/>
        </w:rPr>
        <w:t> </w:t>
      </w:r>
      <w:r>
        <w:rPr>
          <w:spacing w:val="-6"/>
          <w:w w:val="110"/>
        </w:rPr>
        <w:t>2015</w:t>
      </w:r>
    </w:p>
    <w:p>
      <w:pPr>
        <w:pStyle w:val="ListParagraph"/>
        <w:numPr>
          <w:ilvl w:val="2"/>
          <w:numId w:val="37"/>
        </w:numPr>
        <w:tabs>
          <w:tab w:pos="1228" w:val="left" w:leader="none"/>
        </w:tabs>
        <w:spacing w:line="235" w:lineRule="auto" w:before="0" w:after="0"/>
        <w:ind w:left="547" w:right="2289" w:firstLine="0"/>
        <w:jc w:val="left"/>
        <w:rPr>
          <w:sz w:val="20"/>
        </w:rPr>
      </w:pPr>
      <w:r>
        <w:rPr>
          <w:w w:val="120"/>
          <w:sz w:val="20"/>
        </w:rPr>
        <w:t>The ‘Time </w:t>
      </w:r>
      <w:r>
        <w:rPr>
          <w:spacing w:val="-7"/>
          <w:w w:val="120"/>
          <w:sz w:val="20"/>
        </w:rPr>
        <w:t>To </w:t>
      </w:r>
      <w:r>
        <w:rPr>
          <w:w w:val="120"/>
          <w:sz w:val="20"/>
        </w:rPr>
        <w:t>Change’ pledge was signed on behalf of </w:t>
      </w:r>
      <w:r>
        <w:rPr>
          <w:spacing w:val="-3"/>
          <w:w w:val="120"/>
          <w:sz w:val="20"/>
        </w:rPr>
        <w:t>Youth  </w:t>
      </w:r>
      <w:r>
        <w:rPr>
          <w:w w:val="120"/>
          <w:sz w:val="20"/>
        </w:rPr>
        <w:t>Assembly before  it</w:t>
      </w:r>
      <w:r>
        <w:rPr>
          <w:spacing w:val="9"/>
          <w:w w:val="120"/>
          <w:sz w:val="20"/>
        </w:rPr>
        <w:t> </w:t>
      </w:r>
      <w:r>
        <w:rPr>
          <w:w w:val="120"/>
          <w:sz w:val="20"/>
        </w:rPr>
        <w:t>met,</w:t>
      </w:r>
      <w:r>
        <w:rPr>
          <w:spacing w:val="9"/>
          <w:w w:val="120"/>
          <w:sz w:val="20"/>
        </w:rPr>
        <w:t> </w:t>
      </w:r>
      <w:r>
        <w:rPr>
          <w:w w:val="120"/>
          <w:sz w:val="20"/>
        </w:rPr>
        <w:t>committing</w:t>
      </w:r>
      <w:r>
        <w:rPr>
          <w:spacing w:val="9"/>
          <w:w w:val="120"/>
          <w:sz w:val="20"/>
        </w:rPr>
        <w:t> </w:t>
      </w:r>
      <w:r>
        <w:rPr>
          <w:spacing w:val="-3"/>
          <w:w w:val="120"/>
          <w:sz w:val="20"/>
        </w:rPr>
        <w:t>Youth</w:t>
      </w:r>
      <w:r>
        <w:rPr>
          <w:spacing w:val="10"/>
          <w:w w:val="120"/>
          <w:sz w:val="20"/>
        </w:rPr>
        <w:t> </w:t>
      </w:r>
      <w:r>
        <w:rPr>
          <w:w w:val="120"/>
          <w:sz w:val="20"/>
        </w:rPr>
        <w:t>Assembly</w:t>
      </w:r>
      <w:r>
        <w:rPr>
          <w:spacing w:val="9"/>
          <w:w w:val="120"/>
          <w:sz w:val="20"/>
        </w:rPr>
        <w:t> </w:t>
      </w:r>
      <w:r>
        <w:rPr>
          <w:w w:val="120"/>
          <w:sz w:val="20"/>
        </w:rPr>
        <w:t>to</w:t>
      </w:r>
      <w:r>
        <w:rPr>
          <w:spacing w:val="9"/>
          <w:w w:val="120"/>
          <w:sz w:val="20"/>
        </w:rPr>
        <w:t> </w:t>
      </w:r>
      <w:r>
        <w:rPr>
          <w:w w:val="120"/>
          <w:sz w:val="20"/>
        </w:rPr>
        <w:t>doing</w:t>
      </w:r>
      <w:r>
        <w:rPr>
          <w:spacing w:val="10"/>
          <w:w w:val="120"/>
          <w:sz w:val="20"/>
        </w:rPr>
        <w:t> </w:t>
      </w:r>
      <w:r>
        <w:rPr>
          <w:w w:val="120"/>
          <w:sz w:val="20"/>
        </w:rPr>
        <w:t>everything</w:t>
      </w:r>
      <w:r>
        <w:rPr>
          <w:spacing w:val="9"/>
          <w:w w:val="120"/>
          <w:sz w:val="20"/>
        </w:rPr>
        <w:t> </w:t>
      </w:r>
      <w:r>
        <w:rPr>
          <w:w w:val="120"/>
          <w:sz w:val="20"/>
        </w:rPr>
        <w:t>in</w:t>
      </w:r>
      <w:r>
        <w:rPr>
          <w:spacing w:val="9"/>
          <w:w w:val="120"/>
          <w:sz w:val="20"/>
        </w:rPr>
        <w:t> </w:t>
      </w:r>
      <w:r>
        <w:rPr>
          <w:w w:val="120"/>
          <w:sz w:val="20"/>
        </w:rPr>
        <w:t>its</w:t>
      </w:r>
      <w:r>
        <w:rPr>
          <w:spacing w:val="10"/>
          <w:w w:val="120"/>
          <w:sz w:val="20"/>
        </w:rPr>
        <w:t> </w:t>
      </w:r>
      <w:r>
        <w:rPr>
          <w:w w:val="120"/>
          <w:sz w:val="20"/>
        </w:rPr>
        <w:t>power</w:t>
      </w:r>
      <w:r>
        <w:rPr>
          <w:spacing w:val="9"/>
          <w:w w:val="120"/>
          <w:sz w:val="20"/>
        </w:rPr>
        <w:t> </w:t>
      </w:r>
      <w:r>
        <w:rPr>
          <w:w w:val="120"/>
          <w:sz w:val="20"/>
        </w:rPr>
        <w:t>to</w:t>
      </w:r>
      <w:r>
        <w:rPr>
          <w:spacing w:val="9"/>
          <w:w w:val="120"/>
          <w:sz w:val="20"/>
        </w:rPr>
        <w:t> </w:t>
      </w:r>
      <w:r>
        <w:rPr>
          <w:w w:val="120"/>
          <w:sz w:val="20"/>
        </w:rPr>
        <w:t>tackle</w:t>
      </w:r>
      <w:r>
        <w:rPr>
          <w:spacing w:val="10"/>
          <w:w w:val="120"/>
          <w:sz w:val="20"/>
        </w:rPr>
        <w:t> </w:t>
      </w:r>
      <w:r>
        <w:rPr>
          <w:w w:val="120"/>
          <w:sz w:val="20"/>
        </w:rPr>
        <w:t>mental</w:t>
      </w:r>
    </w:p>
    <w:p>
      <w:pPr>
        <w:pStyle w:val="BodyText"/>
        <w:spacing w:line="235" w:lineRule="auto"/>
        <w:ind w:left="547" w:right="1899"/>
      </w:pPr>
      <w:r>
        <w:rPr>
          <w:w w:val="120"/>
        </w:rPr>
        <w:t>health stigma, promote living conversations about mental wellbeing, and make the best provision possible for people facing mental health difficulties, across the organisation.</w:t>
      </w:r>
    </w:p>
    <w:p>
      <w:pPr>
        <w:pStyle w:val="BodyText"/>
        <w:spacing w:before="6"/>
        <w:rPr>
          <w:sz w:val="19"/>
        </w:rPr>
      </w:pPr>
    </w:p>
    <w:p>
      <w:pPr>
        <w:pStyle w:val="ListParagraph"/>
        <w:numPr>
          <w:ilvl w:val="2"/>
          <w:numId w:val="37"/>
        </w:numPr>
        <w:tabs>
          <w:tab w:pos="1228" w:val="left" w:leader="none"/>
        </w:tabs>
        <w:spacing w:line="235" w:lineRule="auto" w:before="0" w:after="0"/>
        <w:ind w:left="547" w:right="2053" w:firstLine="0"/>
        <w:jc w:val="left"/>
        <w:rPr>
          <w:sz w:val="20"/>
        </w:rPr>
      </w:pPr>
      <w:r>
        <w:rPr>
          <w:spacing w:val="-3"/>
          <w:w w:val="120"/>
          <w:sz w:val="20"/>
        </w:rPr>
        <w:t>Youth </w:t>
      </w:r>
      <w:r>
        <w:rPr>
          <w:w w:val="120"/>
          <w:sz w:val="20"/>
        </w:rPr>
        <w:t>Assembly </w:t>
      </w:r>
      <w:r>
        <w:rPr>
          <w:spacing w:val="-7"/>
          <w:w w:val="120"/>
          <w:sz w:val="20"/>
        </w:rPr>
        <w:t>2015 </w:t>
      </w:r>
      <w:r>
        <w:rPr>
          <w:w w:val="120"/>
          <w:sz w:val="20"/>
        </w:rPr>
        <w:t>reaffirmed its commitment to supporting the work already undertaken on mental wellbeing at previous </w:t>
      </w:r>
      <w:r>
        <w:rPr>
          <w:spacing w:val="-3"/>
          <w:w w:val="120"/>
          <w:sz w:val="20"/>
        </w:rPr>
        <w:t>Youth </w:t>
      </w:r>
      <w:r>
        <w:rPr>
          <w:w w:val="120"/>
          <w:sz w:val="20"/>
        </w:rPr>
        <w:t>Assemblies, which had resulted in bringing a resolution to General Assembly </w:t>
      </w:r>
      <w:r>
        <w:rPr>
          <w:spacing w:val="-7"/>
          <w:w w:val="120"/>
          <w:sz w:val="20"/>
        </w:rPr>
        <w:t>2014 </w:t>
      </w:r>
      <w:r>
        <w:rPr>
          <w:w w:val="120"/>
          <w:sz w:val="20"/>
        </w:rPr>
        <w:t>in Cardiff, which was</w:t>
      </w:r>
      <w:r>
        <w:rPr>
          <w:spacing w:val="8"/>
          <w:w w:val="120"/>
          <w:sz w:val="20"/>
        </w:rPr>
        <w:t> </w:t>
      </w:r>
      <w:r>
        <w:rPr>
          <w:w w:val="120"/>
          <w:sz w:val="20"/>
        </w:rPr>
        <w:t>passed.</w:t>
      </w:r>
    </w:p>
    <w:p>
      <w:pPr>
        <w:pStyle w:val="BodyText"/>
        <w:spacing w:before="10"/>
        <w:rPr>
          <w:sz w:val="19"/>
        </w:rPr>
      </w:pPr>
    </w:p>
    <w:p>
      <w:pPr>
        <w:pStyle w:val="ListParagraph"/>
        <w:numPr>
          <w:ilvl w:val="2"/>
          <w:numId w:val="37"/>
        </w:numPr>
        <w:tabs>
          <w:tab w:pos="1228" w:val="left" w:leader="none"/>
        </w:tabs>
        <w:spacing w:line="235" w:lineRule="auto" w:before="0" w:after="0"/>
        <w:ind w:left="547" w:right="2108" w:firstLine="0"/>
        <w:jc w:val="left"/>
        <w:rPr>
          <w:sz w:val="20"/>
        </w:rPr>
      </w:pPr>
      <w:r>
        <w:rPr>
          <w:w w:val="120"/>
          <w:sz w:val="20"/>
        </w:rPr>
        <w:t>In addition, two documents have been produced, ‘Get </w:t>
      </w:r>
      <w:r>
        <w:rPr>
          <w:spacing w:val="-5"/>
          <w:w w:val="120"/>
          <w:sz w:val="20"/>
        </w:rPr>
        <w:t>Talking’, </w:t>
      </w:r>
      <w:r>
        <w:rPr>
          <w:w w:val="120"/>
          <w:sz w:val="20"/>
        </w:rPr>
        <w:t>in response to a </w:t>
      </w:r>
      <w:r>
        <w:rPr>
          <w:spacing w:val="-3"/>
          <w:w w:val="120"/>
          <w:sz w:val="20"/>
        </w:rPr>
        <w:t>Youth </w:t>
      </w:r>
      <w:r>
        <w:rPr>
          <w:w w:val="120"/>
          <w:sz w:val="20"/>
        </w:rPr>
        <w:t>Assembly resolution asking for help to make conversations about mental health and wellbeing easier to </w:t>
      </w:r>
      <w:r>
        <w:rPr>
          <w:spacing w:val="2"/>
          <w:w w:val="120"/>
          <w:sz w:val="20"/>
        </w:rPr>
        <w:t>start, </w:t>
      </w:r>
      <w:r>
        <w:rPr>
          <w:w w:val="120"/>
          <w:sz w:val="20"/>
        </w:rPr>
        <w:t>and, second, a signposting document which guides readers to appropriate sources of support, as well as providing snippets of appropriate information.</w:t>
      </w:r>
    </w:p>
    <w:p>
      <w:pPr>
        <w:spacing w:after="0" w:line="235" w:lineRule="auto"/>
        <w:jc w:val="left"/>
        <w:rPr>
          <w:sz w:val="20"/>
        </w:rPr>
        <w:sectPr>
          <w:headerReference w:type="even" r:id="rId198"/>
          <w:pgSz w:w="11910" w:h="16840"/>
          <w:pgMar w:header="0" w:footer="647" w:top="0" w:bottom="840" w:left="700" w:right="0"/>
        </w:sectPr>
      </w:pPr>
    </w:p>
    <w:p>
      <w:pPr>
        <w:pStyle w:val="BodyText"/>
      </w:pPr>
    </w:p>
    <w:p>
      <w:pPr>
        <w:pStyle w:val="BodyText"/>
        <w:spacing w:before="7"/>
        <w:rPr>
          <w:sz w:val="21"/>
        </w:rPr>
      </w:pPr>
    </w:p>
    <w:p>
      <w:pPr>
        <w:spacing w:after="0"/>
        <w:rPr>
          <w:sz w:val="21"/>
        </w:rPr>
        <w:sectPr>
          <w:headerReference w:type="default" r:id="rId199"/>
          <w:footerReference w:type="default" r:id="rId200"/>
          <w:footerReference w:type="even" r:id="rId201"/>
          <w:pgSz w:w="11910" w:h="16840"/>
          <w:pgMar w:header="0" w:footer="647" w:top="0" w:bottom="840" w:left="700" w:right="0"/>
          <w:pgNumType w:start="57"/>
        </w:sectPr>
      </w:pPr>
    </w:p>
    <w:p>
      <w:pPr>
        <w:pStyle w:val="BodyText"/>
        <w:rPr>
          <w:sz w:val="24"/>
        </w:rPr>
      </w:pPr>
    </w:p>
    <w:p>
      <w:pPr>
        <w:pStyle w:val="BodyText"/>
        <w:spacing w:before="6"/>
        <w:rPr>
          <w:sz w:val="27"/>
        </w:rPr>
      </w:pPr>
    </w:p>
    <w:p>
      <w:pPr>
        <w:pStyle w:val="Heading7"/>
        <w:numPr>
          <w:ilvl w:val="1"/>
          <w:numId w:val="37"/>
        </w:numPr>
        <w:tabs>
          <w:tab w:pos="1964" w:val="left" w:leader="none"/>
          <w:tab w:pos="1965" w:val="left" w:leader="none"/>
        </w:tabs>
        <w:spacing w:line="253" w:lineRule="exact" w:before="0" w:after="0"/>
        <w:ind w:left="1964" w:right="0" w:hanging="681"/>
        <w:jc w:val="left"/>
      </w:pPr>
      <w:r>
        <w:rPr/>
        <w:pict>
          <v:shape style="position:absolute;margin-left:554.141174pt;margin-top:-8.818079pt;width:25.9pt;height:267.8pt;mso-position-horizontal-relative:page;mso-position-vertical-relative:paragraph;z-index:251807744" type="#_x0000_t202" filled="false" stroked="false">
            <v:textbox inset="0,0,0,0" style="layout-flow:vertical">
              <w:txbxContent>
                <w:p>
                  <w:pPr>
                    <w:spacing w:before="27"/>
                    <w:ind w:left="20" w:right="0" w:firstLine="0"/>
                    <w:jc w:val="left"/>
                    <w:rPr>
                      <w:sz w:val="39"/>
                    </w:rPr>
                  </w:pPr>
                  <w:r>
                    <w:rPr>
                      <w:color w:val="FFFFFF"/>
                      <w:spacing w:val="3"/>
                      <w:w w:val="120"/>
                      <w:sz w:val="39"/>
                    </w:rPr>
                    <w:t>Children’s </w:t>
                  </w:r>
                  <w:r>
                    <w:rPr>
                      <w:color w:val="FFFFFF"/>
                      <w:spacing w:val="7"/>
                      <w:w w:val="120"/>
                      <w:sz w:val="39"/>
                    </w:rPr>
                    <w:t>and </w:t>
                  </w:r>
                  <w:r>
                    <w:rPr>
                      <w:color w:val="FFFFFF"/>
                      <w:spacing w:val="8"/>
                      <w:w w:val="120"/>
                      <w:sz w:val="39"/>
                    </w:rPr>
                    <w:t>youth</w:t>
                  </w:r>
                  <w:r>
                    <w:rPr>
                      <w:color w:val="FFFFFF"/>
                      <w:spacing w:val="-43"/>
                      <w:w w:val="120"/>
                      <w:sz w:val="39"/>
                    </w:rPr>
                    <w:t> </w:t>
                  </w:r>
                  <w:r>
                    <w:rPr>
                      <w:color w:val="FFFFFF"/>
                      <w:spacing w:val="7"/>
                      <w:w w:val="120"/>
                      <w:sz w:val="39"/>
                    </w:rPr>
                    <w:t>work</w:t>
                  </w:r>
                </w:p>
              </w:txbxContent>
            </v:textbox>
            <w10:wrap type="none"/>
          </v:shape>
        </w:pict>
      </w:r>
      <w:r>
        <w:rPr>
          <w:w w:val="110"/>
        </w:rPr>
        <w:t>Youth Assembly</w:t>
      </w:r>
      <w:r>
        <w:rPr>
          <w:spacing w:val="-2"/>
          <w:w w:val="110"/>
        </w:rPr>
        <w:t> </w:t>
      </w:r>
      <w:r>
        <w:rPr>
          <w:spacing w:val="-5"/>
          <w:w w:val="110"/>
        </w:rPr>
        <w:t>2016</w:t>
      </w:r>
    </w:p>
    <w:p>
      <w:pPr>
        <w:spacing w:before="106"/>
        <w:ind w:left="1284" w:right="0" w:firstLine="0"/>
        <w:jc w:val="left"/>
        <w:rPr>
          <w:sz w:val="26"/>
        </w:rPr>
      </w:pPr>
      <w:r>
        <w:rPr/>
        <w:br w:type="column"/>
      </w:r>
      <w:r>
        <w:rPr>
          <w:color w:val="7EAABF"/>
          <w:w w:val="115"/>
          <w:sz w:val="26"/>
        </w:rPr>
        <w:t>Children’s and youth work</w:t>
      </w:r>
    </w:p>
    <w:p>
      <w:pPr>
        <w:spacing w:after="0"/>
        <w:jc w:val="left"/>
        <w:rPr>
          <w:sz w:val="26"/>
        </w:rPr>
        <w:sectPr>
          <w:type w:val="continuous"/>
          <w:pgSz w:w="11910" w:h="16840"/>
          <w:pgMar w:top="1580" w:bottom="280" w:left="700" w:right="0"/>
          <w:cols w:num="2" w:equalWidth="0">
            <w:col w:w="4300" w:space="1160"/>
            <w:col w:w="5750"/>
          </w:cols>
        </w:sectPr>
      </w:pPr>
    </w:p>
    <w:p>
      <w:pPr>
        <w:pStyle w:val="ListParagraph"/>
        <w:numPr>
          <w:ilvl w:val="2"/>
          <w:numId w:val="37"/>
        </w:numPr>
        <w:tabs>
          <w:tab w:pos="1965" w:val="left" w:leader="none"/>
        </w:tabs>
        <w:spacing w:line="235" w:lineRule="auto" w:before="4" w:after="0"/>
        <w:ind w:left="1284" w:right="1272" w:firstLine="0"/>
        <w:jc w:val="left"/>
        <w:rPr>
          <w:sz w:val="20"/>
        </w:rPr>
      </w:pPr>
      <w:r>
        <w:rPr/>
        <w:drawing>
          <wp:anchor distT="0" distB="0" distL="0" distR="0" allowOverlap="1" layoutInCell="1" locked="0" behindDoc="0" simplePos="0" relativeHeight="251806720">
            <wp:simplePos x="0" y="0"/>
            <wp:positionH relativeFrom="page">
              <wp:posOffset>6974928</wp:posOffset>
            </wp:positionH>
            <wp:positionV relativeFrom="page">
              <wp:posOffset>0</wp:posOffset>
            </wp:positionV>
            <wp:extent cx="585063" cy="10692003"/>
            <wp:effectExtent l="0" t="0" r="0" b="0"/>
            <wp:wrapNone/>
            <wp:docPr id="99" name="image54.png"/>
            <wp:cNvGraphicFramePr>
              <a:graphicFrameLocks noChangeAspect="1"/>
            </wp:cNvGraphicFramePr>
            <a:graphic>
              <a:graphicData uri="http://schemas.openxmlformats.org/drawingml/2006/picture">
                <pic:pic>
                  <pic:nvPicPr>
                    <pic:cNvPr id="100" name="image54.png"/>
                    <pic:cNvPicPr/>
                  </pic:nvPicPr>
                  <pic:blipFill>
                    <a:blip r:embed="rId169" cstate="print"/>
                    <a:stretch>
                      <a:fillRect/>
                    </a:stretch>
                  </pic:blipFill>
                  <pic:spPr>
                    <a:xfrm>
                      <a:off x="0" y="0"/>
                      <a:ext cx="585063" cy="10692003"/>
                    </a:xfrm>
                    <a:prstGeom prst="rect">
                      <a:avLst/>
                    </a:prstGeom>
                  </pic:spPr>
                </pic:pic>
              </a:graphicData>
            </a:graphic>
          </wp:anchor>
        </w:drawing>
      </w:r>
      <w:r>
        <w:rPr>
          <w:spacing w:val="-3"/>
          <w:w w:val="120"/>
          <w:sz w:val="20"/>
        </w:rPr>
        <w:t>Youth </w:t>
      </w:r>
      <w:r>
        <w:rPr>
          <w:w w:val="120"/>
          <w:sz w:val="20"/>
        </w:rPr>
        <w:t>Assembly </w:t>
      </w:r>
      <w:r>
        <w:rPr>
          <w:spacing w:val="-7"/>
          <w:w w:val="120"/>
          <w:sz w:val="20"/>
        </w:rPr>
        <w:t>2016 </w:t>
      </w:r>
      <w:r>
        <w:rPr>
          <w:w w:val="120"/>
          <w:sz w:val="20"/>
        </w:rPr>
        <w:t>passed several resolutions in response to the restructuring, including the adoption of the standing orders and the appointment of a clerk to </w:t>
      </w:r>
      <w:r>
        <w:rPr>
          <w:spacing w:val="-3"/>
          <w:w w:val="120"/>
          <w:sz w:val="20"/>
        </w:rPr>
        <w:t>Youth </w:t>
      </w:r>
      <w:r>
        <w:rPr>
          <w:w w:val="120"/>
          <w:sz w:val="20"/>
        </w:rPr>
        <w:t>Assembly. Resolutions encouraging synods to run more and longer summer camps</w:t>
      </w:r>
    </w:p>
    <w:p>
      <w:pPr>
        <w:pStyle w:val="BodyText"/>
        <w:spacing w:line="235" w:lineRule="auto" w:before="2"/>
        <w:ind w:left="1284" w:right="1337"/>
      </w:pPr>
      <w:r>
        <w:rPr>
          <w:w w:val="120"/>
        </w:rPr>
        <w:t>and to make better provision for young people settling in new synods are now being considered further by the URC Youth Executive, which is also addressing issues arising from the end of the Christian Aid Internship programme.</w:t>
      </w:r>
    </w:p>
    <w:p>
      <w:pPr>
        <w:pStyle w:val="BodyText"/>
        <w:spacing w:before="10"/>
        <w:rPr>
          <w:sz w:val="19"/>
        </w:rPr>
      </w:pPr>
    </w:p>
    <w:p>
      <w:pPr>
        <w:pStyle w:val="ListParagraph"/>
        <w:numPr>
          <w:ilvl w:val="2"/>
          <w:numId w:val="37"/>
        </w:numPr>
        <w:tabs>
          <w:tab w:pos="1965" w:val="left" w:leader="none"/>
        </w:tabs>
        <w:spacing w:line="235" w:lineRule="auto" w:before="0" w:after="0"/>
        <w:ind w:left="1284" w:right="1417" w:firstLine="0"/>
        <w:jc w:val="left"/>
        <w:rPr>
          <w:sz w:val="20"/>
        </w:rPr>
      </w:pPr>
      <w:r>
        <w:rPr>
          <w:spacing w:val="-3"/>
          <w:w w:val="120"/>
          <w:sz w:val="20"/>
        </w:rPr>
        <w:t>Youth </w:t>
      </w:r>
      <w:r>
        <w:rPr>
          <w:w w:val="120"/>
          <w:sz w:val="20"/>
        </w:rPr>
        <w:t>Assembly discussed the work of the Church and Society department on environmental issues, as well as contributing to the work of the 20s to 40s </w:t>
      </w:r>
      <w:r>
        <w:rPr>
          <w:spacing w:val="-4"/>
          <w:w w:val="120"/>
          <w:sz w:val="20"/>
        </w:rPr>
        <w:t>Task</w:t>
      </w:r>
      <w:r>
        <w:rPr>
          <w:spacing w:val="35"/>
          <w:w w:val="120"/>
          <w:sz w:val="20"/>
        </w:rPr>
        <w:t> </w:t>
      </w:r>
      <w:r>
        <w:rPr>
          <w:w w:val="120"/>
          <w:sz w:val="20"/>
        </w:rPr>
        <w:t>Group.</w:t>
      </w:r>
    </w:p>
    <w:p>
      <w:pPr>
        <w:pStyle w:val="BodyText"/>
        <w:spacing w:before="5"/>
        <w:rPr>
          <w:sz w:val="18"/>
        </w:rPr>
      </w:pPr>
    </w:p>
    <w:p>
      <w:pPr>
        <w:pStyle w:val="Heading7"/>
        <w:numPr>
          <w:ilvl w:val="1"/>
          <w:numId w:val="37"/>
        </w:numPr>
        <w:tabs>
          <w:tab w:pos="1964" w:val="left" w:leader="none"/>
          <w:tab w:pos="1965" w:val="left" w:leader="none"/>
        </w:tabs>
        <w:spacing w:line="261" w:lineRule="exact" w:before="1" w:after="0"/>
        <w:ind w:left="1964" w:right="0" w:hanging="681"/>
        <w:jc w:val="left"/>
      </w:pPr>
      <w:r>
        <w:rPr>
          <w:w w:val="110"/>
        </w:rPr>
        <w:t>URC Youth</w:t>
      </w:r>
      <w:r>
        <w:rPr>
          <w:spacing w:val="-1"/>
          <w:w w:val="110"/>
        </w:rPr>
        <w:t> </w:t>
      </w:r>
      <w:r>
        <w:rPr>
          <w:w w:val="110"/>
        </w:rPr>
        <w:t>executive</w:t>
      </w:r>
    </w:p>
    <w:p>
      <w:pPr>
        <w:pStyle w:val="ListParagraph"/>
        <w:numPr>
          <w:ilvl w:val="2"/>
          <w:numId w:val="37"/>
        </w:numPr>
        <w:tabs>
          <w:tab w:pos="1964" w:val="left" w:leader="none"/>
          <w:tab w:pos="1965" w:val="left" w:leader="none"/>
        </w:tabs>
        <w:spacing w:line="235" w:lineRule="auto" w:before="0" w:after="0"/>
        <w:ind w:left="1284" w:right="1302" w:firstLine="0"/>
        <w:jc w:val="left"/>
        <w:rPr>
          <w:sz w:val="20"/>
        </w:rPr>
      </w:pPr>
      <w:r>
        <w:rPr>
          <w:w w:val="120"/>
          <w:sz w:val="20"/>
        </w:rPr>
        <w:t>The URC </w:t>
      </w:r>
      <w:r>
        <w:rPr>
          <w:spacing w:val="-3"/>
          <w:w w:val="120"/>
          <w:sz w:val="20"/>
        </w:rPr>
        <w:t>Youth </w:t>
      </w:r>
      <w:r>
        <w:rPr>
          <w:w w:val="120"/>
          <w:sz w:val="20"/>
        </w:rPr>
        <w:t>Executive has plans to develop cross departmental relationships, identifying areas where work overlaps across the denomination. It will focus attention on social justice and the environment, drawing upon the help of Christian Aid, the Joint Public Issues </w:t>
      </w:r>
      <w:r>
        <w:rPr>
          <w:spacing w:val="-4"/>
          <w:w w:val="120"/>
          <w:sz w:val="20"/>
        </w:rPr>
        <w:t>Team </w:t>
      </w:r>
      <w:r>
        <w:rPr>
          <w:w w:val="120"/>
          <w:sz w:val="20"/>
        </w:rPr>
        <w:t>and the Church and Society</w:t>
      </w:r>
      <w:r>
        <w:rPr>
          <w:spacing w:val="28"/>
          <w:w w:val="120"/>
          <w:sz w:val="20"/>
        </w:rPr>
        <w:t> </w:t>
      </w:r>
      <w:r>
        <w:rPr>
          <w:w w:val="120"/>
          <w:sz w:val="20"/>
        </w:rPr>
        <w:t>department.</w:t>
      </w:r>
    </w:p>
    <w:p>
      <w:pPr>
        <w:pStyle w:val="BodyText"/>
        <w:spacing w:before="1"/>
        <w:rPr>
          <w:sz w:val="19"/>
        </w:rPr>
      </w:pPr>
    </w:p>
    <w:p>
      <w:pPr>
        <w:pStyle w:val="ListParagraph"/>
        <w:numPr>
          <w:ilvl w:val="2"/>
          <w:numId w:val="37"/>
        </w:numPr>
        <w:tabs>
          <w:tab w:pos="1965" w:val="left" w:leader="none"/>
        </w:tabs>
        <w:spacing w:line="240" w:lineRule="auto" w:before="1" w:after="0"/>
        <w:ind w:left="1964" w:right="0" w:hanging="681"/>
        <w:jc w:val="left"/>
        <w:rPr>
          <w:sz w:val="20"/>
        </w:rPr>
      </w:pPr>
      <w:r>
        <w:rPr>
          <w:w w:val="120"/>
          <w:sz w:val="20"/>
        </w:rPr>
        <w:t>Preliminary planning has begun for </w:t>
      </w:r>
      <w:r>
        <w:rPr>
          <w:spacing w:val="-3"/>
          <w:w w:val="120"/>
          <w:sz w:val="20"/>
        </w:rPr>
        <w:t>Youth </w:t>
      </w:r>
      <w:r>
        <w:rPr>
          <w:w w:val="120"/>
          <w:sz w:val="20"/>
        </w:rPr>
        <w:t>Assembly</w:t>
      </w:r>
      <w:r>
        <w:rPr>
          <w:spacing w:val="24"/>
          <w:w w:val="120"/>
          <w:sz w:val="20"/>
        </w:rPr>
        <w:t> </w:t>
      </w:r>
      <w:r>
        <w:rPr>
          <w:spacing w:val="-12"/>
          <w:w w:val="120"/>
          <w:sz w:val="20"/>
        </w:rPr>
        <w:t>2017.</w:t>
      </w:r>
    </w:p>
    <w:p>
      <w:pPr>
        <w:pStyle w:val="BodyText"/>
        <w:spacing w:before="3"/>
        <w:rPr>
          <w:sz w:val="18"/>
        </w:rPr>
      </w:pPr>
    </w:p>
    <w:p>
      <w:pPr>
        <w:pStyle w:val="Heading7"/>
        <w:numPr>
          <w:ilvl w:val="1"/>
          <w:numId w:val="37"/>
        </w:numPr>
        <w:tabs>
          <w:tab w:pos="1964" w:val="left" w:leader="none"/>
          <w:tab w:pos="1965" w:val="left" w:leader="none"/>
        </w:tabs>
        <w:spacing w:line="261" w:lineRule="exact" w:before="0" w:after="0"/>
        <w:ind w:left="1964" w:right="0" w:hanging="681"/>
        <w:jc w:val="left"/>
      </w:pPr>
      <w:r>
        <w:rPr>
          <w:w w:val="110"/>
        </w:rPr>
        <w:t>What do you</w:t>
      </w:r>
      <w:r>
        <w:rPr>
          <w:spacing w:val="-1"/>
          <w:w w:val="110"/>
        </w:rPr>
        <w:t> </w:t>
      </w:r>
      <w:r>
        <w:rPr>
          <w:w w:val="110"/>
        </w:rPr>
        <w:t>think?</w:t>
      </w:r>
    </w:p>
    <w:p>
      <w:pPr>
        <w:pStyle w:val="ListParagraph"/>
        <w:numPr>
          <w:ilvl w:val="2"/>
          <w:numId w:val="37"/>
        </w:numPr>
        <w:tabs>
          <w:tab w:pos="1965" w:val="left" w:leader="none"/>
        </w:tabs>
        <w:spacing w:line="235" w:lineRule="auto" w:before="0" w:after="0"/>
        <w:ind w:left="1284" w:right="1245" w:firstLine="0"/>
        <w:jc w:val="left"/>
        <w:rPr>
          <w:sz w:val="20"/>
        </w:rPr>
      </w:pPr>
      <w:r>
        <w:rPr>
          <w:spacing w:val="3"/>
          <w:w w:val="120"/>
          <w:sz w:val="20"/>
        </w:rPr>
        <w:t>WDYT? </w:t>
      </w:r>
      <w:r>
        <w:rPr>
          <w:spacing w:val="-7"/>
          <w:w w:val="120"/>
          <w:sz w:val="20"/>
        </w:rPr>
        <w:t>2014, </w:t>
      </w:r>
      <w:r>
        <w:rPr>
          <w:w w:val="120"/>
          <w:sz w:val="20"/>
        </w:rPr>
        <w:t>once again, gave Under </w:t>
      </w:r>
      <w:r>
        <w:rPr>
          <w:spacing w:val="-3"/>
          <w:w w:val="120"/>
          <w:sz w:val="20"/>
        </w:rPr>
        <w:t>26 </w:t>
      </w:r>
      <w:r>
        <w:rPr>
          <w:w w:val="120"/>
          <w:sz w:val="20"/>
        </w:rPr>
        <w:t>Representatives to General Assembly  the chance to explore the structure and business of Assembly before the event. This was well received by the representatives who were evidently well prepared to contribute, and as a result many members of General Assembly noted how well informed and confident they</w:t>
      </w:r>
      <w:r>
        <w:rPr>
          <w:spacing w:val="3"/>
          <w:w w:val="120"/>
          <w:sz w:val="20"/>
        </w:rPr>
        <w:t> </w:t>
      </w:r>
      <w:r>
        <w:rPr>
          <w:w w:val="120"/>
          <w:sz w:val="20"/>
        </w:rPr>
        <w:t>were.</w:t>
      </w:r>
    </w:p>
    <w:p>
      <w:pPr>
        <w:pStyle w:val="BodyText"/>
        <w:spacing w:before="7"/>
        <w:rPr>
          <w:sz w:val="19"/>
        </w:rPr>
      </w:pPr>
    </w:p>
    <w:p>
      <w:pPr>
        <w:pStyle w:val="ListParagraph"/>
        <w:numPr>
          <w:ilvl w:val="2"/>
          <w:numId w:val="37"/>
        </w:numPr>
        <w:tabs>
          <w:tab w:pos="1965" w:val="left" w:leader="none"/>
        </w:tabs>
        <w:spacing w:line="235" w:lineRule="auto" w:before="0" w:after="0"/>
        <w:ind w:left="1284" w:right="1627" w:firstLine="0"/>
        <w:jc w:val="left"/>
        <w:rPr>
          <w:sz w:val="20"/>
        </w:rPr>
      </w:pPr>
      <w:r>
        <w:rPr>
          <w:w w:val="120"/>
          <w:sz w:val="20"/>
        </w:rPr>
        <w:t>There was also a short </w:t>
      </w:r>
      <w:r>
        <w:rPr>
          <w:spacing w:val="3"/>
          <w:w w:val="120"/>
          <w:sz w:val="20"/>
        </w:rPr>
        <w:t>WDYT? </w:t>
      </w:r>
      <w:r>
        <w:rPr>
          <w:w w:val="120"/>
          <w:sz w:val="20"/>
        </w:rPr>
        <w:t>on the day of the recalled General Assembly in </w:t>
      </w:r>
      <w:r>
        <w:rPr>
          <w:spacing w:val="-7"/>
          <w:w w:val="120"/>
          <w:sz w:val="20"/>
        </w:rPr>
        <w:t>2015. </w:t>
      </w:r>
      <w:r>
        <w:rPr>
          <w:w w:val="120"/>
          <w:sz w:val="20"/>
        </w:rPr>
        <w:t>Planning for </w:t>
      </w:r>
      <w:r>
        <w:rPr>
          <w:spacing w:val="3"/>
          <w:w w:val="120"/>
          <w:sz w:val="20"/>
        </w:rPr>
        <w:t>WDYT? </w:t>
      </w:r>
      <w:r>
        <w:rPr>
          <w:spacing w:val="-7"/>
          <w:w w:val="120"/>
          <w:sz w:val="20"/>
        </w:rPr>
        <w:t>2016 </w:t>
      </w:r>
      <w:r>
        <w:rPr>
          <w:w w:val="120"/>
          <w:sz w:val="20"/>
        </w:rPr>
        <w:t>is</w:t>
      </w:r>
      <w:r>
        <w:rPr>
          <w:spacing w:val="27"/>
          <w:w w:val="120"/>
          <w:sz w:val="20"/>
        </w:rPr>
        <w:t> </w:t>
      </w:r>
      <w:r>
        <w:rPr>
          <w:w w:val="120"/>
          <w:sz w:val="20"/>
        </w:rPr>
        <w:t>underway.</w:t>
      </w:r>
    </w:p>
    <w:p>
      <w:pPr>
        <w:pStyle w:val="BodyText"/>
        <w:spacing w:before="2"/>
        <w:rPr>
          <w:sz w:val="22"/>
        </w:rPr>
      </w:pPr>
    </w:p>
    <w:p>
      <w:pPr>
        <w:spacing w:before="0"/>
        <w:ind w:left="1284" w:right="0" w:firstLine="0"/>
        <w:jc w:val="left"/>
        <w:rPr>
          <w:rFonts w:ascii="Stone Sans II ITC Std Bk"/>
          <w:b/>
          <w:sz w:val="29"/>
        </w:rPr>
      </w:pPr>
      <w:r>
        <w:rPr>
          <w:rFonts w:ascii="Stone Sans II ITC Std Bk"/>
          <w:b/>
          <w:w w:val="110"/>
          <w:sz w:val="29"/>
        </w:rPr>
        <w:t>Integrated theme</w:t>
      </w:r>
    </w:p>
    <w:p>
      <w:pPr>
        <w:pStyle w:val="ListParagraph"/>
        <w:numPr>
          <w:ilvl w:val="1"/>
          <w:numId w:val="38"/>
        </w:numPr>
        <w:tabs>
          <w:tab w:pos="1964" w:val="left" w:leader="none"/>
          <w:tab w:pos="1965" w:val="left" w:leader="none"/>
        </w:tabs>
        <w:spacing w:line="235" w:lineRule="auto" w:before="69" w:after="0"/>
        <w:ind w:left="1284" w:right="1331" w:firstLine="0"/>
        <w:jc w:val="left"/>
        <w:rPr>
          <w:sz w:val="20"/>
        </w:rPr>
      </w:pPr>
      <w:r>
        <w:rPr>
          <w:w w:val="120"/>
          <w:sz w:val="20"/>
        </w:rPr>
        <w:t>The committee hosted a theme planning meeting in August </w:t>
      </w:r>
      <w:r>
        <w:rPr>
          <w:spacing w:val="-7"/>
          <w:w w:val="120"/>
          <w:sz w:val="20"/>
        </w:rPr>
        <w:t>2014 </w:t>
      </w:r>
      <w:r>
        <w:rPr>
          <w:w w:val="120"/>
          <w:sz w:val="20"/>
        </w:rPr>
        <w:t>to suggest annual themes to focus </w:t>
      </w:r>
      <w:r>
        <w:rPr>
          <w:spacing w:val="-3"/>
          <w:w w:val="120"/>
          <w:sz w:val="20"/>
        </w:rPr>
        <w:t>URC’s </w:t>
      </w:r>
      <w:r>
        <w:rPr>
          <w:w w:val="120"/>
          <w:sz w:val="20"/>
        </w:rPr>
        <w:t>the </w:t>
      </w:r>
      <w:r>
        <w:rPr>
          <w:spacing w:val="-3"/>
          <w:w w:val="120"/>
          <w:sz w:val="20"/>
        </w:rPr>
        <w:t>Children’s </w:t>
      </w:r>
      <w:r>
        <w:rPr>
          <w:w w:val="120"/>
          <w:sz w:val="20"/>
        </w:rPr>
        <w:t>and </w:t>
      </w:r>
      <w:r>
        <w:rPr>
          <w:spacing w:val="-3"/>
          <w:w w:val="120"/>
          <w:sz w:val="20"/>
        </w:rPr>
        <w:t>Youth </w:t>
      </w:r>
      <w:r>
        <w:rPr>
          <w:w w:val="120"/>
          <w:sz w:val="20"/>
        </w:rPr>
        <w:t>Work each </w:t>
      </w:r>
      <w:r>
        <w:rPr>
          <w:spacing w:val="-4"/>
          <w:w w:val="120"/>
          <w:sz w:val="20"/>
        </w:rPr>
        <w:t>year. </w:t>
      </w:r>
      <w:r>
        <w:rPr>
          <w:w w:val="120"/>
          <w:sz w:val="20"/>
        </w:rPr>
        <w:t>This gathering also served to build relationships between those involved in </w:t>
      </w:r>
      <w:r>
        <w:rPr>
          <w:spacing w:val="-3"/>
          <w:w w:val="120"/>
          <w:sz w:val="20"/>
        </w:rPr>
        <w:t>Children’s </w:t>
      </w:r>
      <w:r>
        <w:rPr>
          <w:w w:val="120"/>
          <w:sz w:val="20"/>
        </w:rPr>
        <w:t>and </w:t>
      </w:r>
      <w:r>
        <w:rPr>
          <w:spacing w:val="-3"/>
          <w:w w:val="120"/>
          <w:sz w:val="20"/>
        </w:rPr>
        <w:t>Youth </w:t>
      </w:r>
      <w:r>
        <w:rPr>
          <w:w w:val="120"/>
          <w:sz w:val="20"/>
        </w:rPr>
        <w:t>Work who might not otherwise</w:t>
      </w:r>
      <w:r>
        <w:rPr>
          <w:spacing w:val="8"/>
          <w:w w:val="120"/>
          <w:sz w:val="20"/>
        </w:rPr>
        <w:t> </w:t>
      </w:r>
      <w:r>
        <w:rPr>
          <w:w w:val="120"/>
          <w:sz w:val="20"/>
        </w:rPr>
        <w:t>gather.</w:t>
      </w:r>
    </w:p>
    <w:p>
      <w:pPr>
        <w:pStyle w:val="BodyText"/>
        <w:spacing w:before="11"/>
        <w:rPr>
          <w:sz w:val="19"/>
        </w:rPr>
      </w:pPr>
    </w:p>
    <w:p>
      <w:pPr>
        <w:pStyle w:val="ListParagraph"/>
        <w:numPr>
          <w:ilvl w:val="1"/>
          <w:numId w:val="38"/>
        </w:numPr>
        <w:tabs>
          <w:tab w:pos="1964" w:val="left" w:leader="none"/>
          <w:tab w:pos="1965" w:val="left" w:leader="none"/>
        </w:tabs>
        <w:spacing w:line="235" w:lineRule="auto" w:before="0" w:after="0"/>
        <w:ind w:left="1284" w:right="1310" w:firstLine="0"/>
        <w:jc w:val="left"/>
        <w:rPr>
          <w:sz w:val="20"/>
        </w:rPr>
      </w:pPr>
      <w:r>
        <w:rPr>
          <w:w w:val="120"/>
          <w:sz w:val="20"/>
        </w:rPr>
        <w:t>The</w:t>
      </w:r>
      <w:r>
        <w:rPr>
          <w:spacing w:val="-10"/>
          <w:w w:val="120"/>
          <w:sz w:val="20"/>
        </w:rPr>
        <w:t> </w:t>
      </w:r>
      <w:r>
        <w:rPr>
          <w:spacing w:val="-7"/>
          <w:w w:val="120"/>
          <w:sz w:val="20"/>
        </w:rPr>
        <w:t>2015</w:t>
      </w:r>
      <w:r>
        <w:rPr>
          <w:spacing w:val="-10"/>
          <w:w w:val="120"/>
          <w:sz w:val="20"/>
        </w:rPr>
        <w:t> </w:t>
      </w:r>
      <w:r>
        <w:rPr>
          <w:w w:val="120"/>
          <w:sz w:val="20"/>
        </w:rPr>
        <w:t>theme</w:t>
      </w:r>
      <w:r>
        <w:rPr>
          <w:spacing w:val="-10"/>
          <w:w w:val="120"/>
          <w:sz w:val="20"/>
        </w:rPr>
        <w:t> </w:t>
      </w:r>
      <w:r>
        <w:rPr>
          <w:w w:val="120"/>
          <w:sz w:val="20"/>
        </w:rPr>
        <w:t>of</w:t>
      </w:r>
      <w:r>
        <w:rPr>
          <w:spacing w:val="-9"/>
          <w:w w:val="120"/>
          <w:sz w:val="20"/>
        </w:rPr>
        <w:t> </w:t>
      </w:r>
      <w:r>
        <w:rPr>
          <w:i/>
          <w:spacing w:val="-3"/>
          <w:w w:val="120"/>
          <w:sz w:val="20"/>
        </w:rPr>
        <w:t>Treasures</w:t>
      </w:r>
      <w:r>
        <w:rPr>
          <w:i/>
          <w:spacing w:val="-10"/>
          <w:w w:val="120"/>
          <w:sz w:val="20"/>
        </w:rPr>
        <w:t> </w:t>
      </w:r>
      <w:r>
        <w:rPr>
          <w:w w:val="120"/>
          <w:sz w:val="20"/>
        </w:rPr>
        <w:t>was</w:t>
      </w:r>
      <w:r>
        <w:rPr>
          <w:spacing w:val="-10"/>
          <w:w w:val="120"/>
          <w:sz w:val="20"/>
        </w:rPr>
        <w:t> </w:t>
      </w:r>
      <w:r>
        <w:rPr>
          <w:w w:val="120"/>
          <w:sz w:val="20"/>
        </w:rPr>
        <w:t>followed</w:t>
      </w:r>
      <w:r>
        <w:rPr>
          <w:spacing w:val="-9"/>
          <w:w w:val="120"/>
          <w:sz w:val="20"/>
        </w:rPr>
        <w:t> </w:t>
      </w:r>
      <w:r>
        <w:rPr>
          <w:w w:val="120"/>
          <w:sz w:val="20"/>
        </w:rPr>
        <w:t>by</w:t>
      </w:r>
      <w:r>
        <w:rPr>
          <w:spacing w:val="-10"/>
          <w:w w:val="120"/>
          <w:sz w:val="20"/>
        </w:rPr>
        <w:t> </w:t>
      </w:r>
      <w:r>
        <w:rPr>
          <w:i/>
          <w:w w:val="120"/>
          <w:sz w:val="20"/>
        </w:rPr>
        <w:t>Roots</w:t>
      </w:r>
      <w:r>
        <w:rPr>
          <w:i/>
          <w:spacing w:val="-12"/>
          <w:w w:val="120"/>
          <w:sz w:val="20"/>
        </w:rPr>
        <w:t> </w:t>
      </w:r>
      <w:r>
        <w:rPr>
          <w:i/>
          <w:w w:val="120"/>
          <w:sz w:val="20"/>
        </w:rPr>
        <w:t>and</w:t>
      </w:r>
      <w:r>
        <w:rPr>
          <w:i/>
          <w:spacing w:val="-12"/>
          <w:w w:val="120"/>
          <w:sz w:val="20"/>
        </w:rPr>
        <w:t> </w:t>
      </w:r>
      <w:r>
        <w:rPr>
          <w:i/>
          <w:w w:val="120"/>
          <w:sz w:val="20"/>
        </w:rPr>
        <w:t>Foundations</w:t>
      </w:r>
      <w:r>
        <w:rPr>
          <w:i/>
          <w:spacing w:val="-10"/>
          <w:w w:val="120"/>
          <w:sz w:val="20"/>
        </w:rPr>
        <w:t> </w:t>
      </w:r>
      <w:r>
        <w:rPr>
          <w:w w:val="120"/>
          <w:sz w:val="20"/>
        </w:rPr>
        <w:t>in</w:t>
      </w:r>
      <w:r>
        <w:rPr>
          <w:spacing w:val="-9"/>
          <w:w w:val="120"/>
          <w:sz w:val="20"/>
        </w:rPr>
        <w:t> </w:t>
      </w:r>
      <w:r>
        <w:rPr>
          <w:spacing w:val="-6"/>
          <w:w w:val="120"/>
          <w:sz w:val="20"/>
        </w:rPr>
        <w:t>2016.</w:t>
      </w:r>
      <w:r>
        <w:rPr>
          <w:spacing w:val="-10"/>
          <w:w w:val="120"/>
          <w:sz w:val="20"/>
        </w:rPr>
        <w:t> </w:t>
      </w:r>
      <w:r>
        <w:rPr>
          <w:w w:val="120"/>
          <w:sz w:val="20"/>
        </w:rPr>
        <w:t>Both have proved very successful</w:t>
      </w:r>
      <w:r>
        <w:rPr>
          <w:spacing w:val="8"/>
          <w:w w:val="120"/>
          <w:sz w:val="20"/>
        </w:rPr>
        <w:t> </w:t>
      </w:r>
      <w:r>
        <w:rPr>
          <w:w w:val="120"/>
          <w:sz w:val="20"/>
        </w:rPr>
        <w:t>indeed.</w:t>
      </w:r>
    </w:p>
    <w:p>
      <w:pPr>
        <w:pStyle w:val="BodyText"/>
        <w:spacing w:before="9"/>
        <w:rPr>
          <w:sz w:val="19"/>
        </w:rPr>
      </w:pPr>
    </w:p>
    <w:p>
      <w:pPr>
        <w:pStyle w:val="ListParagraph"/>
        <w:numPr>
          <w:ilvl w:val="1"/>
          <w:numId w:val="38"/>
        </w:numPr>
        <w:tabs>
          <w:tab w:pos="1964" w:val="left" w:leader="none"/>
          <w:tab w:pos="1965" w:val="left" w:leader="none"/>
        </w:tabs>
        <w:spacing w:line="235" w:lineRule="auto" w:before="0" w:after="0"/>
        <w:ind w:left="1284" w:right="1577" w:firstLine="0"/>
        <w:jc w:val="left"/>
        <w:rPr>
          <w:sz w:val="20"/>
        </w:rPr>
      </w:pPr>
      <w:r>
        <w:rPr>
          <w:w w:val="120"/>
          <w:sz w:val="20"/>
        </w:rPr>
        <w:t>Following the success of this initiative, particularly in relation to </w:t>
      </w:r>
      <w:r>
        <w:rPr>
          <w:spacing w:val="-3"/>
          <w:w w:val="120"/>
          <w:sz w:val="20"/>
        </w:rPr>
        <w:t>Youth </w:t>
      </w:r>
      <w:r>
        <w:rPr>
          <w:w w:val="120"/>
          <w:sz w:val="20"/>
        </w:rPr>
        <w:t>Assembly and Pilots, we are encouraged that the concept of a theme for the year has been adopted more widely. </w:t>
      </w:r>
      <w:r>
        <w:rPr>
          <w:spacing w:val="2"/>
          <w:w w:val="120"/>
          <w:sz w:val="20"/>
        </w:rPr>
        <w:t>Next </w:t>
      </w:r>
      <w:r>
        <w:rPr>
          <w:w w:val="120"/>
          <w:sz w:val="20"/>
        </w:rPr>
        <w:t>year’s theme, </w:t>
      </w:r>
      <w:r>
        <w:rPr>
          <w:i/>
          <w:w w:val="120"/>
          <w:sz w:val="20"/>
        </w:rPr>
        <w:t>Feasts and Festivals</w:t>
      </w:r>
      <w:r>
        <w:rPr>
          <w:w w:val="120"/>
          <w:sz w:val="20"/>
        </w:rPr>
        <w:t>, has been chosen in collaboration with the Discipleship department to celebrate the five hundred  years since the Lutheran reformation and one hundred years since the ordination of Constance</w:t>
      </w:r>
      <w:r>
        <w:rPr>
          <w:spacing w:val="2"/>
          <w:w w:val="120"/>
          <w:sz w:val="20"/>
        </w:rPr>
        <w:t> </w:t>
      </w:r>
      <w:r>
        <w:rPr>
          <w:w w:val="120"/>
          <w:sz w:val="20"/>
        </w:rPr>
        <w:t>Coltman.</w:t>
      </w:r>
    </w:p>
    <w:p>
      <w:pPr>
        <w:pStyle w:val="BodyText"/>
        <w:spacing w:before="1"/>
      </w:pPr>
    </w:p>
    <w:p>
      <w:pPr>
        <w:pStyle w:val="ListParagraph"/>
        <w:numPr>
          <w:ilvl w:val="1"/>
          <w:numId w:val="38"/>
        </w:numPr>
        <w:tabs>
          <w:tab w:pos="1964" w:val="left" w:leader="none"/>
          <w:tab w:pos="1965" w:val="left" w:leader="none"/>
        </w:tabs>
        <w:spacing w:line="235" w:lineRule="auto" w:before="0" w:after="0"/>
        <w:ind w:left="1284" w:right="1388" w:firstLine="0"/>
        <w:jc w:val="left"/>
        <w:rPr>
          <w:sz w:val="20"/>
        </w:rPr>
      </w:pPr>
      <w:r>
        <w:rPr>
          <w:w w:val="120"/>
          <w:sz w:val="20"/>
        </w:rPr>
        <w:t>This theme will provide a focus for a whole range of areas of work in addition to </w:t>
      </w:r>
      <w:r>
        <w:rPr>
          <w:spacing w:val="-3"/>
          <w:w w:val="120"/>
          <w:sz w:val="20"/>
        </w:rPr>
        <w:t>children’s </w:t>
      </w:r>
      <w:r>
        <w:rPr>
          <w:w w:val="120"/>
          <w:sz w:val="20"/>
        </w:rPr>
        <w:t>and youth work. We look forward to this venture with great</w:t>
      </w:r>
      <w:r>
        <w:rPr>
          <w:spacing w:val="41"/>
          <w:w w:val="120"/>
          <w:sz w:val="20"/>
        </w:rPr>
        <w:t> </w:t>
      </w:r>
      <w:r>
        <w:rPr>
          <w:w w:val="120"/>
          <w:sz w:val="20"/>
        </w:rPr>
        <w:t>anticipation.</w:t>
      </w:r>
    </w:p>
    <w:p>
      <w:pPr>
        <w:pStyle w:val="BodyText"/>
        <w:spacing w:before="1"/>
        <w:rPr>
          <w:sz w:val="22"/>
        </w:rPr>
      </w:pPr>
    </w:p>
    <w:p>
      <w:pPr>
        <w:spacing w:before="1"/>
        <w:ind w:left="1284" w:right="0" w:firstLine="0"/>
        <w:jc w:val="left"/>
        <w:rPr>
          <w:rFonts w:ascii="Stone Sans II ITC Std Bk"/>
          <w:b/>
          <w:sz w:val="29"/>
        </w:rPr>
      </w:pPr>
      <w:r>
        <w:rPr>
          <w:rFonts w:ascii="Stone Sans II ITC Std Bk"/>
          <w:b/>
          <w:w w:val="110"/>
          <w:sz w:val="29"/>
        </w:rPr>
        <w:t>Child Friendly church awards</w:t>
      </w:r>
    </w:p>
    <w:p>
      <w:pPr>
        <w:pStyle w:val="ListParagraph"/>
        <w:numPr>
          <w:ilvl w:val="0"/>
          <w:numId w:val="39"/>
        </w:numPr>
        <w:tabs>
          <w:tab w:pos="1964" w:val="left" w:leader="none"/>
          <w:tab w:pos="1965" w:val="left" w:leader="none"/>
        </w:tabs>
        <w:spacing w:line="235" w:lineRule="auto" w:before="69" w:after="0"/>
        <w:ind w:left="1284" w:right="1246" w:firstLine="0"/>
        <w:jc w:val="left"/>
        <w:rPr>
          <w:sz w:val="20"/>
        </w:rPr>
      </w:pPr>
      <w:r>
        <w:rPr>
          <w:w w:val="120"/>
          <w:sz w:val="20"/>
        </w:rPr>
        <w:t>The Child Friendly Church Award </w:t>
      </w:r>
      <w:r>
        <w:rPr>
          <w:spacing w:val="-3"/>
          <w:w w:val="120"/>
          <w:sz w:val="20"/>
        </w:rPr>
        <w:t>(CFCA) </w:t>
      </w:r>
      <w:r>
        <w:rPr>
          <w:w w:val="120"/>
          <w:sz w:val="20"/>
        </w:rPr>
        <w:t>programme continues to provide an excellent framework for churches to reflect on their ability to cater for the needs of children and young people in their communities and contexts, making sure that any current or potential work with children and young people made by the church is truly relevant, accessible and engaging for all involved. Since General Assembly </w:t>
      </w:r>
      <w:r>
        <w:rPr>
          <w:spacing w:val="-7"/>
          <w:w w:val="120"/>
          <w:sz w:val="20"/>
        </w:rPr>
        <w:t>2014, </w:t>
      </w:r>
      <w:r>
        <w:rPr>
          <w:w w:val="120"/>
          <w:sz w:val="20"/>
        </w:rPr>
        <w:t>eight new Child Friendly Church Awards have been presented, along with </w:t>
      </w:r>
      <w:r>
        <w:rPr>
          <w:spacing w:val="-7"/>
          <w:w w:val="120"/>
          <w:sz w:val="20"/>
        </w:rPr>
        <w:t>18 </w:t>
      </w:r>
      <w:r>
        <w:rPr>
          <w:w w:val="120"/>
          <w:sz w:val="20"/>
        </w:rPr>
        <w:t>award renewals. The committee has also produced guidance to enhance consistency and accountability  in the CFCA renewal</w:t>
      </w:r>
      <w:r>
        <w:rPr>
          <w:spacing w:val="9"/>
          <w:w w:val="120"/>
          <w:sz w:val="20"/>
        </w:rPr>
        <w:t> </w:t>
      </w:r>
      <w:r>
        <w:rPr>
          <w:w w:val="120"/>
          <w:sz w:val="20"/>
        </w:rPr>
        <w:t>process.</w:t>
      </w:r>
    </w:p>
    <w:p>
      <w:pPr>
        <w:spacing w:after="0" w:line="235" w:lineRule="auto"/>
        <w:jc w:val="left"/>
        <w:rPr>
          <w:sz w:val="20"/>
        </w:rPr>
        <w:sectPr>
          <w:type w:val="continuous"/>
          <w:pgSz w:w="11910" w:h="16840"/>
          <w:pgMar w:top="1580" w:bottom="280" w:left="700" w:right="0"/>
        </w:sectPr>
      </w:pPr>
    </w:p>
    <w:p>
      <w:pPr>
        <w:pStyle w:val="BodyText"/>
      </w:pPr>
      <w:r>
        <w:rPr/>
        <w:drawing>
          <wp:anchor distT="0" distB="0" distL="0" distR="0" allowOverlap="1" layoutInCell="1" locked="0" behindDoc="1" simplePos="0" relativeHeight="235355136">
            <wp:simplePos x="0" y="0"/>
            <wp:positionH relativeFrom="page">
              <wp:posOffset>0</wp:posOffset>
            </wp:positionH>
            <wp:positionV relativeFrom="page">
              <wp:posOffset>0</wp:posOffset>
            </wp:positionV>
            <wp:extent cx="594067" cy="10692003"/>
            <wp:effectExtent l="0" t="0" r="0" b="0"/>
            <wp:wrapNone/>
            <wp:docPr id="101" name="image67.png"/>
            <wp:cNvGraphicFramePr>
              <a:graphicFrameLocks noChangeAspect="1"/>
            </wp:cNvGraphicFramePr>
            <a:graphic>
              <a:graphicData uri="http://schemas.openxmlformats.org/drawingml/2006/picture">
                <pic:pic>
                  <pic:nvPicPr>
                    <pic:cNvPr id="102" name="image67.png"/>
                    <pic:cNvPicPr/>
                  </pic:nvPicPr>
                  <pic:blipFill>
                    <a:blip r:embed="rId184" cstate="print"/>
                    <a:stretch>
                      <a:fillRect/>
                    </a:stretch>
                  </pic:blipFill>
                  <pic:spPr>
                    <a:xfrm>
                      <a:off x="0" y="0"/>
                      <a:ext cx="594067" cy="10692003"/>
                    </a:xfrm>
                    <a:prstGeom prst="rect">
                      <a:avLst/>
                    </a:prstGeom>
                  </pic:spPr>
                </pic:pic>
              </a:graphicData>
            </a:graphic>
          </wp:anchor>
        </w:drawing>
      </w:r>
      <w:r>
        <w:rPr/>
        <w:pict>
          <v:shape style="position:absolute;margin-left:20.519100pt;margin-top:48.890015pt;width:25.9pt;height:267.8pt;mso-position-horizontal-relative:page;mso-position-vertical-relative:page;z-index:-267960320" type="#_x0000_t202" filled="false" stroked="false">
            <v:textbox inset="0,0,0,0" style="layout-flow:vertical">
              <w:txbxContent>
                <w:p>
                  <w:pPr>
                    <w:spacing w:before="27"/>
                    <w:ind w:left="20" w:right="0" w:firstLine="0"/>
                    <w:jc w:val="left"/>
                    <w:rPr>
                      <w:sz w:val="39"/>
                    </w:rPr>
                  </w:pPr>
                  <w:r>
                    <w:rPr>
                      <w:color w:val="FFFFFF"/>
                      <w:spacing w:val="3"/>
                      <w:w w:val="120"/>
                      <w:sz w:val="39"/>
                    </w:rPr>
                    <w:t>Children’s </w:t>
                  </w:r>
                  <w:r>
                    <w:rPr>
                      <w:color w:val="FFFFFF"/>
                      <w:spacing w:val="7"/>
                      <w:w w:val="120"/>
                      <w:sz w:val="39"/>
                    </w:rPr>
                    <w:t>and </w:t>
                  </w:r>
                  <w:r>
                    <w:rPr>
                      <w:color w:val="FFFFFF"/>
                      <w:spacing w:val="8"/>
                      <w:w w:val="120"/>
                      <w:sz w:val="39"/>
                    </w:rPr>
                    <w:t>youth</w:t>
                  </w:r>
                  <w:r>
                    <w:rPr>
                      <w:color w:val="FFFFFF"/>
                      <w:spacing w:val="-43"/>
                      <w:w w:val="120"/>
                      <w:sz w:val="39"/>
                    </w:rPr>
                    <w:t> </w:t>
                  </w:r>
                  <w:r>
                    <w:rPr>
                      <w:color w:val="FFFFFF"/>
                      <w:spacing w:val="7"/>
                      <w:w w:val="120"/>
                      <w:sz w:val="39"/>
                    </w:rPr>
                    <w:t>work</w:t>
                  </w:r>
                </w:p>
              </w:txbxContent>
            </v:textbox>
            <w10:wrap type="none"/>
          </v:shape>
        </w:pict>
      </w:r>
    </w:p>
    <w:p>
      <w:pPr>
        <w:pStyle w:val="BodyText"/>
        <w:spacing w:before="7"/>
        <w:rPr>
          <w:sz w:val="21"/>
        </w:rPr>
      </w:pPr>
    </w:p>
    <w:p>
      <w:pPr>
        <w:spacing w:before="106"/>
        <w:ind w:left="547" w:right="0" w:firstLine="0"/>
        <w:jc w:val="left"/>
        <w:rPr>
          <w:sz w:val="26"/>
        </w:rPr>
      </w:pPr>
      <w:r>
        <w:rPr>
          <w:color w:val="7EAABF"/>
          <w:w w:val="115"/>
          <w:sz w:val="26"/>
        </w:rPr>
        <w:t>Children’s and youth work</w:t>
      </w:r>
    </w:p>
    <w:p>
      <w:pPr>
        <w:spacing w:before="215"/>
        <w:ind w:left="547" w:right="0" w:firstLine="0"/>
        <w:jc w:val="left"/>
        <w:rPr>
          <w:rFonts w:ascii="Stone Sans II ITC Std Bk" w:hAnsi="Stone Sans II ITC Std Bk"/>
          <w:b/>
          <w:sz w:val="29"/>
        </w:rPr>
      </w:pPr>
      <w:r>
        <w:rPr>
          <w:rFonts w:ascii="Stone Sans II ITC Std Bk" w:hAnsi="Stone Sans II ITC Std Bk"/>
          <w:b/>
          <w:w w:val="110"/>
          <w:sz w:val="29"/>
        </w:rPr>
        <w:t>Children’s and youth work priorities</w:t>
      </w:r>
    </w:p>
    <w:p>
      <w:pPr>
        <w:pStyle w:val="ListParagraph"/>
        <w:numPr>
          <w:ilvl w:val="0"/>
          <w:numId w:val="39"/>
        </w:numPr>
        <w:tabs>
          <w:tab w:pos="1227" w:val="left" w:leader="none"/>
          <w:tab w:pos="1228" w:val="left" w:leader="none"/>
        </w:tabs>
        <w:spacing w:line="235" w:lineRule="auto" w:before="69" w:after="0"/>
        <w:ind w:left="547" w:right="1986" w:firstLine="0"/>
        <w:jc w:val="left"/>
        <w:rPr>
          <w:sz w:val="20"/>
        </w:rPr>
      </w:pPr>
      <w:r>
        <w:rPr>
          <w:w w:val="120"/>
          <w:sz w:val="20"/>
        </w:rPr>
        <w:t>In order to give direction to the work of the </w:t>
      </w:r>
      <w:r>
        <w:rPr>
          <w:spacing w:val="-3"/>
          <w:w w:val="120"/>
          <w:sz w:val="20"/>
        </w:rPr>
        <w:t>Children’s </w:t>
      </w:r>
      <w:r>
        <w:rPr>
          <w:w w:val="120"/>
          <w:sz w:val="20"/>
        </w:rPr>
        <w:t>and youth work office, the committee has agreed a set of priorities which will enable staff to better manage their commitments and to be sure that their work focuses on the areas we have</w:t>
      </w:r>
      <w:r>
        <w:rPr>
          <w:spacing w:val="-3"/>
          <w:w w:val="120"/>
          <w:sz w:val="20"/>
        </w:rPr>
        <w:t> </w:t>
      </w:r>
      <w:r>
        <w:rPr>
          <w:w w:val="120"/>
          <w:sz w:val="20"/>
        </w:rPr>
        <w:t>prioritised.</w:t>
      </w:r>
    </w:p>
    <w:p>
      <w:pPr>
        <w:pStyle w:val="BodyText"/>
        <w:spacing w:before="3"/>
        <w:rPr>
          <w:sz w:val="22"/>
        </w:rPr>
      </w:pPr>
    </w:p>
    <w:p>
      <w:pPr>
        <w:spacing w:before="0"/>
        <w:ind w:left="547" w:right="0" w:firstLine="0"/>
        <w:jc w:val="left"/>
        <w:rPr>
          <w:rFonts w:ascii="Stone Sans II ITC Std Bk" w:hAnsi="Stone Sans II ITC Std Bk"/>
          <w:b/>
          <w:sz w:val="29"/>
        </w:rPr>
      </w:pPr>
      <w:r>
        <w:rPr>
          <w:rFonts w:ascii="Stone Sans II ITC Std Bk" w:hAnsi="Stone Sans II ITC Std Bk"/>
          <w:b/>
          <w:w w:val="110"/>
          <w:sz w:val="29"/>
        </w:rPr>
        <w:t>Children’s Assembly</w:t>
      </w:r>
    </w:p>
    <w:p>
      <w:pPr>
        <w:pStyle w:val="ListParagraph"/>
        <w:numPr>
          <w:ilvl w:val="1"/>
          <w:numId w:val="40"/>
        </w:numPr>
        <w:tabs>
          <w:tab w:pos="1227" w:val="left" w:leader="none"/>
          <w:tab w:pos="1228" w:val="left" w:leader="none"/>
        </w:tabs>
        <w:spacing w:line="235" w:lineRule="auto" w:before="69" w:after="0"/>
        <w:ind w:left="547" w:right="1983" w:firstLine="0"/>
        <w:jc w:val="left"/>
        <w:rPr>
          <w:sz w:val="20"/>
        </w:rPr>
      </w:pPr>
      <w:r>
        <w:rPr>
          <w:w w:val="120"/>
          <w:sz w:val="20"/>
        </w:rPr>
        <w:t>Along with many members of General Assembly and Mission Council, we express deep disappointment at the lack of a </w:t>
      </w:r>
      <w:r>
        <w:rPr>
          <w:spacing w:val="-3"/>
          <w:w w:val="120"/>
          <w:sz w:val="20"/>
        </w:rPr>
        <w:t>Children’s </w:t>
      </w:r>
      <w:r>
        <w:rPr>
          <w:w w:val="120"/>
          <w:sz w:val="20"/>
        </w:rPr>
        <w:t>Assembly to run alongside General Assembly. In previous years, this event has enabled children to participate directly in   the work of General Assembly and its business, truly treating them as ‘equal partners, with adults, in the life of the Church’ </w:t>
      </w:r>
      <w:r>
        <w:rPr>
          <w:spacing w:val="-3"/>
          <w:w w:val="120"/>
          <w:sz w:val="20"/>
        </w:rPr>
        <w:t>(URC’s </w:t>
      </w:r>
      <w:r>
        <w:rPr>
          <w:w w:val="120"/>
          <w:sz w:val="20"/>
        </w:rPr>
        <w:t>Charter for Children in the </w:t>
      </w:r>
      <w:r>
        <w:rPr>
          <w:spacing w:val="-4"/>
          <w:w w:val="120"/>
          <w:sz w:val="20"/>
        </w:rPr>
        <w:t>Church). </w:t>
      </w:r>
      <w:r>
        <w:rPr>
          <w:w w:val="120"/>
          <w:sz w:val="20"/>
        </w:rPr>
        <w:t>The  work of the Assembly has been enriched by the </w:t>
      </w:r>
      <w:r>
        <w:rPr>
          <w:spacing w:val="-3"/>
          <w:w w:val="120"/>
          <w:sz w:val="20"/>
        </w:rPr>
        <w:t>children’s</w:t>
      </w:r>
      <w:r>
        <w:rPr>
          <w:spacing w:val="35"/>
          <w:w w:val="120"/>
          <w:sz w:val="20"/>
        </w:rPr>
        <w:t> </w:t>
      </w:r>
      <w:r>
        <w:rPr>
          <w:w w:val="120"/>
          <w:sz w:val="20"/>
        </w:rPr>
        <w:t>contributions.</w:t>
      </w:r>
    </w:p>
    <w:p>
      <w:pPr>
        <w:pStyle w:val="BodyText"/>
      </w:pPr>
    </w:p>
    <w:p>
      <w:pPr>
        <w:pStyle w:val="ListParagraph"/>
        <w:numPr>
          <w:ilvl w:val="1"/>
          <w:numId w:val="40"/>
        </w:numPr>
        <w:tabs>
          <w:tab w:pos="1227" w:val="left" w:leader="none"/>
          <w:tab w:pos="1228" w:val="left" w:leader="none"/>
        </w:tabs>
        <w:spacing w:line="235" w:lineRule="auto" w:before="0" w:after="0"/>
        <w:ind w:left="547" w:right="2086" w:firstLine="0"/>
        <w:jc w:val="left"/>
        <w:rPr>
          <w:sz w:val="20"/>
        </w:rPr>
      </w:pPr>
      <w:r>
        <w:rPr>
          <w:w w:val="120"/>
          <w:sz w:val="20"/>
        </w:rPr>
        <w:t>Much thought has been put into the idea of running a </w:t>
      </w:r>
      <w:r>
        <w:rPr>
          <w:spacing w:val="-3"/>
          <w:w w:val="120"/>
          <w:sz w:val="20"/>
        </w:rPr>
        <w:t>Children’s </w:t>
      </w:r>
      <w:r>
        <w:rPr>
          <w:w w:val="120"/>
          <w:sz w:val="20"/>
        </w:rPr>
        <w:t>Assembly alongside this year’s General Assembly but, owing to a range of reasons including cost, logistics and the current pressures on school systems across the </w:t>
      </w:r>
      <w:r>
        <w:rPr>
          <w:spacing w:val="2"/>
          <w:w w:val="120"/>
          <w:sz w:val="20"/>
        </w:rPr>
        <w:t>UK, </w:t>
      </w:r>
      <w:r>
        <w:rPr>
          <w:w w:val="120"/>
          <w:sz w:val="20"/>
        </w:rPr>
        <w:t>this has, </w:t>
      </w:r>
      <w:r>
        <w:rPr>
          <w:spacing w:val="-3"/>
          <w:w w:val="120"/>
          <w:sz w:val="20"/>
        </w:rPr>
        <w:t>sadly, </w:t>
      </w:r>
      <w:r>
        <w:rPr>
          <w:w w:val="120"/>
          <w:sz w:val="20"/>
        </w:rPr>
        <w:t>not been</w:t>
      </w:r>
      <w:r>
        <w:rPr>
          <w:spacing w:val="2"/>
          <w:w w:val="120"/>
          <w:sz w:val="20"/>
        </w:rPr>
        <w:t> </w:t>
      </w:r>
      <w:r>
        <w:rPr>
          <w:w w:val="120"/>
          <w:sz w:val="20"/>
        </w:rPr>
        <w:t>possible.</w:t>
      </w:r>
    </w:p>
    <w:p>
      <w:pPr>
        <w:pStyle w:val="BodyText"/>
        <w:spacing w:before="11"/>
        <w:rPr>
          <w:sz w:val="19"/>
        </w:rPr>
      </w:pPr>
    </w:p>
    <w:p>
      <w:pPr>
        <w:pStyle w:val="ListParagraph"/>
        <w:numPr>
          <w:ilvl w:val="1"/>
          <w:numId w:val="40"/>
        </w:numPr>
        <w:tabs>
          <w:tab w:pos="1227" w:val="left" w:leader="none"/>
          <w:tab w:pos="1228" w:val="left" w:leader="none"/>
        </w:tabs>
        <w:spacing w:line="235" w:lineRule="auto" w:before="0" w:after="0"/>
        <w:ind w:left="547" w:right="2294" w:firstLine="0"/>
        <w:jc w:val="left"/>
        <w:rPr>
          <w:sz w:val="20"/>
        </w:rPr>
      </w:pPr>
      <w:r>
        <w:rPr>
          <w:w w:val="120"/>
          <w:sz w:val="20"/>
        </w:rPr>
        <w:t>We are delighted, </w:t>
      </w:r>
      <w:r>
        <w:rPr>
          <w:spacing w:val="-3"/>
          <w:w w:val="120"/>
          <w:sz w:val="20"/>
        </w:rPr>
        <w:t>however, </w:t>
      </w:r>
      <w:r>
        <w:rPr>
          <w:w w:val="120"/>
          <w:sz w:val="20"/>
        </w:rPr>
        <w:t>that </w:t>
      </w:r>
      <w:r>
        <w:rPr>
          <w:spacing w:val="-3"/>
          <w:w w:val="120"/>
          <w:sz w:val="20"/>
        </w:rPr>
        <w:t>children’s </w:t>
      </w:r>
      <w:r>
        <w:rPr>
          <w:w w:val="120"/>
          <w:sz w:val="20"/>
        </w:rPr>
        <w:t>voices will be heard at General Assembly </w:t>
      </w:r>
      <w:r>
        <w:rPr>
          <w:spacing w:val="-7"/>
          <w:w w:val="120"/>
          <w:sz w:val="20"/>
        </w:rPr>
        <w:t>2016 </w:t>
      </w:r>
      <w:r>
        <w:rPr>
          <w:w w:val="120"/>
          <w:sz w:val="20"/>
        </w:rPr>
        <w:t>in the form of video contributions to worship sessions. This will allow them to help shape and influence the spiritual reflections of Assembly, impacting the gathering in a meaningful</w:t>
      </w:r>
      <w:r>
        <w:rPr>
          <w:spacing w:val="9"/>
          <w:w w:val="120"/>
          <w:sz w:val="20"/>
        </w:rPr>
        <w:t> </w:t>
      </w:r>
      <w:r>
        <w:rPr>
          <w:spacing w:val="-4"/>
          <w:w w:val="120"/>
          <w:sz w:val="20"/>
        </w:rPr>
        <w:t>way.</w:t>
      </w:r>
    </w:p>
    <w:p>
      <w:pPr>
        <w:pStyle w:val="BodyText"/>
        <w:spacing w:before="4"/>
        <w:rPr>
          <w:sz w:val="22"/>
        </w:rPr>
      </w:pPr>
    </w:p>
    <w:p>
      <w:pPr>
        <w:spacing w:before="0"/>
        <w:ind w:left="547" w:right="0" w:firstLine="0"/>
        <w:jc w:val="left"/>
        <w:rPr>
          <w:rFonts w:ascii="Stone Sans II ITC Std Bk"/>
          <w:b/>
          <w:sz w:val="29"/>
        </w:rPr>
      </w:pPr>
      <w:r>
        <w:rPr>
          <w:rFonts w:ascii="Stone Sans II ITC Std Bk"/>
          <w:b/>
          <w:spacing w:val="3"/>
          <w:w w:val="110"/>
          <w:sz w:val="29"/>
        </w:rPr>
        <w:t>Children and </w:t>
      </w:r>
      <w:r>
        <w:rPr>
          <w:rFonts w:ascii="Stone Sans II ITC Std Bk"/>
          <w:b/>
          <w:spacing w:val="2"/>
          <w:w w:val="110"/>
          <w:sz w:val="29"/>
        </w:rPr>
        <w:t>youth </w:t>
      </w:r>
      <w:r>
        <w:rPr>
          <w:rFonts w:ascii="Stone Sans II ITC Std Bk"/>
          <w:b/>
          <w:spacing w:val="3"/>
          <w:w w:val="110"/>
          <w:sz w:val="29"/>
        </w:rPr>
        <w:t>development officer</w:t>
      </w:r>
      <w:r>
        <w:rPr>
          <w:rFonts w:ascii="Stone Sans II ITC Std Bk"/>
          <w:b/>
          <w:spacing w:val="55"/>
          <w:w w:val="110"/>
          <w:sz w:val="29"/>
        </w:rPr>
        <w:t> </w:t>
      </w:r>
      <w:r>
        <w:rPr>
          <w:rFonts w:ascii="Stone Sans II ITC Std Bk"/>
          <w:b/>
          <w:spacing w:val="2"/>
          <w:w w:val="110"/>
          <w:sz w:val="29"/>
        </w:rPr>
        <w:t>covenant</w:t>
      </w:r>
    </w:p>
    <w:p>
      <w:pPr>
        <w:pStyle w:val="ListParagraph"/>
        <w:numPr>
          <w:ilvl w:val="1"/>
          <w:numId w:val="41"/>
        </w:numPr>
        <w:tabs>
          <w:tab w:pos="1227" w:val="left" w:leader="none"/>
          <w:tab w:pos="1228" w:val="left" w:leader="none"/>
        </w:tabs>
        <w:spacing w:line="235" w:lineRule="auto" w:before="69" w:after="0"/>
        <w:ind w:left="547" w:right="2370" w:firstLine="0"/>
        <w:jc w:val="left"/>
        <w:rPr>
          <w:sz w:val="20"/>
        </w:rPr>
      </w:pPr>
      <w:r>
        <w:rPr>
          <w:w w:val="120"/>
          <w:sz w:val="20"/>
        </w:rPr>
        <w:t>The </w:t>
      </w:r>
      <w:r>
        <w:rPr>
          <w:spacing w:val="-3"/>
          <w:w w:val="120"/>
          <w:sz w:val="20"/>
        </w:rPr>
        <w:t>children’s </w:t>
      </w:r>
      <w:r>
        <w:rPr>
          <w:w w:val="120"/>
          <w:sz w:val="20"/>
        </w:rPr>
        <w:t>and youth work committee considered the Mission Council resolution of May </w:t>
      </w:r>
      <w:r>
        <w:rPr>
          <w:spacing w:val="-8"/>
          <w:w w:val="120"/>
          <w:sz w:val="20"/>
        </w:rPr>
        <w:t>2013 </w:t>
      </w:r>
      <w:r>
        <w:rPr>
          <w:w w:val="120"/>
          <w:sz w:val="20"/>
        </w:rPr>
        <w:t>which noted that Mission Council ‘strongly urges all Synods to</w:t>
      </w:r>
      <w:r>
        <w:rPr>
          <w:spacing w:val="7"/>
          <w:w w:val="120"/>
          <w:sz w:val="20"/>
        </w:rPr>
        <w:t> </w:t>
      </w:r>
      <w:r>
        <w:rPr>
          <w:w w:val="120"/>
          <w:sz w:val="20"/>
        </w:rPr>
        <w:t>covenant</w:t>
      </w:r>
      <w:r>
        <w:rPr>
          <w:spacing w:val="8"/>
          <w:w w:val="120"/>
          <w:sz w:val="20"/>
        </w:rPr>
        <w:t> </w:t>
      </w:r>
      <w:r>
        <w:rPr>
          <w:w w:val="120"/>
          <w:sz w:val="20"/>
        </w:rPr>
        <w:t>to</w:t>
      </w:r>
      <w:r>
        <w:rPr>
          <w:spacing w:val="7"/>
          <w:w w:val="120"/>
          <w:sz w:val="20"/>
        </w:rPr>
        <w:t> </w:t>
      </w:r>
      <w:r>
        <w:rPr>
          <w:w w:val="120"/>
          <w:sz w:val="20"/>
        </w:rPr>
        <w:t>Assembly</w:t>
      </w:r>
      <w:r>
        <w:rPr>
          <w:spacing w:val="8"/>
          <w:w w:val="120"/>
          <w:sz w:val="20"/>
        </w:rPr>
        <w:t> </w:t>
      </w:r>
      <w:r>
        <w:rPr>
          <w:w w:val="120"/>
          <w:sz w:val="20"/>
        </w:rPr>
        <w:t>level</w:t>
      </w:r>
      <w:r>
        <w:rPr>
          <w:spacing w:val="7"/>
          <w:w w:val="120"/>
          <w:sz w:val="20"/>
        </w:rPr>
        <w:t> </w:t>
      </w:r>
      <w:r>
        <w:rPr>
          <w:w w:val="120"/>
          <w:sz w:val="20"/>
        </w:rPr>
        <w:t>work</w:t>
      </w:r>
      <w:r>
        <w:rPr>
          <w:spacing w:val="8"/>
          <w:w w:val="120"/>
          <w:sz w:val="20"/>
        </w:rPr>
        <w:t> </w:t>
      </w:r>
      <w:r>
        <w:rPr>
          <w:w w:val="120"/>
          <w:sz w:val="20"/>
        </w:rPr>
        <w:t>up</w:t>
      </w:r>
      <w:r>
        <w:rPr>
          <w:spacing w:val="7"/>
          <w:w w:val="120"/>
          <w:sz w:val="20"/>
        </w:rPr>
        <w:t> </w:t>
      </w:r>
      <w:r>
        <w:rPr>
          <w:w w:val="120"/>
          <w:sz w:val="20"/>
        </w:rPr>
        <w:t>to</w:t>
      </w:r>
      <w:r>
        <w:rPr>
          <w:spacing w:val="8"/>
          <w:w w:val="120"/>
          <w:sz w:val="20"/>
        </w:rPr>
        <w:t> </w:t>
      </w:r>
      <w:r>
        <w:rPr>
          <w:spacing w:val="-3"/>
          <w:w w:val="120"/>
          <w:sz w:val="20"/>
        </w:rPr>
        <w:t>25%</w:t>
      </w:r>
      <w:r>
        <w:rPr>
          <w:spacing w:val="7"/>
          <w:w w:val="120"/>
          <w:sz w:val="20"/>
        </w:rPr>
        <w:t> </w:t>
      </w:r>
      <w:r>
        <w:rPr>
          <w:w w:val="120"/>
          <w:sz w:val="20"/>
        </w:rPr>
        <w:t>of</w:t>
      </w:r>
      <w:r>
        <w:rPr>
          <w:spacing w:val="8"/>
          <w:w w:val="120"/>
          <w:sz w:val="20"/>
        </w:rPr>
        <w:t> </w:t>
      </w:r>
      <w:r>
        <w:rPr>
          <w:w w:val="120"/>
          <w:sz w:val="20"/>
        </w:rPr>
        <w:t>the</w:t>
      </w:r>
      <w:r>
        <w:rPr>
          <w:spacing w:val="8"/>
          <w:w w:val="120"/>
          <w:sz w:val="20"/>
        </w:rPr>
        <w:t> </w:t>
      </w:r>
      <w:r>
        <w:rPr>
          <w:w w:val="120"/>
          <w:sz w:val="20"/>
        </w:rPr>
        <w:t>time</w:t>
      </w:r>
      <w:r>
        <w:rPr>
          <w:spacing w:val="7"/>
          <w:w w:val="120"/>
          <w:sz w:val="20"/>
        </w:rPr>
        <w:t> </w:t>
      </w:r>
      <w:r>
        <w:rPr>
          <w:w w:val="120"/>
          <w:sz w:val="20"/>
        </w:rPr>
        <w:t>of</w:t>
      </w:r>
      <w:r>
        <w:rPr>
          <w:spacing w:val="8"/>
          <w:w w:val="120"/>
          <w:sz w:val="20"/>
        </w:rPr>
        <w:t> </w:t>
      </w:r>
      <w:r>
        <w:rPr>
          <w:w w:val="120"/>
          <w:sz w:val="20"/>
        </w:rPr>
        <w:t>their</w:t>
      </w:r>
      <w:r>
        <w:rPr>
          <w:spacing w:val="7"/>
          <w:w w:val="120"/>
          <w:sz w:val="20"/>
        </w:rPr>
        <w:t> </w:t>
      </w:r>
      <w:r>
        <w:rPr>
          <w:spacing w:val="-4"/>
          <w:w w:val="120"/>
          <w:sz w:val="20"/>
        </w:rPr>
        <w:t>CYDO(s),</w:t>
      </w:r>
      <w:r>
        <w:rPr>
          <w:spacing w:val="8"/>
          <w:w w:val="120"/>
          <w:sz w:val="20"/>
        </w:rPr>
        <w:t> </w:t>
      </w:r>
      <w:r>
        <w:rPr>
          <w:w w:val="120"/>
          <w:sz w:val="20"/>
        </w:rPr>
        <w:t>or</w:t>
      </w:r>
      <w:r>
        <w:rPr>
          <w:spacing w:val="7"/>
          <w:w w:val="120"/>
          <w:sz w:val="20"/>
        </w:rPr>
        <w:t> </w:t>
      </w:r>
      <w:r>
        <w:rPr>
          <w:w w:val="120"/>
          <w:sz w:val="20"/>
        </w:rPr>
        <w:t>other</w:t>
      </w:r>
    </w:p>
    <w:p>
      <w:pPr>
        <w:pStyle w:val="BodyText"/>
        <w:spacing w:line="235" w:lineRule="auto" w:before="2"/>
        <w:ind w:left="547" w:right="2083"/>
      </w:pPr>
      <w:r>
        <w:rPr>
          <w:spacing w:val="-3"/>
          <w:w w:val="120"/>
        </w:rPr>
        <w:t>person(s) </w:t>
      </w:r>
      <w:r>
        <w:rPr>
          <w:w w:val="120"/>
        </w:rPr>
        <w:t>chosen and employed by the Synod with a brief for </w:t>
      </w:r>
      <w:r>
        <w:rPr>
          <w:spacing w:val="-3"/>
          <w:w w:val="120"/>
        </w:rPr>
        <w:t>Children’s </w:t>
      </w:r>
      <w:r>
        <w:rPr>
          <w:w w:val="120"/>
        </w:rPr>
        <w:t>and </w:t>
      </w:r>
      <w:r>
        <w:rPr>
          <w:spacing w:val="-3"/>
          <w:w w:val="120"/>
        </w:rPr>
        <w:t>Youth </w:t>
      </w:r>
      <w:r>
        <w:rPr>
          <w:w w:val="120"/>
        </w:rPr>
        <w:t>work at Synod level;’ </w:t>
      </w:r>
      <w:r>
        <w:rPr>
          <w:spacing w:val="-4"/>
          <w:w w:val="120"/>
        </w:rPr>
        <w:t>[and] </w:t>
      </w:r>
      <w:r>
        <w:rPr>
          <w:w w:val="120"/>
        </w:rPr>
        <w:t>‘invites the Children and Youth Work Committee to explore ways  of working together across all the</w:t>
      </w:r>
      <w:r>
        <w:rPr>
          <w:spacing w:val="14"/>
          <w:w w:val="120"/>
        </w:rPr>
        <w:t> </w:t>
      </w:r>
      <w:r>
        <w:rPr>
          <w:spacing w:val="-4"/>
          <w:w w:val="120"/>
        </w:rPr>
        <w:t>Synods’.</w:t>
      </w:r>
    </w:p>
    <w:p>
      <w:pPr>
        <w:pStyle w:val="BodyText"/>
        <w:spacing w:before="10"/>
        <w:rPr>
          <w:sz w:val="19"/>
        </w:rPr>
      </w:pPr>
    </w:p>
    <w:p>
      <w:pPr>
        <w:pStyle w:val="ListParagraph"/>
        <w:numPr>
          <w:ilvl w:val="1"/>
          <w:numId w:val="41"/>
        </w:numPr>
        <w:tabs>
          <w:tab w:pos="1227" w:val="left" w:leader="none"/>
          <w:tab w:pos="1228" w:val="left" w:leader="none"/>
        </w:tabs>
        <w:spacing w:line="235" w:lineRule="auto" w:before="0" w:after="0"/>
        <w:ind w:left="547" w:right="2058" w:firstLine="0"/>
        <w:jc w:val="left"/>
        <w:rPr>
          <w:sz w:val="20"/>
        </w:rPr>
      </w:pPr>
      <w:r>
        <w:rPr>
          <w:spacing w:val="3"/>
          <w:w w:val="120"/>
          <w:sz w:val="20"/>
        </w:rPr>
        <w:t>As </w:t>
      </w:r>
      <w:r>
        <w:rPr>
          <w:w w:val="120"/>
          <w:sz w:val="20"/>
        </w:rPr>
        <w:t>the conversation between the committee and synods progressed there was little appetite for a signed covenant but the committee was encouraged by the positive nature of synod responses and by the increased number of </w:t>
      </w:r>
      <w:r>
        <w:rPr>
          <w:spacing w:val="2"/>
          <w:w w:val="120"/>
          <w:sz w:val="20"/>
        </w:rPr>
        <w:t>CYDOs </w:t>
      </w:r>
      <w:r>
        <w:rPr>
          <w:w w:val="120"/>
          <w:sz w:val="20"/>
        </w:rPr>
        <w:t>which have been appointed.</w:t>
      </w:r>
    </w:p>
    <w:p>
      <w:pPr>
        <w:pStyle w:val="BodyText"/>
        <w:spacing w:before="4"/>
        <w:rPr>
          <w:sz w:val="22"/>
        </w:rPr>
      </w:pPr>
    </w:p>
    <w:p>
      <w:pPr>
        <w:spacing w:before="0"/>
        <w:ind w:left="547" w:right="0" w:firstLine="0"/>
        <w:jc w:val="left"/>
        <w:rPr>
          <w:rFonts w:ascii="Stone Sans II ITC Std Bk"/>
          <w:b/>
          <w:sz w:val="29"/>
        </w:rPr>
      </w:pPr>
      <w:r>
        <w:rPr>
          <w:rFonts w:ascii="Stone Sans II ITC Std Bk"/>
          <w:b/>
          <w:w w:val="110"/>
          <w:sz w:val="29"/>
        </w:rPr>
        <w:t>Website</w:t>
      </w:r>
    </w:p>
    <w:p>
      <w:pPr>
        <w:pStyle w:val="ListParagraph"/>
        <w:numPr>
          <w:ilvl w:val="0"/>
          <w:numId w:val="42"/>
        </w:numPr>
        <w:tabs>
          <w:tab w:pos="1227" w:val="left" w:leader="none"/>
          <w:tab w:pos="1228" w:val="left" w:leader="none"/>
        </w:tabs>
        <w:spacing w:line="235" w:lineRule="auto" w:before="69" w:after="0"/>
        <w:ind w:left="547" w:right="2045" w:firstLine="0"/>
        <w:jc w:val="left"/>
        <w:rPr>
          <w:sz w:val="20"/>
        </w:rPr>
      </w:pPr>
      <w:r>
        <w:rPr>
          <w:spacing w:val="-3"/>
          <w:w w:val="120"/>
          <w:sz w:val="20"/>
        </w:rPr>
        <w:t>Children’s </w:t>
      </w:r>
      <w:r>
        <w:rPr>
          <w:w w:val="120"/>
          <w:sz w:val="20"/>
        </w:rPr>
        <w:t>and youth work pages offer information, resources, encouragement, </w:t>
      </w:r>
      <w:r>
        <w:rPr>
          <w:spacing w:val="2"/>
          <w:w w:val="120"/>
          <w:sz w:val="20"/>
        </w:rPr>
        <w:t>story </w:t>
      </w:r>
      <w:r>
        <w:rPr>
          <w:w w:val="120"/>
          <w:sz w:val="20"/>
        </w:rPr>
        <w:t>sharing and reflection, which can be a challenge on a website designed to be text heavy. The committee is grateful to all those who contribute materials to these</w:t>
      </w:r>
      <w:r>
        <w:rPr>
          <w:spacing w:val="8"/>
          <w:w w:val="120"/>
          <w:sz w:val="20"/>
        </w:rPr>
        <w:t> </w:t>
      </w:r>
      <w:r>
        <w:rPr>
          <w:w w:val="120"/>
          <w:sz w:val="20"/>
        </w:rPr>
        <w:t>pages.</w:t>
      </w:r>
    </w:p>
    <w:p>
      <w:pPr>
        <w:pStyle w:val="BodyText"/>
        <w:spacing w:before="2"/>
        <w:rPr>
          <w:sz w:val="22"/>
        </w:rPr>
      </w:pPr>
    </w:p>
    <w:p>
      <w:pPr>
        <w:spacing w:before="0"/>
        <w:ind w:left="547" w:right="0" w:firstLine="0"/>
        <w:jc w:val="left"/>
        <w:rPr>
          <w:rFonts w:ascii="Stone Sans II ITC Std Bk"/>
          <w:b/>
          <w:sz w:val="29"/>
        </w:rPr>
      </w:pPr>
      <w:r>
        <w:rPr>
          <w:rFonts w:ascii="Stone Sans II ITC Std Bk"/>
          <w:b/>
          <w:w w:val="110"/>
          <w:sz w:val="29"/>
        </w:rPr>
        <w:t>Safeguarding</w:t>
      </w:r>
    </w:p>
    <w:p>
      <w:pPr>
        <w:pStyle w:val="ListParagraph"/>
        <w:numPr>
          <w:ilvl w:val="0"/>
          <w:numId w:val="42"/>
        </w:numPr>
        <w:tabs>
          <w:tab w:pos="1227" w:val="left" w:leader="none"/>
          <w:tab w:pos="1228" w:val="left" w:leader="none"/>
        </w:tabs>
        <w:spacing w:line="235" w:lineRule="auto" w:before="69" w:after="0"/>
        <w:ind w:left="547" w:right="2165" w:firstLine="0"/>
        <w:jc w:val="left"/>
        <w:rPr>
          <w:sz w:val="20"/>
        </w:rPr>
      </w:pPr>
      <w:r>
        <w:rPr>
          <w:w w:val="120"/>
          <w:sz w:val="20"/>
        </w:rPr>
        <w:t>In order to assist the production of ‘Good Practice </w:t>
      </w:r>
      <w:r>
        <w:rPr>
          <w:spacing w:val="-4"/>
          <w:w w:val="120"/>
          <w:sz w:val="20"/>
        </w:rPr>
        <w:t>4’ </w:t>
      </w:r>
      <w:r>
        <w:rPr>
          <w:spacing w:val="-7"/>
          <w:w w:val="120"/>
          <w:sz w:val="20"/>
        </w:rPr>
        <w:t>(GP4), </w:t>
      </w:r>
      <w:r>
        <w:rPr>
          <w:w w:val="120"/>
          <w:sz w:val="20"/>
        </w:rPr>
        <w:t>the </w:t>
      </w:r>
      <w:r>
        <w:rPr>
          <w:spacing w:val="-3"/>
          <w:w w:val="120"/>
          <w:sz w:val="20"/>
        </w:rPr>
        <w:t>URC’s </w:t>
      </w:r>
      <w:r>
        <w:rPr>
          <w:w w:val="120"/>
          <w:sz w:val="20"/>
        </w:rPr>
        <w:t>latest guidance on safeguarding practice, members of the </w:t>
      </w:r>
      <w:r>
        <w:rPr>
          <w:spacing w:val="-3"/>
          <w:w w:val="120"/>
          <w:sz w:val="20"/>
        </w:rPr>
        <w:t>children’s </w:t>
      </w:r>
      <w:r>
        <w:rPr>
          <w:w w:val="120"/>
          <w:sz w:val="20"/>
        </w:rPr>
        <w:t>and youth work development officer </w:t>
      </w:r>
      <w:r>
        <w:rPr>
          <w:spacing w:val="-3"/>
          <w:w w:val="120"/>
          <w:sz w:val="20"/>
        </w:rPr>
        <w:t>(CYDO) </w:t>
      </w:r>
      <w:r>
        <w:rPr>
          <w:w w:val="120"/>
          <w:sz w:val="20"/>
        </w:rPr>
        <w:t>team and </w:t>
      </w:r>
      <w:r>
        <w:rPr>
          <w:spacing w:val="-3"/>
          <w:w w:val="120"/>
          <w:sz w:val="20"/>
        </w:rPr>
        <w:t>children’s </w:t>
      </w:r>
      <w:r>
        <w:rPr>
          <w:w w:val="120"/>
          <w:sz w:val="20"/>
        </w:rPr>
        <w:t>and youth work office contributed to the materials. This took a great deal of time and energy for which the Children’s and </w:t>
      </w:r>
      <w:r>
        <w:rPr>
          <w:spacing w:val="-3"/>
          <w:w w:val="120"/>
          <w:sz w:val="20"/>
        </w:rPr>
        <w:t>Youth </w:t>
      </w:r>
      <w:r>
        <w:rPr>
          <w:w w:val="120"/>
          <w:sz w:val="20"/>
        </w:rPr>
        <w:t>Work Committee is</w:t>
      </w:r>
      <w:r>
        <w:rPr>
          <w:spacing w:val="10"/>
          <w:w w:val="120"/>
          <w:sz w:val="20"/>
        </w:rPr>
        <w:t> </w:t>
      </w:r>
      <w:r>
        <w:rPr>
          <w:w w:val="120"/>
          <w:sz w:val="20"/>
        </w:rPr>
        <w:t>grateful.</w:t>
      </w:r>
    </w:p>
    <w:p>
      <w:pPr>
        <w:pStyle w:val="BodyText"/>
        <w:spacing w:before="4"/>
        <w:rPr>
          <w:sz w:val="22"/>
        </w:rPr>
      </w:pPr>
    </w:p>
    <w:p>
      <w:pPr>
        <w:spacing w:before="1"/>
        <w:ind w:left="547" w:right="0" w:firstLine="0"/>
        <w:jc w:val="left"/>
        <w:rPr>
          <w:rFonts w:ascii="Stone Sans II ITC Std Bk"/>
          <w:b/>
          <w:sz w:val="29"/>
        </w:rPr>
      </w:pPr>
      <w:r>
        <w:rPr>
          <w:rFonts w:ascii="Stone Sans II ITC Std Bk"/>
          <w:b/>
          <w:w w:val="110"/>
          <w:sz w:val="29"/>
        </w:rPr>
        <w:t>Work with other organisations</w:t>
      </w:r>
    </w:p>
    <w:p>
      <w:pPr>
        <w:pStyle w:val="ListParagraph"/>
        <w:numPr>
          <w:ilvl w:val="0"/>
          <w:numId w:val="42"/>
        </w:numPr>
        <w:tabs>
          <w:tab w:pos="1227" w:val="left" w:leader="none"/>
          <w:tab w:pos="1228" w:val="left" w:leader="none"/>
        </w:tabs>
        <w:spacing w:line="235" w:lineRule="auto" w:before="69" w:after="0"/>
        <w:ind w:left="547" w:right="2023" w:firstLine="0"/>
        <w:jc w:val="left"/>
        <w:rPr>
          <w:sz w:val="20"/>
        </w:rPr>
      </w:pPr>
      <w:r>
        <w:rPr>
          <w:w w:val="120"/>
          <w:sz w:val="20"/>
        </w:rPr>
        <w:t>Following an approach from the United Reformed Church Guide and Scout Fellowship, the committee considered how the </w:t>
      </w:r>
      <w:r>
        <w:rPr>
          <w:spacing w:val="-3"/>
          <w:w w:val="120"/>
          <w:sz w:val="20"/>
        </w:rPr>
        <w:t>children’s </w:t>
      </w:r>
      <w:r>
        <w:rPr>
          <w:w w:val="120"/>
          <w:sz w:val="20"/>
        </w:rPr>
        <w:t>and youth work office should deal with requests for us to enter relationships with such organisations. The committee has agreed guidelines for office staff to follow, which includes triaging requests in</w:t>
      </w:r>
      <w:r>
        <w:rPr>
          <w:spacing w:val="5"/>
          <w:w w:val="120"/>
          <w:sz w:val="20"/>
        </w:rPr>
        <w:t> </w:t>
      </w:r>
      <w:r>
        <w:rPr>
          <w:w w:val="120"/>
          <w:sz w:val="20"/>
        </w:rPr>
        <w:t>order</w:t>
      </w:r>
    </w:p>
    <w:p>
      <w:pPr>
        <w:spacing w:after="0" w:line="235" w:lineRule="auto"/>
        <w:jc w:val="left"/>
        <w:rPr>
          <w:sz w:val="20"/>
        </w:rPr>
        <w:sectPr>
          <w:headerReference w:type="even" r:id="rId202"/>
          <w:pgSz w:w="11910" w:h="16840"/>
          <w:pgMar w:header="0" w:footer="647" w:top="0" w:bottom="840" w:left="700" w:right="0"/>
        </w:sectPr>
      </w:pPr>
    </w:p>
    <w:p>
      <w:pPr>
        <w:pStyle w:val="BodyText"/>
      </w:pPr>
      <w:r>
        <w:rPr/>
        <w:drawing>
          <wp:anchor distT="0" distB="0" distL="0" distR="0" allowOverlap="1" layoutInCell="1" locked="0" behindDoc="0" simplePos="0" relativeHeight="251810816">
            <wp:simplePos x="0" y="0"/>
            <wp:positionH relativeFrom="page">
              <wp:posOffset>6974928</wp:posOffset>
            </wp:positionH>
            <wp:positionV relativeFrom="page">
              <wp:posOffset>0</wp:posOffset>
            </wp:positionV>
            <wp:extent cx="585063" cy="10692003"/>
            <wp:effectExtent l="0" t="0" r="0" b="0"/>
            <wp:wrapNone/>
            <wp:docPr id="103" name="image54.png"/>
            <wp:cNvGraphicFramePr>
              <a:graphicFrameLocks noChangeAspect="1"/>
            </wp:cNvGraphicFramePr>
            <a:graphic>
              <a:graphicData uri="http://schemas.openxmlformats.org/drawingml/2006/picture">
                <pic:pic>
                  <pic:nvPicPr>
                    <pic:cNvPr id="104" name="image54.png"/>
                    <pic:cNvPicPr/>
                  </pic:nvPicPr>
                  <pic:blipFill>
                    <a:blip r:embed="rId169" cstate="print"/>
                    <a:stretch>
                      <a:fillRect/>
                    </a:stretch>
                  </pic:blipFill>
                  <pic:spPr>
                    <a:xfrm>
                      <a:off x="0" y="0"/>
                      <a:ext cx="585063" cy="10692003"/>
                    </a:xfrm>
                    <a:prstGeom prst="rect">
                      <a:avLst/>
                    </a:prstGeom>
                  </pic:spPr>
                </pic:pic>
              </a:graphicData>
            </a:graphic>
          </wp:anchor>
        </w:drawing>
      </w:r>
    </w:p>
    <w:p>
      <w:pPr>
        <w:pStyle w:val="BodyText"/>
        <w:spacing w:before="7"/>
        <w:rPr>
          <w:sz w:val="21"/>
        </w:rPr>
      </w:pPr>
    </w:p>
    <w:p>
      <w:pPr>
        <w:spacing w:before="106"/>
        <w:ind w:left="6743" w:right="0" w:firstLine="0"/>
        <w:jc w:val="left"/>
        <w:rPr>
          <w:sz w:val="26"/>
        </w:rPr>
      </w:pPr>
      <w:r>
        <w:rPr/>
        <w:pict>
          <v:shape style="position:absolute;margin-left:554.141174pt;margin-top:22.593945pt;width:25.9pt;height:267.8pt;mso-position-horizontal-relative:page;mso-position-vertical-relative:paragraph;z-index:251811840" type="#_x0000_t202" filled="false" stroked="false">
            <v:textbox inset="0,0,0,0" style="layout-flow:vertical">
              <w:txbxContent>
                <w:p>
                  <w:pPr>
                    <w:spacing w:before="27"/>
                    <w:ind w:left="20" w:right="0" w:firstLine="0"/>
                    <w:jc w:val="left"/>
                    <w:rPr>
                      <w:sz w:val="39"/>
                    </w:rPr>
                  </w:pPr>
                  <w:r>
                    <w:rPr>
                      <w:color w:val="FFFFFF"/>
                      <w:spacing w:val="3"/>
                      <w:w w:val="120"/>
                      <w:sz w:val="39"/>
                    </w:rPr>
                    <w:t>Children’s </w:t>
                  </w:r>
                  <w:r>
                    <w:rPr>
                      <w:color w:val="FFFFFF"/>
                      <w:spacing w:val="7"/>
                      <w:w w:val="120"/>
                      <w:sz w:val="39"/>
                    </w:rPr>
                    <w:t>and </w:t>
                  </w:r>
                  <w:r>
                    <w:rPr>
                      <w:color w:val="FFFFFF"/>
                      <w:spacing w:val="8"/>
                      <w:w w:val="120"/>
                      <w:sz w:val="39"/>
                    </w:rPr>
                    <w:t>youth</w:t>
                  </w:r>
                  <w:r>
                    <w:rPr>
                      <w:color w:val="FFFFFF"/>
                      <w:spacing w:val="-43"/>
                      <w:w w:val="120"/>
                      <w:sz w:val="39"/>
                    </w:rPr>
                    <w:t> </w:t>
                  </w:r>
                  <w:r>
                    <w:rPr>
                      <w:color w:val="FFFFFF"/>
                      <w:spacing w:val="7"/>
                      <w:w w:val="120"/>
                      <w:sz w:val="39"/>
                    </w:rPr>
                    <w:t>work</w:t>
                  </w:r>
                </w:p>
              </w:txbxContent>
            </v:textbox>
            <w10:wrap type="none"/>
          </v:shape>
        </w:pict>
      </w:r>
      <w:r>
        <w:rPr>
          <w:color w:val="7EAABF"/>
          <w:w w:val="115"/>
          <w:sz w:val="26"/>
        </w:rPr>
        <w:t>Children’s and youth work</w:t>
      </w:r>
    </w:p>
    <w:p>
      <w:pPr>
        <w:pStyle w:val="BodyText"/>
        <w:spacing w:line="235" w:lineRule="auto" w:before="222"/>
        <w:ind w:left="1284" w:right="1377"/>
      </w:pPr>
      <w:r>
        <w:rPr>
          <w:w w:val="120"/>
        </w:rPr>
        <w:t>to find suitable ways forward, approaching the committee for any decisions which might be needed. We hope that this will enable useful relationships to be developed as the need or opportunity</w:t>
      </w:r>
      <w:r>
        <w:rPr>
          <w:spacing w:val="8"/>
          <w:w w:val="120"/>
        </w:rPr>
        <w:t> </w:t>
      </w:r>
      <w:r>
        <w:rPr>
          <w:w w:val="120"/>
        </w:rPr>
        <w:t>arises.</w:t>
      </w:r>
    </w:p>
    <w:p>
      <w:pPr>
        <w:pStyle w:val="BodyText"/>
        <w:spacing w:before="2"/>
        <w:rPr>
          <w:sz w:val="22"/>
        </w:rPr>
      </w:pPr>
    </w:p>
    <w:p>
      <w:pPr>
        <w:spacing w:before="0"/>
        <w:ind w:left="1284" w:right="0" w:firstLine="0"/>
        <w:jc w:val="left"/>
        <w:rPr>
          <w:rFonts w:ascii="Stone Sans II ITC Std Bk"/>
          <w:b/>
          <w:sz w:val="29"/>
        </w:rPr>
      </w:pPr>
      <w:r>
        <w:rPr>
          <w:rFonts w:ascii="Stone Sans II ITC Std Bk"/>
          <w:b/>
          <w:w w:val="110"/>
          <w:sz w:val="29"/>
        </w:rPr>
        <w:t>Society, ecumenical and international work</w:t>
      </w:r>
    </w:p>
    <w:p>
      <w:pPr>
        <w:pStyle w:val="Heading7"/>
        <w:numPr>
          <w:ilvl w:val="1"/>
          <w:numId w:val="43"/>
        </w:numPr>
        <w:tabs>
          <w:tab w:pos="1964" w:val="left" w:leader="none"/>
          <w:tab w:pos="1965" w:val="left" w:leader="none"/>
        </w:tabs>
        <w:spacing w:line="261" w:lineRule="exact" w:before="53" w:after="0"/>
        <w:ind w:left="1964" w:right="0" w:hanging="681"/>
        <w:jc w:val="left"/>
      </w:pPr>
      <w:r>
        <w:rPr>
          <w:w w:val="110"/>
        </w:rPr>
        <w:t>Council for World Mission</w:t>
      </w:r>
      <w:r>
        <w:rPr>
          <w:spacing w:val="-2"/>
          <w:w w:val="110"/>
        </w:rPr>
        <w:t> </w:t>
      </w:r>
      <w:r>
        <w:rPr>
          <w:w w:val="110"/>
        </w:rPr>
        <w:t>(CWM)</w:t>
      </w:r>
    </w:p>
    <w:p>
      <w:pPr>
        <w:pStyle w:val="BodyText"/>
        <w:spacing w:line="235" w:lineRule="auto"/>
        <w:ind w:left="1284" w:right="1498"/>
      </w:pPr>
      <w:r>
        <w:rPr>
          <w:spacing w:val="3"/>
          <w:w w:val="120"/>
        </w:rPr>
        <w:t>As </w:t>
      </w:r>
      <w:r>
        <w:rPr>
          <w:w w:val="120"/>
        </w:rPr>
        <w:t>one of the </w:t>
      </w:r>
      <w:r>
        <w:rPr>
          <w:spacing w:val="-3"/>
          <w:w w:val="120"/>
        </w:rPr>
        <w:t>URC’s </w:t>
      </w:r>
      <w:r>
        <w:rPr>
          <w:w w:val="120"/>
        </w:rPr>
        <w:t>main partners in mission, </w:t>
      </w:r>
      <w:r>
        <w:rPr>
          <w:spacing w:val="3"/>
          <w:w w:val="120"/>
        </w:rPr>
        <w:t>CWM </w:t>
      </w:r>
      <w:r>
        <w:rPr>
          <w:w w:val="120"/>
        </w:rPr>
        <w:t>continues to provide a range of opportunities for young people to deepen their understanding of faith and spirituality through different projects, events and initiatives, including the Mission House in Amsterdam and the Training in Mission (TIM) programme, taking place in three different countries each </w:t>
      </w:r>
      <w:r>
        <w:rPr>
          <w:spacing w:val="-4"/>
          <w:w w:val="120"/>
        </w:rPr>
        <w:t>year.  </w:t>
      </w:r>
      <w:r>
        <w:rPr>
          <w:spacing w:val="3"/>
          <w:w w:val="120"/>
        </w:rPr>
        <w:t>CWM </w:t>
      </w:r>
      <w:r>
        <w:rPr>
          <w:w w:val="120"/>
        </w:rPr>
        <w:t>has also been considering its work with children  in Europe and also around the globe, hosing a European Consultation on Mission with Children in </w:t>
      </w:r>
      <w:r>
        <w:rPr>
          <w:spacing w:val="-7"/>
          <w:w w:val="120"/>
        </w:rPr>
        <w:t>2015, </w:t>
      </w:r>
      <w:r>
        <w:rPr>
          <w:w w:val="120"/>
        </w:rPr>
        <w:t>which representatives from the URC thoroughly enjoyed. The </w:t>
      </w:r>
      <w:r>
        <w:rPr>
          <w:spacing w:val="2"/>
          <w:w w:val="120"/>
        </w:rPr>
        <w:t>report </w:t>
      </w:r>
      <w:r>
        <w:rPr>
          <w:w w:val="120"/>
        </w:rPr>
        <w:t>of the consultation can be found on </w:t>
      </w:r>
      <w:r>
        <w:rPr>
          <w:spacing w:val="3"/>
          <w:w w:val="120"/>
        </w:rPr>
        <w:t>CWM </w:t>
      </w:r>
      <w:r>
        <w:rPr>
          <w:spacing w:val="-3"/>
          <w:w w:val="120"/>
        </w:rPr>
        <w:t>Europe’s </w:t>
      </w:r>
      <w:r>
        <w:rPr>
          <w:w w:val="120"/>
        </w:rPr>
        <w:t>website (</w:t>
      </w:r>
      <w:hyperlink r:id="rId205">
        <w:r>
          <w:rPr>
            <w:color w:val="006AB3"/>
            <w:w w:val="120"/>
          </w:rPr>
          <w:t>http://www.cwmeurope.</w:t>
        </w:r>
      </w:hyperlink>
      <w:r>
        <w:rPr>
          <w:color w:val="006AB3"/>
          <w:w w:val="120"/>
        </w:rPr>
        <w:t> </w:t>
      </w:r>
      <w:hyperlink r:id="rId205">
        <w:r>
          <w:rPr>
            <w:color w:val="006AB3"/>
            <w:w w:val="120"/>
          </w:rPr>
          <w:t>org/images/What/MissionwithChildrenReportFinal.pdf</w:t>
        </w:r>
      </w:hyperlink>
      <w:r>
        <w:rPr>
          <w:w w:val="120"/>
        </w:rPr>
        <w:t>).</w:t>
      </w:r>
    </w:p>
    <w:p>
      <w:pPr>
        <w:pStyle w:val="BodyText"/>
        <w:spacing w:before="5"/>
        <w:rPr>
          <w:sz w:val="18"/>
        </w:rPr>
      </w:pPr>
    </w:p>
    <w:p>
      <w:pPr>
        <w:pStyle w:val="Heading7"/>
        <w:numPr>
          <w:ilvl w:val="1"/>
          <w:numId w:val="43"/>
        </w:numPr>
        <w:tabs>
          <w:tab w:pos="1964" w:val="left" w:leader="none"/>
          <w:tab w:pos="1965" w:val="left" w:leader="none"/>
        </w:tabs>
        <w:spacing w:line="261" w:lineRule="exact" w:before="0" w:after="0"/>
        <w:ind w:left="1964" w:right="0" w:hanging="681"/>
        <w:jc w:val="left"/>
      </w:pPr>
      <w:r>
        <w:rPr>
          <w:w w:val="110"/>
        </w:rPr>
        <w:t>Opportunities and</w:t>
      </w:r>
      <w:r>
        <w:rPr>
          <w:spacing w:val="-1"/>
          <w:w w:val="110"/>
        </w:rPr>
        <w:t> </w:t>
      </w:r>
      <w:r>
        <w:rPr>
          <w:w w:val="110"/>
        </w:rPr>
        <w:t>experiences</w:t>
      </w:r>
    </w:p>
    <w:p>
      <w:pPr>
        <w:pStyle w:val="BodyText"/>
        <w:spacing w:line="235" w:lineRule="auto"/>
        <w:ind w:left="1284" w:right="1477"/>
      </w:pPr>
      <w:r>
        <w:rPr>
          <w:w w:val="120"/>
        </w:rPr>
        <w:t>The committee encourages and supports young people to participate in the various opportunities that are on offer to them. Since the General Assembly last met, the URC has been represented by young people at the Starpoint Festival in Hungary, Mission Camp in </w:t>
      </w:r>
      <w:r>
        <w:rPr>
          <w:spacing w:val="-3"/>
          <w:w w:val="120"/>
        </w:rPr>
        <w:t>Taiwan, </w:t>
      </w:r>
      <w:r>
        <w:rPr>
          <w:spacing w:val="3"/>
          <w:w w:val="120"/>
        </w:rPr>
        <w:t>CWM </w:t>
      </w:r>
      <w:r>
        <w:rPr>
          <w:w w:val="120"/>
        </w:rPr>
        <w:t>Exploration Programme in the Netherlands as well as many synod opportunities that the committee supports through its grant funding. </w:t>
      </w:r>
      <w:r>
        <w:rPr>
          <w:spacing w:val="-3"/>
          <w:w w:val="120"/>
        </w:rPr>
        <w:t>Young </w:t>
      </w:r>
      <w:r>
        <w:rPr>
          <w:w w:val="120"/>
        </w:rPr>
        <w:t>people have participated in peer gatherings with the Methodist Church and the Quaker Society as well as accepting invitations to MP led events at Portcullis House, Westminster.</w:t>
      </w:r>
    </w:p>
    <w:p>
      <w:pPr>
        <w:pStyle w:val="BodyText"/>
        <w:spacing w:before="5"/>
        <w:rPr>
          <w:sz w:val="18"/>
        </w:rPr>
      </w:pPr>
    </w:p>
    <w:p>
      <w:pPr>
        <w:pStyle w:val="Heading7"/>
        <w:numPr>
          <w:ilvl w:val="1"/>
          <w:numId w:val="43"/>
        </w:numPr>
        <w:tabs>
          <w:tab w:pos="1964" w:val="left" w:leader="none"/>
          <w:tab w:pos="1965" w:val="left" w:leader="none"/>
        </w:tabs>
        <w:spacing w:line="261" w:lineRule="exact" w:before="0" w:after="0"/>
        <w:ind w:left="1964" w:right="0" w:hanging="681"/>
        <w:jc w:val="left"/>
      </w:pPr>
      <w:r>
        <w:rPr>
          <w:w w:val="110"/>
        </w:rPr>
        <w:t>Children’s Ministry Network</w:t>
      </w:r>
      <w:r>
        <w:rPr>
          <w:spacing w:val="6"/>
          <w:w w:val="110"/>
        </w:rPr>
        <w:t> </w:t>
      </w:r>
      <w:r>
        <w:rPr>
          <w:spacing w:val="-3"/>
          <w:w w:val="110"/>
        </w:rPr>
        <w:t>(CMN)</w:t>
      </w:r>
    </w:p>
    <w:p>
      <w:pPr>
        <w:pStyle w:val="BodyText"/>
        <w:spacing w:line="235" w:lineRule="auto"/>
        <w:ind w:left="1284" w:right="1611"/>
      </w:pPr>
      <w:r>
        <w:rPr>
          <w:w w:val="120"/>
        </w:rPr>
        <w:t>Formerly known as the Consultative Group on Ministry amongst Children </w:t>
      </w:r>
      <w:r>
        <w:rPr>
          <w:spacing w:val="-4"/>
          <w:w w:val="120"/>
        </w:rPr>
        <w:t>(CGMC), </w:t>
      </w:r>
      <w:r>
        <w:rPr>
          <w:w w:val="120"/>
        </w:rPr>
        <w:t>this network of Churches Together in Britain and Ireland (CTBI) continues to provide networking opportunities for </w:t>
      </w:r>
      <w:r>
        <w:rPr>
          <w:spacing w:val="-3"/>
          <w:w w:val="120"/>
        </w:rPr>
        <w:t>children’s </w:t>
      </w:r>
      <w:r>
        <w:rPr>
          <w:w w:val="120"/>
        </w:rPr>
        <w:t>ministry practitioners across the </w:t>
      </w:r>
      <w:r>
        <w:rPr>
          <w:spacing w:val="2"/>
          <w:w w:val="120"/>
        </w:rPr>
        <w:t>UK, </w:t>
      </w:r>
      <w:r>
        <w:rPr>
          <w:w w:val="120"/>
        </w:rPr>
        <w:t>sharing information and resources, such as CORE Skills Training, recommended for anyone engaging in any type of </w:t>
      </w:r>
      <w:r>
        <w:rPr>
          <w:spacing w:val="-3"/>
          <w:w w:val="120"/>
        </w:rPr>
        <w:t>children’s </w:t>
      </w:r>
      <w:r>
        <w:rPr>
          <w:w w:val="120"/>
        </w:rPr>
        <w:t>or youth work within the</w:t>
      </w:r>
      <w:r>
        <w:rPr>
          <w:spacing w:val="52"/>
          <w:w w:val="120"/>
        </w:rPr>
        <w:t> </w:t>
      </w:r>
      <w:r>
        <w:rPr>
          <w:w w:val="120"/>
        </w:rPr>
        <w:t>URC.</w:t>
      </w:r>
    </w:p>
    <w:p>
      <w:pPr>
        <w:pStyle w:val="BodyText"/>
        <w:spacing w:before="2"/>
        <w:rPr>
          <w:sz w:val="18"/>
        </w:rPr>
      </w:pPr>
    </w:p>
    <w:p>
      <w:pPr>
        <w:pStyle w:val="Heading7"/>
        <w:numPr>
          <w:ilvl w:val="1"/>
          <w:numId w:val="43"/>
        </w:numPr>
        <w:tabs>
          <w:tab w:pos="1964" w:val="left" w:leader="none"/>
          <w:tab w:pos="1965" w:val="left" w:leader="none"/>
        </w:tabs>
        <w:spacing w:line="261" w:lineRule="exact" w:before="1" w:after="0"/>
        <w:ind w:left="1964" w:right="0" w:hanging="681"/>
        <w:jc w:val="left"/>
      </w:pPr>
      <w:r>
        <w:rPr>
          <w:w w:val="110"/>
        </w:rPr>
        <w:t>European Conference on Christian Education</w:t>
      </w:r>
      <w:r>
        <w:rPr>
          <w:spacing w:val="-1"/>
          <w:w w:val="110"/>
        </w:rPr>
        <w:t> </w:t>
      </w:r>
      <w:r>
        <w:rPr>
          <w:spacing w:val="-3"/>
          <w:w w:val="110"/>
        </w:rPr>
        <w:t>(ECCE)</w:t>
      </w:r>
    </w:p>
    <w:p>
      <w:pPr>
        <w:spacing w:line="235" w:lineRule="auto" w:before="0"/>
        <w:ind w:left="1284" w:right="1410" w:firstLine="0"/>
        <w:jc w:val="left"/>
        <w:rPr>
          <w:sz w:val="20"/>
        </w:rPr>
      </w:pPr>
      <w:r>
        <w:rPr>
          <w:w w:val="120"/>
          <w:sz w:val="20"/>
        </w:rPr>
        <w:t>This ecumenical conference, held every four years, will take place in London in May </w:t>
      </w:r>
      <w:r>
        <w:rPr>
          <w:spacing w:val="-6"/>
          <w:w w:val="120"/>
          <w:sz w:val="20"/>
        </w:rPr>
        <w:t>2016, </w:t>
      </w:r>
      <w:r>
        <w:rPr>
          <w:w w:val="120"/>
          <w:sz w:val="20"/>
        </w:rPr>
        <w:t>giving organisations and denominations working with children the opportunity  to</w:t>
      </w:r>
      <w:r>
        <w:rPr>
          <w:spacing w:val="-15"/>
          <w:w w:val="120"/>
          <w:sz w:val="20"/>
        </w:rPr>
        <w:t> </w:t>
      </w:r>
      <w:r>
        <w:rPr>
          <w:w w:val="120"/>
          <w:sz w:val="20"/>
        </w:rPr>
        <w:t>gather,</w:t>
      </w:r>
      <w:r>
        <w:rPr>
          <w:spacing w:val="-15"/>
          <w:w w:val="120"/>
          <w:sz w:val="20"/>
        </w:rPr>
        <w:t> </w:t>
      </w:r>
      <w:r>
        <w:rPr>
          <w:w w:val="120"/>
          <w:sz w:val="20"/>
        </w:rPr>
        <w:t>from</w:t>
      </w:r>
      <w:r>
        <w:rPr>
          <w:spacing w:val="-15"/>
          <w:w w:val="120"/>
          <w:sz w:val="20"/>
        </w:rPr>
        <w:t> </w:t>
      </w:r>
      <w:r>
        <w:rPr>
          <w:w w:val="120"/>
          <w:sz w:val="20"/>
        </w:rPr>
        <w:t>across</w:t>
      </w:r>
      <w:r>
        <w:rPr>
          <w:spacing w:val="-15"/>
          <w:w w:val="120"/>
          <w:sz w:val="20"/>
        </w:rPr>
        <w:t> </w:t>
      </w:r>
      <w:r>
        <w:rPr>
          <w:w w:val="120"/>
          <w:sz w:val="20"/>
        </w:rPr>
        <w:t>Europe,</w:t>
      </w:r>
      <w:r>
        <w:rPr>
          <w:spacing w:val="-14"/>
          <w:w w:val="120"/>
          <w:sz w:val="20"/>
        </w:rPr>
        <w:t> </w:t>
      </w:r>
      <w:r>
        <w:rPr>
          <w:w w:val="120"/>
          <w:sz w:val="20"/>
        </w:rPr>
        <w:t>to</w:t>
      </w:r>
      <w:r>
        <w:rPr>
          <w:spacing w:val="-15"/>
          <w:w w:val="120"/>
          <w:sz w:val="20"/>
        </w:rPr>
        <w:t> </w:t>
      </w:r>
      <w:r>
        <w:rPr>
          <w:w w:val="120"/>
          <w:sz w:val="20"/>
        </w:rPr>
        <w:t>explore</w:t>
      </w:r>
      <w:r>
        <w:rPr>
          <w:spacing w:val="-15"/>
          <w:w w:val="120"/>
          <w:sz w:val="20"/>
        </w:rPr>
        <w:t> </w:t>
      </w:r>
      <w:r>
        <w:rPr>
          <w:w w:val="120"/>
          <w:sz w:val="20"/>
        </w:rPr>
        <w:t>the</w:t>
      </w:r>
      <w:r>
        <w:rPr>
          <w:spacing w:val="-15"/>
          <w:w w:val="120"/>
          <w:sz w:val="20"/>
        </w:rPr>
        <w:t> </w:t>
      </w:r>
      <w:r>
        <w:rPr>
          <w:w w:val="120"/>
          <w:sz w:val="20"/>
        </w:rPr>
        <w:t>theme</w:t>
      </w:r>
      <w:r>
        <w:rPr>
          <w:spacing w:val="-14"/>
          <w:w w:val="120"/>
          <w:sz w:val="20"/>
        </w:rPr>
        <w:t> </w:t>
      </w:r>
      <w:r>
        <w:rPr>
          <w:w w:val="120"/>
          <w:sz w:val="20"/>
        </w:rPr>
        <w:t>of</w:t>
      </w:r>
      <w:r>
        <w:rPr>
          <w:spacing w:val="-15"/>
          <w:w w:val="120"/>
          <w:sz w:val="20"/>
        </w:rPr>
        <w:t> </w:t>
      </w:r>
      <w:r>
        <w:rPr>
          <w:i/>
          <w:w w:val="120"/>
          <w:sz w:val="20"/>
        </w:rPr>
        <w:t>Lifelong</w:t>
      </w:r>
      <w:r>
        <w:rPr>
          <w:i/>
          <w:spacing w:val="-17"/>
          <w:w w:val="120"/>
          <w:sz w:val="20"/>
        </w:rPr>
        <w:t> </w:t>
      </w:r>
      <w:r>
        <w:rPr>
          <w:i/>
          <w:w w:val="120"/>
          <w:sz w:val="20"/>
        </w:rPr>
        <w:t>Disciples:</w:t>
      </w:r>
      <w:r>
        <w:rPr>
          <w:i/>
          <w:spacing w:val="-17"/>
          <w:w w:val="120"/>
          <w:sz w:val="20"/>
        </w:rPr>
        <w:t> </w:t>
      </w:r>
      <w:r>
        <w:rPr>
          <w:i/>
          <w:w w:val="120"/>
          <w:sz w:val="20"/>
        </w:rPr>
        <w:t>Accompanying </w:t>
      </w:r>
      <w:r>
        <w:rPr>
          <w:i/>
          <w:w w:val="120"/>
          <w:sz w:val="20"/>
        </w:rPr>
        <w:t>children</w:t>
      </w:r>
      <w:r>
        <w:rPr>
          <w:i/>
          <w:spacing w:val="-27"/>
          <w:w w:val="120"/>
          <w:sz w:val="20"/>
        </w:rPr>
        <w:t> </w:t>
      </w:r>
      <w:r>
        <w:rPr>
          <w:i/>
          <w:w w:val="120"/>
          <w:sz w:val="20"/>
        </w:rPr>
        <w:t>on</w:t>
      </w:r>
      <w:r>
        <w:rPr>
          <w:i/>
          <w:spacing w:val="-27"/>
          <w:w w:val="120"/>
          <w:sz w:val="20"/>
        </w:rPr>
        <w:t> </w:t>
      </w:r>
      <w:r>
        <w:rPr>
          <w:i/>
          <w:w w:val="120"/>
          <w:sz w:val="20"/>
        </w:rPr>
        <w:t>their</w:t>
      </w:r>
      <w:r>
        <w:rPr>
          <w:i/>
          <w:spacing w:val="-26"/>
          <w:w w:val="120"/>
          <w:sz w:val="20"/>
        </w:rPr>
        <w:t> </w:t>
      </w:r>
      <w:r>
        <w:rPr>
          <w:i/>
          <w:w w:val="120"/>
          <w:sz w:val="20"/>
        </w:rPr>
        <w:t>faith</w:t>
      </w:r>
      <w:r>
        <w:rPr>
          <w:i/>
          <w:spacing w:val="-27"/>
          <w:w w:val="120"/>
          <w:sz w:val="20"/>
        </w:rPr>
        <w:t> </w:t>
      </w:r>
      <w:r>
        <w:rPr>
          <w:i/>
          <w:w w:val="120"/>
          <w:sz w:val="20"/>
        </w:rPr>
        <w:t>journey</w:t>
      </w:r>
      <w:r>
        <w:rPr>
          <w:i/>
          <w:spacing w:val="-26"/>
          <w:w w:val="120"/>
          <w:sz w:val="20"/>
        </w:rPr>
        <w:t> </w:t>
      </w:r>
      <w:r>
        <w:rPr>
          <w:i/>
          <w:w w:val="120"/>
          <w:sz w:val="20"/>
        </w:rPr>
        <w:t>–</w:t>
      </w:r>
      <w:r>
        <w:rPr>
          <w:i/>
          <w:spacing w:val="-27"/>
          <w:w w:val="120"/>
          <w:sz w:val="20"/>
        </w:rPr>
        <w:t> </w:t>
      </w:r>
      <w:r>
        <w:rPr>
          <w:i/>
          <w:w w:val="120"/>
          <w:sz w:val="20"/>
        </w:rPr>
        <w:t>Thinking</w:t>
      </w:r>
      <w:r>
        <w:rPr>
          <w:i/>
          <w:spacing w:val="-26"/>
          <w:w w:val="120"/>
          <w:sz w:val="20"/>
        </w:rPr>
        <w:t> </w:t>
      </w:r>
      <w:r>
        <w:rPr>
          <w:i/>
          <w:w w:val="120"/>
          <w:sz w:val="20"/>
        </w:rPr>
        <w:t>as,</w:t>
      </w:r>
      <w:r>
        <w:rPr>
          <w:i/>
          <w:spacing w:val="-27"/>
          <w:w w:val="120"/>
          <w:sz w:val="20"/>
        </w:rPr>
        <w:t> </w:t>
      </w:r>
      <w:r>
        <w:rPr>
          <w:i/>
          <w:w w:val="120"/>
          <w:sz w:val="20"/>
        </w:rPr>
        <w:t>living</w:t>
      </w:r>
      <w:r>
        <w:rPr>
          <w:i/>
          <w:spacing w:val="-27"/>
          <w:w w:val="120"/>
          <w:sz w:val="20"/>
        </w:rPr>
        <w:t> </w:t>
      </w:r>
      <w:r>
        <w:rPr>
          <w:i/>
          <w:w w:val="120"/>
          <w:sz w:val="20"/>
        </w:rPr>
        <w:t>as</w:t>
      </w:r>
      <w:r>
        <w:rPr>
          <w:i/>
          <w:spacing w:val="-26"/>
          <w:w w:val="120"/>
          <w:sz w:val="20"/>
        </w:rPr>
        <w:t> </w:t>
      </w:r>
      <w:r>
        <w:rPr>
          <w:i/>
          <w:w w:val="120"/>
          <w:sz w:val="20"/>
        </w:rPr>
        <w:t>being</w:t>
      </w:r>
      <w:r>
        <w:rPr>
          <w:i/>
          <w:spacing w:val="-27"/>
          <w:w w:val="120"/>
          <w:sz w:val="20"/>
        </w:rPr>
        <w:t> </w:t>
      </w:r>
      <w:r>
        <w:rPr>
          <w:i/>
          <w:w w:val="120"/>
          <w:sz w:val="20"/>
        </w:rPr>
        <w:t>a</w:t>
      </w:r>
      <w:r>
        <w:rPr>
          <w:i/>
          <w:spacing w:val="-26"/>
          <w:w w:val="120"/>
          <w:sz w:val="20"/>
        </w:rPr>
        <w:t> </w:t>
      </w:r>
      <w:r>
        <w:rPr>
          <w:i/>
          <w:w w:val="120"/>
          <w:sz w:val="20"/>
        </w:rPr>
        <w:t>lifelong</w:t>
      </w:r>
      <w:r>
        <w:rPr>
          <w:i/>
          <w:spacing w:val="-27"/>
          <w:w w:val="120"/>
          <w:sz w:val="20"/>
        </w:rPr>
        <w:t> </w:t>
      </w:r>
      <w:r>
        <w:rPr>
          <w:i/>
          <w:w w:val="120"/>
          <w:sz w:val="20"/>
        </w:rPr>
        <w:t>disciple</w:t>
      </w:r>
      <w:r>
        <w:rPr>
          <w:w w:val="120"/>
          <w:sz w:val="20"/>
        </w:rPr>
        <w:t>.</w:t>
      </w:r>
      <w:r>
        <w:rPr>
          <w:spacing w:val="-25"/>
          <w:w w:val="120"/>
          <w:sz w:val="20"/>
        </w:rPr>
        <w:t> </w:t>
      </w:r>
      <w:r>
        <w:rPr>
          <w:w w:val="120"/>
          <w:sz w:val="20"/>
        </w:rPr>
        <w:t>The</w:t>
      </w:r>
      <w:r>
        <w:rPr>
          <w:spacing w:val="-25"/>
          <w:w w:val="120"/>
          <w:sz w:val="20"/>
        </w:rPr>
        <w:t> </w:t>
      </w:r>
      <w:r>
        <w:rPr>
          <w:spacing w:val="-3"/>
          <w:w w:val="120"/>
          <w:sz w:val="20"/>
        </w:rPr>
        <w:t>children’s </w:t>
      </w:r>
      <w:r>
        <w:rPr>
          <w:w w:val="120"/>
          <w:sz w:val="20"/>
        </w:rPr>
        <w:t>and youth office have been playing a key role in organising this</w:t>
      </w:r>
      <w:r>
        <w:rPr>
          <w:spacing w:val="35"/>
          <w:w w:val="120"/>
          <w:sz w:val="20"/>
        </w:rPr>
        <w:t> </w:t>
      </w:r>
      <w:r>
        <w:rPr>
          <w:w w:val="120"/>
          <w:sz w:val="20"/>
        </w:rPr>
        <w:t>conference.</w:t>
      </w:r>
    </w:p>
    <w:p>
      <w:pPr>
        <w:spacing w:after="0" w:line="235" w:lineRule="auto"/>
        <w:jc w:val="left"/>
        <w:rPr>
          <w:sz w:val="20"/>
        </w:rPr>
        <w:sectPr>
          <w:headerReference w:type="default" r:id="rId203"/>
          <w:footerReference w:type="default" r:id="rId204"/>
          <w:pgSz w:w="11910" w:h="16840"/>
          <w:pgMar w:header="0" w:footer="647" w:top="0" w:bottom="840" w:left="700" w:right="0"/>
          <w:pgNumType w:start="59"/>
        </w:sectPr>
      </w:pPr>
    </w:p>
    <w:p>
      <w:pPr>
        <w:pStyle w:val="BodyText"/>
      </w:pPr>
      <w:r>
        <w:rPr/>
        <w:pict>
          <v:rect style="position:absolute;margin-left:46.777pt;margin-top:.000015pt;width:548.498pt;height:841.89pt;mso-position-horizontal-relative:page;mso-position-vertical-relative:page;z-index:-267957248" filled="true" fillcolor="#d4e9f7" stroked="false">
            <v:fill type="solid"/>
            <w10:wrap type="none"/>
          </v:rect>
        </w:pict>
      </w:r>
      <w:r>
        <w:rPr/>
        <w:drawing>
          <wp:anchor distT="0" distB="0" distL="0" distR="0" allowOverlap="1" layoutInCell="1" locked="0" behindDoc="1" simplePos="0" relativeHeight="235360256">
            <wp:simplePos x="0" y="0"/>
            <wp:positionH relativeFrom="page">
              <wp:posOffset>0</wp:posOffset>
            </wp:positionH>
            <wp:positionV relativeFrom="page">
              <wp:posOffset>0</wp:posOffset>
            </wp:positionV>
            <wp:extent cx="594067" cy="10692003"/>
            <wp:effectExtent l="0" t="0" r="0" b="0"/>
            <wp:wrapNone/>
            <wp:docPr id="105" name="image67.png"/>
            <wp:cNvGraphicFramePr>
              <a:graphicFrameLocks noChangeAspect="1"/>
            </wp:cNvGraphicFramePr>
            <a:graphic>
              <a:graphicData uri="http://schemas.openxmlformats.org/drawingml/2006/picture">
                <pic:pic>
                  <pic:nvPicPr>
                    <pic:cNvPr id="106" name="image67.png"/>
                    <pic:cNvPicPr/>
                  </pic:nvPicPr>
                  <pic:blipFill>
                    <a:blip r:embed="rId184" cstate="print"/>
                    <a:stretch>
                      <a:fillRect/>
                    </a:stretch>
                  </pic:blipFill>
                  <pic:spPr>
                    <a:xfrm>
                      <a:off x="0" y="0"/>
                      <a:ext cx="594067" cy="10692003"/>
                    </a:xfrm>
                    <a:prstGeom prst="rect">
                      <a:avLst/>
                    </a:prstGeom>
                  </pic:spPr>
                </pic:pic>
              </a:graphicData>
            </a:graphic>
          </wp:anchor>
        </w:drawing>
      </w:r>
      <w:r>
        <w:rPr/>
        <w:pict>
          <v:shape style="position:absolute;margin-left:20.519100pt;margin-top:48.890015pt;width:25.9pt;height:308.850pt;mso-position-horizontal-relative:page;mso-position-vertical-relative:page;z-index:-267955200" type="#_x0000_t202" filled="false" stroked="false">
            <v:textbox inset="0,0,0,0" style="layout-flow:vertical">
              <w:txbxContent>
                <w:p>
                  <w:pPr>
                    <w:spacing w:before="27"/>
                    <w:ind w:left="20" w:right="0" w:firstLine="0"/>
                    <w:jc w:val="left"/>
                    <w:rPr>
                      <w:sz w:val="39"/>
                    </w:rPr>
                  </w:pPr>
                  <w:r>
                    <w:rPr>
                      <w:color w:val="FFFFFF"/>
                      <w:w w:val="120"/>
                      <w:sz w:val="39"/>
                    </w:rPr>
                    <w:t>Communications and editorial</w:t>
                  </w:r>
                </w:p>
              </w:txbxContent>
            </v:textbox>
            <w10:wrap type="none"/>
          </v:shape>
        </w:pict>
      </w:r>
    </w:p>
    <w:p>
      <w:pPr>
        <w:pStyle w:val="BodyText"/>
      </w:pPr>
    </w:p>
    <w:p>
      <w:pPr>
        <w:pStyle w:val="BodyText"/>
      </w:pPr>
    </w:p>
    <w:p>
      <w:pPr>
        <w:pStyle w:val="BodyText"/>
        <w:spacing w:before="5"/>
        <w:rPr>
          <w:sz w:val="28"/>
        </w:rPr>
      </w:pPr>
    </w:p>
    <w:p>
      <w:pPr>
        <w:spacing w:line="213" w:lineRule="auto" w:before="153"/>
        <w:ind w:left="547" w:right="0" w:firstLine="0"/>
        <w:jc w:val="left"/>
        <w:rPr>
          <w:rFonts w:ascii="Stone Sans II ITC Std X Bd"/>
          <w:b/>
          <w:sz w:val="50"/>
        </w:rPr>
      </w:pPr>
      <w:r>
        <w:rPr>
          <w:rFonts w:ascii="Stone Sans II ITC Std X Bd"/>
          <w:b/>
          <w:color w:val="0090D4"/>
          <w:spacing w:val="-11"/>
          <w:w w:val="110"/>
          <w:sz w:val="50"/>
        </w:rPr>
        <w:t>Communications </w:t>
      </w:r>
      <w:r>
        <w:rPr>
          <w:rFonts w:ascii="Stone Sans II ITC Std X Bd"/>
          <w:b/>
          <w:color w:val="0090D4"/>
          <w:spacing w:val="-7"/>
          <w:w w:val="110"/>
          <w:sz w:val="50"/>
        </w:rPr>
        <w:t>and </w:t>
      </w:r>
      <w:r>
        <w:rPr>
          <w:rFonts w:ascii="Stone Sans II ITC Std X Bd"/>
          <w:b/>
          <w:color w:val="0090D4"/>
          <w:spacing w:val="-10"/>
          <w:w w:val="110"/>
          <w:sz w:val="50"/>
        </w:rPr>
        <w:t>editorial </w:t>
      </w:r>
      <w:r>
        <w:rPr>
          <w:rFonts w:ascii="Stone Sans II ITC Std X Bd"/>
          <w:b/>
          <w:color w:val="0090D4"/>
          <w:spacing w:val="-11"/>
          <w:w w:val="110"/>
          <w:sz w:val="50"/>
        </w:rPr>
        <w:t>committee:</w:t>
      </w:r>
    </w:p>
    <w:p>
      <w:pPr>
        <w:spacing w:line="617" w:lineRule="exact" w:before="0"/>
        <w:ind w:left="547" w:right="0" w:firstLine="0"/>
        <w:jc w:val="left"/>
        <w:rPr>
          <w:rFonts w:ascii="Stone Sans II ITC Std X Bd"/>
          <w:b/>
          <w:sz w:val="50"/>
        </w:rPr>
      </w:pPr>
      <w:r>
        <w:rPr>
          <w:rFonts w:ascii="Stone Sans II ITC Std X Bd"/>
          <w:b/>
          <w:w w:val="110"/>
          <w:sz w:val="50"/>
        </w:rPr>
        <w:t>Towards resourcing the Church</w:t>
      </w:r>
    </w:p>
    <w:p>
      <w:pPr>
        <w:pStyle w:val="Heading4"/>
        <w:spacing w:before="308"/>
        <w:ind w:left="547"/>
      </w:pPr>
      <w:r>
        <w:rPr>
          <w:color w:val="7F7F7F"/>
        </w:rPr>
        <w:t>Basic Information</w:t>
      </w:r>
    </w:p>
    <w:tbl>
      <w:tblPr>
        <w:tblW w:w="0" w:type="auto"/>
        <w:jc w:val="left"/>
        <w:tblInd w:w="55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660"/>
        <w:gridCol w:w="6582"/>
      </w:tblGrid>
      <w:tr>
        <w:trPr>
          <w:trHeight w:val="680" w:hRule="atLeast"/>
        </w:trPr>
        <w:tc>
          <w:tcPr>
            <w:tcW w:w="2660" w:type="dxa"/>
            <w:shd w:val="clear" w:color="auto" w:fill="FFFFFF"/>
          </w:tcPr>
          <w:p>
            <w:pPr>
              <w:pStyle w:val="TableParagraph"/>
              <w:spacing w:line="213" w:lineRule="auto" w:before="151"/>
              <w:ind w:right="595"/>
              <w:rPr>
                <w:rFonts w:ascii="Stone Sans II ITC Std Bk"/>
                <w:b/>
                <w:sz w:val="20"/>
              </w:rPr>
            </w:pPr>
            <w:r>
              <w:rPr>
                <w:rFonts w:ascii="Stone Sans II ITC Std Bk"/>
                <w:b/>
                <w:w w:val="110"/>
                <w:sz w:val="20"/>
              </w:rPr>
              <w:t>Contact name and email address</w:t>
            </w:r>
          </w:p>
        </w:tc>
        <w:tc>
          <w:tcPr>
            <w:tcW w:w="6582" w:type="dxa"/>
            <w:shd w:val="clear" w:color="auto" w:fill="FFFFFF"/>
          </w:tcPr>
          <w:p>
            <w:pPr>
              <w:pStyle w:val="TableParagraph"/>
              <w:spacing w:before="141"/>
              <w:rPr>
                <w:sz w:val="20"/>
              </w:rPr>
            </w:pPr>
            <w:r>
              <w:rPr>
                <w:w w:val="120"/>
                <w:sz w:val="20"/>
              </w:rPr>
              <w:t>Peter Knowles: </w:t>
            </w:r>
            <w:hyperlink r:id="rId208">
              <w:r>
                <w:rPr>
                  <w:color w:val="006AB3"/>
                  <w:w w:val="120"/>
                  <w:sz w:val="20"/>
                </w:rPr>
                <w:t>peterwknowles@gmail.com</w:t>
              </w:r>
            </w:hyperlink>
          </w:p>
        </w:tc>
      </w:tr>
      <w:tr>
        <w:trPr>
          <w:trHeight w:val="440" w:hRule="atLeast"/>
        </w:trPr>
        <w:tc>
          <w:tcPr>
            <w:tcW w:w="2660" w:type="dxa"/>
            <w:shd w:val="clear" w:color="auto" w:fill="FFFFFF"/>
          </w:tcPr>
          <w:p>
            <w:pPr>
              <w:pStyle w:val="TableParagraph"/>
              <w:spacing w:before="128"/>
              <w:rPr>
                <w:rFonts w:ascii="Stone Sans II ITC Std Bk"/>
                <w:b/>
                <w:sz w:val="20"/>
              </w:rPr>
            </w:pPr>
            <w:r>
              <w:rPr>
                <w:rFonts w:ascii="Stone Sans II ITC Std Bk"/>
                <w:b/>
                <w:w w:val="110"/>
                <w:sz w:val="20"/>
              </w:rPr>
              <w:t>Action required</w:t>
            </w:r>
          </w:p>
        </w:tc>
        <w:tc>
          <w:tcPr>
            <w:tcW w:w="6582" w:type="dxa"/>
            <w:shd w:val="clear" w:color="auto" w:fill="FFFFFF"/>
          </w:tcPr>
          <w:p>
            <w:pPr>
              <w:pStyle w:val="TableParagraph"/>
              <w:spacing w:before="141"/>
              <w:rPr>
                <w:sz w:val="20"/>
              </w:rPr>
            </w:pPr>
            <w:r>
              <w:rPr>
                <w:w w:val="120"/>
                <w:sz w:val="20"/>
              </w:rPr>
              <w:t>Decision</w:t>
            </w:r>
          </w:p>
        </w:tc>
      </w:tr>
      <w:tr>
        <w:trPr>
          <w:trHeight w:val="2100" w:hRule="atLeast"/>
        </w:trPr>
        <w:tc>
          <w:tcPr>
            <w:tcW w:w="2660" w:type="dxa"/>
            <w:shd w:val="clear" w:color="auto" w:fill="FFFFFF"/>
          </w:tcPr>
          <w:p>
            <w:pPr>
              <w:pStyle w:val="TableParagraph"/>
              <w:spacing w:before="128"/>
              <w:rPr>
                <w:rFonts w:ascii="Stone Sans II ITC Std Bk"/>
                <w:b/>
                <w:sz w:val="20"/>
              </w:rPr>
            </w:pPr>
            <w:r>
              <w:rPr>
                <w:rFonts w:ascii="Stone Sans II ITC Std Bk"/>
                <w:b/>
                <w:w w:val="110"/>
                <w:sz w:val="20"/>
              </w:rPr>
              <w:t>Draft resolution(s)</w:t>
            </w:r>
          </w:p>
        </w:tc>
        <w:tc>
          <w:tcPr>
            <w:tcW w:w="6582" w:type="dxa"/>
            <w:shd w:val="clear" w:color="auto" w:fill="FFFFFF"/>
          </w:tcPr>
          <w:p>
            <w:pPr>
              <w:pStyle w:val="TableParagraph"/>
              <w:numPr>
                <w:ilvl w:val="0"/>
                <w:numId w:val="44"/>
              </w:numPr>
              <w:tabs>
                <w:tab w:pos="760" w:val="left" w:leader="none"/>
                <w:tab w:pos="761" w:val="left" w:leader="none"/>
              </w:tabs>
              <w:spacing w:line="213" w:lineRule="auto" w:before="151" w:after="0"/>
              <w:ind w:left="80" w:right="643" w:firstLine="0"/>
              <w:jc w:val="left"/>
              <w:rPr>
                <w:rFonts w:ascii="Stone Sans II ITC Std Bk"/>
                <w:b/>
                <w:sz w:val="20"/>
              </w:rPr>
            </w:pPr>
            <w:r>
              <w:rPr>
                <w:rFonts w:ascii="Stone Sans II ITC Std Bk"/>
                <w:b/>
                <w:w w:val="110"/>
                <w:sz w:val="20"/>
              </w:rPr>
              <w:t>General Assembly changes the name of the communication and editorial committee </w:t>
            </w:r>
            <w:r>
              <w:rPr>
                <w:rFonts w:ascii="Stone Sans II ITC Std Bk"/>
                <w:b/>
                <w:spacing w:val="-3"/>
                <w:w w:val="110"/>
                <w:sz w:val="20"/>
              </w:rPr>
              <w:t>to </w:t>
            </w:r>
            <w:r>
              <w:rPr>
                <w:rFonts w:ascii="Stone Sans II ITC Std Bk"/>
                <w:b/>
                <w:w w:val="110"/>
                <w:sz w:val="20"/>
              </w:rPr>
              <w:t>the communications</w:t>
            </w:r>
            <w:r>
              <w:rPr>
                <w:rFonts w:ascii="Stone Sans II ITC Std Bk"/>
                <w:b/>
                <w:spacing w:val="-19"/>
                <w:w w:val="110"/>
                <w:sz w:val="20"/>
              </w:rPr>
              <w:t> </w:t>
            </w:r>
            <w:r>
              <w:rPr>
                <w:rFonts w:ascii="Stone Sans II ITC Std Bk"/>
                <w:b/>
                <w:w w:val="110"/>
                <w:sz w:val="20"/>
              </w:rPr>
              <w:t>committee</w:t>
            </w:r>
            <w:r>
              <w:rPr>
                <w:rFonts w:ascii="Stone Sans II ITC Std Bk"/>
                <w:b/>
                <w:spacing w:val="-18"/>
                <w:w w:val="110"/>
                <w:sz w:val="20"/>
              </w:rPr>
              <w:t> </w:t>
            </w:r>
            <w:r>
              <w:rPr>
                <w:rFonts w:ascii="Stone Sans II ITC Std Bk"/>
                <w:b/>
                <w:w w:val="110"/>
                <w:sz w:val="20"/>
              </w:rPr>
              <w:t>with</w:t>
            </w:r>
            <w:r>
              <w:rPr>
                <w:rFonts w:ascii="Stone Sans II ITC Std Bk"/>
                <w:b/>
                <w:spacing w:val="-18"/>
                <w:w w:val="110"/>
                <w:sz w:val="20"/>
              </w:rPr>
              <w:t> </w:t>
            </w:r>
            <w:r>
              <w:rPr>
                <w:rFonts w:ascii="Stone Sans II ITC Std Bk"/>
                <w:b/>
                <w:w w:val="110"/>
                <w:sz w:val="20"/>
              </w:rPr>
              <w:t>immediate</w:t>
            </w:r>
            <w:r>
              <w:rPr>
                <w:rFonts w:ascii="Stone Sans II ITC Std Bk"/>
                <w:b/>
                <w:spacing w:val="-18"/>
                <w:w w:val="110"/>
                <w:sz w:val="20"/>
              </w:rPr>
              <w:t> </w:t>
            </w:r>
            <w:r>
              <w:rPr>
                <w:rFonts w:ascii="Stone Sans II ITC Std Bk"/>
                <w:b/>
                <w:w w:val="110"/>
                <w:sz w:val="20"/>
              </w:rPr>
              <w:t>effect,</w:t>
            </w:r>
            <w:r>
              <w:rPr>
                <w:rFonts w:ascii="Stone Sans II ITC Std Bk"/>
                <w:b/>
                <w:spacing w:val="-19"/>
                <w:w w:val="110"/>
                <w:sz w:val="20"/>
              </w:rPr>
              <w:t> </w:t>
            </w:r>
            <w:r>
              <w:rPr>
                <w:rFonts w:ascii="Stone Sans II ITC Std Bk"/>
                <w:b/>
                <w:w w:val="110"/>
                <w:sz w:val="20"/>
              </w:rPr>
              <w:t>and authorises </w:t>
            </w:r>
            <w:r>
              <w:rPr>
                <w:rFonts w:ascii="Stone Sans II ITC Std Bk"/>
                <w:b/>
                <w:spacing w:val="-3"/>
                <w:w w:val="110"/>
                <w:sz w:val="20"/>
              </w:rPr>
              <w:t>any </w:t>
            </w:r>
            <w:r>
              <w:rPr>
                <w:rFonts w:ascii="Stone Sans II ITC Std Bk"/>
                <w:b/>
                <w:w w:val="110"/>
                <w:sz w:val="20"/>
              </w:rPr>
              <w:t>consequent</w:t>
            </w:r>
            <w:r>
              <w:rPr>
                <w:rFonts w:ascii="Stone Sans II ITC Std Bk"/>
                <w:b/>
                <w:spacing w:val="-16"/>
                <w:w w:val="110"/>
                <w:sz w:val="20"/>
              </w:rPr>
              <w:t> </w:t>
            </w:r>
            <w:r>
              <w:rPr>
                <w:rFonts w:ascii="Stone Sans II ITC Std Bk"/>
                <w:b/>
                <w:w w:val="110"/>
                <w:sz w:val="20"/>
              </w:rPr>
              <w:t>changes.</w:t>
            </w:r>
          </w:p>
          <w:p>
            <w:pPr>
              <w:pStyle w:val="TableParagraph"/>
              <w:spacing w:before="1"/>
              <w:ind w:left="0"/>
              <w:rPr>
                <w:rFonts w:ascii="Stone Sans II ITC Std Bk"/>
                <w:b/>
                <w:sz w:val="16"/>
              </w:rPr>
            </w:pPr>
          </w:p>
          <w:p>
            <w:pPr>
              <w:pStyle w:val="TableParagraph"/>
              <w:numPr>
                <w:ilvl w:val="0"/>
                <w:numId w:val="44"/>
              </w:numPr>
              <w:tabs>
                <w:tab w:pos="761" w:val="left" w:leader="none"/>
              </w:tabs>
              <w:spacing w:line="213" w:lineRule="auto" w:before="0" w:after="0"/>
              <w:ind w:left="80" w:right="129" w:firstLine="0"/>
              <w:jc w:val="both"/>
              <w:rPr>
                <w:rFonts w:ascii="Stone Sans II ITC Std Bk"/>
                <w:b/>
                <w:sz w:val="20"/>
              </w:rPr>
            </w:pPr>
            <w:r>
              <w:rPr>
                <w:rFonts w:ascii="Stone Sans II ITC Std Bk"/>
                <w:b/>
                <w:w w:val="110"/>
                <w:sz w:val="20"/>
              </w:rPr>
              <w:t>General</w:t>
            </w:r>
            <w:r>
              <w:rPr>
                <w:rFonts w:ascii="Stone Sans II ITC Std Bk"/>
                <w:b/>
                <w:spacing w:val="-14"/>
                <w:w w:val="110"/>
                <w:sz w:val="20"/>
              </w:rPr>
              <w:t> </w:t>
            </w:r>
            <w:r>
              <w:rPr>
                <w:rFonts w:ascii="Stone Sans II ITC Std Bk"/>
                <w:b/>
                <w:w w:val="110"/>
                <w:sz w:val="20"/>
              </w:rPr>
              <w:t>Assembly</w:t>
            </w:r>
            <w:r>
              <w:rPr>
                <w:rFonts w:ascii="Stone Sans II ITC Std Bk"/>
                <w:b/>
                <w:spacing w:val="-14"/>
                <w:w w:val="110"/>
                <w:sz w:val="20"/>
              </w:rPr>
              <w:t> </w:t>
            </w:r>
            <w:r>
              <w:rPr>
                <w:rFonts w:ascii="Stone Sans II ITC Std Bk"/>
                <w:b/>
                <w:w w:val="110"/>
                <w:sz w:val="20"/>
              </w:rPr>
              <w:t>commends</w:t>
            </w:r>
            <w:r>
              <w:rPr>
                <w:rFonts w:ascii="Stone Sans II ITC Std Bk"/>
                <w:b/>
                <w:spacing w:val="-14"/>
                <w:w w:val="110"/>
                <w:sz w:val="20"/>
              </w:rPr>
              <w:t> </w:t>
            </w:r>
            <w:r>
              <w:rPr>
                <w:rFonts w:ascii="Stone Sans II ITC Std Bk"/>
                <w:b/>
                <w:w w:val="110"/>
                <w:sz w:val="20"/>
              </w:rPr>
              <w:t>iChurch,</w:t>
            </w:r>
            <w:r>
              <w:rPr>
                <w:rFonts w:ascii="Stone Sans II ITC Std Bk"/>
                <w:b/>
                <w:spacing w:val="-14"/>
                <w:w w:val="110"/>
                <w:sz w:val="20"/>
              </w:rPr>
              <w:t> </w:t>
            </w:r>
            <w:r>
              <w:rPr>
                <w:rFonts w:ascii="Stone Sans II ITC Std Bk"/>
                <w:b/>
                <w:w w:val="110"/>
                <w:sz w:val="20"/>
              </w:rPr>
              <w:t>as</w:t>
            </w:r>
            <w:r>
              <w:rPr>
                <w:rFonts w:ascii="Stone Sans II ITC Std Bk"/>
                <w:b/>
                <w:spacing w:val="-14"/>
                <w:w w:val="110"/>
                <w:sz w:val="20"/>
              </w:rPr>
              <w:t> </w:t>
            </w:r>
            <w:r>
              <w:rPr>
                <w:rFonts w:ascii="Stone Sans II ITC Std Bk"/>
                <w:b/>
                <w:w w:val="110"/>
                <w:sz w:val="20"/>
              </w:rPr>
              <w:t>its</w:t>
            </w:r>
            <w:r>
              <w:rPr>
                <w:rFonts w:ascii="Stone Sans II ITC Std Bk"/>
                <w:b/>
                <w:spacing w:val="-13"/>
                <w:w w:val="110"/>
                <w:sz w:val="20"/>
              </w:rPr>
              <w:t> </w:t>
            </w:r>
            <w:r>
              <w:rPr>
                <w:rFonts w:ascii="Stone Sans II ITC Std Bk"/>
                <w:b/>
                <w:w w:val="110"/>
                <w:sz w:val="20"/>
              </w:rPr>
              <w:t>preferred </w:t>
            </w:r>
            <w:r>
              <w:rPr>
                <w:rFonts w:ascii="Stone Sans II ITC Std Bk"/>
                <w:b/>
                <w:spacing w:val="-3"/>
                <w:w w:val="110"/>
                <w:sz w:val="20"/>
              </w:rPr>
              <w:t>website</w:t>
            </w:r>
            <w:r>
              <w:rPr>
                <w:rFonts w:ascii="Stone Sans II ITC Std Bk"/>
                <w:b/>
                <w:spacing w:val="-10"/>
                <w:w w:val="110"/>
                <w:sz w:val="20"/>
              </w:rPr>
              <w:t> </w:t>
            </w:r>
            <w:r>
              <w:rPr>
                <w:rFonts w:ascii="Stone Sans II ITC Std Bk"/>
                <w:b/>
                <w:spacing w:val="-4"/>
                <w:w w:val="110"/>
                <w:sz w:val="20"/>
              </w:rPr>
              <w:t>supplier,</w:t>
            </w:r>
            <w:r>
              <w:rPr>
                <w:rFonts w:ascii="Stone Sans II ITC Std Bk"/>
                <w:b/>
                <w:spacing w:val="-10"/>
                <w:w w:val="110"/>
                <w:sz w:val="20"/>
              </w:rPr>
              <w:t> </w:t>
            </w:r>
            <w:r>
              <w:rPr>
                <w:rFonts w:ascii="Stone Sans II ITC Std Bk"/>
                <w:b/>
                <w:spacing w:val="-3"/>
                <w:w w:val="110"/>
                <w:sz w:val="20"/>
              </w:rPr>
              <w:t>to</w:t>
            </w:r>
            <w:r>
              <w:rPr>
                <w:rFonts w:ascii="Stone Sans II ITC Std Bk"/>
                <w:b/>
                <w:spacing w:val="-10"/>
                <w:w w:val="110"/>
                <w:sz w:val="20"/>
              </w:rPr>
              <w:t> </w:t>
            </w:r>
            <w:r>
              <w:rPr>
                <w:rFonts w:ascii="Stone Sans II ITC Std Bk"/>
                <w:b/>
                <w:w w:val="110"/>
                <w:sz w:val="20"/>
              </w:rPr>
              <w:t>local</w:t>
            </w:r>
            <w:r>
              <w:rPr>
                <w:rFonts w:ascii="Stone Sans II ITC Std Bk"/>
                <w:b/>
                <w:spacing w:val="-10"/>
                <w:w w:val="110"/>
                <w:sz w:val="20"/>
              </w:rPr>
              <w:t> </w:t>
            </w:r>
            <w:r>
              <w:rPr>
                <w:rFonts w:ascii="Stone Sans II ITC Std Bk"/>
                <w:b/>
                <w:w w:val="110"/>
                <w:sz w:val="20"/>
              </w:rPr>
              <w:t>churches,</w:t>
            </w:r>
            <w:r>
              <w:rPr>
                <w:rFonts w:ascii="Stone Sans II ITC Std Bk"/>
                <w:b/>
                <w:spacing w:val="-10"/>
                <w:w w:val="110"/>
                <w:sz w:val="20"/>
              </w:rPr>
              <w:t> </w:t>
            </w:r>
            <w:r>
              <w:rPr>
                <w:rFonts w:ascii="Stone Sans II ITC Std Bk"/>
                <w:b/>
                <w:w w:val="110"/>
                <w:sz w:val="20"/>
              </w:rPr>
              <w:t>affiliated</w:t>
            </w:r>
            <w:r>
              <w:rPr>
                <w:rFonts w:ascii="Stone Sans II ITC Std Bk"/>
                <w:b/>
                <w:spacing w:val="-10"/>
                <w:w w:val="110"/>
                <w:sz w:val="20"/>
              </w:rPr>
              <w:t> </w:t>
            </w:r>
            <w:r>
              <w:rPr>
                <w:rFonts w:ascii="Stone Sans II ITC Std Bk"/>
                <w:b/>
                <w:w w:val="110"/>
                <w:sz w:val="20"/>
              </w:rPr>
              <w:t>groups</w:t>
            </w:r>
            <w:r>
              <w:rPr>
                <w:rFonts w:ascii="Stone Sans II ITC Std Bk"/>
                <w:b/>
                <w:spacing w:val="-10"/>
                <w:w w:val="110"/>
                <w:sz w:val="20"/>
              </w:rPr>
              <w:t> </w:t>
            </w:r>
            <w:r>
              <w:rPr>
                <w:rFonts w:ascii="Stone Sans II ITC Std Bk"/>
                <w:b/>
                <w:w w:val="110"/>
                <w:sz w:val="20"/>
              </w:rPr>
              <w:t>and</w:t>
            </w:r>
            <w:r>
              <w:rPr>
                <w:rFonts w:ascii="Stone Sans II ITC Std Bk"/>
                <w:b/>
                <w:spacing w:val="-10"/>
                <w:w w:val="110"/>
                <w:sz w:val="20"/>
              </w:rPr>
              <w:t> </w:t>
            </w:r>
            <w:r>
              <w:rPr>
                <w:rFonts w:ascii="Stone Sans II ITC Std Bk"/>
                <w:b/>
                <w:w w:val="110"/>
                <w:sz w:val="20"/>
              </w:rPr>
              <w:t>the synods.</w:t>
            </w:r>
          </w:p>
        </w:tc>
      </w:tr>
    </w:tbl>
    <w:p>
      <w:pPr>
        <w:pStyle w:val="BodyText"/>
        <w:spacing w:before="5"/>
        <w:rPr>
          <w:rFonts w:ascii="Stone Sans II ITC Std Bk"/>
          <w:b/>
        </w:rPr>
      </w:pPr>
    </w:p>
    <w:p>
      <w:pPr>
        <w:pStyle w:val="Heading4"/>
        <w:ind w:left="547"/>
      </w:pPr>
      <w:r>
        <w:rPr>
          <w:color w:val="7F7F7F"/>
        </w:rPr>
        <w:t>Summary of Content</w:t>
      </w:r>
    </w:p>
    <w:tbl>
      <w:tblPr>
        <w:tblW w:w="0" w:type="auto"/>
        <w:jc w:val="left"/>
        <w:tblInd w:w="55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660"/>
        <w:gridCol w:w="6582"/>
      </w:tblGrid>
      <w:tr>
        <w:trPr>
          <w:trHeight w:val="1640" w:hRule="atLeast"/>
        </w:trPr>
        <w:tc>
          <w:tcPr>
            <w:tcW w:w="2660" w:type="dxa"/>
            <w:shd w:val="clear" w:color="auto" w:fill="FFFFFF"/>
          </w:tcPr>
          <w:p>
            <w:pPr>
              <w:pStyle w:val="TableParagraph"/>
              <w:spacing w:before="128"/>
              <w:rPr>
                <w:rFonts w:ascii="Stone Sans II ITC Std Bk"/>
                <w:b/>
                <w:sz w:val="20"/>
              </w:rPr>
            </w:pPr>
            <w:r>
              <w:rPr>
                <w:rFonts w:ascii="Stone Sans II ITC Std Bk"/>
                <w:b/>
                <w:w w:val="110"/>
                <w:sz w:val="20"/>
              </w:rPr>
              <w:t>Subject and aim(s)</w:t>
            </w:r>
          </w:p>
        </w:tc>
        <w:tc>
          <w:tcPr>
            <w:tcW w:w="6582" w:type="dxa"/>
            <w:shd w:val="clear" w:color="auto" w:fill="FFFFFF"/>
          </w:tcPr>
          <w:p>
            <w:pPr>
              <w:pStyle w:val="TableParagraph"/>
              <w:spacing w:line="235" w:lineRule="auto" w:before="145"/>
              <w:rPr>
                <w:sz w:val="20"/>
              </w:rPr>
            </w:pPr>
            <w:r>
              <w:rPr>
                <w:w w:val="120"/>
                <w:sz w:val="20"/>
              </w:rPr>
              <w:t>To provide Assembly with an update on the work of the communications and editorial committee and an outline of their future plans and;</w:t>
            </w:r>
          </w:p>
          <w:p>
            <w:pPr>
              <w:pStyle w:val="TableParagraph"/>
              <w:spacing w:before="8"/>
              <w:ind w:left="0"/>
              <w:rPr>
                <w:rFonts w:ascii="Stone Sans II ITC Std Bk"/>
                <w:b/>
                <w:sz w:val="17"/>
              </w:rPr>
            </w:pPr>
          </w:p>
          <w:p>
            <w:pPr>
              <w:pStyle w:val="TableParagraph"/>
              <w:spacing w:line="242" w:lineRule="exact"/>
              <w:rPr>
                <w:sz w:val="20"/>
              </w:rPr>
            </w:pPr>
            <w:r>
              <w:rPr>
                <w:w w:val="120"/>
                <w:sz w:val="20"/>
              </w:rPr>
              <w:t>To change the committee name and;</w:t>
            </w:r>
          </w:p>
          <w:p>
            <w:pPr>
              <w:pStyle w:val="TableParagraph"/>
              <w:spacing w:line="242" w:lineRule="exact"/>
              <w:rPr>
                <w:sz w:val="20"/>
              </w:rPr>
            </w:pPr>
            <w:r>
              <w:rPr>
                <w:w w:val="120"/>
                <w:sz w:val="20"/>
              </w:rPr>
              <w:t>To commend the use of iChurch across the denomination</w:t>
            </w:r>
          </w:p>
        </w:tc>
      </w:tr>
      <w:tr>
        <w:trPr>
          <w:trHeight w:val="1880" w:hRule="atLeast"/>
        </w:trPr>
        <w:tc>
          <w:tcPr>
            <w:tcW w:w="2660" w:type="dxa"/>
            <w:shd w:val="clear" w:color="auto" w:fill="FFFFFF"/>
          </w:tcPr>
          <w:p>
            <w:pPr>
              <w:pStyle w:val="TableParagraph"/>
              <w:spacing w:before="128"/>
              <w:rPr>
                <w:rFonts w:ascii="Stone Sans II ITC Std Bk"/>
                <w:b/>
                <w:sz w:val="20"/>
              </w:rPr>
            </w:pPr>
            <w:r>
              <w:rPr>
                <w:rFonts w:ascii="Stone Sans II ITC Std Bk"/>
                <w:b/>
                <w:w w:val="110"/>
                <w:sz w:val="20"/>
              </w:rPr>
              <w:t>Main points</w:t>
            </w:r>
          </w:p>
        </w:tc>
        <w:tc>
          <w:tcPr>
            <w:tcW w:w="6582" w:type="dxa"/>
            <w:shd w:val="clear" w:color="auto" w:fill="FFFFFF"/>
          </w:tcPr>
          <w:p>
            <w:pPr>
              <w:pStyle w:val="TableParagraph"/>
              <w:numPr>
                <w:ilvl w:val="0"/>
                <w:numId w:val="45"/>
              </w:numPr>
              <w:tabs>
                <w:tab w:pos="760" w:val="left" w:leader="none"/>
                <w:tab w:pos="761" w:val="left" w:leader="none"/>
              </w:tabs>
              <w:spacing w:line="235" w:lineRule="auto" w:before="145" w:after="0"/>
              <w:ind w:left="760" w:right="444" w:hanging="681"/>
              <w:jc w:val="left"/>
              <w:rPr>
                <w:sz w:val="20"/>
              </w:rPr>
            </w:pPr>
            <w:r>
              <w:rPr>
                <w:spacing w:val="-7"/>
                <w:w w:val="120"/>
                <w:sz w:val="20"/>
              </w:rPr>
              <w:t>To </w:t>
            </w:r>
            <w:r>
              <w:rPr>
                <w:w w:val="120"/>
                <w:sz w:val="20"/>
              </w:rPr>
              <w:t>give an overview of the work done in the past two years – and that planned for the next two-to-five</w:t>
            </w:r>
            <w:r>
              <w:rPr>
                <w:spacing w:val="5"/>
                <w:w w:val="120"/>
                <w:sz w:val="20"/>
              </w:rPr>
              <w:t> </w:t>
            </w:r>
            <w:r>
              <w:rPr>
                <w:w w:val="120"/>
                <w:sz w:val="20"/>
              </w:rPr>
              <w:t>years</w:t>
            </w:r>
          </w:p>
          <w:p>
            <w:pPr>
              <w:pStyle w:val="TableParagraph"/>
              <w:numPr>
                <w:ilvl w:val="0"/>
                <w:numId w:val="45"/>
              </w:numPr>
              <w:tabs>
                <w:tab w:pos="760" w:val="left" w:leader="none"/>
                <w:tab w:pos="761" w:val="left" w:leader="none"/>
              </w:tabs>
              <w:spacing w:line="235" w:lineRule="auto" w:before="1" w:after="0"/>
              <w:ind w:left="760" w:right="257" w:hanging="681"/>
              <w:jc w:val="left"/>
              <w:rPr>
                <w:sz w:val="20"/>
              </w:rPr>
            </w:pPr>
            <w:r>
              <w:rPr>
                <w:spacing w:val="-7"/>
                <w:w w:val="120"/>
                <w:sz w:val="20"/>
              </w:rPr>
              <w:t>To </w:t>
            </w:r>
            <w:r>
              <w:rPr>
                <w:w w:val="120"/>
                <w:sz w:val="20"/>
              </w:rPr>
              <w:t>emphasis the committee’s commitment to resourcing the local churches by creating and disseminating good quality and relevant</w:t>
            </w:r>
            <w:r>
              <w:rPr>
                <w:spacing w:val="5"/>
                <w:w w:val="120"/>
                <w:sz w:val="20"/>
              </w:rPr>
              <w:t> </w:t>
            </w:r>
            <w:r>
              <w:rPr>
                <w:w w:val="120"/>
                <w:sz w:val="20"/>
              </w:rPr>
              <w:t>information</w:t>
            </w:r>
          </w:p>
          <w:p>
            <w:pPr>
              <w:pStyle w:val="TableParagraph"/>
              <w:numPr>
                <w:ilvl w:val="0"/>
                <w:numId w:val="45"/>
              </w:numPr>
              <w:tabs>
                <w:tab w:pos="760" w:val="left" w:leader="none"/>
                <w:tab w:pos="761" w:val="left" w:leader="none"/>
              </w:tabs>
              <w:spacing w:line="235" w:lineRule="auto" w:before="2" w:after="0"/>
              <w:ind w:left="760" w:right="843" w:hanging="681"/>
              <w:jc w:val="left"/>
              <w:rPr>
                <w:sz w:val="20"/>
              </w:rPr>
            </w:pPr>
            <w:r>
              <w:rPr>
                <w:w w:val="120"/>
                <w:sz w:val="20"/>
              </w:rPr>
              <w:t>Recommendation that the denomination supports iChurch</w:t>
            </w:r>
          </w:p>
        </w:tc>
      </w:tr>
      <w:tr>
        <w:trPr>
          <w:trHeight w:val="1400" w:hRule="atLeast"/>
        </w:trPr>
        <w:tc>
          <w:tcPr>
            <w:tcW w:w="2660" w:type="dxa"/>
            <w:shd w:val="clear" w:color="auto" w:fill="FFFFFF"/>
          </w:tcPr>
          <w:p>
            <w:pPr>
              <w:pStyle w:val="TableParagraph"/>
              <w:spacing w:line="213" w:lineRule="auto" w:before="151"/>
              <w:ind w:right="701"/>
              <w:rPr>
                <w:rFonts w:ascii="Stone Sans II ITC Std Bk"/>
                <w:b/>
                <w:sz w:val="20"/>
              </w:rPr>
            </w:pPr>
            <w:r>
              <w:rPr>
                <w:rFonts w:ascii="Stone Sans II ITC Std Bk"/>
                <w:b/>
                <w:w w:val="110"/>
                <w:sz w:val="20"/>
              </w:rPr>
              <w:t>Previous relevant documents</w:t>
            </w:r>
          </w:p>
        </w:tc>
        <w:tc>
          <w:tcPr>
            <w:tcW w:w="6582" w:type="dxa"/>
            <w:shd w:val="clear" w:color="auto" w:fill="FFFFFF"/>
          </w:tcPr>
          <w:p>
            <w:pPr>
              <w:pStyle w:val="TableParagraph"/>
              <w:spacing w:line="242" w:lineRule="exact" w:before="141"/>
              <w:rPr>
                <w:sz w:val="20"/>
              </w:rPr>
            </w:pPr>
            <w:r>
              <w:rPr>
                <w:w w:val="120"/>
                <w:sz w:val="20"/>
              </w:rPr>
              <w:t>Mission Council</w:t>
            </w:r>
            <w:r>
              <w:rPr>
                <w:spacing w:val="22"/>
                <w:w w:val="120"/>
                <w:sz w:val="20"/>
              </w:rPr>
              <w:t> </w:t>
            </w:r>
            <w:r>
              <w:rPr>
                <w:w w:val="120"/>
                <w:sz w:val="20"/>
              </w:rPr>
              <w:t>papers:</w:t>
            </w:r>
          </w:p>
          <w:p>
            <w:pPr>
              <w:pStyle w:val="TableParagraph"/>
              <w:spacing w:line="235" w:lineRule="auto" w:before="2"/>
              <w:ind w:right="580"/>
              <w:rPr>
                <w:i/>
                <w:sz w:val="20"/>
              </w:rPr>
            </w:pPr>
            <w:r>
              <w:rPr>
                <w:w w:val="120"/>
                <w:sz w:val="20"/>
              </w:rPr>
              <w:t>November </w:t>
            </w:r>
            <w:r>
              <w:rPr>
                <w:spacing w:val="-7"/>
                <w:w w:val="120"/>
                <w:sz w:val="20"/>
              </w:rPr>
              <w:t>2014: </w:t>
            </w:r>
            <w:r>
              <w:rPr>
                <w:w w:val="120"/>
                <w:sz w:val="20"/>
              </w:rPr>
              <w:t>C1 – The departmental mission statement; C3, The future of</w:t>
            </w:r>
            <w:r>
              <w:rPr>
                <w:spacing w:val="5"/>
                <w:w w:val="120"/>
                <w:sz w:val="20"/>
              </w:rPr>
              <w:t> </w:t>
            </w:r>
            <w:r>
              <w:rPr>
                <w:i/>
                <w:w w:val="120"/>
                <w:sz w:val="20"/>
              </w:rPr>
              <w:t>Reform</w:t>
            </w:r>
          </w:p>
          <w:p>
            <w:pPr>
              <w:pStyle w:val="TableParagraph"/>
              <w:spacing w:line="240" w:lineRule="exact"/>
              <w:rPr>
                <w:sz w:val="20"/>
              </w:rPr>
            </w:pPr>
            <w:r>
              <w:rPr>
                <w:w w:val="120"/>
                <w:sz w:val="20"/>
              </w:rPr>
              <w:t>November 2015: C1–The departmental review</w:t>
            </w:r>
          </w:p>
          <w:p>
            <w:pPr>
              <w:pStyle w:val="TableParagraph"/>
              <w:spacing w:line="242" w:lineRule="exact"/>
              <w:rPr>
                <w:sz w:val="20"/>
              </w:rPr>
            </w:pPr>
            <w:r>
              <w:rPr>
                <w:w w:val="120"/>
                <w:sz w:val="20"/>
              </w:rPr>
              <w:t>March 2016: C1 and C2 – Update on </w:t>
            </w:r>
            <w:r>
              <w:rPr>
                <w:i/>
                <w:w w:val="120"/>
                <w:sz w:val="20"/>
              </w:rPr>
              <w:t>Reform’s </w:t>
            </w:r>
            <w:r>
              <w:rPr>
                <w:w w:val="120"/>
                <w:sz w:val="20"/>
              </w:rPr>
              <w:t>finances</w:t>
            </w:r>
          </w:p>
        </w:tc>
      </w:tr>
      <w:tr>
        <w:trPr>
          <w:trHeight w:val="920" w:hRule="atLeast"/>
        </w:trPr>
        <w:tc>
          <w:tcPr>
            <w:tcW w:w="2660" w:type="dxa"/>
            <w:shd w:val="clear" w:color="auto" w:fill="FFFFFF"/>
          </w:tcPr>
          <w:p>
            <w:pPr>
              <w:pStyle w:val="TableParagraph"/>
              <w:spacing w:line="213" w:lineRule="auto" w:before="151"/>
              <w:ind w:right="576"/>
              <w:rPr>
                <w:rFonts w:ascii="Stone Sans II ITC Std Bk"/>
                <w:b/>
                <w:sz w:val="20"/>
              </w:rPr>
            </w:pPr>
            <w:r>
              <w:rPr>
                <w:rFonts w:ascii="Stone Sans II ITC Std Bk"/>
                <w:b/>
                <w:w w:val="110"/>
                <w:sz w:val="20"/>
              </w:rPr>
              <w:t>Consultation has taken place with...</w:t>
            </w:r>
          </w:p>
        </w:tc>
        <w:tc>
          <w:tcPr>
            <w:tcW w:w="6582" w:type="dxa"/>
            <w:shd w:val="clear" w:color="auto" w:fill="FFFFFF"/>
          </w:tcPr>
          <w:p>
            <w:pPr>
              <w:pStyle w:val="TableParagraph"/>
              <w:spacing w:line="235" w:lineRule="auto" w:before="145"/>
              <w:rPr>
                <w:sz w:val="20"/>
              </w:rPr>
            </w:pPr>
            <w:r>
              <w:rPr>
                <w:w w:val="120"/>
                <w:sz w:val="20"/>
              </w:rPr>
              <w:t>Ongoing discussions with the communications and editorial committee, the staff of the department and the Deputy General Secretary (Administration &amp; Resources)</w:t>
            </w:r>
          </w:p>
        </w:tc>
      </w:tr>
    </w:tbl>
    <w:p>
      <w:pPr>
        <w:pStyle w:val="Heading4"/>
        <w:spacing w:before="216"/>
        <w:ind w:left="547"/>
      </w:pPr>
      <w:r>
        <w:rPr>
          <w:color w:val="7F7F7F"/>
        </w:rPr>
        <w:t>Summary of Impact</w:t>
      </w:r>
    </w:p>
    <w:tbl>
      <w:tblPr>
        <w:tblW w:w="0" w:type="auto"/>
        <w:jc w:val="left"/>
        <w:tblInd w:w="55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660"/>
        <w:gridCol w:w="6582"/>
      </w:tblGrid>
      <w:tr>
        <w:trPr>
          <w:trHeight w:val="440" w:hRule="atLeast"/>
        </w:trPr>
        <w:tc>
          <w:tcPr>
            <w:tcW w:w="2660" w:type="dxa"/>
            <w:shd w:val="clear" w:color="auto" w:fill="FFFFFF"/>
          </w:tcPr>
          <w:p>
            <w:pPr>
              <w:pStyle w:val="TableParagraph"/>
              <w:spacing w:before="128"/>
              <w:rPr>
                <w:rFonts w:ascii="Stone Sans II ITC Std Bk"/>
                <w:b/>
                <w:sz w:val="20"/>
              </w:rPr>
            </w:pPr>
            <w:r>
              <w:rPr>
                <w:rFonts w:ascii="Stone Sans II ITC Std Bk"/>
                <w:b/>
                <w:w w:val="110"/>
                <w:sz w:val="20"/>
              </w:rPr>
              <w:t>Financial</w:t>
            </w:r>
          </w:p>
        </w:tc>
        <w:tc>
          <w:tcPr>
            <w:tcW w:w="6582" w:type="dxa"/>
            <w:shd w:val="clear" w:color="auto" w:fill="FFFFFF"/>
          </w:tcPr>
          <w:p>
            <w:pPr>
              <w:pStyle w:val="TableParagraph"/>
              <w:spacing w:before="141"/>
              <w:rPr>
                <w:sz w:val="20"/>
              </w:rPr>
            </w:pPr>
            <w:r>
              <w:rPr>
                <w:w w:val="120"/>
                <w:sz w:val="20"/>
              </w:rPr>
              <w:t>None</w:t>
            </w:r>
          </w:p>
        </w:tc>
      </w:tr>
      <w:tr>
        <w:trPr>
          <w:trHeight w:val="1400" w:hRule="atLeast"/>
        </w:trPr>
        <w:tc>
          <w:tcPr>
            <w:tcW w:w="2660" w:type="dxa"/>
            <w:shd w:val="clear" w:color="auto" w:fill="FFFFFF"/>
          </w:tcPr>
          <w:p>
            <w:pPr>
              <w:pStyle w:val="TableParagraph"/>
              <w:spacing w:line="255" w:lineRule="exact" w:before="128"/>
              <w:rPr>
                <w:rFonts w:ascii="Stone Sans II ITC Std Bk"/>
                <w:b/>
                <w:sz w:val="20"/>
              </w:rPr>
            </w:pPr>
            <w:r>
              <w:rPr>
                <w:rFonts w:ascii="Stone Sans II ITC Std Bk"/>
                <w:b/>
                <w:w w:val="110"/>
                <w:sz w:val="20"/>
              </w:rPr>
              <w:t>External</w:t>
            </w:r>
          </w:p>
          <w:p>
            <w:pPr>
              <w:pStyle w:val="TableParagraph"/>
              <w:spacing w:line="255" w:lineRule="exact"/>
              <w:rPr>
                <w:rFonts w:ascii="Stone Sans II ITC Std Bk"/>
                <w:b/>
                <w:sz w:val="20"/>
              </w:rPr>
            </w:pPr>
            <w:r>
              <w:rPr>
                <w:rFonts w:ascii="Stone Sans II ITC Std Bk"/>
                <w:b/>
                <w:w w:val="110"/>
                <w:sz w:val="20"/>
              </w:rPr>
              <w:t>(e.g. ecumenical)</w:t>
            </w:r>
          </w:p>
        </w:tc>
        <w:tc>
          <w:tcPr>
            <w:tcW w:w="6582" w:type="dxa"/>
            <w:shd w:val="clear" w:color="auto" w:fill="FFFFFF"/>
          </w:tcPr>
          <w:p>
            <w:pPr>
              <w:pStyle w:val="TableParagraph"/>
              <w:spacing w:line="235" w:lineRule="auto" w:before="145"/>
              <w:rPr>
                <w:sz w:val="20"/>
              </w:rPr>
            </w:pPr>
            <w:r>
              <w:rPr>
                <w:w w:val="120"/>
                <w:sz w:val="20"/>
              </w:rPr>
              <w:t>As the plans outlined here are put into action, and local church resources updated, created and disseminated, it is hoped</w:t>
            </w:r>
          </w:p>
          <w:p>
            <w:pPr>
              <w:pStyle w:val="TableParagraph"/>
              <w:spacing w:line="235" w:lineRule="auto" w:before="1"/>
              <w:ind w:right="280"/>
              <w:rPr>
                <w:sz w:val="20"/>
              </w:rPr>
            </w:pPr>
            <w:r>
              <w:rPr>
                <w:w w:val="120"/>
                <w:sz w:val="20"/>
              </w:rPr>
              <w:t>that the denomination will benefit and that the role and positive example of the URC will be more easily recognised by ecumenical partners.</w:t>
            </w:r>
          </w:p>
        </w:tc>
      </w:tr>
    </w:tbl>
    <w:p>
      <w:pPr>
        <w:pStyle w:val="Heading6"/>
        <w:spacing w:before="123"/>
        <w:ind w:left="547"/>
      </w:pPr>
      <w:r>
        <w:rPr>
          <w:rFonts w:ascii="Stone Sans II ITC Std X Bd" w:hAnsi="Stone Sans II ITC Std X Bd"/>
          <w:b/>
          <w:w w:val="110"/>
          <w:sz w:val="24"/>
        </w:rPr>
        <w:t>60 </w:t>
      </w:r>
      <w:r>
        <w:rPr>
          <w:rFonts w:ascii="Symbol" w:hAnsi="Symbol"/>
          <w:color w:val="7EAABF"/>
          <w:w w:val="110"/>
        </w:rPr>
        <w:t></w:t>
      </w:r>
      <w:r>
        <w:rPr>
          <w:rFonts w:ascii="Times New Roman" w:hAnsi="Times New Roman"/>
          <w:color w:val="7EAABF"/>
          <w:w w:val="110"/>
        </w:rPr>
        <w:t> </w:t>
      </w:r>
      <w:r>
        <w:rPr>
          <w:color w:val="7EAABF"/>
          <w:w w:val="110"/>
        </w:rPr>
        <w:t>United Reformed Church </w:t>
      </w:r>
      <w:r>
        <w:rPr>
          <w:rFonts w:ascii="Symbol" w:hAnsi="Symbol"/>
          <w:color w:val="7EAABF"/>
          <w:w w:val="110"/>
        </w:rPr>
        <w:t></w:t>
      </w:r>
      <w:r>
        <w:rPr>
          <w:rFonts w:ascii="Times New Roman" w:hAnsi="Times New Roman"/>
          <w:color w:val="7EAABF"/>
          <w:w w:val="110"/>
        </w:rPr>
        <w:t> </w:t>
      </w:r>
      <w:r>
        <w:rPr>
          <w:color w:val="7EAABF"/>
          <w:w w:val="110"/>
        </w:rPr>
        <w:t>General Assembly 2016</w:t>
      </w:r>
    </w:p>
    <w:p>
      <w:pPr>
        <w:spacing w:after="0"/>
        <w:sectPr>
          <w:headerReference w:type="even" r:id="rId206"/>
          <w:footerReference w:type="even" r:id="rId207"/>
          <w:pgSz w:w="11910" w:h="16840"/>
          <w:pgMar w:header="0" w:footer="0" w:top="0" w:bottom="0" w:left="700" w:right="0"/>
        </w:sectPr>
      </w:pPr>
    </w:p>
    <w:p>
      <w:pPr>
        <w:pStyle w:val="BodyText"/>
      </w:pPr>
      <w:r>
        <w:rPr/>
        <w:drawing>
          <wp:anchor distT="0" distB="0" distL="0" distR="0" allowOverlap="1" layoutInCell="1" locked="0" behindDoc="0" simplePos="0" relativeHeight="251815936">
            <wp:simplePos x="0" y="0"/>
            <wp:positionH relativeFrom="page">
              <wp:posOffset>6974928</wp:posOffset>
            </wp:positionH>
            <wp:positionV relativeFrom="page">
              <wp:posOffset>0</wp:posOffset>
            </wp:positionV>
            <wp:extent cx="585063" cy="10692003"/>
            <wp:effectExtent l="0" t="0" r="0" b="0"/>
            <wp:wrapNone/>
            <wp:docPr id="107" name="image54.png"/>
            <wp:cNvGraphicFramePr>
              <a:graphicFrameLocks noChangeAspect="1"/>
            </wp:cNvGraphicFramePr>
            <a:graphic>
              <a:graphicData uri="http://schemas.openxmlformats.org/drawingml/2006/picture">
                <pic:pic>
                  <pic:nvPicPr>
                    <pic:cNvPr id="108" name="image54.png"/>
                    <pic:cNvPicPr/>
                  </pic:nvPicPr>
                  <pic:blipFill>
                    <a:blip r:embed="rId169" cstate="print"/>
                    <a:stretch>
                      <a:fillRect/>
                    </a:stretch>
                  </pic:blipFill>
                  <pic:spPr>
                    <a:xfrm>
                      <a:off x="0" y="0"/>
                      <a:ext cx="585063" cy="10692003"/>
                    </a:xfrm>
                    <a:prstGeom prst="rect">
                      <a:avLst/>
                    </a:prstGeom>
                  </pic:spPr>
                </pic:pic>
              </a:graphicData>
            </a:graphic>
          </wp:anchor>
        </w:drawing>
      </w:r>
    </w:p>
    <w:p>
      <w:pPr>
        <w:pStyle w:val="BodyText"/>
      </w:pPr>
    </w:p>
    <w:p>
      <w:pPr>
        <w:pStyle w:val="BodyText"/>
      </w:pPr>
    </w:p>
    <w:p>
      <w:pPr>
        <w:pStyle w:val="BodyText"/>
        <w:spacing w:before="5"/>
        <w:rPr>
          <w:sz w:val="28"/>
        </w:rPr>
      </w:pPr>
    </w:p>
    <w:p>
      <w:pPr>
        <w:spacing w:before="97"/>
        <w:ind w:left="1284" w:right="0" w:firstLine="0"/>
        <w:jc w:val="left"/>
        <w:rPr>
          <w:rFonts w:ascii="Stone Sans II ITC Std X Bd"/>
          <w:b/>
          <w:sz w:val="50"/>
        </w:rPr>
      </w:pPr>
      <w:r>
        <w:rPr/>
        <w:pict>
          <v:shape style="position:absolute;margin-left:554.141174pt;margin-top:-5.998084pt;width:25.9pt;height:308.850pt;mso-position-horizontal-relative:page;mso-position-vertical-relative:paragraph;z-index:251817984" type="#_x0000_t202" filled="false" stroked="false">
            <v:textbox inset="0,0,0,0" style="layout-flow:vertical">
              <w:txbxContent>
                <w:p>
                  <w:pPr>
                    <w:spacing w:before="27"/>
                    <w:ind w:left="20" w:right="0" w:firstLine="0"/>
                    <w:jc w:val="left"/>
                    <w:rPr>
                      <w:sz w:val="39"/>
                    </w:rPr>
                  </w:pPr>
                  <w:r>
                    <w:rPr>
                      <w:color w:val="FFFFFF"/>
                      <w:w w:val="120"/>
                      <w:sz w:val="39"/>
                    </w:rPr>
                    <w:t>Communications and editorial</w:t>
                  </w:r>
                </w:p>
              </w:txbxContent>
            </v:textbox>
            <w10:wrap type="none"/>
          </v:shape>
        </w:pict>
      </w:r>
      <w:r>
        <w:rPr>
          <w:rFonts w:ascii="Stone Sans II ITC Std X Bd"/>
          <w:b/>
          <w:w w:val="110"/>
          <w:sz w:val="50"/>
        </w:rPr>
        <w:t>Towards resourcing the Church</w:t>
      </w:r>
    </w:p>
    <w:p>
      <w:pPr>
        <w:spacing w:before="129"/>
        <w:ind w:left="1511" w:right="0" w:firstLine="0"/>
        <w:jc w:val="left"/>
        <w:rPr>
          <w:rFonts w:ascii="Stone Sans II ITC Std Bk"/>
          <w:b/>
          <w:sz w:val="18"/>
        </w:rPr>
      </w:pPr>
      <w:r>
        <w:rPr/>
        <w:pict>
          <v:line style="position:absolute;mso-position-horizontal-relative:page;mso-position-vertical-relative:paragraph;z-index:251816960" from="99.212601pt,9.936116pt" to="99.212601pt,184.502116pt" stroked="true" strokeweight="2pt" strokecolor="#0090d4">
            <v:stroke dashstyle="solid"/>
            <w10:wrap type="none"/>
          </v:line>
        </w:pict>
      </w:r>
      <w:r>
        <w:rPr>
          <w:rFonts w:ascii="Stone Sans II ITC Std Bk"/>
          <w:b/>
          <w:color w:val="707172"/>
          <w:w w:val="110"/>
          <w:sz w:val="18"/>
        </w:rPr>
        <w:t>Mission Statement:</w:t>
      </w:r>
    </w:p>
    <w:p>
      <w:pPr>
        <w:spacing w:line="261" w:lineRule="auto" w:before="8"/>
        <w:ind w:left="1511" w:right="1337" w:firstLine="0"/>
        <w:jc w:val="left"/>
        <w:rPr>
          <w:sz w:val="18"/>
        </w:rPr>
      </w:pPr>
      <w:r>
        <w:rPr>
          <w:color w:val="707172"/>
          <w:w w:val="120"/>
          <w:sz w:val="18"/>
        </w:rPr>
        <w:t>The communications department exists to promote effective communication and celebration  of the Gospel in and beyond the United Reformed Church</w:t>
      </w:r>
      <w:r>
        <w:rPr>
          <w:color w:val="707172"/>
          <w:spacing w:val="40"/>
          <w:w w:val="120"/>
          <w:sz w:val="18"/>
        </w:rPr>
        <w:t> </w:t>
      </w:r>
      <w:r>
        <w:rPr>
          <w:color w:val="707172"/>
          <w:w w:val="120"/>
          <w:sz w:val="18"/>
        </w:rPr>
        <w:t>by:</w:t>
      </w:r>
    </w:p>
    <w:p>
      <w:pPr>
        <w:pStyle w:val="ListParagraph"/>
        <w:numPr>
          <w:ilvl w:val="0"/>
          <w:numId w:val="46"/>
        </w:numPr>
        <w:tabs>
          <w:tab w:pos="1964" w:val="left" w:leader="none"/>
          <w:tab w:pos="1965" w:val="left" w:leader="none"/>
        </w:tabs>
        <w:spacing w:line="221" w:lineRule="exact" w:before="0" w:after="0"/>
        <w:ind w:left="1964" w:right="0" w:hanging="454"/>
        <w:jc w:val="left"/>
        <w:rPr>
          <w:sz w:val="18"/>
        </w:rPr>
      </w:pPr>
      <w:r>
        <w:rPr>
          <w:color w:val="707172"/>
          <w:w w:val="125"/>
          <w:sz w:val="18"/>
        </w:rPr>
        <w:t>Giving voice to good</w:t>
      </w:r>
      <w:r>
        <w:rPr>
          <w:color w:val="707172"/>
          <w:spacing w:val="-1"/>
          <w:w w:val="125"/>
          <w:sz w:val="18"/>
        </w:rPr>
        <w:t> </w:t>
      </w:r>
      <w:r>
        <w:rPr>
          <w:color w:val="707172"/>
          <w:w w:val="125"/>
          <w:sz w:val="18"/>
        </w:rPr>
        <w:t>news</w:t>
      </w:r>
    </w:p>
    <w:p>
      <w:pPr>
        <w:pStyle w:val="ListParagraph"/>
        <w:numPr>
          <w:ilvl w:val="0"/>
          <w:numId w:val="46"/>
        </w:numPr>
        <w:tabs>
          <w:tab w:pos="1964" w:val="left" w:leader="none"/>
          <w:tab w:pos="1965" w:val="left" w:leader="none"/>
        </w:tabs>
        <w:spacing w:line="240" w:lineRule="auto" w:before="11" w:after="0"/>
        <w:ind w:left="1964" w:right="0" w:hanging="454"/>
        <w:jc w:val="left"/>
        <w:rPr>
          <w:sz w:val="18"/>
        </w:rPr>
      </w:pPr>
      <w:r>
        <w:rPr>
          <w:color w:val="707172"/>
          <w:w w:val="120"/>
          <w:sz w:val="18"/>
        </w:rPr>
        <w:t>Facilitating regional/national</w:t>
      </w:r>
      <w:r>
        <w:rPr>
          <w:color w:val="707172"/>
          <w:spacing w:val="5"/>
          <w:w w:val="120"/>
          <w:sz w:val="18"/>
        </w:rPr>
        <w:t> </w:t>
      </w:r>
      <w:r>
        <w:rPr>
          <w:color w:val="707172"/>
          <w:w w:val="120"/>
          <w:sz w:val="18"/>
        </w:rPr>
        <w:t>communications</w:t>
      </w:r>
    </w:p>
    <w:p>
      <w:pPr>
        <w:pStyle w:val="ListParagraph"/>
        <w:numPr>
          <w:ilvl w:val="0"/>
          <w:numId w:val="46"/>
        </w:numPr>
        <w:tabs>
          <w:tab w:pos="1964" w:val="left" w:leader="none"/>
          <w:tab w:pos="1965" w:val="left" w:leader="none"/>
        </w:tabs>
        <w:spacing w:line="240" w:lineRule="auto" w:before="11" w:after="0"/>
        <w:ind w:left="1964" w:right="0" w:hanging="454"/>
        <w:jc w:val="left"/>
        <w:rPr>
          <w:sz w:val="18"/>
        </w:rPr>
      </w:pPr>
      <w:r>
        <w:rPr>
          <w:color w:val="707172"/>
          <w:w w:val="120"/>
          <w:sz w:val="18"/>
        </w:rPr>
        <w:t>Supporting</w:t>
      </w:r>
      <w:r>
        <w:rPr>
          <w:color w:val="707172"/>
          <w:spacing w:val="7"/>
          <w:w w:val="120"/>
          <w:sz w:val="18"/>
        </w:rPr>
        <w:t> </w:t>
      </w:r>
      <w:r>
        <w:rPr>
          <w:color w:val="707172"/>
          <w:w w:val="120"/>
          <w:sz w:val="18"/>
        </w:rPr>
        <w:t>the</w:t>
      </w:r>
      <w:r>
        <w:rPr>
          <w:color w:val="707172"/>
          <w:spacing w:val="8"/>
          <w:w w:val="120"/>
          <w:sz w:val="18"/>
        </w:rPr>
        <w:t> </w:t>
      </w:r>
      <w:r>
        <w:rPr>
          <w:color w:val="707172"/>
          <w:w w:val="120"/>
          <w:sz w:val="18"/>
        </w:rPr>
        <w:t>communications</w:t>
      </w:r>
      <w:r>
        <w:rPr>
          <w:color w:val="707172"/>
          <w:spacing w:val="7"/>
          <w:w w:val="120"/>
          <w:sz w:val="18"/>
        </w:rPr>
        <w:t> </w:t>
      </w:r>
      <w:r>
        <w:rPr>
          <w:color w:val="707172"/>
          <w:w w:val="120"/>
          <w:sz w:val="18"/>
        </w:rPr>
        <w:t>of</w:t>
      </w:r>
      <w:r>
        <w:rPr>
          <w:color w:val="707172"/>
          <w:spacing w:val="8"/>
          <w:w w:val="120"/>
          <w:sz w:val="18"/>
        </w:rPr>
        <w:t> </w:t>
      </w:r>
      <w:r>
        <w:rPr>
          <w:color w:val="707172"/>
          <w:w w:val="120"/>
          <w:sz w:val="18"/>
        </w:rPr>
        <w:t>Church</w:t>
      </w:r>
      <w:r>
        <w:rPr>
          <w:color w:val="707172"/>
          <w:spacing w:val="8"/>
          <w:w w:val="120"/>
          <w:sz w:val="18"/>
        </w:rPr>
        <w:t> </w:t>
      </w:r>
      <w:r>
        <w:rPr>
          <w:color w:val="707172"/>
          <w:w w:val="120"/>
          <w:sz w:val="18"/>
        </w:rPr>
        <w:t>House</w:t>
      </w:r>
      <w:r>
        <w:rPr>
          <w:color w:val="707172"/>
          <w:spacing w:val="7"/>
          <w:w w:val="120"/>
          <w:sz w:val="18"/>
        </w:rPr>
        <w:t> </w:t>
      </w:r>
      <w:r>
        <w:rPr>
          <w:color w:val="707172"/>
          <w:w w:val="120"/>
          <w:sz w:val="18"/>
        </w:rPr>
        <w:t>departments</w:t>
      </w:r>
      <w:r>
        <w:rPr>
          <w:color w:val="707172"/>
          <w:spacing w:val="8"/>
          <w:w w:val="120"/>
          <w:sz w:val="18"/>
        </w:rPr>
        <w:t> </w:t>
      </w:r>
      <w:r>
        <w:rPr>
          <w:color w:val="707172"/>
          <w:w w:val="120"/>
          <w:sz w:val="18"/>
        </w:rPr>
        <w:t>and</w:t>
      </w:r>
      <w:r>
        <w:rPr>
          <w:color w:val="707172"/>
          <w:spacing w:val="8"/>
          <w:w w:val="120"/>
          <w:sz w:val="18"/>
        </w:rPr>
        <w:t> </w:t>
      </w:r>
      <w:r>
        <w:rPr>
          <w:color w:val="707172"/>
          <w:w w:val="120"/>
          <w:sz w:val="18"/>
        </w:rPr>
        <w:t>General</w:t>
      </w:r>
      <w:r>
        <w:rPr>
          <w:color w:val="707172"/>
          <w:spacing w:val="7"/>
          <w:w w:val="120"/>
          <w:sz w:val="18"/>
        </w:rPr>
        <w:t> </w:t>
      </w:r>
      <w:r>
        <w:rPr>
          <w:color w:val="707172"/>
          <w:w w:val="120"/>
          <w:sz w:val="18"/>
        </w:rPr>
        <w:t>Assembly</w:t>
      </w:r>
    </w:p>
    <w:p>
      <w:pPr>
        <w:pStyle w:val="ListParagraph"/>
        <w:numPr>
          <w:ilvl w:val="0"/>
          <w:numId w:val="46"/>
        </w:numPr>
        <w:tabs>
          <w:tab w:pos="1964" w:val="left" w:leader="none"/>
          <w:tab w:pos="1965" w:val="left" w:leader="none"/>
        </w:tabs>
        <w:spacing w:line="240" w:lineRule="auto" w:before="10" w:after="0"/>
        <w:ind w:left="1964" w:right="0" w:hanging="454"/>
        <w:jc w:val="left"/>
        <w:rPr>
          <w:sz w:val="18"/>
        </w:rPr>
      </w:pPr>
      <w:r>
        <w:rPr>
          <w:color w:val="707172"/>
          <w:w w:val="120"/>
          <w:sz w:val="18"/>
        </w:rPr>
        <w:t>Resourcing the local</w:t>
      </w:r>
      <w:r>
        <w:rPr>
          <w:color w:val="707172"/>
          <w:spacing w:val="7"/>
          <w:w w:val="120"/>
          <w:sz w:val="18"/>
        </w:rPr>
        <w:t> </w:t>
      </w:r>
      <w:r>
        <w:rPr>
          <w:color w:val="707172"/>
          <w:w w:val="120"/>
          <w:sz w:val="18"/>
        </w:rPr>
        <w:t>churches</w:t>
      </w:r>
    </w:p>
    <w:p>
      <w:pPr>
        <w:pStyle w:val="BodyText"/>
        <w:spacing w:before="5"/>
      </w:pPr>
    </w:p>
    <w:p>
      <w:pPr>
        <w:spacing w:line="242" w:lineRule="exact" w:before="0"/>
        <w:ind w:left="1511" w:right="0" w:firstLine="0"/>
        <w:jc w:val="left"/>
        <w:rPr>
          <w:rFonts w:ascii="Stone Sans II ITC Std Bk"/>
          <w:b/>
          <w:sz w:val="18"/>
        </w:rPr>
      </w:pPr>
      <w:r>
        <w:rPr>
          <w:rFonts w:ascii="Stone Sans II ITC Std Bk"/>
          <w:b/>
          <w:color w:val="707172"/>
          <w:w w:val="110"/>
          <w:sz w:val="18"/>
        </w:rPr>
        <w:t>Committee members:</w:t>
      </w:r>
    </w:p>
    <w:p>
      <w:pPr>
        <w:spacing w:line="240" w:lineRule="exact" w:before="0"/>
        <w:ind w:left="1511" w:right="0" w:firstLine="0"/>
        <w:jc w:val="left"/>
        <w:rPr>
          <w:sz w:val="18"/>
        </w:rPr>
      </w:pPr>
      <w:r>
        <w:rPr>
          <w:rFonts w:ascii="Stone Sans II ITC Std Bk"/>
          <w:b/>
          <w:color w:val="707172"/>
          <w:w w:val="120"/>
          <w:sz w:val="18"/>
        </w:rPr>
        <w:t>Convenor: </w:t>
      </w:r>
      <w:r>
        <w:rPr>
          <w:color w:val="707172"/>
          <w:w w:val="120"/>
          <w:sz w:val="18"/>
        </w:rPr>
        <w:t>John Humphreys (to 30 June 2015) Peter Knowles (from 1 July 2015)</w:t>
      </w:r>
    </w:p>
    <w:p>
      <w:pPr>
        <w:spacing w:line="240" w:lineRule="exact" w:before="0"/>
        <w:ind w:left="1511" w:right="0" w:firstLine="0"/>
        <w:jc w:val="left"/>
        <w:rPr>
          <w:sz w:val="18"/>
        </w:rPr>
      </w:pPr>
      <w:r>
        <w:rPr>
          <w:rFonts w:ascii="Stone Sans II ITC Std Bk"/>
          <w:b/>
          <w:color w:val="707172"/>
          <w:w w:val="120"/>
          <w:sz w:val="18"/>
        </w:rPr>
        <w:t>Secretary: </w:t>
      </w:r>
      <w:r>
        <w:rPr>
          <w:color w:val="707172"/>
          <w:w w:val="120"/>
          <w:sz w:val="18"/>
        </w:rPr>
        <w:t>Gill Nichol</w:t>
      </w:r>
    </w:p>
    <w:p>
      <w:pPr>
        <w:spacing w:line="247" w:lineRule="auto" w:before="0"/>
        <w:ind w:left="1511" w:right="1337" w:firstLine="0"/>
        <w:jc w:val="left"/>
        <w:rPr>
          <w:sz w:val="18"/>
        </w:rPr>
      </w:pPr>
      <w:r>
        <w:rPr>
          <w:rFonts w:ascii="Stone Sans II ITC Std Bk"/>
          <w:b/>
          <w:color w:val="707172"/>
          <w:w w:val="120"/>
          <w:sz w:val="18"/>
        </w:rPr>
        <w:t>Current members: </w:t>
      </w:r>
      <w:r>
        <w:rPr>
          <w:color w:val="707172"/>
          <w:w w:val="120"/>
          <w:sz w:val="18"/>
        </w:rPr>
        <w:t>Andrea Varnavides; Andy Jeens; Ashley Evans; Heather Carr, Kate Gray, Kevin Snyman, Rebecca Gudgeon and Tim Llewellyn.</w:t>
      </w:r>
    </w:p>
    <w:p>
      <w:pPr>
        <w:spacing w:line="261" w:lineRule="auto" w:before="13"/>
        <w:ind w:left="1511" w:right="1899" w:firstLine="0"/>
        <w:jc w:val="left"/>
        <w:rPr>
          <w:sz w:val="18"/>
        </w:rPr>
      </w:pPr>
      <w:r>
        <w:rPr>
          <w:color w:val="707172"/>
          <w:w w:val="120"/>
          <w:sz w:val="18"/>
        </w:rPr>
        <w:t>The committee thanks John Humphreys, Ian Fosten and Heather Whyte, all of whom completed their term in 2015.</w:t>
      </w:r>
    </w:p>
    <w:p>
      <w:pPr>
        <w:pStyle w:val="BodyText"/>
        <w:rPr>
          <w:sz w:val="22"/>
        </w:rPr>
      </w:pPr>
    </w:p>
    <w:p>
      <w:pPr>
        <w:pStyle w:val="BodyText"/>
        <w:spacing w:before="6"/>
        <w:rPr>
          <w:sz w:val="18"/>
        </w:rPr>
      </w:pPr>
    </w:p>
    <w:p>
      <w:pPr>
        <w:spacing w:before="0"/>
        <w:ind w:left="1284" w:right="0" w:firstLine="0"/>
        <w:jc w:val="left"/>
        <w:rPr>
          <w:rFonts w:ascii="Stone Sans II ITC Std Bk"/>
          <w:b/>
          <w:sz w:val="29"/>
        </w:rPr>
      </w:pPr>
      <w:r>
        <w:rPr>
          <w:rFonts w:ascii="Stone Sans II ITC Std Bk"/>
          <w:b/>
          <w:w w:val="110"/>
          <w:sz w:val="29"/>
        </w:rPr>
        <w:t>Overview</w:t>
      </w:r>
    </w:p>
    <w:p>
      <w:pPr>
        <w:pStyle w:val="ListParagraph"/>
        <w:numPr>
          <w:ilvl w:val="1"/>
          <w:numId w:val="47"/>
        </w:numPr>
        <w:tabs>
          <w:tab w:pos="1964" w:val="left" w:leader="none"/>
          <w:tab w:pos="1965" w:val="left" w:leader="none"/>
        </w:tabs>
        <w:spacing w:line="235" w:lineRule="auto" w:before="69" w:after="0"/>
        <w:ind w:left="1284" w:right="1784" w:firstLine="0"/>
        <w:jc w:val="left"/>
        <w:rPr>
          <w:sz w:val="20"/>
        </w:rPr>
      </w:pPr>
      <w:r>
        <w:rPr>
          <w:w w:val="120"/>
          <w:sz w:val="20"/>
        </w:rPr>
        <w:t>The last two years have been a time of excitement, change, exhaustion and hope. It has been busy! </w:t>
      </w:r>
      <w:r>
        <w:rPr>
          <w:spacing w:val="-3"/>
          <w:w w:val="120"/>
          <w:sz w:val="20"/>
        </w:rPr>
        <w:t>Yet, </w:t>
      </w:r>
      <w:r>
        <w:rPr>
          <w:w w:val="120"/>
          <w:sz w:val="20"/>
        </w:rPr>
        <w:t>at the time of writing, there is a sense of quiet pride as we look back over the achievement of the past two years, pleasure in all we</w:t>
      </w:r>
      <w:r>
        <w:rPr>
          <w:spacing w:val="3"/>
          <w:w w:val="120"/>
          <w:sz w:val="20"/>
        </w:rPr>
        <w:t> </w:t>
      </w:r>
      <w:r>
        <w:rPr>
          <w:w w:val="120"/>
          <w:sz w:val="20"/>
        </w:rPr>
        <w:t>have</w:t>
      </w:r>
    </w:p>
    <w:p>
      <w:pPr>
        <w:pStyle w:val="BodyText"/>
        <w:spacing w:line="235" w:lineRule="auto" w:before="2"/>
        <w:ind w:left="1284" w:right="1337"/>
      </w:pPr>
      <w:r>
        <w:rPr>
          <w:w w:val="120"/>
        </w:rPr>
        <w:t>accomplished, acknowledgement that there is still much to be done, and an overriding sense of optimism that we’re on the right path.</w:t>
      </w:r>
    </w:p>
    <w:p>
      <w:pPr>
        <w:pStyle w:val="BodyText"/>
        <w:spacing w:before="10"/>
        <w:rPr>
          <w:sz w:val="19"/>
        </w:rPr>
      </w:pPr>
    </w:p>
    <w:p>
      <w:pPr>
        <w:pStyle w:val="ListParagraph"/>
        <w:numPr>
          <w:ilvl w:val="1"/>
          <w:numId w:val="47"/>
        </w:numPr>
        <w:tabs>
          <w:tab w:pos="1964" w:val="left" w:leader="none"/>
          <w:tab w:pos="1965" w:val="left" w:leader="none"/>
        </w:tabs>
        <w:spacing w:line="235" w:lineRule="auto" w:before="0" w:after="0"/>
        <w:ind w:left="1284" w:right="1319" w:firstLine="0"/>
        <w:jc w:val="left"/>
        <w:rPr>
          <w:sz w:val="20"/>
        </w:rPr>
      </w:pPr>
      <w:r>
        <w:rPr>
          <w:w w:val="120"/>
          <w:sz w:val="20"/>
        </w:rPr>
        <w:t>In </w:t>
      </w:r>
      <w:r>
        <w:rPr>
          <w:spacing w:val="-7"/>
          <w:w w:val="120"/>
          <w:sz w:val="20"/>
        </w:rPr>
        <w:t>2014 </w:t>
      </w:r>
      <w:r>
        <w:rPr>
          <w:w w:val="120"/>
          <w:sz w:val="20"/>
        </w:rPr>
        <w:t>the committee considered the mission of the department and the above mission</w:t>
      </w:r>
      <w:r>
        <w:rPr>
          <w:spacing w:val="7"/>
          <w:w w:val="120"/>
          <w:sz w:val="20"/>
        </w:rPr>
        <w:t> </w:t>
      </w:r>
      <w:r>
        <w:rPr>
          <w:w w:val="120"/>
          <w:sz w:val="20"/>
        </w:rPr>
        <w:t>statement</w:t>
      </w:r>
      <w:r>
        <w:rPr>
          <w:spacing w:val="7"/>
          <w:w w:val="120"/>
          <w:sz w:val="20"/>
        </w:rPr>
        <w:t> </w:t>
      </w:r>
      <w:r>
        <w:rPr>
          <w:w w:val="120"/>
          <w:sz w:val="20"/>
        </w:rPr>
        <w:t>was</w:t>
      </w:r>
      <w:r>
        <w:rPr>
          <w:spacing w:val="8"/>
          <w:w w:val="120"/>
          <w:sz w:val="20"/>
        </w:rPr>
        <w:t> </w:t>
      </w:r>
      <w:r>
        <w:rPr>
          <w:w w:val="120"/>
          <w:sz w:val="20"/>
        </w:rPr>
        <w:t>agreed</w:t>
      </w:r>
      <w:r>
        <w:rPr>
          <w:spacing w:val="7"/>
          <w:w w:val="120"/>
          <w:sz w:val="20"/>
        </w:rPr>
        <w:t> </w:t>
      </w:r>
      <w:r>
        <w:rPr>
          <w:w w:val="120"/>
          <w:sz w:val="20"/>
        </w:rPr>
        <w:t>upon</w:t>
      </w:r>
      <w:r>
        <w:rPr>
          <w:spacing w:val="7"/>
          <w:w w:val="120"/>
          <w:sz w:val="20"/>
        </w:rPr>
        <w:t> </w:t>
      </w:r>
      <w:r>
        <w:rPr>
          <w:w w:val="120"/>
          <w:sz w:val="20"/>
        </w:rPr>
        <w:t>and</w:t>
      </w:r>
      <w:r>
        <w:rPr>
          <w:spacing w:val="8"/>
          <w:w w:val="120"/>
          <w:sz w:val="20"/>
        </w:rPr>
        <w:t> </w:t>
      </w:r>
      <w:r>
        <w:rPr>
          <w:w w:val="120"/>
          <w:sz w:val="20"/>
        </w:rPr>
        <w:t>ratified</w:t>
      </w:r>
      <w:r>
        <w:rPr>
          <w:spacing w:val="7"/>
          <w:w w:val="120"/>
          <w:sz w:val="20"/>
        </w:rPr>
        <w:t> </w:t>
      </w:r>
      <w:r>
        <w:rPr>
          <w:w w:val="120"/>
          <w:sz w:val="20"/>
        </w:rPr>
        <w:t>by</w:t>
      </w:r>
      <w:r>
        <w:rPr>
          <w:spacing w:val="7"/>
          <w:w w:val="120"/>
          <w:sz w:val="20"/>
        </w:rPr>
        <w:t> </w:t>
      </w:r>
      <w:r>
        <w:rPr>
          <w:w w:val="120"/>
          <w:sz w:val="20"/>
        </w:rPr>
        <w:t>Mission</w:t>
      </w:r>
      <w:r>
        <w:rPr>
          <w:spacing w:val="8"/>
          <w:w w:val="120"/>
          <w:sz w:val="20"/>
        </w:rPr>
        <w:t> </w:t>
      </w:r>
      <w:r>
        <w:rPr>
          <w:w w:val="120"/>
          <w:sz w:val="20"/>
        </w:rPr>
        <w:t>Council</w:t>
      </w:r>
      <w:r>
        <w:rPr>
          <w:spacing w:val="7"/>
          <w:w w:val="120"/>
          <w:sz w:val="20"/>
        </w:rPr>
        <w:t> </w:t>
      </w:r>
      <w:r>
        <w:rPr>
          <w:w w:val="120"/>
          <w:sz w:val="20"/>
        </w:rPr>
        <w:t>in</w:t>
      </w:r>
      <w:r>
        <w:rPr>
          <w:spacing w:val="7"/>
          <w:w w:val="120"/>
          <w:sz w:val="20"/>
        </w:rPr>
        <w:t> </w:t>
      </w:r>
      <w:r>
        <w:rPr>
          <w:w w:val="120"/>
          <w:sz w:val="20"/>
        </w:rPr>
        <w:t>November</w:t>
      </w:r>
      <w:r>
        <w:rPr>
          <w:spacing w:val="8"/>
          <w:w w:val="120"/>
          <w:sz w:val="20"/>
        </w:rPr>
        <w:t> </w:t>
      </w:r>
      <w:r>
        <w:rPr>
          <w:spacing w:val="-6"/>
          <w:w w:val="120"/>
          <w:sz w:val="20"/>
        </w:rPr>
        <w:t>2014.</w:t>
      </w:r>
    </w:p>
    <w:p>
      <w:pPr>
        <w:pStyle w:val="BodyText"/>
        <w:spacing w:before="9"/>
        <w:rPr>
          <w:sz w:val="19"/>
        </w:rPr>
      </w:pPr>
    </w:p>
    <w:p>
      <w:pPr>
        <w:pStyle w:val="ListParagraph"/>
        <w:numPr>
          <w:ilvl w:val="1"/>
          <w:numId w:val="47"/>
        </w:numPr>
        <w:tabs>
          <w:tab w:pos="1964" w:val="left" w:leader="none"/>
          <w:tab w:pos="1965" w:val="left" w:leader="none"/>
        </w:tabs>
        <w:spacing w:line="235" w:lineRule="auto" w:before="1" w:after="0"/>
        <w:ind w:left="1284" w:right="1529" w:firstLine="0"/>
        <w:jc w:val="left"/>
        <w:rPr>
          <w:sz w:val="20"/>
        </w:rPr>
      </w:pPr>
      <w:r>
        <w:rPr>
          <w:w w:val="120"/>
          <w:sz w:val="20"/>
        </w:rPr>
        <w:t>In the last </w:t>
      </w:r>
      <w:r>
        <w:rPr>
          <w:spacing w:val="-5"/>
          <w:w w:val="120"/>
          <w:sz w:val="20"/>
        </w:rPr>
        <w:t>24 </w:t>
      </w:r>
      <w:r>
        <w:rPr>
          <w:w w:val="120"/>
          <w:sz w:val="20"/>
        </w:rPr>
        <w:t>months the department has been driven by its aim to provide  the United Reformed Church with a communications department able to meet the growing needs and expectations of the denomination. The departmental review </w:t>
      </w:r>
      <w:r>
        <w:rPr>
          <w:spacing w:val="-4"/>
          <w:w w:val="120"/>
          <w:sz w:val="20"/>
        </w:rPr>
        <w:t>(see </w:t>
      </w:r>
      <w:r>
        <w:rPr>
          <w:w w:val="120"/>
          <w:sz w:val="20"/>
        </w:rPr>
        <w:t>section</w:t>
      </w:r>
      <w:r>
        <w:rPr>
          <w:spacing w:val="6"/>
          <w:w w:val="120"/>
          <w:sz w:val="20"/>
        </w:rPr>
        <w:t> </w:t>
      </w:r>
      <w:r>
        <w:rPr>
          <w:spacing w:val="-4"/>
          <w:w w:val="120"/>
          <w:sz w:val="20"/>
        </w:rPr>
        <w:t>two)</w:t>
      </w:r>
      <w:r>
        <w:rPr>
          <w:spacing w:val="7"/>
          <w:w w:val="120"/>
          <w:sz w:val="20"/>
        </w:rPr>
        <w:t> </w:t>
      </w:r>
      <w:r>
        <w:rPr>
          <w:w w:val="120"/>
          <w:sz w:val="20"/>
        </w:rPr>
        <w:t>gave</w:t>
      </w:r>
      <w:r>
        <w:rPr>
          <w:spacing w:val="6"/>
          <w:w w:val="120"/>
          <w:sz w:val="20"/>
        </w:rPr>
        <w:t> </w:t>
      </w:r>
      <w:r>
        <w:rPr>
          <w:w w:val="120"/>
          <w:sz w:val="20"/>
        </w:rPr>
        <w:t>focus</w:t>
      </w:r>
      <w:r>
        <w:rPr>
          <w:spacing w:val="7"/>
          <w:w w:val="120"/>
          <w:sz w:val="20"/>
        </w:rPr>
        <w:t> </w:t>
      </w:r>
      <w:r>
        <w:rPr>
          <w:w w:val="120"/>
          <w:sz w:val="20"/>
        </w:rPr>
        <w:t>and</w:t>
      </w:r>
      <w:r>
        <w:rPr>
          <w:spacing w:val="6"/>
          <w:w w:val="120"/>
          <w:sz w:val="20"/>
        </w:rPr>
        <w:t> </w:t>
      </w:r>
      <w:r>
        <w:rPr>
          <w:w w:val="120"/>
          <w:sz w:val="20"/>
        </w:rPr>
        <w:t>structure</w:t>
      </w:r>
      <w:r>
        <w:rPr>
          <w:spacing w:val="7"/>
          <w:w w:val="120"/>
          <w:sz w:val="20"/>
        </w:rPr>
        <w:t> </w:t>
      </w:r>
      <w:r>
        <w:rPr>
          <w:w w:val="120"/>
          <w:sz w:val="20"/>
        </w:rPr>
        <w:t>to</w:t>
      </w:r>
      <w:r>
        <w:rPr>
          <w:spacing w:val="7"/>
          <w:w w:val="120"/>
          <w:sz w:val="20"/>
        </w:rPr>
        <w:t> </w:t>
      </w:r>
      <w:r>
        <w:rPr>
          <w:w w:val="120"/>
          <w:sz w:val="20"/>
        </w:rPr>
        <w:t>this</w:t>
      </w:r>
      <w:r>
        <w:rPr>
          <w:spacing w:val="6"/>
          <w:w w:val="120"/>
          <w:sz w:val="20"/>
        </w:rPr>
        <w:t> </w:t>
      </w:r>
      <w:r>
        <w:rPr>
          <w:w w:val="120"/>
          <w:sz w:val="20"/>
        </w:rPr>
        <w:t>process,</w:t>
      </w:r>
      <w:r>
        <w:rPr>
          <w:spacing w:val="7"/>
          <w:w w:val="120"/>
          <w:sz w:val="20"/>
        </w:rPr>
        <w:t> </w:t>
      </w:r>
      <w:r>
        <w:rPr>
          <w:w w:val="120"/>
          <w:sz w:val="20"/>
        </w:rPr>
        <w:t>helping</w:t>
      </w:r>
      <w:r>
        <w:rPr>
          <w:spacing w:val="6"/>
          <w:w w:val="120"/>
          <w:sz w:val="20"/>
        </w:rPr>
        <w:t> </w:t>
      </w:r>
      <w:r>
        <w:rPr>
          <w:w w:val="120"/>
          <w:sz w:val="20"/>
        </w:rPr>
        <w:t>the</w:t>
      </w:r>
      <w:r>
        <w:rPr>
          <w:spacing w:val="7"/>
          <w:w w:val="120"/>
          <w:sz w:val="20"/>
        </w:rPr>
        <w:t> </w:t>
      </w:r>
      <w:r>
        <w:rPr>
          <w:w w:val="120"/>
          <w:sz w:val="20"/>
        </w:rPr>
        <w:t>committee</w:t>
      </w:r>
      <w:r>
        <w:rPr>
          <w:spacing w:val="7"/>
          <w:w w:val="120"/>
          <w:sz w:val="20"/>
        </w:rPr>
        <w:t> </w:t>
      </w:r>
      <w:r>
        <w:rPr>
          <w:w w:val="120"/>
          <w:sz w:val="20"/>
        </w:rPr>
        <w:t>and</w:t>
      </w:r>
      <w:r>
        <w:rPr>
          <w:spacing w:val="6"/>
          <w:w w:val="120"/>
          <w:sz w:val="20"/>
        </w:rPr>
        <w:t> </w:t>
      </w:r>
      <w:r>
        <w:rPr>
          <w:w w:val="120"/>
          <w:sz w:val="20"/>
        </w:rPr>
        <w:t>the</w:t>
      </w:r>
    </w:p>
    <w:p>
      <w:pPr>
        <w:pStyle w:val="BodyText"/>
        <w:spacing w:line="235" w:lineRule="auto" w:before="3"/>
        <w:ind w:left="1284" w:right="1477"/>
      </w:pPr>
      <w:r>
        <w:rPr>
          <w:w w:val="120"/>
        </w:rPr>
        <w:t>department staff begin to define what the denomination needed – and how and what it could deliver given the resources available.</w:t>
      </w:r>
    </w:p>
    <w:p>
      <w:pPr>
        <w:pStyle w:val="BodyText"/>
        <w:spacing w:before="9"/>
        <w:rPr>
          <w:sz w:val="19"/>
        </w:rPr>
      </w:pPr>
    </w:p>
    <w:p>
      <w:pPr>
        <w:pStyle w:val="ListParagraph"/>
        <w:numPr>
          <w:ilvl w:val="1"/>
          <w:numId w:val="47"/>
        </w:numPr>
        <w:tabs>
          <w:tab w:pos="1964" w:val="left" w:leader="none"/>
          <w:tab w:pos="1965" w:val="left" w:leader="none"/>
        </w:tabs>
        <w:spacing w:line="235" w:lineRule="auto" w:before="0" w:after="0"/>
        <w:ind w:left="1284" w:right="1829" w:firstLine="0"/>
        <w:jc w:val="left"/>
        <w:rPr>
          <w:sz w:val="20"/>
        </w:rPr>
      </w:pPr>
      <w:r>
        <w:rPr>
          <w:w w:val="120"/>
          <w:sz w:val="20"/>
        </w:rPr>
        <w:t>There will always be a tension between the communication needs and expectations of the denomination and the ability of the department, with its finite resources, to meet them. Prioritisation and the targeted, efficient use of those resources, are</w:t>
      </w:r>
      <w:r>
        <w:rPr>
          <w:spacing w:val="3"/>
          <w:w w:val="120"/>
          <w:sz w:val="20"/>
        </w:rPr>
        <w:t> </w:t>
      </w:r>
      <w:r>
        <w:rPr>
          <w:spacing w:val="-5"/>
          <w:w w:val="120"/>
          <w:sz w:val="20"/>
        </w:rPr>
        <w:t>key.</w:t>
      </w:r>
    </w:p>
    <w:p>
      <w:pPr>
        <w:pStyle w:val="BodyText"/>
        <w:spacing w:before="11"/>
        <w:rPr>
          <w:sz w:val="19"/>
        </w:rPr>
      </w:pPr>
    </w:p>
    <w:p>
      <w:pPr>
        <w:pStyle w:val="ListParagraph"/>
        <w:numPr>
          <w:ilvl w:val="1"/>
          <w:numId w:val="47"/>
        </w:numPr>
        <w:tabs>
          <w:tab w:pos="1964" w:val="left" w:leader="none"/>
          <w:tab w:pos="1965" w:val="left" w:leader="none"/>
        </w:tabs>
        <w:spacing w:line="235" w:lineRule="auto" w:before="0" w:after="0"/>
        <w:ind w:left="1284" w:right="1341" w:firstLine="0"/>
        <w:jc w:val="left"/>
        <w:rPr>
          <w:sz w:val="20"/>
        </w:rPr>
      </w:pPr>
      <w:r>
        <w:rPr>
          <w:w w:val="120"/>
          <w:sz w:val="20"/>
        </w:rPr>
        <w:t>Much of what we do – for example the editing and production of the business papers for Mission Council and General Assembly – is determined by the needs of the General Secretariat and others; but when we are able to make choices over where we put our time and energy we wish to prioritise work that resources the local churches. For example we are starting to review many of the denomination’s existing information booklets such as the series: ‘</w:t>
      </w:r>
      <w:r>
        <w:rPr>
          <w:i/>
          <w:w w:val="120"/>
          <w:sz w:val="20"/>
        </w:rPr>
        <w:t>They’ve asked me to</w:t>
      </w:r>
      <w:r>
        <w:rPr>
          <w:i/>
          <w:spacing w:val="-15"/>
          <w:w w:val="120"/>
          <w:sz w:val="20"/>
        </w:rPr>
        <w:t> </w:t>
      </w:r>
      <w:r>
        <w:rPr>
          <w:i/>
          <w:spacing w:val="-10"/>
          <w:w w:val="120"/>
          <w:sz w:val="20"/>
        </w:rPr>
        <w:t>be</w:t>
      </w:r>
      <w:r>
        <w:rPr>
          <w:spacing w:val="-10"/>
          <w:w w:val="120"/>
          <w:sz w:val="20"/>
        </w:rPr>
        <w:t>’.</w:t>
      </w:r>
    </w:p>
    <w:p>
      <w:pPr>
        <w:pStyle w:val="BodyText"/>
      </w:pPr>
    </w:p>
    <w:p>
      <w:pPr>
        <w:pStyle w:val="ListParagraph"/>
        <w:numPr>
          <w:ilvl w:val="1"/>
          <w:numId w:val="47"/>
        </w:numPr>
        <w:tabs>
          <w:tab w:pos="1964" w:val="left" w:leader="none"/>
          <w:tab w:pos="1965" w:val="left" w:leader="none"/>
        </w:tabs>
        <w:spacing w:line="235" w:lineRule="auto" w:before="0" w:after="0"/>
        <w:ind w:left="1284" w:right="1481" w:firstLine="0"/>
        <w:jc w:val="left"/>
        <w:rPr>
          <w:sz w:val="20"/>
        </w:rPr>
      </w:pPr>
      <w:r>
        <w:rPr>
          <w:w w:val="120"/>
          <w:sz w:val="20"/>
        </w:rPr>
        <w:t>Resourcing the local churches informs much of our work – including the books we chose to stock in the online store; the Bible studies and the new practical features in </w:t>
      </w:r>
      <w:r>
        <w:rPr>
          <w:i/>
          <w:w w:val="120"/>
          <w:sz w:val="20"/>
        </w:rPr>
        <w:t>Reform</w:t>
      </w:r>
      <w:r>
        <w:rPr>
          <w:w w:val="120"/>
          <w:sz w:val="20"/>
        </w:rPr>
        <w:t>, the development of News Update </w:t>
      </w:r>
      <w:r>
        <w:rPr>
          <w:spacing w:val="-5"/>
          <w:w w:val="120"/>
          <w:sz w:val="20"/>
        </w:rPr>
        <w:t>(our </w:t>
      </w:r>
      <w:r>
        <w:rPr>
          <w:w w:val="120"/>
          <w:sz w:val="20"/>
        </w:rPr>
        <w:t>e-newsletter) as well as our </w:t>
      </w:r>
      <w:r>
        <w:rPr>
          <w:spacing w:val="2"/>
          <w:w w:val="120"/>
          <w:sz w:val="20"/>
        </w:rPr>
        <w:t>synod- </w:t>
      </w:r>
      <w:r>
        <w:rPr>
          <w:w w:val="120"/>
          <w:sz w:val="20"/>
        </w:rPr>
        <w:t>based communications</w:t>
      </w:r>
      <w:r>
        <w:rPr>
          <w:spacing w:val="4"/>
          <w:w w:val="120"/>
          <w:sz w:val="20"/>
        </w:rPr>
        <w:t> </w:t>
      </w:r>
      <w:r>
        <w:rPr>
          <w:w w:val="120"/>
          <w:sz w:val="20"/>
        </w:rPr>
        <w:t>training.</w:t>
      </w:r>
    </w:p>
    <w:p>
      <w:pPr>
        <w:pStyle w:val="BodyText"/>
        <w:spacing w:before="11"/>
        <w:rPr>
          <w:sz w:val="19"/>
        </w:rPr>
      </w:pPr>
    </w:p>
    <w:p>
      <w:pPr>
        <w:pStyle w:val="ListParagraph"/>
        <w:numPr>
          <w:ilvl w:val="1"/>
          <w:numId w:val="47"/>
        </w:numPr>
        <w:tabs>
          <w:tab w:pos="1964" w:val="left" w:leader="none"/>
          <w:tab w:pos="1965" w:val="left" w:leader="none"/>
        </w:tabs>
        <w:spacing w:line="235" w:lineRule="auto" w:before="0" w:after="0"/>
        <w:ind w:left="1284" w:right="1250" w:firstLine="0"/>
        <w:jc w:val="left"/>
        <w:rPr>
          <w:sz w:val="20"/>
        </w:rPr>
      </w:pPr>
      <w:r>
        <w:rPr>
          <w:w w:val="120"/>
          <w:sz w:val="20"/>
        </w:rPr>
        <w:t>One way we have tackled the gap between need and resource, is by the recruitment of skilled volunteers to undertake specific editorial tasks, working alongside the staff team. We are very grateful for the writing and editing work done by Dr Jean Silvan</w:t>
      </w:r>
      <w:r>
        <w:rPr>
          <w:spacing w:val="-6"/>
          <w:w w:val="120"/>
          <w:sz w:val="20"/>
        </w:rPr>
        <w:t> </w:t>
      </w:r>
      <w:r>
        <w:rPr>
          <w:w w:val="120"/>
          <w:sz w:val="20"/>
        </w:rPr>
        <w:t>Evans</w:t>
      </w:r>
      <w:r>
        <w:rPr>
          <w:spacing w:val="-7"/>
          <w:w w:val="120"/>
          <w:sz w:val="20"/>
        </w:rPr>
        <w:t> </w:t>
      </w:r>
      <w:r>
        <w:rPr>
          <w:w w:val="120"/>
          <w:sz w:val="20"/>
        </w:rPr>
        <w:t>on</w:t>
      </w:r>
      <w:r>
        <w:rPr>
          <w:spacing w:val="-6"/>
          <w:w w:val="120"/>
          <w:sz w:val="20"/>
        </w:rPr>
        <w:t> </w:t>
      </w:r>
      <w:r>
        <w:rPr>
          <w:w w:val="120"/>
          <w:sz w:val="20"/>
        </w:rPr>
        <w:t>the</w:t>
      </w:r>
      <w:r>
        <w:rPr>
          <w:spacing w:val="-6"/>
          <w:w w:val="120"/>
          <w:sz w:val="20"/>
        </w:rPr>
        <w:t> </w:t>
      </w:r>
      <w:r>
        <w:rPr>
          <w:i/>
          <w:w w:val="120"/>
          <w:sz w:val="20"/>
        </w:rPr>
        <w:t>Getting</w:t>
      </w:r>
      <w:r>
        <w:rPr>
          <w:i/>
          <w:spacing w:val="-8"/>
          <w:w w:val="120"/>
          <w:sz w:val="20"/>
        </w:rPr>
        <w:t> </w:t>
      </w:r>
      <w:r>
        <w:rPr>
          <w:i/>
          <w:w w:val="120"/>
          <w:sz w:val="20"/>
        </w:rPr>
        <w:t>to</w:t>
      </w:r>
      <w:r>
        <w:rPr>
          <w:i/>
          <w:spacing w:val="-9"/>
          <w:w w:val="120"/>
          <w:sz w:val="20"/>
        </w:rPr>
        <w:t> </w:t>
      </w:r>
      <w:r>
        <w:rPr>
          <w:i/>
          <w:w w:val="120"/>
          <w:sz w:val="20"/>
        </w:rPr>
        <w:t>grips</w:t>
      </w:r>
      <w:r>
        <w:rPr>
          <w:i/>
          <w:spacing w:val="-8"/>
          <w:w w:val="120"/>
          <w:sz w:val="20"/>
        </w:rPr>
        <w:t> </w:t>
      </w:r>
      <w:r>
        <w:rPr>
          <w:i/>
          <w:w w:val="120"/>
          <w:sz w:val="20"/>
        </w:rPr>
        <w:t>with</w:t>
      </w:r>
      <w:r>
        <w:rPr>
          <w:i/>
          <w:spacing w:val="-9"/>
          <w:w w:val="120"/>
          <w:sz w:val="20"/>
        </w:rPr>
        <w:t> </w:t>
      </w:r>
      <w:r>
        <w:rPr>
          <w:i/>
          <w:w w:val="120"/>
          <w:sz w:val="20"/>
        </w:rPr>
        <w:t>copyright</w:t>
      </w:r>
      <w:r>
        <w:rPr>
          <w:i/>
          <w:spacing w:val="-8"/>
          <w:w w:val="120"/>
          <w:sz w:val="20"/>
        </w:rPr>
        <w:t> </w:t>
      </w:r>
      <w:r>
        <w:rPr>
          <w:w w:val="120"/>
          <w:sz w:val="20"/>
        </w:rPr>
        <w:t>booklet;</w:t>
      </w:r>
      <w:r>
        <w:rPr>
          <w:spacing w:val="-6"/>
          <w:w w:val="120"/>
          <w:sz w:val="20"/>
        </w:rPr>
        <w:t> </w:t>
      </w:r>
      <w:r>
        <w:rPr>
          <w:w w:val="120"/>
          <w:sz w:val="20"/>
        </w:rPr>
        <w:t>and</w:t>
      </w:r>
      <w:r>
        <w:rPr>
          <w:spacing w:val="-6"/>
          <w:w w:val="120"/>
          <w:sz w:val="20"/>
        </w:rPr>
        <w:t> </w:t>
      </w:r>
      <w:r>
        <w:rPr>
          <w:w w:val="120"/>
          <w:sz w:val="20"/>
        </w:rPr>
        <w:t>the</w:t>
      </w:r>
      <w:r>
        <w:rPr>
          <w:spacing w:val="-6"/>
          <w:w w:val="120"/>
          <w:sz w:val="20"/>
        </w:rPr>
        <w:t> </w:t>
      </w:r>
      <w:r>
        <w:rPr>
          <w:w w:val="120"/>
          <w:sz w:val="20"/>
        </w:rPr>
        <w:t>ongoing</w:t>
      </w:r>
      <w:r>
        <w:rPr>
          <w:spacing w:val="-6"/>
          <w:w w:val="120"/>
          <w:sz w:val="20"/>
        </w:rPr>
        <w:t> </w:t>
      </w:r>
      <w:r>
        <w:rPr>
          <w:w w:val="120"/>
          <w:sz w:val="20"/>
        </w:rPr>
        <w:t>editing</w:t>
      </w:r>
      <w:r>
        <w:rPr>
          <w:spacing w:val="-6"/>
          <w:w w:val="120"/>
          <w:sz w:val="20"/>
        </w:rPr>
        <w:t> </w:t>
      </w:r>
      <w:r>
        <w:rPr>
          <w:w w:val="120"/>
          <w:sz w:val="20"/>
        </w:rPr>
        <w:t>work</w:t>
      </w:r>
    </w:p>
    <w:p>
      <w:pPr>
        <w:spacing w:after="0" w:line="235" w:lineRule="auto"/>
        <w:jc w:val="left"/>
        <w:rPr>
          <w:sz w:val="20"/>
        </w:rPr>
        <w:sectPr>
          <w:headerReference w:type="default" r:id="rId209"/>
          <w:footerReference w:type="default" r:id="rId210"/>
          <w:footerReference w:type="even" r:id="rId211"/>
          <w:pgSz w:w="11910" w:h="16840"/>
          <w:pgMar w:header="0" w:footer="647" w:top="0" w:bottom="840" w:left="700" w:right="0"/>
          <w:pgNumType w:start="61"/>
        </w:sectPr>
      </w:pPr>
    </w:p>
    <w:p>
      <w:pPr>
        <w:pStyle w:val="BodyText"/>
      </w:pPr>
      <w:r>
        <w:rPr/>
        <w:drawing>
          <wp:anchor distT="0" distB="0" distL="0" distR="0" allowOverlap="1" layoutInCell="1" locked="0" behindDoc="1" simplePos="0" relativeHeight="235365376">
            <wp:simplePos x="0" y="0"/>
            <wp:positionH relativeFrom="page">
              <wp:posOffset>0</wp:posOffset>
            </wp:positionH>
            <wp:positionV relativeFrom="page">
              <wp:posOffset>0</wp:posOffset>
            </wp:positionV>
            <wp:extent cx="594067" cy="10692003"/>
            <wp:effectExtent l="0" t="0" r="0" b="0"/>
            <wp:wrapNone/>
            <wp:docPr id="109" name="image67.png"/>
            <wp:cNvGraphicFramePr>
              <a:graphicFrameLocks noChangeAspect="1"/>
            </wp:cNvGraphicFramePr>
            <a:graphic>
              <a:graphicData uri="http://schemas.openxmlformats.org/drawingml/2006/picture">
                <pic:pic>
                  <pic:nvPicPr>
                    <pic:cNvPr id="110" name="image67.png"/>
                    <pic:cNvPicPr/>
                  </pic:nvPicPr>
                  <pic:blipFill>
                    <a:blip r:embed="rId184" cstate="print"/>
                    <a:stretch>
                      <a:fillRect/>
                    </a:stretch>
                  </pic:blipFill>
                  <pic:spPr>
                    <a:xfrm>
                      <a:off x="0" y="0"/>
                      <a:ext cx="594067" cy="10692003"/>
                    </a:xfrm>
                    <a:prstGeom prst="rect">
                      <a:avLst/>
                    </a:prstGeom>
                  </pic:spPr>
                </pic:pic>
              </a:graphicData>
            </a:graphic>
          </wp:anchor>
        </w:drawing>
      </w:r>
      <w:r>
        <w:rPr/>
        <w:pict>
          <v:shape style="position:absolute;margin-left:20.519100pt;margin-top:48.890015pt;width:25.9pt;height:308.850pt;mso-position-horizontal-relative:page;mso-position-vertical-relative:page;z-index:-267950080" type="#_x0000_t202" filled="false" stroked="false">
            <v:textbox inset="0,0,0,0" style="layout-flow:vertical">
              <w:txbxContent>
                <w:p>
                  <w:pPr>
                    <w:spacing w:before="27"/>
                    <w:ind w:left="20" w:right="0" w:firstLine="0"/>
                    <w:jc w:val="left"/>
                    <w:rPr>
                      <w:sz w:val="39"/>
                    </w:rPr>
                  </w:pPr>
                  <w:r>
                    <w:rPr>
                      <w:color w:val="FFFFFF"/>
                      <w:w w:val="120"/>
                      <w:sz w:val="39"/>
                    </w:rPr>
                    <w:t>Communications and editorial</w:t>
                  </w:r>
                </w:p>
              </w:txbxContent>
            </v:textbox>
            <w10:wrap type="none"/>
          </v:shape>
        </w:pict>
      </w:r>
    </w:p>
    <w:p>
      <w:pPr>
        <w:pStyle w:val="BodyText"/>
        <w:spacing w:before="7"/>
        <w:rPr>
          <w:sz w:val="21"/>
        </w:rPr>
      </w:pPr>
    </w:p>
    <w:p>
      <w:pPr>
        <w:pStyle w:val="Heading1"/>
        <w:ind w:left="547"/>
      </w:pPr>
      <w:bookmarkStart w:name="_TOC_250010" w:id="6"/>
      <w:bookmarkEnd w:id="6"/>
      <w:r>
        <w:rPr>
          <w:color w:val="7EAABF"/>
          <w:w w:val="115"/>
        </w:rPr>
        <w:t>Communications and editorial</w:t>
      </w:r>
    </w:p>
    <w:p>
      <w:pPr>
        <w:pStyle w:val="BodyText"/>
        <w:spacing w:line="235" w:lineRule="auto" w:before="222"/>
        <w:ind w:left="547" w:right="1899"/>
      </w:pPr>
      <w:r>
        <w:rPr>
          <w:w w:val="120"/>
        </w:rPr>
        <w:t>done by Ms Cathy Melia on the revision of </w:t>
      </w:r>
      <w:r>
        <w:rPr>
          <w:i/>
          <w:w w:val="120"/>
        </w:rPr>
        <w:t>The Manual</w:t>
      </w:r>
      <w:r>
        <w:rPr>
          <w:w w:val="120"/>
        </w:rPr>
        <w:t>. The committee and the Head of Department extend their warm thanks to them both.</w:t>
      </w:r>
    </w:p>
    <w:p>
      <w:pPr>
        <w:pStyle w:val="BodyText"/>
        <w:spacing w:before="9"/>
        <w:rPr>
          <w:sz w:val="19"/>
        </w:rPr>
      </w:pPr>
    </w:p>
    <w:p>
      <w:pPr>
        <w:pStyle w:val="ListParagraph"/>
        <w:numPr>
          <w:ilvl w:val="1"/>
          <w:numId w:val="47"/>
        </w:numPr>
        <w:tabs>
          <w:tab w:pos="1227" w:val="left" w:leader="none"/>
          <w:tab w:pos="1228" w:val="left" w:leader="none"/>
        </w:tabs>
        <w:spacing w:line="235" w:lineRule="auto" w:before="0" w:after="0"/>
        <w:ind w:left="547" w:right="2084" w:firstLine="0"/>
        <w:jc w:val="left"/>
        <w:rPr>
          <w:sz w:val="20"/>
        </w:rPr>
      </w:pPr>
      <w:r>
        <w:rPr>
          <w:w w:val="120"/>
          <w:sz w:val="20"/>
        </w:rPr>
        <w:t>We are delighted that work has been done to modernise the URC logo, making  it fit for purpose across all necessary media; it will be in use from Assembly </w:t>
      </w:r>
      <w:r>
        <w:rPr>
          <w:spacing w:val="-6"/>
          <w:w w:val="120"/>
          <w:sz w:val="20"/>
        </w:rPr>
        <w:t>2016. </w:t>
      </w:r>
      <w:r>
        <w:rPr>
          <w:w w:val="120"/>
          <w:sz w:val="20"/>
        </w:rPr>
        <w:t>The committee thanks the department’s graphic designers – Sara Foyle and Chris Andrews, for their work on the</w:t>
      </w:r>
      <w:r>
        <w:rPr>
          <w:spacing w:val="10"/>
          <w:w w:val="120"/>
          <w:sz w:val="20"/>
        </w:rPr>
        <w:t> </w:t>
      </w:r>
      <w:r>
        <w:rPr>
          <w:w w:val="120"/>
          <w:sz w:val="20"/>
        </w:rPr>
        <w:t>logo.</w:t>
      </w:r>
    </w:p>
    <w:p>
      <w:pPr>
        <w:pStyle w:val="BodyText"/>
        <w:spacing w:before="3"/>
        <w:rPr>
          <w:sz w:val="22"/>
        </w:rPr>
      </w:pPr>
    </w:p>
    <w:p>
      <w:pPr>
        <w:spacing w:before="0"/>
        <w:ind w:left="547" w:right="0" w:firstLine="0"/>
        <w:jc w:val="left"/>
        <w:rPr>
          <w:rFonts w:ascii="Stone Sans II ITC Std Bk"/>
          <w:b/>
          <w:sz w:val="29"/>
        </w:rPr>
      </w:pPr>
      <w:r>
        <w:rPr>
          <w:rFonts w:ascii="Stone Sans II ITC Std Bk"/>
          <w:b/>
          <w:w w:val="110"/>
          <w:sz w:val="29"/>
        </w:rPr>
        <w:t>The departmental review</w:t>
      </w:r>
    </w:p>
    <w:p>
      <w:pPr>
        <w:pStyle w:val="ListParagraph"/>
        <w:numPr>
          <w:ilvl w:val="1"/>
          <w:numId w:val="48"/>
        </w:numPr>
        <w:tabs>
          <w:tab w:pos="1227" w:val="left" w:leader="none"/>
          <w:tab w:pos="1228" w:val="left" w:leader="none"/>
        </w:tabs>
        <w:spacing w:line="235" w:lineRule="auto" w:before="70" w:after="0"/>
        <w:ind w:left="547" w:right="2247" w:firstLine="0"/>
        <w:jc w:val="left"/>
        <w:rPr>
          <w:sz w:val="20"/>
        </w:rPr>
      </w:pPr>
      <w:r>
        <w:rPr>
          <w:w w:val="120"/>
          <w:sz w:val="20"/>
        </w:rPr>
        <w:t>The departmental review, the subject of our </w:t>
      </w:r>
      <w:r>
        <w:rPr>
          <w:spacing w:val="2"/>
          <w:w w:val="120"/>
          <w:sz w:val="20"/>
        </w:rPr>
        <w:t>report </w:t>
      </w:r>
      <w:r>
        <w:rPr>
          <w:w w:val="120"/>
          <w:sz w:val="20"/>
        </w:rPr>
        <w:t>to General Assembly </w:t>
      </w:r>
      <w:r>
        <w:rPr>
          <w:spacing w:val="-7"/>
          <w:w w:val="120"/>
          <w:sz w:val="20"/>
        </w:rPr>
        <w:t>2014, </w:t>
      </w:r>
      <w:r>
        <w:rPr>
          <w:w w:val="120"/>
          <w:sz w:val="20"/>
        </w:rPr>
        <w:t>concluded in summer</w:t>
      </w:r>
      <w:r>
        <w:rPr>
          <w:spacing w:val="7"/>
          <w:w w:val="120"/>
          <w:sz w:val="20"/>
        </w:rPr>
        <w:t> </w:t>
      </w:r>
      <w:r>
        <w:rPr>
          <w:spacing w:val="-7"/>
          <w:w w:val="120"/>
          <w:sz w:val="20"/>
        </w:rPr>
        <w:t>2015.</w:t>
      </w:r>
    </w:p>
    <w:p>
      <w:pPr>
        <w:pStyle w:val="BodyText"/>
        <w:spacing w:before="9"/>
        <w:rPr>
          <w:sz w:val="19"/>
        </w:rPr>
      </w:pPr>
    </w:p>
    <w:p>
      <w:pPr>
        <w:pStyle w:val="ListParagraph"/>
        <w:numPr>
          <w:ilvl w:val="1"/>
          <w:numId w:val="48"/>
        </w:numPr>
        <w:tabs>
          <w:tab w:pos="1227" w:val="left" w:leader="none"/>
          <w:tab w:pos="1228" w:val="left" w:leader="none"/>
        </w:tabs>
        <w:spacing w:line="235" w:lineRule="auto" w:before="0" w:after="0"/>
        <w:ind w:left="547" w:right="1994" w:firstLine="0"/>
        <w:jc w:val="left"/>
        <w:rPr>
          <w:sz w:val="20"/>
        </w:rPr>
      </w:pPr>
      <w:r>
        <w:rPr>
          <w:w w:val="120"/>
          <w:sz w:val="20"/>
        </w:rPr>
        <w:t>The review of the communications department October </w:t>
      </w:r>
      <w:r>
        <w:rPr>
          <w:spacing w:val="-8"/>
          <w:w w:val="120"/>
          <w:sz w:val="20"/>
        </w:rPr>
        <w:t>2013  </w:t>
      </w:r>
      <w:r>
        <w:rPr>
          <w:w w:val="120"/>
          <w:sz w:val="20"/>
        </w:rPr>
        <w:t>– July </w:t>
      </w:r>
      <w:r>
        <w:rPr>
          <w:spacing w:val="-7"/>
          <w:w w:val="120"/>
          <w:sz w:val="20"/>
        </w:rPr>
        <w:t>2015 </w:t>
      </w:r>
      <w:r>
        <w:rPr>
          <w:w w:val="120"/>
          <w:sz w:val="20"/>
        </w:rPr>
        <w:t>was </w:t>
      </w:r>
      <w:r>
        <w:rPr>
          <w:spacing w:val="2"/>
          <w:w w:val="120"/>
          <w:sz w:val="20"/>
        </w:rPr>
        <w:t>part </w:t>
      </w:r>
      <w:r>
        <w:rPr>
          <w:w w:val="120"/>
          <w:sz w:val="20"/>
        </w:rPr>
        <w:t>of the business of Mission Council in November </w:t>
      </w:r>
      <w:r>
        <w:rPr>
          <w:spacing w:val="-7"/>
          <w:w w:val="120"/>
          <w:sz w:val="20"/>
        </w:rPr>
        <w:t>2015 </w:t>
      </w:r>
      <w:r>
        <w:rPr>
          <w:w w:val="120"/>
          <w:sz w:val="20"/>
        </w:rPr>
        <w:t>and is available to read online at</w:t>
      </w:r>
      <w:r>
        <w:rPr>
          <w:spacing w:val="2"/>
          <w:w w:val="120"/>
          <w:sz w:val="20"/>
        </w:rPr>
        <w:t> </w:t>
      </w:r>
      <w:hyperlink r:id="rId213">
        <w:r>
          <w:rPr>
            <w:color w:val="006AB3"/>
            <w:spacing w:val="-4"/>
            <w:w w:val="120"/>
            <w:sz w:val="20"/>
          </w:rPr>
          <w:t>http://bit.ly/1S4vZHe</w:t>
        </w:r>
      </w:hyperlink>
    </w:p>
    <w:p>
      <w:pPr>
        <w:pStyle w:val="BodyText"/>
        <w:spacing w:before="3"/>
        <w:rPr>
          <w:sz w:val="22"/>
        </w:rPr>
      </w:pPr>
    </w:p>
    <w:p>
      <w:pPr>
        <w:spacing w:before="0"/>
        <w:ind w:left="547" w:right="0" w:firstLine="0"/>
        <w:jc w:val="left"/>
        <w:rPr>
          <w:rFonts w:ascii="Stone Sans II ITC Std Bk"/>
          <w:b/>
          <w:sz w:val="29"/>
        </w:rPr>
      </w:pPr>
      <w:r>
        <w:rPr>
          <w:rFonts w:ascii="Stone Sans II ITC Std Bk"/>
          <w:b/>
          <w:w w:val="110"/>
          <w:sz w:val="29"/>
        </w:rPr>
        <w:t>Staffing</w:t>
      </w:r>
    </w:p>
    <w:p>
      <w:pPr>
        <w:pStyle w:val="ListParagraph"/>
        <w:numPr>
          <w:ilvl w:val="1"/>
          <w:numId w:val="49"/>
        </w:numPr>
        <w:tabs>
          <w:tab w:pos="1227" w:val="left" w:leader="none"/>
          <w:tab w:pos="1228" w:val="left" w:leader="none"/>
        </w:tabs>
        <w:spacing w:line="235" w:lineRule="auto" w:before="69" w:after="0"/>
        <w:ind w:left="547" w:right="2246" w:firstLine="0"/>
        <w:jc w:val="left"/>
        <w:rPr>
          <w:sz w:val="20"/>
        </w:rPr>
      </w:pPr>
      <w:r>
        <w:rPr>
          <w:w w:val="120"/>
          <w:sz w:val="20"/>
        </w:rPr>
        <w:t>After a period of stability in the staffing of the department the last </w:t>
      </w:r>
      <w:r>
        <w:rPr>
          <w:spacing w:val="-9"/>
          <w:w w:val="120"/>
          <w:sz w:val="20"/>
        </w:rPr>
        <w:t>12 </w:t>
      </w:r>
      <w:r>
        <w:rPr>
          <w:w w:val="120"/>
          <w:sz w:val="20"/>
        </w:rPr>
        <w:t>months have been a time of great change. For a variety of reasons five members of the team have </w:t>
      </w:r>
      <w:r>
        <w:rPr>
          <w:spacing w:val="2"/>
          <w:w w:val="120"/>
          <w:sz w:val="20"/>
        </w:rPr>
        <w:t>left, </w:t>
      </w:r>
      <w:r>
        <w:rPr>
          <w:w w:val="120"/>
          <w:sz w:val="20"/>
        </w:rPr>
        <w:t>three new staff members have been recruited and, at the time of writing, we are recruiting two new staff members. Despite this significant turnover of staff</w:t>
      </w:r>
      <w:r>
        <w:rPr>
          <w:spacing w:val="-9"/>
          <w:w w:val="120"/>
          <w:sz w:val="20"/>
        </w:rPr>
        <w:t> </w:t>
      </w:r>
      <w:r>
        <w:rPr>
          <w:w w:val="120"/>
          <w:sz w:val="20"/>
        </w:rPr>
        <w:t>the</w:t>
      </w:r>
    </w:p>
    <w:p>
      <w:pPr>
        <w:pStyle w:val="BodyText"/>
        <w:spacing w:line="243" w:lineRule="exact"/>
        <w:ind w:left="547"/>
      </w:pPr>
      <w:r>
        <w:rPr>
          <w:w w:val="120"/>
        </w:rPr>
        <w:t>human resources office is content that there are no underlying personnel issues at play.</w:t>
      </w:r>
    </w:p>
    <w:p>
      <w:pPr>
        <w:pStyle w:val="BodyText"/>
        <w:spacing w:before="7"/>
        <w:rPr>
          <w:sz w:val="19"/>
        </w:rPr>
      </w:pPr>
    </w:p>
    <w:p>
      <w:pPr>
        <w:pStyle w:val="ListParagraph"/>
        <w:numPr>
          <w:ilvl w:val="1"/>
          <w:numId w:val="49"/>
        </w:numPr>
        <w:tabs>
          <w:tab w:pos="1227" w:val="left" w:leader="none"/>
          <w:tab w:pos="1228" w:val="left" w:leader="none"/>
        </w:tabs>
        <w:spacing w:line="235" w:lineRule="auto" w:before="0" w:after="0"/>
        <w:ind w:left="547" w:right="2642" w:firstLine="0"/>
        <w:jc w:val="left"/>
        <w:rPr>
          <w:sz w:val="20"/>
        </w:rPr>
      </w:pPr>
      <w:r>
        <w:rPr>
          <w:w w:val="120"/>
          <w:sz w:val="20"/>
        </w:rPr>
        <w:t>The committee thanks all departmental staff, past and present, for their contribution to the communications work of the Church. Particular mention must be made of Tina King, who served the Church with unstinting cheerfulness and professionalism, for </w:t>
      </w:r>
      <w:r>
        <w:rPr>
          <w:spacing w:val="-12"/>
          <w:w w:val="120"/>
          <w:sz w:val="20"/>
        </w:rPr>
        <w:t>17</w:t>
      </w:r>
      <w:r>
        <w:rPr>
          <w:spacing w:val="4"/>
          <w:w w:val="120"/>
          <w:sz w:val="20"/>
        </w:rPr>
        <w:t> </w:t>
      </w:r>
      <w:r>
        <w:rPr>
          <w:w w:val="120"/>
          <w:sz w:val="20"/>
        </w:rPr>
        <w:t>years.</w:t>
      </w:r>
    </w:p>
    <w:p>
      <w:pPr>
        <w:pStyle w:val="BodyText"/>
        <w:spacing w:before="4"/>
        <w:rPr>
          <w:sz w:val="22"/>
        </w:rPr>
      </w:pPr>
    </w:p>
    <w:p>
      <w:pPr>
        <w:spacing w:before="0"/>
        <w:ind w:left="547" w:right="0" w:firstLine="0"/>
        <w:jc w:val="left"/>
        <w:rPr>
          <w:rFonts w:ascii="Stone Sans II ITC Std Bk"/>
          <w:b/>
          <w:sz w:val="29"/>
        </w:rPr>
      </w:pPr>
      <w:r>
        <w:rPr>
          <w:rFonts w:ascii="Stone Sans II ITC Std Bk"/>
          <w:b/>
          <w:w w:val="110"/>
          <w:sz w:val="29"/>
        </w:rPr>
        <w:t>Renaming the committee</w:t>
      </w:r>
    </w:p>
    <w:p>
      <w:pPr>
        <w:pStyle w:val="BodyText"/>
        <w:tabs>
          <w:tab w:pos="1239" w:val="left" w:leader="none"/>
        </w:tabs>
        <w:spacing w:line="235" w:lineRule="auto" w:before="69"/>
        <w:ind w:left="547" w:right="2364"/>
      </w:pPr>
      <w:r>
        <w:rPr>
          <w:spacing w:val="-8"/>
          <w:w w:val="120"/>
        </w:rPr>
        <w:t>4.1</w:t>
        <w:tab/>
      </w:r>
      <w:r>
        <w:rPr>
          <w:w w:val="120"/>
        </w:rPr>
        <w:t>This committee now wishes to be known as the communications committee. The existing name is cumbersome and we believe that this change brings the committee name – and that of the department – in line with our peer organisations. We believe that the editorial aspects of our diverse brief are covered by the single title</w:t>
      </w:r>
      <w:r>
        <w:rPr>
          <w:spacing w:val="2"/>
          <w:w w:val="120"/>
        </w:rPr>
        <w:t> </w:t>
      </w:r>
      <w:r>
        <w:rPr>
          <w:spacing w:val="-3"/>
          <w:w w:val="120"/>
        </w:rPr>
        <w:t>‘communications’.</w:t>
      </w:r>
    </w:p>
    <w:p>
      <w:pPr>
        <w:pStyle w:val="BodyText"/>
        <w:spacing w:before="4"/>
        <w:rPr>
          <w:sz w:val="22"/>
        </w:rPr>
      </w:pPr>
    </w:p>
    <w:p>
      <w:pPr>
        <w:spacing w:before="0"/>
        <w:ind w:left="547" w:right="0" w:firstLine="0"/>
        <w:jc w:val="left"/>
        <w:rPr>
          <w:rFonts w:ascii="Stone Sans II ITC Std Bk"/>
          <w:b/>
          <w:sz w:val="29"/>
        </w:rPr>
      </w:pPr>
      <w:r>
        <w:rPr>
          <w:rFonts w:ascii="Stone Sans II ITC Std Bk"/>
          <w:b/>
          <w:w w:val="110"/>
          <w:sz w:val="29"/>
        </w:rPr>
        <w:t>Resourcing the church</w:t>
      </w:r>
    </w:p>
    <w:p>
      <w:pPr>
        <w:pStyle w:val="ListParagraph"/>
        <w:numPr>
          <w:ilvl w:val="1"/>
          <w:numId w:val="50"/>
        </w:numPr>
        <w:tabs>
          <w:tab w:pos="1227" w:val="left" w:leader="none"/>
          <w:tab w:pos="1228" w:val="left" w:leader="none"/>
        </w:tabs>
        <w:spacing w:line="235" w:lineRule="auto" w:before="69" w:after="0"/>
        <w:ind w:left="547" w:right="2115" w:firstLine="0"/>
        <w:jc w:val="left"/>
        <w:rPr>
          <w:sz w:val="20"/>
        </w:rPr>
      </w:pPr>
      <w:r>
        <w:rPr>
          <w:w w:val="120"/>
          <w:sz w:val="20"/>
        </w:rPr>
        <w:t>Resourcing the local churches, a key aim and </w:t>
      </w:r>
      <w:r>
        <w:rPr>
          <w:spacing w:val="2"/>
          <w:w w:val="120"/>
          <w:sz w:val="20"/>
        </w:rPr>
        <w:t>part </w:t>
      </w:r>
      <w:r>
        <w:rPr>
          <w:w w:val="120"/>
          <w:sz w:val="20"/>
        </w:rPr>
        <w:t>of our Mission Statement (printed at the top of page </w:t>
      </w:r>
      <w:r>
        <w:rPr>
          <w:spacing w:val="-10"/>
          <w:w w:val="120"/>
          <w:sz w:val="20"/>
        </w:rPr>
        <w:t>61) </w:t>
      </w:r>
      <w:r>
        <w:rPr>
          <w:w w:val="120"/>
          <w:sz w:val="20"/>
        </w:rPr>
        <w:t>informs much of the work we do. It is our hope that our commitment to resourcing the church is clear across all sections of the report, but we have highlighted six areas of work that are not expressly picked up</w:t>
      </w:r>
      <w:r>
        <w:rPr>
          <w:spacing w:val="24"/>
          <w:w w:val="120"/>
          <w:sz w:val="20"/>
        </w:rPr>
        <w:t> </w:t>
      </w:r>
      <w:r>
        <w:rPr>
          <w:w w:val="120"/>
          <w:sz w:val="20"/>
        </w:rPr>
        <w:t>elsewhere.</w:t>
      </w:r>
    </w:p>
    <w:p>
      <w:pPr>
        <w:pStyle w:val="BodyText"/>
        <w:spacing w:before="11"/>
        <w:rPr>
          <w:sz w:val="19"/>
        </w:rPr>
      </w:pPr>
    </w:p>
    <w:p>
      <w:pPr>
        <w:pStyle w:val="ListParagraph"/>
        <w:numPr>
          <w:ilvl w:val="1"/>
          <w:numId w:val="50"/>
        </w:numPr>
        <w:tabs>
          <w:tab w:pos="1227" w:val="left" w:leader="none"/>
          <w:tab w:pos="1228" w:val="left" w:leader="none"/>
        </w:tabs>
        <w:spacing w:line="235" w:lineRule="auto" w:before="0" w:after="0"/>
        <w:ind w:left="547" w:right="2110" w:firstLine="0"/>
        <w:jc w:val="left"/>
        <w:rPr>
          <w:sz w:val="20"/>
        </w:rPr>
      </w:pPr>
      <w:r>
        <w:rPr>
          <w:w w:val="120"/>
          <w:sz w:val="20"/>
        </w:rPr>
        <w:t>Developed from the communications training led by Gill Nichol is a growing series of information booklets on several aspects of church communications including </w:t>
      </w:r>
      <w:r>
        <w:rPr>
          <w:i/>
          <w:w w:val="120"/>
          <w:sz w:val="20"/>
        </w:rPr>
        <w:t>Church</w:t>
      </w:r>
      <w:r>
        <w:rPr>
          <w:i/>
          <w:spacing w:val="-18"/>
          <w:w w:val="120"/>
          <w:sz w:val="20"/>
        </w:rPr>
        <w:t> </w:t>
      </w:r>
      <w:r>
        <w:rPr>
          <w:i/>
          <w:w w:val="120"/>
          <w:sz w:val="20"/>
        </w:rPr>
        <w:t>print</w:t>
      </w:r>
      <w:r>
        <w:rPr>
          <w:i/>
          <w:spacing w:val="-18"/>
          <w:w w:val="120"/>
          <w:sz w:val="20"/>
        </w:rPr>
        <w:t> </w:t>
      </w:r>
      <w:r>
        <w:rPr>
          <w:i/>
          <w:w w:val="120"/>
          <w:sz w:val="20"/>
        </w:rPr>
        <w:t>and</w:t>
      </w:r>
      <w:r>
        <w:rPr>
          <w:i/>
          <w:spacing w:val="-17"/>
          <w:w w:val="120"/>
          <w:sz w:val="20"/>
        </w:rPr>
        <w:t> </w:t>
      </w:r>
      <w:r>
        <w:rPr>
          <w:i/>
          <w:w w:val="120"/>
          <w:sz w:val="20"/>
        </w:rPr>
        <w:t>publications</w:t>
      </w:r>
      <w:r>
        <w:rPr>
          <w:i/>
          <w:spacing w:val="-18"/>
          <w:w w:val="120"/>
          <w:sz w:val="20"/>
        </w:rPr>
        <w:t> </w:t>
      </w:r>
      <w:r>
        <w:rPr>
          <w:w w:val="120"/>
          <w:sz w:val="20"/>
        </w:rPr>
        <w:t>and</w:t>
      </w:r>
      <w:r>
        <w:rPr>
          <w:spacing w:val="-15"/>
          <w:w w:val="120"/>
          <w:sz w:val="20"/>
        </w:rPr>
        <w:t> </w:t>
      </w:r>
      <w:r>
        <w:rPr>
          <w:i/>
          <w:w w:val="120"/>
          <w:sz w:val="20"/>
        </w:rPr>
        <w:t>Dealing</w:t>
      </w:r>
      <w:r>
        <w:rPr>
          <w:i/>
          <w:spacing w:val="-17"/>
          <w:w w:val="120"/>
          <w:sz w:val="20"/>
        </w:rPr>
        <w:t> </w:t>
      </w:r>
      <w:r>
        <w:rPr>
          <w:i/>
          <w:w w:val="120"/>
          <w:sz w:val="20"/>
        </w:rPr>
        <w:t>with</w:t>
      </w:r>
      <w:r>
        <w:rPr>
          <w:i/>
          <w:spacing w:val="-18"/>
          <w:w w:val="120"/>
          <w:sz w:val="20"/>
        </w:rPr>
        <w:t> </w:t>
      </w:r>
      <w:r>
        <w:rPr>
          <w:i/>
          <w:w w:val="120"/>
          <w:sz w:val="20"/>
        </w:rPr>
        <w:t>the</w:t>
      </w:r>
      <w:r>
        <w:rPr>
          <w:i/>
          <w:spacing w:val="-18"/>
          <w:w w:val="120"/>
          <w:sz w:val="20"/>
        </w:rPr>
        <w:t> </w:t>
      </w:r>
      <w:r>
        <w:rPr>
          <w:i/>
          <w:w w:val="120"/>
          <w:sz w:val="20"/>
        </w:rPr>
        <w:t>media</w:t>
      </w:r>
      <w:r>
        <w:rPr>
          <w:w w:val="120"/>
          <w:sz w:val="20"/>
        </w:rPr>
        <w:t>.</w:t>
      </w:r>
      <w:r>
        <w:rPr>
          <w:spacing w:val="-15"/>
          <w:w w:val="120"/>
          <w:sz w:val="20"/>
        </w:rPr>
        <w:t> </w:t>
      </w:r>
      <w:r>
        <w:rPr>
          <w:w w:val="120"/>
          <w:sz w:val="20"/>
        </w:rPr>
        <w:t>Written</w:t>
      </w:r>
      <w:r>
        <w:rPr>
          <w:spacing w:val="-15"/>
          <w:w w:val="120"/>
          <w:sz w:val="20"/>
        </w:rPr>
        <w:t> </w:t>
      </w:r>
      <w:r>
        <w:rPr>
          <w:w w:val="120"/>
          <w:sz w:val="20"/>
        </w:rPr>
        <w:t>as</w:t>
      </w:r>
      <w:r>
        <w:rPr>
          <w:spacing w:val="-16"/>
          <w:w w:val="120"/>
          <w:sz w:val="20"/>
        </w:rPr>
        <w:t> </w:t>
      </w:r>
      <w:r>
        <w:rPr>
          <w:w w:val="120"/>
          <w:sz w:val="20"/>
        </w:rPr>
        <w:t>training</w:t>
      </w:r>
      <w:r>
        <w:rPr>
          <w:spacing w:val="-15"/>
          <w:w w:val="120"/>
          <w:sz w:val="20"/>
        </w:rPr>
        <w:t> </w:t>
      </w:r>
      <w:r>
        <w:rPr>
          <w:w w:val="120"/>
          <w:sz w:val="20"/>
        </w:rPr>
        <w:t>resources, they are also available to buy via the online store. We are pleased with both the quality and range of these</w:t>
      </w:r>
      <w:r>
        <w:rPr>
          <w:spacing w:val="8"/>
          <w:w w:val="120"/>
          <w:sz w:val="20"/>
        </w:rPr>
        <w:t> </w:t>
      </w:r>
      <w:r>
        <w:rPr>
          <w:w w:val="120"/>
          <w:sz w:val="20"/>
        </w:rPr>
        <w:t>booklets.</w:t>
      </w:r>
    </w:p>
    <w:p>
      <w:pPr>
        <w:pStyle w:val="BodyText"/>
        <w:spacing w:before="12"/>
        <w:rPr>
          <w:sz w:val="19"/>
        </w:rPr>
      </w:pPr>
    </w:p>
    <w:p>
      <w:pPr>
        <w:pStyle w:val="ListParagraph"/>
        <w:numPr>
          <w:ilvl w:val="1"/>
          <w:numId w:val="50"/>
        </w:numPr>
        <w:tabs>
          <w:tab w:pos="1227" w:val="left" w:leader="none"/>
          <w:tab w:pos="1228" w:val="left" w:leader="none"/>
        </w:tabs>
        <w:spacing w:line="235" w:lineRule="auto" w:before="0" w:after="0"/>
        <w:ind w:left="547" w:right="2059" w:firstLine="0"/>
        <w:jc w:val="left"/>
        <w:rPr>
          <w:sz w:val="20"/>
        </w:rPr>
      </w:pPr>
      <w:r>
        <w:rPr>
          <w:w w:val="120"/>
          <w:sz w:val="20"/>
        </w:rPr>
        <w:t>In autumn </w:t>
      </w:r>
      <w:r>
        <w:rPr>
          <w:spacing w:val="-7"/>
          <w:w w:val="120"/>
          <w:sz w:val="20"/>
        </w:rPr>
        <w:t>2015 </w:t>
      </w:r>
      <w:r>
        <w:rPr>
          <w:w w:val="120"/>
          <w:sz w:val="20"/>
        </w:rPr>
        <w:t>the publications office became aware that </w:t>
      </w:r>
      <w:r>
        <w:rPr>
          <w:i/>
          <w:w w:val="120"/>
          <w:sz w:val="20"/>
        </w:rPr>
        <w:t>Rejoice &amp; Sing </w:t>
      </w:r>
      <w:r>
        <w:rPr>
          <w:w w:val="120"/>
          <w:sz w:val="20"/>
        </w:rPr>
        <w:t>will soon be out of print. The publishers – Oxford University Press – do not intend to   reprint when the current low stocks are sold. In the light of this, the committee has been asked to examine the viability of the denomination having its own printed hymnbook and it has recently started to look into this. The committee plans to bring its recommendations to Mission Council in October</w:t>
      </w:r>
      <w:r>
        <w:rPr>
          <w:spacing w:val="18"/>
          <w:w w:val="120"/>
          <w:sz w:val="20"/>
        </w:rPr>
        <w:t> </w:t>
      </w:r>
      <w:r>
        <w:rPr>
          <w:spacing w:val="-6"/>
          <w:w w:val="120"/>
          <w:sz w:val="20"/>
        </w:rPr>
        <w:t>2016.</w:t>
      </w:r>
    </w:p>
    <w:p>
      <w:pPr>
        <w:spacing w:after="0" w:line="235" w:lineRule="auto"/>
        <w:jc w:val="left"/>
        <w:rPr>
          <w:sz w:val="20"/>
        </w:rPr>
        <w:sectPr>
          <w:headerReference w:type="even" r:id="rId212"/>
          <w:pgSz w:w="11910" w:h="16840"/>
          <w:pgMar w:header="0" w:footer="647" w:top="0" w:bottom="840" w:left="700" w:right="0"/>
        </w:sectPr>
      </w:pPr>
    </w:p>
    <w:p>
      <w:pPr>
        <w:pStyle w:val="BodyText"/>
      </w:pPr>
      <w:r>
        <w:rPr/>
        <w:drawing>
          <wp:anchor distT="0" distB="0" distL="0" distR="0" allowOverlap="1" layoutInCell="1" locked="0" behindDoc="0" simplePos="0" relativeHeight="251821056">
            <wp:simplePos x="0" y="0"/>
            <wp:positionH relativeFrom="page">
              <wp:posOffset>6974928</wp:posOffset>
            </wp:positionH>
            <wp:positionV relativeFrom="page">
              <wp:posOffset>0</wp:posOffset>
            </wp:positionV>
            <wp:extent cx="585063" cy="10692003"/>
            <wp:effectExtent l="0" t="0" r="0" b="0"/>
            <wp:wrapNone/>
            <wp:docPr id="111" name="image54.png"/>
            <wp:cNvGraphicFramePr>
              <a:graphicFrameLocks noChangeAspect="1"/>
            </wp:cNvGraphicFramePr>
            <a:graphic>
              <a:graphicData uri="http://schemas.openxmlformats.org/drawingml/2006/picture">
                <pic:pic>
                  <pic:nvPicPr>
                    <pic:cNvPr id="112" name="image54.png"/>
                    <pic:cNvPicPr/>
                  </pic:nvPicPr>
                  <pic:blipFill>
                    <a:blip r:embed="rId169" cstate="print"/>
                    <a:stretch>
                      <a:fillRect/>
                    </a:stretch>
                  </pic:blipFill>
                  <pic:spPr>
                    <a:xfrm>
                      <a:off x="0" y="0"/>
                      <a:ext cx="585063" cy="10692003"/>
                    </a:xfrm>
                    <a:prstGeom prst="rect">
                      <a:avLst/>
                    </a:prstGeom>
                  </pic:spPr>
                </pic:pic>
              </a:graphicData>
            </a:graphic>
          </wp:anchor>
        </w:drawing>
      </w:r>
    </w:p>
    <w:p>
      <w:pPr>
        <w:pStyle w:val="BodyText"/>
        <w:spacing w:before="7"/>
        <w:rPr>
          <w:sz w:val="21"/>
        </w:rPr>
      </w:pPr>
    </w:p>
    <w:p>
      <w:pPr>
        <w:spacing w:before="106"/>
        <w:ind w:left="6249" w:right="0" w:firstLine="0"/>
        <w:jc w:val="left"/>
        <w:rPr>
          <w:sz w:val="26"/>
        </w:rPr>
      </w:pPr>
      <w:r>
        <w:rPr/>
        <w:pict>
          <v:shape style="position:absolute;margin-left:554.141174pt;margin-top:22.593945pt;width:25.9pt;height:308.850pt;mso-position-horizontal-relative:page;mso-position-vertical-relative:paragraph;z-index:251822080" type="#_x0000_t202" filled="false" stroked="false">
            <v:textbox inset="0,0,0,0" style="layout-flow:vertical">
              <w:txbxContent>
                <w:p>
                  <w:pPr>
                    <w:spacing w:before="27"/>
                    <w:ind w:left="20" w:right="0" w:firstLine="0"/>
                    <w:jc w:val="left"/>
                    <w:rPr>
                      <w:sz w:val="39"/>
                    </w:rPr>
                  </w:pPr>
                  <w:r>
                    <w:rPr>
                      <w:color w:val="FFFFFF"/>
                      <w:w w:val="120"/>
                      <w:sz w:val="39"/>
                    </w:rPr>
                    <w:t>Communications and editorial</w:t>
                  </w:r>
                </w:p>
              </w:txbxContent>
            </v:textbox>
            <w10:wrap type="none"/>
          </v:shape>
        </w:pict>
      </w:r>
      <w:r>
        <w:rPr>
          <w:color w:val="7EAABF"/>
          <w:w w:val="115"/>
          <w:sz w:val="26"/>
        </w:rPr>
        <w:t>Communications and editorial</w:t>
      </w:r>
    </w:p>
    <w:p>
      <w:pPr>
        <w:pStyle w:val="ListParagraph"/>
        <w:numPr>
          <w:ilvl w:val="1"/>
          <w:numId w:val="50"/>
        </w:numPr>
        <w:tabs>
          <w:tab w:pos="1964" w:val="left" w:leader="none"/>
          <w:tab w:pos="1965" w:val="left" w:leader="none"/>
        </w:tabs>
        <w:spacing w:line="235" w:lineRule="auto" w:before="222" w:after="0"/>
        <w:ind w:left="1284" w:right="1799" w:firstLine="0"/>
        <w:jc w:val="left"/>
        <w:rPr>
          <w:sz w:val="20"/>
        </w:rPr>
      </w:pPr>
      <w:r>
        <w:rPr>
          <w:w w:val="120"/>
          <w:sz w:val="20"/>
        </w:rPr>
        <w:t>The committee fully supports iChurch, the out-of-the-box United Reformed Church website solution developed by the Windermere Centre. iChurch is built    on the Wordpress blogging software and provides an easy-to-use,</w:t>
      </w:r>
      <w:r>
        <w:rPr>
          <w:spacing w:val="48"/>
          <w:w w:val="120"/>
          <w:sz w:val="20"/>
        </w:rPr>
        <w:t> </w:t>
      </w:r>
      <w:r>
        <w:rPr>
          <w:w w:val="120"/>
          <w:sz w:val="20"/>
        </w:rPr>
        <w:t>cost-effective,</w:t>
      </w:r>
    </w:p>
    <w:p>
      <w:pPr>
        <w:pStyle w:val="BodyText"/>
        <w:spacing w:line="235" w:lineRule="auto" w:before="2"/>
        <w:ind w:left="1284" w:right="1529"/>
      </w:pPr>
      <w:r>
        <w:rPr>
          <w:w w:val="120"/>
        </w:rPr>
        <w:t>supported and flexible web solution. We commend its use to local churches, affiliated church groups and the synods. For more information please see the report from</w:t>
      </w:r>
    </w:p>
    <w:p>
      <w:pPr>
        <w:pStyle w:val="BodyText"/>
        <w:spacing w:line="235" w:lineRule="auto" w:before="1"/>
        <w:ind w:left="1284" w:right="1899"/>
      </w:pPr>
      <w:r>
        <w:rPr>
          <w:w w:val="120"/>
        </w:rPr>
        <w:t>the Windermere Centre on pages 75-77 and/or contact Rebecca Gudgeon at the Windermere Centre at </w:t>
      </w:r>
      <w:hyperlink r:id="rId217">
        <w:r>
          <w:rPr>
            <w:color w:val="006AB3"/>
            <w:w w:val="120"/>
          </w:rPr>
          <w:t>rebecca.wincen@gmail.com</w:t>
        </w:r>
      </w:hyperlink>
      <w:r>
        <w:rPr>
          <w:w w:val="120"/>
        </w:rPr>
        <w:t>.</w:t>
      </w:r>
    </w:p>
    <w:p>
      <w:pPr>
        <w:pStyle w:val="BodyText"/>
        <w:spacing w:before="10"/>
        <w:rPr>
          <w:sz w:val="19"/>
        </w:rPr>
      </w:pPr>
    </w:p>
    <w:p>
      <w:pPr>
        <w:pStyle w:val="ListParagraph"/>
        <w:numPr>
          <w:ilvl w:val="1"/>
          <w:numId w:val="50"/>
        </w:numPr>
        <w:tabs>
          <w:tab w:pos="1964" w:val="left" w:leader="none"/>
          <w:tab w:pos="1965" w:val="left" w:leader="none"/>
        </w:tabs>
        <w:spacing w:line="235" w:lineRule="auto" w:before="0" w:after="0"/>
        <w:ind w:left="1284" w:right="1572" w:firstLine="0"/>
        <w:jc w:val="left"/>
        <w:rPr>
          <w:sz w:val="20"/>
        </w:rPr>
      </w:pPr>
      <w:r>
        <w:rPr>
          <w:w w:val="120"/>
          <w:sz w:val="20"/>
        </w:rPr>
        <w:t>The</w:t>
      </w:r>
      <w:r>
        <w:rPr>
          <w:spacing w:val="-6"/>
          <w:w w:val="120"/>
          <w:sz w:val="20"/>
        </w:rPr>
        <w:t> </w:t>
      </w:r>
      <w:r>
        <w:rPr>
          <w:i/>
          <w:w w:val="120"/>
          <w:sz w:val="20"/>
        </w:rPr>
        <w:t>Social</w:t>
      </w:r>
      <w:r>
        <w:rPr>
          <w:i/>
          <w:spacing w:val="-8"/>
          <w:w w:val="120"/>
          <w:sz w:val="20"/>
        </w:rPr>
        <w:t> </w:t>
      </w:r>
      <w:r>
        <w:rPr>
          <w:i/>
          <w:w w:val="120"/>
          <w:sz w:val="20"/>
        </w:rPr>
        <w:t>Media</w:t>
      </w:r>
      <w:r>
        <w:rPr>
          <w:i/>
          <w:spacing w:val="-8"/>
          <w:w w:val="120"/>
          <w:sz w:val="20"/>
        </w:rPr>
        <w:t> </w:t>
      </w:r>
      <w:r>
        <w:rPr>
          <w:i/>
          <w:w w:val="120"/>
          <w:sz w:val="20"/>
        </w:rPr>
        <w:t>Guidelines</w:t>
      </w:r>
      <w:r>
        <w:rPr>
          <w:i/>
          <w:spacing w:val="-6"/>
          <w:w w:val="120"/>
          <w:sz w:val="20"/>
        </w:rPr>
        <w:t> </w:t>
      </w:r>
      <w:r>
        <w:rPr>
          <w:w w:val="120"/>
          <w:sz w:val="20"/>
        </w:rPr>
        <w:t>were</w:t>
      </w:r>
      <w:r>
        <w:rPr>
          <w:spacing w:val="-6"/>
          <w:w w:val="120"/>
          <w:sz w:val="20"/>
        </w:rPr>
        <w:t> </w:t>
      </w:r>
      <w:r>
        <w:rPr>
          <w:w w:val="120"/>
          <w:sz w:val="20"/>
        </w:rPr>
        <w:t>written</w:t>
      </w:r>
      <w:r>
        <w:rPr>
          <w:spacing w:val="-5"/>
          <w:w w:val="120"/>
          <w:sz w:val="20"/>
        </w:rPr>
        <w:t> </w:t>
      </w:r>
      <w:r>
        <w:rPr>
          <w:w w:val="120"/>
          <w:sz w:val="20"/>
        </w:rPr>
        <w:t>in</w:t>
      </w:r>
      <w:r>
        <w:rPr>
          <w:spacing w:val="-6"/>
          <w:w w:val="120"/>
          <w:sz w:val="20"/>
        </w:rPr>
        <w:t> </w:t>
      </w:r>
      <w:r>
        <w:rPr>
          <w:spacing w:val="-7"/>
          <w:w w:val="120"/>
          <w:sz w:val="20"/>
        </w:rPr>
        <w:t>2014,</w:t>
      </w:r>
      <w:r>
        <w:rPr>
          <w:spacing w:val="-5"/>
          <w:w w:val="120"/>
          <w:sz w:val="20"/>
        </w:rPr>
        <w:t> </w:t>
      </w:r>
      <w:r>
        <w:rPr>
          <w:w w:val="120"/>
          <w:sz w:val="20"/>
        </w:rPr>
        <w:t>ratified</w:t>
      </w:r>
      <w:r>
        <w:rPr>
          <w:spacing w:val="-6"/>
          <w:w w:val="120"/>
          <w:sz w:val="20"/>
        </w:rPr>
        <w:t> </w:t>
      </w:r>
      <w:r>
        <w:rPr>
          <w:w w:val="120"/>
          <w:sz w:val="20"/>
        </w:rPr>
        <w:t>by</w:t>
      </w:r>
      <w:r>
        <w:rPr>
          <w:spacing w:val="-5"/>
          <w:w w:val="120"/>
          <w:sz w:val="20"/>
        </w:rPr>
        <w:t> </w:t>
      </w:r>
      <w:r>
        <w:rPr>
          <w:w w:val="120"/>
          <w:sz w:val="20"/>
        </w:rPr>
        <w:t>Mission</w:t>
      </w:r>
      <w:r>
        <w:rPr>
          <w:spacing w:val="-6"/>
          <w:w w:val="120"/>
          <w:sz w:val="20"/>
        </w:rPr>
        <w:t> </w:t>
      </w:r>
      <w:r>
        <w:rPr>
          <w:w w:val="120"/>
          <w:sz w:val="20"/>
        </w:rPr>
        <w:t>Council</w:t>
      </w:r>
      <w:r>
        <w:rPr>
          <w:spacing w:val="-6"/>
          <w:w w:val="120"/>
          <w:sz w:val="20"/>
        </w:rPr>
        <w:t> </w:t>
      </w:r>
      <w:r>
        <w:rPr>
          <w:w w:val="120"/>
          <w:sz w:val="20"/>
        </w:rPr>
        <w:t>in May </w:t>
      </w:r>
      <w:r>
        <w:rPr>
          <w:spacing w:val="-7"/>
          <w:w w:val="120"/>
          <w:sz w:val="20"/>
        </w:rPr>
        <w:t>2015 </w:t>
      </w:r>
      <w:r>
        <w:rPr>
          <w:w w:val="120"/>
          <w:sz w:val="20"/>
        </w:rPr>
        <w:t>and are due to be reviewed this</w:t>
      </w:r>
      <w:r>
        <w:rPr>
          <w:spacing w:val="25"/>
          <w:w w:val="120"/>
          <w:sz w:val="20"/>
        </w:rPr>
        <w:t> </w:t>
      </w:r>
      <w:r>
        <w:rPr>
          <w:spacing w:val="-4"/>
          <w:w w:val="120"/>
          <w:sz w:val="20"/>
        </w:rPr>
        <w:t>year.</w:t>
      </w:r>
    </w:p>
    <w:p>
      <w:pPr>
        <w:pStyle w:val="BodyText"/>
        <w:spacing w:before="9"/>
        <w:rPr>
          <w:sz w:val="19"/>
        </w:rPr>
      </w:pPr>
    </w:p>
    <w:p>
      <w:pPr>
        <w:pStyle w:val="ListParagraph"/>
        <w:numPr>
          <w:ilvl w:val="1"/>
          <w:numId w:val="50"/>
        </w:numPr>
        <w:tabs>
          <w:tab w:pos="1964" w:val="left" w:leader="none"/>
          <w:tab w:pos="1965" w:val="left" w:leader="none"/>
        </w:tabs>
        <w:spacing w:line="235" w:lineRule="auto" w:before="0" w:after="0"/>
        <w:ind w:left="1284" w:right="1530" w:firstLine="0"/>
        <w:jc w:val="left"/>
        <w:rPr>
          <w:sz w:val="20"/>
        </w:rPr>
      </w:pPr>
      <w:r>
        <w:rPr>
          <w:w w:val="120"/>
          <w:sz w:val="20"/>
        </w:rPr>
        <w:t>We developed a House Style Guide for use throughout Church House and beyond. It is available for use throughout the denomination and can be found via the Resources </w:t>
      </w:r>
      <w:r>
        <w:rPr>
          <w:spacing w:val="2"/>
          <w:w w:val="120"/>
          <w:sz w:val="20"/>
        </w:rPr>
        <w:t>Library </w:t>
      </w:r>
      <w:r>
        <w:rPr>
          <w:w w:val="120"/>
          <w:sz w:val="20"/>
        </w:rPr>
        <w:t>section of the URC</w:t>
      </w:r>
      <w:r>
        <w:rPr>
          <w:spacing w:val="9"/>
          <w:w w:val="120"/>
          <w:sz w:val="20"/>
        </w:rPr>
        <w:t> </w:t>
      </w:r>
      <w:r>
        <w:rPr>
          <w:w w:val="120"/>
          <w:sz w:val="20"/>
        </w:rPr>
        <w:t>website.</w:t>
      </w:r>
    </w:p>
    <w:p>
      <w:pPr>
        <w:pStyle w:val="BodyText"/>
        <w:spacing w:before="3"/>
        <w:rPr>
          <w:sz w:val="22"/>
        </w:rPr>
      </w:pPr>
    </w:p>
    <w:p>
      <w:pPr>
        <w:spacing w:before="0"/>
        <w:ind w:left="1284" w:right="0" w:firstLine="0"/>
        <w:jc w:val="left"/>
        <w:rPr>
          <w:rFonts w:ascii="Stone Sans II ITC Std Bk"/>
          <w:b/>
          <w:sz w:val="29"/>
        </w:rPr>
      </w:pPr>
      <w:r>
        <w:rPr>
          <w:rFonts w:ascii="Stone Sans II ITC Std Bk"/>
          <w:b/>
          <w:w w:val="110"/>
          <w:sz w:val="29"/>
        </w:rPr>
        <w:t>External communications</w:t>
      </w:r>
    </w:p>
    <w:p>
      <w:pPr>
        <w:pStyle w:val="ListParagraph"/>
        <w:numPr>
          <w:ilvl w:val="1"/>
          <w:numId w:val="51"/>
        </w:numPr>
        <w:tabs>
          <w:tab w:pos="1964" w:val="left" w:leader="none"/>
          <w:tab w:pos="1965" w:val="left" w:leader="none"/>
        </w:tabs>
        <w:spacing w:line="235" w:lineRule="auto" w:before="69" w:after="0"/>
        <w:ind w:left="1284" w:right="1264" w:firstLine="0"/>
        <w:jc w:val="left"/>
        <w:rPr>
          <w:sz w:val="20"/>
        </w:rPr>
      </w:pPr>
      <w:r>
        <w:rPr>
          <w:w w:val="120"/>
          <w:sz w:val="20"/>
        </w:rPr>
        <w:t>Kenwyn Pierce, the full-time Press and Media Officer, handles the external communications of the Church – including media releases, web stories, Joint Public Issues </w:t>
      </w:r>
      <w:r>
        <w:rPr>
          <w:spacing w:val="-4"/>
          <w:w w:val="120"/>
          <w:sz w:val="20"/>
        </w:rPr>
        <w:t>Team </w:t>
      </w:r>
      <w:r>
        <w:rPr>
          <w:w w:val="120"/>
          <w:sz w:val="20"/>
        </w:rPr>
        <w:t>work, and leads on URC-led media campaigns – such as the denomination’s involvement in the Greenbelt festival and the Christian Aid Christmas appeal, for which the URC was a media partner for the past two</w:t>
      </w:r>
      <w:r>
        <w:rPr>
          <w:spacing w:val="17"/>
          <w:w w:val="120"/>
          <w:sz w:val="20"/>
        </w:rPr>
        <w:t> </w:t>
      </w:r>
      <w:r>
        <w:rPr>
          <w:w w:val="120"/>
          <w:sz w:val="20"/>
        </w:rPr>
        <w:t>years.</w:t>
      </w:r>
    </w:p>
    <w:p>
      <w:pPr>
        <w:pStyle w:val="BodyText"/>
        <w:spacing w:before="12"/>
        <w:rPr>
          <w:sz w:val="19"/>
        </w:rPr>
      </w:pPr>
    </w:p>
    <w:p>
      <w:pPr>
        <w:pStyle w:val="ListParagraph"/>
        <w:numPr>
          <w:ilvl w:val="1"/>
          <w:numId w:val="51"/>
        </w:numPr>
        <w:tabs>
          <w:tab w:pos="1964" w:val="left" w:leader="none"/>
          <w:tab w:pos="1965" w:val="left" w:leader="none"/>
        </w:tabs>
        <w:spacing w:line="235" w:lineRule="auto" w:before="0" w:after="0"/>
        <w:ind w:left="1284" w:right="1415" w:firstLine="0"/>
        <w:jc w:val="left"/>
        <w:rPr>
          <w:sz w:val="20"/>
        </w:rPr>
      </w:pPr>
      <w:r>
        <w:rPr>
          <w:w w:val="120"/>
          <w:sz w:val="20"/>
        </w:rPr>
        <w:t>Kenwyn has developed our podcast output – aiming to produce one </w:t>
      </w:r>
      <w:r>
        <w:rPr>
          <w:spacing w:val="-9"/>
          <w:w w:val="120"/>
          <w:sz w:val="20"/>
        </w:rPr>
        <w:t>15 </w:t>
      </w:r>
      <w:r>
        <w:rPr>
          <w:w w:val="120"/>
          <w:sz w:val="20"/>
        </w:rPr>
        <w:t>minute conversational interview a month that offers fresh insights into the life and mission of the</w:t>
      </w:r>
      <w:r>
        <w:rPr>
          <w:spacing w:val="2"/>
          <w:w w:val="120"/>
          <w:sz w:val="20"/>
        </w:rPr>
        <w:t> </w:t>
      </w:r>
      <w:r>
        <w:rPr>
          <w:w w:val="120"/>
          <w:sz w:val="20"/>
        </w:rPr>
        <w:t>URC.</w:t>
      </w:r>
    </w:p>
    <w:p>
      <w:pPr>
        <w:pStyle w:val="BodyText"/>
        <w:spacing w:before="10"/>
        <w:rPr>
          <w:sz w:val="19"/>
        </w:rPr>
      </w:pPr>
    </w:p>
    <w:p>
      <w:pPr>
        <w:pStyle w:val="ListParagraph"/>
        <w:numPr>
          <w:ilvl w:val="1"/>
          <w:numId w:val="51"/>
        </w:numPr>
        <w:tabs>
          <w:tab w:pos="1964" w:val="left" w:leader="none"/>
          <w:tab w:pos="1965" w:val="left" w:leader="none"/>
        </w:tabs>
        <w:spacing w:line="235" w:lineRule="auto" w:before="0" w:after="0"/>
        <w:ind w:left="1284" w:right="1582" w:firstLine="0"/>
        <w:jc w:val="left"/>
        <w:rPr>
          <w:sz w:val="20"/>
        </w:rPr>
      </w:pPr>
      <w:r>
        <w:rPr>
          <w:w w:val="120"/>
          <w:sz w:val="20"/>
        </w:rPr>
        <w:t>In the past year we have developed our social media reach significantly and are now seeing better engagement with our social media posts. In the period from    1 January </w:t>
      </w:r>
      <w:r>
        <w:rPr>
          <w:spacing w:val="-7"/>
          <w:w w:val="120"/>
          <w:sz w:val="20"/>
        </w:rPr>
        <w:t>2015 </w:t>
      </w:r>
      <w:r>
        <w:rPr>
          <w:w w:val="120"/>
          <w:sz w:val="20"/>
        </w:rPr>
        <w:t>to </w:t>
      </w:r>
      <w:r>
        <w:rPr>
          <w:spacing w:val="-7"/>
          <w:w w:val="120"/>
          <w:sz w:val="20"/>
        </w:rPr>
        <w:t>31 </w:t>
      </w:r>
      <w:r>
        <w:rPr>
          <w:w w:val="120"/>
          <w:sz w:val="20"/>
        </w:rPr>
        <w:t>March </w:t>
      </w:r>
      <w:r>
        <w:rPr>
          <w:spacing w:val="-7"/>
          <w:w w:val="120"/>
          <w:sz w:val="20"/>
        </w:rPr>
        <w:t>2016 </w:t>
      </w:r>
      <w:r>
        <w:rPr>
          <w:w w:val="120"/>
          <w:sz w:val="20"/>
        </w:rPr>
        <w:t>the reach of our Facebook page has risen by almost 200% and Twitter by</w:t>
      </w:r>
      <w:r>
        <w:rPr>
          <w:spacing w:val="11"/>
          <w:w w:val="120"/>
          <w:sz w:val="20"/>
        </w:rPr>
        <w:t> </w:t>
      </w:r>
      <w:r>
        <w:rPr>
          <w:spacing w:val="-5"/>
          <w:w w:val="120"/>
          <w:sz w:val="20"/>
        </w:rPr>
        <w:t>75%.</w:t>
      </w:r>
    </w:p>
    <w:p>
      <w:pPr>
        <w:pStyle w:val="BodyText"/>
        <w:spacing w:before="11"/>
        <w:rPr>
          <w:sz w:val="19"/>
        </w:rPr>
      </w:pPr>
    </w:p>
    <w:p>
      <w:pPr>
        <w:pStyle w:val="ListParagraph"/>
        <w:numPr>
          <w:ilvl w:val="1"/>
          <w:numId w:val="51"/>
        </w:numPr>
        <w:tabs>
          <w:tab w:pos="1964" w:val="left" w:leader="none"/>
          <w:tab w:pos="1965" w:val="left" w:leader="none"/>
        </w:tabs>
        <w:spacing w:line="235" w:lineRule="auto" w:before="0" w:after="0"/>
        <w:ind w:left="1284" w:right="1378" w:firstLine="0"/>
        <w:jc w:val="left"/>
        <w:rPr>
          <w:sz w:val="20"/>
        </w:rPr>
      </w:pPr>
      <w:r>
        <w:rPr>
          <w:w w:val="120"/>
          <w:sz w:val="20"/>
        </w:rPr>
        <w:t>We have invested in a small audio-visual recording studio, currently located in one of the basement rooms at Church House. We used this to run our first in-house broadcast media training day in January </w:t>
      </w:r>
      <w:r>
        <w:rPr>
          <w:spacing w:val="-7"/>
          <w:w w:val="120"/>
          <w:sz w:val="20"/>
        </w:rPr>
        <w:t>2016 </w:t>
      </w:r>
      <w:r>
        <w:rPr>
          <w:w w:val="120"/>
          <w:sz w:val="20"/>
        </w:rPr>
        <w:t>and it is also regularly used for recording podcasts. We are considering other ways we can make this facility available, both to colleagues in Church House, to the wider denomination, and perhaps even those beyond the</w:t>
      </w:r>
      <w:r>
        <w:rPr>
          <w:spacing w:val="4"/>
          <w:w w:val="120"/>
          <w:sz w:val="20"/>
        </w:rPr>
        <w:t> </w:t>
      </w:r>
      <w:r>
        <w:rPr>
          <w:w w:val="120"/>
          <w:sz w:val="20"/>
        </w:rPr>
        <w:t>denomination.</w:t>
      </w:r>
    </w:p>
    <w:p>
      <w:pPr>
        <w:pStyle w:val="BodyText"/>
      </w:pPr>
    </w:p>
    <w:p>
      <w:pPr>
        <w:pStyle w:val="ListParagraph"/>
        <w:numPr>
          <w:ilvl w:val="1"/>
          <w:numId w:val="51"/>
        </w:numPr>
        <w:tabs>
          <w:tab w:pos="1964" w:val="left" w:leader="none"/>
          <w:tab w:pos="1965" w:val="left" w:leader="none"/>
        </w:tabs>
        <w:spacing w:line="235" w:lineRule="auto" w:before="0" w:after="0"/>
        <w:ind w:left="1284" w:right="1369" w:firstLine="0"/>
        <w:jc w:val="left"/>
        <w:rPr>
          <w:sz w:val="20"/>
        </w:rPr>
      </w:pPr>
      <w:r>
        <w:rPr>
          <w:w w:val="120"/>
          <w:sz w:val="20"/>
        </w:rPr>
        <w:t>Reputation management is a crucially important piece of work handled by the department. Like all public institutions, the URC is involved in this difficult area of</w:t>
      </w:r>
      <w:r>
        <w:rPr>
          <w:spacing w:val="41"/>
          <w:w w:val="120"/>
          <w:sz w:val="20"/>
        </w:rPr>
        <w:t> </w:t>
      </w:r>
      <w:r>
        <w:rPr>
          <w:w w:val="120"/>
          <w:sz w:val="20"/>
        </w:rPr>
        <w:t>work</w:t>
      </w:r>
    </w:p>
    <w:p>
      <w:pPr>
        <w:pStyle w:val="ListParagraph"/>
        <w:numPr>
          <w:ilvl w:val="0"/>
          <w:numId w:val="52"/>
        </w:numPr>
        <w:tabs>
          <w:tab w:pos="1469" w:val="left" w:leader="none"/>
        </w:tabs>
        <w:spacing w:line="235" w:lineRule="auto" w:before="2" w:after="0"/>
        <w:ind w:left="1284" w:right="1277" w:firstLine="0"/>
        <w:jc w:val="left"/>
        <w:rPr>
          <w:sz w:val="20"/>
        </w:rPr>
      </w:pPr>
      <w:r>
        <w:rPr>
          <w:w w:val="120"/>
          <w:sz w:val="20"/>
        </w:rPr>
        <w:t>advising on the media angles of situations which could negatively impact on the work and reputation of the United Reformed Church at all levels – local church, synod and national. It is vital work that we must get right. Much time-absorbing, careful, work takes place behind the scenes – and other work is often temporarily sidelined while this urgent work is given priority. Appropriate execution of this work, led by Gill Nichol,  Head of Communications, with high levels of input and support from the Press and Media Officer, frequently put pressures on other </w:t>
      </w:r>
      <w:r>
        <w:rPr>
          <w:spacing w:val="2"/>
          <w:w w:val="120"/>
          <w:sz w:val="20"/>
        </w:rPr>
        <w:t>parts </w:t>
      </w:r>
      <w:r>
        <w:rPr>
          <w:w w:val="120"/>
          <w:sz w:val="20"/>
        </w:rPr>
        <w:t>of the work delivered by these two post</w:t>
      </w:r>
      <w:r>
        <w:rPr>
          <w:spacing w:val="4"/>
          <w:w w:val="120"/>
          <w:sz w:val="20"/>
        </w:rPr>
        <w:t> </w:t>
      </w:r>
      <w:r>
        <w:rPr>
          <w:w w:val="120"/>
          <w:sz w:val="20"/>
        </w:rPr>
        <w:t>holders.</w:t>
      </w:r>
    </w:p>
    <w:p>
      <w:pPr>
        <w:pStyle w:val="BodyText"/>
        <w:spacing w:before="6"/>
        <w:rPr>
          <w:sz w:val="22"/>
        </w:rPr>
      </w:pPr>
    </w:p>
    <w:p>
      <w:pPr>
        <w:spacing w:before="0"/>
        <w:ind w:left="1284" w:right="0" w:firstLine="0"/>
        <w:jc w:val="left"/>
        <w:rPr>
          <w:rFonts w:ascii="Stone Sans II ITC Std Bk"/>
          <w:b/>
          <w:sz w:val="29"/>
        </w:rPr>
      </w:pPr>
      <w:r>
        <w:rPr>
          <w:rFonts w:ascii="Stone Sans II ITC Std Bk"/>
          <w:b/>
          <w:w w:val="110"/>
          <w:sz w:val="29"/>
        </w:rPr>
        <w:t>Internal communications</w:t>
      </w:r>
    </w:p>
    <w:p>
      <w:pPr>
        <w:pStyle w:val="ListParagraph"/>
        <w:numPr>
          <w:ilvl w:val="1"/>
          <w:numId w:val="53"/>
        </w:numPr>
        <w:tabs>
          <w:tab w:pos="1964" w:val="left" w:leader="none"/>
          <w:tab w:pos="1965" w:val="left" w:leader="none"/>
        </w:tabs>
        <w:spacing w:line="235" w:lineRule="auto" w:before="69" w:after="0"/>
        <w:ind w:left="1284" w:right="1421" w:firstLine="0"/>
        <w:jc w:val="left"/>
        <w:rPr>
          <w:sz w:val="20"/>
        </w:rPr>
      </w:pPr>
      <w:r>
        <w:rPr>
          <w:w w:val="120"/>
          <w:sz w:val="20"/>
        </w:rPr>
        <w:t>Internal communications, in a URC-context, refers to a wide range of activities, including </w:t>
      </w:r>
      <w:r>
        <w:rPr>
          <w:i/>
          <w:w w:val="120"/>
          <w:sz w:val="20"/>
        </w:rPr>
        <w:t>News Update </w:t>
      </w:r>
      <w:r>
        <w:rPr>
          <w:w w:val="120"/>
          <w:sz w:val="20"/>
        </w:rPr>
        <w:t>and web reflections – which are activities carried out by the Press</w:t>
      </w:r>
      <w:r>
        <w:rPr>
          <w:spacing w:val="11"/>
          <w:w w:val="120"/>
          <w:sz w:val="20"/>
        </w:rPr>
        <w:t> </w:t>
      </w:r>
      <w:r>
        <w:rPr>
          <w:w w:val="120"/>
          <w:sz w:val="20"/>
        </w:rPr>
        <w:t>and</w:t>
      </w:r>
      <w:r>
        <w:rPr>
          <w:spacing w:val="10"/>
          <w:w w:val="120"/>
          <w:sz w:val="20"/>
        </w:rPr>
        <w:t> </w:t>
      </w:r>
      <w:r>
        <w:rPr>
          <w:w w:val="120"/>
          <w:sz w:val="20"/>
        </w:rPr>
        <w:t>Media</w:t>
      </w:r>
      <w:r>
        <w:rPr>
          <w:spacing w:val="11"/>
          <w:w w:val="120"/>
          <w:sz w:val="20"/>
        </w:rPr>
        <w:t> </w:t>
      </w:r>
      <w:r>
        <w:rPr>
          <w:w w:val="120"/>
          <w:sz w:val="20"/>
        </w:rPr>
        <w:t>Officer</w:t>
      </w:r>
      <w:r>
        <w:rPr>
          <w:spacing w:val="11"/>
          <w:w w:val="120"/>
          <w:sz w:val="20"/>
        </w:rPr>
        <w:t> </w:t>
      </w:r>
      <w:r>
        <w:rPr>
          <w:w w:val="120"/>
          <w:sz w:val="20"/>
        </w:rPr>
        <w:t>–</w:t>
      </w:r>
      <w:r>
        <w:rPr>
          <w:spacing w:val="11"/>
          <w:w w:val="120"/>
          <w:sz w:val="20"/>
        </w:rPr>
        <w:t> </w:t>
      </w:r>
      <w:r>
        <w:rPr>
          <w:w w:val="120"/>
          <w:sz w:val="20"/>
        </w:rPr>
        <w:t>and</w:t>
      </w:r>
      <w:r>
        <w:rPr>
          <w:spacing w:val="11"/>
          <w:w w:val="120"/>
          <w:sz w:val="20"/>
        </w:rPr>
        <w:t> </w:t>
      </w:r>
      <w:r>
        <w:rPr>
          <w:w w:val="120"/>
          <w:sz w:val="20"/>
        </w:rPr>
        <w:t>copywriting</w:t>
      </w:r>
      <w:r>
        <w:rPr>
          <w:spacing w:val="11"/>
          <w:w w:val="120"/>
          <w:sz w:val="20"/>
        </w:rPr>
        <w:t> </w:t>
      </w:r>
      <w:r>
        <w:rPr>
          <w:w w:val="120"/>
          <w:sz w:val="20"/>
        </w:rPr>
        <w:t>booklets,</w:t>
      </w:r>
      <w:r>
        <w:rPr>
          <w:spacing w:val="11"/>
          <w:w w:val="120"/>
          <w:sz w:val="20"/>
        </w:rPr>
        <w:t> </w:t>
      </w:r>
      <w:r>
        <w:rPr>
          <w:w w:val="120"/>
          <w:sz w:val="20"/>
        </w:rPr>
        <w:t>web-copy</w:t>
      </w:r>
      <w:r>
        <w:rPr>
          <w:spacing w:val="11"/>
          <w:w w:val="120"/>
          <w:sz w:val="20"/>
        </w:rPr>
        <w:t> </w:t>
      </w:r>
      <w:r>
        <w:rPr>
          <w:w w:val="120"/>
          <w:sz w:val="20"/>
        </w:rPr>
        <w:t>and</w:t>
      </w:r>
      <w:r>
        <w:rPr>
          <w:spacing w:val="11"/>
          <w:w w:val="120"/>
          <w:sz w:val="20"/>
        </w:rPr>
        <w:t> </w:t>
      </w:r>
      <w:r>
        <w:rPr>
          <w:w w:val="120"/>
          <w:sz w:val="20"/>
        </w:rPr>
        <w:t>other</w:t>
      </w:r>
      <w:r>
        <w:rPr>
          <w:spacing w:val="11"/>
          <w:w w:val="120"/>
          <w:sz w:val="20"/>
        </w:rPr>
        <w:t> </w:t>
      </w:r>
      <w:r>
        <w:rPr>
          <w:w w:val="120"/>
          <w:sz w:val="20"/>
        </w:rPr>
        <w:t>publications</w:t>
      </w:r>
    </w:p>
    <w:p>
      <w:pPr>
        <w:pStyle w:val="ListParagraph"/>
        <w:numPr>
          <w:ilvl w:val="0"/>
          <w:numId w:val="52"/>
        </w:numPr>
        <w:tabs>
          <w:tab w:pos="1469" w:val="left" w:leader="none"/>
        </w:tabs>
        <w:spacing w:line="240" w:lineRule="exact" w:before="0" w:after="0"/>
        <w:ind w:left="1468" w:right="0" w:hanging="185"/>
        <w:jc w:val="left"/>
        <w:rPr>
          <w:sz w:val="20"/>
        </w:rPr>
      </w:pPr>
      <w:r>
        <w:rPr>
          <w:w w:val="120"/>
          <w:sz w:val="20"/>
        </w:rPr>
        <w:t>which is mostly handled by the Head of Communications, and, as noted in</w:t>
      </w:r>
      <w:r>
        <w:rPr>
          <w:spacing w:val="4"/>
          <w:w w:val="120"/>
          <w:sz w:val="20"/>
        </w:rPr>
        <w:t> </w:t>
      </w:r>
      <w:r>
        <w:rPr>
          <w:w w:val="120"/>
          <w:sz w:val="20"/>
        </w:rPr>
        <w:t>paragraph</w:t>
      </w:r>
    </w:p>
    <w:p>
      <w:pPr>
        <w:pStyle w:val="BodyText"/>
        <w:spacing w:line="242" w:lineRule="exact"/>
        <w:ind w:left="1284"/>
      </w:pPr>
      <w:r>
        <w:rPr>
          <w:w w:val="125"/>
        </w:rPr>
        <w:t>1.7 above, by willing and committed volunteers.</w:t>
      </w:r>
    </w:p>
    <w:p>
      <w:pPr>
        <w:spacing w:after="0" w:line="242" w:lineRule="exact"/>
        <w:sectPr>
          <w:headerReference w:type="default" r:id="rId214"/>
          <w:footerReference w:type="default" r:id="rId215"/>
          <w:footerReference w:type="even" r:id="rId216"/>
          <w:pgSz w:w="11910" w:h="16840"/>
          <w:pgMar w:header="0" w:footer="647" w:top="0" w:bottom="840" w:left="700" w:right="0"/>
          <w:pgNumType w:start="63"/>
        </w:sectPr>
      </w:pPr>
    </w:p>
    <w:p>
      <w:pPr>
        <w:pStyle w:val="BodyText"/>
      </w:pPr>
      <w:r>
        <w:rPr/>
        <w:drawing>
          <wp:anchor distT="0" distB="0" distL="0" distR="0" allowOverlap="1" layoutInCell="1" locked="0" behindDoc="1" simplePos="0" relativeHeight="235369472">
            <wp:simplePos x="0" y="0"/>
            <wp:positionH relativeFrom="page">
              <wp:posOffset>0</wp:posOffset>
            </wp:positionH>
            <wp:positionV relativeFrom="page">
              <wp:posOffset>0</wp:posOffset>
            </wp:positionV>
            <wp:extent cx="594067" cy="10692003"/>
            <wp:effectExtent l="0" t="0" r="0" b="0"/>
            <wp:wrapNone/>
            <wp:docPr id="113" name="image67.png"/>
            <wp:cNvGraphicFramePr>
              <a:graphicFrameLocks noChangeAspect="1"/>
            </wp:cNvGraphicFramePr>
            <a:graphic>
              <a:graphicData uri="http://schemas.openxmlformats.org/drawingml/2006/picture">
                <pic:pic>
                  <pic:nvPicPr>
                    <pic:cNvPr id="114" name="image67.png"/>
                    <pic:cNvPicPr/>
                  </pic:nvPicPr>
                  <pic:blipFill>
                    <a:blip r:embed="rId184" cstate="print"/>
                    <a:stretch>
                      <a:fillRect/>
                    </a:stretch>
                  </pic:blipFill>
                  <pic:spPr>
                    <a:xfrm>
                      <a:off x="0" y="0"/>
                      <a:ext cx="594067" cy="10692003"/>
                    </a:xfrm>
                    <a:prstGeom prst="rect">
                      <a:avLst/>
                    </a:prstGeom>
                  </pic:spPr>
                </pic:pic>
              </a:graphicData>
            </a:graphic>
          </wp:anchor>
        </w:drawing>
      </w:r>
      <w:r>
        <w:rPr/>
        <w:pict>
          <v:shape style="position:absolute;margin-left:20.519100pt;margin-top:48.890015pt;width:25.9pt;height:308.850pt;mso-position-horizontal-relative:page;mso-position-vertical-relative:page;z-index:-267945984" type="#_x0000_t202" filled="false" stroked="false">
            <v:textbox inset="0,0,0,0" style="layout-flow:vertical">
              <w:txbxContent>
                <w:p>
                  <w:pPr>
                    <w:spacing w:before="27"/>
                    <w:ind w:left="20" w:right="0" w:firstLine="0"/>
                    <w:jc w:val="left"/>
                    <w:rPr>
                      <w:sz w:val="39"/>
                    </w:rPr>
                  </w:pPr>
                  <w:r>
                    <w:rPr>
                      <w:color w:val="FFFFFF"/>
                      <w:w w:val="120"/>
                      <w:sz w:val="39"/>
                    </w:rPr>
                    <w:t>Communications and editorial</w:t>
                  </w:r>
                </w:p>
              </w:txbxContent>
            </v:textbox>
            <w10:wrap type="none"/>
          </v:shape>
        </w:pict>
      </w:r>
    </w:p>
    <w:p>
      <w:pPr>
        <w:pStyle w:val="BodyText"/>
        <w:spacing w:before="7"/>
        <w:rPr>
          <w:sz w:val="21"/>
        </w:rPr>
      </w:pPr>
    </w:p>
    <w:p>
      <w:pPr>
        <w:spacing w:before="106"/>
        <w:ind w:left="547" w:right="0" w:firstLine="0"/>
        <w:jc w:val="left"/>
        <w:rPr>
          <w:sz w:val="26"/>
        </w:rPr>
      </w:pPr>
      <w:r>
        <w:rPr>
          <w:color w:val="7EAABF"/>
          <w:w w:val="115"/>
          <w:sz w:val="26"/>
        </w:rPr>
        <w:t>Communications and editorial</w:t>
      </w:r>
    </w:p>
    <w:p>
      <w:pPr>
        <w:pStyle w:val="ListParagraph"/>
        <w:numPr>
          <w:ilvl w:val="1"/>
          <w:numId w:val="53"/>
        </w:numPr>
        <w:tabs>
          <w:tab w:pos="1227" w:val="left" w:leader="none"/>
          <w:tab w:pos="1228" w:val="left" w:leader="none"/>
        </w:tabs>
        <w:spacing w:line="235" w:lineRule="auto" w:before="222" w:after="0"/>
        <w:ind w:left="547" w:right="2112" w:firstLine="0"/>
        <w:jc w:val="left"/>
        <w:rPr>
          <w:sz w:val="20"/>
        </w:rPr>
      </w:pPr>
      <w:r>
        <w:rPr>
          <w:w w:val="120"/>
          <w:sz w:val="20"/>
        </w:rPr>
        <w:t>We are currently planning the communications work around forthcoming denominational initiatives: the Moderators’ theme of People of the Way </w:t>
      </w:r>
      <w:r>
        <w:rPr>
          <w:spacing w:val="-8"/>
          <w:w w:val="120"/>
          <w:sz w:val="20"/>
        </w:rPr>
        <w:t>(2016 </w:t>
      </w:r>
      <w:r>
        <w:rPr>
          <w:w w:val="120"/>
          <w:sz w:val="20"/>
        </w:rPr>
        <w:t>to </w:t>
      </w:r>
      <w:r>
        <w:rPr>
          <w:spacing w:val="-7"/>
          <w:w w:val="120"/>
          <w:sz w:val="20"/>
        </w:rPr>
        <w:t>2018) </w:t>
      </w:r>
      <w:r>
        <w:rPr>
          <w:w w:val="120"/>
          <w:sz w:val="20"/>
        </w:rPr>
        <w:t>Feasts and Festivals initiative </w:t>
      </w:r>
      <w:r>
        <w:rPr>
          <w:spacing w:val="-8"/>
          <w:w w:val="120"/>
          <w:sz w:val="20"/>
        </w:rPr>
        <w:t>(2017) </w:t>
      </w:r>
      <w:r>
        <w:rPr>
          <w:w w:val="120"/>
          <w:sz w:val="20"/>
        </w:rPr>
        <w:t>and Walking the Way </w:t>
      </w:r>
      <w:r>
        <w:rPr>
          <w:spacing w:val="-7"/>
          <w:w w:val="120"/>
          <w:sz w:val="20"/>
        </w:rPr>
        <w:t>(2018</w:t>
      </w:r>
      <w:r>
        <w:rPr>
          <w:spacing w:val="-5"/>
          <w:w w:val="120"/>
          <w:sz w:val="20"/>
        </w:rPr>
        <w:t> </w:t>
      </w:r>
      <w:r>
        <w:rPr>
          <w:spacing w:val="-3"/>
          <w:w w:val="120"/>
          <w:sz w:val="20"/>
        </w:rPr>
        <w:t>onwards)</w:t>
      </w:r>
    </w:p>
    <w:p>
      <w:pPr>
        <w:pStyle w:val="BodyText"/>
        <w:spacing w:before="2"/>
        <w:rPr>
          <w:sz w:val="22"/>
        </w:rPr>
      </w:pPr>
    </w:p>
    <w:p>
      <w:pPr>
        <w:spacing w:before="0"/>
        <w:ind w:left="547" w:right="0" w:firstLine="0"/>
        <w:jc w:val="left"/>
        <w:rPr>
          <w:rFonts w:ascii="Stone Sans II ITC Std Bk"/>
          <w:b/>
          <w:sz w:val="29"/>
        </w:rPr>
      </w:pPr>
      <w:r>
        <w:rPr>
          <w:rFonts w:ascii="Stone Sans II ITC Std Bk"/>
          <w:b/>
          <w:w w:val="110"/>
          <w:sz w:val="29"/>
        </w:rPr>
        <w:t>Reform</w:t>
      </w:r>
    </w:p>
    <w:p>
      <w:pPr>
        <w:pStyle w:val="ListParagraph"/>
        <w:numPr>
          <w:ilvl w:val="1"/>
          <w:numId w:val="54"/>
        </w:numPr>
        <w:tabs>
          <w:tab w:pos="1227" w:val="left" w:leader="none"/>
          <w:tab w:pos="1228" w:val="left" w:leader="none"/>
        </w:tabs>
        <w:spacing w:line="235" w:lineRule="auto" w:before="69" w:after="0"/>
        <w:ind w:left="547" w:right="2113" w:firstLine="0"/>
        <w:jc w:val="left"/>
        <w:rPr>
          <w:sz w:val="20"/>
        </w:rPr>
      </w:pPr>
      <w:r>
        <w:rPr>
          <w:w w:val="120"/>
          <w:sz w:val="20"/>
        </w:rPr>
        <w:t>Boosted by the commendation </w:t>
      </w:r>
      <w:r>
        <w:rPr>
          <w:i/>
          <w:w w:val="120"/>
          <w:sz w:val="20"/>
        </w:rPr>
        <w:t>Reform </w:t>
      </w:r>
      <w:r>
        <w:rPr>
          <w:w w:val="120"/>
          <w:sz w:val="20"/>
        </w:rPr>
        <w:t>received at Mission Council in November </w:t>
      </w:r>
      <w:r>
        <w:rPr>
          <w:spacing w:val="-7"/>
          <w:w w:val="120"/>
          <w:sz w:val="20"/>
        </w:rPr>
        <w:t>2014, </w:t>
      </w:r>
      <w:r>
        <w:rPr>
          <w:w w:val="120"/>
          <w:sz w:val="20"/>
        </w:rPr>
        <w:t>the communications team has worked hard to market the magazine to new subscribers. These </w:t>
      </w:r>
      <w:r>
        <w:rPr>
          <w:spacing w:val="2"/>
          <w:w w:val="120"/>
          <w:sz w:val="20"/>
        </w:rPr>
        <w:t>efforts </w:t>
      </w:r>
      <w:r>
        <w:rPr>
          <w:w w:val="120"/>
          <w:sz w:val="20"/>
        </w:rPr>
        <w:t>have included special offers, advertisements, reviving the local church distributor network and mailing lapsed subscribers. Consequently, after years of steep decline, subscriptions to </w:t>
      </w:r>
      <w:r>
        <w:rPr>
          <w:i/>
          <w:w w:val="120"/>
          <w:sz w:val="20"/>
        </w:rPr>
        <w:t>Reform </w:t>
      </w:r>
      <w:r>
        <w:rPr>
          <w:w w:val="120"/>
          <w:sz w:val="20"/>
        </w:rPr>
        <w:t>have stabilised at around 4,000 over the last </w:t>
      </w:r>
      <w:r>
        <w:rPr>
          <w:spacing w:val="-4"/>
          <w:w w:val="120"/>
          <w:sz w:val="20"/>
        </w:rPr>
        <w:t>year, </w:t>
      </w:r>
      <w:r>
        <w:rPr>
          <w:w w:val="120"/>
          <w:sz w:val="20"/>
        </w:rPr>
        <w:t>and, in March </w:t>
      </w:r>
      <w:r>
        <w:rPr>
          <w:spacing w:val="-6"/>
          <w:w w:val="120"/>
          <w:sz w:val="20"/>
        </w:rPr>
        <w:t>2016, </w:t>
      </w:r>
      <w:r>
        <w:rPr>
          <w:w w:val="120"/>
          <w:sz w:val="20"/>
        </w:rPr>
        <w:t>we saw the first increase in subscriptions for two years – we hope to see consistent growth in the</w:t>
      </w:r>
      <w:r>
        <w:rPr>
          <w:spacing w:val="15"/>
          <w:w w:val="120"/>
          <w:sz w:val="20"/>
        </w:rPr>
        <w:t> </w:t>
      </w:r>
      <w:r>
        <w:rPr>
          <w:w w:val="120"/>
          <w:sz w:val="20"/>
        </w:rPr>
        <w:t>future.</w:t>
      </w:r>
    </w:p>
    <w:p>
      <w:pPr>
        <w:pStyle w:val="BodyText"/>
        <w:spacing w:before="1"/>
      </w:pPr>
    </w:p>
    <w:p>
      <w:pPr>
        <w:pStyle w:val="ListParagraph"/>
        <w:numPr>
          <w:ilvl w:val="1"/>
          <w:numId w:val="54"/>
        </w:numPr>
        <w:tabs>
          <w:tab w:pos="1227" w:val="left" w:leader="none"/>
          <w:tab w:pos="1228" w:val="left" w:leader="none"/>
        </w:tabs>
        <w:spacing w:line="235" w:lineRule="auto" w:before="0" w:after="0"/>
        <w:ind w:left="547" w:right="2182" w:firstLine="0"/>
        <w:jc w:val="left"/>
        <w:rPr>
          <w:sz w:val="20"/>
        </w:rPr>
      </w:pPr>
      <w:r>
        <w:rPr>
          <w:spacing w:val="-7"/>
          <w:w w:val="120"/>
          <w:sz w:val="20"/>
        </w:rPr>
        <w:t>To</w:t>
      </w:r>
      <w:r>
        <w:rPr>
          <w:spacing w:val="-10"/>
          <w:w w:val="120"/>
          <w:sz w:val="20"/>
        </w:rPr>
        <w:t> </w:t>
      </w:r>
      <w:r>
        <w:rPr>
          <w:w w:val="120"/>
          <w:sz w:val="20"/>
        </w:rPr>
        <w:t>make</w:t>
      </w:r>
      <w:r>
        <w:rPr>
          <w:spacing w:val="-9"/>
          <w:w w:val="120"/>
          <w:sz w:val="20"/>
        </w:rPr>
        <w:t> </w:t>
      </w:r>
      <w:r>
        <w:rPr>
          <w:i/>
          <w:w w:val="120"/>
          <w:sz w:val="20"/>
        </w:rPr>
        <w:t>Reform</w:t>
      </w:r>
      <w:r>
        <w:rPr>
          <w:i/>
          <w:spacing w:val="-9"/>
          <w:w w:val="120"/>
          <w:sz w:val="20"/>
        </w:rPr>
        <w:t> </w:t>
      </w:r>
      <w:r>
        <w:rPr>
          <w:w w:val="120"/>
          <w:sz w:val="20"/>
        </w:rPr>
        <w:t>more</w:t>
      </w:r>
      <w:r>
        <w:rPr>
          <w:spacing w:val="-9"/>
          <w:w w:val="120"/>
          <w:sz w:val="20"/>
        </w:rPr>
        <w:t> </w:t>
      </w:r>
      <w:r>
        <w:rPr>
          <w:w w:val="120"/>
          <w:sz w:val="20"/>
        </w:rPr>
        <w:t>of</w:t>
      </w:r>
      <w:r>
        <w:rPr>
          <w:spacing w:val="-9"/>
          <w:w w:val="120"/>
          <w:sz w:val="20"/>
        </w:rPr>
        <w:t> </w:t>
      </w:r>
      <w:r>
        <w:rPr>
          <w:w w:val="120"/>
          <w:sz w:val="20"/>
        </w:rPr>
        <w:t>a</w:t>
      </w:r>
      <w:r>
        <w:rPr>
          <w:spacing w:val="-9"/>
          <w:w w:val="120"/>
          <w:sz w:val="20"/>
        </w:rPr>
        <w:t> </w:t>
      </w:r>
      <w:r>
        <w:rPr>
          <w:w w:val="120"/>
          <w:sz w:val="20"/>
        </w:rPr>
        <w:t>resource</w:t>
      </w:r>
      <w:r>
        <w:rPr>
          <w:spacing w:val="-10"/>
          <w:w w:val="120"/>
          <w:sz w:val="20"/>
        </w:rPr>
        <w:t> </w:t>
      </w:r>
      <w:r>
        <w:rPr>
          <w:w w:val="120"/>
          <w:sz w:val="20"/>
        </w:rPr>
        <w:t>for</w:t>
      </w:r>
      <w:r>
        <w:rPr>
          <w:spacing w:val="-9"/>
          <w:w w:val="120"/>
          <w:sz w:val="20"/>
        </w:rPr>
        <w:t> </w:t>
      </w:r>
      <w:r>
        <w:rPr>
          <w:w w:val="120"/>
          <w:sz w:val="20"/>
        </w:rPr>
        <w:t>churches,</w:t>
      </w:r>
      <w:r>
        <w:rPr>
          <w:spacing w:val="-9"/>
          <w:w w:val="120"/>
          <w:sz w:val="20"/>
        </w:rPr>
        <w:t> </w:t>
      </w:r>
      <w:r>
        <w:rPr>
          <w:w w:val="120"/>
          <w:sz w:val="20"/>
        </w:rPr>
        <w:t>the</w:t>
      </w:r>
      <w:r>
        <w:rPr>
          <w:spacing w:val="-9"/>
          <w:w w:val="120"/>
          <w:sz w:val="20"/>
        </w:rPr>
        <w:t> </w:t>
      </w:r>
      <w:r>
        <w:rPr>
          <w:i/>
          <w:w w:val="120"/>
          <w:sz w:val="20"/>
        </w:rPr>
        <w:t>Reform</w:t>
      </w:r>
      <w:r>
        <w:rPr>
          <w:i/>
          <w:spacing w:val="-9"/>
          <w:w w:val="120"/>
          <w:sz w:val="20"/>
        </w:rPr>
        <w:t> </w:t>
      </w:r>
      <w:r>
        <w:rPr>
          <w:w w:val="120"/>
          <w:sz w:val="20"/>
        </w:rPr>
        <w:t>team</w:t>
      </w:r>
      <w:r>
        <w:rPr>
          <w:spacing w:val="-9"/>
          <w:w w:val="120"/>
          <w:sz w:val="20"/>
        </w:rPr>
        <w:t> </w:t>
      </w:r>
      <w:r>
        <w:rPr>
          <w:w w:val="120"/>
          <w:sz w:val="20"/>
        </w:rPr>
        <w:t>have</w:t>
      </w:r>
      <w:r>
        <w:rPr>
          <w:spacing w:val="-9"/>
          <w:w w:val="120"/>
          <w:sz w:val="20"/>
        </w:rPr>
        <w:t> </w:t>
      </w:r>
      <w:r>
        <w:rPr>
          <w:w w:val="120"/>
          <w:sz w:val="20"/>
        </w:rPr>
        <w:t>started to include articles on more practical subjects including: how churches can be more dementia-friendly or autism-friendly; tips for church websites; and how churches can be more creative. A guide to using </w:t>
      </w:r>
      <w:r>
        <w:rPr>
          <w:i/>
          <w:w w:val="120"/>
          <w:sz w:val="20"/>
        </w:rPr>
        <w:t>Reform </w:t>
      </w:r>
      <w:r>
        <w:rPr>
          <w:w w:val="120"/>
          <w:sz w:val="20"/>
        </w:rPr>
        <w:t>in church has been printed, and the </w:t>
      </w:r>
      <w:r>
        <w:rPr>
          <w:i/>
          <w:w w:val="120"/>
          <w:sz w:val="20"/>
        </w:rPr>
        <w:t>Reform </w:t>
      </w:r>
      <w:r>
        <w:rPr>
          <w:w w:val="120"/>
          <w:sz w:val="20"/>
        </w:rPr>
        <w:t>website now provides discussion questions for church study groups to accompany the ‘Chapter &amp; verse’ page in the magazine each</w:t>
      </w:r>
      <w:r>
        <w:rPr>
          <w:spacing w:val="24"/>
          <w:w w:val="120"/>
          <w:sz w:val="20"/>
        </w:rPr>
        <w:t> </w:t>
      </w:r>
      <w:r>
        <w:rPr>
          <w:w w:val="120"/>
          <w:sz w:val="20"/>
        </w:rPr>
        <w:t>month.</w:t>
      </w:r>
    </w:p>
    <w:p>
      <w:pPr>
        <w:pStyle w:val="BodyText"/>
      </w:pPr>
    </w:p>
    <w:p>
      <w:pPr>
        <w:pStyle w:val="ListParagraph"/>
        <w:numPr>
          <w:ilvl w:val="1"/>
          <w:numId w:val="54"/>
        </w:numPr>
        <w:tabs>
          <w:tab w:pos="1227" w:val="left" w:leader="none"/>
          <w:tab w:pos="1228" w:val="left" w:leader="none"/>
        </w:tabs>
        <w:spacing w:line="235" w:lineRule="auto" w:before="1" w:after="0"/>
        <w:ind w:left="547" w:right="2362" w:firstLine="0"/>
        <w:jc w:val="left"/>
        <w:rPr>
          <w:sz w:val="20"/>
        </w:rPr>
      </w:pPr>
      <w:r>
        <w:rPr>
          <w:w w:val="120"/>
          <w:sz w:val="20"/>
        </w:rPr>
        <w:t>The digital edition of </w:t>
      </w:r>
      <w:r>
        <w:rPr>
          <w:i/>
          <w:w w:val="120"/>
          <w:sz w:val="20"/>
        </w:rPr>
        <w:t>Reform </w:t>
      </w:r>
      <w:r>
        <w:rPr>
          <w:w w:val="120"/>
          <w:sz w:val="20"/>
        </w:rPr>
        <w:t>for tablets, smart phones and computers, was launched in April </w:t>
      </w:r>
      <w:r>
        <w:rPr>
          <w:spacing w:val="-7"/>
          <w:w w:val="120"/>
          <w:sz w:val="20"/>
        </w:rPr>
        <w:t>2015. </w:t>
      </w:r>
      <w:r>
        <w:rPr>
          <w:w w:val="120"/>
          <w:sz w:val="20"/>
        </w:rPr>
        <w:t>It has been well received, and the number of subscribers has increased every month, reaching 234 in March</w:t>
      </w:r>
      <w:r>
        <w:rPr>
          <w:spacing w:val="20"/>
          <w:w w:val="120"/>
          <w:sz w:val="20"/>
        </w:rPr>
        <w:t> </w:t>
      </w:r>
      <w:r>
        <w:rPr>
          <w:spacing w:val="-6"/>
          <w:w w:val="120"/>
          <w:sz w:val="20"/>
        </w:rPr>
        <w:t>2016.</w:t>
      </w:r>
    </w:p>
    <w:p>
      <w:pPr>
        <w:pStyle w:val="BodyText"/>
        <w:spacing w:before="10"/>
        <w:rPr>
          <w:sz w:val="19"/>
        </w:rPr>
      </w:pPr>
    </w:p>
    <w:p>
      <w:pPr>
        <w:pStyle w:val="ListParagraph"/>
        <w:numPr>
          <w:ilvl w:val="1"/>
          <w:numId w:val="54"/>
        </w:numPr>
        <w:tabs>
          <w:tab w:pos="1227" w:val="left" w:leader="none"/>
          <w:tab w:pos="1228" w:val="left" w:leader="none"/>
        </w:tabs>
        <w:spacing w:line="235" w:lineRule="auto" w:before="0" w:after="0"/>
        <w:ind w:left="547" w:right="2282" w:firstLine="0"/>
        <w:jc w:val="left"/>
        <w:rPr>
          <w:sz w:val="20"/>
        </w:rPr>
      </w:pPr>
      <w:r>
        <w:rPr>
          <w:i/>
          <w:w w:val="120"/>
          <w:sz w:val="20"/>
        </w:rPr>
        <w:t>Reform’s</w:t>
      </w:r>
      <w:r>
        <w:rPr>
          <w:i/>
          <w:spacing w:val="-5"/>
          <w:w w:val="120"/>
          <w:sz w:val="20"/>
        </w:rPr>
        <w:t> </w:t>
      </w:r>
      <w:r>
        <w:rPr>
          <w:w w:val="120"/>
          <w:sz w:val="20"/>
        </w:rPr>
        <w:t>editorial</w:t>
      </w:r>
      <w:r>
        <w:rPr>
          <w:spacing w:val="-5"/>
          <w:w w:val="120"/>
          <w:sz w:val="20"/>
        </w:rPr>
        <w:t> </w:t>
      </w:r>
      <w:r>
        <w:rPr>
          <w:w w:val="120"/>
          <w:sz w:val="20"/>
        </w:rPr>
        <w:t>board</w:t>
      </w:r>
      <w:r>
        <w:rPr>
          <w:spacing w:val="-5"/>
          <w:w w:val="120"/>
          <w:sz w:val="20"/>
        </w:rPr>
        <w:t> </w:t>
      </w:r>
      <w:r>
        <w:rPr>
          <w:w w:val="120"/>
          <w:sz w:val="20"/>
        </w:rPr>
        <w:t>was</w:t>
      </w:r>
      <w:r>
        <w:rPr>
          <w:spacing w:val="-5"/>
          <w:w w:val="120"/>
          <w:sz w:val="20"/>
        </w:rPr>
        <w:t> </w:t>
      </w:r>
      <w:r>
        <w:rPr>
          <w:w w:val="120"/>
          <w:sz w:val="20"/>
        </w:rPr>
        <w:t>revived</w:t>
      </w:r>
      <w:r>
        <w:rPr>
          <w:spacing w:val="-4"/>
          <w:w w:val="120"/>
          <w:sz w:val="20"/>
        </w:rPr>
        <w:t> </w:t>
      </w:r>
      <w:r>
        <w:rPr>
          <w:w w:val="120"/>
          <w:sz w:val="20"/>
        </w:rPr>
        <w:t>in</w:t>
      </w:r>
      <w:r>
        <w:rPr>
          <w:spacing w:val="-5"/>
          <w:w w:val="120"/>
          <w:sz w:val="20"/>
        </w:rPr>
        <w:t> </w:t>
      </w:r>
      <w:r>
        <w:rPr>
          <w:spacing w:val="2"/>
          <w:w w:val="120"/>
          <w:sz w:val="20"/>
        </w:rPr>
        <w:t>February</w:t>
      </w:r>
      <w:r>
        <w:rPr>
          <w:spacing w:val="-5"/>
          <w:w w:val="120"/>
          <w:sz w:val="20"/>
        </w:rPr>
        <w:t> </w:t>
      </w:r>
      <w:r>
        <w:rPr>
          <w:spacing w:val="-7"/>
          <w:w w:val="120"/>
          <w:sz w:val="20"/>
        </w:rPr>
        <w:t>2015.</w:t>
      </w:r>
      <w:r>
        <w:rPr>
          <w:spacing w:val="-5"/>
          <w:w w:val="120"/>
          <w:sz w:val="20"/>
        </w:rPr>
        <w:t> </w:t>
      </w:r>
      <w:r>
        <w:rPr>
          <w:w w:val="120"/>
          <w:sz w:val="20"/>
        </w:rPr>
        <w:t>It</w:t>
      </w:r>
      <w:r>
        <w:rPr>
          <w:spacing w:val="-4"/>
          <w:w w:val="120"/>
          <w:sz w:val="20"/>
        </w:rPr>
        <w:t> </w:t>
      </w:r>
      <w:r>
        <w:rPr>
          <w:w w:val="120"/>
          <w:sz w:val="20"/>
        </w:rPr>
        <w:t>has</w:t>
      </w:r>
      <w:r>
        <w:rPr>
          <w:spacing w:val="-5"/>
          <w:w w:val="120"/>
          <w:sz w:val="20"/>
        </w:rPr>
        <w:t> </w:t>
      </w:r>
      <w:r>
        <w:rPr>
          <w:w w:val="120"/>
          <w:sz w:val="20"/>
        </w:rPr>
        <w:t>six</w:t>
      </w:r>
      <w:r>
        <w:rPr>
          <w:spacing w:val="-5"/>
          <w:w w:val="120"/>
          <w:sz w:val="20"/>
        </w:rPr>
        <w:t> </w:t>
      </w:r>
      <w:r>
        <w:rPr>
          <w:w w:val="120"/>
          <w:sz w:val="20"/>
        </w:rPr>
        <w:t>members</w:t>
      </w:r>
      <w:r>
        <w:rPr>
          <w:spacing w:val="-5"/>
          <w:w w:val="120"/>
          <w:sz w:val="20"/>
        </w:rPr>
        <w:t> </w:t>
      </w:r>
      <w:r>
        <w:rPr>
          <w:w w:val="120"/>
          <w:sz w:val="20"/>
        </w:rPr>
        <w:t>from across the denomination and meets twice a </w:t>
      </w:r>
      <w:r>
        <w:rPr>
          <w:spacing w:val="-4"/>
          <w:w w:val="120"/>
          <w:sz w:val="20"/>
        </w:rPr>
        <w:t>year, </w:t>
      </w:r>
      <w:r>
        <w:rPr>
          <w:w w:val="120"/>
          <w:sz w:val="20"/>
        </w:rPr>
        <w:t>offering valuable feedback on the content and direction of the</w:t>
      </w:r>
      <w:r>
        <w:rPr>
          <w:spacing w:val="11"/>
          <w:w w:val="120"/>
          <w:sz w:val="20"/>
        </w:rPr>
        <w:t> </w:t>
      </w:r>
      <w:r>
        <w:rPr>
          <w:w w:val="120"/>
          <w:sz w:val="20"/>
        </w:rPr>
        <w:t>magazine.</w:t>
      </w:r>
    </w:p>
    <w:p>
      <w:pPr>
        <w:pStyle w:val="BodyText"/>
        <w:spacing w:before="2"/>
        <w:rPr>
          <w:sz w:val="22"/>
        </w:rPr>
      </w:pPr>
    </w:p>
    <w:p>
      <w:pPr>
        <w:spacing w:before="1"/>
        <w:ind w:left="547" w:right="0" w:firstLine="0"/>
        <w:jc w:val="left"/>
        <w:rPr>
          <w:rFonts w:ascii="Stone Sans II ITC Std Bk"/>
          <w:b/>
          <w:sz w:val="29"/>
        </w:rPr>
      </w:pPr>
      <w:r>
        <w:rPr>
          <w:rFonts w:ascii="Stone Sans II ITC Std Bk"/>
          <w:b/>
          <w:spacing w:val="4"/>
          <w:w w:val="110"/>
          <w:sz w:val="29"/>
        </w:rPr>
        <w:t>Graphics </w:t>
      </w:r>
      <w:r>
        <w:rPr>
          <w:rFonts w:ascii="Stone Sans II ITC Std Bk"/>
          <w:b/>
          <w:spacing w:val="3"/>
          <w:w w:val="110"/>
          <w:sz w:val="29"/>
        </w:rPr>
        <w:t>and</w:t>
      </w:r>
      <w:r>
        <w:rPr>
          <w:rFonts w:ascii="Stone Sans II ITC Std Bk"/>
          <w:b/>
          <w:spacing w:val="37"/>
          <w:w w:val="110"/>
          <w:sz w:val="29"/>
        </w:rPr>
        <w:t> </w:t>
      </w:r>
      <w:r>
        <w:rPr>
          <w:rFonts w:ascii="Stone Sans II ITC Std Bk"/>
          <w:b/>
          <w:spacing w:val="3"/>
          <w:w w:val="110"/>
          <w:sz w:val="29"/>
        </w:rPr>
        <w:t>print</w:t>
      </w:r>
    </w:p>
    <w:p>
      <w:pPr>
        <w:pStyle w:val="ListParagraph"/>
        <w:numPr>
          <w:ilvl w:val="1"/>
          <w:numId w:val="55"/>
        </w:numPr>
        <w:tabs>
          <w:tab w:pos="1227" w:val="left" w:leader="none"/>
          <w:tab w:pos="1228" w:val="left" w:leader="none"/>
        </w:tabs>
        <w:spacing w:line="235" w:lineRule="auto" w:before="69" w:after="0"/>
        <w:ind w:left="547" w:right="1983" w:firstLine="0"/>
        <w:jc w:val="left"/>
        <w:rPr>
          <w:sz w:val="20"/>
        </w:rPr>
      </w:pPr>
      <w:r>
        <w:rPr>
          <w:w w:val="120"/>
          <w:sz w:val="20"/>
        </w:rPr>
        <w:t>It has been another extremely busy period and we have been working at  capacity. The steady stream of material to be designed and printed continues – certificates, booklets and business papers for Mission Council and General Assembly. Other projects are currently on hold mainly due to a lack of staff resources to deliver the volume of work needed in the time</w:t>
      </w:r>
      <w:r>
        <w:rPr>
          <w:spacing w:val="16"/>
          <w:w w:val="120"/>
          <w:sz w:val="20"/>
        </w:rPr>
        <w:t> </w:t>
      </w:r>
      <w:r>
        <w:rPr>
          <w:w w:val="120"/>
          <w:sz w:val="20"/>
        </w:rPr>
        <w:t>required.</w:t>
      </w:r>
    </w:p>
    <w:p>
      <w:pPr>
        <w:pStyle w:val="BodyText"/>
        <w:spacing w:before="11"/>
        <w:rPr>
          <w:sz w:val="19"/>
        </w:rPr>
      </w:pPr>
    </w:p>
    <w:p>
      <w:pPr>
        <w:pStyle w:val="ListParagraph"/>
        <w:numPr>
          <w:ilvl w:val="1"/>
          <w:numId w:val="55"/>
        </w:numPr>
        <w:tabs>
          <w:tab w:pos="1227" w:val="left" w:leader="none"/>
          <w:tab w:pos="1228" w:val="left" w:leader="none"/>
        </w:tabs>
        <w:spacing w:line="235" w:lineRule="auto" w:before="0" w:after="0"/>
        <w:ind w:left="547" w:right="2011" w:firstLine="0"/>
        <w:jc w:val="left"/>
        <w:rPr>
          <w:sz w:val="20"/>
        </w:rPr>
      </w:pPr>
      <w:r>
        <w:rPr>
          <w:w w:val="120"/>
          <w:sz w:val="20"/>
        </w:rPr>
        <w:t>Discussions about website material have led to a revision of the way web resources are presented; it is planned to roll out this new formatting style across all web resources as they are</w:t>
      </w:r>
      <w:r>
        <w:rPr>
          <w:spacing w:val="7"/>
          <w:w w:val="120"/>
          <w:sz w:val="20"/>
        </w:rPr>
        <w:t> </w:t>
      </w:r>
      <w:r>
        <w:rPr>
          <w:w w:val="120"/>
          <w:sz w:val="20"/>
        </w:rPr>
        <w:t>updated.</w:t>
      </w:r>
    </w:p>
    <w:p>
      <w:pPr>
        <w:pStyle w:val="BodyText"/>
        <w:spacing w:before="10"/>
        <w:rPr>
          <w:sz w:val="19"/>
        </w:rPr>
      </w:pPr>
    </w:p>
    <w:p>
      <w:pPr>
        <w:pStyle w:val="ListParagraph"/>
        <w:numPr>
          <w:ilvl w:val="1"/>
          <w:numId w:val="55"/>
        </w:numPr>
        <w:tabs>
          <w:tab w:pos="1227" w:val="left" w:leader="none"/>
          <w:tab w:pos="1228" w:val="left" w:leader="none"/>
        </w:tabs>
        <w:spacing w:line="235" w:lineRule="auto" w:before="1" w:after="0"/>
        <w:ind w:left="547" w:right="2048" w:firstLine="0"/>
        <w:jc w:val="left"/>
        <w:rPr>
          <w:sz w:val="20"/>
        </w:rPr>
      </w:pPr>
      <w:r>
        <w:rPr>
          <w:w w:val="120"/>
          <w:sz w:val="20"/>
        </w:rPr>
        <w:t>The graphics office continues to benefit from the skills of Chris Andrews, graphic designer for </w:t>
      </w:r>
      <w:r>
        <w:rPr>
          <w:i/>
          <w:w w:val="120"/>
          <w:sz w:val="20"/>
        </w:rPr>
        <w:t>Reform</w:t>
      </w:r>
      <w:r>
        <w:rPr>
          <w:w w:val="120"/>
          <w:sz w:val="20"/>
        </w:rPr>
        <w:t>, who now works with the graphics office for either two or three days a month </w:t>
      </w:r>
      <w:r>
        <w:rPr>
          <w:spacing w:val="-3"/>
          <w:w w:val="120"/>
          <w:sz w:val="20"/>
        </w:rPr>
        <w:t>(30 </w:t>
      </w:r>
      <w:r>
        <w:rPr>
          <w:w w:val="120"/>
          <w:sz w:val="20"/>
        </w:rPr>
        <w:t>days a </w:t>
      </w:r>
      <w:r>
        <w:rPr>
          <w:spacing w:val="-4"/>
          <w:w w:val="120"/>
          <w:sz w:val="20"/>
        </w:rPr>
        <w:t>year). </w:t>
      </w:r>
      <w:r>
        <w:rPr>
          <w:w w:val="120"/>
          <w:sz w:val="20"/>
        </w:rPr>
        <w:t>The most significant piece of work Chris has been involved in is the development of the reworked URC</w:t>
      </w:r>
      <w:r>
        <w:rPr>
          <w:spacing w:val="26"/>
          <w:w w:val="120"/>
          <w:sz w:val="20"/>
        </w:rPr>
        <w:t> </w:t>
      </w:r>
      <w:r>
        <w:rPr>
          <w:w w:val="120"/>
          <w:sz w:val="20"/>
        </w:rPr>
        <w:t>logo.</w:t>
      </w:r>
    </w:p>
    <w:p>
      <w:pPr>
        <w:pStyle w:val="BodyText"/>
        <w:spacing w:before="3"/>
        <w:rPr>
          <w:sz w:val="22"/>
        </w:rPr>
      </w:pPr>
    </w:p>
    <w:p>
      <w:pPr>
        <w:spacing w:before="0"/>
        <w:ind w:left="547" w:right="0" w:firstLine="0"/>
        <w:jc w:val="left"/>
        <w:rPr>
          <w:rFonts w:ascii="Stone Sans II ITC Std Bk"/>
          <w:b/>
          <w:sz w:val="29"/>
        </w:rPr>
      </w:pPr>
      <w:r>
        <w:rPr>
          <w:rFonts w:ascii="Stone Sans II ITC Std Bk"/>
          <w:b/>
          <w:w w:val="110"/>
          <w:sz w:val="29"/>
        </w:rPr>
        <w:t>Website</w:t>
      </w:r>
    </w:p>
    <w:p>
      <w:pPr>
        <w:pStyle w:val="ListParagraph"/>
        <w:numPr>
          <w:ilvl w:val="1"/>
          <w:numId w:val="56"/>
        </w:numPr>
        <w:tabs>
          <w:tab w:pos="1227" w:val="left" w:leader="none"/>
          <w:tab w:pos="1228" w:val="left" w:leader="none"/>
        </w:tabs>
        <w:spacing w:line="235" w:lineRule="auto" w:before="69" w:after="0"/>
        <w:ind w:left="547" w:right="2009" w:firstLine="0"/>
        <w:jc w:val="left"/>
        <w:rPr>
          <w:sz w:val="20"/>
        </w:rPr>
      </w:pPr>
      <w:r>
        <w:rPr>
          <w:w w:val="120"/>
          <w:sz w:val="20"/>
        </w:rPr>
        <w:t>In </w:t>
      </w:r>
      <w:r>
        <w:rPr>
          <w:spacing w:val="-7"/>
          <w:w w:val="120"/>
          <w:sz w:val="20"/>
        </w:rPr>
        <w:t>2015 </w:t>
      </w:r>
      <w:r>
        <w:rPr>
          <w:w w:val="120"/>
          <w:sz w:val="20"/>
        </w:rPr>
        <w:t>the URC website has been moved to an updated stable platform and a cleaner, more streamlined layout is being implemented across the site, starting with the Admin and Resources section. Planned development in other areas is in progress but due to limited staff resource, has not been able to move forward at the pace hoped</w:t>
      </w:r>
      <w:r>
        <w:rPr>
          <w:spacing w:val="15"/>
          <w:w w:val="120"/>
          <w:sz w:val="20"/>
        </w:rPr>
        <w:t> </w:t>
      </w:r>
      <w:r>
        <w:rPr>
          <w:spacing w:val="-3"/>
          <w:w w:val="120"/>
          <w:sz w:val="20"/>
        </w:rPr>
        <w:t>for.</w:t>
      </w:r>
    </w:p>
    <w:p>
      <w:pPr>
        <w:pStyle w:val="BodyText"/>
        <w:spacing w:before="11"/>
        <w:rPr>
          <w:sz w:val="19"/>
        </w:rPr>
      </w:pPr>
    </w:p>
    <w:p>
      <w:pPr>
        <w:pStyle w:val="ListParagraph"/>
        <w:numPr>
          <w:ilvl w:val="1"/>
          <w:numId w:val="56"/>
        </w:numPr>
        <w:tabs>
          <w:tab w:pos="1227" w:val="left" w:leader="none"/>
          <w:tab w:pos="1228" w:val="left" w:leader="none"/>
        </w:tabs>
        <w:spacing w:line="235" w:lineRule="auto" w:before="0" w:after="0"/>
        <w:ind w:left="547" w:right="2208" w:firstLine="0"/>
        <w:jc w:val="left"/>
        <w:rPr>
          <w:sz w:val="20"/>
        </w:rPr>
      </w:pPr>
      <w:r>
        <w:rPr>
          <w:w w:val="120"/>
          <w:sz w:val="20"/>
        </w:rPr>
        <w:t>We are currently considering appointing – on a part-time fixed term contract – a web specialist to help progress the updating of the</w:t>
      </w:r>
      <w:r>
        <w:rPr>
          <w:spacing w:val="27"/>
          <w:w w:val="120"/>
          <w:sz w:val="20"/>
        </w:rPr>
        <w:t> </w:t>
      </w:r>
      <w:r>
        <w:rPr>
          <w:w w:val="120"/>
          <w:sz w:val="20"/>
        </w:rPr>
        <w:t>website.</w:t>
      </w:r>
    </w:p>
    <w:p>
      <w:pPr>
        <w:spacing w:after="0" w:line="235" w:lineRule="auto"/>
        <w:jc w:val="left"/>
        <w:rPr>
          <w:sz w:val="20"/>
        </w:rPr>
        <w:sectPr>
          <w:headerReference w:type="even" r:id="rId218"/>
          <w:pgSz w:w="11910" w:h="16840"/>
          <w:pgMar w:header="0" w:footer="647" w:top="0" w:bottom="840" w:left="700" w:right="0"/>
        </w:sectPr>
      </w:pPr>
    </w:p>
    <w:p>
      <w:pPr>
        <w:pStyle w:val="BodyText"/>
      </w:pPr>
    </w:p>
    <w:p>
      <w:pPr>
        <w:pStyle w:val="BodyText"/>
        <w:spacing w:before="7"/>
        <w:rPr>
          <w:sz w:val="21"/>
        </w:rPr>
      </w:pPr>
    </w:p>
    <w:p>
      <w:pPr>
        <w:spacing w:after="0"/>
        <w:rPr>
          <w:sz w:val="21"/>
        </w:rPr>
        <w:sectPr>
          <w:headerReference w:type="default" r:id="rId219"/>
          <w:footerReference w:type="default" r:id="rId220"/>
          <w:pgSz w:w="11910" w:h="16840"/>
          <w:pgMar w:header="0" w:footer="647" w:top="0" w:bottom="840" w:left="700" w:right="0"/>
          <w:pgNumType w:start="65"/>
        </w:sectPr>
      </w:pPr>
    </w:p>
    <w:p>
      <w:pPr>
        <w:pStyle w:val="BodyText"/>
        <w:spacing w:before="4"/>
        <w:rPr>
          <w:sz w:val="52"/>
        </w:rPr>
      </w:pPr>
    </w:p>
    <w:p>
      <w:pPr>
        <w:spacing w:before="0"/>
        <w:ind w:left="1284" w:right="0" w:firstLine="0"/>
        <w:jc w:val="left"/>
        <w:rPr>
          <w:rFonts w:ascii="Stone Sans II ITC Std Bk"/>
          <w:b/>
          <w:sz w:val="29"/>
        </w:rPr>
      </w:pPr>
      <w:r>
        <w:rPr>
          <w:rFonts w:ascii="Stone Sans II ITC Std Bk"/>
          <w:b/>
          <w:w w:val="110"/>
          <w:sz w:val="29"/>
        </w:rPr>
        <w:t>Publications</w:t>
      </w:r>
    </w:p>
    <w:p>
      <w:pPr>
        <w:spacing w:before="106"/>
        <w:ind w:left="1284" w:right="0" w:firstLine="0"/>
        <w:jc w:val="left"/>
        <w:rPr>
          <w:sz w:val="26"/>
        </w:rPr>
      </w:pPr>
      <w:r>
        <w:rPr/>
        <w:br w:type="column"/>
      </w:r>
      <w:r>
        <w:rPr>
          <w:color w:val="7EAABF"/>
          <w:w w:val="115"/>
          <w:sz w:val="26"/>
        </w:rPr>
        <w:t>Communications and editorial</w:t>
      </w:r>
    </w:p>
    <w:p>
      <w:pPr>
        <w:spacing w:after="0"/>
        <w:jc w:val="left"/>
        <w:rPr>
          <w:sz w:val="26"/>
        </w:rPr>
        <w:sectPr>
          <w:type w:val="continuous"/>
          <w:pgSz w:w="11910" w:h="16840"/>
          <w:pgMar w:top="1580" w:bottom="280" w:left="700" w:right="0"/>
          <w:cols w:num="2" w:equalWidth="0">
            <w:col w:w="3283" w:space="1683"/>
            <w:col w:w="6244"/>
          </w:cols>
        </w:sectPr>
      </w:pPr>
    </w:p>
    <w:p>
      <w:pPr>
        <w:pStyle w:val="ListParagraph"/>
        <w:numPr>
          <w:ilvl w:val="1"/>
          <w:numId w:val="57"/>
        </w:numPr>
        <w:tabs>
          <w:tab w:pos="1964" w:val="left" w:leader="none"/>
          <w:tab w:pos="1965" w:val="left" w:leader="none"/>
        </w:tabs>
        <w:spacing w:line="235" w:lineRule="auto" w:before="69" w:after="0"/>
        <w:ind w:left="1284" w:right="1372" w:firstLine="0"/>
        <w:jc w:val="left"/>
        <w:rPr>
          <w:sz w:val="20"/>
        </w:rPr>
      </w:pPr>
      <w:r>
        <w:rPr/>
        <w:drawing>
          <wp:anchor distT="0" distB="0" distL="0" distR="0" allowOverlap="1" layoutInCell="1" locked="0" behindDoc="0" simplePos="0" relativeHeight="251825152">
            <wp:simplePos x="0" y="0"/>
            <wp:positionH relativeFrom="page">
              <wp:posOffset>6974928</wp:posOffset>
            </wp:positionH>
            <wp:positionV relativeFrom="page">
              <wp:posOffset>0</wp:posOffset>
            </wp:positionV>
            <wp:extent cx="585063" cy="10692003"/>
            <wp:effectExtent l="0" t="0" r="0" b="0"/>
            <wp:wrapNone/>
            <wp:docPr id="115" name="image54.png"/>
            <wp:cNvGraphicFramePr>
              <a:graphicFrameLocks noChangeAspect="1"/>
            </wp:cNvGraphicFramePr>
            <a:graphic>
              <a:graphicData uri="http://schemas.openxmlformats.org/drawingml/2006/picture">
                <pic:pic>
                  <pic:nvPicPr>
                    <pic:cNvPr id="116" name="image54.png"/>
                    <pic:cNvPicPr/>
                  </pic:nvPicPr>
                  <pic:blipFill>
                    <a:blip r:embed="rId169" cstate="print"/>
                    <a:stretch>
                      <a:fillRect/>
                    </a:stretch>
                  </pic:blipFill>
                  <pic:spPr>
                    <a:xfrm>
                      <a:off x="0" y="0"/>
                      <a:ext cx="585063" cy="10692003"/>
                    </a:xfrm>
                    <a:prstGeom prst="rect">
                      <a:avLst/>
                    </a:prstGeom>
                  </pic:spPr>
                </pic:pic>
              </a:graphicData>
            </a:graphic>
          </wp:anchor>
        </w:drawing>
      </w:r>
      <w:r>
        <w:rPr/>
        <w:pict>
          <v:shape style="position:absolute;margin-left:554.141174pt;margin-top:-28.931347pt;width:25.9pt;height:308.850pt;mso-position-horizontal-relative:page;mso-position-vertical-relative:paragraph;z-index:251826176" type="#_x0000_t202" filled="false" stroked="false">
            <v:textbox inset="0,0,0,0" style="layout-flow:vertical">
              <w:txbxContent>
                <w:p>
                  <w:pPr>
                    <w:spacing w:before="27"/>
                    <w:ind w:left="20" w:right="0" w:firstLine="0"/>
                    <w:jc w:val="left"/>
                    <w:rPr>
                      <w:sz w:val="39"/>
                    </w:rPr>
                  </w:pPr>
                  <w:r>
                    <w:rPr>
                      <w:color w:val="FFFFFF"/>
                      <w:w w:val="120"/>
                      <w:sz w:val="39"/>
                    </w:rPr>
                    <w:t>Communications and editorial</w:t>
                  </w:r>
                </w:p>
              </w:txbxContent>
            </v:textbox>
            <w10:wrap type="none"/>
          </v:shape>
        </w:pict>
      </w:r>
      <w:r>
        <w:rPr>
          <w:w w:val="120"/>
          <w:sz w:val="20"/>
        </w:rPr>
        <w:t>Having been staffed by temporary </w:t>
      </w:r>
      <w:r>
        <w:rPr>
          <w:spacing w:val="-3"/>
          <w:w w:val="120"/>
          <w:sz w:val="20"/>
        </w:rPr>
        <w:t>(agency) </w:t>
      </w:r>
      <w:r>
        <w:rPr>
          <w:w w:val="120"/>
          <w:sz w:val="20"/>
        </w:rPr>
        <w:t>staff for the past few years we are now recruiting for a permanent part-time </w:t>
      </w:r>
      <w:r>
        <w:rPr>
          <w:spacing w:val="-5"/>
          <w:w w:val="120"/>
          <w:sz w:val="20"/>
        </w:rPr>
        <w:t>(0.6) </w:t>
      </w:r>
      <w:r>
        <w:rPr>
          <w:w w:val="120"/>
          <w:sz w:val="20"/>
        </w:rPr>
        <w:t>Publications Coordinator. This new role will include marketing</w:t>
      </w:r>
      <w:r>
        <w:rPr>
          <w:spacing w:val="6"/>
          <w:w w:val="120"/>
          <w:sz w:val="20"/>
        </w:rPr>
        <w:t> </w:t>
      </w:r>
      <w:r>
        <w:rPr>
          <w:w w:val="120"/>
          <w:sz w:val="20"/>
        </w:rPr>
        <w:t>activity.</w:t>
      </w:r>
    </w:p>
    <w:p>
      <w:pPr>
        <w:pStyle w:val="BodyText"/>
        <w:spacing w:before="6"/>
        <w:rPr>
          <w:sz w:val="19"/>
        </w:rPr>
      </w:pPr>
    </w:p>
    <w:p>
      <w:pPr>
        <w:pStyle w:val="ListParagraph"/>
        <w:numPr>
          <w:ilvl w:val="1"/>
          <w:numId w:val="57"/>
        </w:numPr>
        <w:tabs>
          <w:tab w:pos="1964" w:val="left" w:leader="none"/>
          <w:tab w:pos="1965" w:val="left" w:leader="none"/>
        </w:tabs>
        <w:spacing w:line="242" w:lineRule="exact" w:before="0" w:after="0"/>
        <w:ind w:left="1964" w:right="0" w:hanging="681"/>
        <w:jc w:val="left"/>
        <w:rPr>
          <w:i/>
          <w:sz w:val="20"/>
        </w:rPr>
      </w:pPr>
      <w:r>
        <w:rPr>
          <w:w w:val="120"/>
          <w:sz w:val="20"/>
        </w:rPr>
        <w:t>The</w:t>
      </w:r>
      <w:r>
        <w:rPr>
          <w:spacing w:val="-4"/>
          <w:w w:val="120"/>
          <w:sz w:val="20"/>
        </w:rPr>
        <w:t> </w:t>
      </w:r>
      <w:r>
        <w:rPr>
          <w:w w:val="120"/>
          <w:sz w:val="20"/>
        </w:rPr>
        <w:t>three</w:t>
      </w:r>
      <w:r>
        <w:rPr>
          <w:spacing w:val="-4"/>
          <w:w w:val="120"/>
          <w:sz w:val="20"/>
        </w:rPr>
        <w:t> </w:t>
      </w:r>
      <w:r>
        <w:rPr>
          <w:w w:val="120"/>
          <w:sz w:val="20"/>
        </w:rPr>
        <w:t>annual</w:t>
      </w:r>
      <w:r>
        <w:rPr>
          <w:spacing w:val="-4"/>
          <w:w w:val="120"/>
          <w:sz w:val="20"/>
        </w:rPr>
        <w:t> </w:t>
      </w:r>
      <w:r>
        <w:rPr>
          <w:w w:val="120"/>
          <w:sz w:val="20"/>
        </w:rPr>
        <w:t>publications</w:t>
      </w:r>
      <w:r>
        <w:rPr>
          <w:spacing w:val="-4"/>
          <w:w w:val="120"/>
          <w:sz w:val="20"/>
        </w:rPr>
        <w:t> </w:t>
      </w:r>
      <w:r>
        <w:rPr>
          <w:w w:val="120"/>
          <w:sz w:val="20"/>
        </w:rPr>
        <w:t>–</w:t>
      </w:r>
      <w:r>
        <w:rPr>
          <w:spacing w:val="-4"/>
          <w:w w:val="120"/>
          <w:sz w:val="20"/>
        </w:rPr>
        <w:t> </w:t>
      </w:r>
      <w:r>
        <w:rPr>
          <w:w w:val="120"/>
          <w:sz w:val="20"/>
        </w:rPr>
        <w:t>The</w:t>
      </w:r>
      <w:r>
        <w:rPr>
          <w:spacing w:val="-4"/>
          <w:w w:val="120"/>
          <w:sz w:val="20"/>
        </w:rPr>
        <w:t> </w:t>
      </w:r>
      <w:r>
        <w:rPr>
          <w:i/>
          <w:w w:val="120"/>
          <w:sz w:val="20"/>
        </w:rPr>
        <w:t>Yearbook</w:t>
      </w:r>
      <w:r>
        <w:rPr>
          <w:w w:val="120"/>
          <w:sz w:val="20"/>
        </w:rPr>
        <w:t>,</w:t>
      </w:r>
      <w:r>
        <w:rPr>
          <w:spacing w:val="-6"/>
          <w:w w:val="120"/>
          <w:sz w:val="20"/>
        </w:rPr>
        <w:t> </w:t>
      </w:r>
      <w:r>
        <w:rPr>
          <w:i/>
          <w:w w:val="120"/>
          <w:sz w:val="20"/>
        </w:rPr>
        <w:t>Prayer</w:t>
      </w:r>
      <w:r>
        <w:rPr>
          <w:i/>
          <w:spacing w:val="-7"/>
          <w:w w:val="120"/>
          <w:sz w:val="20"/>
        </w:rPr>
        <w:t> </w:t>
      </w:r>
      <w:r>
        <w:rPr>
          <w:i/>
          <w:w w:val="120"/>
          <w:sz w:val="20"/>
        </w:rPr>
        <w:t>Handbook</w:t>
      </w:r>
      <w:r>
        <w:rPr>
          <w:i/>
          <w:spacing w:val="-4"/>
          <w:w w:val="120"/>
          <w:sz w:val="20"/>
        </w:rPr>
        <w:t> </w:t>
      </w:r>
      <w:r>
        <w:rPr>
          <w:w w:val="120"/>
          <w:sz w:val="20"/>
        </w:rPr>
        <w:t>and</w:t>
      </w:r>
      <w:r>
        <w:rPr>
          <w:spacing w:val="-4"/>
          <w:w w:val="120"/>
          <w:sz w:val="20"/>
        </w:rPr>
        <w:t> </w:t>
      </w:r>
      <w:r>
        <w:rPr>
          <w:w w:val="120"/>
          <w:sz w:val="20"/>
        </w:rPr>
        <w:t>the</w:t>
      </w:r>
      <w:r>
        <w:rPr>
          <w:spacing w:val="-4"/>
          <w:w w:val="120"/>
          <w:sz w:val="20"/>
        </w:rPr>
        <w:t> </w:t>
      </w:r>
      <w:r>
        <w:rPr>
          <w:i/>
          <w:w w:val="120"/>
          <w:sz w:val="20"/>
        </w:rPr>
        <w:t>URC</w:t>
      </w:r>
      <w:r>
        <w:rPr>
          <w:i/>
          <w:spacing w:val="-6"/>
          <w:w w:val="120"/>
          <w:sz w:val="20"/>
        </w:rPr>
        <w:t> </w:t>
      </w:r>
      <w:r>
        <w:rPr>
          <w:i/>
          <w:w w:val="120"/>
          <w:sz w:val="20"/>
        </w:rPr>
        <w:t>diary</w:t>
      </w:r>
    </w:p>
    <w:p>
      <w:pPr>
        <w:pStyle w:val="BodyText"/>
        <w:spacing w:line="242" w:lineRule="exact"/>
        <w:ind w:left="1284"/>
      </w:pPr>
      <w:r>
        <w:rPr>
          <w:w w:val="120"/>
        </w:rPr>
        <w:t>remain steady sellers.</w:t>
      </w:r>
    </w:p>
    <w:p>
      <w:pPr>
        <w:pStyle w:val="BodyText"/>
        <w:spacing w:before="8"/>
        <w:rPr>
          <w:sz w:val="19"/>
        </w:rPr>
      </w:pPr>
    </w:p>
    <w:p>
      <w:pPr>
        <w:pStyle w:val="ListParagraph"/>
        <w:numPr>
          <w:ilvl w:val="1"/>
          <w:numId w:val="57"/>
        </w:numPr>
        <w:tabs>
          <w:tab w:pos="1964" w:val="left" w:leader="none"/>
          <w:tab w:pos="1965" w:val="left" w:leader="none"/>
        </w:tabs>
        <w:spacing w:line="235" w:lineRule="auto" w:before="0" w:after="0"/>
        <w:ind w:left="1284" w:right="1538" w:firstLine="0"/>
        <w:jc w:val="left"/>
        <w:rPr>
          <w:sz w:val="20"/>
        </w:rPr>
      </w:pPr>
      <w:r>
        <w:rPr>
          <w:w w:val="120"/>
          <w:sz w:val="20"/>
        </w:rPr>
        <w:t>In </w:t>
      </w:r>
      <w:r>
        <w:rPr>
          <w:spacing w:val="-7"/>
          <w:w w:val="120"/>
          <w:sz w:val="20"/>
        </w:rPr>
        <w:t>2015 </w:t>
      </w:r>
      <w:r>
        <w:rPr>
          <w:w w:val="120"/>
          <w:sz w:val="20"/>
        </w:rPr>
        <w:t>the content of the </w:t>
      </w:r>
      <w:r>
        <w:rPr>
          <w:i/>
          <w:w w:val="120"/>
          <w:sz w:val="20"/>
        </w:rPr>
        <w:t>Yearbook </w:t>
      </w:r>
      <w:r>
        <w:rPr>
          <w:w w:val="120"/>
          <w:sz w:val="20"/>
        </w:rPr>
        <w:t>was examined and improvements made to both layout and</w:t>
      </w:r>
      <w:r>
        <w:rPr>
          <w:spacing w:val="6"/>
          <w:w w:val="120"/>
          <w:sz w:val="20"/>
        </w:rPr>
        <w:t> </w:t>
      </w:r>
      <w:r>
        <w:rPr>
          <w:w w:val="120"/>
          <w:sz w:val="20"/>
        </w:rPr>
        <w:t>content.</w:t>
      </w:r>
    </w:p>
    <w:p>
      <w:pPr>
        <w:pStyle w:val="BodyText"/>
        <w:spacing w:before="10"/>
        <w:rPr>
          <w:sz w:val="19"/>
        </w:rPr>
      </w:pPr>
    </w:p>
    <w:p>
      <w:pPr>
        <w:pStyle w:val="ListParagraph"/>
        <w:numPr>
          <w:ilvl w:val="1"/>
          <w:numId w:val="57"/>
        </w:numPr>
        <w:tabs>
          <w:tab w:pos="1964" w:val="left" w:leader="none"/>
          <w:tab w:pos="1965" w:val="left" w:leader="none"/>
        </w:tabs>
        <w:spacing w:line="235" w:lineRule="auto" w:before="0" w:after="0"/>
        <w:ind w:left="1284" w:right="1404" w:firstLine="0"/>
        <w:jc w:val="left"/>
        <w:rPr>
          <w:sz w:val="20"/>
        </w:rPr>
      </w:pPr>
      <w:r>
        <w:rPr>
          <w:w w:val="120"/>
          <w:sz w:val="20"/>
        </w:rPr>
        <w:t>Recognising that the department does not have the resources to act as a publisher the committee decided to pull back from publishing new titles whilst the review was ongoing. During the review, the committee started work on a publications policy – this is still in </w:t>
      </w:r>
      <w:r>
        <w:rPr>
          <w:spacing w:val="2"/>
          <w:w w:val="120"/>
          <w:sz w:val="20"/>
        </w:rPr>
        <w:t>draft </w:t>
      </w:r>
      <w:r>
        <w:rPr>
          <w:w w:val="120"/>
          <w:sz w:val="20"/>
        </w:rPr>
        <w:t>form and is due to be further reviewed by the committee at its next meeting. When finalised it will go to Mission Council for</w:t>
      </w:r>
      <w:r>
        <w:rPr>
          <w:spacing w:val="31"/>
          <w:w w:val="120"/>
          <w:sz w:val="20"/>
        </w:rPr>
        <w:t> </w:t>
      </w:r>
      <w:r>
        <w:rPr>
          <w:w w:val="120"/>
          <w:sz w:val="20"/>
        </w:rPr>
        <w:t>ratification</w:t>
      </w:r>
    </w:p>
    <w:p>
      <w:pPr>
        <w:pStyle w:val="BodyText"/>
        <w:spacing w:before="11"/>
        <w:rPr>
          <w:sz w:val="19"/>
        </w:rPr>
      </w:pPr>
    </w:p>
    <w:p>
      <w:pPr>
        <w:pStyle w:val="ListParagraph"/>
        <w:numPr>
          <w:ilvl w:val="1"/>
          <w:numId w:val="57"/>
        </w:numPr>
        <w:tabs>
          <w:tab w:pos="1964" w:val="left" w:leader="none"/>
          <w:tab w:pos="1965" w:val="left" w:leader="none"/>
        </w:tabs>
        <w:spacing w:line="235" w:lineRule="auto" w:before="1" w:after="0"/>
        <w:ind w:left="1284" w:right="1895" w:firstLine="0"/>
        <w:jc w:val="left"/>
        <w:rPr>
          <w:sz w:val="20"/>
        </w:rPr>
      </w:pPr>
      <w:r>
        <w:rPr>
          <w:w w:val="120"/>
          <w:sz w:val="20"/>
        </w:rPr>
        <w:t>Despite the virtual moratorium on publishing new titles, we are pleased to announce that we will be publishing two new titles this year – one from Bernard Thorogood and another from his son Neil</w:t>
      </w:r>
      <w:r>
        <w:rPr>
          <w:spacing w:val="26"/>
          <w:w w:val="120"/>
          <w:sz w:val="20"/>
        </w:rPr>
        <w:t> </w:t>
      </w:r>
      <w:r>
        <w:rPr>
          <w:w w:val="120"/>
          <w:sz w:val="20"/>
        </w:rPr>
        <w:t>Thorogood.</w:t>
      </w:r>
    </w:p>
    <w:p>
      <w:pPr>
        <w:pStyle w:val="BodyText"/>
        <w:spacing w:before="10"/>
        <w:rPr>
          <w:sz w:val="19"/>
        </w:rPr>
      </w:pPr>
    </w:p>
    <w:p>
      <w:pPr>
        <w:pStyle w:val="ListParagraph"/>
        <w:numPr>
          <w:ilvl w:val="1"/>
          <w:numId w:val="57"/>
        </w:numPr>
        <w:tabs>
          <w:tab w:pos="1964" w:val="left" w:leader="none"/>
          <w:tab w:pos="1965" w:val="left" w:leader="none"/>
        </w:tabs>
        <w:spacing w:line="235" w:lineRule="auto" w:before="0" w:after="0"/>
        <w:ind w:left="1284" w:right="1369" w:firstLine="0"/>
        <w:jc w:val="left"/>
        <w:rPr>
          <w:sz w:val="20"/>
        </w:rPr>
      </w:pPr>
      <w:r>
        <w:rPr>
          <w:w w:val="120"/>
          <w:sz w:val="20"/>
        </w:rPr>
        <w:t>The publications board is in the process of being re-established. The committee is delighted that the Revd Heather Whyte has agreed chair the board. We hope that it will be in place and operational by summer</w:t>
      </w:r>
      <w:r>
        <w:rPr>
          <w:spacing w:val="22"/>
          <w:w w:val="120"/>
          <w:sz w:val="20"/>
        </w:rPr>
        <w:t> </w:t>
      </w:r>
      <w:r>
        <w:rPr>
          <w:spacing w:val="-6"/>
          <w:w w:val="120"/>
          <w:sz w:val="20"/>
        </w:rPr>
        <w:t>2016.</w:t>
      </w:r>
    </w:p>
    <w:p>
      <w:pPr>
        <w:pStyle w:val="BodyText"/>
        <w:spacing w:before="2"/>
        <w:rPr>
          <w:sz w:val="22"/>
        </w:rPr>
      </w:pPr>
    </w:p>
    <w:p>
      <w:pPr>
        <w:spacing w:before="0"/>
        <w:ind w:left="1284" w:right="0" w:firstLine="0"/>
        <w:jc w:val="left"/>
        <w:rPr>
          <w:rFonts w:ascii="Stone Sans II ITC Std Bk"/>
          <w:b/>
          <w:sz w:val="29"/>
        </w:rPr>
      </w:pPr>
      <w:r>
        <w:rPr>
          <w:rFonts w:ascii="Stone Sans II ITC Std Bk"/>
          <w:b/>
          <w:w w:val="110"/>
          <w:sz w:val="29"/>
        </w:rPr>
        <w:t>Despatch</w:t>
      </w:r>
    </w:p>
    <w:p>
      <w:pPr>
        <w:pStyle w:val="BodyText"/>
        <w:tabs>
          <w:tab w:pos="1964" w:val="left" w:leader="none"/>
        </w:tabs>
        <w:spacing w:line="235" w:lineRule="auto" w:before="70"/>
        <w:ind w:left="1284" w:right="1531"/>
      </w:pPr>
      <w:r>
        <w:rPr>
          <w:spacing w:val="-7"/>
          <w:w w:val="120"/>
        </w:rPr>
        <w:t>12.</w:t>
        <w:tab/>
      </w:r>
      <w:r>
        <w:rPr>
          <w:w w:val="120"/>
        </w:rPr>
        <w:t>In the past two years the despatch office has been modernised and now uses Royal </w:t>
      </w:r>
      <w:r>
        <w:rPr>
          <w:spacing w:val="-3"/>
          <w:w w:val="120"/>
        </w:rPr>
        <w:t>Mail’s </w:t>
      </w:r>
      <w:r>
        <w:rPr>
          <w:w w:val="120"/>
        </w:rPr>
        <w:t>online processing programme for sorting parcel post. The office is open two days a week and works at full capacity on both days; packing and despatching copies</w:t>
      </w:r>
      <w:r>
        <w:rPr>
          <w:spacing w:val="-12"/>
          <w:w w:val="120"/>
        </w:rPr>
        <w:t> </w:t>
      </w:r>
      <w:r>
        <w:rPr>
          <w:w w:val="120"/>
        </w:rPr>
        <w:t>of</w:t>
      </w:r>
      <w:r>
        <w:rPr>
          <w:spacing w:val="-11"/>
          <w:w w:val="120"/>
        </w:rPr>
        <w:t> </w:t>
      </w:r>
      <w:r>
        <w:rPr>
          <w:w w:val="120"/>
        </w:rPr>
        <w:t>the</w:t>
      </w:r>
      <w:r>
        <w:rPr>
          <w:spacing w:val="-11"/>
          <w:w w:val="120"/>
        </w:rPr>
        <w:t> </w:t>
      </w:r>
      <w:r>
        <w:rPr>
          <w:i/>
          <w:w w:val="120"/>
        </w:rPr>
        <w:t>Yearbook</w:t>
      </w:r>
      <w:r>
        <w:rPr>
          <w:i/>
          <w:spacing w:val="-11"/>
          <w:w w:val="120"/>
        </w:rPr>
        <w:t> </w:t>
      </w:r>
      <w:r>
        <w:rPr>
          <w:w w:val="120"/>
        </w:rPr>
        <w:t>and</w:t>
      </w:r>
      <w:r>
        <w:rPr>
          <w:spacing w:val="-11"/>
          <w:w w:val="120"/>
        </w:rPr>
        <w:t> </w:t>
      </w:r>
      <w:r>
        <w:rPr>
          <w:w w:val="120"/>
        </w:rPr>
        <w:t>the</w:t>
      </w:r>
      <w:r>
        <w:rPr>
          <w:spacing w:val="-14"/>
          <w:w w:val="120"/>
        </w:rPr>
        <w:t> </w:t>
      </w:r>
      <w:r>
        <w:rPr>
          <w:i/>
          <w:w w:val="120"/>
        </w:rPr>
        <w:t>Prayer</w:t>
      </w:r>
      <w:r>
        <w:rPr>
          <w:i/>
          <w:spacing w:val="-13"/>
          <w:w w:val="120"/>
        </w:rPr>
        <w:t> </w:t>
      </w:r>
      <w:r>
        <w:rPr>
          <w:i/>
          <w:w w:val="120"/>
        </w:rPr>
        <w:t>Handbook</w:t>
      </w:r>
      <w:r>
        <w:rPr>
          <w:w w:val="120"/>
        </w:rPr>
        <w:t>,</w:t>
      </w:r>
      <w:r>
        <w:rPr>
          <w:spacing w:val="-11"/>
          <w:w w:val="120"/>
        </w:rPr>
        <w:t> </w:t>
      </w:r>
      <w:r>
        <w:rPr>
          <w:w w:val="120"/>
        </w:rPr>
        <w:t>as</w:t>
      </w:r>
      <w:r>
        <w:rPr>
          <w:spacing w:val="-12"/>
          <w:w w:val="120"/>
        </w:rPr>
        <w:t> </w:t>
      </w:r>
      <w:r>
        <w:rPr>
          <w:w w:val="120"/>
        </w:rPr>
        <w:t>well</w:t>
      </w:r>
      <w:r>
        <w:rPr>
          <w:spacing w:val="-11"/>
          <w:w w:val="120"/>
        </w:rPr>
        <w:t> </w:t>
      </w:r>
      <w:r>
        <w:rPr>
          <w:w w:val="120"/>
        </w:rPr>
        <w:t>as</w:t>
      </w:r>
      <w:r>
        <w:rPr>
          <w:spacing w:val="-11"/>
          <w:w w:val="120"/>
        </w:rPr>
        <w:t> </w:t>
      </w:r>
      <w:r>
        <w:rPr>
          <w:w w:val="120"/>
        </w:rPr>
        <w:t>publications</w:t>
      </w:r>
      <w:r>
        <w:rPr>
          <w:spacing w:val="-11"/>
          <w:w w:val="120"/>
        </w:rPr>
        <w:t> </w:t>
      </w:r>
      <w:r>
        <w:rPr>
          <w:w w:val="120"/>
        </w:rPr>
        <w:t>and</w:t>
      </w:r>
      <w:r>
        <w:rPr>
          <w:spacing w:val="-11"/>
          <w:w w:val="120"/>
        </w:rPr>
        <w:t> </w:t>
      </w:r>
      <w:r>
        <w:rPr>
          <w:w w:val="120"/>
        </w:rPr>
        <w:t>items</w:t>
      </w:r>
      <w:r>
        <w:rPr>
          <w:spacing w:val="-12"/>
          <w:w w:val="120"/>
        </w:rPr>
        <w:t> </w:t>
      </w:r>
      <w:r>
        <w:rPr>
          <w:w w:val="120"/>
        </w:rPr>
        <w:t>sold via the online</w:t>
      </w:r>
      <w:r>
        <w:rPr>
          <w:spacing w:val="5"/>
          <w:w w:val="120"/>
        </w:rPr>
        <w:t> </w:t>
      </w:r>
      <w:r>
        <w:rPr>
          <w:w w:val="120"/>
        </w:rPr>
        <w:t>store.</w:t>
      </w:r>
    </w:p>
    <w:p>
      <w:pPr>
        <w:spacing w:after="0" w:line="235" w:lineRule="auto"/>
        <w:sectPr>
          <w:type w:val="continuous"/>
          <w:pgSz w:w="11910" w:h="16840"/>
          <w:pgMar w:top="1580" w:bottom="280" w:left="700" w:right="0"/>
        </w:sectPr>
      </w:pPr>
    </w:p>
    <w:p>
      <w:pPr>
        <w:pStyle w:val="BodyText"/>
      </w:pPr>
      <w:r>
        <w:rPr/>
        <w:pict>
          <v:rect style="position:absolute;margin-left:46.777pt;margin-top:.000015pt;width:548.498pt;height:841.89pt;mso-position-horizontal-relative:page;mso-position-vertical-relative:page;z-index:-267942912" filled="true" fillcolor="#d4e9f7" stroked="false">
            <v:fill type="solid"/>
            <w10:wrap type="none"/>
          </v:rect>
        </w:pict>
      </w:r>
      <w:r>
        <w:rPr/>
        <w:drawing>
          <wp:anchor distT="0" distB="0" distL="0" distR="0" allowOverlap="1" layoutInCell="1" locked="0" behindDoc="1" simplePos="0" relativeHeight="235374592">
            <wp:simplePos x="0" y="0"/>
            <wp:positionH relativeFrom="page">
              <wp:posOffset>0</wp:posOffset>
            </wp:positionH>
            <wp:positionV relativeFrom="page">
              <wp:posOffset>0</wp:posOffset>
            </wp:positionV>
            <wp:extent cx="594067" cy="10692003"/>
            <wp:effectExtent l="0" t="0" r="0" b="0"/>
            <wp:wrapNone/>
            <wp:docPr id="117" name="image67.png"/>
            <wp:cNvGraphicFramePr>
              <a:graphicFrameLocks noChangeAspect="1"/>
            </wp:cNvGraphicFramePr>
            <a:graphic>
              <a:graphicData uri="http://schemas.openxmlformats.org/drawingml/2006/picture">
                <pic:pic>
                  <pic:nvPicPr>
                    <pic:cNvPr id="118" name="image67.png"/>
                    <pic:cNvPicPr/>
                  </pic:nvPicPr>
                  <pic:blipFill>
                    <a:blip r:embed="rId184" cstate="print"/>
                    <a:stretch>
                      <a:fillRect/>
                    </a:stretch>
                  </pic:blipFill>
                  <pic:spPr>
                    <a:xfrm>
                      <a:off x="0" y="0"/>
                      <a:ext cx="594067" cy="10692003"/>
                    </a:xfrm>
                    <a:prstGeom prst="rect">
                      <a:avLst/>
                    </a:prstGeom>
                  </pic:spPr>
                </pic:pic>
              </a:graphicData>
            </a:graphic>
          </wp:anchor>
        </w:drawing>
      </w:r>
      <w:r>
        <w:rPr/>
        <w:pict>
          <v:shape style="position:absolute;margin-left:20.519100pt;margin-top:48.890015pt;width:25.9pt;height:237.55pt;mso-position-horizontal-relative:page;mso-position-vertical-relative:page;z-index:-267940864" type="#_x0000_t202" filled="false" stroked="false">
            <v:textbox inset="0,0,0,0" style="layout-flow:vertical">
              <w:txbxContent>
                <w:p>
                  <w:pPr>
                    <w:spacing w:before="27"/>
                    <w:ind w:left="20" w:right="0" w:firstLine="0"/>
                    <w:jc w:val="left"/>
                    <w:rPr>
                      <w:sz w:val="39"/>
                    </w:rPr>
                  </w:pPr>
                  <w:r>
                    <w:rPr>
                      <w:color w:val="FFFFFF"/>
                      <w:w w:val="120"/>
                      <w:sz w:val="39"/>
                    </w:rPr>
                    <w:t>Education and learning</w:t>
                  </w:r>
                </w:p>
              </w:txbxContent>
            </v:textbox>
            <w10:wrap type="none"/>
          </v:shape>
        </w:pict>
      </w:r>
    </w:p>
    <w:p>
      <w:pPr>
        <w:pStyle w:val="BodyText"/>
      </w:pPr>
    </w:p>
    <w:p>
      <w:pPr>
        <w:pStyle w:val="BodyText"/>
      </w:pPr>
    </w:p>
    <w:p>
      <w:pPr>
        <w:pStyle w:val="BodyText"/>
        <w:spacing w:before="5"/>
        <w:rPr>
          <w:sz w:val="28"/>
        </w:rPr>
      </w:pPr>
    </w:p>
    <w:p>
      <w:pPr>
        <w:spacing w:line="213" w:lineRule="auto" w:before="153"/>
        <w:ind w:left="547" w:right="4163" w:firstLine="0"/>
        <w:jc w:val="left"/>
        <w:rPr>
          <w:rFonts w:ascii="Stone Sans II ITC Std X Bd"/>
          <w:b/>
          <w:sz w:val="50"/>
        </w:rPr>
      </w:pPr>
      <w:r>
        <w:rPr>
          <w:rFonts w:ascii="Stone Sans II ITC Std X Bd"/>
          <w:b/>
          <w:color w:val="0090D4"/>
          <w:w w:val="110"/>
          <w:sz w:val="50"/>
        </w:rPr>
        <w:t>Education and learning committee:</w:t>
      </w:r>
    </w:p>
    <w:p>
      <w:pPr>
        <w:spacing w:line="213" w:lineRule="auto" w:before="0"/>
        <w:ind w:left="547" w:right="2966" w:firstLine="0"/>
        <w:jc w:val="left"/>
        <w:rPr>
          <w:rFonts w:ascii="Stone Sans II ITC Std X Bd"/>
          <w:b/>
          <w:sz w:val="50"/>
        </w:rPr>
      </w:pPr>
      <w:r>
        <w:rPr>
          <w:rFonts w:ascii="Stone Sans II ITC Std X Bd"/>
          <w:b/>
          <w:w w:val="110"/>
          <w:sz w:val="50"/>
        </w:rPr>
        <w:t>Report to General Assembly 2016</w:t>
      </w:r>
    </w:p>
    <w:p>
      <w:pPr>
        <w:pStyle w:val="Heading4"/>
        <w:spacing w:before="82"/>
        <w:ind w:left="547"/>
      </w:pPr>
      <w:r>
        <w:rPr>
          <w:color w:val="7F7F7F"/>
        </w:rPr>
        <w:t>Basic Information</w:t>
      </w:r>
    </w:p>
    <w:tbl>
      <w:tblPr>
        <w:tblW w:w="0" w:type="auto"/>
        <w:jc w:val="left"/>
        <w:tblInd w:w="55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660"/>
        <w:gridCol w:w="6582"/>
      </w:tblGrid>
      <w:tr>
        <w:trPr>
          <w:trHeight w:val="680" w:hRule="atLeast"/>
        </w:trPr>
        <w:tc>
          <w:tcPr>
            <w:tcW w:w="2660" w:type="dxa"/>
            <w:shd w:val="clear" w:color="auto" w:fill="FFFFFF"/>
          </w:tcPr>
          <w:p>
            <w:pPr>
              <w:pStyle w:val="TableParagraph"/>
              <w:spacing w:line="213" w:lineRule="auto" w:before="151"/>
              <w:ind w:right="595"/>
              <w:rPr>
                <w:rFonts w:ascii="Stone Sans II ITC Std Bk"/>
                <w:b/>
                <w:sz w:val="20"/>
              </w:rPr>
            </w:pPr>
            <w:r>
              <w:rPr>
                <w:rFonts w:ascii="Stone Sans II ITC Std Bk"/>
                <w:b/>
                <w:w w:val="110"/>
                <w:sz w:val="20"/>
              </w:rPr>
              <w:t>Contact name and email address</w:t>
            </w:r>
          </w:p>
        </w:tc>
        <w:tc>
          <w:tcPr>
            <w:tcW w:w="6582" w:type="dxa"/>
            <w:shd w:val="clear" w:color="auto" w:fill="FFFFFF"/>
          </w:tcPr>
          <w:p>
            <w:pPr>
              <w:pStyle w:val="TableParagraph"/>
              <w:spacing w:line="235" w:lineRule="auto" w:before="145"/>
              <w:ind w:right="757"/>
              <w:rPr>
                <w:sz w:val="20"/>
              </w:rPr>
            </w:pPr>
            <w:r>
              <w:rPr>
                <w:w w:val="120"/>
                <w:sz w:val="20"/>
              </w:rPr>
              <w:t>The Revd Prof Neil Messer: </w:t>
            </w:r>
            <w:hyperlink r:id="rId223">
              <w:r>
                <w:rPr>
                  <w:color w:val="006AB3"/>
                  <w:w w:val="120"/>
                  <w:sz w:val="20"/>
                </w:rPr>
                <w:t>Neil.Messer@winchester.ac.uk</w:t>
              </w:r>
            </w:hyperlink>
            <w:r>
              <w:rPr>
                <w:color w:val="006AB3"/>
                <w:w w:val="120"/>
                <w:sz w:val="20"/>
              </w:rPr>
              <w:t> </w:t>
            </w:r>
            <w:r>
              <w:rPr>
                <w:w w:val="120"/>
                <w:sz w:val="20"/>
              </w:rPr>
              <w:t>The Revd Fiona Thomas: </w:t>
            </w:r>
            <w:hyperlink r:id="rId224">
              <w:r>
                <w:rPr>
                  <w:color w:val="006AB3"/>
                  <w:w w:val="120"/>
                  <w:sz w:val="20"/>
                </w:rPr>
                <w:t>fiona.thomas@urc.org.uk</w:t>
              </w:r>
            </w:hyperlink>
          </w:p>
        </w:tc>
      </w:tr>
      <w:tr>
        <w:trPr>
          <w:trHeight w:val="440" w:hRule="atLeast"/>
        </w:trPr>
        <w:tc>
          <w:tcPr>
            <w:tcW w:w="2660" w:type="dxa"/>
            <w:shd w:val="clear" w:color="auto" w:fill="FFFFFF"/>
          </w:tcPr>
          <w:p>
            <w:pPr>
              <w:pStyle w:val="TableParagraph"/>
              <w:spacing w:before="128"/>
              <w:rPr>
                <w:rFonts w:ascii="Stone Sans II ITC Std Bk"/>
                <w:b/>
                <w:sz w:val="20"/>
              </w:rPr>
            </w:pPr>
            <w:r>
              <w:rPr>
                <w:rFonts w:ascii="Stone Sans II ITC Std Bk"/>
                <w:b/>
                <w:w w:val="110"/>
                <w:sz w:val="20"/>
              </w:rPr>
              <w:t>Action required</w:t>
            </w:r>
          </w:p>
        </w:tc>
        <w:tc>
          <w:tcPr>
            <w:tcW w:w="6582" w:type="dxa"/>
            <w:shd w:val="clear" w:color="auto" w:fill="FFFFFF"/>
          </w:tcPr>
          <w:p>
            <w:pPr>
              <w:pStyle w:val="TableParagraph"/>
              <w:spacing w:before="141"/>
              <w:rPr>
                <w:sz w:val="20"/>
              </w:rPr>
            </w:pPr>
            <w:r>
              <w:rPr>
                <w:w w:val="120"/>
                <w:sz w:val="20"/>
              </w:rPr>
              <w:t>To receive the report</w:t>
            </w:r>
          </w:p>
        </w:tc>
      </w:tr>
      <w:tr>
        <w:trPr>
          <w:trHeight w:val="546" w:hRule="atLeast"/>
        </w:trPr>
        <w:tc>
          <w:tcPr>
            <w:tcW w:w="2660" w:type="dxa"/>
            <w:shd w:val="clear" w:color="auto" w:fill="FFFFFF"/>
          </w:tcPr>
          <w:p>
            <w:pPr>
              <w:pStyle w:val="TableParagraph"/>
              <w:spacing w:before="128"/>
              <w:rPr>
                <w:rFonts w:ascii="Stone Sans II ITC Std Bk"/>
                <w:b/>
                <w:sz w:val="20"/>
              </w:rPr>
            </w:pPr>
            <w:r>
              <w:rPr>
                <w:rFonts w:ascii="Stone Sans II ITC Std Bk"/>
                <w:b/>
                <w:w w:val="110"/>
                <w:sz w:val="20"/>
              </w:rPr>
              <w:t>Draft resolution(s)</w:t>
            </w:r>
          </w:p>
        </w:tc>
        <w:tc>
          <w:tcPr>
            <w:tcW w:w="6582" w:type="dxa"/>
            <w:shd w:val="clear" w:color="auto" w:fill="FFFFFF"/>
          </w:tcPr>
          <w:p>
            <w:pPr>
              <w:pStyle w:val="TableParagraph"/>
              <w:spacing w:before="128"/>
              <w:rPr>
                <w:rFonts w:ascii="Stone Sans II ITC Std Bk"/>
                <w:b/>
                <w:sz w:val="20"/>
              </w:rPr>
            </w:pPr>
            <w:r>
              <w:rPr>
                <w:rFonts w:ascii="Stone Sans II ITC Std Bk"/>
                <w:b/>
                <w:w w:val="110"/>
                <w:sz w:val="20"/>
              </w:rPr>
              <w:t>None</w:t>
            </w:r>
          </w:p>
        </w:tc>
      </w:tr>
    </w:tbl>
    <w:p>
      <w:pPr>
        <w:pStyle w:val="BodyText"/>
        <w:spacing w:before="3"/>
        <w:rPr>
          <w:rFonts w:ascii="Stone Sans II ITC Std Bk"/>
          <w:b/>
          <w:sz w:val="29"/>
        </w:rPr>
      </w:pPr>
    </w:p>
    <w:p>
      <w:pPr>
        <w:pStyle w:val="Heading4"/>
        <w:ind w:left="547"/>
      </w:pPr>
      <w:r>
        <w:rPr>
          <w:color w:val="7F7F7F"/>
        </w:rPr>
        <w:t>Summary of Content</w:t>
      </w:r>
    </w:p>
    <w:tbl>
      <w:tblPr>
        <w:tblW w:w="0" w:type="auto"/>
        <w:jc w:val="left"/>
        <w:tblInd w:w="55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660"/>
        <w:gridCol w:w="6582"/>
      </w:tblGrid>
      <w:tr>
        <w:trPr>
          <w:trHeight w:val="680" w:hRule="atLeast"/>
        </w:trPr>
        <w:tc>
          <w:tcPr>
            <w:tcW w:w="2660" w:type="dxa"/>
            <w:shd w:val="clear" w:color="auto" w:fill="FFFFFF"/>
          </w:tcPr>
          <w:p>
            <w:pPr>
              <w:pStyle w:val="TableParagraph"/>
              <w:spacing w:before="128"/>
              <w:rPr>
                <w:rFonts w:ascii="Stone Sans II ITC Std Bk"/>
                <w:b/>
                <w:sz w:val="20"/>
              </w:rPr>
            </w:pPr>
            <w:r>
              <w:rPr>
                <w:rFonts w:ascii="Stone Sans II ITC Std Bk"/>
                <w:b/>
                <w:w w:val="110"/>
                <w:sz w:val="20"/>
              </w:rPr>
              <w:t>Subject and aim(s)</w:t>
            </w:r>
          </w:p>
        </w:tc>
        <w:tc>
          <w:tcPr>
            <w:tcW w:w="6582" w:type="dxa"/>
            <w:shd w:val="clear" w:color="auto" w:fill="FFFFFF"/>
          </w:tcPr>
          <w:p>
            <w:pPr>
              <w:pStyle w:val="TableParagraph"/>
              <w:spacing w:line="235" w:lineRule="auto" w:before="145"/>
              <w:rPr>
                <w:sz w:val="20"/>
              </w:rPr>
            </w:pPr>
            <w:r>
              <w:rPr>
                <w:w w:val="120"/>
                <w:sz w:val="20"/>
              </w:rPr>
              <w:t>The purpose of the report is to describe the work carried out on behalf of the committee since the General Assembly of 2016</w:t>
            </w:r>
          </w:p>
        </w:tc>
      </w:tr>
      <w:tr>
        <w:trPr>
          <w:trHeight w:val="1160" w:hRule="atLeast"/>
        </w:trPr>
        <w:tc>
          <w:tcPr>
            <w:tcW w:w="2660" w:type="dxa"/>
            <w:shd w:val="clear" w:color="auto" w:fill="FFFFFF"/>
          </w:tcPr>
          <w:p>
            <w:pPr>
              <w:pStyle w:val="TableParagraph"/>
              <w:spacing w:before="128"/>
              <w:rPr>
                <w:rFonts w:ascii="Stone Sans II ITC Std Bk"/>
                <w:b/>
                <w:sz w:val="20"/>
              </w:rPr>
            </w:pPr>
            <w:r>
              <w:rPr>
                <w:rFonts w:ascii="Stone Sans II ITC Std Bk"/>
                <w:b/>
                <w:w w:val="110"/>
                <w:sz w:val="20"/>
              </w:rPr>
              <w:t>Main points</w:t>
            </w:r>
          </w:p>
        </w:tc>
        <w:tc>
          <w:tcPr>
            <w:tcW w:w="6582" w:type="dxa"/>
            <w:shd w:val="clear" w:color="auto" w:fill="FFFFFF"/>
          </w:tcPr>
          <w:p>
            <w:pPr>
              <w:pStyle w:val="TableParagraph"/>
              <w:spacing w:line="235" w:lineRule="auto" w:before="145"/>
              <w:ind w:right="280"/>
              <w:rPr>
                <w:sz w:val="20"/>
              </w:rPr>
            </w:pPr>
            <w:r>
              <w:rPr>
                <w:w w:val="120"/>
                <w:sz w:val="20"/>
              </w:rPr>
              <w:t>The last two years has seen significant work done on EM1 budgeting, encouragement of collaboration between educational providers, and preparation for the denomination’s approach to missional discipleship</w:t>
            </w:r>
          </w:p>
        </w:tc>
      </w:tr>
      <w:tr>
        <w:trPr>
          <w:trHeight w:val="680" w:hRule="atLeast"/>
        </w:trPr>
        <w:tc>
          <w:tcPr>
            <w:tcW w:w="2660" w:type="dxa"/>
            <w:shd w:val="clear" w:color="auto" w:fill="FFFFFF"/>
          </w:tcPr>
          <w:p>
            <w:pPr>
              <w:pStyle w:val="TableParagraph"/>
              <w:spacing w:line="213" w:lineRule="auto" w:before="151"/>
              <w:ind w:right="701"/>
              <w:rPr>
                <w:rFonts w:ascii="Stone Sans II ITC Std Bk"/>
                <w:b/>
                <w:sz w:val="20"/>
              </w:rPr>
            </w:pPr>
            <w:r>
              <w:rPr>
                <w:rFonts w:ascii="Stone Sans II ITC Std Bk"/>
                <w:b/>
                <w:w w:val="110"/>
                <w:sz w:val="20"/>
              </w:rPr>
              <w:t>Previous relevant documents</w:t>
            </w:r>
          </w:p>
        </w:tc>
        <w:tc>
          <w:tcPr>
            <w:tcW w:w="6582" w:type="dxa"/>
            <w:shd w:val="clear" w:color="auto" w:fill="FFFFFF"/>
          </w:tcPr>
          <w:p>
            <w:pPr>
              <w:pStyle w:val="TableParagraph"/>
              <w:spacing w:before="141"/>
              <w:rPr>
                <w:sz w:val="20"/>
              </w:rPr>
            </w:pPr>
            <w:r>
              <w:rPr>
                <w:w w:val="120"/>
                <w:sz w:val="20"/>
              </w:rPr>
              <w:t>Committee report to GA 2014</w:t>
            </w:r>
          </w:p>
        </w:tc>
      </w:tr>
      <w:tr>
        <w:trPr>
          <w:trHeight w:val="680" w:hRule="atLeast"/>
        </w:trPr>
        <w:tc>
          <w:tcPr>
            <w:tcW w:w="2660" w:type="dxa"/>
            <w:shd w:val="clear" w:color="auto" w:fill="FFFFFF"/>
          </w:tcPr>
          <w:p>
            <w:pPr>
              <w:pStyle w:val="TableParagraph"/>
              <w:spacing w:line="213" w:lineRule="auto" w:before="151"/>
              <w:ind w:right="576"/>
              <w:rPr>
                <w:rFonts w:ascii="Stone Sans II ITC Std Bk"/>
                <w:b/>
                <w:sz w:val="20"/>
              </w:rPr>
            </w:pPr>
            <w:r>
              <w:rPr>
                <w:rFonts w:ascii="Stone Sans II ITC Std Bk"/>
                <w:b/>
                <w:w w:val="110"/>
                <w:sz w:val="20"/>
              </w:rPr>
              <w:t>Consultation has taken place with...</w:t>
            </w:r>
          </w:p>
        </w:tc>
        <w:tc>
          <w:tcPr>
            <w:tcW w:w="6582" w:type="dxa"/>
            <w:shd w:val="clear" w:color="auto" w:fill="FFFFFF"/>
          </w:tcPr>
          <w:p>
            <w:pPr>
              <w:pStyle w:val="TableParagraph"/>
              <w:spacing w:before="141"/>
              <w:rPr>
                <w:sz w:val="20"/>
              </w:rPr>
            </w:pPr>
            <w:r>
              <w:rPr>
                <w:w w:val="120"/>
                <w:sz w:val="20"/>
              </w:rPr>
              <w:t>Ongoing consultation across the denomination</w:t>
            </w:r>
          </w:p>
        </w:tc>
      </w:tr>
    </w:tbl>
    <w:p>
      <w:pPr>
        <w:pStyle w:val="BodyText"/>
        <w:spacing w:before="3"/>
        <w:rPr>
          <w:rFonts w:ascii="Stone Sans II ITC Std Bk"/>
          <w:b/>
          <w:sz w:val="29"/>
        </w:rPr>
      </w:pPr>
    </w:p>
    <w:p>
      <w:pPr>
        <w:pStyle w:val="Heading4"/>
        <w:spacing w:before="1"/>
        <w:ind w:left="547"/>
      </w:pPr>
      <w:r>
        <w:rPr>
          <w:color w:val="7F7F7F"/>
        </w:rPr>
        <w:t>Summary of Impact</w:t>
      </w:r>
    </w:p>
    <w:tbl>
      <w:tblPr>
        <w:tblW w:w="0" w:type="auto"/>
        <w:jc w:val="left"/>
        <w:tblInd w:w="55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660"/>
        <w:gridCol w:w="6582"/>
      </w:tblGrid>
      <w:tr>
        <w:trPr>
          <w:trHeight w:val="440" w:hRule="atLeast"/>
        </w:trPr>
        <w:tc>
          <w:tcPr>
            <w:tcW w:w="2660" w:type="dxa"/>
            <w:shd w:val="clear" w:color="auto" w:fill="FFFFFF"/>
          </w:tcPr>
          <w:p>
            <w:pPr>
              <w:pStyle w:val="TableParagraph"/>
              <w:spacing w:before="128"/>
              <w:rPr>
                <w:rFonts w:ascii="Stone Sans II ITC Std Bk"/>
                <w:b/>
                <w:sz w:val="20"/>
              </w:rPr>
            </w:pPr>
            <w:r>
              <w:rPr>
                <w:rFonts w:ascii="Stone Sans II ITC Std Bk"/>
                <w:b/>
                <w:w w:val="110"/>
                <w:sz w:val="20"/>
              </w:rPr>
              <w:t>Financial</w:t>
            </w:r>
          </w:p>
        </w:tc>
        <w:tc>
          <w:tcPr>
            <w:tcW w:w="6582" w:type="dxa"/>
            <w:shd w:val="clear" w:color="auto" w:fill="FFFFFF"/>
          </w:tcPr>
          <w:p>
            <w:pPr>
              <w:pStyle w:val="TableParagraph"/>
              <w:spacing w:before="141"/>
              <w:rPr>
                <w:sz w:val="20"/>
              </w:rPr>
            </w:pPr>
            <w:r>
              <w:rPr>
                <w:w w:val="125"/>
                <w:sz w:val="20"/>
              </w:rPr>
              <w:t>None outside agreed budget</w:t>
            </w:r>
          </w:p>
        </w:tc>
      </w:tr>
      <w:tr>
        <w:trPr>
          <w:trHeight w:val="680" w:hRule="atLeast"/>
        </w:trPr>
        <w:tc>
          <w:tcPr>
            <w:tcW w:w="2660" w:type="dxa"/>
            <w:shd w:val="clear" w:color="auto" w:fill="FFFFFF"/>
          </w:tcPr>
          <w:p>
            <w:pPr>
              <w:pStyle w:val="TableParagraph"/>
              <w:spacing w:line="255" w:lineRule="exact" w:before="128"/>
              <w:rPr>
                <w:rFonts w:ascii="Stone Sans II ITC Std Bk"/>
                <w:b/>
                <w:sz w:val="20"/>
              </w:rPr>
            </w:pPr>
            <w:r>
              <w:rPr>
                <w:rFonts w:ascii="Stone Sans II ITC Std Bk"/>
                <w:b/>
                <w:w w:val="110"/>
                <w:sz w:val="20"/>
              </w:rPr>
              <w:t>External</w:t>
            </w:r>
          </w:p>
          <w:p>
            <w:pPr>
              <w:pStyle w:val="TableParagraph"/>
              <w:spacing w:line="255" w:lineRule="exact"/>
              <w:rPr>
                <w:rFonts w:ascii="Stone Sans II ITC Std Bk"/>
                <w:b/>
                <w:sz w:val="20"/>
              </w:rPr>
            </w:pPr>
            <w:r>
              <w:rPr>
                <w:rFonts w:ascii="Stone Sans II ITC Std Bk"/>
                <w:b/>
                <w:w w:val="110"/>
                <w:sz w:val="20"/>
              </w:rPr>
              <w:t>(e.g. ecumenical)</w:t>
            </w:r>
          </w:p>
        </w:tc>
        <w:tc>
          <w:tcPr>
            <w:tcW w:w="6582" w:type="dxa"/>
            <w:shd w:val="clear" w:color="auto" w:fill="FFFFFF"/>
          </w:tcPr>
          <w:p>
            <w:pPr>
              <w:pStyle w:val="TableParagraph"/>
              <w:spacing w:before="141"/>
              <w:rPr>
                <w:sz w:val="20"/>
              </w:rPr>
            </w:pPr>
            <w:r>
              <w:rPr>
                <w:w w:val="125"/>
                <w:sz w:val="20"/>
              </w:rPr>
              <w:t>None.</w:t>
            </w:r>
          </w:p>
        </w:tc>
      </w:tr>
    </w:tbl>
    <w:p>
      <w:pPr>
        <w:pStyle w:val="BodyText"/>
        <w:rPr>
          <w:rFonts w:ascii="Stone Sans II ITC Std Bk"/>
          <w:b/>
          <w:sz w:val="30"/>
        </w:rPr>
      </w:pPr>
    </w:p>
    <w:p>
      <w:pPr>
        <w:pStyle w:val="BodyText"/>
        <w:rPr>
          <w:rFonts w:ascii="Stone Sans II ITC Std Bk"/>
          <w:b/>
          <w:sz w:val="30"/>
        </w:rPr>
      </w:pPr>
    </w:p>
    <w:p>
      <w:pPr>
        <w:pStyle w:val="BodyText"/>
        <w:rPr>
          <w:rFonts w:ascii="Stone Sans II ITC Std Bk"/>
          <w:b/>
          <w:sz w:val="30"/>
        </w:rPr>
      </w:pPr>
    </w:p>
    <w:p>
      <w:pPr>
        <w:pStyle w:val="BodyText"/>
        <w:rPr>
          <w:rFonts w:ascii="Stone Sans II ITC Std Bk"/>
          <w:b/>
          <w:sz w:val="30"/>
        </w:rPr>
      </w:pPr>
    </w:p>
    <w:p>
      <w:pPr>
        <w:pStyle w:val="BodyText"/>
        <w:rPr>
          <w:rFonts w:ascii="Stone Sans II ITC Std Bk"/>
          <w:b/>
          <w:sz w:val="30"/>
        </w:rPr>
      </w:pPr>
    </w:p>
    <w:p>
      <w:pPr>
        <w:pStyle w:val="BodyText"/>
        <w:rPr>
          <w:rFonts w:ascii="Stone Sans II ITC Std Bk"/>
          <w:b/>
          <w:sz w:val="30"/>
        </w:rPr>
      </w:pPr>
    </w:p>
    <w:p>
      <w:pPr>
        <w:pStyle w:val="BodyText"/>
        <w:rPr>
          <w:rFonts w:ascii="Stone Sans II ITC Std Bk"/>
          <w:b/>
          <w:sz w:val="30"/>
        </w:rPr>
      </w:pPr>
    </w:p>
    <w:p>
      <w:pPr>
        <w:pStyle w:val="BodyText"/>
        <w:rPr>
          <w:rFonts w:ascii="Stone Sans II ITC Std Bk"/>
          <w:b/>
          <w:sz w:val="30"/>
        </w:rPr>
      </w:pPr>
    </w:p>
    <w:p>
      <w:pPr>
        <w:pStyle w:val="BodyText"/>
        <w:rPr>
          <w:rFonts w:ascii="Stone Sans II ITC Std Bk"/>
          <w:b/>
          <w:sz w:val="30"/>
        </w:rPr>
      </w:pPr>
    </w:p>
    <w:p>
      <w:pPr>
        <w:pStyle w:val="BodyText"/>
        <w:rPr>
          <w:rFonts w:ascii="Stone Sans II ITC Std Bk"/>
          <w:b/>
          <w:sz w:val="30"/>
        </w:rPr>
      </w:pPr>
    </w:p>
    <w:p>
      <w:pPr>
        <w:pStyle w:val="BodyText"/>
        <w:spacing w:before="10"/>
        <w:rPr>
          <w:rFonts w:ascii="Stone Sans II ITC Std Bk"/>
          <w:b/>
          <w:sz w:val="23"/>
        </w:rPr>
      </w:pPr>
    </w:p>
    <w:p>
      <w:pPr>
        <w:pStyle w:val="Heading6"/>
        <w:spacing w:before="0"/>
        <w:ind w:left="547"/>
      </w:pPr>
      <w:r>
        <w:rPr>
          <w:rFonts w:ascii="Stone Sans II ITC Std X Bd" w:hAnsi="Stone Sans II ITC Std X Bd"/>
          <w:b/>
          <w:w w:val="110"/>
          <w:sz w:val="24"/>
        </w:rPr>
        <w:t>66 </w:t>
      </w:r>
      <w:r>
        <w:rPr>
          <w:rFonts w:ascii="Symbol" w:hAnsi="Symbol"/>
          <w:color w:val="7EAABF"/>
          <w:w w:val="110"/>
        </w:rPr>
        <w:t></w:t>
      </w:r>
      <w:r>
        <w:rPr>
          <w:rFonts w:ascii="Times New Roman" w:hAnsi="Times New Roman"/>
          <w:color w:val="7EAABF"/>
          <w:w w:val="110"/>
        </w:rPr>
        <w:t> </w:t>
      </w:r>
      <w:r>
        <w:rPr>
          <w:color w:val="7EAABF"/>
          <w:w w:val="110"/>
        </w:rPr>
        <w:t>United Reformed Church </w:t>
      </w:r>
      <w:r>
        <w:rPr>
          <w:rFonts w:ascii="Symbol" w:hAnsi="Symbol"/>
          <w:color w:val="7EAABF"/>
          <w:w w:val="110"/>
        </w:rPr>
        <w:t></w:t>
      </w:r>
      <w:r>
        <w:rPr>
          <w:rFonts w:ascii="Times New Roman" w:hAnsi="Times New Roman"/>
          <w:color w:val="7EAABF"/>
          <w:w w:val="110"/>
        </w:rPr>
        <w:t> </w:t>
      </w:r>
      <w:r>
        <w:rPr>
          <w:color w:val="7EAABF"/>
          <w:w w:val="110"/>
        </w:rPr>
        <w:t>General Assembly 2016</w:t>
      </w:r>
    </w:p>
    <w:p>
      <w:pPr>
        <w:spacing w:after="0"/>
        <w:sectPr>
          <w:headerReference w:type="even" r:id="rId221"/>
          <w:footerReference w:type="even" r:id="rId222"/>
          <w:pgSz w:w="11910" w:h="16840"/>
          <w:pgMar w:header="0" w:footer="0" w:top="0" w:bottom="0" w:left="700" w:right="0"/>
        </w:sectPr>
      </w:pPr>
    </w:p>
    <w:p>
      <w:pPr>
        <w:pStyle w:val="BodyText"/>
      </w:pPr>
      <w:r>
        <w:rPr/>
        <w:pict>
          <v:line style="position:absolute;mso-position-horizontal-relative:page;mso-position-vertical-relative:page;z-index:251830272" from="0pt,.000315pt" to="0pt,841.890315pt" stroked="true" strokeweight="0pt" strokecolor="#d4e9f7">
            <v:stroke dashstyle="solid"/>
            <w10:wrap type="none"/>
          </v:line>
        </w:pict>
      </w:r>
      <w:r>
        <w:rPr/>
        <w:drawing>
          <wp:anchor distT="0" distB="0" distL="0" distR="0" allowOverlap="1" layoutInCell="1" locked="0" behindDoc="0" simplePos="0" relativeHeight="251831296">
            <wp:simplePos x="0" y="0"/>
            <wp:positionH relativeFrom="page">
              <wp:posOffset>6974928</wp:posOffset>
            </wp:positionH>
            <wp:positionV relativeFrom="page">
              <wp:posOffset>0</wp:posOffset>
            </wp:positionV>
            <wp:extent cx="585063" cy="10692003"/>
            <wp:effectExtent l="0" t="0" r="0" b="0"/>
            <wp:wrapNone/>
            <wp:docPr id="119" name="image54.png"/>
            <wp:cNvGraphicFramePr>
              <a:graphicFrameLocks noChangeAspect="1"/>
            </wp:cNvGraphicFramePr>
            <a:graphic>
              <a:graphicData uri="http://schemas.openxmlformats.org/drawingml/2006/picture">
                <pic:pic>
                  <pic:nvPicPr>
                    <pic:cNvPr id="120" name="image54.png"/>
                    <pic:cNvPicPr/>
                  </pic:nvPicPr>
                  <pic:blipFill>
                    <a:blip r:embed="rId169" cstate="print"/>
                    <a:stretch>
                      <a:fillRect/>
                    </a:stretch>
                  </pic:blipFill>
                  <pic:spPr>
                    <a:xfrm>
                      <a:off x="0" y="0"/>
                      <a:ext cx="585063" cy="10692003"/>
                    </a:xfrm>
                    <a:prstGeom prst="rect">
                      <a:avLst/>
                    </a:prstGeom>
                  </pic:spPr>
                </pic:pic>
              </a:graphicData>
            </a:graphic>
          </wp:anchor>
        </w:drawing>
      </w:r>
    </w:p>
    <w:p>
      <w:pPr>
        <w:pStyle w:val="BodyText"/>
      </w:pPr>
    </w:p>
    <w:p>
      <w:pPr>
        <w:pStyle w:val="BodyText"/>
      </w:pPr>
    </w:p>
    <w:p>
      <w:pPr>
        <w:pStyle w:val="BodyText"/>
        <w:spacing w:before="5"/>
        <w:rPr>
          <w:sz w:val="28"/>
        </w:rPr>
      </w:pPr>
    </w:p>
    <w:p>
      <w:pPr>
        <w:spacing w:line="213" w:lineRule="auto" w:before="153"/>
        <w:ind w:left="1284" w:right="2860" w:firstLine="0"/>
        <w:jc w:val="left"/>
        <w:rPr>
          <w:rFonts w:ascii="Stone Sans II ITC Std X Bd"/>
          <w:b/>
          <w:sz w:val="50"/>
        </w:rPr>
      </w:pPr>
      <w:r>
        <w:rPr/>
        <w:pict>
          <v:shape style="position:absolute;margin-left:554.141174pt;margin-top:-5.989334pt;width:25.9pt;height:237.55pt;mso-position-horizontal-relative:page;mso-position-vertical-relative:paragraph;z-index:251833344" type="#_x0000_t202" filled="false" stroked="false">
            <v:textbox inset="0,0,0,0" style="layout-flow:vertical">
              <w:txbxContent>
                <w:p>
                  <w:pPr>
                    <w:spacing w:before="27"/>
                    <w:ind w:left="20" w:right="0" w:firstLine="0"/>
                    <w:jc w:val="left"/>
                    <w:rPr>
                      <w:sz w:val="39"/>
                    </w:rPr>
                  </w:pPr>
                  <w:r>
                    <w:rPr>
                      <w:color w:val="FFFFFF"/>
                      <w:w w:val="120"/>
                      <w:sz w:val="39"/>
                    </w:rPr>
                    <w:t>Education and learning</w:t>
                  </w:r>
                </w:p>
              </w:txbxContent>
            </v:textbox>
            <w10:wrap type="none"/>
          </v:shape>
        </w:pict>
      </w:r>
      <w:bookmarkStart w:name="_GoBack" w:id="7"/>
      <w:bookmarkEnd w:id="7"/>
      <w:r>
        <w:rPr/>
      </w:r>
      <w:r>
        <w:rPr>
          <w:rFonts w:ascii="Stone Sans II ITC Std X Bd"/>
          <w:b/>
          <w:w w:val="110"/>
          <w:sz w:val="50"/>
        </w:rPr>
        <w:t>Education and learning committee update report</w:t>
      </w:r>
    </w:p>
    <w:p>
      <w:pPr>
        <w:spacing w:line="261" w:lineRule="auto" w:before="157"/>
        <w:ind w:left="1511" w:right="1511" w:firstLine="0"/>
        <w:jc w:val="left"/>
        <w:rPr>
          <w:sz w:val="18"/>
        </w:rPr>
      </w:pPr>
      <w:r>
        <w:rPr/>
        <w:pict>
          <v:line style="position:absolute;mso-position-horizontal-relative:page;mso-position-vertical-relative:paragraph;z-index:251832320" from="99.212601pt,9.825152pt" to="99.212601pt,87.778152pt" stroked="true" strokeweight="2pt" strokecolor="#0090d4">
            <v:stroke dashstyle="solid"/>
            <w10:wrap type="none"/>
          </v:line>
        </w:pict>
      </w:r>
      <w:r>
        <w:rPr>
          <w:color w:val="707172"/>
          <w:w w:val="120"/>
          <w:sz w:val="18"/>
        </w:rPr>
        <w:t>The education and learning committee maintains strategic oversight of adult learning in     the United Reformed Church by liaison with relevant officers in synods and other Assembly committees; supporting four Resource Centres for Learning </w:t>
      </w:r>
      <w:r>
        <w:rPr>
          <w:color w:val="707172"/>
          <w:spacing w:val="-3"/>
          <w:w w:val="120"/>
          <w:sz w:val="18"/>
        </w:rPr>
        <w:t>(RCLs);  </w:t>
      </w:r>
      <w:r>
        <w:rPr>
          <w:color w:val="707172"/>
          <w:w w:val="120"/>
          <w:sz w:val="18"/>
        </w:rPr>
        <w:t>providing the Training  for Learning and </w:t>
      </w:r>
      <w:r>
        <w:rPr>
          <w:color w:val="707172"/>
          <w:spacing w:val="2"/>
          <w:w w:val="120"/>
          <w:sz w:val="18"/>
        </w:rPr>
        <w:t>Serving </w:t>
      </w:r>
      <w:r>
        <w:rPr>
          <w:color w:val="707172"/>
          <w:w w:val="120"/>
          <w:sz w:val="18"/>
        </w:rPr>
        <w:t>(TLS) range of courses;  and  maintaining  positive  relationships with ecumenical </w:t>
      </w:r>
      <w:r>
        <w:rPr>
          <w:color w:val="707172"/>
          <w:spacing w:val="2"/>
          <w:w w:val="120"/>
          <w:sz w:val="18"/>
        </w:rPr>
        <w:t>partners. </w:t>
      </w:r>
      <w:r>
        <w:rPr>
          <w:color w:val="707172"/>
          <w:w w:val="120"/>
          <w:sz w:val="18"/>
        </w:rPr>
        <w:t>The committee </w:t>
      </w:r>
      <w:r>
        <w:rPr>
          <w:color w:val="707172"/>
          <w:spacing w:val="2"/>
          <w:w w:val="120"/>
          <w:sz w:val="18"/>
        </w:rPr>
        <w:t>supports </w:t>
      </w:r>
      <w:r>
        <w:rPr>
          <w:color w:val="707172"/>
          <w:w w:val="120"/>
          <w:sz w:val="18"/>
        </w:rPr>
        <w:t>the initial and ongoing professional development of Ministers of Word and Sacraments, church related community workers </w:t>
      </w:r>
      <w:r>
        <w:rPr>
          <w:color w:val="707172"/>
          <w:spacing w:val="-4"/>
          <w:w w:val="120"/>
          <w:sz w:val="18"/>
        </w:rPr>
        <w:t>(CRCWs),</w:t>
      </w:r>
      <w:r>
        <w:rPr>
          <w:color w:val="707172"/>
          <w:spacing w:val="20"/>
          <w:w w:val="120"/>
          <w:sz w:val="18"/>
        </w:rPr>
        <w:t> </w:t>
      </w:r>
      <w:r>
        <w:rPr>
          <w:color w:val="707172"/>
          <w:w w:val="120"/>
          <w:sz w:val="18"/>
        </w:rPr>
        <w:t>Assembly-accredited</w:t>
      </w:r>
      <w:r>
        <w:rPr>
          <w:color w:val="707172"/>
          <w:spacing w:val="20"/>
          <w:w w:val="120"/>
          <w:sz w:val="18"/>
        </w:rPr>
        <w:t> </w:t>
      </w:r>
      <w:r>
        <w:rPr>
          <w:color w:val="707172"/>
          <w:w w:val="120"/>
          <w:sz w:val="18"/>
        </w:rPr>
        <w:t>lay</w:t>
      </w:r>
      <w:r>
        <w:rPr>
          <w:color w:val="707172"/>
          <w:spacing w:val="20"/>
          <w:w w:val="120"/>
          <w:sz w:val="18"/>
        </w:rPr>
        <w:t> </w:t>
      </w:r>
      <w:r>
        <w:rPr>
          <w:color w:val="707172"/>
          <w:w w:val="120"/>
          <w:sz w:val="18"/>
        </w:rPr>
        <w:t>preachers,</w:t>
      </w:r>
      <w:r>
        <w:rPr>
          <w:color w:val="707172"/>
          <w:spacing w:val="21"/>
          <w:w w:val="120"/>
          <w:sz w:val="18"/>
        </w:rPr>
        <w:t> </w:t>
      </w:r>
      <w:r>
        <w:rPr>
          <w:color w:val="707172"/>
          <w:w w:val="120"/>
          <w:sz w:val="18"/>
        </w:rPr>
        <w:t>and</w:t>
      </w:r>
      <w:r>
        <w:rPr>
          <w:color w:val="707172"/>
          <w:spacing w:val="20"/>
          <w:w w:val="120"/>
          <w:sz w:val="18"/>
        </w:rPr>
        <w:t> </w:t>
      </w:r>
      <w:r>
        <w:rPr>
          <w:color w:val="707172"/>
          <w:w w:val="120"/>
          <w:sz w:val="18"/>
        </w:rPr>
        <w:t>other</w:t>
      </w:r>
      <w:r>
        <w:rPr>
          <w:color w:val="707172"/>
          <w:spacing w:val="20"/>
          <w:w w:val="120"/>
          <w:sz w:val="18"/>
        </w:rPr>
        <w:t> </w:t>
      </w:r>
      <w:r>
        <w:rPr>
          <w:color w:val="707172"/>
          <w:w w:val="120"/>
          <w:sz w:val="18"/>
        </w:rPr>
        <w:t>lay</w:t>
      </w:r>
      <w:r>
        <w:rPr>
          <w:color w:val="707172"/>
          <w:spacing w:val="21"/>
          <w:w w:val="120"/>
          <w:sz w:val="18"/>
        </w:rPr>
        <w:t> </w:t>
      </w:r>
      <w:r>
        <w:rPr>
          <w:color w:val="707172"/>
          <w:w w:val="120"/>
          <w:sz w:val="18"/>
        </w:rPr>
        <w:t>ministries</w:t>
      </w:r>
      <w:r>
        <w:rPr>
          <w:color w:val="707172"/>
          <w:spacing w:val="20"/>
          <w:w w:val="120"/>
          <w:sz w:val="18"/>
        </w:rPr>
        <w:t> </w:t>
      </w:r>
      <w:r>
        <w:rPr>
          <w:color w:val="707172"/>
          <w:w w:val="120"/>
          <w:sz w:val="18"/>
        </w:rPr>
        <w:t>including</w:t>
      </w:r>
      <w:r>
        <w:rPr>
          <w:color w:val="707172"/>
          <w:spacing w:val="20"/>
          <w:w w:val="120"/>
          <w:sz w:val="18"/>
        </w:rPr>
        <w:t> </w:t>
      </w:r>
      <w:r>
        <w:rPr>
          <w:color w:val="707172"/>
          <w:w w:val="120"/>
          <w:sz w:val="18"/>
        </w:rPr>
        <w:t>eldership.</w:t>
      </w:r>
    </w:p>
    <w:p>
      <w:pPr>
        <w:pStyle w:val="BodyText"/>
        <w:rPr>
          <w:sz w:val="22"/>
        </w:rPr>
      </w:pPr>
    </w:p>
    <w:p>
      <w:pPr>
        <w:pStyle w:val="BodyText"/>
        <w:spacing w:before="3"/>
        <w:rPr>
          <w:sz w:val="16"/>
        </w:rPr>
      </w:pPr>
    </w:p>
    <w:p>
      <w:pPr>
        <w:spacing w:before="0"/>
        <w:ind w:left="1284" w:right="0" w:firstLine="0"/>
        <w:jc w:val="left"/>
        <w:rPr>
          <w:rFonts w:ascii="Stone Sans II ITC Std Bk"/>
          <w:b/>
          <w:sz w:val="32"/>
        </w:rPr>
      </w:pPr>
      <w:r>
        <w:rPr>
          <w:rFonts w:ascii="Stone Sans II ITC Std Bk"/>
          <w:b/>
          <w:w w:val="115"/>
          <w:sz w:val="32"/>
        </w:rPr>
        <w:t>Overall</w:t>
      </w:r>
    </w:p>
    <w:p>
      <w:pPr>
        <w:pStyle w:val="ListParagraph"/>
        <w:numPr>
          <w:ilvl w:val="1"/>
          <w:numId w:val="58"/>
        </w:numPr>
        <w:tabs>
          <w:tab w:pos="1964" w:val="left" w:leader="none"/>
          <w:tab w:pos="1965" w:val="left" w:leader="none"/>
        </w:tabs>
        <w:spacing w:line="235" w:lineRule="auto" w:before="59" w:after="0"/>
        <w:ind w:left="1284" w:right="1581" w:firstLine="0"/>
        <w:jc w:val="left"/>
        <w:rPr>
          <w:sz w:val="20"/>
        </w:rPr>
      </w:pPr>
      <w:r>
        <w:rPr>
          <w:w w:val="120"/>
          <w:sz w:val="20"/>
        </w:rPr>
        <w:t>The ‘Learning Church. </w:t>
      </w:r>
      <w:r>
        <w:rPr>
          <w:spacing w:val="2"/>
          <w:w w:val="120"/>
          <w:sz w:val="20"/>
        </w:rPr>
        <w:t>Next </w:t>
      </w:r>
      <w:r>
        <w:rPr>
          <w:w w:val="120"/>
          <w:sz w:val="20"/>
        </w:rPr>
        <w:t>Chapter’ process discussed in the committee’s </w:t>
      </w:r>
      <w:r>
        <w:rPr>
          <w:spacing w:val="2"/>
          <w:w w:val="120"/>
          <w:sz w:val="20"/>
        </w:rPr>
        <w:t>report </w:t>
      </w:r>
      <w:r>
        <w:rPr>
          <w:w w:val="120"/>
          <w:sz w:val="20"/>
        </w:rPr>
        <w:t>to General Assembly in </w:t>
      </w:r>
      <w:r>
        <w:rPr>
          <w:spacing w:val="-7"/>
          <w:w w:val="120"/>
          <w:sz w:val="20"/>
        </w:rPr>
        <w:t>2014 </w:t>
      </w:r>
      <w:r>
        <w:rPr>
          <w:w w:val="120"/>
          <w:sz w:val="20"/>
        </w:rPr>
        <w:t>encouraged the committee to continue focusing on conversations between and within educational providers in pursuit of the goals   of</w:t>
      </w:r>
      <w:r>
        <w:rPr>
          <w:spacing w:val="7"/>
          <w:w w:val="120"/>
          <w:sz w:val="20"/>
        </w:rPr>
        <w:t> </w:t>
      </w:r>
      <w:r>
        <w:rPr>
          <w:w w:val="120"/>
          <w:sz w:val="20"/>
        </w:rPr>
        <w:t>the</w:t>
      </w:r>
      <w:r>
        <w:rPr>
          <w:spacing w:val="8"/>
          <w:w w:val="120"/>
          <w:sz w:val="20"/>
        </w:rPr>
        <w:t> </w:t>
      </w:r>
      <w:r>
        <w:rPr>
          <w:w w:val="120"/>
          <w:sz w:val="20"/>
        </w:rPr>
        <w:t>2006</w:t>
      </w:r>
      <w:r>
        <w:rPr>
          <w:spacing w:val="8"/>
          <w:w w:val="120"/>
          <w:sz w:val="20"/>
        </w:rPr>
        <w:t> </w:t>
      </w:r>
      <w:r>
        <w:rPr>
          <w:w w:val="120"/>
          <w:sz w:val="20"/>
        </w:rPr>
        <w:t>training</w:t>
      </w:r>
      <w:r>
        <w:rPr>
          <w:spacing w:val="7"/>
          <w:w w:val="120"/>
          <w:sz w:val="20"/>
        </w:rPr>
        <w:t> </w:t>
      </w:r>
      <w:r>
        <w:rPr>
          <w:w w:val="120"/>
          <w:sz w:val="20"/>
        </w:rPr>
        <w:t>review.</w:t>
      </w:r>
      <w:r>
        <w:rPr>
          <w:spacing w:val="8"/>
          <w:w w:val="120"/>
          <w:sz w:val="20"/>
        </w:rPr>
        <w:t> </w:t>
      </w:r>
      <w:r>
        <w:rPr>
          <w:w w:val="120"/>
          <w:sz w:val="20"/>
        </w:rPr>
        <w:t>This</w:t>
      </w:r>
      <w:r>
        <w:rPr>
          <w:spacing w:val="8"/>
          <w:w w:val="120"/>
          <w:sz w:val="20"/>
        </w:rPr>
        <w:t> </w:t>
      </w:r>
      <w:r>
        <w:rPr>
          <w:w w:val="120"/>
          <w:sz w:val="20"/>
        </w:rPr>
        <w:t>has</w:t>
      </w:r>
      <w:r>
        <w:rPr>
          <w:spacing w:val="8"/>
          <w:w w:val="120"/>
          <w:sz w:val="20"/>
        </w:rPr>
        <w:t> </w:t>
      </w:r>
      <w:r>
        <w:rPr>
          <w:w w:val="120"/>
          <w:sz w:val="20"/>
        </w:rPr>
        <w:t>borne</w:t>
      </w:r>
      <w:r>
        <w:rPr>
          <w:spacing w:val="7"/>
          <w:w w:val="120"/>
          <w:sz w:val="20"/>
        </w:rPr>
        <w:t> </w:t>
      </w:r>
      <w:r>
        <w:rPr>
          <w:w w:val="120"/>
          <w:sz w:val="20"/>
        </w:rPr>
        <w:t>fruit</w:t>
      </w:r>
      <w:r>
        <w:rPr>
          <w:spacing w:val="8"/>
          <w:w w:val="120"/>
          <w:sz w:val="20"/>
        </w:rPr>
        <w:t> </w:t>
      </w:r>
      <w:r>
        <w:rPr>
          <w:w w:val="120"/>
          <w:sz w:val="20"/>
        </w:rPr>
        <w:t>through</w:t>
      </w:r>
      <w:r>
        <w:rPr>
          <w:spacing w:val="8"/>
          <w:w w:val="120"/>
          <w:sz w:val="20"/>
        </w:rPr>
        <w:t> </w:t>
      </w:r>
      <w:r>
        <w:rPr>
          <w:w w:val="120"/>
          <w:sz w:val="20"/>
        </w:rPr>
        <w:t>the</w:t>
      </w:r>
      <w:r>
        <w:rPr>
          <w:spacing w:val="8"/>
          <w:w w:val="120"/>
          <w:sz w:val="20"/>
        </w:rPr>
        <w:t> </w:t>
      </w:r>
      <w:r>
        <w:rPr>
          <w:w w:val="120"/>
          <w:sz w:val="20"/>
        </w:rPr>
        <w:t>‘Big</w:t>
      </w:r>
      <w:r>
        <w:rPr>
          <w:spacing w:val="7"/>
          <w:w w:val="120"/>
          <w:sz w:val="20"/>
        </w:rPr>
        <w:t> </w:t>
      </w:r>
      <w:r>
        <w:rPr>
          <w:w w:val="120"/>
          <w:sz w:val="20"/>
        </w:rPr>
        <w:t>Picture’</w:t>
      </w:r>
      <w:r>
        <w:rPr>
          <w:spacing w:val="8"/>
          <w:w w:val="120"/>
          <w:sz w:val="20"/>
        </w:rPr>
        <w:t> </w:t>
      </w:r>
      <w:r>
        <w:rPr>
          <w:w w:val="120"/>
          <w:sz w:val="20"/>
        </w:rPr>
        <w:t>meeting</w:t>
      </w:r>
      <w:r>
        <w:rPr>
          <w:spacing w:val="8"/>
          <w:w w:val="120"/>
          <w:sz w:val="20"/>
        </w:rPr>
        <w:t> </w:t>
      </w:r>
      <w:r>
        <w:rPr>
          <w:w w:val="120"/>
          <w:sz w:val="20"/>
        </w:rPr>
        <w:t>in</w:t>
      </w:r>
    </w:p>
    <w:p>
      <w:pPr>
        <w:pStyle w:val="BodyText"/>
        <w:spacing w:line="235" w:lineRule="auto" w:before="3"/>
        <w:ind w:left="1284" w:right="1529"/>
      </w:pPr>
      <w:r>
        <w:rPr>
          <w:w w:val="120"/>
        </w:rPr>
        <w:t>May 2014 which brought together people from synods, RCLs and other key Assembly committees.</w:t>
      </w:r>
    </w:p>
    <w:p>
      <w:pPr>
        <w:pStyle w:val="BodyText"/>
        <w:spacing w:before="6"/>
        <w:rPr>
          <w:sz w:val="19"/>
        </w:rPr>
      </w:pPr>
    </w:p>
    <w:p>
      <w:pPr>
        <w:pStyle w:val="BodyText"/>
        <w:ind w:left="1284"/>
      </w:pPr>
      <w:r>
        <w:rPr>
          <w:w w:val="120"/>
        </w:rPr>
        <w:t>It concluded:</w:t>
      </w:r>
    </w:p>
    <w:p>
      <w:pPr>
        <w:pStyle w:val="BodyText"/>
        <w:spacing w:before="7"/>
        <w:rPr>
          <w:sz w:val="19"/>
        </w:rPr>
      </w:pPr>
    </w:p>
    <w:p>
      <w:pPr>
        <w:spacing w:line="235" w:lineRule="auto" w:before="1"/>
        <w:ind w:left="1964" w:right="1337" w:firstLine="0"/>
        <w:jc w:val="left"/>
        <w:rPr>
          <w:i/>
          <w:sz w:val="20"/>
        </w:rPr>
      </w:pPr>
      <w:r>
        <w:rPr>
          <w:i/>
          <w:w w:val="110"/>
          <w:sz w:val="20"/>
        </w:rPr>
        <w:t>‘The education and learning committee has the task of creating and holding spaces in </w:t>
      </w:r>
      <w:r>
        <w:rPr>
          <w:i/>
          <w:w w:val="110"/>
          <w:sz w:val="20"/>
        </w:rPr>
        <w:t>which people can meet to interact with each other, creatively and sometimes ferociously to ensure that this resource-rich church is taking seriously the challenge to integrate its efforts. Key words are flourishing, nurturing and deepen.’</w:t>
      </w:r>
    </w:p>
    <w:p>
      <w:pPr>
        <w:pStyle w:val="BodyText"/>
        <w:spacing w:before="10"/>
        <w:rPr>
          <w:i/>
          <w:sz w:val="19"/>
        </w:rPr>
      </w:pPr>
    </w:p>
    <w:p>
      <w:pPr>
        <w:pStyle w:val="ListParagraph"/>
        <w:numPr>
          <w:ilvl w:val="1"/>
          <w:numId w:val="58"/>
        </w:numPr>
        <w:tabs>
          <w:tab w:pos="1964" w:val="left" w:leader="none"/>
          <w:tab w:pos="1965" w:val="left" w:leader="none"/>
        </w:tabs>
        <w:spacing w:line="235" w:lineRule="auto" w:before="1" w:after="0"/>
        <w:ind w:left="1284" w:right="1322" w:firstLine="0"/>
        <w:jc w:val="left"/>
        <w:rPr>
          <w:sz w:val="20"/>
        </w:rPr>
      </w:pPr>
      <w:r>
        <w:rPr>
          <w:w w:val="120"/>
          <w:sz w:val="20"/>
        </w:rPr>
        <w:t>The Big Picture meeting gave rise to the </w:t>
      </w:r>
      <w:r>
        <w:rPr>
          <w:spacing w:val="-7"/>
          <w:w w:val="120"/>
          <w:sz w:val="20"/>
        </w:rPr>
        <w:t>2014 </w:t>
      </w:r>
      <w:r>
        <w:rPr>
          <w:w w:val="120"/>
          <w:sz w:val="20"/>
        </w:rPr>
        <w:t>review of TLS, and, at the recalled Big Picture meeting in May </w:t>
      </w:r>
      <w:r>
        <w:rPr>
          <w:spacing w:val="-7"/>
          <w:w w:val="120"/>
          <w:sz w:val="20"/>
        </w:rPr>
        <w:t>2015  </w:t>
      </w:r>
      <w:r>
        <w:rPr>
          <w:w w:val="120"/>
          <w:sz w:val="20"/>
        </w:rPr>
        <w:t>reiterated the Learning Church. </w:t>
      </w:r>
      <w:r>
        <w:rPr>
          <w:spacing w:val="2"/>
          <w:w w:val="120"/>
          <w:sz w:val="20"/>
        </w:rPr>
        <w:t>Next </w:t>
      </w:r>
      <w:r>
        <w:rPr>
          <w:w w:val="120"/>
          <w:sz w:val="20"/>
        </w:rPr>
        <w:t>Chapter focus   on lay development, which fed into subsequent work on missional discipleship and Mission </w:t>
      </w:r>
      <w:r>
        <w:rPr>
          <w:spacing w:val="-3"/>
          <w:w w:val="120"/>
          <w:sz w:val="20"/>
        </w:rPr>
        <w:t>Council’s </w:t>
      </w:r>
      <w:r>
        <w:rPr>
          <w:w w:val="120"/>
          <w:sz w:val="20"/>
        </w:rPr>
        <w:t>adoption of ‘Walking the Way: Living the Life of Jesus </w:t>
      </w:r>
      <w:r>
        <w:rPr>
          <w:spacing w:val="-5"/>
          <w:w w:val="120"/>
          <w:sz w:val="20"/>
        </w:rPr>
        <w:t>Today’. </w:t>
      </w:r>
      <w:r>
        <w:rPr>
          <w:w w:val="120"/>
          <w:sz w:val="20"/>
        </w:rPr>
        <w:t>The  </w:t>
      </w:r>
      <w:r>
        <w:rPr>
          <w:spacing w:val="-7"/>
          <w:w w:val="120"/>
          <w:sz w:val="20"/>
        </w:rPr>
        <w:t>2015 </w:t>
      </w:r>
      <w:r>
        <w:rPr>
          <w:w w:val="120"/>
          <w:sz w:val="20"/>
        </w:rPr>
        <w:t>meeting also led to the ‘Roundtable to Enable Learning’ bringing synods and Assembly committees together in April </w:t>
      </w:r>
      <w:r>
        <w:rPr>
          <w:spacing w:val="-7"/>
          <w:w w:val="120"/>
          <w:sz w:val="20"/>
        </w:rPr>
        <w:t>2016 </w:t>
      </w:r>
      <w:r>
        <w:rPr>
          <w:w w:val="120"/>
          <w:sz w:val="20"/>
        </w:rPr>
        <w:t>to look at ways of working in a church rich in people</w:t>
      </w:r>
      <w:r>
        <w:rPr>
          <w:spacing w:val="4"/>
          <w:w w:val="120"/>
          <w:sz w:val="20"/>
        </w:rPr>
        <w:t> </w:t>
      </w:r>
      <w:r>
        <w:rPr>
          <w:w w:val="120"/>
          <w:sz w:val="20"/>
        </w:rPr>
        <w:t>resources.</w:t>
      </w:r>
    </w:p>
    <w:p>
      <w:pPr>
        <w:pStyle w:val="BodyText"/>
        <w:spacing w:before="2"/>
        <w:rPr>
          <w:sz w:val="19"/>
        </w:rPr>
      </w:pPr>
    </w:p>
    <w:p>
      <w:pPr>
        <w:pStyle w:val="Heading2"/>
        <w:ind w:left="1284"/>
      </w:pPr>
      <w:r>
        <w:rPr>
          <w:w w:val="110"/>
        </w:rPr>
        <w:t>The best of what we do</w:t>
      </w:r>
    </w:p>
    <w:p>
      <w:pPr>
        <w:pStyle w:val="ListParagraph"/>
        <w:numPr>
          <w:ilvl w:val="1"/>
          <w:numId w:val="58"/>
        </w:numPr>
        <w:tabs>
          <w:tab w:pos="1964" w:val="left" w:leader="none"/>
          <w:tab w:pos="1965" w:val="left" w:leader="none"/>
        </w:tabs>
        <w:spacing w:line="235" w:lineRule="auto" w:before="83" w:after="0"/>
        <w:ind w:left="1284" w:right="1362" w:firstLine="0"/>
        <w:jc w:val="left"/>
        <w:rPr>
          <w:sz w:val="20"/>
        </w:rPr>
      </w:pPr>
      <w:r>
        <w:rPr>
          <w:w w:val="120"/>
          <w:sz w:val="20"/>
        </w:rPr>
        <w:t>The education and learning committee budget is largely committed to the RCLs together with recurring programmes including </w:t>
      </w:r>
      <w:r>
        <w:rPr>
          <w:spacing w:val="2"/>
          <w:w w:val="120"/>
          <w:sz w:val="20"/>
        </w:rPr>
        <w:t>TLS </w:t>
      </w:r>
      <w:r>
        <w:rPr>
          <w:w w:val="120"/>
          <w:sz w:val="20"/>
        </w:rPr>
        <w:t>and Education for Ministry phases </w:t>
      </w:r>
      <w:r>
        <w:rPr>
          <w:spacing w:val="-6"/>
          <w:w w:val="120"/>
          <w:sz w:val="20"/>
        </w:rPr>
        <w:t>1/2/3 (EM1, </w:t>
      </w:r>
      <w:r>
        <w:rPr>
          <w:w w:val="120"/>
          <w:sz w:val="20"/>
        </w:rPr>
        <w:t>EM2 and </w:t>
      </w:r>
      <w:r>
        <w:rPr>
          <w:spacing w:val="-6"/>
          <w:w w:val="120"/>
          <w:sz w:val="20"/>
        </w:rPr>
        <w:t>EM3). </w:t>
      </w:r>
      <w:r>
        <w:rPr>
          <w:w w:val="120"/>
          <w:sz w:val="20"/>
        </w:rPr>
        <w:t>The committee both responds to and feeds into Assembly policy in relation to adult education, carrying out careful and detailed work in pursuit  of effective use of resources. Indicators of this in the past two years can be seen</w:t>
      </w:r>
      <w:r>
        <w:rPr>
          <w:spacing w:val="-13"/>
          <w:w w:val="120"/>
          <w:sz w:val="20"/>
        </w:rPr>
        <w:t> </w:t>
      </w:r>
      <w:r>
        <w:rPr>
          <w:w w:val="120"/>
          <w:sz w:val="20"/>
        </w:rPr>
        <w:t>in:</w:t>
      </w:r>
    </w:p>
    <w:p>
      <w:pPr>
        <w:pStyle w:val="ListParagraph"/>
        <w:numPr>
          <w:ilvl w:val="0"/>
          <w:numId w:val="59"/>
        </w:numPr>
        <w:tabs>
          <w:tab w:pos="1964" w:val="left" w:leader="none"/>
          <w:tab w:pos="1965" w:val="left" w:leader="none"/>
        </w:tabs>
        <w:spacing w:line="298" w:lineRule="exact" w:before="179" w:after="0"/>
        <w:ind w:left="1964" w:right="0" w:hanging="681"/>
        <w:jc w:val="left"/>
        <w:rPr>
          <w:sz w:val="20"/>
        </w:rPr>
      </w:pPr>
      <w:r>
        <w:rPr>
          <w:w w:val="120"/>
          <w:sz w:val="20"/>
        </w:rPr>
        <w:t>participating in the establishment of the discipleship</w:t>
      </w:r>
      <w:r>
        <w:rPr>
          <w:spacing w:val="19"/>
          <w:w w:val="120"/>
          <w:sz w:val="20"/>
        </w:rPr>
        <w:t> </w:t>
      </w:r>
      <w:r>
        <w:rPr>
          <w:w w:val="120"/>
          <w:sz w:val="20"/>
        </w:rPr>
        <w:t>department</w:t>
      </w:r>
    </w:p>
    <w:p>
      <w:pPr>
        <w:pStyle w:val="ListParagraph"/>
        <w:numPr>
          <w:ilvl w:val="0"/>
          <w:numId w:val="59"/>
        </w:numPr>
        <w:tabs>
          <w:tab w:pos="1964" w:val="left" w:leader="none"/>
          <w:tab w:pos="1965" w:val="left" w:leader="none"/>
        </w:tabs>
        <w:spacing w:line="196" w:lineRule="auto" w:before="0" w:after="0"/>
        <w:ind w:left="1964" w:right="1932" w:hanging="681"/>
        <w:jc w:val="left"/>
        <w:rPr>
          <w:sz w:val="20"/>
        </w:rPr>
      </w:pPr>
      <w:r>
        <w:rPr>
          <w:w w:val="120"/>
          <w:sz w:val="20"/>
        </w:rPr>
        <w:t>pioneering use of Appreciative Inquiry in the churches in partnership with synods and ecumenical</w:t>
      </w:r>
      <w:r>
        <w:rPr>
          <w:spacing w:val="7"/>
          <w:w w:val="120"/>
          <w:sz w:val="20"/>
        </w:rPr>
        <w:t> </w:t>
      </w:r>
      <w:r>
        <w:rPr>
          <w:w w:val="120"/>
          <w:sz w:val="20"/>
        </w:rPr>
        <w:t>colleagues</w:t>
      </w:r>
    </w:p>
    <w:p>
      <w:pPr>
        <w:pStyle w:val="ListParagraph"/>
        <w:numPr>
          <w:ilvl w:val="0"/>
          <w:numId w:val="59"/>
        </w:numPr>
        <w:tabs>
          <w:tab w:pos="1964" w:val="left" w:leader="none"/>
          <w:tab w:pos="1965" w:val="left" w:leader="none"/>
        </w:tabs>
        <w:spacing w:line="241" w:lineRule="exact" w:before="0" w:after="0"/>
        <w:ind w:left="1964" w:right="0" w:hanging="681"/>
        <w:jc w:val="left"/>
        <w:rPr>
          <w:sz w:val="20"/>
        </w:rPr>
      </w:pPr>
      <w:r>
        <w:rPr>
          <w:w w:val="125"/>
          <w:sz w:val="20"/>
        </w:rPr>
        <w:t>reviewing</w:t>
      </w:r>
      <w:r>
        <w:rPr>
          <w:spacing w:val="-1"/>
          <w:w w:val="125"/>
          <w:sz w:val="20"/>
        </w:rPr>
        <w:t> </w:t>
      </w:r>
      <w:r>
        <w:rPr>
          <w:spacing w:val="2"/>
          <w:w w:val="125"/>
          <w:sz w:val="20"/>
        </w:rPr>
        <w:t>TLS</w:t>
      </w:r>
    </w:p>
    <w:p>
      <w:pPr>
        <w:pStyle w:val="ListParagraph"/>
        <w:numPr>
          <w:ilvl w:val="0"/>
          <w:numId w:val="59"/>
        </w:numPr>
        <w:tabs>
          <w:tab w:pos="1964" w:val="left" w:leader="none"/>
          <w:tab w:pos="1965" w:val="left" w:leader="none"/>
        </w:tabs>
        <w:spacing w:line="240" w:lineRule="exact" w:before="0" w:after="0"/>
        <w:ind w:left="1964" w:right="0" w:hanging="681"/>
        <w:jc w:val="left"/>
        <w:rPr>
          <w:sz w:val="20"/>
        </w:rPr>
      </w:pPr>
      <w:r>
        <w:rPr>
          <w:w w:val="120"/>
          <w:sz w:val="20"/>
        </w:rPr>
        <w:t>commissioning the fixed-term task group on blended</w:t>
      </w:r>
      <w:r>
        <w:rPr>
          <w:spacing w:val="22"/>
          <w:w w:val="120"/>
          <w:sz w:val="20"/>
        </w:rPr>
        <w:t> </w:t>
      </w:r>
      <w:r>
        <w:rPr>
          <w:w w:val="120"/>
          <w:sz w:val="20"/>
        </w:rPr>
        <w:t>learning</w:t>
      </w:r>
    </w:p>
    <w:p>
      <w:pPr>
        <w:pStyle w:val="ListParagraph"/>
        <w:numPr>
          <w:ilvl w:val="0"/>
          <w:numId w:val="59"/>
        </w:numPr>
        <w:tabs>
          <w:tab w:pos="1964" w:val="left" w:leader="none"/>
          <w:tab w:pos="1965" w:val="left" w:leader="none"/>
        </w:tabs>
        <w:spacing w:line="196" w:lineRule="auto" w:before="0" w:after="0"/>
        <w:ind w:left="1964" w:right="1599" w:hanging="681"/>
        <w:jc w:val="left"/>
        <w:rPr>
          <w:sz w:val="20"/>
        </w:rPr>
      </w:pPr>
      <w:r>
        <w:rPr>
          <w:w w:val="120"/>
          <w:sz w:val="20"/>
        </w:rPr>
        <w:t>joint working with the children and youth department on signposting mental health</w:t>
      </w:r>
      <w:r>
        <w:rPr>
          <w:spacing w:val="1"/>
          <w:w w:val="120"/>
          <w:sz w:val="20"/>
        </w:rPr>
        <w:t> </w:t>
      </w:r>
      <w:r>
        <w:rPr>
          <w:w w:val="120"/>
          <w:sz w:val="20"/>
        </w:rPr>
        <w:t>resources</w:t>
      </w:r>
    </w:p>
    <w:p>
      <w:pPr>
        <w:pStyle w:val="ListParagraph"/>
        <w:numPr>
          <w:ilvl w:val="0"/>
          <w:numId w:val="59"/>
        </w:numPr>
        <w:tabs>
          <w:tab w:pos="1964" w:val="left" w:leader="none"/>
          <w:tab w:pos="1965" w:val="left" w:leader="none"/>
        </w:tabs>
        <w:spacing w:line="196" w:lineRule="auto" w:before="0" w:after="0"/>
        <w:ind w:left="1964" w:right="1432" w:hanging="681"/>
        <w:jc w:val="left"/>
        <w:rPr>
          <w:sz w:val="20"/>
        </w:rPr>
      </w:pPr>
      <w:r>
        <w:rPr>
          <w:w w:val="120"/>
          <w:sz w:val="20"/>
        </w:rPr>
        <w:t>introducing a new </w:t>
      </w:r>
      <w:r>
        <w:rPr>
          <w:spacing w:val="-3"/>
          <w:w w:val="120"/>
          <w:sz w:val="20"/>
        </w:rPr>
        <w:t>EM1 </w:t>
      </w:r>
      <w:r>
        <w:rPr>
          <w:w w:val="120"/>
          <w:sz w:val="20"/>
        </w:rPr>
        <w:t>student finance scheme in conjunction with the finance office and relevant</w:t>
      </w:r>
      <w:r>
        <w:rPr>
          <w:spacing w:val="5"/>
          <w:w w:val="120"/>
          <w:sz w:val="20"/>
        </w:rPr>
        <w:t> </w:t>
      </w:r>
      <w:r>
        <w:rPr>
          <w:w w:val="120"/>
          <w:sz w:val="20"/>
        </w:rPr>
        <w:t>RCLs</w:t>
      </w:r>
    </w:p>
    <w:p>
      <w:pPr>
        <w:pStyle w:val="ListParagraph"/>
        <w:numPr>
          <w:ilvl w:val="0"/>
          <w:numId w:val="59"/>
        </w:numPr>
        <w:tabs>
          <w:tab w:pos="1964" w:val="left" w:leader="none"/>
          <w:tab w:pos="1965" w:val="left" w:leader="none"/>
        </w:tabs>
        <w:spacing w:line="196" w:lineRule="auto" w:before="0" w:after="0"/>
        <w:ind w:left="1964" w:right="1346" w:hanging="681"/>
        <w:jc w:val="left"/>
        <w:rPr>
          <w:sz w:val="20"/>
        </w:rPr>
      </w:pPr>
      <w:r>
        <w:rPr>
          <w:w w:val="120"/>
          <w:sz w:val="20"/>
        </w:rPr>
        <w:t>reshaping </w:t>
      </w:r>
      <w:r>
        <w:rPr>
          <w:spacing w:val="-3"/>
          <w:w w:val="120"/>
          <w:sz w:val="20"/>
        </w:rPr>
        <w:t>EM1 </w:t>
      </w:r>
      <w:r>
        <w:rPr>
          <w:w w:val="120"/>
          <w:sz w:val="20"/>
        </w:rPr>
        <w:t>administration with the ministries committee and RCLs, allowing reduced staffing in the education and learning</w:t>
      </w:r>
      <w:r>
        <w:rPr>
          <w:spacing w:val="17"/>
          <w:w w:val="120"/>
          <w:sz w:val="20"/>
        </w:rPr>
        <w:t> </w:t>
      </w:r>
      <w:r>
        <w:rPr>
          <w:w w:val="120"/>
          <w:sz w:val="20"/>
        </w:rPr>
        <w:t>office</w:t>
      </w:r>
    </w:p>
    <w:p>
      <w:pPr>
        <w:pStyle w:val="ListParagraph"/>
        <w:numPr>
          <w:ilvl w:val="0"/>
          <w:numId w:val="59"/>
        </w:numPr>
        <w:tabs>
          <w:tab w:pos="1964" w:val="left" w:leader="none"/>
          <w:tab w:pos="1965" w:val="left" w:leader="none"/>
        </w:tabs>
        <w:spacing w:line="241" w:lineRule="exact" w:before="0" w:after="0"/>
        <w:ind w:left="1964" w:right="0" w:hanging="681"/>
        <w:jc w:val="left"/>
        <w:rPr>
          <w:sz w:val="20"/>
        </w:rPr>
      </w:pPr>
      <w:r>
        <w:rPr>
          <w:w w:val="115"/>
          <w:sz w:val="20"/>
        </w:rPr>
        <w:t>preparing</w:t>
      </w:r>
      <w:r>
        <w:rPr>
          <w:spacing w:val="10"/>
          <w:w w:val="115"/>
          <w:sz w:val="20"/>
        </w:rPr>
        <w:t> </w:t>
      </w:r>
      <w:r>
        <w:rPr>
          <w:w w:val="115"/>
          <w:sz w:val="20"/>
        </w:rPr>
        <w:t>for</w:t>
      </w:r>
      <w:r>
        <w:rPr>
          <w:spacing w:val="10"/>
          <w:w w:val="115"/>
          <w:sz w:val="20"/>
        </w:rPr>
        <w:t> </w:t>
      </w:r>
      <w:r>
        <w:rPr>
          <w:w w:val="115"/>
          <w:sz w:val="20"/>
        </w:rPr>
        <w:t>a</w:t>
      </w:r>
      <w:r>
        <w:rPr>
          <w:spacing w:val="10"/>
          <w:w w:val="115"/>
          <w:sz w:val="20"/>
        </w:rPr>
        <w:t> </w:t>
      </w:r>
      <w:r>
        <w:rPr>
          <w:w w:val="115"/>
          <w:sz w:val="20"/>
        </w:rPr>
        <w:t>network</w:t>
      </w:r>
      <w:r>
        <w:rPr>
          <w:spacing w:val="11"/>
          <w:w w:val="115"/>
          <w:sz w:val="20"/>
        </w:rPr>
        <w:t> </w:t>
      </w:r>
      <w:r>
        <w:rPr>
          <w:w w:val="115"/>
          <w:sz w:val="20"/>
        </w:rPr>
        <w:t>of</w:t>
      </w:r>
      <w:r>
        <w:rPr>
          <w:spacing w:val="10"/>
          <w:w w:val="115"/>
          <w:sz w:val="20"/>
        </w:rPr>
        <w:t> </w:t>
      </w:r>
      <w:r>
        <w:rPr>
          <w:w w:val="115"/>
          <w:sz w:val="20"/>
        </w:rPr>
        <w:t>researchers</w:t>
      </w:r>
      <w:r>
        <w:rPr>
          <w:spacing w:val="10"/>
          <w:w w:val="115"/>
          <w:sz w:val="20"/>
        </w:rPr>
        <w:t> </w:t>
      </w:r>
      <w:r>
        <w:rPr>
          <w:w w:val="115"/>
          <w:sz w:val="20"/>
        </w:rPr>
        <w:t>from</w:t>
      </w:r>
      <w:r>
        <w:rPr>
          <w:spacing w:val="10"/>
          <w:w w:val="115"/>
          <w:sz w:val="20"/>
        </w:rPr>
        <w:t> </w:t>
      </w:r>
      <w:r>
        <w:rPr>
          <w:w w:val="115"/>
          <w:sz w:val="20"/>
        </w:rPr>
        <w:t>the</w:t>
      </w:r>
      <w:r>
        <w:rPr>
          <w:spacing w:val="11"/>
          <w:w w:val="115"/>
          <w:sz w:val="20"/>
        </w:rPr>
        <w:t> </w:t>
      </w:r>
      <w:r>
        <w:rPr>
          <w:w w:val="115"/>
          <w:sz w:val="20"/>
        </w:rPr>
        <w:t>United</w:t>
      </w:r>
      <w:r>
        <w:rPr>
          <w:spacing w:val="10"/>
          <w:w w:val="115"/>
          <w:sz w:val="20"/>
        </w:rPr>
        <w:t> </w:t>
      </w:r>
      <w:r>
        <w:rPr>
          <w:w w:val="115"/>
          <w:sz w:val="20"/>
        </w:rPr>
        <w:t>Reformed</w:t>
      </w:r>
      <w:r>
        <w:rPr>
          <w:spacing w:val="10"/>
          <w:w w:val="115"/>
          <w:sz w:val="20"/>
        </w:rPr>
        <w:t> </w:t>
      </w:r>
      <w:r>
        <w:rPr>
          <w:w w:val="115"/>
          <w:sz w:val="20"/>
        </w:rPr>
        <w:t>Church</w:t>
      </w:r>
    </w:p>
    <w:p>
      <w:pPr>
        <w:pStyle w:val="ListParagraph"/>
        <w:numPr>
          <w:ilvl w:val="0"/>
          <w:numId w:val="59"/>
        </w:numPr>
        <w:tabs>
          <w:tab w:pos="1964" w:val="left" w:leader="none"/>
          <w:tab w:pos="1965" w:val="left" w:leader="none"/>
        </w:tabs>
        <w:spacing w:line="196" w:lineRule="auto" w:before="0" w:after="0"/>
        <w:ind w:left="1964" w:right="1996" w:hanging="681"/>
        <w:jc w:val="left"/>
        <w:rPr>
          <w:sz w:val="20"/>
        </w:rPr>
      </w:pPr>
      <w:r>
        <w:rPr>
          <w:w w:val="120"/>
          <w:sz w:val="20"/>
        </w:rPr>
        <w:t>implementing mandatory Safer Sacred Space training in conjunction with the</w:t>
      </w:r>
      <w:r>
        <w:rPr>
          <w:spacing w:val="2"/>
          <w:w w:val="120"/>
          <w:sz w:val="20"/>
        </w:rPr>
        <w:t> </w:t>
      </w:r>
      <w:r>
        <w:rPr>
          <w:w w:val="120"/>
          <w:sz w:val="20"/>
        </w:rPr>
        <w:t>synods</w:t>
      </w:r>
    </w:p>
    <w:p>
      <w:pPr>
        <w:spacing w:after="0" w:line="196" w:lineRule="auto"/>
        <w:jc w:val="left"/>
        <w:rPr>
          <w:sz w:val="20"/>
        </w:rPr>
        <w:sectPr>
          <w:headerReference w:type="default" r:id="rId225"/>
          <w:footerReference w:type="default" r:id="rId226"/>
          <w:footerReference w:type="even" r:id="rId227"/>
          <w:pgSz w:w="11910" w:h="16840"/>
          <w:pgMar w:header="0" w:footer="647" w:top="0" w:bottom="840" w:left="700" w:right="0"/>
          <w:pgNumType w:start="67"/>
        </w:sectPr>
      </w:pPr>
    </w:p>
    <w:p>
      <w:pPr>
        <w:pStyle w:val="BodyText"/>
      </w:pPr>
      <w:r>
        <w:rPr/>
        <w:drawing>
          <wp:anchor distT="0" distB="0" distL="0" distR="0" allowOverlap="1" layoutInCell="1" locked="0" behindDoc="1" simplePos="0" relativeHeight="235380736">
            <wp:simplePos x="0" y="0"/>
            <wp:positionH relativeFrom="page">
              <wp:posOffset>0</wp:posOffset>
            </wp:positionH>
            <wp:positionV relativeFrom="page">
              <wp:posOffset>0</wp:posOffset>
            </wp:positionV>
            <wp:extent cx="594067" cy="10692003"/>
            <wp:effectExtent l="0" t="0" r="0" b="0"/>
            <wp:wrapNone/>
            <wp:docPr id="121" name="image67.png"/>
            <wp:cNvGraphicFramePr>
              <a:graphicFrameLocks noChangeAspect="1"/>
            </wp:cNvGraphicFramePr>
            <a:graphic>
              <a:graphicData uri="http://schemas.openxmlformats.org/drawingml/2006/picture">
                <pic:pic>
                  <pic:nvPicPr>
                    <pic:cNvPr id="122" name="image67.png"/>
                    <pic:cNvPicPr/>
                  </pic:nvPicPr>
                  <pic:blipFill>
                    <a:blip r:embed="rId184" cstate="print"/>
                    <a:stretch>
                      <a:fillRect/>
                    </a:stretch>
                  </pic:blipFill>
                  <pic:spPr>
                    <a:xfrm>
                      <a:off x="0" y="0"/>
                      <a:ext cx="594067" cy="10692003"/>
                    </a:xfrm>
                    <a:prstGeom prst="rect">
                      <a:avLst/>
                    </a:prstGeom>
                  </pic:spPr>
                </pic:pic>
              </a:graphicData>
            </a:graphic>
          </wp:anchor>
        </w:drawing>
      </w:r>
      <w:r>
        <w:rPr/>
        <w:pict>
          <v:shape style="position:absolute;margin-left:20.519100pt;margin-top:48.890015pt;width:25.9pt;height:237.55pt;mso-position-horizontal-relative:page;mso-position-vertical-relative:page;z-index:-267934720" type="#_x0000_t202" filled="false" stroked="false">
            <v:textbox inset="0,0,0,0" style="layout-flow:vertical">
              <w:txbxContent>
                <w:p>
                  <w:pPr>
                    <w:spacing w:before="27"/>
                    <w:ind w:left="20" w:right="0" w:firstLine="0"/>
                    <w:jc w:val="left"/>
                    <w:rPr>
                      <w:sz w:val="39"/>
                    </w:rPr>
                  </w:pPr>
                  <w:r>
                    <w:rPr>
                      <w:color w:val="FFFFFF"/>
                      <w:w w:val="120"/>
                      <w:sz w:val="39"/>
                    </w:rPr>
                    <w:t>Education and learning</w:t>
                  </w:r>
                </w:p>
              </w:txbxContent>
            </v:textbox>
            <w10:wrap type="none"/>
          </v:shape>
        </w:pict>
      </w:r>
    </w:p>
    <w:p>
      <w:pPr>
        <w:pStyle w:val="BodyText"/>
        <w:spacing w:before="7"/>
        <w:rPr>
          <w:sz w:val="21"/>
        </w:rPr>
      </w:pPr>
    </w:p>
    <w:p>
      <w:pPr>
        <w:pStyle w:val="Heading1"/>
        <w:ind w:left="547"/>
      </w:pPr>
      <w:bookmarkStart w:name="_TOC_250009" w:id="8"/>
      <w:bookmarkEnd w:id="8"/>
      <w:r>
        <w:rPr>
          <w:color w:val="7EAABF"/>
          <w:w w:val="115"/>
        </w:rPr>
        <w:t>Education and learning</w:t>
      </w:r>
    </w:p>
    <w:p>
      <w:pPr>
        <w:pStyle w:val="ListParagraph"/>
        <w:numPr>
          <w:ilvl w:val="0"/>
          <w:numId w:val="28"/>
        </w:numPr>
        <w:tabs>
          <w:tab w:pos="1227" w:val="left" w:leader="none"/>
          <w:tab w:pos="1228" w:val="left" w:leader="none"/>
        </w:tabs>
        <w:spacing w:line="298" w:lineRule="exact" w:before="158" w:after="0"/>
        <w:ind w:left="1227" w:right="0" w:hanging="681"/>
        <w:jc w:val="left"/>
        <w:rPr>
          <w:sz w:val="20"/>
        </w:rPr>
      </w:pPr>
      <w:r>
        <w:rPr>
          <w:w w:val="120"/>
          <w:sz w:val="20"/>
        </w:rPr>
        <w:t>maintaining the EM2</w:t>
      </w:r>
      <w:r>
        <w:rPr>
          <w:spacing w:val="6"/>
          <w:w w:val="120"/>
          <w:sz w:val="20"/>
        </w:rPr>
        <w:t> </w:t>
      </w:r>
      <w:r>
        <w:rPr>
          <w:w w:val="120"/>
          <w:sz w:val="20"/>
        </w:rPr>
        <w:t>programme</w:t>
      </w:r>
    </w:p>
    <w:p>
      <w:pPr>
        <w:pStyle w:val="ListParagraph"/>
        <w:numPr>
          <w:ilvl w:val="0"/>
          <w:numId w:val="28"/>
        </w:numPr>
        <w:tabs>
          <w:tab w:pos="1227" w:val="left" w:leader="none"/>
          <w:tab w:pos="1228" w:val="left" w:leader="none"/>
        </w:tabs>
        <w:spacing w:line="196" w:lineRule="auto" w:before="0" w:after="0"/>
        <w:ind w:left="1227" w:right="2503" w:hanging="681"/>
        <w:jc w:val="left"/>
        <w:rPr>
          <w:sz w:val="20"/>
        </w:rPr>
      </w:pPr>
      <w:r>
        <w:rPr>
          <w:w w:val="120"/>
          <w:sz w:val="20"/>
        </w:rPr>
        <w:t>compiling statistics on use of membership resources, eldership preparation, and </w:t>
      </w:r>
      <w:r>
        <w:rPr>
          <w:spacing w:val="-3"/>
          <w:w w:val="120"/>
          <w:sz w:val="20"/>
        </w:rPr>
        <w:t>EM3</w:t>
      </w:r>
      <w:r>
        <w:rPr>
          <w:spacing w:val="3"/>
          <w:w w:val="120"/>
          <w:sz w:val="20"/>
        </w:rPr>
        <w:t> </w:t>
      </w:r>
      <w:r>
        <w:rPr>
          <w:w w:val="120"/>
          <w:sz w:val="20"/>
        </w:rPr>
        <w:t>uptake.</w:t>
      </w:r>
    </w:p>
    <w:p>
      <w:pPr>
        <w:pStyle w:val="BodyText"/>
        <w:spacing w:before="5"/>
        <w:rPr>
          <w:sz w:val="18"/>
        </w:rPr>
      </w:pPr>
    </w:p>
    <w:p>
      <w:pPr>
        <w:pStyle w:val="Heading2"/>
        <w:ind w:left="547"/>
      </w:pPr>
      <w:r>
        <w:rPr>
          <w:w w:val="110"/>
        </w:rPr>
        <w:t>Learning from change and challenges</w:t>
      </w:r>
    </w:p>
    <w:p>
      <w:pPr>
        <w:pStyle w:val="ListParagraph"/>
        <w:numPr>
          <w:ilvl w:val="1"/>
          <w:numId w:val="58"/>
        </w:numPr>
        <w:tabs>
          <w:tab w:pos="1227" w:val="left" w:leader="none"/>
          <w:tab w:pos="1228" w:val="left" w:leader="none"/>
        </w:tabs>
        <w:spacing w:line="235" w:lineRule="auto" w:before="83" w:after="0"/>
        <w:ind w:left="547" w:right="2118" w:firstLine="0"/>
        <w:jc w:val="left"/>
        <w:rPr>
          <w:sz w:val="20"/>
        </w:rPr>
      </w:pPr>
      <w:r>
        <w:rPr>
          <w:w w:val="120"/>
          <w:sz w:val="20"/>
        </w:rPr>
        <w:t>In 2009 the education and learning committee adopted an approach to relationships with the RCLs based on the three principles of parity of esteem, comparability of financing, and equivalence of representation, which take into account the diversity of the RCLs. One size could not fit all, and the rich variety of voices in the rest of this education and learning committee </w:t>
      </w:r>
      <w:r>
        <w:rPr>
          <w:spacing w:val="2"/>
          <w:w w:val="120"/>
          <w:sz w:val="20"/>
        </w:rPr>
        <w:t>report </w:t>
      </w:r>
      <w:r>
        <w:rPr>
          <w:w w:val="120"/>
          <w:sz w:val="20"/>
        </w:rPr>
        <w:t>is testament to that. The learning from the past two years is that continuing conversations bear fruit in surprising ways, and that facing challenges openly can lead to new ways</w:t>
      </w:r>
      <w:r>
        <w:rPr>
          <w:spacing w:val="29"/>
          <w:w w:val="120"/>
          <w:sz w:val="20"/>
        </w:rPr>
        <w:t> </w:t>
      </w:r>
      <w:r>
        <w:rPr>
          <w:w w:val="120"/>
          <w:sz w:val="20"/>
        </w:rPr>
        <w:t>forward.</w:t>
      </w:r>
    </w:p>
    <w:p>
      <w:pPr>
        <w:pStyle w:val="BodyText"/>
        <w:spacing w:before="1"/>
      </w:pPr>
    </w:p>
    <w:p>
      <w:pPr>
        <w:pStyle w:val="ListParagraph"/>
        <w:numPr>
          <w:ilvl w:val="1"/>
          <w:numId w:val="58"/>
        </w:numPr>
        <w:tabs>
          <w:tab w:pos="1227" w:val="left" w:leader="none"/>
          <w:tab w:pos="1228" w:val="left" w:leader="none"/>
        </w:tabs>
        <w:spacing w:line="235" w:lineRule="auto" w:before="0" w:after="0"/>
        <w:ind w:left="547" w:right="2208" w:firstLine="0"/>
        <w:jc w:val="left"/>
        <w:rPr>
          <w:sz w:val="20"/>
        </w:rPr>
      </w:pPr>
      <w:r>
        <w:rPr>
          <w:w w:val="120"/>
          <w:sz w:val="20"/>
        </w:rPr>
        <w:t>There is always transition in life, and the last two years has seen significant </w:t>
      </w:r>
      <w:r>
        <w:rPr>
          <w:spacing w:val="2"/>
          <w:w w:val="120"/>
          <w:sz w:val="20"/>
        </w:rPr>
        <w:t>shifts </w:t>
      </w:r>
      <w:r>
        <w:rPr>
          <w:w w:val="120"/>
          <w:sz w:val="20"/>
        </w:rPr>
        <w:t>in personnel. The sudden death of Penny Hannon, the Education and Learning Finance Officer, in December </w:t>
      </w:r>
      <w:r>
        <w:rPr>
          <w:spacing w:val="-7"/>
          <w:w w:val="120"/>
          <w:sz w:val="20"/>
        </w:rPr>
        <w:t>2014 </w:t>
      </w:r>
      <w:r>
        <w:rPr>
          <w:w w:val="120"/>
          <w:sz w:val="20"/>
        </w:rPr>
        <w:t>came at a crucial time for the introduction of the new student financing system. But the preparatory work which Penny had carried out with her characteristic quiet persistence, together with collaboration with the finance officers of the relevant RCLs enabled the system to be introduced on schedule for  new students from summer </w:t>
      </w:r>
      <w:r>
        <w:rPr>
          <w:spacing w:val="-7"/>
          <w:w w:val="120"/>
          <w:sz w:val="20"/>
        </w:rPr>
        <w:t>2015. </w:t>
      </w:r>
      <w:r>
        <w:rPr>
          <w:w w:val="120"/>
          <w:sz w:val="20"/>
        </w:rPr>
        <w:t>Penny worked for the URC for ten years, became a treasured colleague and was held in deep affection by all those who worked with </w:t>
      </w:r>
      <w:r>
        <w:rPr>
          <w:spacing w:val="-3"/>
          <w:w w:val="120"/>
          <w:sz w:val="20"/>
        </w:rPr>
        <w:t>her. </w:t>
      </w:r>
      <w:r>
        <w:rPr>
          <w:w w:val="120"/>
          <w:sz w:val="20"/>
        </w:rPr>
        <w:t>The committee recognises and is deeply grateful for her work and commitment to   the</w:t>
      </w:r>
      <w:r>
        <w:rPr>
          <w:spacing w:val="2"/>
          <w:w w:val="120"/>
          <w:sz w:val="20"/>
        </w:rPr>
        <w:t> </w:t>
      </w:r>
      <w:r>
        <w:rPr>
          <w:w w:val="120"/>
          <w:sz w:val="20"/>
        </w:rPr>
        <w:t>denomination.</w:t>
      </w:r>
    </w:p>
    <w:p>
      <w:pPr>
        <w:pStyle w:val="BodyText"/>
        <w:spacing w:before="3"/>
      </w:pPr>
    </w:p>
    <w:p>
      <w:pPr>
        <w:pStyle w:val="ListParagraph"/>
        <w:numPr>
          <w:ilvl w:val="1"/>
          <w:numId w:val="58"/>
        </w:numPr>
        <w:tabs>
          <w:tab w:pos="1227" w:val="left" w:leader="none"/>
          <w:tab w:pos="1228" w:val="left" w:leader="none"/>
        </w:tabs>
        <w:spacing w:line="235" w:lineRule="auto" w:before="0" w:after="0"/>
        <w:ind w:left="547" w:right="2873" w:firstLine="0"/>
        <w:jc w:val="left"/>
        <w:rPr>
          <w:sz w:val="20"/>
        </w:rPr>
      </w:pPr>
      <w:r>
        <w:rPr>
          <w:w w:val="120"/>
          <w:sz w:val="20"/>
        </w:rPr>
        <w:t>The </w:t>
      </w:r>
      <w:r>
        <w:rPr>
          <w:spacing w:val="-3"/>
          <w:w w:val="120"/>
          <w:sz w:val="20"/>
        </w:rPr>
        <w:t>Revd </w:t>
      </w:r>
      <w:r>
        <w:rPr>
          <w:w w:val="120"/>
          <w:sz w:val="20"/>
        </w:rPr>
        <w:t>John </w:t>
      </w:r>
      <w:r>
        <w:rPr>
          <w:spacing w:val="-3"/>
          <w:w w:val="120"/>
          <w:sz w:val="20"/>
        </w:rPr>
        <w:t>Smith completed his </w:t>
      </w:r>
      <w:r>
        <w:rPr>
          <w:w w:val="120"/>
          <w:sz w:val="20"/>
        </w:rPr>
        <w:t>term as </w:t>
      </w:r>
      <w:r>
        <w:rPr>
          <w:spacing w:val="-3"/>
          <w:w w:val="120"/>
          <w:sz w:val="20"/>
        </w:rPr>
        <w:t>convenor </w:t>
      </w:r>
      <w:r>
        <w:rPr>
          <w:w w:val="120"/>
          <w:sz w:val="20"/>
        </w:rPr>
        <w:t>of the </w:t>
      </w:r>
      <w:r>
        <w:rPr>
          <w:spacing w:val="-3"/>
          <w:w w:val="120"/>
          <w:sz w:val="20"/>
        </w:rPr>
        <w:t>committee </w:t>
      </w:r>
      <w:r>
        <w:rPr>
          <w:w w:val="120"/>
          <w:sz w:val="20"/>
        </w:rPr>
        <w:t>in July</w:t>
      </w:r>
      <w:r>
        <w:rPr>
          <w:spacing w:val="-9"/>
          <w:w w:val="120"/>
          <w:sz w:val="20"/>
        </w:rPr>
        <w:t> 2015</w:t>
      </w:r>
      <w:r>
        <w:rPr>
          <w:spacing w:val="-8"/>
          <w:w w:val="120"/>
          <w:sz w:val="20"/>
        </w:rPr>
        <w:t> </w:t>
      </w:r>
      <w:r>
        <w:rPr>
          <w:w w:val="120"/>
          <w:sz w:val="20"/>
        </w:rPr>
        <w:t>after</w:t>
      </w:r>
      <w:r>
        <w:rPr>
          <w:spacing w:val="-8"/>
          <w:w w:val="120"/>
          <w:sz w:val="20"/>
        </w:rPr>
        <w:t> </w:t>
      </w:r>
      <w:r>
        <w:rPr>
          <w:w w:val="120"/>
          <w:sz w:val="20"/>
        </w:rPr>
        <w:t>prior</w:t>
      </w:r>
      <w:r>
        <w:rPr>
          <w:spacing w:val="-9"/>
          <w:w w:val="120"/>
          <w:sz w:val="20"/>
        </w:rPr>
        <w:t> </w:t>
      </w:r>
      <w:r>
        <w:rPr>
          <w:w w:val="120"/>
          <w:sz w:val="20"/>
        </w:rPr>
        <w:t>years</w:t>
      </w:r>
      <w:r>
        <w:rPr>
          <w:spacing w:val="-8"/>
          <w:w w:val="120"/>
          <w:sz w:val="20"/>
        </w:rPr>
        <w:t> </w:t>
      </w:r>
      <w:r>
        <w:rPr>
          <w:w w:val="120"/>
          <w:sz w:val="20"/>
        </w:rPr>
        <w:t>of</w:t>
      </w:r>
      <w:r>
        <w:rPr>
          <w:spacing w:val="-8"/>
          <w:w w:val="120"/>
          <w:sz w:val="20"/>
        </w:rPr>
        <w:t> </w:t>
      </w:r>
      <w:r>
        <w:rPr>
          <w:w w:val="120"/>
          <w:sz w:val="20"/>
        </w:rPr>
        <w:t>service</w:t>
      </w:r>
      <w:r>
        <w:rPr>
          <w:spacing w:val="-9"/>
          <w:w w:val="120"/>
          <w:sz w:val="20"/>
        </w:rPr>
        <w:t> </w:t>
      </w:r>
      <w:r>
        <w:rPr>
          <w:w w:val="120"/>
          <w:sz w:val="20"/>
        </w:rPr>
        <w:t>as</w:t>
      </w:r>
      <w:r>
        <w:rPr>
          <w:spacing w:val="-8"/>
          <w:w w:val="120"/>
          <w:sz w:val="20"/>
        </w:rPr>
        <w:t> </w:t>
      </w:r>
      <w:r>
        <w:rPr>
          <w:w w:val="120"/>
          <w:sz w:val="20"/>
        </w:rPr>
        <w:t>a</w:t>
      </w:r>
      <w:r>
        <w:rPr>
          <w:spacing w:val="-8"/>
          <w:w w:val="120"/>
          <w:sz w:val="20"/>
        </w:rPr>
        <w:t> </w:t>
      </w:r>
      <w:r>
        <w:rPr>
          <w:w w:val="120"/>
          <w:sz w:val="20"/>
        </w:rPr>
        <w:t>member</w:t>
      </w:r>
      <w:r>
        <w:rPr>
          <w:spacing w:val="-9"/>
          <w:w w:val="120"/>
          <w:sz w:val="20"/>
        </w:rPr>
        <w:t> </w:t>
      </w:r>
      <w:r>
        <w:rPr>
          <w:w w:val="120"/>
          <w:sz w:val="20"/>
        </w:rPr>
        <w:t>of</w:t>
      </w:r>
      <w:r>
        <w:rPr>
          <w:spacing w:val="-8"/>
          <w:w w:val="120"/>
          <w:sz w:val="20"/>
        </w:rPr>
        <w:t> </w:t>
      </w:r>
      <w:r>
        <w:rPr>
          <w:w w:val="120"/>
          <w:sz w:val="20"/>
        </w:rPr>
        <w:t>the</w:t>
      </w:r>
      <w:r>
        <w:rPr>
          <w:spacing w:val="-8"/>
          <w:w w:val="120"/>
          <w:sz w:val="20"/>
        </w:rPr>
        <w:t> </w:t>
      </w:r>
      <w:r>
        <w:rPr>
          <w:spacing w:val="-3"/>
          <w:w w:val="120"/>
          <w:sz w:val="20"/>
        </w:rPr>
        <w:t>committee.</w:t>
      </w:r>
      <w:r>
        <w:rPr>
          <w:spacing w:val="-9"/>
          <w:w w:val="120"/>
          <w:sz w:val="20"/>
        </w:rPr>
        <w:t> </w:t>
      </w:r>
      <w:r>
        <w:rPr>
          <w:w w:val="120"/>
          <w:sz w:val="20"/>
        </w:rPr>
        <w:t>His</w:t>
      </w:r>
      <w:r>
        <w:rPr>
          <w:spacing w:val="-8"/>
          <w:w w:val="120"/>
          <w:sz w:val="20"/>
        </w:rPr>
        <w:t> </w:t>
      </w:r>
      <w:r>
        <w:rPr>
          <w:w w:val="120"/>
          <w:sz w:val="20"/>
        </w:rPr>
        <w:t>calm</w:t>
      </w:r>
      <w:r>
        <w:rPr>
          <w:spacing w:val="-8"/>
          <w:w w:val="120"/>
          <w:sz w:val="20"/>
        </w:rPr>
        <w:t> </w:t>
      </w:r>
      <w:r>
        <w:rPr>
          <w:w w:val="120"/>
          <w:sz w:val="20"/>
        </w:rPr>
        <w:t>and</w:t>
      </w:r>
    </w:p>
    <w:p>
      <w:pPr>
        <w:pStyle w:val="BodyText"/>
        <w:spacing w:line="235" w:lineRule="auto" w:before="2"/>
        <w:ind w:left="547" w:right="1906"/>
      </w:pPr>
      <w:r>
        <w:rPr>
          <w:w w:val="120"/>
        </w:rPr>
        <w:t>insightful facilitation of meetings and conversations both formal and informal were an immeasurable contribution to the life of the committee and its office during a protracted period of turbulence. The Revd Dr Neil Messer brings a valuable perspective to the role of convenor as a theologian in the academy with experience of institutional change.</w:t>
      </w:r>
    </w:p>
    <w:p>
      <w:pPr>
        <w:pStyle w:val="BodyText"/>
        <w:rPr>
          <w:sz w:val="19"/>
        </w:rPr>
      </w:pPr>
    </w:p>
    <w:p>
      <w:pPr>
        <w:pStyle w:val="Heading2"/>
        <w:ind w:left="547"/>
      </w:pPr>
      <w:r>
        <w:rPr>
          <w:w w:val="110"/>
        </w:rPr>
        <w:t>The future?</w:t>
      </w:r>
    </w:p>
    <w:p>
      <w:pPr>
        <w:pStyle w:val="ListParagraph"/>
        <w:numPr>
          <w:ilvl w:val="1"/>
          <w:numId w:val="58"/>
        </w:numPr>
        <w:tabs>
          <w:tab w:pos="1227" w:val="left" w:leader="none"/>
          <w:tab w:pos="1228" w:val="left" w:leader="none"/>
        </w:tabs>
        <w:spacing w:line="235" w:lineRule="auto" w:before="83" w:after="0"/>
        <w:ind w:left="547" w:right="2159" w:firstLine="0"/>
        <w:jc w:val="left"/>
        <w:rPr>
          <w:sz w:val="20"/>
        </w:rPr>
      </w:pPr>
      <w:r>
        <w:rPr>
          <w:w w:val="120"/>
          <w:sz w:val="20"/>
        </w:rPr>
        <w:t>The biggest single influence on the work of the committee for the foreseeable future is clearly ‘Walking the Way: living the life of Jesus today’ as it seeks to shape and express the life of United Reformed Church through missional discipleship. It is likely  to affect every </w:t>
      </w:r>
      <w:r>
        <w:rPr>
          <w:spacing w:val="2"/>
          <w:w w:val="120"/>
          <w:sz w:val="20"/>
        </w:rPr>
        <w:t>part </w:t>
      </w:r>
      <w:r>
        <w:rPr>
          <w:w w:val="120"/>
          <w:sz w:val="20"/>
        </w:rPr>
        <w:t>of the committee’s responsibilities. This rich and-still-being woven </w:t>
      </w:r>
      <w:r>
        <w:rPr>
          <w:spacing w:val="2"/>
          <w:w w:val="120"/>
          <w:sz w:val="20"/>
        </w:rPr>
        <w:t>tapestry </w:t>
      </w:r>
      <w:r>
        <w:rPr>
          <w:w w:val="120"/>
          <w:sz w:val="20"/>
        </w:rPr>
        <w:t>is emerging from collaboration across the church, with particular</w:t>
      </w:r>
      <w:r>
        <w:rPr>
          <w:spacing w:val="27"/>
          <w:w w:val="120"/>
          <w:sz w:val="20"/>
        </w:rPr>
        <w:t> </w:t>
      </w:r>
      <w:r>
        <w:rPr>
          <w:w w:val="120"/>
          <w:sz w:val="20"/>
        </w:rPr>
        <w:t>threads</w:t>
      </w:r>
    </w:p>
    <w:p>
      <w:pPr>
        <w:pStyle w:val="BodyText"/>
        <w:spacing w:line="235" w:lineRule="auto" w:before="3"/>
        <w:ind w:left="547" w:right="2024"/>
      </w:pPr>
      <w:r>
        <w:rPr>
          <w:w w:val="120"/>
        </w:rPr>
        <w:t>in the hands of the education and learning committee. One of these is the range of intentional adult development opportunities offered during the transitional period. Work is underway to base these on strengthening Training for Learning and Serving. Local Introductory Training Experiences </w:t>
      </w:r>
      <w:r>
        <w:rPr>
          <w:spacing w:val="2"/>
          <w:w w:val="120"/>
        </w:rPr>
        <w:t>(TLS </w:t>
      </w:r>
      <w:r>
        <w:rPr>
          <w:w w:val="120"/>
        </w:rPr>
        <w:t>LITE), continued provision of </w:t>
      </w:r>
      <w:r>
        <w:rPr>
          <w:spacing w:val="2"/>
          <w:w w:val="120"/>
        </w:rPr>
        <w:t>TLS </w:t>
      </w:r>
      <w:r>
        <w:rPr>
          <w:w w:val="120"/>
        </w:rPr>
        <w:t>one year courses, and mentored reflective practice through synods. A second, longer lasting thread will be the design of the programme to replace </w:t>
      </w:r>
      <w:r>
        <w:rPr>
          <w:spacing w:val="2"/>
          <w:w w:val="120"/>
        </w:rPr>
        <w:t>TLS </w:t>
      </w:r>
      <w:r>
        <w:rPr>
          <w:w w:val="120"/>
        </w:rPr>
        <w:t>from </w:t>
      </w:r>
      <w:r>
        <w:rPr>
          <w:spacing w:val="-6"/>
          <w:w w:val="120"/>
        </w:rPr>
        <w:t>2018  </w:t>
      </w:r>
      <w:r>
        <w:rPr>
          <w:w w:val="120"/>
        </w:rPr>
        <w:t>onwards. This   will rely on shared work between Assembly committees, Synods and RCLs to ensure  that the new programme is as transformative and durable as </w:t>
      </w:r>
      <w:r>
        <w:rPr>
          <w:spacing w:val="2"/>
          <w:w w:val="120"/>
        </w:rPr>
        <w:t>TLS </w:t>
      </w:r>
      <w:r>
        <w:rPr>
          <w:w w:val="120"/>
        </w:rPr>
        <w:t>has proved to be, whilst benefiting from the integration of resources which was the intention of the 2006 training</w:t>
      </w:r>
      <w:r>
        <w:rPr>
          <w:spacing w:val="2"/>
          <w:w w:val="120"/>
        </w:rPr>
        <w:t> </w:t>
      </w:r>
      <w:r>
        <w:rPr>
          <w:w w:val="120"/>
        </w:rPr>
        <w:t>review.</w:t>
      </w:r>
    </w:p>
    <w:p>
      <w:pPr>
        <w:pStyle w:val="BodyText"/>
        <w:spacing w:before="4"/>
      </w:pPr>
    </w:p>
    <w:p>
      <w:pPr>
        <w:pStyle w:val="ListParagraph"/>
        <w:numPr>
          <w:ilvl w:val="1"/>
          <w:numId w:val="58"/>
        </w:numPr>
        <w:tabs>
          <w:tab w:pos="1227" w:val="left" w:leader="none"/>
          <w:tab w:pos="1228" w:val="left" w:leader="none"/>
        </w:tabs>
        <w:spacing w:line="235" w:lineRule="auto" w:before="0" w:after="0"/>
        <w:ind w:left="547" w:right="2031" w:firstLine="0"/>
        <w:jc w:val="left"/>
        <w:rPr>
          <w:sz w:val="20"/>
        </w:rPr>
      </w:pPr>
      <w:r>
        <w:rPr>
          <w:w w:val="120"/>
          <w:sz w:val="20"/>
        </w:rPr>
        <w:t>The </w:t>
      </w:r>
      <w:r>
        <w:rPr>
          <w:spacing w:val="-4"/>
          <w:w w:val="120"/>
          <w:sz w:val="20"/>
        </w:rPr>
        <w:t>committee’s </w:t>
      </w:r>
      <w:r>
        <w:rPr>
          <w:w w:val="120"/>
          <w:sz w:val="20"/>
        </w:rPr>
        <w:t>work on appreciative inquiry and </w:t>
      </w:r>
      <w:r>
        <w:rPr>
          <w:spacing w:val="-3"/>
          <w:w w:val="120"/>
          <w:sz w:val="20"/>
        </w:rPr>
        <w:t>conversational </w:t>
      </w:r>
      <w:r>
        <w:rPr>
          <w:w w:val="120"/>
          <w:sz w:val="20"/>
        </w:rPr>
        <w:t>approaches </w:t>
      </w:r>
      <w:r>
        <w:rPr>
          <w:spacing w:val="-3"/>
          <w:w w:val="120"/>
          <w:sz w:val="20"/>
        </w:rPr>
        <w:t>to organisational </w:t>
      </w:r>
      <w:r>
        <w:rPr>
          <w:w w:val="120"/>
          <w:sz w:val="20"/>
        </w:rPr>
        <w:t>change is expected </w:t>
      </w:r>
      <w:r>
        <w:rPr>
          <w:spacing w:val="-3"/>
          <w:w w:val="120"/>
          <w:sz w:val="20"/>
        </w:rPr>
        <w:t>to move </w:t>
      </w:r>
      <w:r>
        <w:rPr>
          <w:w w:val="120"/>
          <w:sz w:val="20"/>
        </w:rPr>
        <w:t>forward with the </w:t>
      </w:r>
      <w:r>
        <w:rPr>
          <w:spacing w:val="-3"/>
          <w:w w:val="120"/>
          <w:sz w:val="20"/>
        </w:rPr>
        <w:t>publication </w:t>
      </w:r>
      <w:r>
        <w:rPr>
          <w:w w:val="120"/>
          <w:sz w:val="20"/>
        </w:rPr>
        <w:t>of the workbook currently</w:t>
      </w:r>
      <w:r>
        <w:rPr>
          <w:spacing w:val="-13"/>
          <w:w w:val="120"/>
          <w:sz w:val="20"/>
        </w:rPr>
        <w:t> </w:t>
      </w:r>
      <w:r>
        <w:rPr>
          <w:w w:val="120"/>
          <w:sz w:val="20"/>
        </w:rPr>
        <w:t>being</w:t>
      </w:r>
      <w:r>
        <w:rPr>
          <w:spacing w:val="-12"/>
          <w:w w:val="120"/>
          <w:sz w:val="20"/>
        </w:rPr>
        <w:t> </w:t>
      </w:r>
      <w:r>
        <w:rPr>
          <w:w w:val="120"/>
          <w:sz w:val="20"/>
        </w:rPr>
        <w:t>called</w:t>
      </w:r>
      <w:r>
        <w:rPr>
          <w:spacing w:val="-13"/>
          <w:w w:val="120"/>
          <w:sz w:val="20"/>
        </w:rPr>
        <w:t> </w:t>
      </w:r>
      <w:r>
        <w:rPr>
          <w:i/>
          <w:spacing w:val="-3"/>
          <w:w w:val="120"/>
          <w:sz w:val="20"/>
        </w:rPr>
        <w:t>Appreciating</w:t>
      </w:r>
      <w:r>
        <w:rPr>
          <w:i/>
          <w:spacing w:val="-16"/>
          <w:w w:val="120"/>
          <w:sz w:val="20"/>
        </w:rPr>
        <w:t> </w:t>
      </w:r>
      <w:r>
        <w:rPr>
          <w:i/>
          <w:spacing w:val="-4"/>
          <w:w w:val="120"/>
          <w:sz w:val="20"/>
        </w:rPr>
        <w:t>Church</w:t>
      </w:r>
      <w:r>
        <w:rPr>
          <w:spacing w:val="-4"/>
          <w:w w:val="120"/>
          <w:sz w:val="20"/>
        </w:rPr>
        <w:t>,</w:t>
      </w:r>
      <w:r>
        <w:rPr>
          <w:spacing w:val="-12"/>
          <w:w w:val="120"/>
          <w:sz w:val="20"/>
        </w:rPr>
        <w:t> </w:t>
      </w:r>
      <w:r>
        <w:rPr>
          <w:w w:val="120"/>
          <w:sz w:val="20"/>
        </w:rPr>
        <w:t>which</w:t>
      </w:r>
      <w:r>
        <w:rPr>
          <w:spacing w:val="-13"/>
          <w:w w:val="120"/>
          <w:sz w:val="20"/>
        </w:rPr>
        <w:t> </w:t>
      </w:r>
      <w:r>
        <w:rPr>
          <w:w w:val="120"/>
          <w:sz w:val="20"/>
        </w:rPr>
        <w:t>has</w:t>
      </w:r>
      <w:r>
        <w:rPr>
          <w:spacing w:val="-12"/>
          <w:w w:val="120"/>
          <w:sz w:val="20"/>
        </w:rPr>
        <w:t> </w:t>
      </w:r>
      <w:r>
        <w:rPr>
          <w:w w:val="120"/>
          <w:sz w:val="20"/>
        </w:rPr>
        <w:t>drawn</w:t>
      </w:r>
      <w:r>
        <w:rPr>
          <w:spacing w:val="-13"/>
          <w:w w:val="120"/>
          <w:sz w:val="20"/>
        </w:rPr>
        <w:t> </w:t>
      </w:r>
      <w:r>
        <w:rPr>
          <w:w w:val="120"/>
          <w:sz w:val="20"/>
        </w:rPr>
        <w:t>substantial</w:t>
      </w:r>
      <w:r>
        <w:rPr>
          <w:spacing w:val="-12"/>
          <w:w w:val="120"/>
          <w:sz w:val="20"/>
        </w:rPr>
        <w:t> </w:t>
      </w:r>
      <w:r>
        <w:rPr>
          <w:w w:val="120"/>
          <w:sz w:val="20"/>
        </w:rPr>
        <w:t>financial</w:t>
      </w:r>
      <w:r>
        <w:rPr>
          <w:spacing w:val="-13"/>
          <w:w w:val="120"/>
          <w:sz w:val="20"/>
        </w:rPr>
        <w:t> </w:t>
      </w:r>
      <w:r>
        <w:rPr>
          <w:w w:val="120"/>
          <w:sz w:val="20"/>
        </w:rPr>
        <w:t>support from the Methodist </w:t>
      </w:r>
      <w:r>
        <w:rPr>
          <w:spacing w:val="-3"/>
          <w:w w:val="120"/>
          <w:sz w:val="20"/>
        </w:rPr>
        <w:t>Church </w:t>
      </w:r>
      <w:r>
        <w:rPr>
          <w:w w:val="120"/>
          <w:sz w:val="20"/>
        </w:rPr>
        <w:t>and is being co-designed with Appreciating People and ecumenical partners. The </w:t>
      </w:r>
      <w:r>
        <w:rPr>
          <w:spacing w:val="-3"/>
          <w:w w:val="120"/>
          <w:sz w:val="20"/>
        </w:rPr>
        <w:t>Church </w:t>
      </w:r>
      <w:r>
        <w:rPr>
          <w:w w:val="120"/>
          <w:sz w:val="20"/>
        </w:rPr>
        <w:t>Leadership Programme has been revised and renewed and will </w:t>
      </w:r>
      <w:r>
        <w:rPr>
          <w:spacing w:val="-3"/>
          <w:w w:val="120"/>
          <w:sz w:val="20"/>
        </w:rPr>
        <w:t>once </w:t>
      </w:r>
      <w:r>
        <w:rPr>
          <w:w w:val="120"/>
          <w:sz w:val="20"/>
        </w:rPr>
        <w:t>again be offered through the Windermere</w:t>
      </w:r>
      <w:r>
        <w:rPr>
          <w:spacing w:val="-17"/>
          <w:w w:val="120"/>
          <w:sz w:val="20"/>
        </w:rPr>
        <w:t> </w:t>
      </w:r>
      <w:r>
        <w:rPr>
          <w:spacing w:val="-3"/>
          <w:w w:val="120"/>
          <w:sz w:val="20"/>
        </w:rPr>
        <w:t>Centre.</w:t>
      </w:r>
    </w:p>
    <w:p>
      <w:pPr>
        <w:spacing w:after="0" w:line="235" w:lineRule="auto"/>
        <w:jc w:val="left"/>
        <w:rPr>
          <w:sz w:val="20"/>
        </w:rPr>
        <w:sectPr>
          <w:headerReference w:type="even" r:id="rId228"/>
          <w:pgSz w:w="11910" w:h="16840"/>
          <w:pgMar w:header="0" w:footer="647" w:top="0" w:bottom="840" w:left="700" w:right="0"/>
        </w:sectPr>
      </w:pPr>
    </w:p>
    <w:p>
      <w:pPr>
        <w:pStyle w:val="BodyText"/>
      </w:pPr>
      <w:r>
        <w:rPr/>
        <w:drawing>
          <wp:anchor distT="0" distB="0" distL="0" distR="0" allowOverlap="1" layoutInCell="1" locked="0" behindDoc="0" simplePos="0" relativeHeight="251836416">
            <wp:simplePos x="0" y="0"/>
            <wp:positionH relativeFrom="page">
              <wp:posOffset>6974928</wp:posOffset>
            </wp:positionH>
            <wp:positionV relativeFrom="page">
              <wp:posOffset>0</wp:posOffset>
            </wp:positionV>
            <wp:extent cx="585063" cy="10692003"/>
            <wp:effectExtent l="0" t="0" r="0" b="0"/>
            <wp:wrapNone/>
            <wp:docPr id="123" name="image54.png"/>
            <wp:cNvGraphicFramePr>
              <a:graphicFrameLocks noChangeAspect="1"/>
            </wp:cNvGraphicFramePr>
            <a:graphic>
              <a:graphicData uri="http://schemas.openxmlformats.org/drawingml/2006/picture">
                <pic:pic>
                  <pic:nvPicPr>
                    <pic:cNvPr id="124" name="image54.png"/>
                    <pic:cNvPicPr/>
                  </pic:nvPicPr>
                  <pic:blipFill>
                    <a:blip r:embed="rId169" cstate="print"/>
                    <a:stretch>
                      <a:fillRect/>
                    </a:stretch>
                  </pic:blipFill>
                  <pic:spPr>
                    <a:xfrm>
                      <a:off x="0" y="0"/>
                      <a:ext cx="585063" cy="10692003"/>
                    </a:xfrm>
                    <a:prstGeom prst="rect">
                      <a:avLst/>
                    </a:prstGeom>
                  </pic:spPr>
                </pic:pic>
              </a:graphicData>
            </a:graphic>
          </wp:anchor>
        </w:drawing>
      </w:r>
    </w:p>
    <w:p>
      <w:pPr>
        <w:pStyle w:val="BodyText"/>
        <w:spacing w:before="7"/>
        <w:rPr>
          <w:sz w:val="21"/>
        </w:rPr>
      </w:pPr>
    </w:p>
    <w:p>
      <w:pPr>
        <w:spacing w:before="106"/>
        <w:ind w:left="7114" w:right="0" w:firstLine="0"/>
        <w:jc w:val="left"/>
        <w:rPr>
          <w:sz w:val="26"/>
        </w:rPr>
      </w:pPr>
      <w:r>
        <w:rPr/>
        <w:pict>
          <v:shape style="position:absolute;margin-left:554.141174pt;margin-top:22.593945pt;width:25.9pt;height:237.55pt;mso-position-horizontal-relative:page;mso-position-vertical-relative:paragraph;z-index:251837440" type="#_x0000_t202" filled="false" stroked="false">
            <v:textbox inset="0,0,0,0" style="layout-flow:vertical">
              <w:txbxContent>
                <w:p>
                  <w:pPr>
                    <w:spacing w:before="27"/>
                    <w:ind w:left="20" w:right="0" w:firstLine="0"/>
                    <w:jc w:val="left"/>
                    <w:rPr>
                      <w:sz w:val="39"/>
                    </w:rPr>
                  </w:pPr>
                  <w:r>
                    <w:rPr>
                      <w:color w:val="FFFFFF"/>
                      <w:w w:val="120"/>
                      <w:sz w:val="39"/>
                    </w:rPr>
                    <w:t>Education and learning</w:t>
                  </w:r>
                </w:p>
              </w:txbxContent>
            </v:textbox>
            <w10:wrap type="none"/>
          </v:shape>
        </w:pict>
      </w:r>
      <w:r>
        <w:rPr>
          <w:color w:val="7EAABF"/>
          <w:w w:val="115"/>
          <w:sz w:val="26"/>
        </w:rPr>
        <w:t>Education and learning</w:t>
      </w:r>
    </w:p>
    <w:p>
      <w:pPr>
        <w:spacing w:before="225"/>
        <w:ind w:left="1284" w:right="0" w:firstLine="0"/>
        <w:jc w:val="left"/>
        <w:rPr>
          <w:rFonts w:ascii="Stone Sans II ITC Std Bk"/>
          <w:b/>
          <w:sz w:val="32"/>
        </w:rPr>
      </w:pPr>
      <w:r>
        <w:rPr>
          <w:rFonts w:ascii="Stone Sans II ITC Std Bk"/>
          <w:b/>
          <w:w w:val="115"/>
          <w:sz w:val="32"/>
        </w:rPr>
        <w:t>Training for Learning and Serving</w:t>
      </w:r>
    </w:p>
    <w:p>
      <w:pPr>
        <w:pStyle w:val="ListParagraph"/>
        <w:numPr>
          <w:ilvl w:val="1"/>
          <w:numId w:val="60"/>
        </w:numPr>
        <w:tabs>
          <w:tab w:pos="1964" w:val="left" w:leader="none"/>
          <w:tab w:pos="1965" w:val="left" w:leader="none"/>
        </w:tabs>
        <w:spacing w:line="235" w:lineRule="auto" w:before="59" w:after="0"/>
        <w:ind w:left="1284" w:right="1246" w:firstLine="0"/>
        <w:jc w:val="left"/>
        <w:rPr>
          <w:sz w:val="20"/>
        </w:rPr>
      </w:pPr>
      <w:r>
        <w:rPr>
          <w:w w:val="120"/>
          <w:sz w:val="20"/>
        </w:rPr>
        <w:t>Since last Assembly, two </w:t>
      </w:r>
      <w:r>
        <w:rPr>
          <w:spacing w:val="2"/>
          <w:w w:val="120"/>
          <w:sz w:val="20"/>
        </w:rPr>
        <w:t>‘TLS </w:t>
      </w:r>
      <w:r>
        <w:rPr>
          <w:w w:val="120"/>
          <w:sz w:val="20"/>
        </w:rPr>
        <w:t>greats’ have passed on: Dr David R Goodbourn   who was instrumental in devising </w:t>
      </w:r>
      <w:r>
        <w:rPr>
          <w:spacing w:val="2"/>
          <w:w w:val="120"/>
          <w:sz w:val="20"/>
        </w:rPr>
        <w:t>TLS </w:t>
      </w:r>
      <w:r>
        <w:rPr>
          <w:w w:val="120"/>
          <w:sz w:val="20"/>
        </w:rPr>
        <w:t>and in first delivering it among the Scottish churches; and the Revd David AL Jenkins whose energy and </w:t>
      </w:r>
      <w:r>
        <w:rPr>
          <w:spacing w:val="2"/>
          <w:w w:val="120"/>
          <w:sz w:val="20"/>
        </w:rPr>
        <w:t>efforts </w:t>
      </w:r>
      <w:r>
        <w:rPr>
          <w:w w:val="120"/>
          <w:sz w:val="20"/>
        </w:rPr>
        <w:t>rooted </w:t>
      </w:r>
      <w:r>
        <w:rPr>
          <w:spacing w:val="2"/>
          <w:w w:val="120"/>
          <w:sz w:val="20"/>
        </w:rPr>
        <w:t>TLS </w:t>
      </w:r>
      <w:r>
        <w:rPr>
          <w:w w:val="120"/>
          <w:sz w:val="20"/>
        </w:rPr>
        <w:t>in the United Reformed Church and developed it into the enormously valuable training resource it became. Marking the passing of the two Davids may seem a sad way to  begin such a </w:t>
      </w:r>
      <w:r>
        <w:rPr>
          <w:spacing w:val="2"/>
          <w:w w:val="120"/>
          <w:sz w:val="20"/>
        </w:rPr>
        <w:t>report </w:t>
      </w:r>
      <w:r>
        <w:rPr>
          <w:w w:val="120"/>
          <w:sz w:val="20"/>
        </w:rPr>
        <w:t>as this, but as </w:t>
      </w:r>
      <w:r>
        <w:rPr>
          <w:spacing w:val="2"/>
          <w:w w:val="120"/>
          <w:sz w:val="20"/>
        </w:rPr>
        <w:t>TLS </w:t>
      </w:r>
      <w:r>
        <w:rPr>
          <w:w w:val="120"/>
          <w:sz w:val="20"/>
        </w:rPr>
        <w:t>evolves into something </w:t>
      </w:r>
      <w:r>
        <w:rPr>
          <w:spacing w:val="-3"/>
          <w:w w:val="120"/>
          <w:sz w:val="20"/>
        </w:rPr>
        <w:t>new, </w:t>
      </w:r>
      <w:r>
        <w:rPr>
          <w:w w:val="120"/>
          <w:sz w:val="20"/>
        </w:rPr>
        <w:t>it is appropriate to reflect upon their mutual passion which drove the development of TLS, a passion which centred around the formation of Christian disciples and equipping them for mission and service inside and outside congregational life. </w:t>
      </w:r>
      <w:r>
        <w:rPr>
          <w:spacing w:val="2"/>
          <w:w w:val="120"/>
          <w:sz w:val="20"/>
        </w:rPr>
        <w:t>TLS </w:t>
      </w:r>
      <w:r>
        <w:rPr>
          <w:w w:val="120"/>
          <w:sz w:val="20"/>
        </w:rPr>
        <w:t>has sought to sustain their legacy    and act upon it during the changes and challenges of the last two</w:t>
      </w:r>
      <w:r>
        <w:rPr>
          <w:spacing w:val="48"/>
          <w:w w:val="120"/>
          <w:sz w:val="20"/>
        </w:rPr>
        <w:t> </w:t>
      </w:r>
      <w:r>
        <w:rPr>
          <w:w w:val="120"/>
          <w:sz w:val="20"/>
        </w:rPr>
        <w:t>years.</w:t>
      </w:r>
    </w:p>
    <w:p>
      <w:pPr>
        <w:pStyle w:val="BodyText"/>
        <w:spacing w:before="4"/>
      </w:pPr>
    </w:p>
    <w:p>
      <w:pPr>
        <w:pStyle w:val="ListParagraph"/>
        <w:numPr>
          <w:ilvl w:val="1"/>
          <w:numId w:val="60"/>
        </w:numPr>
        <w:tabs>
          <w:tab w:pos="1964" w:val="left" w:leader="none"/>
          <w:tab w:pos="1965" w:val="left" w:leader="none"/>
        </w:tabs>
        <w:spacing w:line="235" w:lineRule="auto" w:before="0" w:after="0"/>
        <w:ind w:left="1284" w:right="1822" w:firstLine="0"/>
        <w:jc w:val="left"/>
        <w:rPr>
          <w:sz w:val="20"/>
        </w:rPr>
      </w:pPr>
      <w:r>
        <w:rPr>
          <w:w w:val="120"/>
          <w:sz w:val="20"/>
        </w:rPr>
        <w:t>One of those challenges has been the declining numbers enrolling on </w:t>
      </w:r>
      <w:r>
        <w:rPr>
          <w:spacing w:val="2"/>
          <w:w w:val="120"/>
          <w:sz w:val="20"/>
        </w:rPr>
        <w:t>TLS </w:t>
      </w:r>
      <w:r>
        <w:rPr>
          <w:w w:val="120"/>
          <w:sz w:val="20"/>
        </w:rPr>
        <w:t>courses –current numbers on all courses are 66 – and extensive soul searching has been exercised related to the question ‘Why?’ Is it</w:t>
      </w:r>
      <w:r>
        <w:rPr>
          <w:spacing w:val="13"/>
          <w:w w:val="120"/>
          <w:sz w:val="20"/>
        </w:rPr>
        <w:t> </w:t>
      </w:r>
      <w:r>
        <w:rPr>
          <w:w w:val="120"/>
          <w:sz w:val="20"/>
        </w:rPr>
        <w:t>because:</w:t>
      </w:r>
    </w:p>
    <w:p>
      <w:pPr>
        <w:pStyle w:val="ListParagraph"/>
        <w:numPr>
          <w:ilvl w:val="1"/>
          <w:numId w:val="28"/>
        </w:numPr>
        <w:tabs>
          <w:tab w:pos="1964" w:val="left" w:leader="none"/>
          <w:tab w:pos="1965" w:val="left" w:leader="none"/>
        </w:tabs>
        <w:spacing w:line="298" w:lineRule="exact" w:before="177" w:after="0"/>
        <w:ind w:left="1964" w:right="0" w:hanging="681"/>
        <w:jc w:val="left"/>
        <w:rPr>
          <w:sz w:val="20"/>
        </w:rPr>
      </w:pPr>
      <w:r>
        <w:rPr>
          <w:spacing w:val="2"/>
          <w:w w:val="120"/>
          <w:sz w:val="20"/>
        </w:rPr>
        <w:t>TLS </w:t>
      </w:r>
      <w:r>
        <w:rPr>
          <w:w w:val="120"/>
          <w:sz w:val="20"/>
        </w:rPr>
        <w:t>no longer ‘scratches where people are</w:t>
      </w:r>
      <w:r>
        <w:rPr>
          <w:spacing w:val="16"/>
          <w:w w:val="120"/>
          <w:sz w:val="20"/>
        </w:rPr>
        <w:t> </w:t>
      </w:r>
      <w:r>
        <w:rPr>
          <w:w w:val="120"/>
          <w:sz w:val="20"/>
        </w:rPr>
        <w:t>itching’?</w:t>
      </w:r>
    </w:p>
    <w:p>
      <w:pPr>
        <w:pStyle w:val="ListParagraph"/>
        <w:numPr>
          <w:ilvl w:val="1"/>
          <w:numId w:val="28"/>
        </w:numPr>
        <w:tabs>
          <w:tab w:pos="1964" w:val="left" w:leader="none"/>
          <w:tab w:pos="1965" w:val="left" w:leader="none"/>
        </w:tabs>
        <w:spacing w:line="196" w:lineRule="auto" w:before="0" w:after="0"/>
        <w:ind w:left="1964" w:right="1727" w:hanging="681"/>
        <w:jc w:val="left"/>
        <w:rPr>
          <w:sz w:val="20"/>
        </w:rPr>
      </w:pPr>
      <w:r>
        <w:rPr>
          <w:spacing w:val="2"/>
          <w:w w:val="120"/>
          <w:sz w:val="20"/>
        </w:rPr>
        <w:t>TLS </w:t>
      </w:r>
      <w:r>
        <w:rPr>
          <w:w w:val="120"/>
          <w:sz w:val="20"/>
        </w:rPr>
        <w:t>has become too identified with training for accredited ministries such as lay</w:t>
      </w:r>
      <w:r>
        <w:rPr>
          <w:spacing w:val="2"/>
          <w:w w:val="120"/>
          <w:sz w:val="20"/>
        </w:rPr>
        <w:t> </w:t>
      </w:r>
      <w:r>
        <w:rPr>
          <w:w w:val="120"/>
          <w:sz w:val="20"/>
        </w:rPr>
        <w:t>preaching?</w:t>
      </w:r>
    </w:p>
    <w:p>
      <w:pPr>
        <w:pStyle w:val="ListParagraph"/>
        <w:numPr>
          <w:ilvl w:val="1"/>
          <w:numId w:val="28"/>
        </w:numPr>
        <w:tabs>
          <w:tab w:pos="1964" w:val="left" w:leader="none"/>
          <w:tab w:pos="1965" w:val="left" w:leader="none"/>
        </w:tabs>
        <w:spacing w:line="241" w:lineRule="exact" w:before="0" w:after="0"/>
        <w:ind w:left="1964" w:right="0" w:hanging="681"/>
        <w:jc w:val="left"/>
        <w:rPr>
          <w:sz w:val="20"/>
        </w:rPr>
      </w:pPr>
      <w:r>
        <w:rPr>
          <w:w w:val="120"/>
          <w:sz w:val="20"/>
        </w:rPr>
        <w:t>Folk in the congregations are unaware of the opportunities </w:t>
      </w:r>
      <w:r>
        <w:rPr>
          <w:spacing w:val="2"/>
          <w:w w:val="120"/>
          <w:sz w:val="20"/>
        </w:rPr>
        <w:t>TLS</w:t>
      </w:r>
      <w:r>
        <w:rPr>
          <w:spacing w:val="22"/>
          <w:w w:val="120"/>
          <w:sz w:val="20"/>
        </w:rPr>
        <w:t> </w:t>
      </w:r>
      <w:r>
        <w:rPr>
          <w:w w:val="120"/>
          <w:sz w:val="20"/>
        </w:rPr>
        <w:t>presents?</w:t>
      </w:r>
    </w:p>
    <w:p>
      <w:pPr>
        <w:pStyle w:val="ListParagraph"/>
        <w:numPr>
          <w:ilvl w:val="1"/>
          <w:numId w:val="28"/>
        </w:numPr>
        <w:tabs>
          <w:tab w:pos="1964" w:val="left" w:leader="none"/>
          <w:tab w:pos="1965" w:val="left" w:leader="none"/>
        </w:tabs>
        <w:spacing w:line="196" w:lineRule="auto" w:before="0" w:after="0"/>
        <w:ind w:left="1964" w:right="1579" w:hanging="681"/>
        <w:jc w:val="left"/>
        <w:rPr>
          <w:sz w:val="20"/>
        </w:rPr>
      </w:pPr>
      <w:r>
        <w:rPr>
          <w:spacing w:val="2"/>
          <w:w w:val="120"/>
          <w:sz w:val="20"/>
        </w:rPr>
        <w:t>TLS </w:t>
      </w:r>
      <w:r>
        <w:rPr>
          <w:w w:val="120"/>
          <w:sz w:val="20"/>
        </w:rPr>
        <w:t>is perceived as too demanding – especially because of its association with University validated</w:t>
      </w:r>
      <w:r>
        <w:rPr>
          <w:spacing w:val="3"/>
          <w:w w:val="120"/>
          <w:sz w:val="20"/>
        </w:rPr>
        <w:t> </w:t>
      </w:r>
      <w:r>
        <w:rPr>
          <w:w w:val="120"/>
          <w:sz w:val="20"/>
        </w:rPr>
        <w:t>courses?</w:t>
      </w:r>
    </w:p>
    <w:p>
      <w:pPr>
        <w:pStyle w:val="ListParagraph"/>
        <w:numPr>
          <w:ilvl w:val="1"/>
          <w:numId w:val="28"/>
        </w:numPr>
        <w:tabs>
          <w:tab w:pos="1964" w:val="left" w:leader="none"/>
          <w:tab w:pos="1965" w:val="left" w:leader="none"/>
        </w:tabs>
        <w:spacing w:line="196" w:lineRule="auto" w:before="0" w:after="0"/>
        <w:ind w:left="1964" w:right="2163" w:hanging="681"/>
        <w:jc w:val="left"/>
        <w:rPr>
          <w:sz w:val="20"/>
        </w:rPr>
      </w:pPr>
      <w:r>
        <w:rPr>
          <w:w w:val="120"/>
          <w:sz w:val="20"/>
        </w:rPr>
        <w:t>There are fewer church members who want to take advantage of formal discipleship</w:t>
      </w:r>
      <w:r>
        <w:rPr>
          <w:spacing w:val="2"/>
          <w:w w:val="120"/>
          <w:sz w:val="20"/>
        </w:rPr>
        <w:t> </w:t>
      </w:r>
      <w:r>
        <w:rPr>
          <w:w w:val="120"/>
          <w:sz w:val="20"/>
        </w:rPr>
        <w:t>training?</w:t>
      </w:r>
    </w:p>
    <w:p>
      <w:pPr>
        <w:pStyle w:val="ListParagraph"/>
        <w:numPr>
          <w:ilvl w:val="1"/>
          <w:numId w:val="28"/>
        </w:numPr>
        <w:tabs>
          <w:tab w:pos="1964" w:val="left" w:leader="none"/>
          <w:tab w:pos="1965" w:val="left" w:leader="none"/>
        </w:tabs>
        <w:spacing w:line="298" w:lineRule="exact" w:before="0" w:after="0"/>
        <w:ind w:left="1964" w:right="0" w:hanging="681"/>
        <w:jc w:val="left"/>
        <w:rPr>
          <w:sz w:val="20"/>
        </w:rPr>
      </w:pPr>
      <w:r>
        <w:rPr>
          <w:w w:val="120"/>
          <w:sz w:val="20"/>
        </w:rPr>
        <w:t>It is simply time for something</w:t>
      </w:r>
      <w:r>
        <w:rPr>
          <w:spacing w:val="11"/>
          <w:w w:val="120"/>
          <w:sz w:val="20"/>
        </w:rPr>
        <w:t> </w:t>
      </w:r>
      <w:r>
        <w:rPr>
          <w:spacing w:val="-4"/>
          <w:w w:val="120"/>
          <w:sz w:val="20"/>
        </w:rPr>
        <w:t>new?</w:t>
      </w:r>
    </w:p>
    <w:p>
      <w:pPr>
        <w:pStyle w:val="ListParagraph"/>
        <w:numPr>
          <w:ilvl w:val="1"/>
          <w:numId w:val="60"/>
        </w:numPr>
        <w:tabs>
          <w:tab w:pos="1964" w:val="left" w:leader="none"/>
          <w:tab w:pos="1965" w:val="left" w:leader="none"/>
        </w:tabs>
        <w:spacing w:line="235" w:lineRule="auto" w:before="153" w:after="0"/>
        <w:ind w:left="1284" w:right="1473" w:firstLine="0"/>
        <w:jc w:val="left"/>
        <w:rPr>
          <w:sz w:val="20"/>
        </w:rPr>
      </w:pPr>
      <w:r>
        <w:rPr>
          <w:w w:val="120"/>
          <w:sz w:val="20"/>
        </w:rPr>
        <w:t>Those who serve at the heart of </w:t>
      </w:r>
      <w:r>
        <w:rPr>
          <w:spacing w:val="2"/>
          <w:w w:val="120"/>
          <w:sz w:val="20"/>
        </w:rPr>
        <w:t>TLS </w:t>
      </w:r>
      <w:r>
        <w:rPr>
          <w:w w:val="120"/>
          <w:sz w:val="20"/>
        </w:rPr>
        <w:t>have not arrived at any definite answers to those questions and indeed would be sceptical of any claims to know the answers but the questions have been discussed thoroughly and, where possible, action has been taken to address the issues at the root of</w:t>
      </w:r>
      <w:r>
        <w:rPr>
          <w:spacing w:val="11"/>
          <w:w w:val="120"/>
          <w:sz w:val="20"/>
        </w:rPr>
        <w:t> </w:t>
      </w:r>
      <w:r>
        <w:rPr>
          <w:w w:val="120"/>
          <w:sz w:val="20"/>
        </w:rPr>
        <w:t>them.</w:t>
      </w:r>
    </w:p>
    <w:p>
      <w:pPr>
        <w:pStyle w:val="BodyText"/>
        <w:spacing w:before="1"/>
        <w:rPr>
          <w:sz w:val="19"/>
        </w:rPr>
      </w:pPr>
    </w:p>
    <w:p>
      <w:pPr>
        <w:pStyle w:val="Heading2"/>
        <w:ind w:left="1284"/>
      </w:pPr>
      <w:r>
        <w:rPr>
          <w:w w:val="110"/>
        </w:rPr>
        <w:t>Taking the best of TLS into the future</w:t>
      </w:r>
    </w:p>
    <w:p>
      <w:pPr>
        <w:pStyle w:val="ListParagraph"/>
        <w:numPr>
          <w:ilvl w:val="1"/>
          <w:numId w:val="60"/>
        </w:numPr>
        <w:tabs>
          <w:tab w:pos="1964" w:val="left" w:leader="none"/>
          <w:tab w:pos="1965" w:val="left" w:leader="none"/>
        </w:tabs>
        <w:spacing w:line="235" w:lineRule="auto" w:before="83" w:after="0"/>
        <w:ind w:left="1284" w:right="1392" w:firstLine="0"/>
        <w:jc w:val="left"/>
        <w:rPr>
          <w:sz w:val="20"/>
        </w:rPr>
      </w:pPr>
      <w:r>
        <w:rPr>
          <w:w w:val="120"/>
          <w:sz w:val="20"/>
        </w:rPr>
        <w:t>One area of activity has been the creation of a more user friendly environment for engaging with the electronic aspects of </w:t>
      </w:r>
      <w:r>
        <w:rPr>
          <w:spacing w:val="2"/>
          <w:w w:val="120"/>
          <w:sz w:val="20"/>
        </w:rPr>
        <w:t>TLS </w:t>
      </w:r>
      <w:r>
        <w:rPr>
          <w:w w:val="120"/>
          <w:sz w:val="20"/>
        </w:rPr>
        <w:t>– having been something of a pioneer  in the development of e-learning via URCLE (United Reformed Church Learning Environment). It has not always been an easy ride, not least because familiarity with computer technology is not as prevalent among URC members as is often presumed. We have worked hard to sustain the accessibility of </w:t>
      </w:r>
      <w:r>
        <w:rPr>
          <w:spacing w:val="2"/>
          <w:w w:val="120"/>
          <w:sz w:val="20"/>
        </w:rPr>
        <w:t>TLS </w:t>
      </w:r>
      <w:r>
        <w:rPr>
          <w:w w:val="120"/>
          <w:sz w:val="20"/>
        </w:rPr>
        <w:t>for those who are not so comfortable with computers, including helping them to develop their skills in this area and simplifying the systems we ask them to work with. If future programmes are to be open to all, continuing attention will need to be given to this</w:t>
      </w:r>
      <w:r>
        <w:rPr>
          <w:spacing w:val="34"/>
          <w:w w:val="120"/>
          <w:sz w:val="20"/>
        </w:rPr>
        <w:t> </w:t>
      </w:r>
      <w:r>
        <w:rPr>
          <w:w w:val="120"/>
          <w:sz w:val="20"/>
        </w:rPr>
        <w:t>reality.</w:t>
      </w:r>
    </w:p>
    <w:p>
      <w:pPr>
        <w:pStyle w:val="BodyText"/>
        <w:spacing w:before="2"/>
      </w:pPr>
    </w:p>
    <w:p>
      <w:pPr>
        <w:pStyle w:val="ListParagraph"/>
        <w:numPr>
          <w:ilvl w:val="1"/>
          <w:numId w:val="60"/>
        </w:numPr>
        <w:tabs>
          <w:tab w:pos="1964" w:val="left" w:leader="none"/>
          <w:tab w:pos="1965" w:val="left" w:leader="none"/>
        </w:tabs>
        <w:spacing w:line="235" w:lineRule="auto" w:before="0" w:after="0"/>
        <w:ind w:left="1284" w:right="1388" w:firstLine="0"/>
        <w:jc w:val="left"/>
        <w:rPr>
          <w:sz w:val="20"/>
        </w:rPr>
      </w:pPr>
      <w:r>
        <w:rPr>
          <w:spacing w:val="-6"/>
          <w:w w:val="120"/>
          <w:sz w:val="20"/>
        </w:rPr>
        <w:t>Two </w:t>
      </w:r>
      <w:r>
        <w:rPr>
          <w:w w:val="120"/>
          <w:sz w:val="20"/>
        </w:rPr>
        <w:t>groups (rather than individuals) have enrolled in the Foundation Course in the current academic </w:t>
      </w:r>
      <w:r>
        <w:rPr>
          <w:spacing w:val="-4"/>
          <w:w w:val="120"/>
          <w:sz w:val="20"/>
        </w:rPr>
        <w:t>year. </w:t>
      </w:r>
      <w:r>
        <w:rPr>
          <w:w w:val="120"/>
          <w:sz w:val="20"/>
        </w:rPr>
        <w:t>The Church of Scotland enrolled six people from six of their congregations to form a </w:t>
      </w:r>
      <w:r>
        <w:rPr>
          <w:spacing w:val="2"/>
          <w:w w:val="120"/>
          <w:sz w:val="20"/>
        </w:rPr>
        <w:t>TLS </w:t>
      </w:r>
      <w:r>
        <w:rPr>
          <w:w w:val="120"/>
          <w:sz w:val="20"/>
        </w:rPr>
        <w:t>study group in Glasgow as a pilot for the future use of    </w:t>
      </w:r>
      <w:r>
        <w:rPr>
          <w:spacing w:val="2"/>
          <w:w w:val="120"/>
          <w:sz w:val="20"/>
        </w:rPr>
        <w:t>TLS </w:t>
      </w:r>
      <w:r>
        <w:rPr>
          <w:w w:val="120"/>
          <w:sz w:val="20"/>
        </w:rPr>
        <w:t>as one of their main lay training vehicles – an initiative not without irony as the Church of Scotland was one of the partners who ‘sold’ </w:t>
      </w:r>
      <w:r>
        <w:rPr>
          <w:spacing w:val="2"/>
          <w:w w:val="120"/>
          <w:sz w:val="20"/>
        </w:rPr>
        <w:t>TLS </w:t>
      </w:r>
      <w:r>
        <w:rPr>
          <w:w w:val="120"/>
          <w:sz w:val="20"/>
        </w:rPr>
        <w:t>to the URC some </w:t>
      </w:r>
      <w:r>
        <w:rPr>
          <w:spacing w:val="-9"/>
          <w:w w:val="120"/>
          <w:sz w:val="20"/>
        </w:rPr>
        <w:t>15 </w:t>
      </w:r>
      <w:r>
        <w:rPr>
          <w:w w:val="120"/>
          <w:sz w:val="20"/>
        </w:rPr>
        <w:t>years ago, with the intention of replacing it with something </w:t>
      </w:r>
      <w:r>
        <w:rPr>
          <w:spacing w:val="-3"/>
          <w:w w:val="120"/>
          <w:sz w:val="20"/>
        </w:rPr>
        <w:t>new. </w:t>
      </w:r>
      <w:r>
        <w:rPr>
          <w:w w:val="120"/>
          <w:sz w:val="20"/>
        </w:rPr>
        <w:t>It says much for the effectiveness of </w:t>
      </w:r>
      <w:r>
        <w:rPr>
          <w:spacing w:val="2"/>
          <w:w w:val="120"/>
          <w:sz w:val="20"/>
        </w:rPr>
        <w:t>TLS </w:t>
      </w:r>
      <w:r>
        <w:rPr>
          <w:w w:val="120"/>
          <w:sz w:val="20"/>
        </w:rPr>
        <w:t>that apparently a replacement that compares has never been found. The second group is </w:t>
      </w:r>
      <w:r>
        <w:rPr>
          <w:spacing w:val="-11"/>
          <w:w w:val="120"/>
          <w:sz w:val="20"/>
        </w:rPr>
        <w:t>11 </w:t>
      </w:r>
      <w:r>
        <w:rPr>
          <w:w w:val="120"/>
          <w:sz w:val="20"/>
        </w:rPr>
        <w:t>people from one church who, with the encouragement of the minister, enrolled on the Foundation Course and formed into two study groups with the aim of using </w:t>
      </w:r>
      <w:r>
        <w:rPr>
          <w:spacing w:val="2"/>
          <w:w w:val="120"/>
          <w:sz w:val="20"/>
        </w:rPr>
        <w:t>TLS </w:t>
      </w:r>
      <w:r>
        <w:rPr>
          <w:w w:val="120"/>
          <w:sz w:val="20"/>
        </w:rPr>
        <w:t>to generate and train lay-leadership in the church. </w:t>
      </w:r>
      <w:r>
        <w:rPr>
          <w:spacing w:val="3"/>
          <w:w w:val="120"/>
          <w:sz w:val="20"/>
        </w:rPr>
        <w:t>As </w:t>
      </w:r>
      <w:r>
        <w:rPr>
          <w:w w:val="120"/>
          <w:sz w:val="20"/>
        </w:rPr>
        <w:t>the facilitating tutor for both study groups, enormous demands are being placed upon    the minister, who views the </w:t>
      </w:r>
      <w:r>
        <w:rPr>
          <w:spacing w:val="2"/>
          <w:w w:val="120"/>
          <w:sz w:val="20"/>
        </w:rPr>
        <w:t>effort </w:t>
      </w:r>
      <w:r>
        <w:rPr>
          <w:w w:val="120"/>
          <w:sz w:val="20"/>
        </w:rPr>
        <w:t>as worthwhile due to belief in what </w:t>
      </w:r>
      <w:r>
        <w:rPr>
          <w:spacing w:val="2"/>
          <w:w w:val="120"/>
          <w:sz w:val="20"/>
        </w:rPr>
        <w:t>TLS </w:t>
      </w:r>
      <w:r>
        <w:rPr>
          <w:w w:val="120"/>
          <w:sz w:val="20"/>
        </w:rPr>
        <w:t>may help to accomplish. This suggests a need to encourage individuals and groups to participate    in opportunities for the development of their discipleship. Perhaps past </w:t>
      </w:r>
      <w:r>
        <w:rPr>
          <w:spacing w:val="2"/>
          <w:w w:val="120"/>
          <w:sz w:val="20"/>
        </w:rPr>
        <w:t>efforts </w:t>
      </w:r>
      <w:r>
        <w:rPr>
          <w:w w:val="120"/>
          <w:sz w:val="20"/>
        </w:rPr>
        <w:t>have focussed too much on recruiting individuals to training schemes and too little</w:t>
      </w:r>
      <w:r>
        <w:rPr>
          <w:spacing w:val="5"/>
          <w:w w:val="120"/>
          <w:sz w:val="20"/>
        </w:rPr>
        <w:t> </w:t>
      </w:r>
      <w:r>
        <w:rPr>
          <w:w w:val="120"/>
          <w:sz w:val="20"/>
        </w:rPr>
        <w:t>on</w:t>
      </w:r>
    </w:p>
    <w:p>
      <w:pPr>
        <w:pStyle w:val="BodyText"/>
        <w:spacing w:line="235" w:lineRule="auto" w:before="11"/>
        <w:ind w:left="1284" w:right="1899"/>
      </w:pPr>
      <w:r>
        <w:rPr>
          <w:w w:val="120"/>
        </w:rPr>
        <w:t>what may be accomplished by bringing together groups of people from the same environment to learn and grow together.</w:t>
      </w:r>
    </w:p>
    <w:p>
      <w:pPr>
        <w:spacing w:after="0" w:line="235" w:lineRule="auto"/>
        <w:sectPr>
          <w:headerReference w:type="default" r:id="rId229"/>
          <w:footerReference w:type="default" r:id="rId230"/>
          <w:footerReference w:type="even" r:id="rId231"/>
          <w:pgSz w:w="11910" w:h="16840"/>
          <w:pgMar w:header="0" w:footer="647" w:top="0" w:bottom="840" w:left="700" w:right="0"/>
          <w:pgNumType w:start="69"/>
        </w:sectPr>
      </w:pPr>
    </w:p>
    <w:p>
      <w:pPr>
        <w:pStyle w:val="BodyText"/>
      </w:pPr>
      <w:r>
        <w:rPr/>
        <w:drawing>
          <wp:anchor distT="0" distB="0" distL="0" distR="0" allowOverlap="1" layoutInCell="1" locked="0" behindDoc="1" simplePos="0" relativeHeight="235384832">
            <wp:simplePos x="0" y="0"/>
            <wp:positionH relativeFrom="page">
              <wp:posOffset>0</wp:posOffset>
            </wp:positionH>
            <wp:positionV relativeFrom="page">
              <wp:posOffset>0</wp:posOffset>
            </wp:positionV>
            <wp:extent cx="594067" cy="10692003"/>
            <wp:effectExtent l="0" t="0" r="0" b="0"/>
            <wp:wrapNone/>
            <wp:docPr id="125" name="image67.png"/>
            <wp:cNvGraphicFramePr>
              <a:graphicFrameLocks noChangeAspect="1"/>
            </wp:cNvGraphicFramePr>
            <a:graphic>
              <a:graphicData uri="http://schemas.openxmlformats.org/drawingml/2006/picture">
                <pic:pic>
                  <pic:nvPicPr>
                    <pic:cNvPr id="126" name="image67.png"/>
                    <pic:cNvPicPr/>
                  </pic:nvPicPr>
                  <pic:blipFill>
                    <a:blip r:embed="rId184" cstate="print"/>
                    <a:stretch>
                      <a:fillRect/>
                    </a:stretch>
                  </pic:blipFill>
                  <pic:spPr>
                    <a:xfrm>
                      <a:off x="0" y="0"/>
                      <a:ext cx="594067" cy="10692003"/>
                    </a:xfrm>
                    <a:prstGeom prst="rect">
                      <a:avLst/>
                    </a:prstGeom>
                  </pic:spPr>
                </pic:pic>
              </a:graphicData>
            </a:graphic>
          </wp:anchor>
        </w:drawing>
      </w:r>
      <w:r>
        <w:rPr/>
        <w:pict>
          <v:shape style="position:absolute;margin-left:20.519100pt;margin-top:48.890015pt;width:25.9pt;height:237.55pt;mso-position-horizontal-relative:page;mso-position-vertical-relative:page;z-index:-267930624" type="#_x0000_t202" filled="false" stroked="false">
            <v:textbox inset="0,0,0,0" style="layout-flow:vertical">
              <w:txbxContent>
                <w:p>
                  <w:pPr>
                    <w:spacing w:before="27"/>
                    <w:ind w:left="20" w:right="0" w:firstLine="0"/>
                    <w:jc w:val="left"/>
                    <w:rPr>
                      <w:sz w:val="39"/>
                    </w:rPr>
                  </w:pPr>
                  <w:r>
                    <w:rPr>
                      <w:color w:val="FFFFFF"/>
                      <w:w w:val="120"/>
                      <w:sz w:val="39"/>
                    </w:rPr>
                    <w:t>Education and learning</w:t>
                  </w:r>
                </w:p>
              </w:txbxContent>
            </v:textbox>
            <w10:wrap type="none"/>
          </v:shape>
        </w:pict>
      </w:r>
    </w:p>
    <w:p>
      <w:pPr>
        <w:pStyle w:val="BodyText"/>
        <w:spacing w:before="7"/>
        <w:rPr>
          <w:sz w:val="21"/>
        </w:rPr>
      </w:pPr>
    </w:p>
    <w:p>
      <w:pPr>
        <w:spacing w:before="106"/>
        <w:ind w:left="547" w:right="0" w:firstLine="0"/>
        <w:jc w:val="left"/>
        <w:rPr>
          <w:sz w:val="26"/>
        </w:rPr>
      </w:pPr>
      <w:r>
        <w:rPr>
          <w:color w:val="7EAABF"/>
          <w:w w:val="115"/>
          <w:sz w:val="26"/>
        </w:rPr>
        <w:t>Education and learning</w:t>
      </w:r>
    </w:p>
    <w:p>
      <w:pPr>
        <w:pStyle w:val="ListParagraph"/>
        <w:numPr>
          <w:ilvl w:val="1"/>
          <w:numId w:val="60"/>
        </w:numPr>
        <w:tabs>
          <w:tab w:pos="1227" w:val="left" w:leader="none"/>
          <w:tab w:pos="1228" w:val="left" w:leader="none"/>
        </w:tabs>
        <w:spacing w:line="235" w:lineRule="auto" w:before="222" w:after="0"/>
        <w:ind w:left="547" w:right="2087" w:firstLine="0"/>
        <w:jc w:val="left"/>
        <w:rPr>
          <w:sz w:val="20"/>
        </w:rPr>
      </w:pPr>
      <w:r>
        <w:rPr>
          <w:w w:val="120"/>
          <w:sz w:val="20"/>
        </w:rPr>
        <w:t>The two one-year courses running in the current academic year show – in different ways – the value of what may be termed ‘added extras’ in drawing people  into learning. Gateways into Worship potentially leads to an accredited ministry and there is no doubt that, for some people, such possibilities are a significant motivation  in them embarking upon a course of study. Developing Community Experiences is operated in partnership with the CRCW team who drive the recruitment of new course members. The healthy enrolment numbers on both of these courses suggest that a connection to ‘something else’ benefits discipleship development. Whether it be the potential for engaging in service that is formally recognised by the Church, or having courses that are linked to particular Church mission and service agencies or something entirely different, the added purpose brought about by the ‘something else’ can be an important stimulus to</w:t>
      </w:r>
      <w:r>
        <w:rPr>
          <w:spacing w:val="5"/>
          <w:w w:val="120"/>
          <w:sz w:val="20"/>
        </w:rPr>
        <w:t> </w:t>
      </w:r>
      <w:r>
        <w:rPr>
          <w:w w:val="120"/>
          <w:sz w:val="20"/>
        </w:rPr>
        <w:t>study.</w:t>
      </w:r>
    </w:p>
    <w:p>
      <w:pPr>
        <w:pStyle w:val="BodyText"/>
        <w:spacing w:before="4"/>
      </w:pPr>
    </w:p>
    <w:p>
      <w:pPr>
        <w:pStyle w:val="ListParagraph"/>
        <w:numPr>
          <w:ilvl w:val="1"/>
          <w:numId w:val="60"/>
        </w:numPr>
        <w:tabs>
          <w:tab w:pos="1227" w:val="left" w:leader="none"/>
          <w:tab w:pos="1228" w:val="left" w:leader="none"/>
        </w:tabs>
        <w:spacing w:line="235" w:lineRule="auto" w:before="0" w:after="0"/>
        <w:ind w:left="547" w:right="2202" w:firstLine="0"/>
        <w:jc w:val="left"/>
        <w:rPr>
          <w:sz w:val="20"/>
        </w:rPr>
      </w:pPr>
      <w:r>
        <w:rPr>
          <w:w w:val="120"/>
          <w:sz w:val="20"/>
        </w:rPr>
        <w:t>The next two years will be an exciting time for the </w:t>
      </w:r>
      <w:r>
        <w:rPr>
          <w:spacing w:val="2"/>
          <w:w w:val="120"/>
          <w:sz w:val="20"/>
        </w:rPr>
        <w:t>TLS </w:t>
      </w:r>
      <w:r>
        <w:rPr>
          <w:w w:val="120"/>
          <w:sz w:val="20"/>
        </w:rPr>
        <w:t>LITE (Local Introductory Training Experiences) programme as it becomes a significant element in the   transition from </w:t>
      </w:r>
      <w:r>
        <w:rPr>
          <w:spacing w:val="2"/>
          <w:w w:val="120"/>
          <w:sz w:val="20"/>
        </w:rPr>
        <w:t>TLS </w:t>
      </w:r>
      <w:r>
        <w:rPr>
          <w:w w:val="120"/>
          <w:sz w:val="20"/>
        </w:rPr>
        <w:t>to its </w:t>
      </w:r>
      <w:r>
        <w:rPr>
          <w:spacing w:val="-3"/>
          <w:w w:val="120"/>
          <w:sz w:val="20"/>
        </w:rPr>
        <w:t>successor. </w:t>
      </w:r>
      <w:r>
        <w:rPr>
          <w:w w:val="120"/>
          <w:sz w:val="20"/>
        </w:rPr>
        <w:t>Work has already begun to make LITE deliverable electronically – and to upgrade some aspects of its assessment procedures so that it may be fit for purpose in its new role while continuing to offer the chance for people to use it simply for personal discipleship development. The new LITE facility will be available from September – watch this</w:t>
      </w:r>
      <w:r>
        <w:rPr>
          <w:spacing w:val="11"/>
          <w:w w:val="120"/>
          <w:sz w:val="20"/>
        </w:rPr>
        <w:t> </w:t>
      </w:r>
      <w:r>
        <w:rPr>
          <w:w w:val="120"/>
          <w:sz w:val="20"/>
        </w:rPr>
        <w:t>space.</w:t>
      </w:r>
    </w:p>
    <w:p>
      <w:pPr>
        <w:pStyle w:val="BodyText"/>
        <w:spacing w:before="1"/>
      </w:pPr>
    </w:p>
    <w:p>
      <w:pPr>
        <w:pStyle w:val="ListParagraph"/>
        <w:numPr>
          <w:ilvl w:val="1"/>
          <w:numId w:val="60"/>
        </w:numPr>
        <w:tabs>
          <w:tab w:pos="1227" w:val="left" w:leader="none"/>
          <w:tab w:pos="1228" w:val="left" w:leader="none"/>
        </w:tabs>
        <w:spacing w:line="235" w:lineRule="auto" w:before="0" w:after="0"/>
        <w:ind w:left="547" w:right="2033" w:firstLine="0"/>
        <w:jc w:val="left"/>
        <w:rPr>
          <w:sz w:val="20"/>
        </w:rPr>
      </w:pPr>
      <w:r>
        <w:rPr>
          <w:w w:val="120"/>
          <w:sz w:val="20"/>
        </w:rPr>
        <w:t>The advance of time brings the inevitability of farewells. Heather Skidmore  began as a course member on </w:t>
      </w:r>
      <w:r>
        <w:rPr>
          <w:spacing w:val="2"/>
          <w:w w:val="120"/>
          <w:sz w:val="20"/>
        </w:rPr>
        <w:t>TLS </w:t>
      </w:r>
      <w:r>
        <w:rPr>
          <w:w w:val="120"/>
          <w:sz w:val="20"/>
        </w:rPr>
        <w:t>and became its part-time administrator in </w:t>
      </w:r>
      <w:r>
        <w:rPr>
          <w:spacing w:val="-6"/>
          <w:w w:val="120"/>
          <w:sz w:val="20"/>
        </w:rPr>
        <w:t>1999. </w:t>
      </w:r>
      <w:r>
        <w:rPr>
          <w:w w:val="120"/>
          <w:sz w:val="20"/>
        </w:rPr>
        <w:t>The </w:t>
      </w:r>
      <w:r>
        <w:rPr>
          <w:spacing w:val="2"/>
          <w:w w:val="120"/>
          <w:sz w:val="20"/>
        </w:rPr>
        <w:t>fact </w:t>
      </w:r>
      <w:r>
        <w:rPr>
          <w:w w:val="120"/>
          <w:sz w:val="20"/>
        </w:rPr>
        <w:t>that the </w:t>
      </w:r>
      <w:r>
        <w:rPr>
          <w:spacing w:val="2"/>
          <w:w w:val="120"/>
          <w:sz w:val="20"/>
        </w:rPr>
        <w:t>part </w:t>
      </w:r>
      <w:r>
        <w:rPr>
          <w:w w:val="120"/>
          <w:sz w:val="20"/>
        </w:rPr>
        <w:t>time element has often been overlooked by students, and by Heather herself, says much for the contribution she has made to the smooth running of the whole enterprise. Assembly will say its own thanks but as she steps into retirement in the summer it would be remiss if we did not acknowledge here the profound debt of gratitude </w:t>
      </w:r>
      <w:r>
        <w:rPr>
          <w:spacing w:val="2"/>
          <w:w w:val="120"/>
          <w:sz w:val="20"/>
        </w:rPr>
        <w:t>TLS </w:t>
      </w:r>
      <w:r>
        <w:rPr>
          <w:w w:val="120"/>
          <w:sz w:val="20"/>
        </w:rPr>
        <w:t>and the whole church owe to Heather. </w:t>
      </w:r>
      <w:r>
        <w:rPr>
          <w:spacing w:val="2"/>
          <w:w w:val="120"/>
          <w:sz w:val="20"/>
        </w:rPr>
        <w:t>TLS </w:t>
      </w:r>
      <w:r>
        <w:rPr>
          <w:w w:val="120"/>
          <w:sz w:val="20"/>
        </w:rPr>
        <w:t>has long relied on her passion for the cause, her commitment to the task and her unstinting sacrificial service. The successor to </w:t>
      </w:r>
      <w:r>
        <w:rPr>
          <w:spacing w:val="2"/>
          <w:w w:val="120"/>
          <w:sz w:val="20"/>
        </w:rPr>
        <w:t>TLS </w:t>
      </w:r>
      <w:r>
        <w:rPr>
          <w:w w:val="120"/>
          <w:sz w:val="20"/>
        </w:rPr>
        <w:t>will be well served by finding people with such willingness to use their administrative skills for the building of the</w:t>
      </w:r>
      <w:r>
        <w:rPr>
          <w:spacing w:val="18"/>
          <w:w w:val="120"/>
          <w:sz w:val="20"/>
        </w:rPr>
        <w:t> </w:t>
      </w:r>
      <w:r>
        <w:rPr>
          <w:w w:val="120"/>
          <w:sz w:val="20"/>
        </w:rPr>
        <w:t>Kingdom.</w:t>
      </w:r>
    </w:p>
    <w:p>
      <w:pPr>
        <w:pStyle w:val="BodyText"/>
        <w:rPr>
          <w:sz w:val="24"/>
        </w:rPr>
      </w:pPr>
    </w:p>
    <w:p>
      <w:pPr>
        <w:spacing w:before="193"/>
        <w:ind w:left="547" w:right="0" w:firstLine="0"/>
        <w:jc w:val="left"/>
        <w:rPr>
          <w:rFonts w:ascii="Stone Sans II ITC Std Bk"/>
          <w:b/>
          <w:sz w:val="32"/>
        </w:rPr>
      </w:pPr>
      <w:r>
        <w:rPr>
          <w:rFonts w:ascii="Stone Sans II ITC Std Bk"/>
          <w:b/>
          <w:w w:val="115"/>
          <w:sz w:val="32"/>
        </w:rPr>
        <w:t>Northern College</w:t>
      </w:r>
    </w:p>
    <w:p>
      <w:pPr>
        <w:pStyle w:val="ListParagraph"/>
        <w:numPr>
          <w:ilvl w:val="1"/>
          <w:numId w:val="61"/>
        </w:numPr>
        <w:tabs>
          <w:tab w:pos="1227" w:val="left" w:leader="none"/>
          <w:tab w:pos="1228" w:val="left" w:leader="none"/>
        </w:tabs>
        <w:spacing w:line="235" w:lineRule="auto" w:before="59" w:after="0"/>
        <w:ind w:left="547" w:right="2010" w:firstLine="0"/>
        <w:jc w:val="left"/>
        <w:rPr>
          <w:sz w:val="20"/>
        </w:rPr>
      </w:pPr>
      <w:r>
        <w:rPr>
          <w:w w:val="120"/>
          <w:sz w:val="20"/>
        </w:rPr>
        <w:t>Northern </w:t>
      </w:r>
      <w:r>
        <w:rPr>
          <w:spacing w:val="-3"/>
          <w:w w:val="120"/>
          <w:sz w:val="20"/>
        </w:rPr>
        <w:t>College continues to </w:t>
      </w:r>
      <w:r>
        <w:rPr>
          <w:w w:val="120"/>
          <w:sz w:val="20"/>
        </w:rPr>
        <w:t>be a </w:t>
      </w:r>
      <w:r>
        <w:rPr>
          <w:spacing w:val="-3"/>
          <w:w w:val="120"/>
          <w:sz w:val="20"/>
        </w:rPr>
        <w:t>place, within </w:t>
      </w:r>
      <w:r>
        <w:rPr>
          <w:w w:val="120"/>
          <w:sz w:val="20"/>
        </w:rPr>
        <w:t>the Luther King House </w:t>
      </w:r>
      <w:r>
        <w:rPr>
          <w:spacing w:val="-3"/>
          <w:w w:val="120"/>
          <w:sz w:val="20"/>
        </w:rPr>
        <w:t>teaching </w:t>
      </w:r>
      <w:r>
        <w:rPr>
          <w:w w:val="120"/>
          <w:sz w:val="20"/>
        </w:rPr>
        <w:t>and worshipping </w:t>
      </w:r>
      <w:r>
        <w:rPr>
          <w:spacing w:val="-3"/>
          <w:w w:val="120"/>
          <w:sz w:val="20"/>
        </w:rPr>
        <w:t>environment, </w:t>
      </w:r>
      <w:r>
        <w:rPr>
          <w:w w:val="120"/>
          <w:sz w:val="20"/>
        </w:rPr>
        <w:t>where learning, </w:t>
      </w:r>
      <w:r>
        <w:rPr>
          <w:spacing w:val="-3"/>
          <w:w w:val="120"/>
          <w:sz w:val="20"/>
        </w:rPr>
        <w:t>conversation </w:t>
      </w:r>
      <w:r>
        <w:rPr>
          <w:w w:val="120"/>
          <w:sz w:val="20"/>
        </w:rPr>
        <w:t>and </w:t>
      </w:r>
      <w:r>
        <w:rPr>
          <w:spacing w:val="-3"/>
          <w:w w:val="120"/>
          <w:sz w:val="20"/>
        </w:rPr>
        <w:t>community thrive. </w:t>
      </w:r>
      <w:r>
        <w:rPr>
          <w:w w:val="120"/>
          <w:sz w:val="20"/>
        </w:rPr>
        <w:t>Friends</w:t>
      </w:r>
      <w:r>
        <w:rPr>
          <w:spacing w:val="-4"/>
          <w:w w:val="120"/>
          <w:sz w:val="20"/>
        </w:rPr>
        <w:t> </w:t>
      </w:r>
      <w:r>
        <w:rPr>
          <w:w w:val="120"/>
          <w:sz w:val="20"/>
        </w:rPr>
        <w:t>from</w:t>
      </w:r>
      <w:r>
        <w:rPr>
          <w:spacing w:val="-4"/>
          <w:w w:val="120"/>
          <w:sz w:val="20"/>
        </w:rPr>
        <w:t> </w:t>
      </w:r>
      <w:r>
        <w:rPr>
          <w:w w:val="120"/>
          <w:sz w:val="20"/>
        </w:rPr>
        <w:t>around</w:t>
      </w:r>
      <w:r>
        <w:rPr>
          <w:spacing w:val="-4"/>
          <w:w w:val="120"/>
          <w:sz w:val="20"/>
        </w:rPr>
        <w:t> </w:t>
      </w:r>
      <w:r>
        <w:rPr>
          <w:w w:val="120"/>
          <w:sz w:val="20"/>
        </w:rPr>
        <w:t>the</w:t>
      </w:r>
      <w:r>
        <w:rPr>
          <w:spacing w:val="-4"/>
          <w:w w:val="120"/>
          <w:sz w:val="20"/>
        </w:rPr>
        <w:t> </w:t>
      </w:r>
      <w:r>
        <w:rPr>
          <w:w w:val="120"/>
          <w:sz w:val="20"/>
        </w:rPr>
        <w:t>world</w:t>
      </w:r>
      <w:r>
        <w:rPr>
          <w:spacing w:val="-4"/>
          <w:w w:val="120"/>
          <w:sz w:val="20"/>
        </w:rPr>
        <w:t> </w:t>
      </w:r>
      <w:r>
        <w:rPr>
          <w:spacing w:val="-3"/>
          <w:w w:val="120"/>
          <w:sz w:val="20"/>
        </w:rPr>
        <w:t>Church, </w:t>
      </w:r>
      <w:r>
        <w:rPr>
          <w:w w:val="120"/>
          <w:sz w:val="20"/>
        </w:rPr>
        <w:t>as</w:t>
      </w:r>
      <w:r>
        <w:rPr>
          <w:spacing w:val="-4"/>
          <w:w w:val="120"/>
          <w:sz w:val="20"/>
        </w:rPr>
        <w:t> </w:t>
      </w:r>
      <w:r>
        <w:rPr>
          <w:spacing w:val="-3"/>
          <w:w w:val="120"/>
          <w:sz w:val="20"/>
        </w:rPr>
        <w:t>well</w:t>
      </w:r>
      <w:r>
        <w:rPr>
          <w:spacing w:val="-4"/>
          <w:w w:val="120"/>
          <w:sz w:val="20"/>
        </w:rPr>
        <w:t> </w:t>
      </w:r>
      <w:r>
        <w:rPr>
          <w:w w:val="120"/>
          <w:sz w:val="20"/>
        </w:rPr>
        <w:t>as</w:t>
      </w:r>
      <w:r>
        <w:rPr>
          <w:spacing w:val="-4"/>
          <w:w w:val="120"/>
          <w:sz w:val="20"/>
        </w:rPr>
        <w:t> </w:t>
      </w:r>
      <w:r>
        <w:rPr>
          <w:w w:val="120"/>
          <w:sz w:val="20"/>
        </w:rPr>
        <w:t>from</w:t>
      </w:r>
      <w:r>
        <w:rPr>
          <w:spacing w:val="-4"/>
          <w:w w:val="120"/>
          <w:sz w:val="20"/>
        </w:rPr>
        <w:t> </w:t>
      </w:r>
      <w:r>
        <w:rPr>
          <w:w w:val="120"/>
          <w:sz w:val="20"/>
        </w:rPr>
        <w:t>other</w:t>
      </w:r>
      <w:r>
        <w:rPr>
          <w:spacing w:val="-3"/>
          <w:w w:val="120"/>
          <w:sz w:val="20"/>
        </w:rPr>
        <w:t> denominations</w:t>
      </w:r>
      <w:r>
        <w:rPr>
          <w:spacing w:val="-4"/>
          <w:w w:val="120"/>
          <w:sz w:val="20"/>
        </w:rPr>
        <w:t> </w:t>
      </w:r>
      <w:r>
        <w:rPr>
          <w:w w:val="120"/>
          <w:sz w:val="20"/>
        </w:rPr>
        <w:t>in</w:t>
      </w:r>
      <w:r>
        <w:rPr>
          <w:spacing w:val="-4"/>
          <w:w w:val="120"/>
          <w:sz w:val="20"/>
        </w:rPr>
        <w:t> </w:t>
      </w:r>
      <w:r>
        <w:rPr>
          <w:w w:val="120"/>
          <w:sz w:val="20"/>
        </w:rPr>
        <w:t>the</w:t>
      </w:r>
      <w:r>
        <w:rPr>
          <w:spacing w:val="-4"/>
          <w:w w:val="120"/>
          <w:sz w:val="20"/>
        </w:rPr>
        <w:t> </w:t>
      </w:r>
      <w:r>
        <w:rPr>
          <w:spacing w:val="-3"/>
          <w:w w:val="120"/>
          <w:sz w:val="20"/>
        </w:rPr>
        <w:t>United </w:t>
      </w:r>
      <w:r>
        <w:rPr>
          <w:w w:val="120"/>
          <w:sz w:val="20"/>
        </w:rPr>
        <w:t>Kingdom, bring much </w:t>
      </w:r>
      <w:r>
        <w:rPr>
          <w:spacing w:val="-3"/>
          <w:w w:val="120"/>
          <w:sz w:val="20"/>
        </w:rPr>
        <w:t>to </w:t>
      </w:r>
      <w:r>
        <w:rPr>
          <w:w w:val="120"/>
          <w:sz w:val="20"/>
        </w:rPr>
        <w:t>the experience of students and staff. </w:t>
      </w:r>
      <w:r>
        <w:rPr>
          <w:spacing w:val="-3"/>
          <w:w w:val="120"/>
          <w:sz w:val="20"/>
        </w:rPr>
        <w:t>We worship </w:t>
      </w:r>
      <w:r>
        <w:rPr>
          <w:w w:val="120"/>
          <w:sz w:val="20"/>
        </w:rPr>
        <w:t>and learn together</w:t>
      </w:r>
      <w:r>
        <w:rPr>
          <w:spacing w:val="-5"/>
          <w:w w:val="120"/>
          <w:sz w:val="20"/>
        </w:rPr>
        <w:t> </w:t>
      </w:r>
      <w:r>
        <w:rPr>
          <w:w w:val="120"/>
          <w:sz w:val="20"/>
        </w:rPr>
        <w:t>in</w:t>
      </w:r>
      <w:r>
        <w:rPr>
          <w:spacing w:val="-4"/>
          <w:w w:val="120"/>
          <w:sz w:val="20"/>
        </w:rPr>
        <w:t> </w:t>
      </w:r>
      <w:r>
        <w:rPr>
          <w:spacing w:val="-3"/>
          <w:w w:val="120"/>
          <w:sz w:val="20"/>
        </w:rPr>
        <w:t>this</w:t>
      </w:r>
      <w:r>
        <w:rPr>
          <w:spacing w:val="-4"/>
          <w:w w:val="120"/>
          <w:sz w:val="20"/>
        </w:rPr>
        <w:t> </w:t>
      </w:r>
      <w:r>
        <w:rPr>
          <w:w w:val="120"/>
          <w:sz w:val="20"/>
        </w:rPr>
        <w:t>ecumenical</w:t>
      </w:r>
      <w:r>
        <w:rPr>
          <w:spacing w:val="-4"/>
          <w:w w:val="120"/>
          <w:sz w:val="20"/>
        </w:rPr>
        <w:t> </w:t>
      </w:r>
      <w:r>
        <w:rPr>
          <w:w w:val="120"/>
          <w:sz w:val="20"/>
        </w:rPr>
        <w:t>setting,</w:t>
      </w:r>
      <w:r>
        <w:rPr>
          <w:spacing w:val="-4"/>
          <w:w w:val="120"/>
          <w:sz w:val="20"/>
        </w:rPr>
        <w:t> </w:t>
      </w:r>
      <w:r>
        <w:rPr>
          <w:w w:val="120"/>
          <w:sz w:val="20"/>
        </w:rPr>
        <w:t>and</w:t>
      </w:r>
      <w:r>
        <w:rPr>
          <w:spacing w:val="-4"/>
          <w:w w:val="120"/>
          <w:sz w:val="20"/>
        </w:rPr>
        <w:t> </w:t>
      </w:r>
      <w:r>
        <w:rPr>
          <w:w w:val="120"/>
          <w:sz w:val="20"/>
        </w:rPr>
        <w:t>feel</w:t>
      </w:r>
      <w:r>
        <w:rPr>
          <w:spacing w:val="-4"/>
          <w:w w:val="120"/>
          <w:sz w:val="20"/>
        </w:rPr>
        <w:t> </w:t>
      </w:r>
      <w:r>
        <w:rPr>
          <w:w w:val="120"/>
          <w:sz w:val="20"/>
        </w:rPr>
        <w:t>fed</w:t>
      </w:r>
      <w:r>
        <w:rPr>
          <w:spacing w:val="-4"/>
          <w:w w:val="120"/>
          <w:sz w:val="20"/>
        </w:rPr>
        <w:t> </w:t>
      </w:r>
      <w:r>
        <w:rPr>
          <w:w w:val="120"/>
          <w:sz w:val="20"/>
        </w:rPr>
        <w:t>by</w:t>
      </w:r>
      <w:r>
        <w:rPr>
          <w:spacing w:val="-4"/>
          <w:w w:val="120"/>
          <w:sz w:val="20"/>
        </w:rPr>
        <w:t> </w:t>
      </w:r>
      <w:r>
        <w:rPr>
          <w:w w:val="120"/>
          <w:sz w:val="20"/>
        </w:rPr>
        <w:t>all</w:t>
      </w:r>
      <w:r>
        <w:rPr>
          <w:spacing w:val="-4"/>
          <w:w w:val="120"/>
          <w:sz w:val="20"/>
        </w:rPr>
        <w:t> </w:t>
      </w:r>
      <w:r>
        <w:rPr>
          <w:w w:val="120"/>
          <w:sz w:val="20"/>
        </w:rPr>
        <w:t>we</w:t>
      </w:r>
      <w:r>
        <w:rPr>
          <w:spacing w:val="-4"/>
          <w:w w:val="120"/>
          <w:sz w:val="20"/>
        </w:rPr>
        <w:t> </w:t>
      </w:r>
      <w:r>
        <w:rPr>
          <w:spacing w:val="-3"/>
          <w:w w:val="120"/>
          <w:sz w:val="20"/>
        </w:rPr>
        <w:t>receive</w:t>
      </w:r>
      <w:r>
        <w:rPr>
          <w:spacing w:val="-4"/>
          <w:w w:val="120"/>
          <w:sz w:val="20"/>
        </w:rPr>
        <w:t> </w:t>
      </w:r>
      <w:r>
        <w:rPr>
          <w:w w:val="120"/>
          <w:sz w:val="20"/>
        </w:rPr>
        <w:t>from</w:t>
      </w:r>
      <w:r>
        <w:rPr>
          <w:spacing w:val="-4"/>
          <w:w w:val="120"/>
          <w:sz w:val="20"/>
        </w:rPr>
        <w:t> </w:t>
      </w:r>
      <w:r>
        <w:rPr>
          <w:w w:val="120"/>
          <w:sz w:val="20"/>
        </w:rPr>
        <w:t>one</w:t>
      </w:r>
      <w:r>
        <w:rPr>
          <w:spacing w:val="-5"/>
          <w:w w:val="120"/>
          <w:sz w:val="20"/>
        </w:rPr>
        <w:t> </w:t>
      </w:r>
      <w:r>
        <w:rPr>
          <w:spacing w:val="-4"/>
          <w:w w:val="120"/>
          <w:sz w:val="20"/>
        </w:rPr>
        <w:t>another.</w:t>
      </w:r>
    </w:p>
    <w:p>
      <w:pPr>
        <w:pStyle w:val="BodyText"/>
      </w:pPr>
    </w:p>
    <w:p>
      <w:pPr>
        <w:pStyle w:val="ListParagraph"/>
        <w:numPr>
          <w:ilvl w:val="1"/>
          <w:numId w:val="61"/>
        </w:numPr>
        <w:tabs>
          <w:tab w:pos="1227" w:val="left" w:leader="none"/>
          <w:tab w:pos="1228" w:val="left" w:leader="none"/>
        </w:tabs>
        <w:spacing w:line="235" w:lineRule="auto" w:before="0" w:after="0"/>
        <w:ind w:left="547" w:right="2658" w:firstLine="0"/>
        <w:jc w:val="left"/>
        <w:rPr>
          <w:sz w:val="20"/>
        </w:rPr>
      </w:pPr>
      <w:r>
        <w:rPr>
          <w:w w:val="120"/>
          <w:sz w:val="20"/>
        </w:rPr>
        <w:t>Our students remain in their </w:t>
      </w:r>
      <w:r>
        <w:rPr>
          <w:spacing w:val="-2"/>
          <w:w w:val="120"/>
          <w:sz w:val="20"/>
        </w:rPr>
        <w:t>own </w:t>
      </w:r>
      <w:r>
        <w:rPr>
          <w:w w:val="120"/>
          <w:sz w:val="20"/>
        </w:rPr>
        <w:t>homes and support networks, and travel for</w:t>
      </w:r>
      <w:r>
        <w:rPr>
          <w:spacing w:val="-8"/>
          <w:w w:val="120"/>
          <w:sz w:val="20"/>
        </w:rPr>
        <w:t> </w:t>
      </w:r>
      <w:r>
        <w:rPr>
          <w:w w:val="120"/>
          <w:sz w:val="20"/>
        </w:rPr>
        <w:t>study</w:t>
      </w:r>
      <w:r>
        <w:rPr>
          <w:spacing w:val="-7"/>
          <w:w w:val="120"/>
          <w:sz w:val="20"/>
        </w:rPr>
        <w:t> </w:t>
      </w:r>
      <w:r>
        <w:rPr>
          <w:spacing w:val="-3"/>
          <w:w w:val="120"/>
          <w:sz w:val="20"/>
        </w:rPr>
        <w:t>to</w:t>
      </w:r>
      <w:r>
        <w:rPr>
          <w:spacing w:val="-7"/>
          <w:w w:val="120"/>
          <w:sz w:val="20"/>
        </w:rPr>
        <w:t> </w:t>
      </w:r>
      <w:r>
        <w:rPr>
          <w:w w:val="120"/>
          <w:sz w:val="20"/>
        </w:rPr>
        <w:t>the</w:t>
      </w:r>
      <w:r>
        <w:rPr>
          <w:spacing w:val="-7"/>
          <w:w w:val="120"/>
          <w:sz w:val="20"/>
        </w:rPr>
        <w:t> </w:t>
      </w:r>
      <w:r>
        <w:rPr>
          <w:spacing w:val="-3"/>
          <w:w w:val="120"/>
          <w:sz w:val="20"/>
        </w:rPr>
        <w:t>college.</w:t>
      </w:r>
      <w:r>
        <w:rPr>
          <w:spacing w:val="-7"/>
          <w:w w:val="120"/>
          <w:sz w:val="20"/>
        </w:rPr>
        <w:t> </w:t>
      </w:r>
      <w:r>
        <w:rPr>
          <w:w w:val="120"/>
          <w:sz w:val="20"/>
        </w:rPr>
        <w:t>Full-time</w:t>
      </w:r>
      <w:r>
        <w:rPr>
          <w:spacing w:val="-8"/>
          <w:w w:val="120"/>
          <w:sz w:val="20"/>
        </w:rPr>
        <w:t> </w:t>
      </w:r>
      <w:r>
        <w:rPr>
          <w:w w:val="120"/>
          <w:sz w:val="20"/>
        </w:rPr>
        <w:t>students</w:t>
      </w:r>
      <w:r>
        <w:rPr>
          <w:spacing w:val="-7"/>
          <w:w w:val="120"/>
          <w:sz w:val="20"/>
        </w:rPr>
        <w:t> </w:t>
      </w:r>
      <w:r>
        <w:rPr>
          <w:spacing w:val="-3"/>
          <w:w w:val="120"/>
          <w:sz w:val="20"/>
        </w:rPr>
        <w:t>come</w:t>
      </w:r>
      <w:r>
        <w:rPr>
          <w:spacing w:val="-7"/>
          <w:w w:val="120"/>
          <w:sz w:val="20"/>
        </w:rPr>
        <w:t> </w:t>
      </w:r>
      <w:r>
        <w:rPr>
          <w:spacing w:val="-3"/>
          <w:w w:val="120"/>
          <w:sz w:val="20"/>
        </w:rPr>
        <w:t>to</w:t>
      </w:r>
      <w:r>
        <w:rPr>
          <w:spacing w:val="-7"/>
          <w:w w:val="120"/>
          <w:sz w:val="20"/>
        </w:rPr>
        <w:t> </w:t>
      </w:r>
      <w:r>
        <w:rPr>
          <w:w w:val="120"/>
          <w:sz w:val="20"/>
        </w:rPr>
        <w:t>Manchester</w:t>
      </w:r>
      <w:r>
        <w:rPr>
          <w:spacing w:val="-8"/>
          <w:w w:val="120"/>
          <w:sz w:val="20"/>
        </w:rPr>
        <w:t> </w:t>
      </w:r>
      <w:r>
        <w:rPr>
          <w:w w:val="120"/>
          <w:sz w:val="20"/>
        </w:rPr>
        <w:t>two</w:t>
      </w:r>
      <w:r>
        <w:rPr>
          <w:spacing w:val="-7"/>
          <w:w w:val="120"/>
          <w:sz w:val="20"/>
        </w:rPr>
        <w:t> </w:t>
      </w:r>
      <w:r>
        <w:rPr>
          <w:spacing w:val="-3"/>
          <w:w w:val="120"/>
          <w:sz w:val="20"/>
        </w:rPr>
        <w:t>days</w:t>
      </w:r>
      <w:r>
        <w:rPr>
          <w:spacing w:val="-7"/>
          <w:w w:val="120"/>
          <w:sz w:val="20"/>
        </w:rPr>
        <w:t> </w:t>
      </w:r>
      <w:r>
        <w:rPr>
          <w:w w:val="120"/>
          <w:sz w:val="20"/>
        </w:rPr>
        <w:t>a</w:t>
      </w:r>
      <w:r>
        <w:rPr>
          <w:spacing w:val="-7"/>
          <w:w w:val="120"/>
          <w:sz w:val="20"/>
        </w:rPr>
        <w:t> </w:t>
      </w:r>
      <w:r>
        <w:rPr>
          <w:w w:val="120"/>
          <w:sz w:val="20"/>
        </w:rPr>
        <w:t>week</w:t>
      </w:r>
      <w:r>
        <w:rPr>
          <w:spacing w:val="-7"/>
          <w:w w:val="120"/>
          <w:sz w:val="20"/>
        </w:rPr>
        <w:t> </w:t>
      </w:r>
      <w:r>
        <w:rPr>
          <w:w w:val="120"/>
          <w:sz w:val="20"/>
        </w:rPr>
        <w:t>in</w:t>
      </w:r>
    </w:p>
    <w:p>
      <w:pPr>
        <w:pStyle w:val="BodyText"/>
        <w:spacing w:line="235" w:lineRule="auto" w:before="1"/>
        <w:ind w:left="547" w:right="1899"/>
      </w:pPr>
      <w:r>
        <w:rPr>
          <w:w w:val="120"/>
        </w:rPr>
        <w:t>term time </w:t>
      </w:r>
      <w:r>
        <w:rPr>
          <w:spacing w:val="-4"/>
          <w:w w:val="120"/>
        </w:rPr>
        <w:t>(staying </w:t>
      </w:r>
      <w:r>
        <w:rPr>
          <w:spacing w:val="-3"/>
          <w:w w:val="120"/>
        </w:rPr>
        <w:t>overnight </w:t>
      </w:r>
      <w:r>
        <w:rPr>
          <w:w w:val="120"/>
        </w:rPr>
        <w:t>as they need </w:t>
      </w:r>
      <w:r>
        <w:rPr>
          <w:spacing w:val="-8"/>
          <w:w w:val="120"/>
        </w:rPr>
        <w:t>to); </w:t>
      </w:r>
      <w:r>
        <w:rPr>
          <w:w w:val="120"/>
        </w:rPr>
        <w:t>CRCW students </w:t>
      </w:r>
      <w:r>
        <w:rPr>
          <w:spacing w:val="-3"/>
          <w:w w:val="120"/>
        </w:rPr>
        <w:t>have </w:t>
      </w:r>
      <w:r>
        <w:rPr>
          <w:w w:val="120"/>
        </w:rPr>
        <w:t>a mix of extended </w:t>
      </w:r>
      <w:r>
        <w:rPr>
          <w:spacing w:val="-3"/>
          <w:w w:val="120"/>
        </w:rPr>
        <w:t>weekends, days, </w:t>
      </w:r>
      <w:r>
        <w:rPr>
          <w:w w:val="120"/>
        </w:rPr>
        <w:t>and midweek </w:t>
      </w:r>
      <w:r>
        <w:rPr>
          <w:spacing w:val="-3"/>
          <w:w w:val="120"/>
        </w:rPr>
        <w:t>attendance; </w:t>
      </w:r>
      <w:r>
        <w:rPr>
          <w:w w:val="120"/>
        </w:rPr>
        <w:t>part time students attend six </w:t>
      </w:r>
      <w:r>
        <w:rPr>
          <w:spacing w:val="-3"/>
          <w:w w:val="120"/>
        </w:rPr>
        <w:t>weekends </w:t>
      </w:r>
      <w:r>
        <w:rPr>
          <w:w w:val="120"/>
        </w:rPr>
        <w:t>a</w:t>
      </w:r>
      <w:r>
        <w:rPr>
          <w:spacing w:val="-5"/>
          <w:w w:val="120"/>
        </w:rPr>
        <w:t> year.</w:t>
      </w:r>
    </w:p>
    <w:p>
      <w:pPr>
        <w:pStyle w:val="BodyText"/>
        <w:spacing w:before="10"/>
        <w:rPr>
          <w:sz w:val="19"/>
        </w:rPr>
      </w:pPr>
    </w:p>
    <w:p>
      <w:pPr>
        <w:pStyle w:val="ListParagraph"/>
        <w:numPr>
          <w:ilvl w:val="1"/>
          <w:numId w:val="61"/>
        </w:numPr>
        <w:tabs>
          <w:tab w:pos="1227" w:val="left" w:leader="none"/>
          <w:tab w:pos="1228" w:val="left" w:leader="none"/>
        </w:tabs>
        <w:spacing w:line="235" w:lineRule="auto" w:before="0" w:after="0"/>
        <w:ind w:left="547" w:right="2351" w:firstLine="0"/>
        <w:jc w:val="left"/>
        <w:rPr>
          <w:sz w:val="20"/>
        </w:rPr>
      </w:pPr>
      <w:r>
        <w:rPr>
          <w:w w:val="120"/>
          <w:sz w:val="20"/>
        </w:rPr>
        <w:t>Students work towards Diplomas, </w:t>
      </w:r>
      <w:r>
        <w:rPr>
          <w:spacing w:val="2"/>
          <w:w w:val="120"/>
          <w:sz w:val="20"/>
        </w:rPr>
        <w:t>BAs </w:t>
      </w:r>
      <w:r>
        <w:rPr>
          <w:w w:val="120"/>
          <w:sz w:val="20"/>
        </w:rPr>
        <w:t>or </w:t>
      </w:r>
      <w:r>
        <w:rPr>
          <w:spacing w:val="3"/>
          <w:w w:val="120"/>
          <w:sz w:val="20"/>
        </w:rPr>
        <w:t>MAs </w:t>
      </w:r>
      <w:r>
        <w:rPr>
          <w:w w:val="120"/>
          <w:sz w:val="20"/>
        </w:rPr>
        <w:t>in Contextual Theology, which, with their tailor-made pattern of placements over a four-year period, gives a strong grounding in today’s church and society. We have 23 </w:t>
      </w:r>
      <w:r>
        <w:rPr>
          <w:spacing w:val="-3"/>
          <w:w w:val="120"/>
          <w:sz w:val="20"/>
        </w:rPr>
        <w:t>EM1 </w:t>
      </w:r>
      <w:r>
        <w:rPr>
          <w:w w:val="120"/>
          <w:sz w:val="20"/>
        </w:rPr>
        <w:t>students (five preparing for the ministry of CRCW, five for non stipendiary service as ministers of Word and Sacraments, and </w:t>
      </w:r>
      <w:r>
        <w:rPr>
          <w:spacing w:val="-11"/>
          <w:w w:val="120"/>
          <w:sz w:val="20"/>
        </w:rPr>
        <w:t>13 </w:t>
      </w:r>
      <w:r>
        <w:rPr>
          <w:w w:val="120"/>
          <w:sz w:val="20"/>
        </w:rPr>
        <w:t>for stipendiary service as ministers of Word and Sacraments)</w:t>
      </w:r>
      <w:r>
        <w:rPr>
          <w:spacing w:val="30"/>
          <w:w w:val="120"/>
          <w:sz w:val="20"/>
        </w:rPr>
        <w:t> </w:t>
      </w:r>
      <w:r>
        <w:rPr>
          <w:w w:val="120"/>
          <w:sz w:val="20"/>
        </w:rPr>
        <w:t>–</w:t>
      </w:r>
    </w:p>
    <w:p>
      <w:pPr>
        <w:pStyle w:val="BodyText"/>
        <w:spacing w:line="235" w:lineRule="auto" w:before="4"/>
        <w:ind w:left="547" w:right="1899"/>
      </w:pPr>
      <w:r>
        <w:rPr>
          <w:w w:val="120"/>
        </w:rPr>
        <w:t>two of whom are from the Moravian Church. Learning alongside each other, in different modules, tutorial groups and college time (the ‘formational programme’), students</w:t>
      </w:r>
    </w:p>
    <w:p>
      <w:pPr>
        <w:pStyle w:val="BodyText"/>
        <w:spacing w:line="235" w:lineRule="auto" w:before="1"/>
        <w:ind w:left="547" w:right="2189"/>
      </w:pPr>
      <w:r>
        <w:rPr>
          <w:w w:val="120"/>
        </w:rPr>
        <w:t>on each pathway overlap and diverge in their training, and come back together to complement one another’s skills and experience. Placements, in local churches of various denominations as well as the URC, in chaplaincies, and in community projects, form an important context for the academic work and a strong backdrop for the building of experience during EM1.</w:t>
      </w:r>
    </w:p>
    <w:p>
      <w:pPr>
        <w:spacing w:after="0" w:line="235" w:lineRule="auto"/>
        <w:sectPr>
          <w:headerReference w:type="even" r:id="rId232"/>
          <w:pgSz w:w="11910" w:h="16840"/>
          <w:pgMar w:header="0" w:footer="647" w:top="0" w:bottom="840" w:left="700" w:right="0"/>
        </w:sectPr>
      </w:pPr>
    </w:p>
    <w:p>
      <w:pPr>
        <w:pStyle w:val="BodyText"/>
      </w:pPr>
      <w:r>
        <w:rPr/>
        <w:drawing>
          <wp:anchor distT="0" distB="0" distL="0" distR="0" allowOverlap="1" layoutInCell="1" locked="0" behindDoc="0" simplePos="0" relativeHeight="251840512">
            <wp:simplePos x="0" y="0"/>
            <wp:positionH relativeFrom="page">
              <wp:posOffset>6974928</wp:posOffset>
            </wp:positionH>
            <wp:positionV relativeFrom="page">
              <wp:posOffset>0</wp:posOffset>
            </wp:positionV>
            <wp:extent cx="585063" cy="10692003"/>
            <wp:effectExtent l="0" t="0" r="0" b="0"/>
            <wp:wrapNone/>
            <wp:docPr id="127" name="image54.png"/>
            <wp:cNvGraphicFramePr>
              <a:graphicFrameLocks noChangeAspect="1"/>
            </wp:cNvGraphicFramePr>
            <a:graphic>
              <a:graphicData uri="http://schemas.openxmlformats.org/drawingml/2006/picture">
                <pic:pic>
                  <pic:nvPicPr>
                    <pic:cNvPr id="128" name="image54.png"/>
                    <pic:cNvPicPr/>
                  </pic:nvPicPr>
                  <pic:blipFill>
                    <a:blip r:embed="rId169" cstate="print"/>
                    <a:stretch>
                      <a:fillRect/>
                    </a:stretch>
                  </pic:blipFill>
                  <pic:spPr>
                    <a:xfrm>
                      <a:off x="0" y="0"/>
                      <a:ext cx="585063" cy="10692003"/>
                    </a:xfrm>
                    <a:prstGeom prst="rect">
                      <a:avLst/>
                    </a:prstGeom>
                  </pic:spPr>
                </pic:pic>
              </a:graphicData>
            </a:graphic>
          </wp:anchor>
        </w:drawing>
      </w:r>
    </w:p>
    <w:p>
      <w:pPr>
        <w:pStyle w:val="BodyText"/>
        <w:spacing w:before="7"/>
        <w:rPr>
          <w:sz w:val="21"/>
        </w:rPr>
      </w:pPr>
    </w:p>
    <w:p>
      <w:pPr>
        <w:spacing w:before="106"/>
        <w:ind w:left="7114" w:right="0" w:firstLine="0"/>
        <w:jc w:val="left"/>
        <w:rPr>
          <w:sz w:val="26"/>
        </w:rPr>
      </w:pPr>
      <w:r>
        <w:rPr/>
        <w:pict>
          <v:shape style="position:absolute;margin-left:554.141174pt;margin-top:22.593945pt;width:25.9pt;height:237.55pt;mso-position-horizontal-relative:page;mso-position-vertical-relative:paragraph;z-index:251841536" type="#_x0000_t202" filled="false" stroked="false">
            <v:textbox inset="0,0,0,0" style="layout-flow:vertical">
              <w:txbxContent>
                <w:p>
                  <w:pPr>
                    <w:spacing w:before="27"/>
                    <w:ind w:left="20" w:right="0" w:firstLine="0"/>
                    <w:jc w:val="left"/>
                    <w:rPr>
                      <w:sz w:val="39"/>
                    </w:rPr>
                  </w:pPr>
                  <w:r>
                    <w:rPr>
                      <w:color w:val="FFFFFF"/>
                      <w:w w:val="120"/>
                      <w:sz w:val="39"/>
                    </w:rPr>
                    <w:t>Education and learning</w:t>
                  </w:r>
                </w:p>
              </w:txbxContent>
            </v:textbox>
            <w10:wrap type="none"/>
          </v:shape>
        </w:pict>
      </w:r>
      <w:r>
        <w:rPr>
          <w:color w:val="7EAABF"/>
          <w:w w:val="115"/>
          <w:sz w:val="26"/>
        </w:rPr>
        <w:t>Education and learning</w:t>
      </w:r>
    </w:p>
    <w:p>
      <w:pPr>
        <w:pStyle w:val="ListParagraph"/>
        <w:numPr>
          <w:ilvl w:val="1"/>
          <w:numId w:val="61"/>
        </w:numPr>
        <w:tabs>
          <w:tab w:pos="1964" w:val="left" w:leader="none"/>
          <w:tab w:pos="1965" w:val="left" w:leader="none"/>
        </w:tabs>
        <w:spacing w:line="235" w:lineRule="auto" w:before="222" w:after="0"/>
        <w:ind w:left="1284" w:right="1506" w:firstLine="0"/>
        <w:jc w:val="left"/>
        <w:rPr>
          <w:sz w:val="20"/>
        </w:rPr>
      </w:pPr>
      <w:r>
        <w:rPr>
          <w:w w:val="120"/>
          <w:sz w:val="20"/>
        </w:rPr>
        <w:t>Having been blessed with continuity of staff resources over the last two years, Christine Jones (CRCW </w:t>
      </w:r>
      <w:r>
        <w:rPr>
          <w:spacing w:val="-3"/>
          <w:w w:val="120"/>
          <w:sz w:val="20"/>
        </w:rPr>
        <w:t>tutor) </w:t>
      </w:r>
      <w:r>
        <w:rPr>
          <w:w w:val="120"/>
          <w:sz w:val="20"/>
        </w:rPr>
        <w:t>will be retiring this summer, and we are glad to have welcomed Noel Irwin, through succession planning, for this important role within    the college and URC. </w:t>
      </w:r>
      <w:r>
        <w:rPr>
          <w:spacing w:val="3"/>
          <w:w w:val="120"/>
          <w:sz w:val="20"/>
        </w:rPr>
        <w:t>As </w:t>
      </w:r>
      <w:r>
        <w:rPr>
          <w:w w:val="120"/>
          <w:sz w:val="20"/>
        </w:rPr>
        <w:t>the only college offering training for CRCWs, we felt it was important not to have a hiatus of provision, but to hand over the expertise of</w:t>
      </w:r>
      <w:r>
        <w:rPr>
          <w:spacing w:val="42"/>
          <w:w w:val="120"/>
          <w:sz w:val="20"/>
        </w:rPr>
        <w:t> </w:t>
      </w:r>
      <w:r>
        <w:rPr>
          <w:w w:val="120"/>
          <w:sz w:val="20"/>
        </w:rPr>
        <w:t>running</w:t>
      </w:r>
    </w:p>
    <w:p>
      <w:pPr>
        <w:pStyle w:val="BodyText"/>
        <w:spacing w:line="235" w:lineRule="auto" w:before="3"/>
        <w:ind w:left="1284" w:right="1296"/>
      </w:pPr>
      <w:r>
        <w:rPr>
          <w:w w:val="120"/>
        </w:rPr>
        <w:t>the programme and teaching the academic modules. Noel is an experienced Methodist minister, and has worked in the community in inner city Sheffield where he was also the Circuit Superintendent, and </w:t>
      </w:r>
      <w:r>
        <w:rPr>
          <w:spacing w:val="2"/>
          <w:w w:val="120"/>
        </w:rPr>
        <w:t>part </w:t>
      </w:r>
      <w:r>
        <w:rPr>
          <w:w w:val="120"/>
        </w:rPr>
        <w:t>time Director of the Urban Theology Unit. That latter role will continue part-time until the summer, from September Noel will be full time with </w:t>
      </w:r>
      <w:r>
        <w:rPr>
          <w:spacing w:val="2"/>
          <w:w w:val="120"/>
        </w:rPr>
        <w:t>Northern</w:t>
      </w:r>
      <w:r>
        <w:rPr>
          <w:spacing w:val="4"/>
          <w:w w:val="120"/>
        </w:rPr>
        <w:t> </w:t>
      </w:r>
      <w:r>
        <w:rPr>
          <w:w w:val="120"/>
        </w:rPr>
        <w:t>College.</w:t>
      </w:r>
    </w:p>
    <w:p>
      <w:pPr>
        <w:pStyle w:val="BodyText"/>
      </w:pPr>
    </w:p>
    <w:p>
      <w:pPr>
        <w:pStyle w:val="ListParagraph"/>
        <w:numPr>
          <w:ilvl w:val="1"/>
          <w:numId w:val="61"/>
        </w:numPr>
        <w:tabs>
          <w:tab w:pos="1964" w:val="left" w:leader="none"/>
          <w:tab w:pos="1965" w:val="left" w:leader="none"/>
        </w:tabs>
        <w:spacing w:line="235" w:lineRule="auto" w:before="0" w:after="0"/>
        <w:ind w:left="1284" w:right="1517" w:firstLine="0"/>
        <w:jc w:val="left"/>
        <w:rPr>
          <w:sz w:val="20"/>
        </w:rPr>
      </w:pPr>
      <w:r>
        <w:rPr>
          <w:w w:val="120"/>
          <w:sz w:val="20"/>
        </w:rPr>
        <w:t>Our development as a Resource Centre for Learning continues, with courses available to people from the wider Church. All academic programmes are available   as ‘short courses’ that anyone can dip into for interest; there is a monthly lecture programme, a variety of Quiet Days, together with Saturday events aimed at lay people in the church, and an annual Lay Preachers’ and Worship Leaders’ Conference which is increasing in popularity. In addition, each member of staff contributes to training and learning events in a number of synods, local churches and for</w:t>
      </w:r>
      <w:r>
        <w:rPr>
          <w:spacing w:val="53"/>
          <w:w w:val="120"/>
          <w:sz w:val="20"/>
        </w:rPr>
        <w:t> </w:t>
      </w:r>
      <w:r>
        <w:rPr>
          <w:w w:val="120"/>
          <w:sz w:val="20"/>
        </w:rPr>
        <w:t>other</w:t>
      </w:r>
    </w:p>
    <w:p>
      <w:pPr>
        <w:pStyle w:val="BodyText"/>
        <w:spacing w:line="235" w:lineRule="auto" w:before="5"/>
        <w:ind w:left="1284" w:right="1417"/>
      </w:pPr>
      <w:r>
        <w:rPr>
          <w:w w:val="120"/>
        </w:rPr>
        <w:t>denominations – from Ministers’ Summer Schools, to synod lay preaching conferences; from local preaching to committee work. Kathy White is involved with TLS, and with  the appreciative inquiry work; Graham Adams is </w:t>
      </w:r>
      <w:r>
        <w:rPr>
          <w:spacing w:val="2"/>
          <w:w w:val="120"/>
        </w:rPr>
        <w:t>part </w:t>
      </w:r>
      <w:r>
        <w:rPr>
          <w:w w:val="120"/>
        </w:rPr>
        <w:t>of the missional discipleship task group which is looking the resourcing of the church for Walking the </w:t>
      </w:r>
      <w:r>
        <w:rPr>
          <w:spacing w:val="-5"/>
          <w:w w:val="120"/>
        </w:rPr>
        <w:t>Way, </w:t>
      </w:r>
      <w:r>
        <w:rPr>
          <w:w w:val="120"/>
        </w:rPr>
        <w:t>including  </w:t>
      </w:r>
      <w:r>
        <w:rPr>
          <w:spacing w:val="-3"/>
          <w:w w:val="120"/>
        </w:rPr>
        <w:t>TLS’s</w:t>
      </w:r>
      <w:r>
        <w:rPr>
          <w:spacing w:val="2"/>
          <w:w w:val="120"/>
        </w:rPr>
        <w:t> </w:t>
      </w:r>
      <w:r>
        <w:rPr>
          <w:spacing w:val="-3"/>
          <w:w w:val="120"/>
        </w:rPr>
        <w:t>successor.</w:t>
      </w:r>
    </w:p>
    <w:p>
      <w:pPr>
        <w:pStyle w:val="BodyText"/>
        <w:spacing w:before="1"/>
        <w:rPr>
          <w:sz w:val="19"/>
        </w:rPr>
      </w:pPr>
    </w:p>
    <w:p>
      <w:pPr>
        <w:pStyle w:val="Heading2"/>
        <w:ind w:left="1284"/>
      </w:pPr>
      <w:r>
        <w:rPr>
          <w:w w:val="110"/>
        </w:rPr>
        <w:t>The best of what we do</w:t>
      </w:r>
    </w:p>
    <w:p>
      <w:pPr>
        <w:pStyle w:val="ListParagraph"/>
        <w:numPr>
          <w:ilvl w:val="1"/>
          <w:numId w:val="61"/>
        </w:numPr>
        <w:tabs>
          <w:tab w:pos="1964" w:val="left" w:leader="none"/>
          <w:tab w:pos="1965" w:val="left" w:leader="none"/>
        </w:tabs>
        <w:spacing w:line="235" w:lineRule="auto" w:before="83" w:after="0"/>
        <w:ind w:left="1284" w:right="1683" w:firstLine="0"/>
        <w:jc w:val="left"/>
        <w:rPr>
          <w:sz w:val="20"/>
        </w:rPr>
      </w:pPr>
      <w:r>
        <w:rPr>
          <w:w w:val="120"/>
          <w:sz w:val="20"/>
        </w:rPr>
        <w:t>We believe the beating heart of what we offer to the URC is our passion for contextual theology as we seek to respond to the changing needs of the church in the </w:t>
      </w:r>
      <w:r>
        <w:rPr>
          <w:spacing w:val="-5"/>
          <w:w w:val="120"/>
          <w:sz w:val="20"/>
        </w:rPr>
        <w:t>21st </w:t>
      </w:r>
      <w:r>
        <w:rPr>
          <w:w w:val="120"/>
          <w:sz w:val="20"/>
        </w:rPr>
        <w:t>century. The placements we have set up for students have taken them into a variety of chaplaincies: industrial, airport, prison, retail, hospice and navy settings as well as the more usual hospital situations. Students have the opportunity to</w:t>
      </w:r>
      <w:r>
        <w:rPr>
          <w:spacing w:val="-5"/>
          <w:w w:val="120"/>
          <w:sz w:val="20"/>
        </w:rPr>
        <w:t> </w:t>
      </w:r>
      <w:r>
        <w:rPr>
          <w:w w:val="120"/>
          <w:sz w:val="20"/>
        </w:rPr>
        <w:t>learn</w:t>
      </w:r>
    </w:p>
    <w:p>
      <w:pPr>
        <w:pStyle w:val="BodyText"/>
        <w:spacing w:line="235" w:lineRule="auto" w:before="4"/>
        <w:ind w:left="1284" w:right="1470"/>
      </w:pPr>
      <w:r>
        <w:rPr>
          <w:w w:val="120"/>
        </w:rPr>
        <w:t>first hand about working ecumenically in church placements – over the last few years in: the Church of England, and the Roman Catholic, Baptist and Methodist Churches. Students have also worked in food banks, with migrants and refugees, with projects where support is offered to people with mental health problems, and various other local-community issues. All this leads up to their two-year placement in a URC/project (or Moravian Church/Congregational Federation). Alongside this, each person has the opportunity for around ten weeks in a vacant pastorate during the summer, and an international placement.</w:t>
      </w:r>
    </w:p>
    <w:p>
      <w:pPr>
        <w:pStyle w:val="BodyText"/>
        <w:spacing w:before="1"/>
      </w:pPr>
    </w:p>
    <w:p>
      <w:pPr>
        <w:pStyle w:val="ListParagraph"/>
        <w:numPr>
          <w:ilvl w:val="1"/>
          <w:numId w:val="61"/>
        </w:numPr>
        <w:tabs>
          <w:tab w:pos="1965" w:val="left" w:leader="none"/>
        </w:tabs>
        <w:spacing w:line="235" w:lineRule="auto" w:before="0" w:after="0"/>
        <w:ind w:left="1284" w:right="1794" w:firstLine="0"/>
        <w:jc w:val="both"/>
        <w:rPr>
          <w:sz w:val="20"/>
        </w:rPr>
      </w:pPr>
      <w:r>
        <w:rPr>
          <w:w w:val="120"/>
          <w:sz w:val="20"/>
        </w:rPr>
        <w:t>Our ministry of CRCW modules are now popular with all students, who see the relevance of the ‘edginess’ of their remit in all ministry. The Baptist College are now using these modules to equip their pioneer</w:t>
      </w:r>
      <w:r>
        <w:rPr>
          <w:spacing w:val="20"/>
          <w:w w:val="120"/>
          <w:sz w:val="20"/>
        </w:rPr>
        <w:t> </w:t>
      </w:r>
      <w:r>
        <w:rPr>
          <w:w w:val="120"/>
          <w:sz w:val="20"/>
        </w:rPr>
        <w:t>ministers.</w:t>
      </w:r>
    </w:p>
    <w:p>
      <w:pPr>
        <w:pStyle w:val="BodyText"/>
        <w:spacing w:before="11"/>
        <w:rPr>
          <w:sz w:val="19"/>
        </w:rPr>
      </w:pPr>
    </w:p>
    <w:p>
      <w:pPr>
        <w:pStyle w:val="ListParagraph"/>
        <w:numPr>
          <w:ilvl w:val="1"/>
          <w:numId w:val="61"/>
        </w:numPr>
        <w:tabs>
          <w:tab w:pos="1964" w:val="left" w:leader="none"/>
          <w:tab w:pos="1965" w:val="left" w:leader="none"/>
        </w:tabs>
        <w:spacing w:line="235" w:lineRule="auto" w:before="0" w:after="0"/>
        <w:ind w:left="1284" w:right="1505" w:firstLine="0"/>
        <w:jc w:val="left"/>
        <w:rPr>
          <w:sz w:val="20"/>
        </w:rPr>
      </w:pPr>
      <w:r>
        <w:rPr>
          <w:w w:val="120"/>
          <w:sz w:val="20"/>
        </w:rPr>
        <w:t>We have worked particularly hard over the last two years to build relationships with local synods. Staff and students preach regularly in local churches too. All this supports our insight into the realities of the URC</w:t>
      </w:r>
      <w:r>
        <w:rPr>
          <w:spacing w:val="21"/>
          <w:w w:val="120"/>
          <w:sz w:val="20"/>
        </w:rPr>
        <w:t> </w:t>
      </w:r>
      <w:r>
        <w:rPr>
          <w:spacing w:val="-3"/>
          <w:w w:val="120"/>
          <w:sz w:val="20"/>
        </w:rPr>
        <w:t>today.</w:t>
      </w:r>
    </w:p>
    <w:p>
      <w:pPr>
        <w:pStyle w:val="BodyText"/>
        <w:spacing w:before="10"/>
        <w:rPr>
          <w:sz w:val="19"/>
        </w:rPr>
      </w:pPr>
    </w:p>
    <w:p>
      <w:pPr>
        <w:pStyle w:val="ListParagraph"/>
        <w:numPr>
          <w:ilvl w:val="1"/>
          <w:numId w:val="61"/>
        </w:numPr>
        <w:tabs>
          <w:tab w:pos="1964" w:val="left" w:leader="none"/>
          <w:tab w:pos="1965" w:val="left" w:leader="none"/>
        </w:tabs>
        <w:spacing w:line="235" w:lineRule="auto" w:before="0" w:after="0"/>
        <w:ind w:left="1284" w:right="1629" w:firstLine="0"/>
        <w:jc w:val="left"/>
        <w:rPr>
          <w:sz w:val="20"/>
        </w:rPr>
      </w:pPr>
      <w:r>
        <w:rPr>
          <w:w w:val="120"/>
          <w:sz w:val="20"/>
        </w:rPr>
        <w:t>We feel that, through these local church/community-based experiences, and bringing those experiences into academic work and conversation, </w:t>
      </w:r>
      <w:r>
        <w:rPr>
          <w:spacing w:val="2"/>
          <w:w w:val="120"/>
          <w:sz w:val="20"/>
        </w:rPr>
        <w:t>Northern </w:t>
      </w:r>
      <w:r>
        <w:rPr>
          <w:w w:val="120"/>
          <w:sz w:val="20"/>
        </w:rPr>
        <w:t>College equips students for today’s URC and into its future life and</w:t>
      </w:r>
      <w:r>
        <w:rPr>
          <w:spacing w:val="17"/>
          <w:w w:val="120"/>
          <w:sz w:val="20"/>
        </w:rPr>
        <w:t> </w:t>
      </w:r>
      <w:r>
        <w:rPr>
          <w:w w:val="120"/>
          <w:sz w:val="20"/>
        </w:rPr>
        <w:t>mission.</w:t>
      </w:r>
    </w:p>
    <w:p>
      <w:pPr>
        <w:spacing w:after="0" w:line="235" w:lineRule="auto"/>
        <w:jc w:val="left"/>
        <w:rPr>
          <w:sz w:val="20"/>
        </w:rPr>
        <w:sectPr>
          <w:headerReference w:type="default" r:id="rId233"/>
          <w:footerReference w:type="default" r:id="rId234"/>
          <w:footerReference w:type="even" r:id="rId235"/>
          <w:pgSz w:w="11910" w:h="16840"/>
          <w:pgMar w:header="0" w:footer="647" w:top="0" w:bottom="840" w:left="700" w:right="0"/>
          <w:pgNumType w:start="71"/>
        </w:sectPr>
      </w:pPr>
    </w:p>
    <w:p>
      <w:pPr>
        <w:pStyle w:val="BodyText"/>
      </w:pPr>
      <w:r>
        <w:rPr/>
        <w:drawing>
          <wp:anchor distT="0" distB="0" distL="0" distR="0" allowOverlap="1" layoutInCell="1" locked="0" behindDoc="1" simplePos="0" relativeHeight="235388928">
            <wp:simplePos x="0" y="0"/>
            <wp:positionH relativeFrom="page">
              <wp:posOffset>0</wp:posOffset>
            </wp:positionH>
            <wp:positionV relativeFrom="page">
              <wp:posOffset>0</wp:posOffset>
            </wp:positionV>
            <wp:extent cx="594067" cy="10692003"/>
            <wp:effectExtent l="0" t="0" r="0" b="0"/>
            <wp:wrapNone/>
            <wp:docPr id="129" name="image67.png"/>
            <wp:cNvGraphicFramePr>
              <a:graphicFrameLocks noChangeAspect="1"/>
            </wp:cNvGraphicFramePr>
            <a:graphic>
              <a:graphicData uri="http://schemas.openxmlformats.org/drawingml/2006/picture">
                <pic:pic>
                  <pic:nvPicPr>
                    <pic:cNvPr id="130" name="image67.png"/>
                    <pic:cNvPicPr/>
                  </pic:nvPicPr>
                  <pic:blipFill>
                    <a:blip r:embed="rId184" cstate="print"/>
                    <a:stretch>
                      <a:fillRect/>
                    </a:stretch>
                  </pic:blipFill>
                  <pic:spPr>
                    <a:xfrm>
                      <a:off x="0" y="0"/>
                      <a:ext cx="594067" cy="10692003"/>
                    </a:xfrm>
                    <a:prstGeom prst="rect">
                      <a:avLst/>
                    </a:prstGeom>
                  </pic:spPr>
                </pic:pic>
              </a:graphicData>
            </a:graphic>
          </wp:anchor>
        </w:drawing>
      </w:r>
      <w:r>
        <w:rPr/>
        <w:pict>
          <v:shape style="position:absolute;margin-left:20.519100pt;margin-top:48.890015pt;width:25.9pt;height:237.55pt;mso-position-horizontal-relative:page;mso-position-vertical-relative:page;z-index:-267926528" type="#_x0000_t202" filled="false" stroked="false">
            <v:textbox inset="0,0,0,0" style="layout-flow:vertical">
              <w:txbxContent>
                <w:p>
                  <w:pPr>
                    <w:spacing w:before="27"/>
                    <w:ind w:left="20" w:right="0" w:firstLine="0"/>
                    <w:jc w:val="left"/>
                    <w:rPr>
                      <w:sz w:val="39"/>
                    </w:rPr>
                  </w:pPr>
                  <w:r>
                    <w:rPr>
                      <w:color w:val="FFFFFF"/>
                      <w:w w:val="120"/>
                      <w:sz w:val="39"/>
                    </w:rPr>
                    <w:t>Education and learning</w:t>
                  </w:r>
                </w:p>
              </w:txbxContent>
            </v:textbox>
            <w10:wrap type="none"/>
          </v:shape>
        </w:pict>
      </w:r>
    </w:p>
    <w:p>
      <w:pPr>
        <w:pStyle w:val="BodyText"/>
        <w:spacing w:before="7"/>
        <w:rPr>
          <w:sz w:val="21"/>
        </w:rPr>
      </w:pPr>
    </w:p>
    <w:p>
      <w:pPr>
        <w:spacing w:before="106"/>
        <w:ind w:left="547" w:right="0" w:firstLine="0"/>
        <w:jc w:val="left"/>
        <w:rPr>
          <w:sz w:val="26"/>
        </w:rPr>
      </w:pPr>
      <w:r>
        <w:rPr>
          <w:color w:val="7EAABF"/>
          <w:w w:val="115"/>
          <w:sz w:val="26"/>
        </w:rPr>
        <w:t>Education and learning</w:t>
      </w:r>
    </w:p>
    <w:p>
      <w:pPr>
        <w:pStyle w:val="Heading2"/>
        <w:spacing w:before="215"/>
        <w:ind w:left="547"/>
      </w:pPr>
      <w:r>
        <w:rPr>
          <w:w w:val="110"/>
        </w:rPr>
        <w:t>The future?</w:t>
      </w:r>
    </w:p>
    <w:p>
      <w:pPr>
        <w:pStyle w:val="ListParagraph"/>
        <w:numPr>
          <w:ilvl w:val="1"/>
          <w:numId w:val="61"/>
        </w:numPr>
        <w:tabs>
          <w:tab w:pos="1227" w:val="left" w:leader="none"/>
          <w:tab w:pos="1228" w:val="left" w:leader="none"/>
        </w:tabs>
        <w:spacing w:line="235" w:lineRule="auto" w:before="83" w:after="0"/>
        <w:ind w:left="547" w:right="2165" w:firstLine="0"/>
        <w:jc w:val="left"/>
        <w:rPr>
          <w:sz w:val="20"/>
        </w:rPr>
      </w:pPr>
      <w:r>
        <w:rPr>
          <w:w w:val="120"/>
          <w:sz w:val="20"/>
        </w:rPr>
        <w:t>The previous paragraph says it all; the challenge is, can each Resource Centre for Learning respond to the changing needs of the URC, and to the calls upon them to share what we have to offer in the wider</w:t>
      </w:r>
      <w:r>
        <w:rPr>
          <w:spacing w:val="11"/>
          <w:w w:val="120"/>
          <w:sz w:val="20"/>
        </w:rPr>
        <w:t> </w:t>
      </w:r>
      <w:r>
        <w:rPr>
          <w:w w:val="120"/>
          <w:sz w:val="20"/>
        </w:rPr>
        <w:t>church?</w:t>
      </w:r>
    </w:p>
    <w:p>
      <w:pPr>
        <w:pStyle w:val="BodyText"/>
        <w:spacing w:before="10"/>
        <w:rPr>
          <w:sz w:val="19"/>
        </w:rPr>
      </w:pPr>
    </w:p>
    <w:p>
      <w:pPr>
        <w:pStyle w:val="ListParagraph"/>
        <w:numPr>
          <w:ilvl w:val="1"/>
          <w:numId w:val="61"/>
        </w:numPr>
        <w:tabs>
          <w:tab w:pos="1227" w:val="left" w:leader="none"/>
          <w:tab w:pos="1228" w:val="left" w:leader="none"/>
        </w:tabs>
        <w:spacing w:line="235" w:lineRule="auto" w:before="0" w:after="0"/>
        <w:ind w:left="547" w:right="2165" w:firstLine="0"/>
        <w:jc w:val="left"/>
        <w:rPr>
          <w:sz w:val="20"/>
        </w:rPr>
      </w:pPr>
      <w:r>
        <w:rPr>
          <w:w w:val="120"/>
          <w:sz w:val="20"/>
        </w:rPr>
        <w:t>We believe firmly that future ministers </w:t>
      </w:r>
      <w:r>
        <w:rPr>
          <w:spacing w:val="-6"/>
          <w:w w:val="120"/>
          <w:sz w:val="20"/>
        </w:rPr>
        <w:t>(of </w:t>
      </w:r>
      <w:r>
        <w:rPr>
          <w:w w:val="120"/>
          <w:sz w:val="20"/>
        </w:rPr>
        <w:t>every kind) should be able, in their turn, to encourage and equip people with different giftings in their pastorates or projects, so we encourage students to set learning objectives in their placements with this in</w:t>
      </w:r>
      <w:r>
        <w:rPr>
          <w:spacing w:val="4"/>
          <w:w w:val="120"/>
          <w:sz w:val="20"/>
        </w:rPr>
        <w:t> </w:t>
      </w:r>
      <w:r>
        <w:rPr>
          <w:w w:val="120"/>
          <w:sz w:val="20"/>
        </w:rPr>
        <w:t>mind.</w:t>
      </w:r>
    </w:p>
    <w:p>
      <w:pPr>
        <w:pStyle w:val="BodyText"/>
        <w:spacing w:before="11"/>
        <w:rPr>
          <w:sz w:val="19"/>
        </w:rPr>
      </w:pPr>
    </w:p>
    <w:p>
      <w:pPr>
        <w:pStyle w:val="ListParagraph"/>
        <w:numPr>
          <w:ilvl w:val="1"/>
          <w:numId w:val="61"/>
        </w:numPr>
        <w:tabs>
          <w:tab w:pos="1227" w:val="left" w:leader="none"/>
          <w:tab w:pos="1228" w:val="left" w:leader="none"/>
        </w:tabs>
        <w:spacing w:line="235" w:lineRule="auto" w:before="0" w:after="0"/>
        <w:ind w:left="547" w:right="2076" w:firstLine="0"/>
        <w:jc w:val="left"/>
        <w:rPr>
          <w:sz w:val="20"/>
        </w:rPr>
      </w:pPr>
      <w:r>
        <w:rPr>
          <w:w w:val="120"/>
          <w:sz w:val="20"/>
        </w:rPr>
        <w:t>We are developing important partnerships with several local synods, in particular to offer more training </w:t>
      </w:r>
      <w:r>
        <w:rPr>
          <w:spacing w:val="-4"/>
          <w:w w:val="120"/>
          <w:sz w:val="20"/>
        </w:rPr>
        <w:t>(such </w:t>
      </w:r>
      <w:r>
        <w:rPr>
          <w:w w:val="120"/>
          <w:sz w:val="20"/>
        </w:rPr>
        <w:t>as supporting lay preachers to lead funerals) that takes some of what we offer in </w:t>
      </w:r>
      <w:r>
        <w:rPr>
          <w:spacing w:val="-3"/>
          <w:w w:val="120"/>
          <w:sz w:val="20"/>
        </w:rPr>
        <w:t>EM1 </w:t>
      </w:r>
      <w:r>
        <w:rPr>
          <w:w w:val="120"/>
          <w:sz w:val="20"/>
        </w:rPr>
        <w:t>and makes it more widely available. We are also looking beyond delivery in Manchester to the use of different venues for some of our events in the</w:t>
      </w:r>
      <w:r>
        <w:rPr>
          <w:spacing w:val="5"/>
          <w:w w:val="120"/>
          <w:sz w:val="20"/>
        </w:rPr>
        <w:t> </w:t>
      </w:r>
      <w:r>
        <w:rPr>
          <w:w w:val="120"/>
          <w:sz w:val="20"/>
        </w:rPr>
        <w:t>future.</w:t>
      </w:r>
    </w:p>
    <w:p>
      <w:pPr>
        <w:pStyle w:val="BodyText"/>
        <w:rPr>
          <w:sz w:val="24"/>
        </w:rPr>
      </w:pPr>
    </w:p>
    <w:p>
      <w:pPr>
        <w:spacing w:before="189"/>
        <w:ind w:left="547" w:right="0" w:firstLine="0"/>
        <w:jc w:val="left"/>
        <w:rPr>
          <w:rFonts w:ascii="Stone Sans II ITC Std Bk"/>
          <w:b/>
          <w:sz w:val="32"/>
        </w:rPr>
      </w:pPr>
      <w:r>
        <w:rPr>
          <w:rFonts w:ascii="Stone Sans II ITC Std Bk"/>
          <w:b/>
          <w:w w:val="115"/>
          <w:sz w:val="32"/>
        </w:rPr>
        <w:t>Scottish College</w:t>
      </w:r>
    </w:p>
    <w:p>
      <w:pPr>
        <w:pStyle w:val="ListParagraph"/>
        <w:numPr>
          <w:ilvl w:val="1"/>
          <w:numId w:val="62"/>
        </w:numPr>
        <w:tabs>
          <w:tab w:pos="1227" w:val="left" w:leader="none"/>
          <w:tab w:pos="1228" w:val="left" w:leader="none"/>
        </w:tabs>
        <w:spacing w:line="235" w:lineRule="auto" w:before="59" w:after="0"/>
        <w:ind w:left="547" w:right="2165" w:firstLine="0"/>
        <w:jc w:val="left"/>
        <w:rPr>
          <w:sz w:val="20"/>
        </w:rPr>
      </w:pPr>
      <w:r>
        <w:rPr>
          <w:w w:val="120"/>
          <w:sz w:val="20"/>
        </w:rPr>
        <w:t>This </w:t>
      </w:r>
      <w:r>
        <w:rPr>
          <w:spacing w:val="-4"/>
          <w:w w:val="120"/>
          <w:sz w:val="20"/>
        </w:rPr>
        <w:t>year, </w:t>
      </w:r>
      <w:r>
        <w:rPr>
          <w:w w:val="120"/>
          <w:sz w:val="20"/>
        </w:rPr>
        <w:t>in our Education for Ministry </w:t>
      </w:r>
      <w:r>
        <w:rPr>
          <w:spacing w:val="-9"/>
          <w:w w:val="120"/>
          <w:sz w:val="20"/>
        </w:rPr>
        <w:t>1+ </w:t>
      </w:r>
      <w:r>
        <w:rPr>
          <w:w w:val="120"/>
          <w:sz w:val="20"/>
        </w:rPr>
        <w:t>programme, we spent some time in the world of fairytales: discerning their significance in pastoral care, in organisational development, in storytelling, in the creative </w:t>
      </w:r>
      <w:r>
        <w:rPr>
          <w:spacing w:val="3"/>
          <w:w w:val="120"/>
          <w:sz w:val="20"/>
        </w:rPr>
        <w:t>arts </w:t>
      </w:r>
      <w:r>
        <w:rPr>
          <w:w w:val="120"/>
          <w:sz w:val="20"/>
        </w:rPr>
        <w:t>and in adult learning. Our learning as a college is not simply for the formation of individuals but the basis for organisational reflection and</w:t>
      </w:r>
      <w:r>
        <w:rPr>
          <w:spacing w:val="4"/>
          <w:w w:val="120"/>
          <w:sz w:val="20"/>
        </w:rPr>
        <w:t> </w:t>
      </w:r>
      <w:r>
        <w:rPr>
          <w:w w:val="120"/>
          <w:sz w:val="20"/>
        </w:rPr>
        <w:t>change.</w:t>
      </w:r>
    </w:p>
    <w:p>
      <w:pPr>
        <w:pStyle w:val="BodyText"/>
      </w:pPr>
    </w:p>
    <w:p>
      <w:pPr>
        <w:pStyle w:val="ListParagraph"/>
        <w:numPr>
          <w:ilvl w:val="1"/>
          <w:numId w:val="62"/>
        </w:numPr>
        <w:tabs>
          <w:tab w:pos="1227" w:val="left" w:leader="none"/>
          <w:tab w:pos="1228" w:val="left" w:leader="none"/>
        </w:tabs>
        <w:spacing w:line="235" w:lineRule="auto" w:before="0" w:after="0"/>
        <w:ind w:left="547" w:right="1981" w:firstLine="0"/>
        <w:jc w:val="left"/>
        <w:rPr>
          <w:sz w:val="20"/>
        </w:rPr>
      </w:pPr>
      <w:r>
        <w:rPr>
          <w:w w:val="120"/>
          <w:sz w:val="20"/>
        </w:rPr>
        <w:t>Mirror, mirror, on the wall… </w:t>
      </w:r>
      <w:r>
        <w:rPr>
          <w:spacing w:val="-3"/>
          <w:w w:val="120"/>
          <w:sz w:val="20"/>
        </w:rPr>
        <w:t>Telling </w:t>
      </w:r>
      <w:r>
        <w:rPr>
          <w:spacing w:val="2"/>
          <w:w w:val="120"/>
          <w:sz w:val="20"/>
        </w:rPr>
        <w:t>fairy </w:t>
      </w:r>
      <w:r>
        <w:rPr>
          <w:w w:val="120"/>
          <w:sz w:val="20"/>
        </w:rPr>
        <w:t>stories is about creating a reflective space; about offering a means by which we can honestly explore thoughts and feelings about how things are; about the actions of others and our relationship with them;   about our place in the scheme of things with our hopes and fears – and so on. And the </w:t>
      </w:r>
      <w:r>
        <w:rPr>
          <w:spacing w:val="2"/>
          <w:w w:val="120"/>
          <w:sz w:val="20"/>
        </w:rPr>
        <w:t>fairy story </w:t>
      </w:r>
      <w:r>
        <w:rPr>
          <w:w w:val="120"/>
          <w:sz w:val="20"/>
        </w:rPr>
        <w:t>genre does invite us to bring into that reflecting our feelings, our emotions,  at least as much as our rational thoughts. Though we may live in rather activist times, there needs to be time and space for thinking and pondering as well as actions. We are not absorbed in navel gazing, but in study, in prayer, in silence and in conversation. </w:t>
      </w:r>
      <w:r>
        <w:rPr>
          <w:spacing w:val="3"/>
          <w:w w:val="120"/>
          <w:sz w:val="20"/>
        </w:rPr>
        <w:t>As </w:t>
      </w:r>
      <w:r>
        <w:rPr>
          <w:w w:val="120"/>
          <w:sz w:val="20"/>
        </w:rPr>
        <w:t>a college, we endeavour to create the spaces, for ordinands, for elders, for lay leadership and for ourselves to stand back and to look</w:t>
      </w:r>
      <w:r>
        <w:rPr>
          <w:spacing w:val="18"/>
          <w:w w:val="120"/>
          <w:sz w:val="20"/>
        </w:rPr>
        <w:t> </w:t>
      </w:r>
      <w:r>
        <w:rPr>
          <w:w w:val="120"/>
          <w:sz w:val="20"/>
        </w:rPr>
        <w:t>deeply.</w:t>
      </w:r>
    </w:p>
    <w:p>
      <w:pPr>
        <w:pStyle w:val="BodyText"/>
        <w:spacing w:before="3"/>
      </w:pPr>
    </w:p>
    <w:p>
      <w:pPr>
        <w:pStyle w:val="ListParagraph"/>
        <w:numPr>
          <w:ilvl w:val="1"/>
          <w:numId w:val="62"/>
        </w:numPr>
        <w:tabs>
          <w:tab w:pos="1227" w:val="left" w:leader="none"/>
          <w:tab w:pos="1228" w:val="left" w:leader="none"/>
        </w:tabs>
        <w:spacing w:line="235" w:lineRule="auto" w:before="0" w:after="0"/>
        <w:ind w:left="547" w:right="2111" w:firstLine="0"/>
        <w:jc w:val="left"/>
        <w:rPr>
          <w:sz w:val="20"/>
        </w:rPr>
      </w:pPr>
      <w:r>
        <w:rPr>
          <w:w w:val="120"/>
          <w:sz w:val="20"/>
        </w:rPr>
        <w:t>Sometimes the mirror will speak to us words that we are reluctant to hear or show us truths that we are hesitant to acknowledge. The evil queen in </w:t>
      </w:r>
      <w:r>
        <w:rPr>
          <w:i/>
          <w:w w:val="120"/>
          <w:sz w:val="20"/>
        </w:rPr>
        <w:t>Snow White </w:t>
      </w:r>
      <w:r>
        <w:rPr>
          <w:w w:val="120"/>
          <w:sz w:val="20"/>
        </w:rPr>
        <w:t>is quite content when the mirror affirms her superior beauty but less happy when Snow White supplants </w:t>
      </w:r>
      <w:r>
        <w:rPr>
          <w:spacing w:val="-3"/>
          <w:w w:val="120"/>
          <w:sz w:val="20"/>
        </w:rPr>
        <w:t>her. </w:t>
      </w:r>
      <w:r>
        <w:rPr>
          <w:w w:val="120"/>
          <w:sz w:val="20"/>
        </w:rPr>
        <w:t>The Old Testament prophets often </w:t>
      </w:r>
      <w:r>
        <w:rPr>
          <w:spacing w:val="2"/>
          <w:w w:val="120"/>
          <w:sz w:val="20"/>
        </w:rPr>
        <w:t>performed </w:t>
      </w:r>
      <w:r>
        <w:rPr>
          <w:w w:val="120"/>
          <w:sz w:val="20"/>
        </w:rPr>
        <w:t>such a function: When Nathan speaks to King David about the deeds of a wicked man, the king demands to know who this evil man is – ‘King David, you are the man’ </w:t>
      </w:r>
      <w:r>
        <w:rPr>
          <w:spacing w:val="-6"/>
          <w:w w:val="120"/>
          <w:sz w:val="20"/>
        </w:rPr>
        <w:t>(2 </w:t>
      </w:r>
      <w:r>
        <w:rPr>
          <w:w w:val="120"/>
          <w:sz w:val="20"/>
        </w:rPr>
        <w:t>Samuel </w:t>
      </w:r>
      <w:r>
        <w:rPr>
          <w:spacing w:val="-10"/>
          <w:w w:val="120"/>
          <w:sz w:val="20"/>
        </w:rPr>
        <w:t>12) </w:t>
      </w:r>
      <w:r>
        <w:rPr>
          <w:w w:val="120"/>
          <w:sz w:val="20"/>
        </w:rPr>
        <w:t>is not the truth that David wants to </w:t>
      </w:r>
      <w:r>
        <w:rPr>
          <w:spacing w:val="-3"/>
          <w:w w:val="120"/>
          <w:sz w:val="20"/>
        </w:rPr>
        <w:t>hear. </w:t>
      </w:r>
      <w:r>
        <w:rPr>
          <w:w w:val="120"/>
          <w:sz w:val="20"/>
        </w:rPr>
        <w:t>The mirror gazing, if it is to do us any good, has to be honest. In </w:t>
      </w:r>
      <w:r>
        <w:rPr>
          <w:i/>
          <w:w w:val="120"/>
          <w:sz w:val="20"/>
        </w:rPr>
        <w:t>Once upon a time: A short history of fairy </w:t>
      </w:r>
      <w:r>
        <w:rPr>
          <w:i/>
          <w:spacing w:val="-3"/>
          <w:w w:val="120"/>
          <w:sz w:val="20"/>
        </w:rPr>
        <w:t>tale</w:t>
      </w:r>
      <w:r>
        <w:rPr>
          <w:spacing w:val="-3"/>
          <w:w w:val="120"/>
          <w:sz w:val="20"/>
        </w:rPr>
        <w:t>, </w:t>
      </w:r>
      <w:r>
        <w:rPr>
          <w:w w:val="120"/>
          <w:sz w:val="20"/>
        </w:rPr>
        <w:t>Marina Warner observes that the </w:t>
      </w:r>
      <w:r>
        <w:rPr>
          <w:spacing w:val="2"/>
          <w:w w:val="120"/>
          <w:sz w:val="20"/>
        </w:rPr>
        <w:t>fairy </w:t>
      </w:r>
      <w:r>
        <w:rPr>
          <w:w w:val="120"/>
          <w:sz w:val="20"/>
        </w:rPr>
        <w:t>tale traditionally combines ‘honest harshness’ and ‘wishful </w:t>
      </w:r>
      <w:r>
        <w:rPr>
          <w:spacing w:val="-3"/>
          <w:w w:val="120"/>
          <w:sz w:val="20"/>
        </w:rPr>
        <w:t>hoping’. </w:t>
      </w:r>
      <w:r>
        <w:rPr>
          <w:w w:val="120"/>
          <w:sz w:val="20"/>
        </w:rPr>
        <w:t>Our reflections and our hoping have to be connected to that real assessment of how things are</w:t>
      </w:r>
      <w:r>
        <w:rPr>
          <w:spacing w:val="4"/>
          <w:w w:val="120"/>
          <w:sz w:val="20"/>
        </w:rPr>
        <w:t> </w:t>
      </w:r>
      <w:r>
        <w:rPr>
          <w:w w:val="120"/>
          <w:sz w:val="20"/>
        </w:rPr>
        <w:t>and</w:t>
      </w:r>
      <w:r>
        <w:rPr>
          <w:spacing w:val="4"/>
          <w:w w:val="120"/>
          <w:sz w:val="20"/>
        </w:rPr>
        <w:t> </w:t>
      </w:r>
      <w:r>
        <w:rPr>
          <w:w w:val="120"/>
          <w:sz w:val="20"/>
        </w:rPr>
        <w:t>any</w:t>
      </w:r>
      <w:r>
        <w:rPr>
          <w:spacing w:val="5"/>
          <w:w w:val="120"/>
          <w:sz w:val="20"/>
        </w:rPr>
        <w:t> </w:t>
      </w:r>
      <w:r>
        <w:rPr>
          <w:w w:val="120"/>
          <w:sz w:val="20"/>
        </w:rPr>
        <w:t>wishful</w:t>
      </w:r>
      <w:r>
        <w:rPr>
          <w:spacing w:val="4"/>
          <w:w w:val="120"/>
          <w:sz w:val="20"/>
        </w:rPr>
        <w:t> </w:t>
      </w:r>
      <w:r>
        <w:rPr>
          <w:w w:val="120"/>
          <w:sz w:val="20"/>
        </w:rPr>
        <w:t>hoping</w:t>
      </w:r>
      <w:r>
        <w:rPr>
          <w:spacing w:val="5"/>
          <w:w w:val="120"/>
          <w:sz w:val="20"/>
        </w:rPr>
        <w:t> </w:t>
      </w:r>
      <w:r>
        <w:rPr>
          <w:w w:val="120"/>
          <w:sz w:val="20"/>
        </w:rPr>
        <w:t>has</w:t>
      </w:r>
      <w:r>
        <w:rPr>
          <w:spacing w:val="4"/>
          <w:w w:val="120"/>
          <w:sz w:val="20"/>
        </w:rPr>
        <w:t> </w:t>
      </w:r>
      <w:r>
        <w:rPr>
          <w:w w:val="120"/>
          <w:sz w:val="20"/>
        </w:rPr>
        <w:t>to</w:t>
      </w:r>
      <w:r>
        <w:rPr>
          <w:spacing w:val="5"/>
          <w:w w:val="120"/>
          <w:sz w:val="20"/>
        </w:rPr>
        <w:t> </w:t>
      </w:r>
      <w:r>
        <w:rPr>
          <w:w w:val="120"/>
          <w:sz w:val="20"/>
        </w:rPr>
        <w:t>be</w:t>
      </w:r>
      <w:r>
        <w:rPr>
          <w:spacing w:val="4"/>
          <w:w w:val="120"/>
          <w:sz w:val="20"/>
        </w:rPr>
        <w:t> </w:t>
      </w:r>
      <w:r>
        <w:rPr>
          <w:w w:val="120"/>
          <w:sz w:val="20"/>
        </w:rPr>
        <w:t>more</w:t>
      </w:r>
      <w:r>
        <w:rPr>
          <w:spacing w:val="5"/>
          <w:w w:val="120"/>
          <w:sz w:val="20"/>
        </w:rPr>
        <w:t> </w:t>
      </w:r>
      <w:r>
        <w:rPr>
          <w:w w:val="120"/>
          <w:sz w:val="20"/>
        </w:rPr>
        <w:t>than</w:t>
      </w:r>
      <w:r>
        <w:rPr>
          <w:spacing w:val="4"/>
          <w:w w:val="120"/>
          <w:sz w:val="20"/>
        </w:rPr>
        <w:t> </w:t>
      </w:r>
      <w:r>
        <w:rPr>
          <w:w w:val="120"/>
          <w:sz w:val="20"/>
        </w:rPr>
        <w:t>a</w:t>
      </w:r>
      <w:r>
        <w:rPr>
          <w:spacing w:val="5"/>
          <w:w w:val="120"/>
          <w:sz w:val="20"/>
        </w:rPr>
        <w:t> </w:t>
      </w:r>
      <w:r>
        <w:rPr>
          <w:w w:val="120"/>
          <w:sz w:val="20"/>
        </w:rPr>
        <w:t>nostalgic</w:t>
      </w:r>
      <w:r>
        <w:rPr>
          <w:spacing w:val="4"/>
          <w:w w:val="120"/>
          <w:sz w:val="20"/>
        </w:rPr>
        <w:t> </w:t>
      </w:r>
      <w:r>
        <w:rPr>
          <w:w w:val="120"/>
          <w:sz w:val="20"/>
        </w:rPr>
        <w:t>longing</w:t>
      </w:r>
      <w:r>
        <w:rPr>
          <w:spacing w:val="4"/>
          <w:w w:val="120"/>
          <w:sz w:val="20"/>
        </w:rPr>
        <w:t> </w:t>
      </w:r>
      <w:r>
        <w:rPr>
          <w:w w:val="120"/>
          <w:sz w:val="20"/>
        </w:rPr>
        <w:t>for</w:t>
      </w:r>
      <w:r>
        <w:rPr>
          <w:spacing w:val="5"/>
          <w:w w:val="120"/>
          <w:sz w:val="20"/>
        </w:rPr>
        <w:t> </w:t>
      </w:r>
      <w:r>
        <w:rPr>
          <w:w w:val="120"/>
          <w:sz w:val="20"/>
        </w:rPr>
        <w:t>a</w:t>
      </w:r>
      <w:r>
        <w:rPr>
          <w:spacing w:val="4"/>
          <w:w w:val="120"/>
          <w:sz w:val="20"/>
        </w:rPr>
        <w:t> </w:t>
      </w:r>
      <w:r>
        <w:rPr>
          <w:w w:val="120"/>
          <w:sz w:val="20"/>
        </w:rPr>
        <w:t>restoration</w:t>
      </w:r>
    </w:p>
    <w:p>
      <w:pPr>
        <w:pStyle w:val="BodyText"/>
        <w:spacing w:line="235" w:lineRule="auto" w:before="8"/>
        <w:ind w:left="547" w:right="1899"/>
      </w:pPr>
      <w:r>
        <w:rPr>
          <w:w w:val="120"/>
        </w:rPr>
        <w:t>of a golden age memory. There is much good in our college life and in the life of our churches and from reflecting on these things we shall learn what the lessons are for our journey and what will give us the energy to move forward in that journey.</w:t>
      </w:r>
    </w:p>
    <w:p>
      <w:pPr>
        <w:pStyle w:val="BodyText"/>
        <w:spacing w:before="10"/>
        <w:rPr>
          <w:sz w:val="19"/>
        </w:rPr>
      </w:pPr>
    </w:p>
    <w:p>
      <w:pPr>
        <w:pStyle w:val="ListParagraph"/>
        <w:numPr>
          <w:ilvl w:val="1"/>
          <w:numId w:val="62"/>
        </w:numPr>
        <w:tabs>
          <w:tab w:pos="1227" w:val="left" w:leader="none"/>
          <w:tab w:pos="1228" w:val="left" w:leader="none"/>
        </w:tabs>
        <w:spacing w:line="235" w:lineRule="auto" w:before="1" w:after="0"/>
        <w:ind w:left="547" w:right="2015" w:firstLine="0"/>
        <w:jc w:val="left"/>
        <w:rPr>
          <w:sz w:val="20"/>
        </w:rPr>
      </w:pPr>
      <w:r>
        <w:rPr>
          <w:w w:val="120"/>
          <w:sz w:val="20"/>
        </w:rPr>
        <w:t>The telling of a </w:t>
      </w:r>
      <w:r>
        <w:rPr>
          <w:spacing w:val="2"/>
          <w:w w:val="120"/>
          <w:sz w:val="20"/>
        </w:rPr>
        <w:t>fairy </w:t>
      </w:r>
      <w:r>
        <w:rPr>
          <w:w w:val="120"/>
          <w:sz w:val="20"/>
        </w:rPr>
        <w:t>tale will often take us back to our early years. In college this </w:t>
      </w:r>
      <w:r>
        <w:rPr>
          <w:spacing w:val="-4"/>
          <w:w w:val="120"/>
          <w:sz w:val="20"/>
        </w:rPr>
        <w:t>year, </w:t>
      </w:r>
      <w:r>
        <w:rPr>
          <w:w w:val="120"/>
          <w:sz w:val="20"/>
        </w:rPr>
        <w:t>we have spent time recalling the heritage that is common to our own institution and to our traditions. Folk from the URC and the Congregational Federation shared in exploring the potential in remembering our past, not as an exercise in reminiscence but as a recovery of our deepest values. We discerned that in our roots lay things that need to be re-awakened: as we said in our annual </w:t>
      </w:r>
      <w:r>
        <w:rPr>
          <w:spacing w:val="2"/>
          <w:w w:val="120"/>
          <w:sz w:val="20"/>
        </w:rPr>
        <w:t>report </w:t>
      </w:r>
      <w:r>
        <w:rPr>
          <w:w w:val="120"/>
          <w:sz w:val="20"/>
        </w:rPr>
        <w:t>– ‘Might our heritage </w:t>
      </w:r>
      <w:r>
        <w:rPr>
          <w:spacing w:val="2"/>
          <w:w w:val="120"/>
          <w:sz w:val="20"/>
        </w:rPr>
        <w:t>gifts </w:t>
      </w:r>
      <w:r>
        <w:rPr>
          <w:w w:val="120"/>
          <w:sz w:val="20"/>
        </w:rPr>
        <w:t>of radical theology, passion for evangelism, love of learning, an affirmation of the ministry of each and</w:t>
      </w:r>
      <w:r>
        <w:rPr>
          <w:spacing w:val="6"/>
          <w:w w:val="120"/>
          <w:sz w:val="20"/>
        </w:rPr>
        <w:t> </w:t>
      </w:r>
      <w:r>
        <w:rPr>
          <w:w w:val="120"/>
          <w:sz w:val="20"/>
        </w:rPr>
        <w:t>all,</w:t>
      </w:r>
      <w:r>
        <w:rPr>
          <w:spacing w:val="7"/>
          <w:w w:val="120"/>
          <w:sz w:val="20"/>
        </w:rPr>
        <w:t> </w:t>
      </w:r>
      <w:r>
        <w:rPr>
          <w:w w:val="120"/>
          <w:sz w:val="20"/>
        </w:rPr>
        <w:t>a</w:t>
      </w:r>
      <w:r>
        <w:rPr>
          <w:spacing w:val="6"/>
          <w:w w:val="120"/>
          <w:sz w:val="20"/>
        </w:rPr>
        <w:t> </w:t>
      </w:r>
      <w:r>
        <w:rPr>
          <w:w w:val="120"/>
          <w:sz w:val="20"/>
        </w:rPr>
        <w:t>vitalised</w:t>
      </w:r>
      <w:r>
        <w:rPr>
          <w:spacing w:val="7"/>
          <w:w w:val="120"/>
          <w:sz w:val="20"/>
        </w:rPr>
        <w:t> </w:t>
      </w:r>
      <w:r>
        <w:rPr>
          <w:w w:val="120"/>
          <w:sz w:val="20"/>
        </w:rPr>
        <w:t>church</w:t>
      </w:r>
      <w:r>
        <w:rPr>
          <w:spacing w:val="6"/>
          <w:w w:val="120"/>
          <w:sz w:val="20"/>
        </w:rPr>
        <w:t> </w:t>
      </w:r>
      <w:r>
        <w:rPr>
          <w:w w:val="120"/>
          <w:sz w:val="20"/>
        </w:rPr>
        <w:t>meeting</w:t>
      </w:r>
      <w:r>
        <w:rPr>
          <w:spacing w:val="7"/>
          <w:w w:val="120"/>
          <w:sz w:val="20"/>
        </w:rPr>
        <w:t> </w:t>
      </w:r>
      <w:r>
        <w:rPr>
          <w:w w:val="120"/>
          <w:sz w:val="20"/>
        </w:rPr>
        <w:t>be</w:t>
      </w:r>
      <w:r>
        <w:rPr>
          <w:spacing w:val="6"/>
          <w:w w:val="120"/>
          <w:sz w:val="20"/>
        </w:rPr>
        <w:t> </w:t>
      </w:r>
      <w:r>
        <w:rPr>
          <w:w w:val="120"/>
          <w:sz w:val="20"/>
        </w:rPr>
        <w:t>the</w:t>
      </w:r>
      <w:r>
        <w:rPr>
          <w:spacing w:val="7"/>
          <w:w w:val="120"/>
          <w:sz w:val="20"/>
        </w:rPr>
        <w:t> </w:t>
      </w:r>
      <w:r>
        <w:rPr>
          <w:w w:val="120"/>
          <w:sz w:val="20"/>
        </w:rPr>
        <w:t>very</w:t>
      </w:r>
      <w:r>
        <w:rPr>
          <w:spacing w:val="6"/>
          <w:w w:val="120"/>
          <w:sz w:val="20"/>
        </w:rPr>
        <w:t> </w:t>
      </w:r>
      <w:r>
        <w:rPr>
          <w:w w:val="120"/>
          <w:sz w:val="20"/>
        </w:rPr>
        <w:t>things</w:t>
      </w:r>
      <w:r>
        <w:rPr>
          <w:spacing w:val="7"/>
          <w:w w:val="120"/>
          <w:sz w:val="20"/>
        </w:rPr>
        <w:t> </w:t>
      </w:r>
      <w:r>
        <w:rPr>
          <w:w w:val="120"/>
          <w:sz w:val="20"/>
        </w:rPr>
        <w:t>we</w:t>
      </w:r>
      <w:r>
        <w:rPr>
          <w:spacing w:val="6"/>
          <w:w w:val="120"/>
          <w:sz w:val="20"/>
        </w:rPr>
        <w:t> </w:t>
      </w:r>
      <w:r>
        <w:rPr>
          <w:w w:val="120"/>
          <w:sz w:val="20"/>
        </w:rPr>
        <w:t>need</w:t>
      </w:r>
      <w:r>
        <w:rPr>
          <w:spacing w:val="7"/>
          <w:w w:val="120"/>
          <w:sz w:val="20"/>
        </w:rPr>
        <w:t> </w:t>
      </w:r>
      <w:r>
        <w:rPr>
          <w:w w:val="120"/>
          <w:sz w:val="20"/>
        </w:rPr>
        <w:t>for</w:t>
      </w:r>
      <w:r>
        <w:rPr>
          <w:spacing w:val="6"/>
          <w:w w:val="120"/>
          <w:sz w:val="20"/>
        </w:rPr>
        <w:t> </w:t>
      </w:r>
      <w:r>
        <w:rPr>
          <w:w w:val="120"/>
          <w:sz w:val="20"/>
        </w:rPr>
        <w:t>discipleship</w:t>
      </w:r>
      <w:r>
        <w:rPr>
          <w:spacing w:val="7"/>
          <w:w w:val="120"/>
          <w:sz w:val="20"/>
        </w:rPr>
        <w:t> </w:t>
      </w:r>
      <w:r>
        <w:rPr>
          <w:spacing w:val="-3"/>
          <w:w w:val="120"/>
          <w:sz w:val="20"/>
        </w:rPr>
        <w:t>today?’</w:t>
      </w:r>
    </w:p>
    <w:p>
      <w:pPr>
        <w:spacing w:after="0" w:line="235" w:lineRule="auto"/>
        <w:jc w:val="left"/>
        <w:rPr>
          <w:sz w:val="20"/>
        </w:rPr>
        <w:sectPr>
          <w:headerReference w:type="even" r:id="rId236"/>
          <w:pgSz w:w="11910" w:h="16840"/>
          <w:pgMar w:header="0" w:footer="647" w:top="0" w:bottom="840" w:left="700" w:right="0"/>
        </w:sectPr>
      </w:pPr>
    </w:p>
    <w:p>
      <w:pPr>
        <w:pStyle w:val="BodyText"/>
      </w:pPr>
      <w:r>
        <w:rPr/>
        <w:drawing>
          <wp:anchor distT="0" distB="0" distL="0" distR="0" allowOverlap="1" layoutInCell="1" locked="0" behindDoc="0" simplePos="0" relativeHeight="251844608">
            <wp:simplePos x="0" y="0"/>
            <wp:positionH relativeFrom="page">
              <wp:posOffset>6974928</wp:posOffset>
            </wp:positionH>
            <wp:positionV relativeFrom="page">
              <wp:posOffset>0</wp:posOffset>
            </wp:positionV>
            <wp:extent cx="585063" cy="10692003"/>
            <wp:effectExtent l="0" t="0" r="0" b="0"/>
            <wp:wrapNone/>
            <wp:docPr id="131" name="image54.png"/>
            <wp:cNvGraphicFramePr>
              <a:graphicFrameLocks noChangeAspect="1"/>
            </wp:cNvGraphicFramePr>
            <a:graphic>
              <a:graphicData uri="http://schemas.openxmlformats.org/drawingml/2006/picture">
                <pic:pic>
                  <pic:nvPicPr>
                    <pic:cNvPr id="132" name="image54.png"/>
                    <pic:cNvPicPr/>
                  </pic:nvPicPr>
                  <pic:blipFill>
                    <a:blip r:embed="rId169" cstate="print"/>
                    <a:stretch>
                      <a:fillRect/>
                    </a:stretch>
                  </pic:blipFill>
                  <pic:spPr>
                    <a:xfrm>
                      <a:off x="0" y="0"/>
                      <a:ext cx="585063" cy="10692003"/>
                    </a:xfrm>
                    <a:prstGeom prst="rect">
                      <a:avLst/>
                    </a:prstGeom>
                  </pic:spPr>
                </pic:pic>
              </a:graphicData>
            </a:graphic>
          </wp:anchor>
        </w:drawing>
      </w:r>
    </w:p>
    <w:p>
      <w:pPr>
        <w:pStyle w:val="BodyText"/>
        <w:spacing w:before="7"/>
        <w:rPr>
          <w:sz w:val="21"/>
        </w:rPr>
      </w:pPr>
    </w:p>
    <w:p>
      <w:pPr>
        <w:spacing w:before="106"/>
        <w:ind w:left="7114" w:right="0" w:firstLine="0"/>
        <w:jc w:val="left"/>
        <w:rPr>
          <w:sz w:val="26"/>
        </w:rPr>
      </w:pPr>
      <w:r>
        <w:rPr/>
        <w:pict>
          <v:shape style="position:absolute;margin-left:554.141174pt;margin-top:22.593945pt;width:25.9pt;height:237.55pt;mso-position-horizontal-relative:page;mso-position-vertical-relative:paragraph;z-index:251845632" type="#_x0000_t202" filled="false" stroked="false">
            <v:textbox inset="0,0,0,0" style="layout-flow:vertical">
              <w:txbxContent>
                <w:p>
                  <w:pPr>
                    <w:spacing w:before="27"/>
                    <w:ind w:left="20" w:right="0" w:firstLine="0"/>
                    <w:jc w:val="left"/>
                    <w:rPr>
                      <w:sz w:val="39"/>
                    </w:rPr>
                  </w:pPr>
                  <w:r>
                    <w:rPr>
                      <w:color w:val="FFFFFF"/>
                      <w:w w:val="120"/>
                      <w:sz w:val="39"/>
                    </w:rPr>
                    <w:t>Education and learning</w:t>
                  </w:r>
                </w:p>
              </w:txbxContent>
            </v:textbox>
            <w10:wrap type="none"/>
          </v:shape>
        </w:pict>
      </w:r>
      <w:r>
        <w:rPr>
          <w:color w:val="7EAABF"/>
          <w:w w:val="115"/>
          <w:sz w:val="26"/>
        </w:rPr>
        <w:t>Education and learning</w:t>
      </w:r>
    </w:p>
    <w:p>
      <w:pPr>
        <w:pStyle w:val="BodyText"/>
        <w:spacing w:line="235" w:lineRule="auto" w:before="222"/>
        <w:ind w:left="1284" w:right="1410"/>
      </w:pPr>
      <w:r>
        <w:rPr>
          <w:w w:val="120"/>
        </w:rPr>
        <w:t>Fairy tales often encapsulate the deepest truths for our human living, embody the deepest values and set out the deepest struggles to shape a world in which right and truth and humanness are affirmed. If we are to live faithfully – and are to draw others to that faith – we need to be more aware of, and inspired by, our histories; we have a heritage that lies not largely hidden in historical tomes, but that is a living and lively word for the present and the future.</w:t>
      </w:r>
    </w:p>
    <w:p>
      <w:pPr>
        <w:pStyle w:val="BodyText"/>
      </w:pPr>
    </w:p>
    <w:p>
      <w:pPr>
        <w:pStyle w:val="ListParagraph"/>
        <w:numPr>
          <w:ilvl w:val="1"/>
          <w:numId w:val="62"/>
        </w:numPr>
        <w:tabs>
          <w:tab w:pos="1964" w:val="left" w:leader="none"/>
          <w:tab w:pos="1965" w:val="left" w:leader="none"/>
        </w:tabs>
        <w:spacing w:line="235" w:lineRule="auto" w:before="0" w:after="0"/>
        <w:ind w:left="1284" w:right="1607" w:firstLine="0"/>
        <w:jc w:val="left"/>
        <w:rPr>
          <w:sz w:val="20"/>
        </w:rPr>
      </w:pPr>
      <w:r>
        <w:rPr>
          <w:w w:val="120"/>
          <w:sz w:val="20"/>
        </w:rPr>
        <w:t>And they all lived happily ever after… In thinking of the </w:t>
      </w:r>
      <w:r>
        <w:rPr>
          <w:spacing w:val="2"/>
          <w:w w:val="120"/>
          <w:sz w:val="20"/>
        </w:rPr>
        <w:t>fairy </w:t>
      </w:r>
      <w:r>
        <w:rPr>
          <w:w w:val="120"/>
          <w:sz w:val="20"/>
        </w:rPr>
        <w:t>tale both in pastoral care and in organisational development, we saw how often these stories had the potential for change, though they are sometimes represented as a foolish optimism in which all is resolved </w:t>
      </w:r>
      <w:r>
        <w:rPr>
          <w:spacing w:val="-3"/>
          <w:w w:val="120"/>
          <w:sz w:val="20"/>
        </w:rPr>
        <w:t>tidily. </w:t>
      </w:r>
      <w:r>
        <w:rPr>
          <w:w w:val="120"/>
          <w:sz w:val="20"/>
        </w:rPr>
        <w:t>Working in a </w:t>
      </w:r>
      <w:r>
        <w:rPr>
          <w:spacing w:val="2"/>
          <w:w w:val="120"/>
          <w:sz w:val="20"/>
        </w:rPr>
        <w:t>fairy </w:t>
      </w:r>
      <w:r>
        <w:rPr>
          <w:w w:val="120"/>
          <w:sz w:val="20"/>
        </w:rPr>
        <w:t>tale model can allow us to envisage alternative endings to stories that we imagine are fixed in their conclusion. When we think, for good or ill, that we know the trajectory of our story, one of the most important questions can be ‘What if </w:t>
      </w:r>
      <w:r>
        <w:rPr>
          <w:spacing w:val="-8"/>
          <w:w w:val="120"/>
          <w:sz w:val="20"/>
        </w:rPr>
        <w:t>…’ </w:t>
      </w:r>
      <w:r>
        <w:rPr>
          <w:w w:val="120"/>
          <w:sz w:val="20"/>
        </w:rPr>
        <w:t>in which we imagine a different ending to the one that we so often expect to be settled or inevitable. Imagining our alternative ‘endings’ can be a means of opening up possibilities on what we thought were closed</w:t>
      </w:r>
      <w:r>
        <w:rPr>
          <w:spacing w:val="3"/>
          <w:w w:val="120"/>
          <w:sz w:val="20"/>
        </w:rPr>
        <w:t> </w:t>
      </w:r>
      <w:r>
        <w:rPr>
          <w:w w:val="120"/>
          <w:sz w:val="20"/>
        </w:rPr>
        <w:t>narratives.</w:t>
      </w:r>
    </w:p>
    <w:p>
      <w:pPr>
        <w:pStyle w:val="BodyText"/>
        <w:spacing w:before="3"/>
      </w:pPr>
    </w:p>
    <w:p>
      <w:pPr>
        <w:pStyle w:val="ListParagraph"/>
        <w:numPr>
          <w:ilvl w:val="1"/>
          <w:numId w:val="62"/>
        </w:numPr>
        <w:tabs>
          <w:tab w:pos="1964" w:val="left" w:leader="none"/>
          <w:tab w:pos="1965" w:val="left" w:leader="none"/>
        </w:tabs>
        <w:spacing w:line="235" w:lineRule="auto" w:before="0" w:after="0"/>
        <w:ind w:left="1284" w:right="1611" w:firstLine="0"/>
        <w:jc w:val="left"/>
        <w:rPr>
          <w:sz w:val="20"/>
        </w:rPr>
      </w:pPr>
      <w:r>
        <w:rPr>
          <w:w w:val="120"/>
          <w:sz w:val="20"/>
        </w:rPr>
        <w:t>Fairy tales are full of surprises. Animals speak and act, inanimate forces like the sea and the wind intervene to rescue. The unexpected, even the rationally unimaginable, come to pass. The Bible has its share of the ridiculous too. Abram and Sarah find themselves to be parents in advanced years. This is not to suggest that  we immerse ourselves in some fantasy world, but we could be far more open to the unexpected. The </w:t>
      </w:r>
      <w:r>
        <w:rPr>
          <w:spacing w:val="2"/>
          <w:w w:val="120"/>
          <w:sz w:val="20"/>
        </w:rPr>
        <w:t>fairy </w:t>
      </w:r>
      <w:r>
        <w:rPr>
          <w:w w:val="120"/>
          <w:sz w:val="20"/>
        </w:rPr>
        <w:t>tale world, scarily, reminds us that the world is not one within our control, but equally it holds out possibilities of remarkable, unexpected, even incredible things happening. We who declare the presence of the Spirit working in our midst can be strangely wedded to a closed mindedness. Do we really expect   God to be doing the new things in our</w:t>
      </w:r>
      <w:r>
        <w:rPr>
          <w:spacing w:val="26"/>
          <w:w w:val="120"/>
          <w:sz w:val="20"/>
        </w:rPr>
        <w:t> </w:t>
      </w:r>
      <w:r>
        <w:rPr>
          <w:w w:val="120"/>
          <w:sz w:val="20"/>
        </w:rPr>
        <w:t>midst?</w:t>
      </w:r>
    </w:p>
    <w:p>
      <w:pPr>
        <w:pStyle w:val="BodyText"/>
        <w:spacing w:before="3"/>
      </w:pPr>
    </w:p>
    <w:p>
      <w:pPr>
        <w:pStyle w:val="ListParagraph"/>
        <w:numPr>
          <w:ilvl w:val="1"/>
          <w:numId w:val="62"/>
        </w:numPr>
        <w:tabs>
          <w:tab w:pos="1964" w:val="left" w:leader="none"/>
          <w:tab w:pos="1965" w:val="left" w:leader="none"/>
        </w:tabs>
        <w:spacing w:line="235" w:lineRule="auto" w:before="0" w:after="0"/>
        <w:ind w:left="1284" w:right="1521" w:firstLine="0"/>
        <w:jc w:val="left"/>
        <w:rPr>
          <w:sz w:val="20"/>
        </w:rPr>
      </w:pPr>
      <w:r>
        <w:rPr>
          <w:spacing w:val="3"/>
          <w:w w:val="120"/>
          <w:sz w:val="20"/>
        </w:rPr>
        <w:t>As </w:t>
      </w:r>
      <w:r>
        <w:rPr>
          <w:w w:val="120"/>
          <w:sz w:val="20"/>
        </w:rPr>
        <w:t>a college, we are on the threshold of significant change. The Synod of Scotland welcomes a new synod moderator. The leadership of the college itself must be in transition. We shall listen to the lessons of our heritage, we shall read the </w:t>
      </w:r>
      <w:r>
        <w:rPr>
          <w:spacing w:val="2"/>
          <w:w w:val="120"/>
          <w:sz w:val="20"/>
        </w:rPr>
        <w:t>story </w:t>
      </w:r>
      <w:r>
        <w:rPr>
          <w:w w:val="120"/>
          <w:sz w:val="20"/>
        </w:rPr>
        <w:t>of our present, and we shall open our </w:t>
      </w:r>
      <w:r>
        <w:rPr>
          <w:spacing w:val="2"/>
          <w:w w:val="120"/>
          <w:sz w:val="20"/>
        </w:rPr>
        <w:t>hearts </w:t>
      </w:r>
      <w:r>
        <w:rPr>
          <w:w w:val="120"/>
          <w:sz w:val="20"/>
        </w:rPr>
        <w:t>and minds to the new things with which God will surprise</w:t>
      </w:r>
      <w:r>
        <w:rPr>
          <w:spacing w:val="6"/>
          <w:w w:val="120"/>
          <w:sz w:val="20"/>
        </w:rPr>
        <w:t> </w:t>
      </w:r>
      <w:r>
        <w:rPr>
          <w:w w:val="120"/>
          <w:sz w:val="20"/>
        </w:rPr>
        <w:t>us.</w:t>
      </w:r>
    </w:p>
    <w:p>
      <w:pPr>
        <w:pStyle w:val="BodyText"/>
        <w:rPr>
          <w:sz w:val="24"/>
        </w:rPr>
      </w:pPr>
    </w:p>
    <w:p>
      <w:pPr>
        <w:spacing w:before="190"/>
        <w:ind w:left="1284" w:right="0" w:firstLine="0"/>
        <w:jc w:val="left"/>
        <w:rPr>
          <w:rFonts w:ascii="Stone Sans II ITC Std Bk"/>
          <w:b/>
          <w:sz w:val="32"/>
        </w:rPr>
      </w:pPr>
      <w:r>
        <w:rPr>
          <w:rFonts w:ascii="Stone Sans II ITC Std Bk"/>
          <w:b/>
          <w:w w:val="115"/>
          <w:sz w:val="32"/>
        </w:rPr>
        <w:t>Westminster College</w:t>
      </w:r>
    </w:p>
    <w:p>
      <w:pPr>
        <w:pStyle w:val="ListParagraph"/>
        <w:numPr>
          <w:ilvl w:val="1"/>
          <w:numId w:val="63"/>
        </w:numPr>
        <w:tabs>
          <w:tab w:pos="1964" w:val="left" w:leader="none"/>
          <w:tab w:pos="1965" w:val="left" w:leader="none"/>
        </w:tabs>
        <w:spacing w:line="235" w:lineRule="auto" w:before="59" w:after="0"/>
        <w:ind w:left="1284" w:right="1348" w:firstLine="0"/>
        <w:jc w:val="left"/>
        <w:rPr>
          <w:sz w:val="20"/>
        </w:rPr>
      </w:pPr>
      <w:r>
        <w:rPr>
          <w:w w:val="120"/>
          <w:sz w:val="20"/>
        </w:rPr>
        <w:t>General Assembly </w:t>
      </w:r>
      <w:r>
        <w:rPr>
          <w:spacing w:val="-7"/>
          <w:w w:val="120"/>
          <w:sz w:val="20"/>
        </w:rPr>
        <w:t>2014 </w:t>
      </w:r>
      <w:r>
        <w:rPr>
          <w:w w:val="120"/>
          <w:sz w:val="20"/>
        </w:rPr>
        <w:t>heard of the successful completion of the development programme that saw every inch of the college building refreshed. It has been a subsequent delight to begin discovering how best to deploy the new resources at our disposal. After so much time spent preparing for this renewal we give thanks to God that we can now truly share the </w:t>
      </w:r>
      <w:r>
        <w:rPr>
          <w:spacing w:val="2"/>
          <w:w w:val="120"/>
          <w:sz w:val="20"/>
        </w:rPr>
        <w:t>gifts </w:t>
      </w:r>
      <w:r>
        <w:rPr>
          <w:w w:val="120"/>
          <w:sz w:val="20"/>
        </w:rPr>
        <w:t>with which we have been entrusted. The building is a tangible celebration of United Reformed Church generosity and commitment, with daily chapel worship, both in and out of term time, at its</w:t>
      </w:r>
      <w:r>
        <w:rPr>
          <w:spacing w:val="26"/>
          <w:w w:val="120"/>
          <w:sz w:val="20"/>
        </w:rPr>
        <w:t> </w:t>
      </w:r>
      <w:r>
        <w:rPr>
          <w:w w:val="120"/>
          <w:sz w:val="20"/>
        </w:rPr>
        <w:t>heart.</w:t>
      </w:r>
    </w:p>
    <w:p>
      <w:pPr>
        <w:pStyle w:val="BodyText"/>
        <w:spacing w:before="2"/>
        <w:rPr>
          <w:sz w:val="19"/>
        </w:rPr>
      </w:pPr>
    </w:p>
    <w:p>
      <w:pPr>
        <w:pStyle w:val="Heading2"/>
        <w:ind w:left="1284"/>
      </w:pPr>
      <w:r>
        <w:rPr>
          <w:w w:val="110"/>
        </w:rPr>
        <w:t>The best of what we do</w:t>
      </w:r>
    </w:p>
    <w:p>
      <w:pPr>
        <w:pStyle w:val="ListParagraph"/>
        <w:numPr>
          <w:ilvl w:val="1"/>
          <w:numId w:val="63"/>
        </w:numPr>
        <w:tabs>
          <w:tab w:pos="1964" w:val="left" w:leader="none"/>
          <w:tab w:pos="1965" w:val="left" w:leader="none"/>
        </w:tabs>
        <w:spacing w:line="235" w:lineRule="auto" w:before="83" w:after="0"/>
        <w:ind w:left="1284" w:right="1244" w:firstLine="0"/>
        <w:jc w:val="left"/>
        <w:rPr>
          <w:sz w:val="20"/>
        </w:rPr>
      </w:pPr>
      <w:r>
        <w:rPr>
          <w:spacing w:val="3"/>
          <w:w w:val="120"/>
          <w:sz w:val="20"/>
        </w:rPr>
        <w:t>As </w:t>
      </w:r>
      <w:r>
        <w:rPr>
          <w:w w:val="120"/>
          <w:sz w:val="20"/>
        </w:rPr>
        <w:t>a Resource Centre for Learning we are delighted to see a growing range of non-academic programmes developing as </w:t>
      </w:r>
      <w:r>
        <w:rPr>
          <w:spacing w:val="2"/>
          <w:w w:val="120"/>
          <w:sz w:val="20"/>
        </w:rPr>
        <w:t>part </w:t>
      </w:r>
      <w:r>
        <w:rPr>
          <w:w w:val="120"/>
          <w:sz w:val="20"/>
        </w:rPr>
        <w:t>of our offering to local churches. We  now offer four lay preachers and worship leaders’ residential short courses every year (in August and September) to cope with demand. We are building a pattern of regular retreats and quiet days. Within our own context of the Eastern Synod we are developing regular days of celebration and refreshment. We are welcoming individuals who come  to enjoy some space and who are invited to make use of some or all of the</w:t>
      </w:r>
      <w:r>
        <w:rPr>
          <w:spacing w:val="14"/>
          <w:w w:val="120"/>
          <w:sz w:val="20"/>
        </w:rPr>
        <w:t> </w:t>
      </w:r>
      <w:r>
        <w:rPr>
          <w:w w:val="120"/>
          <w:sz w:val="20"/>
        </w:rPr>
        <w:t>teaching</w:t>
      </w:r>
    </w:p>
    <w:p>
      <w:pPr>
        <w:pStyle w:val="BodyText"/>
        <w:spacing w:line="235" w:lineRule="auto" w:before="5"/>
        <w:ind w:left="1284" w:right="1265"/>
        <w:jc w:val="both"/>
      </w:pPr>
      <w:r>
        <w:rPr>
          <w:w w:val="120"/>
        </w:rPr>
        <w:t>staff as conversation partners in exploring anything they wish. We welcome groups and committees from across the URC who meet here. Our domestic and administrative staff, led by our new bursar Magalie Cooper, offer truly superb hospitality.</w:t>
      </w:r>
    </w:p>
    <w:p>
      <w:pPr>
        <w:spacing w:after="0" w:line="235" w:lineRule="auto"/>
        <w:jc w:val="both"/>
        <w:sectPr>
          <w:headerReference w:type="default" r:id="rId237"/>
          <w:footerReference w:type="default" r:id="rId238"/>
          <w:footerReference w:type="even" r:id="rId239"/>
          <w:pgSz w:w="11910" w:h="16840"/>
          <w:pgMar w:header="0" w:footer="647" w:top="0" w:bottom="840" w:left="700" w:right="0"/>
          <w:pgNumType w:start="73"/>
        </w:sectPr>
      </w:pPr>
    </w:p>
    <w:p>
      <w:pPr>
        <w:pStyle w:val="BodyText"/>
      </w:pPr>
      <w:r>
        <w:rPr/>
        <w:drawing>
          <wp:anchor distT="0" distB="0" distL="0" distR="0" allowOverlap="1" layoutInCell="1" locked="0" behindDoc="1" simplePos="0" relativeHeight="235393024">
            <wp:simplePos x="0" y="0"/>
            <wp:positionH relativeFrom="page">
              <wp:posOffset>0</wp:posOffset>
            </wp:positionH>
            <wp:positionV relativeFrom="page">
              <wp:posOffset>0</wp:posOffset>
            </wp:positionV>
            <wp:extent cx="594067" cy="10692003"/>
            <wp:effectExtent l="0" t="0" r="0" b="0"/>
            <wp:wrapNone/>
            <wp:docPr id="133" name="image67.png"/>
            <wp:cNvGraphicFramePr>
              <a:graphicFrameLocks noChangeAspect="1"/>
            </wp:cNvGraphicFramePr>
            <a:graphic>
              <a:graphicData uri="http://schemas.openxmlformats.org/drawingml/2006/picture">
                <pic:pic>
                  <pic:nvPicPr>
                    <pic:cNvPr id="134" name="image67.png"/>
                    <pic:cNvPicPr/>
                  </pic:nvPicPr>
                  <pic:blipFill>
                    <a:blip r:embed="rId184" cstate="print"/>
                    <a:stretch>
                      <a:fillRect/>
                    </a:stretch>
                  </pic:blipFill>
                  <pic:spPr>
                    <a:xfrm>
                      <a:off x="0" y="0"/>
                      <a:ext cx="594067" cy="10692003"/>
                    </a:xfrm>
                    <a:prstGeom prst="rect">
                      <a:avLst/>
                    </a:prstGeom>
                  </pic:spPr>
                </pic:pic>
              </a:graphicData>
            </a:graphic>
          </wp:anchor>
        </w:drawing>
      </w:r>
      <w:r>
        <w:rPr/>
        <w:pict>
          <v:shape style="position:absolute;margin-left:20.519100pt;margin-top:48.890015pt;width:25.9pt;height:237.55pt;mso-position-horizontal-relative:page;mso-position-vertical-relative:page;z-index:-267922432" type="#_x0000_t202" filled="false" stroked="false">
            <v:textbox inset="0,0,0,0" style="layout-flow:vertical">
              <w:txbxContent>
                <w:p>
                  <w:pPr>
                    <w:spacing w:before="27"/>
                    <w:ind w:left="20" w:right="0" w:firstLine="0"/>
                    <w:jc w:val="left"/>
                    <w:rPr>
                      <w:sz w:val="39"/>
                    </w:rPr>
                  </w:pPr>
                  <w:r>
                    <w:rPr>
                      <w:color w:val="FFFFFF"/>
                      <w:w w:val="120"/>
                      <w:sz w:val="39"/>
                    </w:rPr>
                    <w:t>Education and learning</w:t>
                  </w:r>
                </w:p>
              </w:txbxContent>
            </v:textbox>
            <w10:wrap type="none"/>
          </v:shape>
        </w:pict>
      </w:r>
    </w:p>
    <w:p>
      <w:pPr>
        <w:pStyle w:val="BodyText"/>
        <w:spacing w:before="7"/>
        <w:rPr>
          <w:sz w:val="21"/>
        </w:rPr>
      </w:pPr>
    </w:p>
    <w:p>
      <w:pPr>
        <w:spacing w:before="106"/>
        <w:ind w:left="547" w:right="0" w:firstLine="0"/>
        <w:jc w:val="left"/>
        <w:rPr>
          <w:sz w:val="26"/>
        </w:rPr>
      </w:pPr>
      <w:r>
        <w:rPr>
          <w:color w:val="7EAABF"/>
          <w:w w:val="115"/>
          <w:sz w:val="26"/>
        </w:rPr>
        <w:t>Education and learning</w:t>
      </w:r>
    </w:p>
    <w:p>
      <w:pPr>
        <w:pStyle w:val="ListParagraph"/>
        <w:numPr>
          <w:ilvl w:val="1"/>
          <w:numId w:val="63"/>
        </w:numPr>
        <w:tabs>
          <w:tab w:pos="1227" w:val="left" w:leader="none"/>
          <w:tab w:pos="1228" w:val="left" w:leader="none"/>
        </w:tabs>
        <w:spacing w:line="235" w:lineRule="auto" w:before="222" w:after="0"/>
        <w:ind w:left="547" w:right="2088" w:firstLine="0"/>
        <w:jc w:val="left"/>
        <w:rPr>
          <w:sz w:val="20"/>
        </w:rPr>
      </w:pPr>
      <w:r>
        <w:rPr>
          <w:w w:val="120"/>
          <w:sz w:val="20"/>
        </w:rPr>
        <w:t>Much of the growth in this wider dimension of Westminster’s work has been led by the Revd Samantha White, our first Director of Pastoral and Church Programmes, who joined the Westminster staff in </w:t>
      </w:r>
      <w:r>
        <w:rPr>
          <w:spacing w:val="-6"/>
          <w:w w:val="120"/>
          <w:sz w:val="20"/>
        </w:rPr>
        <w:t>2014. </w:t>
      </w:r>
      <w:r>
        <w:rPr>
          <w:w w:val="120"/>
          <w:sz w:val="20"/>
        </w:rPr>
        <w:t>Half of </w:t>
      </w:r>
      <w:r>
        <w:rPr>
          <w:spacing w:val="-4"/>
          <w:w w:val="120"/>
          <w:sz w:val="20"/>
        </w:rPr>
        <w:t>Sam’s </w:t>
      </w:r>
      <w:r>
        <w:rPr>
          <w:w w:val="120"/>
          <w:sz w:val="20"/>
        </w:rPr>
        <w:t>time is devoted to developing our work with and for local churches, drawing in other teaching staff as</w:t>
      </w:r>
      <w:r>
        <w:rPr>
          <w:spacing w:val="27"/>
          <w:w w:val="120"/>
          <w:sz w:val="20"/>
        </w:rPr>
        <w:t> </w:t>
      </w:r>
      <w:r>
        <w:rPr>
          <w:w w:val="120"/>
          <w:sz w:val="20"/>
        </w:rPr>
        <w:t>necessary.</w:t>
      </w:r>
    </w:p>
    <w:p>
      <w:pPr>
        <w:pStyle w:val="BodyText"/>
        <w:spacing w:line="235" w:lineRule="auto" w:before="3"/>
        <w:ind w:left="547" w:right="2269"/>
      </w:pPr>
      <w:r>
        <w:rPr>
          <w:w w:val="120"/>
        </w:rPr>
        <w:t>We have reduced and refined our pricing to make the use of Westminster affordable and viable. We continue to listen carefully to the Church so that we can respond to everyone’s needs.</w:t>
      </w:r>
    </w:p>
    <w:p>
      <w:pPr>
        <w:pStyle w:val="BodyText"/>
        <w:spacing w:before="10"/>
        <w:rPr>
          <w:sz w:val="19"/>
        </w:rPr>
      </w:pPr>
    </w:p>
    <w:p>
      <w:pPr>
        <w:pStyle w:val="ListParagraph"/>
        <w:numPr>
          <w:ilvl w:val="1"/>
          <w:numId w:val="63"/>
        </w:numPr>
        <w:tabs>
          <w:tab w:pos="1228" w:val="left" w:leader="none"/>
        </w:tabs>
        <w:spacing w:line="235" w:lineRule="auto" w:before="0" w:after="0"/>
        <w:ind w:left="547" w:right="2536" w:firstLine="0"/>
        <w:jc w:val="both"/>
        <w:rPr>
          <w:sz w:val="20"/>
        </w:rPr>
      </w:pPr>
      <w:r>
        <w:rPr>
          <w:w w:val="120"/>
          <w:sz w:val="20"/>
        </w:rPr>
        <w:t>The other half of </w:t>
      </w:r>
      <w:r>
        <w:rPr>
          <w:spacing w:val="-4"/>
          <w:w w:val="120"/>
          <w:sz w:val="20"/>
        </w:rPr>
        <w:t>Sam’s </w:t>
      </w:r>
      <w:r>
        <w:rPr>
          <w:w w:val="120"/>
          <w:sz w:val="20"/>
        </w:rPr>
        <w:t>job is focussed upon our formation of candidates for the URC ministry of Word and Sacraments. This is the core work and responsibility for Westminster – and for our five teachers. This work unfolds each year</w:t>
      </w:r>
      <w:r>
        <w:rPr>
          <w:spacing w:val="-16"/>
          <w:w w:val="120"/>
          <w:sz w:val="20"/>
        </w:rPr>
        <w:t> </w:t>
      </w:r>
      <w:r>
        <w:rPr>
          <w:w w:val="120"/>
          <w:sz w:val="20"/>
        </w:rPr>
        <w:t>within</w:t>
      </w:r>
    </w:p>
    <w:p>
      <w:pPr>
        <w:pStyle w:val="BodyText"/>
        <w:spacing w:line="235" w:lineRule="auto" w:before="2"/>
        <w:ind w:left="547" w:right="2601"/>
      </w:pPr>
      <w:r>
        <w:rPr>
          <w:w w:val="120"/>
        </w:rPr>
        <w:t>the stimulating and sometimes challenging context of the Cambridge Theological Federation; one of the broadest ecumenical communities of theology that exists, which includes interfaith study and teaching as well. We passionately believe in the importance of such a setting of diversity with its many voices, encounters</w:t>
      </w:r>
      <w:r>
        <w:rPr>
          <w:spacing w:val="39"/>
          <w:w w:val="120"/>
        </w:rPr>
        <w:t> </w:t>
      </w:r>
      <w:r>
        <w:rPr>
          <w:w w:val="120"/>
        </w:rPr>
        <w:t>and</w:t>
      </w:r>
    </w:p>
    <w:p>
      <w:pPr>
        <w:pStyle w:val="BodyText"/>
        <w:spacing w:line="235" w:lineRule="auto" w:before="3"/>
        <w:ind w:left="547" w:right="2161"/>
      </w:pPr>
      <w:r>
        <w:rPr>
          <w:w w:val="120"/>
        </w:rPr>
        <w:t>experiences as </w:t>
      </w:r>
      <w:r>
        <w:rPr>
          <w:spacing w:val="2"/>
          <w:w w:val="120"/>
        </w:rPr>
        <w:t>part </w:t>
      </w:r>
      <w:r>
        <w:rPr>
          <w:w w:val="120"/>
        </w:rPr>
        <w:t>of the context within which future ministers are nurtured. Meeting and understanding difference, and being able to celebrate our own unique </w:t>
      </w:r>
      <w:r>
        <w:rPr>
          <w:spacing w:val="2"/>
          <w:w w:val="120"/>
        </w:rPr>
        <w:t>gifts </w:t>
      </w:r>
      <w:r>
        <w:rPr>
          <w:w w:val="120"/>
        </w:rPr>
        <w:t>whilst discerning those in others, helps shape us more fully for Christ’s service. Westminster  is fast becoming a campus at the heart of this Federation with its central offices newly housed on our site and the Woolf Institute for the study of relations between</w:t>
      </w:r>
      <w:r>
        <w:rPr>
          <w:spacing w:val="-12"/>
          <w:w w:val="120"/>
        </w:rPr>
        <w:t> </w:t>
      </w:r>
      <w:r>
        <w:rPr>
          <w:w w:val="120"/>
        </w:rPr>
        <w:t>Jews,</w:t>
      </w:r>
    </w:p>
    <w:p>
      <w:pPr>
        <w:pStyle w:val="BodyText"/>
        <w:spacing w:line="235" w:lineRule="auto" w:before="4"/>
        <w:ind w:left="547" w:right="1899"/>
      </w:pPr>
      <w:r>
        <w:rPr>
          <w:w w:val="120"/>
        </w:rPr>
        <w:t>Christians and Muslims well under way with their new building at Westminster. This will be opening in summer 2017.</w:t>
      </w:r>
    </w:p>
    <w:p>
      <w:pPr>
        <w:pStyle w:val="BodyText"/>
        <w:spacing w:before="9"/>
        <w:rPr>
          <w:sz w:val="19"/>
        </w:rPr>
      </w:pPr>
    </w:p>
    <w:p>
      <w:pPr>
        <w:pStyle w:val="ListParagraph"/>
        <w:numPr>
          <w:ilvl w:val="1"/>
          <w:numId w:val="63"/>
        </w:numPr>
        <w:tabs>
          <w:tab w:pos="1227" w:val="left" w:leader="none"/>
          <w:tab w:pos="1228" w:val="left" w:leader="none"/>
        </w:tabs>
        <w:spacing w:line="235" w:lineRule="auto" w:before="0" w:after="0"/>
        <w:ind w:left="547" w:right="2033" w:firstLine="0"/>
        <w:jc w:val="left"/>
        <w:rPr>
          <w:sz w:val="20"/>
        </w:rPr>
      </w:pPr>
      <w:r>
        <w:rPr>
          <w:w w:val="120"/>
          <w:sz w:val="20"/>
        </w:rPr>
        <w:t>Change is happening with our people too. Our teaching staff team, after years    of stability, is being transformed. No sooner had we welcomed Sam than we set about recruiting a New Testament tutor to take John Proctor’s place after his call to become General Secretary. After </w:t>
      </w:r>
      <w:r>
        <w:rPr>
          <w:spacing w:val="-3"/>
          <w:w w:val="120"/>
          <w:sz w:val="20"/>
        </w:rPr>
        <w:t>John’s </w:t>
      </w:r>
      <w:r>
        <w:rPr>
          <w:w w:val="120"/>
          <w:sz w:val="20"/>
        </w:rPr>
        <w:t>years of devotion to Westminster, and to a teaching ministry that has touched so </w:t>
      </w:r>
      <w:r>
        <w:rPr>
          <w:spacing w:val="-4"/>
          <w:w w:val="120"/>
          <w:sz w:val="20"/>
        </w:rPr>
        <w:t>many, </w:t>
      </w:r>
      <w:r>
        <w:rPr>
          <w:w w:val="120"/>
          <w:sz w:val="20"/>
        </w:rPr>
        <w:t>it was important that the college wished him well with acclaim and thankfulness. </w:t>
      </w:r>
      <w:r>
        <w:rPr>
          <w:spacing w:val="-7"/>
          <w:w w:val="120"/>
          <w:sz w:val="20"/>
        </w:rPr>
        <w:t>To </w:t>
      </w:r>
      <w:r>
        <w:rPr>
          <w:w w:val="120"/>
          <w:sz w:val="20"/>
        </w:rPr>
        <w:t>our joy we have been blessed with the arrival of Revd Dr Yak-hwee </w:t>
      </w:r>
      <w:r>
        <w:rPr>
          <w:spacing w:val="-5"/>
          <w:w w:val="120"/>
          <w:sz w:val="20"/>
        </w:rPr>
        <w:t>Tan </w:t>
      </w:r>
      <w:r>
        <w:rPr>
          <w:w w:val="120"/>
          <w:sz w:val="20"/>
        </w:rPr>
        <w:t>in summer, </w:t>
      </w:r>
      <w:r>
        <w:rPr>
          <w:spacing w:val="-7"/>
          <w:w w:val="120"/>
          <w:sz w:val="20"/>
        </w:rPr>
        <w:t>2015. </w:t>
      </w:r>
      <w:r>
        <w:rPr>
          <w:w w:val="120"/>
          <w:sz w:val="20"/>
        </w:rPr>
        <w:t>Yak-hwee joins us from the Presbyterian</w:t>
      </w:r>
      <w:r>
        <w:rPr>
          <w:spacing w:val="20"/>
          <w:w w:val="120"/>
          <w:sz w:val="20"/>
        </w:rPr>
        <w:t> </w:t>
      </w:r>
      <w:r>
        <w:rPr>
          <w:w w:val="120"/>
          <w:sz w:val="20"/>
        </w:rPr>
        <w:t>Church</w:t>
      </w:r>
    </w:p>
    <w:p>
      <w:pPr>
        <w:pStyle w:val="BodyText"/>
        <w:spacing w:line="235" w:lineRule="auto" w:before="5"/>
        <w:ind w:left="547" w:right="2257"/>
      </w:pPr>
      <w:r>
        <w:rPr>
          <w:w w:val="120"/>
        </w:rPr>
        <w:t>in Singapore where she most recently worked with the Council for World Mission. Previously she has taught both in </w:t>
      </w:r>
      <w:r>
        <w:rPr>
          <w:spacing w:val="-3"/>
          <w:w w:val="120"/>
        </w:rPr>
        <w:t>Taiwan </w:t>
      </w:r>
      <w:r>
        <w:rPr>
          <w:w w:val="120"/>
        </w:rPr>
        <w:t>and in the United States. </w:t>
      </w:r>
      <w:r>
        <w:rPr>
          <w:spacing w:val="-7"/>
          <w:w w:val="120"/>
        </w:rPr>
        <w:t>To </w:t>
      </w:r>
      <w:r>
        <w:rPr>
          <w:w w:val="120"/>
        </w:rPr>
        <w:t>have </w:t>
      </w:r>
      <w:r>
        <w:rPr>
          <w:spacing w:val="-4"/>
          <w:w w:val="120"/>
        </w:rPr>
        <w:t>Yak-hwee’s </w:t>
      </w:r>
      <w:r>
        <w:rPr>
          <w:w w:val="120"/>
        </w:rPr>
        <w:t>fresh perspective and teaching talent is a wonderful gift. The summer of </w:t>
      </w:r>
      <w:r>
        <w:rPr>
          <w:spacing w:val="-7"/>
          <w:w w:val="120"/>
        </w:rPr>
        <w:t>2016 </w:t>
      </w:r>
      <w:r>
        <w:rPr>
          <w:w w:val="120"/>
        </w:rPr>
        <w:t>will see the retirement of the Revd Dr Janet Tollington as Westminster’s Old Testament </w:t>
      </w:r>
      <w:r>
        <w:rPr>
          <w:spacing w:val="-5"/>
          <w:w w:val="120"/>
        </w:rPr>
        <w:t>Tutor, </w:t>
      </w:r>
      <w:r>
        <w:rPr>
          <w:w w:val="120"/>
        </w:rPr>
        <w:t>after almost as many years of gifted and faithful service as John Proctor. We will want to give huge thanks for Janet’s ministry and friendship as this new chapter begins for </w:t>
      </w:r>
      <w:r>
        <w:rPr>
          <w:spacing w:val="-3"/>
          <w:w w:val="120"/>
        </w:rPr>
        <w:t>her. </w:t>
      </w:r>
      <w:r>
        <w:rPr>
          <w:w w:val="120"/>
        </w:rPr>
        <w:t>We have been delighted to appoint her successor already; Dr Alison Gray. Alison  is currently on the staff at Westcott House, one of the Federation’s Anglican houses, although she comes from a URC background. She brings great </w:t>
      </w:r>
      <w:r>
        <w:rPr>
          <w:spacing w:val="2"/>
          <w:w w:val="120"/>
        </w:rPr>
        <w:t>gifts </w:t>
      </w:r>
      <w:r>
        <w:rPr>
          <w:w w:val="120"/>
        </w:rPr>
        <w:t>as a teacher to the college and wider</w:t>
      </w:r>
      <w:r>
        <w:rPr>
          <w:spacing w:val="7"/>
          <w:w w:val="120"/>
        </w:rPr>
        <w:t> </w:t>
      </w:r>
      <w:r>
        <w:rPr>
          <w:w w:val="120"/>
        </w:rPr>
        <w:t>URC.</w:t>
      </w:r>
    </w:p>
    <w:p>
      <w:pPr>
        <w:pStyle w:val="BodyText"/>
        <w:spacing w:before="4"/>
      </w:pPr>
    </w:p>
    <w:p>
      <w:pPr>
        <w:pStyle w:val="ListParagraph"/>
        <w:numPr>
          <w:ilvl w:val="1"/>
          <w:numId w:val="63"/>
        </w:numPr>
        <w:tabs>
          <w:tab w:pos="1227" w:val="left" w:leader="none"/>
          <w:tab w:pos="1228" w:val="left" w:leader="none"/>
        </w:tabs>
        <w:spacing w:line="235" w:lineRule="auto" w:before="0" w:after="0"/>
        <w:ind w:left="547" w:right="2654" w:firstLine="0"/>
        <w:jc w:val="left"/>
        <w:rPr>
          <w:sz w:val="20"/>
        </w:rPr>
      </w:pPr>
      <w:r>
        <w:rPr>
          <w:w w:val="120"/>
          <w:sz w:val="20"/>
        </w:rPr>
        <w:t>We have continued to learn to be flexible in all we do. Teaching awards with three universities (Cambridge, Anglia Ruskin and Durham) allows us to</w:t>
      </w:r>
      <w:r>
        <w:rPr>
          <w:spacing w:val="5"/>
          <w:w w:val="120"/>
          <w:sz w:val="20"/>
        </w:rPr>
        <w:t> </w:t>
      </w:r>
      <w:r>
        <w:rPr>
          <w:w w:val="120"/>
          <w:sz w:val="20"/>
        </w:rPr>
        <w:t>tailor</w:t>
      </w:r>
    </w:p>
    <w:p>
      <w:pPr>
        <w:pStyle w:val="BodyText"/>
        <w:spacing w:line="235" w:lineRule="auto" w:before="1"/>
        <w:ind w:left="547" w:right="2067"/>
      </w:pPr>
      <w:r>
        <w:rPr>
          <w:w w:val="120"/>
        </w:rPr>
        <w:t>programmes to individual student needs and backgrounds. Our growing provision for  lay training builds constantly upon feedback and conversation across the</w:t>
      </w:r>
      <w:r>
        <w:rPr>
          <w:spacing w:val="4"/>
          <w:w w:val="120"/>
        </w:rPr>
        <w:t> </w:t>
      </w:r>
      <w:r>
        <w:rPr>
          <w:w w:val="120"/>
        </w:rPr>
        <w:t>denomination.</w:t>
      </w:r>
    </w:p>
    <w:p>
      <w:pPr>
        <w:pStyle w:val="BodyText"/>
        <w:spacing w:line="235" w:lineRule="auto" w:before="2"/>
        <w:ind w:left="547" w:right="2655"/>
      </w:pPr>
      <w:r>
        <w:rPr>
          <w:w w:val="120"/>
        </w:rPr>
        <w:t>But this all takes real energy, creativity, tenacity and wisdom. We sometimes wish we had more time to reflect and adjust – with less pressure from factors outside our control, such as decisions taken by other denominations that reshape our ecumenical reality.</w:t>
      </w:r>
    </w:p>
    <w:p>
      <w:pPr>
        <w:pStyle w:val="BodyText"/>
        <w:rPr>
          <w:sz w:val="19"/>
        </w:rPr>
      </w:pPr>
    </w:p>
    <w:p>
      <w:pPr>
        <w:pStyle w:val="Heading2"/>
        <w:ind w:left="547"/>
      </w:pPr>
      <w:r>
        <w:rPr>
          <w:w w:val="110"/>
        </w:rPr>
        <w:t>The future?</w:t>
      </w:r>
    </w:p>
    <w:p>
      <w:pPr>
        <w:pStyle w:val="ListParagraph"/>
        <w:numPr>
          <w:ilvl w:val="1"/>
          <w:numId w:val="63"/>
        </w:numPr>
        <w:tabs>
          <w:tab w:pos="1227" w:val="left" w:leader="none"/>
          <w:tab w:pos="1228" w:val="left" w:leader="none"/>
        </w:tabs>
        <w:spacing w:line="235" w:lineRule="auto" w:before="83" w:after="0"/>
        <w:ind w:left="547" w:right="2047" w:firstLine="0"/>
        <w:jc w:val="left"/>
        <w:rPr>
          <w:sz w:val="20"/>
        </w:rPr>
      </w:pPr>
      <w:r>
        <w:rPr>
          <w:spacing w:val="-5"/>
          <w:w w:val="120"/>
          <w:sz w:val="20"/>
        </w:rPr>
        <w:t>Ten </w:t>
      </w:r>
      <w:r>
        <w:rPr>
          <w:w w:val="120"/>
          <w:sz w:val="20"/>
        </w:rPr>
        <w:t>years after General Assembly designated us a RCL we are excited by the future. The building and campus are wonderfully alive with a buzz of people and ideas. We have facilities suited to future decades yet retaining the beauty of their original </w:t>
      </w:r>
      <w:r>
        <w:rPr>
          <w:spacing w:val="2"/>
          <w:w w:val="120"/>
          <w:sz w:val="20"/>
        </w:rPr>
        <w:t>craftwork. </w:t>
      </w:r>
      <w:r>
        <w:rPr>
          <w:w w:val="120"/>
          <w:sz w:val="20"/>
        </w:rPr>
        <w:t>We have a superb team ready to serve everyone across all aspects of college life. We are currently focussed upon creating a brand new website and far greater use of online resources and courses. We hope to welcome an increasingly diverse</w:t>
      </w:r>
      <w:r>
        <w:rPr>
          <w:spacing w:val="34"/>
          <w:w w:val="120"/>
          <w:sz w:val="20"/>
        </w:rPr>
        <w:t> </w:t>
      </w:r>
      <w:r>
        <w:rPr>
          <w:w w:val="120"/>
          <w:sz w:val="20"/>
        </w:rPr>
        <w:t>range</w:t>
      </w:r>
    </w:p>
    <w:p>
      <w:pPr>
        <w:pStyle w:val="BodyText"/>
        <w:ind w:left="547"/>
      </w:pPr>
      <w:r>
        <w:rPr>
          <w:w w:val="120"/>
        </w:rPr>
        <w:t>of students from the UK and abroad. We are exploring, with others from across the</w:t>
      </w:r>
    </w:p>
    <w:p>
      <w:pPr>
        <w:spacing w:after="0"/>
        <w:sectPr>
          <w:headerReference w:type="even" r:id="rId240"/>
          <w:pgSz w:w="11910" w:h="16840"/>
          <w:pgMar w:header="0" w:footer="647" w:top="0" w:bottom="840" w:left="700" w:right="0"/>
        </w:sectPr>
      </w:pPr>
    </w:p>
    <w:p>
      <w:pPr>
        <w:pStyle w:val="BodyText"/>
      </w:pPr>
      <w:r>
        <w:rPr/>
        <w:drawing>
          <wp:anchor distT="0" distB="0" distL="0" distR="0" allowOverlap="1" layoutInCell="1" locked="0" behindDoc="0" simplePos="0" relativeHeight="251848704">
            <wp:simplePos x="0" y="0"/>
            <wp:positionH relativeFrom="page">
              <wp:posOffset>6974928</wp:posOffset>
            </wp:positionH>
            <wp:positionV relativeFrom="page">
              <wp:posOffset>0</wp:posOffset>
            </wp:positionV>
            <wp:extent cx="585063" cy="10692003"/>
            <wp:effectExtent l="0" t="0" r="0" b="0"/>
            <wp:wrapNone/>
            <wp:docPr id="135" name="image54.png"/>
            <wp:cNvGraphicFramePr>
              <a:graphicFrameLocks noChangeAspect="1"/>
            </wp:cNvGraphicFramePr>
            <a:graphic>
              <a:graphicData uri="http://schemas.openxmlformats.org/drawingml/2006/picture">
                <pic:pic>
                  <pic:nvPicPr>
                    <pic:cNvPr id="136" name="image54.png"/>
                    <pic:cNvPicPr/>
                  </pic:nvPicPr>
                  <pic:blipFill>
                    <a:blip r:embed="rId169" cstate="print"/>
                    <a:stretch>
                      <a:fillRect/>
                    </a:stretch>
                  </pic:blipFill>
                  <pic:spPr>
                    <a:xfrm>
                      <a:off x="0" y="0"/>
                      <a:ext cx="585063" cy="10692003"/>
                    </a:xfrm>
                    <a:prstGeom prst="rect">
                      <a:avLst/>
                    </a:prstGeom>
                  </pic:spPr>
                </pic:pic>
              </a:graphicData>
            </a:graphic>
          </wp:anchor>
        </w:drawing>
      </w:r>
    </w:p>
    <w:p>
      <w:pPr>
        <w:pStyle w:val="BodyText"/>
        <w:spacing w:before="7"/>
        <w:rPr>
          <w:sz w:val="21"/>
        </w:rPr>
      </w:pPr>
    </w:p>
    <w:p>
      <w:pPr>
        <w:spacing w:before="106"/>
        <w:ind w:left="7114" w:right="0" w:firstLine="0"/>
        <w:jc w:val="left"/>
        <w:rPr>
          <w:sz w:val="26"/>
        </w:rPr>
      </w:pPr>
      <w:r>
        <w:rPr/>
        <w:pict>
          <v:shape style="position:absolute;margin-left:554.141174pt;margin-top:22.593945pt;width:25.9pt;height:237.55pt;mso-position-horizontal-relative:page;mso-position-vertical-relative:paragraph;z-index:251849728" type="#_x0000_t202" filled="false" stroked="false">
            <v:textbox inset="0,0,0,0" style="layout-flow:vertical">
              <w:txbxContent>
                <w:p>
                  <w:pPr>
                    <w:spacing w:before="27"/>
                    <w:ind w:left="20" w:right="0" w:firstLine="0"/>
                    <w:jc w:val="left"/>
                    <w:rPr>
                      <w:sz w:val="39"/>
                    </w:rPr>
                  </w:pPr>
                  <w:r>
                    <w:rPr>
                      <w:color w:val="FFFFFF"/>
                      <w:w w:val="120"/>
                      <w:sz w:val="39"/>
                    </w:rPr>
                    <w:t>Education and learning</w:t>
                  </w:r>
                </w:p>
              </w:txbxContent>
            </v:textbox>
            <w10:wrap type="none"/>
          </v:shape>
        </w:pict>
      </w:r>
      <w:r>
        <w:rPr>
          <w:color w:val="7EAABF"/>
          <w:w w:val="115"/>
          <w:sz w:val="26"/>
        </w:rPr>
        <w:t>Education and learning</w:t>
      </w:r>
    </w:p>
    <w:p>
      <w:pPr>
        <w:pStyle w:val="BodyText"/>
        <w:spacing w:line="235" w:lineRule="auto" w:before="222"/>
        <w:ind w:left="1284" w:right="1431"/>
      </w:pPr>
      <w:r>
        <w:rPr>
          <w:w w:val="120"/>
        </w:rPr>
        <w:t>denomination, something of the current realities and future possibilities for ordained ministry to better shape suitable teaching and support at Westminster. We are keenly aware of the Walking the Way discussions and want to play our part to the full as plans emerge. We recognise that our own teaching team may need to develop to maximise our potential to deliver lay and local church resources.</w:t>
      </w:r>
    </w:p>
    <w:p>
      <w:pPr>
        <w:pStyle w:val="BodyText"/>
        <w:spacing w:before="10"/>
        <w:rPr>
          <w:sz w:val="19"/>
        </w:rPr>
      </w:pPr>
    </w:p>
    <w:p>
      <w:pPr>
        <w:spacing w:before="0"/>
        <w:ind w:left="1284" w:right="0" w:firstLine="0"/>
        <w:jc w:val="left"/>
        <w:rPr>
          <w:rFonts w:ascii="Stone Sans II ITC Std Bk"/>
          <w:b/>
          <w:sz w:val="32"/>
        </w:rPr>
      </w:pPr>
      <w:r>
        <w:rPr>
          <w:rFonts w:ascii="Stone Sans II ITC Std Bk"/>
          <w:b/>
          <w:w w:val="115"/>
          <w:sz w:val="32"/>
        </w:rPr>
        <w:t>The Windermere Centre</w:t>
      </w:r>
    </w:p>
    <w:p>
      <w:pPr>
        <w:pStyle w:val="ListParagraph"/>
        <w:numPr>
          <w:ilvl w:val="1"/>
          <w:numId w:val="64"/>
        </w:numPr>
        <w:tabs>
          <w:tab w:pos="1964" w:val="left" w:leader="none"/>
          <w:tab w:pos="1965" w:val="left" w:leader="none"/>
        </w:tabs>
        <w:spacing w:line="235" w:lineRule="auto" w:before="59" w:after="0"/>
        <w:ind w:left="1284" w:right="1833" w:firstLine="0"/>
        <w:jc w:val="left"/>
        <w:rPr>
          <w:sz w:val="20"/>
        </w:rPr>
      </w:pPr>
      <w:r>
        <w:rPr>
          <w:w w:val="120"/>
          <w:sz w:val="20"/>
        </w:rPr>
        <w:t>The Windermere Centre mission statement is being used to inform all areas of centre policy, from programme planning to individual team member personal development goals. It</w:t>
      </w:r>
      <w:r>
        <w:rPr>
          <w:spacing w:val="6"/>
          <w:w w:val="120"/>
          <w:sz w:val="20"/>
        </w:rPr>
        <w:t> </w:t>
      </w:r>
      <w:r>
        <w:rPr>
          <w:w w:val="120"/>
          <w:sz w:val="20"/>
        </w:rPr>
        <w:t>says:</w:t>
      </w:r>
    </w:p>
    <w:p>
      <w:pPr>
        <w:pStyle w:val="BodyText"/>
        <w:spacing w:before="6"/>
        <w:rPr>
          <w:sz w:val="19"/>
        </w:rPr>
      </w:pPr>
    </w:p>
    <w:p>
      <w:pPr>
        <w:spacing w:before="0"/>
        <w:ind w:left="1964" w:right="0" w:firstLine="0"/>
        <w:jc w:val="left"/>
        <w:rPr>
          <w:i/>
          <w:sz w:val="20"/>
        </w:rPr>
      </w:pPr>
      <w:r>
        <w:rPr>
          <w:i/>
          <w:w w:val="110"/>
          <w:sz w:val="20"/>
        </w:rPr>
        <w:t>‘Resourcing the United Reformed Church through hospitality and theological adventure’</w:t>
      </w:r>
    </w:p>
    <w:p>
      <w:pPr>
        <w:pStyle w:val="BodyText"/>
        <w:spacing w:before="4"/>
        <w:rPr>
          <w:i/>
          <w:sz w:val="19"/>
        </w:rPr>
      </w:pPr>
    </w:p>
    <w:p>
      <w:pPr>
        <w:pStyle w:val="BodyText"/>
        <w:ind w:left="1284"/>
      </w:pPr>
      <w:r>
        <w:rPr>
          <w:w w:val="120"/>
        </w:rPr>
        <w:t>The Windermere Centre, as a residential RCL of the United Reformed Church seeks to:</w:t>
      </w:r>
    </w:p>
    <w:p>
      <w:pPr>
        <w:pStyle w:val="BodyText"/>
        <w:rPr>
          <w:sz w:val="18"/>
        </w:rPr>
      </w:pPr>
    </w:p>
    <w:p>
      <w:pPr>
        <w:pStyle w:val="ListParagraph"/>
        <w:numPr>
          <w:ilvl w:val="0"/>
          <w:numId w:val="65"/>
        </w:numPr>
        <w:tabs>
          <w:tab w:pos="1964" w:val="left" w:leader="none"/>
          <w:tab w:pos="1965" w:val="left" w:leader="none"/>
        </w:tabs>
        <w:spacing w:line="196" w:lineRule="auto" w:before="0" w:after="0"/>
        <w:ind w:left="1964" w:right="1628" w:hanging="681"/>
        <w:jc w:val="left"/>
        <w:rPr>
          <w:sz w:val="20"/>
        </w:rPr>
      </w:pPr>
      <w:r>
        <w:rPr>
          <w:w w:val="120"/>
          <w:sz w:val="20"/>
        </w:rPr>
        <w:t>develop deeper, more faithful discipleship though immersion in the Christian Reformed</w:t>
      </w:r>
      <w:r>
        <w:rPr>
          <w:spacing w:val="1"/>
          <w:w w:val="120"/>
          <w:sz w:val="20"/>
        </w:rPr>
        <w:t> </w:t>
      </w:r>
      <w:r>
        <w:rPr>
          <w:w w:val="120"/>
          <w:sz w:val="20"/>
        </w:rPr>
        <w:t>tradition</w:t>
      </w:r>
    </w:p>
    <w:p>
      <w:pPr>
        <w:pStyle w:val="ListParagraph"/>
        <w:numPr>
          <w:ilvl w:val="0"/>
          <w:numId w:val="65"/>
        </w:numPr>
        <w:tabs>
          <w:tab w:pos="1964" w:val="left" w:leader="none"/>
          <w:tab w:pos="1965" w:val="left" w:leader="none"/>
        </w:tabs>
        <w:spacing w:line="241" w:lineRule="exact" w:before="0" w:after="0"/>
        <w:ind w:left="1964" w:right="0" w:hanging="681"/>
        <w:jc w:val="left"/>
        <w:rPr>
          <w:sz w:val="20"/>
        </w:rPr>
      </w:pPr>
      <w:r>
        <w:rPr>
          <w:w w:val="120"/>
          <w:sz w:val="20"/>
        </w:rPr>
        <w:t>nurture a spirituality that equips people for</w:t>
      </w:r>
      <w:r>
        <w:rPr>
          <w:spacing w:val="13"/>
          <w:w w:val="120"/>
          <w:sz w:val="20"/>
        </w:rPr>
        <w:t> </w:t>
      </w:r>
      <w:r>
        <w:rPr>
          <w:w w:val="120"/>
          <w:sz w:val="20"/>
        </w:rPr>
        <w:t>life-in-mission</w:t>
      </w:r>
    </w:p>
    <w:p>
      <w:pPr>
        <w:pStyle w:val="ListParagraph"/>
        <w:numPr>
          <w:ilvl w:val="0"/>
          <w:numId w:val="65"/>
        </w:numPr>
        <w:tabs>
          <w:tab w:pos="1964" w:val="left" w:leader="none"/>
          <w:tab w:pos="1965" w:val="left" w:leader="none"/>
        </w:tabs>
        <w:spacing w:line="240" w:lineRule="exact" w:before="0" w:after="0"/>
        <w:ind w:left="1964" w:right="0" w:hanging="681"/>
        <w:jc w:val="left"/>
        <w:rPr>
          <w:sz w:val="20"/>
        </w:rPr>
      </w:pPr>
      <w:r>
        <w:rPr>
          <w:w w:val="120"/>
          <w:sz w:val="20"/>
        </w:rPr>
        <w:t>equip churches for relevant faith-living in the contemporary</w:t>
      </w:r>
      <w:r>
        <w:rPr>
          <w:spacing w:val="21"/>
          <w:w w:val="120"/>
          <w:sz w:val="20"/>
        </w:rPr>
        <w:t> </w:t>
      </w:r>
      <w:r>
        <w:rPr>
          <w:w w:val="120"/>
          <w:sz w:val="20"/>
        </w:rPr>
        <w:t>context</w:t>
      </w:r>
    </w:p>
    <w:p>
      <w:pPr>
        <w:pStyle w:val="ListParagraph"/>
        <w:numPr>
          <w:ilvl w:val="0"/>
          <w:numId w:val="65"/>
        </w:numPr>
        <w:tabs>
          <w:tab w:pos="1964" w:val="left" w:leader="none"/>
          <w:tab w:pos="1965" w:val="left" w:leader="none"/>
        </w:tabs>
        <w:spacing w:line="298" w:lineRule="exact" w:before="0" w:after="0"/>
        <w:ind w:left="1964" w:right="0" w:hanging="681"/>
        <w:jc w:val="left"/>
        <w:rPr>
          <w:sz w:val="20"/>
        </w:rPr>
      </w:pPr>
      <w:r>
        <w:rPr>
          <w:w w:val="120"/>
          <w:sz w:val="20"/>
        </w:rPr>
        <w:t>encourage risk-taking, mission-focused learning</w:t>
      </w:r>
      <w:r>
        <w:rPr>
          <w:spacing w:val="12"/>
          <w:w w:val="120"/>
          <w:sz w:val="20"/>
        </w:rPr>
        <w:t> </w:t>
      </w:r>
      <w:r>
        <w:rPr>
          <w:w w:val="120"/>
          <w:sz w:val="20"/>
        </w:rPr>
        <w:t>opportunities.</w:t>
      </w:r>
    </w:p>
    <w:p>
      <w:pPr>
        <w:pStyle w:val="Heading2"/>
        <w:spacing w:before="180"/>
        <w:ind w:left="1284"/>
      </w:pPr>
      <w:r>
        <w:rPr>
          <w:w w:val="110"/>
        </w:rPr>
        <w:t>Learning from challenges</w:t>
      </w:r>
    </w:p>
    <w:p>
      <w:pPr>
        <w:pStyle w:val="ListParagraph"/>
        <w:numPr>
          <w:ilvl w:val="1"/>
          <w:numId w:val="64"/>
        </w:numPr>
        <w:tabs>
          <w:tab w:pos="1964" w:val="left" w:leader="none"/>
          <w:tab w:pos="1965" w:val="left" w:leader="none"/>
        </w:tabs>
        <w:spacing w:line="235" w:lineRule="auto" w:before="82" w:after="0"/>
        <w:ind w:left="1284" w:right="1261" w:firstLine="0"/>
        <w:jc w:val="left"/>
        <w:rPr>
          <w:sz w:val="20"/>
        </w:rPr>
      </w:pPr>
      <w:r>
        <w:rPr>
          <w:w w:val="120"/>
          <w:sz w:val="20"/>
        </w:rPr>
        <w:t>August </w:t>
      </w:r>
      <w:r>
        <w:rPr>
          <w:spacing w:val="-7"/>
          <w:w w:val="120"/>
          <w:sz w:val="20"/>
        </w:rPr>
        <w:t>2014 </w:t>
      </w:r>
      <w:r>
        <w:rPr>
          <w:w w:val="120"/>
          <w:sz w:val="20"/>
        </w:rPr>
        <w:t>saw the centre move to a policy of Pay What </w:t>
      </w:r>
      <w:r>
        <w:rPr>
          <w:spacing w:val="-4"/>
          <w:w w:val="120"/>
          <w:sz w:val="20"/>
        </w:rPr>
        <w:t>You </w:t>
      </w:r>
      <w:r>
        <w:rPr>
          <w:w w:val="120"/>
          <w:sz w:val="20"/>
        </w:rPr>
        <w:t>Can (PWYC). The catalyst was the anticipated </w:t>
      </w:r>
      <w:r>
        <w:rPr>
          <w:spacing w:val="-7"/>
          <w:w w:val="120"/>
          <w:sz w:val="20"/>
        </w:rPr>
        <w:t>2014 </w:t>
      </w:r>
      <w:r>
        <w:rPr>
          <w:spacing w:val="-3"/>
          <w:w w:val="120"/>
          <w:sz w:val="20"/>
        </w:rPr>
        <w:t>£40K+ </w:t>
      </w:r>
      <w:r>
        <w:rPr>
          <w:w w:val="120"/>
          <w:sz w:val="20"/>
        </w:rPr>
        <w:t>budget deficit arising from the accumulated effects of the </w:t>
      </w:r>
      <w:r>
        <w:rPr>
          <w:spacing w:val="-7"/>
          <w:w w:val="120"/>
          <w:sz w:val="20"/>
        </w:rPr>
        <w:t>2012 </w:t>
      </w:r>
      <w:r>
        <w:rPr>
          <w:w w:val="120"/>
          <w:sz w:val="20"/>
        </w:rPr>
        <w:t>URC budget cuts. It proved an opportunity to </w:t>
      </w:r>
      <w:r>
        <w:rPr>
          <w:spacing w:val="-11"/>
          <w:w w:val="120"/>
          <w:sz w:val="20"/>
        </w:rPr>
        <w:t>(a) </w:t>
      </w:r>
      <w:r>
        <w:rPr>
          <w:w w:val="120"/>
          <w:sz w:val="20"/>
        </w:rPr>
        <w:t>resource the whole Church more effectively (rather than only those sections that could afford to </w:t>
      </w:r>
      <w:r>
        <w:rPr>
          <w:spacing w:val="-4"/>
          <w:w w:val="120"/>
          <w:sz w:val="20"/>
        </w:rPr>
        <w:t>pay)</w:t>
      </w:r>
      <w:r>
        <w:rPr>
          <w:spacing w:val="31"/>
          <w:w w:val="120"/>
          <w:sz w:val="20"/>
        </w:rPr>
        <w:t> </w:t>
      </w:r>
      <w:r>
        <w:rPr>
          <w:w w:val="120"/>
          <w:sz w:val="20"/>
        </w:rPr>
        <w:t>and</w:t>
      </w:r>
    </w:p>
    <w:p>
      <w:pPr>
        <w:pStyle w:val="BodyText"/>
        <w:spacing w:line="235" w:lineRule="auto" w:before="3"/>
        <w:ind w:left="1284" w:right="1337"/>
      </w:pPr>
      <w:r>
        <w:rPr>
          <w:w w:val="120"/>
        </w:rPr>
        <w:t>(b) model a gospel-shaped business policy that exemplified generosity and abundance, rather than scarcity and competition.</w:t>
      </w:r>
    </w:p>
    <w:p>
      <w:pPr>
        <w:pStyle w:val="BodyText"/>
        <w:spacing w:before="10"/>
        <w:rPr>
          <w:sz w:val="19"/>
        </w:rPr>
      </w:pPr>
    </w:p>
    <w:p>
      <w:pPr>
        <w:pStyle w:val="ListParagraph"/>
        <w:numPr>
          <w:ilvl w:val="1"/>
          <w:numId w:val="64"/>
        </w:numPr>
        <w:tabs>
          <w:tab w:pos="1964" w:val="left" w:leader="none"/>
          <w:tab w:pos="1965" w:val="left" w:leader="none"/>
        </w:tabs>
        <w:spacing w:line="235" w:lineRule="auto" w:before="0" w:after="0"/>
        <w:ind w:left="1284" w:right="1471" w:firstLine="0"/>
        <w:jc w:val="left"/>
        <w:rPr>
          <w:sz w:val="20"/>
        </w:rPr>
      </w:pPr>
      <w:r>
        <w:rPr>
          <w:spacing w:val="2"/>
          <w:w w:val="120"/>
          <w:sz w:val="20"/>
        </w:rPr>
        <w:t>PWYC </w:t>
      </w:r>
      <w:r>
        <w:rPr>
          <w:w w:val="120"/>
          <w:sz w:val="20"/>
        </w:rPr>
        <w:t>was one strand of the policy shift: the other was a move to the </w:t>
      </w:r>
      <w:r>
        <w:rPr>
          <w:spacing w:val="-3"/>
          <w:w w:val="120"/>
          <w:sz w:val="20"/>
        </w:rPr>
        <w:t>It’s Your </w:t>
      </w:r>
      <w:r>
        <w:rPr>
          <w:w w:val="120"/>
          <w:sz w:val="20"/>
        </w:rPr>
        <w:t>Space (IYS) programme planning. Rather than </w:t>
      </w:r>
      <w:r>
        <w:rPr>
          <w:spacing w:val="3"/>
          <w:w w:val="120"/>
          <w:sz w:val="20"/>
        </w:rPr>
        <w:t>try </w:t>
      </w:r>
      <w:r>
        <w:rPr>
          <w:w w:val="120"/>
          <w:sz w:val="20"/>
        </w:rPr>
        <w:t>and anticipate what courses might </w:t>
      </w:r>
      <w:r>
        <w:rPr>
          <w:spacing w:val="-5"/>
          <w:w w:val="120"/>
          <w:sz w:val="20"/>
        </w:rPr>
        <w:t>‘sell’, </w:t>
      </w:r>
      <w:r>
        <w:rPr>
          <w:w w:val="120"/>
          <w:sz w:val="20"/>
        </w:rPr>
        <w:t>we moved to bespoke planning with individuals and groups who wanted to pursue a course or event, working with them to plan the programme, gather a cohort and send out invitations. It enabled us to ‘scratch where the Church was</w:t>
      </w:r>
      <w:r>
        <w:rPr>
          <w:spacing w:val="5"/>
          <w:w w:val="120"/>
          <w:sz w:val="20"/>
        </w:rPr>
        <w:t> </w:t>
      </w:r>
      <w:r>
        <w:rPr>
          <w:spacing w:val="-4"/>
          <w:w w:val="120"/>
          <w:sz w:val="20"/>
        </w:rPr>
        <w:t>itching’.</w:t>
      </w:r>
    </w:p>
    <w:p>
      <w:pPr>
        <w:pStyle w:val="BodyText"/>
        <w:spacing w:before="8"/>
        <w:rPr>
          <w:sz w:val="19"/>
        </w:rPr>
      </w:pPr>
    </w:p>
    <w:p>
      <w:pPr>
        <w:pStyle w:val="ListParagraph"/>
        <w:numPr>
          <w:ilvl w:val="1"/>
          <w:numId w:val="64"/>
        </w:numPr>
        <w:tabs>
          <w:tab w:pos="1964" w:val="left" w:leader="none"/>
          <w:tab w:pos="1965" w:val="left" w:leader="none"/>
        </w:tabs>
        <w:spacing w:line="240" w:lineRule="auto" w:before="0" w:after="0"/>
        <w:ind w:left="1964" w:right="0" w:hanging="681"/>
        <w:jc w:val="left"/>
        <w:rPr>
          <w:sz w:val="20"/>
        </w:rPr>
      </w:pPr>
      <w:r>
        <w:rPr>
          <w:w w:val="120"/>
          <w:sz w:val="20"/>
        </w:rPr>
        <w:t>The results have been</w:t>
      </w:r>
      <w:r>
        <w:rPr>
          <w:spacing w:val="6"/>
          <w:w w:val="120"/>
          <w:sz w:val="20"/>
        </w:rPr>
        <w:t> </w:t>
      </w:r>
      <w:r>
        <w:rPr>
          <w:w w:val="120"/>
          <w:sz w:val="20"/>
        </w:rPr>
        <w:t>transformational:</w:t>
      </w:r>
    </w:p>
    <w:p>
      <w:pPr>
        <w:pStyle w:val="BodyText"/>
        <w:rPr>
          <w:sz w:val="18"/>
        </w:rPr>
      </w:pPr>
    </w:p>
    <w:p>
      <w:pPr>
        <w:pStyle w:val="ListParagraph"/>
        <w:numPr>
          <w:ilvl w:val="0"/>
          <w:numId w:val="65"/>
        </w:numPr>
        <w:tabs>
          <w:tab w:pos="1964" w:val="left" w:leader="none"/>
          <w:tab w:pos="1965" w:val="left" w:leader="none"/>
        </w:tabs>
        <w:spacing w:line="196" w:lineRule="auto" w:before="0" w:after="0"/>
        <w:ind w:left="1964" w:right="1485" w:hanging="681"/>
        <w:jc w:val="left"/>
        <w:rPr>
          <w:sz w:val="20"/>
        </w:rPr>
      </w:pPr>
      <w:r>
        <w:rPr>
          <w:w w:val="120"/>
          <w:sz w:val="20"/>
        </w:rPr>
        <w:t>Churches and groups who have not previously found it affordable have started using the</w:t>
      </w:r>
      <w:r>
        <w:rPr>
          <w:spacing w:val="4"/>
          <w:w w:val="120"/>
          <w:sz w:val="20"/>
        </w:rPr>
        <w:t> </w:t>
      </w:r>
      <w:r>
        <w:rPr>
          <w:w w:val="120"/>
          <w:sz w:val="20"/>
        </w:rPr>
        <w:t>centre</w:t>
      </w:r>
    </w:p>
    <w:p>
      <w:pPr>
        <w:pStyle w:val="ListParagraph"/>
        <w:numPr>
          <w:ilvl w:val="0"/>
          <w:numId w:val="65"/>
        </w:numPr>
        <w:tabs>
          <w:tab w:pos="1964" w:val="left" w:leader="none"/>
          <w:tab w:pos="1965" w:val="left" w:leader="none"/>
        </w:tabs>
        <w:spacing w:line="241" w:lineRule="exact" w:before="0" w:after="0"/>
        <w:ind w:left="1964" w:right="0" w:hanging="681"/>
        <w:jc w:val="left"/>
        <w:rPr>
          <w:sz w:val="20"/>
        </w:rPr>
      </w:pPr>
      <w:r>
        <w:rPr>
          <w:w w:val="120"/>
          <w:sz w:val="20"/>
        </w:rPr>
        <w:t>Donations have almost</w:t>
      </w:r>
      <w:r>
        <w:rPr>
          <w:spacing w:val="6"/>
          <w:w w:val="120"/>
          <w:sz w:val="20"/>
        </w:rPr>
        <w:t> </w:t>
      </w:r>
      <w:r>
        <w:rPr>
          <w:w w:val="120"/>
          <w:sz w:val="20"/>
        </w:rPr>
        <w:t>quadrupled</w:t>
      </w:r>
    </w:p>
    <w:p>
      <w:pPr>
        <w:pStyle w:val="ListParagraph"/>
        <w:numPr>
          <w:ilvl w:val="0"/>
          <w:numId w:val="65"/>
        </w:numPr>
        <w:tabs>
          <w:tab w:pos="1964" w:val="left" w:leader="none"/>
          <w:tab w:pos="1965" w:val="left" w:leader="none"/>
        </w:tabs>
        <w:spacing w:line="240" w:lineRule="exact" w:before="0" w:after="0"/>
        <w:ind w:left="1964" w:right="0" w:hanging="681"/>
        <w:jc w:val="left"/>
        <w:rPr>
          <w:sz w:val="20"/>
        </w:rPr>
      </w:pPr>
      <w:r>
        <w:rPr>
          <w:w w:val="120"/>
          <w:sz w:val="20"/>
        </w:rPr>
        <w:t>Ecumenical use of the centre is</w:t>
      </w:r>
      <w:r>
        <w:rPr>
          <w:spacing w:val="13"/>
          <w:w w:val="120"/>
          <w:sz w:val="20"/>
        </w:rPr>
        <w:t> </w:t>
      </w:r>
      <w:r>
        <w:rPr>
          <w:w w:val="120"/>
          <w:sz w:val="20"/>
        </w:rPr>
        <w:t>growing</w:t>
      </w:r>
    </w:p>
    <w:p>
      <w:pPr>
        <w:pStyle w:val="ListParagraph"/>
        <w:numPr>
          <w:ilvl w:val="0"/>
          <w:numId w:val="65"/>
        </w:numPr>
        <w:tabs>
          <w:tab w:pos="1964" w:val="left" w:leader="none"/>
          <w:tab w:pos="1965" w:val="left" w:leader="none"/>
        </w:tabs>
        <w:spacing w:line="196" w:lineRule="auto" w:before="0" w:after="0"/>
        <w:ind w:left="1964" w:right="2378" w:hanging="681"/>
        <w:jc w:val="left"/>
        <w:rPr>
          <w:sz w:val="20"/>
        </w:rPr>
      </w:pPr>
      <w:r>
        <w:rPr>
          <w:w w:val="120"/>
          <w:sz w:val="20"/>
        </w:rPr>
        <w:t>Income from courses increased 44% so eliminated reliance on holiday accommodation via</w:t>
      </w:r>
      <w:r>
        <w:rPr>
          <w:spacing w:val="5"/>
          <w:w w:val="120"/>
          <w:sz w:val="20"/>
        </w:rPr>
        <w:t> </w:t>
      </w:r>
      <w:r>
        <w:rPr>
          <w:w w:val="120"/>
          <w:sz w:val="20"/>
        </w:rPr>
        <w:t>Booking.com</w:t>
      </w:r>
    </w:p>
    <w:p>
      <w:pPr>
        <w:pStyle w:val="ListParagraph"/>
        <w:numPr>
          <w:ilvl w:val="0"/>
          <w:numId w:val="65"/>
        </w:numPr>
        <w:tabs>
          <w:tab w:pos="1964" w:val="left" w:leader="none"/>
          <w:tab w:pos="1965" w:val="left" w:leader="none"/>
        </w:tabs>
        <w:spacing w:line="241" w:lineRule="exact" w:before="0" w:after="0"/>
        <w:ind w:left="1964" w:right="0" w:hanging="681"/>
        <w:jc w:val="left"/>
        <w:rPr>
          <w:sz w:val="20"/>
        </w:rPr>
      </w:pPr>
      <w:r>
        <w:rPr>
          <w:w w:val="120"/>
          <w:sz w:val="20"/>
        </w:rPr>
        <w:t>The budget deficit reduced </w:t>
      </w:r>
      <w:r>
        <w:rPr>
          <w:spacing w:val="-8"/>
          <w:w w:val="120"/>
          <w:sz w:val="20"/>
        </w:rPr>
        <w:t>74% </w:t>
      </w:r>
      <w:r>
        <w:rPr>
          <w:w w:val="120"/>
          <w:sz w:val="20"/>
        </w:rPr>
        <w:t>during </w:t>
      </w:r>
      <w:r>
        <w:rPr>
          <w:spacing w:val="-7"/>
          <w:w w:val="120"/>
          <w:sz w:val="20"/>
        </w:rPr>
        <w:t>2015; </w:t>
      </w:r>
      <w:r>
        <w:rPr>
          <w:w w:val="120"/>
          <w:sz w:val="20"/>
        </w:rPr>
        <w:t>income increased </w:t>
      </w:r>
      <w:r>
        <w:rPr>
          <w:spacing w:val="-5"/>
          <w:w w:val="120"/>
          <w:sz w:val="20"/>
        </w:rPr>
        <w:t>19%</w:t>
      </w:r>
      <w:r>
        <w:rPr>
          <w:spacing w:val="36"/>
          <w:w w:val="120"/>
          <w:sz w:val="20"/>
        </w:rPr>
        <w:t> </w:t>
      </w:r>
      <w:r>
        <w:rPr>
          <w:w w:val="120"/>
          <w:sz w:val="20"/>
        </w:rPr>
        <w:t>overall</w:t>
      </w:r>
    </w:p>
    <w:p>
      <w:pPr>
        <w:pStyle w:val="ListParagraph"/>
        <w:numPr>
          <w:ilvl w:val="0"/>
          <w:numId w:val="65"/>
        </w:numPr>
        <w:tabs>
          <w:tab w:pos="1964" w:val="left" w:leader="none"/>
          <w:tab w:pos="1965" w:val="left" w:leader="none"/>
        </w:tabs>
        <w:spacing w:line="196" w:lineRule="auto" w:before="0" w:after="0"/>
        <w:ind w:left="1964" w:right="1441" w:hanging="681"/>
        <w:jc w:val="left"/>
        <w:rPr>
          <w:sz w:val="20"/>
        </w:rPr>
      </w:pPr>
      <w:r>
        <w:rPr>
          <w:w w:val="120"/>
          <w:sz w:val="20"/>
        </w:rPr>
        <w:t>The new business plan – tracking an overall reduction in central subsidy for the centre</w:t>
      </w:r>
      <w:r>
        <w:rPr>
          <w:spacing w:val="6"/>
          <w:w w:val="120"/>
          <w:sz w:val="20"/>
        </w:rPr>
        <w:t> </w:t>
      </w:r>
      <w:r>
        <w:rPr>
          <w:w w:val="120"/>
          <w:sz w:val="20"/>
        </w:rPr>
        <w:t>over</w:t>
      </w:r>
      <w:r>
        <w:rPr>
          <w:spacing w:val="6"/>
          <w:w w:val="120"/>
          <w:sz w:val="20"/>
        </w:rPr>
        <w:t> </w:t>
      </w:r>
      <w:r>
        <w:rPr>
          <w:w w:val="120"/>
          <w:sz w:val="20"/>
        </w:rPr>
        <w:t>the</w:t>
      </w:r>
      <w:r>
        <w:rPr>
          <w:spacing w:val="7"/>
          <w:w w:val="120"/>
          <w:sz w:val="20"/>
        </w:rPr>
        <w:t> </w:t>
      </w:r>
      <w:r>
        <w:rPr>
          <w:w w:val="120"/>
          <w:sz w:val="20"/>
        </w:rPr>
        <w:t>period</w:t>
      </w:r>
      <w:r>
        <w:rPr>
          <w:spacing w:val="6"/>
          <w:w w:val="120"/>
          <w:sz w:val="20"/>
        </w:rPr>
        <w:t> </w:t>
      </w:r>
      <w:r>
        <w:rPr>
          <w:spacing w:val="-7"/>
          <w:w w:val="120"/>
          <w:sz w:val="20"/>
        </w:rPr>
        <w:t>2015-18</w:t>
      </w:r>
      <w:r>
        <w:rPr>
          <w:spacing w:val="7"/>
          <w:w w:val="120"/>
          <w:sz w:val="20"/>
        </w:rPr>
        <w:t> </w:t>
      </w:r>
      <w:r>
        <w:rPr>
          <w:w w:val="120"/>
          <w:sz w:val="20"/>
        </w:rPr>
        <w:t>–</w:t>
      </w:r>
      <w:r>
        <w:rPr>
          <w:spacing w:val="6"/>
          <w:w w:val="120"/>
          <w:sz w:val="20"/>
        </w:rPr>
        <w:t> </w:t>
      </w:r>
      <w:r>
        <w:rPr>
          <w:w w:val="120"/>
          <w:sz w:val="20"/>
        </w:rPr>
        <w:t>was</w:t>
      </w:r>
      <w:r>
        <w:rPr>
          <w:spacing w:val="6"/>
          <w:w w:val="120"/>
          <w:sz w:val="20"/>
        </w:rPr>
        <w:t> </w:t>
      </w:r>
      <w:r>
        <w:rPr>
          <w:w w:val="120"/>
          <w:sz w:val="20"/>
        </w:rPr>
        <w:t>endorsed</w:t>
      </w:r>
      <w:r>
        <w:rPr>
          <w:spacing w:val="7"/>
          <w:w w:val="120"/>
          <w:sz w:val="20"/>
        </w:rPr>
        <w:t> </w:t>
      </w:r>
      <w:r>
        <w:rPr>
          <w:w w:val="120"/>
          <w:sz w:val="20"/>
        </w:rPr>
        <w:t>by</w:t>
      </w:r>
      <w:r>
        <w:rPr>
          <w:spacing w:val="6"/>
          <w:w w:val="120"/>
          <w:sz w:val="20"/>
        </w:rPr>
        <w:t> </w:t>
      </w:r>
      <w:r>
        <w:rPr>
          <w:w w:val="120"/>
          <w:sz w:val="20"/>
        </w:rPr>
        <w:t>both</w:t>
      </w:r>
      <w:r>
        <w:rPr>
          <w:spacing w:val="7"/>
          <w:w w:val="120"/>
          <w:sz w:val="20"/>
        </w:rPr>
        <w:t> </w:t>
      </w:r>
      <w:r>
        <w:rPr>
          <w:w w:val="120"/>
          <w:sz w:val="20"/>
        </w:rPr>
        <w:t>the</w:t>
      </w:r>
      <w:r>
        <w:rPr>
          <w:spacing w:val="6"/>
          <w:w w:val="120"/>
          <w:sz w:val="20"/>
        </w:rPr>
        <w:t> </w:t>
      </w:r>
      <w:r>
        <w:rPr>
          <w:w w:val="120"/>
          <w:sz w:val="20"/>
        </w:rPr>
        <w:t>finance</w:t>
      </w:r>
      <w:r>
        <w:rPr>
          <w:spacing w:val="6"/>
          <w:w w:val="120"/>
          <w:sz w:val="20"/>
        </w:rPr>
        <w:t> </w:t>
      </w:r>
      <w:r>
        <w:rPr>
          <w:w w:val="120"/>
          <w:sz w:val="20"/>
        </w:rPr>
        <w:t>committee</w:t>
      </w:r>
    </w:p>
    <w:p>
      <w:pPr>
        <w:pStyle w:val="BodyText"/>
        <w:ind w:left="1964"/>
      </w:pPr>
      <w:r>
        <w:rPr>
          <w:w w:val="120"/>
        </w:rPr>
        <w:t>and Mission Council</w:t>
      </w:r>
    </w:p>
    <w:p>
      <w:pPr>
        <w:pStyle w:val="BodyText"/>
        <w:spacing w:before="6"/>
        <w:rPr>
          <w:sz w:val="9"/>
        </w:rPr>
      </w:pPr>
    </w:p>
    <w:p>
      <w:pPr>
        <w:pStyle w:val="ListParagraph"/>
        <w:numPr>
          <w:ilvl w:val="1"/>
          <w:numId w:val="64"/>
        </w:numPr>
        <w:tabs>
          <w:tab w:pos="1964" w:val="left" w:leader="none"/>
          <w:tab w:pos="1965" w:val="left" w:leader="none"/>
        </w:tabs>
        <w:spacing w:line="236" w:lineRule="exact" w:before="100" w:after="0"/>
        <w:ind w:left="1964" w:right="0" w:hanging="681"/>
        <w:jc w:val="left"/>
        <w:rPr>
          <w:sz w:val="20"/>
        </w:rPr>
      </w:pPr>
      <w:r>
        <w:rPr>
          <w:w w:val="120"/>
          <w:sz w:val="20"/>
        </w:rPr>
        <w:t>Comparative</w:t>
      </w:r>
      <w:r>
        <w:rPr>
          <w:spacing w:val="2"/>
          <w:w w:val="120"/>
          <w:sz w:val="20"/>
        </w:rPr>
        <w:t> </w:t>
      </w:r>
      <w:r>
        <w:rPr>
          <w:w w:val="120"/>
          <w:sz w:val="20"/>
        </w:rPr>
        <w:t>figures:</w:t>
      </w:r>
    </w:p>
    <w:p>
      <w:pPr>
        <w:pStyle w:val="Heading7"/>
        <w:tabs>
          <w:tab w:pos="2074" w:val="left" w:leader="none"/>
        </w:tabs>
        <w:spacing w:line="244" w:lineRule="exact"/>
        <w:ind w:left="634"/>
        <w:jc w:val="center"/>
      </w:pPr>
      <w:r>
        <w:rPr>
          <w:spacing w:val="-6"/>
          <w:w w:val="110"/>
        </w:rPr>
        <w:t>2015</w:t>
        <w:tab/>
      </w:r>
      <w:r>
        <w:rPr>
          <w:spacing w:val="-7"/>
          <w:w w:val="110"/>
        </w:rPr>
        <w:t>2014)</w:t>
      </w:r>
    </w:p>
    <w:p>
      <w:pPr>
        <w:pStyle w:val="BodyText"/>
        <w:tabs>
          <w:tab w:pos="4884" w:val="left" w:leader="none"/>
          <w:tab w:pos="6323" w:val="left" w:leader="none"/>
        </w:tabs>
        <w:spacing w:line="242" w:lineRule="exact"/>
        <w:ind w:left="1964"/>
      </w:pPr>
      <w:r>
        <w:rPr>
          <w:spacing w:val="-3"/>
          <w:w w:val="120"/>
        </w:rPr>
        <w:t>Total</w:t>
      </w:r>
      <w:r>
        <w:rPr>
          <w:spacing w:val="-2"/>
          <w:w w:val="120"/>
        </w:rPr>
        <w:t> </w:t>
      </w:r>
      <w:r>
        <w:rPr>
          <w:w w:val="120"/>
        </w:rPr>
        <w:t>visitors</w:t>
        <w:tab/>
      </w:r>
      <w:r>
        <w:rPr>
          <w:spacing w:val="-4"/>
          <w:w w:val="120"/>
        </w:rPr>
        <w:t>1,896</w:t>
        <w:tab/>
      </w:r>
      <w:r>
        <w:rPr>
          <w:spacing w:val="-11"/>
          <w:w w:val="120"/>
        </w:rPr>
        <w:t>1,747</w:t>
      </w:r>
    </w:p>
    <w:p>
      <w:pPr>
        <w:pStyle w:val="BodyText"/>
        <w:tabs>
          <w:tab w:pos="4884" w:val="left" w:leader="none"/>
          <w:tab w:pos="6323" w:val="left" w:leader="none"/>
        </w:tabs>
        <w:spacing w:line="240" w:lineRule="exact"/>
        <w:ind w:left="1964"/>
      </w:pPr>
      <w:r>
        <w:rPr>
          <w:spacing w:val="-3"/>
          <w:w w:val="125"/>
        </w:rPr>
        <w:t>Total</w:t>
      </w:r>
      <w:r>
        <w:rPr>
          <w:spacing w:val="-9"/>
          <w:w w:val="125"/>
        </w:rPr>
        <w:t> </w:t>
      </w:r>
      <w:r>
        <w:rPr>
          <w:w w:val="125"/>
        </w:rPr>
        <w:t>bednights:</w:t>
        <w:tab/>
        <w:t>4,250</w:t>
        <w:tab/>
      </w:r>
      <w:r>
        <w:rPr>
          <w:spacing w:val="-6"/>
          <w:w w:val="125"/>
        </w:rPr>
        <w:t>3,874</w:t>
      </w:r>
    </w:p>
    <w:p>
      <w:pPr>
        <w:pStyle w:val="BodyText"/>
        <w:tabs>
          <w:tab w:pos="4884" w:val="left" w:leader="none"/>
          <w:tab w:pos="6695" w:val="right" w:leader="none"/>
        </w:tabs>
        <w:spacing w:line="240" w:lineRule="exact"/>
        <w:ind w:left="1964"/>
      </w:pPr>
      <w:r>
        <w:rPr>
          <w:w w:val="125"/>
        </w:rPr>
        <w:t>Church</w:t>
      </w:r>
      <w:r>
        <w:rPr>
          <w:spacing w:val="-12"/>
          <w:w w:val="125"/>
        </w:rPr>
        <w:t> </w:t>
      </w:r>
      <w:r>
        <w:rPr>
          <w:w w:val="125"/>
        </w:rPr>
        <w:t>contacts:</w:t>
        <w:tab/>
      </w:r>
      <w:r>
        <w:rPr>
          <w:spacing w:val="-3"/>
          <w:w w:val="125"/>
        </w:rPr>
        <w:t>350</w:t>
        <w:tab/>
      </w:r>
      <w:r>
        <w:rPr>
          <w:spacing w:val="-4"/>
          <w:w w:val="125"/>
        </w:rPr>
        <w:t>358</w:t>
      </w:r>
    </w:p>
    <w:p>
      <w:pPr>
        <w:pStyle w:val="BodyText"/>
        <w:tabs>
          <w:tab w:pos="4884" w:val="left" w:leader="none"/>
          <w:tab w:pos="6695" w:val="right" w:leader="none"/>
        </w:tabs>
        <w:spacing w:line="242" w:lineRule="exact"/>
        <w:ind w:left="1964"/>
      </w:pPr>
      <w:r>
        <w:rPr>
          <w:w w:val="120"/>
        </w:rPr>
        <w:t>Newsletter</w:t>
      </w:r>
      <w:r>
        <w:rPr>
          <w:spacing w:val="-1"/>
          <w:w w:val="120"/>
        </w:rPr>
        <w:t> </w:t>
      </w:r>
      <w:r>
        <w:rPr>
          <w:w w:val="120"/>
        </w:rPr>
        <w:t>subscribers:</w:t>
        <w:tab/>
      </w:r>
      <w:r>
        <w:rPr>
          <w:spacing w:val="-4"/>
          <w:w w:val="120"/>
        </w:rPr>
        <w:t>458</w:t>
        <w:tab/>
        <w:t>383</w:t>
      </w:r>
    </w:p>
    <w:p>
      <w:pPr>
        <w:pStyle w:val="ListParagraph"/>
        <w:numPr>
          <w:ilvl w:val="1"/>
          <w:numId w:val="64"/>
        </w:numPr>
        <w:tabs>
          <w:tab w:pos="1964" w:val="left" w:leader="none"/>
          <w:tab w:pos="1965" w:val="left" w:leader="none"/>
        </w:tabs>
        <w:spacing w:line="235" w:lineRule="auto" w:before="239" w:after="0"/>
        <w:ind w:left="1284" w:right="1352" w:firstLine="0"/>
        <w:jc w:val="left"/>
        <w:rPr>
          <w:sz w:val="20"/>
        </w:rPr>
      </w:pPr>
      <w:r>
        <w:rPr>
          <w:w w:val="120"/>
          <w:sz w:val="20"/>
        </w:rPr>
        <w:t>Assuming an average church size of 20 per church contact, approximately 9,500 URC</w:t>
      </w:r>
      <w:r>
        <w:rPr>
          <w:spacing w:val="9"/>
          <w:w w:val="120"/>
          <w:sz w:val="20"/>
        </w:rPr>
        <w:t> </w:t>
      </w:r>
      <w:r>
        <w:rPr>
          <w:w w:val="120"/>
          <w:sz w:val="20"/>
        </w:rPr>
        <w:t>members</w:t>
      </w:r>
      <w:r>
        <w:rPr>
          <w:spacing w:val="9"/>
          <w:w w:val="120"/>
          <w:sz w:val="20"/>
        </w:rPr>
        <w:t> </w:t>
      </w:r>
      <w:r>
        <w:rPr>
          <w:w w:val="120"/>
          <w:sz w:val="20"/>
        </w:rPr>
        <w:t>were</w:t>
      </w:r>
      <w:r>
        <w:rPr>
          <w:spacing w:val="9"/>
          <w:w w:val="120"/>
          <w:sz w:val="20"/>
        </w:rPr>
        <w:t> </w:t>
      </w:r>
      <w:r>
        <w:rPr>
          <w:w w:val="120"/>
          <w:sz w:val="20"/>
        </w:rPr>
        <w:t>directly</w:t>
      </w:r>
      <w:r>
        <w:rPr>
          <w:spacing w:val="9"/>
          <w:w w:val="120"/>
          <w:sz w:val="20"/>
        </w:rPr>
        <w:t> </w:t>
      </w:r>
      <w:r>
        <w:rPr>
          <w:w w:val="120"/>
          <w:sz w:val="20"/>
        </w:rPr>
        <w:t>resourced</w:t>
      </w:r>
      <w:r>
        <w:rPr>
          <w:spacing w:val="9"/>
          <w:w w:val="120"/>
          <w:sz w:val="20"/>
        </w:rPr>
        <w:t> </w:t>
      </w:r>
      <w:r>
        <w:rPr>
          <w:w w:val="120"/>
          <w:sz w:val="20"/>
        </w:rPr>
        <w:t>by</w:t>
      </w:r>
      <w:r>
        <w:rPr>
          <w:spacing w:val="9"/>
          <w:w w:val="120"/>
          <w:sz w:val="20"/>
        </w:rPr>
        <w:t> </w:t>
      </w:r>
      <w:r>
        <w:rPr>
          <w:w w:val="120"/>
          <w:sz w:val="20"/>
        </w:rPr>
        <w:t>the</w:t>
      </w:r>
      <w:r>
        <w:rPr>
          <w:spacing w:val="9"/>
          <w:w w:val="120"/>
          <w:sz w:val="20"/>
        </w:rPr>
        <w:t> </w:t>
      </w:r>
      <w:r>
        <w:rPr>
          <w:w w:val="120"/>
          <w:sz w:val="20"/>
        </w:rPr>
        <w:t>centre</w:t>
      </w:r>
      <w:r>
        <w:rPr>
          <w:spacing w:val="9"/>
          <w:w w:val="120"/>
          <w:sz w:val="20"/>
        </w:rPr>
        <w:t> </w:t>
      </w:r>
      <w:r>
        <w:rPr>
          <w:w w:val="120"/>
          <w:sz w:val="20"/>
        </w:rPr>
        <w:t>during</w:t>
      </w:r>
      <w:r>
        <w:rPr>
          <w:spacing w:val="9"/>
          <w:w w:val="120"/>
          <w:sz w:val="20"/>
        </w:rPr>
        <w:t> </w:t>
      </w:r>
      <w:r>
        <w:rPr>
          <w:spacing w:val="-7"/>
          <w:w w:val="120"/>
          <w:sz w:val="20"/>
        </w:rPr>
        <w:t>2015;</w:t>
      </w:r>
      <w:r>
        <w:rPr>
          <w:spacing w:val="9"/>
          <w:w w:val="120"/>
          <w:sz w:val="20"/>
        </w:rPr>
        <w:t> </w:t>
      </w:r>
      <w:r>
        <w:rPr>
          <w:w w:val="120"/>
          <w:sz w:val="20"/>
        </w:rPr>
        <w:t>the</w:t>
      </w:r>
      <w:r>
        <w:rPr>
          <w:spacing w:val="9"/>
          <w:w w:val="120"/>
          <w:sz w:val="20"/>
        </w:rPr>
        <w:t> </w:t>
      </w:r>
      <w:r>
        <w:rPr>
          <w:w w:val="120"/>
          <w:sz w:val="20"/>
        </w:rPr>
        <w:t>URC</w:t>
      </w:r>
      <w:r>
        <w:rPr>
          <w:spacing w:val="9"/>
          <w:w w:val="120"/>
          <w:sz w:val="20"/>
        </w:rPr>
        <w:t> </w:t>
      </w:r>
      <w:r>
        <w:rPr>
          <w:w w:val="120"/>
          <w:sz w:val="20"/>
        </w:rPr>
        <w:t>support</w:t>
      </w:r>
      <w:r>
        <w:rPr>
          <w:spacing w:val="9"/>
          <w:w w:val="120"/>
          <w:sz w:val="20"/>
        </w:rPr>
        <w:t> </w:t>
      </w:r>
      <w:r>
        <w:rPr>
          <w:w w:val="120"/>
          <w:sz w:val="20"/>
        </w:rPr>
        <w:t>of</w:t>
      </w:r>
    </w:p>
    <w:p>
      <w:pPr>
        <w:pStyle w:val="BodyText"/>
        <w:spacing w:line="242" w:lineRule="exact"/>
        <w:ind w:left="1284"/>
      </w:pPr>
      <w:r>
        <w:rPr>
          <w:w w:val="120"/>
        </w:rPr>
        <w:t>£123K thus represents a per capita investment of approximately £13.</w:t>
      </w:r>
    </w:p>
    <w:p>
      <w:pPr>
        <w:spacing w:after="0" w:line="242" w:lineRule="exact"/>
        <w:sectPr>
          <w:headerReference w:type="default" r:id="rId241"/>
          <w:footerReference w:type="default" r:id="rId242"/>
          <w:footerReference w:type="even" r:id="rId243"/>
          <w:pgSz w:w="11910" w:h="16840"/>
          <w:pgMar w:header="0" w:footer="647" w:top="0" w:bottom="840" w:left="700" w:right="0"/>
          <w:pgNumType w:start="75"/>
        </w:sectPr>
      </w:pPr>
    </w:p>
    <w:p>
      <w:pPr>
        <w:pStyle w:val="BodyText"/>
      </w:pPr>
      <w:r>
        <w:rPr/>
        <w:drawing>
          <wp:anchor distT="0" distB="0" distL="0" distR="0" allowOverlap="1" layoutInCell="1" locked="0" behindDoc="1" simplePos="0" relativeHeight="235397120">
            <wp:simplePos x="0" y="0"/>
            <wp:positionH relativeFrom="page">
              <wp:posOffset>0</wp:posOffset>
            </wp:positionH>
            <wp:positionV relativeFrom="page">
              <wp:posOffset>0</wp:posOffset>
            </wp:positionV>
            <wp:extent cx="594067" cy="10692003"/>
            <wp:effectExtent l="0" t="0" r="0" b="0"/>
            <wp:wrapNone/>
            <wp:docPr id="137" name="image67.png"/>
            <wp:cNvGraphicFramePr>
              <a:graphicFrameLocks noChangeAspect="1"/>
            </wp:cNvGraphicFramePr>
            <a:graphic>
              <a:graphicData uri="http://schemas.openxmlformats.org/drawingml/2006/picture">
                <pic:pic>
                  <pic:nvPicPr>
                    <pic:cNvPr id="138" name="image67.png"/>
                    <pic:cNvPicPr/>
                  </pic:nvPicPr>
                  <pic:blipFill>
                    <a:blip r:embed="rId184" cstate="print"/>
                    <a:stretch>
                      <a:fillRect/>
                    </a:stretch>
                  </pic:blipFill>
                  <pic:spPr>
                    <a:xfrm>
                      <a:off x="0" y="0"/>
                      <a:ext cx="594067" cy="10692003"/>
                    </a:xfrm>
                    <a:prstGeom prst="rect">
                      <a:avLst/>
                    </a:prstGeom>
                  </pic:spPr>
                </pic:pic>
              </a:graphicData>
            </a:graphic>
          </wp:anchor>
        </w:drawing>
      </w:r>
      <w:r>
        <w:rPr/>
        <w:pict>
          <v:shape style="position:absolute;margin-left:20.519100pt;margin-top:48.890015pt;width:25.9pt;height:237.55pt;mso-position-horizontal-relative:page;mso-position-vertical-relative:page;z-index:-267918336" type="#_x0000_t202" filled="false" stroked="false">
            <v:textbox inset="0,0,0,0" style="layout-flow:vertical">
              <w:txbxContent>
                <w:p>
                  <w:pPr>
                    <w:spacing w:before="27"/>
                    <w:ind w:left="20" w:right="0" w:firstLine="0"/>
                    <w:jc w:val="left"/>
                    <w:rPr>
                      <w:sz w:val="39"/>
                    </w:rPr>
                  </w:pPr>
                  <w:r>
                    <w:rPr>
                      <w:color w:val="FFFFFF"/>
                      <w:w w:val="120"/>
                      <w:sz w:val="39"/>
                    </w:rPr>
                    <w:t>Education and learning</w:t>
                  </w:r>
                </w:p>
              </w:txbxContent>
            </v:textbox>
            <w10:wrap type="none"/>
          </v:shape>
        </w:pict>
      </w:r>
    </w:p>
    <w:p>
      <w:pPr>
        <w:pStyle w:val="BodyText"/>
        <w:spacing w:before="7"/>
        <w:rPr>
          <w:sz w:val="21"/>
        </w:rPr>
      </w:pPr>
    </w:p>
    <w:p>
      <w:pPr>
        <w:spacing w:before="106"/>
        <w:ind w:left="547" w:right="0" w:firstLine="0"/>
        <w:jc w:val="left"/>
        <w:rPr>
          <w:sz w:val="26"/>
        </w:rPr>
      </w:pPr>
      <w:r>
        <w:rPr>
          <w:color w:val="7EAABF"/>
          <w:w w:val="115"/>
          <w:sz w:val="26"/>
        </w:rPr>
        <w:t>Education and learning</w:t>
      </w:r>
    </w:p>
    <w:p>
      <w:pPr>
        <w:pStyle w:val="Heading2"/>
        <w:spacing w:before="215"/>
        <w:ind w:left="547"/>
      </w:pPr>
      <w:r>
        <w:rPr>
          <w:w w:val="110"/>
        </w:rPr>
        <w:t>The best of what we do</w:t>
      </w:r>
    </w:p>
    <w:p>
      <w:pPr>
        <w:pStyle w:val="ListParagraph"/>
        <w:numPr>
          <w:ilvl w:val="1"/>
          <w:numId w:val="64"/>
        </w:numPr>
        <w:tabs>
          <w:tab w:pos="1227" w:val="left" w:leader="none"/>
          <w:tab w:pos="1228" w:val="left" w:leader="none"/>
        </w:tabs>
        <w:spacing w:line="235" w:lineRule="auto" w:before="83" w:after="0"/>
        <w:ind w:left="547" w:right="2352" w:firstLine="0"/>
        <w:jc w:val="left"/>
        <w:rPr>
          <w:sz w:val="20"/>
        </w:rPr>
      </w:pPr>
      <w:r>
        <w:rPr>
          <w:w w:val="120"/>
          <w:sz w:val="20"/>
        </w:rPr>
        <w:t>The centre resources the URC through its programme, its monthly newsletter containing resources for local churches, and the wider work of the</w:t>
      </w:r>
      <w:r>
        <w:rPr>
          <w:spacing w:val="31"/>
          <w:w w:val="120"/>
          <w:sz w:val="20"/>
        </w:rPr>
        <w:t> </w:t>
      </w:r>
      <w:r>
        <w:rPr>
          <w:w w:val="120"/>
          <w:sz w:val="20"/>
        </w:rPr>
        <w:t>Director.</w:t>
      </w:r>
    </w:p>
    <w:p>
      <w:pPr>
        <w:pStyle w:val="BodyText"/>
        <w:spacing w:before="5"/>
        <w:rPr>
          <w:sz w:val="19"/>
        </w:rPr>
      </w:pPr>
    </w:p>
    <w:p>
      <w:pPr>
        <w:pStyle w:val="ListParagraph"/>
        <w:numPr>
          <w:ilvl w:val="1"/>
          <w:numId w:val="64"/>
        </w:numPr>
        <w:tabs>
          <w:tab w:pos="1227" w:val="left" w:leader="none"/>
          <w:tab w:pos="1228" w:val="left" w:leader="none"/>
        </w:tabs>
        <w:spacing w:line="212" w:lineRule="exact" w:before="1" w:after="0"/>
        <w:ind w:left="1227" w:right="0" w:hanging="681"/>
        <w:jc w:val="left"/>
        <w:rPr>
          <w:sz w:val="20"/>
        </w:rPr>
      </w:pPr>
      <w:r>
        <w:rPr>
          <w:w w:val="120"/>
          <w:sz w:val="20"/>
        </w:rPr>
        <w:t>Our</w:t>
      </w:r>
      <w:r>
        <w:rPr>
          <w:spacing w:val="2"/>
          <w:w w:val="120"/>
          <w:sz w:val="20"/>
        </w:rPr>
        <w:t> </w:t>
      </w:r>
      <w:r>
        <w:rPr>
          <w:w w:val="120"/>
          <w:sz w:val="20"/>
        </w:rPr>
        <w:t>programme:</w:t>
      </w:r>
    </w:p>
    <w:p>
      <w:pPr>
        <w:pStyle w:val="ListParagraph"/>
        <w:numPr>
          <w:ilvl w:val="0"/>
          <w:numId w:val="28"/>
        </w:numPr>
        <w:tabs>
          <w:tab w:pos="1227" w:val="left" w:leader="none"/>
          <w:tab w:pos="1228" w:val="left" w:leader="none"/>
        </w:tabs>
        <w:spacing w:line="265" w:lineRule="exact" w:before="0" w:after="0"/>
        <w:ind w:left="1227" w:right="0" w:hanging="681"/>
        <w:jc w:val="left"/>
        <w:rPr>
          <w:sz w:val="20"/>
        </w:rPr>
      </w:pPr>
      <w:r>
        <w:rPr>
          <w:w w:val="120"/>
          <w:sz w:val="20"/>
        </w:rPr>
        <w:t>responding to and resourcing URC</w:t>
      </w:r>
      <w:r>
        <w:rPr>
          <w:spacing w:val="12"/>
          <w:w w:val="120"/>
          <w:sz w:val="20"/>
        </w:rPr>
        <w:t> </w:t>
      </w:r>
      <w:r>
        <w:rPr>
          <w:w w:val="120"/>
          <w:sz w:val="20"/>
        </w:rPr>
        <w:t>initiatives</w:t>
      </w:r>
    </w:p>
    <w:p>
      <w:pPr>
        <w:pStyle w:val="ListParagraph"/>
        <w:numPr>
          <w:ilvl w:val="0"/>
          <w:numId w:val="28"/>
        </w:numPr>
        <w:tabs>
          <w:tab w:pos="1227" w:val="left" w:leader="none"/>
          <w:tab w:pos="1228" w:val="left" w:leader="none"/>
        </w:tabs>
        <w:spacing w:line="196" w:lineRule="auto" w:before="0" w:after="0"/>
        <w:ind w:left="1227" w:right="2544" w:hanging="681"/>
        <w:jc w:val="left"/>
        <w:rPr>
          <w:sz w:val="20"/>
        </w:rPr>
      </w:pPr>
      <w:r>
        <w:rPr>
          <w:w w:val="120"/>
          <w:sz w:val="20"/>
        </w:rPr>
        <w:t>creating alliances to devise and deliver sustained programmes for the life of the</w:t>
      </w:r>
      <w:r>
        <w:rPr>
          <w:spacing w:val="2"/>
          <w:w w:val="120"/>
          <w:sz w:val="20"/>
        </w:rPr>
        <w:t> </w:t>
      </w:r>
      <w:r>
        <w:rPr>
          <w:w w:val="120"/>
          <w:sz w:val="20"/>
        </w:rPr>
        <w:t>Church</w:t>
      </w:r>
    </w:p>
    <w:p>
      <w:pPr>
        <w:pStyle w:val="ListParagraph"/>
        <w:numPr>
          <w:ilvl w:val="0"/>
          <w:numId w:val="28"/>
        </w:numPr>
        <w:tabs>
          <w:tab w:pos="1227" w:val="left" w:leader="none"/>
          <w:tab w:pos="1228" w:val="left" w:leader="none"/>
        </w:tabs>
        <w:spacing w:line="241" w:lineRule="exact" w:before="0" w:after="0"/>
        <w:ind w:left="1227" w:right="0" w:hanging="681"/>
        <w:jc w:val="left"/>
        <w:rPr>
          <w:sz w:val="20"/>
        </w:rPr>
      </w:pPr>
      <w:r>
        <w:rPr>
          <w:w w:val="120"/>
          <w:sz w:val="20"/>
        </w:rPr>
        <w:t>delivering and/or hosting core URC</w:t>
      </w:r>
      <w:r>
        <w:rPr>
          <w:spacing w:val="11"/>
          <w:w w:val="120"/>
          <w:sz w:val="20"/>
        </w:rPr>
        <w:t> </w:t>
      </w:r>
      <w:r>
        <w:rPr>
          <w:w w:val="120"/>
          <w:sz w:val="20"/>
        </w:rPr>
        <w:t>courses</w:t>
      </w:r>
    </w:p>
    <w:p>
      <w:pPr>
        <w:pStyle w:val="ListParagraph"/>
        <w:numPr>
          <w:ilvl w:val="0"/>
          <w:numId w:val="28"/>
        </w:numPr>
        <w:tabs>
          <w:tab w:pos="1227" w:val="left" w:leader="none"/>
          <w:tab w:pos="1228" w:val="left" w:leader="none"/>
        </w:tabs>
        <w:spacing w:line="240" w:lineRule="exact" w:before="0" w:after="0"/>
        <w:ind w:left="1227" w:right="0" w:hanging="681"/>
        <w:jc w:val="left"/>
        <w:rPr>
          <w:sz w:val="20"/>
        </w:rPr>
      </w:pPr>
      <w:r>
        <w:rPr>
          <w:w w:val="120"/>
          <w:sz w:val="20"/>
        </w:rPr>
        <w:t>promoting and resourcing an active web presence for local</w:t>
      </w:r>
      <w:r>
        <w:rPr>
          <w:spacing w:val="27"/>
          <w:w w:val="120"/>
          <w:sz w:val="20"/>
        </w:rPr>
        <w:t> </w:t>
      </w:r>
      <w:r>
        <w:rPr>
          <w:w w:val="120"/>
          <w:sz w:val="20"/>
        </w:rPr>
        <w:t>churches</w:t>
      </w:r>
    </w:p>
    <w:p>
      <w:pPr>
        <w:pStyle w:val="ListParagraph"/>
        <w:numPr>
          <w:ilvl w:val="0"/>
          <w:numId w:val="28"/>
        </w:numPr>
        <w:tabs>
          <w:tab w:pos="1227" w:val="left" w:leader="none"/>
          <w:tab w:pos="1228" w:val="left" w:leader="none"/>
        </w:tabs>
        <w:spacing w:line="240" w:lineRule="exact" w:before="0" w:after="0"/>
        <w:ind w:left="1227" w:right="0" w:hanging="681"/>
        <w:jc w:val="left"/>
        <w:rPr>
          <w:sz w:val="20"/>
        </w:rPr>
      </w:pPr>
      <w:r>
        <w:rPr>
          <w:w w:val="120"/>
          <w:sz w:val="20"/>
        </w:rPr>
        <w:t>church weekends, with a focus on growing in faith and</w:t>
      </w:r>
      <w:r>
        <w:rPr>
          <w:spacing w:val="29"/>
          <w:w w:val="120"/>
          <w:sz w:val="20"/>
        </w:rPr>
        <w:t> </w:t>
      </w:r>
      <w:r>
        <w:rPr>
          <w:w w:val="120"/>
          <w:sz w:val="20"/>
        </w:rPr>
        <w:t>discipleship</w:t>
      </w:r>
    </w:p>
    <w:p>
      <w:pPr>
        <w:pStyle w:val="ListParagraph"/>
        <w:numPr>
          <w:ilvl w:val="0"/>
          <w:numId w:val="28"/>
        </w:numPr>
        <w:tabs>
          <w:tab w:pos="1227" w:val="left" w:leader="none"/>
          <w:tab w:pos="1228" w:val="left" w:leader="none"/>
        </w:tabs>
        <w:spacing w:line="240" w:lineRule="exact" w:before="0" w:after="0"/>
        <w:ind w:left="1227" w:right="0" w:hanging="681"/>
        <w:jc w:val="left"/>
        <w:rPr>
          <w:sz w:val="20"/>
        </w:rPr>
      </w:pPr>
      <w:r>
        <w:rPr>
          <w:w w:val="120"/>
          <w:sz w:val="20"/>
        </w:rPr>
        <w:t>resourcing specific groups within the</w:t>
      </w:r>
      <w:r>
        <w:rPr>
          <w:spacing w:val="13"/>
          <w:w w:val="120"/>
          <w:sz w:val="20"/>
        </w:rPr>
        <w:t> </w:t>
      </w:r>
      <w:r>
        <w:rPr>
          <w:w w:val="120"/>
          <w:sz w:val="20"/>
        </w:rPr>
        <w:t>Church</w:t>
      </w:r>
    </w:p>
    <w:p>
      <w:pPr>
        <w:pStyle w:val="ListParagraph"/>
        <w:numPr>
          <w:ilvl w:val="0"/>
          <w:numId w:val="28"/>
        </w:numPr>
        <w:tabs>
          <w:tab w:pos="1227" w:val="left" w:leader="none"/>
          <w:tab w:pos="1228" w:val="left" w:leader="none"/>
        </w:tabs>
        <w:spacing w:line="240" w:lineRule="exact" w:before="0" w:after="0"/>
        <w:ind w:left="1227" w:right="0" w:hanging="681"/>
        <w:jc w:val="left"/>
        <w:rPr>
          <w:sz w:val="20"/>
        </w:rPr>
      </w:pPr>
      <w:r>
        <w:rPr>
          <w:w w:val="120"/>
          <w:sz w:val="20"/>
        </w:rPr>
        <w:t>hosting church networks and</w:t>
      </w:r>
      <w:r>
        <w:rPr>
          <w:spacing w:val="9"/>
          <w:w w:val="120"/>
          <w:sz w:val="20"/>
        </w:rPr>
        <w:t> </w:t>
      </w:r>
      <w:r>
        <w:rPr>
          <w:w w:val="120"/>
          <w:sz w:val="20"/>
        </w:rPr>
        <w:t>committees</w:t>
      </w:r>
    </w:p>
    <w:p>
      <w:pPr>
        <w:pStyle w:val="ListParagraph"/>
        <w:numPr>
          <w:ilvl w:val="0"/>
          <w:numId w:val="28"/>
        </w:numPr>
        <w:tabs>
          <w:tab w:pos="1227" w:val="left" w:leader="none"/>
          <w:tab w:pos="1228" w:val="left" w:leader="none"/>
        </w:tabs>
        <w:spacing w:line="240" w:lineRule="exact" w:before="0" w:after="0"/>
        <w:ind w:left="1227" w:right="0" w:hanging="681"/>
        <w:jc w:val="left"/>
        <w:rPr>
          <w:sz w:val="20"/>
        </w:rPr>
      </w:pPr>
      <w:r>
        <w:rPr>
          <w:w w:val="120"/>
          <w:sz w:val="20"/>
        </w:rPr>
        <w:t>resourcing wider church networks, committees and</w:t>
      </w:r>
      <w:r>
        <w:rPr>
          <w:spacing w:val="16"/>
          <w:w w:val="120"/>
          <w:sz w:val="20"/>
        </w:rPr>
        <w:t> </w:t>
      </w:r>
      <w:r>
        <w:rPr>
          <w:w w:val="120"/>
          <w:sz w:val="20"/>
        </w:rPr>
        <w:t>groups</w:t>
      </w:r>
    </w:p>
    <w:p>
      <w:pPr>
        <w:pStyle w:val="ListParagraph"/>
        <w:numPr>
          <w:ilvl w:val="0"/>
          <w:numId w:val="28"/>
        </w:numPr>
        <w:tabs>
          <w:tab w:pos="1227" w:val="left" w:leader="none"/>
          <w:tab w:pos="1228" w:val="left" w:leader="none"/>
        </w:tabs>
        <w:spacing w:line="196" w:lineRule="auto" w:before="0" w:after="0"/>
        <w:ind w:left="1227" w:right="2338" w:hanging="681"/>
        <w:jc w:val="left"/>
        <w:rPr>
          <w:sz w:val="20"/>
        </w:rPr>
      </w:pPr>
      <w:r>
        <w:rPr>
          <w:w w:val="120"/>
          <w:sz w:val="20"/>
        </w:rPr>
        <w:t>resourcing the social/recreational life of the Church through, amongst others, walking and various </w:t>
      </w:r>
      <w:r>
        <w:rPr>
          <w:spacing w:val="3"/>
          <w:w w:val="120"/>
          <w:sz w:val="20"/>
        </w:rPr>
        <w:t>arts </w:t>
      </w:r>
      <w:r>
        <w:rPr>
          <w:w w:val="120"/>
          <w:sz w:val="20"/>
        </w:rPr>
        <w:t>and </w:t>
      </w:r>
      <w:r>
        <w:rPr>
          <w:spacing w:val="2"/>
          <w:w w:val="120"/>
          <w:sz w:val="20"/>
        </w:rPr>
        <w:t>crafts</w:t>
      </w:r>
      <w:r>
        <w:rPr>
          <w:spacing w:val="7"/>
          <w:w w:val="120"/>
          <w:sz w:val="20"/>
        </w:rPr>
        <w:t> </w:t>
      </w:r>
      <w:r>
        <w:rPr>
          <w:w w:val="120"/>
          <w:sz w:val="20"/>
        </w:rPr>
        <w:t>courses.</w:t>
      </w:r>
    </w:p>
    <w:p>
      <w:pPr>
        <w:pStyle w:val="BodyText"/>
        <w:spacing w:before="3"/>
        <w:rPr>
          <w:sz w:val="18"/>
        </w:rPr>
      </w:pPr>
    </w:p>
    <w:p>
      <w:pPr>
        <w:pStyle w:val="ListParagraph"/>
        <w:numPr>
          <w:ilvl w:val="1"/>
          <w:numId w:val="64"/>
        </w:numPr>
        <w:tabs>
          <w:tab w:pos="1227" w:val="left" w:leader="none"/>
          <w:tab w:pos="1228" w:val="left" w:leader="none"/>
        </w:tabs>
        <w:spacing w:line="235" w:lineRule="auto" w:before="0" w:after="0"/>
        <w:ind w:left="547" w:right="2008" w:firstLine="0"/>
        <w:jc w:val="left"/>
        <w:rPr>
          <w:sz w:val="20"/>
        </w:rPr>
      </w:pPr>
      <w:r>
        <w:rPr>
          <w:w w:val="120"/>
          <w:sz w:val="20"/>
        </w:rPr>
        <w:t>The </w:t>
      </w:r>
      <w:r>
        <w:rPr>
          <w:spacing w:val="-3"/>
          <w:w w:val="120"/>
          <w:sz w:val="20"/>
        </w:rPr>
        <w:t>centre’s </w:t>
      </w:r>
      <w:r>
        <w:rPr>
          <w:w w:val="120"/>
          <w:sz w:val="20"/>
        </w:rPr>
        <w:t>resources and programmes have been organised around the theme, ‘What’s the Point of Church?’ This has been intended as a contribution to the on-going exploration, ‘What is the Spirit saying to the churches?’ Its focus is</w:t>
      </w:r>
      <w:r>
        <w:rPr>
          <w:spacing w:val="18"/>
          <w:w w:val="120"/>
          <w:sz w:val="20"/>
        </w:rPr>
        <w:t> </w:t>
      </w:r>
      <w:r>
        <w:rPr>
          <w:w w:val="120"/>
          <w:sz w:val="20"/>
        </w:rPr>
        <w:t>threefold:</w:t>
      </w:r>
    </w:p>
    <w:p>
      <w:pPr>
        <w:pStyle w:val="BodyText"/>
        <w:spacing w:before="2"/>
        <w:rPr>
          <w:sz w:val="23"/>
        </w:rPr>
      </w:pPr>
    </w:p>
    <w:p>
      <w:pPr>
        <w:pStyle w:val="ListParagraph"/>
        <w:numPr>
          <w:ilvl w:val="2"/>
          <w:numId w:val="64"/>
        </w:numPr>
        <w:tabs>
          <w:tab w:pos="1228" w:val="left" w:leader="none"/>
        </w:tabs>
        <w:spacing w:line="232" w:lineRule="auto" w:before="0" w:after="0"/>
        <w:ind w:left="1227" w:right="2489" w:hanging="681"/>
        <w:jc w:val="left"/>
        <w:rPr>
          <w:sz w:val="21"/>
        </w:rPr>
      </w:pPr>
      <w:r>
        <w:rPr>
          <w:w w:val="120"/>
          <w:sz w:val="20"/>
        </w:rPr>
        <w:t>Missiological: the Church is most effective and faithful when it is engaged in God’s mission of transforming this world into the Kingdom of</w:t>
      </w:r>
      <w:r>
        <w:rPr>
          <w:spacing w:val="50"/>
          <w:w w:val="120"/>
          <w:sz w:val="20"/>
        </w:rPr>
        <w:t> </w:t>
      </w:r>
      <w:r>
        <w:rPr>
          <w:w w:val="120"/>
          <w:sz w:val="20"/>
        </w:rPr>
        <w:t>God.</w:t>
      </w:r>
    </w:p>
    <w:p>
      <w:pPr>
        <w:pStyle w:val="BodyText"/>
        <w:rPr>
          <w:sz w:val="23"/>
        </w:rPr>
      </w:pPr>
    </w:p>
    <w:p>
      <w:pPr>
        <w:pStyle w:val="ListParagraph"/>
        <w:numPr>
          <w:ilvl w:val="2"/>
          <w:numId w:val="64"/>
        </w:numPr>
        <w:tabs>
          <w:tab w:pos="1228" w:val="left" w:leader="none"/>
        </w:tabs>
        <w:spacing w:line="235" w:lineRule="auto" w:before="0" w:after="0"/>
        <w:ind w:left="1227" w:right="2638" w:hanging="681"/>
        <w:jc w:val="left"/>
        <w:rPr>
          <w:sz w:val="21"/>
        </w:rPr>
      </w:pPr>
      <w:r>
        <w:rPr>
          <w:w w:val="120"/>
          <w:sz w:val="20"/>
        </w:rPr>
        <w:t>Prophetic: the Church is most authentic when it is making a Jesus-shaped difference in the lives of people and communities in which it is situated. Its priorities are therefore on the Kingdom, rather than its own survival and flourishing as an</w:t>
      </w:r>
      <w:r>
        <w:rPr>
          <w:spacing w:val="5"/>
          <w:w w:val="120"/>
          <w:sz w:val="20"/>
        </w:rPr>
        <w:t> </w:t>
      </w:r>
      <w:r>
        <w:rPr>
          <w:w w:val="120"/>
          <w:sz w:val="20"/>
        </w:rPr>
        <w:t>institution.</w:t>
      </w:r>
    </w:p>
    <w:p>
      <w:pPr>
        <w:pStyle w:val="BodyText"/>
        <w:rPr>
          <w:sz w:val="23"/>
        </w:rPr>
      </w:pPr>
    </w:p>
    <w:p>
      <w:pPr>
        <w:pStyle w:val="ListParagraph"/>
        <w:numPr>
          <w:ilvl w:val="2"/>
          <w:numId w:val="64"/>
        </w:numPr>
        <w:tabs>
          <w:tab w:pos="1228" w:val="left" w:leader="none"/>
        </w:tabs>
        <w:spacing w:line="232" w:lineRule="auto" w:before="0" w:after="0"/>
        <w:ind w:left="1227" w:right="2398" w:hanging="681"/>
        <w:jc w:val="left"/>
        <w:rPr>
          <w:sz w:val="21"/>
        </w:rPr>
      </w:pPr>
      <w:r>
        <w:rPr>
          <w:w w:val="120"/>
          <w:sz w:val="20"/>
        </w:rPr>
        <w:t>Relevant: the Church needs to engage in culturally relevant ways – especially online through websites and social</w:t>
      </w:r>
      <w:r>
        <w:rPr>
          <w:spacing w:val="12"/>
          <w:w w:val="120"/>
          <w:sz w:val="20"/>
        </w:rPr>
        <w:t> </w:t>
      </w:r>
      <w:r>
        <w:rPr>
          <w:w w:val="120"/>
          <w:sz w:val="20"/>
        </w:rPr>
        <w:t>media.</w:t>
      </w:r>
    </w:p>
    <w:p>
      <w:pPr>
        <w:pStyle w:val="BodyText"/>
        <w:spacing w:before="10"/>
        <w:rPr>
          <w:sz w:val="19"/>
        </w:rPr>
      </w:pPr>
    </w:p>
    <w:p>
      <w:pPr>
        <w:pStyle w:val="BodyText"/>
        <w:spacing w:line="235" w:lineRule="auto"/>
        <w:ind w:left="547" w:right="2083"/>
      </w:pPr>
      <w:r>
        <w:rPr>
          <w:w w:val="120"/>
        </w:rPr>
        <w:t>This has fed into the </w:t>
      </w:r>
      <w:r>
        <w:rPr>
          <w:spacing w:val="-3"/>
          <w:w w:val="120"/>
        </w:rPr>
        <w:t>URC’s </w:t>
      </w:r>
      <w:r>
        <w:rPr>
          <w:w w:val="120"/>
        </w:rPr>
        <w:t>Greenbelt theme of ‘Scrap the Church?’ The Director will be a panellist at the festival’s ‘Scrap the Church?’</w:t>
      </w:r>
      <w:r>
        <w:rPr>
          <w:spacing w:val="13"/>
          <w:w w:val="120"/>
        </w:rPr>
        <w:t> </w:t>
      </w:r>
      <w:r>
        <w:rPr>
          <w:w w:val="120"/>
        </w:rPr>
        <w:t>debate.</w:t>
      </w:r>
    </w:p>
    <w:p>
      <w:pPr>
        <w:pStyle w:val="BodyText"/>
        <w:spacing w:before="10"/>
        <w:rPr>
          <w:sz w:val="19"/>
        </w:rPr>
      </w:pPr>
    </w:p>
    <w:p>
      <w:pPr>
        <w:pStyle w:val="ListParagraph"/>
        <w:numPr>
          <w:ilvl w:val="1"/>
          <w:numId w:val="64"/>
        </w:numPr>
        <w:tabs>
          <w:tab w:pos="1227" w:val="left" w:leader="none"/>
          <w:tab w:pos="1228" w:val="left" w:leader="none"/>
        </w:tabs>
        <w:spacing w:line="235" w:lineRule="auto" w:before="0" w:after="0"/>
        <w:ind w:left="547" w:right="2090" w:firstLine="0"/>
        <w:jc w:val="left"/>
        <w:rPr>
          <w:sz w:val="20"/>
        </w:rPr>
      </w:pPr>
      <w:r>
        <w:rPr>
          <w:w w:val="120"/>
          <w:sz w:val="20"/>
        </w:rPr>
        <w:t>iChurch is the out-of-the-box URC church website solution built on Wordpress blogging software. It ships with a template populated with dummy content,  instructions and annual hosting. Designed to be maintained by people with no  specialist knowledge of Wordpress or coding, different packages are available, from instructions-only, through training to full maintenance by the centre. We are looking at securing funding to appoint a full time</w:t>
      </w:r>
      <w:r>
        <w:rPr>
          <w:spacing w:val="16"/>
          <w:w w:val="120"/>
          <w:sz w:val="20"/>
        </w:rPr>
        <w:t> </w:t>
      </w:r>
      <w:r>
        <w:rPr>
          <w:w w:val="120"/>
          <w:sz w:val="20"/>
        </w:rPr>
        <w:t>administrator.</w:t>
      </w:r>
    </w:p>
    <w:p>
      <w:pPr>
        <w:pStyle w:val="BodyText"/>
      </w:pPr>
    </w:p>
    <w:p>
      <w:pPr>
        <w:pStyle w:val="ListParagraph"/>
        <w:numPr>
          <w:ilvl w:val="1"/>
          <w:numId w:val="64"/>
        </w:numPr>
        <w:tabs>
          <w:tab w:pos="1227" w:val="left" w:leader="none"/>
          <w:tab w:pos="1228" w:val="left" w:leader="none"/>
        </w:tabs>
        <w:spacing w:line="235" w:lineRule="auto" w:before="0" w:after="0"/>
        <w:ind w:left="547" w:right="2048" w:firstLine="0"/>
        <w:jc w:val="left"/>
        <w:rPr>
          <w:sz w:val="20"/>
        </w:rPr>
      </w:pPr>
      <w:r>
        <w:rPr>
          <w:w w:val="120"/>
          <w:sz w:val="20"/>
        </w:rPr>
        <w:t>The annual Windermere Online Festival began in </w:t>
      </w:r>
      <w:r>
        <w:rPr>
          <w:spacing w:val="-7"/>
          <w:w w:val="120"/>
          <w:sz w:val="20"/>
        </w:rPr>
        <w:t>2013,  </w:t>
      </w:r>
      <w:r>
        <w:rPr>
          <w:w w:val="120"/>
          <w:sz w:val="20"/>
        </w:rPr>
        <w:t>takes place during the last week in January, enables people to access the Windermere Centre as an online resource, and has grown in popularity. Content is commissioned from across the URC   in a variety of formats. The archive can be viewed online </w:t>
      </w:r>
      <w:hyperlink r:id="rId245">
        <w:r>
          <w:rPr>
            <w:color w:val="006AB3"/>
            <w:w w:val="120"/>
            <w:sz w:val="20"/>
          </w:rPr>
          <w:t>http://windermere.urc.org.uk/</w:t>
        </w:r>
      </w:hyperlink>
      <w:hyperlink r:id="rId245">
        <w:r>
          <w:rPr>
            <w:color w:val="006AB3"/>
            <w:w w:val="120"/>
            <w:sz w:val="20"/>
          </w:rPr>
          <w:t> windermere-online/</w:t>
        </w:r>
      </w:hyperlink>
    </w:p>
    <w:p>
      <w:pPr>
        <w:pStyle w:val="BodyText"/>
        <w:spacing w:before="1"/>
        <w:rPr>
          <w:sz w:val="19"/>
        </w:rPr>
      </w:pPr>
    </w:p>
    <w:p>
      <w:pPr>
        <w:pStyle w:val="Heading2"/>
        <w:spacing w:before="1"/>
        <w:ind w:left="547"/>
      </w:pPr>
      <w:r>
        <w:rPr>
          <w:w w:val="110"/>
        </w:rPr>
        <w:t>The future?</w:t>
      </w:r>
    </w:p>
    <w:p>
      <w:pPr>
        <w:pStyle w:val="ListParagraph"/>
        <w:numPr>
          <w:ilvl w:val="1"/>
          <w:numId w:val="64"/>
        </w:numPr>
        <w:tabs>
          <w:tab w:pos="1227" w:val="left" w:leader="none"/>
          <w:tab w:pos="1228" w:val="left" w:leader="none"/>
        </w:tabs>
        <w:spacing w:line="240" w:lineRule="auto" w:before="78" w:after="0"/>
        <w:ind w:left="1227" w:right="0" w:hanging="681"/>
        <w:jc w:val="left"/>
        <w:rPr>
          <w:sz w:val="20"/>
        </w:rPr>
      </w:pPr>
      <w:r>
        <w:rPr>
          <w:w w:val="120"/>
          <w:sz w:val="20"/>
        </w:rPr>
        <w:t>We have three major</w:t>
      </w:r>
      <w:r>
        <w:rPr>
          <w:spacing w:val="6"/>
          <w:w w:val="120"/>
          <w:sz w:val="20"/>
        </w:rPr>
        <w:t> </w:t>
      </w:r>
      <w:r>
        <w:rPr>
          <w:w w:val="120"/>
          <w:sz w:val="20"/>
        </w:rPr>
        <w:t>priorities:</w:t>
      </w:r>
    </w:p>
    <w:p>
      <w:pPr>
        <w:pStyle w:val="BodyText"/>
        <w:spacing w:before="4"/>
        <w:rPr>
          <w:sz w:val="19"/>
        </w:rPr>
      </w:pPr>
    </w:p>
    <w:p>
      <w:pPr>
        <w:pStyle w:val="ListParagraph"/>
        <w:numPr>
          <w:ilvl w:val="2"/>
          <w:numId w:val="64"/>
        </w:numPr>
        <w:tabs>
          <w:tab w:pos="1228" w:val="left" w:leader="none"/>
        </w:tabs>
        <w:spacing w:line="242" w:lineRule="exact" w:before="0" w:after="0"/>
        <w:ind w:left="1227" w:right="0" w:hanging="681"/>
        <w:jc w:val="left"/>
        <w:rPr>
          <w:sz w:val="20"/>
        </w:rPr>
      </w:pPr>
      <w:r>
        <w:rPr>
          <w:w w:val="120"/>
          <w:sz w:val="20"/>
        </w:rPr>
        <w:t>Develop and extend ‘What’s the Point of</w:t>
      </w:r>
      <w:r>
        <w:rPr>
          <w:spacing w:val="16"/>
          <w:w w:val="120"/>
          <w:sz w:val="20"/>
        </w:rPr>
        <w:t> </w:t>
      </w:r>
      <w:r>
        <w:rPr>
          <w:spacing w:val="-3"/>
          <w:w w:val="120"/>
          <w:sz w:val="20"/>
        </w:rPr>
        <w:t>Church?’:</w:t>
      </w:r>
    </w:p>
    <w:p>
      <w:pPr>
        <w:pStyle w:val="ListParagraph"/>
        <w:numPr>
          <w:ilvl w:val="3"/>
          <w:numId w:val="64"/>
        </w:numPr>
        <w:tabs>
          <w:tab w:pos="1907" w:val="left" w:leader="none"/>
          <w:tab w:pos="1908" w:val="left" w:leader="none"/>
        </w:tabs>
        <w:spacing w:line="235" w:lineRule="auto" w:before="2" w:after="0"/>
        <w:ind w:left="1907" w:right="2223" w:hanging="681"/>
        <w:jc w:val="left"/>
        <w:rPr>
          <w:sz w:val="20"/>
        </w:rPr>
      </w:pPr>
      <w:r>
        <w:rPr>
          <w:w w:val="120"/>
          <w:sz w:val="20"/>
        </w:rPr>
        <w:t>‘When Church and Kingdom collide’– explorations and conversations as part of the </w:t>
      </w:r>
      <w:r>
        <w:rPr>
          <w:spacing w:val="-7"/>
          <w:w w:val="120"/>
          <w:sz w:val="20"/>
        </w:rPr>
        <w:t>URC’s </w:t>
      </w:r>
      <w:r>
        <w:rPr>
          <w:w w:val="120"/>
          <w:sz w:val="20"/>
        </w:rPr>
        <w:t>wider discussion on the future of the</w:t>
      </w:r>
      <w:r>
        <w:rPr>
          <w:spacing w:val="40"/>
          <w:w w:val="120"/>
          <w:sz w:val="20"/>
        </w:rPr>
        <w:t> </w:t>
      </w:r>
      <w:r>
        <w:rPr>
          <w:w w:val="120"/>
          <w:sz w:val="20"/>
        </w:rPr>
        <w:t>Church;</w:t>
      </w:r>
    </w:p>
    <w:p>
      <w:pPr>
        <w:pStyle w:val="ListParagraph"/>
        <w:numPr>
          <w:ilvl w:val="3"/>
          <w:numId w:val="64"/>
        </w:numPr>
        <w:tabs>
          <w:tab w:pos="1907" w:val="left" w:leader="none"/>
          <w:tab w:pos="1908" w:val="left" w:leader="none"/>
        </w:tabs>
        <w:spacing w:line="235" w:lineRule="auto" w:before="1" w:after="0"/>
        <w:ind w:left="1907" w:right="1981" w:hanging="681"/>
        <w:jc w:val="left"/>
        <w:rPr>
          <w:sz w:val="20"/>
        </w:rPr>
      </w:pPr>
      <w:r>
        <w:rPr>
          <w:w w:val="120"/>
          <w:sz w:val="20"/>
        </w:rPr>
        <w:t>‘</w:t>
      </w:r>
      <w:r>
        <w:rPr>
          <w:i/>
          <w:w w:val="120"/>
          <w:sz w:val="20"/>
        </w:rPr>
        <w:t>It just works</w:t>
      </w:r>
      <w:r>
        <w:rPr>
          <w:w w:val="120"/>
          <w:sz w:val="20"/>
        </w:rPr>
        <w:t>’ – working with the mission committee on sharing and disseminating good practice as a </w:t>
      </w:r>
      <w:r>
        <w:rPr>
          <w:spacing w:val="-3"/>
          <w:w w:val="120"/>
          <w:sz w:val="20"/>
        </w:rPr>
        <w:t>way </w:t>
      </w:r>
      <w:r>
        <w:rPr>
          <w:w w:val="120"/>
          <w:sz w:val="20"/>
        </w:rPr>
        <w:t>of encouraging the URC to expect to grow, rather than simply to</w:t>
      </w:r>
      <w:r>
        <w:rPr>
          <w:spacing w:val="10"/>
          <w:w w:val="120"/>
          <w:sz w:val="20"/>
        </w:rPr>
        <w:t> </w:t>
      </w:r>
      <w:r>
        <w:rPr>
          <w:w w:val="120"/>
          <w:sz w:val="20"/>
        </w:rPr>
        <w:t>decline;</w:t>
      </w:r>
    </w:p>
    <w:p>
      <w:pPr>
        <w:spacing w:after="0" w:line="235" w:lineRule="auto"/>
        <w:jc w:val="left"/>
        <w:rPr>
          <w:sz w:val="20"/>
        </w:rPr>
        <w:sectPr>
          <w:headerReference w:type="even" r:id="rId244"/>
          <w:pgSz w:w="11910" w:h="16840"/>
          <w:pgMar w:header="0" w:footer="647" w:top="0" w:bottom="840" w:left="700" w:right="0"/>
        </w:sectPr>
      </w:pPr>
    </w:p>
    <w:p>
      <w:pPr>
        <w:pStyle w:val="BodyText"/>
      </w:pPr>
      <w:r>
        <w:rPr/>
        <w:drawing>
          <wp:anchor distT="0" distB="0" distL="0" distR="0" allowOverlap="1" layoutInCell="1" locked="0" behindDoc="0" simplePos="0" relativeHeight="251852800">
            <wp:simplePos x="0" y="0"/>
            <wp:positionH relativeFrom="page">
              <wp:posOffset>6974928</wp:posOffset>
            </wp:positionH>
            <wp:positionV relativeFrom="page">
              <wp:posOffset>0</wp:posOffset>
            </wp:positionV>
            <wp:extent cx="585063" cy="10692003"/>
            <wp:effectExtent l="0" t="0" r="0" b="0"/>
            <wp:wrapNone/>
            <wp:docPr id="139" name="image54.png"/>
            <wp:cNvGraphicFramePr>
              <a:graphicFrameLocks noChangeAspect="1"/>
            </wp:cNvGraphicFramePr>
            <a:graphic>
              <a:graphicData uri="http://schemas.openxmlformats.org/drawingml/2006/picture">
                <pic:pic>
                  <pic:nvPicPr>
                    <pic:cNvPr id="140" name="image54.png"/>
                    <pic:cNvPicPr/>
                  </pic:nvPicPr>
                  <pic:blipFill>
                    <a:blip r:embed="rId169" cstate="print"/>
                    <a:stretch>
                      <a:fillRect/>
                    </a:stretch>
                  </pic:blipFill>
                  <pic:spPr>
                    <a:xfrm>
                      <a:off x="0" y="0"/>
                      <a:ext cx="585063" cy="10692003"/>
                    </a:xfrm>
                    <a:prstGeom prst="rect">
                      <a:avLst/>
                    </a:prstGeom>
                  </pic:spPr>
                </pic:pic>
              </a:graphicData>
            </a:graphic>
          </wp:anchor>
        </w:drawing>
      </w:r>
    </w:p>
    <w:p>
      <w:pPr>
        <w:pStyle w:val="BodyText"/>
        <w:spacing w:before="7"/>
        <w:rPr>
          <w:sz w:val="21"/>
        </w:rPr>
      </w:pPr>
    </w:p>
    <w:p>
      <w:pPr>
        <w:spacing w:before="106"/>
        <w:ind w:left="7114" w:right="0" w:firstLine="0"/>
        <w:jc w:val="left"/>
        <w:rPr>
          <w:sz w:val="26"/>
        </w:rPr>
      </w:pPr>
      <w:r>
        <w:rPr/>
        <w:pict>
          <v:shape style="position:absolute;margin-left:554.141174pt;margin-top:22.593945pt;width:25.9pt;height:237.55pt;mso-position-horizontal-relative:page;mso-position-vertical-relative:paragraph;z-index:251853824" type="#_x0000_t202" filled="false" stroked="false">
            <v:textbox inset="0,0,0,0" style="layout-flow:vertical">
              <w:txbxContent>
                <w:p>
                  <w:pPr>
                    <w:spacing w:before="27"/>
                    <w:ind w:left="20" w:right="0" w:firstLine="0"/>
                    <w:jc w:val="left"/>
                    <w:rPr>
                      <w:sz w:val="39"/>
                    </w:rPr>
                  </w:pPr>
                  <w:r>
                    <w:rPr>
                      <w:color w:val="FFFFFF"/>
                      <w:w w:val="120"/>
                      <w:sz w:val="39"/>
                    </w:rPr>
                    <w:t>Education and learning</w:t>
                  </w:r>
                </w:p>
              </w:txbxContent>
            </v:textbox>
            <w10:wrap type="none"/>
          </v:shape>
        </w:pict>
      </w:r>
      <w:r>
        <w:rPr>
          <w:color w:val="7EAABF"/>
          <w:w w:val="115"/>
          <w:sz w:val="26"/>
        </w:rPr>
        <w:t>Education and learning</w:t>
      </w:r>
    </w:p>
    <w:p>
      <w:pPr>
        <w:pStyle w:val="ListParagraph"/>
        <w:numPr>
          <w:ilvl w:val="3"/>
          <w:numId w:val="64"/>
        </w:numPr>
        <w:tabs>
          <w:tab w:pos="2644" w:val="left" w:leader="none"/>
          <w:tab w:pos="2645" w:val="left" w:leader="none"/>
        </w:tabs>
        <w:spacing w:line="235" w:lineRule="auto" w:before="222" w:after="0"/>
        <w:ind w:left="2644" w:right="2054" w:hanging="681"/>
        <w:jc w:val="left"/>
        <w:rPr>
          <w:sz w:val="20"/>
        </w:rPr>
      </w:pPr>
      <w:r>
        <w:rPr>
          <w:w w:val="125"/>
          <w:sz w:val="20"/>
        </w:rPr>
        <w:t>Growing</w:t>
      </w:r>
      <w:r>
        <w:rPr>
          <w:spacing w:val="-21"/>
          <w:w w:val="125"/>
          <w:sz w:val="20"/>
        </w:rPr>
        <w:t> </w:t>
      </w:r>
      <w:r>
        <w:rPr>
          <w:w w:val="125"/>
          <w:sz w:val="20"/>
        </w:rPr>
        <w:t>new</w:t>
      </w:r>
      <w:r>
        <w:rPr>
          <w:spacing w:val="-20"/>
          <w:w w:val="125"/>
          <w:sz w:val="20"/>
        </w:rPr>
        <w:t> </w:t>
      </w:r>
      <w:r>
        <w:rPr>
          <w:w w:val="125"/>
          <w:sz w:val="20"/>
        </w:rPr>
        <w:t>disciples</w:t>
      </w:r>
      <w:r>
        <w:rPr>
          <w:spacing w:val="-21"/>
          <w:w w:val="125"/>
          <w:sz w:val="20"/>
        </w:rPr>
        <w:t> </w:t>
      </w:r>
      <w:r>
        <w:rPr>
          <w:w w:val="125"/>
          <w:sz w:val="20"/>
        </w:rPr>
        <w:t>–</w:t>
      </w:r>
      <w:r>
        <w:rPr>
          <w:spacing w:val="-21"/>
          <w:w w:val="125"/>
          <w:sz w:val="20"/>
        </w:rPr>
        <w:t> </w:t>
      </w:r>
      <w:r>
        <w:rPr>
          <w:w w:val="125"/>
          <w:sz w:val="20"/>
        </w:rPr>
        <w:t>promoting</w:t>
      </w:r>
      <w:r>
        <w:rPr>
          <w:spacing w:val="-20"/>
          <w:w w:val="125"/>
          <w:sz w:val="20"/>
        </w:rPr>
        <w:t> </w:t>
      </w:r>
      <w:r>
        <w:rPr>
          <w:w w:val="125"/>
          <w:sz w:val="20"/>
        </w:rPr>
        <w:t>evangelism</w:t>
      </w:r>
      <w:r>
        <w:rPr>
          <w:spacing w:val="-21"/>
          <w:w w:val="125"/>
          <w:sz w:val="20"/>
        </w:rPr>
        <w:t> </w:t>
      </w:r>
      <w:r>
        <w:rPr>
          <w:w w:val="125"/>
          <w:sz w:val="20"/>
        </w:rPr>
        <w:t>and</w:t>
      </w:r>
      <w:r>
        <w:rPr>
          <w:spacing w:val="-20"/>
          <w:w w:val="125"/>
          <w:sz w:val="20"/>
        </w:rPr>
        <w:t> </w:t>
      </w:r>
      <w:r>
        <w:rPr>
          <w:w w:val="125"/>
          <w:sz w:val="20"/>
        </w:rPr>
        <w:t>outreach</w:t>
      </w:r>
      <w:r>
        <w:rPr>
          <w:spacing w:val="-21"/>
          <w:w w:val="125"/>
          <w:sz w:val="20"/>
        </w:rPr>
        <w:t> </w:t>
      </w:r>
      <w:r>
        <w:rPr>
          <w:w w:val="125"/>
          <w:sz w:val="20"/>
        </w:rPr>
        <w:t>that engages people with no previous Christian</w:t>
      </w:r>
      <w:r>
        <w:rPr>
          <w:spacing w:val="-30"/>
          <w:w w:val="125"/>
          <w:sz w:val="20"/>
        </w:rPr>
        <w:t> </w:t>
      </w:r>
      <w:r>
        <w:rPr>
          <w:w w:val="125"/>
          <w:sz w:val="20"/>
        </w:rPr>
        <w:t>background;</w:t>
      </w:r>
    </w:p>
    <w:p>
      <w:pPr>
        <w:pStyle w:val="ListParagraph"/>
        <w:numPr>
          <w:ilvl w:val="3"/>
          <w:numId w:val="64"/>
        </w:numPr>
        <w:tabs>
          <w:tab w:pos="2644" w:val="left" w:leader="none"/>
          <w:tab w:pos="2645" w:val="left" w:leader="none"/>
        </w:tabs>
        <w:spacing w:line="240" w:lineRule="exact" w:before="0" w:after="0"/>
        <w:ind w:left="2644" w:right="0" w:hanging="681"/>
        <w:jc w:val="left"/>
        <w:rPr>
          <w:sz w:val="20"/>
        </w:rPr>
      </w:pPr>
      <w:r>
        <w:rPr>
          <w:w w:val="120"/>
          <w:sz w:val="20"/>
        </w:rPr>
        <w:t>Renewal of faith and deepening</w:t>
      </w:r>
      <w:r>
        <w:rPr>
          <w:spacing w:val="11"/>
          <w:w w:val="120"/>
          <w:sz w:val="20"/>
        </w:rPr>
        <w:t> </w:t>
      </w:r>
      <w:r>
        <w:rPr>
          <w:w w:val="120"/>
          <w:sz w:val="20"/>
        </w:rPr>
        <w:t>discipleship;</w:t>
      </w:r>
    </w:p>
    <w:p>
      <w:pPr>
        <w:pStyle w:val="ListParagraph"/>
        <w:numPr>
          <w:ilvl w:val="3"/>
          <w:numId w:val="64"/>
        </w:numPr>
        <w:tabs>
          <w:tab w:pos="2644" w:val="left" w:leader="none"/>
          <w:tab w:pos="2645" w:val="left" w:leader="none"/>
        </w:tabs>
        <w:spacing w:line="235" w:lineRule="auto" w:before="1" w:after="0"/>
        <w:ind w:left="2644" w:right="1456" w:hanging="681"/>
        <w:jc w:val="left"/>
        <w:rPr>
          <w:sz w:val="20"/>
        </w:rPr>
      </w:pPr>
      <w:r>
        <w:rPr>
          <w:w w:val="120"/>
          <w:sz w:val="20"/>
        </w:rPr>
        <w:t>Seeing an ageing Church as a resource-rich, effective Church rather than a</w:t>
      </w:r>
      <w:r>
        <w:rPr>
          <w:spacing w:val="1"/>
          <w:w w:val="120"/>
          <w:sz w:val="20"/>
        </w:rPr>
        <w:t> </w:t>
      </w:r>
      <w:r>
        <w:rPr>
          <w:w w:val="120"/>
          <w:sz w:val="20"/>
        </w:rPr>
        <w:t>failure.</w:t>
      </w:r>
    </w:p>
    <w:p>
      <w:pPr>
        <w:pStyle w:val="BodyText"/>
        <w:spacing w:before="10"/>
        <w:rPr>
          <w:sz w:val="19"/>
        </w:rPr>
      </w:pPr>
    </w:p>
    <w:p>
      <w:pPr>
        <w:pStyle w:val="ListParagraph"/>
        <w:numPr>
          <w:ilvl w:val="2"/>
          <w:numId w:val="64"/>
        </w:numPr>
        <w:tabs>
          <w:tab w:pos="1965" w:val="left" w:leader="none"/>
        </w:tabs>
        <w:spacing w:line="235" w:lineRule="auto" w:before="0" w:after="0"/>
        <w:ind w:left="1964" w:right="1359" w:hanging="681"/>
        <w:jc w:val="left"/>
        <w:rPr>
          <w:sz w:val="20"/>
        </w:rPr>
      </w:pPr>
      <w:r>
        <w:rPr>
          <w:w w:val="120"/>
          <w:sz w:val="20"/>
        </w:rPr>
        <w:t>Develop and extend the </w:t>
      </w:r>
      <w:r>
        <w:rPr>
          <w:spacing w:val="-3"/>
          <w:w w:val="120"/>
          <w:sz w:val="20"/>
        </w:rPr>
        <w:t>URC’s </w:t>
      </w:r>
      <w:r>
        <w:rPr>
          <w:w w:val="120"/>
          <w:sz w:val="20"/>
        </w:rPr>
        <w:t>online presence. We are exploring joint working with the communications and editorial committee to roll out iChurch for synods and churches, together with an integrated social media strategy. The centre will continue to develop online learning</w:t>
      </w:r>
      <w:r>
        <w:rPr>
          <w:spacing w:val="16"/>
          <w:w w:val="120"/>
          <w:sz w:val="20"/>
        </w:rPr>
        <w:t> </w:t>
      </w:r>
      <w:r>
        <w:rPr>
          <w:w w:val="120"/>
          <w:sz w:val="20"/>
        </w:rPr>
        <w:t>opportunities.</w:t>
      </w:r>
    </w:p>
    <w:p>
      <w:pPr>
        <w:pStyle w:val="BodyText"/>
        <w:spacing w:before="7"/>
        <w:rPr>
          <w:sz w:val="19"/>
        </w:rPr>
      </w:pPr>
    </w:p>
    <w:p>
      <w:pPr>
        <w:pStyle w:val="ListParagraph"/>
        <w:numPr>
          <w:ilvl w:val="2"/>
          <w:numId w:val="64"/>
        </w:numPr>
        <w:tabs>
          <w:tab w:pos="1965" w:val="left" w:leader="none"/>
        </w:tabs>
        <w:spacing w:line="240" w:lineRule="auto" w:before="0" w:after="0"/>
        <w:ind w:left="1964" w:right="0" w:hanging="681"/>
        <w:jc w:val="left"/>
        <w:rPr>
          <w:sz w:val="20"/>
        </w:rPr>
      </w:pPr>
      <w:r>
        <w:rPr>
          <w:w w:val="120"/>
          <w:sz w:val="20"/>
        </w:rPr>
        <w:t>‘Walking the Way’ will be the integrative focus for the </w:t>
      </w:r>
      <w:r>
        <w:rPr>
          <w:spacing w:val="-3"/>
          <w:w w:val="120"/>
          <w:sz w:val="20"/>
        </w:rPr>
        <w:t>centre’s</w:t>
      </w:r>
      <w:r>
        <w:rPr>
          <w:spacing w:val="21"/>
          <w:w w:val="120"/>
          <w:sz w:val="20"/>
        </w:rPr>
        <w:t> </w:t>
      </w:r>
      <w:r>
        <w:rPr>
          <w:w w:val="120"/>
          <w:sz w:val="20"/>
        </w:rPr>
        <w:t>work.</w:t>
      </w:r>
    </w:p>
    <w:p>
      <w:pPr>
        <w:pStyle w:val="BodyText"/>
        <w:spacing w:before="8"/>
        <w:rPr>
          <w:sz w:val="19"/>
        </w:rPr>
      </w:pPr>
    </w:p>
    <w:p>
      <w:pPr>
        <w:pStyle w:val="BodyText"/>
        <w:spacing w:line="235" w:lineRule="auto"/>
        <w:ind w:left="1284" w:right="1460"/>
      </w:pPr>
      <w:r>
        <w:rPr>
          <w:w w:val="120"/>
        </w:rPr>
        <w:t>Please pray that the centre will continue to be a faithful servant and effective resource for the Church.</w:t>
      </w:r>
    </w:p>
    <w:p>
      <w:pPr>
        <w:spacing w:after="0" w:line="235" w:lineRule="auto"/>
        <w:sectPr>
          <w:headerReference w:type="default" r:id="rId246"/>
          <w:footerReference w:type="default" r:id="rId247"/>
          <w:pgSz w:w="11910" w:h="16840"/>
          <w:pgMar w:header="0" w:footer="647" w:top="0" w:bottom="840" w:left="700" w:right="0"/>
          <w:pgNumType w:start="77"/>
        </w:sectPr>
      </w:pPr>
    </w:p>
    <w:p>
      <w:pPr>
        <w:pStyle w:val="BodyText"/>
      </w:pPr>
      <w:r>
        <w:rPr/>
        <w:pict>
          <v:rect style="position:absolute;margin-left:46.777pt;margin-top:.000015pt;width:548.498pt;height:841.89pt;mso-position-horizontal-relative:page;mso-position-vertical-relative:page;z-index:-267915264" filled="true" fillcolor="#d4e9f7" stroked="false">
            <v:fill type="solid"/>
            <w10:wrap type="none"/>
          </v:rect>
        </w:pict>
      </w:r>
      <w:r>
        <w:rPr/>
        <w:drawing>
          <wp:anchor distT="0" distB="0" distL="0" distR="0" allowOverlap="1" layoutInCell="1" locked="0" behindDoc="1" simplePos="0" relativeHeight="235402240">
            <wp:simplePos x="0" y="0"/>
            <wp:positionH relativeFrom="page">
              <wp:posOffset>0</wp:posOffset>
            </wp:positionH>
            <wp:positionV relativeFrom="page">
              <wp:posOffset>0</wp:posOffset>
            </wp:positionV>
            <wp:extent cx="594067" cy="10692003"/>
            <wp:effectExtent l="0" t="0" r="0" b="0"/>
            <wp:wrapNone/>
            <wp:docPr id="141" name="image67.png"/>
            <wp:cNvGraphicFramePr>
              <a:graphicFrameLocks noChangeAspect="1"/>
            </wp:cNvGraphicFramePr>
            <a:graphic>
              <a:graphicData uri="http://schemas.openxmlformats.org/drawingml/2006/picture">
                <pic:pic>
                  <pic:nvPicPr>
                    <pic:cNvPr id="142" name="image67.png"/>
                    <pic:cNvPicPr/>
                  </pic:nvPicPr>
                  <pic:blipFill>
                    <a:blip r:embed="rId184" cstate="print"/>
                    <a:stretch>
                      <a:fillRect/>
                    </a:stretch>
                  </pic:blipFill>
                  <pic:spPr>
                    <a:xfrm>
                      <a:off x="0" y="0"/>
                      <a:ext cx="594067" cy="10692003"/>
                    </a:xfrm>
                    <a:prstGeom prst="rect">
                      <a:avLst/>
                    </a:prstGeom>
                  </pic:spPr>
                </pic:pic>
              </a:graphicData>
            </a:graphic>
          </wp:anchor>
        </w:drawing>
      </w:r>
      <w:r>
        <w:rPr/>
        <w:pict>
          <v:shape style="position:absolute;margin-left:20.519100pt;margin-top:48.890015pt;width:25.9pt;height:505.9pt;mso-position-horizontal-relative:page;mso-position-vertical-relative:page;z-index:-267913216" type="#_x0000_t202" filled="false" stroked="false">
            <v:textbox inset="0,0,0,0" style="layout-flow:vertical">
              <w:txbxContent>
                <w:p>
                  <w:pPr>
                    <w:spacing w:before="27"/>
                    <w:ind w:left="20" w:right="0" w:firstLine="0"/>
                    <w:jc w:val="left"/>
                    <w:rPr>
                      <w:sz w:val="39"/>
                    </w:rPr>
                  </w:pPr>
                  <w:r>
                    <w:rPr>
                      <w:color w:val="FFFFFF"/>
                      <w:w w:val="120"/>
                      <w:sz w:val="39"/>
                    </w:rPr>
                    <w:t>Education and learning – </w:t>
                  </w:r>
                  <w:r>
                    <w:rPr>
                      <w:w w:val="120"/>
                      <w:sz w:val="39"/>
                    </w:rPr>
                    <w:t>Expectations of ministry</w:t>
                  </w:r>
                </w:p>
              </w:txbxContent>
            </v:textbox>
            <w10:wrap type="none"/>
          </v:shape>
        </w:pict>
      </w:r>
    </w:p>
    <w:p>
      <w:pPr>
        <w:pStyle w:val="BodyText"/>
      </w:pPr>
    </w:p>
    <w:p>
      <w:pPr>
        <w:pStyle w:val="BodyText"/>
      </w:pPr>
    </w:p>
    <w:p>
      <w:pPr>
        <w:pStyle w:val="BodyText"/>
        <w:spacing w:before="5"/>
        <w:rPr>
          <w:sz w:val="28"/>
        </w:rPr>
      </w:pPr>
    </w:p>
    <w:p>
      <w:pPr>
        <w:spacing w:line="213" w:lineRule="auto" w:before="153"/>
        <w:ind w:left="547" w:right="4163" w:firstLine="0"/>
        <w:jc w:val="left"/>
        <w:rPr>
          <w:rFonts w:ascii="Stone Sans II ITC Std X Bd"/>
          <w:b/>
          <w:sz w:val="50"/>
        </w:rPr>
      </w:pPr>
      <w:r>
        <w:rPr>
          <w:rFonts w:ascii="Stone Sans II ITC Std X Bd"/>
          <w:b/>
          <w:color w:val="0090D4"/>
          <w:w w:val="110"/>
          <w:sz w:val="50"/>
        </w:rPr>
        <w:t>Education and learning committee:</w:t>
      </w:r>
    </w:p>
    <w:p>
      <w:pPr>
        <w:spacing w:line="213" w:lineRule="auto" w:before="0"/>
        <w:ind w:left="547" w:right="3714" w:firstLine="0"/>
        <w:jc w:val="left"/>
        <w:rPr>
          <w:rFonts w:ascii="Stone Sans II ITC Std X Bd"/>
          <w:b/>
          <w:sz w:val="50"/>
        </w:rPr>
      </w:pPr>
      <w:r>
        <w:rPr>
          <w:rFonts w:ascii="Stone Sans II ITC Std X Bd"/>
          <w:b/>
          <w:w w:val="110"/>
          <w:sz w:val="50"/>
        </w:rPr>
        <w:t>Twenty first century expectations for ministry</w:t>
      </w:r>
    </w:p>
    <w:p>
      <w:pPr>
        <w:pStyle w:val="Heading4"/>
        <w:spacing w:before="322"/>
        <w:ind w:left="547"/>
      </w:pPr>
      <w:r>
        <w:rPr>
          <w:color w:val="7F7F7F"/>
        </w:rPr>
        <w:t>Basic Information</w:t>
      </w:r>
    </w:p>
    <w:tbl>
      <w:tblPr>
        <w:tblW w:w="0" w:type="auto"/>
        <w:jc w:val="left"/>
        <w:tblInd w:w="55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660"/>
        <w:gridCol w:w="6582"/>
      </w:tblGrid>
      <w:tr>
        <w:trPr>
          <w:trHeight w:val="680" w:hRule="atLeast"/>
        </w:trPr>
        <w:tc>
          <w:tcPr>
            <w:tcW w:w="2660" w:type="dxa"/>
            <w:shd w:val="clear" w:color="auto" w:fill="FFFFFF"/>
          </w:tcPr>
          <w:p>
            <w:pPr>
              <w:pStyle w:val="TableParagraph"/>
              <w:spacing w:line="213" w:lineRule="auto" w:before="151"/>
              <w:ind w:right="595"/>
              <w:rPr>
                <w:rFonts w:ascii="Stone Sans II ITC Std Bk"/>
                <w:b/>
                <w:sz w:val="20"/>
              </w:rPr>
            </w:pPr>
            <w:r>
              <w:rPr>
                <w:rFonts w:ascii="Stone Sans II ITC Std Bk"/>
                <w:b/>
                <w:w w:val="110"/>
                <w:sz w:val="20"/>
              </w:rPr>
              <w:t>Contact name and email address</w:t>
            </w:r>
          </w:p>
        </w:tc>
        <w:tc>
          <w:tcPr>
            <w:tcW w:w="6582" w:type="dxa"/>
            <w:shd w:val="clear" w:color="auto" w:fill="FFFFFF"/>
          </w:tcPr>
          <w:p>
            <w:pPr>
              <w:pStyle w:val="TableParagraph"/>
              <w:spacing w:line="235" w:lineRule="auto" w:before="145"/>
              <w:ind w:right="786"/>
              <w:rPr>
                <w:sz w:val="20"/>
              </w:rPr>
            </w:pPr>
            <w:r>
              <w:rPr>
                <w:w w:val="120"/>
                <w:sz w:val="20"/>
              </w:rPr>
              <w:t>The Revd Prof Neil Messer: </w:t>
            </w:r>
            <w:r>
              <w:rPr>
                <w:color w:val="006AB3"/>
                <w:w w:val="120"/>
                <w:sz w:val="20"/>
              </w:rPr>
              <w:t>n</w:t>
            </w:r>
            <w:hyperlink r:id="rId223">
              <w:r>
                <w:rPr>
                  <w:color w:val="006AB3"/>
                  <w:w w:val="120"/>
                  <w:sz w:val="20"/>
                </w:rPr>
                <w:t>eil.Messer@winchester.ac.uk</w:t>
              </w:r>
            </w:hyperlink>
            <w:r>
              <w:rPr>
                <w:color w:val="006AB3"/>
                <w:w w:val="120"/>
                <w:sz w:val="20"/>
              </w:rPr>
              <w:t> </w:t>
            </w:r>
            <w:r>
              <w:rPr>
                <w:w w:val="120"/>
                <w:sz w:val="20"/>
              </w:rPr>
              <w:t>The Revd Fiona Thomas: </w:t>
            </w:r>
            <w:hyperlink r:id="rId224">
              <w:r>
                <w:rPr>
                  <w:color w:val="006AB3"/>
                  <w:w w:val="120"/>
                  <w:sz w:val="20"/>
                </w:rPr>
                <w:t>fiona.thomas@urc.org.uk</w:t>
              </w:r>
            </w:hyperlink>
          </w:p>
        </w:tc>
      </w:tr>
      <w:tr>
        <w:trPr>
          <w:trHeight w:val="440" w:hRule="atLeast"/>
        </w:trPr>
        <w:tc>
          <w:tcPr>
            <w:tcW w:w="2660" w:type="dxa"/>
            <w:shd w:val="clear" w:color="auto" w:fill="FFFFFF"/>
          </w:tcPr>
          <w:p>
            <w:pPr>
              <w:pStyle w:val="TableParagraph"/>
              <w:spacing w:before="128"/>
              <w:rPr>
                <w:rFonts w:ascii="Stone Sans II ITC Std Bk"/>
                <w:b/>
                <w:sz w:val="20"/>
              </w:rPr>
            </w:pPr>
            <w:r>
              <w:rPr>
                <w:rFonts w:ascii="Stone Sans II ITC Std Bk"/>
                <w:b/>
                <w:w w:val="110"/>
                <w:sz w:val="20"/>
              </w:rPr>
              <w:t>Action required</w:t>
            </w:r>
          </w:p>
        </w:tc>
        <w:tc>
          <w:tcPr>
            <w:tcW w:w="6582" w:type="dxa"/>
            <w:shd w:val="clear" w:color="auto" w:fill="FFFFFF"/>
          </w:tcPr>
          <w:p>
            <w:pPr>
              <w:pStyle w:val="TableParagraph"/>
              <w:spacing w:before="141"/>
              <w:rPr>
                <w:sz w:val="20"/>
              </w:rPr>
            </w:pPr>
            <w:r>
              <w:rPr>
                <w:w w:val="120"/>
                <w:sz w:val="20"/>
              </w:rPr>
              <w:t>Discussion and commendation to Mission Council for action</w:t>
            </w:r>
          </w:p>
        </w:tc>
      </w:tr>
      <w:tr>
        <w:trPr>
          <w:trHeight w:val="2843" w:hRule="atLeast"/>
        </w:trPr>
        <w:tc>
          <w:tcPr>
            <w:tcW w:w="2660" w:type="dxa"/>
            <w:shd w:val="clear" w:color="auto" w:fill="FFFFFF"/>
          </w:tcPr>
          <w:p>
            <w:pPr>
              <w:pStyle w:val="TableParagraph"/>
              <w:spacing w:before="128"/>
              <w:rPr>
                <w:rFonts w:ascii="Stone Sans II ITC Std Bk"/>
                <w:b/>
                <w:sz w:val="20"/>
              </w:rPr>
            </w:pPr>
            <w:r>
              <w:rPr>
                <w:rFonts w:ascii="Stone Sans II ITC Std Bk"/>
                <w:b/>
                <w:w w:val="110"/>
                <w:sz w:val="20"/>
              </w:rPr>
              <w:t>Draft resolution(s)</w:t>
            </w:r>
          </w:p>
        </w:tc>
        <w:tc>
          <w:tcPr>
            <w:tcW w:w="6582" w:type="dxa"/>
            <w:shd w:val="clear" w:color="auto" w:fill="FFFFFF"/>
          </w:tcPr>
          <w:p>
            <w:pPr>
              <w:pStyle w:val="TableParagraph"/>
              <w:tabs>
                <w:tab w:pos="760" w:val="left" w:leader="none"/>
              </w:tabs>
              <w:spacing w:line="213" w:lineRule="auto" w:before="151"/>
              <w:ind w:right="1397"/>
              <w:rPr>
                <w:rFonts w:ascii="Stone Sans II ITC Std Bk"/>
                <w:b/>
                <w:sz w:val="20"/>
              </w:rPr>
            </w:pPr>
            <w:r>
              <w:rPr>
                <w:rFonts w:ascii="Stone Sans II ITC Std Bk"/>
                <w:b/>
                <w:spacing w:val="-8"/>
                <w:w w:val="110"/>
                <w:sz w:val="20"/>
              </w:rPr>
              <w:t>13.</w:t>
              <w:tab/>
            </w:r>
            <w:r>
              <w:rPr>
                <w:rFonts w:ascii="Stone Sans II ITC Std Bk"/>
                <w:b/>
                <w:w w:val="110"/>
                <w:sz w:val="20"/>
              </w:rPr>
              <w:t>In the light of discussion of the papers on expectations of ministers, General</w:t>
            </w:r>
            <w:r>
              <w:rPr>
                <w:rFonts w:ascii="Stone Sans II ITC Std Bk"/>
                <w:b/>
                <w:spacing w:val="8"/>
                <w:w w:val="110"/>
                <w:sz w:val="20"/>
              </w:rPr>
              <w:t> </w:t>
            </w:r>
            <w:r>
              <w:rPr>
                <w:rFonts w:ascii="Stone Sans II ITC Std Bk"/>
                <w:b/>
                <w:w w:val="110"/>
                <w:sz w:val="20"/>
              </w:rPr>
              <w:t>Assembly:</w:t>
            </w:r>
          </w:p>
          <w:p>
            <w:pPr>
              <w:pStyle w:val="TableParagraph"/>
              <w:spacing w:before="8"/>
              <w:ind w:left="0"/>
              <w:rPr>
                <w:rFonts w:ascii="Stone Sans II ITC Std Bk"/>
                <w:b/>
                <w:sz w:val="17"/>
              </w:rPr>
            </w:pPr>
          </w:p>
          <w:p>
            <w:pPr>
              <w:pStyle w:val="TableParagraph"/>
              <w:numPr>
                <w:ilvl w:val="0"/>
                <w:numId w:val="66"/>
              </w:numPr>
              <w:tabs>
                <w:tab w:pos="760" w:val="left" w:leader="none"/>
                <w:tab w:pos="761" w:val="left" w:leader="none"/>
              </w:tabs>
              <w:spacing w:line="213" w:lineRule="auto" w:before="1" w:after="0"/>
              <w:ind w:left="760" w:right="345" w:hanging="681"/>
              <w:jc w:val="left"/>
              <w:rPr>
                <w:rFonts w:ascii="Stone Sans II ITC Std Bk"/>
                <w:b/>
                <w:sz w:val="20"/>
              </w:rPr>
            </w:pPr>
            <w:r>
              <w:rPr>
                <w:rFonts w:ascii="Stone Sans II ITC Std Bk"/>
                <w:b/>
                <w:w w:val="110"/>
                <w:sz w:val="20"/>
              </w:rPr>
              <w:t>directs Mission Council to agree a statement on the expectations of ministers of Word and</w:t>
            </w:r>
            <w:r>
              <w:rPr>
                <w:rFonts w:ascii="Stone Sans II ITC Std Bk"/>
                <w:b/>
                <w:spacing w:val="-10"/>
                <w:w w:val="110"/>
                <w:sz w:val="20"/>
              </w:rPr>
              <w:t> </w:t>
            </w:r>
            <w:r>
              <w:rPr>
                <w:rFonts w:ascii="Stone Sans II ITC Std Bk"/>
                <w:b/>
                <w:w w:val="110"/>
                <w:sz w:val="20"/>
              </w:rPr>
              <w:t>Sacraments;</w:t>
            </w:r>
          </w:p>
          <w:p>
            <w:pPr>
              <w:pStyle w:val="TableParagraph"/>
              <w:spacing w:before="8"/>
              <w:ind w:left="0"/>
              <w:rPr>
                <w:rFonts w:ascii="Stone Sans II ITC Std Bk"/>
                <w:b/>
                <w:sz w:val="17"/>
              </w:rPr>
            </w:pPr>
          </w:p>
          <w:p>
            <w:pPr>
              <w:pStyle w:val="TableParagraph"/>
              <w:numPr>
                <w:ilvl w:val="0"/>
                <w:numId w:val="66"/>
              </w:numPr>
              <w:tabs>
                <w:tab w:pos="760" w:val="left" w:leader="none"/>
                <w:tab w:pos="761" w:val="left" w:leader="none"/>
              </w:tabs>
              <w:spacing w:line="213" w:lineRule="auto" w:before="0" w:after="0"/>
              <w:ind w:left="760" w:right="259" w:hanging="681"/>
              <w:jc w:val="left"/>
              <w:rPr>
                <w:rFonts w:ascii="Stone Sans II ITC Std Bk"/>
                <w:b/>
                <w:sz w:val="20"/>
              </w:rPr>
            </w:pPr>
            <w:r>
              <w:rPr>
                <w:rFonts w:ascii="Stone Sans II ITC Std Bk"/>
                <w:b/>
                <w:w w:val="110"/>
                <w:sz w:val="20"/>
              </w:rPr>
              <w:t>instructs the ministries and education and learning committees to carry out the necessary consultation and drafting work to enable Mission Council to </w:t>
            </w:r>
            <w:r>
              <w:rPr>
                <w:rFonts w:ascii="Stone Sans II ITC Std Bk"/>
                <w:b/>
                <w:spacing w:val="-3"/>
                <w:w w:val="110"/>
                <w:sz w:val="20"/>
              </w:rPr>
              <w:t>fulfil </w:t>
            </w:r>
            <w:r>
              <w:rPr>
                <w:rFonts w:ascii="Stone Sans II ITC Std Bk"/>
                <w:b/>
                <w:w w:val="110"/>
                <w:sz w:val="20"/>
              </w:rPr>
              <w:t>this</w:t>
            </w:r>
            <w:r>
              <w:rPr>
                <w:rFonts w:ascii="Stone Sans II ITC Std Bk"/>
                <w:b/>
                <w:spacing w:val="-1"/>
                <w:w w:val="110"/>
                <w:sz w:val="20"/>
              </w:rPr>
              <w:t> </w:t>
            </w:r>
            <w:r>
              <w:rPr>
                <w:rFonts w:ascii="Stone Sans II ITC Std Bk"/>
                <w:b/>
                <w:w w:val="110"/>
                <w:sz w:val="20"/>
              </w:rPr>
              <w:t>task.</w:t>
            </w:r>
          </w:p>
        </w:tc>
      </w:tr>
    </w:tbl>
    <w:p>
      <w:pPr>
        <w:pStyle w:val="BodyText"/>
        <w:spacing w:before="3"/>
        <w:rPr>
          <w:rFonts w:ascii="Stone Sans II ITC Std Bk"/>
          <w:b/>
          <w:sz w:val="29"/>
        </w:rPr>
      </w:pPr>
    </w:p>
    <w:p>
      <w:pPr>
        <w:pStyle w:val="Heading4"/>
        <w:ind w:left="547"/>
      </w:pPr>
      <w:r>
        <w:rPr>
          <w:color w:val="7F7F7F"/>
        </w:rPr>
        <w:t>Summary of Content</w:t>
      </w:r>
    </w:p>
    <w:tbl>
      <w:tblPr>
        <w:tblW w:w="0" w:type="auto"/>
        <w:jc w:val="left"/>
        <w:tblInd w:w="55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660"/>
        <w:gridCol w:w="6582"/>
      </w:tblGrid>
      <w:tr>
        <w:trPr>
          <w:trHeight w:val="1160" w:hRule="atLeast"/>
        </w:trPr>
        <w:tc>
          <w:tcPr>
            <w:tcW w:w="2660" w:type="dxa"/>
            <w:shd w:val="clear" w:color="auto" w:fill="FFFFFF"/>
          </w:tcPr>
          <w:p>
            <w:pPr>
              <w:pStyle w:val="TableParagraph"/>
              <w:spacing w:before="128"/>
              <w:rPr>
                <w:rFonts w:ascii="Stone Sans II ITC Std Bk"/>
                <w:b/>
                <w:sz w:val="20"/>
              </w:rPr>
            </w:pPr>
            <w:r>
              <w:rPr>
                <w:rFonts w:ascii="Stone Sans II ITC Std Bk"/>
                <w:b/>
                <w:w w:val="110"/>
                <w:sz w:val="20"/>
              </w:rPr>
              <w:t>Subject and aim(s)</w:t>
            </w:r>
          </w:p>
        </w:tc>
        <w:tc>
          <w:tcPr>
            <w:tcW w:w="6582" w:type="dxa"/>
            <w:shd w:val="clear" w:color="auto" w:fill="FFFFFF"/>
          </w:tcPr>
          <w:p>
            <w:pPr>
              <w:pStyle w:val="TableParagraph"/>
              <w:spacing w:line="235" w:lineRule="auto" w:before="145"/>
              <w:ind w:right="396"/>
              <w:rPr>
                <w:sz w:val="20"/>
              </w:rPr>
            </w:pPr>
            <w:r>
              <w:rPr>
                <w:w w:val="120"/>
                <w:sz w:val="20"/>
              </w:rPr>
              <w:t>The intention of the resolution is to engage General Assembly in preliminary discussion of contemporary expectations</w:t>
            </w:r>
          </w:p>
          <w:p>
            <w:pPr>
              <w:pStyle w:val="TableParagraph"/>
              <w:spacing w:line="235" w:lineRule="auto" w:before="1"/>
              <w:rPr>
                <w:sz w:val="20"/>
              </w:rPr>
            </w:pPr>
            <w:r>
              <w:rPr>
                <w:w w:val="120"/>
                <w:sz w:val="20"/>
              </w:rPr>
              <w:t>of ministers, whether exercising the ministry of Word and Sacraments or church related community work</w:t>
            </w:r>
          </w:p>
        </w:tc>
      </w:tr>
      <w:tr>
        <w:trPr>
          <w:trHeight w:val="1400" w:hRule="atLeast"/>
        </w:trPr>
        <w:tc>
          <w:tcPr>
            <w:tcW w:w="2660" w:type="dxa"/>
            <w:shd w:val="clear" w:color="auto" w:fill="FFFFFF"/>
          </w:tcPr>
          <w:p>
            <w:pPr>
              <w:pStyle w:val="TableParagraph"/>
              <w:spacing w:before="128"/>
              <w:rPr>
                <w:rFonts w:ascii="Stone Sans II ITC Std Bk"/>
                <w:b/>
                <w:sz w:val="20"/>
              </w:rPr>
            </w:pPr>
            <w:r>
              <w:rPr>
                <w:rFonts w:ascii="Stone Sans II ITC Std Bk"/>
                <w:b/>
                <w:w w:val="110"/>
                <w:sz w:val="20"/>
              </w:rPr>
              <w:t>Main points</w:t>
            </w:r>
          </w:p>
        </w:tc>
        <w:tc>
          <w:tcPr>
            <w:tcW w:w="6582" w:type="dxa"/>
            <w:shd w:val="clear" w:color="auto" w:fill="FFFFFF"/>
          </w:tcPr>
          <w:p>
            <w:pPr>
              <w:pStyle w:val="TableParagraph"/>
              <w:spacing w:line="235" w:lineRule="auto" w:before="145"/>
              <w:ind w:right="334"/>
              <w:rPr>
                <w:sz w:val="20"/>
              </w:rPr>
            </w:pPr>
            <w:r>
              <w:rPr>
                <w:w w:val="120"/>
                <w:sz w:val="20"/>
              </w:rPr>
              <w:t>The focus of Walking the Way: living the life of Jesus today is on enabling the whole church in missional discipleship. People called to public ministry have significant roles to play in</w:t>
            </w:r>
            <w:r>
              <w:rPr>
                <w:spacing w:val="42"/>
                <w:w w:val="120"/>
                <w:sz w:val="20"/>
              </w:rPr>
              <w:t> </w:t>
            </w:r>
            <w:r>
              <w:rPr>
                <w:w w:val="120"/>
                <w:sz w:val="20"/>
              </w:rPr>
              <w:t>this.</w:t>
            </w:r>
          </w:p>
          <w:p>
            <w:pPr>
              <w:pStyle w:val="TableParagraph"/>
              <w:spacing w:line="235" w:lineRule="auto" w:before="2"/>
              <w:rPr>
                <w:sz w:val="20"/>
              </w:rPr>
            </w:pPr>
            <w:r>
              <w:rPr>
                <w:w w:val="120"/>
                <w:sz w:val="20"/>
              </w:rPr>
              <w:t>The United Reformed Church faces the challenge of continually refreshing its understanding and expectations of such roles</w:t>
            </w:r>
          </w:p>
        </w:tc>
      </w:tr>
      <w:tr>
        <w:trPr>
          <w:trHeight w:val="920" w:hRule="atLeast"/>
        </w:trPr>
        <w:tc>
          <w:tcPr>
            <w:tcW w:w="2660" w:type="dxa"/>
            <w:shd w:val="clear" w:color="auto" w:fill="FFFFFF"/>
          </w:tcPr>
          <w:p>
            <w:pPr>
              <w:pStyle w:val="TableParagraph"/>
              <w:spacing w:line="213" w:lineRule="auto" w:before="151"/>
              <w:ind w:right="701"/>
              <w:rPr>
                <w:rFonts w:ascii="Stone Sans II ITC Std Bk"/>
                <w:b/>
                <w:sz w:val="20"/>
              </w:rPr>
            </w:pPr>
            <w:r>
              <w:rPr>
                <w:rFonts w:ascii="Stone Sans II ITC Std Bk"/>
                <w:b/>
                <w:w w:val="110"/>
                <w:sz w:val="20"/>
              </w:rPr>
              <w:t>Previous relevant documents</w:t>
            </w:r>
          </w:p>
        </w:tc>
        <w:tc>
          <w:tcPr>
            <w:tcW w:w="6582" w:type="dxa"/>
            <w:shd w:val="clear" w:color="auto" w:fill="FFFFFF"/>
          </w:tcPr>
          <w:p>
            <w:pPr>
              <w:pStyle w:val="TableParagraph"/>
              <w:spacing w:line="235" w:lineRule="auto" w:before="145"/>
              <w:ind w:right="237"/>
              <w:rPr>
                <w:sz w:val="20"/>
              </w:rPr>
            </w:pPr>
            <w:r>
              <w:rPr>
                <w:w w:val="120"/>
                <w:sz w:val="20"/>
              </w:rPr>
              <w:t>The training committee approved a set of benchmarks for assessing the readiness for ministry of students, for use in initial ministerial education in 1993</w:t>
            </w:r>
          </w:p>
        </w:tc>
      </w:tr>
      <w:tr>
        <w:trPr>
          <w:trHeight w:val="920" w:hRule="atLeast"/>
        </w:trPr>
        <w:tc>
          <w:tcPr>
            <w:tcW w:w="2660" w:type="dxa"/>
            <w:shd w:val="clear" w:color="auto" w:fill="FFFFFF"/>
          </w:tcPr>
          <w:p>
            <w:pPr>
              <w:pStyle w:val="TableParagraph"/>
              <w:spacing w:line="213" w:lineRule="auto" w:before="151"/>
              <w:ind w:right="576"/>
              <w:rPr>
                <w:rFonts w:ascii="Stone Sans II ITC Std Bk"/>
                <w:b/>
                <w:sz w:val="20"/>
              </w:rPr>
            </w:pPr>
            <w:r>
              <w:rPr>
                <w:rFonts w:ascii="Stone Sans II ITC Std Bk"/>
                <w:b/>
                <w:w w:val="110"/>
                <w:sz w:val="20"/>
              </w:rPr>
              <w:t>Consultation has taken place with...</w:t>
            </w:r>
          </w:p>
        </w:tc>
        <w:tc>
          <w:tcPr>
            <w:tcW w:w="6582" w:type="dxa"/>
            <w:shd w:val="clear" w:color="auto" w:fill="FFFFFF"/>
          </w:tcPr>
          <w:p>
            <w:pPr>
              <w:pStyle w:val="TableParagraph"/>
              <w:spacing w:line="235" w:lineRule="auto" w:before="145"/>
              <w:rPr>
                <w:sz w:val="20"/>
              </w:rPr>
            </w:pPr>
            <w:r>
              <w:rPr>
                <w:w w:val="120"/>
                <w:sz w:val="20"/>
              </w:rPr>
              <w:t>The ministries committee during 2010-2012. Assessment conferences and RCLs have used the benchmarks as working documents</w:t>
            </w:r>
          </w:p>
        </w:tc>
      </w:tr>
    </w:tbl>
    <w:p>
      <w:pPr>
        <w:pStyle w:val="BodyText"/>
        <w:spacing w:before="3"/>
        <w:rPr>
          <w:rFonts w:ascii="Stone Sans II ITC Std Bk"/>
          <w:b/>
          <w:sz w:val="29"/>
        </w:rPr>
      </w:pPr>
    </w:p>
    <w:p>
      <w:pPr>
        <w:pStyle w:val="Heading4"/>
        <w:spacing w:before="1"/>
        <w:ind w:left="547"/>
      </w:pPr>
      <w:r>
        <w:rPr>
          <w:color w:val="7F7F7F"/>
        </w:rPr>
        <w:t>Summary of Impact</w:t>
      </w:r>
    </w:p>
    <w:tbl>
      <w:tblPr>
        <w:tblW w:w="0" w:type="auto"/>
        <w:jc w:val="left"/>
        <w:tblInd w:w="55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660"/>
        <w:gridCol w:w="6582"/>
      </w:tblGrid>
      <w:tr>
        <w:trPr>
          <w:trHeight w:val="440" w:hRule="atLeast"/>
        </w:trPr>
        <w:tc>
          <w:tcPr>
            <w:tcW w:w="2660" w:type="dxa"/>
            <w:shd w:val="clear" w:color="auto" w:fill="FFFFFF"/>
          </w:tcPr>
          <w:p>
            <w:pPr>
              <w:pStyle w:val="TableParagraph"/>
              <w:spacing w:before="128"/>
              <w:rPr>
                <w:rFonts w:ascii="Stone Sans II ITC Std Bk"/>
                <w:b/>
                <w:sz w:val="20"/>
              </w:rPr>
            </w:pPr>
            <w:r>
              <w:rPr>
                <w:rFonts w:ascii="Stone Sans II ITC Std Bk"/>
                <w:b/>
                <w:w w:val="110"/>
                <w:sz w:val="20"/>
              </w:rPr>
              <w:t>Financial</w:t>
            </w:r>
          </w:p>
        </w:tc>
        <w:tc>
          <w:tcPr>
            <w:tcW w:w="6582" w:type="dxa"/>
            <w:shd w:val="clear" w:color="auto" w:fill="FFFFFF"/>
          </w:tcPr>
          <w:p>
            <w:pPr>
              <w:pStyle w:val="TableParagraph"/>
              <w:spacing w:before="141"/>
              <w:rPr>
                <w:sz w:val="20"/>
              </w:rPr>
            </w:pPr>
            <w:r>
              <w:rPr>
                <w:w w:val="120"/>
                <w:sz w:val="20"/>
              </w:rPr>
              <w:t>Not applicable</w:t>
            </w:r>
          </w:p>
        </w:tc>
      </w:tr>
      <w:tr>
        <w:trPr>
          <w:trHeight w:val="920" w:hRule="atLeast"/>
        </w:trPr>
        <w:tc>
          <w:tcPr>
            <w:tcW w:w="2660" w:type="dxa"/>
            <w:shd w:val="clear" w:color="auto" w:fill="FFFFFF"/>
          </w:tcPr>
          <w:p>
            <w:pPr>
              <w:pStyle w:val="TableParagraph"/>
              <w:spacing w:line="255" w:lineRule="exact" w:before="128"/>
              <w:rPr>
                <w:rFonts w:ascii="Stone Sans II ITC Std Bk"/>
                <w:b/>
                <w:sz w:val="20"/>
              </w:rPr>
            </w:pPr>
            <w:r>
              <w:rPr>
                <w:rFonts w:ascii="Stone Sans II ITC Std Bk"/>
                <w:b/>
                <w:w w:val="110"/>
                <w:sz w:val="20"/>
              </w:rPr>
              <w:t>External</w:t>
            </w:r>
          </w:p>
          <w:p>
            <w:pPr>
              <w:pStyle w:val="TableParagraph"/>
              <w:spacing w:line="255" w:lineRule="exact"/>
              <w:rPr>
                <w:rFonts w:ascii="Stone Sans II ITC Std Bk"/>
                <w:b/>
                <w:sz w:val="20"/>
              </w:rPr>
            </w:pPr>
            <w:r>
              <w:rPr>
                <w:rFonts w:ascii="Stone Sans II ITC Std Bk"/>
                <w:b/>
                <w:w w:val="110"/>
                <w:sz w:val="20"/>
              </w:rPr>
              <w:t>(e.g. ecumenical)</w:t>
            </w:r>
          </w:p>
        </w:tc>
        <w:tc>
          <w:tcPr>
            <w:tcW w:w="6582" w:type="dxa"/>
            <w:shd w:val="clear" w:color="auto" w:fill="FFFFFF"/>
          </w:tcPr>
          <w:p>
            <w:pPr>
              <w:pStyle w:val="TableParagraph"/>
              <w:spacing w:line="235" w:lineRule="auto" w:before="145"/>
              <w:ind w:right="385"/>
              <w:jc w:val="both"/>
              <w:rPr>
                <w:sz w:val="20"/>
              </w:rPr>
            </w:pPr>
            <w:r>
              <w:rPr>
                <w:w w:val="120"/>
                <w:sz w:val="20"/>
              </w:rPr>
              <w:t>Not directly applicable although how the URC sees ministry is likely to be influenced by how close ecumenical partners view ministry.</w:t>
            </w:r>
          </w:p>
        </w:tc>
      </w:tr>
    </w:tbl>
    <w:p>
      <w:pPr>
        <w:pStyle w:val="BodyText"/>
        <w:spacing w:before="8"/>
        <w:rPr>
          <w:rFonts w:ascii="Stone Sans II ITC Std Bk"/>
          <w:b/>
          <w:sz w:val="29"/>
        </w:rPr>
      </w:pPr>
    </w:p>
    <w:p>
      <w:pPr>
        <w:pStyle w:val="Heading6"/>
        <w:spacing w:before="0"/>
        <w:ind w:left="547"/>
      </w:pPr>
      <w:r>
        <w:rPr>
          <w:rFonts w:ascii="Stone Sans II ITC Std X Bd" w:hAnsi="Stone Sans II ITC Std X Bd"/>
          <w:b/>
          <w:w w:val="110"/>
          <w:sz w:val="24"/>
        </w:rPr>
        <w:t>78 </w:t>
      </w:r>
      <w:r>
        <w:rPr>
          <w:rFonts w:ascii="Symbol" w:hAnsi="Symbol"/>
          <w:color w:val="7EAABF"/>
          <w:w w:val="110"/>
        </w:rPr>
        <w:t></w:t>
      </w:r>
      <w:r>
        <w:rPr>
          <w:rFonts w:ascii="Times New Roman" w:hAnsi="Times New Roman"/>
          <w:color w:val="7EAABF"/>
          <w:w w:val="110"/>
        </w:rPr>
        <w:t> </w:t>
      </w:r>
      <w:r>
        <w:rPr>
          <w:color w:val="7EAABF"/>
          <w:w w:val="110"/>
        </w:rPr>
        <w:t>United Reformed Church </w:t>
      </w:r>
      <w:r>
        <w:rPr>
          <w:rFonts w:ascii="Symbol" w:hAnsi="Symbol"/>
          <w:color w:val="7EAABF"/>
          <w:w w:val="110"/>
        </w:rPr>
        <w:t></w:t>
      </w:r>
      <w:r>
        <w:rPr>
          <w:rFonts w:ascii="Times New Roman" w:hAnsi="Times New Roman"/>
          <w:color w:val="7EAABF"/>
          <w:w w:val="110"/>
        </w:rPr>
        <w:t> </w:t>
      </w:r>
      <w:r>
        <w:rPr>
          <w:color w:val="7EAABF"/>
          <w:w w:val="110"/>
        </w:rPr>
        <w:t>General Assembly 2016</w:t>
      </w:r>
    </w:p>
    <w:p>
      <w:pPr>
        <w:spacing w:after="0"/>
        <w:sectPr>
          <w:headerReference w:type="even" r:id="rId248"/>
          <w:footerReference w:type="even" r:id="rId249"/>
          <w:pgSz w:w="11910" w:h="16840"/>
          <w:pgMar w:header="0" w:footer="0" w:top="0" w:bottom="0" w:left="700" w:right="0"/>
        </w:sectPr>
      </w:pPr>
    </w:p>
    <w:p>
      <w:pPr>
        <w:pStyle w:val="BodyText"/>
      </w:pPr>
      <w:r>
        <w:rPr/>
        <w:pict>
          <v:line style="position:absolute;mso-position-horizontal-relative:page;mso-position-vertical-relative:page;z-index:251857920" from="0pt,.000315pt" to="0pt,841.890315pt" stroked="true" strokeweight="0pt" strokecolor="#d4e9f7">
            <v:stroke dashstyle="solid"/>
            <w10:wrap type="none"/>
          </v:line>
        </w:pict>
      </w:r>
      <w:r>
        <w:rPr/>
        <w:drawing>
          <wp:anchor distT="0" distB="0" distL="0" distR="0" allowOverlap="1" layoutInCell="1" locked="0" behindDoc="0" simplePos="0" relativeHeight="251858944">
            <wp:simplePos x="0" y="0"/>
            <wp:positionH relativeFrom="page">
              <wp:posOffset>6974928</wp:posOffset>
            </wp:positionH>
            <wp:positionV relativeFrom="page">
              <wp:posOffset>0</wp:posOffset>
            </wp:positionV>
            <wp:extent cx="585063" cy="10692003"/>
            <wp:effectExtent l="0" t="0" r="0" b="0"/>
            <wp:wrapNone/>
            <wp:docPr id="143" name="image54.png"/>
            <wp:cNvGraphicFramePr>
              <a:graphicFrameLocks noChangeAspect="1"/>
            </wp:cNvGraphicFramePr>
            <a:graphic>
              <a:graphicData uri="http://schemas.openxmlformats.org/drawingml/2006/picture">
                <pic:pic>
                  <pic:nvPicPr>
                    <pic:cNvPr id="144" name="image54.png"/>
                    <pic:cNvPicPr/>
                  </pic:nvPicPr>
                  <pic:blipFill>
                    <a:blip r:embed="rId169" cstate="print"/>
                    <a:stretch>
                      <a:fillRect/>
                    </a:stretch>
                  </pic:blipFill>
                  <pic:spPr>
                    <a:xfrm>
                      <a:off x="0" y="0"/>
                      <a:ext cx="585063" cy="10692003"/>
                    </a:xfrm>
                    <a:prstGeom prst="rect">
                      <a:avLst/>
                    </a:prstGeom>
                  </pic:spPr>
                </pic:pic>
              </a:graphicData>
            </a:graphic>
          </wp:anchor>
        </w:drawing>
      </w:r>
    </w:p>
    <w:p>
      <w:pPr>
        <w:pStyle w:val="BodyText"/>
      </w:pPr>
    </w:p>
    <w:p>
      <w:pPr>
        <w:pStyle w:val="BodyText"/>
      </w:pPr>
    </w:p>
    <w:p>
      <w:pPr>
        <w:pStyle w:val="BodyText"/>
      </w:pPr>
    </w:p>
    <w:p>
      <w:pPr>
        <w:pStyle w:val="BodyText"/>
        <w:spacing w:before="4"/>
        <w:rPr>
          <w:sz w:val="29"/>
        </w:rPr>
      </w:pPr>
    </w:p>
    <w:p>
      <w:pPr>
        <w:spacing w:before="97"/>
        <w:ind w:left="1284" w:right="0" w:firstLine="0"/>
        <w:jc w:val="left"/>
        <w:rPr>
          <w:rFonts w:ascii="Stone Sans II ITC Std X Bd"/>
          <w:b/>
          <w:sz w:val="50"/>
        </w:rPr>
      </w:pPr>
      <w:r>
        <w:rPr/>
        <w:pict>
          <v:shape style="position:absolute;margin-left:554.141174pt;margin-top:-18.743078pt;width:25.9pt;height:505.9pt;mso-position-horizontal-relative:page;mso-position-vertical-relative:paragraph;z-index:251859968" type="#_x0000_t202" filled="false" stroked="false">
            <v:textbox inset="0,0,0,0" style="layout-flow:vertical">
              <w:txbxContent>
                <w:p>
                  <w:pPr>
                    <w:spacing w:before="27"/>
                    <w:ind w:left="20" w:right="0" w:firstLine="0"/>
                    <w:jc w:val="left"/>
                    <w:rPr>
                      <w:sz w:val="39"/>
                    </w:rPr>
                  </w:pPr>
                  <w:r>
                    <w:rPr>
                      <w:color w:val="FFFFFF"/>
                      <w:w w:val="120"/>
                      <w:sz w:val="39"/>
                    </w:rPr>
                    <w:t>Education and learning – </w:t>
                  </w:r>
                  <w:r>
                    <w:rPr>
                      <w:w w:val="120"/>
                      <w:sz w:val="39"/>
                    </w:rPr>
                    <w:t>Expectations of ministry</w:t>
                  </w:r>
                </w:p>
              </w:txbxContent>
            </v:textbox>
            <w10:wrap type="none"/>
          </v:shape>
        </w:pict>
      </w:r>
      <w:r>
        <w:rPr>
          <w:rFonts w:ascii="Stone Sans II ITC Std X Bd"/>
          <w:b/>
          <w:w w:val="110"/>
          <w:sz w:val="50"/>
        </w:rPr>
        <w:t>Expectations of ministry</w:t>
      </w:r>
    </w:p>
    <w:p>
      <w:pPr>
        <w:pStyle w:val="ListParagraph"/>
        <w:numPr>
          <w:ilvl w:val="0"/>
          <w:numId w:val="67"/>
        </w:numPr>
        <w:tabs>
          <w:tab w:pos="1964" w:val="left" w:leader="none"/>
          <w:tab w:pos="1965" w:val="left" w:leader="none"/>
        </w:tabs>
        <w:spacing w:line="235" w:lineRule="auto" w:before="365" w:after="0"/>
        <w:ind w:left="1284" w:right="1419" w:firstLine="0"/>
        <w:jc w:val="left"/>
        <w:rPr>
          <w:sz w:val="20"/>
        </w:rPr>
      </w:pPr>
      <w:r>
        <w:rPr>
          <w:w w:val="120"/>
          <w:sz w:val="20"/>
        </w:rPr>
        <w:t>Work</w:t>
      </w:r>
      <w:r>
        <w:rPr>
          <w:spacing w:val="-17"/>
          <w:w w:val="120"/>
          <w:sz w:val="20"/>
        </w:rPr>
        <w:t> </w:t>
      </w:r>
      <w:r>
        <w:rPr>
          <w:w w:val="120"/>
          <w:sz w:val="20"/>
        </w:rPr>
        <w:t>for</w:t>
      </w:r>
      <w:r>
        <w:rPr>
          <w:spacing w:val="-17"/>
          <w:w w:val="120"/>
          <w:sz w:val="20"/>
        </w:rPr>
        <w:t> </w:t>
      </w:r>
      <w:r>
        <w:rPr>
          <w:i/>
          <w:w w:val="120"/>
          <w:sz w:val="20"/>
        </w:rPr>
        <w:t>Walking</w:t>
      </w:r>
      <w:r>
        <w:rPr>
          <w:i/>
          <w:spacing w:val="-18"/>
          <w:w w:val="120"/>
          <w:sz w:val="20"/>
        </w:rPr>
        <w:t> </w:t>
      </w:r>
      <w:r>
        <w:rPr>
          <w:i/>
          <w:w w:val="120"/>
          <w:sz w:val="20"/>
        </w:rPr>
        <w:t>the</w:t>
      </w:r>
      <w:r>
        <w:rPr>
          <w:i/>
          <w:spacing w:val="-19"/>
          <w:w w:val="120"/>
          <w:sz w:val="20"/>
        </w:rPr>
        <w:t> </w:t>
      </w:r>
      <w:r>
        <w:rPr>
          <w:i/>
          <w:w w:val="120"/>
          <w:sz w:val="20"/>
        </w:rPr>
        <w:t>Way:</w:t>
      </w:r>
      <w:r>
        <w:rPr>
          <w:i/>
          <w:spacing w:val="-18"/>
          <w:w w:val="120"/>
          <w:sz w:val="20"/>
        </w:rPr>
        <w:t> </w:t>
      </w:r>
      <w:r>
        <w:rPr>
          <w:i/>
          <w:w w:val="120"/>
          <w:sz w:val="20"/>
        </w:rPr>
        <w:t>living</w:t>
      </w:r>
      <w:r>
        <w:rPr>
          <w:i/>
          <w:spacing w:val="-19"/>
          <w:w w:val="120"/>
          <w:sz w:val="20"/>
        </w:rPr>
        <w:t> </w:t>
      </w:r>
      <w:r>
        <w:rPr>
          <w:i/>
          <w:w w:val="120"/>
          <w:sz w:val="20"/>
        </w:rPr>
        <w:t>the</w:t>
      </w:r>
      <w:r>
        <w:rPr>
          <w:i/>
          <w:spacing w:val="-19"/>
          <w:w w:val="120"/>
          <w:sz w:val="20"/>
        </w:rPr>
        <w:t> </w:t>
      </w:r>
      <w:r>
        <w:rPr>
          <w:i/>
          <w:w w:val="120"/>
          <w:sz w:val="20"/>
        </w:rPr>
        <w:t>life</w:t>
      </w:r>
      <w:r>
        <w:rPr>
          <w:i/>
          <w:spacing w:val="-18"/>
          <w:w w:val="120"/>
          <w:sz w:val="20"/>
        </w:rPr>
        <w:t> </w:t>
      </w:r>
      <w:r>
        <w:rPr>
          <w:i/>
          <w:w w:val="120"/>
          <w:sz w:val="20"/>
        </w:rPr>
        <w:t>of</w:t>
      </w:r>
      <w:r>
        <w:rPr>
          <w:i/>
          <w:spacing w:val="-19"/>
          <w:w w:val="120"/>
          <w:sz w:val="20"/>
        </w:rPr>
        <w:t> </w:t>
      </w:r>
      <w:r>
        <w:rPr>
          <w:i/>
          <w:w w:val="120"/>
          <w:sz w:val="20"/>
        </w:rPr>
        <w:t>Jesus</w:t>
      </w:r>
      <w:r>
        <w:rPr>
          <w:i/>
          <w:spacing w:val="-18"/>
          <w:w w:val="120"/>
          <w:sz w:val="20"/>
        </w:rPr>
        <w:t> </w:t>
      </w:r>
      <w:r>
        <w:rPr>
          <w:i/>
          <w:w w:val="120"/>
          <w:sz w:val="20"/>
        </w:rPr>
        <w:t>today</w:t>
      </w:r>
      <w:r>
        <w:rPr>
          <w:i/>
          <w:spacing w:val="-17"/>
          <w:w w:val="120"/>
          <w:sz w:val="20"/>
        </w:rPr>
        <w:t> </w:t>
      </w:r>
      <w:r>
        <w:rPr>
          <w:w w:val="120"/>
          <w:sz w:val="20"/>
        </w:rPr>
        <w:t>has</w:t>
      </w:r>
      <w:r>
        <w:rPr>
          <w:spacing w:val="-16"/>
          <w:w w:val="120"/>
          <w:sz w:val="20"/>
        </w:rPr>
        <w:t> </w:t>
      </w:r>
      <w:r>
        <w:rPr>
          <w:w w:val="120"/>
          <w:sz w:val="20"/>
        </w:rPr>
        <w:t>again</w:t>
      </w:r>
      <w:r>
        <w:rPr>
          <w:spacing w:val="-17"/>
          <w:w w:val="120"/>
          <w:sz w:val="20"/>
        </w:rPr>
        <w:t> </w:t>
      </w:r>
      <w:r>
        <w:rPr>
          <w:w w:val="120"/>
          <w:sz w:val="20"/>
        </w:rPr>
        <w:t>highlighted</w:t>
      </w:r>
      <w:r>
        <w:rPr>
          <w:spacing w:val="-17"/>
          <w:w w:val="120"/>
          <w:sz w:val="20"/>
        </w:rPr>
        <w:t> </w:t>
      </w:r>
      <w:r>
        <w:rPr>
          <w:w w:val="120"/>
          <w:sz w:val="20"/>
        </w:rPr>
        <w:t>the ways in which the expectations which the United Reformed Church has of its ministers has a major influence on congregational life. This is expressed in the often heard, and difficult to answer question: ‘What are ministers</w:t>
      </w:r>
      <w:r>
        <w:rPr>
          <w:spacing w:val="7"/>
          <w:w w:val="120"/>
          <w:sz w:val="20"/>
        </w:rPr>
        <w:t> </w:t>
      </w:r>
      <w:r>
        <w:rPr>
          <w:spacing w:val="-3"/>
          <w:w w:val="120"/>
          <w:sz w:val="20"/>
        </w:rPr>
        <w:t>for?’</w:t>
      </w:r>
    </w:p>
    <w:p>
      <w:pPr>
        <w:pStyle w:val="BodyText"/>
        <w:spacing w:before="11"/>
        <w:rPr>
          <w:sz w:val="19"/>
        </w:rPr>
      </w:pPr>
    </w:p>
    <w:p>
      <w:pPr>
        <w:pStyle w:val="ListParagraph"/>
        <w:numPr>
          <w:ilvl w:val="0"/>
          <w:numId w:val="67"/>
        </w:numPr>
        <w:tabs>
          <w:tab w:pos="1964" w:val="left" w:leader="none"/>
          <w:tab w:pos="1965" w:val="left" w:leader="none"/>
        </w:tabs>
        <w:spacing w:line="235" w:lineRule="auto" w:before="0" w:after="0"/>
        <w:ind w:left="1284" w:right="2056" w:firstLine="0"/>
        <w:jc w:val="left"/>
        <w:rPr>
          <w:sz w:val="20"/>
        </w:rPr>
      </w:pPr>
      <w:r>
        <w:rPr>
          <w:w w:val="120"/>
          <w:sz w:val="20"/>
        </w:rPr>
        <w:t>The scope of this resolution covers the ministry of Word and Sacraments, whilst drawing directly on experience and insights of CRCW</w:t>
      </w:r>
      <w:r>
        <w:rPr>
          <w:spacing w:val="49"/>
          <w:w w:val="120"/>
          <w:sz w:val="20"/>
        </w:rPr>
        <w:t> </w:t>
      </w:r>
      <w:r>
        <w:rPr>
          <w:w w:val="120"/>
          <w:sz w:val="20"/>
        </w:rPr>
        <w:t>ministry.</w:t>
      </w:r>
    </w:p>
    <w:p>
      <w:pPr>
        <w:pStyle w:val="BodyText"/>
        <w:spacing w:before="9"/>
        <w:rPr>
          <w:sz w:val="19"/>
        </w:rPr>
      </w:pPr>
    </w:p>
    <w:p>
      <w:pPr>
        <w:pStyle w:val="ListParagraph"/>
        <w:numPr>
          <w:ilvl w:val="0"/>
          <w:numId w:val="67"/>
        </w:numPr>
        <w:tabs>
          <w:tab w:pos="1964" w:val="left" w:leader="none"/>
          <w:tab w:pos="1965" w:val="left" w:leader="none"/>
        </w:tabs>
        <w:spacing w:line="235" w:lineRule="auto" w:before="0" w:after="0"/>
        <w:ind w:left="1284" w:right="1390" w:firstLine="0"/>
        <w:jc w:val="left"/>
        <w:rPr>
          <w:sz w:val="20"/>
        </w:rPr>
      </w:pPr>
      <w:r>
        <w:rPr>
          <w:w w:val="120"/>
          <w:sz w:val="20"/>
        </w:rPr>
        <w:t>The training committee agreed what it expected of someone preparing for the ministry of Word and Sacraments in </w:t>
      </w:r>
      <w:r>
        <w:rPr>
          <w:spacing w:val="-6"/>
          <w:w w:val="120"/>
          <w:sz w:val="20"/>
        </w:rPr>
        <w:t>1993. </w:t>
      </w:r>
      <w:r>
        <w:rPr>
          <w:w w:val="120"/>
          <w:sz w:val="20"/>
        </w:rPr>
        <w:t>The education and learning committee and ministries committee updated these expectations in </w:t>
      </w:r>
      <w:r>
        <w:rPr>
          <w:spacing w:val="-6"/>
          <w:w w:val="120"/>
          <w:sz w:val="20"/>
        </w:rPr>
        <w:t>2012. </w:t>
      </w:r>
      <w:r>
        <w:rPr>
          <w:w w:val="120"/>
          <w:sz w:val="20"/>
        </w:rPr>
        <w:t>There have been parallel benchmarks agreed for the ministry of church related community work. This is the first time that these two documents have been explicitly discussed by General</w:t>
      </w:r>
      <w:r>
        <w:rPr>
          <w:spacing w:val="45"/>
          <w:w w:val="120"/>
          <w:sz w:val="20"/>
        </w:rPr>
        <w:t> </w:t>
      </w:r>
      <w:r>
        <w:rPr>
          <w:w w:val="120"/>
          <w:sz w:val="20"/>
        </w:rPr>
        <w:t>Assembly.</w:t>
      </w:r>
    </w:p>
    <w:p>
      <w:pPr>
        <w:pStyle w:val="BodyText"/>
      </w:pPr>
    </w:p>
    <w:p>
      <w:pPr>
        <w:pStyle w:val="ListParagraph"/>
        <w:numPr>
          <w:ilvl w:val="1"/>
          <w:numId w:val="68"/>
        </w:numPr>
        <w:tabs>
          <w:tab w:pos="1964" w:val="left" w:leader="none"/>
          <w:tab w:pos="1965" w:val="left" w:leader="none"/>
        </w:tabs>
        <w:spacing w:line="235" w:lineRule="auto" w:before="0" w:after="0"/>
        <w:ind w:left="1284" w:right="2151" w:firstLine="0"/>
        <w:jc w:val="left"/>
        <w:rPr>
          <w:sz w:val="20"/>
        </w:rPr>
      </w:pPr>
      <w:r>
        <w:rPr>
          <w:w w:val="120"/>
          <w:sz w:val="20"/>
        </w:rPr>
        <w:t>The two documents attached to this resolution have different, but inter- related,</w:t>
      </w:r>
      <w:r>
        <w:rPr>
          <w:spacing w:val="2"/>
          <w:w w:val="120"/>
          <w:sz w:val="20"/>
        </w:rPr>
        <w:t> </w:t>
      </w:r>
      <w:r>
        <w:rPr>
          <w:w w:val="120"/>
          <w:sz w:val="20"/>
        </w:rPr>
        <w:t>origins.</w:t>
      </w:r>
    </w:p>
    <w:p>
      <w:pPr>
        <w:pStyle w:val="BodyText"/>
        <w:spacing w:before="9"/>
        <w:rPr>
          <w:sz w:val="19"/>
        </w:rPr>
      </w:pPr>
    </w:p>
    <w:p>
      <w:pPr>
        <w:pStyle w:val="ListParagraph"/>
        <w:numPr>
          <w:ilvl w:val="2"/>
          <w:numId w:val="68"/>
        </w:numPr>
        <w:tabs>
          <w:tab w:pos="1964" w:val="left" w:leader="none"/>
          <w:tab w:pos="1965" w:val="left" w:leader="none"/>
        </w:tabs>
        <w:spacing w:line="235" w:lineRule="auto" w:before="1" w:after="0"/>
        <w:ind w:left="1964" w:right="1940" w:hanging="681"/>
        <w:jc w:val="left"/>
        <w:rPr>
          <w:sz w:val="20"/>
        </w:rPr>
      </w:pPr>
      <w:r>
        <w:rPr>
          <w:w w:val="120"/>
          <w:sz w:val="20"/>
        </w:rPr>
        <w:t>The document on the ministry of Word and Sacraments resulted from discussions of the </w:t>
      </w:r>
      <w:r>
        <w:rPr>
          <w:spacing w:val="-6"/>
          <w:w w:val="120"/>
          <w:sz w:val="20"/>
        </w:rPr>
        <w:t>1993 </w:t>
      </w:r>
      <w:r>
        <w:rPr>
          <w:w w:val="120"/>
          <w:sz w:val="20"/>
        </w:rPr>
        <w:t>benchmarks </w:t>
      </w:r>
      <w:r>
        <w:rPr>
          <w:spacing w:val="-6"/>
          <w:w w:val="120"/>
          <w:sz w:val="20"/>
        </w:rPr>
        <w:t>2010 </w:t>
      </w:r>
      <w:r>
        <w:rPr>
          <w:w w:val="120"/>
          <w:sz w:val="20"/>
        </w:rPr>
        <w:t>to </w:t>
      </w:r>
      <w:r>
        <w:rPr>
          <w:spacing w:val="-7"/>
          <w:w w:val="120"/>
          <w:sz w:val="20"/>
        </w:rPr>
        <w:t>2012 </w:t>
      </w:r>
      <w:r>
        <w:rPr>
          <w:w w:val="120"/>
          <w:sz w:val="20"/>
        </w:rPr>
        <w:t>within and between the education &amp; learning and ministries</w:t>
      </w:r>
      <w:r>
        <w:rPr>
          <w:spacing w:val="13"/>
          <w:w w:val="120"/>
          <w:sz w:val="20"/>
        </w:rPr>
        <w:t> </w:t>
      </w:r>
      <w:r>
        <w:rPr>
          <w:w w:val="120"/>
          <w:sz w:val="20"/>
        </w:rPr>
        <w:t>committees.</w:t>
      </w:r>
    </w:p>
    <w:p>
      <w:pPr>
        <w:pStyle w:val="BodyText"/>
        <w:spacing w:before="10"/>
        <w:rPr>
          <w:sz w:val="19"/>
        </w:rPr>
      </w:pPr>
    </w:p>
    <w:p>
      <w:pPr>
        <w:pStyle w:val="ListParagraph"/>
        <w:numPr>
          <w:ilvl w:val="2"/>
          <w:numId w:val="68"/>
        </w:numPr>
        <w:tabs>
          <w:tab w:pos="1964" w:val="left" w:leader="none"/>
          <w:tab w:pos="1965" w:val="left" w:leader="none"/>
        </w:tabs>
        <w:spacing w:line="235" w:lineRule="auto" w:before="0" w:after="0"/>
        <w:ind w:left="1964" w:right="1325" w:hanging="681"/>
        <w:jc w:val="left"/>
        <w:rPr>
          <w:sz w:val="20"/>
        </w:rPr>
      </w:pPr>
      <w:r>
        <w:rPr>
          <w:w w:val="120"/>
          <w:sz w:val="20"/>
        </w:rPr>
        <w:t>The document on CRCW ministry originated in work done by the CRCW programme subcommittee and </w:t>
      </w:r>
      <w:r>
        <w:rPr>
          <w:spacing w:val="2"/>
          <w:w w:val="120"/>
          <w:sz w:val="20"/>
        </w:rPr>
        <w:t>Northern </w:t>
      </w:r>
      <w:r>
        <w:rPr>
          <w:w w:val="120"/>
          <w:sz w:val="20"/>
        </w:rPr>
        <w:t>College. The purpose of that was to ensure that the competency profile of people commissioned to CRCW ministry meets the needs of both the Church and recognised quality assurance standards for community work. The community work (CRCW) document is intentionally  laid out in a comparable way to that of the ministry of Word and Sacraments (MWS)</w:t>
      </w:r>
      <w:r>
        <w:rPr>
          <w:spacing w:val="2"/>
          <w:w w:val="120"/>
          <w:sz w:val="20"/>
        </w:rPr>
        <w:t> </w:t>
      </w:r>
      <w:r>
        <w:rPr>
          <w:w w:val="120"/>
          <w:sz w:val="20"/>
        </w:rPr>
        <w:t>paper.</w:t>
      </w:r>
    </w:p>
    <w:p>
      <w:pPr>
        <w:pStyle w:val="BodyText"/>
        <w:spacing w:before="1"/>
      </w:pPr>
    </w:p>
    <w:p>
      <w:pPr>
        <w:pStyle w:val="ListParagraph"/>
        <w:numPr>
          <w:ilvl w:val="0"/>
          <w:numId w:val="69"/>
        </w:numPr>
        <w:tabs>
          <w:tab w:pos="1964" w:val="left" w:leader="none"/>
          <w:tab w:pos="1965" w:val="left" w:leader="none"/>
        </w:tabs>
        <w:spacing w:line="235" w:lineRule="auto" w:before="0" w:after="0"/>
        <w:ind w:left="1284" w:right="1568" w:firstLine="0"/>
        <w:jc w:val="left"/>
        <w:rPr>
          <w:sz w:val="20"/>
        </w:rPr>
      </w:pPr>
      <w:r>
        <w:rPr>
          <w:w w:val="120"/>
          <w:sz w:val="20"/>
        </w:rPr>
        <w:t>Thus there is a difference in the status of the two papers. The CRCW paper is the current authoritative expression of the United Reformed </w:t>
      </w:r>
      <w:r>
        <w:rPr>
          <w:spacing w:val="-3"/>
          <w:w w:val="120"/>
          <w:sz w:val="20"/>
        </w:rPr>
        <w:t>Church’s </w:t>
      </w:r>
      <w:r>
        <w:rPr>
          <w:w w:val="120"/>
          <w:sz w:val="20"/>
        </w:rPr>
        <w:t>expectation of people exercising CRCW ministry. The MWS paper is a working </w:t>
      </w:r>
      <w:r>
        <w:rPr>
          <w:spacing w:val="2"/>
          <w:w w:val="120"/>
          <w:sz w:val="20"/>
        </w:rPr>
        <w:t>draft </w:t>
      </w:r>
      <w:r>
        <w:rPr>
          <w:w w:val="120"/>
          <w:sz w:val="20"/>
        </w:rPr>
        <w:t>which has been used in varying degrees of formality since</w:t>
      </w:r>
      <w:r>
        <w:rPr>
          <w:spacing w:val="19"/>
          <w:w w:val="120"/>
          <w:sz w:val="20"/>
        </w:rPr>
        <w:t> </w:t>
      </w:r>
      <w:r>
        <w:rPr>
          <w:spacing w:val="-6"/>
          <w:w w:val="120"/>
          <w:sz w:val="20"/>
        </w:rPr>
        <w:t>2012.</w:t>
      </w:r>
    </w:p>
    <w:p>
      <w:pPr>
        <w:pStyle w:val="BodyText"/>
        <w:spacing w:before="11"/>
        <w:rPr>
          <w:sz w:val="19"/>
        </w:rPr>
      </w:pPr>
    </w:p>
    <w:p>
      <w:pPr>
        <w:pStyle w:val="ListParagraph"/>
        <w:numPr>
          <w:ilvl w:val="0"/>
          <w:numId w:val="69"/>
        </w:numPr>
        <w:tabs>
          <w:tab w:pos="1964" w:val="left" w:leader="none"/>
          <w:tab w:pos="1965" w:val="left" w:leader="none"/>
        </w:tabs>
        <w:spacing w:line="235" w:lineRule="auto" w:before="0" w:after="0"/>
        <w:ind w:left="1284" w:right="1250" w:firstLine="0"/>
        <w:jc w:val="left"/>
        <w:rPr>
          <w:sz w:val="20"/>
        </w:rPr>
      </w:pPr>
      <w:r>
        <w:rPr>
          <w:w w:val="120"/>
          <w:sz w:val="20"/>
        </w:rPr>
        <w:t>These two papers are being brought to General Assembly for the purpose of working towards a definitive version of the MWS paper to be adopted by Mission Council in due course, with work being done jointly by the ministries and the education and learning committees to prepare for</w:t>
      </w:r>
      <w:r>
        <w:rPr>
          <w:spacing w:val="11"/>
          <w:w w:val="120"/>
          <w:sz w:val="20"/>
        </w:rPr>
        <w:t> </w:t>
      </w:r>
      <w:r>
        <w:rPr>
          <w:w w:val="120"/>
          <w:sz w:val="20"/>
        </w:rPr>
        <w:t>this.</w:t>
      </w:r>
    </w:p>
    <w:p>
      <w:pPr>
        <w:pStyle w:val="BodyText"/>
        <w:spacing w:before="11"/>
        <w:rPr>
          <w:sz w:val="19"/>
        </w:rPr>
      </w:pPr>
    </w:p>
    <w:p>
      <w:pPr>
        <w:pStyle w:val="ListParagraph"/>
        <w:numPr>
          <w:ilvl w:val="0"/>
          <w:numId w:val="69"/>
        </w:numPr>
        <w:tabs>
          <w:tab w:pos="1964" w:val="left" w:leader="none"/>
          <w:tab w:pos="1965" w:val="left" w:leader="none"/>
        </w:tabs>
        <w:spacing w:line="235" w:lineRule="auto" w:before="0" w:after="0"/>
        <w:ind w:left="1284" w:right="1361" w:firstLine="0"/>
        <w:jc w:val="left"/>
        <w:rPr>
          <w:sz w:val="20"/>
        </w:rPr>
      </w:pPr>
      <w:r>
        <w:rPr>
          <w:w w:val="120"/>
          <w:sz w:val="20"/>
        </w:rPr>
        <w:t>Consultation pursued with synods and the Resource Centres for Learning would include synod ministries and pastoral committees and relevant networks such as training and development officers, mission enablers, children and youth development officers, and Together Ethnic and Minority URC</w:t>
      </w:r>
      <w:r>
        <w:rPr>
          <w:spacing w:val="19"/>
          <w:w w:val="120"/>
          <w:sz w:val="20"/>
        </w:rPr>
        <w:t> </w:t>
      </w:r>
      <w:r>
        <w:rPr>
          <w:w w:val="120"/>
          <w:sz w:val="20"/>
        </w:rPr>
        <w:t>(TEAMurc).</w:t>
      </w:r>
    </w:p>
    <w:p>
      <w:pPr>
        <w:spacing w:after="0" w:line="235" w:lineRule="auto"/>
        <w:jc w:val="left"/>
        <w:rPr>
          <w:sz w:val="20"/>
        </w:rPr>
        <w:sectPr>
          <w:headerReference w:type="default" r:id="rId250"/>
          <w:footerReference w:type="default" r:id="rId251"/>
          <w:pgSz w:w="11910" w:h="16840"/>
          <w:pgMar w:header="0" w:footer="647" w:top="0" w:bottom="840" w:left="700" w:right="0"/>
          <w:pgNumType w:start="79"/>
        </w:sectPr>
      </w:pPr>
    </w:p>
    <w:p>
      <w:pPr>
        <w:pStyle w:val="BodyText"/>
      </w:pPr>
    </w:p>
    <w:p>
      <w:pPr>
        <w:pStyle w:val="BodyText"/>
      </w:pPr>
    </w:p>
    <w:p>
      <w:pPr>
        <w:pStyle w:val="BodyText"/>
      </w:pPr>
    </w:p>
    <w:p>
      <w:pPr>
        <w:pStyle w:val="BodyText"/>
        <w:spacing w:before="5"/>
        <w:rPr>
          <w:sz w:val="29"/>
        </w:rPr>
      </w:pPr>
    </w:p>
    <w:p>
      <w:pPr>
        <w:pStyle w:val="Heading2"/>
        <w:spacing w:before="95"/>
        <w:ind w:left="273"/>
      </w:pPr>
      <w:r>
        <w:rPr/>
        <w:pict>
          <v:shape style="position:absolute;margin-left:288.557281pt;margin-top:-31.32419pt;width:503.45pt;height:19.8pt;mso-position-horizontal-relative:page;mso-position-vertical-relative:paragraph;z-index:251867136;rotation:180" type="#_x0000_t136" fillcolor="#ffffff" stroked="f">
            <o:extrusion v:ext="view" autorotationcenter="t"/>
            <v:textpath style="font-family:&quot;Calibri&quot;;font-size:19pt;v-text-kern:t;mso-text-shadow:auto" string="Education and learning – Expectations of ministry"/>
            <w10:wrap type="none"/>
          </v:shape>
        </w:pict>
      </w:r>
      <w:r>
        <w:rPr>
          <w:w w:val="110"/>
        </w:rPr>
        <w:t>A minister of Word and Sacraments in the United Reformed Church is a person:</w:t>
      </w:r>
    </w:p>
    <w:p>
      <w:pPr>
        <w:tabs>
          <w:tab w:pos="7548" w:val="left" w:leader="none"/>
          <w:tab w:pos="12065" w:val="left" w:leader="none"/>
        </w:tabs>
        <w:spacing w:line="39" w:lineRule="exact"/>
        <w:ind w:left="2549" w:right="0" w:firstLine="0"/>
        <w:rPr>
          <w:rFonts w:ascii="Stone Sans II ITC Std Bk"/>
          <w:sz w:val="3"/>
        </w:rPr>
      </w:pPr>
      <w:r>
        <w:rPr>
          <w:rFonts w:ascii="Stone Sans II ITC Std Bk"/>
          <w:position w:val="0"/>
          <w:sz w:val="3"/>
        </w:rPr>
        <w:pict>
          <v:group style="width:.5pt;height:1pt;mso-position-horizontal-relative:char;mso-position-vertical-relative:line" coordorigin="0,0" coordsize="10,20">
            <v:line style="position:absolute" from="0,10" to="10,10" stroked="true" strokeweight=".977pt" strokecolor="#000000">
              <v:stroke dashstyle="solid"/>
            </v:line>
          </v:group>
        </w:pict>
      </w:r>
      <w:r>
        <w:rPr>
          <w:rFonts w:ascii="Stone Sans II ITC Std Bk"/>
          <w:position w:val="0"/>
          <w:sz w:val="3"/>
        </w:rPr>
      </w:r>
      <w:r>
        <w:rPr>
          <w:rFonts w:ascii="Stone Sans II ITC Std Bk"/>
          <w:position w:val="0"/>
          <w:sz w:val="3"/>
        </w:rPr>
        <w:tab/>
      </w:r>
      <w:r>
        <w:rPr>
          <w:rFonts w:ascii="Stone Sans II ITC Std Bk"/>
          <w:position w:val="0"/>
          <w:sz w:val="3"/>
        </w:rPr>
        <w:pict>
          <v:group style="width:.5pt;height:1pt;mso-position-horizontal-relative:char;mso-position-vertical-relative:line" coordorigin="0,0" coordsize="10,20">
            <v:line style="position:absolute" from="0,10" to="10,10" stroked="true" strokeweight=".977pt" strokecolor="#000000">
              <v:stroke dashstyle="solid"/>
            </v:line>
          </v:group>
        </w:pict>
      </w:r>
      <w:r>
        <w:rPr>
          <w:rFonts w:ascii="Stone Sans II ITC Std Bk"/>
          <w:position w:val="0"/>
          <w:sz w:val="3"/>
        </w:rPr>
      </w:r>
      <w:r>
        <w:rPr>
          <w:rFonts w:ascii="Stone Sans II ITC Std Bk"/>
          <w:position w:val="0"/>
          <w:sz w:val="3"/>
        </w:rPr>
        <w:tab/>
      </w:r>
      <w:r>
        <w:rPr>
          <w:rFonts w:ascii="Stone Sans II ITC Std Bk"/>
          <w:position w:val="0"/>
          <w:sz w:val="3"/>
        </w:rPr>
        <w:pict>
          <v:group style="width:.5pt;height:1pt;mso-position-horizontal-relative:char;mso-position-vertical-relative:line" coordorigin="0,0" coordsize="10,20">
            <v:line style="position:absolute" from="0,10" to="10,10" stroked="true" strokeweight=".977pt" strokecolor="#000000">
              <v:stroke dashstyle="solid"/>
            </v:line>
          </v:group>
        </w:pict>
      </w:r>
      <w:r>
        <w:rPr>
          <w:rFonts w:ascii="Stone Sans II ITC Std Bk"/>
          <w:position w:val="0"/>
          <w:sz w:val="3"/>
        </w:rPr>
      </w:r>
    </w:p>
    <w:tbl>
      <w:tblPr>
        <w:tblW w:w="0" w:type="auto"/>
        <w:jc w:val="left"/>
        <w:tblInd w:w="28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286"/>
        <w:gridCol w:w="4999"/>
        <w:gridCol w:w="4516"/>
        <w:gridCol w:w="3492"/>
      </w:tblGrid>
      <w:tr>
        <w:trPr>
          <w:trHeight w:val="195" w:hRule="atLeast"/>
        </w:trPr>
        <w:tc>
          <w:tcPr>
            <w:tcW w:w="2286" w:type="dxa"/>
            <w:tcBorders>
              <w:top w:val="nil"/>
              <w:left w:val="nil"/>
              <w:right w:val="dashed" w:sz="4" w:space="0" w:color="000000"/>
            </w:tcBorders>
          </w:tcPr>
          <w:p>
            <w:pPr>
              <w:pStyle w:val="TableParagraph"/>
              <w:spacing w:line="175" w:lineRule="exact"/>
              <w:ind w:left="107"/>
              <w:rPr>
                <w:rFonts w:ascii="Stone Sans II ITC Std Bk"/>
                <w:b/>
                <w:sz w:val="16"/>
              </w:rPr>
            </w:pPr>
            <w:r>
              <w:rPr>
                <w:rFonts w:ascii="Stone Sans II ITC Std Bk"/>
                <w:b/>
                <w:w w:val="115"/>
                <w:sz w:val="16"/>
              </w:rPr>
              <w:t>who is:</w:t>
            </w:r>
          </w:p>
        </w:tc>
        <w:tc>
          <w:tcPr>
            <w:tcW w:w="4999" w:type="dxa"/>
            <w:tcBorders>
              <w:top w:val="nil"/>
              <w:left w:val="dashed" w:sz="4" w:space="0" w:color="000000"/>
              <w:right w:val="dashed" w:sz="4" w:space="0" w:color="000000"/>
            </w:tcBorders>
          </w:tcPr>
          <w:p>
            <w:pPr>
              <w:pStyle w:val="TableParagraph"/>
              <w:spacing w:line="175" w:lineRule="exact"/>
              <w:ind w:left="102"/>
              <w:rPr>
                <w:rFonts w:ascii="Stone Sans II ITC Std Bk"/>
                <w:b/>
                <w:sz w:val="16"/>
              </w:rPr>
            </w:pPr>
            <w:r>
              <w:rPr>
                <w:rFonts w:ascii="Stone Sans II ITC Std Bk"/>
                <w:b/>
                <w:w w:val="115"/>
                <w:sz w:val="16"/>
              </w:rPr>
              <w:t>who lives:</w:t>
            </w:r>
          </w:p>
        </w:tc>
        <w:tc>
          <w:tcPr>
            <w:tcW w:w="4516" w:type="dxa"/>
            <w:tcBorders>
              <w:top w:val="nil"/>
              <w:left w:val="dashed" w:sz="4" w:space="0" w:color="000000"/>
              <w:right w:val="dashed" w:sz="4" w:space="0" w:color="000000"/>
            </w:tcBorders>
          </w:tcPr>
          <w:p>
            <w:pPr>
              <w:pStyle w:val="TableParagraph"/>
              <w:spacing w:line="175" w:lineRule="exact"/>
              <w:ind w:left="103"/>
              <w:rPr>
                <w:rFonts w:ascii="Stone Sans II ITC Std Bk"/>
                <w:b/>
                <w:sz w:val="16"/>
              </w:rPr>
            </w:pPr>
            <w:r>
              <w:rPr>
                <w:rFonts w:ascii="Stone Sans II ITC Std Bk"/>
                <w:b/>
                <w:w w:val="115"/>
                <w:sz w:val="16"/>
              </w:rPr>
              <w:t>who knows about and understands:</w:t>
            </w:r>
          </w:p>
        </w:tc>
        <w:tc>
          <w:tcPr>
            <w:tcW w:w="3492" w:type="dxa"/>
            <w:tcBorders>
              <w:top w:val="nil"/>
              <w:left w:val="dashed" w:sz="4" w:space="0" w:color="000000"/>
              <w:right w:val="nil"/>
            </w:tcBorders>
          </w:tcPr>
          <w:p>
            <w:pPr>
              <w:pStyle w:val="TableParagraph"/>
              <w:spacing w:line="175" w:lineRule="exact"/>
              <w:ind w:left="103"/>
              <w:rPr>
                <w:rFonts w:ascii="Stone Sans II ITC Std Bk"/>
                <w:b/>
                <w:sz w:val="16"/>
              </w:rPr>
            </w:pPr>
            <w:r>
              <w:rPr>
                <w:rFonts w:ascii="Stone Sans II ITC Std Bk"/>
                <w:b/>
                <w:w w:val="115"/>
                <w:sz w:val="16"/>
              </w:rPr>
              <w:t>who has skills in:</w:t>
            </w:r>
          </w:p>
        </w:tc>
      </w:tr>
      <w:tr>
        <w:trPr>
          <w:trHeight w:val="1285" w:hRule="atLeast"/>
        </w:trPr>
        <w:tc>
          <w:tcPr>
            <w:tcW w:w="2286" w:type="dxa"/>
            <w:tcBorders>
              <w:left w:val="nil"/>
              <w:right w:val="dashed" w:sz="4" w:space="0" w:color="000000"/>
            </w:tcBorders>
          </w:tcPr>
          <w:p>
            <w:pPr>
              <w:pStyle w:val="TableParagraph"/>
              <w:spacing w:before="17"/>
              <w:ind w:left="107"/>
              <w:rPr>
                <w:rFonts w:ascii="Stone Sans II ITC Std Bk"/>
                <w:b/>
                <w:sz w:val="16"/>
              </w:rPr>
            </w:pPr>
            <w:r>
              <w:rPr>
                <w:rFonts w:ascii="Stone Sans II ITC Std Bk"/>
                <w:b/>
                <w:w w:val="115"/>
                <w:sz w:val="16"/>
              </w:rPr>
              <w:t>A faithful disciple</w:t>
            </w:r>
          </w:p>
        </w:tc>
        <w:tc>
          <w:tcPr>
            <w:tcW w:w="4999" w:type="dxa"/>
            <w:tcBorders>
              <w:left w:val="dashed" w:sz="4" w:space="0" w:color="000000"/>
              <w:right w:val="dashed" w:sz="4" w:space="0" w:color="000000"/>
            </w:tcBorders>
          </w:tcPr>
          <w:p>
            <w:pPr>
              <w:pStyle w:val="TableParagraph"/>
              <w:numPr>
                <w:ilvl w:val="0"/>
                <w:numId w:val="70"/>
              </w:numPr>
              <w:tabs>
                <w:tab w:pos="443" w:val="left" w:leader="none"/>
                <w:tab w:pos="444" w:val="left" w:leader="none"/>
              </w:tabs>
              <w:spacing w:line="210" w:lineRule="exact" w:before="28" w:after="0"/>
              <w:ind w:left="443" w:right="0" w:hanging="342"/>
              <w:jc w:val="left"/>
              <w:rPr>
                <w:sz w:val="17"/>
              </w:rPr>
            </w:pPr>
            <w:r>
              <w:rPr>
                <w:w w:val="120"/>
                <w:sz w:val="17"/>
              </w:rPr>
              <w:t>committed to</w:t>
            </w:r>
            <w:r>
              <w:rPr>
                <w:spacing w:val="6"/>
                <w:w w:val="120"/>
                <w:sz w:val="17"/>
              </w:rPr>
              <w:t> </w:t>
            </w:r>
            <w:r>
              <w:rPr>
                <w:w w:val="120"/>
                <w:sz w:val="17"/>
              </w:rPr>
              <w:t>Christ</w:t>
            </w:r>
          </w:p>
          <w:p>
            <w:pPr>
              <w:pStyle w:val="TableParagraph"/>
              <w:numPr>
                <w:ilvl w:val="0"/>
                <w:numId w:val="70"/>
              </w:numPr>
              <w:tabs>
                <w:tab w:pos="443" w:val="left" w:leader="none"/>
                <w:tab w:pos="444" w:val="left" w:leader="none"/>
              </w:tabs>
              <w:spacing w:line="200" w:lineRule="exact" w:before="0" w:after="0"/>
              <w:ind w:left="443" w:right="0" w:hanging="342"/>
              <w:jc w:val="left"/>
              <w:rPr>
                <w:sz w:val="17"/>
              </w:rPr>
            </w:pPr>
            <w:r>
              <w:rPr>
                <w:w w:val="120"/>
                <w:sz w:val="17"/>
              </w:rPr>
              <w:t>a life of prayer, worship and </w:t>
            </w:r>
            <w:r>
              <w:rPr>
                <w:spacing w:val="11"/>
                <w:w w:val="120"/>
                <w:sz w:val="17"/>
              </w:rPr>
              <w:t> </w:t>
            </w:r>
            <w:r>
              <w:rPr>
                <w:w w:val="120"/>
                <w:sz w:val="17"/>
              </w:rPr>
              <w:t>witness</w:t>
            </w:r>
          </w:p>
          <w:p>
            <w:pPr>
              <w:pStyle w:val="TableParagraph"/>
              <w:numPr>
                <w:ilvl w:val="0"/>
                <w:numId w:val="70"/>
              </w:numPr>
              <w:tabs>
                <w:tab w:pos="443" w:val="left" w:leader="none"/>
                <w:tab w:pos="444" w:val="left" w:leader="none"/>
              </w:tabs>
              <w:spacing w:line="200" w:lineRule="exact" w:before="0" w:after="0"/>
              <w:ind w:left="443" w:right="0" w:hanging="342"/>
              <w:jc w:val="left"/>
              <w:rPr>
                <w:sz w:val="17"/>
              </w:rPr>
            </w:pPr>
            <w:r>
              <w:rPr>
                <w:w w:val="120"/>
                <w:sz w:val="17"/>
              </w:rPr>
              <w:t>within</w:t>
            </w:r>
            <w:r>
              <w:rPr>
                <w:spacing w:val="19"/>
                <w:w w:val="120"/>
                <w:sz w:val="17"/>
              </w:rPr>
              <w:t> </w:t>
            </w:r>
            <w:r>
              <w:rPr>
                <w:w w:val="120"/>
                <w:sz w:val="17"/>
              </w:rPr>
              <w:t>the</w:t>
            </w:r>
            <w:r>
              <w:rPr>
                <w:spacing w:val="19"/>
                <w:w w:val="120"/>
                <w:sz w:val="17"/>
              </w:rPr>
              <w:t> </w:t>
            </w:r>
            <w:r>
              <w:rPr>
                <w:w w:val="120"/>
                <w:sz w:val="17"/>
              </w:rPr>
              <w:t>community</w:t>
            </w:r>
            <w:r>
              <w:rPr>
                <w:spacing w:val="19"/>
                <w:w w:val="120"/>
                <w:sz w:val="17"/>
              </w:rPr>
              <w:t> </w:t>
            </w:r>
            <w:r>
              <w:rPr>
                <w:w w:val="120"/>
                <w:sz w:val="17"/>
              </w:rPr>
              <w:t>of</w:t>
            </w:r>
            <w:r>
              <w:rPr>
                <w:spacing w:val="19"/>
                <w:w w:val="120"/>
                <w:sz w:val="17"/>
              </w:rPr>
              <w:t> </w:t>
            </w:r>
            <w:r>
              <w:rPr>
                <w:w w:val="120"/>
                <w:sz w:val="17"/>
              </w:rPr>
              <w:t>the</w:t>
            </w:r>
            <w:r>
              <w:rPr>
                <w:spacing w:val="19"/>
                <w:w w:val="120"/>
                <w:sz w:val="17"/>
              </w:rPr>
              <w:t> </w:t>
            </w:r>
            <w:r>
              <w:rPr>
                <w:w w:val="120"/>
                <w:sz w:val="17"/>
              </w:rPr>
              <w:t>church</w:t>
            </w:r>
          </w:p>
          <w:p>
            <w:pPr>
              <w:pStyle w:val="TableParagraph"/>
              <w:numPr>
                <w:ilvl w:val="0"/>
                <w:numId w:val="70"/>
              </w:numPr>
              <w:tabs>
                <w:tab w:pos="443" w:val="left" w:leader="none"/>
                <w:tab w:pos="444" w:val="left" w:leader="none"/>
              </w:tabs>
              <w:spacing w:line="200" w:lineRule="exact" w:before="0" w:after="0"/>
              <w:ind w:left="443" w:right="0" w:hanging="342"/>
              <w:jc w:val="left"/>
              <w:rPr>
                <w:sz w:val="17"/>
              </w:rPr>
            </w:pPr>
            <w:r>
              <w:rPr>
                <w:w w:val="125"/>
                <w:sz w:val="17"/>
              </w:rPr>
              <w:t>with integrity, discipline, joy and</w:t>
            </w:r>
            <w:r>
              <w:rPr>
                <w:spacing w:val="-5"/>
                <w:w w:val="125"/>
                <w:sz w:val="17"/>
              </w:rPr>
              <w:t> </w:t>
            </w:r>
            <w:r>
              <w:rPr>
                <w:w w:val="125"/>
                <w:sz w:val="17"/>
              </w:rPr>
              <w:t>commitment</w:t>
            </w:r>
          </w:p>
          <w:p>
            <w:pPr>
              <w:pStyle w:val="TableParagraph"/>
              <w:numPr>
                <w:ilvl w:val="0"/>
                <w:numId w:val="70"/>
              </w:numPr>
              <w:tabs>
                <w:tab w:pos="443" w:val="left" w:leader="none"/>
                <w:tab w:pos="444" w:val="left" w:leader="none"/>
              </w:tabs>
              <w:spacing w:line="228" w:lineRule="auto" w:before="0" w:after="0"/>
              <w:ind w:left="443" w:right="362" w:hanging="341"/>
              <w:jc w:val="left"/>
              <w:rPr>
                <w:sz w:val="17"/>
              </w:rPr>
            </w:pPr>
            <w:r>
              <w:rPr>
                <w:w w:val="125"/>
                <w:sz w:val="17"/>
              </w:rPr>
              <w:t>in good, flourishing and wholesome relationship with others</w:t>
            </w:r>
          </w:p>
        </w:tc>
        <w:tc>
          <w:tcPr>
            <w:tcW w:w="4516" w:type="dxa"/>
            <w:tcBorders>
              <w:left w:val="dashed" w:sz="4" w:space="0" w:color="000000"/>
              <w:right w:val="dashed" w:sz="4" w:space="0" w:color="000000"/>
            </w:tcBorders>
          </w:tcPr>
          <w:p>
            <w:pPr>
              <w:pStyle w:val="TableParagraph"/>
              <w:numPr>
                <w:ilvl w:val="0"/>
                <w:numId w:val="71"/>
              </w:numPr>
              <w:tabs>
                <w:tab w:pos="443" w:val="left" w:leader="none"/>
                <w:tab w:pos="444" w:val="left" w:leader="none"/>
              </w:tabs>
              <w:spacing w:line="240" w:lineRule="auto" w:before="28" w:after="0"/>
              <w:ind w:left="443" w:right="0" w:hanging="341"/>
              <w:jc w:val="left"/>
              <w:rPr>
                <w:sz w:val="17"/>
              </w:rPr>
            </w:pPr>
            <w:r>
              <w:rPr>
                <w:w w:val="120"/>
                <w:sz w:val="17"/>
              </w:rPr>
              <w:t>his/her own experience of life and</w:t>
            </w:r>
            <w:r>
              <w:rPr>
                <w:spacing w:val="29"/>
                <w:w w:val="120"/>
                <w:sz w:val="17"/>
              </w:rPr>
              <w:t> </w:t>
            </w:r>
            <w:r>
              <w:rPr>
                <w:w w:val="120"/>
                <w:sz w:val="17"/>
              </w:rPr>
              <w:t>faith</w:t>
            </w:r>
          </w:p>
        </w:tc>
        <w:tc>
          <w:tcPr>
            <w:tcW w:w="3492" w:type="dxa"/>
            <w:tcBorders>
              <w:left w:val="dashed" w:sz="4" w:space="0" w:color="000000"/>
              <w:right w:val="nil"/>
            </w:tcBorders>
          </w:tcPr>
          <w:p>
            <w:pPr>
              <w:pStyle w:val="TableParagraph"/>
              <w:numPr>
                <w:ilvl w:val="0"/>
                <w:numId w:val="72"/>
              </w:numPr>
              <w:tabs>
                <w:tab w:pos="443" w:val="left" w:leader="none"/>
                <w:tab w:pos="444" w:val="left" w:leader="none"/>
              </w:tabs>
              <w:spacing w:line="228" w:lineRule="auto" w:before="36" w:after="0"/>
              <w:ind w:left="443" w:right="342" w:hanging="341"/>
              <w:jc w:val="left"/>
              <w:rPr>
                <w:sz w:val="17"/>
              </w:rPr>
            </w:pPr>
            <w:r>
              <w:rPr>
                <w:w w:val="125"/>
                <w:sz w:val="17"/>
              </w:rPr>
              <w:t>giving their own account of the Gospel</w:t>
            </w:r>
          </w:p>
        </w:tc>
      </w:tr>
      <w:tr>
        <w:trPr>
          <w:trHeight w:val="1455" w:hRule="atLeast"/>
        </w:trPr>
        <w:tc>
          <w:tcPr>
            <w:tcW w:w="2286" w:type="dxa"/>
            <w:tcBorders>
              <w:left w:val="nil"/>
              <w:right w:val="dashed" w:sz="4" w:space="0" w:color="000000"/>
            </w:tcBorders>
          </w:tcPr>
          <w:p>
            <w:pPr>
              <w:pStyle w:val="TableParagraph"/>
              <w:spacing w:before="17"/>
              <w:ind w:left="107"/>
              <w:rPr>
                <w:rFonts w:ascii="Stone Sans II ITC Std Bk"/>
                <w:b/>
                <w:sz w:val="16"/>
              </w:rPr>
            </w:pPr>
            <w:r>
              <w:rPr>
                <w:rFonts w:ascii="Stone Sans II ITC Std Bk"/>
                <w:b/>
                <w:w w:val="115"/>
                <w:sz w:val="16"/>
              </w:rPr>
              <w:t>A theologian</w:t>
            </w:r>
          </w:p>
        </w:tc>
        <w:tc>
          <w:tcPr>
            <w:tcW w:w="4999" w:type="dxa"/>
            <w:tcBorders>
              <w:left w:val="dashed" w:sz="4" w:space="0" w:color="000000"/>
              <w:right w:val="dashed" w:sz="4" w:space="0" w:color="000000"/>
            </w:tcBorders>
          </w:tcPr>
          <w:p>
            <w:pPr>
              <w:pStyle w:val="TableParagraph"/>
              <w:numPr>
                <w:ilvl w:val="0"/>
                <w:numId w:val="73"/>
              </w:numPr>
              <w:tabs>
                <w:tab w:pos="443" w:val="left" w:leader="none"/>
                <w:tab w:pos="444" w:val="left" w:leader="none"/>
              </w:tabs>
              <w:spacing w:line="210" w:lineRule="exact" w:before="28" w:after="0"/>
              <w:ind w:left="443" w:right="0" w:hanging="342"/>
              <w:jc w:val="left"/>
              <w:rPr>
                <w:sz w:val="17"/>
              </w:rPr>
            </w:pPr>
            <w:r>
              <w:rPr>
                <w:w w:val="120"/>
                <w:sz w:val="17"/>
              </w:rPr>
              <w:t>a</w:t>
            </w:r>
            <w:r>
              <w:rPr>
                <w:spacing w:val="9"/>
                <w:w w:val="120"/>
                <w:sz w:val="17"/>
              </w:rPr>
              <w:t> </w:t>
            </w:r>
            <w:r>
              <w:rPr>
                <w:w w:val="120"/>
                <w:sz w:val="17"/>
              </w:rPr>
              <w:t>life</w:t>
            </w:r>
            <w:r>
              <w:rPr>
                <w:spacing w:val="9"/>
                <w:w w:val="120"/>
                <w:sz w:val="17"/>
              </w:rPr>
              <w:t> </w:t>
            </w:r>
            <w:r>
              <w:rPr>
                <w:w w:val="120"/>
                <w:sz w:val="17"/>
              </w:rPr>
              <w:t>shaped</w:t>
            </w:r>
            <w:r>
              <w:rPr>
                <w:spacing w:val="9"/>
                <w:w w:val="120"/>
                <w:sz w:val="17"/>
              </w:rPr>
              <w:t> </w:t>
            </w:r>
            <w:r>
              <w:rPr>
                <w:w w:val="120"/>
                <w:sz w:val="17"/>
              </w:rPr>
              <w:t>and</w:t>
            </w:r>
            <w:r>
              <w:rPr>
                <w:spacing w:val="9"/>
                <w:w w:val="120"/>
                <w:sz w:val="17"/>
              </w:rPr>
              <w:t> </w:t>
            </w:r>
            <w:r>
              <w:rPr>
                <w:w w:val="120"/>
                <w:sz w:val="17"/>
              </w:rPr>
              <w:t>being</w:t>
            </w:r>
            <w:r>
              <w:rPr>
                <w:spacing w:val="9"/>
                <w:w w:val="120"/>
                <w:sz w:val="17"/>
              </w:rPr>
              <w:t> </w:t>
            </w:r>
            <w:r>
              <w:rPr>
                <w:spacing w:val="2"/>
                <w:w w:val="120"/>
                <w:sz w:val="17"/>
              </w:rPr>
              <w:t>transformed</w:t>
            </w:r>
            <w:r>
              <w:rPr>
                <w:spacing w:val="9"/>
                <w:w w:val="120"/>
                <w:sz w:val="17"/>
              </w:rPr>
              <w:t> </w:t>
            </w:r>
            <w:r>
              <w:rPr>
                <w:w w:val="120"/>
                <w:sz w:val="17"/>
              </w:rPr>
              <w:t>by</w:t>
            </w:r>
            <w:r>
              <w:rPr>
                <w:spacing w:val="9"/>
                <w:w w:val="120"/>
                <w:sz w:val="17"/>
              </w:rPr>
              <w:t> </w:t>
            </w:r>
            <w:r>
              <w:rPr>
                <w:w w:val="120"/>
                <w:sz w:val="17"/>
              </w:rPr>
              <w:t>the</w:t>
            </w:r>
            <w:r>
              <w:rPr>
                <w:spacing w:val="9"/>
                <w:w w:val="120"/>
                <w:sz w:val="17"/>
              </w:rPr>
              <w:t> </w:t>
            </w:r>
            <w:r>
              <w:rPr>
                <w:w w:val="120"/>
                <w:sz w:val="17"/>
              </w:rPr>
              <w:t>Bible</w:t>
            </w:r>
          </w:p>
          <w:p>
            <w:pPr>
              <w:pStyle w:val="TableParagraph"/>
              <w:numPr>
                <w:ilvl w:val="0"/>
                <w:numId w:val="73"/>
              </w:numPr>
              <w:tabs>
                <w:tab w:pos="443" w:val="left" w:leader="none"/>
                <w:tab w:pos="444" w:val="left" w:leader="none"/>
              </w:tabs>
              <w:spacing w:line="230" w:lineRule="auto" w:before="0" w:after="0"/>
              <w:ind w:left="443" w:right="131" w:hanging="341"/>
              <w:jc w:val="left"/>
              <w:rPr>
                <w:sz w:val="17"/>
              </w:rPr>
            </w:pPr>
            <w:r>
              <w:rPr>
                <w:w w:val="120"/>
                <w:sz w:val="17"/>
              </w:rPr>
              <w:t>inhabiting a particular tradition, but also within the ecumenical, world and intercultural community of the</w:t>
            </w:r>
            <w:r>
              <w:rPr>
                <w:spacing w:val="2"/>
                <w:w w:val="120"/>
                <w:sz w:val="17"/>
              </w:rPr>
              <w:t> </w:t>
            </w:r>
            <w:r>
              <w:rPr>
                <w:w w:val="120"/>
                <w:sz w:val="17"/>
              </w:rPr>
              <w:t>Church</w:t>
            </w:r>
          </w:p>
          <w:p>
            <w:pPr>
              <w:pStyle w:val="TableParagraph"/>
              <w:numPr>
                <w:ilvl w:val="0"/>
                <w:numId w:val="73"/>
              </w:numPr>
              <w:tabs>
                <w:tab w:pos="443" w:val="left" w:leader="none"/>
                <w:tab w:pos="444" w:val="left" w:leader="none"/>
              </w:tabs>
              <w:spacing w:line="228" w:lineRule="auto" w:before="0" w:after="0"/>
              <w:ind w:left="443" w:right="107" w:hanging="341"/>
              <w:jc w:val="left"/>
              <w:rPr>
                <w:sz w:val="17"/>
              </w:rPr>
            </w:pPr>
            <w:r>
              <w:rPr>
                <w:w w:val="120"/>
                <w:sz w:val="17"/>
              </w:rPr>
              <w:t>in a healthy tension between received tradition and present experience and</w:t>
            </w:r>
            <w:r>
              <w:rPr>
                <w:spacing w:val="14"/>
                <w:w w:val="120"/>
                <w:sz w:val="17"/>
              </w:rPr>
              <w:t> </w:t>
            </w:r>
            <w:r>
              <w:rPr>
                <w:w w:val="120"/>
                <w:sz w:val="17"/>
              </w:rPr>
              <w:t>expression</w:t>
            </w:r>
          </w:p>
          <w:p>
            <w:pPr>
              <w:pStyle w:val="TableParagraph"/>
              <w:numPr>
                <w:ilvl w:val="0"/>
                <w:numId w:val="73"/>
              </w:numPr>
              <w:tabs>
                <w:tab w:pos="443" w:val="left" w:leader="none"/>
                <w:tab w:pos="444" w:val="left" w:leader="none"/>
              </w:tabs>
              <w:spacing w:line="193" w:lineRule="exact" w:before="0" w:after="0"/>
              <w:ind w:left="443" w:right="0" w:hanging="342"/>
              <w:jc w:val="left"/>
              <w:rPr>
                <w:sz w:val="17"/>
              </w:rPr>
            </w:pPr>
            <w:r>
              <w:rPr>
                <w:w w:val="120"/>
                <w:sz w:val="17"/>
              </w:rPr>
              <w:t>with</w:t>
            </w:r>
            <w:r>
              <w:rPr>
                <w:spacing w:val="9"/>
                <w:w w:val="120"/>
                <w:sz w:val="17"/>
              </w:rPr>
              <w:t> </w:t>
            </w:r>
            <w:r>
              <w:rPr>
                <w:w w:val="120"/>
                <w:sz w:val="17"/>
              </w:rPr>
              <w:t>mind</w:t>
            </w:r>
            <w:r>
              <w:rPr>
                <w:spacing w:val="10"/>
                <w:w w:val="120"/>
                <w:sz w:val="17"/>
              </w:rPr>
              <w:t> </w:t>
            </w:r>
            <w:r>
              <w:rPr>
                <w:w w:val="120"/>
                <w:sz w:val="17"/>
              </w:rPr>
              <w:t>and</w:t>
            </w:r>
            <w:r>
              <w:rPr>
                <w:spacing w:val="10"/>
                <w:w w:val="120"/>
                <w:sz w:val="17"/>
              </w:rPr>
              <w:t> </w:t>
            </w:r>
            <w:r>
              <w:rPr>
                <w:spacing w:val="2"/>
                <w:w w:val="120"/>
                <w:sz w:val="17"/>
              </w:rPr>
              <w:t>heart</w:t>
            </w:r>
            <w:r>
              <w:rPr>
                <w:spacing w:val="9"/>
                <w:w w:val="120"/>
                <w:sz w:val="17"/>
              </w:rPr>
              <w:t> </w:t>
            </w:r>
            <w:r>
              <w:rPr>
                <w:w w:val="120"/>
                <w:sz w:val="17"/>
              </w:rPr>
              <w:t>ready</w:t>
            </w:r>
            <w:r>
              <w:rPr>
                <w:spacing w:val="10"/>
                <w:w w:val="120"/>
                <w:sz w:val="17"/>
              </w:rPr>
              <w:t> </w:t>
            </w:r>
            <w:r>
              <w:rPr>
                <w:w w:val="120"/>
                <w:sz w:val="17"/>
              </w:rPr>
              <w:t>to</w:t>
            </w:r>
            <w:r>
              <w:rPr>
                <w:spacing w:val="10"/>
                <w:w w:val="120"/>
                <w:sz w:val="17"/>
              </w:rPr>
              <w:t> </w:t>
            </w:r>
            <w:r>
              <w:rPr>
                <w:w w:val="120"/>
                <w:sz w:val="17"/>
              </w:rPr>
              <w:t>question</w:t>
            </w:r>
            <w:r>
              <w:rPr>
                <w:spacing w:val="10"/>
                <w:w w:val="120"/>
                <w:sz w:val="17"/>
              </w:rPr>
              <w:t> </w:t>
            </w:r>
            <w:r>
              <w:rPr>
                <w:w w:val="120"/>
                <w:sz w:val="17"/>
              </w:rPr>
              <w:t>and</w:t>
            </w:r>
            <w:r>
              <w:rPr>
                <w:spacing w:val="9"/>
                <w:w w:val="120"/>
                <w:sz w:val="17"/>
              </w:rPr>
              <w:t> </w:t>
            </w:r>
            <w:r>
              <w:rPr>
                <w:w w:val="120"/>
                <w:sz w:val="17"/>
              </w:rPr>
              <w:t>to</w:t>
            </w:r>
            <w:r>
              <w:rPr>
                <w:spacing w:val="10"/>
                <w:w w:val="120"/>
                <w:sz w:val="17"/>
              </w:rPr>
              <w:t> </w:t>
            </w:r>
            <w:r>
              <w:rPr>
                <w:w w:val="120"/>
                <w:sz w:val="17"/>
              </w:rPr>
              <w:t>trust</w:t>
            </w:r>
          </w:p>
        </w:tc>
        <w:tc>
          <w:tcPr>
            <w:tcW w:w="4516" w:type="dxa"/>
            <w:tcBorders>
              <w:left w:val="dashed" w:sz="4" w:space="0" w:color="000000"/>
              <w:right w:val="dashed" w:sz="4" w:space="0" w:color="000000"/>
            </w:tcBorders>
          </w:tcPr>
          <w:p>
            <w:pPr>
              <w:pStyle w:val="TableParagraph"/>
              <w:numPr>
                <w:ilvl w:val="0"/>
                <w:numId w:val="74"/>
              </w:numPr>
              <w:tabs>
                <w:tab w:pos="443" w:val="left" w:leader="none"/>
                <w:tab w:pos="444" w:val="left" w:leader="none"/>
              </w:tabs>
              <w:spacing w:line="210" w:lineRule="exact" w:before="28" w:after="0"/>
              <w:ind w:left="443" w:right="0" w:hanging="341"/>
              <w:jc w:val="left"/>
              <w:rPr>
                <w:sz w:val="17"/>
              </w:rPr>
            </w:pPr>
            <w:r>
              <w:rPr>
                <w:w w:val="120"/>
                <w:sz w:val="17"/>
              </w:rPr>
              <w:t>the</w:t>
            </w:r>
            <w:r>
              <w:rPr>
                <w:spacing w:val="2"/>
                <w:w w:val="120"/>
                <w:sz w:val="17"/>
              </w:rPr>
              <w:t> </w:t>
            </w:r>
            <w:r>
              <w:rPr>
                <w:w w:val="120"/>
                <w:sz w:val="17"/>
              </w:rPr>
              <w:t>Bible</w:t>
            </w:r>
          </w:p>
          <w:p>
            <w:pPr>
              <w:pStyle w:val="TableParagraph"/>
              <w:numPr>
                <w:ilvl w:val="0"/>
                <w:numId w:val="74"/>
              </w:numPr>
              <w:tabs>
                <w:tab w:pos="443" w:val="left" w:leader="none"/>
                <w:tab w:pos="444" w:val="left" w:leader="none"/>
              </w:tabs>
              <w:spacing w:line="228" w:lineRule="auto" w:before="0" w:after="0"/>
              <w:ind w:left="443" w:right="207" w:hanging="341"/>
              <w:jc w:val="left"/>
              <w:rPr>
                <w:sz w:val="17"/>
              </w:rPr>
            </w:pPr>
            <w:r>
              <w:rPr>
                <w:w w:val="120"/>
                <w:sz w:val="17"/>
              </w:rPr>
              <w:t>the Tradition (including its expression within the United Reformed</w:t>
            </w:r>
            <w:r>
              <w:rPr>
                <w:spacing w:val="14"/>
                <w:w w:val="120"/>
                <w:sz w:val="17"/>
              </w:rPr>
              <w:t> </w:t>
            </w:r>
            <w:r>
              <w:rPr>
                <w:w w:val="120"/>
                <w:sz w:val="17"/>
              </w:rPr>
              <w:t>Church)</w:t>
            </w:r>
          </w:p>
          <w:p>
            <w:pPr>
              <w:pStyle w:val="TableParagraph"/>
              <w:numPr>
                <w:ilvl w:val="0"/>
                <w:numId w:val="74"/>
              </w:numPr>
              <w:tabs>
                <w:tab w:pos="443" w:val="left" w:leader="none"/>
                <w:tab w:pos="444" w:val="left" w:leader="none"/>
              </w:tabs>
              <w:spacing w:line="228" w:lineRule="auto" w:before="0" w:after="0"/>
              <w:ind w:left="443" w:right="233" w:hanging="341"/>
              <w:jc w:val="left"/>
              <w:rPr>
                <w:sz w:val="17"/>
              </w:rPr>
            </w:pPr>
            <w:r>
              <w:rPr>
                <w:w w:val="120"/>
                <w:sz w:val="17"/>
              </w:rPr>
              <w:t>the significance of context and culture in the shaping of</w:t>
            </w:r>
            <w:r>
              <w:rPr>
                <w:spacing w:val="5"/>
                <w:w w:val="120"/>
                <w:sz w:val="17"/>
              </w:rPr>
              <w:t> </w:t>
            </w:r>
            <w:r>
              <w:rPr>
                <w:w w:val="120"/>
                <w:sz w:val="17"/>
              </w:rPr>
              <w:t>faith</w:t>
            </w:r>
          </w:p>
          <w:p>
            <w:pPr>
              <w:pStyle w:val="TableParagraph"/>
              <w:numPr>
                <w:ilvl w:val="0"/>
                <w:numId w:val="74"/>
              </w:numPr>
              <w:tabs>
                <w:tab w:pos="443" w:val="left" w:leader="none"/>
                <w:tab w:pos="444" w:val="left" w:leader="none"/>
              </w:tabs>
              <w:spacing w:line="200" w:lineRule="exact" w:before="0" w:after="0"/>
              <w:ind w:left="443" w:right="0" w:hanging="341"/>
              <w:jc w:val="left"/>
              <w:rPr>
                <w:sz w:val="17"/>
              </w:rPr>
            </w:pPr>
            <w:r>
              <w:rPr>
                <w:w w:val="120"/>
                <w:sz w:val="17"/>
              </w:rPr>
              <w:t>the importance of being a theologian</w:t>
            </w:r>
            <w:r>
              <w:rPr>
                <w:spacing w:val="8"/>
                <w:w w:val="120"/>
                <w:sz w:val="17"/>
              </w:rPr>
              <w:t> </w:t>
            </w:r>
            <w:r>
              <w:rPr>
                <w:w w:val="120"/>
                <w:sz w:val="17"/>
              </w:rPr>
              <w:t>for</w:t>
            </w:r>
          </w:p>
          <w:p>
            <w:pPr>
              <w:pStyle w:val="TableParagraph"/>
              <w:spacing w:line="193" w:lineRule="exact"/>
              <w:ind w:left="443"/>
              <w:rPr>
                <w:sz w:val="17"/>
              </w:rPr>
            </w:pPr>
            <w:r>
              <w:rPr>
                <w:w w:val="120"/>
                <w:sz w:val="17"/>
              </w:rPr>
              <w:t>particular times and places</w:t>
            </w:r>
          </w:p>
        </w:tc>
        <w:tc>
          <w:tcPr>
            <w:tcW w:w="3492" w:type="dxa"/>
            <w:tcBorders>
              <w:left w:val="dashed" w:sz="4" w:space="0" w:color="000000"/>
              <w:right w:val="nil"/>
            </w:tcBorders>
          </w:tcPr>
          <w:p>
            <w:pPr>
              <w:pStyle w:val="TableParagraph"/>
              <w:numPr>
                <w:ilvl w:val="0"/>
                <w:numId w:val="75"/>
              </w:numPr>
              <w:tabs>
                <w:tab w:pos="443" w:val="left" w:leader="none"/>
                <w:tab w:pos="444" w:val="left" w:leader="none"/>
              </w:tabs>
              <w:spacing w:line="228" w:lineRule="auto" w:before="36" w:after="0"/>
              <w:ind w:left="443" w:right="625" w:hanging="341"/>
              <w:jc w:val="left"/>
              <w:rPr>
                <w:sz w:val="17"/>
              </w:rPr>
            </w:pPr>
            <w:r>
              <w:rPr>
                <w:w w:val="125"/>
                <w:sz w:val="17"/>
              </w:rPr>
              <w:t>interpretation, listening</w:t>
            </w:r>
            <w:r>
              <w:rPr>
                <w:spacing w:val="-18"/>
                <w:w w:val="125"/>
                <w:sz w:val="17"/>
              </w:rPr>
              <w:t> </w:t>
            </w:r>
            <w:r>
              <w:rPr>
                <w:w w:val="125"/>
                <w:sz w:val="17"/>
              </w:rPr>
              <w:t>and critique</w:t>
            </w:r>
          </w:p>
          <w:p>
            <w:pPr>
              <w:pStyle w:val="TableParagraph"/>
              <w:numPr>
                <w:ilvl w:val="0"/>
                <w:numId w:val="75"/>
              </w:numPr>
              <w:tabs>
                <w:tab w:pos="443" w:val="left" w:leader="none"/>
                <w:tab w:pos="444" w:val="left" w:leader="none"/>
              </w:tabs>
              <w:spacing w:line="195" w:lineRule="exact" w:before="0" w:after="0"/>
              <w:ind w:left="443" w:right="0" w:hanging="341"/>
              <w:jc w:val="left"/>
              <w:rPr>
                <w:sz w:val="17"/>
              </w:rPr>
            </w:pPr>
            <w:r>
              <w:rPr>
                <w:w w:val="120"/>
                <w:sz w:val="17"/>
              </w:rPr>
              <w:t>analysis and</w:t>
            </w:r>
            <w:r>
              <w:rPr>
                <w:spacing w:val="8"/>
                <w:w w:val="120"/>
                <w:sz w:val="17"/>
              </w:rPr>
              <w:t> </w:t>
            </w:r>
            <w:r>
              <w:rPr>
                <w:w w:val="120"/>
                <w:sz w:val="17"/>
              </w:rPr>
              <w:t>discernment</w:t>
            </w:r>
          </w:p>
          <w:p>
            <w:pPr>
              <w:pStyle w:val="TableParagraph"/>
              <w:numPr>
                <w:ilvl w:val="0"/>
                <w:numId w:val="75"/>
              </w:numPr>
              <w:tabs>
                <w:tab w:pos="443" w:val="left" w:leader="none"/>
                <w:tab w:pos="444" w:val="left" w:leader="none"/>
              </w:tabs>
              <w:spacing w:line="230" w:lineRule="auto" w:before="0" w:after="0"/>
              <w:ind w:left="443" w:right="421" w:hanging="341"/>
              <w:jc w:val="left"/>
              <w:rPr>
                <w:sz w:val="17"/>
              </w:rPr>
            </w:pPr>
            <w:r>
              <w:rPr>
                <w:w w:val="120"/>
                <w:sz w:val="17"/>
              </w:rPr>
              <w:t>interpreting and renewing the traditions of faith from within particular</w:t>
            </w:r>
            <w:r>
              <w:rPr>
                <w:spacing w:val="4"/>
                <w:w w:val="120"/>
                <w:sz w:val="17"/>
              </w:rPr>
              <w:t> </w:t>
            </w:r>
            <w:r>
              <w:rPr>
                <w:w w:val="120"/>
                <w:sz w:val="17"/>
              </w:rPr>
              <w:t>contexts</w:t>
            </w:r>
          </w:p>
        </w:tc>
      </w:tr>
      <w:tr>
        <w:trPr>
          <w:trHeight w:val="796" w:hRule="atLeast"/>
        </w:trPr>
        <w:tc>
          <w:tcPr>
            <w:tcW w:w="2286" w:type="dxa"/>
            <w:tcBorders>
              <w:left w:val="nil"/>
              <w:bottom w:val="nil"/>
              <w:right w:val="dashed" w:sz="4" w:space="0" w:color="000000"/>
            </w:tcBorders>
          </w:tcPr>
          <w:p>
            <w:pPr>
              <w:pStyle w:val="TableParagraph"/>
              <w:spacing w:line="220" w:lineRule="auto" w:before="30"/>
              <w:ind w:left="108"/>
              <w:rPr>
                <w:rFonts w:ascii="Stone Sans II ITC Std Bk"/>
                <w:b/>
                <w:sz w:val="16"/>
              </w:rPr>
            </w:pPr>
            <w:r>
              <w:rPr>
                <w:rFonts w:ascii="Stone Sans II ITC Std Bk"/>
                <w:b/>
                <w:w w:val="115"/>
                <w:sz w:val="16"/>
              </w:rPr>
              <w:t>A worshipper and worship leader</w:t>
            </w:r>
          </w:p>
        </w:tc>
        <w:tc>
          <w:tcPr>
            <w:tcW w:w="4999" w:type="dxa"/>
            <w:tcBorders>
              <w:left w:val="dashed" w:sz="4" w:space="0" w:color="000000"/>
              <w:bottom w:val="nil"/>
              <w:right w:val="dashed" w:sz="4" w:space="0" w:color="000000"/>
            </w:tcBorders>
          </w:tcPr>
          <w:p>
            <w:pPr>
              <w:pStyle w:val="TableParagraph"/>
              <w:numPr>
                <w:ilvl w:val="0"/>
                <w:numId w:val="76"/>
              </w:numPr>
              <w:tabs>
                <w:tab w:pos="443" w:val="left" w:leader="none"/>
                <w:tab w:pos="444" w:val="left" w:leader="none"/>
              </w:tabs>
              <w:spacing w:line="240" w:lineRule="auto" w:before="28" w:after="0"/>
              <w:ind w:left="443" w:right="0" w:hanging="341"/>
              <w:jc w:val="left"/>
              <w:rPr>
                <w:sz w:val="17"/>
              </w:rPr>
            </w:pPr>
            <w:r>
              <w:rPr>
                <w:w w:val="120"/>
                <w:sz w:val="17"/>
              </w:rPr>
              <w:t>as</w:t>
            </w:r>
            <w:r>
              <w:rPr>
                <w:spacing w:val="11"/>
                <w:w w:val="120"/>
                <w:sz w:val="17"/>
              </w:rPr>
              <w:t> </w:t>
            </w:r>
            <w:r>
              <w:rPr>
                <w:w w:val="120"/>
                <w:sz w:val="17"/>
              </w:rPr>
              <w:t>one</w:t>
            </w:r>
            <w:r>
              <w:rPr>
                <w:spacing w:val="11"/>
                <w:w w:val="120"/>
                <w:sz w:val="17"/>
              </w:rPr>
              <w:t> </w:t>
            </w:r>
            <w:r>
              <w:rPr>
                <w:w w:val="120"/>
                <w:sz w:val="17"/>
              </w:rPr>
              <w:t>who</w:t>
            </w:r>
            <w:r>
              <w:rPr>
                <w:spacing w:val="12"/>
                <w:w w:val="120"/>
                <w:sz w:val="17"/>
              </w:rPr>
              <w:t> </w:t>
            </w:r>
            <w:r>
              <w:rPr>
                <w:w w:val="120"/>
                <w:sz w:val="17"/>
              </w:rPr>
              <w:t>has</w:t>
            </w:r>
            <w:r>
              <w:rPr>
                <w:spacing w:val="11"/>
                <w:w w:val="120"/>
                <w:sz w:val="17"/>
              </w:rPr>
              <w:t> </w:t>
            </w:r>
            <w:r>
              <w:rPr>
                <w:w w:val="120"/>
                <w:sz w:val="17"/>
              </w:rPr>
              <w:t>strong</w:t>
            </w:r>
            <w:r>
              <w:rPr>
                <w:spacing w:val="12"/>
                <w:w w:val="120"/>
                <w:sz w:val="17"/>
              </w:rPr>
              <w:t> </w:t>
            </w:r>
            <w:r>
              <w:rPr>
                <w:w w:val="120"/>
                <w:sz w:val="17"/>
              </w:rPr>
              <w:t>habits</w:t>
            </w:r>
            <w:r>
              <w:rPr>
                <w:spacing w:val="11"/>
                <w:w w:val="120"/>
                <w:sz w:val="17"/>
              </w:rPr>
              <w:t> </w:t>
            </w:r>
            <w:r>
              <w:rPr>
                <w:w w:val="120"/>
                <w:sz w:val="17"/>
              </w:rPr>
              <w:t>of</w:t>
            </w:r>
            <w:r>
              <w:rPr>
                <w:spacing w:val="11"/>
                <w:w w:val="120"/>
                <w:sz w:val="17"/>
              </w:rPr>
              <w:t> </w:t>
            </w:r>
            <w:r>
              <w:rPr>
                <w:w w:val="120"/>
                <w:sz w:val="17"/>
              </w:rPr>
              <w:t>worship</w:t>
            </w:r>
            <w:r>
              <w:rPr>
                <w:spacing w:val="12"/>
                <w:w w:val="120"/>
                <w:sz w:val="17"/>
              </w:rPr>
              <w:t> </w:t>
            </w:r>
            <w:r>
              <w:rPr>
                <w:w w:val="120"/>
                <w:sz w:val="17"/>
              </w:rPr>
              <w:t>and</w:t>
            </w:r>
            <w:r>
              <w:rPr>
                <w:spacing w:val="11"/>
                <w:w w:val="120"/>
                <w:sz w:val="17"/>
              </w:rPr>
              <w:t> </w:t>
            </w:r>
            <w:r>
              <w:rPr>
                <w:w w:val="120"/>
                <w:sz w:val="17"/>
              </w:rPr>
              <w:t>prayer</w:t>
            </w:r>
          </w:p>
        </w:tc>
        <w:tc>
          <w:tcPr>
            <w:tcW w:w="4516" w:type="dxa"/>
            <w:tcBorders>
              <w:left w:val="dashed" w:sz="4" w:space="0" w:color="000000"/>
              <w:bottom w:val="nil"/>
              <w:right w:val="dashed" w:sz="4" w:space="0" w:color="000000"/>
            </w:tcBorders>
          </w:tcPr>
          <w:p>
            <w:pPr>
              <w:pStyle w:val="TableParagraph"/>
              <w:numPr>
                <w:ilvl w:val="0"/>
                <w:numId w:val="77"/>
              </w:numPr>
              <w:tabs>
                <w:tab w:pos="443" w:val="left" w:leader="none"/>
                <w:tab w:pos="444" w:val="left" w:leader="none"/>
              </w:tabs>
              <w:spacing w:line="228" w:lineRule="auto" w:before="36" w:after="0"/>
              <w:ind w:left="443" w:right="470" w:hanging="341"/>
              <w:jc w:val="left"/>
              <w:rPr>
                <w:sz w:val="17"/>
              </w:rPr>
            </w:pPr>
            <w:r>
              <w:rPr>
                <w:w w:val="120"/>
                <w:sz w:val="17"/>
              </w:rPr>
              <w:t>patterns of worship and where they come from</w:t>
            </w:r>
          </w:p>
          <w:p>
            <w:pPr>
              <w:pStyle w:val="TableParagraph"/>
              <w:numPr>
                <w:ilvl w:val="0"/>
                <w:numId w:val="77"/>
              </w:numPr>
              <w:tabs>
                <w:tab w:pos="443" w:val="left" w:leader="none"/>
                <w:tab w:pos="444" w:val="left" w:leader="none"/>
              </w:tabs>
              <w:spacing w:line="200" w:lineRule="exact" w:before="0" w:after="0"/>
              <w:ind w:left="443" w:right="0" w:hanging="341"/>
              <w:jc w:val="left"/>
              <w:rPr>
                <w:sz w:val="17"/>
              </w:rPr>
            </w:pPr>
            <w:r>
              <w:rPr>
                <w:w w:val="125"/>
                <w:sz w:val="17"/>
              </w:rPr>
              <w:t>the demands of shaping worship</w:t>
            </w:r>
            <w:r>
              <w:rPr>
                <w:spacing w:val="-1"/>
                <w:w w:val="125"/>
                <w:sz w:val="17"/>
              </w:rPr>
              <w:t> </w:t>
            </w:r>
            <w:r>
              <w:rPr>
                <w:w w:val="125"/>
                <w:sz w:val="17"/>
              </w:rPr>
              <w:t>in</w:t>
            </w:r>
          </w:p>
          <w:p>
            <w:pPr>
              <w:pStyle w:val="TableParagraph"/>
              <w:spacing w:line="134" w:lineRule="exact"/>
              <w:ind w:left="443"/>
              <w:rPr>
                <w:sz w:val="17"/>
              </w:rPr>
            </w:pPr>
            <w:r>
              <w:rPr>
                <w:w w:val="120"/>
                <w:sz w:val="17"/>
              </w:rPr>
              <w:t>contemporary cultures</w:t>
            </w:r>
          </w:p>
        </w:tc>
        <w:tc>
          <w:tcPr>
            <w:tcW w:w="3492" w:type="dxa"/>
            <w:tcBorders>
              <w:left w:val="dashed" w:sz="4" w:space="0" w:color="000000"/>
              <w:bottom w:val="nil"/>
              <w:right w:val="nil"/>
            </w:tcBorders>
          </w:tcPr>
          <w:p>
            <w:pPr>
              <w:pStyle w:val="TableParagraph"/>
              <w:numPr>
                <w:ilvl w:val="0"/>
                <w:numId w:val="78"/>
              </w:numPr>
              <w:tabs>
                <w:tab w:pos="443" w:val="left" w:leader="none"/>
                <w:tab w:pos="444" w:val="left" w:leader="none"/>
              </w:tabs>
              <w:spacing w:line="210" w:lineRule="exact" w:before="28" w:after="0"/>
              <w:ind w:left="443" w:right="0" w:hanging="341"/>
              <w:jc w:val="left"/>
              <w:rPr>
                <w:sz w:val="17"/>
              </w:rPr>
            </w:pPr>
            <w:r>
              <w:rPr>
                <w:w w:val="125"/>
                <w:sz w:val="17"/>
              </w:rPr>
              <w:t>leading worship of deep</w:t>
            </w:r>
            <w:r>
              <w:rPr>
                <w:spacing w:val="3"/>
                <w:w w:val="125"/>
                <w:sz w:val="17"/>
              </w:rPr>
              <w:t> </w:t>
            </w:r>
            <w:r>
              <w:rPr>
                <w:w w:val="125"/>
                <w:sz w:val="17"/>
              </w:rPr>
              <w:t>quality</w:t>
            </w:r>
          </w:p>
          <w:p>
            <w:pPr>
              <w:pStyle w:val="TableParagraph"/>
              <w:numPr>
                <w:ilvl w:val="0"/>
                <w:numId w:val="78"/>
              </w:numPr>
              <w:tabs>
                <w:tab w:pos="443" w:val="left" w:leader="none"/>
                <w:tab w:pos="444" w:val="left" w:leader="none"/>
              </w:tabs>
              <w:spacing w:line="228" w:lineRule="auto" w:before="0" w:after="0"/>
              <w:ind w:left="443" w:right="266" w:hanging="341"/>
              <w:jc w:val="left"/>
              <w:rPr>
                <w:sz w:val="17"/>
              </w:rPr>
            </w:pPr>
            <w:r>
              <w:rPr>
                <w:w w:val="120"/>
                <w:sz w:val="17"/>
              </w:rPr>
              <w:t>deepening faith and worship for others</w:t>
            </w:r>
          </w:p>
        </w:tc>
      </w:tr>
    </w:tbl>
    <w:p>
      <w:pPr>
        <w:pStyle w:val="BodyText"/>
        <w:rPr>
          <w:rFonts w:ascii="Stone Sans II ITC Std Bk"/>
          <w:b/>
          <w:sz w:val="4"/>
        </w:rPr>
      </w:pPr>
    </w:p>
    <w:tbl>
      <w:tblPr>
        <w:tblW w:w="0" w:type="auto"/>
        <w:jc w:val="left"/>
        <w:tblInd w:w="2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286"/>
        <w:gridCol w:w="4999"/>
        <w:gridCol w:w="4516"/>
        <w:gridCol w:w="3492"/>
      </w:tblGrid>
      <w:tr>
        <w:trPr>
          <w:trHeight w:val="856" w:hRule="atLeast"/>
        </w:trPr>
        <w:tc>
          <w:tcPr>
            <w:tcW w:w="2286" w:type="dxa"/>
            <w:tcBorders>
              <w:left w:val="nil"/>
              <w:right w:val="dashed" w:sz="4" w:space="0" w:color="000000"/>
            </w:tcBorders>
          </w:tcPr>
          <w:p>
            <w:pPr>
              <w:pStyle w:val="TableParagraph"/>
              <w:spacing w:before="20"/>
              <w:ind w:left="113"/>
              <w:rPr>
                <w:rFonts w:ascii="Stone Sans II ITC Std Bk"/>
                <w:b/>
                <w:sz w:val="16"/>
              </w:rPr>
            </w:pPr>
            <w:r>
              <w:rPr>
                <w:rFonts w:ascii="Stone Sans II ITC Std Bk"/>
                <w:b/>
                <w:w w:val="115"/>
                <w:sz w:val="16"/>
              </w:rPr>
              <w:t>A pastor</w:t>
            </w:r>
          </w:p>
        </w:tc>
        <w:tc>
          <w:tcPr>
            <w:tcW w:w="4999" w:type="dxa"/>
            <w:tcBorders>
              <w:left w:val="dashed" w:sz="4" w:space="0" w:color="000000"/>
              <w:right w:val="dashed" w:sz="4" w:space="0" w:color="000000"/>
            </w:tcBorders>
          </w:tcPr>
          <w:p>
            <w:pPr>
              <w:pStyle w:val="TableParagraph"/>
              <w:numPr>
                <w:ilvl w:val="0"/>
                <w:numId w:val="79"/>
              </w:numPr>
              <w:tabs>
                <w:tab w:pos="448" w:val="left" w:leader="none"/>
                <w:tab w:pos="449" w:val="left" w:leader="none"/>
              </w:tabs>
              <w:spacing w:line="210" w:lineRule="exact" w:before="31" w:after="0"/>
              <w:ind w:left="448" w:right="0" w:hanging="341"/>
              <w:jc w:val="left"/>
              <w:rPr>
                <w:sz w:val="17"/>
              </w:rPr>
            </w:pPr>
            <w:r>
              <w:rPr>
                <w:w w:val="120"/>
                <w:sz w:val="17"/>
              </w:rPr>
              <w:t>with a depth of</w:t>
            </w:r>
            <w:r>
              <w:rPr>
                <w:spacing w:val="12"/>
                <w:w w:val="120"/>
                <w:sz w:val="17"/>
              </w:rPr>
              <w:t> </w:t>
            </w:r>
            <w:r>
              <w:rPr>
                <w:w w:val="120"/>
                <w:sz w:val="17"/>
              </w:rPr>
              <w:t>self-awareness</w:t>
            </w:r>
          </w:p>
          <w:p>
            <w:pPr>
              <w:pStyle w:val="TableParagraph"/>
              <w:numPr>
                <w:ilvl w:val="0"/>
                <w:numId w:val="79"/>
              </w:numPr>
              <w:tabs>
                <w:tab w:pos="448" w:val="left" w:leader="none"/>
                <w:tab w:pos="449" w:val="left" w:leader="none"/>
              </w:tabs>
              <w:spacing w:line="200" w:lineRule="exact" w:before="0" w:after="0"/>
              <w:ind w:left="448" w:right="0" w:hanging="341"/>
              <w:jc w:val="left"/>
              <w:rPr>
                <w:sz w:val="17"/>
              </w:rPr>
            </w:pPr>
            <w:r>
              <w:rPr>
                <w:w w:val="120"/>
                <w:sz w:val="17"/>
              </w:rPr>
              <w:t>with openness to, and a desire to live for,</w:t>
            </w:r>
            <w:r>
              <w:rPr>
                <w:spacing w:val="6"/>
                <w:w w:val="120"/>
                <w:sz w:val="17"/>
              </w:rPr>
              <w:t> </w:t>
            </w:r>
            <w:r>
              <w:rPr>
                <w:w w:val="120"/>
                <w:sz w:val="17"/>
              </w:rPr>
              <w:t>others</w:t>
            </w:r>
          </w:p>
          <w:p>
            <w:pPr>
              <w:pStyle w:val="TableParagraph"/>
              <w:numPr>
                <w:ilvl w:val="0"/>
                <w:numId w:val="79"/>
              </w:numPr>
              <w:tabs>
                <w:tab w:pos="448" w:val="left" w:leader="none"/>
                <w:tab w:pos="449" w:val="left" w:leader="none"/>
              </w:tabs>
              <w:spacing w:line="200" w:lineRule="exact" w:before="0" w:after="0"/>
              <w:ind w:left="448" w:right="0" w:hanging="341"/>
              <w:jc w:val="left"/>
              <w:rPr>
                <w:sz w:val="17"/>
              </w:rPr>
            </w:pPr>
            <w:r>
              <w:rPr>
                <w:w w:val="120"/>
                <w:sz w:val="17"/>
              </w:rPr>
              <w:t>attentive to the safety of</w:t>
            </w:r>
            <w:r>
              <w:rPr>
                <w:spacing w:val="12"/>
                <w:w w:val="120"/>
                <w:sz w:val="17"/>
              </w:rPr>
              <w:t> </w:t>
            </w:r>
            <w:r>
              <w:rPr>
                <w:w w:val="120"/>
                <w:sz w:val="17"/>
              </w:rPr>
              <w:t>all</w:t>
            </w:r>
          </w:p>
          <w:p>
            <w:pPr>
              <w:pStyle w:val="TableParagraph"/>
              <w:numPr>
                <w:ilvl w:val="0"/>
                <w:numId w:val="79"/>
              </w:numPr>
              <w:tabs>
                <w:tab w:pos="448" w:val="left" w:leader="none"/>
                <w:tab w:pos="449" w:val="left" w:leader="none"/>
              </w:tabs>
              <w:spacing w:line="195" w:lineRule="exact" w:before="0" w:after="0"/>
              <w:ind w:left="448" w:right="0" w:hanging="341"/>
              <w:jc w:val="left"/>
              <w:rPr>
                <w:sz w:val="17"/>
              </w:rPr>
            </w:pPr>
            <w:r>
              <w:rPr>
                <w:w w:val="120"/>
                <w:sz w:val="17"/>
              </w:rPr>
              <w:t>with sensitivity and</w:t>
            </w:r>
            <w:r>
              <w:rPr>
                <w:spacing w:val="12"/>
                <w:w w:val="120"/>
                <w:sz w:val="17"/>
              </w:rPr>
              <w:t> </w:t>
            </w:r>
            <w:r>
              <w:rPr>
                <w:w w:val="120"/>
                <w:sz w:val="17"/>
              </w:rPr>
              <w:t>responsiveness</w:t>
            </w:r>
          </w:p>
        </w:tc>
        <w:tc>
          <w:tcPr>
            <w:tcW w:w="4516" w:type="dxa"/>
            <w:tcBorders>
              <w:left w:val="dashed" w:sz="4" w:space="0" w:color="000000"/>
              <w:right w:val="dashed" w:sz="4" w:space="0" w:color="000000"/>
            </w:tcBorders>
          </w:tcPr>
          <w:p>
            <w:pPr>
              <w:pStyle w:val="TableParagraph"/>
              <w:numPr>
                <w:ilvl w:val="0"/>
                <w:numId w:val="80"/>
              </w:numPr>
              <w:tabs>
                <w:tab w:pos="448" w:val="left" w:leader="none"/>
                <w:tab w:pos="449" w:val="left" w:leader="none"/>
              </w:tabs>
              <w:spacing w:line="210" w:lineRule="exact" w:before="31" w:after="0"/>
              <w:ind w:left="448" w:right="0" w:hanging="341"/>
              <w:jc w:val="left"/>
              <w:rPr>
                <w:sz w:val="17"/>
              </w:rPr>
            </w:pPr>
            <w:r>
              <w:rPr>
                <w:w w:val="120"/>
                <w:sz w:val="17"/>
              </w:rPr>
              <w:t>ministry as</w:t>
            </w:r>
            <w:r>
              <w:rPr>
                <w:spacing w:val="7"/>
                <w:w w:val="120"/>
                <w:sz w:val="17"/>
              </w:rPr>
              <w:t> </w:t>
            </w:r>
            <w:r>
              <w:rPr>
                <w:w w:val="120"/>
                <w:sz w:val="17"/>
              </w:rPr>
              <w:t>accompaniment</w:t>
            </w:r>
          </w:p>
          <w:p>
            <w:pPr>
              <w:pStyle w:val="TableParagraph"/>
              <w:numPr>
                <w:ilvl w:val="0"/>
                <w:numId w:val="80"/>
              </w:numPr>
              <w:tabs>
                <w:tab w:pos="448" w:val="left" w:leader="none"/>
                <w:tab w:pos="449" w:val="left" w:leader="none"/>
              </w:tabs>
              <w:spacing w:line="200" w:lineRule="exact" w:before="0" w:after="0"/>
              <w:ind w:left="448" w:right="0" w:hanging="341"/>
              <w:jc w:val="left"/>
              <w:rPr>
                <w:sz w:val="17"/>
              </w:rPr>
            </w:pPr>
            <w:r>
              <w:rPr>
                <w:w w:val="120"/>
                <w:sz w:val="17"/>
              </w:rPr>
              <w:t>patterns of human</w:t>
            </w:r>
            <w:r>
              <w:rPr>
                <w:spacing w:val="11"/>
                <w:w w:val="120"/>
                <w:sz w:val="17"/>
              </w:rPr>
              <w:t> </w:t>
            </w:r>
            <w:r>
              <w:rPr>
                <w:w w:val="120"/>
                <w:sz w:val="17"/>
              </w:rPr>
              <w:t>relationship</w:t>
            </w:r>
          </w:p>
          <w:p>
            <w:pPr>
              <w:pStyle w:val="TableParagraph"/>
              <w:numPr>
                <w:ilvl w:val="0"/>
                <w:numId w:val="80"/>
              </w:numPr>
              <w:tabs>
                <w:tab w:pos="448" w:val="left" w:leader="none"/>
                <w:tab w:pos="449" w:val="left" w:leader="none"/>
              </w:tabs>
              <w:spacing w:line="200" w:lineRule="exact" w:before="0" w:after="0"/>
              <w:ind w:left="448" w:right="0" w:hanging="341"/>
              <w:jc w:val="left"/>
              <w:rPr>
                <w:sz w:val="17"/>
              </w:rPr>
            </w:pPr>
            <w:r>
              <w:rPr>
                <w:w w:val="120"/>
                <w:sz w:val="17"/>
              </w:rPr>
              <w:t>patterns of human community and</w:t>
            </w:r>
            <w:r>
              <w:rPr>
                <w:spacing w:val="42"/>
                <w:w w:val="120"/>
                <w:sz w:val="17"/>
              </w:rPr>
              <w:t> </w:t>
            </w:r>
            <w:r>
              <w:rPr>
                <w:w w:val="120"/>
                <w:sz w:val="17"/>
              </w:rPr>
              <w:t>society</w:t>
            </w:r>
          </w:p>
          <w:p>
            <w:pPr>
              <w:pStyle w:val="TableParagraph"/>
              <w:numPr>
                <w:ilvl w:val="0"/>
                <w:numId w:val="80"/>
              </w:numPr>
              <w:tabs>
                <w:tab w:pos="448" w:val="left" w:leader="none"/>
                <w:tab w:pos="449" w:val="left" w:leader="none"/>
              </w:tabs>
              <w:spacing w:line="195" w:lineRule="exact" w:before="0" w:after="0"/>
              <w:ind w:left="448" w:right="0" w:hanging="341"/>
              <w:jc w:val="left"/>
              <w:rPr>
                <w:sz w:val="17"/>
              </w:rPr>
            </w:pPr>
            <w:r>
              <w:rPr>
                <w:w w:val="120"/>
                <w:sz w:val="17"/>
              </w:rPr>
              <w:t>the human</w:t>
            </w:r>
            <w:r>
              <w:rPr>
                <w:spacing w:val="6"/>
                <w:w w:val="120"/>
                <w:sz w:val="17"/>
              </w:rPr>
              <w:t> </w:t>
            </w:r>
            <w:r>
              <w:rPr>
                <w:w w:val="120"/>
                <w:sz w:val="17"/>
              </w:rPr>
              <w:t>psyche</w:t>
            </w:r>
          </w:p>
        </w:tc>
        <w:tc>
          <w:tcPr>
            <w:tcW w:w="3492" w:type="dxa"/>
            <w:tcBorders>
              <w:left w:val="dashed" w:sz="4" w:space="0" w:color="000000"/>
              <w:right w:val="nil"/>
            </w:tcBorders>
          </w:tcPr>
          <w:p>
            <w:pPr>
              <w:pStyle w:val="TableParagraph"/>
              <w:numPr>
                <w:ilvl w:val="0"/>
                <w:numId w:val="81"/>
              </w:numPr>
              <w:tabs>
                <w:tab w:pos="448" w:val="left" w:leader="none"/>
                <w:tab w:pos="449" w:val="left" w:leader="none"/>
              </w:tabs>
              <w:spacing w:line="210" w:lineRule="exact" w:before="31" w:after="0"/>
              <w:ind w:left="448" w:right="0" w:hanging="341"/>
              <w:jc w:val="left"/>
              <w:rPr>
                <w:sz w:val="17"/>
              </w:rPr>
            </w:pPr>
            <w:r>
              <w:rPr>
                <w:w w:val="125"/>
                <w:sz w:val="17"/>
              </w:rPr>
              <w:t>listening and</w:t>
            </w:r>
            <w:r>
              <w:rPr>
                <w:spacing w:val="1"/>
                <w:w w:val="125"/>
                <w:sz w:val="17"/>
              </w:rPr>
              <w:t> </w:t>
            </w:r>
            <w:r>
              <w:rPr>
                <w:w w:val="125"/>
                <w:sz w:val="17"/>
              </w:rPr>
              <w:t>counselling</w:t>
            </w:r>
          </w:p>
          <w:p>
            <w:pPr>
              <w:pStyle w:val="TableParagraph"/>
              <w:numPr>
                <w:ilvl w:val="0"/>
                <w:numId w:val="81"/>
              </w:numPr>
              <w:tabs>
                <w:tab w:pos="448" w:val="left" w:leader="none"/>
                <w:tab w:pos="449" w:val="left" w:leader="none"/>
              </w:tabs>
              <w:spacing w:line="228" w:lineRule="auto" w:before="0" w:after="0"/>
              <w:ind w:left="448" w:right="295" w:hanging="341"/>
              <w:jc w:val="left"/>
              <w:rPr>
                <w:sz w:val="17"/>
              </w:rPr>
            </w:pPr>
            <w:r>
              <w:rPr>
                <w:w w:val="125"/>
                <w:sz w:val="17"/>
              </w:rPr>
              <w:t>understanding and interpreting people and</w:t>
            </w:r>
            <w:r>
              <w:rPr>
                <w:spacing w:val="-1"/>
                <w:w w:val="125"/>
                <w:sz w:val="17"/>
              </w:rPr>
              <w:t> </w:t>
            </w:r>
            <w:r>
              <w:rPr>
                <w:w w:val="125"/>
                <w:sz w:val="17"/>
              </w:rPr>
              <w:t>situations</w:t>
            </w:r>
          </w:p>
        </w:tc>
      </w:tr>
      <w:tr>
        <w:trPr>
          <w:trHeight w:val="1041" w:hRule="atLeast"/>
        </w:trPr>
        <w:tc>
          <w:tcPr>
            <w:tcW w:w="2286" w:type="dxa"/>
            <w:tcBorders>
              <w:left w:val="nil"/>
              <w:right w:val="dashed" w:sz="4" w:space="0" w:color="000000"/>
            </w:tcBorders>
          </w:tcPr>
          <w:p>
            <w:pPr>
              <w:pStyle w:val="TableParagraph"/>
              <w:spacing w:before="20"/>
              <w:ind w:left="113"/>
              <w:rPr>
                <w:rFonts w:ascii="Stone Sans II ITC Std Bk"/>
                <w:b/>
                <w:sz w:val="16"/>
              </w:rPr>
            </w:pPr>
            <w:r>
              <w:rPr>
                <w:rFonts w:ascii="Stone Sans II ITC Std Bk"/>
                <w:b/>
                <w:w w:val="115"/>
                <w:sz w:val="16"/>
              </w:rPr>
              <w:t>An educator</w:t>
            </w:r>
          </w:p>
        </w:tc>
        <w:tc>
          <w:tcPr>
            <w:tcW w:w="4999" w:type="dxa"/>
            <w:tcBorders>
              <w:left w:val="dashed" w:sz="4" w:space="0" w:color="000000"/>
              <w:bottom w:val="single" w:sz="6" w:space="0" w:color="000000"/>
              <w:right w:val="dashed" w:sz="4" w:space="0" w:color="000000"/>
            </w:tcBorders>
          </w:tcPr>
          <w:p>
            <w:pPr>
              <w:pStyle w:val="TableParagraph"/>
              <w:numPr>
                <w:ilvl w:val="0"/>
                <w:numId w:val="82"/>
              </w:numPr>
              <w:tabs>
                <w:tab w:pos="448" w:val="left" w:leader="none"/>
                <w:tab w:pos="449" w:val="left" w:leader="none"/>
              </w:tabs>
              <w:spacing w:line="228" w:lineRule="auto" w:before="40" w:after="0"/>
              <w:ind w:left="448" w:right="372" w:hanging="341"/>
              <w:jc w:val="left"/>
              <w:rPr>
                <w:sz w:val="17"/>
              </w:rPr>
            </w:pPr>
            <w:r>
              <w:rPr>
                <w:w w:val="125"/>
                <w:sz w:val="17"/>
              </w:rPr>
              <w:t>as one committed to being a learner</w:t>
            </w:r>
            <w:r>
              <w:rPr>
                <w:spacing w:val="-23"/>
                <w:w w:val="125"/>
                <w:sz w:val="17"/>
              </w:rPr>
              <w:t> </w:t>
            </w:r>
            <w:r>
              <w:rPr>
                <w:w w:val="125"/>
                <w:sz w:val="17"/>
              </w:rPr>
              <w:t>throughout life</w:t>
            </w:r>
          </w:p>
          <w:p>
            <w:pPr>
              <w:pStyle w:val="TableParagraph"/>
              <w:numPr>
                <w:ilvl w:val="0"/>
                <w:numId w:val="82"/>
              </w:numPr>
              <w:tabs>
                <w:tab w:pos="448" w:val="left" w:leader="none"/>
                <w:tab w:pos="449" w:val="left" w:leader="none"/>
              </w:tabs>
              <w:spacing w:line="195" w:lineRule="exact" w:before="0" w:after="0"/>
              <w:ind w:left="448" w:right="0" w:hanging="341"/>
              <w:jc w:val="left"/>
              <w:rPr>
                <w:sz w:val="17"/>
              </w:rPr>
            </w:pPr>
            <w:r>
              <w:rPr>
                <w:w w:val="120"/>
                <w:sz w:val="17"/>
              </w:rPr>
              <w:t>with awareness of own learning </w:t>
            </w:r>
            <w:r>
              <w:rPr>
                <w:spacing w:val="2"/>
                <w:w w:val="120"/>
                <w:sz w:val="17"/>
              </w:rPr>
              <w:t>style </w:t>
            </w:r>
            <w:r>
              <w:rPr>
                <w:w w:val="120"/>
                <w:sz w:val="17"/>
              </w:rPr>
              <w:t>and</w:t>
            </w:r>
            <w:r>
              <w:rPr>
                <w:spacing w:val="6"/>
                <w:w w:val="120"/>
                <w:sz w:val="17"/>
              </w:rPr>
              <w:t> </w:t>
            </w:r>
            <w:r>
              <w:rPr>
                <w:w w:val="120"/>
                <w:sz w:val="17"/>
              </w:rPr>
              <w:t>needs</w:t>
            </w:r>
          </w:p>
          <w:p>
            <w:pPr>
              <w:pStyle w:val="TableParagraph"/>
              <w:numPr>
                <w:ilvl w:val="0"/>
                <w:numId w:val="82"/>
              </w:numPr>
              <w:tabs>
                <w:tab w:pos="448" w:val="left" w:leader="none"/>
                <w:tab w:pos="449" w:val="left" w:leader="none"/>
              </w:tabs>
              <w:spacing w:line="200" w:lineRule="exact" w:before="1" w:after="0"/>
              <w:ind w:left="448" w:right="592" w:hanging="341"/>
              <w:jc w:val="left"/>
              <w:rPr>
                <w:sz w:val="17"/>
              </w:rPr>
            </w:pPr>
            <w:r>
              <w:rPr>
                <w:w w:val="125"/>
                <w:sz w:val="17"/>
              </w:rPr>
              <w:t>taking regular opportunities to learn, develop and grow</w:t>
            </w:r>
          </w:p>
        </w:tc>
        <w:tc>
          <w:tcPr>
            <w:tcW w:w="4516" w:type="dxa"/>
            <w:tcBorders>
              <w:left w:val="dashed" w:sz="4" w:space="0" w:color="000000"/>
              <w:right w:val="dashed" w:sz="4" w:space="0" w:color="000000"/>
            </w:tcBorders>
          </w:tcPr>
          <w:p>
            <w:pPr>
              <w:pStyle w:val="TableParagraph"/>
              <w:numPr>
                <w:ilvl w:val="0"/>
                <w:numId w:val="83"/>
              </w:numPr>
              <w:tabs>
                <w:tab w:pos="448" w:val="left" w:leader="none"/>
                <w:tab w:pos="449" w:val="left" w:leader="none"/>
              </w:tabs>
              <w:spacing w:line="210" w:lineRule="exact" w:before="31" w:after="0"/>
              <w:ind w:left="448" w:right="0" w:hanging="341"/>
              <w:jc w:val="left"/>
              <w:rPr>
                <w:sz w:val="17"/>
              </w:rPr>
            </w:pPr>
            <w:r>
              <w:rPr>
                <w:w w:val="125"/>
                <w:sz w:val="17"/>
              </w:rPr>
              <w:t>how people learn and</w:t>
            </w:r>
            <w:r>
              <w:rPr>
                <w:spacing w:val="10"/>
                <w:w w:val="125"/>
                <w:sz w:val="17"/>
              </w:rPr>
              <w:t> </w:t>
            </w:r>
            <w:r>
              <w:rPr>
                <w:w w:val="125"/>
                <w:sz w:val="17"/>
              </w:rPr>
              <w:t>grow</w:t>
            </w:r>
          </w:p>
          <w:p>
            <w:pPr>
              <w:pStyle w:val="TableParagraph"/>
              <w:numPr>
                <w:ilvl w:val="0"/>
                <w:numId w:val="83"/>
              </w:numPr>
              <w:tabs>
                <w:tab w:pos="448" w:val="left" w:leader="none"/>
                <w:tab w:pos="449" w:val="left" w:leader="none"/>
              </w:tabs>
              <w:spacing w:line="210" w:lineRule="exact" w:before="0" w:after="0"/>
              <w:ind w:left="448" w:right="0" w:hanging="341"/>
              <w:jc w:val="left"/>
              <w:rPr>
                <w:sz w:val="17"/>
              </w:rPr>
            </w:pPr>
            <w:r>
              <w:rPr>
                <w:w w:val="120"/>
                <w:sz w:val="17"/>
              </w:rPr>
              <w:t>the place of learning in </w:t>
            </w:r>
            <w:r>
              <w:rPr>
                <w:spacing w:val="21"/>
                <w:w w:val="120"/>
                <w:sz w:val="17"/>
              </w:rPr>
              <w:t> </w:t>
            </w:r>
            <w:r>
              <w:rPr>
                <w:w w:val="120"/>
                <w:sz w:val="17"/>
              </w:rPr>
              <w:t>faith</w:t>
            </w:r>
          </w:p>
        </w:tc>
        <w:tc>
          <w:tcPr>
            <w:tcW w:w="3492" w:type="dxa"/>
            <w:tcBorders>
              <w:left w:val="dashed" w:sz="4" w:space="0" w:color="000000"/>
              <w:right w:val="nil"/>
            </w:tcBorders>
          </w:tcPr>
          <w:p>
            <w:pPr>
              <w:pStyle w:val="TableParagraph"/>
              <w:numPr>
                <w:ilvl w:val="0"/>
                <w:numId w:val="84"/>
              </w:numPr>
              <w:tabs>
                <w:tab w:pos="448" w:val="left" w:leader="none"/>
                <w:tab w:pos="449" w:val="left" w:leader="none"/>
              </w:tabs>
              <w:spacing w:line="228" w:lineRule="auto" w:before="40" w:after="0"/>
              <w:ind w:left="448" w:right="270" w:hanging="341"/>
              <w:jc w:val="left"/>
              <w:rPr>
                <w:sz w:val="17"/>
              </w:rPr>
            </w:pPr>
            <w:r>
              <w:rPr>
                <w:w w:val="125"/>
                <w:sz w:val="17"/>
              </w:rPr>
              <w:t>teaching all ages and all kinds</w:t>
            </w:r>
            <w:r>
              <w:rPr>
                <w:spacing w:val="-19"/>
                <w:w w:val="125"/>
                <w:sz w:val="17"/>
              </w:rPr>
              <w:t> </w:t>
            </w:r>
            <w:r>
              <w:rPr>
                <w:w w:val="125"/>
                <w:sz w:val="17"/>
              </w:rPr>
              <w:t>of </w:t>
            </w:r>
            <w:r>
              <w:rPr>
                <w:spacing w:val="2"/>
                <w:w w:val="125"/>
                <w:sz w:val="17"/>
              </w:rPr>
              <w:t>people</w:t>
            </w:r>
          </w:p>
        </w:tc>
      </w:tr>
      <w:tr>
        <w:trPr>
          <w:trHeight w:val="1045" w:hRule="atLeast"/>
        </w:trPr>
        <w:tc>
          <w:tcPr>
            <w:tcW w:w="2286" w:type="dxa"/>
            <w:tcBorders>
              <w:left w:val="nil"/>
              <w:right w:val="dashed" w:sz="4" w:space="0" w:color="000000"/>
            </w:tcBorders>
          </w:tcPr>
          <w:p>
            <w:pPr>
              <w:pStyle w:val="TableParagraph"/>
              <w:spacing w:line="220" w:lineRule="auto" w:before="30"/>
              <w:ind w:left="113"/>
              <w:rPr>
                <w:rFonts w:ascii="Stone Sans II ITC Std Bk"/>
                <w:b/>
                <w:sz w:val="16"/>
              </w:rPr>
            </w:pPr>
            <w:r>
              <w:rPr>
                <w:rFonts w:ascii="Stone Sans II ITC Std Bk"/>
                <w:b/>
                <w:w w:val="115"/>
                <w:sz w:val="16"/>
              </w:rPr>
              <w:t>A missionary and evangelist</w:t>
            </w:r>
          </w:p>
        </w:tc>
        <w:tc>
          <w:tcPr>
            <w:tcW w:w="4999" w:type="dxa"/>
            <w:tcBorders>
              <w:top w:val="single" w:sz="6" w:space="0" w:color="000000"/>
              <w:left w:val="dashed" w:sz="4" w:space="0" w:color="000000"/>
              <w:bottom w:val="single" w:sz="6" w:space="0" w:color="000000"/>
              <w:right w:val="dashed" w:sz="4" w:space="0" w:color="000000"/>
            </w:tcBorders>
          </w:tcPr>
          <w:p>
            <w:pPr>
              <w:pStyle w:val="TableParagraph"/>
              <w:numPr>
                <w:ilvl w:val="0"/>
                <w:numId w:val="85"/>
              </w:numPr>
              <w:tabs>
                <w:tab w:pos="448" w:val="left" w:leader="none"/>
                <w:tab w:pos="449" w:val="left" w:leader="none"/>
              </w:tabs>
              <w:spacing w:line="210" w:lineRule="exact" w:before="29" w:after="0"/>
              <w:ind w:left="448" w:right="0" w:hanging="341"/>
              <w:jc w:val="left"/>
              <w:rPr>
                <w:sz w:val="17"/>
              </w:rPr>
            </w:pPr>
            <w:r>
              <w:rPr>
                <w:w w:val="120"/>
                <w:sz w:val="17"/>
              </w:rPr>
              <w:t>as one on fire with the</w:t>
            </w:r>
            <w:r>
              <w:rPr>
                <w:spacing w:val="21"/>
                <w:w w:val="120"/>
                <w:sz w:val="17"/>
              </w:rPr>
              <w:t> </w:t>
            </w:r>
            <w:r>
              <w:rPr>
                <w:w w:val="120"/>
                <w:sz w:val="17"/>
              </w:rPr>
              <w:t>Gospel</w:t>
            </w:r>
          </w:p>
          <w:p>
            <w:pPr>
              <w:pStyle w:val="TableParagraph"/>
              <w:numPr>
                <w:ilvl w:val="0"/>
                <w:numId w:val="85"/>
              </w:numPr>
              <w:tabs>
                <w:tab w:pos="448" w:val="left" w:leader="none"/>
                <w:tab w:pos="449" w:val="left" w:leader="none"/>
              </w:tabs>
              <w:spacing w:line="200" w:lineRule="exact" w:before="0" w:after="0"/>
              <w:ind w:left="448" w:right="0" w:hanging="341"/>
              <w:jc w:val="left"/>
              <w:rPr>
                <w:sz w:val="17"/>
              </w:rPr>
            </w:pPr>
            <w:r>
              <w:rPr>
                <w:w w:val="120"/>
                <w:sz w:val="17"/>
              </w:rPr>
              <w:t>with a message to </w:t>
            </w:r>
            <w:r>
              <w:rPr>
                <w:spacing w:val="22"/>
                <w:w w:val="120"/>
                <w:sz w:val="17"/>
              </w:rPr>
              <w:t> </w:t>
            </w:r>
            <w:r>
              <w:rPr>
                <w:w w:val="120"/>
                <w:sz w:val="17"/>
              </w:rPr>
              <w:t>proclaim</w:t>
            </w:r>
          </w:p>
          <w:p>
            <w:pPr>
              <w:pStyle w:val="TableParagraph"/>
              <w:numPr>
                <w:ilvl w:val="0"/>
                <w:numId w:val="85"/>
              </w:numPr>
              <w:tabs>
                <w:tab w:pos="448" w:val="left" w:leader="none"/>
                <w:tab w:pos="449" w:val="left" w:leader="none"/>
              </w:tabs>
              <w:spacing w:line="200" w:lineRule="exact" w:before="0" w:after="0"/>
              <w:ind w:left="448" w:right="0" w:hanging="341"/>
              <w:jc w:val="left"/>
              <w:rPr>
                <w:sz w:val="17"/>
              </w:rPr>
            </w:pPr>
            <w:r>
              <w:rPr>
                <w:w w:val="125"/>
                <w:sz w:val="17"/>
              </w:rPr>
              <w:t>with a love for God’s</w:t>
            </w:r>
            <w:r>
              <w:rPr>
                <w:spacing w:val="-17"/>
                <w:w w:val="125"/>
                <w:sz w:val="17"/>
              </w:rPr>
              <w:t> </w:t>
            </w:r>
            <w:r>
              <w:rPr>
                <w:w w:val="125"/>
                <w:sz w:val="17"/>
              </w:rPr>
              <w:t>world</w:t>
            </w:r>
          </w:p>
          <w:p>
            <w:pPr>
              <w:pStyle w:val="TableParagraph"/>
              <w:numPr>
                <w:ilvl w:val="0"/>
                <w:numId w:val="85"/>
              </w:numPr>
              <w:tabs>
                <w:tab w:pos="448" w:val="left" w:leader="none"/>
                <w:tab w:pos="449" w:val="left" w:leader="none"/>
              </w:tabs>
              <w:spacing w:line="210" w:lineRule="exact" w:before="0" w:after="0"/>
              <w:ind w:left="448" w:right="0" w:hanging="341"/>
              <w:jc w:val="left"/>
              <w:rPr>
                <w:sz w:val="17"/>
              </w:rPr>
            </w:pPr>
            <w:r>
              <w:rPr>
                <w:w w:val="120"/>
                <w:sz w:val="17"/>
              </w:rPr>
              <w:t>with a commitment to community and to</w:t>
            </w:r>
            <w:r>
              <w:rPr>
                <w:spacing w:val="10"/>
                <w:w w:val="120"/>
                <w:sz w:val="17"/>
              </w:rPr>
              <w:t> </w:t>
            </w:r>
            <w:r>
              <w:rPr>
                <w:w w:val="120"/>
                <w:sz w:val="17"/>
              </w:rPr>
              <w:t>others</w:t>
            </w:r>
          </w:p>
        </w:tc>
        <w:tc>
          <w:tcPr>
            <w:tcW w:w="4516" w:type="dxa"/>
            <w:tcBorders>
              <w:left w:val="dashed" w:sz="4" w:space="0" w:color="000000"/>
              <w:right w:val="dashed" w:sz="4" w:space="0" w:color="000000"/>
            </w:tcBorders>
          </w:tcPr>
          <w:p>
            <w:pPr>
              <w:pStyle w:val="TableParagraph"/>
              <w:numPr>
                <w:ilvl w:val="0"/>
                <w:numId w:val="86"/>
              </w:numPr>
              <w:tabs>
                <w:tab w:pos="448" w:val="left" w:leader="none"/>
                <w:tab w:pos="449" w:val="left" w:leader="none"/>
              </w:tabs>
              <w:spacing w:line="228" w:lineRule="auto" w:before="37" w:after="0"/>
              <w:ind w:left="448" w:right="238" w:hanging="341"/>
              <w:jc w:val="left"/>
              <w:rPr>
                <w:sz w:val="17"/>
              </w:rPr>
            </w:pPr>
            <w:r>
              <w:rPr>
                <w:w w:val="120"/>
                <w:sz w:val="17"/>
              </w:rPr>
              <w:t>how to analyse and to understand the contemporary world and particular</w:t>
            </w:r>
            <w:r>
              <w:rPr>
                <w:spacing w:val="-17"/>
                <w:w w:val="120"/>
                <w:sz w:val="17"/>
              </w:rPr>
              <w:t> </w:t>
            </w:r>
            <w:r>
              <w:rPr>
                <w:w w:val="120"/>
                <w:sz w:val="17"/>
              </w:rPr>
              <w:t>contexts</w:t>
            </w:r>
          </w:p>
          <w:p>
            <w:pPr>
              <w:pStyle w:val="TableParagraph"/>
              <w:numPr>
                <w:ilvl w:val="0"/>
                <w:numId w:val="86"/>
              </w:numPr>
              <w:tabs>
                <w:tab w:pos="448" w:val="left" w:leader="none"/>
                <w:tab w:pos="449" w:val="left" w:leader="none"/>
              </w:tabs>
              <w:spacing w:line="195" w:lineRule="exact" w:before="0" w:after="0"/>
              <w:ind w:left="448" w:right="0" w:hanging="341"/>
              <w:jc w:val="left"/>
              <w:rPr>
                <w:sz w:val="17"/>
              </w:rPr>
            </w:pPr>
            <w:r>
              <w:rPr>
                <w:w w:val="120"/>
                <w:sz w:val="17"/>
              </w:rPr>
              <w:t>the demands of evangelism</w:t>
            </w:r>
            <w:r>
              <w:rPr>
                <w:spacing w:val="19"/>
                <w:w w:val="120"/>
                <w:sz w:val="17"/>
              </w:rPr>
              <w:t> </w:t>
            </w:r>
            <w:r>
              <w:rPr>
                <w:w w:val="120"/>
                <w:sz w:val="17"/>
              </w:rPr>
              <w:t>today</w:t>
            </w:r>
          </w:p>
          <w:p>
            <w:pPr>
              <w:pStyle w:val="TableParagraph"/>
              <w:numPr>
                <w:ilvl w:val="0"/>
                <w:numId w:val="86"/>
              </w:numPr>
              <w:tabs>
                <w:tab w:pos="448" w:val="left" w:leader="none"/>
                <w:tab w:pos="449" w:val="left" w:leader="none"/>
              </w:tabs>
              <w:spacing w:line="200" w:lineRule="exact" w:before="0" w:after="0"/>
              <w:ind w:left="448" w:right="0" w:hanging="341"/>
              <w:jc w:val="left"/>
              <w:rPr>
                <w:sz w:val="17"/>
              </w:rPr>
            </w:pPr>
            <w:r>
              <w:rPr>
                <w:w w:val="120"/>
                <w:sz w:val="17"/>
              </w:rPr>
              <w:t>how societies are</w:t>
            </w:r>
            <w:r>
              <w:rPr>
                <w:spacing w:val="9"/>
                <w:w w:val="120"/>
                <w:sz w:val="17"/>
              </w:rPr>
              <w:t> </w:t>
            </w:r>
            <w:r>
              <w:rPr>
                <w:w w:val="120"/>
                <w:sz w:val="17"/>
              </w:rPr>
              <w:t>made</w:t>
            </w:r>
          </w:p>
          <w:p>
            <w:pPr>
              <w:pStyle w:val="TableParagraph"/>
              <w:numPr>
                <w:ilvl w:val="0"/>
                <w:numId w:val="86"/>
              </w:numPr>
              <w:tabs>
                <w:tab w:pos="448" w:val="left" w:leader="none"/>
                <w:tab w:pos="449" w:val="left" w:leader="none"/>
              </w:tabs>
              <w:spacing w:line="186" w:lineRule="exact" w:before="0" w:after="0"/>
              <w:ind w:left="448" w:right="0" w:hanging="341"/>
              <w:jc w:val="left"/>
              <w:rPr>
                <w:sz w:val="17"/>
              </w:rPr>
            </w:pPr>
            <w:r>
              <w:rPr>
                <w:w w:val="120"/>
                <w:sz w:val="17"/>
              </w:rPr>
              <w:t>how truth is established and</w:t>
            </w:r>
            <w:r>
              <w:rPr>
                <w:spacing w:val="42"/>
                <w:w w:val="120"/>
                <w:sz w:val="17"/>
              </w:rPr>
              <w:t> </w:t>
            </w:r>
            <w:r>
              <w:rPr>
                <w:w w:val="120"/>
                <w:sz w:val="17"/>
              </w:rPr>
              <w:t>challenged</w:t>
            </w:r>
          </w:p>
        </w:tc>
        <w:tc>
          <w:tcPr>
            <w:tcW w:w="3492" w:type="dxa"/>
            <w:tcBorders>
              <w:left w:val="dashed" w:sz="4" w:space="0" w:color="000000"/>
              <w:right w:val="nil"/>
            </w:tcBorders>
          </w:tcPr>
          <w:p>
            <w:pPr>
              <w:pStyle w:val="TableParagraph"/>
              <w:numPr>
                <w:ilvl w:val="0"/>
                <w:numId w:val="87"/>
              </w:numPr>
              <w:tabs>
                <w:tab w:pos="448" w:val="left" w:leader="none"/>
                <w:tab w:pos="449" w:val="left" w:leader="none"/>
              </w:tabs>
              <w:spacing w:line="210" w:lineRule="exact" w:before="29" w:after="0"/>
              <w:ind w:left="448" w:right="0" w:hanging="341"/>
              <w:jc w:val="left"/>
              <w:rPr>
                <w:sz w:val="17"/>
              </w:rPr>
            </w:pPr>
            <w:r>
              <w:rPr>
                <w:w w:val="120"/>
                <w:sz w:val="17"/>
              </w:rPr>
              <w:t>effective</w:t>
            </w:r>
            <w:r>
              <w:rPr>
                <w:spacing w:val="4"/>
                <w:w w:val="120"/>
                <w:sz w:val="17"/>
              </w:rPr>
              <w:t> </w:t>
            </w:r>
            <w:r>
              <w:rPr>
                <w:w w:val="120"/>
                <w:sz w:val="17"/>
              </w:rPr>
              <w:t>communication</w:t>
            </w:r>
          </w:p>
          <w:p>
            <w:pPr>
              <w:pStyle w:val="TableParagraph"/>
              <w:numPr>
                <w:ilvl w:val="0"/>
                <w:numId w:val="87"/>
              </w:numPr>
              <w:tabs>
                <w:tab w:pos="448" w:val="left" w:leader="none"/>
                <w:tab w:pos="449" w:val="left" w:leader="none"/>
              </w:tabs>
              <w:spacing w:line="200" w:lineRule="exact" w:before="0" w:after="0"/>
              <w:ind w:left="448" w:right="0" w:hanging="341"/>
              <w:jc w:val="left"/>
              <w:rPr>
                <w:sz w:val="17"/>
              </w:rPr>
            </w:pPr>
            <w:r>
              <w:rPr>
                <w:w w:val="125"/>
                <w:sz w:val="17"/>
              </w:rPr>
              <w:t>social and political action</w:t>
            </w:r>
          </w:p>
          <w:p>
            <w:pPr>
              <w:pStyle w:val="TableParagraph"/>
              <w:numPr>
                <w:ilvl w:val="0"/>
                <w:numId w:val="87"/>
              </w:numPr>
              <w:tabs>
                <w:tab w:pos="448" w:val="left" w:leader="none"/>
                <w:tab w:pos="449" w:val="left" w:leader="none"/>
              </w:tabs>
              <w:spacing w:line="228" w:lineRule="auto" w:before="0" w:after="0"/>
              <w:ind w:left="448" w:right="295" w:hanging="341"/>
              <w:jc w:val="left"/>
              <w:rPr>
                <w:sz w:val="17"/>
              </w:rPr>
            </w:pPr>
            <w:r>
              <w:rPr>
                <w:w w:val="125"/>
                <w:sz w:val="17"/>
              </w:rPr>
              <w:t>inspiring and enabling others in mission and</w:t>
            </w:r>
            <w:r>
              <w:rPr>
                <w:spacing w:val="-2"/>
                <w:w w:val="125"/>
                <w:sz w:val="17"/>
              </w:rPr>
              <w:t> </w:t>
            </w:r>
            <w:r>
              <w:rPr>
                <w:w w:val="125"/>
                <w:sz w:val="17"/>
              </w:rPr>
              <w:t>evangelism</w:t>
            </w:r>
          </w:p>
        </w:tc>
      </w:tr>
      <w:tr>
        <w:trPr>
          <w:trHeight w:val="1228" w:hRule="atLeast"/>
        </w:trPr>
        <w:tc>
          <w:tcPr>
            <w:tcW w:w="2286" w:type="dxa"/>
            <w:tcBorders>
              <w:left w:val="nil"/>
              <w:right w:val="dashed" w:sz="4" w:space="0" w:color="000000"/>
            </w:tcBorders>
          </w:tcPr>
          <w:p>
            <w:pPr>
              <w:pStyle w:val="TableParagraph"/>
              <w:spacing w:line="220" w:lineRule="auto" w:before="30"/>
              <w:ind w:left="160"/>
              <w:rPr>
                <w:rFonts w:ascii="Stone Sans II ITC Std Bk"/>
                <w:b/>
                <w:sz w:val="16"/>
              </w:rPr>
            </w:pPr>
            <w:r>
              <w:rPr>
                <w:rFonts w:ascii="Stone Sans II ITC Std Bk"/>
                <w:b/>
                <w:w w:val="115"/>
                <w:sz w:val="16"/>
              </w:rPr>
              <w:t>A collaborator and community builder</w:t>
            </w:r>
          </w:p>
        </w:tc>
        <w:tc>
          <w:tcPr>
            <w:tcW w:w="4999" w:type="dxa"/>
            <w:tcBorders>
              <w:top w:val="single" w:sz="6" w:space="0" w:color="000000"/>
              <w:left w:val="dashed" w:sz="4" w:space="0" w:color="000000"/>
              <w:bottom w:val="single" w:sz="6" w:space="0" w:color="000000"/>
              <w:right w:val="dashed" w:sz="4" w:space="0" w:color="000000"/>
            </w:tcBorders>
          </w:tcPr>
          <w:p>
            <w:pPr>
              <w:pStyle w:val="TableParagraph"/>
              <w:numPr>
                <w:ilvl w:val="0"/>
                <w:numId w:val="88"/>
              </w:numPr>
              <w:tabs>
                <w:tab w:pos="448" w:val="left" w:leader="none"/>
                <w:tab w:pos="449" w:val="left" w:leader="none"/>
              </w:tabs>
              <w:spacing w:line="210" w:lineRule="exact" w:before="29" w:after="0"/>
              <w:ind w:left="448" w:right="0" w:hanging="341"/>
              <w:jc w:val="left"/>
              <w:rPr>
                <w:sz w:val="17"/>
              </w:rPr>
            </w:pPr>
            <w:r>
              <w:rPr>
                <w:w w:val="125"/>
                <w:sz w:val="17"/>
              </w:rPr>
              <w:t>always seeking the good of the</w:t>
            </w:r>
            <w:r>
              <w:rPr>
                <w:spacing w:val="-1"/>
                <w:w w:val="125"/>
                <w:sz w:val="17"/>
              </w:rPr>
              <w:t> </w:t>
            </w:r>
            <w:r>
              <w:rPr>
                <w:w w:val="125"/>
                <w:sz w:val="17"/>
              </w:rPr>
              <w:t>whole</w:t>
            </w:r>
          </w:p>
          <w:p>
            <w:pPr>
              <w:pStyle w:val="TableParagraph"/>
              <w:numPr>
                <w:ilvl w:val="0"/>
                <w:numId w:val="88"/>
              </w:numPr>
              <w:tabs>
                <w:tab w:pos="448" w:val="left" w:leader="none"/>
                <w:tab w:pos="449" w:val="left" w:leader="none"/>
              </w:tabs>
              <w:spacing w:line="210" w:lineRule="exact" w:before="0" w:after="0"/>
              <w:ind w:left="448" w:right="0" w:hanging="341"/>
              <w:jc w:val="left"/>
              <w:rPr>
                <w:sz w:val="17"/>
              </w:rPr>
            </w:pPr>
            <w:r>
              <w:rPr>
                <w:w w:val="120"/>
                <w:sz w:val="17"/>
              </w:rPr>
              <w:t>as one committed to the church s/he</w:t>
            </w:r>
            <w:r>
              <w:rPr>
                <w:spacing w:val="33"/>
                <w:w w:val="120"/>
                <w:sz w:val="17"/>
              </w:rPr>
              <w:t> </w:t>
            </w:r>
            <w:r>
              <w:rPr>
                <w:spacing w:val="2"/>
                <w:w w:val="120"/>
                <w:sz w:val="17"/>
              </w:rPr>
              <w:t>serves</w:t>
            </w:r>
          </w:p>
        </w:tc>
        <w:tc>
          <w:tcPr>
            <w:tcW w:w="4516" w:type="dxa"/>
            <w:tcBorders>
              <w:left w:val="dashed" w:sz="4" w:space="0" w:color="000000"/>
              <w:bottom w:val="single" w:sz="6" w:space="0" w:color="000000"/>
              <w:right w:val="dashed" w:sz="4" w:space="0" w:color="000000"/>
            </w:tcBorders>
          </w:tcPr>
          <w:p>
            <w:pPr>
              <w:pStyle w:val="TableParagraph"/>
              <w:numPr>
                <w:ilvl w:val="0"/>
                <w:numId w:val="89"/>
              </w:numPr>
              <w:tabs>
                <w:tab w:pos="448" w:val="left" w:leader="none"/>
                <w:tab w:pos="449" w:val="left" w:leader="none"/>
              </w:tabs>
              <w:spacing w:line="210" w:lineRule="exact" w:before="29" w:after="0"/>
              <w:ind w:left="448" w:right="0" w:hanging="341"/>
              <w:jc w:val="left"/>
              <w:rPr>
                <w:sz w:val="17"/>
              </w:rPr>
            </w:pPr>
            <w:r>
              <w:rPr>
                <w:w w:val="120"/>
                <w:sz w:val="17"/>
              </w:rPr>
              <w:t>the particular </w:t>
            </w:r>
            <w:r>
              <w:rPr>
                <w:spacing w:val="3"/>
                <w:w w:val="120"/>
                <w:sz w:val="17"/>
              </w:rPr>
              <w:t>gifts </w:t>
            </w:r>
            <w:r>
              <w:rPr>
                <w:w w:val="120"/>
                <w:sz w:val="17"/>
              </w:rPr>
              <w:t>s/he can</w:t>
            </w:r>
            <w:r>
              <w:rPr>
                <w:spacing w:val="22"/>
                <w:w w:val="120"/>
                <w:sz w:val="17"/>
              </w:rPr>
              <w:t> </w:t>
            </w:r>
            <w:r>
              <w:rPr>
                <w:w w:val="120"/>
                <w:sz w:val="17"/>
              </w:rPr>
              <w:t>bring</w:t>
            </w:r>
          </w:p>
          <w:p>
            <w:pPr>
              <w:pStyle w:val="TableParagraph"/>
              <w:numPr>
                <w:ilvl w:val="0"/>
                <w:numId w:val="89"/>
              </w:numPr>
              <w:tabs>
                <w:tab w:pos="448" w:val="left" w:leader="none"/>
                <w:tab w:pos="449" w:val="left" w:leader="none"/>
              </w:tabs>
              <w:spacing w:line="200" w:lineRule="exact" w:before="0" w:after="0"/>
              <w:ind w:left="448" w:right="0" w:hanging="341"/>
              <w:jc w:val="left"/>
              <w:rPr>
                <w:sz w:val="17"/>
              </w:rPr>
            </w:pPr>
            <w:r>
              <w:rPr>
                <w:w w:val="125"/>
                <w:sz w:val="17"/>
              </w:rPr>
              <w:t>group dynamics</w:t>
            </w:r>
          </w:p>
          <w:p>
            <w:pPr>
              <w:pStyle w:val="TableParagraph"/>
              <w:numPr>
                <w:ilvl w:val="0"/>
                <w:numId w:val="89"/>
              </w:numPr>
              <w:tabs>
                <w:tab w:pos="448" w:val="left" w:leader="none"/>
                <w:tab w:pos="449" w:val="left" w:leader="none"/>
              </w:tabs>
              <w:spacing w:line="228" w:lineRule="auto" w:before="0" w:after="0"/>
              <w:ind w:left="448" w:right="1142" w:hanging="341"/>
              <w:jc w:val="left"/>
              <w:rPr>
                <w:sz w:val="17"/>
              </w:rPr>
            </w:pPr>
            <w:r>
              <w:rPr>
                <w:w w:val="125"/>
                <w:sz w:val="17"/>
              </w:rPr>
              <w:t>how community is made and</w:t>
            </w:r>
            <w:r>
              <w:rPr>
                <w:spacing w:val="-17"/>
                <w:w w:val="125"/>
                <w:sz w:val="17"/>
              </w:rPr>
              <w:t> </w:t>
            </w:r>
            <w:r>
              <w:rPr>
                <w:w w:val="125"/>
                <w:sz w:val="17"/>
              </w:rPr>
              <w:t>how communities</w:t>
            </w:r>
            <w:r>
              <w:rPr>
                <w:spacing w:val="-1"/>
                <w:w w:val="125"/>
                <w:sz w:val="17"/>
              </w:rPr>
              <w:t> </w:t>
            </w:r>
            <w:r>
              <w:rPr>
                <w:w w:val="125"/>
                <w:sz w:val="17"/>
              </w:rPr>
              <w:t>work</w:t>
            </w:r>
          </w:p>
        </w:tc>
        <w:tc>
          <w:tcPr>
            <w:tcW w:w="3492" w:type="dxa"/>
            <w:tcBorders>
              <w:left w:val="dashed" w:sz="4" w:space="0" w:color="000000"/>
              <w:bottom w:val="single" w:sz="6" w:space="0" w:color="000000"/>
              <w:right w:val="nil"/>
            </w:tcBorders>
          </w:tcPr>
          <w:p>
            <w:pPr>
              <w:pStyle w:val="TableParagraph"/>
              <w:numPr>
                <w:ilvl w:val="0"/>
                <w:numId w:val="90"/>
              </w:numPr>
              <w:tabs>
                <w:tab w:pos="448" w:val="left" w:leader="none"/>
                <w:tab w:pos="449" w:val="left" w:leader="none"/>
              </w:tabs>
              <w:spacing w:line="210" w:lineRule="exact" w:before="29" w:after="0"/>
              <w:ind w:left="448" w:right="0" w:hanging="341"/>
              <w:jc w:val="left"/>
              <w:rPr>
                <w:sz w:val="17"/>
              </w:rPr>
            </w:pPr>
            <w:r>
              <w:rPr>
                <w:w w:val="120"/>
                <w:sz w:val="17"/>
              </w:rPr>
              <w:t>animating the </w:t>
            </w:r>
            <w:r>
              <w:rPr>
                <w:spacing w:val="3"/>
                <w:w w:val="120"/>
                <w:sz w:val="17"/>
              </w:rPr>
              <w:t>gifts </w:t>
            </w:r>
            <w:r>
              <w:rPr>
                <w:w w:val="120"/>
                <w:sz w:val="17"/>
              </w:rPr>
              <w:t>of</w:t>
            </w:r>
            <w:r>
              <w:rPr>
                <w:spacing w:val="18"/>
                <w:w w:val="120"/>
                <w:sz w:val="17"/>
              </w:rPr>
              <w:t> </w:t>
            </w:r>
            <w:r>
              <w:rPr>
                <w:w w:val="120"/>
                <w:sz w:val="17"/>
              </w:rPr>
              <w:t>others</w:t>
            </w:r>
          </w:p>
          <w:p>
            <w:pPr>
              <w:pStyle w:val="TableParagraph"/>
              <w:numPr>
                <w:ilvl w:val="0"/>
                <w:numId w:val="90"/>
              </w:numPr>
              <w:tabs>
                <w:tab w:pos="448" w:val="left" w:leader="none"/>
                <w:tab w:pos="449" w:val="left" w:leader="none"/>
              </w:tabs>
              <w:spacing w:line="200" w:lineRule="exact" w:before="0" w:after="0"/>
              <w:ind w:left="448" w:right="0" w:hanging="341"/>
              <w:jc w:val="left"/>
              <w:rPr>
                <w:sz w:val="17"/>
              </w:rPr>
            </w:pPr>
            <w:r>
              <w:rPr>
                <w:w w:val="125"/>
                <w:sz w:val="17"/>
              </w:rPr>
              <w:t>community and team</w:t>
            </w:r>
            <w:r>
              <w:rPr>
                <w:spacing w:val="2"/>
                <w:w w:val="125"/>
                <w:sz w:val="17"/>
              </w:rPr>
              <w:t> </w:t>
            </w:r>
            <w:r>
              <w:rPr>
                <w:w w:val="125"/>
                <w:sz w:val="17"/>
              </w:rPr>
              <w:t>building</w:t>
            </w:r>
          </w:p>
          <w:p>
            <w:pPr>
              <w:pStyle w:val="TableParagraph"/>
              <w:numPr>
                <w:ilvl w:val="0"/>
                <w:numId w:val="90"/>
              </w:numPr>
              <w:tabs>
                <w:tab w:pos="448" w:val="left" w:leader="none"/>
                <w:tab w:pos="449" w:val="left" w:leader="none"/>
              </w:tabs>
              <w:spacing w:line="200" w:lineRule="exact" w:before="0" w:after="0"/>
              <w:ind w:left="448" w:right="0" w:hanging="341"/>
              <w:jc w:val="left"/>
              <w:rPr>
                <w:sz w:val="17"/>
              </w:rPr>
            </w:pPr>
            <w:r>
              <w:rPr>
                <w:w w:val="125"/>
                <w:sz w:val="17"/>
              </w:rPr>
              <w:t>models of decision making</w:t>
            </w:r>
          </w:p>
          <w:p>
            <w:pPr>
              <w:pStyle w:val="TableParagraph"/>
              <w:numPr>
                <w:ilvl w:val="0"/>
                <w:numId w:val="90"/>
              </w:numPr>
              <w:tabs>
                <w:tab w:pos="448" w:val="left" w:leader="none"/>
                <w:tab w:pos="449" w:val="left" w:leader="none"/>
              </w:tabs>
              <w:spacing w:line="200" w:lineRule="exact" w:before="0" w:after="0"/>
              <w:ind w:left="448" w:right="0" w:hanging="341"/>
              <w:jc w:val="left"/>
              <w:rPr>
                <w:sz w:val="17"/>
              </w:rPr>
            </w:pPr>
            <w:r>
              <w:rPr>
                <w:w w:val="125"/>
                <w:sz w:val="17"/>
              </w:rPr>
              <w:t>leadership and</w:t>
            </w:r>
            <w:r>
              <w:rPr>
                <w:spacing w:val="-2"/>
                <w:w w:val="125"/>
                <w:sz w:val="17"/>
              </w:rPr>
              <w:t> </w:t>
            </w:r>
            <w:r>
              <w:rPr>
                <w:w w:val="125"/>
                <w:sz w:val="17"/>
              </w:rPr>
              <w:t>management</w:t>
            </w:r>
          </w:p>
          <w:p>
            <w:pPr>
              <w:pStyle w:val="TableParagraph"/>
              <w:numPr>
                <w:ilvl w:val="0"/>
                <w:numId w:val="90"/>
              </w:numPr>
              <w:tabs>
                <w:tab w:pos="448" w:val="left" w:leader="none"/>
                <w:tab w:pos="449" w:val="left" w:leader="none"/>
              </w:tabs>
              <w:spacing w:line="200" w:lineRule="exact" w:before="0" w:after="0"/>
              <w:ind w:left="448" w:right="0" w:hanging="341"/>
              <w:jc w:val="left"/>
              <w:rPr>
                <w:sz w:val="17"/>
              </w:rPr>
            </w:pPr>
            <w:r>
              <w:rPr>
                <w:w w:val="120"/>
                <w:sz w:val="17"/>
              </w:rPr>
              <w:t>administration</w:t>
            </w:r>
          </w:p>
          <w:p>
            <w:pPr>
              <w:pStyle w:val="TableParagraph"/>
              <w:numPr>
                <w:ilvl w:val="0"/>
                <w:numId w:val="90"/>
              </w:numPr>
              <w:tabs>
                <w:tab w:pos="448" w:val="left" w:leader="none"/>
                <w:tab w:pos="449" w:val="left" w:leader="none"/>
              </w:tabs>
              <w:spacing w:line="169" w:lineRule="exact" w:before="0" w:after="0"/>
              <w:ind w:left="448" w:right="0" w:hanging="341"/>
              <w:jc w:val="left"/>
              <w:rPr>
                <w:sz w:val="17"/>
              </w:rPr>
            </w:pPr>
            <w:r>
              <w:rPr>
                <w:w w:val="120"/>
                <w:sz w:val="17"/>
              </w:rPr>
              <w:t>working with</w:t>
            </w:r>
            <w:r>
              <w:rPr>
                <w:spacing w:val="8"/>
                <w:w w:val="120"/>
                <w:sz w:val="17"/>
              </w:rPr>
              <w:t> </w:t>
            </w:r>
            <w:r>
              <w:rPr>
                <w:w w:val="120"/>
                <w:sz w:val="17"/>
              </w:rPr>
              <w:t>others</w:t>
            </w:r>
          </w:p>
        </w:tc>
      </w:tr>
      <w:tr>
        <w:trPr>
          <w:trHeight w:val="786" w:hRule="atLeast"/>
        </w:trPr>
        <w:tc>
          <w:tcPr>
            <w:tcW w:w="2286" w:type="dxa"/>
            <w:tcBorders>
              <w:left w:val="nil"/>
              <w:bottom w:val="nil"/>
              <w:right w:val="dashed" w:sz="4" w:space="0" w:color="000000"/>
            </w:tcBorders>
          </w:tcPr>
          <w:p>
            <w:pPr>
              <w:pStyle w:val="TableParagraph"/>
              <w:spacing w:before="18"/>
              <w:ind w:left="160"/>
              <w:rPr>
                <w:rFonts w:ascii="Stone Sans II ITC Std Bk"/>
                <w:b/>
                <w:sz w:val="16"/>
              </w:rPr>
            </w:pPr>
            <w:r>
              <w:rPr>
                <w:rFonts w:ascii="Stone Sans II ITC Std Bk"/>
                <w:b/>
                <w:w w:val="115"/>
                <w:sz w:val="16"/>
              </w:rPr>
              <w:t>A public figure</w:t>
            </w:r>
          </w:p>
        </w:tc>
        <w:tc>
          <w:tcPr>
            <w:tcW w:w="4999" w:type="dxa"/>
            <w:tcBorders>
              <w:top w:val="single" w:sz="6" w:space="0" w:color="000000"/>
              <w:left w:val="dashed" w:sz="4" w:space="0" w:color="000000"/>
              <w:bottom w:val="nil"/>
              <w:right w:val="dashed" w:sz="4" w:space="0" w:color="000000"/>
            </w:tcBorders>
          </w:tcPr>
          <w:p>
            <w:pPr>
              <w:pStyle w:val="TableParagraph"/>
              <w:numPr>
                <w:ilvl w:val="0"/>
                <w:numId w:val="91"/>
              </w:numPr>
              <w:tabs>
                <w:tab w:pos="448" w:val="left" w:leader="none"/>
                <w:tab w:pos="449" w:val="left" w:leader="none"/>
              </w:tabs>
              <w:spacing w:line="210" w:lineRule="exact" w:before="29" w:after="0"/>
              <w:ind w:left="448" w:right="0" w:hanging="341"/>
              <w:jc w:val="left"/>
              <w:rPr>
                <w:sz w:val="17"/>
              </w:rPr>
            </w:pPr>
            <w:r>
              <w:rPr>
                <w:w w:val="125"/>
                <w:sz w:val="17"/>
              </w:rPr>
              <w:t>with a commitment to contributing to the</w:t>
            </w:r>
            <w:r>
              <w:rPr>
                <w:spacing w:val="-10"/>
                <w:w w:val="125"/>
                <w:sz w:val="17"/>
              </w:rPr>
              <w:t> </w:t>
            </w:r>
            <w:r>
              <w:rPr>
                <w:w w:val="125"/>
                <w:sz w:val="17"/>
              </w:rPr>
              <w:t>world</w:t>
            </w:r>
          </w:p>
          <w:p>
            <w:pPr>
              <w:pStyle w:val="TableParagraph"/>
              <w:numPr>
                <w:ilvl w:val="0"/>
                <w:numId w:val="91"/>
              </w:numPr>
              <w:tabs>
                <w:tab w:pos="448" w:val="left" w:leader="none"/>
                <w:tab w:pos="449" w:val="left" w:leader="none"/>
              </w:tabs>
              <w:spacing w:line="210" w:lineRule="exact" w:before="0" w:after="0"/>
              <w:ind w:left="448" w:right="0" w:hanging="341"/>
              <w:jc w:val="left"/>
              <w:rPr>
                <w:sz w:val="17"/>
              </w:rPr>
            </w:pPr>
            <w:r>
              <w:rPr>
                <w:w w:val="120"/>
                <w:sz w:val="17"/>
              </w:rPr>
              <w:t>in the service of wider</w:t>
            </w:r>
            <w:r>
              <w:rPr>
                <w:spacing w:val="18"/>
                <w:w w:val="120"/>
                <w:sz w:val="17"/>
              </w:rPr>
              <w:t> </w:t>
            </w:r>
            <w:r>
              <w:rPr>
                <w:w w:val="120"/>
                <w:sz w:val="17"/>
              </w:rPr>
              <w:t>society</w:t>
            </w:r>
          </w:p>
        </w:tc>
        <w:tc>
          <w:tcPr>
            <w:tcW w:w="4516" w:type="dxa"/>
            <w:tcBorders>
              <w:top w:val="single" w:sz="6" w:space="0" w:color="000000"/>
              <w:left w:val="dashed" w:sz="4" w:space="0" w:color="000000"/>
              <w:bottom w:val="nil"/>
              <w:right w:val="dashed" w:sz="4" w:space="0" w:color="000000"/>
            </w:tcBorders>
          </w:tcPr>
          <w:p>
            <w:pPr>
              <w:pStyle w:val="TableParagraph"/>
              <w:numPr>
                <w:ilvl w:val="0"/>
                <w:numId w:val="92"/>
              </w:numPr>
              <w:tabs>
                <w:tab w:pos="448" w:val="left" w:leader="none"/>
                <w:tab w:pos="449" w:val="left" w:leader="none"/>
              </w:tabs>
              <w:spacing w:line="210" w:lineRule="exact" w:before="29" w:after="0"/>
              <w:ind w:left="448" w:right="0" w:hanging="341"/>
              <w:jc w:val="left"/>
              <w:rPr>
                <w:sz w:val="17"/>
              </w:rPr>
            </w:pPr>
            <w:r>
              <w:rPr>
                <w:w w:val="125"/>
                <w:sz w:val="17"/>
              </w:rPr>
              <w:t>social and political worlds</w:t>
            </w:r>
          </w:p>
          <w:p>
            <w:pPr>
              <w:pStyle w:val="TableParagraph"/>
              <w:numPr>
                <w:ilvl w:val="0"/>
                <w:numId w:val="92"/>
              </w:numPr>
              <w:tabs>
                <w:tab w:pos="448" w:val="left" w:leader="none"/>
                <w:tab w:pos="449" w:val="left" w:leader="none"/>
              </w:tabs>
              <w:spacing w:line="200" w:lineRule="exact" w:before="0" w:after="0"/>
              <w:ind w:left="448" w:right="0" w:hanging="341"/>
              <w:jc w:val="left"/>
              <w:rPr>
                <w:sz w:val="17"/>
              </w:rPr>
            </w:pPr>
            <w:r>
              <w:rPr>
                <w:w w:val="125"/>
                <w:sz w:val="17"/>
              </w:rPr>
              <w:t>how to </w:t>
            </w:r>
            <w:r>
              <w:rPr>
                <w:spacing w:val="2"/>
                <w:w w:val="125"/>
                <w:sz w:val="17"/>
              </w:rPr>
              <w:t>support </w:t>
            </w:r>
            <w:r>
              <w:rPr>
                <w:w w:val="125"/>
                <w:sz w:val="17"/>
              </w:rPr>
              <w:t>and how to critique</w:t>
            </w:r>
            <w:r>
              <w:rPr>
                <w:spacing w:val="-15"/>
                <w:w w:val="125"/>
                <w:sz w:val="17"/>
              </w:rPr>
              <w:t> </w:t>
            </w:r>
            <w:r>
              <w:rPr>
                <w:w w:val="125"/>
                <w:sz w:val="17"/>
              </w:rPr>
              <w:t>society</w:t>
            </w:r>
          </w:p>
          <w:p>
            <w:pPr>
              <w:pStyle w:val="TableParagraph"/>
              <w:numPr>
                <w:ilvl w:val="0"/>
                <w:numId w:val="92"/>
              </w:numPr>
              <w:tabs>
                <w:tab w:pos="448" w:val="left" w:leader="none"/>
                <w:tab w:pos="449" w:val="left" w:leader="none"/>
              </w:tabs>
              <w:spacing w:line="200" w:lineRule="exact" w:before="0" w:after="0"/>
              <w:ind w:left="448" w:right="0" w:hanging="341"/>
              <w:jc w:val="left"/>
              <w:rPr>
                <w:sz w:val="17"/>
              </w:rPr>
            </w:pPr>
            <w:r>
              <w:rPr>
                <w:w w:val="120"/>
                <w:sz w:val="17"/>
              </w:rPr>
              <w:t>how power</w:t>
            </w:r>
            <w:r>
              <w:rPr>
                <w:spacing w:val="6"/>
                <w:w w:val="120"/>
                <w:sz w:val="17"/>
              </w:rPr>
              <w:t> </w:t>
            </w:r>
            <w:r>
              <w:rPr>
                <w:spacing w:val="2"/>
                <w:w w:val="120"/>
                <w:sz w:val="17"/>
              </w:rPr>
              <w:t>works</w:t>
            </w:r>
          </w:p>
          <w:p>
            <w:pPr>
              <w:pStyle w:val="TableParagraph"/>
              <w:numPr>
                <w:ilvl w:val="0"/>
                <w:numId w:val="92"/>
              </w:numPr>
              <w:tabs>
                <w:tab w:pos="448" w:val="left" w:leader="none"/>
                <w:tab w:pos="449" w:val="left" w:leader="none"/>
              </w:tabs>
              <w:spacing w:line="128" w:lineRule="exact" w:before="0" w:after="0"/>
              <w:ind w:left="448" w:right="0" w:hanging="341"/>
              <w:jc w:val="left"/>
              <w:rPr>
                <w:sz w:val="17"/>
              </w:rPr>
            </w:pPr>
            <w:r>
              <w:rPr>
                <w:w w:val="120"/>
                <w:sz w:val="17"/>
              </w:rPr>
              <w:t>human life at the centre and at the margins</w:t>
            </w:r>
          </w:p>
        </w:tc>
        <w:tc>
          <w:tcPr>
            <w:tcW w:w="3492" w:type="dxa"/>
            <w:tcBorders>
              <w:top w:val="single" w:sz="6" w:space="0" w:color="000000"/>
              <w:left w:val="dashed" w:sz="4" w:space="0" w:color="000000"/>
              <w:bottom w:val="nil"/>
              <w:right w:val="nil"/>
            </w:tcBorders>
          </w:tcPr>
          <w:p>
            <w:pPr>
              <w:pStyle w:val="TableParagraph"/>
              <w:numPr>
                <w:ilvl w:val="0"/>
                <w:numId w:val="93"/>
              </w:numPr>
              <w:tabs>
                <w:tab w:pos="448" w:val="left" w:leader="none"/>
                <w:tab w:pos="449" w:val="left" w:leader="none"/>
              </w:tabs>
              <w:spacing w:line="210" w:lineRule="exact" w:before="29" w:after="0"/>
              <w:ind w:left="448" w:right="0" w:hanging="341"/>
              <w:jc w:val="left"/>
              <w:rPr>
                <w:sz w:val="17"/>
              </w:rPr>
            </w:pPr>
            <w:r>
              <w:rPr>
                <w:w w:val="125"/>
                <w:sz w:val="17"/>
              </w:rPr>
              <w:t>engaging with public</w:t>
            </w:r>
            <w:r>
              <w:rPr>
                <w:spacing w:val="13"/>
                <w:w w:val="125"/>
                <w:sz w:val="17"/>
              </w:rPr>
              <w:t> </w:t>
            </w:r>
            <w:r>
              <w:rPr>
                <w:w w:val="125"/>
                <w:sz w:val="17"/>
              </w:rPr>
              <w:t>bodies</w:t>
            </w:r>
          </w:p>
          <w:p>
            <w:pPr>
              <w:pStyle w:val="TableParagraph"/>
              <w:numPr>
                <w:ilvl w:val="0"/>
                <w:numId w:val="93"/>
              </w:numPr>
              <w:tabs>
                <w:tab w:pos="448" w:val="left" w:leader="none"/>
                <w:tab w:pos="449" w:val="left" w:leader="none"/>
              </w:tabs>
              <w:spacing w:line="228" w:lineRule="auto" w:before="0" w:after="0"/>
              <w:ind w:left="448" w:right="148" w:hanging="341"/>
              <w:jc w:val="left"/>
              <w:rPr>
                <w:sz w:val="17"/>
              </w:rPr>
            </w:pPr>
            <w:r>
              <w:rPr>
                <w:w w:val="120"/>
                <w:sz w:val="17"/>
              </w:rPr>
              <w:t>taking </w:t>
            </w:r>
            <w:r>
              <w:rPr>
                <w:spacing w:val="2"/>
                <w:w w:val="120"/>
                <w:sz w:val="17"/>
              </w:rPr>
              <w:t>part </w:t>
            </w:r>
            <w:r>
              <w:rPr>
                <w:w w:val="120"/>
                <w:sz w:val="17"/>
              </w:rPr>
              <w:t>in the life of the wider world</w:t>
            </w:r>
          </w:p>
        </w:tc>
      </w:tr>
    </w:tbl>
    <w:p>
      <w:pPr>
        <w:spacing w:after="0" w:line="228" w:lineRule="auto"/>
        <w:jc w:val="left"/>
        <w:rPr>
          <w:sz w:val="17"/>
        </w:rPr>
        <w:sectPr>
          <w:headerReference w:type="even" r:id="rId252"/>
          <w:footerReference w:type="even" r:id="rId253"/>
          <w:pgSz w:w="16840" w:h="11910" w:orient="landscape"/>
          <w:pgMar w:header="0" w:footer="0" w:top="0" w:bottom="280" w:left="860" w:right="280"/>
        </w:sectPr>
      </w:pPr>
    </w:p>
    <w:p>
      <w:pPr>
        <w:spacing w:before="83"/>
        <w:ind w:left="381" w:right="0" w:firstLine="0"/>
        <w:jc w:val="left"/>
        <w:rPr>
          <w:rFonts w:ascii="Stone Sans II ITC Std Bk"/>
          <w:b/>
          <w:sz w:val="16"/>
        </w:rPr>
      </w:pPr>
      <w:r>
        <w:rPr/>
        <w:drawing>
          <wp:anchor distT="0" distB="0" distL="0" distR="0" allowOverlap="1" layoutInCell="1" locked="0" behindDoc="1" simplePos="0" relativeHeight="235410432">
            <wp:simplePos x="0" y="0"/>
            <wp:positionH relativeFrom="page">
              <wp:posOffset>0</wp:posOffset>
            </wp:positionH>
            <wp:positionV relativeFrom="page">
              <wp:posOffset>0</wp:posOffset>
            </wp:positionV>
            <wp:extent cx="10692003" cy="594067"/>
            <wp:effectExtent l="0" t="0" r="0" b="0"/>
            <wp:wrapNone/>
            <wp:docPr id="145" name="image68.png"/>
            <wp:cNvGraphicFramePr>
              <a:graphicFrameLocks noChangeAspect="1"/>
            </wp:cNvGraphicFramePr>
            <a:graphic>
              <a:graphicData uri="http://schemas.openxmlformats.org/drawingml/2006/picture">
                <pic:pic>
                  <pic:nvPicPr>
                    <pic:cNvPr id="146" name="image68.png"/>
                    <pic:cNvPicPr/>
                  </pic:nvPicPr>
                  <pic:blipFill>
                    <a:blip r:embed="rId254" cstate="print"/>
                    <a:stretch>
                      <a:fillRect/>
                    </a:stretch>
                  </pic:blipFill>
                  <pic:spPr>
                    <a:xfrm>
                      <a:off x="0" y="0"/>
                      <a:ext cx="10692003" cy="594067"/>
                    </a:xfrm>
                    <a:prstGeom prst="rect">
                      <a:avLst/>
                    </a:prstGeom>
                  </pic:spPr>
                </pic:pic>
              </a:graphicData>
            </a:graphic>
          </wp:anchor>
        </w:drawing>
      </w:r>
      <w:r>
        <w:rPr/>
        <w:pict>
          <v:group style="position:absolute;margin-left:56.692902pt;margin-top:1.673001pt;width:764.75pt;height:51.65pt;mso-position-horizontal-relative:page;mso-position-vertical-relative:paragraph;z-index:-267905024" coordorigin="1134,33" coordsize="15295,1033">
            <v:line style="position:absolute" from="3415,43" to="3425,43" stroked="true" strokeweight=".962pt" strokecolor="#000000">
              <v:stroke dashstyle="solid"/>
            </v:line>
            <v:line style="position:absolute" from="1134,58" to="3420,58" stroked="true" strokeweight=".5pt" strokecolor="#000000">
              <v:stroke dashstyle="solid"/>
            </v:line>
            <v:line style="position:absolute" from="8414,43" to="8424,43" stroked="true" strokeweight=".962pt" strokecolor="#000000">
              <v:stroke dashstyle="solid"/>
            </v:line>
            <v:line style="position:absolute" from="3420,58" to="8419,58" stroked="true" strokeweight=".5pt" strokecolor="#000000">
              <v:stroke dashstyle="solid"/>
            </v:line>
            <v:line style="position:absolute" from="12930,43" to="12940,43" stroked="true" strokeweight=".962pt" strokecolor="#000000">
              <v:stroke dashstyle="solid"/>
            </v:line>
            <v:line style="position:absolute" from="8419,58" to="12935,58" stroked="true" strokeweight=".5pt" strokecolor="#000000">
              <v:stroke dashstyle="solid"/>
            </v:line>
            <v:line style="position:absolute" from="12935,58" to="16428,58" stroked="true" strokeweight=".5pt" strokecolor="#000000">
              <v:stroke dashstyle="solid"/>
            </v:line>
            <v:line style="position:absolute" from="3420,1008" to="3420,101" stroked="true" strokeweight=".5pt" strokecolor="#000000">
              <v:stroke dashstyle="shortdot"/>
            </v:line>
            <v:shape style="position:absolute;left:3414;top:72;width:10;height:984" coordorigin="3415,72" coordsize="10,984" path="m3415,1056l3425,1056m3415,72l3425,72e" filled="false" stroked="true" strokeweight=".964pt" strokecolor="#000000">
              <v:path arrowok="t"/>
              <v:stroke dashstyle="solid"/>
            </v:shape>
            <v:line style="position:absolute" from="8419,1008" to="8419,101" stroked="true" strokeweight=".5pt" strokecolor="#000000">
              <v:stroke dashstyle="shortdot"/>
            </v:line>
            <v:shape style="position:absolute;left:8413;top:72;width:10;height:984" coordorigin="8414,72" coordsize="10,984" path="m8414,1056l8424,1056m8414,72l8424,72e" filled="false" stroked="true" strokeweight=".964pt" strokecolor="#000000">
              <v:path arrowok="t"/>
              <v:stroke dashstyle="solid"/>
            </v:shape>
            <v:line style="position:absolute" from="12935,1008" to="12935,101" stroked="true" strokeweight=".5pt" strokecolor="#000000">
              <v:stroke dashstyle="shortdot"/>
            </v:line>
            <v:shape style="position:absolute;left:12930;top:72;width:10;height:984" coordorigin="12930,72" coordsize="10,984" path="m12930,1056l12940,1056m12930,72l12940,72e" filled="false" stroked="true" strokeweight=".964pt" strokecolor="#000000">
              <v:path arrowok="t"/>
              <v:stroke dashstyle="solid"/>
            </v:shape>
            <w10:wrap type="none"/>
          </v:group>
        </w:pict>
      </w:r>
      <w:r>
        <w:rPr/>
        <w:pict>
          <v:shape style="position:absolute;margin-left:25.93306pt;margin-top:61.362202pt;width:17.45pt;height:311.3pt;mso-position-horizontal-relative:page;mso-position-vertical-relative:page;z-index:251866112" type="#_x0000_t202" filled="false" stroked="false">
            <v:textbox inset="0,0,0,0" style="layout-flow:vertical">
              <w:txbxContent>
                <w:p>
                  <w:pPr>
                    <w:spacing w:before="16"/>
                    <w:ind w:left="20" w:right="0" w:firstLine="0"/>
                    <w:jc w:val="left"/>
                    <w:rPr>
                      <w:sz w:val="23"/>
                    </w:rPr>
                  </w:pPr>
                  <w:r>
                    <w:rPr>
                      <w:rFonts w:ascii="Stone Sans II ITC Std X Bd" w:hAnsi="Stone Sans II ITC Std X Bd"/>
                      <w:b/>
                      <w:w w:val="110"/>
                      <w:sz w:val="24"/>
                    </w:rPr>
                    <w:t>80 </w:t>
                  </w:r>
                  <w:r>
                    <w:rPr>
                      <w:rFonts w:ascii="Symbol" w:hAnsi="Symbol"/>
                      <w:color w:val="7EAABF"/>
                      <w:w w:val="110"/>
                      <w:sz w:val="23"/>
                    </w:rPr>
                    <w:t></w:t>
                  </w:r>
                  <w:r>
                    <w:rPr>
                      <w:rFonts w:ascii="Times New Roman" w:hAnsi="Times New Roman"/>
                      <w:color w:val="7EAABF"/>
                      <w:w w:val="110"/>
                      <w:sz w:val="23"/>
                    </w:rPr>
                    <w:t> </w:t>
                  </w:r>
                  <w:r>
                    <w:rPr>
                      <w:color w:val="7EAABF"/>
                      <w:w w:val="110"/>
                      <w:sz w:val="23"/>
                    </w:rPr>
                    <w:t>United Reformed Church </w:t>
                  </w:r>
                  <w:r>
                    <w:rPr>
                      <w:rFonts w:ascii="Symbol" w:hAnsi="Symbol"/>
                      <w:color w:val="7EAABF"/>
                      <w:w w:val="110"/>
                      <w:sz w:val="23"/>
                    </w:rPr>
                    <w:t></w:t>
                  </w:r>
                  <w:r>
                    <w:rPr>
                      <w:rFonts w:ascii="Times New Roman" w:hAnsi="Times New Roman"/>
                      <w:color w:val="7EAABF"/>
                      <w:w w:val="110"/>
                      <w:sz w:val="23"/>
                    </w:rPr>
                    <w:t> </w:t>
                  </w:r>
                  <w:r>
                    <w:rPr>
                      <w:color w:val="7EAABF"/>
                      <w:w w:val="110"/>
                      <w:sz w:val="23"/>
                    </w:rPr>
                    <w:t>General Assembly 2016</w:t>
                  </w:r>
                </w:p>
              </w:txbxContent>
            </v:textbox>
            <w10:wrap type="none"/>
          </v:shape>
        </w:pict>
      </w:r>
      <w:r>
        <w:rPr>
          <w:rFonts w:ascii="Stone Sans II ITC Std Bk"/>
          <w:b/>
          <w:w w:val="115"/>
          <w:sz w:val="16"/>
        </w:rPr>
        <w:t>A communicator</w:t>
      </w:r>
    </w:p>
    <w:p>
      <w:pPr>
        <w:pStyle w:val="ListParagraph"/>
        <w:numPr>
          <w:ilvl w:val="0"/>
          <w:numId w:val="94"/>
        </w:numPr>
        <w:tabs>
          <w:tab w:pos="721" w:val="left" w:leader="none"/>
          <w:tab w:pos="723" w:val="left" w:leader="none"/>
        </w:tabs>
        <w:spacing w:line="210" w:lineRule="exact" w:before="95" w:after="0"/>
        <w:ind w:left="722" w:right="0" w:hanging="342"/>
        <w:jc w:val="left"/>
        <w:rPr>
          <w:sz w:val="17"/>
        </w:rPr>
      </w:pPr>
      <w:r>
        <w:rPr>
          <w:w w:val="115"/>
          <w:sz w:val="17"/>
        </w:rPr>
        <w:br w:type="column"/>
      </w:r>
      <w:r>
        <w:rPr>
          <w:w w:val="120"/>
          <w:sz w:val="17"/>
        </w:rPr>
        <w:t>a life open to others and interested in</w:t>
      </w:r>
      <w:r>
        <w:rPr>
          <w:spacing w:val="9"/>
          <w:w w:val="120"/>
          <w:sz w:val="17"/>
        </w:rPr>
        <w:t> </w:t>
      </w:r>
      <w:r>
        <w:rPr>
          <w:w w:val="120"/>
          <w:sz w:val="17"/>
        </w:rPr>
        <w:t>them</w:t>
      </w:r>
    </w:p>
    <w:p>
      <w:pPr>
        <w:pStyle w:val="ListParagraph"/>
        <w:numPr>
          <w:ilvl w:val="0"/>
          <w:numId w:val="94"/>
        </w:numPr>
        <w:tabs>
          <w:tab w:pos="721" w:val="left" w:leader="none"/>
          <w:tab w:pos="723" w:val="left" w:leader="none"/>
        </w:tabs>
        <w:spacing w:line="200" w:lineRule="exact" w:before="0" w:after="0"/>
        <w:ind w:left="722" w:right="0" w:hanging="342"/>
        <w:jc w:val="left"/>
        <w:rPr>
          <w:sz w:val="17"/>
        </w:rPr>
      </w:pPr>
      <w:r>
        <w:rPr>
          <w:w w:val="120"/>
          <w:sz w:val="17"/>
        </w:rPr>
        <w:t>with</w:t>
      </w:r>
      <w:r>
        <w:rPr>
          <w:spacing w:val="12"/>
          <w:w w:val="120"/>
          <w:sz w:val="17"/>
        </w:rPr>
        <w:t> </w:t>
      </w:r>
      <w:r>
        <w:rPr>
          <w:w w:val="120"/>
          <w:sz w:val="17"/>
        </w:rPr>
        <w:t>a</w:t>
      </w:r>
      <w:r>
        <w:rPr>
          <w:spacing w:val="12"/>
          <w:w w:val="120"/>
          <w:sz w:val="17"/>
        </w:rPr>
        <w:t> </w:t>
      </w:r>
      <w:r>
        <w:rPr>
          <w:w w:val="120"/>
          <w:sz w:val="17"/>
        </w:rPr>
        <w:t>passion</w:t>
      </w:r>
      <w:r>
        <w:rPr>
          <w:spacing w:val="12"/>
          <w:w w:val="120"/>
          <w:sz w:val="17"/>
        </w:rPr>
        <w:t> </w:t>
      </w:r>
      <w:r>
        <w:rPr>
          <w:w w:val="120"/>
          <w:sz w:val="17"/>
        </w:rPr>
        <w:t>for</w:t>
      </w:r>
      <w:r>
        <w:rPr>
          <w:spacing w:val="13"/>
          <w:w w:val="120"/>
          <w:sz w:val="17"/>
        </w:rPr>
        <w:t> </w:t>
      </w:r>
      <w:r>
        <w:rPr>
          <w:w w:val="120"/>
          <w:sz w:val="17"/>
        </w:rPr>
        <w:t>deep</w:t>
      </w:r>
      <w:r>
        <w:rPr>
          <w:spacing w:val="12"/>
          <w:w w:val="120"/>
          <w:sz w:val="17"/>
        </w:rPr>
        <w:t> </w:t>
      </w:r>
      <w:r>
        <w:rPr>
          <w:w w:val="120"/>
          <w:sz w:val="17"/>
        </w:rPr>
        <w:t>encounter</w:t>
      </w:r>
      <w:r>
        <w:rPr>
          <w:spacing w:val="12"/>
          <w:w w:val="120"/>
          <w:sz w:val="17"/>
        </w:rPr>
        <w:t> </w:t>
      </w:r>
      <w:r>
        <w:rPr>
          <w:w w:val="120"/>
          <w:sz w:val="17"/>
        </w:rPr>
        <w:t>with</w:t>
      </w:r>
      <w:r>
        <w:rPr>
          <w:spacing w:val="13"/>
          <w:w w:val="120"/>
          <w:sz w:val="17"/>
        </w:rPr>
        <w:t> </w:t>
      </w:r>
      <w:r>
        <w:rPr>
          <w:w w:val="120"/>
          <w:sz w:val="17"/>
        </w:rPr>
        <w:t>others</w:t>
      </w:r>
    </w:p>
    <w:p>
      <w:pPr>
        <w:pStyle w:val="ListParagraph"/>
        <w:numPr>
          <w:ilvl w:val="0"/>
          <w:numId w:val="94"/>
        </w:numPr>
        <w:tabs>
          <w:tab w:pos="721" w:val="left" w:leader="none"/>
          <w:tab w:pos="723" w:val="left" w:leader="none"/>
        </w:tabs>
        <w:spacing w:line="210" w:lineRule="exact" w:before="0" w:after="0"/>
        <w:ind w:left="722" w:right="0" w:hanging="342"/>
        <w:jc w:val="left"/>
        <w:rPr>
          <w:sz w:val="17"/>
        </w:rPr>
      </w:pPr>
      <w:r>
        <w:rPr>
          <w:w w:val="125"/>
          <w:sz w:val="17"/>
        </w:rPr>
        <w:t>with creativity and</w:t>
      </w:r>
      <w:r>
        <w:rPr>
          <w:spacing w:val="-1"/>
          <w:w w:val="125"/>
          <w:sz w:val="17"/>
        </w:rPr>
        <w:t> </w:t>
      </w:r>
      <w:r>
        <w:rPr>
          <w:w w:val="125"/>
          <w:sz w:val="17"/>
        </w:rPr>
        <w:t>imagination</w:t>
      </w:r>
    </w:p>
    <w:p>
      <w:pPr>
        <w:pStyle w:val="ListParagraph"/>
        <w:numPr>
          <w:ilvl w:val="0"/>
          <w:numId w:val="94"/>
        </w:numPr>
        <w:tabs>
          <w:tab w:pos="721" w:val="left" w:leader="none"/>
          <w:tab w:pos="723" w:val="left" w:leader="none"/>
        </w:tabs>
        <w:spacing w:line="210" w:lineRule="exact" w:before="95" w:after="0"/>
        <w:ind w:left="722" w:right="0" w:hanging="342"/>
        <w:jc w:val="left"/>
        <w:rPr>
          <w:sz w:val="17"/>
        </w:rPr>
      </w:pPr>
      <w:r>
        <w:rPr>
          <w:w w:val="124"/>
          <w:sz w:val="17"/>
        </w:rPr>
        <w:br w:type="column"/>
      </w:r>
      <w:r>
        <w:rPr>
          <w:w w:val="120"/>
          <w:sz w:val="17"/>
        </w:rPr>
        <w:t>interpersonal </w:t>
      </w:r>
      <w:r>
        <w:rPr>
          <w:spacing w:val="27"/>
          <w:w w:val="120"/>
          <w:sz w:val="17"/>
        </w:rPr>
        <w:t> </w:t>
      </w:r>
      <w:r>
        <w:rPr>
          <w:w w:val="120"/>
          <w:sz w:val="17"/>
        </w:rPr>
        <w:t>communication</w:t>
      </w:r>
    </w:p>
    <w:p>
      <w:pPr>
        <w:pStyle w:val="ListParagraph"/>
        <w:numPr>
          <w:ilvl w:val="0"/>
          <w:numId w:val="94"/>
        </w:numPr>
        <w:tabs>
          <w:tab w:pos="721" w:val="left" w:leader="none"/>
          <w:tab w:pos="723" w:val="left" w:leader="none"/>
        </w:tabs>
        <w:spacing w:line="210" w:lineRule="exact" w:before="0" w:after="0"/>
        <w:ind w:left="722" w:right="0" w:hanging="342"/>
        <w:jc w:val="left"/>
        <w:rPr>
          <w:sz w:val="17"/>
        </w:rPr>
      </w:pPr>
      <w:r>
        <w:rPr>
          <w:w w:val="120"/>
          <w:sz w:val="17"/>
        </w:rPr>
        <w:t>oral  and  written</w:t>
      </w:r>
      <w:r>
        <w:rPr>
          <w:spacing w:val="-4"/>
          <w:w w:val="120"/>
          <w:sz w:val="17"/>
        </w:rPr>
        <w:t> </w:t>
      </w:r>
      <w:r>
        <w:rPr>
          <w:w w:val="120"/>
          <w:sz w:val="17"/>
        </w:rPr>
        <w:t>communication</w:t>
      </w:r>
    </w:p>
    <w:p>
      <w:pPr>
        <w:pStyle w:val="ListParagraph"/>
        <w:numPr>
          <w:ilvl w:val="0"/>
          <w:numId w:val="94"/>
        </w:numPr>
        <w:tabs>
          <w:tab w:pos="721" w:val="left" w:leader="none"/>
          <w:tab w:pos="723" w:val="left" w:leader="none"/>
        </w:tabs>
        <w:spacing w:line="210" w:lineRule="exact" w:before="95" w:after="0"/>
        <w:ind w:left="722" w:right="0" w:hanging="342"/>
        <w:jc w:val="left"/>
        <w:rPr>
          <w:sz w:val="17"/>
        </w:rPr>
      </w:pPr>
      <w:r>
        <w:rPr>
          <w:spacing w:val="2"/>
          <w:w w:val="124"/>
          <w:sz w:val="17"/>
        </w:rPr>
        <w:br w:type="column"/>
      </w:r>
      <w:r>
        <w:rPr>
          <w:w w:val="125"/>
          <w:sz w:val="17"/>
        </w:rPr>
        <w:t>preaching and</w:t>
      </w:r>
      <w:r>
        <w:rPr>
          <w:spacing w:val="2"/>
          <w:w w:val="125"/>
          <w:sz w:val="17"/>
        </w:rPr>
        <w:t> </w:t>
      </w:r>
      <w:r>
        <w:rPr>
          <w:w w:val="125"/>
          <w:sz w:val="17"/>
        </w:rPr>
        <w:t>speaking</w:t>
      </w:r>
    </w:p>
    <w:p>
      <w:pPr>
        <w:pStyle w:val="ListParagraph"/>
        <w:numPr>
          <w:ilvl w:val="0"/>
          <w:numId w:val="94"/>
        </w:numPr>
        <w:tabs>
          <w:tab w:pos="721" w:val="left" w:leader="none"/>
          <w:tab w:pos="723" w:val="left" w:leader="none"/>
        </w:tabs>
        <w:spacing w:line="228" w:lineRule="auto" w:before="0" w:after="0"/>
        <w:ind w:left="722" w:right="465" w:hanging="341"/>
        <w:jc w:val="left"/>
        <w:rPr>
          <w:sz w:val="17"/>
        </w:rPr>
      </w:pPr>
      <w:r>
        <w:rPr>
          <w:w w:val="120"/>
          <w:sz w:val="17"/>
        </w:rPr>
        <w:t>presentation of text, image and sound</w:t>
      </w:r>
    </w:p>
    <w:p>
      <w:pPr>
        <w:pStyle w:val="ListParagraph"/>
        <w:numPr>
          <w:ilvl w:val="0"/>
          <w:numId w:val="94"/>
        </w:numPr>
        <w:tabs>
          <w:tab w:pos="721" w:val="left" w:leader="none"/>
          <w:tab w:pos="723" w:val="left" w:leader="none"/>
        </w:tabs>
        <w:spacing w:line="205" w:lineRule="exact" w:before="0" w:after="0"/>
        <w:ind w:left="722" w:right="0" w:hanging="342"/>
        <w:jc w:val="left"/>
        <w:rPr>
          <w:sz w:val="17"/>
        </w:rPr>
      </w:pPr>
      <w:r>
        <w:rPr>
          <w:w w:val="125"/>
          <w:sz w:val="17"/>
        </w:rPr>
        <w:t>information technology</w:t>
      </w:r>
    </w:p>
    <w:p>
      <w:pPr>
        <w:spacing w:after="0" w:line="205" w:lineRule="exact"/>
        <w:jc w:val="left"/>
        <w:rPr>
          <w:sz w:val="17"/>
        </w:rPr>
        <w:sectPr>
          <w:type w:val="continuous"/>
          <w:pgSz w:w="16840" w:h="11910" w:orient="landscape"/>
          <w:pgMar w:top="1580" w:bottom="280" w:left="860" w:right="280"/>
          <w:cols w:num="4" w:equalWidth="0">
            <w:col w:w="1891" w:space="395"/>
            <w:col w:w="4716" w:space="283"/>
            <w:col w:w="3542" w:space="975"/>
            <w:col w:w="3898"/>
          </w:cols>
        </w:sectPr>
      </w:pPr>
    </w:p>
    <w:p>
      <w:pPr>
        <w:pStyle w:val="BodyText"/>
      </w:pPr>
    </w:p>
    <w:p>
      <w:pPr>
        <w:pStyle w:val="BodyText"/>
      </w:pPr>
    </w:p>
    <w:p>
      <w:pPr>
        <w:pStyle w:val="BodyText"/>
        <w:spacing w:before="10"/>
        <w:rPr>
          <w:sz w:val="17"/>
        </w:rPr>
      </w:pPr>
    </w:p>
    <w:p>
      <w:pPr>
        <w:pStyle w:val="Heading2"/>
        <w:spacing w:before="95"/>
        <w:ind w:left="273"/>
      </w:pPr>
      <w:r>
        <w:rPr/>
        <w:pict>
          <v:group style="position:absolute;margin-left:170.742905pt;margin-top:21.437103pt;width:.5pt;height:8.8pt;mso-position-horizontal-relative:page;mso-position-vertical-relative:paragraph;z-index:-267900928" coordorigin="3415,429" coordsize="10,176">
            <v:line style="position:absolute" from="3420,605" to="3420,468" stroked="true" strokeweight=".5pt" strokecolor="#000000">
              <v:stroke dashstyle="shortdot"/>
            </v:line>
            <v:line style="position:absolute" from="3415,439" to="3425,439" stroked="true" strokeweight=".977pt" strokecolor="#000000">
              <v:stroke dashstyle="solid"/>
            </v:line>
            <w10:wrap type="none"/>
          </v:group>
        </w:pict>
      </w:r>
      <w:r>
        <w:rPr/>
        <w:pict>
          <v:group style="position:absolute;margin-left:407.938995pt;margin-top:21.437103pt;width:.5pt;height:8.8pt;mso-position-horizontal-relative:page;mso-position-vertical-relative:paragraph;z-index:-267899904" coordorigin="8159,429" coordsize="10,176">
            <v:line style="position:absolute" from="8164,605" to="8164,468" stroked="true" strokeweight=".5pt" strokecolor="#000000">
              <v:stroke dashstyle="shortdot"/>
            </v:line>
            <v:line style="position:absolute" from="8159,439" to="8169,439" stroked="true" strokeweight=".977pt" strokecolor="#000000">
              <v:stroke dashstyle="solid"/>
            </v:line>
            <w10:wrap type="none"/>
          </v:group>
        </w:pict>
      </w:r>
      <w:r>
        <w:rPr/>
        <w:pict>
          <v:group style="position:absolute;margin-left:640.66333pt;margin-top:21.437103pt;width:.5pt;height:8.8pt;mso-position-horizontal-relative:page;mso-position-vertical-relative:paragraph;z-index:-267898880" coordorigin="12813,429" coordsize="10,176">
            <v:line style="position:absolute" from="12818,605" to="12818,468" stroked="true" strokeweight=".5pt" strokecolor="#000000">
              <v:stroke dashstyle="shortdot"/>
            </v:line>
            <v:line style="position:absolute" from="12813,439" to="12823,439" stroked="true" strokeweight=".977pt" strokecolor="#000000">
              <v:stroke dashstyle="solid"/>
            </v:line>
            <w10:wrap type="none"/>
          </v:group>
        </w:pict>
      </w:r>
      <w:r>
        <w:rPr>
          <w:w w:val="110"/>
        </w:rPr>
        <w:t>A church </w:t>
      </w:r>
      <w:r>
        <w:rPr>
          <w:spacing w:val="-3"/>
          <w:w w:val="110"/>
        </w:rPr>
        <w:t>related </w:t>
      </w:r>
      <w:r>
        <w:rPr>
          <w:w w:val="110"/>
        </w:rPr>
        <w:t>community work </w:t>
      </w:r>
      <w:r>
        <w:rPr>
          <w:spacing w:val="-3"/>
          <w:w w:val="110"/>
        </w:rPr>
        <w:t>minister </w:t>
      </w:r>
      <w:r>
        <w:rPr>
          <w:spacing w:val="-2"/>
          <w:w w:val="110"/>
        </w:rPr>
        <w:t>(CRCW) </w:t>
      </w:r>
      <w:r>
        <w:rPr>
          <w:w w:val="110"/>
        </w:rPr>
        <w:t>in the United Reformed </w:t>
      </w:r>
      <w:r>
        <w:rPr>
          <w:spacing w:val="-2"/>
          <w:w w:val="110"/>
        </w:rPr>
        <w:t>Church </w:t>
      </w:r>
      <w:r>
        <w:rPr>
          <w:w w:val="110"/>
        </w:rPr>
        <w:t>is a</w:t>
      </w:r>
      <w:r>
        <w:rPr>
          <w:spacing w:val="59"/>
          <w:w w:val="110"/>
        </w:rPr>
        <w:t> </w:t>
      </w:r>
      <w:r>
        <w:rPr>
          <w:w w:val="110"/>
        </w:rPr>
        <w:t>person:</w:t>
      </w:r>
    </w:p>
    <w:p>
      <w:pPr>
        <w:tabs>
          <w:tab w:pos="2667" w:val="left" w:leader="none"/>
          <w:tab w:pos="7411" w:val="left" w:leader="none"/>
          <w:tab w:pos="12066" w:val="left" w:leader="none"/>
        </w:tabs>
        <w:spacing w:before="16"/>
        <w:ind w:left="381" w:right="0" w:firstLine="0"/>
        <w:jc w:val="left"/>
        <w:rPr>
          <w:rFonts w:ascii="Stone Sans II ITC Std Bk"/>
          <w:b/>
          <w:sz w:val="16"/>
        </w:rPr>
      </w:pPr>
      <w:r>
        <w:rPr>
          <w:rFonts w:ascii="Stone Sans II ITC Std Bk"/>
          <w:b/>
          <w:w w:val="115"/>
          <w:sz w:val="16"/>
        </w:rPr>
        <w:t>who</w:t>
      </w:r>
      <w:r>
        <w:rPr>
          <w:rFonts w:ascii="Stone Sans II ITC Std Bk"/>
          <w:b/>
          <w:spacing w:val="-4"/>
          <w:w w:val="115"/>
          <w:sz w:val="16"/>
        </w:rPr>
        <w:t> </w:t>
      </w:r>
      <w:r>
        <w:rPr>
          <w:rFonts w:ascii="Stone Sans II ITC Std Bk"/>
          <w:b/>
          <w:w w:val="115"/>
          <w:sz w:val="16"/>
        </w:rPr>
        <w:t>is:</w:t>
        <w:tab/>
        <w:t>who</w:t>
      </w:r>
      <w:r>
        <w:rPr>
          <w:rFonts w:ascii="Stone Sans II ITC Std Bk"/>
          <w:b/>
          <w:spacing w:val="-5"/>
          <w:w w:val="115"/>
          <w:sz w:val="16"/>
        </w:rPr>
        <w:t> </w:t>
      </w:r>
      <w:r>
        <w:rPr>
          <w:rFonts w:ascii="Stone Sans II ITC Std Bk"/>
          <w:b/>
          <w:w w:val="115"/>
          <w:sz w:val="16"/>
        </w:rPr>
        <w:t>identifiably</w:t>
      </w:r>
      <w:r>
        <w:rPr>
          <w:rFonts w:ascii="Stone Sans II ITC Std Bk"/>
          <w:b/>
          <w:spacing w:val="-5"/>
          <w:w w:val="115"/>
          <w:sz w:val="16"/>
        </w:rPr>
        <w:t> </w:t>
      </w:r>
      <w:r>
        <w:rPr>
          <w:rFonts w:ascii="Stone Sans II ITC Std Bk"/>
          <w:b/>
          <w:w w:val="115"/>
          <w:sz w:val="16"/>
        </w:rPr>
        <w:t>lives:</w:t>
        <w:tab/>
        <w:t>who knows about</w:t>
      </w:r>
      <w:r>
        <w:rPr>
          <w:rFonts w:ascii="Stone Sans II ITC Std Bk"/>
          <w:b/>
          <w:spacing w:val="-18"/>
          <w:w w:val="115"/>
          <w:sz w:val="16"/>
        </w:rPr>
        <w:t> </w:t>
      </w:r>
      <w:r>
        <w:rPr>
          <w:rFonts w:ascii="Stone Sans II ITC Std Bk"/>
          <w:b/>
          <w:w w:val="115"/>
          <w:sz w:val="16"/>
        </w:rPr>
        <w:t>and</w:t>
      </w:r>
      <w:r>
        <w:rPr>
          <w:rFonts w:ascii="Stone Sans II ITC Std Bk"/>
          <w:b/>
          <w:spacing w:val="-6"/>
          <w:w w:val="115"/>
          <w:sz w:val="16"/>
        </w:rPr>
        <w:t> </w:t>
      </w:r>
      <w:r>
        <w:rPr>
          <w:rFonts w:ascii="Stone Sans II ITC Std Bk"/>
          <w:b/>
          <w:w w:val="115"/>
          <w:sz w:val="16"/>
        </w:rPr>
        <w:t>understands:</w:t>
        <w:tab/>
        <w:t>who has skills</w:t>
      </w:r>
      <w:r>
        <w:rPr>
          <w:rFonts w:ascii="Stone Sans II ITC Std Bk"/>
          <w:b/>
          <w:spacing w:val="-5"/>
          <w:w w:val="115"/>
          <w:sz w:val="16"/>
        </w:rPr>
        <w:t> </w:t>
      </w:r>
      <w:r>
        <w:rPr>
          <w:rFonts w:ascii="Stone Sans II ITC Std Bk"/>
          <w:b/>
          <w:w w:val="115"/>
          <w:sz w:val="16"/>
        </w:rPr>
        <w:t>in:</w:t>
      </w:r>
    </w:p>
    <w:tbl>
      <w:tblPr>
        <w:tblW w:w="0" w:type="auto"/>
        <w:jc w:val="left"/>
        <w:tblInd w:w="2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286"/>
        <w:gridCol w:w="4744"/>
        <w:gridCol w:w="4655"/>
        <w:gridCol w:w="3494"/>
      </w:tblGrid>
      <w:tr>
        <w:trPr>
          <w:trHeight w:val="1443" w:hRule="atLeast"/>
        </w:trPr>
        <w:tc>
          <w:tcPr>
            <w:tcW w:w="2286" w:type="dxa"/>
            <w:tcBorders>
              <w:left w:val="nil"/>
              <w:bottom w:val="nil"/>
              <w:right w:val="dashed" w:sz="4" w:space="0" w:color="000000"/>
            </w:tcBorders>
          </w:tcPr>
          <w:p>
            <w:pPr>
              <w:pStyle w:val="TableParagraph"/>
              <w:spacing w:before="20"/>
              <w:ind w:left="112"/>
              <w:rPr>
                <w:rFonts w:ascii="Stone Sans II ITC Std Bk"/>
                <w:b/>
                <w:sz w:val="16"/>
              </w:rPr>
            </w:pPr>
            <w:r>
              <w:rPr>
                <w:rFonts w:ascii="Stone Sans II ITC Std Bk"/>
                <w:b/>
                <w:w w:val="115"/>
                <w:sz w:val="16"/>
              </w:rPr>
              <w:t>A faithful disciple</w:t>
            </w:r>
          </w:p>
        </w:tc>
        <w:tc>
          <w:tcPr>
            <w:tcW w:w="4744" w:type="dxa"/>
            <w:tcBorders>
              <w:left w:val="dashed" w:sz="4" w:space="0" w:color="000000"/>
              <w:bottom w:val="nil"/>
              <w:right w:val="dashed" w:sz="4" w:space="0" w:color="000000"/>
            </w:tcBorders>
          </w:tcPr>
          <w:p>
            <w:pPr>
              <w:pStyle w:val="TableParagraph"/>
              <w:numPr>
                <w:ilvl w:val="0"/>
                <w:numId w:val="95"/>
              </w:numPr>
              <w:tabs>
                <w:tab w:pos="448" w:val="left" w:leader="none"/>
                <w:tab w:pos="449" w:val="left" w:leader="none"/>
              </w:tabs>
              <w:spacing w:line="210" w:lineRule="exact" w:before="31" w:after="0"/>
              <w:ind w:left="448" w:right="0" w:hanging="342"/>
              <w:jc w:val="left"/>
              <w:rPr>
                <w:sz w:val="17"/>
              </w:rPr>
            </w:pPr>
            <w:r>
              <w:rPr>
                <w:w w:val="120"/>
                <w:sz w:val="17"/>
              </w:rPr>
              <w:t>committed to</w:t>
            </w:r>
            <w:r>
              <w:rPr>
                <w:spacing w:val="6"/>
                <w:w w:val="120"/>
                <w:sz w:val="17"/>
              </w:rPr>
              <w:t> </w:t>
            </w:r>
            <w:r>
              <w:rPr>
                <w:w w:val="120"/>
                <w:sz w:val="17"/>
              </w:rPr>
              <w:t>Christ</w:t>
            </w:r>
          </w:p>
          <w:p>
            <w:pPr>
              <w:pStyle w:val="TableParagraph"/>
              <w:numPr>
                <w:ilvl w:val="0"/>
                <w:numId w:val="95"/>
              </w:numPr>
              <w:tabs>
                <w:tab w:pos="448" w:val="left" w:leader="none"/>
                <w:tab w:pos="449" w:val="left" w:leader="none"/>
              </w:tabs>
              <w:spacing w:line="228" w:lineRule="auto" w:before="0" w:after="0"/>
              <w:ind w:left="448" w:right="870" w:hanging="341"/>
              <w:jc w:val="left"/>
              <w:rPr>
                <w:sz w:val="17"/>
              </w:rPr>
            </w:pPr>
            <w:r>
              <w:rPr>
                <w:w w:val="125"/>
                <w:sz w:val="17"/>
              </w:rPr>
              <w:t>a</w:t>
            </w:r>
            <w:r>
              <w:rPr>
                <w:spacing w:val="-9"/>
                <w:w w:val="125"/>
                <w:sz w:val="17"/>
              </w:rPr>
              <w:t> </w:t>
            </w:r>
            <w:r>
              <w:rPr>
                <w:w w:val="125"/>
                <w:sz w:val="17"/>
              </w:rPr>
              <w:t>life</w:t>
            </w:r>
            <w:r>
              <w:rPr>
                <w:spacing w:val="-9"/>
                <w:w w:val="125"/>
                <w:sz w:val="17"/>
              </w:rPr>
              <w:t> </w:t>
            </w:r>
            <w:r>
              <w:rPr>
                <w:w w:val="125"/>
                <w:sz w:val="17"/>
              </w:rPr>
              <w:t>of</w:t>
            </w:r>
            <w:r>
              <w:rPr>
                <w:spacing w:val="-9"/>
                <w:w w:val="125"/>
                <w:sz w:val="17"/>
              </w:rPr>
              <w:t> </w:t>
            </w:r>
            <w:r>
              <w:rPr>
                <w:w w:val="125"/>
                <w:sz w:val="17"/>
              </w:rPr>
              <w:t>prayer,</w:t>
            </w:r>
            <w:r>
              <w:rPr>
                <w:spacing w:val="-8"/>
                <w:w w:val="125"/>
                <w:sz w:val="17"/>
              </w:rPr>
              <w:t> </w:t>
            </w:r>
            <w:r>
              <w:rPr>
                <w:w w:val="125"/>
                <w:sz w:val="17"/>
              </w:rPr>
              <w:t>worship</w:t>
            </w:r>
            <w:r>
              <w:rPr>
                <w:spacing w:val="-9"/>
                <w:w w:val="125"/>
                <w:sz w:val="17"/>
              </w:rPr>
              <w:t> </w:t>
            </w:r>
            <w:r>
              <w:rPr>
                <w:w w:val="125"/>
                <w:sz w:val="17"/>
              </w:rPr>
              <w:t>and</w:t>
            </w:r>
            <w:r>
              <w:rPr>
                <w:spacing w:val="-9"/>
                <w:w w:val="125"/>
                <w:sz w:val="17"/>
              </w:rPr>
              <w:t> </w:t>
            </w:r>
            <w:r>
              <w:rPr>
                <w:w w:val="125"/>
                <w:sz w:val="17"/>
              </w:rPr>
              <w:t>community engagement</w:t>
            </w:r>
          </w:p>
          <w:p>
            <w:pPr>
              <w:pStyle w:val="TableParagraph"/>
              <w:numPr>
                <w:ilvl w:val="0"/>
                <w:numId w:val="95"/>
              </w:numPr>
              <w:tabs>
                <w:tab w:pos="448" w:val="left" w:leader="none"/>
                <w:tab w:pos="449" w:val="left" w:leader="none"/>
              </w:tabs>
              <w:spacing w:line="195" w:lineRule="exact" w:before="0" w:after="0"/>
              <w:ind w:left="448" w:right="0" w:hanging="342"/>
              <w:jc w:val="left"/>
              <w:rPr>
                <w:sz w:val="17"/>
              </w:rPr>
            </w:pPr>
            <w:r>
              <w:rPr>
                <w:w w:val="125"/>
                <w:sz w:val="17"/>
              </w:rPr>
              <w:t>with integrity, discipline, joy and</w:t>
            </w:r>
            <w:r>
              <w:rPr>
                <w:spacing w:val="-8"/>
                <w:w w:val="125"/>
                <w:sz w:val="17"/>
              </w:rPr>
              <w:t> </w:t>
            </w:r>
            <w:r>
              <w:rPr>
                <w:w w:val="125"/>
                <w:sz w:val="17"/>
              </w:rPr>
              <w:t>commitment</w:t>
            </w:r>
          </w:p>
          <w:p>
            <w:pPr>
              <w:pStyle w:val="TableParagraph"/>
              <w:numPr>
                <w:ilvl w:val="0"/>
                <w:numId w:val="95"/>
              </w:numPr>
              <w:tabs>
                <w:tab w:pos="448" w:val="left" w:leader="none"/>
                <w:tab w:pos="449" w:val="left" w:leader="none"/>
              </w:tabs>
              <w:spacing w:line="228" w:lineRule="auto" w:before="0" w:after="0"/>
              <w:ind w:left="448" w:right="102" w:hanging="341"/>
              <w:jc w:val="left"/>
              <w:rPr>
                <w:sz w:val="17"/>
              </w:rPr>
            </w:pPr>
            <w:r>
              <w:rPr>
                <w:w w:val="125"/>
                <w:sz w:val="17"/>
              </w:rPr>
              <w:t>in good, flourishing and wholesome relationship with others</w:t>
            </w:r>
          </w:p>
          <w:p>
            <w:pPr>
              <w:pStyle w:val="TableParagraph"/>
              <w:numPr>
                <w:ilvl w:val="0"/>
                <w:numId w:val="95"/>
              </w:numPr>
              <w:tabs>
                <w:tab w:pos="448" w:val="left" w:leader="none"/>
                <w:tab w:pos="449" w:val="left" w:leader="none"/>
              </w:tabs>
              <w:spacing w:line="178" w:lineRule="exact" w:before="0" w:after="0"/>
              <w:ind w:left="448" w:right="0" w:hanging="342"/>
              <w:jc w:val="left"/>
              <w:rPr>
                <w:sz w:val="17"/>
              </w:rPr>
            </w:pPr>
            <w:r>
              <w:rPr>
                <w:w w:val="125"/>
                <w:sz w:val="17"/>
              </w:rPr>
              <w:t>practicing inclusivity</w:t>
            </w:r>
          </w:p>
        </w:tc>
        <w:tc>
          <w:tcPr>
            <w:tcW w:w="4655" w:type="dxa"/>
            <w:tcBorders>
              <w:left w:val="dashed" w:sz="4" w:space="0" w:color="000000"/>
              <w:bottom w:val="nil"/>
              <w:right w:val="dashed" w:sz="4" w:space="0" w:color="000000"/>
            </w:tcBorders>
          </w:tcPr>
          <w:p>
            <w:pPr>
              <w:pStyle w:val="TableParagraph"/>
              <w:numPr>
                <w:ilvl w:val="0"/>
                <w:numId w:val="96"/>
              </w:numPr>
              <w:tabs>
                <w:tab w:pos="447" w:val="left" w:leader="none"/>
                <w:tab w:pos="449" w:val="left" w:leader="none"/>
              </w:tabs>
              <w:spacing w:line="210" w:lineRule="exact" w:before="31" w:after="0"/>
              <w:ind w:left="448" w:right="0" w:hanging="342"/>
              <w:jc w:val="left"/>
              <w:rPr>
                <w:sz w:val="17"/>
              </w:rPr>
            </w:pPr>
            <w:r>
              <w:rPr>
                <w:w w:val="120"/>
                <w:sz w:val="17"/>
              </w:rPr>
              <w:t>his/her own experience of life and</w:t>
            </w:r>
            <w:r>
              <w:rPr>
                <w:spacing w:val="27"/>
                <w:w w:val="120"/>
                <w:sz w:val="17"/>
              </w:rPr>
              <w:t> </w:t>
            </w:r>
            <w:r>
              <w:rPr>
                <w:w w:val="120"/>
                <w:sz w:val="17"/>
              </w:rPr>
              <w:t>faith</w:t>
            </w:r>
          </w:p>
          <w:p>
            <w:pPr>
              <w:pStyle w:val="TableParagraph"/>
              <w:numPr>
                <w:ilvl w:val="0"/>
                <w:numId w:val="96"/>
              </w:numPr>
              <w:tabs>
                <w:tab w:pos="447" w:val="left" w:leader="none"/>
                <w:tab w:pos="449" w:val="left" w:leader="none"/>
              </w:tabs>
              <w:spacing w:line="228" w:lineRule="auto" w:before="0" w:after="0"/>
              <w:ind w:left="448" w:right="767" w:hanging="341"/>
              <w:jc w:val="left"/>
              <w:rPr>
                <w:sz w:val="17"/>
              </w:rPr>
            </w:pPr>
            <w:r>
              <w:rPr>
                <w:w w:val="125"/>
                <w:sz w:val="17"/>
              </w:rPr>
              <w:t>their</w:t>
            </w:r>
            <w:r>
              <w:rPr>
                <w:spacing w:val="-9"/>
                <w:w w:val="125"/>
                <w:sz w:val="17"/>
              </w:rPr>
              <w:t> </w:t>
            </w:r>
            <w:r>
              <w:rPr>
                <w:w w:val="125"/>
                <w:sz w:val="17"/>
              </w:rPr>
              <w:t>own,</w:t>
            </w:r>
            <w:r>
              <w:rPr>
                <w:spacing w:val="-8"/>
                <w:w w:val="125"/>
                <w:sz w:val="17"/>
              </w:rPr>
              <w:t> </w:t>
            </w:r>
            <w:r>
              <w:rPr>
                <w:w w:val="125"/>
                <w:sz w:val="17"/>
              </w:rPr>
              <w:t>and</w:t>
            </w:r>
            <w:r>
              <w:rPr>
                <w:spacing w:val="-9"/>
                <w:w w:val="125"/>
                <w:sz w:val="17"/>
              </w:rPr>
              <w:t> </w:t>
            </w:r>
            <w:r>
              <w:rPr>
                <w:w w:val="125"/>
                <w:sz w:val="17"/>
              </w:rPr>
              <w:t>the</w:t>
            </w:r>
            <w:r>
              <w:rPr>
                <w:spacing w:val="-8"/>
                <w:w w:val="125"/>
                <w:sz w:val="17"/>
              </w:rPr>
              <w:t> </w:t>
            </w:r>
            <w:r>
              <w:rPr>
                <w:w w:val="125"/>
                <w:sz w:val="17"/>
              </w:rPr>
              <w:t>Church’s,</w:t>
            </w:r>
            <w:r>
              <w:rPr>
                <w:spacing w:val="-8"/>
                <w:w w:val="125"/>
                <w:sz w:val="17"/>
              </w:rPr>
              <w:t> </w:t>
            </w:r>
            <w:r>
              <w:rPr>
                <w:w w:val="125"/>
                <w:sz w:val="17"/>
              </w:rPr>
              <w:t>reasons</w:t>
            </w:r>
            <w:r>
              <w:rPr>
                <w:spacing w:val="-9"/>
                <w:w w:val="125"/>
                <w:sz w:val="17"/>
              </w:rPr>
              <w:t> </w:t>
            </w:r>
            <w:r>
              <w:rPr>
                <w:w w:val="125"/>
                <w:sz w:val="17"/>
              </w:rPr>
              <w:t>for community engagement</w:t>
            </w:r>
          </w:p>
          <w:p>
            <w:pPr>
              <w:pStyle w:val="TableParagraph"/>
              <w:numPr>
                <w:ilvl w:val="0"/>
                <w:numId w:val="96"/>
              </w:numPr>
              <w:tabs>
                <w:tab w:pos="447" w:val="left" w:leader="none"/>
                <w:tab w:pos="449" w:val="left" w:leader="none"/>
              </w:tabs>
              <w:spacing w:line="230" w:lineRule="auto" w:before="0" w:after="0"/>
              <w:ind w:left="448" w:right="171" w:hanging="341"/>
              <w:jc w:val="left"/>
              <w:rPr>
                <w:sz w:val="17"/>
              </w:rPr>
            </w:pPr>
            <w:r>
              <w:rPr>
                <w:w w:val="125"/>
                <w:sz w:val="17"/>
              </w:rPr>
              <w:t>biblically, and from a community</w:t>
            </w:r>
            <w:r>
              <w:rPr>
                <w:spacing w:val="-22"/>
                <w:w w:val="125"/>
                <w:sz w:val="17"/>
              </w:rPr>
              <w:t> </w:t>
            </w:r>
            <w:r>
              <w:rPr>
                <w:w w:val="125"/>
                <w:sz w:val="17"/>
              </w:rPr>
              <w:t>development perspective, the importance of enabling inclusion in church and community</w:t>
            </w:r>
          </w:p>
        </w:tc>
        <w:tc>
          <w:tcPr>
            <w:tcW w:w="3494" w:type="dxa"/>
            <w:tcBorders>
              <w:left w:val="dashed" w:sz="4" w:space="0" w:color="000000"/>
              <w:bottom w:val="nil"/>
              <w:right w:val="nil"/>
            </w:tcBorders>
          </w:tcPr>
          <w:p>
            <w:pPr>
              <w:pStyle w:val="TableParagraph"/>
              <w:numPr>
                <w:ilvl w:val="0"/>
                <w:numId w:val="97"/>
              </w:numPr>
              <w:tabs>
                <w:tab w:pos="447" w:val="left" w:leader="none"/>
                <w:tab w:pos="448" w:val="left" w:leader="none"/>
              </w:tabs>
              <w:spacing w:line="228" w:lineRule="auto" w:before="40" w:after="0"/>
              <w:ind w:left="447" w:right="1126" w:hanging="341"/>
              <w:jc w:val="left"/>
              <w:rPr>
                <w:sz w:val="17"/>
              </w:rPr>
            </w:pPr>
            <w:r>
              <w:rPr>
                <w:w w:val="120"/>
                <w:sz w:val="17"/>
              </w:rPr>
              <w:t>Relating the Gospel to contemporary</w:t>
            </w:r>
            <w:r>
              <w:rPr>
                <w:spacing w:val="34"/>
                <w:w w:val="120"/>
                <w:sz w:val="17"/>
              </w:rPr>
              <w:t> </w:t>
            </w:r>
            <w:r>
              <w:rPr>
                <w:w w:val="120"/>
                <w:sz w:val="17"/>
              </w:rPr>
              <w:t>society</w:t>
            </w:r>
          </w:p>
          <w:p>
            <w:pPr>
              <w:pStyle w:val="TableParagraph"/>
              <w:numPr>
                <w:ilvl w:val="0"/>
                <w:numId w:val="97"/>
              </w:numPr>
              <w:tabs>
                <w:tab w:pos="447" w:val="left" w:leader="none"/>
                <w:tab w:pos="448" w:val="left" w:leader="none"/>
              </w:tabs>
              <w:spacing w:line="228" w:lineRule="auto" w:before="0" w:after="0"/>
              <w:ind w:left="447" w:right="261" w:hanging="341"/>
              <w:jc w:val="left"/>
              <w:rPr>
                <w:sz w:val="17"/>
              </w:rPr>
            </w:pPr>
            <w:r>
              <w:rPr>
                <w:w w:val="120"/>
                <w:sz w:val="17"/>
              </w:rPr>
              <w:t>relating to those not engaged in faith</w:t>
            </w:r>
            <w:r>
              <w:rPr>
                <w:spacing w:val="3"/>
                <w:w w:val="120"/>
                <w:sz w:val="17"/>
              </w:rPr>
              <w:t> </w:t>
            </w:r>
            <w:r>
              <w:rPr>
                <w:w w:val="120"/>
                <w:sz w:val="17"/>
              </w:rPr>
              <w:t>communities</w:t>
            </w:r>
          </w:p>
        </w:tc>
      </w:tr>
    </w:tbl>
    <w:p>
      <w:pPr>
        <w:pStyle w:val="BodyText"/>
        <w:spacing w:before="11"/>
        <w:rPr>
          <w:rFonts w:ascii="Stone Sans II ITC Std Bk"/>
          <w:b/>
          <w:sz w:val="3"/>
        </w:rPr>
      </w:pPr>
    </w:p>
    <w:tbl>
      <w:tblPr>
        <w:tblW w:w="0" w:type="auto"/>
        <w:jc w:val="left"/>
        <w:tblInd w:w="2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286"/>
        <w:gridCol w:w="4744"/>
        <w:gridCol w:w="4655"/>
        <w:gridCol w:w="3494"/>
      </w:tblGrid>
      <w:tr>
        <w:trPr>
          <w:trHeight w:val="2273" w:hRule="atLeast"/>
        </w:trPr>
        <w:tc>
          <w:tcPr>
            <w:tcW w:w="2286" w:type="dxa"/>
            <w:tcBorders>
              <w:left w:val="nil"/>
              <w:right w:val="dashed" w:sz="4" w:space="0" w:color="000000"/>
            </w:tcBorders>
          </w:tcPr>
          <w:p>
            <w:pPr>
              <w:pStyle w:val="TableParagraph"/>
              <w:spacing w:line="220" w:lineRule="auto" w:before="33"/>
              <w:ind w:left="113" w:right="552"/>
              <w:rPr>
                <w:rFonts w:ascii="Stone Sans II ITC Std Bk"/>
                <w:b/>
                <w:sz w:val="16"/>
              </w:rPr>
            </w:pPr>
            <w:r>
              <w:rPr>
                <w:rFonts w:ascii="Stone Sans II ITC Std Bk"/>
                <w:b/>
                <w:w w:val="115"/>
                <w:sz w:val="16"/>
              </w:rPr>
              <w:t>A contextual theologian</w:t>
            </w:r>
          </w:p>
        </w:tc>
        <w:tc>
          <w:tcPr>
            <w:tcW w:w="4744" w:type="dxa"/>
            <w:tcBorders>
              <w:left w:val="dashed" w:sz="4" w:space="0" w:color="000000"/>
              <w:right w:val="dashed" w:sz="4" w:space="0" w:color="000000"/>
            </w:tcBorders>
          </w:tcPr>
          <w:p>
            <w:pPr>
              <w:pStyle w:val="TableParagraph"/>
              <w:numPr>
                <w:ilvl w:val="0"/>
                <w:numId w:val="98"/>
              </w:numPr>
              <w:tabs>
                <w:tab w:pos="448" w:val="left" w:leader="none"/>
                <w:tab w:pos="449" w:val="left" w:leader="none"/>
              </w:tabs>
              <w:spacing w:line="228" w:lineRule="auto" w:before="40" w:after="0"/>
              <w:ind w:left="448" w:right="577" w:hanging="341"/>
              <w:jc w:val="left"/>
              <w:rPr>
                <w:sz w:val="17"/>
              </w:rPr>
            </w:pPr>
            <w:r>
              <w:rPr>
                <w:w w:val="120"/>
                <w:sz w:val="17"/>
              </w:rPr>
              <w:t>a life shaped and being </w:t>
            </w:r>
            <w:r>
              <w:rPr>
                <w:spacing w:val="2"/>
                <w:w w:val="120"/>
                <w:sz w:val="17"/>
              </w:rPr>
              <w:t>transformed </w:t>
            </w:r>
            <w:r>
              <w:rPr>
                <w:w w:val="120"/>
                <w:sz w:val="17"/>
              </w:rPr>
              <w:t>by the Gospel</w:t>
            </w:r>
          </w:p>
          <w:p>
            <w:pPr>
              <w:pStyle w:val="TableParagraph"/>
              <w:numPr>
                <w:ilvl w:val="0"/>
                <w:numId w:val="98"/>
              </w:numPr>
              <w:tabs>
                <w:tab w:pos="448" w:val="left" w:leader="none"/>
                <w:tab w:pos="449" w:val="left" w:leader="none"/>
              </w:tabs>
              <w:spacing w:line="230" w:lineRule="auto" w:before="0" w:after="0"/>
              <w:ind w:left="448" w:right="231" w:hanging="341"/>
              <w:jc w:val="left"/>
              <w:rPr>
                <w:sz w:val="17"/>
              </w:rPr>
            </w:pPr>
            <w:r>
              <w:rPr>
                <w:w w:val="120"/>
                <w:sz w:val="17"/>
              </w:rPr>
              <w:t>inhabiting a  particular  tradition,  but  also within the ecumenical, world and inter-cultural community of the</w:t>
            </w:r>
            <w:r>
              <w:rPr>
                <w:spacing w:val="12"/>
                <w:w w:val="120"/>
                <w:sz w:val="17"/>
              </w:rPr>
              <w:t> </w:t>
            </w:r>
            <w:r>
              <w:rPr>
                <w:w w:val="120"/>
                <w:sz w:val="17"/>
              </w:rPr>
              <w:t>Church</w:t>
            </w:r>
          </w:p>
          <w:p>
            <w:pPr>
              <w:pStyle w:val="TableParagraph"/>
              <w:numPr>
                <w:ilvl w:val="0"/>
                <w:numId w:val="98"/>
              </w:numPr>
              <w:tabs>
                <w:tab w:pos="448" w:val="left" w:leader="none"/>
                <w:tab w:pos="449" w:val="left" w:leader="none"/>
              </w:tabs>
              <w:spacing w:line="228" w:lineRule="auto" w:before="0" w:after="0"/>
              <w:ind w:left="448" w:right="221" w:hanging="341"/>
              <w:jc w:val="left"/>
              <w:rPr>
                <w:sz w:val="17"/>
              </w:rPr>
            </w:pPr>
            <w:r>
              <w:rPr>
                <w:w w:val="120"/>
                <w:sz w:val="17"/>
              </w:rPr>
              <w:t>in a healthy tension between received tradition and present experience and</w:t>
            </w:r>
            <w:r>
              <w:rPr>
                <w:spacing w:val="30"/>
                <w:w w:val="120"/>
                <w:sz w:val="17"/>
              </w:rPr>
              <w:t> </w:t>
            </w:r>
            <w:r>
              <w:rPr>
                <w:w w:val="120"/>
                <w:sz w:val="17"/>
              </w:rPr>
              <w:t>expression</w:t>
            </w:r>
          </w:p>
          <w:p>
            <w:pPr>
              <w:pStyle w:val="TableParagraph"/>
              <w:numPr>
                <w:ilvl w:val="0"/>
                <w:numId w:val="98"/>
              </w:numPr>
              <w:tabs>
                <w:tab w:pos="448" w:val="left" w:leader="none"/>
                <w:tab w:pos="449" w:val="left" w:leader="none"/>
              </w:tabs>
              <w:spacing w:line="228" w:lineRule="auto" w:before="0" w:after="0"/>
              <w:ind w:left="448" w:right="362" w:hanging="341"/>
              <w:jc w:val="left"/>
              <w:rPr>
                <w:sz w:val="17"/>
              </w:rPr>
            </w:pPr>
            <w:r>
              <w:rPr>
                <w:w w:val="120"/>
                <w:sz w:val="17"/>
              </w:rPr>
              <w:t>with mind and </w:t>
            </w:r>
            <w:r>
              <w:rPr>
                <w:spacing w:val="2"/>
                <w:w w:val="120"/>
                <w:sz w:val="17"/>
              </w:rPr>
              <w:t>heart </w:t>
            </w:r>
            <w:r>
              <w:rPr>
                <w:w w:val="120"/>
                <w:sz w:val="17"/>
              </w:rPr>
              <w:t>ready to question and to trust</w:t>
            </w:r>
          </w:p>
        </w:tc>
        <w:tc>
          <w:tcPr>
            <w:tcW w:w="4655" w:type="dxa"/>
            <w:tcBorders>
              <w:left w:val="dashed" w:sz="4" w:space="0" w:color="000000"/>
              <w:right w:val="dashed" w:sz="4" w:space="0" w:color="000000"/>
            </w:tcBorders>
          </w:tcPr>
          <w:p>
            <w:pPr>
              <w:pStyle w:val="TableParagraph"/>
              <w:numPr>
                <w:ilvl w:val="0"/>
                <w:numId w:val="99"/>
              </w:numPr>
              <w:tabs>
                <w:tab w:pos="447" w:val="left" w:leader="none"/>
                <w:tab w:pos="449" w:val="left" w:leader="none"/>
              </w:tabs>
              <w:spacing w:line="210" w:lineRule="exact" w:before="31" w:after="0"/>
              <w:ind w:left="448" w:right="0" w:hanging="342"/>
              <w:jc w:val="left"/>
              <w:rPr>
                <w:sz w:val="17"/>
              </w:rPr>
            </w:pPr>
            <w:r>
              <w:rPr>
                <w:w w:val="120"/>
                <w:sz w:val="17"/>
              </w:rPr>
              <w:t>the</w:t>
            </w:r>
            <w:r>
              <w:rPr>
                <w:spacing w:val="2"/>
                <w:w w:val="120"/>
                <w:sz w:val="17"/>
              </w:rPr>
              <w:t> </w:t>
            </w:r>
            <w:r>
              <w:rPr>
                <w:w w:val="120"/>
                <w:sz w:val="17"/>
              </w:rPr>
              <w:t>Bible</w:t>
            </w:r>
          </w:p>
          <w:p>
            <w:pPr>
              <w:pStyle w:val="TableParagraph"/>
              <w:numPr>
                <w:ilvl w:val="0"/>
                <w:numId w:val="99"/>
              </w:numPr>
              <w:tabs>
                <w:tab w:pos="447" w:val="left" w:leader="none"/>
                <w:tab w:pos="449" w:val="left" w:leader="none"/>
              </w:tabs>
              <w:spacing w:line="228" w:lineRule="auto" w:before="0" w:after="0"/>
              <w:ind w:left="448" w:right="341" w:hanging="341"/>
              <w:jc w:val="left"/>
              <w:rPr>
                <w:sz w:val="17"/>
              </w:rPr>
            </w:pPr>
            <w:r>
              <w:rPr>
                <w:w w:val="120"/>
                <w:sz w:val="17"/>
              </w:rPr>
              <w:t>the Tradition (including its expression within the United Reformed</w:t>
            </w:r>
            <w:r>
              <w:rPr>
                <w:spacing w:val="14"/>
                <w:w w:val="120"/>
                <w:sz w:val="17"/>
              </w:rPr>
              <w:t> </w:t>
            </w:r>
            <w:r>
              <w:rPr>
                <w:w w:val="120"/>
                <w:sz w:val="17"/>
              </w:rPr>
              <w:t>Church)</w:t>
            </w:r>
          </w:p>
          <w:p>
            <w:pPr>
              <w:pStyle w:val="TableParagraph"/>
              <w:numPr>
                <w:ilvl w:val="0"/>
                <w:numId w:val="99"/>
              </w:numPr>
              <w:tabs>
                <w:tab w:pos="447" w:val="left" w:leader="none"/>
                <w:tab w:pos="449" w:val="left" w:leader="none"/>
              </w:tabs>
              <w:spacing w:line="228" w:lineRule="auto" w:before="0" w:after="0"/>
              <w:ind w:left="448" w:right="680" w:hanging="341"/>
              <w:jc w:val="left"/>
              <w:rPr>
                <w:sz w:val="17"/>
              </w:rPr>
            </w:pPr>
            <w:r>
              <w:rPr>
                <w:w w:val="120"/>
                <w:sz w:val="17"/>
              </w:rPr>
              <w:t>the importance of being a theologian for particular times and</w:t>
            </w:r>
            <w:r>
              <w:rPr>
                <w:spacing w:val="12"/>
                <w:w w:val="120"/>
                <w:sz w:val="17"/>
              </w:rPr>
              <w:t> </w:t>
            </w:r>
            <w:r>
              <w:rPr>
                <w:w w:val="120"/>
                <w:sz w:val="17"/>
              </w:rPr>
              <w:t>places</w:t>
            </w:r>
          </w:p>
          <w:p>
            <w:pPr>
              <w:pStyle w:val="TableParagraph"/>
              <w:numPr>
                <w:ilvl w:val="0"/>
                <w:numId w:val="99"/>
              </w:numPr>
              <w:tabs>
                <w:tab w:pos="447" w:val="left" w:leader="none"/>
                <w:tab w:pos="449" w:val="left" w:leader="none"/>
              </w:tabs>
              <w:spacing w:line="205" w:lineRule="exact" w:before="0" w:after="0"/>
              <w:ind w:left="448" w:right="0" w:hanging="342"/>
              <w:jc w:val="left"/>
              <w:rPr>
                <w:sz w:val="17"/>
              </w:rPr>
            </w:pPr>
            <w:r>
              <w:rPr>
                <w:w w:val="120"/>
                <w:sz w:val="17"/>
              </w:rPr>
              <w:t>the importance of relating text and</w:t>
            </w:r>
            <w:r>
              <w:rPr>
                <w:spacing w:val="5"/>
                <w:w w:val="120"/>
                <w:sz w:val="17"/>
              </w:rPr>
              <w:t> </w:t>
            </w:r>
            <w:r>
              <w:rPr>
                <w:w w:val="120"/>
                <w:sz w:val="17"/>
              </w:rPr>
              <w:t>context</w:t>
            </w:r>
          </w:p>
        </w:tc>
        <w:tc>
          <w:tcPr>
            <w:tcW w:w="3494" w:type="dxa"/>
            <w:tcBorders>
              <w:left w:val="dashed" w:sz="4" w:space="0" w:color="000000"/>
              <w:right w:val="nil"/>
            </w:tcBorders>
          </w:tcPr>
          <w:p>
            <w:pPr>
              <w:pStyle w:val="TableParagraph"/>
              <w:numPr>
                <w:ilvl w:val="0"/>
                <w:numId w:val="100"/>
              </w:numPr>
              <w:tabs>
                <w:tab w:pos="447" w:val="left" w:leader="none"/>
                <w:tab w:pos="448" w:val="left" w:leader="none"/>
              </w:tabs>
              <w:spacing w:line="228" w:lineRule="auto" w:before="40" w:after="0"/>
              <w:ind w:left="447" w:right="320" w:hanging="341"/>
              <w:jc w:val="left"/>
              <w:rPr>
                <w:sz w:val="17"/>
              </w:rPr>
            </w:pPr>
            <w:r>
              <w:rPr>
                <w:w w:val="125"/>
                <w:sz w:val="17"/>
              </w:rPr>
              <w:t>reflecting theologically on their local and broader</w:t>
            </w:r>
            <w:r>
              <w:rPr>
                <w:spacing w:val="-2"/>
                <w:w w:val="125"/>
                <w:sz w:val="17"/>
              </w:rPr>
              <w:t> </w:t>
            </w:r>
            <w:r>
              <w:rPr>
                <w:w w:val="125"/>
                <w:sz w:val="17"/>
              </w:rPr>
              <w:t>context</w:t>
            </w:r>
          </w:p>
          <w:p>
            <w:pPr>
              <w:pStyle w:val="TableParagraph"/>
              <w:numPr>
                <w:ilvl w:val="0"/>
                <w:numId w:val="100"/>
              </w:numPr>
              <w:tabs>
                <w:tab w:pos="447" w:val="left" w:leader="none"/>
                <w:tab w:pos="448" w:val="left" w:leader="none"/>
              </w:tabs>
              <w:spacing w:line="230" w:lineRule="auto" w:before="0" w:after="0"/>
              <w:ind w:left="447" w:right="243" w:hanging="341"/>
              <w:jc w:val="left"/>
              <w:rPr>
                <w:sz w:val="17"/>
              </w:rPr>
            </w:pPr>
            <w:r>
              <w:rPr>
                <w:w w:val="120"/>
                <w:sz w:val="17"/>
              </w:rPr>
              <w:t>making the  tradition  (biblical and theological) relevant for the communities in which they</w:t>
            </w:r>
            <w:r>
              <w:rPr>
                <w:spacing w:val="34"/>
                <w:w w:val="120"/>
                <w:sz w:val="17"/>
              </w:rPr>
              <w:t> </w:t>
            </w:r>
            <w:r>
              <w:rPr>
                <w:w w:val="120"/>
                <w:sz w:val="17"/>
              </w:rPr>
              <w:t>work</w:t>
            </w:r>
          </w:p>
          <w:p>
            <w:pPr>
              <w:pStyle w:val="TableParagraph"/>
              <w:numPr>
                <w:ilvl w:val="0"/>
                <w:numId w:val="100"/>
              </w:numPr>
              <w:tabs>
                <w:tab w:pos="447" w:val="left" w:leader="none"/>
                <w:tab w:pos="448" w:val="left" w:leader="none"/>
              </w:tabs>
              <w:spacing w:line="230" w:lineRule="auto" w:before="0" w:after="0"/>
              <w:ind w:left="447" w:right="798" w:hanging="341"/>
              <w:jc w:val="left"/>
              <w:rPr>
                <w:sz w:val="17"/>
              </w:rPr>
            </w:pPr>
            <w:r>
              <w:rPr>
                <w:w w:val="125"/>
                <w:sz w:val="17"/>
              </w:rPr>
              <w:t>using the Gospel to build community and challenge injustices</w:t>
            </w:r>
          </w:p>
          <w:p>
            <w:pPr>
              <w:pStyle w:val="TableParagraph"/>
              <w:numPr>
                <w:ilvl w:val="0"/>
                <w:numId w:val="100"/>
              </w:numPr>
              <w:tabs>
                <w:tab w:pos="447" w:val="left" w:leader="none"/>
                <w:tab w:pos="448" w:val="left" w:leader="none"/>
              </w:tabs>
              <w:spacing w:line="230" w:lineRule="auto" w:before="0" w:after="0"/>
              <w:ind w:left="447" w:right="420" w:hanging="341"/>
              <w:jc w:val="left"/>
              <w:rPr>
                <w:sz w:val="17"/>
              </w:rPr>
            </w:pPr>
            <w:r>
              <w:rPr>
                <w:w w:val="120"/>
                <w:sz w:val="17"/>
              </w:rPr>
              <w:t>interpreting and renewing the traditions of faith from within particular</w:t>
            </w:r>
            <w:r>
              <w:rPr>
                <w:spacing w:val="4"/>
                <w:w w:val="120"/>
                <w:sz w:val="17"/>
              </w:rPr>
              <w:t> </w:t>
            </w:r>
            <w:r>
              <w:rPr>
                <w:w w:val="120"/>
                <w:sz w:val="17"/>
              </w:rPr>
              <w:t>contexts</w:t>
            </w:r>
          </w:p>
        </w:tc>
      </w:tr>
      <w:tr>
        <w:trPr>
          <w:trHeight w:val="2242" w:hRule="atLeast"/>
        </w:trPr>
        <w:tc>
          <w:tcPr>
            <w:tcW w:w="2286" w:type="dxa"/>
            <w:tcBorders>
              <w:left w:val="nil"/>
              <w:bottom w:val="nil"/>
              <w:right w:val="dashed" w:sz="4" w:space="0" w:color="000000"/>
            </w:tcBorders>
          </w:tcPr>
          <w:p>
            <w:pPr>
              <w:pStyle w:val="TableParagraph"/>
              <w:spacing w:before="19"/>
              <w:ind w:left="113"/>
              <w:rPr>
                <w:rFonts w:ascii="Stone Sans II ITC Std Bk"/>
                <w:b/>
                <w:sz w:val="16"/>
              </w:rPr>
            </w:pPr>
            <w:r>
              <w:rPr>
                <w:rFonts w:ascii="Stone Sans II ITC Std Bk"/>
                <w:b/>
                <w:w w:val="115"/>
                <w:sz w:val="16"/>
              </w:rPr>
              <w:t>An encourager</w:t>
            </w:r>
          </w:p>
        </w:tc>
        <w:tc>
          <w:tcPr>
            <w:tcW w:w="4744" w:type="dxa"/>
            <w:tcBorders>
              <w:left w:val="dashed" w:sz="4" w:space="0" w:color="000000"/>
              <w:bottom w:val="nil"/>
              <w:right w:val="dashed" w:sz="4" w:space="0" w:color="000000"/>
            </w:tcBorders>
          </w:tcPr>
          <w:p>
            <w:pPr>
              <w:pStyle w:val="TableParagraph"/>
              <w:numPr>
                <w:ilvl w:val="0"/>
                <w:numId w:val="101"/>
              </w:numPr>
              <w:tabs>
                <w:tab w:pos="448" w:val="left" w:leader="none"/>
                <w:tab w:pos="449" w:val="left" w:leader="none"/>
              </w:tabs>
              <w:spacing w:line="210" w:lineRule="exact" w:before="31" w:after="0"/>
              <w:ind w:left="448" w:right="0" w:hanging="341"/>
              <w:jc w:val="left"/>
              <w:rPr>
                <w:sz w:val="17"/>
              </w:rPr>
            </w:pPr>
            <w:r>
              <w:rPr>
                <w:w w:val="120"/>
                <w:sz w:val="17"/>
              </w:rPr>
              <w:t>with an evident depth of</w:t>
            </w:r>
            <w:r>
              <w:rPr>
                <w:spacing w:val="24"/>
                <w:w w:val="120"/>
                <w:sz w:val="17"/>
              </w:rPr>
              <w:t> </w:t>
            </w:r>
            <w:r>
              <w:rPr>
                <w:w w:val="120"/>
                <w:sz w:val="17"/>
              </w:rPr>
              <w:t>self-awareness</w:t>
            </w:r>
          </w:p>
          <w:p>
            <w:pPr>
              <w:pStyle w:val="TableParagraph"/>
              <w:numPr>
                <w:ilvl w:val="0"/>
                <w:numId w:val="101"/>
              </w:numPr>
              <w:tabs>
                <w:tab w:pos="448" w:val="left" w:leader="none"/>
                <w:tab w:pos="449" w:val="left" w:leader="none"/>
              </w:tabs>
              <w:spacing w:line="200" w:lineRule="exact" w:before="0" w:after="0"/>
              <w:ind w:left="448" w:right="0" w:hanging="341"/>
              <w:jc w:val="left"/>
              <w:rPr>
                <w:sz w:val="17"/>
              </w:rPr>
            </w:pPr>
            <w:r>
              <w:rPr>
                <w:w w:val="120"/>
                <w:sz w:val="17"/>
              </w:rPr>
              <w:t>with</w:t>
            </w:r>
            <w:r>
              <w:rPr>
                <w:spacing w:val="7"/>
                <w:w w:val="120"/>
                <w:sz w:val="17"/>
              </w:rPr>
              <w:t> </w:t>
            </w:r>
            <w:r>
              <w:rPr>
                <w:w w:val="120"/>
                <w:sz w:val="17"/>
              </w:rPr>
              <w:t>openness</w:t>
            </w:r>
            <w:r>
              <w:rPr>
                <w:spacing w:val="7"/>
                <w:w w:val="120"/>
                <w:sz w:val="17"/>
              </w:rPr>
              <w:t> </w:t>
            </w:r>
            <w:r>
              <w:rPr>
                <w:w w:val="120"/>
                <w:sz w:val="17"/>
              </w:rPr>
              <w:t>to,</w:t>
            </w:r>
            <w:r>
              <w:rPr>
                <w:spacing w:val="8"/>
                <w:w w:val="120"/>
                <w:sz w:val="17"/>
              </w:rPr>
              <w:t> </w:t>
            </w:r>
            <w:r>
              <w:rPr>
                <w:w w:val="120"/>
                <w:sz w:val="17"/>
              </w:rPr>
              <w:t>and</w:t>
            </w:r>
            <w:r>
              <w:rPr>
                <w:spacing w:val="7"/>
                <w:w w:val="120"/>
                <w:sz w:val="17"/>
              </w:rPr>
              <w:t> </w:t>
            </w:r>
            <w:r>
              <w:rPr>
                <w:w w:val="120"/>
                <w:sz w:val="17"/>
              </w:rPr>
              <w:t>a</w:t>
            </w:r>
            <w:r>
              <w:rPr>
                <w:spacing w:val="7"/>
                <w:w w:val="120"/>
                <w:sz w:val="17"/>
              </w:rPr>
              <w:t> </w:t>
            </w:r>
            <w:r>
              <w:rPr>
                <w:w w:val="120"/>
                <w:sz w:val="17"/>
              </w:rPr>
              <w:t>desire</w:t>
            </w:r>
            <w:r>
              <w:rPr>
                <w:spacing w:val="8"/>
                <w:w w:val="120"/>
                <w:sz w:val="17"/>
              </w:rPr>
              <w:t> </w:t>
            </w:r>
            <w:r>
              <w:rPr>
                <w:w w:val="120"/>
                <w:sz w:val="17"/>
              </w:rPr>
              <w:t>to</w:t>
            </w:r>
            <w:r>
              <w:rPr>
                <w:spacing w:val="7"/>
                <w:w w:val="120"/>
                <w:sz w:val="17"/>
              </w:rPr>
              <w:t> </w:t>
            </w:r>
            <w:r>
              <w:rPr>
                <w:w w:val="120"/>
                <w:sz w:val="17"/>
              </w:rPr>
              <w:t>live</w:t>
            </w:r>
            <w:r>
              <w:rPr>
                <w:spacing w:val="7"/>
                <w:w w:val="120"/>
                <w:sz w:val="17"/>
              </w:rPr>
              <w:t> </w:t>
            </w:r>
            <w:r>
              <w:rPr>
                <w:w w:val="120"/>
                <w:sz w:val="17"/>
              </w:rPr>
              <w:t>for</w:t>
            </w:r>
            <w:r>
              <w:rPr>
                <w:spacing w:val="8"/>
                <w:w w:val="120"/>
                <w:sz w:val="17"/>
              </w:rPr>
              <w:t> </w:t>
            </w:r>
            <w:r>
              <w:rPr>
                <w:w w:val="120"/>
                <w:sz w:val="17"/>
              </w:rPr>
              <w:t>others</w:t>
            </w:r>
          </w:p>
          <w:p>
            <w:pPr>
              <w:pStyle w:val="TableParagraph"/>
              <w:numPr>
                <w:ilvl w:val="0"/>
                <w:numId w:val="101"/>
              </w:numPr>
              <w:tabs>
                <w:tab w:pos="448" w:val="left" w:leader="none"/>
                <w:tab w:pos="449" w:val="left" w:leader="none"/>
              </w:tabs>
              <w:spacing w:line="200" w:lineRule="exact" w:before="0" w:after="0"/>
              <w:ind w:left="448" w:right="0" w:hanging="341"/>
              <w:jc w:val="left"/>
              <w:rPr>
                <w:sz w:val="17"/>
              </w:rPr>
            </w:pPr>
            <w:r>
              <w:rPr>
                <w:w w:val="120"/>
                <w:sz w:val="17"/>
              </w:rPr>
              <w:t>attentive to the safety of</w:t>
            </w:r>
            <w:r>
              <w:rPr>
                <w:spacing w:val="12"/>
                <w:w w:val="120"/>
                <w:sz w:val="17"/>
              </w:rPr>
              <w:t> </w:t>
            </w:r>
            <w:r>
              <w:rPr>
                <w:w w:val="120"/>
                <w:sz w:val="17"/>
              </w:rPr>
              <w:t>all</w:t>
            </w:r>
          </w:p>
          <w:p>
            <w:pPr>
              <w:pStyle w:val="TableParagraph"/>
              <w:numPr>
                <w:ilvl w:val="0"/>
                <w:numId w:val="101"/>
              </w:numPr>
              <w:tabs>
                <w:tab w:pos="448" w:val="left" w:leader="none"/>
                <w:tab w:pos="449" w:val="left" w:leader="none"/>
              </w:tabs>
              <w:spacing w:line="210" w:lineRule="exact" w:before="0" w:after="0"/>
              <w:ind w:left="448" w:right="0" w:hanging="341"/>
              <w:jc w:val="left"/>
              <w:rPr>
                <w:sz w:val="17"/>
              </w:rPr>
            </w:pPr>
            <w:r>
              <w:rPr>
                <w:w w:val="120"/>
                <w:sz w:val="17"/>
              </w:rPr>
              <w:t>with sensitivity and</w:t>
            </w:r>
            <w:r>
              <w:rPr>
                <w:spacing w:val="13"/>
                <w:w w:val="120"/>
                <w:sz w:val="17"/>
              </w:rPr>
              <w:t> </w:t>
            </w:r>
            <w:r>
              <w:rPr>
                <w:w w:val="120"/>
                <w:sz w:val="17"/>
              </w:rPr>
              <w:t>responsiveness</w:t>
            </w:r>
          </w:p>
        </w:tc>
        <w:tc>
          <w:tcPr>
            <w:tcW w:w="4655" w:type="dxa"/>
            <w:tcBorders>
              <w:left w:val="dashed" w:sz="4" w:space="0" w:color="000000"/>
              <w:bottom w:val="nil"/>
              <w:right w:val="dashed" w:sz="4" w:space="0" w:color="000000"/>
            </w:tcBorders>
          </w:tcPr>
          <w:p>
            <w:pPr>
              <w:pStyle w:val="TableParagraph"/>
              <w:numPr>
                <w:ilvl w:val="0"/>
                <w:numId w:val="102"/>
              </w:numPr>
              <w:tabs>
                <w:tab w:pos="449" w:val="left" w:leader="none"/>
              </w:tabs>
              <w:spacing w:line="228" w:lineRule="auto" w:before="39" w:after="0"/>
              <w:ind w:left="448" w:right="259" w:hanging="341"/>
              <w:jc w:val="both"/>
              <w:rPr>
                <w:sz w:val="17"/>
              </w:rPr>
            </w:pPr>
            <w:r>
              <w:rPr>
                <w:w w:val="125"/>
                <w:sz w:val="17"/>
              </w:rPr>
              <w:t>how to accompany and strengthening groups to use community development</w:t>
            </w:r>
            <w:r>
              <w:rPr>
                <w:spacing w:val="-17"/>
                <w:w w:val="125"/>
                <w:sz w:val="17"/>
              </w:rPr>
              <w:t> </w:t>
            </w:r>
            <w:r>
              <w:rPr>
                <w:w w:val="125"/>
                <w:sz w:val="17"/>
              </w:rPr>
              <w:t>approaches</w:t>
            </w:r>
          </w:p>
          <w:p>
            <w:pPr>
              <w:pStyle w:val="TableParagraph"/>
              <w:numPr>
                <w:ilvl w:val="0"/>
                <w:numId w:val="102"/>
              </w:numPr>
              <w:tabs>
                <w:tab w:pos="449" w:val="left" w:leader="none"/>
              </w:tabs>
              <w:spacing w:line="230" w:lineRule="auto" w:before="0" w:after="0"/>
              <w:ind w:left="448" w:right="282" w:hanging="341"/>
              <w:jc w:val="both"/>
              <w:rPr>
                <w:sz w:val="17"/>
              </w:rPr>
            </w:pPr>
            <w:r>
              <w:rPr>
                <w:w w:val="120"/>
                <w:sz w:val="17"/>
              </w:rPr>
              <w:t>patterns of human relationship particularly to lead and assist in setting up new </w:t>
            </w:r>
            <w:r>
              <w:rPr>
                <w:spacing w:val="2"/>
                <w:w w:val="120"/>
                <w:sz w:val="17"/>
              </w:rPr>
              <w:t>projects </w:t>
            </w:r>
            <w:r>
              <w:rPr>
                <w:w w:val="120"/>
                <w:sz w:val="17"/>
              </w:rPr>
              <w:t>and partnerships</w:t>
            </w:r>
          </w:p>
          <w:p>
            <w:pPr>
              <w:pStyle w:val="TableParagraph"/>
              <w:numPr>
                <w:ilvl w:val="0"/>
                <w:numId w:val="102"/>
              </w:numPr>
              <w:tabs>
                <w:tab w:pos="449" w:val="left" w:leader="none"/>
              </w:tabs>
              <w:spacing w:line="194" w:lineRule="exact" w:before="0" w:after="0"/>
              <w:ind w:left="448" w:right="0" w:hanging="342"/>
              <w:jc w:val="both"/>
              <w:rPr>
                <w:sz w:val="17"/>
              </w:rPr>
            </w:pPr>
            <w:r>
              <w:rPr>
                <w:w w:val="120"/>
                <w:sz w:val="17"/>
              </w:rPr>
              <w:t>patterns of human community and</w:t>
            </w:r>
            <w:r>
              <w:rPr>
                <w:spacing w:val="37"/>
                <w:w w:val="120"/>
                <w:sz w:val="17"/>
              </w:rPr>
              <w:t> </w:t>
            </w:r>
            <w:r>
              <w:rPr>
                <w:w w:val="120"/>
                <w:sz w:val="17"/>
              </w:rPr>
              <w:t>society</w:t>
            </w:r>
          </w:p>
          <w:p>
            <w:pPr>
              <w:pStyle w:val="TableParagraph"/>
              <w:numPr>
                <w:ilvl w:val="0"/>
                <w:numId w:val="102"/>
              </w:numPr>
              <w:tabs>
                <w:tab w:pos="449" w:val="left" w:leader="none"/>
              </w:tabs>
              <w:spacing w:line="200" w:lineRule="exact" w:before="0" w:after="0"/>
              <w:ind w:left="448" w:right="0" w:hanging="342"/>
              <w:jc w:val="both"/>
              <w:rPr>
                <w:sz w:val="17"/>
              </w:rPr>
            </w:pPr>
            <w:r>
              <w:rPr>
                <w:w w:val="120"/>
                <w:sz w:val="17"/>
              </w:rPr>
              <w:t>the human</w:t>
            </w:r>
            <w:r>
              <w:rPr>
                <w:spacing w:val="6"/>
                <w:w w:val="120"/>
                <w:sz w:val="17"/>
              </w:rPr>
              <w:t> </w:t>
            </w:r>
            <w:r>
              <w:rPr>
                <w:w w:val="120"/>
                <w:sz w:val="17"/>
              </w:rPr>
              <w:t>psyche</w:t>
            </w:r>
          </w:p>
          <w:p>
            <w:pPr>
              <w:pStyle w:val="TableParagraph"/>
              <w:numPr>
                <w:ilvl w:val="0"/>
                <w:numId w:val="102"/>
              </w:numPr>
              <w:tabs>
                <w:tab w:pos="449" w:val="left" w:leader="none"/>
              </w:tabs>
              <w:spacing w:line="228" w:lineRule="auto" w:before="0" w:after="0"/>
              <w:ind w:left="448" w:right="484" w:hanging="341"/>
              <w:jc w:val="both"/>
              <w:rPr>
                <w:sz w:val="17"/>
              </w:rPr>
            </w:pPr>
            <w:r>
              <w:rPr>
                <w:w w:val="125"/>
                <w:sz w:val="17"/>
              </w:rPr>
              <w:t>how to </w:t>
            </w:r>
            <w:r>
              <w:rPr>
                <w:spacing w:val="2"/>
                <w:w w:val="125"/>
                <w:sz w:val="17"/>
              </w:rPr>
              <w:t>support, </w:t>
            </w:r>
            <w:r>
              <w:rPr>
                <w:w w:val="125"/>
                <w:sz w:val="17"/>
              </w:rPr>
              <w:t>develop and manage local </w:t>
            </w:r>
            <w:r>
              <w:rPr>
                <w:spacing w:val="2"/>
                <w:w w:val="125"/>
                <w:sz w:val="17"/>
              </w:rPr>
              <w:t>support</w:t>
            </w:r>
            <w:r>
              <w:rPr>
                <w:w w:val="125"/>
                <w:sz w:val="17"/>
              </w:rPr>
              <w:t> groups</w:t>
            </w:r>
          </w:p>
        </w:tc>
        <w:tc>
          <w:tcPr>
            <w:tcW w:w="3494" w:type="dxa"/>
            <w:tcBorders>
              <w:left w:val="dashed" w:sz="4" w:space="0" w:color="000000"/>
              <w:bottom w:val="nil"/>
              <w:right w:val="nil"/>
            </w:tcBorders>
          </w:tcPr>
          <w:p>
            <w:pPr>
              <w:pStyle w:val="TableParagraph"/>
              <w:numPr>
                <w:ilvl w:val="0"/>
                <w:numId w:val="103"/>
              </w:numPr>
              <w:tabs>
                <w:tab w:pos="447" w:val="left" w:leader="none"/>
                <w:tab w:pos="448" w:val="left" w:leader="none"/>
              </w:tabs>
              <w:spacing w:line="230" w:lineRule="auto" w:before="37" w:after="0"/>
              <w:ind w:left="447" w:right="147" w:hanging="341"/>
              <w:jc w:val="left"/>
              <w:rPr>
                <w:sz w:val="17"/>
              </w:rPr>
            </w:pPr>
            <w:r>
              <w:rPr>
                <w:w w:val="125"/>
                <w:sz w:val="17"/>
              </w:rPr>
              <w:t>listening and being able to advise on organisational structures using community development perspectives</w:t>
            </w:r>
          </w:p>
          <w:p>
            <w:pPr>
              <w:pStyle w:val="TableParagraph"/>
              <w:numPr>
                <w:ilvl w:val="0"/>
                <w:numId w:val="103"/>
              </w:numPr>
              <w:tabs>
                <w:tab w:pos="447" w:val="left" w:leader="none"/>
                <w:tab w:pos="448" w:val="left" w:leader="none"/>
              </w:tabs>
              <w:spacing w:line="228" w:lineRule="auto" w:before="0" w:after="0"/>
              <w:ind w:left="447" w:right="625" w:hanging="341"/>
              <w:jc w:val="left"/>
              <w:rPr>
                <w:sz w:val="17"/>
              </w:rPr>
            </w:pPr>
            <w:r>
              <w:rPr>
                <w:w w:val="125"/>
                <w:sz w:val="17"/>
              </w:rPr>
              <w:t>plan and gain resources</w:t>
            </w:r>
            <w:r>
              <w:rPr>
                <w:spacing w:val="-15"/>
                <w:w w:val="125"/>
                <w:sz w:val="17"/>
              </w:rPr>
              <w:t> </w:t>
            </w:r>
            <w:r>
              <w:rPr>
                <w:w w:val="125"/>
                <w:sz w:val="17"/>
              </w:rPr>
              <w:t>and funding</w:t>
            </w:r>
          </w:p>
          <w:p>
            <w:pPr>
              <w:pStyle w:val="TableParagraph"/>
              <w:numPr>
                <w:ilvl w:val="0"/>
                <w:numId w:val="103"/>
              </w:numPr>
              <w:tabs>
                <w:tab w:pos="447" w:val="left" w:leader="none"/>
                <w:tab w:pos="448" w:val="left" w:leader="none"/>
              </w:tabs>
              <w:spacing w:line="230" w:lineRule="auto" w:before="0" w:after="0"/>
              <w:ind w:left="447" w:right="374" w:hanging="341"/>
              <w:jc w:val="left"/>
              <w:rPr>
                <w:sz w:val="17"/>
              </w:rPr>
            </w:pPr>
            <w:r>
              <w:rPr>
                <w:w w:val="120"/>
                <w:sz w:val="17"/>
              </w:rPr>
              <w:t>use a community development approach for monitoring and evaluation</w:t>
            </w:r>
          </w:p>
          <w:p>
            <w:pPr>
              <w:pStyle w:val="TableParagraph"/>
              <w:numPr>
                <w:ilvl w:val="0"/>
                <w:numId w:val="103"/>
              </w:numPr>
              <w:tabs>
                <w:tab w:pos="447" w:val="left" w:leader="none"/>
                <w:tab w:pos="448" w:val="left" w:leader="none"/>
              </w:tabs>
              <w:spacing w:line="198" w:lineRule="exact" w:before="0" w:after="0"/>
              <w:ind w:left="447" w:right="0" w:hanging="341"/>
              <w:jc w:val="left"/>
              <w:rPr>
                <w:sz w:val="17"/>
              </w:rPr>
            </w:pPr>
            <w:r>
              <w:rPr>
                <w:w w:val="125"/>
                <w:sz w:val="17"/>
              </w:rPr>
              <w:t>understanding and</w:t>
            </w:r>
            <w:r>
              <w:rPr>
                <w:spacing w:val="4"/>
                <w:w w:val="125"/>
                <w:sz w:val="17"/>
              </w:rPr>
              <w:t> </w:t>
            </w:r>
            <w:r>
              <w:rPr>
                <w:w w:val="125"/>
                <w:sz w:val="17"/>
              </w:rPr>
              <w:t>interpreting</w:t>
            </w:r>
          </w:p>
          <w:p>
            <w:pPr>
              <w:pStyle w:val="TableParagraph"/>
              <w:spacing w:line="178" w:lineRule="exact"/>
              <w:ind w:left="447"/>
              <w:rPr>
                <w:sz w:val="17"/>
              </w:rPr>
            </w:pPr>
            <w:r>
              <w:rPr>
                <w:w w:val="125"/>
                <w:sz w:val="17"/>
              </w:rPr>
              <w:t>people and situations</w:t>
            </w:r>
          </w:p>
        </w:tc>
      </w:tr>
    </w:tbl>
    <w:p>
      <w:pPr>
        <w:spacing w:after="0" w:line="178" w:lineRule="exact"/>
        <w:rPr>
          <w:sz w:val="17"/>
        </w:rPr>
        <w:sectPr>
          <w:headerReference w:type="default" r:id="rId255"/>
          <w:footerReference w:type="default" r:id="rId256"/>
          <w:pgSz w:w="16840" w:h="11910" w:orient="landscape"/>
          <w:pgMar w:header="0" w:footer="0" w:top="300" w:bottom="0" w:left="860" w:right="280"/>
        </w:sectPr>
      </w:pPr>
    </w:p>
    <w:p>
      <w:pPr>
        <w:spacing w:before="86"/>
        <w:ind w:left="381" w:right="0" w:firstLine="0"/>
        <w:jc w:val="left"/>
        <w:rPr>
          <w:rFonts w:ascii="Stone Sans II ITC Std Bk"/>
          <w:b/>
          <w:sz w:val="16"/>
        </w:rPr>
      </w:pPr>
      <w:r>
        <w:rPr>
          <w:rFonts w:ascii="Stone Sans II ITC Std Bk"/>
          <w:b/>
          <w:w w:val="115"/>
          <w:sz w:val="16"/>
        </w:rPr>
        <w:t>An educator</w:t>
      </w:r>
    </w:p>
    <w:p>
      <w:pPr>
        <w:pStyle w:val="BodyText"/>
        <w:rPr>
          <w:rFonts w:ascii="Stone Sans II ITC Std Bk"/>
          <w:b/>
        </w:rPr>
      </w:pPr>
    </w:p>
    <w:p>
      <w:pPr>
        <w:pStyle w:val="BodyText"/>
        <w:rPr>
          <w:rFonts w:ascii="Stone Sans II ITC Std Bk"/>
          <w:b/>
        </w:rPr>
      </w:pPr>
    </w:p>
    <w:p>
      <w:pPr>
        <w:pStyle w:val="BodyText"/>
        <w:rPr>
          <w:rFonts w:ascii="Stone Sans II ITC Std Bk"/>
          <w:b/>
        </w:rPr>
      </w:pPr>
    </w:p>
    <w:p>
      <w:pPr>
        <w:pStyle w:val="BodyText"/>
        <w:spacing w:before="9"/>
        <w:rPr>
          <w:rFonts w:ascii="Stone Sans II ITC Std Bk"/>
          <w:b/>
          <w:sz w:val="19"/>
        </w:rPr>
      </w:pPr>
    </w:p>
    <w:p>
      <w:pPr>
        <w:spacing w:line="220" w:lineRule="auto" w:before="0"/>
        <w:ind w:left="381" w:right="14" w:firstLine="0"/>
        <w:jc w:val="left"/>
        <w:rPr>
          <w:rFonts w:ascii="Stone Sans II ITC Std Bk"/>
          <w:b/>
          <w:sz w:val="16"/>
        </w:rPr>
      </w:pPr>
      <w:r>
        <w:rPr>
          <w:rFonts w:ascii="Stone Sans II ITC Std Bk"/>
          <w:b/>
          <w:w w:val="115"/>
          <w:sz w:val="16"/>
        </w:rPr>
        <w:t>A missionary and evangelist</w:t>
      </w:r>
    </w:p>
    <w:p>
      <w:pPr>
        <w:pStyle w:val="ListParagraph"/>
        <w:numPr>
          <w:ilvl w:val="0"/>
          <w:numId w:val="94"/>
        </w:numPr>
        <w:tabs>
          <w:tab w:pos="721" w:val="left" w:leader="none"/>
          <w:tab w:pos="723" w:val="left" w:leader="none"/>
        </w:tabs>
        <w:spacing w:line="228" w:lineRule="auto" w:before="105" w:after="0"/>
        <w:ind w:left="722" w:right="0" w:hanging="341"/>
        <w:jc w:val="left"/>
        <w:rPr>
          <w:sz w:val="17"/>
        </w:rPr>
      </w:pPr>
      <w:r>
        <w:rPr>
          <w:spacing w:val="1"/>
          <w:w w:val="115"/>
          <w:sz w:val="17"/>
        </w:rPr>
        <w:br w:type="column"/>
      </w:r>
      <w:r>
        <w:rPr>
          <w:w w:val="125"/>
          <w:sz w:val="17"/>
        </w:rPr>
        <w:t>as one committed to being a learner</w:t>
      </w:r>
      <w:r>
        <w:rPr>
          <w:spacing w:val="-23"/>
          <w:w w:val="125"/>
          <w:sz w:val="17"/>
        </w:rPr>
        <w:t> </w:t>
      </w:r>
      <w:r>
        <w:rPr>
          <w:w w:val="125"/>
          <w:sz w:val="17"/>
        </w:rPr>
        <w:t>throughout life</w:t>
      </w:r>
    </w:p>
    <w:p>
      <w:pPr>
        <w:pStyle w:val="ListParagraph"/>
        <w:numPr>
          <w:ilvl w:val="0"/>
          <w:numId w:val="94"/>
        </w:numPr>
        <w:tabs>
          <w:tab w:pos="721" w:val="left" w:leader="none"/>
          <w:tab w:pos="723" w:val="left" w:leader="none"/>
        </w:tabs>
        <w:spacing w:line="195" w:lineRule="exact" w:before="0" w:after="0"/>
        <w:ind w:left="722" w:right="0" w:hanging="342"/>
        <w:jc w:val="left"/>
        <w:rPr>
          <w:sz w:val="17"/>
        </w:rPr>
      </w:pPr>
      <w:r>
        <w:rPr>
          <w:w w:val="120"/>
          <w:sz w:val="17"/>
        </w:rPr>
        <w:t>with</w:t>
      </w:r>
      <w:r>
        <w:rPr>
          <w:spacing w:val="12"/>
          <w:w w:val="120"/>
          <w:sz w:val="17"/>
        </w:rPr>
        <w:t> </w:t>
      </w:r>
      <w:r>
        <w:rPr>
          <w:w w:val="120"/>
          <w:sz w:val="17"/>
        </w:rPr>
        <w:t>awareness</w:t>
      </w:r>
      <w:r>
        <w:rPr>
          <w:spacing w:val="13"/>
          <w:w w:val="120"/>
          <w:sz w:val="17"/>
        </w:rPr>
        <w:t> </w:t>
      </w:r>
      <w:r>
        <w:rPr>
          <w:w w:val="120"/>
          <w:sz w:val="17"/>
        </w:rPr>
        <w:t>of</w:t>
      </w:r>
      <w:r>
        <w:rPr>
          <w:spacing w:val="13"/>
          <w:w w:val="120"/>
          <w:sz w:val="17"/>
        </w:rPr>
        <w:t> </w:t>
      </w:r>
      <w:r>
        <w:rPr>
          <w:w w:val="120"/>
          <w:sz w:val="17"/>
        </w:rPr>
        <w:t>own</w:t>
      </w:r>
      <w:r>
        <w:rPr>
          <w:spacing w:val="13"/>
          <w:w w:val="120"/>
          <w:sz w:val="17"/>
        </w:rPr>
        <w:t> </w:t>
      </w:r>
      <w:r>
        <w:rPr>
          <w:w w:val="120"/>
          <w:sz w:val="17"/>
        </w:rPr>
        <w:t>learning</w:t>
      </w:r>
      <w:r>
        <w:rPr>
          <w:spacing w:val="13"/>
          <w:w w:val="120"/>
          <w:sz w:val="17"/>
        </w:rPr>
        <w:t> </w:t>
      </w:r>
      <w:r>
        <w:rPr>
          <w:spacing w:val="2"/>
          <w:w w:val="120"/>
          <w:sz w:val="17"/>
        </w:rPr>
        <w:t>style</w:t>
      </w:r>
      <w:r>
        <w:rPr>
          <w:spacing w:val="13"/>
          <w:w w:val="120"/>
          <w:sz w:val="17"/>
        </w:rPr>
        <w:t> </w:t>
      </w:r>
      <w:r>
        <w:rPr>
          <w:w w:val="120"/>
          <w:sz w:val="17"/>
        </w:rPr>
        <w:t>and</w:t>
      </w:r>
      <w:r>
        <w:rPr>
          <w:spacing w:val="13"/>
          <w:w w:val="120"/>
          <w:sz w:val="17"/>
        </w:rPr>
        <w:t> </w:t>
      </w:r>
      <w:r>
        <w:rPr>
          <w:w w:val="120"/>
          <w:sz w:val="17"/>
        </w:rPr>
        <w:t>needs</w:t>
      </w:r>
    </w:p>
    <w:p>
      <w:pPr>
        <w:pStyle w:val="ListParagraph"/>
        <w:numPr>
          <w:ilvl w:val="0"/>
          <w:numId w:val="94"/>
        </w:numPr>
        <w:tabs>
          <w:tab w:pos="721" w:val="left" w:leader="none"/>
          <w:tab w:pos="723" w:val="left" w:leader="none"/>
        </w:tabs>
        <w:spacing w:line="228" w:lineRule="auto" w:before="0" w:after="0"/>
        <w:ind w:left="722" w:right="218" w:hanging="341"/>
        <w:jc w:val="left"/>
        <w:rPr>
          <w:sz w:val="17"/>
        </w:rPr>
      </w:pPr>
      <w:r>
        <w:rPr>
          <w:w w:val="125"/>
          <w:sz w:val="17"/>
        </w:rPr>
        <w:t>taking regular opportunities to learn, develop and grow</w:t>
      </w:r>
    </w:p>
    <w:p>
      <w:pPr>
        <w:pStyle w:val="BodyText"/>
        <w:spacing w:before="6"/>
        <w:rPr>
          <w:sz w:val="22"/>
        </w:rPr>
      </w:pPr>
    </w:p>
    <w:p>
      <w:pPr>
        <w:pStyle w:val="ListParagraph"/>
        <w:numPr>
          <w:ilvl w:val="0"/>
          <w:numId w:val="94"/>
        </w:numPr>
        <w:tabs>
          <w:tab w:pos="721" w:val="left" w:leader="none"/>
          <w:tab w:pos="723" w:val="left" w:leader="none"/>
        </w:tabs>
        <w:spacing w:line="228" w:lineRule="auto" w:before="0" w:after="0"/>
        <w:ind w:left="722" w:right="152" w:hanging="341"/>
        <w:jc w:val="left"/>
        <w:rPr>
          <w:sz w:val="17"/>
        </w:rPr>
      </w:pPr>
      <w:r>
        <w:rPr>
          <w:w w:val="120"/>
          <w:sz w:val="17"/>
        </w:rPr>
        <w:t>as one who understands and engages with the local</w:t>
      </w:r>
      <w:r>
        <w:rPr>
          <w:spacing w:val="3"/>
          <w:w w:val="120"/>
          <w:sz w:val="17"/>
        </w:rPr>
        <w:t> </w:t>
      </w:r>
      <w:r>
        <w:rPr>
          <w:w w:val="120"/>
          <w:sz w:val="17"/>
        </w:rPr>
        <w:t>community</w:t>
      </w:r>
    </w:p>
    <w:p>
      <w:pPr>
        <w:pStyle w:val="ListParagraph"/>
        <w:numPr>
          <w:ilvl w:val="0"/>
          <w:numId w:val="94"/>
        </w:numPr>
        <w:tabs>
          <w:tab w:pos="721" w:val="left" w:leader="none"/>
          <w:tab w:pos="723" w:val="left" w:leader="none"/>
        </w:tabs>
        <w:spacing w:line="195" w:lineRule="exact" w:before="0" w:after="0"/>
        <w:ind w:left="722" w:right="0" w:hanging="342"/>
        <w:jc w:val="left"/>
        <w:rPr>
          <w:sz w:val="17"/>
        </w:rPr>
      </w:pPr>
      <w:r>
        <w:rPr>
          <w:w w:val="120"/>
          <w:sz w:val="17"/>
        </w:rPr>
        <w:t>as one on fire with the</w:t>
      </w:r>
      <w:r>
        <w:rPr>
          <w:spacing w:val="22"/>
          <w:w w:val="120"/>
          <w:sz w:val="17"/>
        </w:rPr>
        <w:t> </w:t>
      </w:r>
      <w:r>
        <w:rPr>
          <w:w w:val="120"/>
          <w:sz w:val="17"/>
        </w:rPr>
        <w:t>Gospel</w:t>
      </w:r>
    </w:p>
    <w:p>
      <w:pPr>
        <w:pStyle w:val="ListParagraph"/>
        <w:numPr>
          <w:ilvl w:val="0"/>
          <w:numId w:val="94"/>
        </w:numPr>
        <w:tabs>
          <w:tab w:pos="721" w:val="left" w:leader="none"/>
          <w:tab w:pos="723" w:val="left" w:leader="none"/>
        </w:tabs>
        <w:spacing w:line="200" w:lineRule="exact" w:before="0" w:after="0"/>
        <w:ind w:left="722" w:right="0" w:hanging="342"/>
        <w:jc w:val="left"/>
        <w:rPr>
          <w:sz w:val="17"/>
        </w:rPr>
      </w:pPr>
      <w:r>
        <w:rPr>
          <w:w w:val="120"/>
          <w:sz w:val="17"/>
        </w:rPr>
        <w:t>with a message to </w:t>
      </w:r>
      <w:r>
        <w:rPr>
          <w:spacing w:val="22"/>
          <w:w w:val="120"/>
          <w:sz w:val="17"/>
        </w:rPr>
        <w:t> </w:t>
      </w:r>
      <w:r>
        <w:rPr>
          <w:w w:val="120"/>
          <w:sz w:val="17"/>
        </w:rPr>
        <w:t>proclaim</w:t>
      </w:r>
    </w:p>
    <w:p>
      <w:pPr>
        <w:pStyle w:val="ListParagraph"/>
        <w:numPr>
          <w:ilvl w:val="0"/>
          <w:numId w:val="94"/>
        </w:numPr>
        <w:tabs>
          <w:tab w:pos="721" w:val="left" w:leader="none"/>
          <w:tab w:pos="723" w:val="left" w:leader="none"/>
        </w:tabs>
        <w:spacing w:line="200" w:lineRule="exact" w:before="0" w:after="0"/>
        <w:ind w:left="722" w:right="0" w:hanging="342"/>
        <w:jc w:val="left"/>
        <w:rPr>
          <w:sz w:val="17"/>
        </w:rPr>
      </w:pPr>
      <w:r>
        <w:rPr>
          <w:w w:val="125"/>
          <w:sz w:val="17"/>
        </w:rPr>
        <w:t>with a love for God’s</w:t>
      </w:r>
      <w:r>
        <w:rPr>
          <w:spacing w:val="-17"/>
          <w:w w:val="125"/>
          <w:sz w:val="17"/>
        </w:rPr>
        <w:t> </w:t>
      </w:r>
      <w:r>
        <w:rPr>
          <w:w w:val="125"/>
          <w:sz w:val="17"/>
        </w:rPr>
        <w:t>world</w:t>
      </w:r>
    </w:p>
    <w:p>
      <w:pPr>
        <w:pStyle w:val="ListParagraph"/>
        <w:numPr>
          <w:ilvl w:val="0"/>
          <w:numId w:val="94"/>
        </w:numPr>
        <w:tabs>
          <w:tab w:pos="721" w:val="left" w:leader="none"/>
          <w:tab w:pos="723" w:val="left" w:leader="none"/>
        </w:tabs>
        <w:spacing w:line="228" w:lineRule="auto" w:before="0" w:after="0"/>
        <w:ind w:left="722" w:right="123" w:hanging="341"/>
        <w:jc w:val="left"/>
        <w:rPr>
          <w:sz w:val="17"/>
        </w:rPr>
      </w:pPr>
      <w:r>
        <w:rPr>
          <w:w w:val="120"/>
          <w:sz w:val="17"/>
        </w:rPr>
        <w:t>with a </w:t>
      </w:r>
      <w:r>
        <w:rPr>
          <w:spacing w:val="2"/>
          <w:w w:val="120"/>
          <w:sz w:val="17"/>
        </w:rPr>
        <w:t>primary </w:t>
      </w:r>
      <w:r>
        <w:rPr>
          <w:w w:val="120"/>
          <w:sz w:val="17"/>
        </w:rPr>
        <w:t>commitment to community and to</w:t>
      </w:r>
      <w:r>
        <w:rPr>
          <w:spacing w:val="2"/>
          <w:w w:val="120"/>
          <w:sz w:val="17"/>
        </w:rPr>
        <w:t> </w:t>
      </w:r>
      <w:r>
        <w:rPr>
          <w:w w:val="120"/>
          <w:sz w:val="17"/>
        </w:rPr>
        <w:t>others</w:t>
      </w:r>
    </w:p>
    <w:p>
      <w:pPr>
        <w:pStyle w:val="ListParagraph"/>
        <w:numPr>
          <w:ilvl w:val="0"/>
          <w:numId w:val="94"/>
        </w:numPr>
        <w:tabs>
          <w:tab w:pos="721" w:val="left" w:leader="none"/>
          <w:tab w:pos="723" w:val="left" w:leader="none"/>
        </w:tabs>
        <w:spacing w:line="228" w:lineRule="auto" w:before="0" w:after="0"/>
        <w:ind w:left="722" w:right="585" w:hanging="341"/>
        <w:jc w:val="left"/>
        <w:rPr>
          <w:sz w:val="17"/>
        </w:rPr>
      </w:pPr>
      <w:r>
        <w:rPr/>
        <w:pict>
          <v:shape style="position:absolute;margin-left:288.117279pt;margin-top:31.378269pt;width:503.9pt;height:19.8pt;mso-position-horizontal-relative:page;mso-position-vertical-relative:paragraph;z-index:251873280;rotation:180" type="#_x0000_t136" fillcolor="#ffffff" stroked="f">
            <o:extrusion v:ext="view" autorotationcenter="t"/>
            <v:textpath style="font-family:&quot;Calibri&quot;;font-size:19pt;v-text-kern:t;mso-text-shadow:auto" string="Education and learning – Expectations of ministry"/>
            <w10:wrap type="none"/>
          </v:shape>
        </w:pict>
      </w:r>
      <w:r>
        <w:rPr>
          <w:w w:val="120"/>
          <w:sz w:val="17"/>
        </w:rPr>
        <w:t>as one who can share the Good News in a creative</w:t>
      </w:r>
      <w:r>
        <w:rPr>
          <w:spacing w:val="2"/>
          <w:w w:val="120"/>
          <w:sz w:val="17"/>
        </w:rPr>
        <w:t> </w:t>
      </w:r>
      <w:r>
        <w:rPr>
          <w:w w:val="120"/>
          <w:sz w:val="17"/>
        </w:rPr>
        <w:t>way</w:t>
      </w:r>
    </w:p>
    <w:p>
      <w:pPr>
        <w:pStyle w:val="ListParagraph"/>
        <w:numPr>
          <w:ilvl w:val="0"/>
          <w:numId w:val="104"/>
        </w:numPr>
        <w:tabs>
          <w:tab w:pos="537" w:val="left" w:leader="none"/>
          <w:tab w:pos="538" w:val="left" w:leader="none"/>
        </w:tabs>
        <w:spacing w:line="210" w:lineRule="exact" w:before="97" w:after="0"/>
        <w:ind w:left="537" w:right="0" w:hanging="341"/>
        <w:jc w:val="left"/>
        <w:rPr>
          <w:sz w:val="17"/>
        </w:rPr>
      </w:pPr>
      <w:r>
        <w:rPr>
          <w:spacing w:val="1"/>
          <w:w w:val="124"/>
          <w:sz w:val="17"/>
        </w:rPr>
        <w:br w:type="column"/>
      </w:r>
      <w:r>
        <w:rPr>
          <w:w w:val="125"/>
          <w:sz w:val="17"/>
        </w:rPr>
        <w:t>how people learn and</w:t>
      </w:r>
      <w:r>
        <w:rPr>
          <w:spacing w:val="2"/>
          <w:w w:val="125"/>
          <w:sz w:val="17"/>
        </w:rPr>
        <w:t> </w:t>
      </w:r>
      <w:r>
        <w:rPr>
          <w:w w:val="125"/>
          <w:sz w:val="17"/>
        </w:rPr>
        <w:t>grow</w:t>
      </w:r>
    </w:p>
    <w:p>
      <w:pPr>
        <w:pStyle w:val="ListParagraph"/>
        <w:numPr>
          <w:ilvl w:val="0"/>
          <w:numId w:val="104"/>
        </w:numPr>
        <w:tabs>
          <w:tab w:pos="537" w:val="left" w:leader="none"/>
          <w:tab w:pos="538" w:val="left" w:leader="none"/>
        </w:tabs>
        <w:spacing w:line="230" w:lineRule="auto" w:before="0" w:after="0"/>
        <w:ind w:left="537" w:right="0" w:hanging="341"/>
        <w:jc w:val="left"/>
        <w:rPr>
          <w:sz w:val="17"/>
        </w:rPr>
      </w:pPr>
      <w:r>
        <w:rPr>
          <w:w w:val="125"/>
          <w:sz w:val="17"/>
        </w:rPr>
        <w:t>how to develop community learning opportunities using community development practices</w:t>
      </w:r>
    </w:p>
    <w:p>
      <w:pPr>
        <w:pStyle w:val="ListParagraph"/>
        <w:numPr>
          <w:ilvl w:val="0"/>
          <w:numId w:val="104"/>
        </w:numPr>
        <w:tabs>
          <w:tab w:pos="537" w:val="left" w:leader="none"/>
          <w:tab w:pos="538" w:val="left" w:leader="none"/>
        </w:tabs>
        <w:spacing w:line="228" w:lineRule="auto" w:before="0" w:after="0"/>
        <w:ind w:left="537" w:right="675" w:hanging="341"/>
        <w:jc w:val="left"/>
        <w:rPr>
          <w:sz w:val="17"/>
        </w:rPr>
      </w:pPr>
      <w:r>
        <w:rPr>
          <w:w w:val="120"/>
          <w:sz w:val="17"/>
        </w:rPr>
        <w:t>the ethos and practices of community education</w:t>
      </w:r>
    </w:p>
    <w:p>
      <w:pPr>
        <w:pStyle w:val="ListParagraph"/>
        <w:numPr>
          <w:ilvl w:val="0"/>
          <w:numId w:val="104"/>
        </w:numPr>
        <w:tabs>
          <w:tab w:pos="537" w:val="left" w:leader="none"/>
          <w:tab w:pos="538" w:val="left" w:leader="none"/>
        </w:tabs>
        <w:spacing w:line="228" w:lineRule="auto" w:before="65" w:after="0"/>
        <w:ind w:left="537" w:right="109" w:hanging="341"/>
        <w:jc w:val="left"/>
        <w:rPr>
          <w:sz w:val="17"/>
        </w:rPr>
      </w:pPr>
      <w:r>
        <w:rPr>
          <w:w w:val="120"/>
          <w:sz w:val="17"/>
        </w:rPr>
        <w:t>how to analyse and to understand the contemporary world and particular</w:t>
      </w:r>
      <w:r>
        <w:rPr>
          <w:spacing w:val="-17"/>
          <w:w w:val="120"/>
          <w:sz w:val="17"/>
        </w:rPr>
        <w:t> </w:t>
      </w:r>
      <w:r>
        <w:rPr>
          <w:w w:val="120"/>
          <w:sz w:val="17"/>
        </w:rPr>
        <w:t>contexts</w:t>
      </w:r>
    </w:p>
    <w:p>
      <w:pPr>
        <w:pStyle w:val="ListParagraph"/>
        <w:numPr>
          <w:ilvl w:val="0"/>
          <w:numId w:val="104"/>
        </w:numPr>
        <w:tabs>
          <w:tab w:pos="537" w:val="left" w:leader="none"/>
          <w:tab w:pos="538" w:val="left" w:leader="none"/>
        </w:tabs>
        <w:spacing w:line="195" w:lineRule="exact" w:before="0" w:after="0"/>
        <w:ind w:left="537" w:right="0" w:hanging="341"/>
        <w:jc w:val="left"/>
        <w:rPr>
          <w:sz w:val="17"/>
        </w:rPr>
      </w:pPr>
      <w:r>
        <w:rPr>
          <w:w w:val="120"/>
          <w:sz w:val="17"/>
        </w:rPr>
        <w:t>the demands of evangelism</w:t>
      </w:r>
      <w:r>
        <w:rPr>
          <w:spacing w:val="21"/>
          <w:w w:val="120"/>
          <w:sz w:val="17"/>
        </w:rPr>
        <w:t> </w:t>
      </w:r>
      <w:r>
        <w:rPr>
          <w:w w:val="120"/>
          <w:sz w:val="17"/>
        </w:rPr>
        <w:t>today</w:t>
      </w:r>
    </w:p>
    <w:p>
      <w:pPr>
        <w:pStyle w:val="ListParagraph"/>
        <w:numPr>
          <w:ilvl w:val="0"/>
          <w:numId w:val="104"/>
        </w:numPr>
        <w:tabs>
          <w:tab w:pos="537" w:val="left" w:leader="none"/>
          <w:tab w:pos="538" w:val="left" w:leader="none"/>
        </w:tabs>
        <w:spacing w:line="228" w:lineRule="auto" w:before="0" w:after="0"/>
        <w:ind w:left="537" w:right="23" w:hanging="341"/>
        <w:jc w:val="left"/>
        <w:rPr>
          <w:sz w:val="17"/>
        </w:rPr>
      </w:pPr>
      <w:r>
        <w:rPr>
          <w:w w:val="125"/>
          <w:sz w:val="17"/>
        </w:rPr>
        <w:t>how to assess, develop links with and engage with a community</w:t>
      </w:r>
    </w:p>
    <w:p>
      <w:pPr>
        <w:pStyle w:val="ListParagraph"/>
        <w:numPr>
          <w:ilvl w:val="0"/>
          <w:numId w:val="104"/>
        </w:numPr>
        <w:tabs>
          <w:tab w:pos="537" w:val="left" w:leader="none"/>
          <w:tab w:pos="538" w:val="left" w:leader="none"/>
        </w:tabs>
        <w:spacing w:line="230" w:lineRule="auto" w:before="0" w:after="0"/>
        <w:ind w:left="537" w:right="58" w:hanging="341"/>
        <w:jc w:val="left"/>
        <w:rPr>
          <w:sz w:val="17"/>
        </w:rPr>
      </w:pPr>
      <w:r>
        <w:rPr>
          <w:w w:val="120"/>
          <w:sz w:val="17"/>
        </w:rPr>
        <w:t>how to analyse and to understand the use of power, politics, the contemporary world and particular</w:t>
      </w:r>
      <w:r>
        <w:rPr>
          <w:spacing w:val="3"/>
          <w:w w:val="120"/>
          <w:sz w:val="17"/>
        </w:rPr>
        <w:t> </w:t>
      </w:r>
      <w:r>
        <w:rPr>
          <w:w w:val="120"/>
          <w:sz w:val="17"/>
        </w:rPr>
        <w:t>contexts</w:t>
      </w:r>
    </w:p>
    <w:p>
      <w:pPr>
        <w:pStyle w:val="ListParagraph"/>
        <w:numPr>
          <w:ilvl w:val="1"/>
          <w:numId w:val="104"/>
        </w:numPr>
        <w:tabs>
          <w:tab w:pos="685" w:val="left" w:leader="none"/>
          <w:tab w:pos="686" w:val="left" w:leader="none"/>
        </w:tabs>
        <w:spacing w:line="228" w:lineRule="auto" w:before="105" w:after="0"/>
        <w:ind w:left="685" w:right="523" w:hanging="341"/>
        <w:jc w:val="left"/>
        <w:rPr>
          <w:sz w:val="17"/>
        </w:rPr>
      </w:pPr>
      <w:r>
        <w:rPr>
          <w:spacing w:val="-1"/>
          <w:w w:val="117"/>
          <w:sz w:val="17"/>
        </w:rPr>
        <w:br w:type="column"/>
      </w:r>
      <w:r>
        <w:rPr>
          <w:w w:val="125"/>
          <w:sz w:val="17"/>
        </w:rPr>
        <w:t>teaching all ages and all kinds</w:t>
      </w:r>
      <w:r>
        <w:rPr>
          <w:spacing w:val="-19"/>
          <w:w w:val="125"/>
          <w:sz w:val="17"/>
        </w:rPr>
        <w:t> </w:t>
      </w:r>
      <w:r>
        <w:rPr>
          <w:w w:val="125"/>
          <w:sz w:val="17"/>
        </w:rPr>
        <w:t>of </w:t>
      </w:r>
      <w:r>
        <w:rPr>
          <w:spacing w:val="2"/>
          <w:w w:val="125"/>
          <w:sz w:val="17"/>
        </w:rPr>
        <w:t>people</w:t>
      </w:r>
    </w:p>
    <w:p>
      <w:pPr>
        <w:pStyle w:val="ListParagraph"/>
        <w:numPr>
          <w:ilvl w:val="1"/>
          <w:numId w:val="104"/>
        </w:numPr>
        <w:tabs>
          <w:tab w:pos="685" w:val="left" w:leader="none"/>
          <w:tab w:pos="686" w:val="left" w:leader="none"/>
        </w:tabs>
        <w:spacing w:line="230" w:lineRule="auto" w:before="0" w:after="0"/>
        <w:ind w:left="685" w:right="650" w:hanging="341"/>
        <w:jc w:val="left"/>
        <w:rPr>
          <w:sz w:val="17"/>
        </w:rPr>
      </w:pPr>
      <w:r>
        <w:rPr>
          <w:w w:val="125"/>
          <w:sz w:val="17"/>
        </w:rPr>
        <w:t>facilitating community learning for social and political development</w:t>
      </w:r>
    </w:p>
    <w:p>
      <w:pPr>
        <w:pStyle w:val="BodyText"/>
        <w:spacing w:before="1"/>
        <w:rPr>
          <w:sz w:val="21"/>
        </w:rPr>
      </w:pPr>
    </w:p>
    <w:p>
      <w:pPr>
        <w:pStyle w:val="ListParagraph"/>
        <w:numPr>
          <w:ilvl w:val="1"/>
          <w:numId w:val="104"/>
        </w:numPr>
        <w:tabs>
          <w:tab w:pos="685" w:val="left" w:leader="none"/>
          <w:tab w:pos="686" w:val="left" w:leader="none"/>
        </w:tabs>
        <w:spacing w:line="210" w:lineRule="exact" w:before="0" w:after="0"/>
        <w:ind w:left="685" w:right="0" w:hanging="341"/>
        <w:jc w:val="left"/>
        <w:rPr>
          <w:sz w:val="17"/>
        </w:rPr>
      </w:pPr>
      <w:r>
        <w:rPr>
          <w:w w:val="120"/>
          <w:sz w:val="17"/>
        </w:rPr>
        <w:t>effective</w:t>
      </w:r>
      <w:r>
        <w:rPr>
          <w:spacing w:val="4"/>
          <w:w w:val="120"/>
          <w:sz w:val="17"/>
        </w:rPr>
        <w:t> </w:t>
      </w:r>
      <w:r>
        <w:rPr>
          <w:w w:val="120"/>
          <w:sz w:val="17"/>
        </w:rPr>
        <w:t>communication</w:t>
      </w:r>
    </w:p>
    <w:p>
      <w:pPr>
        <w:pStyle w:val="ListParagraph"/>
        <w:numPr>
          <w:ilvl w:val="1"/>
          <w:numId w:val="104"/>
        </w:numPr>
        <w:tabs>
          <w:tab w:pos="685" w:val="left" w:leader="none"/>
          <w:tab w:pos="686" w:val="left" w:leader="none"/>
        </w:tabs>
        <w:spacing w:line="200" w:lineRule="exact" w:before="0" w:after="0"/>
        <w:ind w:left="685" w:right="0" w:hanging="341"/>
        <w:jc w:val="left"/>
        <w:rPr>
          <w:sz w:val="17"/>
        </w:rPr>
      </w:pPr>
      <w:r>
        <w:rPr>
          <w:w w:val="125"/>
          <w:sz w:val="17"/>
        </w:rPr>
        <w:t>social and political action</w:t>
      </w:r>
    </w:p>
    <w:p>
      <w:pPr>
        <w:pStyle w:val="ListParagraph"/>
        <w:numPr>
          <w:ilvl w:val="1"/>
          <w:numId w:val="104"/>
        </w:numPr>
        <w:tabs>
          <w:tab w:pos="685" w:val="left" w:leader="none"/>
          <w:tab w:pos="686" w:val="left" w:leader="none"/>
        </w:tabs>
        <w:spacing w:line="200" w:lineRule="exact" w:before="0" w:after="0"/>
        <w:ind w:left="685" w:right="0" w:hanging="341"/>
        <w:jc w:val="left"/>
        <w:rPr>
          <w:sz w:val="17"/>
        </w:rPr>
      </w:pPr>
      <w:r>
        <w:rPr>
          <w:w w:val="120"/>
          <w:sz w:val="17"/>
        </w:rPr>
        <w:t>facilitating community</w:t>
      </w:r>
      <w:r>
        <w:rPr>
          <w:spacing w:val="14"/>
          <w:w w:val="120"/>
          <w:sz w:val="17"/>
        </w:rPr>
        <w:t> </w:t>
      </w:r>
      <w:r>
        <w:rPr>
          <w:w w:val="120"/>
          <w:sz w:val="17"/>
        </w:rPr>
        <w:t>research</w:t>
      </w:r>
    </w:p>
    <w:p>
      <w:pPr>
        <w:pStyle w:val="ListParagraph"/>
        <w:numPr>
          <w:ilvl w:val="1"/>
          <w:numId w:val="104"/>
        </w:numPr>
        <w:tabs>
          <w:tab w:pos="685" w:val="left" w:leader="none"/>
          <w:tab w:pos="686" w:val="left" w:leader="none"/>
        </w:tabs>
        <w:spacing w:line="228" w:lineRule="auto" w:before="0" w:after="0"/>
        <w:ind w:left="685" w:right="416" w:hanging="341"/>
        <w:jc w:val="left"/>
        <w:rPr>
          <w:sz w:val="17"/>
        </w:rPr>
      </w:pPr>
      <w:r>
        <w:rPr>
          <w:w w:val="120"/>
          <w:sz w:val="17"/>
        </w:rPr>
        <w:t>analysing and dissemination their community research with</w:t>
      </w:r>
      <w:r>
        <w:rPr>
          <w:spacing w:val="39"/>
          <w:w w:val="120"/>
          <w:sz w:val="17"/>
        </w:rPr>
        <w:t> </w:t>
      </w:r>
      <w:r>
        <w:rPr>
          <w:w w:val="120"/>
          <w:sz w:val="17"/>
        </w:rPr>
        <w:t>others</w:t>
      </w:r>
    </w:p>
    <w:p>
      <w:pPr>
        <w:spacing w:after="0" w:line="228" w:lineRule="auto"/>
        <w:jc w:val="left"/>
        <w:rPr>
          <w:sz w:val="17"/>
        </w:rPr>
        <w:sectPr>
          <w:type w:val="continuous"/>
          <w:pgSz w:w="16840" w:h="11910" w:orient="landscape"/>
          <w:pgMar w:top="1580" w:bottom="280" w:left="860" w:right="280"/>
          <w:cols w:num="4" w:equalWidth="0">
            <w:col w:w="1936" w:space="350"/>
            <w:col w:w="4889" w:space="40"/>
            <w:col w:w="4466" w:space="39"/>
            <w:col w:w="3980"/>
          </w:cols>
        </w:sectPr>
      </w:pPr>
    </w:p>
    <w:p>
      <w:pPr>
        <w:rPr>
          <w:sz w:val="2"/>
          <w:szCs w:val="2"/>
        </w:rPr>
      </w:pPr>
      <w:r>
        <w:rPr/>
        <w:pict>
          <v:group style="position:absolute;margin-left:.0pt;margin-top:388.237305pt;width:841.9pt;height:207.05pt;mso-position-horizontal-relative:page;mso-position-vertical-relative:page;z-index:-267901952" coordorigin="0,7765" coordsize="16838,4141">
            <v:shape style="position:absolute;left:0;top:10984;width:16838;height:922" type="#_x0000_t75" stroked="false">
              <v:imagedata r:id="rId257" o:title=""/>
            </v:shape>
            <v:line style="position:absolute" from="3415,7775" to="3425,7775" stroked="true" strokeweight=".993pt" strokecolor="#000000">
              <v:stroke dashstyle="solid"/>
            </v:line>
            <v:line style="position:absolute" from="3420,9006" to="3420,7834" stroked="true" strokeweight=".5pt" strokecolor="#000000">
              <v:stroke dashstyle="shortdot"/>
            </v:line>
            <v:shape style="position:absolute;left:3414;top:7804;width:10;height:1252" coordorigin="3415,7805" coordsize="10,1252" path="m3415,9056l3425,9056m3415,7805l3425,7805e" filled="false" stroked="true" strokeweight=".993pt" strokecolor="#000000">
              <v:path arrowok="t"/>
              <v:stroke dashstyle="solid"/>
            </v:shape>
            <v:line style="position:absolute" from="3420,10915" to="3420,9115" stroked="true" strokeweight=".5pt" strokecolor="#000000">
              <v:stroke dashstyle="shortdot"/>
            </v:line>
            <v:line style="position:absolute" from="3415,10965" to="3425,10965" stroked="true" strokeweight=".989pt" strokecolor="#000000">
              <v:stroke dashstyle="solid"/>
            </v:line>
            <v:line style="position:absolute" from="3415,9086" to="3425,9086" stroked="true" strokeweight=".989pt" strokecolor="#000000">
              <v:stroke dashstyle="solid"/>
            </v:line>
            <v:line style="position:absolute" from="8159,7775" to="8169,7775" stroked="true" strokeweight=".993pt" strokecolor="#000000">
              <v:stroke dashstyle="solid"/>
            </v:line>
            <v:line style="position:absolute" from="8164,9006" to="8164,7834" stroked="true" strokeweight=".5pt" strokecolor="#000000">
              <v:stroke dashstyle="shortdot"/>
            </v:line>
            <v:shape style="position:absolute;left:8158;top:7804;width:10;height:1252" coordorigin="8159,7805" coordsize="10,1252" path="m8159,9056l8169,9056m8159,7805l8169,7805e" filled="false" stroked="true" strokeweight=".993pt" strokecolor="#000000">
              <v:path arrowok="t"/>
              <v:stroke dashstyle="solid"/>
            </v:shape>
            <v:line style="position:absolute" from="8164,10915" to="8164,9115" stroked="true" strokeweight=".5pt" strokecolor="#000000">
              <v:stroke dashstyle="shortdot"/>
            </v:line>
            <v:line style="position:absolute" from="8159,10965" to="8169,10965" stroked="true" strokeweight=".989pt" strokecolor="#000000">
              <v:stroke dashstyle="solid"/>
            </v:line>
            <v:line style="position:absolute" from="8159,9086" to="8169,9086" stroked="true" strokeweight=".989pt" strokecolor="#000000">
              <v:stroke dashstyle="solid"/>
            </v:line>
            <v:line style="position:absolute" from="12813,7775" to="12823,7775" stroked="true" strokeweight=".993pt" strokecolor="#000000">
              <v:stroke dashstyle="solid"/>
            </v:line>
            <v:line style="position:absolute" from="12818,9006" to="12818,7834" stroked="true" strokeweight=".5pt" strokecolor="#000000">
              <v:stroke dashstyle="shortdot"/>
            </v:line>
            <v:shape style="position:absolute;left:12813;top:7804;width:10;height:1252" coordorigin="12813,7805" coordsize="10,1252" path="m12813,9056l12823,9056m12813,7805l12823,7805e" filled="false" stroked="true" strokeweight=".993pt" strokecolor="#000000">
              <v:path arrowok="t"/>
              <v:stroke dashstyle="solid"/>
            </v:shape>
            <v:line style="position:absolute" from="12818,10915" to="12818,9115" stroked="true" strokeweight=".5pt" strokecolor="#000000">
              <v:stroke dashstyle="shortdot"/>
            </v:line>
            <v:line style="position:absolute" from="12813,10965" to="12823,10965" stroked="true" strokeweight=".989pt" strokecolor="#000000">
              <v:stroke dashstyle="solid"/>
            </v:line>
            <v:line style="position:absolute" from="12813,9086" to="12823,9086" stroked="true" strokeweight=".989pt" strokecolor="#000000">
              <v:stroke dashstyle="solid"/>
            </v:line>
            <v:line style="position:absolute" from="1134,7790" to="3420,7790" stroked="true" strokeweight=".5pt" strokecolor="#000000">
              <v:stroke dashstyle="solid"/>
            </v:line>
            <v:line style="position:absolute" from="3420,7790" to="8164,7790" stroked="true" strokeweight=".5pt" strokecolor="#000000">
              <v:stroke dashstyle="solid"/>
            </v:line>
            <v:line style="position:absolute" from="8164,7790" to="12818,7790" stroked="true" strokeweight=".5pt" strokecolor="#000000">
              <v:stroke dashstyle="solid"/>
            </v:line>
            <v:line style="position:absolute" from="12818,7790" to="16311,7790" stroked="true" strokeweight=".5pt" strokecolor="#000000">
              <v:stroke dashstyle="solid"/>
            </v:line>
            <v:line style="position:absolute" from="1134,9071" to="3420,9071" stroked="true" strokeweight=".5pt" strokecolor="#000000">
              <v:stroke dashstyle="solid"/>
            </v:line>
            <v:line style="position:absolute" from="3420,9071" to="8164,9071" stroked="true" strokeweight=".5pt" strokecolor="#000000">
              <v:stroke dashstyle="solid"/>
            </v:line>
            <v:line style="position:absolute" from="8164,9071" to="12818,9071" stroked="true" strokeweight=".5pt" strokecolor="#000000">
              <v:stroke dashstyle="solid"/>
            </v:line>
            <v:line style="position:absolute" from="12818,9071" to="16311,9071" stroked="true" strokeweight=".5pt" strokecolor="#000000">
              <v:stroke dashstyle="solid"/>
            </v:line>
            <v:line style="position:absolute" from="1134,10980" to="3420,10980" stroked="true" strokeweight=".5pt" strokecolor="#000000">
              <v:stroke dashstyle="solid"/>
            </v:line>
            <v:line style="position:absolute" from="3420,10980" to="8164,10980" stroked="true" strokeweight=".5pt" strokecolor="#000000">
              <v:stroke dashstyle="solid"/>
            </v:line>
            <v:line style="position:absolute" from="8164,10980" to="12818,10980" stroked="true" strokeweight=".5pt" strokecolor="#000000">
              <v:stroke dashstyle="solid"/>
            </v:line>
            <v:line style="position:absolute" from="12818,10980" to="16311,10980" stroked="true" strokeweight=".5pt" strokecolor="#000000">
              <v:stroke dashstyle="solid"/>
            </v:line>
            <w10:wrap type="none"/>
          </v:group>
        </w:pict>
      </w:r>
      <w:r>
        <w:rPr/>
        <w:pict>
          <v:shape style="position:absolute;margin-left:25.93306pt;margin-top:224.923203pt;width:17.45pt;height:309pt;mso-position-horizontal-relative:page;mso-position-vertical-relative:page;z-index:251872256" type="#_x0000_t202" filled="false" stroked="false">
            <v:textbox inset="0,0,0,0" style="layout-flow:vertical">
              <w:txbxContent>
                <w:p>
                  <w:pPr>
                    <w:spacing w:before="16"/>
                    <w:ind w:left="20" w:right="0" w:firstLine="0"/>
                    <w:jc w:val="left"/>
                    <w:rPr>
                      <w:rFonts w:ascii="Stone Sans II ITC Std X Bd" w:hAnsi="Stone Sans II ITC Std X Bd"/>
                      <w:b/>
                      <w:sz w:val="24"/>
                    </w:rPr>
                  </w:pPr>
                  <w:r>
                    <w:rPr>
                      <w:color w:val="7EAABF"/>
                      <w:w w:val="110"/>
                      <w:sz w:val="23"/>
                    </w:rPr>
                    <w:t>United Reformed Church </w:t>
                  </w:r>
                  <w:r>
                    <w:rPr>
                      <w:rFonts w:ascii="Symbol" w:hAnsi="Symbol"/>
                      <w:color w:val="7EAABF"/>
                      <w:w w:val="110"/>
                      <w:sz w:val="23"/>
                    </w:rPr>
                    <w:t></w:t>
                  </w:r>
                  <w:r>
                    <w:rPr>
                      <w:rFonts w:ascii="Times New Roman" w:hAnsi="Times New Roman"/>
                      <w:color w:val="7EAABF"/>
                      <w:w w:val="110"/>
                      <w:sz w:val="23"/>
                    </w:rPr>
                    <w:t> </w:t>
                  </w:r>
                  <w:r>
                    <w:rPr>
                      <w:color w:val="7EAABF"/>
                      <w:w w:val="110"/>
                      <w:sz w:val="23"/>
                    </w:rPr>
                    <w:t>General Assembly 2016 </w:t>
                  </w:r>
                  <w:r>
                    <w:rPr>
                      <w:rFonts w:ascii="Symbol" w:hAnsi="Symbol"/>
                      <w:color w:val="7EAABF"/>
                      <w:w w:val="110"/>
                      <w:sz w:val="23"/>
                    </w:rPr>
                    <w:t></w:t>
                  </w:r>
                  <w:r>
                    <w:rPr>
                      <w:rFonts w:ascii="Times New Roman" w:hAnsi="Times New Roman"/>
                      <w:color w:val="7EAABF"/>
                      <w:w w:val="110"/>
                      <w:sz w:val="23"/>
                    </w:rPr>
                    <w:t> </w:t>
                  </w:r>
                  <w:r>
                    <w:rPr>
                      <w:rFonts w:ascii="Stone Sans II ITC Std X Bd" w:hAnsi="Stone Sans II ITC Std X Bd"/>
                      <w:b/>
                      <w:w w:val="110"/>
                      <w:sz w:val="24"/>
                    </w:rPr>
                    <w:t>81</w:t>
                  </w:r>
                </w:p>
              </w:txbxContent>
            </v:textbox>
            <w10:wrap type="none"/>
          </v:shape>
        </w:pict>
      </w:r>
    </w:p>
    <w:p>
      <w:pPr>
        <w:spacing w:after="0"/>
        <w:rPr>
          <w:sz w:val="2"/>
          <w:szCs w:val="2"/>
        </w:rPr>
        <w:sectPr>
          <w:type w:val="continuous"/>
          <w:pgSz w:w="16840" w:h="11910" w:orient="landscape"/>
          <w:pgMar w:top="1580" w:bottom="280" w:left="860" w:right="280"/>
        </w:sectPr>
      </w:pPr>
    </w:p>
    <w:p>
      <w:pPr>
        <w:pStyle w:val="BodyText"/>
      </w:pPr>
    </w:p>
    <w:p>
      <w:pPr>
        <w:pStyle w:val="BodyText"/>
      </w:pPr>
    </w:p>
    <w:p>
      <w:pPr>
        <w:pStyle w:val="BodyText"/>
      </w:pPr>
    </w:p>
    <w:p>
      <w:pPr>
        <w:pStyle w:val="BodyText"/>
      </w:pPr>
    </w:p>
    <w:p>
      <w:pPr>
        <w:pStyle w:val="BodyText"/>
        <w:spacing w:before="4"/>
        <w:rPr>
          <w:sz w:val="15"/>
        </w:rPr>
      </w:pPr>
    </w:p>
    <w:p>
      <w:pPr>
        <w:spacing w:after="0"/>
        <w:rPr>
          <w:sz w:val="15"/>
        </w:rPr>
        <w:sectPr>
          <w:headerReference w:type="even" r:id="rId258"/>
          <w:footerReference w:type="even" r:id="rId259"/>
          <w:pgSz w:w="16840" w:h="11910" w:orient="landscape"/>
          <w:pgMar w:header="0" w:footer="0" w:top="0" w:bottom="280" w:left="860" w:right="280"/>
        </w:sectPr>
      </w:pPr>
    </w:p>
    <w:p>
      <w:pPr>
        <w:spacing w:before="98"/>
        <w:ind w:left="381" w:right="0" w:firstLine="0"/>
        <w:jc w:val="left"/>
        <w:rPr>
          <w:rFonts w:ascii="Stone Sans II ITC Std Bk"/>
          <w:b/>
          <w:sz w:val="16"/>
        </w:rPr>
      </w:pPr>
      <w:r>
        <w:rPr/>
        <w:pict>
          <v:group style="position:absolute;margin-left:170.742905pt;margin-top:3.884608pt;width:.5pt;height:8.8pt;mso-position-horizontal-relative:page;mso-position-vertical-relative:paragraph;z-index:251876352" coordorigin="3415,78" coordsize="10,176">
            <v:line style="position:absolute" from="3420,253" to="3420,117" stroked="true" strokeweight=".5pt" strokecolor="#000000">
              <v:stroke dashstyle="shortdot"/>
            </v:line>
            <v:line style="position:absolute" from="3415,87" to="3425,87" stroked="true" strokeweight=".977pt" strokecolor="#000000">
              <v:stroke dashstyle="solid"/>
            </v:line>
            <w10:wrap type="none"/>
          </v:group>
        </w:pict>
      </w:r>
      <w:r>
        <w:rPr/>
        <w:pict>
          <v:shape style="position:absolute;margin-left:288.117279pt;margin-top:-34.918694pt;width:503.9pt;height:19.8pt;mso-position-horizontal-relative:page;mso-position-vertical-relative:paragraph;z-index:251880448;rotation:180" type="#_x0000_t136" fillcolor="#ffffff" stroked="f">
            <o:extrusion v:ext="view" autorotationcenter="t"/>
            <v:textpath style="font-family:&quot;Calibri&quot;;font-size:19pt;v-text-kern:t;mso-text-shadow:auto" string="Education and learning – Expectations of ministry"/>
            <w10:wrap type="none"/>
          </v:shape>
        </w:pict>
      </w:r>
      <w:r>
        <w:rPr>
          <w:rFonts w:ascii="Stone Sans II ITC Std Bk"/>
          <w:b/>
          <w:w w:val="115"/>
          <w:sz w:val="16"/>
        </w:rPr>
        <w:t>who is:</w:t>
      </w:r>
    </w:p>
    <w:p>
      <w:pPr>
        <w:spacing w:before="98"/>
        <w:ind w:left="381" w:right="0" w:firstLine="0"/>
        <w:jc w:val="left"/>
        <w:rPr>
          <w:rFonts w:ascii="Stone Sans II ITC Std Bk"/>
          <w:b/>
          <w:sz w:val="16"/>
        </w:rPr>
      </w:pPr>
      <w:r>
        <w:rPr/>
        <w:br w:type="column"/>
      </w:r>
      <w:r>
        <w:rPr>
          <w:rFonts w:ascii="Stone Sans II ITC Std Bk"/>
          <w:b/>
          <w:w w:val="115"/>
          <w:sz w:val="16"/>
        </w:rPr>
        <w:t>who identifiably lives:</w:t>
      </w:r>
    </w:p>
    <w:p>
      <w:pPr>
        <w:spacing w:before="98"/>
        <w:ind w:left="381" w:right="0" w:firstLine="0"/>
        <w:jc w:val="left"/>
        <w:rPr>
          <w:rFonts w:ascii="Stone Sans II ITC Std Bk"/>
          <w:b/>
          <w:sz w:val="16"/>
        </w:rPr>
      </w:pPr>
      <w:r>
        <w:rPr/>
        <w:br w:type="column"/>
      </w:r>
      <w:r>
        <w:rPr>
          <w:rFonts w:ascii="Stone Sans II ITC Std Bk"/>
          <w:b/>
          <w:w w:val="115"/>
          <w:sz w:val="16"/>
        </w:rPr>
        <w:t>who knows about and understands:</w:t>
      </w:r>
    </w:p>
    <w:p>
      <w:pPr>
        <w:spacing w:before="98"/>
        <w:ind w:left="381" w:right="0" w:firstLine="0"/>
        <w:jc w:val="left"/>
        <w:rPr>
          <w:rFonts w:ascii="Stone Sans II ITC Std Bk"/>
          <w:b/>
          <w:sz w:val="16"/>
        </w:rPr>
      </w:pPr>
      <w:r>
        <w:rPr/>
        <w:br w:type="column"/>
      </w:r>
      <w:r>
        <w:rPr>
          <w:rFonts w:ascii="Stone Sans II ITC Std Bk"/>
          <w:b/>
          <w:w w:val="115"/>
          <w:sz w:val="16"/>
        </w:rPr>
        <w:t>who has skills in:</w:t>
      </w:r>
    </w:p>
    <w:p>
      <w:pPr>
        <w:spacing w:after="0"/>
        <w:jc w:val="left"/>
        <w:rPr>
          <w:rFonts w:ascii="Stone Sans II ITC Std Bk"/>
          <w:sz w:val="16"/>
        </w:rPr>
        <w:sectPr>
          <w:type w:val="continuous"/>
          <w:pgSz w:w="16840" w:h="11910" w:orient="landscape"/>
          <w:pgMar w:top="1580" w:bottom="280" w:left="860" w:right="280"/>
          <w:cols w:num="4" w:equalWidth="0">
            <w:col w:w="1040" w:space="1246"/>
            <w:col w:w="2364" w:space="2380"/>
            <w:col w:w="3586" w:space="1068"/>
            <w:col w:w="4016"/>
          </w:cols>
        </w:sectPr>
      </w:pPr>
    </w:p>
    <w:tbl>
      <w:tblPr>
        <w:tblW w:w="0" w:type="auto"/>
        <w:jc w:val="left"/>
        <w:tblInd w:w="2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286"/>
        <w:gridCol w:w="4744"/>
        <w:gridCol w:w="4655"/>
        <w:gridCol w:w="3494"/>
      </w:tblGrid>
      <w:tr>
        <w:trPr>
          <w:trHeight w:val="1744" w:hRule="atLeast"/>
        </w:trPr>
        <w:tc>
          <w:tcPr>
            <w:tcW w:w="2286" w:type="dxa"/>
            <w:tcBorders>
              <w:left w:val="nil"/>
              <w:bottom w:val="nil"/>
              <w:right w:val="dashed" w:sz="4" w:space="0" w:color="000000"/>
            </w:tcBorders>
          </w:tcPr>
          <w:p>
            <w:pPr>
              <w:pStyle w:val="TableParagraph"/>
              <w:spacing w:line="220" w:lineRule="auto" w:before="33"/>
              <w:ind w:left="112"/>
              <w:rPr>
                <w:rFonts w:ascii="Stone Sans II ITC Std Bk"/>
                <w:b/>
                <w:sz w:val="16"/>
              </w:rPr>
            </w:pPr>
            <w:r>
              <w:rPr>
                <w:rFonts w:ascii="Stone Sans II ITC Std Bk"/>
                <w:b/>
                <w:w w:val="115"/>
                <w:sz w:val="16"/>
              </w:rPr>
              <w:t>A collaborator and community builder</w:t>
            </w:r>
          </w:p>
        </w:tc>
        <w:tc>
          <w:tcPr>
            <w:tcW w:w="4744" w:type="dxa"/>
            <w:tcBorders>
              <w:left w:val="dashed" w:sz="4" w:space="0" w:color="000000"/>
              <w:bottom w:val="nil"/>
              <w:right w:val="dashed" w:sz="4" w:space="0" w:color="000000"/>
            </w:tcBorders>
          </w:tcPr>
          <w:p>
            <w:pPr>
              <w:pStyle w:val="TableParagraph"/>
              <w:numPr>
                <w:ilvl w:val="0"/>
                <w:numId w:val="105"/>
              </w:numPr>
              <w:tabs>
                <w:tab w:pos="448" w:val="left" w:leader="none"/>
                <w:tab w:pos="449" w:val="left" w:leader="none"/>
              </w:tabs>
              <w:spacing w:line="230" w:lineRule="auto" w:before="38" w:after="0"/>
              <w:ind w:left="448" w:right="266" w:hanging="341"/>
              <w:jc w:val="left"/>
              <w:rPr>
                <w:sz w:val="17"/>
              </w:rPr>
            </w:pPr>
            <w:r>
              <w:rPr>
                <w:w w:val="125"/>
                <w:sz w:val="17"/>
              </w:rPr>
              <w:t>demonstrating the ability to integrate theological understanding with the values and processes of community</w:t>
            </w:r>
            <w:r>
              <w:rPr>
                <w:spacing w:val="-5"/>
                <w:w w:val="125"/>
                <w:sz w:val="17"/>
              </w:rPr>
              <w:t> </w:t>
            </w:r>
            <w:r>
              <w:rPr>
                <w:w w:val="125"/>
                <w:sz w:val="17"/>
              </w:rPr>
              <w:t>development</w:t>
            </w:r>
          </w:p>
          <w:p>
            <w:pPr>
              <w:pStyle w:val="TableParagraph"/>
              <w:numPr>
                <w:ilvl w:val="0"/>
                <w:numId w:val="105"/>
              </w:numPr>
              <w:tabs>
                <w:tab w:pos="448" w:val="left" w:leader="none"/>
                <w:tab w:pos="449" w:val="left" w:leader="none"/>
              </w:tabs>
              <w:spacing w:line="228" w:lineRule="auto" w:before="0" w:after="0"/>
              <w:ind w:left="448" w:right="295" w:hanging="341"/>
              <w:jc w:val="left"/>
              <w:rPr>
                <w:sz w:val="17"/>
              </w:rPr>
            </w:pPr>
            <w:r>
              <w:rPr>
                <w:w w:val="120"/>
                <w:sz w:val="17"/>
              </w:rPr>
              <w:t>with integrity and demonstrating competence as a community development</w:t>
            </w:r>
            <w:r>
              <w:rPr>
                <w:spacing w:val="44"/>
                <w:w w:val="120"/>
                <w:sz w:val="17"/>
              </w:rPr>
              <w:t> </w:t>
            </w:r>
            <w:r>
              <w:rPr>
                <w:w w:val="120"/>
                <w:sz w:val="17"/>
              </w:rPr>
              <w:t>practitioner</w:t>
            </w:r>
          </w:p>
          <w:p>
            <w:pPr>
              <w:pStyle w:val="TableParagraph"/>
              <w:numPr>
                <w:ilvl w:val="0"/>
                <w:numId w:val="105"/>
              </w:numPr>
              <w:tabs>
                <w:tab w:pos="448" w:val="left" w:leader="none"/>
                <w:tab w:pos="449" w:val="left" w:leader="none"/>
              </w:tabs>
              <w:spacing w:line="228" w:lineRule="auto" w:before="0" w:after="0"/>
              <w:ind w:left="448" w:right="169" w:hanging="341"/>
              <w:jc w:val="left"/>
              <w:rPr>
                <w:sz w:val="17"/>
              </w:rPr>
            </w:pPr>
            <w:r>
              <w:rPr>
                <w:w w:val="120"/>
                <w:sz w:val="17"/>
              </w:rPr>
              <w:t>as one committed to the church s/he is involved with</w:t>
            </w:r>
          </w:p>
        </w:tc>
        <w:tc>
          <w:tcPr>
            <w:tcW w:w="4655" w:type="dxa"/>
            <w:tcBorders>
              <w:left w:val="dashed" w:sz="4" w:space="0" w:color="000000"/>
              <w:bottom w:val="nil"/>
              <w:right w:val="dashed" w:sz="4" w:space="0" w:color="000000"/>
            </w:tcBorders>
          </w:tcPr>
          <w:p>
            <w:pPr>
              <w:pStyle w:val="TableParagraph"/>
              <w:numPr>
                <w:ilvl w:val="0"/>
                <w:numId w:val="106"/>
              </w:numPr>
              <w:tabs>
                <w:tab w:pos="447" w:val="left" w:leader="none"/>
                <w:tab w:pos="449" w:val="left" w:leader="none"/>
              </w:tabs>
              <w:spacing w:line="210" w:lineRule="exact" w:before="31" w:after="0"/>
              <w:ind w:left="448" w:right="0" w:hanging="342"/>
              <w:jc w:val="left"/>
              <w:rPr>
                <w:sz w:val="17"/>
              </w:rPr>
            </w:pPr>
            <w:r>
              <w:rPr>
                <w:w w:val="120"/>
                <w:sz w:val="17"/>
              </w:rPr>
              <w:t>the particular </w:t>
            </w:r>
            <w:r>
              <w:rPr>
                <w:spacing w:val="3"/>
                <w:w w:val="120"/>
                <w:sz w:val="17"/>
              </w:rPr>
              <w:t>gifts </w:t>
            </w:r>
            <w:r>
              <w:rPr>
                <w:w w:val="120"/>
                <w:sz w:val="17"/>
              </w:rPr>
              <w:t>s/he can</w:t>
            </w:r>
            <w:r>
              <w:rPr>
                <w:spacing w:val="21"/>
                <w:w w:val="120"/>
                <w:sz w:val="17"/>
              </w:rPr>
              <w:t> </w:t>
            </w:r>
            <w:r>
              <w:rPr>
                <w:w w:val="120"/>
                <w:sz w:val="17"/>
              </w:rPr>
              <w:t>bring</w:t>
            </w:r>
          </w:p>
          <w:p>
            <w:pPr>
              <w:pStyle w:val="TableParagraph"/>
              <w:numPr>
                <w:ilvl w:val="0"/>
                <w:numId w:val="106"/>
              </w:numPr>
              <w:tabs>
                <w:tab w:pos="447" w:val="left" w:leader="none"/>
                <w:tab w:pos="449" w:val="left" w:leader="none"/>
              </w:tabs>
              <w:spacing w:line="228" w:lineRule="auto" w:before="0" w:after="0"/>
              <w:ind w:left="448" w:right="349" w:hanging="341"/>
              <w:jc w:val="left"/>
              <w:rPr>
                <w:sz w:val="17"/>
              </w:rPr>
            </w:pPr>
            <w:r>
              <w:rPr>
                <w:w w:val="125"/>
                <w:sz w:val="17"/>
              </w:rPr>
              <w:t>group dynamics and the tensions inherent</w:t>
            </w:r>
            <w:r>
              <w:rPr>
                <w:spacing w:val="-23"/>
                <w:w w:val="125"/>
                <w:sz w:val="17"/>
              </w:rPr>
              <w:t> </w:t>
            </w:r>
            <w:r>
              <w:rPr>
                <w:w w:val="125"/>
                <w:sz w:val="17"/>
              </w:rPr>
              <w:t>in community development practice</w:t>
            </w:r>
          </w:p>
          <w:p>
            <w:pPr>
              <w:pStyle w:val="TableParagraph"/>
              <w:numPr>
                <w:ilvl w:val="0"/>
                <w:numId w:val="106"/>
              </w:numPr>
              <w:tabs>
                <w:tab w:pos="447" w:val="left" w:leader="none"/>
                <w:tab w:pos="449" w:val="left" w:leader="none"/>
              </w:tabs>
              <w:spacing w:line="228" w:lineRule="auto" w:before="0" w:after="0"/>
              <w:ind w:left="448" w:right="120" w:hanging="341"/>
              <w:jc w:val="left"/>
              <w:rPr>
                <w:sz w:val="17"/>
              </w:rPr>
            </w:pPr>
            <w:r>
              <w:rPr>
                <w:w w:val="125"/>
                <w:sz w:val="17"/>
              </w:rPr>
              <w:t>how community is made and how</w:t>
            </w:r>
            <w:r>
              <w:rPr>
                <w:spacing w:val="-33"/>
                <w:w w:val="125"/>
                <w:sz w:val="17"/>
              </w:rPr>
              <w:t> </w:t>
            </w:r>
            <w:r>
              <w:rPr>
                <w:w w:val="125"/>
                <w:sz w:val="17"/>
              </w:rPr>
              <w:t>communities work</w:t>
            </w:r>
          </w:p>
        </w:tc>
        <w:tc>
          <w:tcPr>
            <w:tcW w:w="3494" w:type="dxa"/>
            <w:tcBorders>
              <w:left w:val="dashed" w:sz="4" w:space="0" w:color="000000"/>
              <w:bottom w:val="nil"/>
              <w:right w:val="nil"/>
            </w:tcBorders>
          </w:tcPr>
          <w:p>
            <w:pPr>
              <w:pStyle w:val="TableParagraph"/>
              <w:numPr>
                <w:ilvl w:val="0"/>
                <w:numId w:val="107"/>
              </w:numPr>
              <w:tabs>
                <w:tab w:pos="447" w:val="left" w:leader="none"/>
                <w:tab w:pos="448" w:val="left" w:leader="none"/>
              </w:tabs>
              <w:spacing w:line="210" w:lineRule="exact" w:before="31" w:after="0"/>
              <w:ind w:left="447" w:right="0" w:hanging="341"/>
              <w:jc w:val="left"/>
              <w:rPr>
                <w:sz w:val="17"/>
              </w:rPr>
            </w:pPr>
            <w:r>
              <w:rPr>
                <w:w w:val="120"/>
                <w:sz w:val="17"/>
              </w:rPr>
              <w:t>animating the </w:t>
            </w:r>
            <w:r>
              <w:rPr>
                <w:spacing w:val="3"/>
                <w:w w:val="120"/>
                <w:sz w:val="17"/>
              </w:rPr>
              <w:t>gifts </w:t>
            </w:r>
            <w:r>
              <w:rPr>
                <w:w w:val="120"/>
                <w:sz w:val="17"/>
              </w:rPr>
              <w:t>of</w:t>
            </w:r>
            <w:r>
              <w:rPr>
                <w:spacing w:val="18"/>
                <w:w w:val="120"/>
                <w:sz w:val="17"/>
              </w:rPr>
              <w:t> </w:t>
            </w:r>
            <w:r>
              <w:rPr>
                <w:w w:val="120"/>
                <w:sz w:val="17"/>
              </w:rPr>
              <w:t>others</w:t>
            </w:r>
          </w:p>
          <w:p>
            <w:pPr>
              <w:pStyle w:val="TableParagraph"/>
              <w:numPr>
                <w:ilvl w:val="0"/>
                <w:numId w:val="107"/>
              </w:numPr>
              <w:tabs>
                <w:tab w:pos="447" w:val="left" w:leader="none"/>
                <w:tab w:pos="448" w:val="left" w:leader="none"/>
              </w:tabs>
              <w:spacing w:line="200" w:lineRule="exact" w:before="0" w:after="0"/>
              <w:ind w:left="447" w:right="0" w:hanging="341"/>
              <w:jc w:val="left"/>
              <w:rPr>
                <w:sz w:val="17"/>
              </w:rPr>
            </w:pPr>
            <w:r>
              <w:rPr>
                <w:w w:val="125"/>
                <w:sz w:val="17"/>
              </w:rPr>
              <w:t>community and team</w:t>
            </w:r>
            <w:r>
              <w:rPr>
                <w:spacing w:val="2"/>
                <w:w w:val="125"/>
                <w:sz w:val="17"/>
              </w:rPr>
              <w:t> </w:t>
            </w:r>
            <w:r>
              <w:rPr>
                <w:w w:val="125"/>
                <w:sz w:val="17"/>
              </w:rPr>
              <w:t>building</w:t>
            </w:r>
          </w:p>
          <w:p>
            <w:pPr>
              <w:pStyle w:val="TableParagraph"/>
              <w:numPr>
                <w:ilvl w:val="0"/>
                <w:numId w:val="107"/>
              </w:numPr>
              <w:tabs>
                <w:tab w:pos="447" w:val="left" w:leader="none"/>
                <w:tab w:pos="448" w:val="left" w:leader="none"/>
              </w:tabs>
              <w:spacing w:line="200" w:lineRule="exact" w:before="0" w:after="0"/>
              <w:ind w:left="447" w:right="0" w:hanging="341"/>
              <w:jc w:val="left"/>
              <w:rPr>
                <w:sz w:val="17"/>
              </w:rPr>
            </w:pPr>
            <w:r>
              <w:rPr>
                <w:w w:val="120"/>
                <w:sz w:val="17"/>
              </w:rPr>
              <w:t>relating to different</w:t>
            </w:r>
            <w:r>
              <w:rPr>
                <w:spacing w:val="29"/>
                <w:w w:val="120"/>
                <w:sz w:val="17"/>
              </w:rPr>
              <w:t> </w:t>
            </w:r>
            <w:r>
              <w:rPr>
                <w:w w:val="120"/>
                <w:sz w:val="17"/>
              </w:rPr>
              <w:t>communities</w:t>
            </w:r>
          </w:p>
          <w:p>
            <w:pPr>
              <w:pStyle w:val="TableParagraph"/>
              <w:numPr>
                <w:ilvl w:val="0"/>
                <w:numId w:val="107"/>
              </w:numPr>
              <w:tabs>
                <w:tab w:pos="447" w:val="left" w:leader="none"/>
                <w:tab w:pos="448" w:val="left" w:leader="none"/>
              </w:tabs>
              <w:spacing w:line="200" w:lineRule="exact" w:before="0" w:after="0"/>
              <w:ind w:left="447" w:right="0" w:hanging="341"/>
              <w:jc w:val="left"/>
              <w:rPr>
                <w:sz w:val="17"/>
              </w:rPr>
            </w:pPr>
            <w:r>
              <w:rPr>
                <w:w w:val="125"/>
                <w:sz w:val="17"/>
              </w:rPr>
              <w:t>leadership and</w:t>
            </w:r>
            <w:r>
              <w:rPr>
                <w:spacing w:val="-2"/>
                <w:w w:val="125"/>
                <w:sz w:val="17"/>
              </w:rPr>
              <w:t> </w:t>
            </w:r>
            <w:r>
              <w:rPr>
                <w:w w:val="125"/>
                <w:sz w:val="17"/>
              </w:rPr>
              <w:t>management</w:t>
            </w:r>
          </w:p>
          <w:p>
            <w:pPr>
              <w:pStyle w:val="TableParagraph"/>
              <w:numPr>
                <w:ilvl w:val="0"/>
                <w:numId w:val="107"/>
              </w:numPr>
              <w:tabs>
                <w:tab w:pos="447" w:val="left" w:leader="none"/>
                <w:tab w:pos="448" w:val="left" w:leader="none"/>
              </w:tabs>
              <w:spacing w:line="230" w:lineRule="auto" w:before="0" w:after="0"/>
              <w:ind w:left="447" w:right="546" w:hanging="341"/>
              <w:jc w:val="left"/>
              <w:rPr>
                <w:sz w:val="17"/>
              </w:rPr>
            </w:pPr>
            <w:r>
              <w:rPr>
                <w:w w:val="125"/>
                <w:sz w:val="17"/>
              </w:rPr>
              <w:t>maintaining community development practice within their own project</w:t>
            </w:r>
          </w:p>
          <w:p>
            <w:pPr>
              <w:pStyle w:val="TableParagraph"/>
              <w:numPr>
                <w:ilvl w:val="0"/>
                <w:numId w:val="107"/>
              </w:numPr>
              <w:tabs>
                <w:tab w:pos="447" w:val="left" w:leader="none"/>
                <w:tab w:pos="448" w:val="left" w:leader="none"/>
              </w:tabs>
              <w:spacing w:line="203" w:lineRule="exact" w:before="0" w:after="0"/>
              <w:ind w:left="447" w:right="0" w:hanging="341"/>
              <w:jc w:val="left"/>
              <w:rPr>
                <w:sz w:val="17"/>
              </w:rPr>
            </w:pPr>
            <w:r>
              <w:rPr>
                <w:w w:val="120"/>
                <w:sz w:val="17"/>
              </w:rPr>
              <w:t>working with</w:t>
            </w:r>
            <w:r>
              <w:rPr>
                <w:spacing w:val="8"/>
                <w:w w:val="120"/>
                <w:sz w:val="17"/>
              </w:rPr>
              <w:t> </w:t>
            </w:r>
            <w:r>
              <w:rPr>
                <w:w w:val="120"/>
                <w:sz w:val="17"/>
              </w:rPr>
              <w:t>others</w:t>
            </w:r>
          </w:p>
        </w:tc>
      </w:tr>
    </w:tbl>
    <w:p>
      <w:pPr>
        <w:pStyle w:val="BodyText"/>
        <w:spacing w:before="11"/>
        <w:rPr>
          <w:rFonts w:ascii="Stone Sans II ITC Std Bk"/>
          <w:b/>
          <w:sz w:val="3"/>
        </w:rPr>
      </w:pPr>
      <w:r>
        <w:rPr/>
        <w:drawing>
          <wp:anchor distT="0" distB="0" distL="0" distR="0" allowOverlap="1" layoutInCell="1" locked="0" behindDoc="1" simplePos="0" relativeHeight="235421696">
            <wp:simplePos x="0" y="0"/>
            <wp:positionH relativeFrom="page">
              <wp:posOffset>0</wp:posOffset>
            </wp:positionH>
            <wp:positionV relativeFrom="page">
              <wp:posOffset>0</wp:posOffset>
            </wp:positionV>
            <wp:extent cx="10692003" cy="594067"/>
            <wp:effectExtent l="0" t="0" r="0" b="0"/>
            <wp:wrapNone/>
            <wp:docPr id="147" name="image68.png"/>
            <wp:cNvGraphicFramePr>
              <a:graphicFrameLocks noChangeAspect="1"/>
            </wp:cNvGraphicFramePr>
            <a:graphic>
              <a:graphicData uri="http://schemas.openxmlformats.org/drawingml/2006/picture">
                <pic:pic>
                  <pic:nvPicPr>
                    <pic:cNvPr id="148" name="image68.png"/>
                    <pic:cNvPicPr/>
                  </pic:nvPicPr>
                  <pic:blipFill>
                    <a:blip r:embed="rId254" cstate="print"/>
                    <a:stretch>
                      <a:fillRect/>
                    </a:stretch>
                  </pic:blipFill>
                  <pic:spPr>
                    <a:xfrm>
                      <a:off x="0" y="0"/>
                      <a:ext cx="10692003" cy="594067"/>
                    </a:xfrm>
                    <a:prstGeom prst="rect">
                      <a:avLst/>
                    </a:prstGeom>
                  </pic:spPr>
                </pic:pic>
              </a:graphicData>
            </a:graphic>
          </wp:anchor>
        </w:drawing>
      </w:r>
      <w:r>
        <w:rPr/>
        <w:pict>
          <v:group style="position:absolute;margin-left:407.938995pt;margin-top:62.361801pt;width:.5pt;height:8.8pt;mso-position-horizontal-relative:page;mso-position-vertical-relative:page;z-index:251877376" coordorigin="8159,1247" coordsize="10,176">
            <v:line style="position:absolute" from="8164,1423" to="8164,1286" stroked="true" strokeweight=".5pt" strokecolor="#000000">
              <v:stroke dashstyle="shortdot"/>
            </v:line>
            <v:line style="position:absolute" from="8159,1257" to="8169,1257" stroked="true" strokeweight=".977pt" strokecolor="#000000">
              <v:stroke dashstyle="solid"/>
            </v:line>
            <w10:wrap type="none"/>
          </v:group>
        </w:pict>
      </w:r>
      <w:r>
        <w:rPr/>
        <w:pict>
          <v:group style="position:absolute;margin-left:640.66333pt;margin-top:62.361801pt;width:.5pt;height:8.8pt;mso-position-horizontal-relative:page;mso-position-vertical-relative:page;z-index:251878400" coordorigin="12813,1247" coordsize="10,176">
            <v:line style="position:absolute" from="12818,1423" to="12818,1286" stroked="true" strokeweight=".5pt" strokecolor="#000000">
              <v:stroke dashstyle="shortdot"/>
            </v:line>
            <v:line style="position:absolute" from="12813,1257" to="12823,1257" stroked="true" strokeweight=".977pt" strokecolor="#000000">
              <v:stroke dashstyle="solid"/>
            </v:line>
            <w10:wrap type="none"/>
          </v:group>
        </w:pict>
      </w:r>
      <w:r>
        <w:rPr/>
        <w:pict>
          <v:shape style="position:absolute;margin-left:25.93306pt;margin-top:61.362202pt;width:17.45pt;height:309pt;mso-position-horizontal-relative:page;mso-position-vertical-relative:page;z-index:251879424" type="#_x0000_t202" filled="false" stroked="false">
            <v:textbox inset="0,0,0,0" style="layout-flow:vertical">
              <w:txbxContent>
                <w:p>
                  <w:pPr>
                    <w:spacing w:before="16"/>
                    <w:ind w:left="20" w:right="0" w:firstLine="0"/>
                    <w:jc w:val="left"/>
                    <w:rPr>
                      <w:sz w:val="23"/>
                    </w:rPr>
                  </w:pPr>
                  <w:r>
                    <w:rPr>
                      <w:rFonts w:ascii="Stone Sans II ITC Std X Bd" w:hAnsi="Stone Sans II ITC Std X Bd"/>
                      <w:b/>
                      <w:w w:val="110"/>
                      <w:sz w:val="24"/>
                    </w:rPr>
                    <w:t>82 </w:t>
                  </w:r>
                  <w:r>
                    <w:rPr>
                      <w:rFonts w:ascii="Symbol" w:hAnsi="Symbol"/>
                      <w:color w:val="7EAABF"/>
                      <w:w w:val="110"/>
                      <w:sz w:val="23"/>
                    </w:rPr>
                    <w:t></w:t>
                  </w:r>
                  <w:r>
                    <w:rPr>
                      <w:rFonts w:ascii="Times New Roman" w:hAnsi="Times New Roman"/>
                      <w:color w:val="7EAABF"/>
                      <w:w w:val="110"/>
                      <w:sz w:val="23"/>
                    </w:rPr>
                    <w:t> </w:t>
                  </w:r>
                  <w:r>
                    <w:rPr>
                      <w:color w:val="7EAABF"/>
                      <w:w w:val="110"/>
                      <w:sz w:val="23"/>
                    </w:rPr>
                    <w:t>United Reformed Church </w:t>
                  </w:r>
                  <w:r>
                    <w:rPr>
                      <w:rFonts w:ascii="Symbol" w:hAnsi="Symbol"/>
                      <w:color w:val="7EAABF"/>
                      <w:w w:val="110"/>
                      <w:sz w:val="23"/>
                    </w:rPr>
                    <w:t></w:t>
                  </w:r>
                  <w:r>
                    <w:rPr>
                      <w:rFonts w:ascii="Times New Roman" w:hAnsi="Times New Roman"/>
                      <w:color w:val="7EAABF"/>
                      <w:w w:val="110"/>
                      <w:sz w:val="23"/>
                    </w:rPr>
                    <w:t> </w:t>
                  </w:r>
                  <w:r>
                    <w:rPr>
                      <w:color w:val="7EAABF"/>
                      <w:w w:val="110"/>
                      <w:sz w:val="23"/>
                    </w:rPr>
                    <w:t>General Assembly 2016</w:t>
                  </w:r>
                </w:p>
              </w:txbxContent>
            </v:textbox>
            <w10:wrap type="none"/>
          </v:shape>
        </w:pict>
      </w:r>
    </w:p>
    <w:tbl>
      <w:tblPr>
        <w:tblW w:w="0" w:type="auto"/>
        <w:jc w:val="left"/>
        <w:tblInd w:w="2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286"/>
        <w:gridCol w:w="4744"/>
        <w:gridCol w:w="4655"/>
        <w:gridCol w:w="3494"/>
      </w:tblGrid>
      <w:tr>
        <w:trPr>
          <w:trHeight w:val="2002" w:hRule="atLeast"/>
        </w:trPr>
        <w:tc>
          <w:tcPr>
            <w:tcW w:w="2286" w:type="dxa"/>
            <w:tcBorders>
              <w:left w:val="nil"/>
              <w:right w:val="dashed" w:sz="4" w:space="0" w:color="000000"/>
            </w:tcBorders>
          </w:tcPr>
          <w:p>
            <w:pPr>
              <w:pStyle w:val="TableParagraph"/>
              <w:spacing w:line="220" w:lineRule="auto" w:before="33"/>
              <w:ind w:left="113" w:right="100"/>
              <w:rPr>
                <w:rFonts w:ascii="Stone Sans II ITC Std Bk"/>
                <w:b/>
                <w:sz w:val="16"/>
              </w:rPr>
            </w:pPr>
            <w:r>
              <w:rPr>
                <w:rFonts w:ascii="Stone Sans II ITC Std Bk"/>
                <w:b/>
                <w:w w:val="115"/>
                <w:sz w:val="16"/>
              </w:rPr>
              <w:t>A public figure who can use a community development</w:t>
            </w:r>
            <w:r>
              <w:rPr>
                <w:rFonts w:ascii="Stone Sans II ITC Std Bk"/>
                <w:b/>
                <w:spacing w:val="-19"/>
                <w:w w:val="115"/>
                <w:sz w:val="16"/>
              </w:rPr>
              <w:t> </w:t>
            </w:r>
            <w:r>
              <w:rPr>
                <w:rFonts w:ascii="Stone Sans II ITC Std Bk"/>
                <w:b/>
                <w:w w:val="115"/>
                <w:sz w:val="16"/>
              </w:rPr>
              <w:t>approach to instigate collective action</w:t>
            </w:r>
          </w:p>
        </w:tc>
        <w:tc>
          <w:tcPr>
            <w:tcW w:w="4744" w:type="dxa"/>
            <w:tcBorders>
              <w:left w:val="dashed" w:sz="4" w:space="0" w:color="000000"/>
              <w:right w:val="dashed" w:sz="4" w:space="0" w:color="000000"/>
            </w:tcBorders>
          </w:tcPr>
          <w:p>
            <w:pPr>
              <w:pStyle w:val="TableParagraph"/>
              <w:numPr>
                <w:ilvl w:val="0"/>
                <w:numId w:val="108"/>
              </w:numPr>
              <w:tabs>
                <w:tab w:pos="448" w:val="left" w:leader="none"/>
                <w:tab w:pos="449" w:val="left" w:leader="none"/>
              </w:tabs>
              <w:spacing w:line="230" w:lineRule="auto" w:before="38" w:after="0"/>
              <w:ind w:left="448" w:right="95" w:hanging="341"/>
              <w:jc w:val="left"/>
              <w:rPr>
                <w:sz w:val="17"/>
              </w:rPr>
            </w:pPr>
            <w:r>
              <w:rPr>
                <w:w w:val="120"/>
                <w:sz w:val="17"/>
              </w:rPr>
              <w:t>with a commitment to contributing to the world and, in line with transformational educationalists and community developers, believe individuals and the world can be</w:t>
            </w:r>
            <w:r>
              <w:rPr>
                <w:spacing w:val="26"/>
                <w:w w:val="120"/>
                <w:sz w:val="17"/>
              </w:rPr>
              <w:t> </w:t>
            </w:r>
            <w:r>
              <w:rPr>
                <w:w w:val="120"/>
                <w:sz w:val="17"/>
              </w:rPr>
              <w:t>changed</w:t>
            </w:r>
          </w:p>
          <w:p>
            <w:pPr>
              <w:pStyle w:val="TableParagraph"/>
              <w:numPr>
                <w:ilvl w:val="0"/>
                <w:numId w:val="108"/>
              </w:numPr>
              <w:tabs>
                <w:tab w:pos="448" w:val="left" w:leader="none"/>
                <w:tab w:pos="449" w:val="left" w:leader="none"/>
              </w:tabs>
              <w:spacing w:line="228" w:lineRule="auto" w:before="0" w:after="0"/>
              <w:ind w:left="448" w:right="395" w:hanging="341"/>
              <w:jc w:val="left"/>
              <w:rPr>
                <w:sz w:val="17"/>
              </w:rPr>
            </w:pPr>
            <w:r>
              <w:rPr>
                <w:w w:val="125"/>
                <w:sz w:val="17"/>
              </w:rPr>
              <w:t>challenging injustice and working to alleviate </w:t>
            </w:r>
            <w:r>
              <w:rPr>
                <w:spacing w:val="2"/>
                <w:w w:val="125"/>
                <w:sz w:val="17"/>
              </w:rPr>
              <w:t>poverty</w:t>
            </w:r>
          </w:p>
        </w:tc>
        <w:tc>
          <w:tcPr>
            <w:tcW w:w="4655" w:type="dxa"/>
            <w:tcBorders>
              <w:left w:val="dashed" w:sz="4" w:space="0" w:color="000000"/>
              <w:right w:val="dashed" w:sz="4" w:space="0" w:color="000000"/>
            </w:tcBorders>
          </w:tcPr>
          <w:p>
            <w:pPr>
              <w:pStyle w:val="TableParagraph"/>
              <w:numPr>
                <w:ilvl w:val="0"/>
                <w:numId w:val="109"/>
              </w:numPr>
              <w:tabs>
                <w:tab w:pos="447" w:val="left" w:leader="none"/>
                <w:tab w:pos="449" w:val="left" w:leader="none"/>
              </w:tabs>
              <w:spacing w:line="210" w:lineRule="exact" w:before="31" w:after="0"/>
              <w:ind w:left="448" w:right="0" w:hanging="342"/>
              <w:jc w:val="left"/>
              <w:rPr>
                <w:sz w:val="17"/>
              </w:rPr>
            </w:pPr>
            <w:r>
              <w:rPr>
                <w:w w:val="125"/>
                <w:sz w:val="17"/>
              </w:rPr>
              <w:t>social and political worlds</w:t>
            </w:r>
          </w:p>
          <w:p>
            <w:pPr>
              <w:pStyle w:val="TableParagraph"/>
              <w:numPr>
                <w:ilvl w:val="0"/>
                <w:numId w:val="109"/>
              </w:numPr>
              <w:tabs>
                <w:tab w:pos="447" w:val="left" w:leader="none"/>
                <w:tab w:pos="449" w:val="left" w:leader="none"/>
              </w:tabs>
              <w:spacing w:line="200" w:lineRule="exact" w:before="0" w:after="0"/>
              <w:ind w:left="448" w:right="0" w:hanging="342"/>
              <w:jc w:val="left"/>
              <w:rPr>
                <w:sz w:val="17"/>
              </w:rPr>
            </w:pPr>
            <w:r>
              <w:rPr>
                <w:w w:val="125"/>
                <w:sz w:val="17"/>
              </w:rPr>
              <w:t>how to </w:t>
            </w:r>
            <w:r>
              <w:rPr>
                <w:spacing w:val="2"/>
                <w:w w:val="125"/>
                <w:sz w:val="17"/>
              </w:rPr>
              <w:t>support </w:t>
            </w:r>
            <w:r>
              <w:rPr>
                <w:w w:val="125"/>
                <w:sz w:val="17"/>
              </w:rPr>
              <w:t>and how to critique</w:t>
            </w:r>
            <w:r>
              <w:rPr>
                <w:spacing w:val="-12"/>
                <w:w w:val="125"/>
                <w:sz w:val="17"/>
              </w:rPr>
              <w:t> </w:t>
            </w:r>
            <w:r>
              <w:rPr>
                <w:w w:val="125"/>
                <w:sz w:val="17"/>
              </w:rPr>
              <w:t>society</w:t>
            </w:r>
          </w:p>
          <w:p>
            <w:pPr>
              <w:pStyle w:val="TableParagraph"/>
              <w:numPr>
                <w:ilvl w:val="0"/>
                <w:numId w:val="109"/>
              </w:numPr>
              <w:tabs>
                <w:tab w:pos="447" w:val="left" w:leader="none"/>
                <w:tab w:pos="449" w:val="left" w:leader="none"/>
              </w:tabs>
              <w:spacing w:line="200" w:lineRule="exact" w:before="0" w:after="0"/>
              <w:ind w:left="448" w:right="0" w:hanging="342"/>
              <w:jc w:val="left"/>
              <w:rPr>
                <w:sz w:val="17"/>
              </w:rPr>
            </w:pPr>
            <w:r>
              <w:rPr>
                <w:w w:val="120"/>
                <w:sz w:val="17"/>
              </w:rPr>
              <w:t>how power</w:t>
            </w:r>
            <w:r>
              <w:rPr>
                <w:spacing w:val="5"/>
                <w:w w:val="120"/>
                <w:sz w:val="17"/>
              </w:rPr>
              <w:t> </w:t>
            </w:r>
            <w:r>
              <w:rPr>
                <w:spacing w:val="2"/>
                <w:w w:val="120"/>
                <w:sz w:val="17"/>
              </w:rPr>
              <w:t>works</w:t>
            </w:r>
          </w:p>
          <w:p>
            <w:pPr>
              <w:pStyle w:val="TableParagraph"/>
              <w:numPr>
                <w:ilvl w:val="0"/>
                <w:numId w:val="109"/>
              </w:numPr>
              <w:tabs>
                <w:tab w:pos="447" w:val="left" w:leader="none"/>
                <w:tab w:pos="449" w:val="left" w:leader="none"/>
              </w:tabs>
              <w:spacing w:line="210" w:lineRule="exact" w:before="0" w:after="0"/>
              <w:ind w:left="448" w:right="0" w:hanging="342"/>
              <w:jc w:val="left"/>
              <w:rPr>
                <w:sz w:val="17"/>
              </w:rPr>
            </w:pPr>
            <w:r>
              <w:rPr>
                <w:w w:val="120"/>
                <w:sz w:val="17"/>
              </w:rPr>
              <w:t>human life at the centre and at the</w:t>
            </w:r>
            <w:r>
              <w:rPr>
                <w:spacing w:val="42"/>
                <w:w w:val="120"/>
                <w:sz w:val="17"/>
              </w:rPr>
              <w:t> </w:t>
            </w:r>
            <w:r>
              <w:rPr>
                <w:w w:val="120"/>
                <w:sz w:val="17"/>
              </w:rPr>
              <w:t>margins</w:t>
            </w:r>
          </w:p>
        </w:tc>
        <w:tc>
          <w:tcPr>
            <w:tcW w:w="3494" w:type="dxa"/>
            <w:tcBorders>
              <w:left w:val="dashed" w:sz="4" w:space="0" w:color="000000"/>
              <w:right w:val="nil"/>
            </w:tcBorders>
          </w:tcPr>
          <w:p>
            <w:pPr>
              <w:pStyle w:val="TableParagraph"/>
              <w:numPr>
                <w:ilvl w:val="0"/>
                <w:numId w:val="110"/>
              </w:numPr>
              <w:tabs>
                <w:tab w:pos="447" w:val="left" w:leader="none"/>
                <w:tab w:pos="448" w:val="left" w:leader="none"/>
              </w:tabs>
              <w:spacing w:line="210" w:lineRule="exact" w:before="31" w:after="0"/>
              <w:ind w:left="447" w:right="0" w:hanging="341"/>
              <w:jc w:val="left"/>
              <w:rPr>
                <w:sz w:val="17"/>
              </w:rPr>
            </w:pPr>
            <w:r>
              <w:rPr>
                <w:w w:val="125"/>
                <w:sz w:val="17"/>
              </w:rPr>
              <w:t>engaging with public </w:t>
            </w:r>
            <w:r>
              <w:rPr>
                <w:spacing w:val="14"/>
                <w:w w:val="125"/>
                <w:sz w:val="17"/>
              </w:rPr>
              <w:t> </w:t>
            </w:r>
            <w:r>
              <w:rPr>
                <w:w w:val="125"/>
                <w:sz w:val="17"/>
              </w:rPr>
              <w:t>bodies</w:t>
            </w:r>
          </w:p>
          <w:p>
            <w:pPr>
              <w:pStyle w:val="TableParagraph"/>
              <w:numPr>
                <w:ilvl w:val="0"/>
                <w:numId w:val="110"/>
              </w:numPr>
              <w:tabs>
                <w:tab w:pos="447" w:val="left" w:leader="none"/>
                <w:tab w:pos="448" w:val="left" w:leader="none"/>
              </w:tabs>
              <w:spacing w:line="230" w:lineRule="auto" w:before="0" w:after="0"/>
              <w:ind w:left="447" w:right="109" w:hanging="341"/>
              <w:jc w:val="left"/>
              <w:rPr>
                <w:sz w:val="17"/>
              </w:rPr>
            </w:pPr>
            <w:r>
              <w:rPr>
                <w:w w:val="125"/>
                <w:sz w:val="17"/>
              </w:rPr>
              <w:t>supporting inclusive and collective working through community development</w:t>
            </w:r>
            <w:r>
              <w:rPr>
                <w:spacing w:val="-4"/>
                <w:w w:val="125"/>
                <w:sz w:val="17"/>
              </w:rPr>
              <w:t> </w:t>
            </w:r>
            <w:r>
              <w:rPr>
                <w:w w:val="125"/>
                <w:sz w:val="17"/>
              </w:rPr>
              <w:t>practice</w:t>
            </w:r>
          </w:p>
          <w:p>
            <w:pPr>
              <w:pStyle w:val="TableParagraph"/>
              <w:numPr>
                <w:ilvl w:val="0"/>
                <w:numId w:val="110"/>
              </w:numPr>
              <w:tabs>
                <w:tab w:pos="447" w:val="left" w:leader="none"/>
                <w:tab w:pos="448" w:val="left" w:leader="none"/>
              </w:tabs>
              <w:spacing w:line="228" w:lineRule="auto" w:before="0" w:after="0"/>
              <w:ind w:left="447" w:right="113" w:hanging="341"/>
              <w:jc w:val="left"/>
              <w:rPr>
                <w:sz w:val="17"/>
              </w:rPr>
            </w:pPr>
            <w:r>
              <w:rPr>
                <w:w w:val="125"/>
                <w:sz w:val="17"/>
              </w:rPr>
              <w:t>organising community events and activities</w:t>
            </w:r>
          </w:p>
          <w:p>
            <w:pPr>
              <w:pStyle w:val="TableParagraph"/>
              <w:numPr>
                <w:ilvl w:val="0"/>
                <w:numId w:val="110"/>
              </w:numPr>
              <w:tabs>
                <w:tab w:pos="447" w:val="left" w:leader="none"/>
                <w:tab w:pos="448" w:val="left" w:leader="none"/>
              </w:tabs>
              <w:spacing w:line="195" w:lineRule="exact" w:before="0" w:after="0"/>
              <w:ind w:left="447" w:right="0" w:hanging="341"/>
              <w:jc w:val="left"/>
              <w:rPr>
                <w:sz w:val="17"/>
              </w:rPr>
            </w:pPr>
            <w:r>
              <w:rPr>
                <w:w w:val="125"/>
                <w:sz w:val="17"/>
              </w:rPr>
              <w:t>responding to community</w:t>
            </w:r>
            <w:r>
              <w:rPr>
                <w:spacing w:val="3"/>
                <w:w w:val="125"/>
                <w:sz w:val="17"/>
              </w:rPr>
              <w:t> </w:t>
            </w:r>
            <w:r>
              <w:rPr>
                <w:w w:val="125"/>
                <w:sz w:val="17"/>
              </w:rPr>
              <w:t>conflict</w:t>
            </w:r>
          </w:p>
          <w:p>
            <w:pPr>
              <w:pStyle w:val="TableParagraph"/>
              <w:numPr>
                <w:ilvl w:val="0"/>
                <w:numId w:val="110"/>
              </w:numPr>
              <w:tabs>
                <w:tab w:pos="447" w:val="left" w:leader="none"/>
                <w:tab w:pos="448" w:val="left" w:leader="none"/>
              </w:tabs>
              <w:spacing w:line="228" w:lineRule="auto" w:before="0" w:after="0"/>
              <w:ind w:left="447" w:right="687" w:hanging="341"/>
              <w:jc w:val="left"/>
              <w:rPr>
                <w:sz w:val="17"/>
              </w:rPr>
            </w:pPr>
            <w:r>
              <w:rPr>
                <w:w w:val="120"/>
                <w:sz w:val="17"/>
              </w:rPr>
              <w:t>supporting communities to campaign for</w:t>
            </w:r>
            <w:r>
              <w:rPr>
                <w:spacing w:val="16"/>
                <w:w w:val="120"/>
                <w:sz w:val="17"/>
              </w:rPr>
              <w:t> </w:t>
            </w:r>
            <w:r>
              <w:rPr>
                <w:w w:val="120"/>
                <w:sz w:val="17"/>
              </w:rPr>
              <w:t>change</w:t>
            </w:r>
          </w:p>
        </w:tc>
      </w:tr>
      <w:tr>
        <w:trPr>
          <w:trHeight w:val="2400" w:hRule="atLeast"/>
        </w:trPr>
        <w:tc>
          <w:tcPr>
            <w:tcW w:w="2286" w:type="dxa"/>
            <w:tcBorders>
              <w:left w:val="nil"/>
              <w:right w:val="dashed" w:sz="4" w:space="0" w:color="000000"/>
            </w:tcBorders>
          </w:tcPr>
          <w:p>
            <w:pPr>
              <w:pStyle w:val="TableParagraph"/>
              <w:spacing w:line="220" w:lineRule="auto" w:before="33"/>
              <w:ind w:left="113" w:right="552"/>
              <w:rPr>
                <w:rFonts w:ascii="Stone Sans II ITC Std Bk"/>
                <w:b/>
                <w:sz w:val="16"/>
              </w:rPr>
            </w:pPr>
            <w:r>
              <w:rPr>
                <w:rFonts w:ascii="Stone Sans II ITC Std Bk"/>
                <w:b/>
                <w:w w:val="110"/>
                <w:sz w:val="16"/>
              </w:rPr>
              <w:t>An effective communicator with specific gifts in promoting</w:t>
            </w:r>
          </w:p>
          <w:p>
            <w:pPr>
              <w:pStyle w:val="TableParagraph"/>
              <w:spacing w:line="220" w:lineRule="auto" w:before="4"/>
              <w:ind w:left="113" w:right="57"/>
              <w:rPr>
                <w:rFonts w:ascii="Stone Sans II ITC Std Bk"/>
                <w:b/>
                <w:sz w:val="16"/>
              </w:rPr>
            </w:pPr>
            <w:r>
              <w:rPr>
                <w:rFonts w:ascii="Stone Sans II ITC Std Bk"/>
                <w:b/>
                <w:w w:val="115"/>
                <w:sz w:val="16"/>
              </w:rPr>
              <w:t>collaborative working in the community</w:t>
            </w:r>
          </w:p>
        </w:tc>
        <w:tc>
          <w:tcPr>
            <w:tcW w:w="4744" w:type="dxa"/>
            <w:tcBorders>
              <w:left w:val="dashed" w:sz="4" w:space="0" w:color="000000"/>
              <w:bottom w:val="single" w:sz="6" w:space="0" w:color="000000"/>
              <w:right w:val="dashed" w:sz="4" w:space="0" w:color="000000"/>
            </w:tcBorders>
          </w:tcPr>
          <w:p>
            <w:pPr>
              <w:pStyle w:val="TableParagraph"/>
              <w:numPr>
                <w:ilvl w:val="0"/>
                <w:numId w:val="111"/>
              </w:numPr>
              <w:tabs>
                <w:tab w:pos="448" w:val="left" w:leader="none"/>
                <w:tab w:pos="449" w:val="left" w:leader="none"/>
              </w:tabs>
              <w:spacing w:line="228" w:lineRule="auto" w:before="40" w:after="0"/>
              <w:ind w:left="448" w:right="352" w:hanging="341"/>
              <w:jc w:val="left"/>
              <w:rPr>
                <w:sz w:val="17"/>
              </w:rPr>
            </w:pPr>
            <w:r>
              <w:rPr>
                <w:w w:val="125"/>
                <w:sz w:val="17"/>
              </w:rPr>
              <w:t>a</w:t>
            </w:r>
            <w:r>
              <w:rPr>
                <w:spacing w:val="-8"/>
                <w:w w:val="125"/>
                <w:sz w:val="17"/>
              </w:rPr>
              <w:t> </w:t>
            </w:r>
            <w:r>
              <w:rPr>
                <w:w w:val="125"/>
                <w:sz w:val="17"/>
              </w:rPr>
              <w:t>life</w:t>
            </w:r>
            <w:r>
              <w:rPr>
                <w:spacing w:val="-7"/>
                <w:w w:val="125"/>
                <w:sz w:val="17"/>
              </w:rPr>
              <w:t> </w:t>
            </w:r>
            <w:r>
              <w:rPr>
                <w:w w:val="125"/>
                <w:sz w:val="17"/>
              </w:rPr>
              <w:t>open</w:t>
            </w:r>
            <w:r>
              <w:rPr>
                <w:spacing w:val="-7"/>
                <w:w w:val="125"/>
                <w:sz w:val="17"/>
              </w:rPr>
              <w:t> </w:t>
            </w:r>
            <w:r>
              <w:rPr>
                <w:w w:val="125"/>
                <w:sz w:val="17"/>
              </w:rPr>
              <w:t>to</w:t>
            </w:r>
            <w:r>
              <w:rPr>
                <w:spacing w:val="-7"/>
                <w:w w:val="125"/>
                <w:sz w:val="17"/>
              </w:rPr>
              <w:t> </w:t>
            </w:r>
            <w:r>
              <w:rPr>
                <w:w w:val="125"/>
                <w:sz w:val="17"/>
              </w:rPr>
              <w:t>others</w:t>
            </w:r>
            <w:r>
              <w:rPr>
                <w:spacing w:val="-7"/>
                <w:w w:val="125"/>
                <w:sz w:val="17"/>
              </w:rPr>
              <w:t> </w:t>
            </w:r>
            <w:r>
              <w:rPr>
                <w:w w:val="125"/>
                <w:sz w:val="17"/>
              </w:rPr>
              <w:t>and</w:t>
            </w:r>
            <w:r>
              <w:rPr>
                <w:spacing w:val="-7"/>
                <w:w w:val="125"/>
                <w:sz w:val="17"/>
              </w:rPr>
              <w:t> </w:t>
            </w:r>
            <w:r>
              <w:rPr>
                <w:w w:val="125"/>
                <w:sz w:val="17"/>
              </w:rPr>
              <w:t>interested</w:t>
            </w:r>
            <w:r>
              <w:rPr>
                <w:spacing w:val="-7"/>
                <w:w w:val="125"/>
                <w:sz w:val="17"/>
              </w:rPr>
              <w:t> </w:t>
            </w:r>
            <w:r>
              <w:rPr>
                <w:w w:val="125"/>
                <w:sz w:val="17"/>
              </w:rPr>
              <w:t>in</w:t>
            </w:r>
            <w:r>
              <w:rPr>
                <w:spacing w:val="-7"/>
                <w:w w:val="125"/>
                <w:sz w:val="17"/>
              </w:rPr>
              <w:t> </w:t>
            </w:r>
            <w:r>
              <w:rPr>
                <w:w w:val="125"/>
                <w:sz w:val="17"/>
              </w:rPr>
              <w:t>them</w:t>
            </w:r>
            <w:r>
              <w:rPr>
                <w:spacing w:val="-7"/>
                <w:w w:val="125"/>
                <w:sz w:val="17"/>
              </w:rPr>
              <w:t> </w:t>
            </w:r>
            <w:r>
              <w:rPr>
                <w:w w:val="125"/>
                <w:sz w:val="17"/>
              </w:rPr>
              <w:t>in both Church and</w:t>
            </w:r>
            <w:r>
              <w:rPr>
                <w:spacing w:val="2"/>
                <w:w w:val="125"/>
                <w:sz w:val="17"/>
              </w:rPr>
              <w:t> </w:t>
            </w:r>
            <w:r>
              <w:rPr>
                <w:w w:val="125"/>
                <w:sz w:val="17"/>
              </w:rPr>
              <w:t>community</w:t>
            </w:r>
          </w:p>
          <w:p>
            <w:pPr>
              <w:pStyle w:val="TableParagraph"/>
              <w:numPr>
                <w:ilvl w:val="0"/>
                <w:numId w:val="111"/>
              </w:numPr>
              <w:tabs>
                <w:tab w:pos="448" w:val="left" w:leader="none"/>
                <w:tab w:pos="449" w:val="left" w:leader="none"/>
              </w:tabs>
              <w:spacing w:line="195" w:lineRule="exact" w:before="0" w:after="0"/>
              <w:ind w:left="448" w:right="0" w:hanging="341"/>
              <w:jc w:val="left"/>
              <w:rPr>
                <w:sz w:val="17"/>
              </w:rPr>
            </w:pPr>
            <w:r>
              <w:rPr>
                <w:w w:val="120"/>
                <w:sz w:val="17"/>
              </w:rPr>
              <w:t>with a passion for deep encounter with</w:t>
            </w:r>
            <w:r>
              <w:rPr>
                <w:spacing w:val="10"/>
                <w:w w:val="120"/>
                <w:sz w:val="17"/>
              </w:rPr>
              <w:t> </w:t>
            </w:r>
            <w:r>
              <w:rPr>
                <w:w w:val="120"/>
                <w:sz w:val="17"/>
              </w:rPr>
              <w:t>others</w:t>
            </w:r>
          </w:p>
          <w:p>
            <w:pPr>
              <w:pStyle w:val="TableParagraph"/>
              <w:numPr>
                <w:ilvl w:val="0"/>
                <w:numId w:val="111"/>
              </w:numPr>
              <w:tabs>
                <w:tab w:pos="448" w:val="left" w:leader="none"/>
                <w:tab w:pos="449" w:val="left" w:leader="none"/>
              </w:tabs>
              <w:spacing w:line="210" w:lineRule="exact" w:before="0" w:after="0"/>
              <w:ind w:left="448" w:right="0" w:hanging="341"/>
              <w:jc w:val="left"/>
              <w:rPr>
                <w:sz w:val="17"/>
              </w:rPr>
            </w:pPr>
            <w:r>
              <w:rPr>
                <w:w w:val="125"/>
                <w:sz w:val="17"/>
              </w:rPr>
              <w:t>with creativity and</w:t>
            </w:r>
            <w:r>
              <w:rPr>
                <w:spacing w:val="-1"/>
                <w:w w:val="125"/>
                <w:sz w:val="17"/>
              </w:rPr>
              <w:t> </w:t>
            </w:r>
            <w:r>
              <w:rPr>
                <w:w w:val="125"/>
                <w:sz w:val="17"/>
              </w:rPr>
              <w:t>imagination</w:t>
            </w:r>
          </w:p>
        </w:tc>
        <w:tc>
          <w:tcPr>
            <w:tcW w:w="4655" w:type="dxa"/>
            <w:tcBorders>
              <w:left w:val="dashed" w:sz="4" w:space="0" w:color="000000"/>
              <w:bottom w:val="single" w:sz="6" w:space="0" w:color="000000"/>
              <w:right w:val="dashed" w:sz="4" w:space="0" w:color="000000"/>
            </w:tcBorders>
          </w:tcPr>
          <w:p>
            <w:pPr>
              <w:pStyle w:val="TableParagraph"/>
              <w:numPr>
                <w:ilvl w:val="0"/>
                <w:numId w:val="112"/>
              </w:numPr>
              <w:tabs>
                <w:tab w:pos="447" w:val="left" w:leader="none"/>
                <w:tab w:pos="449" w:val="left" w:leader="none"/>
              </w:tabs>
              <w:spacing w:line="210" w:lineRule="exact" w:before="31" w:after="0"/>
              <w:ind w:left="448" w:right="0" w:hanging="342"/>
              <w:jc w:val="left"/>
              <w:rPr>
                <w:sz w:val="17"/>
              </w:rPr>
            </w:pPr>
            <w:r>
              <w:rPr>
                <w:w w:val="120"/>
                <w:sz w:val="17"/>
              </w:rPr>
              <w:t>interpersonal</w:t>
            </w:r>
            <w:r>
              <w:rPr>
                <w:spacing w:val="4"/>
                <w:w w:val="120"/>
                <w:sz w:val="17"/>
              </w:rPr>
              <w:t> </w:t>
            </w:r>
            <w:r>
              <w:rPr>
                <w:w w:val="120"/>
                <w:sz w:val="17"/>
              </w:rPr>
              <w:t>communication</w:t>
            </w:r>
          </w:p>
          <w:p>
            <w:pPr>
              <w:pStyle w:val="TableParagraph"/>
              <w:numPr>
                <w:ilvl w:val="0"/>
                <w:numId w:val="112"/>
              </w:numPr>
              <w:tabs>
                <w:tab w:pos="447" w:val="left" w:leader="none"/>
                <w:tab w:pos="449" w:val="left" w:leader="none"/>
              </w:tabs>
              <w:spacing w:line="200" w:lineRule="exact" w:before="0" w:after="0"/>
              <w:ind w:left="448" w:right="0" w:hanging="342"/>
              <w:jc w:val="left"/>
              <w:rPr>
                <w:sz w:val="17"/>
              </w:rPr>
            </w:pPr>
            <w:r>
              <w:rPr>
                <w:w w:val="120"/>
                <w:sz w:val="17"/>
              </w:rPr>
              <w:t>oral and written</w:t>
            </w:r>
            <w:r>
              <w:rPr>
                <w:spacing w:val="14"/>
                <w:w w:val="120"/>
                <w:sz w:val="17"/>
              </w:rPr>
              <w:t> </w:t>
            </w:r>
            <w:r>
              <w:rPr>
                <w:w w:val="120"/>
                <w:sz w:val="17"/>
              </w:rPr>
              <w:t>communication</w:t>
            </w:r>
          </w:p>
          <w:p>
            <w:pPr>
              <w:pStyle w:val="TableParagraph"/>
              <w:numPr>
                <w:ilvl w:val="0"/>
                <w:numId w:val="112"/>
              </w:numPr>
              <w:tabs>
                <w:tab w:pos="447" w:val="left" w:leader="none"/>
                <w:tab w:pos="449" w:val="left" w:leader="none"/>
              </w:tabs>
              <w:spacing w:line="230" w:lineRule="auto" w:before="0" w:after="0"/>
              <w:ind w:left="448" w:right="196" w:hanging="341"/>
              <w:jc w:val="left"/>
              <w:rPr>
                <w:sz w:val="17"/>
              </w:rPr>
            </w:pPr>
            <w:r>
              <w:rPr>
                <w:w w:val="120"/>
                <w:sz w:val="17"/>
              </w:rPr>
              <w:t>how to use a community development approach to </w:t>
            </w:r>
            <w:r>
              <w:rPr>
                <w:spacing w:val="2"/>
                <w:w w:val="120"/>
                <w:sz w:val="17"/>
              </w:rPr>
              <w:t>support </w:t>
            </w:r>
            <w:r>
              <w:rPr>
                <w:w w:val="120"/>
                <w:sz w:val="17"/>
              </w:rPr>
              <w:t>collaborative partnership work</w:t>
            </w:r>
          </w:p>
          <w:p>
            <w:pPr>
              <w:pStyle w:val="TableParagraph"/>
              <w:numPr>
                <w:ilvl w:val="0"/>
                <w:numId w:val="112"/>
              </w:numPr>
              <w:tabs>
                <w:tab w:pos="447" w:val="left" w:leader="none"/>
                <w:tab w:pos="449" w:val="left" w:leader="none"/>
              </w:tabs>
              <w:spacing w:line="230" w:lineRule="auto" w:before="0" w:after="0"/>
              <w:ind w:left="448" w:right="879" w:hanging="341"/>
              <w:jc w:val="left"/>
              <w:rPr>
                <w:sz w:val="17"/>
              </w:rPr>
            </w:pPr>
            <w:r>
              <w:rPr>
                <w:w w:val="120"/>
                <w:sz w:val="17"/>
              </w:rPr>
              <w:t>how to use a community development approach to coordinate </w:t>
            </w:r>
            <w:r>
              <w:rPr>
                <w:spacing w:val="2"/>
                <w:w w:val="120"/>
                <w:sz w:val="17"/>
              </w:rPr>
              <w:t>networks </w:t>
            </w:r>
            <w:r>
              <w:rPr>
                <w:w w:val="120"/>
                <w:sz w:val="17"/>
              </w:rPr>
              <w:t>and partnerships</w:t>
            </w:r>
          </w:p>
          <w:p>
            <w:pPr>
              <w:pStyle w:val="TableParagraph"/>
              <w:numPr>
                <w:ilvl w:val="0"/>
                <w:numId w:val="112"/>
              </w:numPr>
              <w:tabs>
                <w:tab w:pos="447" w:val="left" w:leader="none"/>
                <w:tab w:pos="449" w:val="left" w:leader="none"/>
              </w:tabs>
              <w:spacing w:line="228" w:lineRule="auto" w:before="0" w:after="0"/>
              <w:ind w:left="448" w:right="495" w:hanging="341"/>
              <w:jc w:val="left"/>
              <w:rPr>
                <w:sz w:val="17"/>
              </w:rPr>
            </w:pPr>
            <w:r>
              <w:rPr>
                <w:w w:val="120"/>
                <w:sz w:val="17"/>
              </w:rPr>
              <w:t>how to supervise community development practitioners</w:t>
            </w:r>
          </w:p>
        </w:tc>
        <w:tc>
          <w:tcPr>
            <w:tcW w:w="3494" w:type="dxa"/>
            <w:tcBorders>
              <w:left w:val="dashed" w:sz="4" w:space="0" w:color="000000"/>
              <w:right w:val="nil"/>
            </w:tcBorders>
          </w:tcPr>
          <w:p>
            <w:pPr>
              <w:pStyle w:val="TableParagraph"/>
              <w:numPr>
                <w:ilvl w:val="0"/>
                <w:numId w:val="113"/>
              </w:numPr>
              <w:tabs>
                <w:tab w:pos="447" w:val="left" w:leader="none"/>
                <w:tab w:pos="448" w:val="left" w:leader="none"/>
              </w:tabs>
              <w:spacing w:line="228" w:lineRule="auto" w:before="40" w:after="0"/>
              <w:ind w:left="447" w:right="333" w:hanging="341"/>
              <w:jc w:val="left"/>
              <w:rPr>
                <w:sz w:val="17"/>
              </w:rPr>
            </w:pPr>
            <w:r>
              <w:rPr>
                <w:w w:val="120"/>
                <w:sz w:val="17"/>
              </w:rPr>
              <w:t>presentation of text, image and sound</w:t>
            </w:r>
          </w:p>
          <w:p>
            <w:pPr>
              <w:pStyle w:val="TableParagraph"/>
              <w:numPr>
                <w:ilvl w:val="0"/>
                <w:numId w:val="113"/>
              </w:numPr>
              <w:tabs>
                <w:tab w:pos="447" w:val="left" w:leader="none"/>
                <w:tab w:pos="448" w:val="left" w:leader="none"/>
              </w:tabs>
              <w:spacing w:line="195" w:lineRule="exact" w:before="0" w:after="0"/>
              <w:ind w:left="447" w:right="0" w:hanging="341"/>
              <w:jc w:val="left"/>
              <w:rPr>
                <w:sz w:val="17"/>
              </w:rPr>
            </w:pPr>
            <w:r>
              <w:rPr>
                <w:w w:val="125"/>
                <w:sz w:val="17"/>
              </w:rPr>
              <w:t>information technology</w:t>
            </w:r>
          </w:p>
          <w:p>
            <w:pPr>
              <w:pStyle w:val="TableParagraph"/>
              <w:numPr>
                <w:ilvl w:val="0"/>
                <w:numId w:val="113"/>
              </w:numPr>
              <w:tabs>
                <w:tab w:pos="496" w:val="left" w:leader="none"/>
                <w:tab w:pos="497" w:val="left" w:leader="none"/>
              </w:tabs>
              <w:spacing w:line="230" w:lineRule="auto" w:before="0" w:after="0"/>
              <w:ind w:left="447" w:right="329" w:hanging="341"/>
              <w:jc w:val="left"/>
              <w:rPr>
                <w:sz w:val="17"/>
              </w:rPr>
            </w:pPr>
            <w:r>
              <w:rPr/>
              <w:tab/>
            </w:r>
            <w:r>
              <w:rPr>
                <w:w w:val="125"/>
                <w:sz w:val="17"/>
              </w:rPr>
              <w:t>promoting and supporting effective relationships</w:t>
            </w:r>
            <w:r>
              <w:rPr>
                <w:spacing w:val="-37"/>
                <w:w w:val="125"/>
                <w:sz w:val="17"/>
              </w:rPr>
              <w:t> </w:t>
            </w:r>
            <w:r>
              <w:rPr>
                <w:w w:val="125"/>
                <w:sz w:val="17"/>
              </w:rPr>
              <w:t>between communities and public</w:t>
            </w:r>
            <w:r>
              <w:rPr>
                <w:spacing w:val="6"/>
                <w:w w:val="125"/>
                <w:sz w:val="17"/>
              </w:rPr>
              <w:t> </w:t>
            </w:r>
            <w:r>
              <w:rPr>
                <w:w w:val="125"/>
                <w:sz w:val="17"/>
              </w:rPr>
              <w:t>bodies</w:t>
            </w:r>
          </w:p>
          <w:p>
            <w:pPr>
              <w:pStyle w:val="TableParagraph"/>
              <w:numPr>
                <w:ilvl w:val="0"/>
                <w:numId w:val="113"/>
              </w:numPr>
              <w:tabs>
                <w:tab w:pos="447" w:val="left" w:leader="none"/>
                <w:tab w:pos="448" w:val="left" w:leader="none"/>
              </w:tabs>
              <w:spacing w:line="230" w:lineRule="auto" w:before="0" w:after="0"/>
              <w:ind w:left="447" w:right="109" w:hanging="341"/>
              <w:jc w:val="left"/>
              <w:rPr>
                <w:sz w:val="17"/>
              </w:rPr>
            </w:pPr>
            <w:r>
              <w:rPr>
                <w:w w:val="120"/>
                <w:sz w:val="17"/>
              </w:rPr>
              <w:t>managing internal organisational development and external relationships to </w:t>
            </w:r>
            <w:r>
              <w:rPr>
                <w:spacing w:val="2"/>
                <w:w w:val="120"/>
                <w:sz w:val="17"/>
              </w:rPr>
              <w:t>support </w:t>
            </w:r>
            <w:r>
              <w:rPr>
                <w:w w:val="120"/>
                <w:sz w:val="17"/>
              </w:rPr>
              <w:t>effective community development</w:t>
            </w:r>
            <w:r>
              <w:rPr>
                <w:spacing w:val="4"/>
                <w:w w:val="120"/>
                <w:sz w:val="17"/>
              </w:rPr>
              <w:t> </w:t>
            </w:r>
            <w:r>
              <w:rPr>
                <w:w w:val="120"/>
                <w:sz w:val="17"/>
              </w:rPr>
              <w:t>practice</w:t>
            </w:r>
          </w:p>
        </w:tc>
      </w:tr>
      <w:tr>
        <w:trPr>
          <w:trHeight w:val="1924" w:hRule="atLeast"/>
        </w:trPr>
        <w:tc>
          <w:tcPr>
            <w:tcW w:w="2286" w:type="dxa"/>
            <w:tcBorders>
              <w:left w:val="nil"/>
              <w:bottom w:val="nil"/>
              <w:right w:val="dashed" w:sz="4" w:space="0" w:color="000000"/>
            </w:tcBorders>
          </w:tcPr>
          <w:p>
            <w:pPr>
              <w:pStyle w:val="TableParagraph"/>
              <w:spacing w:line="220" w:lineRule="auto" w:before="30"/>
              <w:ind w:left="113" w:right="57"/>
              <w:rPr>
                <w:rFonts w:ascii="Stone Sans II ITC Std Bk"/>
                <w:b/>
                <w:sz w:val="16"/>
              </w:rPr>
            </w:pPr>
            <w:r>
              <w:rPr>
                <w:rFonts w:ascii="Stone Sans II ITC Std Bk"/>
                <w:b/>
                <w:w w:val="115"/>
                <w:sz w:val="16"/>
              </w:rPr>
              <w:t>A competent community development worker</w:t>
            </w:r>
          </w:p>
        </w:tc>
        <w:tc>
          <w:tcPr>
            <w:tcW w:w="4744" w:type="dxa"/>
            <w:tcBorders>
              <w:top w:val="single" w:sz="6" w:space="0" w:color="000000"/>
              <w:left w:val="dashed" w:sz="4" w:space="0" w:color="000000"/>
              <w:bottom w:val="nil"/>
              <w:right w:val="dashed" w:sz="4" w:space="0" w:color="000000"/>
            </w:tcBorders>
          </w:tcPr>
          <w:p>
            <w:pPr>
              <w:pStyle w:val="TableParagraph"/>
              <w:numPr>
                <w:ilvl w:val="0"/>
                <w:numId w:val="114"/>
              </w:numPr>
              <w:tabs>
                <w:tab w:pos="448" w:val="left" w:leader="none"/>
                <w:tab w:pos="449" w:val="left" w:leader="none"/>
              </w:tabs>
              <w:spacing w:line="228" w:lineRule="auto" w:before="37" w:after="0"/>
              <w:ind w:left="448" w:right="255" w:hanging="341"/>
              <w:jc w:val="left"/>
              <w:rPr>
                <w:sz w:val="17"/>
              </w:rPr>
            </w:pPr>
            <w:r>
              <w:rPr>
                <w:w w:val="120"/>
                <w:sz w:val="17"/>
              </w:rPr>
              <w:t>understanding themselves and their impact on others</w:t>
            </w:r>
          </w:p>
          <w:p>
            <w:pPr>
              <w:pStyle w:val="TableParagraph"/>
              <w:numPr>
                <w:ilvl w:val="0"/>
                <w:numId w:val="114"/>
              </w:numPr>
              <w:tabs>
                <w:tab w:pos="448" w:val="left" w:leader="none"/>
                <w:tab w:pos="449" w:val="left" w:leader="none"/>
              </w:tabs>
              <w:spacing w:line="228" w:lineRule="auto" w:before="0" w:after="0"/>
              <w:ind w:left="448" w:right="804" w:hanging="341"/>
              <w:jc w:val="left"/>
              <w:rPr>
                <w:sz w:val="17"/>
              </w:rPr>
            </w:pPr>
            <w:r>
              <w:rPr>
                <w:w w:val="125"/>
                <w:sz w:val="17"/>
              </w:rPr>
              <w:t>understanding and keeping professional boundaries</w:t>
            </w:r>
          </w:p>
          <w:p>
            <w:pPr>
              <w:pStyle w:val="TableParagraph"/>
              <w:numPr>
                <w:ilvl w:val="0"/>
                <w:numId w:val="114"/>
              </w:numPr>
              <w:tabs>
                <w:tab w:pos="448" w:val="left" w:leader="none"/>
                <w:tab w:pos="449" w:val="left" w:leader="none"/>
              </w:tabs>
              <w:spacing w:line="195" w:lineRule="exact" w:before="0" w:after="0"/>
              <w:ind w:left="448" w:right="0" w:hanging="341"/>
              <w:jc w:val="left"/>
              <w:rPr>
                <w:sz w:val="17"/>
              </w:rPr>
            </w:pPr>
            <w:r>
              <w:rPr>
                <w:w w:val="120"/>
                <w:sz w:val="17"/>
              </w:rPr>
              <w:t>behaving</w:t>
            </w:r>
            <w:r>
              <w:rPr>
                <w:spacing w:val="15"/>
                <w:w w:val="120"/>
                <w:sz w:val="17"/>
              </w:rPr>
              <w:t> </w:t>
            </w:r>
            <w:r>
              <w:rPr>
                <w:w w:val="120"/>
                <w:sz w:val="17"/>
              </w:rPr>
              <w:t>in</w:t>
            </w:r>
            <w:r>
              <w:rPr>
                <w:spacing w:val="16"/>
                <w:w w:val="120"/>
                <w:sz w:val="17"/>
              </w:rPr>
              <w:t> </w:t>
            </w:r>
            <w:r>
              <w:rPr>
                <w:w w:val="120"/>
                <w:sz w:val="17"/>
              </w:rPr>
              <w:t>an</w:t>
            </w:r>
            <w:r>
              <w:rPr>
                <w:spacing w:val="16"/>
                <w:w w:val="120"/>
                <w:sz w:val="17"/>
              </w:rPr>
              <w:t> </w:t>
            </w:r>
            <w:r>
              <w:rPr>
                <w:w w:val="120"/>
                <w:sz w:val="17"/>
              </w:rPr>
              <w:t>appropriate</w:t>
            </w:r>
            <w:r>
              <w:rPr>
                <w:spacing w:val="16"/>
                <w:w w:val="120"/>
                <w:sz w:val="17"/>
              </w:rPr>
              <w:t> </w:t>
            </w:r>
            <w:r>
              <w:rPr>
                <w:w w:val="120"/>
                <w:sz w:val="17"/>
              </w:rPr>
              <w:t>professional</w:t>
            </w:r>
            <w:r>
              <w:rPr>
                <w:spacing w:val="16"/>
                <w:w w:val="120"/>
                <w:sz w:val="17"/>
              </w:rPr>
              <w:t> </w:t>
            </w:r>
            <w:r>
              <w:rPr>
                <w:w w:val="120"/>
                <w:sz w:val="17"/>
              </w:rPr>
              <w:t>manner</w:t>
            </w:r>
          </w:p>
          <w:p>
            <w:pPr>
              <w:pStyle w:val="TableParagraph"/>
              <w:numPr>
                <w:ilvl w:val="0"/>
                <w:numId w:val="114"/>
              </w:numPr>
              <w:tabs>
                <w:tab w:pos="448" w:val="left" w:leader="none"/>
                <w:tab w:pos="449" w:val="left" w:leader="none"/>
              </w:tabs>
              <w:spacing w:line="228" w:lineRule="auto" w:before="0" w:after="0"/>
              <w:ind w:left="448" w:right="612" w:hanging="341"/>
              <w:jc w:val="left"/>
              <w:rPr>
                <w:sz w:val="17"/>
              </w:rPr>
            </w:pPr>
            <w:r>
              <w:rPr>
                <w:w w:val="125"/>
                <w:sz w:val="17"/>
              </w:rPr>
              <w:t>treating others (including colleagues) with respect</w:t>
            </w:r>
          </w:p>
        </w:tc>
        <w:tc>
          <w:tcPr>
            <w:tcW w:w="4655" w:type="dxa"/>
            <w:tcBorders>
              <w:top w:val="single" w:sz="6" w:space="0" w:color="000000"/>
              <w:left w:val="dashed" w:sz="4" w:space="0" w:color="000000"/>
              <w:bottom w:val="nil"/>
              <w:right w:val="dashed" w:sz="4" w:space="0" w:color="000000"/>
            </w:tcBorders>
          </w:tcPr>
          <w:p>
            <w:pPr>
              <w:pStyle w:val="TableParagraph"/>
              <w:numPr>
                <w:ilvl w:val="0"/>
                <w:numId w:val="115"/>
              </w:numPr>
              <w:tabs>
                <w:tab w:pos="447" w:val="left" w:leader="none"/>
                <w:tab w:pos="449" w:val="left" w:leader="none"/>
              </w:tabs>
              <w:spacing w:line="228" w:lineRule="auto" w:before="37" w:after="0"/>
              <w:ind w:left="448" w:right="155" w:hanging="341"/>
              <w:jc w:val="left"/>
              <w:rPr>
                <w:sz w:val="17"/>
              </w:rPr>
            </w:pPr>
            <w:r>
              <w:rPr>
                <w:w w:val="125"/>
                <w:sz w:val="17"/>
              </w:rPr>
              <w:t>how</w:t>
            </w:r>
            <w:r>
              <w:rPr>
                <w:spacing w:val="-5"/>
                <w:w w:val="125"/>
                <w:sz w:val="17"/>
              </w:rPr>
              <w:t> </w:t>
            </w:r>
            <w:r>
              <w:rPr>
                <w:w w:val="125"/>
                <w:sz w:val="17"/>
              </w:rPr>
              <w:t>to</w:t>
            </w:r>
            <w:r>
              <w:rPr>
                <w:spacing w:val="-4"/>
                <w:w w:val="125"/>
                <w:sz w:val="17"/>
              </w:rPr>
              <w:t> </w:t>
            </w:r>
            <w:r>
              <w:rPr>
                <w:w w:val="125"/>
                <w:sz w:val="17"/>
              </w:rPr>
              <w:t>plan</w:t>
            </w:r>
            <w:r>
              <w:rPr>
                <w:spacing w:val="-4"/>
                <w:w w:val="125"/>
                <w:sz w:val="17"/>
              </w:rPr>
              <w:t> </w:t>
            </w:r>
            <w:r>
              <w:rPr>
                <w:w w:val="125"/>
                <w:sz w:val="17"/>
              </w:rPr>
              <w:t>and</w:t>
            </w:r>
            <w:r>
              <w:rPr>
                <w:spacing w:val="-4"/>
                <w:w w:val="125"/>
                <w:sz w:val="17"/>
              </w:rPr>
              <w:t> </w:t>
            </w:r>
            <w:r>
              <w:rPr>
                <w:w w:val="125"/>
                <w:sz w:val="17"/>
              </w:rPr>
              <w:t>organise</w:t>
            </w:r>
            <w:r>
              <w:rPr>
                <w:spacing w:val="-4"/>
                <w:w w:val="125"/>
                <w:sz w:val="17"/>
              </w:rPr>
              <w:t> </w:t>
            </w:r>
            <w:r>
              <w:rPr>
                <w:w w:val="125"/>
                <w:sz w:val="17"/>
              </w:rPr>
              <w:t>how</w:t>
            </w:r>
            <w:r>
              <w:rPr>
                <w:spacing w:val="-4"/>
                <w:w w:val="125"/>
                <w:sz w:val="17"/>
              </w:rPr>
              <w:t> </w:t>
            </w:r>
            <w:r>
              <w:rPr>
                <w:w w:val="125"/>
                <w:sz w:val="17"/>
              </w:rPr>
              <w:t>to</w:t>
            </w:r>
            <w:r>
              <w:rPr>
                <w:spacing w:val="-4"/>
                <w:w w:val="125"/>
                <w:sz w:val="17"/>
              </w:rPr>
              <w:t> </w:t>
            </w:r>
            <w:r>
              <w:rPr>
                <w:w w:val="125"/>
                <w:sz w:val="17"/>
              </w:rPr>
              <w:t>take</w:t>
            </w:r>
            <w:r>
              <w:rPr>
                <w:spacing w:val="-4"/>
                <w:w w:val="125"/>
                <w:sz w:val="17"/>
              </w:rPr>
              <w:t> </w:t>
            </w:r>
            <w:r>
              <w:rPr>
                <w:w w:val="125"/>
                <w:sz w:val="17"/>
              </w:rPr>
              <w:t>action</w:t>
            </w:r>
            <w:r>
              <w:rPr>
                <w:spacing w:val="-4"/>
                <w:w w:val="125"/>
                <w:sz w:val="17"/>
              </w:rPr>
              <w:t> </w:t>
            </w:r>
            <w:r>
              <w:rPr>
                <w:w w:val="125"/>
                <w:sz w:val="17"/>
              </w:rPr>
              <w:t>in church and community</w:t>
            </w:r>
          </w:p>
          <w:p>
            <w:pPr>
              <w:pStyle w:val="TableParagraph"/>
              <w:numPr>
                <w:ilvl w:val="0"/>
                <w:numId w:val="115"/>
              </w:numPr>
              <w:tabs>
                <w:tab w:pos="447" w:val="left" w:leader="none"/>
                <w:tab w:pos="449" w:val="left" w:leader="none"/>
              </w:tabs>
              <w:spacing w:line="228" w:lineRule="auto" w:before="0" w:after="0"/>
              <w:ind w:left="448" w:right="96" w:hanging="341"/>
              <w:jc w:val="left"/>
              <w:rPr>
                <w:sz w:val="17"/>
              </w:rPr>
            </w:pPr>
            <w:r>
              <w:rPr>
                <w:w w:val="120"/>
                <w:sz w:val="17"/>
              </w:rPr>
              <w:t>how to reflect on and evaluate the effectiveness of actions</w:t>
            </w:r>
            <w:r>
              <w:rPr>
                <w:spacing w:val="5"/>
                <w:w w:val="120"/>
                <w:sz w:val="17"/>
              </w:rPr>
              <w:t> </w:t>
            </w:r>
            <w:r>
              <w:rPr>
                <w:w w:val="120"/>
                <w:sz w:val="17"/>
              </w:rPr>
              <w:t>taken</w:t>
            </w:r>
          </w:p>
          <w:p>
            <w:pPr>
              <w:pStyle w:val="TableParagraph"/>
              <w:numPr>
                <w:ilvl w:val="0"/>
                <w:numId w:val="115"/>
              </w:numPr>
              <w:tabs>
                <w:tab w:pos="447" w:val="left" w:leader="none"/>
                <w:tab w:pos="449" w:val="left" w:leader="none"/>
              </w:tabs>
              <w:spacing w:line="230" w:lineRule="auto" w:before="0" w:after="0"/>
              <w:ind w:left="448" w:right="324" w:hanging="341"/>
              <w:jc w:val="left"/>
              <w:rPr>
                <w:sz w:val="17"/>
              </w:rPr>
            </w:pPr>
            <w:r>
              <w:rPr>
                <w:w w:val="120"/>
                <w:sz w:val="17"/>
              </w:rPr>
              <w:t>how to work with churches and communities to bring about church and community transformation</w:t>
            </w:r>
          </w:p>
          <w:p>
            <w:pPr>
              <w:pStyle w:val="TableParagraph"/>
              <w:numPr>
                <w:ilvl w:val="0"/>
                <w:numId w:val="115"/>
              </w:numPr>
              <w:tabs>
                <w:tab w:pos="447" w:val="left" w:leader="none"/>
                <w:tab w:pos="449" w:val="left" w:leader="none"/>
              </w:tabs>
              <w:spacing w:line="228" w:lineRule="auto" w:before="0" w:after="0"/>
              <w:ind w:left="448" w:right="475" w:hanging="341"/>
              <w:jc w:val="left"/>
              <w:rPr>
                <w:sz w:val="17"/>
              </w:rPr>
            </w:pPr>
            <w:r>
              <w:rPr>
                <w:w w:val="120"/>
                <w:sz w:val="17"/>
              </w:rPr>
              <w:t>effective management and development of personnel, </w:t>
            </w:r>
            <w:r>
              <w:rPr>
                <w:spacing w:val="2"/>
                <w:w w:val="120"/>
                <w:sz w:val="17"/>
              </w:rPr>
              <w:t>projects </w:t>
            </w:r>
            <w:r>
              <w:rPr>
                <w:w w:val="120"/>
                <w:sz w:val="17"/>
              </w:rPr>
              <w:t>and</w:t>
            </w:r>
            <w:r>
              <w:rPr>
                <w:spacing w:val="24"/>
                <w:w w:val="120"/>
                <w:sz w:val="17"/>
              </w:rPr>
              <w:t> </w:t>
            </w:r>
            <w:r>
              <w:rPr>
                <w:w w:val="120"/>
                <w:sz w:val="17"/>
              </w:rPr>
              <w:t>organisations</w:t>
            </w:r>
          </w:p>
        </w:tc>
        <w:tc>
          <w:tcPr>
            <w:tcW w:w="3494" w:type="dxa"/>
            <w:tcBorders>
              <w:left w:val="dashed" w:sz="4" w:space="0" w:color="000000"/>
              <w:bottom w:val="nil"/>
              <w:right w:val="nil"/>
            </w:tcBorders>
          </w:tcPr>
          <w:p>
            <w:pPr>
              <w:pStyle w:val="TableParagraph"/>
              <w:numPr>
                <w:ilvl w:val="0"/>
                <w:numId w:val="116"/>
              </w:numPr>
              <w:tabs>
                <w:tab w:pos="447" w:val="left" w:leader="none"/>
                <w:tab w:pos="448" w:val="left" w:leader="none"/>
              </w:tabs>
              <w:spacing w:line="230" w:lineRule="auto" w:before="36" w:after="0"/>
              <w:ind w:left="447" w:right="151" w:hanging="341"/>
              <w:jc w:val="left"/>
              <w:rPr>
                <w:sz w:val="17"/>
              </w:rPr>
            </w:pPr>
            <w:r>
              <w:rPr>
                <w:w w:val="125"/>
                <w:sz w:val="17"/>
              </w:rPr>
              <w:t>working with communities to identify needs, opportunities and rights.</w:t>
            </w:r>
          </w:p>
          <w:p>
            <w:pPr>
              <w:pStyle w:val="TableParagraph"/>
              <w:numPr>
                <w:ilvl w:val="0"/>
                <w:numId w:val="116"/>
              </w:numPr>
              <w:tabs>
                <w:tab w:pos="447" w:val="left" w:leader="none"/>
                <w:tab w:pos="448" w:val="left" w:leader="none"/>
              </w:tabs>
              <w:spacing w:line="230" w:lineRule="auto" w:before="0" w:after="0"/>
              <w:ind w:left="447" w:right="301" w:hanging="341"/>
              <w:jc w:val="left"/>
              <w:rPr>
                <w:sz w:val="17"/>
              </w:rPr>
            </w:pPr>
            <w:r>
              <w:rPr>
                <w:w w:val="125"/>
                <w:sz w:val="17"/>
              </w:rPr>
              <w:t>building and sustaining relationships within Church and community</w:t>
            </w:r>
          </w:p>
          <w:p>
            <w:pPr>
              <w:pStyle w:val="TableParagraph"/>
              <w:numPr>
                <w:ilvl w:val="0"/>
                <w:numId w:val="116"/>
              </w:numPr>
              <w:tabs>
                <w:tab w:pos="447" w:val="left" w:leader="none"/>
                <w:tab w:pos="448" w:val="left" w:leader="none"/>
              </w:tabs>
              <w:spacing w:line="228" w:lineRule="auto" w:before="0" w:after="0"/>
              <w:ind w:left="447" w:right="233" w:hanging="341"/>
              <w:jc w:val="left"/>
              <w:rPr>
                <w:sz w:val="17"/>
              </w:rPr>
            </w:pPr>
            <w:r>
              <w:rPr>
                <w:w w:val="125"/>
                <w:sz w:val="17"/>
              </w:rPr>
              <w:t>developing strategic community </w:t>
            </w:r>
            <w:r>
              <w:rPr>
                <w:spacing w:val="2"/>
                <w:w w:val="125"/>
                <w:sz w:val="17"/>
              </w:rPr>
              <w:t>networks</w:t>
            </w:r>
          </w:p>
        </w:tc>
      </w:tr>
    </w:tbl>
    <w:p>
      <w:pPr>
        <w:pStyle w:val="BodyText"/>
        <w:rPr>
          <w:rFonts w:ascii="Stone Sans II ITC Std Bk"/>
          <w:b/>
          <w:sz w:val="2"/>
        </w:rPr>
      </w:pPr>
    </w:p>
    <w:p>
      <w:pPr>
        <w:pStyle w:val="BodyText"/>
        <w:spacing w:line="39" w:lineRule="exact"/>
        <w:ind w:left="268"/>
        <w:rPr>
          <w:rFonts w:ascii="Stone Sans II ITC Std Bk"/>
          <w:sz w:val="3"/>
        </w:rPr>
      </w:pPr>
      <w:r>
        <w:rPr>
          <w:rFonts w:ascii="Stone Sans II ITC Std Bk"/>
          <w:position w:val="0"/>
          <w:sz w:val="3"/>
        </w:rPr>
        <w:pict>
          <v:group style="width:758.9pt;height:1.5pt;mso-position-horizontal-relative:char;mso-position-vertical-relative:line" coordorigin="0,0" coordsize="15178,30">
            <v:line style="position:absolute" from="0,25" to="2286,25" stroked="true" strokeweight=".5pt" strokecolor="#000000">
              <v:stroke dashstyle="solid"/>
            </v:line>
            <v:line style="position:absolute" from="2286,25" to="7030,25" stroked="true" strokeweight=".5pt" strokecolor="#000000">
              <v:stroke dashstyle="solid"/>
            </v:line>
            <v:line style="position:absolute" from="7030,25" to="11684,25" stroked="true" strokeweight=".5pt" strokecolor="#000000">
              <v:stroke dashstyle="solid"/>
            </v:line>
            <v:line style="position:absolute" from="11684,25" to="15177,25" stroked="true" strokeweight=".5pt" strokecolor="#000000">
              <v:stroke dashstyle="solid"/>
            </v:line>
            <v:line style="position:absolute" from="2281,10" to="2291,10" stroked="true" strokeweight=".993pt" strokecolor="#000000">
              <v:stroke dashstyle="solid"/>
            </v:line>
            <v:line style="position:absolute" from="7025,10" to="7035,10" stroked="true" strokeweight=".993pt" strokecolor="#000000">
              <v:stroke dashstyle="solid"/>
            </v:line>
            <v:line style="position:absolute" from="11679,10" to="11689,10" stroked="true" strokeweight=".993pt" strokecolor="#000000">
              <v:stroke dashstyle="solid"/>
            </v:line>
          </v:group>
        </w:pict>
      </w:r>
      <w:r>
        <w:rPr>
          <w:rFonts w:ascii="Stone Sans II ITC Std Bk"/>
          <w:position w:val="0"/>
          <w:sz w:val="3"/>
        </w:rPr>
      </w:r>
    </w:p>
    <w:p>
      <w:pPr>
        <w:spacing w:after="0" w:line="39" w:lineRule="exact"/>
        <w:rPr>
          <w:rFonts w:ascii="Stone Sans II ITC Std Bk"/>
          <w:sz w:val="3"/>
        </w:rPr>
        <w:sectPr>
          <w:type w:val="continuous"/>
          <w:pgSz w:w="16840" w:h="11910" w:orient="landscape"/>
          <w:pgMar w:top="1580" w:bottom="280" w:left="860" w:right="280"/>
        </w:sectPr>
      </w:pPr>
    </w:p>
    <w:p>
      <w:pPr>
        <w:pStyle w:val="BodyText"/>
        <w:rPr>
          <w:rFonts w:ascii="Stone Sans II ITC Std Bk"/>
          <w:b/>
        </w:rPr>
      </w:pPr>
      <w:r>
        <w:rPr/>
        <w:pict>
          <v:rect style="position:absolute;margin-left:1.417pt;margin-top:.000015pt;width:547.79pt;height:841.89pt;mso-position-horizontal-relative:page;mso-position-vertical-relative:page;z-index:-267888640" filled="true" fillcolor="#d4e9f7" stroked="false">
            <v:fill type="solid"/>
            <w10:wrap type="none"/>
          </v:rect>
        </w:pict>
      </w:r>
      <w:r>
        <w:rPr/>
        <w:drawing>
          <wp:anchor distT="0" distB="0" distL="0" distR="0" allowOverlap="1" layoutInCell="1" locked="0" behindDoc="0" simplePos="0" relativeHeight="251882496">
            <wp:simplePos x="0" y="0"/>
            <wp:positionH relativeFrom="page">
              <wp:posOffset>6974928</wp:posOffset>
            </wp:positionH>
            <wp:positionV relativeFrom="page">
              <wp:posOffset>0</wp:posOffset>
            </wp:positionV>
            <wp:extent cx="585063" cy="10692003"/>
            <wp:effectExtent l="0" t="0" r="0" b="0"/>
            <wp:wrapNone/>
            <wp:docPr id="149" name="image54.png"/>
            <wp:cNvGraphicFramePr>
              <a:graphicFrameLocks noChangeAspect="1"/>
            </wp:cNvGraphicFramePr>
            <a:graphic>
              <a:graphicData uri="http://schemas.openxmlformats.org/drawingml/2006/picture">
                <pic:pic>
                  <pic:nvPicPr>
                    <pic:cNvPr id="150" name="image54.png"/>
                    <pic:cNvPicPr/>
                  </pic:nvPicPr>
                  <pic:blipFill>
                    <a:blip r:embed="rId169" cstate="print"/>
                    <a:stretch>
                      <a:fillRect/>
                    </a:stretch>
                  </pic:blipFill>
                  <pic:spPr>
                    <a:xfrm>
                      <a:off x="0" y="0"/>
                      <a:ext cx="585063" cy="10692003"/>
                    </a:xfrm>
                    <a:prstGeom prst="rect">
                      <a:avLst/>
                    </a:prstGeom>
                  </pic:spPr>
                </pic:pic>
              </a:graphicData>
            </a:graphic>
          </wp:anchor>
        </w:drawing>
      </w:r>
    </w:p>
    <w:p>
      <w:pPr>
        <w:pStyle w:val="BodyText"/>
        <w:rPr>
          <w:rFonts w:ascii="Stone Sans II ITC Std Bk"/>
          <w:b/>
        </w:rPr>
      </w:pPr>
    </w:p>
    <w:p>
      <w:pPr>
        <w:pStyle w:val="BodyText"/>
        <w:rPr>
          <w:rFonts w:ascii="Stone Sans II ITC Std Bk"/>
          <w:b/>
        </w:rPr>
      </w:pPr>
    </w:p>
    <w:p>
      <w:pPr>
        <w:pStyle w:val="BodyText"/>
        <w:spacing w:before="11"/>
        <w:rPr>
          <w:rFonts w:ascii="Stone Sans II ITC Std Bk"/>
          <w:b/>
          <w:sz w:val="19"/>
        </w:rPr>
      </w:pPr>
    </w:p>
    <w:p>
      <w:pPr>
        <w:spacing w:line="213" w:lineRule="auto" w:before="153"/>
        <w:ind w:left="1103" w:right="4152" w:firstLine="0"/>
        <w:jc w:val="both"/>
        <w:rPr>
          <w:rFonts w:ascii="Stone Sans II ITC Std X Bd"/>
          <w:b/>
          <w:sz w:val="50"/>
        </w:rPr>
      </w:pPr>
      <w:r>
        <w:rPr/>
        <w:pict>
          <v:shape style="position:absolute;margin-left:554.141174pt;margin-top:-5.989334pt;width:25.9pt;height:98.65pt;mso-position-horizontal-relative:page;mso-position-vertical-relative:paragraph;z-index:251883520" type="#_x0000_t202" filled="false" stroked="false">
            <v:textbox inset="0,0,0,0" style="layout-flow:vertical">
              <w:txbxContent>
                <w:p>
                  <w:pPr>
                    <w:spacing w:before="27"/>
                    <w:ind w:left="20" w:right="0" w:firstLine="0"/>
                    <w:jc w:val="left"/>
                    <w:rPr>
                      <w:sz w:val="39"/>
                    </w:rPr>
                  </w:pPr>
                  <w:r>
                    <w:rPr>
                      <w:color w:val="FFFFFF"/>
                      <w:w w:val="120"/>
                      <w:sz w:val="39"/>
                    </w:rPr>
                    <w:t>Equalities</w:t>
                  </w:r>
                </w:p>
              </w:txbxContent>
            </v:textbox>
            <w10:wrap type="none"/>
          </v:shape>
        </w:pict>
      </w:r>
      <w:r>
        <w:rPr>
          <w:rFonts w:ascii="Stone Sans II ITC Std X Bd"/>
          <w:b/>
          <w:color w:val="0090D4"/>
          <w:spacing w:val="-10"/>
          <w:w w:val="110"/>
          <w:sz w:val="50"/>
        </w:rPr>
        <w:t>Equalities committee: </w:t>
      </w:r>
      <w:r>
        <w:rPr>
          <w:rFonts w:ascii="Stone Sans II ITC Std X Bd"/>
          <w:b/>
          <w:spacing w:val="-10"/>
          <w:w w:val="110"/>
          <w:sz w:val="50"/>
        </w:rPr>
        <w:t>Encouraging </w:t>
      </w:r>
      <w:r>
        <w:rPr>
          <w:rFonts w:ascii="Stone Sans II ITC Std X Bd"/>
          <w:b/>
          <w:spacing w:val="-12"/>
          <w:w w:val="110"/>
          <w:sz w:val="50"/>
        </w:rPr>
        <w:t>equality, </w:t>
      </w:r>
      <w:r>
        <w:rPr>
          <w:rFonts w:ascii="Stone Sans II ITC Std X Bd"/>
          <w:b/>
          <w:spacing w:val="-9"/>
          <w:w w:val="110"/>
          <w:sz w:val="50"/>
        </w:rPr>
        <w:t>cherishing diversity</w:t>
      </w:r>
    </w:p>
    <w:p>
      <w:pPr>
        <w:pStyle w:val="Heading4"/>
        <w:spacing w:before="324"/>
        <w:ind w:left="1103"/>
      </w:pPr>
      <w:r>
        <w:rPr>
          <w:color w:val="7F7F7F"/>
        </w:rPr>
        <w:t>Basic Information</w:t>
      </w:r>
    </w:p>
    <w:tbl>
      <w:tblPr>
        <w:tblW w:w="0" w:type="auto"/>
        <w:jc w:val="left"/>
        <w:tblInd w:w="111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660"/>
        <w:gridCol w:w="6582"/>
      </w:tblGrid>
      <w:tr>
        <w:trPr>
          <w:trHeight w:val="680" w:hRule="atLeast"/>
        </w:trPr>
        <w:tc>
          <w:tcPr>
            <w:tcW w:w="2660" w:type="dxa"/>
            <w:shd w:val="clear" w:color="auto" w:fill="FFFFFF"/>
          </w:tcPr>
          <w:p>
            <w:pPr>
              <w:pStyle w:val="TableParagraph"/>
              <w:spacing w:line="213" w:lineRule="auto" w:before="151"/>
              <w:ind w:left="79" w:right="596"/>
              <w:rPr>
                <w:rFonts w:ascii="Stone Sans II ITC Std Bk"/>
                <w:b/>
                <w:sz w:val="20"/>
              </w:rPr>
            </w:pPr>
            <w:r>
              <w:rPr>
                <w:rFonts w:ascii="Stone Sans II ITC Std Bk"/>
                <w:b/>
                <w:w w:val="110"/>
                <w:sz w:val="20"/>
              </w:rPr>
              <w:t>Contact name and email address</w:t>
            </w:r>
          </w:p>
        </w:tc>
        <w:tc>
          <w:tcPr>
            <w:tcW w:w="6582" w:type="dxa"/>
            <w:shd w:val="clear" w:color="auto" w:fill="FFFFFF"/>
          </w:tcPr>
          <w:p>
            <w:pPr>
              <w:pStyle w:val="TableParagraph"/>
              <w:spacing w:before="141"/>
              <w:ind w:left="79"/>
              <w:rPr>
                <w:sz w:val="20"/>
              </w:rPr>
            </w:pPr>
            <w:r>
              <w:rPr>
                <w:w w:val="120"/>
                <w:sz w:val="20"/>
              </w:rPr>
              <w:t>Helen M Mee: </w:t>
            </w:r>
            <w:hyperlink r:id="rId262">
              <w:r>
                <w:rPr>
                  <w:color w:val="006AB3"/>
                  <w:w w:val="120"/>
                  <w:sz w:val="20"/>
                </w:rPr>
                <w:t>hmmedin@aol.com</w:t>
              </w:r>
            </w:hyperlink>
          </w:p>
        </w:tc>
      </w:tr>
      <w:tr>
        <w:trPr>
          <w:trHeight w:val="440" w:hRule="atLeast"/>
        </w:trPr>
        <w:tc>
          <w:tcPr>
            <w:tcW w:w="2660" w:type="dxa"/>
            <w:shd w:val="clear" w:color="auto" w:fill="FFFFFF"/>
          </w:tcPr>
          <w:p>
            <w:pPr>
              <w:pStyle w:val="TableParagraph"/>
              <w:spacing w:before="128"/>
              <w:ind w:left="79"/>
              <w:rPr>
                <w:rFonts w:ascii="Stone Sans II ITC Std Bk"/>
                <w:b/>
                <w:sz w:val="20"/>
              </w:rPr>
            </w:pPr>
            <w:r>
              <w:rPr>
                <w:rFonts w:ascii="Stone Sans II ITC Std Bk"/>
                <w:b/>
                <w:w w:val="110"/>
                <w:sz w:val="20"/>
              </w:rPr>
              <w:t>Action required</w:t>
            </w:r>
          </w:p>
        </w:tc>
        <w:tc>
          <w:tcPr>
            <w:tcW w:w="6582" w:type="dxa"/>
            <w:shd w:val="clear" w:color="auto" w:fill="FFFFFF"/>
          </w:tcPr>
          <w:p>
            <w:pPr>
              <w:pStyle w:val="TableParagraph"/>
              <w:spacing w:before="141"/>
              <w:ind w:left="79"/>
              <w:rPr>
                <w:sz w:val="20"/>
              </w:rPr>
            </w:pPr>
            <w:r>
              <w:rPr>
                <w:w w:val="120"/>
                <w:sz w:val="20"/>
              </w:rPr>
              <w:t>None</w:t>
            </w:r>
          </w:p>
        </w:tc>
      </w:tr>
      <w:tr>
        <w:trPr>
          <w:trHeight w:val="480" w:hRule="atLeast"/>
        </w:trPr>
        <w:tc>
          <w:tcPr>
            <w:tcW w:w="2660" w:type="dxa"/>
            <w:shd w:val="clear" w:color="auto" w:fill="FFFFFF"/>
          </w:tcPr>
          <w:p>
            <w:pPr>
              <w:pStyle w:val="TableParagraph"/>
              <w:spacing w:before="128"/>
              <w:ind w:left="79"/>
              <w:rPr>
                <w:rFonts w:ascii="Stone Sans II ITC Std Bk"/>
                <w:b/>
                <w:sz w:val="20"/>
              </w:rPr>
            </w:pPr>
            <w:r>
              <w:rPr>
                <w:rFonts w:ascii="Stone Sans II ITC Std Bk"/>
                <w:b/>
                <w:w w:val="110"/>
                <w:sz w:val="20"/>
              </w:rPr>
              <w:t>Draft resolution(s)</w:t>
            </w:r>
          </w:p>
        </w:tc>
        <w:tc>
          <w:tcPr>
            <w:tcW w:w="6582" w:type="dxa"/>
            <w:shd w:val="clear" w:color="auto" w:fill="FFFFFF"/>
          </w:tcPr>
          <w:p>
            <w:pPr>
              <w:pStyle w:val="TableParagraph"/>
              <w:spacing w:before="128"/>
              <w:ind w:left="79"/>
              <w:rPr>
                <w:rFonts w:ascii="Stone Sans II ITC Std Bk"/>
                <w:b/>
                <w:sz w:val="20"/>
              </w:rPr>
            </w:pPr>
            <w:r>
              <w:rPr>
                <w:rFonts w:ascii="Stone Sans II ITC Std Bk"/>
                <w:b/>
                <w:w w:val="110"/>
                <w:sz w:val="20"/>
              </w:rPr>
              <w:t>None</w:t>
            </w:r>
          </w:p>
        </w:tc>
      </w:tr>
    </w:tbl>
    <w:p>
      <w:pPr>
        <w:pStyle w:val="BodyText"/>
        <w:spacing w:before="3"/>
        <w:rPr>
          <w:rFonts w:ascii="Stone Sans II ITC Std Bk"/>
          <w:b/>
          <w:sz w:val="29"/>
        </w:rPr>
      </w:pPr>
    </w:p>
    <w:p>
      <w:pPr>
        <w:pStyle w:val="Heading4"/>
        <w:ind w:left="1103"/>
      </w:pPr>
      <w:r>
        <w:rPr>
          <w:color w:val="7F7F7F"/>
        </w:rPr>
        <w:t>Summary of Content</w:t>
      </w:r>
    </w:p>
    <w:tbl>
      <w:tblPr>
        <w:tblW w:w="0" w:type="auto"/>
        <w:jc w:val="left"/>
        <w:tblInd w:w="111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660"/>
        <w:gridCol w:w="6582"/>
      </w:tblGrid>
      <w:tr>
        <w:trPr>
          <w:trHeight w:val="920" w:hRule="atLeast"/>
        </w:trPr>
        <w:tc>
          <w:tcPr>
            <w:tcW w:w="2660" w:type="dxa"/>
            <w:shd w:val="clear" w:color="auto" w:fill="FFFFFF"/>
          </w:tcPr>
          <w:p>
            <w:pPr>
              <w:pStyle w:val="TableParagraph"/>
              <w:spacing w:before="128"/>
              <w:rPr>
                <w:rFonts w:ascii="Stone Sans II ITC Std Bk"/>
                <w:b/>
                <w:sz w:val="20"/>
              </w:rPr>
            </w:pPr>
            <w:r>
              <w:rPr>
                <w:rFonts w:ascii="Stone Sans II ITC Std Bk"/>
                <w:b/>
                <w:w w:val="110"/>
                <w:sz w:val="20"/>
              </w:rPr>
              <w:t>Subject and aim(s)</w:t>
            </w:r>
          </w:p>
        </w:tc>
        <w:tc>
          <w:tcPr>
            <w:tcW w:w="6582" w:type="dxa"/>
            <w:shd w:val="clear" w:color="auto" w:fill="FFFFFF"/>
          </w:tcPr>
          <w:p>
            <w:pPr>
              <w:pStyle w:val="TableParagraph"/>
              <w:spacing w:line="235" w:lineRule="auto" w:before="145"/>
              <w:ind w:right="164"/>
              <w:jc w:val="both"/>
              <w:rPr>
                <w:sz w:val="20"/>
              </w:rPr>
            </w:pPr>
            <w:r>
              <w:rPr>
                <w:w w:val="120"/>
                <w:sz w:val="20"/>
              </w:rPr>
              <w:t>The aim is to provide General Assembly with an overview of the work of the committee, which is to monitor equality throughout the United Reformed Church</w:t>
            </w:r>
          </w:p>
        </w:tc>
      </w:tr>
      <w:tr>
        <w:trPr>
          <w:trHeight w:val="440" w:hRule="atLeast"/>
        </w:trPr>
        <w:tc>
          <w:tcPr>
            <w:tcW w:w="2660" w:type="dxa"/>
            <w:shd w:val="clear" w:color="auto" w:fill="FFFFFF"/>
          </w:tcPr>
          <w:p>
            <w:pPr>
              <w:pStyle w:val="TableParagraph"/>
              <w:spacing w:before="128"/>
              <w:rPr>
                <w:rFonts w:ascii="Stone Sans II ITC Std Bk"/>
                <w:b/>
                <w:sz w:val="20"/>
              </w:rPr>
            </w:pPr>
            <w:r>
              <w:rPr>
                <w:rFonts w:ascii="Stone Sans II ITC Std Bk"/>
                <w:b/>
                <w:w w:val="110"/>
                <w:sz w:val="20"/>
              </w:rPr>
              <w:t>Main points</w:t>
            </w:r>
          </w:p>
        </w:tc>
        <w:tc>
          <w:tcPr>
            <w:tcW w:w="6582" w:type="dxa"/>
            <w:shd w:val="clear" w:color="auto" w:fill="FFFFFF"/>
          </w:tcPr>
          <w:p>
            <w:pPr>
              <w:pStyle w:val="TableParagraph"/>
              <w:spacing w:before="141"/>
              <w:rPr>
                <w:sz w:val="20"/>
              </w:rPr>
            </w:pPr>
            <w:r>
              <w:rPr>
                <w:w w:val="120"/>
                <w:sz w:val="20"/>
              </w:rPr>
              <w:t>Overview of work</w:t>
            </w:r>
          </w:p>
        </w:tc>
      </w:tr>
      <w:tr>
        <w:trPr>
          <w:trHeight w:val="680" w:hRule="atLeast"/>
        </w:trPr>
        <w:tc>
          <w:tcPr>
            <w:tcW w:w="2660" w:type="dxa"/>
            <w:shd w:val="clear" w:color="auto" w:fill="FFFFFF"/>
          </w:tcPr>
          <w:p>
            <w:pPr>
              <w:pStyle w:val="TableParagraph"/>
              <w:spacing w:line="213" w:lineRule="auto" w:before="151"/>
              <w:ind w:right="701"/>
              <w:rPr>
                <w:rFonts w:ascii="Stone Sans II ITC Std Bk"/>
                <w:b/>
                <w:sz w:val="20"/>
              </w:rPr>
            </w:pPr>
            <w:r>
              <w:rPr>
                <w:rFonts w:ascii="Stone Sans II ITC Std Bk"/>
                <w:b/>
                <w:w w:val="110"/>
                <w:sz w:val="20"/>
              </w:rPr>
              <w:t>Previous relevant documents</w:t>
            </w:r>
          </w:p>
        </w:tc>
        <w:tc>
          <w:tcPr>
            <w:tcW w:w="6582" w:type="dxa"/>
            <w:shd w:val="clear" w:color="auto" w:fill="FFFFFF"/>
          </w:tcPr>
          <w:p>
            <w:pPr>
              <w:pStyle w:val="TableParagraph"/>
              <w:spacing w:line="235" w:lineRule="auto" w:before="145"/>
              <w:ind w:right="316"/>
              <w:rPr>
                <w:sz w:val="20"/>
              </w:rPr>
            </w:pPr>
            <w:r>
              <w:rPr>
                <w:w w:val="120"/>
                <w:sz w:val="20"/>
              </w:rPr>
              <w:t>Previous relevant documents are all available on the website at </w:t>
            </w:r>
            <w:hyperlink r:id="rId263">
              <w:r>
                <w:rPr>
                  <w:color w:val="006AB3"/>
                  <w:w w:val="120"/>
                  <w:sz w:val="20"/>
                </w:rPr>
                <w:t>http://www.urc.org.uk/equal-opportunities.html</w:t>
              </w:r>
            </w:hyperlink>
          </w:p>
        </w:tc>
      </w:tr>
      <w:tr>
        <w:trPr>
          <w:trHeight w:val="680" w:hRule="atLeast"/>
        </w:trPr>
        <w:tc>
          <w:tcPr>
            <w:tcW w:w="2660" w:type="dxa"/>
            <w:shd w:val="clear" w:color="auto" w:fill="FFFFFF"/>
          </w:tcPr>
          <w:p>
            <w:pPr>
              <w:pStyle w:val="TableParagraph"/>
              <w:spacing w:line="213" w:lineRule="auto" w:before="151"/>
              <w:ind w:right="576"/>
              <w:rPr>
                <w:rFonts w:ascii="Stone Sans II ITC Std Bk"/>
                <w:b/>
                <w:sz w:val="20"/>
              </w:rPr>
            </w:pPr>
            <w:r>
              <w:rPr>
                <w:rFonts w:ascii="Stone Sans II ITC Std Bk"/>
                <w:b/>
                <w:w w:val="110"/>
                <w:sz w:val="20"/>
              </w:rPr>
              <w:t>Consultation has taken place with...</w:t>
            </w:r>
          </w:p>
        </w:tc>
        <w:tc>
          <w:tcPr>
            <w:tcW w:w="6582" w:type="dxa"/>
            <w:shd w:val="clear" w:color="auto" w:fill="FFFFFF"/>
          </w:tcPr>
          <w:p>
            <w:pPr>
              <w:pStyle w:val="TableParagraph"/>
              <w:spacing w:line="235" w:lineRule="auto" w:before="145"/>
              <w:rPr>
                <w:sz w:val="20"/>
              </w:rPr>
            </w:pPr>
            <w:r>
              <w:rPr>
                <w:w w:val="120"/>
                <w:sz w:val="20"/>
              </w:rPr>
              <w:t>General Assembly committees through linked observers; nominations committee</w:t>
            </w:r>
          </w:p>
        </w:tc>
      </w:tr>
    </w:tbl>
    <w:p>
      <w:pPr>
        <w:pStyle w:val="BodyText"/>
        <w:spacing w:before="3"/>
        <w:rPr>
          <w:rFonts w:ascii="Stone Sans II ITC Std Bk"/>
          <w:b/>
          <w:sz w:val="29"/>
        </w:rPr>
      </w:pPr>
    </w:p>
    <w:p>
      <w:pPr>
        <w:pStyle w:val="Heading4"/>
        <w:ind w:left="1103"/>
      </w:pPr>
      <w:r>
        <w:rPr>
          <w:color w:val="7F7F7F"/>
        </w:rPr>
        <w:t>Summary of Impact</w:t>
      </w:r>
    </w:p>
    <w:tbl>
      <w:tblPr>
        <w:tblW w:w="0" w:type="auto"/>
        <w:jc w:val="left"/>
        <w:tblInd w:w="111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660"/>
        <w:gridCol w:w="6582"/>
      </w:tblGrid>
      <w:tr>
        <w:trPr>
          <w:trHeight w:val="440" w:hRule="atLeast"/>
        </w:trPr>
        <w:tc>
          <w:tcPr>
            <w:tcW w:w="2660" w:type="dxa"/>
            <w:shd w:val="clear" w:color="auto" w:fill="FFFFFF"/>
          </w:tcPr>
          <w:p>
            <w:pPr>
              <w:pStyle w:val="TableParagraph"/>
              <w:spacing w:before="128"/>
              <w:rPr>
                <w:rFonts w:ascii="Stone Sans II ITC Std Bk"/>
                <w:b/>
                <w:sz w:val="20"/>
              </w:rPr>
            </w:pPr>
            <w:r>
              <w:rPr>
                <w:rFonts w:ascii="Stone Sans II ITC Std Bk"/>
                <w:b/>
                <w:w w:val="110"/>
                <w:sz w:val="20"/>
              </w:rPr>
              <w:t>Financial</w:t>
            </w:r>
          </w:p>
        </w:tc>
        <w:tc>
          <w:tcPr>
            <w:tcW w:w="6582" w:type="dxa"/>
            <w:shd w:val="clear" w:color="auto" w:fill="FFFFFF"/>
          </w:tcPr>
          <w:p>
            <w:pPr>
              <w:pStyle w:val="TableParagraph"/>
              <w:spacing w:before="141"/>
              <w:rPr>
                <w:sz w:val="20"/>
              </w:rPr>
            </w:pPr>
            <w:r>
              <w:rPr>
                <w:w w:val="120"/>
                <w:sz w:val="20"/>
              </w:rPr>
              <w:t>None</w:t>
            </w:r>
          </w:p>
        </w:tc>
      </w:tr>
      <w:tr>
        <w:trPr>
          <w:trHeight w:val="680" w:hRule="atLeast"/>
        </w:trPr>
        <w:tc>
          <w:tcPr>
            <w:tcW w:w="2660" w:type="dxa"/>
            <w:shd w:val="clear" w:color="auto" w:fill="FFFFFF"/>
          </w:tcPr>
          <w:p>
            <w:pPr>
              <w:pStyle w:val="TableParagraph"/>
              <w:spacing w:line="255" w:lineRule="exact" w:before="128"/>
              <w:rPr>
                <w:rFonts w:ascii="Stone Sans II ITC Std Bk"/>
                <w:b/>
                <w:sz w:val="20"/>
              </w:rPr>
            </w:pPr>
            <w:r>
              <w:rPr>
                <w:rFonts w:ascii="Stone Sans II ITC Std Bk"/>
                <w:b/>
                <w:w w:val="110"/>
                <w:sz w:val="20"/>
              </w:rPr>
              <w:t>External</w:t>
            </w:r>
          </w:p>
          <w:p>
            <w:pPr>
              <w:pStyle w:val="TableParagraph"/>
              <w:spacing w:line="255" w:lineRule="exact"/>
              <w:rPr>
                <w:rFonts w:ascii="Stone Sans II ITC Std Bk"/>
                <w:b/>
                <w:sz w:val="20"/>
              </w:rPr>
            </w:pPr>
            <w:r>
              <w:rPr>
                <w:rFonts w:ascii="Stone Sans II ITC Std Bk"/>
                <w:b/>
                <w:w w:val="110"/>
                <w:sz w:val="20"/>
              </w:rPr>
              <w:t>(e.g. ecumenical)</w:t>
            </w:r>
          </w:p>
        </w:tc>
        <w:tc>
          <w:tcPr>
            <w:tcW w:w="6582" w:type="dxa"/>
            <w:shd w:val="clear" w:color="auto" w:fill="FFFFFF"/>
          </w:tcPr>
          <w:p>
            <w:pPr>
              <w:pStyle w:val="TableParagraph"/>
              <w:spacing w:before="141"/>
              <w:rPr>
                <w:sz w:val="20"/>
              </w:rPr>
            </w:pPr>
            <w:r>
              <w:rPr>
                <w:w w:val="125"/>
                <w:sz w:val="20"/>
              </w:rPr>
              <w:t>None.</w:t>
            </w:r>
          </w:p>
        </w:tc>
      </w:tr>
    </w:tbl>
    <w:p>
      <w:pPr>
        <w:pStyle w:val="BodyText"/>
        <w:rPr>
          <w:rFonts w:ascii="Stone Sans II ITC Std Bk"/>
          <w:b/>
          <w:sz w:val="30"/>
        </w:rPr>
      </w:pPr>
    </w:p>
    <w:p>
      <w:pPr>
        <w:pStyle w:val="BodyText"/>
        <w:rPr>
          <w:rFonts w:ascii="Stone Sans II ITC Std Bk"/>
          <w:b/>
          <w:sz w:val="30"/>
        </w:rPr>
      </w:pPr>
    </w:p>
    <w:p>
      <w:pPr>
        <w:pStyle w:val="BodyText"/>
        <w:rPr>
          <w:rFonts w:ascii="Stone Sans II ITC Std Bk"/>
          <w:b/>
          <w:sz w:val="30"/>
        </w:rPr>
      </w:pPr>
    </w:p>
    <w:p>
      <w:pPr>
        <w:pStyle w:val="BodyText"/>
        <w:rPr>
          <w:rFonts w:ascii="Stone Sans II ITC Std Bk"/>
          <w:b/>
          <w:sz w:val="30"/>
        </w:rPr>
      </w:pPr>
    </w:p>
    <w:p>
      <w:pPr>
        <w:pStyle w:val="BodyText"/>
        <w:rPr>
          <w:rFonts w:ascii="Stone Sans II ITC Std Bk"/>
          <w:b/>
          <w:sz w:val="30"/>
        </w:rPr>
      </w:pPr>
    </w:p>
    <w:p>
      <w:pPr>
        <w:pStyle w:val="BodyText"/>
        <w:rPr>
          <w:rFonts w:ascii="Stone Sans II ITC Std Bk"/>
          <w:b/>
          <w:sz w:val="30"/>
        </w:rPr>
      </w:pPr>
    </w:p>
    <w:p>
      <w:pPr>
        <w:pStyle w:val="BodyText"/>
        <w:rPr>
          <w:rFonts w:ascii="Stone Sans II ITC Std Bk"/>
          <w:b/>
          <w:sz w:val="30"/>
        </w:rPr>
      </w:pPr>
    </w:p>
    <w:p>
      <w:pPr>
        <w:pStyle w:val="BodyText"/>
        <w:rPr>
          <w:rFonts w:ascii="Stone Sans II ITC Std Bk"/>
          <w:b/>
          <w:sz w:val="30"/>
        </w:rPr>
      </w:pPr>
    </w:p>
    <w:p>
      <w:pPr>
        <w:pStyle w:val="BodyText"/>
        <w:rPr>
          <w:rFonts w:ascii="Stone Sans II ITC Std Bk"/>
          <w:b/>
          <w:sz w:val="30"/>
        </w:rPr>
      </w:pPr>
    </w:p>
    <w:p>
      <w:pPr>
        <w:pStyle w:val="BodyText"/>
        <w:rPr>
          <w:rFonts w:ascii="Stone Sans II ITC Std Bk"/>
          <w:b/>
          <w:sz w:val="30"/>
        </w:rPr>
      </w:pPr>
    </w:p>
    <w:p>
      <w:pPr>
        <w:pStyle w:val="BodyText"/>
        <w:rPr>
          <w:rFonts w:ascii="Stone Sans II ITC Std Bk"/>
          <w:b/>
          <w:sz w:val="30"/>
        </w:rPr>
      </w:pPr>
    </w:p>
    <w:p>
      <w:pPr>
        <w:pStyle w:val="BodyText"/>
        <w:rPr>
          <w:rFonts w:ascii="Stone Sans II ITC Std Bk"/>
          <w:b/>
          <w:sz w:val="30"/>
        </w:rPr>
      </w:pPr>
    </w:p>
    <w:p>
      <w:pPr>
        <w:pStyle w:val="BodyText"/>
        <w:spacing w:before="10"/>
        <w:rPr>
          <w:rFonts w:ascii="Stone Sans II ITC Std Bk"/>
          <w:b/>
          <w:sz w:val="30"/>
        </w:rPr>
      </w:pPr>
    </w:p>
    <w:p>
      <w:pPr>
        <w:pStyle w:val="Heading6"/>
        <w:spacing w:before="0"/>
        <w:ind w:left="3878"/>
        <w:rPr>
          <w:rFonts w:ascii="Stone Sans II ITC Std X Bd" w:hAnsi="Stone Sans II ITC Std X Bd"/>
          <w:b/>
          <w:sz w:val="24"/>
        </w:rPr>
      </w:pPr>
      <w:r>
        <w:rPr>
          <w:color w:val="7EAABF"/>
          <w:w w:val="110"/>
        </w:rPr>
        <w:t>United Reformed Church </w:t>
      </w:r>
      <w:r>
        <w:rPr>
          <w:rFonts w:ascii="Symbol" w:hAnsi="Symbol"/>
          <w:color w:val="7EAABF"/>
          <w:w w:val="110"/>
        </w:rPr>
        <w:t></w:t>
      </w:r>
      <w:r>
        <w:rPr>
          <w:rFonts w:ascii="Times New Roman" w:hAnsi="Times New Roman"/>
          <w:color w:val="7EAABF"/>
          <w:w w:val="110"/>
        </w:rPr>
        <w:t> </w:t>
      </w:r>
      <w:r>
        <w:rPr>
          <w:color w:val="7EAABF"/>
          <w:w w:val="110"/>
        </w:rPr>
        <w:t>General Assembly 2016 </w:t>
      </w:r>
      <w:r>
        <w:rPr>
          <w:rFonts w:ascii="Symbol" w:hAnsi="Symbol"/>
          <w:color w:val="7EAABF"/>
          <w:w w:val="110"/>
        </w:rPr>
        <w:t></w:t>
      </w:r>
      <w:r>
        <w:rPr>
          <w:rFonts w:ascii="Times New Roman" w:hAnsi="Times New Roman"/>
          <w:color w:val="7EAABF"/>
          <w:w w:val="110"/>
        </w:rPr>
        <w:t> </w:t>
      </w:r>
      <w:r>
        <w:rPr>
          <w:rFonts w:ascii="Stone Sans II ITC Std X Bd" w:hAnsi="Stone Sans II ITC Std X Bd"/>
          <w:b/>
          <w:w w:val="110"/>
          <w:sz w:val="24"/>
        </w:rPr>
        <w:t>83</w:t>
      </w:r>
    </w:p>
    <w:p>
      <w:pPr>
        <w:spacing w:after="0"/>
        <w:rPr>
          <w:rFonts w:ascii="Stone Sans II ITC Std X Bd" w:hAnsi="Stone Sans II ITC Std X Bd"/>
          <w:sz w:val="24"/>
        </w:rPr>
        <w:sectPr>
          <w:headerReference w:type="default" r:id="rId260"/>
          <w:footerReference w:type="default" r:id="rId261"/>
          <w:pgSz w:w="11910" w:h="16840"/>
          <w:pgMar w:header="0" w:footer="0" w:top="0" w:bottom="0" w:left="640" w:right="0"/>
        </w:sectPr>
      </w:pPr>
    </w:p>
    <w:p>
      <w:pPr>
        <w:pStyle w:val="BodyText"/>
        <w:rPr>
          <w:rFonts w:ascii="Stone Sans II ITC Std X Bd"/>
          <w:b/>
        </w:rPr>
      </w:pPr>
      <w:r>
        <w:rPr/>
        <w:drawing>
          <wp:anchor distT="0" distB="0" distL="0" distR="0" allowOverlap="1" layoutInCell="1" locked="0" behindDoc="1" simplePos="0" relativeHeight="235430912">
            <wp:simplePos x="0" y="0"/>
            <wp:positionH relativeFrom="page">
              <wp:posOffset>0</wp:posOffset>
            </wp:positionH>
            <wp:positionV relativeFrom="page">
              <wp:posOffset>0</wp:posOffset>
            </wp:positionV>
            <wp:extent cx="594067" cy="10692003"/>
            <wp:effectExtent l="0" t="0" r="0" b="0"/>
            <wp:wrapNone/>
            <wp:docPr id="151" name="image67.png"/>
            <wp:cNvGraphicFramePr>
              <a:graphicFrameLocks noChangeAspect="1"/>
            </wp:cNvGraphicFramePr>
            <a:graphic>
              <a:graphicData uri="http://schemas.openxmlformats.org/drawingml/2006/picture">
                <pic:pic>
                  <pic:nvPicPr>
                    <pic:cNvPr id="152" name="image67.png"/>
                    <pic:cNvPicPr/>
                  </pic:nvPicPr>
                  <pic:blipFill>
                    <a:blip r:embed="rId184" cstate="print"/>
                    <a:stretch>
                      <a:fillRect/>
                    </a:stretch>
                  </pic:blipFill>
                  <pic:spPr>
                    <a:xfrm>
                      <a:off x="0" y="0"/>
                      <a:ext cx="594067" cy="10692003"/>
                    </a:xfrm>
                    <a:prstGeom prst="rect">
                      <a:avLst/>
                    </a:prstGeom>
                  </pic:spPr>
                </pic:pic>
              </a:graphicData>
            </a:graphic>
          </wp:anchor>
        </w:drawing>
      </w:r>
      <w:r>
        <w:rPr/>
        <w:pict>
          <v:shape style="position:absolute;margin-left:20.519100pt;margin-top:48.890015pt;width:25.9pt;height:98.65pt;mso-position-horizontal-relative:page;mso-position-vertical-relative:page;z-index:-267883520" type="#_x0000_t202" filled="false" stroked="false">
            <v:textbox inset="0,0,0,0" style="layout-flow:vertical">
              <w:txbxContent>
                <w:p>
                  <w:pPr>
                    <w:spacing w:before="27"/>
                    <w:ind w:left="20" w:right="0" w:firstLine="0"/>
                    <w:jc w:val="left"/>
                    <w:rPr>
                      <w:sz w:val="39"/>
                    </w:rPr>
                  </w:pPr>
                  <w:r>
                    <w:rPr>
                      <w:color w:val="FFFFFF"/>
                      <w:w w:val="120"/>
                      <w:sz w:val="39"/>
                    </w:rPr>
                    <w:t>Equalities</w:t>
                  </w:r>
                </w:p>
              </w:txbxContent>
            </v:textbox>
            <w10:wrap type="none"/>
          </v:shape>
        </w:pict>
      </w:r>
    </w:p>
    <w:p>
      <w:pPr>
        <w:pStyle w:val="BodyText"/>
        <w:rPr>
          <w:rFonts w:ascii="Stone Sans II ITC Std X Bd"/>
          <w:b/>
        </w:rPr>
      </w:pPr>
    </w:p>
    <w:p>
      <w:pPr>
        <w:pStyle w:val="BodyText"/>
        <w:rPr>
          <w:rFonts w:ascii="Stone Sans II ITC Std X Bd"/>
          <w:b/>
        </w:rPr>
      </w:pPr>
    </w:p>
    <w:p>
      <w:pPr>
        <w:pStyle w:val="BodyText"/>
        <w:spacing w:before="11"/>
        <w:rPr>
          <w:rFonts w:ascii="Stone Sans II ITC Std X Bd"/>
          <w:b/>
          <w:sz w:val="19"/>
        </w:rPr>
      </w:pPr>
    </w:p>
    <w:p>
      <w:pPr>
        <w:spacing w:line="213" w:lineRule="auto" w:before="153"/>
        <w:ind w:left="607" w:right="2045" w:firstLine="0"/>
        <w:jc w:val="left"/>
        <w:rPr>
          <w:rFonts w:ascii="Stone Sans II ITC Std X Bd"/>
          <w:b/>
          <w:sz w:val="50"/>
        </w:rPr>
      </w:pPr>
      <w:r>
        <w:rPr>
          <w:rFonts w:ascii="Stone Sans II ITC Std X Bd"/>
          <w:b/>
          <w:spacing w:val="-10"/>
          <w:w w:val="110"/>
          <w:sz w:val="50"/>
        </w:rPr>
        <w:t>Encouraging </w:t>
      </w:r>
      <w:r>
        <w:rPr>
          <w:rFonts w:ascii="Stone Sans II ITC Std X Bd"/>
          <w:b/>
          <w:spacing w:val="-12"/>
          <w:w w:val="110"/>
          <w:sz w:val="50"/>
        </w:rPr>
        <w:t>equality, </w:t>
      </w:r>
      <w:r>
        <w:rPr>
          <w:rFonts w:ascii="Stone Sans II ITC Std X Bd"/>
          <w:b/>
          <w:spacing w:val="-9"/>
          <w:w w:val="110"/>
          <w:sz w:val="50"/>
        </w:rPr>
        <w:t>cherishing diversity</w:t>
      </w:r>
    </w:p>
    <w:p>
      <w:pPr>
        <w:spacing w:before="146"/>
        <w:ind w:left="834" w:right="0" w:firstLine="0"/>
        <w:jc w:val="left"/>
        <w:rPr>
          <w:rFonts w:ascii="Stone Sans II ITC Std Bk"/>
          <w:b/>
          <w:sz w:val="18"/>
        </w:rPr>
      </w:pPr>
      <w:r>
        <w:rPr/>
        <w:pict>
          <v:line style="position:absolute;mso-position-horizontal-relative:page;mso-position-vertical-relative:paragraph;z-index:251885568" from="63.362202pt,8.424816pt" to="63.362202pt,248.660816pt" stroked="true" strokeweight="2pt" strokecolor="#0090d4">
            <v:stroke dashstyle="solid"/>
            <w10:wrap type="none"/>
          </v:line>
        </w:pict>
      </w:r>
      <w:r>
        <w:rPr>
          <w:rFonts w:ascii="Stone Sans II ITC Std Bk"/>
          <w:b/>
          <w:color w:val="707172"/>
          <w:w w:val="110"/>
          <w:sz w:val="18"/>
        </w:rPr>
        <w:t>Remit:</w:t>
      </w:r>
    </w:p>
    <w:p>
      <w:pPr>
        <w:spacing w:line="261" w:lineRule="auto" w:before="8"/>
        <w:ind w:left="834" w:right="2045" w:firstLine="0"/>
        <w:jc w:val="left"/>
        <w:rPr>
          <w:sz w:val="18"/>
        </w:rPr>
      </w:pPr>
      <w:r>
        <w:rPr>
          <w:color w:val="707172"/>
          <w:w w:val="120"/>
          <w:sz w:val="18"/>
        </w:rPr>
        <w:t>The equalities committee is responsible for reminding the United Reformed Church that equality is enshrined in its theology, life and work; and challenging the practice of the United Reformed Church where appropriate.</w:t>
      </w:r>
    </w:p>
    <w:p>
      <w:pPr>
        <w:spacing w:before="2"/>
        <w:ind w:left="834" w:right="0" w:firstLine="0"/>
        <w:jc w:val="left"/>
        <w:rPr>
          <w:sz w:val="18"/>
        </w:rPr>
      </w:pPr>
      <w:r>
        <w:rPr>
          <w:color w:val="707172"/>
          <w:w w:val="120"/>
          <w:sz w:val="18"/>
        </w:rPr>
        <w:t>This includes:</w:t>
      </w:r>
    </w:p>
    <w:p>
      <w:pPr>
        <w:pStyle w:val="ListParagraph"/>
        <w:numPr>
          <w:ilvl w:val="2"/>
          <w:numId w:val="104"/>
        </w:numPr>
        <w:tabs>
          <w:tab w:pos="1174" w:val="left" w:leader="none"/>
          <w:tab w:pos="1175" w:val="left" w:leader="none"/>
        </w:tabs>
        <w:spacing w:line="261" w:lineRule="auto" w:before="20" w:after="0"/>
        <w:ind w:left="1174" w:right="2115" w:hanging="341"/>
        <w:jc w:val="left"/>
        <w:rPr>
          <w:sz w:val="18"/>
        </w:rPr>
      </w:pPr>
      <w:r>
        <w:rPr>
          <w:color w:val="707172"/>
          <w:w w:val="120"/>
          <w:sz w:val="18"/>
        </w:rPr>
        <w:t>Taking action to assist in the development of equal opportunities throughout the United Reformed Church within the context of a diverse</w:t>
      </w:r>
      <w:r>
        <w:rPr>
          <w:color w:val="707172"/>
          <w:spacing w:val="25"/>
          <w:w w:val="120"/>
          <w:sz w:val="18"/>
        </w:rPr>
        <w:t> </w:t>
      </w:r>
      <w:r>
        <w:rPr>
          <w:color w:val="707172"/>
          <w:w w:val="120"/>
          <w:sz w:val="18"/>
        </w:rPr>
        <w:t>society</w:t>
      </w:r>
    </w:p>
    <w:p>
      <w:pPr>
        <w:pStyle w:val="ListParagraph"/>
        <w:numPr>
          <w:ilvl w:val="2"/>
          <w:numId w:val="104"/>
        </w:numPr>
        <w:tabs>
          <w:tab w:pos="1174" w:val="left" w:leader="none"/>
          <w:tab w:pos="1175" w:val="left" w:leader="none"/>
        </w:tabs>
        <w:spacing w:line="240" w:lineRule="auto" w:before="1" w:after="0"/>
        <w:ind w:left="1174" w:right="0" w:hanging="341"/>
        <w:jc w:val="left"/>
        <w:rPr>
          <w:sz w:val="18"/>
        </w:rPr>
      </w:pPr>
      <w:r>
        <w:rPr>
          <w:color w:val="707172"/>
          <w:w w:val="120"/>
          <w:sz w:val="18"/>
        </w:rPr>
        <w:t>Monitoring of the equal opportunities policy and updating it when appropriate</w:t>
      </w:r>
    </w:p>
    <w:p>
      <w:pPr>
        <w:pStyle w:val="ListParagraph"/>
        <w:numPr>
          <w:ilvl w:val="2"/>
          <w:numId w:val="104"/>
        </w:numPr>
        <w:tabs>
          <w:tab w:pos="1174" w:val="left" w:leader="none"/>
          <w:tab w:pos="1175" w:val="left" w:leader="none"/>
        </w:tabs>
        <w:spacing w:line="240" w:lineRule="auto" w:before="20" w:after="0"/>
        <w:ind w:left="1174" w:right="0" w:hanging="341"/>
        <w:jc w:val="left"/>
        <w:rPr>
          <w:sz w:val="18"/>
        </w:rPr>
      </w:pPr>
      <w:r>
        <w:rPr>
          <w:color w:val="707172"/>
          <w:w w:val="120"/>
          <w:sz w:val="18"/>
        </w:rPr>
        <w:t>Promoting training programmes in equality and</w:t>
      </w:r>
      <w:r>
        <w:rPr>
          <w:color w:val="707172"/>
          <w:spacing w:val="19"/>
          <w:w w:val="120"/>
          <w:sz w:val="18"/>
        </w:rPr>
        <w:t> </w:t>
      </w:r>
      <w:r>
        <w:rPr>
          <w:color w:val="707172"/>
          <w:w w:val="120"/>
          <w:sz w:val="18"/>
        </w:rPr>
        <w:t>diversity</w:t>
      </w:r>
    </w:p>
    <w:p>
      <w:pPr>
        <w:pStyle w:val="ListParagraph"/>
        <w:numPr>
          <w:ilvl w:val="2"/>
          <w:numId w:val="104"/>
        </w:numPr>
        <w:tabs>
          <w:tab w:pos="1174" w:val="left" w:leader="none"/>
          <w:tab w:pos="1175" w:val="left" w:leader="none"/>
        </w:tabs>
        <w:spacing w:line="261" w:lineRule="auto" w:before="20" w:after="0"/>
        <w:ind w:left="1174" w:right="2205" w:hanging="341"/>
        <w:jc w:val="left"/>
        <w:rPr>
          <w:sz w:val="18"/>
        </w:rPr>
      </w:pPr>
      <w:r>
        <w:rPr>
          <w:color w:val="707172"/>
          <w:w w:val="120"/>
          <w:sz w:val="18"/>
        </w:rPr>
        <w:t>Promoting, supporting and encouraging the United Reformed Church’s contribution to equality in the wider life of our</w:t>
      </w:r>
      <w:r>
        <w:rPr>
          <w:color w:val="707172"/>
          <w:spacing w:val="17"/>
          <w:w w:val="120"/>
          <w:sz w:val="18"/>
        </w:rPr>
        <w:t> </w:t>
      </w:r>
      <w:r>
        <w:rPr>
          <w:color w:val="707172"/>
          <w:w w:val="120"/>
          <w:sz w:val="18"/>
        </w:rPr>
        <w:t>society</w:t>
      </w:r>
    </w:p>
    <w:p>
      <w:pPr>
        <w:pStyle w:val="ListParagraph"/>
        <w:numPr>
          <w:ilvl w:val="2"/>
          <w:numId w:val="104"/>
        </w:numPr>
        <w:tabs>
          <w:tab w:pos="1174" w:val="left" w:leader="none"/>
          <w:tab w:pos="1175" w:val="left" w:leader="none"/>
        </w:tabs>
        <w:spacing w:line="240" w:lineRule="auto" w:before="1" w:after="0"/>
        <w:ind w:left="1174" w:right="0" w:hanging="341"/>
        <w:jc w:val="left"/>
        <w:rPr>
          <w:sz w:val="18"/>
        </w:rPr>
      </w:pPr>
      <w:r>
        <w:rPr>
          <w:color w:val="707172"/>
          <w:w w:val="120"/>
          <w:sz w:val="18"/>
        </w:rPr>
        <w:t>Reporting to General</w:t>
      </w:r>
      <w:r>
        <w:rPr>
          <w:color w:val="707172"/>
          <w:spacing w:val="7"/>
          <w:w w:val="120"/>
          <w:sz w:val="18"/>
        </w:rPr>
        <w:t> </w:t>
      </w:r>
      <w:r>
        <w:rPr>
          <w:color w:val="707172"/>
          <w:w w:val="120"/>
          <w:sz w:val="18"/>
        </w:rPr>
        <w:t>Assembly</w:t>
      </w:r>
    </w:p>
    <w:p>
      <w:pPr>
        <w:pStyle w:val="BodyText"/>
        <w:spacing w:before="5"/>
      </w:pPr>
    </w:p>
    <w:p>
      <w:pPr>
        <w:spacing w:before="0"/>
        <w:ind w:left="834" w:right="0" w:firstLine="0"/>
        <w:jc w:val="left"/>
        <w:rPr>
          <w:rFonts w:ascii="Stone Sans II ITC Std Bk"/>
          <w:b/>
          <w:sz w:val="18"/>
        </w:rPr>
      </w:pPr>
      <w:r>
        <w:rPr>
          <w:rFonts w:ascii="Stone Sans II ITC Std Bk"/>
          <w:b/>
          <w:color w:val="707172"/>
          <w:w w:val="110"/>
          <w:sz w:val="18"/>
        </w:rPr>
        <w:t>Committee</w:t>
      </w:r>
      <w:r>
        <w:rPr>
          <w:rFonts w:ascii="Stone Sans II ITC Std Bk"/>
          <w:b/>
          <w:color w:val="707172"/>
          <w:spacing w:val="34"/>
          <w:w w:val="110"/>
          <w:sz w:val="18"/>
        </w:rPr>
        <w:t> </w:t>
      </w:r>
      <w:r>
        <w:rPr>
          <w:rFonts w:ascii="Stone Sans II ITC Std Bk"/>
          <w:b/>
          <w:color w:val="707172"/>
          <w:w w:val="110"/>
          <w:sz w:val="18"/>
        </w:rPr>
        <w:t>members:</w:t>
      </w:r>
    </w:p>
    <w:p>
      <w:pPr>
        <w:spacing w:line="261" w:lineRule="auto" w:before="8"/>
        <w:ind w:left="834" w:right="7423" w:firstLine="0"/>
        <w:jc w:val="left"/>
        <w:rPr>
          <w:sz w:val="18"/>
        </w:rPr>
      </w:pPr>
      <w:r>
        <w:rPr>
          <w:color w:val="707172"/>
          <w:w w:val="120"/>
          <w:sz w:val="18"/>
        </w:rPr>
        <w:t>Convener: Helen M Mee Secretary: Adrian</w:t>
      </w:r>
      <w:r>
        <w:rPr>
          <w:color w:val="707172"/>
          <w:spacing w:val="25"/>
          <w:w w:val="120"/>
          <w:sz w:val="18"/>
        </w:rPr>
        <w:t> </w:t>
      </w:r>
      <w:r>
        <w:rPr>
          <w:color w:val="707172"/>
          <w:w w:val="120"/>
          <w:sz w:val="18"/>
        </w:rPr>
        <w:t>Bulley</w:t>
      </w:r>
    </w:p>
    <w:p>
      <w:pPr>
        <w:spacing w:before="1"/>
        <w:ind w:left="834" w:right="0" w:firstLine="0"/>
        <w:jc w:val="left"/>
        <w:rPr>
          <w:sz w:val="18"/>
        </w:rPr>
      </w:pPr>
      <w:r>
        <w:rPr>
          <w:color w:val="707172"/>
          <w:w w:val="120"/>
          <w:sz w:val="18"/>
        </w:rPr>
        <w:t>Members: Jane Baird (Deputy General Secretary [administration and resources]),</w:t>
      </w:r>
    </w:p>
    <w:p>
      <w:pPr>
        <w:spacing w:line="261" w:lineRule="auto" w:before="20"/>
        <w:ind w:left="834" w:right="2045" w:firstLine="0"/>
        <w:jc w:val="left"/>
        <w:rPr>
          <w:sz w:val="18"/>
        </w:rPr>
      </w:pPr>
      <w:r>
        <w:rPr>
          <w:color w:val="707172"/>
          <w:w w:val="120"/>
          <w:sz w:val="18"/>
        </w:rPr>
        <w:t>Tunde Biyi </w:t>
      </w:r>
      <w:r>
        <w:rPr>
          <w:color w:val="707172"/>
          <w:spacing w:val="-3"/>
          <w:w w:val="120"/>
          <w:sz w:val="18"/>
        </w:rPr>
        <w:t>(until </w:t>
      </w:r>
      <w:r>
        <w:rPr>
          <w:color w:val="707172"/>
          <w:w w:val="120"/>
          <w:sz w:val="18"/>
        </w:rPr>
        <w:t>July </w:t>
      </w:r>
      <w:r>
        <w:rPr>
          <w:color w:val="707172"/>
          <w:spacing w:val="-6"/>
          <w:w w:val="120"/>
          <w:sz w:val="18"/>
        </w:rPr>
        <w:t>2015), </w:t>
      </w:r>
      <w:r>
        <w:rPr>
          <w:color w:val="707172"/>
          <w:w w:val="120"/>
          <w:sz w:val="18"/>
        </w:rPr>
        <w:t>Ruth Clarke, Clive Curtis, Susan Flynn, Michael Jagessar (Secretary for Global and Intercultural Ministries), Iain McDonald, Maria</w:t>
      </w:r>
      <w:r>
        <w:rPr>
          <w:color w:val="707172"/>
          <w:spacing w:val="23"/>
          <w:w w:val="120"/>
          <w:sz w:val="18"/>
        </w:rPr>
        <w:t> </w:t>
      </w:r>
      <w:r>
        <w:rPr>
          <w:color w:val="707172"/>
          <w:w w:val="120"/>
          <w:sz w:val="18"/>
        </w:rPr>
        <w:t>Mills,</w:t>
      </w:r>
    </w:p>
    <w:p>
      <w:pPr>
        <w:spacing w:before="1"/>
        <w:ind w:left="834" w:right="0" w:firstLine="0"/>
        <w:jc w:val="left"/>
        <w:rPr>
          <w:sz w:val="18"/>
        </w:rPr>
      </w:pPr>
      <w:r>
        <w:rPr>
          <w:color w:val="707172"/>
          <w:w w:val="120"/>
          <w:sz w:val="18"/>
        </w:rPr>
        <w:t>Patricia Poinen (from July 2015), Adella Pritchard, Margaret Telfer.</w:t>
      </w:r>
    </w:p>
    <w:p>
      <w:pPr>
        <w:pStyle w:val="BodyText"/>
        <w:rPr>
          <w:sz w:val="22"/>
        </w:rPr>
      </w:pPr>
    </w:p>
    <w:p>
      <w:pPr>
        <w:pStyle w:val="BodyText"/>
        <w:spacing w:before="9"/>
        <w:rPr>
          <w:sz w:val="17"/>
        </w:rPr>
      </w:pPr>
    </w:p>
    <w:p>
      <w:pPr>
        <w:pStyle w:val="ListParagraph"/>
        <w:numPr>
          <w:ilvl w:val="0"/>
          <w:numId w:val="117"/>
        </w:numPr>
        <w:tabs>
          <w:tab w:pos="1287" w:val="left" w:leader="none"/>
          <w:tab w:pos="1288" w:val="left" w:leader="none"/>
        </w:tabs>
        <w:spacing w:line="235" w:lineRule="auto" w:before="0" w:after="0"/>
        <w:ind w:left="607" w:right="1991" w:firstLine="0"/>
        <w:jc w:val="left"/>
        <w:rPr>
          <w:sz w:val="20"/>
        </w:rPr>
      </w:pPr>
      <w:r>
        <w:rPr>
          <w:w w:val="120"/>
          <w:sz w:val="20"/>
        </w:rPr>
        <w:t>The equalities committee has met on six occasions since General Assembly convened in Cardiff in </w:t>
      </w:r>
      <w:r>
        <w:rPr>
          <w:spacing w:val="-7"/>
          <w:w w:val="120"/>
          <w:sz w:val="20"/>
        </w:rPr>
        <w:t>2014 </w:t>
      </w:r>
      <w:r>
        <w:rPr>
          <w:w w:val="120"/>
          <w:sz w:val="20"/>
        </w:rPr>
        <w:t>although most of its work is carried out by the individual committee members as it works to hold the aspects of its far-reaching remit in creative tension. The remit of the committee is ‘to remind the United Reformed Church that equality is enshrined in its theology, life and work and to challenge the practice of the URC where appropriate.’ Recognising the validity of equality and cherishing diversity is, simply put, an issue of justice. Much of our work as a committee is in the promotion and encouragement of equality and diversity. We pursue this through our established links with the other Assembly committees as well as by being alert to the work undertaken  on Assembly’s behalf by bodies such as the Joint Public Issues </w:t>
      </w:r>
      <w:r>
        <w:rPr>
          <w:spacing w:val="-4"/>
          <w:w w:val="120"/>
          <w:sz w:val="20"/>
        </w:rPr>
        <w:t>Team </w:t>
      </w:r>
      <w:r>
        <w:rPr>
          <w:w w:val="120"/>
          <w:sz w:val="20"/>
        </w:rPr>
        <w:t>(JPIT) and many members of programme staff, but particularly the work around racial justice and multicultural</w:t>
      </w:r>
      <w:r>
        <w:rPr>
          <w:spacing w:val="1"/>
          <w:w w:val="120"/>
          <w:sz w:val="20"/>
        </w:rPr>
        <w:t> </w:t>
      </w:r>
      <w:r>
        <w:rPr>
          <w:w w:val="120"/>
          <w:sz w:val="20"/>
        </w:rPr>
        <w:t>ministry.</w:t>
      </w:r>
    </w:p>
    <w:p>
      <w:pPr>
        <w:pStyle w:val="BodyText"/>
        <w:spacing w:before="5"/>
      </w:pPr>
    </w:p>
    <w:p>
      <w:pPr>
        <w:pStyle w:val="ListParagraph"/>
        <w:numPr>
          <w:ilvl w:val="0"/>
          <w:numId w:val="117"/>
        </w:numPr>
        <w:tabs>
          <w:tab w:pos="1287" w:val="left" w:leader="none"/>
          <w:tab w:pos="1288" w:val="left" w:leader="none"/>
        </w:tabs>
        <w:spacing w:line="235" w:lineRule="auto" w:before="0" w:after="0"/>
        <w:ind w:left="607" w:right="2133" w:firstLine="0"/>
        <w:jc w:val="left"/>
        <w:rPr>
          <w:sz w:val="20"/>
        </w:rPr>
      </w:pPr>
      <w:r>
        <w:rPr>
          <w:w w:val="120"/>
          <w:sz w:val="20"/>
        </w:rPr>
        <w:t>We are also charged with monitoring how the </w:t>
      </w:r>
      <w:r>
        <w:rPr>
          <w:spacing w:val="-3"/>
          <w:w w:val="120"/>
          <w:sz w:val="20"/>
        </w:rPr>
        <w:t>URC’s </w:t>
      </w:r>
      <w:r>
        <w:rPr>
          <w:w w:val="120"/>
          <w:sz w:val="20"/>
        </w:rPr>
        <w:t>commitment to equality of opportunity for all people across all of the diversity strands is being put into practice   in order to build a truly inclusive community, and to this end we have continued to monitor the membership of committees, sub committees, advisory and task</w:t>
      </w:r>
      <w:r>
        <w:rPr>
          <w:spacing w:val="41"/>
          <w:w w:val="120"/>
          <w:sz w:val="20"/>
        </w:rPr>
        <w:t> </w:t>
      </w:r>
      <w:r>
        <w:rPr>
          <w:w w:val="120"/>
          <w:sz w:val="20"/>
        </w:rPr>
        <w:t>groups.</w:t>
      </w:r>
    </w:p>
    <w:p>
      <w:pPr>
        <w:pStyle w:val="BodyText"/>
        <w:spacing w:line="235" w:lineRule="auto" w:before="3"/>
        <w:ind w:left="607" w:right="2045"/>
      </w:pPr>
      <w:r>
        <w:rPr>
          <w:w w:val="120"/>
        </w:rPr>
        <w:t>It is neither possible not appropriate to attempt to monitor the various diversity strands through observation alone. We have monitored membership on the basis of three factors; gender, being ordained or lay and being from a black and minority ethnic community.</w:t>
      </w:r>
    </w:p>
    <w:p>
      <w:pPr>
        <w:pStyle w:val="BodyText"/>
        <w:spacing w:before="11"/>
        <w:rPr>
          <w:sz w:val="19"/>
        </w:rPr>
      </w:pPr>
    </w:p>
    <w:p>
      <w:pPr>
        <w:pStyle w:val="ListParagraph"/>
        <w:numPr>
          <w:ilvl w:val="1"/>
          <w:numId w:val="117"/>
        </w:numPr>
        <w:tabs>
          <w:tab w:pos="1287" w:val="left" w:leader="none"/>
          <w:tab w:pos="1288" w:val="left" w:leader="none"/>
        </w:tabs>
        <w:spacing w:line="235" w:lineRule="auto" w:before="0" w:after="0"/>
        <w:ind w:left="607" w:right="2377" w:firstLine="0"/>
        <w:jc w:val="left"/>
        <w:rPr>
          <w:sz w:val="20"/>
        </w:rPr>
      </w:pPr>
      <w:r>
        <w:rPr>
          <w:w w:val="120"/>
          <w:sz w:val="20"/>
        </w:rPr>
        <w:t>This has highlighted a number of issues such as the effect on the makeup and balance of committees which have ex officio members when new post holders are appointed.</w:t>
      </w:r>
    </w:p>
    <w:p>
      <w:pPr>
        <w:pStyle w:val="BodyText"/>
        <w:spacing w:before="10"/>
        <w:rPr>
          <w:sz w:val="19"/>
        </w:rPr>
      </w:pPr>
    </w:p>
    <w:p>
      <w:pPr>
        <w:pStyle w:val="ListParagraph"/>
        <w:numPr>
          <w:ilvl w:val="1"/>
          <w:numId w:val="117"/>
        </w:numPr>
        <w:tabs>
          <w:tab w:pos="1287" w:val="left" w:leader="none"/>
          <w:tab w:pos="1288" w:val="left" w:leader="none"/>
        </w:tabs>
        <w:spacing w:line="235" w:lineRule="auto" w:before="0" w:after="0"/>
        <w:ind w:left="607" w:right="2078" w:firstLine="0"/>
        <w:jc w:val="left"/>
        <w:rPr>
          <w:sz w:val="20"/>
        </w:rPr>
      </w:pPr>
      <w:r>
        <w:rPr>
          <w:w w:val="120"/>
          <w:sz w:val="20"/>
        </w:rPr>
        <w:t>The analysis of figures available at the end of </w:t>
      </w:r>
      <w:r>
        <w:rPr>
          <w:spacing w:val="-7"/>
          <w:w w:val="120"/>
          <w:sz w:val="20"/>
        </w:rPr>
        <w:t>2014 </w:t>
      </w:r>
      <w:r>
        <w:rPr>
          <w:w w:val="120"/>
          <w:sz w:val="20"/>
        </w:rPr>
        <w:t>showed that overall the denomination is achieving a 60% to 40% balance between men and women and a     50% to 50% balance between lay and ordained. This is, of course, positive however we do have some larger committees where there are still significant imbalances: the URC Trust, the ministerial incapacity procedure and disciplinary process (MIND)</w:t>
      </w:r>
      <w:r>
        <w:rPr>
          <w:spacing w:val="6"/>
          <w:w w:val="120"/>
          <w:sz w:val="20"/>
        </w:rPr>
        <w:t> </w:t>
      </w:r>
      <w:r>
        <w:rPr>
          <w:w w:val="120"/>
          <w:sz w:val="20"/>
        </w:rPr>
        <w:t>advisory</w:t>
      </w:r>
    </w:p>
    <w:p>
      <w:pPr>
        <w:pStyle w:val="BodyText"/>
      </w:pPr>
    </w:p>
    <w:p>
      <w:pPr>
        <w:pStyle w:val="BodyText"/>
        <w:spacing w:before="5"/>
        <w:rPr>
          <w:sz w:val="27"/>
        </w:rPr>
      </w:pPr>
    </w:p>
    <w:p>
      <w:pPr>
        <w:pStyle w:val="Heading6"/>
        <w:spacing w:before="97"/>
        <w:ind w:left="607"/>
      </w:pPr>
      <w:r>
        <w:rPr>
          <w:rFonts w:ascii="Stone Sans II ITC Std X Bd" w:hAnsi="Stone Sans II ITC Std X Bd"/>
          <w:b/>
          <w:w w:val="110"/>
          <w:sz w:val="24"/>
        </w:rPr>
        <w:t>84 </w:t>
      </w:r>
      <w:r>
        <w:rPr>
          <w:rFonts w:ascii="Symbol" w:hAnsi="Symbol"/>
          <w:color w:val="7EAABF"/>
          <w:w w:val="110"/>
        </w:rPr>
        <w:t></w:t>
      </w:r>
      <w:r>
        <w:rPr>
          <w:rFonts w:ascii="Times New Roman" w:hAnsi="Times New Roman"/>
          <w:color w:val="7EAABF"/>
          <w:w w:val="110"/>
        </w:rPr>
        <w:t> </w:t>
      </w:r>
      <w:r>
        <w:rPr>
          <w:color w:val="7EAABF"/>
          <w:w w:val="110"/>
        </w:rPr>
        <w:t>United Reformed Church </w:t>
      </w:r>
      <w:r>
        <w:rPr>
          <w:rFonts w:ascii="Symbol" w:hAnsi="Symbol"/>
          <w:color w:val="7EAABF"/>
          <w:w w:val="110"/>
        </w:rPr>
        <w:t></w:t>
      </w:r>
      <w:r>
        <w:rPr>
          <w:rFonts w:ascii="Times New Roman" w:hAnsi="Times New Roman"/>
          <w:color w:val="7EAABF"/>
          <w:w w:val="110"/>
        </w:rPr>
        <w:t> </w:t>
      </w:r>
      <w:r>
        <w:rPr>
          <w:color w:val="7EAABF"/>
          <w:w w:val="110"/>
        </w:rPr>
        <w:t>General Assembly 2016</w:t>
      </w:r>
    </w:p>
    <w:p>
      <w:pPr>
        <w:spacing w:after="0"/>
        <w:sectPr>
          <w:headerReference w:type="even" r:id="rId264"/>
          <w:footerReference w:type="even" r:id="rId265"/>
          <w:pgSz w:w="11910" w:h="16840"/>
          <w:pgMar w:header="0" w:footer="0" w:top="0" w:bottom="0" w:left="640" w:right="0"/>
        </w:sectPr>
      </w:pPr>
    </w:p>
    <w:p>
      <w:pPr>
        <w:pStyle w:val="BodyText"/>
      </w:pPr>
      <w:r>
        <w:rPr/>
        <w:drawing>
          <wp:anchor distT="0" distB="0" distL="0" distR="0" allowOverlap="1" layoutInCell="1" locked="0" behindDoc="0" simplePos="0" relativeHeight="251887616">
            <wp:simplePos x="0" y="0"/>
            <wp:positionH relativeFrom="page">
              <wp:posOffset>6974928</wp:posOffset>
            </wp:positionH>
            <wp:positionV relativeFrom="page">
              <wp:posOffset>0</wp:posOffset>
            </wp:positionV>
            <wp:extent cx="585063" cy="10692003"/>
            <wp:effectExtent l="0" t="0" r="0" b="0"/>
            <wp:wrapNone/>
            <wp:docPr id="153" name="image54.png"/>
            <wp:cNvGraphicFramePr>
              <a:graphicFrameLocks noChangeAspect="1"/>
            </wp:cNvGraphicFramePr>
            <a:graphic>
              <a:graphicData uri="http://schemas.openxmlformats.org/drawingml/2006/picture">
                <pic:pic>
                  <pic:nvPicPr>
                    <pic:cNvPr id="154" name="image54.png"/>
                    <pic:cNvPicPr/>
                  </pic:nvPicPr>
                  <pic:blipFill>
                    <a:blip r:embed="rId169" cstate="print"/>
                    <a:stretch>
                      <a:fillRect/>
                    </a:stretch>
                  </pic:blipFill>
                  <pic:spPr>
                    <a:xfrm>
                      <a:off x="0" y="0"/>
                      <a:ext cx="585063" cy="10692003"/>
                    </a:xfrm>
                    <a:prstGeom prst="rect">
                      <a:avLst/>
                    </a:prstGeom>
                  </pic:spPr>
                </pic:pic>
              </a:graphicData>
            </a:graphic>
          </wp:anchor>
        </w:drawing>
      </w:r>
    </w:p>
    <w:p>
      <w:pPr>
        <w:pStyle w:val="BodyText"/>
        <w:spacing w:before="7"/>
        <w:rPr>
          <w:sz w:val="21"/>
        </w:rPr>
      </w:pPr>
    </w:p>
    <w:p>
      <w:pPr>
        <w:pStyle w:val="Heading1"/>
        <w:ind w:left="0" w:right="1245"/>
        <w:jc w:val="right"/>
      </w:pPr>
      <w:r>
        <w:rPr/>
        <w:pict>
          <v:shape style="position:absolute;margin-left:554.141174pt;margin-top:22.593945pt;width:25.9pt;height:98.65pt;mso-position-horizontal-relative:page;mso-position-vertical-relative:paragraph;z-index:251888640" type="#_x0000_t202" filled="false" stroked="false">
            <v:textbox inset="0,0,0,0" style="layout-flow:vertical">
              <w:txbxContent>
                <w:p>
                  <w:pPr>
                    <w:spacing w:before="27"/>
                    <w:ind w:left="20" w:right="0" w:firstLine="0"/>
                    <w:jc w:val="left"/>
                    <w:rPr>
                      <w:sz w:val="39"/>
                    </w:rPr>
                  </w:pPr>
                  <w:r>
                    <w:rPr>
                      <w:color w:val="FFFFFF"/>
                      <w:w w:val="120"/>
                      <w:sz w:val="39"/>
                    </w:rPr>
                    <w:t>Equalities</w:t>
                  </w:r>
                </w:p>
              </w:txbxContent>
            </v:textbox>
            <w10:wrap type="none"/>
          </v:shape>
        </w:pict>
      </w:r>
      <w:bookmarkStart w:name="_TOC_250008" w:id="9"/>
      <w:bookmarkEnd w:id="9"/>
      <w:r>
        <w:rPr>
          <w:color w:val="7EAABF"/>
          <w:w w:val="110"/>
        </w:rPr>
        <w:t>Equalities</w:t>
      </w:r>
    </w:p>
    <w:p>
      <w:pPr>
        <w:pStyle w:val="BodyText"/>
        <w:spacing w:line="235" w:lineRule="auto" w:before="222"/>
        <w:ind w:left="1344" w:right="1478"/>
      </w:pPr>
      <w:r>
        <w:rPr>
          <w:w w:val="120"/>
        </w:rPr>
        <w:t>group, Mission Council advisory group (MCAG) and the incapacity procedure panel    all having a membership which is over 80% male. Looking at the balance between lay and ordained membership the figures showed MCAG, education for ministry phases two and three and the accreditation subcommittee all having a membership which is over 80% ordained. Most concerning is that the overall representation offering a BME perspective stands at</w:t>
      </w:r>
      <w:r>
        <w:rPr>
          <w:spacing w:val="6"/>
          <w:w w:val="120"/>
        </w:rPr>
        <w:t> </w:t>
      </w:r>
      <w:r>
        <w:rPr>
          <w:w w:val="120"/>
        </w:rPr>
        <w:t>4%.</w:t>
      </w:r>
    </w:p>
    <w:p>
      <w:pPr>
        <w:pStyle w:val="BodyText"/>
      </w:pPr>
    </w:p>
    <w:p>
      <w:pPr>
        <w:pStyle w:val="ListParagraph"/>
        <w:numPr>
          <w:ilvl w:val="1"/>
          <w:numId w:val="117"/>
        </w:numPr>
        <w:tabs>
          <w:tab w:pos="2024" w:val="left" w:leader="none"/>
          <w:tab w:pos="2025" w:val="left" w:leader="none"/>
        </w:tabs>
        <w:spacing w:line="235" w:lineRule="auto" w:before="0" w:after="0"/>
        <w:ind w:left="1344" w:right="1426" w:firstLine="0"/>
        <w:jc w:val="left"/>
        <w:rPr>
          <w:sz w:val="20"/>
        </w:rPr>
      </w:pPr>
      <w:r>
        <w:rPr>
          <w:w w:val="120"/>
          <w:sz w:val="20"/>
        </w:rPr>
        <w:t>These are complex issues which do not respond to simple mathematical solutions. However, as a denomination committed to equality and diversity, it is paramount that we are intentional in our actions to ensure that every committee reflects the diversity within the church. The equalities committee will continue to seek ways to monitor and address these</w:t>
      </w:r>
      <w:r>
        <w:rPr>
          <w:spacing w:val="9"/>
          <w:w w:val="120"/>
          <w:sz w:val="20"/>
        </w:rPr>
        <w:t> </w:t>
      </w:r>
      <w:r>
        <w:rPr>
          <w:w w:val="120"/>
          <w:sz w:val="20"/>
        </w:rPr>
        <w:t>issues.</w:t>
      </w:r>
    </w:p>
    <w:p>
      <w:pPr>
        <w:pStyle w:val="BodyText"/>
        <w:spacing w:before="11"/>
        <w:rPr>
          <w:sz w:val="19"/>
        </w:rPr>
      </w:pPr>
    </w:p>
    <w:p>
      <w:pPr>
        <w:pStyle w:val="ListParagraph"/>
        <w:numPr>
          <w:ilvl w:val="0"/>
          <w:numId w:val="117"/>
        </w:numPr>
        <w:tabs>
          <w:tab w:pos="2024" w:val="left" w:leader="none"/>
          <w:tab w:pos="2025" w:val="left" w:leader="none"/>
        </w:tabs>
        <w:spacing w:line="235" w:lineRule="auto" w:before="1" w:after="0"/>
        <w:ind w:left="1344" w:right="1466" w:firstLine="0"/>
        <w:jc w:val="left"/>
        <w:rPr>
          <w:sz w:val="20"/>
        </w:rPr>
      </w:pPr>
      <w:r>
        <w:rPr>
          <w:w w:val="120"/>
          <w:sz w:val="20"/>
        </w:rPr>
        <w:t>The committee was gratified that its resolution to the </w:t>
      </w:r>
      <w:r>
        <w:rPr>
          <w:spacing w:val="-7"/>
          <w:w w:val="120"/>
          <w:sz w:val="20"/>
        </w:rPr>
        <w:t>2014 </w:t>
      </w:r>
      <w:r>
        <w:rPr>
          <w:w w:val="120"/>
          <w:sz w:val="20"/>
        </w:rPr>
        <w:t>General Assembly on expansive language was passed. Continuing this emphasis, we are minded to work with the Faith and Order Committee to bring to a future General Assembly</w:t>
      </w:r>
      <w:r>
        <w:rPr>
          <w:spacing w:val="8"/>
          <w:w w:val="120"/>
          <w:sz w:val="20"/>
        </w:rPr>
        <w:t> </w:t>
      </w:r>
      <w:r>
        <w:rPr>
          <w:w w:val="120"/>
          <w:sz w:val="20"/>
        </w:rPr>
        <w:t>proposals</w:t>
      </w:r>
    </w:p>
    <w:p>
      <w:pPr>
        <w:pStyle w:val="BodyText"/>
        <w:spacing w:line="235" w:lineRule="auto" w:before="2"/>
        <w:ind w:left="1344" w:right="1217"/>
      </w:pPr>
      <w:r>
        <w:rPr>
          <w:w w:val="120"/>
        </w:rPr>
        <w:t>that enable a permissive paragraph to be inserted ahead of the various schedules to the Basis of Union to enable local variations of the male-centric Trinitarian formula (Father, Son and Holy Spirit) to be sanctioned.</w:t>
      </w:r>
    </w:p>
    <w:p>
      <w:pPr>
        <w:pStyle w:val="BodyText"/>
        <w:spacing w:before="10"/>
        <w:rPr>
          <w:sz w:val="19"/>
        </w:rPr>
      </w:pPr>
    </w:p>
    <w:p>
      <w:pPr>
        <w:pStyle w:val="ListParagraph"/>
        <w:numPr>
          <w:ilvl w:val="0"/>
          <w:numId w:val="117"/>
        </w:numPr>
        <w:tabs>
          <w:tab w:pos="2024" w:val="left" w:leader="none"/>
          <w:tab w:pos="2025" w:val="left" w:leader="none"/>
        </w:tabs>
        <w:spacing w:line="235" w:lineRule="auto" w:before="0" w:after="0"/>
        <w:ind w:left="1344" w:right="1283" w:firstLine="0"/>
        <w:jc w:val="left"/>
        <w:rPr>
          <w:sz w:val="20"/>
        </w:rPr>
      </w:pPr>
      <w:r>
        <w:rPr>
          <w:w w:val="120"/>
          <w:sz w:val="20"/>
        </w:rPr>
        <w:t>The committee warmly welcomed newly introduced equal opportunities monitoring forms designed to be used in the recruitment process within Church House as well as the introduction of expected standards to all job descriptions, one element of which is equality and</w:t>
      </w:r>
      <w:r>
        <w:rPr>
          <w:spacing w:val="8"/>
          <w:w w:val="120"/>
          <w:sz w:val="20"/>
        </w:rPr>
        <w:t> </w:t>
      </w:r>
      <w:r>
        <w:rPr>
          <w:w w:val="120"/>
          <w:sz w:val="20"/>
        </w:rPr>
        <w:t>diversity.</w:t>
      </w:r>
    </w:p>
    <w:p>
      <w:pPr>
        <w:pStyle w:val="BodyText"/>
        <w:spacing w:before="11"/>
        <w:rPr>
          <w:sz w:val="19"/>
        </w:rPr>
      </w:pPr>
    </w:p>
    <w:p>
      <w:pPr>
        <w:pStyle w:val="ListParagraph"/>
        <w:numPr>
          <w:ilvl w:val="0"/>
          <w:numId w:val="117"/>
        </w:numPr>
        <w:tabs>
          <w:tab w:pos="2024" w:val="left" w:leader="none"/>
          <w:tab w:pos="2025" w:val="left" w:leader="none"/>
        </w:tabs>
        <w:spacing w:line="235" w:lineRule="auto" w:before="0" w:after="0"/>
        <w:ind w:left="1344" w:right="1459" w:firstLine="0"/>
        <w:jc w:val="left"/>
        <w:rPr>
          <w:sz w:val="20"/>
        </w:rPr>
      </w:pPr>
      <w:r>
        <w:rPr>
          <w:w w:val="120"/>
          <w:sz w:val="20"/>
        </w:rPr>
        <w:t>There are many examples across the denomination of new technologies being trialled in order to increase opportunities for participation in decision making. There may also be a saving in resource on personal, denominational and global levels. The equalities committee is exploring how it may contribute to this conversation within the church. In </w:t>
      </w:r>
      <w:r>
        <w:rPr>
          <w:spacing w:val="-7"/>
          <w:w w:val="120"/>
          <w:sz w:val="20"/>
        </w:rPr>
        <w:t>2014, </w:t>
      </w:r>
      <w:r>
        <w:rPr>
          <w:w w:val="120"/>
          <w:sz w:val="20"/>
        </w:rPr>
        <w:t>in response to industrial action being called in London transport systems, we held one meeting where some members attended virtually. This was a hastily set up experiment which had limited success. Its value has been in the</w:t>
      </w:r>
      <w:r>
        <w:rPr>
          <w:spacing w:val="49"/>
          <w:w w:val="120"/>
          <w:sz w:val="20"/>
        </w:rPr>
        <w:t> </w:t>
      </w:r>
      <w:r>
        <w:rPr>
          <w:w w:val="120"/>
          <w:sz w:val="20"/>
        </w:rPr>
        <w:t>learning</w:t>
      </w:r>
    </w:p>
    <w:p>
      <w:pPr>
        <w:pStyle w:val="BodyText"/>
        <w:spacing w:line="235" w:lineRule="auto" w:before="5"/>
        <w:ind w:left="1344" w:right="1217"/>
      </w:pPr>
      <w:r>
        <w:rPr>
          <w:w w:val="120"/>
        </w:rPr>
        <w:t>that we can take into any future trial. The committee’s main focus in this is the equalities issues involved:</w:t>
      </w:r>
    </w:p>
    <w:p>
      <w:pPr>
        <w:pStyle w:val="ListParagraph"/>
        <w:numPr>
          <w:ilvl w:val="0"/>
          <w:numId w:val="118"/>
        </w:numPr>
        <w:tabs>
          <w:tab w:pos="2024" w:val="left" w:leader="none"/>
          <w:tab w:pos="2025" w:val="left" w:leader="none"/>
        </w:tabs>
        <w:spacing w:line="265" w:lineRule="exact" w:before="0" w:after="0"/>
        <w:ind w:left="2024" w:right="0" w:hanging="681"/>
        <w:jc w:val="left"/>
        <w:rPr>
          <w:sz w:val="20"/>
        </w:rPr>
      </w:pPr>
      <w:r>
        <w:rPr>
          <w:w w:val="120"/>
          <w:sz w:val="20"/>
        </w:rPr>
        <w:t>will the opportunity to participate virtually enable greater representation</w:t>
      </w:r>
      <w:r>
        <w:rPr>
          <w:spacing w:val="25"/>
          <w:w w:val="120"/>
          <w:sz w:val="20"/>
        </w:rPr>
        <w:t> </w:t>
      </w:r>
      <w:r>
        <w:rPr>
          <w:w w:val="120"/>
          <w:sz w:val="20"/>
        </w:rPr>
        <w:t>with</w:t>
      </w:r>
    </w:p>
    <w:p>
      <w:pPr>
        <w:pStyle w:val="BodyText"/>
        <w:spacing w:line="215" w:lineRule="exact"/>
        <w:ind w:left="2024"/>
      </w:pPr>
      <w:r>
        <w:rPr>
          <w:w w:val="120"/>
        </w:rPr>
        <w:t>potential participation from those less able to travel because of distance or</w:t>
      </w:r>
    </w:p>
    <w:p>
      <w:pPr>
        <w:pStyle w:val="BodyText"/>
        <w:spacing w:line="209" w:lineRule="exact"/>
        <w:ind w:left="2024"/>
      </w:pPr>
      <w:r>
        <w:rPr>
          <w:w w:val="120"/>
        </w:rPr>
        <w:t>commitments such as work, carer responsibilities, etc.?</w:t>
      </w:r>
    </w:p>
    <w:p>
      <w:pPr>
        <w:pStyle w:val="ListParagraph"/>
        <w:numPr>
          <w:ilvl w:val="0"/>
          <w:numId w:val="118"/>
        </w:numPr>
        <w:tabs>
          <w:tab w:pos="2024" w:val="left" w:leader="none"/>
          <w:tab w:pos="2025" w:val="left" w:leader="none"/>
        </w:tabs>
        <w:spacing w:line="196" w:lineRule="auto" w:before="13" w:after="0"/>
        <w:ind w:left="2024" w:right="1440" w:hanging="681"/>
        <w:jc w:val="left"/>
        <w:rPr>
          <w:sz w:val="20"/>
        </w:rPr>
      </w:pPr>
      <w:r>
        <w:rPr>
          <w:w w:val="120"/>
          <w:sz w:val="20"/>
        </w:rPr>
        <w:t>will the removal of a requirement to travel enable more people with disabilities to be represented within our</w:t>
      </w:r>
      <w:r>
        <w:rPr>
          <w:spacing w:val="8"/>
          <w:w w:val="120"/>
          <w:sz w:val="20"/>
        </w:rPr>
        <w:t> </w:t>
      </w:r>
      <w:r>
        <w:rPr>
          <w:w w:val="120"/>
          <w:sz w:val="20"/>
        </w:rPr>
        <w:t>processes?</w:t>
      </w:r>
    </w:p>
    <w:p>
      <w:pPr>
        <w:pStyle w:val="ListParagraph"/>
        <w:numPr>
          <w:ilvl w:val="0"/>
          <w:numId w:val="118"/>
        </w:numPr>
        <w:tabs>
          <w:tab w:pos="2024" w:val="left" w:leader="none"/>
          <w:tab w:pos="2025" w:val="left" w:leader="none"/>
        </w:tabs>
        <w:spacing w:line="196" w:lineRule="auto" w:before="0" w:after="0"/>
        <w:ind w:left="2024" w:right="1518" w:hanging="681"/>
        <w:jc w:val="left"/>
        <w:rPr>
          <w:sz w:val="20"/>
        </w:rPr>
      </w:pPr>
      <w:r>
        <w:rPr>
          <w:w w:val="120"/>
          <w:sz w:val="20"/>
        </w:rPr>
        <w:t>are there people whose disability means that they would be disadvantaged by any move to virtual</w:t>
      </w:r>
      <w:r>
        <w:rPr>
          <w:spacing w:val="7"/>
          <w:w w:val="120"/>
          <w:sz w:val="20"/>
        </w:rPr>
        <w:t> </w:t>
      </w:r>
      <w:r>
        <w:rPr>
          <w:w w:val="120"/>
          <w:sz w:val="20"/>
        </w:rPr>
        <w:t>meetings?</w:t>
      </w:r>
    </w:p>
    <w:p>
      <w:pPr>
        <w:pStyle w:val="ListParagraph"/>
        <w:numPr>
          <w:ilvl w:val="0"/>
          <w:numId w:val="118"/>
        </w:numPr>
        <w:tabs>
          <w:tab w:pos="2024" w:val="left" w:leader="none"/>
          <w:tab w:pos="2025" w:val="left" w:leader="none"/>
        </w:tabs>
        <w:spacing w:line="196" w:lineRule="auto" w:before="0" w:after="0"/>
        <w:ind w:left="2024" w:right="1982" w:hanging="681"/>
        <w:jc w:val="left"/>
        <w:rPr>
          <w:sz w:val="20"/>
        </w:rPr>
      </w:pPr>
      <w:r>
        <w:rPr>
          <w:w w:val="120"/>
          <w:sz w:val="20"/>
        </w:rPr>
        <w:t>can w</w:t>
      </w:r>
      <w:bookmarkStart w:name="_GoBack" w:id="10"/>
      <w:bookmarkEnd w:id="10"/>
      <w:r>
        <w:rPr>
          <w:w w:val="120"/>
          <w:sz w:val="20"/>
        </w:rPr>
        <w:t>e</w:t>
      </w:r>
      <w:r>
        <w:rPr>
          <w:w w:val="120"/>
          <w:sz w:val="20"/>
        </w:rPr>
        <w:t> ensure that participants are readily able to borrow any equipment needed and to access training in its</w:t>
      </w:r>
      <w:r>
        <w:rPr>
          <w:spacing w:val="14"/>
          <w:w w:val="120"/>
          <w:sz w:val="20"/>
        </w:rPr>
        <w:t> </w:t>
      </w:r>
      <w:r>
        <w:rPr>
          <w:spacing w:val="-3"/>
          <w:w w:val="120"/>
          <w:sz w:val="20"/>
        </w:rPr>
        <w:t>use?</w:t>
      </w:r>
    </w:p>
    <w:p>
      <w:pPr>
        <w:pStyle w:val="BodyText"/>
        <w:spacing w:line="235" w:lineRule="auto"/>
        <w:ind w:left="1344" w:right="1360"/>
      </w:pPr>
      <w:r>
        <w:rPr>
          <w:w w:val="120"/>
        </w:rPr>
        <w:t>There are many questions to be answered and options to be explored. The findings  may not support all of the expectations of any trial but it is appropriate to research and address the equalities issues</w:t>
      </w:r>
      <w:r>
        <w:rPr>
          <w:spacing w:val="6"/>
          <w:w w:val="120"/>
        </w:rPr>
        <w:t> </w:t>
      </w:r>
      <w:r>
        <w:rPr>
          <w:w w:val="120"/>
        </w:rPr>
        <w:t>raised.</w:t>
      </w:r>
    </w:p>
    <w:p>
      <w:pPr>
        <w:spacing w:after="0" w:line="235" w:lineRule="auto"/>
        <w:sectPr>
          <w:headerReference w:type="default" r:id="rId266"/>
          <w:footerReference w:type="default" r:id="rId267"/>
          <w:pgSz w:w="11910" w:h="16840"/>
          <w:pgMar w:header="0" w:footer="647" w:top="0" w:bottom="840" w:left="640" w:right="0"/>
          <w:pgNumType w:start="85"/>
        </w:sectPr>
      </w:pPr>
    </w:p>
    <w:p>
      <w:pPr>
        <w:pStyle w:val="BodyText"/>
      </w:pPr>
      <w:r>
        <w:rPr/>
        <w:pict>
          <v:rect style="position:absolute;margin-left:46.777pt;margin-top:.000015pt;width:548.498pt;height:841.89pt;mso-position-horizontal-relative:page;mso-position-vertical-relative:page;z-index:-267880448" filled="true" fillcolor="#d4e9f7" stroked="false">
            <v:fill type="solid"/>
            <w10:wrap type="none"/>
          </v:rect>
        </w:pict>
      </w:r>
      <w:r>
        <w:rPr/>
        <w:drawing>
          <wp:anchor distT="0" distB="0" distL="0" distR="0" allowOverlap="1" layoutInCell="1" locked="0" behindDoc="1" simplePos="0" relativeHeight="235437056">
            <wp:simplePos x="0" y="0"/>
            <wp:positionH relativeFrom="page">
              <wp:posOffset>0</wp:posOffset>
            </wp:positionH>
            <wp:positionV relativeFrom="page">
              <wp:posOffset>0</wp:posOffset>
            </wp:positionV>
            <wp:extent cx="594067" cy="10692003"/>
            <wp:effectExtent l="0" t="0" r="0" b="0"/>
            <wp:wrapNone/>
            <wp:docPr id="155" name="image67.png"/>
            <wp:cNvGraphicFramePr>
              <a:graphicFrameLocks noChangeAspect="1"/>
            </wp:cNvGraphicFramePr>
            <a:graphic>
              <a:graphicData uri="http://schemas.openxmlformats.org/drawingml/2006/picture">
                <pic:pic>
                  <pic:nvPicPr>
                    <pic:cNvPr id="156" name="image67.png"/>
                    <pic:cNvPicPr/>
                  </pic:nvPicPr>
                  <pic:blipFill>
                    <a:blip r:embed="rId184" cstate="print"/>
                    <a:stretch>
                      <a:fillRect/>
                    </a:stretch>
                  </pic:blipFill>
                  <pic:spPr>
                    <a:xfrm>
                      <a:off x="0" y="0"/>
                      <a:ext cx="594067" cy="10692003"/>
                    </a:xfrm>
                    <a:prstGeom prst="rect">
                      <a:avLst/>
                    </a:prstGeom>
                  </pic:spPr>
                </pic:pic>
              </a:graphicData>
            </a:graphic>
          </wp:anchor>
        </w:drawing>
      </w:r>
      <w:r>
        <w:rPr/>
        <w:pict>
          <v:shape style="position:absolute;margin-left:20.519100pt;margin-top:48.890015pt;width:25.9pt;height:156.35pt;mso-position-horizontal-relative:page;mso-position-vertical-relative:page;z-index:-267878400" type="#_x0000_t202" filled="false" stroked="false">
            <v:textbox inset="0,0,0,0" style="layout-flow:vertical">
              <w:txbxContent>
                <w:p>
                  <w:pPr>
                    <w:spacing w:before="27"/>
                    <w:ind w:left="20" w:right="0" w:firstLine="0"/>
                    <w:jc w:val="left"/>
                    <w:rPr>
                      <w:sz w:val="39"/>
                    </w:rPr>
                  </w:pPr>
                  <w:r>
                    <w:rPr>
                      <w:color w:val="FFFFFF"/>
                      <w:w w:val="120"/>
                      <w:sz w:val="39"/>
                    </w:rPr>
                    <w:t>Faith and order</w:t>
                  </w:r>
                </w:p>
              </w:txbxContent>
            </v:textbox>
            <w10:wrap type="none"/>
          </v:shape>
        </w:pict>
      </w:r>
    </w:p>
    <w:p>
      <w:pPr>
        <w:pStyle w:val="BodyText"/>
      </w:pPr>
    </w:p>
    <w:p>
      <w:pPr>
        <w:pStyle w:val="BodyText"/>
      </w:pPr>
    </w:p>
    <w:p>
      <w:pPr>
        <w:pStyle w:val="BodyText"/>
        <w:spacing w:before="5"/>
        <w:rPr>
          <w:sz w:val="28"/>
        </w:rPr>
      </w:pPr>
    </w:p>
    <w:p>
      <w:pPr>
        <w:spacing w:line="213" w:lineRule="auto" w:before="153"/>
        <w:ind w:left="607" w:right="2045" w:firstLine="0"/>
        <w:jc w:val="left"/>
        <w:rPr>
          <w:rFonts w:ascii="Stone Sans II ITC Std X Bd"/>
          <w:b/>
          <w:sz w:val="50"/>
        </w:rPr>
      </w:pPr>
      <w:r>
        <w:rPr>
          <w:rFonts w:ascii="Stone Sans II ITC Std X Bd"/>
          <w:b/>
          <w:color w:val="0090D4"/>
          <w:spacing w:val="-10"/>
          <w:w w:val="110"/>
          <w:sz w:val="50"/>
        </w:rPr>
        <w:t>Faith </w:t>
      </w:r>
      <w:r>
        <w:rPr>
          <w:rFonts w:ascii="Stone Sans II ITC Std X Bd"/>
          <w:b/>
          <w:color w:val="0090D4"/>
          <w:spacing w:val="-7"/>
          <w:w w:val="110"/>
          <w:sz w:val="50"/>
        </w:rPr>
        <w:t>and </w:t>
      </w:r>
      <w:r>
        <w:rPr>
          <w:rFonts w:ascii="Stone Sans II ITC Std X Bd"/>
          <w:b/>
          <w:color w:val="0090D4"/>
          <w:spacing w:val="-9"/>
          <w:w w:val="110"/>
          <w:sz w:val="50"/>
        </w:rPr>
        <w:t>order </w:t>
      </w:r>
      <w:r>
        <w:rPr>
          <w:rFonts w:ascii="Stone Sans II ITC Std X Bd"/>
          <w:b/>
          <w:color w:val="0090D4"/>
          <w:spacing w:val="-10"/>
          <w:w w:val="110"/>
          <w:sz w:val="50"/>
        </w:rPr>
        <w:t>committee: </w:t>
      </w:r>
      <w:r>
        <w:rPr>
          <w:rFonts w:ascii="Stone Sans II ITC Std X Bd"/>
          <w:b/>
          <w:spacing w:val="-6"/>
          <w:w w:val="110"/>
          <w:sz w:val="50"/>
        </w:rPr>
        <w:t>Report </w:t>
      </w:r>
      <w:r>
        <w:rPr>
          <w:rFonts w:ascii="Stone Sans II ITC Std X Bd"/>
          <w:b/>
          <w:spacing w:val="-5"/>
          <w:w w:val="110"/>
          <w:sz w:val="50"/>
        </w:rPr>
        <w:t>of </w:t>
      </w:r>
      <w:r>
        <w:rPr>
          <w:rFonts w:ascii="Stone Sans II ITC Std X Bd"/>
          <w:b/>
          <w:spacing w:val="-8"/>
          <w:w w:val="110"/>
          <w:sz w:val="50"/>
        </w:rPr>
        <w:t>ongoing </w:t>
      </w:r>
      <w:r>
        <w:rPr>
          <w:rFonts w:ascii="Stone Sans II ITC Std X Bd"/>
          <w:b/>
          <w:spacing w:val="-10"/>
          <w:w w:val="110"/>
          <w:sz w:val="50"/>
        </w:rPr>
        <w:t>work</w:t>
      </w:r>
    </w:p>
    <w:p>
      <w:pPr>
        <w:pStyle w:val="Heading4"/>
        <w:spacing w:before="325"/>
      </w:pPr>
      <w:r>
        <w:rPr>
          <w:color w:val="7F7F7F"/>
        </w:rPr>
        <w:t>Basic Information</w:t>
      </w:r>
    </w:p>
    <w:tbl>
      <w:tblPr>
        <w:tblW w:w="0" w:type="auto"/>
        <w:jc w:val="left"/>
        <w:tblInd w:w="6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660"/>
        <w:gridCol w:w="6582"/>
      </w:tblGrid>
      <w:tr>
        <w:trPr>
          <w:trHeight w:val="680" w:hRule="atLeast"/>
        </w:trPr>
        <w:tc>
          <w:tcPr>
            <w:tcW w:w="2660" w:type="dxa"/>
            <w:shd w:val="clear" w:color="auto" w:fill="FFFFFF"/>
          </w:tcPr>
          <w:p>
            <w:pPr>
              <w:pStyle w:val="TableParagraph"/>
              <w:spacing w:line="213" w:lineRule="auto" w:before="151"/>
              <w:ind w:right="595"/>
              <w:rPr>
                <w:rFonts w:ascii="Stone Sans II ITC Std Bk"/>
                <w:b/>
                <w:sz w:val="20"/>
              </w:rPr>
            </w:pPr>
            <w:r>
              <w:rPr>
                <w:rFonts w:ascii="Stone Sans II ITC Std Bk"/>
                <w:b/>
                <w:w w:val="110"/>
                <w:sz w:val="20"/>
              </w:rPr>
              <w:t>Contact name and email address</w:t>
            </w:r>
          </w:p>
        </w:tc>
        <w:tc>
          <w:tcPr>
            <w:tcW w:w="6582" w:type="dxa"/>
            <w:shd w:val="clear" w:color="auto" w:fill="FFFFFF"/>
          </w:tcPr>
          <w:p>
            <w:pPr>
              <w:pStyle w:val="TableParagraph"/>
              <w:spacing w:before="141"/>
              <w:rPr>
                <w:sz w:val="20"/>
              </w:rPr>
            </w:pPr>
            <w:r>
              <w:rPr>
                <w:w w:val="120"/>
                <w:sz w:val="20"/>
              </w:rPr>
              <w:t>Elizabeth Welch: </w:t>
            </w:r>
            <w:hyperlink r:id="rId270">
              <w:r>
                <w:rPr>
                  <w:color w:val="006AB3"/>
                  <w:w w:val="120"/>
                  <w:sz w:val="20"/>
                </w:rPr>
                <w:t>welchea@talk21.com</w:t>
              </w:r>
            </w:hyperlink>
          </w:p>
        </w:tc>
      </w:tr>
      <w:tr>
        <w:trPr>
          <w:trHeight w:val="440" w:hRule="atLeast"/>
        </w:trPr>
        <w:tc>
          <w:tcPr>
            <w:tcW w:w="2660" w:type="dxa"/>
            <w:shd w:val="clear" w:color="auto" w:fill="FFFFFF"/>
          </w:tcPr>
          <w:p>
            <w:pPr>
              <w:pStyle w:val="TableParagraph"/>
              <w:spacing w:before="128"/>
              <w:rPr>
                <w:rFonts w:ascii="Stone Sans II ITC Std Bk"/>
                <w:b/>
                <w:sz w:val="20"/>
              </w:rPr>
            </w:pPr>
            <w:r>
              <w:rPr>
                <w:rFonts w:ascii="Stone Sans II ITC Std Bk"/>
                <w:b/>
                <w:w w:val="110"/>
                <w:sz w:val="20"/>
              </w:rPr>
              <w:t>Action required</w:t>
            </w:r>
          </w:p>
        </w:tc>
        <w:tc>
          <w:tcPr>
            <w:tcW w:w="6582" w:type="dxa"/>
            <w:shd w:val="clear" w:color="auto" w:fill="FFFFFF"/>
          </w:tcPr>
          <w:p>
            <w:pPr>
              <w:pStyle w:val="TableParagraph"/>
              <w:spacing w:before="141"/>
              <w:rPr>
                <w:sz w:val="20"/>
              </w:rPr>
            </w:pPr>
            <w:r>
              <w:rPr>
                <w:w w:val="120"/>
                <w:sz w:val="20"/>
              </w:rPr>
              <w:t>None</w:t>
            </w:r>
          </w:p>
        </w:tc>
      </w:tr>
      <w:tr>
        <w:trPr>
          <w:trHeight w:val="556" w:hRule="atLeast"/>
        </w:trPr>
        <w:tc>
          <w:tcPr>
            <w:tcW w:w="2660" w:type="dxa"/>
            <w:shd w:val="clear" w:color="auto" w:fill="FFFFFF"/>
          </w:tcPr>
          <w:p>
            <w:pPr>
              <w:pStyle w:val="TableParagraph"/>
              <w:spacing w:before="128"/>
              <w:rPr>
                <w:rFonts w:ascii="Stone Sans II ITC Std Bk"/>
                <w:b/>
                <w:sz w:val="20"/>
              </w:rPr>
            </w:pPr>
            <w:r>
              <w:rPr>
                <w:rFonts w:ascii="Stone Sans II ITC Std Bk"/>
                <w:b/>
                <w:w w:val="110"/>
                <w:sz w:val="20"/>
              </w:rPr>
              <w:t>Draft resolution(s)</w:t>
            </w:r>
          </w:p>
        </w:tc>
        <w:tc>
          <w:tcPr>
            <w:tcW w:w="6582" w:type="dxa"/>
            <w:shd w:val="clear" w:color="auto" w:fill="FFFFFF"/>
          </w:tcPr>
          <w:p>
            <w:pPr>
              <w:pStyle w:val="TableParagraph"/>
              <w:spacing w:before="128"/>
              <w:rPr>
                <w:rFonts w:ascii="Stone Sans II ITC Std Bk"/>
                <w:b/>
                <w:sz w:val="20"/>
              </w:rPr>
            </w:pPr>
            <w:r>
              <w:rPr>
                <w:rFonts w:ascii="Stone Sans II ITC Std Bk"/>
                <w:b/>
                <w:w w:val="110"/>
                <w:sz w:val="20"/>
              </w:rPr>
              <w:t>None</w:t>
            </w:r>
          </w:p>
        </w:tc>
      </w:tr>
    </w:tbl>
    <w:p>
      <w:pPr>
        <w:pStyle w:val="BodyText"/>
        <w:spacing w:before="3"/>
        <w:rPr>
          <w:rFonts w:ascii="Stone Sans II ITC Std Bk"/>
          <w:b/>
          <w:sz w:val="29"/>
        </w:rPr>
      </w:pPr>
    </w:p>
    <w:p>
      <w:pPr>
        <w:pStyle w:val="Heading4"/>
        <w:spacing w:before="1"/>
      </w:pPr>
      <w:r>
        <w:rPr>
          <w:color w:val="7F7F7F"/>
        </w:rPr>
        <w:t>Summary of Content</w:t>
      </w:r>
    </w:p>
    <w:tbl>
      <w:tblPr>
        <w:tblW w:w="0" w:type="auto"/>
        <w:jc w:val="left"/>
        <w:tblInd w:w="6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660"/>
        <w:gridCol w:w="6582"/>
      </w:tblGrid>
      <w:tr>
        <w:trPr>
          <w:trHeight w:val="920" w:hRule="atLeast"/>
        </w:trPr>
        <w:tc>
          <w:tcPr>
            <w:tcW w:w="2660" w:type="dxa"/>
            <w:shd w:val="clear" w:color="auto" w:fill="FFFFFF"/>
          </w:tcPr>
          <w:p>
            <w:pPr>
              <w:pStyle w:val="TableParagraph"/>
              <w:spacing w:before="128"/>
              <w:rPr>
                <w:rFonts w:ascii="Stone Sans II ITC Std Bk"/>
                <w:b/>
                <w:sz w:val="20"/>
              </w:rPr>
            </w:pPr>
            <w:r>
              <w:rPr>
                <w:rFonts w:ascii="Stone Sans II ITC Std Bk"/>
                <w:b/>
                <w:w w:val="110"/>
                <w:sz w:val="20"/>
              </w:rPr>
              <w:t>Subject and aim(s)</w:t>
            </w:r>
          </w:p>
        </w:tc>
        <w:tc>
          <w:tcPr>
            <w:tcW w:w="6582" w:type="dxa"/>
            <w:shd w:val="clear" w:color="auto" w:fill="FFFFFF"/>
          </w:tcPr>
          <w:p>
            <w:pPr>
              <w:pStyle w:val="TableParagraph"/>
              <w:spacing w:line="235" w:lineRule="auto" w:before="145"/>
              <w:rPr>
                <w:sz w:val="20"/>
              </w:rPr>
            </w:pPr>
            <w:r>
              <w:rPr>
                <w:w w:val="120"/>
                <w:sz w:val="20"/>
              </w:rPr>
              <w:t>The spectrum and overview of the detail of the work of the committee. The aim is to appraise the Assembly of the range and nature of work</w:t>
            </w:r>
          </w:p>
        </w:tc>
      </w:tr>
      <w:tr>
        <w:trPr>
          <w:trHeight w:val="920" w:hRule="atLeast"/>
        </w:trPr>
        <w:tc>
          <w:tcPr>
            <w:tcW w:w="2660" w:type="dxa"/>
            <w:shd w:val="clear" w:color="auto" w:fill="FFFFFF"/>
          </w:tcPr>
          <w:p>
            <w:pPr>
              <w:pStyle w:val="TableParagraph"/>
              <w:spacing w:before="128"/>
              <w:rPr>
                <w:rFonts w:ascii="Stone Sans II ITC Std Bk"/>
                <w:b/>
                <w:sz w:val="20"/>
              </w:rPr>
            </w:pPr>
            <w:r>
              <w:rPr>
                <w:rFonts w:ascii="Stone Sans II ITC Std Bk"/>
                <w:b/>
                <w:w w:val="110"/>
                <w:sz w:val="20"/>
              </w:rPr>
              <w:t>Main points</w:t>
            </w:r>
          </w:p>
        </w:tc>
        <w:tc>
          <w:tcPr>
            <w:tcW w:w="6582" w:type="dxa"/>
            <w:shd w:val="clear" w:color="auto" w:fill="FFFFFF"/>
          </w:tcPr>
          <w:p>
            <w:pPr>
              <w:pStyle w:val="TableParagraph"/>
              <w:spacing w:line="235" w:lineRule="auto" w:before="145"/>
              <w:ind w:right="280"/>
              <w:rPr>
                <w:sz w:val="20"/>
              </w:rPr>
            </w:pPr>
            <w:r>
              <w:rPr>
                <w:w w:val="120"/>
                <w:sz w:val="20"/>
              </w:rPr>
              <w:t>The committee has an agenda that is created from Assembly resolutions, work referred to it by external and internal points and from its own initiatives</w:t>
            </w:r>
          </w:p>
        </w:tc>
      </w:tr>
      <w:tr>
        <w:trPr>
          <w:trHeight w:val="680" w:hRule="atLeast"/>
        </w:trPr>
        <w:tc>
          <w:tcPr>
            <w:tcW w:w="2660" w:type="dxa"/>
            <w:shd w:val="clear" w:color="auto" w:fill="FFFFFF"/>
          </w:tcPr>
          <w:p>
            <w:pPr>
              <w:pStyle w:val="TableParagraph"/>
              <w:spacing w:line="213" w:lineRule="auto" w:before="151"/>
              <w:ind w:right="701"/>
              <w:rPr>
                <w:rFonts w:ascii="Stone Sans II ITC Std Bk"/>
                <w:b/>
                <w:sz w:val="20"/>
              </w:rPr>
            </w:pPr>
            <w:r>
              <w:rPr>
                <w:rFonts w:ascii="Stone Sans II ITC Std Bk"/>
                <w:b/>
                <w:w w:val="110"/>
                <w:sz w:val="20"/>
              </w:rPr>
              <w:t>Previous relevant documents</w:t>
            </w:r>
          </w:p>
        </w:tc>
        <w:tc>
          <w:tcPr>
            <w:tcW w:w="6582" w:type="dxa"/>
            <w:shd w:val="clear" w:color="auto" w:fill="FFFFFF"/>
          </w:tcPr>
          <w:p>
            <w:pPr>
              <w:pStyle w:val="TableParagraph"/>
              <w:spacing w:before="141"/>
              <w:rPr>
                <w:sz w:val="20"/>
              </w:rPr>
            </w:pPr>
            <w:r>
              <w:rPr>
                <w:w w:val="120"/>
                <w:sz w:val="20"/>
              </w:rPr>
              <w:t>Report to the 2014 Assembly (page 175 of the </w:t>
            </w:r>
            <w:r>
              <w:rPr>
                <w:i/>
                <w:w w:val="120"/>
                <w:sz w:val="20"/>
              </w:rPr>
              <w:t>Book of Reports</w:t>
            </w:r>
            <w:r>
              <w:rPr>
                <w:w w:val="120"/>
                <w:sz w:val="20"/>
              </w:rPr>
              <w:t>)</w:t>
            </w:r>
          </w:p>
        </w:tc>
      </w:tr>
      <w:tr>
        <w:trPr>
          <w:trHeight w:val="680" w:hRule="atLeast"/>
        </w:trPr>
        <w:tc>
          <w:tcPr>
            <w:tcW w:w="2660" w:type="dxa"/>
            <w:shd w:val="clear" w:color="auto" w:fill="FFFFFF"/>
          </w:tcPr>
          <w:p>
            <w:pPr>
              <w:pStyle w:val="TableParagraph"/>
              <w:spacing w:line="213" w:lineRule="auto" w:before="151"/>
              <w:ind w:right="576"/>
              <w:rPr>
                <w:rFonts w:ascii="Stone Sans II ITC Std Bk"/>
                <w:b/>
                <w:sz w:val="20"/>
              </w:rPr>
            </w:pPr>
            <w:r>
              <w:rPr>
                <w:rFonts w:ascii="Stone Sans II ITC Std Bk"/>
                <w:b/>
                <w:w w:val="110"/>
                <w:sz w:val="20"/>
              </w:rPr>
              <w:t>Consultation has taken place with...</w:t>
            </w:r>
          </w:p>
        </w:tc>
        <w:tc>
          <w:tcPr>
            <w:tcW w:w="6582" w:type="dxa"/>
            <w:shd w:val="clear" w:color="auto" w:fill="FFFFFF"/>
          </w:tcPr>
          <w:p>
            <w:pPr>
              <w:pStyle w:val="TableParagraph"/>
              <w:spacing w:before="141"/>
              <w:rPr>
                <w:sz w:val="20"/>
              </w:rPr>
            </w:pPr>
            <w:r>
              <w:rPr>
                <w:w w:val="120"/>
                <w:sz w:val="20"/>
              </w:rPr>
              <w:t>The faith and order committee</w:t>
            </w:r>
          </w:p>
        </w:tc>
      </w:tr>
    </w:tbl>
    <w:p>
      <w:pPr>
        <w:pStyle w:val="BodyText"/>
        <w:spacing w:before="3"/>
        <w:rPr>
          <w:rFonts w:ascii="Stone Sans II ITC Std Bk"/>
          <w:b/>
          <w:sz w:val="29"/>
        </w:rPr>
      </w:pPr>
    </w:p>
    <w:p>
      <w:pPr>
        <w:pStyle w:val="Heading4"/>
      </w:pPr>
      <w:r>
        <w:rPr>
          <w:color w:val="7F7F7F"/>
        </w:rPr>
        <w:t>Summary of Impact</w:t>
      </w:r>
    </w:p>
    <w:tbl>
      <w:tblPr>
        <w:tblW w:w="0" w:type="auto"/>
        <w:jc w:val="left"/>
        <w:tblInd w:w="6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660"/>
        <w:gridCol w:w="6582"/>
      </w:tblGrid>
      <w:tr>
        <w:trPr>
          <w:trHeight w:val="440" w:hRule="atLeast"/>
        </w:trPr>
        <w:tc>
          <w:tcPr>
            <w:tcW w:w="2660" w:type="dxa"/>
            <w:shd w:val="clear" w:color="auto" w:fill="FFFFFF"/>
          </w:tcPr>
          <w:p>
            <w:pPr>
              <w:pStyle w:val="TableParagraph"/>
              <w:spacing w:before="128"/>
              <w:rPr>
                <w:rFonts w:ascii="Stone Sans II ITC Std Bk"/>
                <w:b/>
                <w:sz w:val="20"/>
              </w:rPr>
            </w:pPr>
            <w:r>
              <w:rPr>
                <w:rFonts w:ascii="Stone Sans II ITC Std Bk"/>
                <w:b/>
                <w:w w:val="110"/>
                <w:sz w:val="20"/>
              </w:rPr>
              <w:t>Financial</w:t>
            </w:r>
          </w:p>
        </w:tc>
        <w:tc>
          <w:tcPr>
            <w:tcW w:w="6582" w:type="dxa"/>
            <w:shd w:val="clear" w:color="auto" w:fill="FFFFFF"/>
          </w:tcPr>
          <w:p>
            <w:pPr>
              <w:pStyle w:val="TableParagraph"/>
              <w:spacing w:before="141"/>
              <w:rPr>
                <w:sz w:val="20"/>
              </w:rPr>
            </w:pPr>
            <w:r>
              <w:rPr>
                <w:w w:val="120"/>
                <w:sz w:val="20"/>
              </w:rPr>
              <w:t>None</w:t>
            </w:r>
          </w:p>
        </w:tc>
      </w:tr>
      <w:tr>
        <w:trPr>
          <w:trHeight w:val="680" w:hRule="atLeast"/>
        </w:trPr>
        <w:tc>
          <w:tcPr>
            <w:tcW w:w="2660" w:type="dxa"/>
            <w:shd w:val="clear" w:color="auto" w:fill="FFFFFF"/>
          </w:tcPr>
          <w:p>
            <w:pPr>
              <w:pStyle w:val="TableParagraph"/>
              <w:spacing w:line="255" w:lineRule="exact" w:before="128"/>
              <w:rPr>
                <w:rFonts w:ascii="Stone Sans II ITC Std Bk"/>
                <w:b/>
                <w:sz w:val="20"/>
              </w:rPr>
            </w:pPr>
            <w:r>
              <w:rPr>
                <w:rFonts w:ascii="Stone Sans II ITC Std Bk"/>
                <w:b/>
                <w:w w:val="110"/>
                <w:sz w:val="20"/>
              </w:rPr>
              <w:t>External</w:t>
            </w:r>
          </w:p>
          <w:p>
            <w:pPr>
              <w:pStyle w:val="TableParagraph"/>
              <w:spacing w:line="255" w:lineRule="exact"/>
              <w:rPr>
                <w:rFonts w:ascii="Stone Sans II ITC Std Bk"/>
                <w:b/>
                <w:sz w:val="20"/>
              </w:rPr>
            </w:pPr>
            <w:r>
              <w:rPr>
                <w:rFonts w:ascii="Stone Sans II ITC Std Bk"/>
                <w:b/>
                <w:w w:val="110"/>
                <w:sz w:val="20"/>
              </w:rPr>
              <w:t>(e.g. ecumenical)</w:t>
            </w:r>
          </w:p>
        </w:tc>
        <w:tc>
          <w:tcPr>
            <w:tcW w:w="6582" w:type="dxa"/>
            <w:shd w:val="clear" w:color="auto" w:fill="FFFFFF"/>
          </w:tcPr>
          <w:p>
            <w:pPr>
              <w:pStyle w:val="TableParagraph"/>
              <w:spacing w:before="141"/>
              <w:rPr>
                <w:sz w:val="20"/>
              </w:rPr>
            </w:pPr>
            <w:r>
              <w:rPr>
                <w:w w:val="125"/>
                <w:sz w:val="20"/>
              </w:rPr>
              <w:t>None.</w:t>
            </w:r>
          </w:p>
        </w:tc>
      </w:tr>
    </w:tbl>
    <w:p>
      <w:pPr>
        <w:pStyle w:val="BodyText"/>
        <w:rPr>
          <w:rFonts w:ascii="Stone Sans II ITC Std Bk"/>
          <w:b/>
          <w:sz w:val="30"/>
        </w:rPr>
      </w:pPr>
    </w:p>
    <w:p>
      <w:pPr>
        <w:pStyle w:val="BodyText"/>
        <w:rPr>
          <w:rFonts w:ascii="Stone Sans II ITC Std Bk"/>
          <w:b/>
          <w:sz w:val="30"/>
        </w:rPr>
      </w:pPr>
    </w:p>
    <w:p>
      <w:pPr>
        <w:pStyle w:val="BodyText"/>
        <w:rPr>
          <w:rFonts w:ascii="Stone Sans II ITC Std Bk"/>
          <w:b/>
          <w:sz w:val="30"/>
        </w:rPr>
      </w:pPr>
    </w:p>
    <w:p>
      <w:pPr>
        <w:pStyle w:val="BodyText"/>
        <w:rPr>
          <w:rFonts w:ascii="Stone Sans II ITC Std Bk"/>
          <w:b/>
          <w:sz w:val="30"/>
        </w:rPr>
      </w:pPr>
    </w:p>
    <w:p>
      <w:pPr>
        <w:pStyle w:val="BodyText"/>
        <w:rPr>
          <w:rFonts w:ascii="Stone Sans II ITC Std Bk"/>
          <w:b/>
          <w:sz w:val="30"/>
        </w:rPr>
      </w:pPr>
    </w:p>
    <w:p>
      <w:pPr>
        <w:pStyle w:val="BodyText"/>
        <w:rPr>
          <w:rFonts w:ascii="Stone Sans II ITC Std Bk"/>
          <w:b/>
          <w:sz w:val="30"/>
        </w:rPr>
      </w:pPr>
    </w:p>
    <w:p>
      <w:pPr>
        <w:pStyle w:val="BodyText"/>
        <w:rPr>
          <w:rFonts w:ascii="Stone Sans II ITC Std Bk"/>
          <w:b/>
          <w:sz w:val="30"/>
        </w:rPr>
      </w:pPr>
    </w:p>
    <w:p>
      <w:pPr>
        <w:pStyle w:val="BodyText"/>
        <w:rPr>
          <w:rFonts w:ascii="Stone Sans II ITC Std Bk"/>
          <w:b/>
          <w:sz w:val="30"/>
        </w:rPr>
      </w:pPr>
    </w:p>
    <w:p>
      <w:pPr>
        <w:pStyle w:val="BodyText"/>
        <w:rPr>
          <w:rFonts w:ascii="Stone Sans II ITC Std Bk"/>
          <w:b/>
          <w:sz w:val="30"/>
        </w:rPr>
      </w:pPr>
    </w:p>
    <w:p>
      <w:pPr>
        <w:pStyle w:val="BodyText"/>
        <w:rPr>
          <w:rFonts w:ascii="Stone Sans II ITC Std Bk"/>
          <w:b/>
          <w:sz w:val="30"/>
        </w:rPr>
      </w:pPr>
    </w:p>
    <w:p>
      <w:pPr>
        <w:pStyle w:val="BodyText"/>
        <w:rPr>
          <w:rFonts w:ascii="Stone Sans II ITC Std Bk"/>
          <w:b/>
          <w:sz w:val="30"/>
        </w:rPr>
      </w:pPr>
    </w:p>
    <w:p>
      <w:pPr>
        <w:pStyle w:val="BodyText"/>
        <w:rPr>
          <w:rFonts w:ascii="Stone Sans II ITC Std Bk"/>
          <w:b/>
          <w:sz w:val="30"/>
        </w:rPr>
      </w:pPr>
    </w:p>
    <w:p>
      <w:pPr>
        <w:pStyle w:val="BodyText"/>
        <w:rPr>
          <w:rFonts w:ascii="Stone Sans II ITC Std Bk"/>
          <w:b/>
          <w:sz w:val="34"/>
        </w:rPr>
      </w:pPr>
    </w:p>
    <w:p>
      <w:pPr>
        <w:pStyle w:val="Heading6"/>
        <w:spacing w:before="0"/>
        <w:ind w:left="607"/>
      </w:pPr>
      <w:r>
        <w:rPr>
          <w:rFonts w:ascii="Stone Sans II ITC Std X Bd" w:hAnsi="Stone Sans II ITC Std X Bd"/>
          <w:b/>
          <w:w w:val="110"/>
          <w:sz w:val="24"/>
        </w:rPr>
        <w:t>86 </w:t>
      </w:r>
      <w:r>
        <w:rPr>
          <w:rFonts w:ascii="Symbol" w:hAnsi="Symbol"/>
          <w:color w:val="7EAABF"/>
          <w:w w:val="110"/>
        </w:rPr>
        <w:t></w:t>
      </w:r>
      <w:r>
        <w:rPr>
          <w:rFonts w:ascii="Times New Roman" w:hAnsi="Times New Roman"/>
          <w:color w:val="7EAABF"/>
          <w:w w:val="110"/>
        </w:rPr>
        <w:t> </w:t>
      </w:r>
      <w:r>
        <w:rPr>
          <w:color w:val="7EAABF"/>
          <w:w w:val="110"/>
        </w:rPr>
        <w:t>United Reformed Church </w:t>
      </w:r>
      <w:r>
        <w:rPr>
          <w:rFonts w:ascii="Symbol" w:hAnsi="Symbol"/>
          <w:color w:val="7EAABF"/>
          <w:w w:val="110"/>
        </w:rPr>
        <w:t></w:t>
      </w:r>
      <w:r>
        <w:rPr>
          <w:rFonts w:ascii="Times New Roman" w:hAnsi="Times New Roman"/>
          <w:color w:val="7EAABF"/>
          <w:w w:val="110"/>
        </w:rPr>
        <w:t> </w:t>
      </w:r>
      <w:r>
        <w:rPr>
          <w:color w:val="7EAABF"/>
          <w:w w:val="110"/>
        </w:rPr>
        <w:t>General Assembly 2016</w:t>
      </w:r>
    </w:p>
    <w:p>
      <w:pPr>
        <w:spacing w:after="0"/>
        <w:sectPr>
          <w:headerReference w:type="even" r:id="rId268"/>
          <w:footerReference w:type="even" r:id="rId269"/>
          <w:pgSz w:w="11910" w:h="16840"/>
          <w:pgMar w:header="0" w:footer="0" w:top="0" w:bottom="0" w:left="640" w:right="0"/>
        </w:sectPr>
      </w:pPr>
    </w:p>
    <w:p>
      <w:pPr>
        <w:pStyle w:val="BodyText"/>
      </w:pPr>
      <w:r>
        <w:rPr/>
        <w:pict>
          <v:line style="position:absolute;mso-position-horizontal-relative:page;mso-position-vertical-relative:page;z-index:251892736" from="0pt,.000315pt" to="0pt,841.890315pt" stroked="true" strokeweight="0pt" strokecolor="#d4e9f7">
            <v:stroke dashstyle="solid"/>
            <w10:wrap type="none"/>
          </v:line>
        </w:pict>
      </w:r>
      <w:r>
        <w:rPr/>
        <w:drawing>
          <wp:anchor distT="0" distB="0" distL="0" distR="0" allowOverlap="1" layoutInCell="1" locked="0" behindDoc="0" simplePos="0" relativeHeight="251893760">
            <wp:simplePos x="0" y="0"/>
            <wp:positionH relativeFrom="page">
              <wp:posOffset>6974928</wp:posOffset>
            </wp:positionH>
            <wp:positionV relativeFrom="page">
              <wp:posOffset>0</wp:posOffset>
            </wp:positionV>
            <wp:extent cx="585063" cy="10692003"/>
            <wp:effectExtent l="0" t="0" r="0" b="0"/>
            <wp:wrapNone/>
            <wp:docPr id="157" name="image54.png"/>
            <wp:cNvGraphicFramePr>
              <a:graphicFrameLocks noChangeAspect="1"/>
            </wp:cNvGraphicFramePr>
            <a:graphic>
              <a:graphicData uri="http://schemas.openxmlformats.org/drawingml/2006/picture">
                <pic:pic>
                  <pic:nvPicPr>
                    <pic:cNvPr id="158" name="image54.png"/>
                    <pic:cNvPicPr/>
                  </pic:nvPicPr>
                  <pic:blipFill>
                    <a:blip r:embed="rId169" cstate="print"/>
                    <a:stretch>
                      <a:fillRect/>
                    </a:stretch>
                  </pic:blipFill>
                  <pic:spPr>
                    <a:xfrm>
                      <a:off x="0" y="0"/>
                      <a:ext cx="585063" cy="10692003"/>
                    </a:xfrm>
                    <a:prstGeom prst="rect">
                      <a:avLst/>
                    </a:prstGeom>
                  </pic:spPr>
                </pic:pic>
              </a:graphicData>
            </a:graphic>
          </wp:anchor>
        </w:drawing>
      </w:r>
    </w:p>
    <w:p>
      <w:pPr>
        <w:pStyle w:val="BodyText"/>
      </w:pPr>
    </w:p>
    <w:p>
      <w:pPr>
        <w:pStyle w:val="BodyText"/>
      </w:pPr>
    </w:p>
    <w:p>
      <w:pPr>
        <w:pStyle w:val="BodyText"/>
        <w:spacing w:before="5"/>
        <w:rPr>
          <w:sz w:val="28"/>
        </w:rPr>
      </w:pPr>
    </w:p>
    <w:p>
      <w:pPr>
        <w:spacing w:before="97"/>
        <w:ind w:left="1344" w:right="0" w:firstLine="0"/>
        <w:jc w:val="left"/>
        <w:rPr>
          <w:rFonts w:ascii="Stone Sans II ITC Std X Bd"/>
          <w:b/>
          <w:sz w:val="50"/>
        </w:rPr>
      </w:pPr>
      <w:r>
        <w:rPr/>
        <w:pict>
          <v:shape style="position:absolute;margin-left:554.141174pt;margin-top:-5.998084pt;width:25.9pt;height:156.35pt;mso-position-horizontal-relative:page;mso-position-vertical-relative:paragraph;z-index:251895808" type="#_x0000_t202" filled="false" stroked="false">
            <v:textbox inset="0,0,0,0" style="layout-flow:vertical">
              <w:txbxContent>
                <w:p>
                  <w:pPr>
                    <w:spacing w:before="27"/>
                    <w:ind w:left="20" w:right="0" w:firstLine="0"/>
                    <w:jc w:val="left"/>
                    <w:rPr>
                      <w:sz w:val="39"/>
                    </w:rPr>
                  </w:pPr>
                  <w:r>
                    <w:rPr>
                      <w:color w:val="FFFFFF"/>
                      <w:w w:val="120"/>
                      <w:sz w:val="39"/>
                    </w:rPr>
                    <w:t>Faith and order</w:t>
                  </w:r>
                </w:p>
              </w:txbxContent>
            </v:textbox>
            <w10:wrap type="none"/>
          </v:shape>
        </w:pict>
      </w:r>
      <w:r>
        <w:rPr>
          <w:rFonts w:ascii="Stone Sans II ITC Std X Bd"/>
          <w:b/>
          <w:w w:val="110"/>
          <w:sz w:val="50"/>
        </w:rPr>
        <w:t>Report of ongoing work</w:t>
      </w:r>
    </w:p>
    <w:p>
      <w:pPr>
        <w:spacing w:before="141"/>
        <w:ind w:left="1571" w:right="0" w:firstLine="0"/>
        <w:jc w:val="left"/>
        <w:rPr>
          <w:sz w:val="18"/>
        </w:rPr>
      </w:pPr>
      <w:r>
        <w:rPr/>
        <w:pict>
          <v:line style="position:absolute;mso-position-horizontal-relative:page;mso-position-vertical-relative:paragraph;z-index:251894784" from="99.212601pt,7.136453pt" to="99.212601pt,160.679453pt" stroked="true" strokeweight="2pt" strokecolor="#0090d4">
            <v:stroke dashstyle="solid"/>
            <w10:wrap type="none"/>
          </v:line>
        </w:pict>
      </w:r>
      <w:r>
        <w:rPr>
          <w:color w:val="707172"/>
          <w:w w:val="120"/>
          <w:sz w:val="18"/>
        </w:rPr>
        <w:t>The faith and order committee exists:</w:t>
      </w:r>
    </w:p>
    <w:p>
      <w:pPr>
        <w:pStyle w:val="ListParagraph"/>
        <w:numPr>
          <w:ilvl w:val="0"/>
          <w:numId w:val="119"/>
        </w:numPr>
        <w:tabs>
          <w:tab w:pos="1911" w:val="left" w:leader="none"/>
          <w:tab w:pos="1912" w:val="left" w:leader="none"/>
        </w:tabs>
        <w:spacing w:line="240" w:lineRule="auto" w:before="20" w:after="0"/>
        <w:ind w:left="1911" w:right="0" w:hanging="341"/>
        <w:jc w:val="left"/>
        <w:rPr>
          <w:sz w:val="18"/>
        </w:rPr>
      </w:pPr>
      <w:r>
        <w:rPr>
          <w:color w:val="707172"/>
          <w:w w:val="120"/>
          <w:sz w:val="18"/>
        </w:rPr>
        <w:t>to address issues of faith and order on behalf of the</w:t>
      </w:r>
      <w:r>
        <w:rPr>
          <w:color w:val="707172"/>
          <w:spacing w:val="26"/>
          <w:w w:val="120"/>
          <w:sz w:val="18"/>
        </w:rPr>
        <w:t> </w:t>
      </w:r>
      <w:r>
        <w:rPr>
          <w:color w:val="707172"/>
          <w:w w:val="120"/>
          <w:sz w:val="18"/>
        </w:rPr>
        <w:t>URC;</w:t>
      </w:r>
    </w:p>
    <w:p>
      <w:pPr>
        <w:pStyle w:val="ListParagraph"/>
        <w:numPr>
          <w:ilvl w:val="0"/>
          <w:numId w:val="119"/>
        </w:numPr>
        <w:tabs>
          <w:tab w:pos="1911" w:val="left" w:leader="none"/>
          <w:tab w:pos="1912" w:val="left" w:leader="none"/>
        </w:tabs>
        <w:spacing w:line="261" w:lineRule="auto" w:before="20" w:after="0"/>
        <w:ind w:left="1911" w:right="1387" w:hanging="341"/>
        <w:jc w:val="left"/>
        <w:rPr>
          <w:sz w:val="18"/>
        </w:rPr>
      </w:pPr>
      <w:r>
        <w:rPr>
          <w:color w:val="707172"/>
          <w:w w:val="120"/>
          <w:sz w:val="18"/>
        </w:rPr>
        <w:t>to participate in and respond to ecumenical and interfaith discussions on faith and order issues;</w:t>
      </w:r>
    </w:p>
    <w:p>
      <w:pPr>
        <w:pStyle w:val="ListParagraph"/>
        <w:numPr>
          <w:ilvl w:val="0"/>
          <w:numId w:val="119"/>
        </w:numPr>
        <w:tabs>
          <w:tab w:pos="1911" w:val="left" w:leader="none"/>
          <w:tab w:pos="1912" w:val="left" w:leader="none"/>
        </w:tabs>
        <w:spacing w:line="240" w:lineRule="auto" w:before="1" w:after="0"/>
        <w:ind w:left="1911" w:right="0" w:hanging="341"/>
        <w:jc w:val="left"/>
        <w:rPr>
          <w:sz w:val="18"/>
        </w:rPr>
      </w:pPr>
      <w:r>
        <w:rPr>
          <w:color w:val="707172"/>
          <w:w w:val="120"/>
          <w:sz w:val="18"/>
        </w:rPr>
        <w:t>to advise the assembly, its officers and committees on questions of faith and</w:t>
      </w:r>
      <w:r>
        <w:rPr>
          <w:color w:val="707172"/>
          <w:spacing w:val="40"/>
          <w:w w:val="120"/>
          <w:sz w:val="18"/>
        </w:rPr>
        <w:t> </w:t>
      </w:r>
      <w:r>
        <w:rPr>
          <w:color w:val="707172"/>
          <w:w w:val="120"/>
          <w:sz w:val="18"/>
        </w:rPr>
        <w:t>order;</w:t>
      </w:r>
    </w:p>
    <w:p>
      <w:pPr>
        <w:pStyle w:val="ListParagraph"/>
        <w:numPr>
          <w:ilvl w:val="0"/>
          <w:numId w:val="119"/>
        </w:numPr>
        <w:tabs>
          <w:tab w:pos="1911" w:val="left" w:leader="none"/>
          <w:tab w:pos="1912" w:val="left" w:leader="none"/>
        </w:tabs>
        <w:spacing w:line="261" w:lineRule="auto" w:before="20" w:after="0"/>
        <w:ind w:left="1911" w:right="1690" w:hanging="341"/>
        <w:jc w:val="left"/>
        <w:rPr>
          <w:sz w:val="18"/>
        </w:rPr>
      </w:pPr>
      <w:r>
        <w:rPr>
          <w:color w:val="707172"/>
          <w:w w:val="120"/>
          <w:sz w:val="18"/>
        </w:rPr>
        <w:t>to listen to concerns raised by local churches, synods and individuals and to advise as appropriate;</w:t>
      </w:r>
    </w:p>
    <w:p>
      <w:pPr>
        <w:pStyle w:val="ListParagraph"/>
        <w:numPr>
          <w:ilvl w:val="0"/>
          <w:numId w:val="119"/>
        </w:numPr>
        <w:tabs>
          <w:tab w:pos="1911" w:val="left" w:leader="none"/>
          <w:tab w:pos="1912" w:val="left" w:leader="none"/>
        </w:tabs>
        <w:spacing w:line="261" w:lineRule="auto" w:before="1" w:after="0"/>
        <w:ind w:left="1571" w:right="1504" w:firstLine="0"/>
        <w:jc w:val="left"/>
        <w:rPr>
          <w:sz w:val="18"/>
        </w:rPr>
      </w:pPr>
      <w:r>
        <w:rPr>
          <w:color w:val="707172"/>
          <w:w w:val="120"/>
          <w:sz w:val="18"/>
        </w:rPr>
        <w:t>to publish and disseminate occasional materials relating to questions of faith and order. Committee</w:t>
      </w:r>
      <w:r>
        <w:rPr>
          <w:color w:val="707172"/>
          <w:spacing w:val="2"/>
          <w:w w:val="120"/>
          <w:sz w:val="18"/>
        </w:rPr>
        <w:t> </w:t>
      </w:r>
      <w:r>
        <w:rPr>
          <w:color w:val="707172"/>
          <w:w w:val="120"/>
          <w:sz w:val="18"/>
        </w:rPr>
        <w:t>members:</w:t>
      </w:r>
    </w:p>
    <w:p>
      <w:pPr>
        <w:spacing w:line="261" w:lineRule="auto" w:before="1"/>
        <w:ind w:left="1571" w:right="6471" w:firstLine="0"/>
        <w:jc w:val="left"/>
        <w:rPr>
          <w:sz w:val="18"/>
        </w:rPr>
      </w:pPr>
      <w:r>
        <w:rPr>
          <w:color w:val="707172"/>
          <w:w w:val="120"/>
          <w:sz w:val="18"/>
        </w:rPr>
        <w:t>Convenor: Elizabeth Welch Secretary: David Tatem</w:t>
      </w:r>
    </w:p>
    <w:p>
      <w:pPr>
        <w:spacing w:line="261" w:lineRule="auto" w:before="1"/>
        <w:ind w:left="1571" w:right="2045" w:firstLine="0"/>
        <w:jc w:val="left"/>
        <w:rPr>
          <w:sz w:val="18"/>
        </w:rPr>
      </w:pPr>
      <w:r>
        <w:rPr>
          <w:color w:val="707172"/>
          <w:w w:val="120"/>
          <w:sz w:val="18"/>
        </w:rPr>
        <w:t>Catherine Ball, Anna Briggs, Sarah Hall, Tim Meadows, Malachie Munyaneza, Stephen Orchard (co-opted), Alan Spence, Jeremy Worthen (Church of England),</w:t>
      </w:r>
    </w:p>
    <w:p>
      <w:pPr>
        <w:pStyle w:val="BodyText"/>
        <w:rPr>
          <w:sz w:val="22"/>
        </w:rPr>
      </w:pPr>
    </w:p>
    <w:p>
      <w:pPr>
        <w:pStyle w:val="BodyText"/>
        <w:spacing w:before="7"/>
        <w:rPr>
          <w:sz w:val="18"/>
        </w:rPr>
      </w:pPr>
    </w:p>
    <w:p>
      <w:pPr>
        <w:pStyle w:val="ListParagraph"/>
        <w:numPr>
          <w:ilvl w:val="0"/>
          <w:numId w:val="120"/>
        </w:numPr>
        <w:tabs>
          <w:tab w:pos="2024" w:val="left" w:leader="none"/>
          <w:tab w:pos="2025" w:val="left" w:leader="none"/>
        </w:tabs>
        <w:spacing w:line="240" w:lineRule="auto" w:before="0" w:after="0"/>
        <w:ind w:left="2024" w:right="0" w:hanging="681"/>
        <w:jc w:val="left"/>
        <w:rPr>
          <w:rFonts w:ascii="Stone Sans II ITC Std Bk"/>
          <w:b/>
          <w:sz w:val="29"/>
        </w:rPr>
      </w:pPr>
      <w:r>
        <w:rPr>
          <w:rFonts w:ascii="Stone Sans II ITC Std Bk"/>
          <w:b/>
          <w:spacing w:val="4"/>
          <w:w w:val="110"/>
          <w:sz w:val="29"/>
        </w:rPr>
        <w:t>Introduction</w:t>
      </w:r>
    </w:p>
    <w:p>
      <w:pPr>
        <w:pStyle w:val="ListParagraph"/>
        <w:numPr>
          <w:ilvl w:val="1"/>
          <w:numId w:val="120"/>
        </w:numPr>
        <w:tabs>
          <w:tab w:pos="2024" w:val="left" w:leader="none"/>
          <w:tab w:pos="2025" w:val="left" w:leader="none"/>
        </w:tabs>
        <w:spacing w:line="235" w:lineRule="auto" w:before="69" w:after="0"/>
        <w:ind w:left="1344" w:right="1250" w:firstLine="0"/>
        <w:jc w:val="left"/>
        <w:rPr>
          <w:sz w:val="20"/>
        </w:rPr>
      </w:pPr>
      <w:r>
        <w:rPr>
          <w:w w:val="120"/>
          <w:sz w:val="20"/>
        </w:rPr>
        <w:t>Since the time of the </w:t>
      </w:r>
      <w:r>
        <w:rPr>
          <w:spacing w:val="-7"/>
          <w:w w:val="120"/>
          <w:sz w:val="20"/>
        </w:rPr>
        <w:t>2014 </w:t>
      </w:r>
      <w:r>
        <w:rPr>
          <w:w w:val="120"/>
          <w:sz w:val="20"/>
        </w:rPr>
        <w:t>General Assembly, the faith and order committee has been engaged in a number of significant pieces of work, some of which were generated by that Assembly and others of which have come, as is often the case, from outside the denomination or as a result of issues raised and questions asked within</w:t>
      </w:r>
      <w:r>
        <w:rPr>
          <w:spacing w:val="10"/>
          <w:w w:val="120"/>
          <w:sz w:val="20"/>
        </w:rPr>
        <w:t> </w:t>
      </w:r>
      <w:r>
        <w:rPr>
          <w:w w:val="120"/>
          <w:sz w:val="20"/>
        </w:rPr>
        <w:t>it.</w:t>
      </w:r>
    </w:p>
    <w:p>
      <w:pPr>
        <w:pStyle w:val="BodyText"/>
        <w:spacing w:before="3"/>
        <w:rPr>
          <w:sz w:val="22"/>
        </w:rPr>
      </w:pPr>
    </w:p>
    <w:p>
      <w:pPr>
        <w:pStyle w:val="ListParagraph"/>
        <w:numPr>
          <w:ilvl w:val="0"/>
          <w:numId w:val="120"/>
        </w:numPr>
        <w:tabs>
          <w:tab w:pos="2024" w:val="left" w:leader="none"/>
          <w:tab w:pos="2025" w:val="left" w:leader="none"/>
        </w:tabs>
        <w:spacing w:line="240" w:lineRule="auto" w:before="0" w:after="0"/>
        <w:ind w:left="2024" w:right="0" w:hanging="681"/>
        <w:jc w:val="left"/>
        <w:rPr>
          <w:rFonts w:ascii="Stone Sans II ITC Std Bk"/>
          <w:b/>
          <w:sz w:val="29"/>
        </w:rPr>
      </w:pPr>
      <w:r>
        <w:rPr>
          <w:rFonts w:ascii="Stone Sans II ITC Std Bk"/>
          <w:b/>
          <w:spacing w:val="3"/>
          <w:w w:val="110"/>
          <w:sz w:val="29"/>
        </w:rPr>
        <w:t>Programme </w:t>
      </w:r>
      <w:r>
        <w:rPr>
          <w:rFonts w:ascii="Stone Sans II ITC Std Bk"/>
          <w:b/>
          <w:w w:val="110"/>
          <w:sz w:val="29"/>
        </w:rPr>
        <w:t>of</w:t>
      </w:r>
      <w:r>
        <w:rPr>
          <w:rFonts w:ascii="Stone Sans II ITC Std Bk"/>
          <w:b/>
          <w:spacing w:val="22"/>
          <w:w w:val="110"/>
          <w:sz w:val="29"/>
        </w:rPr>
        <w:t> </w:t>
      </w:r>
      <w:r>
        <w:rPr>
          <w:rFonts w:ascii="Stone Sans II ITC Std Bk"/>
          <w:b/>
          <w:spacing w:val="2"/>
          <w:w w:val="110"/>
          <w:sz w:val="29"/>
        </w:rPr>
        <w:t>work</w:t>
      </w:r>
    </w:p>
    <w:p>
      <w:pPr>
        <w:pStyle w:val="ListParagraph"/>
        <w:numPr>
          <w:ilvl w:val="1"/>
          <w:numId w:val="120"/>
        </w:numPr>
        <w:tabs>
          <w:tab w:pos="2024" w:val="left" w:leader="none"/>
          <w:tab w:pos="2025" w:val="left" w:leader="none"/>
        </w:tabs>
        <w:spacing w:line="235" w:lineRule="auto" w:before="69" w:after="0"/>
        <w:ind w:left="1344" w:right="1252" w:firstLine="0"/>
        <w:jc w:val="left"/>
        <w:rPr>
          <w:sz w:val="20"/>
        </w:rPr>
      </w:pPr>
      <w:r>
        <w:rPr>
          <w:w w:val="120"/>
          <w:sz w:val="20"/>
        </w:rPr>
        <w:t>The most significant piece of work has been the ‘Future of the Church’ discussion which had begun prior to the last Assembly, and the committee was asked there</w:t>
      </w:r>
      <w:r>
        <w:rPr>
          <w:spacing w:val="37"/>
          <w:w w:val="120"/>
          <w:sz w:val="20"/>
        </w:rPr>
        <w:t> </w:t>
      </w:r>
      <w:r>
        <w:rPr>
          <w:w w:val="120"/>
          <w:sz w:val="20"/>
        </w:rPr>
        <w:t>to</w:t>
      </w:r>
    </w:p>
    <w:p>
      <w:pPr>
        <w:pStyle w:val="BodyText"/>
        <w:spacing w:line="235" w:lineRule="auto" w:before="2"/>
        <w:ind w:left="1344" w:right="1704"/>
      </w:pPr>
      <w:r>
        <w:rPr>
          <w:w w:val="120"/>
        </w:rPr>
        <w:t>take the discussion to the churches. This led to the production of the booklet </w:t>
      </w:r>
      <w:r>
        <w:rPr>
          <w:i/>
          <w:w w:val="120"/>
        </w:rPr>
        <w:t>What </w:t>
      </w:r>
      <w:r>
        <w:rPr>
          <w:i/>
          <w:w w:val="120"/>
        </w:rPr>
        <w:t>is</w:t>
      </w:r>
      <w:r>
        <w:rPr>
          <w:i/>
          <w:spacing w:val="-18"/>
          <w:w w:val="120"/>
        </w:rPr>
        <w:t> </w:t>
      </w:r>
      <w:r>
        <w:rPr>
          <w:i/>
          <w:w w:val="120"/>
        </w:rPr>
        <w:t>the</w:t>
      </w:r>
      <w:r>
        <w:rPr>
          <w:i/>
          <w:spacing w:val="-18"/>
          <w:w w:val="120"/>
        </w:rPr>
        <w:t> </w:t>
      </w:r>
      <w:r>
        <w:rPr>
          <w:i/>
          <w:w w:val="120"/>
        </w:rPr>
        <w:t>Spirit</w:t>
      </w:r>
      <w:r>
        <w:rPr>
          <w:i/>
          <w:spacing w:val="-17"/>
          <w:w w:val="120"/>
        </w:rPr>
        <w:t> </w:t>
      </w:r>
      <w:r>
        <w:rPr>
          <w:i/>
          <w:w w:val="120"/>
        </w:rPr>
        <w:t>Saying</w:t>
      </w:r>
      <w:r>
        <w:rPr>
          <w:i/>
          <w:spacing w:val="-18"/>
          <w:w w:val="120"/>
        </w:rPr>
        <w:t> </w:t>
      </w:r>
      <w:r>
        <w:rPr>
          <w:i/>
          <w:w w:val="120"/>
        </w:rPr>
        <w:t>to</w:t>
      </w:r>
      <w:r>
        <w:rPr>
          <w:i/>
          <w:spacing w:val="-18"/>
          <w:w w:val="120"/>
        </w:rPr>
        <w:t> </w:t>
      </w:r>
      <w:r>
        <w:rPr>
          <w:i/>
          <w:w w:val="120"/>
        </w:rPr>
        <w:t>the</w:t>
      </w:r>
      <w:r>
        <w:rPr>
          <w:i/>
          <w:spacing w:val="-17"/>
          <w:w w:val="120"/>
        </w:rPr>
        <w:t> </w:t>
      </w:r>
      <w:r>
        <w:rPr>
          <w:i/>
          <w:w w:val="120"/>
        </w:rPr>
        <w:t>Churches</w:t>
      </w:r>
      <w:r>
        <w:rPr>
          <w:w w:val="120"/>
        </w:rPr>
        <w:t>,</w:t>
      </w:r>
      <w:r>
        <w:rPr>
          <w:spacing w:val="-16"/>
          <w:w w:val="120"/>
        </w:rPr>
        <w:t> </w:t>
      </w:r>
      <w:r>
        <w:rPr>
          <w:w w:val="120"/>
        </w:rPr>
        <w:t>which</w:t>
      </w:r>
      <w:r>
        <w:rPr>
          <w:spacing w:val="-15"/>
          <w:w w:val="120"/>
        </w:rPr>
        <w:t> </w:t>
      </w:r>
      <w:r>
        <w:rPr>
          <w:w w:val="120"/>
        </w:rPr>
        <w:t>was</w:t>
      </w:r>
      <w:r>
        <w:rPr>
          <w:spacing w:val="-16"/>
          <w:w w:val="120"/>
        </w:rPr>
        <w:t> </w:t>
      </w:r>
      <w:r>
        <w:rPr>
          <w:w w:val="120"/>
        </w:rPr>
        <w:t>circulated</w:t>
      </w:r>
      <w:r>
        <w:rPr>
          <w:spacing w:val="-16"/>
          <w:w w:val="120"/>
        </w:rPr>
        <w:t> </w:t>
      </w:r>
      <w:r>
        <w:rPr>
          <w:w w:val="120"/>
        </w:rPr>
        <w:t>for</w:t>
      </w:r>
      <w:r>
        <w:rPr>
          <w:spacing w:val="-15"/>
          <w:w w:val="120"/>
        </w:rPr>
        <w:t> </w:t>
      </w:r>
      <w:r>
        <w:rPr>
          <w:w w:val="120"/>
        </w:rPr>
        <w:t>discussion</w:t>
      </w:r>
      <w:r>
        <w:rPr>
          <w:spacing w:val="-16"/>
          <w:w w:val="120"/>
        </w:rPr>
        <w:t> </w:t>
      </w:r>
      <w:r>
        <w:rPr>
          <w:w w:val="120"/>
        </w:rPr>
        <w:t>with</w:t>
      </w:r>
      <w:r>
        <w:rPr>
          <w:spacing w:val="-15"/>
          <w:w w:val="120"/>
        </w:rPr>
        <w:t> </w:t>
      </w:r>
      <w:r>
        <w:rPr>
          <w:w w:val="120"/>
        </w:rPr>
        <w:t>responses requested</w:t>
      </w:r>
      <w:r>
        <w:rPr>
          <w:spacing w:val="10"/>
          <w:w w:val="120"/>
        </w:rPr>
        <w:t> </w:t>
      </w:r>
      <w:r>
        <w:rPr>
          <w:w w:val="120"/>
        </w:rPr>
        <w:t>by</w:t>
      </w:r>
      <w:r>
        <w:rPr>
          <w:spacing w:val="11"/>
          <w:w w:val="120"/>
        </w:rPr>
        <w:t> </w:t>
      </w:r>
      <w:r>
        <w:rPr>
          <w:w w:val="120"/>
        </w:rPr>
        <w:t>summer</w:t>
      </w:r>
      <w:r>
        <w:rPr>
          <w:spacing w:val="11"/>
          <w:w w:val="120"/>
        </w:rPr>
        <w:t> </w:t>
      </w:r>
      <w:r>
        <w:rPr>
          <w:spacing w:val="-7"/>
          <w:w w:val="120"/>
        </w:rPr>
        <w:t>2015.</w:t>
      </w:r>
      <w:r>
        <w:rPr>
          <w:spacing w:val="11"/>
          <w:w w:val="120"/>
        </w:rPr>
        <w:t> </w:t>
      </w:r>
      <w:r>
        <w:rPr>
          <w:w w:val="120"/>
        </w:rPr>
        <w:t>Only</w:t>
      </w:r>
      <w:r>
        <w:rPr>
          <w:spacing w:val="10"/>
          <w:w w:val="120"/>
        </w:rPr>
        <w:t> </w:t>
      </w:r>
      <w:r>
        <w:rPr>
          <w:spacing w:val="-3"/>
          <w:w w:val="120"/>
        </w:rPr>
        <w:t>10%</w:t>
      </w:r>
      <w:r>
        <w:rPr>
          <w:spacing w:val="11"/>
          <w:w w:val="120"/>
        </w:rPr>
        <w:t> </w:t>
      </w:r>
      <w:r>
        <w:rPr>
          <w:w w:val="120"/>
        </w:rPr>
        <w:t>of</w:t>
      </w:r>
      <w:r>
        <w:rPr>
          <w:spacing w:val="11"/>
          <w:w w:val="120"/>
        </w:rPr>
        <w:t> </w:t>
      </w:r>
      <w:r>
        <w:rPr>
          <w:w w:val="120"/>
        </w:rPr>
        <w:t>the</w:t>
      </w:r>
      <w:r>
        <w:rPr>
          <w:spacing w:val="11"/>
          <w:w w:val="120"/>
        </w:rPr>
        <w:t> </w:t>
      </w:r>
      <w:r>
        <w:rPr>
          <w:w w:val="120"/>
        </w:rPr>
        <w:t>churches</w:t>
      </w:r>
      <w:r>
        <w:rPr>
          <w:spacing w:val="11"/>
          <w:w w:val="120"/>
        </w:rPr>
        <w:t> </w:t>
      </w:r>
      <w:r>
        <w:rPr>
          <w:w w:val="120"/>
        </w:rPr>
        <w:t>engaged</w:t>
      </w:r>
      <w:r>
        <w:rPr>
          <w:spacing w:val="10"/>
          <w:w w:val="120"/>
        </w:rPr>
        <w:t> </w:t>
      </w:r>
      <w:r>
        <w:rPr>
          <w:w w:val="120"/>
        </w:rPr>
        <w:t>in</w:t>
      </w:r>
      <w:r>
        <w:rPr>
          <w:spacing w:val="11"/>
          <w:w w:val="120"/>
        </w:rPr>
        <w:t> </w:t>
      </w:r>
      <w:r>
        <w:rPr>
          <w:w w:val="120"/>
        </w:rPr>
        <w:t>this</w:t>
      </w:r>
      <w:r>
        <w:rPr>
          <w:spacing w:val="11"/>
          <w:w w:val="120"/>
        </w:rPr>
        <w:t> </w:t>
      </w:r>
      <w:r>
        <w:rPr>
          <w:w w:val="120"/>
        </w:rPr>
        <w:t>discussion,</w:t>
      </w:r>
    </w:p>
    <w:p>
      <w:pPr>
        <w:pStyle w:val="BodyText"/>
        <w:spacing w:line="235" w:lineRule="auto" w:before="2"/>
        <w:ind w:left="1344" w:right="1478"/>
      </w:pPr>
      <w:r>
        <w:rPr>
          <w:w w:val="120"/>
        </w:rPr>
        <w:t>perhaps because they had only just gone through a process of discussion on same sex marriage. The report of this process is the subject of a separate paper.</w:t>
      </w:r>
    </w:p>
    <w:p>
      <w:pPr>
        <w:pStyle w:val="BodyText"/>
        <w:spacing w:before="9"/>
        <w:rPr>
          <w:sz w:val="19"/>
        </w:rPr>
      </w:pPr>
    </w:p>
    <w:p>
      <w:pPr>
        <w:pStyle w:val="ListParagraph"/>
        <w:numPr>
          <w:ilvl w:val="1"/>
          <w:numId w:val="120"/>
        </w:numPr>
        <w:tabs>
          <w:tab w:pos="2024" w:val="left" w:leader="none"/>
          <w:tab w:pos="2025" w:val="left" w:leader="none"/>
        </w:tabs>
        <w:spacing w:line="235" w:lineRule="auto" w:before="1" w:after="0"/>
        <w:ind w:left="1344" w:right="1276" w:firstLine="0"/>
        <w:jc w:val="left"/>
        <w:rPr>
          <w:sz w:val="20"/>
        </w:rPr>
      </w:pPr>
      <w:r>
        <w:rPr>
          <w:spacing w:val="-6"/>
          <w:w w:val="120"/>
          <w:sz w:val="20"/>
        </w:rPr>
        <w:t>Two </w:t>
      </w:r>
      <w:r>
        <w:rPr>
          <w:w w:val="120"/>
          <w:sz w:val="20"/>
        </w:rPr>
        <w:t>other significant pieces of work have been in connection with church membership and what was originally brought to the </w:t>
      </w:r>
      <w:r>
        <w:rPr>
          <w:spacing w:val="-7"/>
          <w:w w:val="120"/>
          <w:sz w:val="20"/>
        </w:rPr>
        <w:t>2014 </w:t>
      </w:r>
      <w:r>
        <w:rPr>
          <w:w w:val="120"/>
          <w:sz w:val="20"/>
        </w:rPr>
        <w:t>assembly under the heading  of ‘Ordained Local Ministry’ now re-titled ‘Authorised </w:t>
      </w:r>
      <w:r>
        <w:rPr>
          <w:spacing w:val="-3"/>
          <w:w w:val="120"/>
          <w:sz w:val="20"/>
        </w:rPr>
        <w:t>Elders’. </w:t>
      </w:r>
      <w:r>
        <w:rPr>
          <w:w w:val="120"/>
          <w:sz w:val="20"/>
        </w:rPr>
        <w:t>We have been grateful to Stephen Orchard and David Thompson respectively for heading up the two task groups that have worked on the papers which have been produced and discussed both at the faith and order committee and Mission Council and which are also both the subject of separate</w:t>
      </w:r>
      <w:r>
        <w:rPr>
          <w:spacing w:val="1"/>
          <w:w w:val="120"/>
          <w:sz w:val="20"/>
        </w:rPr>
        <w:t> </w:t>
      </w:r>
      <w:r>
        <w:rPr>
          <w:spacing w:val="2"/>
          <w:w w:val="120"/>
          <w:sz w:val="20"/>
        </w:rPr>
        <w:t>reports.</w:t>
      </w:r>
    </w:p>
    <w:p>
      <w:pPr>
        <w:pStyle w:val="BodyText"/>
      </w:pPr>
    </w:p>
    <w:p>
      <w:pPr>
        <w:pStyle w:val="ListParagraph"/>
        <w:numPr>
          <w:ilvl w:val="1"/>
          <w:numId w:val="120"/>
        </w:numPr>
        <w:tabs>
          <w:tab w:pos="2024" w:val="left" w:leader="none"/>
          <w:tab w:pos="2025" w:val="left" w:leader="none"/>
        </w:tabs>
        <w:spacing w:line="235" w:lineRule="auto" w:before="1" w:after="0"/>
        <w:ind w:left="1344" w:right="1246" w:firstLine="0"/>
        <w:jc w:val="left"/>
        <w:rPr>
          <w:sz w:val="20"/>
        </w:rPr>
      </w:pPr>
      <w:r>
        <w:rPr>
          <w:w w:val="120"/>
          <w:sz w:val="20"/>
        </w:rPr>
        <w:t>Another significant but less high profile piece of work has been the production    of the </w:t>
      </w:r>
      <w:r>
        <w:rPr>
          <w:spacing w:val="-3"/>
          <w:w w:val="120"/>
          <w:sz w:val="20"/>
        </w:rPr>
        <w:t>church’s </w:t>
      </w:r>
      <w:r>
        <w:rPr>
          <w:w w:val="120"/>
          <w:sz w:val="20"/>
        </w:rPr>
        <w:t>response to the World Council of Churches’ document ‘The Church: </w:t>
      </w:r>
      <w:r>
        <w:rPr>
          <w:spacing w:val="-3"/>
          <w:w w:val="120"/>
          <w:sz w:val="20"/>
        </w:rPr>
        <w:t>Towards </w:t>
      </w:r>
      <w:r>
        <w:rPr>
          <w:w w:val="120"/>
          <w:sz w:val="20"/>
        </w:rPr>
        <w:t>a Common </w:t>
      </w:r>
      <w:r>
        <w:rPr>
          <w:spacing w:val="-3"/>
          <w:w w:val="120"/>
          <w:sz w:val="20"/>
        </w:rPr>
        <w:t>Vision’. </w:t>
      </w:r>
      <w:r>
        <w:rPr>
          <w:w w:val="120"/>
          <w:sz w:val="20"/>
        </w:rPr>
        <w:t>Under other circumstances that  document  might  have been circulated to the churches for discussion, but with the other significant discussions the church was engaged in this was not deemed possible. Instead, following discussions in the committee, we have been grateful to Catherine Ball for drafting a response which has now passed through numerous iterations and which Assembly is asked to receive. The deadline for the submission of responses has been extended to the end of </w:t>
      </w:r>
      <w:r>
        <w:rPr>
          <w:spacing w:val="-6"/>
          <w:w w:val="120"/>
          <w:sz w:val="20"/>
        </w:rPr>
        <w:t>2016, </w:t>
      </w:r>
      <w:r>
        <w:rPr>
          <w:w w:val="120"/>
          <w:sz w:val="20"/>
        </w:rPr>
        <w:t>so members of the church at large are now being asked, if they wish, to comment on the document and our response by the end of October in order that the final submission  can be made in</w:t>
      </w:r>
      <w:r>
        <w:rPr>
          <w:spacing w:val="8"/>
          <w:w w:val="120"/>
          <w:sz w:val="20"/>
        </w:rPr>
        <w:t> </w:t>
      </w:r>
      <w:r>
        <w:rPr>
          <w:w w:val="120"/>
          <w:sz w:val="20"/>
        </w:rPr>
        <w:t>December.</w:t>
      </w:r>
    </w:p>
    <w:p>
      <w:pPr>
        <w:pStyle w:val="BodyText"/>
        <w:spacing w:before="3"/>
      </w:pPr>
    </w:p>
    <w:p>
      <w:pPr>
        <w:pStyle w:val="ListParagraph"/>
        <w:numPr>
          <w:ilvl w:val="1"/>
          <w:numId w:val="120"/>
        </w:numPr>
        <w:tabs>
          <w:tab w:pos="2024" w:val="left" w:leader="none"/>
          <w:tab w:pos="2025" w:val="left" w:leader="none"/>
        </w:tabs>
        <w:spacing w:line="235" w:lineRule="auto" w:before="1" w:after="0"/>
        <w:ind w:left="1344" w:right="1348" w:firstLine="0"/>
        <w:jc w:val="left"/>
        <w:rPr>
          <w:sz w:val="20"/>
        </w:rPr>
      </w:pPr>
      <w:r>
        <w:rPr>
          <w:w w:val="120"/>
          <w:sz w:val="20"/>
        </w:rPr>
        <w:t>Responding to the requests of the World Council of Churches connects with the </w:t>
      </w:r>
      <w:r>
        <w:rPr>
          <w:spacing w:val="2"/>
          <w:w w:val="120"/>
          <w:sz w:val="20"/>
        </w:rPr>
        <w:t>fact </w:t>
      </w:r>
      <w:r>
        <w:rPr>
          <w:w w:val="120"/>
          <w:sz w:val="20"/>
        </w:rPr>
        <w:t>that we have for some while been engaged in two bilateral dialogues; one with   the Church of England and another more longstanding one with the Roman Catholic Bishops’</w:t>
      </w:r>
      <w:r>
        <w:rPr>
          <w:spacing w:val="6"/>
          <w:w w:val="120"/>
          <w:sz w:val="20"/>
        </w:rPr>
        <w:t> </w:t>
      </w:r>
      <w:r>
        <w:rPr>
          <w:w w:val="120"/>
          <w:sz w:val="20"/>
        </w:rPr>
        <w:t>Conference</w:t>
      </w:r>
      <w:r>
        <w:rPr>
          <w:spacing w:val="6"/>
          <w:w w:val="120"/>
          <w:sz w:val="20"/>
        </w:rPr>
        <w:t> </w:t>
      </w:r>
      <w:r>
        <w:rPr>
          <w:w w:val="120"/>
          <w:sz w:val="20"/>
        </w:rPr>
        <w:t>of</w:t>
      </w:r>
      <w:r>
        <w:rPr>
          <w:spacing w:val="6"/>
          <w:w w:val="120"/>
          <w:sz w:val="20"/>
        </w:rPr>
        <w:t> </w:t>
      </w:r>
      <w:r>
        <w:rPr>
          <w:w w:val="120"/>
          <w:sz w:val="20"/>
        </w:rPr>
        <w:t>England</w:t>
      </w:r>
      <w:r>
        <w:rPr>
          <w:spacing w:val="6"/>
          <w:w w:val="120"/>
          <w:sz w:val="20"/>
        </w:rPr>
        <w:t> </w:t>
      </w:r>
      <w:r>
        <w:rPr>
          <w:w w:val="120"/>
          <w:sz w:val="20"/>
        </w:rPr>
        <w:t>and</w:t>
      </w:r>
      <w:r>
        <w:rPr>
          <w:spacing w:val="6"/>
          <w:w w:val="120"/>
          <w:sz w:val="20"/>
        </w:rPr>
        <w:t> </w:t>
      </w:r>
      <w:r>
        <w:rPr>
          <w:w w:val="120"/>
          <w:sz w:val="20"/>
        </w:rPr>
        <w:t>Wales.</w:t>
      </w:r>
      <w:r>
        <w:rPr>
          <w:spacing w:val="6"/>
          <w:w w:val="120"/>
          <w:sz w:val="20"/>
        </w:rPr>
        <w:t> </w:t>
      </w:r>
      <w:r>
        <w:rPr>
          <w:w w:val="120"/>
          <w:sz w:val="20"/>
        </w:rPr>
        <w:t>A</w:t>
      </w:r>
      <w:r>
        <w:rPr>
          <w:spacing w:val="6"/>
          <w:w w:val="120"/>
          <w:sz w:val="20"/>
        </w:rPr>
        <w:t> </w:t>
      </w:r>
      <w:r>
        <w:rPr>
          <w:w w:val="120"/>
          <w:sz w:val="20"/>
        </w:rPr>
        <w:t>third</w:t>
      </w:r>
      <w:r>
        <w:rPr>
          <w:spacing w:val="6"/>
          <w:w w:val="120"/>
          <w:sz w:val="20"/>
        </w:rPr>
        <w:t> </w:t>
      </w:r>
      <w:r>
        <w:rPr>
          <w:w w:val="120"/>
          <w:sz w:val="20"/>
        </w:rPr>
        <w:t>dialogue</w:t>
      </w:r>
      <w:r>
        <w:rPr>
          <w:spacing w:val="6"/>
          <w:w w:val="120"/>
          <w:sz w:val="20"/>
        </w:rPr>
        <w:t> </w:t>
      </w:r>
      <w:r>
        <w:rPr>
          <w:w w:val="120"/>
          <w:sz w:val="20"/>
        </w:rPr>
        <w:t>has</w:t>
      </w:r>
      <w:r>
        <w:rPr>
          <w:spacing w:val="6"/>
          <w:w w:val="120"/>
          <w:sz w:val="20"/>
        </w:rPr>
        <w:t> </w:t>
      </w:r>
      <w:r>
        <w:rPr>
          <w:w w:val="120"/>
          <w:sz w:val="20"/>
        </w:rPr>
        <w:t>just</w:t>
      </w:r>
      <w:r>
        <w:rPr>
          <w:spacing w:val="6"/>
          <w:w w:val="120"/>
          <w:sz w:val="20"/>
        </w:rPr>
        <w:t> </w:t>
      </w:r>
      <w:r>
        <w:rPr>
          <w:w w:val="120"/>
          <w:sz w:val="20"/>
        </w:rPr>
        <w:t>begun</w:t>
      </w:r>
      <w:r>
        <w:rPr>
          <w:spacing w:val="6"/>
          <w:w w:val="120"/>
          <w:sz w:val="20"/>
        </w:rPr>
        <w:t> </w:t>
      </w:r>
      <w:r>
        <w:rPr>
          <w:w w:val="120"/>
          <w:sz w:val="20"/>
        </w:rPr>
        <w:t>in</w:t>
      </w:r>
      <w:r>
        <w:rPr>
          <w:spacing w:val="6"/>
          <w:w w:val="120"/>
          <w:sz w:val="20"/>
        </w:rPr>
        <w:t> </w:t>
      </w:r>
      <w:r>
        <w:rPr>
          <w:w w:val="120"/>
          <w:sz w:val="20"/>
        </w:rPr>
        <w:t>which</w:t>
      </w:r>
    </w:p>
    <w:p>
      <w:pPr>
        <w:spacing w:after="0" w:line="235" w:lineRule="auto"/>
        <w:jc w:val="left"/>
        <w:rPr>
          <w:sz w:val="20"/>
        </w:rPr>
        <w:sectPr>
          <w:headerReference w:type="default" r:id="rId271"/>
          <w:footerReference w:type="default" r:id="rId272"/>
          <w:pgSz w:w="11910" w:h="16840"/>
          <w:pgMar w:header="0" w:footer="647" w:top="0" w:bottom="840" w:left="640" w:right="0"/>
          <w:pgNumType w:start="87"/>
        </w:sectPr>
      </w:pPr>
    </w:p>
    <w:p>
      <w:pPr>
        <w:pStyle w:val="BodyText"/>
      </w:pPr>
      <w:r>
        <w:rPr/>
        <w:drawing>
          <wp:anchor distT="0" distB="0" distL="0" distR="0" allowOverlap="1" layoutInCell="1" locked="0" behindDoc="1" simplePos="0" relativeHeight="235443200">
            <wp:simplePos x="0" y="0"/>
            <wp:positionH relativeFrom="page">
              <wp:posOffset>0</wp:posOffset>
            </wp:positionH>
            <wp:positionV relativeFrom="page">
              <wp:posOffset>0</wp:posOffset>
            </wp:positionV>
            <wp:extent cx="594067" cy="10692003"/>
            <wp:effectExtent l="0" t="0" r="0" b="0"/>
            <wp:wrapNone/>
            <wp:docPr id="159" name="image67.png"/>
            <wp:cNvGraphicFramePr>
              <a:graphicFrameLocks noChangeAspect="1"/>
            </wp:cNvGraphicFramePr>
            <a:graphic>
              <a:graphicData uri="http://schemas.openxmlformats.org/drawingml/2006/picture">
                <pic:pic>
                  <pic:nvPicPr>
                    <pic:cNvPr id="160" name="image67.png"/>
                    <pic:cNvPicPr/>
                  </pic:nvPicPr>
                  <pic:blipFill>
                    <a:blip r:embed="rId184" cstate="print"/>
                    <a:stretch>
                      <a:fillRect/>
                    </a:stretch>
                  </pic:blipFill>
                  <pic:spPr>
                    <a:xfrm>
                      <a:off x="0" y="0"/>
                      <a:ext cx="594067" cy="10692003"/>
                    </a:xfrm>
                    <a:prstGeom prst="rect">
                      <a:avLst/>
                    </a:prstGeom>
                  </pic:spPr>
                </pic:pic>
              </a:graphicData>
            </a:graphic>
          </wp:anchor>
        </w:drawing>
      </w:r>
      <w:r>
        <w:rPr/>
        <w:pict>
          <v:shape style="position:absolute;margin-left:20.519100pt;margin-top:48.890015pt;width:25.9pt;height:156.35pt;mso-position-horizontal-relative:page;mso-position-vertical-relative:page;z-index:-267872256" type="#_x0000_t202" filled="false" stroked="false">
            <v:textbox inset="0,0,0,0" style="layout-flow:vertical">
              <w:txbxContent>
                <w:p>
                  <w:pPr>
                    <w:spacing w:before="27"/>
                    <w:ind w:left="20" w:right="0" w:firstLine="0"/>
                    <w:jc w:val="left"/>
                    <w:rPr>
                      <w:sz w:val="39"/>
                    </w:rPr>
                  </w:pPr>
                  <w:r>
                    <w:rPr>
                      <w:color w:val="FFFFFF"/>
                      <w:w w:val="120"/>
                      <w:sz w:val="39"/>
                    </w:rPr>
                    <w:t>Faith and order</w:t>
                  </w:r>
                </w:p>
              </w:txbxContent>
            </v:textbox>
            <w10:wrap type="none"/>
          </v:shape>
        </w:pict>
      </w:r>
    </w:p>
    <w:p>
      <w:pPr>
        <w:pStyle w:val="BodyText"/>
        <w:spacing w:before="7"/>
        <w:rPr>
          <w:sz w:val="21"/>
        </w:rPr>
      </w:pPr>
    </w:p>
    <w:p>
      <w:pPr>
        <w:pStyle w:val="Heading1"/>
      </w:pPr>
      <w:bookmarkStart w:name="_TOC_250007" w:id="11"/>
      <w:bookmarkEnd w:id="11"/>
      <w:r>
        <w:rPr>
          <w:color w:val="7EAABF"/>
          <w:w w:val="115"/>
        </w:rPr>
        <w:t>Faith and order</w:t>
      </w:r>
    </w:p>
    <w:p>
      <w:pPr>
        <w:pStyle w:val="BodyText"/>
        <w:spacing w:line="235" w:lineRule="auto" w:before="222"/>
        <w:ind w:left="607" w:right="2045"/>
      </w:pPr>
      <w:r>
        <w:rPr>
          <w:w w:val="120"/>
        </w:rPr>
        <w:t>we have a significant stake. This is between the Anglican Communion and the World Communion of Reformed Churches. This dialogue met for the first time in September under the co-convenorship of Elizabeth Welch.</w:t>
      </w:r>
    </w:p>
    <w:p>
      <w:pPr>
        <w:pStyle w:val="BodyText"/>
        <w:spacing w:before="10"/>
        <w:rPr>
          <w:sz w:val="19"/>
        </w:rPr>
      </w:pPr>
    </w:p>
    <w:p>
      <w:pPr>
        <w:pStyle w:val="ListParagraph"/>
        <w:numPr>
          <w:ilvl w:val="1"/>
          <w:numId w:val="120"/>
        </w:numPr>
        <w:tabs>
          <w:tab w:pos="1287" w:val="left" w:leader="none"/>
          <w:tab w:pos="1288" w:val="left" w:leader="none"/>
        </w:tabs>
        <w:spacing w:line="235" w:lineRule="auto" w:before="0" w:after="0"/>
        <w:ind w:left="607" w:right="2186" w:firstLine="0"/>
        <w:jc w:val="left"/>
        <w:rPr>
          <w:sz w:val="20"/>
        </w:rPr>
      </w:pPr>
      <w:r>
        <w:rPr>
          <w:w w:val="120"/>
          <w:sz w:val="20"/>
        </w:rPr>
        <w:t>The </w:t>
      </w:r>
      <w:r>
        <w:rPr>
          <w:spacing w:val="2"/>
          <w:w w:val="120"/>
          <w:sz w:val="20"/>
        </w:rPr>
        <w:t>report </w:t>
      </w:r>
      <w:r>
        <w:rPr>
          <w:w w:val="120"/>
          <w:sz w:val="20"/>
        </w:rPr>
        <w:t>of the discussions with the Church of England is brought separately to General Assembly. The discussions with the Roman Catholic Church will come to  the end of their second five-year period in November, and a </w:t>
      </w:r>
      <w:r>
        <w:rPr>
          <w:spacing w:val="2"/>
          <w:w w:val="120"/>
          <w:sz w:val="20"/>
        </w:rPr>
        <w:t>report </w:t>
      </w:r>
      <w:r>
        <w:rPr>
          <w:w w:val="120"/>
          <w:sz w:val="20"/>
        </w:rPr>
        <w:t>is in the process of being produced which will be presented to Mission Council along with proposals for continued</w:t>
      </w:r>
      <w:r>
        <w:rPr>
          <w:spacing w:val="2"/>
          <w:w w:val="120"/>
          <w:sz w:val="20"/>
        </w:rPr>
        <w:t> </w:t>
      </w:r>
      <w:r>
        <w:rPr>
          <w:w w:val="120"/>
          <w:sz w:val="20"/>
        </w:rPr>
        <w:t>discussions.</w:t>
      </w:r>
    </w:p>
    <w:p>
      <w:pPr>
        <w:pStyle w:val="BodyText"/>
        <w:spacing w:before="11"/>
        <w:rPr>
          <w:sz w:val="19"/>
        </w:rPr>
      </w:pPr>
    </w:p>
    <w:p>
      <w:pPr>
        <w:pStyle w:val="ListParagraph"/>
        <w:numPr>
          <w:ilvl w:val="1"/>
          <w:numId w:val="120"/>
        </w:numPr>
        <w:tabs>
          <w:tab w:pos="1287" w:val="left" w:leader="none"/>
          <w:tab w:pos="1288" w:val="left" w:leader="none"/>
        </w:tabs>
        <w:spacing w:line="235" w:lineRule="auto" w:before="1" w:after="0"/>
        <w:ind w:left="607" w:right="2303" w:firstLine="0"/>
        <w:jc w:val="left"/>
        <w:rPr>
          <w:sz w:val="20"/>
        </w:rPr>
      </w:pPr>
      <w:r>
        <w:rPr>
          <w:w w:val="120"/>
          <w:sz w:val="20"/>
        </w:rPr>
        <w:t>The committee has also had the opportunity to comment on the </w:t>
      </w:r>
      <w:r>
        <w:rPr>
          <w:spacing w:val="2"/>
          <w:w w:val="120"/>
          <w:sz w:val="20"/>
        </w:rPr>
        <w:t>report </w:t>
      </w:r>
      <w:r>
        <w:rPr>
          <w:w w:val="120"/>
          <w:sz w:val="20"/>
        </w:rPr>
        <w:t>of the discussions between the Church of England and the Church of Scotland that have resulted in a </w:t>
      </w:r>
      <w:r>
        <w:rPr>
          <w:spacing w:val="2"/>
          <w:w w:val="120"/>
          <w:sz w:val="20"/>
        </w:rPr>
        <w:t>report </w:t>
      </w:r>
      <w:r>
        <w:rPr>
          <w:w w:val="120"/>
          <w:sz w:val="20"/>
        </w:rPr>
        <w:t>containing the Columba</w:t>
      </w:r>
      <w:r>
        <w:rPr>
          <w:spacing w:val="17"/>
          <w:w w:val="120"/>
          <w:sz w:val="20"/>
        </w:rPr>
        <w:t> </w:t>
      </w:r>
      <w:r>
        <w:rPr>
          <w:w w:val="120"/>
          <w:sz w:val="20"/>
        </w:rPr>
        <w:t>Declaration.</w:t>
      </w:r>
    </w:p>
    <w:p>
      <w:pPr>
        <w:pStyle w:val="BodyText"/>
        <w:spacing w:before="10"/>
        <w:rPr>
          <w:sz w:val="19"/>
        </w:rPr>
      </w:pPr>
    </w:p>
    <w:p>
      <w:pPr>
        <w:pStyle w:val="ListParagraph"/>
        <w:numPr>
          <w:ilvl w:val="1"/>
          <w:numId w:val="120"/>
        </w:numPr>
        <w:tabs>
          <w:tab w:pos="1287" w:val="left" w:leader="none"/>
          <w:tab w:pos="1288" w:val="left" w:leader="none"/>
        </w:tabs>
        <w:spacing w:line="235" w:lineRule="auto" w:before="0" w:after="0"/>
        <w:ind w:left="607" w:right="2136" w:firstLine="0"/>
        <w:jc w:val="left"/>
        <w:rPr>
          <w:sz w:val="20"/>
        </w:rPr>
      </w:pPr>
      <w:r>
        <w:rPr>
          <w:w w:val="120"/>
          <w:sz w:val="20"/>
        </w:rPr>
        <w:t>On the </w:t>
      </w:r>
      <w:r>
        <w:rPr>
          <w:spacing w:val="-3"/>
          <w:w w:val="120"/>
          <w:sz w:val="20"/>
        </w:rPr>
        <w:t>international scene, </w:t>
      </w:r>
      <w:r>
        <w:rPr>
          <w:w w:val="120"/>
          <w:sz w:val="20"/>
        </w:rPr>
        <w:t>the </w:t>
      </w:r>
      <w:r>
        <w:rPr>
          <w:spacing w:val="-3"/>
          <w:w w:val="120"/>
          <w:sz w:val="20"/>
        </w:rPr>
        <w:t>committee </w:t>
      </w:r>
      <w:r>
        <w:rPr>
          <w:w w:val="120"/>
          <w:sz w:val="20"/>
        </w:rPr>
        <w:t>has also </w:t>
      </w:r>
      <w:r>
        <w:rPr>
          <w:spacing w:val="-3"/>
          <w:w w:val="120"/>
          <w:sz w:val="20"/>
        </w:rPr>
        <w:t>continued to </w:t>
      </w:r>
      <w:r>
        <w:rPr>
          <w:w w:val="120"/>
          <w:sz w:val="20"/>
        </w:rPr>
        <w:t>be the main </w:t>
      </w:r>
      <w:r>
        <w:rPr>
          <w:spacing w:val="-3"/>
          <w:w w:val="120"/>
          <w:sz w:val="20"/>
        </w:rPr>
        <w:t>conduit </w:t>
      </w:r>
      <w:r>
        <w:rPr>
          <w:w w:val="120"/>
          <w:sz w:val="20"/>
        </w:rPr>
        <w:t>through which requests </w:t>
      </w:r>
      <w:r>
        <w:rPr>
          <w:spacing w:val="-3"/>
          <w:w w:val="120"/>
          <w:sz w:val="20"/>
        </w:rPr>
        <w:t>come </w:t>
      </w:r>
      <w:r>
        <w:rPr>
          <w:w w:val="120"/>
          <w:sz w:val="20"/>
        </w:rPr>
        <w:t>from the </w:t>
      </w:r>
      <w:r>
        <w:rPr>
          <w:spacing w:val="-3"/>
          <w:w w:val="120"/>
          <w:sz w:val="20"/>
        </w:rPr>
        <w:t>Community </w:t>
      </w:r>
      <w:r>
        <w:rPr>
          <w:w w:val="120"/>
          <w:sz w:val="20"/>
        </w:rPr>
        <w:t>of </w:t>
      </w:r>
      <w:r>
        <w:rPr>
          <w:spacing w:val="-3"/>
          <w:w w:val="120"/>
          <w:sz w:val="20"/>
        </w:rPr>
        <w:t>Protestant Churches </w:t>
      </w:r>
      <w:r>
        <w:rPr>
          <w:w w:val="120"/>
          <w:sz w:val="20"/>
        </w:rPr>
        <w:t>in Europe</w:t>
      </w:r>
      <w:r>
        <w:rPr>
          <w:spacing w:val="-6"/>
          <w:w w:val="120"/>
          <w:sz w:val="20"/>
        </w:rPr>
        <w:t> </w:t>
      </w:r>
      <w:r>
        <w:rPr>
          <w:w w:val="120"/>
          <w:sz w:val="20"/>
        </w:rPr>
        <w:t>for</w:t>
      </w:r>
      <w:r>
        <w:rPr>
          <w:spacing w:val="-6"/>
          <w:w w:val="120"/>
          <w:sz w:val="20"/>
        </w:rPr>
        <w:t> </w:t>
      </w:r>
      <w:r>
        <w:rPr>
          <w:spacing w:val="-3"/>
          <w:w w:val="120"/>
          <w:sz w:val="20"/>
        </w:rPr>
        <w:t>involvement</w:t>
      </w:r>
      <w:r>
        <w:rPr>
          <w:spacing w:val="-6"/>
          <w:w w:val="120"/>
          <w:sz w:val="20"/>
        </w:rPr>
        <w:t> </w:t>
      </w:r>
      <w:r>
        <w:rPr>
          <w:w w:val="120"/>
          <w:sz w:val="20"/>
        </w:rPr>
        <w:t>in</w:t>
      </w:r>
      <w:r>
        <w:rPr>
          <w:spacing w:val="-6"/>
          <w:w w:val="120"/>
          <w:sz w:val="20"/>
        </w:rPr>
        <w:t> </w:t>
      </w:r>
      <w:r>
        <w:rPr>
          <w:w w:val="120"/>
          <w:sz w:val="20"/>
        </w:rPr>
        <w:t>the</w:t>
      </w:r>
      <w:r>
        <w:rPr>
          <w:spacing w:val="-5"/>
          <w:w w:val="120"/>
          <w:sz w:val="20"/>
        </w:rPr>
        <w:t> </w:t>
      </w:r>
      <w:r>
        <w:rPr>
          <w:w w:val="120"/>
          <w:sz w:val="20"/>
        </w:rPr>
        <w:t>work</w:t>
      </w:r>
      <w:r>
        <w:rPr>
          <w:spacing w:val="-6"/>
          <w:w w:val="120"/>
          <w:sz w:val="20"/>
        </w:rPr>
        <w:t> </w:t>
      </w:r>
      <w:r>
        <w:rPr>
          <w:w w:val="120"/>
          <w:sz w:val="20"/>
        </w:rPr>
        <w:t>in</w:t>
      </w:r>
      <w:r>
        <w:rPr>
          <w:spacing w:val="-6"/>
          <w:w w:val="120"/>
          <w:sz w:val="20"/>
        </w:rPr>
        <w:t> </w:t>
      </w:r>
      <w:r>
        <w:rPr>
          <w:w w:val="120"/>
          <w:sz w:val="20"/>
        </w:rPr>
        <w:t>which</w:t>
      </w:r>
      <w:r>
        <w:rPr>
          <w:spacing w:val="-6"/>
          <w:w w:val="120"/>
          <w:sz w:val="20"/>
        </w:rPr>
        <w:t> </w:t>
      </w:r>
      <w:r>
        <w:rPr>
          <w:w w:val="120"/>
          <w:sz w:val="20"/>
        </w:rPr>
        <w:t>they</w:t>
      </w:r>
      <w:r>
        <w:rPr>
          <w:spacing w:val="-6"/>
          <w:w w:val="120"/>
          <w:sz w:val="20"/>
        </w:rPr>
        <w:t> </w:t>
      </w:r>
      <w:r>
        <w:rPr>
          <w:w w:val="120"/>
          <w:sz w:val="20"/>
        </w:rPr>
        <w:t>are</w:t>
      </w:r>
      <w:r>
        <w:rPr>
          <w:spacing w:val="-5"/>
          <w:w w:val="120"/>
          <w:sz w:val="20"/>
        </w:rPr>
        <w:t> </w:t>
      </w:r>
      <w:r>
        <w:rPr>
          <w:w w:val="120"/>
          <w:sz w:val="20"/>
        </w:rPr>
        <w:t>engaged.</w:t>
      </w:r>
      <w:r>
        <w:rPr>
          <w:spacing w:val="-6"/>
          <w:w w:val="120"/>
          <w:sz w:val="20"/>
        </w:rPr>
        <w:t> </w:t>
      </w:r>
      <w:r>
        <w:rPr>
          <w:w w:val="120"/>
          <w:sz w:val="20"/>
        </w:rPr>
        <w:t>Neil</w:t>
      </w:r>
      <w:r>
        <w:rPr>
          <w:spacing w:val="-6"/>
          <w:w w:val="120"/>
          <w:sz w:val="20"/>
        </w:rPr>
        <w:t> </w:t>
      </w:r>
      <w:r>
        <w:rPr>
          <w:w w:val="120"/>
          <w:sz w:val="20"/>
        </w:rPr>
        <w:t>Messer</w:t>
      </w:r>
      <w:r>
        <w:rPr>
          <w:spacing w:val="-6"/>
          <w:w w:val="120"/>
          <w:sz w:val="20"/>
        </w:rPr>
        <w:t> </w:t>
      </w:r>
      <w:r>
        <w:rPr>
          <w:w w:val="120"/>
          <w:sz w:val="20"/>
        </w:rPr>
        <w:t>is</w:t>
      </w:r>
      <w:r>
        <w:rPr>
          <w:spacing w:val="-6"/>
          <w:w w:val="120"/>
          <w:sz w:val="20"/>
        </w:rPr>
        <w:t> </w:t>
      </w:r>
      <w:r>
        <w:rPr>
          <w:w w:val="120"/>
          <w:sz w:val="20"/>
        </w:rPr>
        <w:t>a</w:t>
      </w:r>
      <w:r>
        <w:rPr>
          <w:spacing w:val="-5"/>
          <w:w w:val="120"/>
          <w:sz w:val="20"/>
        </w:rPr>
        <w:t> </w:t>
      </w:r>
      <w:r>
        <w:rPr>
          <w:w w:val="120"/>
          <w:sz w:val="20"/>
        </w:rPr>
        <w:t>member of their expert group on ethics and is editing a guide </w:t>
      </w:r>
      <w:r>
        <w:rPr>
          <w:spacing w:val="-3"/>
          <w:w w:val="120"/>
          <w:sz w:val="20"/>
        </w:rPr>
        <w:t>to </w:t>
      </w:r>
      <w:r>
        <w:rPr>
          <w:w w:val="120"/>
          <w:sz w:val="20"/>
        </w:rPr>
        <w:t>the ethical challenges</w:t>
      </w:r>
      <w:r>
        <w:rPr>
          <w:spacing w:val="-29"/>
          <w:w w:val="120"/>
          <w:sz w:val="20"/>
        </w:rPr>
        <w:t> </w:t>
      </w:r>
      <w:r>
        <w:rPr>
          <w:w w:val="120"/>
          <w:sz w:val="20"/>
        </w:rPr>
        <w:t>posed</w:t>
      </w:r>
    </w:p>
    <w:p>
      <w:pPr>
        <w:pStyle w:val="BodyText"/>
        <w:spacing w:line="235" w:lineRule="auto" w:before="3"/>
        <w:ind w:left="607" w:right="2231"/>
      </w:pPr>
      <w:r>
        <w:rPr>
          <w:w w:val="120"/>
        </w:rPr>
        <w:t>by reproductive medicine. There have also been requests for participation in meetings focusing on education, which have been responded to by education and learning.</w:t>
      </w:r>
    </w:p>
    <w:p>
      <w:pPr>
        <w:pStyle w:val="BodyText"/>
        <w:spacing w:before="9"/>
        <w:rPr>
          <w:sz w:val="19"/>
        </w:rPr>
      </w:pPr>
    </w:p>
    <w:p>
      <w:pPr>
        <w:pStyle w:val="ListParagraph"/>
        <w:numPr>
          <w:ilvl w:val="1"/>
          <w:numId w:val="120"/>
        </w:numPr>
        <w:tabs>
          <w:tab w:pos="1287" w:val="left" w:leader="none"/>
          <w:tab w:pos="1288" w:val="left" w:leader="none"/>
        </w:tabs>
        <w:spacing w:line="235" w:lineRule="auto" w:before="0" w:after="0"/>
        <w:ind w:left="607" w:right="2243" w:firstLine="0"/>
        <w:jc w:val="left"/>
        <w:rPr>
          <w:sz w:val="20"/>
        </w:rPr>
      </w:pPr>
      <w:r>
        <w:rPr>
          <w:w w:val="120"/>
          <w:sz w:val="20"/>
        </w:rPr>
        <w:t>Other varied items that have been on the agenda of the committee have included considering the question of the nature and even the possibility of an agreed statement of faith of the Free Churches Group. In a similar vein we were also asked to contribute to the drafting of a new statement of faith for the Eglise protestante unie de</w:t>
      </w:r>
      <w:r>
        <w:rPr>
          <w:spacing w:val="1"/>
          <w:w w:val="120"/>
          <w:sz w:val="20"/>
        </w:rPr>
        <w:t> </w:t>
      </w:r>
      <w:r>
        <w:rPr>
          <w:w w:val="120"/>
          <w:sz w:val="20"/>
        </w:rPr>
        <w:t>France.</w:t>
      </w:r>
    </w:p>
    <w:p>
      <w:pPr>
        <w:pStyle w:val="BodyText"/>
      </w:pPr>
    </w:p>
    <w:p>
      <w:pPr>
        <w:pStyle w:val="ListParagraph"/>
        <w:numPr>
          <w:ilvl w:val="1"/>
          <w:numId w:val="120"/>
        </w:numPr>
        <w:tabs>
          <w:tab w:pos="1287" w:val="left" w:leader="none"/>
          <w:tab w:pos="1288" w:val="left" w:leader="none"/>
        </w:tabs>
        <w:spacing w:line="235" w:lineRule="auto" w:before="0" w:after="0"/>
        <w:ind w:left="607" w:right="2077" w:firstLine="0"/>
        <w:jc w:val="left"/>
        <w:rPr>
          <w:sz w:val="20"/>
        </w:rPr>
      </w:pPr>
      <w:r>
        <w:rPr>
          <w:w w:val="120"/>
          <w:sz w:val="20"/>
        </w:rPr>
        <w:t>The committee works closely with other committees and departments of the church and was asked to make some comments relevant to the discussions on same sex marriage and offered advice to the law and polity advisory group; it was represented   at the ‘Big Picture’ meeting organised by education and learning and has held a discussion with the communications department including, in part, questions around how discussion and feedback on the various faith and order issues can best be enabled throughout the denomination. This is an important area of concern when it is all too easy for issues to be handled in the hot-house environment of a small</w:t>
      </w:r>
      <w:r>
        <w:rPr>
          <w:spacing w:val="2"/>
          <w:w w:val="120"/>
          <w:sz w:val="20"/>
        </w:rPr>
        <w:t> </w:t>
      </w:r>
      <w:r>
        <w:rPr>
          <w:w w:val="120"/>
          <w:sz w:val="20"/>
        </w:rPr>
        <w:t>committee.</w:t>
      </w:r>
    </w:p>
    <w:p>
      <w:pPr>
        <w:pStyle w:val="BodyText"/>
        <w:spacing w:before="2"/>
      </w:pPr>
    </w:p>
    <w:p>
      <w:pPr>
        <w:pStyle w:val="ListParagraph"/>
        <w:numPr>
          <w:ilvl w:val="1"/>
          <w:numId w:val="120"/>
        </w:numPr>
        <w:tabs>
          <w:tab w:pos="1287" w:val="left" w:leader="none"/>
          <w:tab w:pos="1288" w:val="left" w:leader="none"/>
        </w:tabs>
        <w:spacing w:line="235" w:lineRule="auto" w:before="0" w:after="0"/>
        <w:ind w:left="607" w:right="2078" w:firstLine="0"/>
        <w:jc w:val="left"/>
        <w:rPr>
          <w:sz w:val="20"/>
        </w:rPr>
      </w:pPr>
      <w:r>
        <w:rPr>
          <w:w w:val="120"/>
          <w:sz w:val="20"/>
        </w:rPr>
        <w:t>Issues around local ecumenism can cross the boundaries between several areas, especially that of the mission committee within which ecumenical relations officially sits. The paper on ‘New Frameworks in Local Ecumenism’ from Churches Together in England is more properly dealt with there, but the faith and order committee have also discussed it and contributed to the thinking from their perspective, with comments being fed in through the secretary for ecumenical and interfaith relations who is also the secretary of the faith and order</w:t>
      </w:r>
      <w:r>
        <w:rPr>
          <w:spacing w:val="11"/>
          <w:w w:val="120"/>
          <w:sz w:val="20"/>
        </w:rPr>
        <w:t> </w:t>
      </w:r>
      <w:r>
        <w:rPr>
          <w:w w:val="120"/>
          <w:sz w:val="20"/>
        </w:rPr>
        <w:t>committee.</w:t>
      </w:r>
    </w:p>
    <w:p>
      <w:pPr>
        <w:pStyle w:val="BodyText"/>
        <w:spacing w:before="5"/>
        <w:rPr>
          <w:sz w:val="22"/>
        </w:rPr>
      </w:pPr>
    </w:p>
    <w:p>
      <w:pPr>
        <w:pStyle w:val="ListParagraph"/>
        <w:numPr>
          <w:ilvl w:val="0"/>
          <w:numId w:val="120"/>
        </w:numPr>
        <w:tabs>
          <w:tab w:pos="1287" w:val="left" w:leader="none"/>
          <w:tab w:pos="1288" w:val="left" w:leader="none"/>
        </w:tabs>
        <w:spacing w:line="240" w:lineRule="auto" w:before="0" w:after="0"/>
        <w:ind w:left="1287" w:right="0" w:hanging="681"/>
        <w:jc w:val="left"/>
        <w:rPr>
          <w:rFonts w:ascii="Stone Sans II ITC Std Bk"/>
          <w:b/>
          <w:sz w:val="29"/>
        </w:rPr>
      </w:pPr>
      <w:r>
        <w:rPr>
          <w:rFonts w:ascii="Stone Sans II ITC Std Bk"/>
          <w:b/>
          <w:spacing w:val="2"/>
          <w:w w:val="110"/>
          <w:sz w:val="29"/>
        </w:rPr>
        <w:t>Future</w:t>
      </w:r>
      <w:r>
        <w:rPr>
          <w:rFonts w:ascii="Stone Sans II ITC Std Bk"/>
          <w:b/>
          <w:spacing w:val="24"/>
          <w:w w:val="110"/>
          <w:sz w:val="29"/>
        </w:rPr>
        <w:t> </w:t>
      </w:r>
      <w:r>
        <w:rPr>
          <w:rFonts w:ascii="Stone Sans II ITC Std Bk"/>
          <w:b/>
          <w:spacing w:val="2"/>
          <w:w w:val="110"/>
          <w:sz w:val="29"/>
        </w:rPr>
        <w:t>work</w:t>
      </w:r>
    </w:p>
    <w:p>
      <w:pPr>
        <w:pStyle w:val="ListParagraph"/>
        <w:numPr>
          <w:ilvl w:val="1"/>
          <w:numId w:val="120"/>
        </w:numPr>
        <w:tabs>
          <w:tab w:pos="1287" w:val="left" w:leader="none"/>
          <w:tab w:pos="1288" w:val="left" w:leader="none"/>
        </w:tabs>
        <w:spacing w:line="235" w:lineRule="auto" w:before="69" w:after="0"/>
        <w:ind w:left="607" w:right="2008" w:firstLine="0"/>
        <w:jc w:val="left"/>
        <w:rPr>
          <w:sz w:val="20"/>
        </w:rPr>
      </w:pPr>
      <w:r>
        <w:rPr>
          <w:w w:val="120"/>
          <w:sz w:val="20"/>
        </w:rPr>
        <w:t>Pieces of work that have come or are just coming onto our agenda have included work on ‘Sola Scriptura’. This has arisen from the various discussions, notably around sexuality, that have taken place in recent years. The question of how we understand  and apply our understanding of the authority of scripture has played an important </w:t>
      </w:r>
      <w:r>
        <w:rPr>
          <w:spacing w:val="2"/>
          <w:w w:val="120"/>
          <w:sz w:val="20"/>
        </w:rPr>
        <w:t>part </w:t>
      </w:r>
      <w:r>
        <w:rPr>
          <w:w w:val="120"/>
          <w:sz w:val="20"/>
        </w:rPr>
        <w:t>in those discussions and it is believed that it is time to examine it afresh and in some depth. Another revisiting arises from the three dialogues that we are </w:t>
      </w:r>
      <w:r>
        <w:rPr>
          <w:spacing w:val="2"/>
          <w:w w:val="120"/>
          <w:sz w:val="20"/>
        </w:rPr>
        <w:t>part </w:t>
      </w:r>
      <w:r>
        <w:rPr>
          <w:w w:val="120"/>
          <w:sz w:val="20"/>
        </w:rPr>
        <w:t>of as</w:t>
      </w:r>
      <w:r>
        <w:rPr>
          <w:spacing w:val="8"/>
          <w:w w:val="120"/>
          <w:sz w:val="20"/>
        </w:rPr>
        <w:t> </w:t>
      </w:r>
      <w:r>
        <w:rPr>
          <w:w w:val="120"/>
          <w:sz w:val="20"/>
        </w:rPr>
        <w:t>well</w:t>
      </w:r>
    </w:p>
    <w:p>
      <w:pPr>
        <w:pStyle w:val="BodyText"/>
        <w:spacing w:line="235" w:lineRule="auto" w:before="5"/>
        <w:ind w:left="607" w:right="2174"/>
      </w:pPr>
      <w:r>
        <w:rPr>
          <w:w w:val="120"/>
        </w:rPr>
        <w:t>as the ongoing wider discussions about ecumenical relations. It is clear that progress with the Anglican Communion, the Roman Catholic Church  and  the  Orthodox  can only make progress when Christians in the Reformed tradition are willing to consider the question of personal episcopacy. We have been here before. In </w:t>
      </w:r>
      <w:r>
        <w:rPr>
          <w:spacing w:val="-4"/>
          <w:w w:val="120"/>
        </w:rPr>
        <w:t>1980 </w:t>
      </w:r>
      <w:r>
        <w:rPr>
          <w:w w:val="120"/>
        </w:rPr>
        <w:t>at the time of the English covenant, Assembly voted to accept the creation of URC Bishops, but the covenant failed. The committee intends to explore the thinking of that time along with new</w:t>
      </w:r>
      <w:r>
        <w:rPr>
          <w:spacing w:val="5"/>
          <w:w w:val="120"/>
        </w:rPr>
        <w:t> </w:t>
      </w:r>
      <w:r>
        <w:rPr>
          <w:w w:val="120"/>
        </w:rPr>
        <w:t>thinking.</w:t>
      </w:r>
      <w:r>
        <w:rPr>
          <w:spacing w:val="5"/>
          <w:w w:val="120"/>
        </w:rPr>
        <w:t> </w:t>
      </w:r>
      <w:r>
        <w:rPr>
          <w:w w:val="120"/>
        </w:rPr>
        <w:t>A</w:t>
      </w:r>
      <w:r>
        <w:rPr>
          <w:spacing w:val="5"/>
          <w:w w:val="120"/>
        </w:rPr>
        <w:t> </w:t>
      </w:r>
      <w:r>
        <w:rPr>
          <w:w w:val="120"/>
        </w:rPr>
        <w:t>contribution</w:t>
      </w:r>
      <w:r>
        <w:rPr>
          <w:spacing w:val="6"/>
          <w:w w:val="120"/>
        </w:rPr>
        <w:t> </w:t>
      </w:r>
      <w:r>
        <w:rPr>
          <w:w w:val="120"/>
        </w:rPr>
        <w:t>was</w:t>
      </w:r>
      <w:r>
        <w:rPr>
          <w:spacing w:val="5"/>
          <w:w w:val="120"/>
        </w:rPr>
        <w:t> </w:t>
      </w:r>
      <w:r>
        <w:rPr>
          <w:w w:val="120"/>
        </w:rPr>
        <w:t>made</w:t>
      </w:r>
      <w:r>
        <w:rPr>
          <w:spacing w:val="5"/>
          <w:w w:val="120"/>
        </w:rPr>
        <w:t> </w:t>
      </w:r>
      <w:r>
        <w:rPr>
          <w:w w:val="120"/>
        </w:rPr>
        <w:t>on</w:t>
      </w:r>
      <w:r>
        <w:rPr>
          <w:spacing w:val="6"/>
          <w:w w:val="120"/>
        </w:rPr>
        <w:t> </w:t>
      </w:r>
      <w:r>
        <w:rPr>
          <w:w w:val="120"/>
        </w:rPr>
        <w:t>this</w:t>
      </w:r>
      <w:r>
        <w:rPr>
          <w:spacing w:val="5"/>
          <w:w w:val="120"/>
        </w:rPr>
        <w:t> </w:t>
      </w:r>
      <w:r>
        <w:rPr>
          <w:w w:val="120"/>
        </w:rPr>
        <w:t>to</w:t>
      </w:r>
      <w:r>
        <w:rPr>
          <w:spacing w:val="5"/>
          <w:w w:val="120"/>
        </w:rPr>
        <w:t> </w:t>
      </w:r>
      <w:r>
        <w:rPr>
          <w:w w:val="120"/>
        </w:rPr>
        <w:t>a</w:t>
      </w:r>
      <w:r>
        <w:rPr>
          <w:spacing w:val="6"/>
          <w:w w:val="120"/>
        </w:rPr>
        <w:t> </w:t>
      </w:r>
      <w:r>
        <w:rPr>
          <w:w w:val="120"/>
        </w:rPr>
        <w:t>discussion</w:t>
      </w:r>
      <w:r>
        <w:rPr>
          <w:spacing w:val="5"/>
          <w:w w:val="120"/>
        </w:rPr>
        <w:t> </w:t>
      </w:r>
      <w:r>
        <w:rPr>
          <w:w w:val="120"/>
        </w:rPr>
        <w:t>of</w:t>
      </w:r>
      <w:r>
        <w:rPr>
          <w:spacing w:val="5"/>
          <w:w w:val="120"/>
        </w:rPr>
        <w:t> </w:t>
      </w:r>
      <w:r>
        <w:rPr>
          <w:w w:val="120"/>
        </w:rPr>
        <w:t>the</w:t>
      </w:r>
      <w:r>
        <w:rPr>
          <w:spacing w:val="6"/>
          <w:w w:val="120"/>
        </w:rPr>
        <w:t> </w:t>
      </w:r>
      <w:r>
        <w:rPr>
          <w:w w:val="120"/>
        </w:rPr>
        <w:t>Theology</w:t>
      </w:r>
      <w:r>
        <w:rPr>
          <w:spacing w:val="5"/>
          <w:w w:val="120"/>
        </w:rPr>
        <w:t> </w:t>
      </w:r>
      <w:r>
        <w:rPr>
          <w:w w:val="120"/>
        </w:rPr>
        <w:t>and</w:t>
      </w:r>
    </w:p>
    <w:p>
      <w:pPr>
        <w:pStyle w:val="BodyText"/>
      </w:pPr>
    </w:p>
    <w:p>
      <w:pPr>
        <w:pStyle w:val="BodyText"/>
        <w:spacing w:before="6"/>
        <w:rPr>
          <w:sz w:val="25"/>
        </w:rPr>
      </w:pPr>
    </w:p>
    <w:p>
      <w:pPr>
        <w:pStyle w:val="Heading6"/>
        <w:spacing w:before="97"/>
        <w:ind w:left="607"/>
      </w:pPr>
      <w:r>
        <w:rPr>
          <w:rFonts w:ascii="Stone Sans II ITC Std X Bd" w:hAnsi="Stone Sans II ITC Std X Bd"/>
          <w:b/>
          <w:w w:val="110"/>
          <w:sz w:val="24"/>
        </w:rPr>
        <w:t>88 </w:t>
      </w:r>
      <w:r>
        <w:rPr>
          <w:rFonts w:ascii="Symbol" w:hAnsi="Symbol"/>
          <w:color w:val="7EAABF"/>
          <w:w w:val="110"/>
        </w:rPr>
        <w:t></w:t>
      </w:r>
      <w:r>
        <w:rPr>
          <w:rFonts w:ascii="Times New Roman" w:hAnsi="Times New Roman"/>
          <w:color w:val="7EAABF"/>
          <w:w w:val="110"/>
        </w:rPr>
        <w:t> </w:t>
      </w:r>
      <w:r>
        <w:rPr>
          <w:color w:val="7EAABF"/>
          <w:w w:val="110"/>
        </w:rPr>
        <w:t>United Reformed Church </w:t>
      </w:r>
      <w:r>
        <w:rPr>
          <w:rFonts w:ascii="Symbol" w:hAnsi="Symbol"/>
          <w:color w:val="7EAABF"/>
          <w:w w:val="110"/>
        </w:rPr>
        <w:t></w:t>
      </w:r>
      <w:r>
        <w:rPr>
          <w:rFonts w:ascii="Times New Roman" w:hAnsi="Times New Roman"/>
          <w:color w:val="7EAABF"/>
          <w:w w:val="110"/>
        </w:rPr>
        <w:t> </w:t>
      </w:r>
      <w:r>
        <w:rPr>
          <w:color w:val="7EAABF"/>
          <w:w w:val="110"/>
        </w:rPr>
        <w:t>General Assembly 2016</w:t>
      </w:r>
    </w:p>
    <w:p>
      <w:pPr>
        <w:spacing w:after="0"/>
        <w:sectPr>
          <w:headerReference w:type="even" r:id="rId273"/>
          <w:footerReference w:type="even" r:id="rId274"/>
          <w:pgSz w:w="11910" w:h="16840"/>
          <w:pgMar w:header="0" w:footer="0" w:top="0" w:bottom="0" w:left="640" w:right="0"/>
        </w:sectPr>
      </w:pPr>
    </w:p>
    <w:p>
      <w:pPr>
        <w:pStyle w:val="BodyText"/>
      </w:pPr>
      <w:r>
        <w:rPr/>
        <w:drawing>
          <wp:anchor distT="0" distB="0" distL="0" distR="0" allowOverlap="1" layoutInCell="1" locked="0" behindDoc="0" simplePos="0" relativeHeight="251898880">
            <wp:simplePos x="0" y="0"/>
            <wp:positionH relativeFrom="page">
              <wp:posOffset>6974928</wp:posOffset>
            </wp:positionH>
            <wp:positionV relativeFrom="page">
              <wp:posOffset>0</wp:posOffset>
            </wp:positionV>
            <wp:extent cx="585063" cy="10692003"/>
            <wp:effectExtent l="0" t="0" r="0" b="0"/>
            <wp:wrapNone/>
            <wp:docPr id="161" name="image54.png"/>
            <wp:cNvGraphicFramePr>
              <a:graphicFrameLocks noChangeAspect="1"/>
            </wp:cNvGraphicFramePr>
            <a:graphic>
              <a:graphicData uri="http://schemas.openxmlformats.org/drawingml/2006/picture">
                <pic:pic>
                  <pic:nvPicPr>
                    <pic:cNvPr id="162" name="image54.png"/>
                    <pic:cNvPicPr/>
                  </pic:nvPicPr>
                  <pic:blipFill>
                    <a:blip r:embed="rId169" cstate="print"/>
                    <a:stretch>
                      <a:fillRect/>
                    </a:stretch>
                  </pic:blipFill>
                  <pic:spPr>
                    <a:xfrm>
                      <a:off x="0" y="0"/>
                      <a:ext cx="585063" cy="10692003"/>
                    </a:xfrm>
                    <a:prstGeom prst="rect">
                      <a:avLst/>
                    </a:prstGeom>
                  </pic:spPr>
                </pic:pic>
              </a:graphicData>
            </a:graphic>
          </wp:anchor>
        </w:drawing>
      </w:r>
    </w:p>
    <w:p>
      <w:pPr>
        <w:pStyle w:val="BodyText"/>
        <w:spacing w:before="7"/>
        <w:rPr>
          <w:sz w:val="21"/>
        </w:rPr>
      </w:pPr>
    </w:p>
    <w:p>
      <w:pPr>
        <w:spacing w:before="106"/>
        <w:ind w:left="0" w:right="1245" w:firstLine="0"/>
        <w:jc w:val="right"/>
        <w:rPr>
          <w:sz w:val="26"/>
        </w:rPr>
      </w:pPr>
      <w:r>
        <w:rPr/>
        <w:pict>
          <v:shape style="position:absolute;margin-left:554.141174pt;margin-top:22.593945pt;width:25.9pt;height:156.35pt;mso-position-horizontal-relative:page;mso-position-vertical-relative:paragraph;z-index:251899904" type="#_x0000_t202" filled="false" stroked="false">
            <v:textbox inset="0,0,0,0" style="layout-flow:vertical">
              <w:txbxContent>
                <w:p>
                  <w:pPr>
                    <w:spacing w:before="27"/>
                    <w:ind w:left="20" w:right="0" w:firstLine="0"/>
                    <w:jc w:val="left"/>
                    <w:rPr>
                      <w:sz w:val="39"/>
                    </w:rPr>
                  </w:pPr>
                  <w:r>
                    <w:rPr>
                      <w:color w:val="FFFFFF"/>
                      <w:w w:val="120"/>
                      <w:sz w:val="39"/>
                    </w:rPr>
                    <w:t>Faith and order</w:t>
                  </w:r>
                </w:p>
              </w:txbxContent>
            </v:textbox>
            <w10:wrap type="none"/>
          </v:shape>
        </w:pict>
      </w:r>
      <w:r>
        <w:rPr>
          <w:color w:val="7EAABF"/>
          <w:w w:val="115"/>
          <w:sz w:val="26"/>
        </w:rPr>
        <w:t>Faith and order</w:t>
      </w:r>
    </w:p>
    <w:p>
      <w:pPr>
        <w:pStyle w:val="BodyText"/>
        <w:spacing w:line="235" w:lineRule="auto" w:before="222"/>
        <w:ind w:left="1344" w:right="1217"/>
      </w:pPr>
      <w:r>
        <w:rPr>
          <w:w w:val="120"/>
        </w:rPr>
        <w:t>Unity Group of Churches Together in England. Alongside this work will come work to explore dialogue with some of the newer partners. Our traditional ecumenical partners are already engaged in dialogue with Pentecostalists as well as others and it is time that we did the same.</w:t>
      </w:r>
    </w:p>
    <w:p>
      <w:pPr>
        <w:pStyle w:val="BodyText"/>
        <w:spacing w:before="10"/>
        <w:rPr>
          <w:sz w:val="19"/>
        </w:rPr>
      </w:pPr>
    </w:p>
    <w:p>
      <w:pPr>
        <w:pStyle w:val="ListParagraph"/>
        <w:numPr>
          <w:ilvl w:val="1"/>
          <w:numId w:val="120"/>
        </w:numPr>
        <w:tabs>
          <w:tab w:pos="2024" w:val="left" w:leader="none"/>
          <w:tab w:pos="2025" w:val="left" w:leader="none"/>
        </w:tabs>
        <w:spacing w:line="235" w:lineRule="auto" w:before="1" w:after="0"/>
        <w:ind w:left="1344" w:right="1381" w:firstLine="0"/>
        <w:jc w:val="left"/>
        <w:rPr>
          <w:sz w:val="20"/>
        </w:rPr>
      </w:pPr>
      <w:r>
        <w:rPr>
          <w:w w:val="120"/>
          <w:sz w:val="20"/>
        </w:rPr>
        <w:t>Another new development growing out of ecumenical cooperation with the Methodist Church has been the Buildings Forum. Part of its agenda is to explore theological thinking around the use of church buildings including answering such questions as ‘what are the limits on the use of our buildings by members of other faiths?’ This work will develop over the next couple of years and will assist the forum in developing its</w:t>
      </w:r>
      <w:r>
        <w:rPr>
          <w:spacing w:val="4"/>
          <w:w w:val="120"/>
          <w:sz w:val="20"/>
        </w:rPr>
        <w:t> </w:t>
      </w:r>
      <w:r>
        <w:rPr>
          <w:w w:val="120"/>
          <w:sz w:val="20"/>
        </w:rPr>
        <w:t>work.</w:t>
      </w:r>
    </w:p>
    <w:p>
      <w:pPr>
        <w:pStyle w:val="BodyText"/>
      </w:pPr>
    </w:p>
    <w:p>
      <w:pPr>
        <w:pStyle w:val="ListParagraph"/>
        <w:numPr>
          <w:ilvl w:val="1"/>
          <w:numId w:val="120"/>
        </w:numPr>
        <w:tabs>
          <w:tab w:pos="2024" w:val="left" w:leader="none"/>
          <w:tab w:pos="2025" w:val="left" w:leader="none"/>
        </w:tabs>
        <w:spacing w:line="235" w:lineRule="auto" w:before="0" w:after="0"/>
        <w:ind w:left="1344" w:right="1433" w:firstLine="0"/>
        <w:jc w:val="left"/>
        <w:rPr>
          <w:sz w:val="20"/>
        </w:rPr>
      </w:pPr>
      <w:r>
        <w:rPr>
          <w:w w:val="120"/>
          <w:sz w:val="20"/>
        </w:rPr>
        <w:t>A significant event arising in </w:t>
      </w:r>
      <w:r>
        <w:rPr>
          <w:spacing w:val="-9"/>
          <w:w w:val="120"/>
          <w:sz w:val="20"/>
        </w:rPr>
        <w:t>2017 </w:t>
      </w:r>
      <w:r>
        <w:rPr>
          <w:w w:val="120"/>
          <w:sz w:val="20"/>
        </w:rPr>
        <w:t>will be the commemoration of the 500th anniversary of the Lutheran Reformation. The committee has had this on its agenda </w:t>
      </w:r>
      <w:bookmarkStart w:name="_GoBack" w:id="12"/>
      <w:bookmarkEnd w:id="12"/>
      <w:r>
        <w:rPr>
          <w:w w:val="120"/>
          <w:sz w:val="20"/>
        </w:rPr>
      </w:r>
      <w:r>
        <w:rPr>
          <w:w w:val="120"/>
          <w:sz w:val="20"/>
        </w:rPr>
        <w:t> for some while and although most of the focus of the </w:t>
      </w:r>
      <w:r>
        <w:rPr>
          <w:spacing w:val="-3"/>
          <w:w w:val="120"/>
          <w:sz w:val="20"/>
        </w:rPr>
        <w:t>church’s </w:t>
      </w:r>
      <w:r>
        <w:rPr>
          <w:w w:val="120"/>
          <w:sz w:val="20"/>
        </w:rPr>
        <w:t>engagement is through other</w:t>
      </w:r>
      <w:r>
        <w:rPr>
          <w:spacing w:val="6"/>
          <w:w w:val="120"/>
          <w:sz w:val="20"/>
        </w:rPr>
        <w:t> </w:t>
      </w:r>
      <w:r>
        <w:rPr>
          <w:w w:val="120"/>
          <w:sz w:val="20"/>
        </w:rPr>
        <w:t>departments,</w:t>
      </w:r>
      <w:r>
        <w:rPr>
          <w:spacing w:val="6"/>
          <w:w w:val="120"/>
          <w:sz w:val="20"/>
        </w:rPr>
        <w:t> </w:t>
      </w:r>
      <w:r>
        <w:rPr>
          <w:w w:val="120"/>
          <w:sz w:val="20"/>
        </w:rPr>
        <w:t>Alan</w:t>
      </w:r>
      <w:r>
        <w:rPr>
          <w:spacing w:val="6"/>
          <w:w w:val="120"/>
          <w:sz w:val="20"/>
        </w:rPr>
        <w:t> </w:t>
      </w:r>
      <w:r>
        <w:rPr>
          <w:w w:val="120"/>
          <w:sz w:val="20"/>
        </w:rPr>
        <w:t>Spence</w:t>
      </w:r>
      <w:r>
        <w:rPr>
          <w:spacing w:val="6"/>
          <w:w w:val="120"/>
          <w:sz w:val="20"/>
        </w:rPr>
        <w:t> </w:t>
      </w:r>
      <w:r>
        <w:rPr>
          <w:w w:val="120"/>
          <w:sz w:val="20"/>
        </w:rPr>
        <w:t>has</w:t>
      </w:r>
      <w:r>
        <w:rPr>
          <w:spacing w:val="6"/>
          <w:w w:val="120"/>
          <w:sz w:val="20"/>
        </w:rPr>
        <w:t> </w:t>
      </w:r>
      <w:r>
        <w:rPr>
          <w:w w:val="120"/>
          <w:sz w:val="20"/>
        </w:rPr>
        <w:t>drafted</w:t>
      </w:r>
      <w:r>
        <w:rPr>
          <w:spacing w:val="6"/>
          <w:w w:val="120"/>
          <w:sz w:val="20"/>
        </w:rPr>
        <w:t> </w:t>
      </w:r>
      <w:r>
        <w:rPr>
          <w:w w:val="120"/>
          <w:sz w:val="20"/>
        </w:rPr>
        <w:t>a</w:t>
      </w:r>
      <w:r>
        <w:rPr>
          <w:spacing w:val="6"/>
          <w:w w:val="120"/>
          <w:sz w:val="20"/>
        </w:rPr>
        <w:t> </w:t>
      </w:r>
      <w:r>
        <w:rPr>
          <w:w w:val="120"/>
          <w:sz w:val="20"/>
        </w:rPr>
        <w:t>paper</w:t>
      </w:r>
      <w:r>
        <w:rPr>
          <w:spacing w:val="6"/>
          <w:w w:val="120"/>
          <w:sz w:val="20"/>
        </w:rPr>
        <w:t> </w:t>
      </w:r>
      <w:r>
        <w:rPr>
          <w:w w:val="120"/>
          <w:sz w:val="20"/>
        </w:rPr>
        <w:t>explaining</w:t>
      </w:r>
      <w:r>
        <w:rPr>
          <w:spacing w:val="6"/>
          <w:w w:val="120"/>
          <w:sz w:val="20"/>
        </w:rPr>
        <w:t> </w:t>
      </w:r>
      <w:r>
        <w:rPr>
          <w:w w:val="120"/>
          <w:sz w:val="20"/>
        </w:rPr>
        <w:t>the</w:t>
      </w:r>
      <w:r>
        <w:rPr>
          <w:spacing w:val="6"/>
          <w:w w:val="120"/>
          <w:sz w:val="20"/>
        </w:rPr>
        <w:t> </w:t>
      </w:r>
      <w:r>
        <w:rPr>
          <w:w w:val="120"/>
          <w:sz w:val="20"/>
        </w:rPr>
        <w:t>significance</w:t>
      </w:r>
      <w:r>
        <w:rPr>
          <w:spacing w:val="6"/>
          <w:w w:val="120"/>
          <w:sz w:val="20"/>
        </w:rPr>
        <w:t> </w:t>
      </w:r>
      <w:r>
        <w:rPr>
          <w:w w:val="120"/>
          <w:sz w:val="20"/>
        </w:rPr>
        <w:t>of</w:t>
      </w:r>
      <w:r>
        <w:rPr>
          <w:spacing w:val="6"/>
          <w:w w:val="120"/>
          <w:sz w:val="20"/>
        </w:rPr>
        <w:t> </w:t>
      </w:r>
      <w:r>
        <w:rPr>
          <w:w w:val="120"/>
          <w:sz w:val="20"/>
        </w:rPr>
        <w:t>the</w:t>
      </w:r>
    </w:p>
    <w:p>
      <w:pPr>
        <w:pStyle w:val="BodyText"/>
        <w:spacing w:line="235" w:lineRule="auto" w:before="3"/>
        <w:ind w:left="1344" w:right="1331"/>
      </w:pPr>
      <w:r>
        <w:rPr>
          <w:w w:val="120"/>
        </w:rPr>
        <w:t>Lutheran Reformation for other expressions of the Reformation, including our own. This is being presented as a booklet which is being launched at General Assembly and which has been produced in the style of the ‘Worshipping God’ booklet which was launched    at the </w:t>
      </w:r>
      <w:r>
        <w:rPr>
          <w:spacing w:val="-7"/>
          <w:w w:val="120"/>
        </w:rPr>
        <w:t>2014 </w:t>
      </w:r>
      <w:r>
        <w:rPr>
          <w:w w:val="120"/>
        </w:rPr>
        <w:t>assembly containing both worship and discussion resources. That booklet continues to be much appreciated and used not only within the denomination but ecumenically and</w:t>
      </w:r>
      <w:r>
        <w:rPr>
          <w:spacing w:val="3"/>
          <w:w w:val="120"/>
        </w:rPr>
        <w:t> </w:t>
      </w:r>
      <w:r>
        <w:rPr>
          <w:w w:val="120"/>
        </w:rPr>
        <w:t>internationally.</w:t>
      </w:r>
    </w:p>
    <w:p>
      <w:pPr>
        <w:spacing w:after="0" w:line="235" w:lineRule="auto"/>
        <w:sectPr>
          <w:headerReference w:type="default" r:id="rId275"/>
          <w:footerReference w:type="default" r:id="rId276"/>
          <w:pgSz w:w="11910" w:h="16840"/>
          <w:pgMar w:header="0" w:footer="647" w:top="0" w:bottom="840" w:left="640" w:right="0"/>
          <w:pgNumType w:start="89"/>
        </w:sectPr>
      </w:pPr>
    </w:p>
    <w:p>
      <w:pPr>
        <w:pStyle w:val="BodyText"/>
      </w:pPr>
      <w:r>
        <w:rPr/>
        <w:pict>
          <v:rect style="position:absolute;margin-left:46.777pt;margin-top:.000015pt;width:548.498pt;height:841.89pt;mso-position-horizontal-relative:page;mso-position-vertical-relative:page;z-index:-267869184" filled="true" fillcolor="#d4e9f7" stroked="false">
            <v:fill type="solid"/>
            <w10:wrap type="none"/>
          </v:rect>
        </w:pict>
      </w:r>
      <w:r>
        <w:rPr/>
        <w:drawing>
          <wp:anchor distT="0" distB="0" distL="0" distR="0" allowOverlap="1" layoutInCell="1" locked="0" behindDoc="1" simplePos="0" relativeHeight="235448320">
            <wp:simplePos x="0" y="0"/>
            <wp:positionH relativeFrom="page">
              <wp:posOffset>0</wp:posOffset>
            </wp:positionH>
            <wp:positionV relativeFrom="page">
              <wp:posOffset>0</wp:posOffset>
            </wp:positionV>
            <wp:extent cx="594067" cy="10692003"/>
            <wp:effectExtent l="0" t="0" r="0" b="0"/>
            <wp:wrapNone/>
            <wp:docPr id="163" name="image67.png"/>
            <wp:cNvGraphicFramePr>
              <a:graphicFrameLocks noChangeAspect="1"/>
            </wp:cNvGraphicFramePr>
            <a:graphic>
              <a:graphicData uri="http://schemas.openxmlformats.org/drawingml/2006/picture">
                <pic:pic>
                  <pic:nvPicPr>
                    <pic:cNvPr id="164" name="image67.png"/>
                    <pic:cNvPicPr/>
                  </pic:nvPicPr>
                  <pic:blipFill>
                    <a:blip r:embed="rId184" cstate="print"/>
                    <a:stretch>
                      <a:fillRect/>
                    </a:stretch>
                  </pic:blipFill>
                  <pic:spPr>
                    <a:xfrm>
                      <a:off x="0" y="0"/>
                      <a:ext cx="594067" cy="10692003"/>
                    </a:xfrm>
                    <a:prstGeom prst="rect">
                      <a:avLst/>
                    </a:prstGeom>
                  </pic:spPr>
                </pic:pic>
              </a:graphicData>
            </a:graphic>
          </wp:anchor>
        </w:drawing>
      </w:r>
      <w:r>
        <w:rPr/>
        <w:pict>
          <v:shape style="position:absolute;margin-left:20.519100pt;margin-top:48.890015pt;width:25.9pt;height:360.55pt;mso-position-horizontal-relative:page;mso-position-vertical-relative:page;z-index:-267867136" type="#_x0000_t202" filled="false" stroked="false">
            <v:textbox inset="0,0,0,0" style="layout-flow:vertical">
              <w:txbxContent>
                <w:p>
                  <w:pPr>
                    <w:spacing w:before="27"/>
                    <w:ind w:left="20" w:right="0" w:firstLine="0"/>
                    <w:jc w:val="left"/>
                    <w:rPr>
                      <w:sz w:val="39"/>
                    </w:rPr>
                  </w:pPr>
                  <w:r>
                    <w:rPr>
                      <w:color w:val="FFFFFF"/>
                      <w:w w:val="120"/>
                      <w:sz w:val="39"/>
                    </w:rPr>
                    <w:t>Faith and order – </w:t>
                  </w:r>
                  <w:r>
                    <w:rPr>
                      <w:w w:val="120"/>
                      <w:sz w:val="39"/>
                    </w:rPr>
                    <w:t>Authorised elders</w:t>
                  </w:r>
                </w:p>
              </w:txbxContent>
            </v:textbox>
            <w10:wrap type="none"/>
          </v:shape>
        </w:pict>
      </w:r>
    </w:p>
    <w:p>
      <w:pPr>
        <w:pStyle w:val="BodyText"/>
      </w:pPr>
    </w:p>
    <w:p>
      <w:pPr>
        <w:pStyle w:val="BodyText"/>
      </w:pPr>
    </w:p>
    <w:p>
      <w:pPr>
        <w:pStyle w:val="BodyText"/>
        <w:spacing w:before="5"/>
        <w:rPr>
          <w:sz w:val="28"/>
        </w:rPr>
      </w:pPr>
    </w:p>
    <w:p>
      <w:pPr>
        <w:spacing w:line="213" w:lineRule="auto" w:before="153"/>
        <w:ind w:left="607" w:right="2045" w:firstLine="0"/>
        <w:jc w:val="left"/>
        <w:rPr>
          <w:rFonts w:ascii="Stone Sans II ITC Std X Bd"/>
          <w:b/>
          <w:sz w:val="50"/>
        </w:rPr>
      </w:pPr>
      <w:r>
        <w:rPr>
          <w:rFonts w:ascii="Stone Sans II ITC Std X Bd"/>
          <w:b/>
          <w:color w:val="0090D4"/>
          <w:spacing w:val="-10"/>
          <w:w w:val="110"/>
          <w:sz w:val="50"/>
        </w:rPr>
        <w:t>Faith </w:t>
      </w:r>
      <w:r>
        <w:rPr>
          <w:rFonts w:ascii="Stone Sans II ITC Std X Bd"/>
          <w:b/>
          <w:color w:val="0090D4"/>
          <w:spacing w:val="-7"/>
          <w:w w:val="110"/>
          <w:sz w:val="50"/>
        </w:rPr>
        <w:t>and </w:t>
      </w:r>
      <w:r>
        <w:rPr>
          <w:rFonts w:ascii="Stone Sans II ITC Std X Bd"/>
          <w:b/>
          <w:color w:val="0090D4"/>
          <w:spacing w:val="-9"/>
          <w:w w:val="110"/>
          <w:sz w:val="50"/>
        </w:rPr>
        <w:t>order </w:t>
      </w:r>
      <w:r>
        <w:rPr>
          <w:rFonts w:ascii="Stone Sans II ITC Std X Bd"/>
          <w:b/>
          <w:color w:val="0090D4"/>
          <w:spacing w:val="-10"/>
          <w:w w:val="110"/>
          <w:sz w:val="50"/>
        </w:rPr>
        <w:t>committee: </w:t>
      </w:r>
      <w:r>
        <w:rPr>
          <w:rFonts w:ascii="Stone Sans II ITC Std X Bd"/>
          <w:b/>
          <w:spacing w:val="-9"/>
          <w:w w:val="110"/>
          <w:sz w:val="50"/>
        </w:rPr>
        <w:t>Authorised </w:t>
      </w:r>
      <w:r>
        <w:rPr>
          <w:rFonts w:ascii="Stone Sans II ITC Std X Bd"/>
          <w:b/>
          <w:spacing w:val="-8"/>
          <w:w w:val="110"/>
          <w:sz w:val="50"/>
        </w:rPr>
        <w:t>elders</w:t>
      </w:r>
    </w:p>
    <w:p>
      <w:pPr>
        <w:pStyle w:val="Heading4"/>
        <w:spacing w:before="325"/>
      </w:pPr>
      <w:r>
        <w:rPr>
          <w:color w:val="7F7F7F"/>
        </w:rPr>
        <w:t>Basic Information</w:t>
      </w:r>
    </w:p>
    <w:tbl>
      <w:tblPr>
        <w:tblW w:w="0" w:type="auto"/>
        <w:jc w:val="left"/>
        <w:tblInd w:w="6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660"/>
        <w:gridCol w:w="6582"/>
      </w:tblGrid>
      <w:tr>
        <w:trPr>
          <w:trHeight w:val="680" w:hRule="atLeast"/>
        </w:trPr>
        <w:tc>
          <w:tcPr>
            <w:tcW w:w="2660" w:type="dxa"/>
            <w:shd w:val="clear" w:color="auto" w:fill="FFFFFF"/>
          </w:tcPr>
          <w:p>
            <w:pPr>
              <w:pStyle w:val="TableParagraph"/>
              <w:spacing w:line="213" w:lineRule="auto" w:before="151"/>
              <w:ind w:right="595"/>
              <w:rPr>
                <w:rFonts w:ascii="Stone Sans II ITC Std Bk"/>
                <w:b/>
                <w:sz w:val="20"/>
              </w:rPr>
            </w:pPr>
            <w:r>
              <w:rPr>
                <w:rFonts w:ascii="Stone Sans II ITC Std Bk"/>
                <w:b/>
                <w:w w:val="110"/>
                <w:sz w:val="20"/>
              </w:rPr>
              <w:t>Contact name and email address</w:t>
            </w:r>
          </w:p>
        </w:tc>
        <w:tc>
          <w:tcPr>
            <w:tcW w:w="6582" w:type="dxa"/>
            <w:shd w:val="clear" w:color="auto" w:fill="FFFFFF"/>
          </w:tcPr>
          <w:p>
            <w:pPr>
              <w:pStyle w:val="TableParagraph"/>
              <w:spacing w:before="141"/>
              <w:rPr>
                <w:sz w:val="20"/>
              </w:rPr>
            </w:pPr>
            <w:r>
              <w:rPr>
                <w:w w:val="120"/>
                <w:sz w:val="20"/>
              </w:rPr>
              <w:t>The Revd Elizabeth Welch: </w:t>
            </w:r>
            <w:hyperlink r:id="rId279">
              <w:r>
                <w:rPr>
                  <w:color w:val="006AB3"/>
                  <w:w w:val="120"/>
                  <w:sz w:val="20"/>
                </w:rPr>
                <w:t>minister@theroundchapel.org.uk</w:t>
              </w:r>
            </w:hyperlink>
          </w:p>
        </w:tc>
      </w:tr>
      <w:tr>
        <w:trPr>
          <w:trHeight w:val="440" w:hRule="atLeast"/>
        </w:trPr>
        <w:tc>
          <w:tcPr>
            <w:tcW w:w="2660" w:type="dxa"/>
            <w:shd w:val="clear" w:color="auto" w:fill="FFFFFF"/>
          </w:tcPr>
          <w:p>
            <w:pPr>
              <w:pStyle w:val="TableParagraph"/>
              <w:spacing w:before="128"/>
              <w:rPr>
                <w:rFonts w:ascii="Stone Sans II ITC Std Bk"/>
                <w:b/>
                <w:sz w:val="20"/>
              </w:rPr>
            </w:pPr>
            <w:r>
              <w:rPr>
                <w:rFonts w:ascii="Stone Sans II ITC Std Bk"/>
                <w:b/>
                <w:w w:val="110"/>
                <w:sz w:val="20"/>
              </w:rPr>
              <w:t>Action required</w:t>
            </w:r>
          </w:p>
        </w:tc>
        <w:tc>
          <w:tcPr>
            <w:tcW w:w="6582" w:type="dxa"/>
            <w:shd w:val="clear" w:color="auto" w:fill="FFFFFF"/>
          </w:tcPr>
          <w:p>
            <w:pPr>
              <w:pStyle w:val="TableParagraph"/>
              <w:spacing w:before="141"/>
              <w:rPr>
                <w:sz w:val="20"/>
              </w:rPr>
            </w:pPr>
            <w:r>
              <w:rPr>
                <w:w w:val="120"/>
                <w:sz w:val="20"/>
              </w:rPr>
              <w:t>Decision</w:t>
            </w:r>
          </w:p>
        </w:tc>
      </w:tr>
      <w:tr>
        <w:trPr>
          <w:trHeight w:val="10420" w:hRule="atLeast"/>
        </w:trPr>
        <w:tc>
          <w:tcPr>
            <w:tcW w:w="2660" w:type="dxa"/>
            <w:shd w:val="clear" w:color="auto" w:fill="FFFFFF"/>
          </w:tcPr>
          <w:p>
            <w:pPr>
              <w:pStyle w:val="TableParagraph"/>
              <w:spacing w:before="128"/>
              <w:rPr>
                <w:rFonts w:ascii="Stone Sans II ITC Std Bk"/>
                <w:b/>
                <w:sz w:val="20"/>
              </w:rPr>
            </w:pPr>
            <w:r>
              <w:rPr>
                <w:rFonts w:ascii="Stone Sans II ITC Std Bk"/>
                <w:b/>
                <w:w w:val="110"/>
                <w:sz w:val="20"/>
              </w:rPr>
              <w:t>Draft resolution(s)</w:t>
            </w:r>
          </w:p>
        </w:tc>
        <w:tc>
          <w:tcPr>
            <w:tcW w:w="6582" w:type="dxa"/>
            <w:shd w:val="clear" w:color="auto" w:fill="FFFFFF"/>
          </w:tcPr>
          <w:p>
            <w:pPr>
              <w:pStyle w:val="TableParagraph"/>
              <w:spacing w:line="213" w:lineRule="auto" w:before="151"/>
              <w:ind w:right="264"/>
              <w:jc w:val="both"/>
              <w:rPr>
                <w:rFonts w:ascii="Stone Sans II ITC Std Bk"/>
                <w:b/>
                <w:sz w:val="20"/>
              </w:rPr>
            </w:pPr>
            <w:r>
              <w:rPr>
                <w:rFonts w:ascii="Stone Sans II ITC Std Bk"/>
                <w:b/>
                <w:spacing w:val="-6"/>
                <w:w w:val="110"/>
                <w:sz w:val="20"/>
              </w:rPr>
              <w:t>14.</w:t>
            </w:r>
            <w:r>
              <w:rPr>
                <w:rFonts w:ascii="Stone Sans II ITC Std Bk"/>
                <w:b/>
                <w:spacing w:val="46"/>
                <w:w w:val="110"/>
                <w:sz w:val="20"/>
              </w:rPr>
              <w:t> </w:t>
            </w:r>
            <w:r>
              <w:rPr>
                <w:rFonts w:ascii="Stone Sans II ITC Std Bk"/>
                <w:b/>
                <w:w w:val="110"/>
                <w:sz w:val="20"/>
              </w:rPr>
              <w:t>General Assembly agrees that the existing guidance on Presidency at the Sacraments </w:t>
            </w:r>
            <w:r>
              <w:rPr>
                <w:w w:val="110"/>
                <w:sz w:val="20"/>
              </w:rPr>
              <w:t>(</w:t>
            </w:r>
            <w:r>
              <w:rPr>
                <w:i/>
                <w:w w:val="110"/>
                <w:sz w:val="20"/>
              </w:rPr>
              <w:t>The Manual, </w:t>
            </w:r>
            <w:r>
              <w:rPr>
                <w:w w:val="110"/>
                <w:sz w:val="20"/>
              </w:rPr>
              <w:t>Section F) </w:t>
            </w:r>
            <w:r>
              <w:rPr>
                <w:rFonts w:ascii="Stone Sans II ITC Std Bk"/>
                <w:b/>
                <w:w w:val="110"/>
                <w:sz w:val="20"/>
              </w:rPr>
              <w:t>be amended to</w:t>
            </w:r>
            <w:r>
              <w:rPr>
                <w:rFonts w:ascii="Stone Sans II ITC Std Bk"/>
                <w:b/>
                <w:spacing w:val="-1"/>
                <w:w w:val="110"/>
                <w:sz w:val="20"/>
              </w:rPr>
              <w:t> </w:t>
            </w:r>
            <w:r>
              <w:rPr>
                <w:rFonts w:ascii="Stone Sans II ITC Std Bk"/>
                <w:b/>
                <w:w w:val="110"/>
                <w:sz w:val="20"/>
              </w:rPr>
              <w:t>read:</w:t>
            </w:r>
          </w:p>
          <w:p>
            <w:pPr>
              <w:pStyle w:val="TableParagraph"/>
              <w:spacing w:line="213" w:lineRule="auto"/>
              <w:ind w:right="204"/>
              <w:jc w:val="both"/>
              <w:rPr>
                <w:rFonts w:ascii="Stone Sans II ITC Std Bk" w:hAnsi="Stone Sans II ITC Std Bk"/>
                <w:b/>
                <w:sz w:val="20"/>
              </w:rPr>
            </w:pPr>
            <w:r>
              <w:rPr>
                <w:rFonts w:ascii="Stone Sans II ITC Std Bk" w:hAnsi="Stone Sans II ITC Std Bk"/>
                <w:b/>
                <w:w w:val="110"/>
                <w:sz w:val="20"/>
              </w:rPr>
              <w:t>The pattern of presidency at the sacraments if the minister in pastoral charge is not available should be as follows –</w:t>
            </w:r>
          </w:p>
          <w:p>
            <w:pPr>
              <w:pStyle w:val="TableParagraph"/>
              <w:numPr>
                <w:ilvl w:val="0"/>
                <w:numId w:val="121"/>
              </w:numPr>
              <w:tabs>
                <w:tab w:pos="534" w:val="left" w:leader="none"/>
              </w:tabs>
              <w:spacing w:line="213" w:lineRule="auto" w:before="0" w:after="0"/>
              <w:ind w:left="533" w:right="575" w:hanging="454"/>
              <w:jc w:val="both"/>
              <w:rPr>
                <w:rFonts w:ascii="Stone Sans II ITC Std Bk"/>
                <w:b/>
                <w:sz w:val="20"/>
              </w:rPr>
            </w:pPr>
            <w:r>
              <w:rPr>
                <w:rFonts w:ascii="Stone Sans II ITC Std Bk"/>
                <w:b/>
                <w:w w:val="110"/>
                <w:sz w:val="20"/>
              </w:rPr>
              <w:t>the Church Meeting may invite another Minister of Word and Sacraments (including a retired minister who has expressed willingness to do </w:t>
            </w:r>
            <w:r>
              <w:rPr>
                <w:rFonts w:ascii="Stone Sans II ITC Std Bk"/>
                <w:b/>
                <w:spacing w:val="-6"/>
                <w:w w:val="110"/>
                <w:sz w:val="20"/>
              </w:rPr>
              <w:t>so);</w:t>
            </w:r>
          </w:p>
          <w:p>
            <w:pPr>
              <w:pStyle w:val="TableParagraph"/>
              <w:numPr>
                <w:ilvl w:val="0"/>
                <w:numId w:val="121"/>
              </w:numPr>
              <w:tabs>
                <w:tab w:pos="533" w:val="left" w:leader="none"/>
                <w:tab w:pos="534" w:val="left" w:leader="none"/>
              </w:tabs>
              <w:spacing w:line="213" w:lineRule="auto" w:before="0" w:after="0"/>
              <w:ind w:left="533" w:right="298" w:hanging="454"/>
              <w:jc w:val="left"/>
              <w:rPr>
                <w:rFonts w:ascii="Stone Sans II ITC Std Bk" w:hAnsi="Stone Sans II ITC Std Bk"/>
                <w:b/>
                <w:sz w:val="20"/>
              </w:rPr>
            </w:pPr>
            <w:r>
              <w:rPr>
                <w:rFonts w:ascii="Stone Sans II ITC Std Bk" w:hAnsi="Stone Sans II ITC Std Bk"/>
                <w:b/>
                <w:w w:val="110"/>
                <w:sz w:val="20"/>
              </w:rPr>
              <w:t>if such a minister is not available, the Church Meeting may invite an elder </w:t>
            </w:r>
            <w:r>
              <w:rPr>
                <w:rFonts w:ascii="Stone Sans II ITC Std Bk" w:hAnsi="Stone Sans II ITC Std Bk"/>
                <w:b/>
                <w:spacing w:val="-5"/>
                <w:w w:val="110"/>
                <w:sz w:val="20"/>
              </w:rPr>
              <w:t>(or </w:t>
            </w:r>
            <w:r>
              <w:rPr>
                <w:rFonts w:ascii="Stone Sans II ITC Std Bk" w:hAnsi="Stone Sans II ITC Std Bk"/>
                <w:b/>
                <w:w w:val="110"/>
                <w:sz w:val="20"/>
              </w:rPr>
              <w:t>accredited lay preacher) authorised by the synod, in accordance with the provisions of </w:t>
            </w:r>
            <w:r>
              <w:rPr>
                <w:rFonts w:ascii="Stone Sans II ITC Std Bk" w:hAnsi="Stone Sans II ITC Std Bk"/>
                <w:b/>
                <w:spacing w:val="-3"/>
                <w:w w:val="110"/>
                <w:sz w:val="20"/>
              </w:rPr>
              <w:t>§25 </w:t>
            </w:r>
            <w:r>
              <w:rPr>
                <w:rFonts w:ascii="Stone Sans II ITC Std Bk" w:hAnsi="Stone Sans II ITC Std Bk"/>
                <w:b/>
                <w:w w:val="110"/>
                <w:sz w:val="20"/>
              </w:rPr>
              <w:t>of the </w:t>
            </w:r>
            <w:r>
              <w:rPr>
                <w:rFonts w:ascii="Stone Sans II ITC Std Bk" w:hAnsi="Stone Sans II ITC Std Bk"/>
                <w:b/>
                <w:i/>
                <w:w w:val="110"/>
                <w:sz w:val="20"/>
              </w:rPr>
              <w:t>Basis of Union</w:t>
            </w:r>
            <w:r>
              <w:rPr>
                <w:rFonts w:ascii="Stone Sans II ITC Std Bk" w:hAnsi="Stone Sans II ITC Std Bk"/>
                <w:b/>
                <w:w w:val="110"/>
                <w:sz w:val="20"/>
              </w:rPr>
              <w:t>: elders of the local church and accredited lay preachers regularly conducting worship there should be considered</w:t>
            </w:r>
            <w:r>
              <w:rPr>
                <w:rFonts w:ascii="Stone Sans II ITC Std Bk" w:hAnsi="Stone Sans II ITC Std Bk"/>
                <w:b/>
                <w:spacing w:val="17"/>
                <w:w w:val="110"/>
                <w:sz w:val="20"/>
              </w:rPr>
              <w:t> </w:t>
            </w:r>
            <w:r>
              <w:rPr>
                <w:rFonts w:ascii="Stone Sans II ITC Std Bk" w:hAnsi="Stone Sans II ITC Std Bk"/>
                <w:b/>
                <w:w w:val="110"/>
                <w:sz w:val="20"/>
              </w:rPr>
              <w:t>first;</w:t>
            </w:r>
          </w:p>
          <w:p>
            <w:pPr>
              <w:pStyle w:val="TableParagraph"/>
              <w:numPr>
                <w:ilvl w:val="0"/>
                <w:numId w:val="121"/>
              </w:numPr>
              <w:tabs>
                <w:tab w:pos="533" w:val="left" w:leader="none"/>
                <w:tab w:pos="534" w:val="left" w:leader="none"/>
              </w:tabs>
              <w:spacing w:line="213" w:lineRule="auto" w:before="0" w:after="0"/>
              <w:ind w:left="533" w:right="382" w:hanging="454"/>
              <w:jc w:val="left"/>
              <w:rPr>
                <w:rFonts w:ascii="Stone Sans II ITC Std Bk"/>
                <w:b/>
                <w:sz w:val="20"/>
              </w:rPr>
            </w:pPr>
            <w:r>
              <w:rPr>
                <w:rFonts w:ascii="Stone Sans II ITC Std Bk"/>
                <w:b/>
                <w:w w:val="110"/>
                <w:sz w:val="20"/>
              </w:rPr>
              <w:t>authorisation for such presidency by the synod, normally of members from within the congregation concerned, should be for an initial period of three </w:t>
            </w:r>
            <w:r>
              <w:rPr>
                <w:rFonts w:ascii="Stone Sans II ITC Std Bk"/>
                <w:b/>
                <w:spacing w:val="-3"/>
                <w:w w:val="110"/>
                <w:sz w:val="20"/>
              </w:rPr>
              <w:t>to </w:t>
            </w:r>
            <w:r>
              <w:rPr>
                <w:rFonts w:ascii="Stone Sans II ITC Std Bk"/>
                <w:b/>
                <w:w w:val="110"/>
                <w:sz w:val="20"/>
              </w:rPr>
              <w:t>five years </w:t>
            </w:r>
            <w:r>
              <w:rPr>
                <w:rFonts w:ascii="Stone Sans II ITC Std Bk"/>
                <w:b/>
                <w:spacing w:val="-4"/>
                <w:w w:val="110"/>
                <w:sz w:val="20"/>
              </w:rPr>
              <w:t>(according </w:t>
            </w:r>
            <w:r>
              <w:rPr>
                <w:rFonts w:ascii="Stone Sans II ITC Std Bk"/>
                <w:b/>
                <w:spacing w:val="-3"/>
                <w:w w:val="110"/>
                <w:sz w:val="20"/>
              </w:rPr>
              <w:t>to </w:t>
            </w:r>
            <w:r>
              <w:rPr>
                <w:rFonts w:ascii="Stone Sans II ITC Std Bk"/>
                <w:b/>
                <w:w w:val="110"/>
                <w:sz w:val="20"/>
              </w:rPr>
              <w:t>synod </w:t>
            </w:r>
            <w:r>
              <w:rPr>
                <w:rFonts w:ascii="Stone Sans II ITC Std Bk"/>
                <w:b/>
                <w:spacing w:val="-3"/>
                <w:w w:val="110"/>
                <w:sz w:val="20"/>
              </w:rPr>
              <w:t>judgement), </w:t>
            </w:r>
            <w:r>
              <w:rPr>
                <w:rFonts w:ascii="Stone Sans II ITC Std Bk"/>
                <w:b/>
                <w:w w:val="110"/>
                <w:sz w:val="20"/>
              </w:rPr>
              <w:t>including a probationary </w:t>
            </w:r>
            <w:r>
              <w:rPr>
                <w:rFonts w:ascii="Stone Sans II ITC Std Bk"/>
                <w:b/>
                <w:spacing w:val="-3"/>
                <w:w w:val="110"/>
                <w:sz w:val="20"/>
              </w:rPr>
              <w:t>year </w:t>
            </w:r>
            <w:r>
              <w:rPr>
                <w:rFonts w:ascii="Stone Sans II ITC Std Bk"/>
                <w:b/>
                <w:w w:val="110"/>
                <w:sz w:val="20"/>
              </w:rPr>
              <w:t>on first appointment, with the possibility</w:t>
            </w:r>
            <w:r>
              <w:rPr>
                <w:rFonts w:ascii="Stone Sans II ITC Std Bk"/>
                <w:b/>
                <w:spacing w:val="-12"/>
                <w:w w:val="110"/>
                <w:sz w:val="20"/>
              </w:rPr>
              <w:t> </w:t>
            </w:r>
            <w:r>
              <w:rPr>
                <w:rFonts w:ascii="Stone Sans II ITC Std Bk"/>
                <w:b/>
                <w:w w:val="110"/>
                <w:sz w:val="20"/>
              </w:rPr>
              <w:t>of</w:t>
            </w:r>
            <w:r>
              <w:rPr>
                <w:rFonts w:ascii="Stone Sans II ITC Std Bk"/>
                <w:b/>
                <w:spacing w:val="-12"/>
                <w:w w:val="110"/>
                <w:sz w:val="20"/>
              </w:rPr>
              <w:t> </w:t>
            </w:r>
            <w:r>
              <w:rPr>
                <w:rFonts w:ascii="Stone Sans II ITC Std Bk"/>
                <w:b/>
                <w:spacing w:val="-3"/>
                <w:w w:val="110"/>
                <w:sz w:val="20"/>
              </w:rPr>
              <w:t>renewal.</w:t>
            </w:r>
            <w:r>
              <w:rPr>
                <w:rFonts w:ascii="Stone Sans II ITC Std Bk"/>
                <w:b/>
                <w:spacing w:val="-11"/>
                <w:w w:val="110"/>
                <w:sz w:val="20"/>
              </w:rPr>
              <w:t> </w:t>
            </w:r>
            <w:r>
              <w:rPr>
                <w:rFonts w:ascii="Stone Sans II ITC Std Bk"/>
                <w:b/>
                <w:w w:val="110"/>
                <w:sz w:val="20"/>
              </w:rPr>
              <w:t>Before</w:t>
            </w:r>
            <w:r>
              <w:rPr>
                <w:rFonts w:ascii="Stone Sans II ITC Std Bk"/>
                <w:b/>
                <w:spacing w:val="-12"/>
                <w:w w:val="110"/>
                <w:sz w:val="20"/>
              </w:rPr>
              <w:t> </w:t>
            </w:r>
            <w:r>
              <w:rPr>
                <w:rFonts w:ascii="Stone Sans II ITC Std Bk"/>
                <w:b/>
                <w:w w:val="110"/>
                <w:sz w:val="20"/>
              </w:rPr>
              <w:t>renewal</w:t>
            </w:r>
            <w:r>
              <w:rPr>
                <w:rFonts w:ascii="Stone Sans II ITC Std Bk"/>
                <w:b/>
                <w:spacing w:val="-11"/>
                <w:w w:val="110"/>
                <w:sz w:val="20"/>
              </w:rPr>
              <w:t> </w:t>
            </w:r>
            <w:r>
              <w:rPr>
                <w:rFonts w:ascii="Stone Sans II ITC Std Bk"/>
                <w:b/>
                <w:w w:val="110"/>
                <w:sz w:val="20"/>
              </w:rPr>
              <w:t>there</w:t>
            </w:r>
            <w:r>
              <w:rPr>
                <w:rFonts w:ascii="Stone Sans II ITC Std Bk"/>
                <w:b/>
                <w:spacing w:val="-12"/>
                <w:w w:val="110"/>
                <w:sz w:val="20"/>
              </w:rPr>
              <w:t> </w:t>
            </w:r>
            <w:r>
              <w:rPr>
                <w:rFonts w:ascii="Stone Sans II ITC Std Bk"/>
                <w:b/>
                <w:w w:val="110"/>
                <w:sz w:val="20"/>
              </w:rPr>
              <w:t>should</w:t>
            </w:r>
            <w:r>
              <w:rPr>
                <w:rFonts w:ascii="Stone Sans II ITC Std Bk"/>
                <w:b/>
                <w:spacing w:val="-12"/>
                <w:w w:val="110"/>
                <w:sz w:val="20"/>
              </w:rPr>
              <w:t> </w:t>
            </w:r>
            <w:r>
              <w:rPr>
                <w:rFonts w:ascii="Stone Sans II ITC Std Bk"/>
                <w:b/>
                <w:w w:val="110"/>
                <w:sz w:val="20"/>
              </w:rPr>
              <w:t>be</w:t>
            </w:r>
          </w:p>
          <w:p>
            <w:pPr>
              <w:pStyle w:val="TableParagraph"/>
              <w:spacing w:line="213" w:lineRule="auto"/>
              <w:ind w:left="533"/>
              <w:rPr>
                <w:rFonts w:ascii="Stone Sans II ITC Std Bk"/>
                <w:b/>
                <w:sz w:val="20"/>
              </w:rPr>
            </w:pPr>
            <w:r>
              <w:rPr>
                <w:rFonts w:ascii="Stone Sans II ITC Std Bk"/>
                <w:b/>
                <w:w w:val="110"/>
                <w:sz w:val="20"/>
              </w:rPr>
              <w:t>consultation</w:t>
            </w:r>
            <w:r>
              <w:rPr>
                <w:rFonts w:ascii="Stone Sans II ITC Std Bk"/>
                <w:b/>
                <w:spacing w:val="-14"/>
                <w:w w:val="110"/>
                <w:sz w:val="20"/>
              </w:rPr>
              <w:t> </w:t>
            </w:r>
            <w:r>
              <w:rPr>
                <w:rFonts w:ascii="Stone Sans II ITC Std Bk"/>
                <w:b/>
                <w:w w:val="110"/>
                <w:sz w:val="20"/>
              </w:rPr>
              <w:t>by</w:t>
            </w:r>
            <w:r>
              <w:rPr>
                <w:rFonts w:ascii="Stone Sans II ITC Std Bk"/>
                <w:b/>
                <w:spacing w:val="-14"/>
                <w:w w:val="110"/>
                <w:sz w:val="20"/>
              </w:rPr>
              <w:t> </w:t>
            </w:r>
            <w:r>
              <w:rPr>
                <w:rFonts w:ascii="Stone Sans II ITC Std Bk"/>
                <w:b/>
                <w:w w:val="110"/>
                <w:sz w:val="20"/>
              </w:rPr>
              <w:t>the</w:t>
            </w:r>
            <w:r>
              <w:rPr>
                <w:rFonts w:ascii="Stone Sans II ITC Std Bk"/>
                <w:b/>
                <w:spacing w:val="-14"/>
                <w:w w:val="110"/>
                <w:sz w:val="20"/>
              </w:rPr>
              <w:t> </w:t>
            </w:r>
            <w:r>
              <w:rPr>
                <w:rFonts w:ascii="Stone Sans II ITC Std Bk"/>
                <w:b/>
                <w:w w:val="110"/>
                <w:sz w:val="20"/>
              </w:rPr>
              <w:t>synod</w:t>
            </w:r>
            <w:r>
              <w:rPr>
                <w:rFonts w:ascii="Stone Sans II ITC Std Bk"/>
                <w:b/>
                <w:spacing w:val="-13"/>
                <w:w w:val="110"/>
                <w:sz w:val="20"/>
              </w:rPr>
              <w:t> </w:t>
            </w:r>
            <w:r>
              <w:rPr>
                <w:rFonts w:ascii="Stone Sans II ITC Std Bk"/>
                <w:b/>
                <w:w w:val="110"/>
                <w:sz w:val="20"/>
              </w:rPr>
              <w:t>with</w:t>
            </w:r>
            <w:r>
              <w:rPr>
                <w:rFonts w:ascii="Stone Sans II ITC Std Bk"/>
                <w:b/>
                <w:spacing w:val="-14"/>
                <w:w w:val="110"/>
                <w:sz w:val="20"/>
              </w:rPr>
              <w:t> </w:t>
            </w:r>
            <w:r>
              <w:rPr>
                <w:rFonts w:ascii="Stone Sans II ITC Std Bk"/>
                <w:b/>
                <w:w w:val="110"/>
                <w:sz w:val="20"/>
              </w:rPr>
              <w:t>the</w:t>
            </w:r>
            <w:r>
              <w:rPr>
                <w:rFonts w:ascii="Stone Sans II ITC Std Bk"/>
                <w:b/>
                <w:spacing w:val="-14"/>
                <w:w w:val="110"/>
                <w:sz w:val="20"/>
              </w:rPr>
              <w:t> </w:t>
            </w:r>
            <w:r>
              <w:rPr>
                <w:rFonts w:ascii="Stone Sans II ITC Std Bk"/>
                <w:b/>
                <w:w w:val="110"/>
                <w:sz w:val="20"/>
              </w:rPr>
              <w:t>congregation,</w:t>
            </w:r>
            <w:r>
              <w:rPr>
                <w:rFonts w:ascii="Stone Sans II ITC Std Bk"/>
                <w:b/>
                <w:spacing w:val="-14"/>
                <w:w w:val="110"/>
                <w:sz w:val="20"/>
              </w:rPr>
              <w:t> </w:t>
            </w:r>
            <w:r>
              <w:rPr>
                <w:rFonts w:ascii="Stone Sans II ITC Std Bk"/>
                <w:b/>
                <w:w w:val="110"/>
                <w:sz w:val="20"/>
              </w:rPr>
              <w:t>and</w:t>
            </w:r>
            <w:r>
              <w:rPr>
                <w:rFonts w:ascii="Stone Sans II ITC Std Bk"/>
                <w:b/>
                <w:spacing w:val="-13"/>
                <w:w w:val="110"/>
                <w:sz w:val="20"/>
              </w:rPr>
              <w:t> </w:t>
            </w:r>
            <w:r>
              <w:rPr>
                <w:rFonts w:ascii="Stone Sans II ITC Std Bk"/>
                <w:b/>
                <w:w w:val="110"/>
                <w:sz w:val="20"/>
              </w:rPr>
              <w:t>a </w:t>
            </w:r>
            <w:r>
              <w:rPr>
                <w:rFonts w:ascii="Stone Sans II ITC Std Bk"/>
                <w:b/>
                <w:spacing w:val="-3"/>
                <w:w w:val="110"/>
                <w:sz w:val="20"/>
              </w:rPr>
              <w:t>review </w:t>
            </w:r>
            <w:r>
              <w:rPr>
                <w:rFonts w:ascii="Stone Sans II ITC Std Bk"/>
                <w:b/>
                <w:w w:val="110"/>
                <w:sz w:val="20"/>
              </w:rPr>
              <w:t>of its</w:t>
            </w:r>
            <w:r>
              <w:rPr>
                <w:rFonts w:ascii="Stone Sans II ITC Std Bk"/>
                <w:b/>
                <w:spacing w:val="-13"/>
                <w:w w:val="110"/>
                <w:sz w:val="20"/>
              </w:rPr>
              <w:t> </w:t>
            </w:r>
            <w:r>
              <w:rPr>
                <w:rFonts w:ascii="Stone Sans II ITC Std Bk"/>
                <w:b/>
                <w:w w:val="110"/>
                <w:sz w:val="20"/>
              </w:rPr>
              <w:t>needs.</w:t>
            </w:r>
          </w:p>
          <w:p>
            <w:pPr>
              <w:pStyle w:val="TableParagraph"/>
              <w:numPr>
                <w:ilvl w:val="0"/>
                <w:numId w:val="122"/>
              </w:numPr>
              <w:tabs>
                <w:tab w:pos="760" w:val="left" w:leader="none"/>
                <w:tab w:pos="761" w:val="left" w:leader="none"/>
              </w:tabs>
              <w:spacing w:line="213" w:lineRule="auto" w:before="205" w:after="0"/>
              <w:ind w:left="80" w:right="406" w:firstLine="0"/>
              <w:jc w:val="left"/>
              <w:rPr>
                <w:rFonts w:ascii="Stone Sans II ITC Std Bk"/>
                <w:b/>
                <w:sz w:val="20"/>
              </w:rPr>
            </w:pPr>
            <w:r>
              <w:rPr>
                <w:rFonts w:ascii="Stone Sans II ITC Std Bk"/>
                <w:b/>
                <w:w w:val="110"/>
                <w:sz w:val="20"/>
              </w:rPr>
              <w:t>General Assembly agrees that synods are recommended to provide regular support and guidance for each church without an authorised elder within its membership; and also for authorised elders, for example by holding an annual meeting where experiences</w:t>
            </w:r>
            <w:r>
              <w:rPr>
                <w:rFonts w:ascii="Stone Sans II ITC Std Bk"/>
                <w:b/>
                <w:spacing w:val="5"/>
                <w:w w:val="110"/>
                <w:sz w:val="20"/>
              </w:rPr>
              <w:t> </w:t>
            </w:r>
            <w:r>
              <w:rPr>
                <w:rFonts w:ascii="Stone Sans II ITC Std Bk"/>
                <w:b/>
                <w:w w:val="110"/>
                <w:sz w:val="20"/>
              </w:rPr>
              <w:t>can</w:t>
            </w:r>
          </w:p>
          <w:p>
            <w:pPr>
              <w:pStyle w:val="TableParagraph"/>
              <w:spacing w:line="245" w:lineRule="exact"/>
              <w:rPr>
                <w:rFonts w:ascii="Stone Sans II ITC Std Bk"/>
                <w:b/>
                <w:sz w:val="20"/>
              </w:rPr>
            </w:pPr>
            <w:r>
              <w:rPr>
                <w:rFonts w:ascii="Stone Sans II ITC Std Bk"/>
                <w:b/>
                <w:w w:val="110"/>
                <w:sz w:val="20"/>
              </w:rPr>
              <w:t>be shared.</w:t>
            </w:r>
          </w:p>
          <w:p>
            <w:pPr>
              <w:pStyle w:val="TableParagraph"/>
              <w:numPr>
                <w:ilvl w:val="0"/>
                <w:numId w:val="122"/>
              </w:numPr>
              <w:tabs>
                <w:tab w:pos="760" w:val="left" w:leader="none"/>
                <w:tab w:pos="761" w:val="left" w:leader="none"/>
              </w:tabs>
              <w:spacing w:line="213" w:lineRule="auto" w:before="192" w:after="0"/>
              <w:ind w:left="80" w:right="190" w:firstLine="0"/>
              <w:jc w:val="left"/>
              <w:rPr>
                <w:rFonts w:ascii="Stone Sans II ITC Std Bk"/>
                <w:b/>
                <w:sz w:val="20"/>
              </w:rPr>
            </w:pPr>
            <w:r>
              <w:rPr>
                <w:rFonts w:ascii="Stone Sans II ITC Std Bk"/>
                <w:b/>
                <w:w w:val="110"/>
                <w:sz w:val="20"/>
              </w:rPr>
              <w:t>General Assembly agrees that the ministries committee be invited to develop a specific code of conduct for authorised elders and lay preachers; and that those concerned agree to be bound by it before embarking on their</w:t>
            </w:r>
            <w:r>
              <w:rPr>
                <w:rFonts w:ascii="Stone Sans II ITC Std Bk"/>
                <w:b/>
                <w:spacing w:val="-1"/>
                <w:w w:val="110"/>
                <w:sz w:val="20"/>
              </w:rPr>
              <w:t> </w:t>
            </w:r>
            <w:r>
              <w:rPr>
                <w:rFonts w:ascii="Stone Sans II ITC Std Bk"/>
                <w:b/>
                <w:w w:val="110"/>
                <w:sz w:val="20"/>
              </w:rPr>
              <w:t>ministry.</w:t>
            </w:r>
          </w:p>
          <w:p>
            <w:pPr>
              <w:pStyle w:val="TableParagraph"/>
              <w:numPr>
                <w:ilvl w:val="0"/>
                <w:numId w:val="122"/>
              </w:numPr>
              <w:tabs>
                <w:tab w:pos="816" w:val="left" w:leader="none"/>
                <w:tab w:pos="817" w:val="left" w:leader="none"/>
              </w:tabs>
              <w:spacing w:line="213" w:lineRule="auto" w:before="197" w:after="0"/>
              <w:ind w:left="80" w:right="471" w:firstLine="0"/>
              <w:jc w:val="left"/>
              <w:rPr>
                <w:rFonts w:ascii="Stone Sans II ITC Std Bk"/>
                <w:b/>
                <w:sz w:val="20"/>
              </w:rPr>
            </w:pPr>
            <w:r>
              <w:rPr>
                <w:rFonts w:ascii="Stone Sans II ITC Std Bk"/>
                <w:b/>
                <w:w w:val="110"/>
                <w:sz w:val="20"/>
              </w:rPr>
              <w:t>General Assembly agrees that a list of those authorised elders and </w:t>
            </w:r>
            <w:r>
              <w:rPr>
                <w:rFonts w:ascii="Stone Sans II ITC Std Bk"/>
                <w:b/>
                <w:spacing w:val="-3"/>
                <w:w w:val="110"/>
                <w:sz w:val="20"/>
              </w:rPr>
              <w:t>lay </w:t>
            </w:r>
            <w:r>
              <w:rPr>
                <w:rFonts w:ascii="Stone Sans II ITC Std Bk"/>
                <w:b/>
                <w:w w:val="110"/>
                <w:sz w:val="20"/>
              </w:rPr>
              <w:t>preachers whose authority </w:t>
            </w:r>
            <w:r>
              <w:rPr>
                <w:rFonts w:ascii="Stone Sans II ITC Std Bk"/>
                <w:b/>
                <w:spacing w:val="-3"/>
                <w:w w:val="110"/>
                <w:sz w:val="20"/>
              </w:rPr>
              <w:t>to </w:t>
            </w:r>
            <w:r>
              <w:rPr>
                <w:rFonts w:ascii="Stone Sans II ITC Std Bk"/>
                <w:b/>
                <w:w w:val="110"/>
                <w:sz w:val="20"/>
              </w:rPr>
              <w:t>serve</w:t>
            </w:r>
            <w:r>
              <w:rPr>
                <w:rFonts w:ascii="Stone Sans II ITC Std Bk"/>
                <w:b/>
                <w:spacing w:val="-11"/>
                <w:w w:val="110"/>
                <w:sz w:val="20"/>
              </w:rPr>
              <w:t> </w:t>
            </w:r>
            <w:r>
              <w:rPr>
                <w:rFonts w:ascii="Stone Sans II ITC Std Bk"/>
                <w:b/>
                <w:w w:val="110"/>
                <w:sz w:val="20"/>
              </w:rPr>
              <w:t>has</w:t>
            </w:r>
            <w:r>
              <w:rPr>
                <w:rFonts w:ascii="Stone Sans II ITC Std Bk"/>
                <w:b/>
                <w:spacing w:val="-11"/>
                <w:w w:val="110"/>
                <w:sz w:val="20"/>
              </w:rPr>
              <w:t> </w:t>
            </w:r>
            <w:r>
              <w:rPr>
                <w:rFonts w:ascii="Stone Sans II ITC Std Bk"/>
                <w:b/>
                <w:w w:val="110"/>
                <w:sz w:val="20"/>
              </w:rPr>
              <w:t>been</w:t>
            </w:r>
            <w:r>
              <w:rPr>
                <w:rFonts w:ascii="Stone Sans II ITC Std Bk"/>
                <w:b/>
                <w:spacing w:val="-11"/>
                <w:w w:val="110"/>
                <w:sz w:val="20"/>
              </w:rPr>
              <w:t> </w:t>
            </w:r>
            <w:r>
              <w:rPr>
                <w:rFonts w:ascii="Stone Sans II ITC Std Bk"/>
                <w:b/>
                <w:w w:val="110"/>
                <w:sz w:val="20"/>
              </w:rPr>
              <w:t>withdrawn</w:t>
            </w:r>
            <w:r>
              <w:rPr>
                <w:rFonts w:ascii="Stone Sans II ITC Std Bk"/>
                <w:b/>
                <w:spacing w:val="-11"/>
                <w:w w:val="110"/>
                <w:sz w:val="20"/>
              </w:rPr>
              <w:t> </w:t>
            </w:r>
            <w:r>
              <w:rPr>
                <w:rFonts w:ascii="Stone Sans II ITC Std Bk"/>
                <w:b/>
                <w:w w:val="110"/>
                <w:sz w:val="20"/>
              </w:rPr>
              <w:t>be</w:t>
            </w:r>
            <w:r>
              <w:rPr>
                <w:rFonts w:ascii="Stone Sans II ITC Std Bk"/>
                <w:b/>
                <w:spacing w:val="-11"/>
                <w:w w:val="110"/>
                <w:sz w:val="20"/>
              </w:rPr>
              <w:t> </w:t>
            </w:r>
            <w:r>
              <w:rPr>
                <w:rFonts w:ascii="Stone Sans II ITC Std Bk"/>
                <w:b/>
                <w:w w:val="110"/>
                <w:sz w:val="20"/>
              </w:rPr>
              <w:t>maintained</w:t>
            </w:r>
            <w:r>
              <w:rPr>
                <w:rFonts w:ascii="Stone Sans II ITC Std Bk"/>
                <w:b/>
                <w:spacing w:val="-11"/>
                <w:w w:val="110"/>
                <w:sz w:val="20"/>
              </w:rPr>
              <w:t> </w:t>
            </w:r>
            <w:r>
              <w:rPr>
                <w:rFonts w:ascii="Stone Sans II ITC Std Bk"/>
                <w:b/>
                <w:w w:val="110"/>
                <w:sz w:val="20"/>
              </w:rPr>
              <w:t>by</w:t>
            </w:r>
            <w:r>
              <w:rPr>
                <w:rFonts w:ascii="Stone Sans II ITC Std Bk"/>
                <w:b/>
                <w:spacing w:val="-11"/>
                <w:w w:val="110"/>
                <w:sz w:val="20"/>
              </w:rPr>
              <w:t> </w:t>
            </w:r>
            <w:r>
              <w:rPr>
                <w:rFonts w:ascii="Stone Sans II ITC Std Bk"/>
                <w:b/>
                <w:w w:val="110"/>
                <w:sz w:val="20"/>
              </w:rPr>
              <w:t>the</w:t>
            </w:r>
            <w:r>
              <w:rPr>
                <w:rFonts w:ascii="Stone Sans II ITC Std Bk"/>
                <w:b/>
                <w:spacing w:val="-11"/>
                <w:w w:val="110"/>
                <w:sz w:val="20"/>
              </w:rPr>
              <w:t> </w:t>
            </w:r>
            <w:r>
              <w:rPr>
                <w:rFonts w:ascii="Stone Sans II ITC Std Bk"/>
                <w:b/>
                <w:w w:val="110"/>
                <w:sz w:val="20"/>
              </w:rPr>
              <w:t>General Secretariat, </w:t>
            </w:r>
            <w:r>
              <w:rPr>
                <w:rFonts w:ascii="Stone Sans II ITC Std Bk"/>
                <w:b/>
                <w:spacing w:val="-3"/>
                <w:w w:val="110"/>
                <w:sz w:val="20"/>
              </w:rPr>
              <w:t>to avoid </w:t>
            </w:r>
            <w:r>
              <w:rPr>
                <w:rFonts w:ascii="Stone Sans II ITC Std Bk"/>
                <w:b/>
                <w:w w:val="110"/>
                <w:sz w:val="20"/>
              </w:rPr>
              <w:t>the possibility of </w:t>
            </w:r>
            <w:r>
              <w:rPr>
                <w:rFonts w:ascii="Stone Sans II ITC Std Bk"/>
                <w:b/>
                <w:spacing w:val="-3"/>
                <w:w w:val="110"/>
                <w:sz w:val="20"/>
              </w:rPr>
              <w:t>any </w:t>
            </w:r>
            <w:r>
              <w:rPr>
                <w:rFonts w:ascii="Stone Sans II ITC Std Bk"/>
                <w:b/>
                <w:w w:val="110"/>
                <w:sz w:val="20"/>
              </w:rPr>
              <w:t>individual exercising</w:t>
            </w:r>
            <w:r>
              <w:rPr>
                <w:rFonts w:ascii="Stone Sans II ITC Std Bk"/>
                <w:b/>
                <w:spacing w:val="-13"/>
                <w:w w:val="110"/>
                <w:sz w:val="20"/>
              </w:rPr>
              <w:t> </w:t>
            </w:r>
            <w:r>
              <w:rPr>
                <w:rFonts w:ascii="Stone Sans II ITC Std Bk"/>
                <w:b/>
                <w:w w:val="110"/>
                <w:sz w:val="20"/>
              </w:rPr>
              <w:t>this</w:t>
            </w:r>
            <w:r>
              <w:rPr>
                <w:rFonts w:ascii="Stone Sans II ITC Std Bk"/>
                <w:b/>
                <w:spacing w:val="-13"/>
                <w:w w:val="110"/>
                <w:sz w:val="20"/>
              </w:rPr>
              <w:t> </w:t>
            </w:r>
            <w:r>
              <w:rPr>
                <w:rFonts w:ascii="Stone Sans II ITC Std Bk"/>
                <w:b/>
                <w:w w:val="110"/>
                <w:sz w:val="20"/>
              </w:rPr>
              <w:t>ministry</w:t>
            </w:r>
            <w:r>
              <w:rPr>
                <w:rFonts w:ascii="Stone Sans II ITC Std Bk"/>
                <w:b/>
                <w:spacing w:val="-13"/>
                <w:w w:val="110"/>
                <w:sz w:val="20"/>
              </w:rPr>
              <w:t> </w:t>
            </w:r>
            <w:r>
              <w:rPr>
                <w:rFonts w:ascii="Stone Sans II ITC Std Bk"/>
                <w:b/>
                <w:w w:val="110"/>
                <w:sz w:val="20"/>
              </w:rPr>
              <w:t>unhelpfully</w:t>
            </w:r>
            <w:r>
              <w:rPr>
                <w:rFonts w:ascii="Stone Sans II ITC Std Bk"/>
                <w:b/>
                <w:spacing w:val="-13"/>
                <w:w w:val="110"/>
                <w:sz w:val="20"/>
              </w:rPr>
              <w:t> </w:t>
            </w:r>
            <w:r>
              <w:rPr>
                <w:rFonts w:ascii="Stone Sans II ITC Std Bk"/>
                <w:b/>
                <w:w w:val="110"/>
                <w:sz w:val="20"/>
              </w:rPr>
              <w:t>in</w:t>
            </w:r>
            <w:r>
              <w:rPr>
                <w:rFonts w:ascii="Stone Sans II ITC Std Bk"/>
                <w:b/>
                <w:spacing w:val="-13"/>
                <w:w w:val="110"/>
                <w:sz w:val="20"/>
              </w:rPr>
              <w:t> </w:t>
            </w:r>
            <w:r>
              <w:rPr>
                <w:rFonts w:ascii="Stone Sans II ITC Std Bk"/>
                <w:b/>
                <w:w w:val="110"/>
                <w:sz w:val="20"/>
              </w:rPr>
              <w:t>one</w:t>
            </w:r>
            <w:r>
              <w:rPr>
                <w:rFonts w:ascii="Stone Sans II ITC Std Bk"/>
                <w:b/>
                <w:spacing w:val="-12"/>
                <w:w w:val="110"/>
                <w:sz w:val="20"/>
              </w:rPr>
              <w:t> </w:t>
            </w:r>
            <w:r>
              <w:rPr>
                <w:rFonts w:ascii="Stone Sans II ITC Std Bk"/>
                <w:b/>
                <w:w w:val="110"/>
                <w:sz w:val="20"/>
              </w:rPr>
              <w:t>place</w:t>
            </w:r>
            <w:r>
              <w:rPr>
                <w:rFonts w:ascii="Stone Sans II ITC Std Bk"/>
                <w:b/>
                <w:spacing w:val="-13"/>
                <w:w w:val="110"/>
                <w:sz w:val="20"/>
              </w:rPr>
              <w:t> </w:t>
            </w:r>
            <w:r>
              <w:rPr>
                <w:rFonts w:ascii="Stone Sans II ITC Std Bk"/>
                <w:b/>
                <w:w w:val="110"/>
                <w:sz w:val="20"/>
              </w:rPr>
              <w:t>and</w:t>
            </w:r>
            <w:r>
              <w:rPr>
                <w:rFonts w:ascii="Stone Sans II ITC Std Bk"/>
                <w:b/>
                <w:spacing w:val="-13"/>
                <w:w w:val="110"/>
                <w:sz w:val="20"/>
              </w:rPr>
              <w:t> </w:t>
            </w:r>
            <w:r>
              <w:rPr>
                <w:rFonts w:ascii="Stone Sans II ITC Std Bk"/>
                <w:b/>
                <w:w w:val="110"/>
                <w:sz w:val="20"/>
              </w:rPr>
              <w:t>then moving elsewhere without the previous difficulty being addressed </w:t>
            </w:r>
            <w:r>
              <w:rPr>
                <w:rFonts w:ascii="Stone Sans II ITC Std Bk"/>
                <w:b/>
                <w:spacing w:val="-3"/>
                <w:w w:val="110"/>
                <w:sz w:val="20"/>
              </w:rPr>
              <w:t>to </w:t>
            </w:r>
            <w:r>
              <w:rPr>
                <w:rFonts w:ascii="Stone Sans II ITC Std Bk"/>
                <w:b/>
                <w:w w:val="110"/>
                <w:sz w:val="20"/>
              </w:rPr>
              <w:t>try</w:t>
            </w:r>
            <w:r>
              <w:rPr>
                <w:rFonts w:ascii="Stone Sans II ITC Std Bk"/>
                <w:b/>
                <w:spacing w:val="-14"/>
                <w:w w:val="110"/>
                <w:sz w:val="20"/>
              </w:rPr>
              <w:t> </w:t>
            </w:r>
            <w:r>
              <w:rPr>
                <w:rFonts w:ascii="Stone Sans II ITC Std Bk"/>
                <w:b/>
                <w:w w:val="110"/>
                <w:sz w:val="20"/>
              </w:rPr>
              <w:t>again.</w:t>
            </w:r>
          </w:p>
        </w:tc>
      </w:tr>
    </w:tbl>
    <w:p>
      <w:pPr>
        <w:pStyle w:val="BodyText"/>
        <w:rPr>
          <w:rFonts w:ascii="Stone Sans II ITC Std Bk"/>
          <w:b/>
          <w:sz w:val="30"/>
        </w:rPr>
      </w:pPr>
    </w:p>
    <w:p>
      <w:pPr>
        <w:pStyle w:val="BodyText"/>
        <w:rPr>
          <w:rFonts w:ascii="Stone Sans II ITC Std Bk"/>
          <w:b/>
          <w:sz w:val="30"/>
        </w:rPr>
      </w:pPr>
    </w:p>
    <w:p>
      <w:pPr>
        <w:pStyle w:val="BodyText"/>
        <w:spacing w:before="6"/>
        <w:rPr>
          <w:rFonts w:ascii="Stone Sans II ITC Std Bk"/>
          <w:b/>
          <w:sz w:val="36"/>
        </w:rPr>
      </w:pPr>
    </w:p>
    <w:p>
      <w:pPr>
        <w:pStyle w:val="Heading6"/>
        <w:spacing w:before="0"/>
        <w:ind w:left="607"/>
      </w:pPr>
      <w:r>
        <w:rPr>
          <w:rFonts w:ascii="Stone Sans II ITC Std X Bd" w:hAnsi="Stone Sans II ITC Std X Bd"/>
          <w:b/>
          <w:w w:val="110"/>
          <w:sz w:val="24"/>
        </w:rPr>
        <w:t>90 </w:t>
      </w:r>
      <w:r>
        <w:rPr>
          <w:rFonts w:ascii="Symbol" w:hAnsi="Symbol"/>
          <w:color w:val="7EAABF"/>
          <w:w w:val="110"/>
        </w:rPr>
        <w:t></w:t>
      </w:r>
      <w:r>
        <w:rPr>
          <w:rFonts w:ascii="Times New Roman" w:hAnsi="Times New Roman"/>
          <w:color w:val="7EAABF"/>
          <w:w w:val="110"/>
        </w:rPr>
        <w:t> </w:t>
      </w:r>
      <w:r>
        <w:rPr>
          <w:color w:val="7EAABF"/>
          <w:w w:val="110"/>
        </w:rPr>
        <w:t>United Reformed Church </w:t>
      </w:r>
      <w:r>
        <w:rPr>
          <w:rFonts w:ascii="Symbol" w:hAnsi="Symbol"/>
          <w:color w:val="7EAABF"/>
          <w:w w:val="110"/>
        </w:rPr>
        <w:t></w:t>
      </w:r>
      <w:r>
        <w:rPr>
          <w:rFonts w:ascii="Times New Roman" w:hAnsi="Times New Roman"/>
          <w:color w:val="7EAABF"/>
          <w:w w:val="110"/>
        </w:rPr>
        <w:t> </w:t>
      </w:r>
      <w:r>
        <w:rPr>
          <w:color w:val="7EAABF"/>
          <w:w w:val="110"/>
        </w:rPr>
        <w:t>General Assembly 2016</w:t>
      </w:r>
    </w:p>
    <w:p>
      <w:pPr>
        <w:spacing w:after="0"/>
        <w:sectPr>
          <w:headerReference w:type="even" r:id="rId277"/>
          <w:footerReference w:type="even" r:id="rId278"/>
          <w:pgSz w:w="11910" w:h="16840"/>
          <w:pgMar w:header="0" w:footer="0" w:top="0" w:bottom="0" w:left="640" w:right="0"/>
        </w:sectPr>
      </w:pPr>
    </w:p>
    <w:p>
      <w:pPr>
        <w:pStyle w:val="BodyText"/>
      </w:pPr>
      <w:r>
        <w:rPr/>
        <w:pict>
          <v:rect style="position:absolute;margin-left:0pt;margin-top:.000015pt;width:549.207pt;height:841.89pt;mso-position-horizontal-relative:page;mso-position-vertical-relative:page;z-index:-267866112" filled="true" fillcolor="#d4e9f7" stroked="false">
            <v:fill type="solid"/>
            <w10:wrap type="none"/>
          </v:rect>
        </w:pict>
      </w:r>
      <w:r>
        <w:rPr/>
        <w:drawing>
          <wp:anchor distT="0" distB="0" distL="0" distR="0" allowOverlap="1" layoutInCell="1" locked="0" behindDoc="0" simplePos="0" relativeHeight="251905024">
            <wp:simplePos x="0" y="0"/>
            <wp:positionH relativeFrom="page">
              <wp:posOffset>6974928</wp:posOffset>
            </wp:positionH>
            <wp:positionV relativeFrom="page">
              <wp:posOffset>0</wp:posOffset>
            </wp:positionV>
            <wp:extent cx="585063" cy="10692003"/>
            <wp:effectExtent l="0" t="0" r="0" b="0"/>
            <wp:wrapNone/>
            <wp:docPr id="165" name="image54.png"/>
            <wp:cNvGraphicFramePr>
              <a:graphicFrameLocks noChangeAspect="1"/>
            </wp:cNvGraphicFramePr>
            <a:graphic>
              <a:graphicData uri="http://schemas.openxmlformats.org/drawingml/2006/picture">
                <pic:pic>
                  <pic:nvPicPr>
                    <pic:cNvPr id="166" name="image54.png"/>
                    <pic:cNvPicPr/>
                  </pic:nvPicPr>
                  <pic:blipFill>
                    <a:blip r:embed="rId169" cstate="print"/>
                    <a:stretch>
                      <a:fillRect/>
                    </a:stretch>
                  </pic:blipFill>
                  <pic:spPr>
                    <a:xfrm>
                      <a:off x="0" y="0"/>
                      <a:ext cx="585063" cy="10692003"/>
                    </a:xfrm>
                    <a:prstGeom prst="rect">
                      <a:avLst/>
                    </a:prstGeom>
                  </pic:spPr>
                </pic:pic>
              </a:graphicData>
            </a:graphic>
          </wp:anchor>
        </w:drawing>
      </w:r>
    </w:p>
    <w:p>
      <w:pPr>
        <w:pStyle w:val="BodyText"/>
      </w:pPr>
    </w:p>
    <w:p>
      <w:pPr>
        <w:pStyle w:val="BodyText"/>
      </w:pPr>
    </w:p>
    <w:p>
      <w:pPr>
        <w:pStyle w:val="BodyText"/>
      </w:pPr>
    </w:p>
    <w:p>
      <w:pPr>
        <w:pStyle w:val="BodyText"/>
        <w:spacing w:before="5"/>
        <w:rPr>
          <w:sz w:val="11"/>
        </w:rPr>
      </w:pPr>
    </w:p>
    <w:tbl>
      <w:tblPr>
        <w:tblW w:w="0" w:type="auto"/>
        <w:jc w:val="left"/>
        <w:tblInd w:w="111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660"/>
        <w:gridCol w:w="6587"/>
      </w:tblGrid>
      <w:tr>
        <w:trPr>
          <w:trHeight w:val="2600" w:hRule="atLeast"/>
        </w:trPr>
        <w:tc>
          <w:tcPr>
            <w:tcW w:w="2660" w:type="dxa"/>
            <w:shd w:val="clear" w:color="auto" w:fill="FFFFFF"/>
          </w:tcPr>
          <w:p>
            <w:pPr>
              <w:pStyle w:val="TableParagraph"/>
              <w:ind w:left="0"/>
              <w:rPr>
                <w:rFonts w:ascii="Times New Roman"/>
                <w:sz w:val="22"/>
              </w:rPr>
            </w:pPr>
          </w:p>
        </w:tc>
        <w:tc>
          <w:tcPr>
            <w:tcW w:w="6587" w:type="dxa"/>
            <w:tcBorders>
              <w:right w:val="nil"/>
            </w:tcBorders>
            <w:shd w:val="clear" w:color="auto" w:fill="FFFFFF"/>
          </w:tcPr>
          <w:p>
            <w:pPr>
              <w:pStyle w:val="TableParagraph"/>
              <w:numPr>
                <w:ilvl w:val="0"/>
                <w:numId w:val="123"/>
              </w:numPr>
              <w:tabs>
                <w:tab w:pos="760" w:val="left" w:leader="none"/>
                <w:tab w:pos="761" w:val="left" w:leader="none"/>
              </w:tabs>
              <w:spacing w:line="213" w:lineRule="auto" w:before="151" w:after="0"/>
              <w:ind w:left="80" w:right="491" w:firstLine="0"/>
              <w:jc w:val="left"/>
              <w:rPr>
                <w:rFonts w:ascii="Stone Sans II ITC Std Bk"/>
                <w:b/>
                <w:sz w:val="20"/>
              </w:rPr>
            </w:pPr>
            <w:r>
              <w:rPr>
                <w:rFonts w:ascii="Stone Sans II ITC Std Bk"/>
                <w:b/>
                <w:w w:val="110"/>
                <w:sz w:val="20"/>
              </w:rPr>
              <w:t>General Assembly agrees that the education and learning committee be invited to prepare an Assembly syllabus for the preparation of authorised elders and lay preachers, drawing on existing synod</w:t>
            </w:r>
            <w:r>
              <w:rPr>
                <w:rFonts w:ascii="Stone Sans II ITC Std Bk"/>
                <w:b/>
                <w:spacing w:val="2"/>
                <w:w w:val="110"/>
                <w:sz w:val="20"/>
              </w:rPr>
              <w:t> </w:t>
            </w:r>
            <w:r>
              <w:rPr>
                <w:rFonts w:ascii="Stone Sans II ITC Std Bk"/>
                <w:b/>
                <w:w w:val="110"/>
                <w:sz w:val="20"/>
              </w:rPr>
              <w:t>resources.</w:t>
            </w:r>
          </w:p>
          <w:p>
            <w:pPr>
              <w:pStyle w:val="TableParagraph"/>
              <w:spacing w:before="5"/>
              <w:ind w:left="0"/>
              <w:rPr>
                <w:sz w:val="19"/>
              </w:rPr>
            </w:pPr>
          </w:p>
          <w:p>
            <w:pPr>
              <w:pStyle w:val="TableParagraph"/>
              <w:numPr>
                <w:ilvl w:val="0"/>
                <w:numId w:val="123"/>
              </w:numPr>
              <w:tabs>
                <w:tab w:pos="760" w:val="left" w:leader="none"/>
                <w:tab w:pos="761" w:val="left" w:leader="none"/>
              </w:tabs>
              <w:spacing w:line="213" w:lineRule="auto" w:before="0" w:after="0"/>
              <w:ind w:left="80" w:right="711" w:firstLine="0"/>
              <w:jc w:val="left"/>
              <w:rPr>
                <w:rFonts w:ascii="Stone Sans II ITC Std Bk"/>
                <w:b/>
                <w:sz w:val="20"/>
              </w:rPr>
            </w:pPr>
            <w:r>
              <w:rPr>
                <w:rFonts w:ascii="Stone Sans II ITC Std Bk"/>
                <w:b/>
                <w:w w:val="110"/>
                <w:sz w:val="20"/>
              </w:rPr>
              <w:t>General Assembly agrees that further attention be given by the ministries and education and</w:t>
            </w:r>
            <w:r>
              <w:rPr>
                <w:rFonts w:ascii="Stone Sans II ITC Std Bk"/>
                <w:b/>
                <w:spacing w:val="8"/>
                <w:w w:val="110"/>
                <w:sz w:val="20"/>
              </w:rPr>
              <w:t> </w:t>
            </w:r>
            <w:r>
              <w:rPr>
                <w:rFonts w:ascii="Stone Sans II ITC Std Bk"/>
                <w:b/>
                <w:w w:val="110"/>
                <w:sz w:val="20"/>
              </w:rPr>
              <w:t>learning</w:t>
            </w:r>
          </w:p>
          <w:p>
            <w:pPr>
              <w:pStyle w:val="TableParagraph"/>
              <w:spacing w:line="213" w:lineRule="auto"/>
              <w:ind w:right="188"/>
              <w:rPr>
                <w:rFonts w:ascii="Stone Sans II ITC Std Bk"/>
                <w:b/>
                <w:sz w:val="20"/>
              </w:rPr>
            </w:pPr>
            <w:r>
              <w:rPr>
                <w:rFonts w:ascii="Stone Sans II ITC Std Bk"/>
                <w:b/>
                <w:w w:val="110"/>
                <w:sz w:val="20"/>
              </w:rPr>
              <w:t>committees to the possibility of expanding the concept of non-stipendiary ministry to include once more the original pattern of team non-stipendiary ministry.</w:t>
            </w:r>
          </w:p>
        </w:tc>
      </w:tr>
    </w:tbl>
    <w:p>
      <w:pPr>
        <w:pStyle w:val="BodyText"/>
        <w:spacing w:before="9"/>
        <w:rPr>
          <w:sz w:val="24"/>
        </w:rPr>
      </w:pPr>
    </w:p>
    <w:p>
      <w:pPr>
        <w:pStyle w:val="Heading4"/>
        <w:spacing w:before="94"/>
        <w:ind w:left="1103"/>
      </w:pPr>
      <w:r>
        <w:rPr/>
        <w:pict>
          <v:shape style="position:absolute;margin-left:554.141174pt;margin-top:-153.926575pt;width:25.9pt;height:360.55pt;mso-position-horizontal-relative:page;mso-position-vertical-relative:paragraph;z-index:251906048" type="#_x0000_t202" filled="false" stroked="false">
            <v:textbox inset="0,0,0,0" style="layout-flow:vertical">
              <w:txbxContent>
                <w:p>
                  <w:pPr>
                    <w:spacing w:before="27"/>
                    <w:ind w:left="20" w:right="0" w:firstLine="0"/>
                    <w:jc w:val="left"/>
                    <w:rPr>
                      <w:sz w:val="39"/>
                    </w:rPr>
                  </w:pPr>
                  <w:r>
                    <w:rPr>
                      <w:color w:val="FFFFFF"/>
                      <w:w w:val="120"/>
                      <w:sz w:val="39"/>
                    </w:rPr>
                    <w:t>Faith and order – </w:t>
                  </w:r>
                  <w:r>
                    <w:rPr>
                      <w:w w:val="120"/>
                      <w:sz w:val="39"/>
                    </w:rPr>
                    <w:t>Authorised elders</w:t>
                  </w:r>
                </w:p>
              </w:txbxContent>
            </v:textbox>
            <w10:wrap type="none"/>
          </v:shape>
        </w:pict>
      </w:r>
      <w:r>
        <w:rPr>
          <w:color w:val="7F7F7F"/>
        </w:rPr>
        <w:t>Summary of Content</w:t>
      </w:r>
    </w:p>
    <w:tbl>
      <w:tblPr>
        <w:tblW w:w="0" w:type="auto"/>
        <w:jc w:val="left"/>
        <w:tblInd w:w="111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660"/>
        <w:gridCol w:w="6582"/>
      </w:tblGrid>
      <w:tr>
        <w:trPr>
          <w:trHeight w:val="920" w:hRule="atLeast"/>
        </w:trPr>
        <w:tc>
          <w:tcPr>
            <w:tcW w:w="2660" w:type="dxa"/>
            <w:shd w:val="clear" w:color="auto" w:fill="FFFFFF"/>
          </w:tcPr>
          <w:p>
            <w:pPr>
              <w:pStyle w:val="TableParagraph"/>
              <w:spacing w:before="128"/>
              <w:rPr>
                <w:rFonts w:ascii="Stone Sans II ITC Std Bk"/>
                <w:b/>
                <w:sz w:val="20"/>
              </w:rPr>
            </w:pPr>
            <w:r>
              <w:rPr>
                <w:rFonts w:ascii="Stone Sans II ITC Std Bk"/>
                <w:b/>
                <w:w w:val="110"/>
                <w:sz w:val="20"/>
              </w:rPr>
              <w:t>Subject and aim(s)</w:t>
            </w:r>
          </w:p>
        </w:tc>
        <w:tc>
          <w:tcPr>
            <w:tcW w:w="6582" w:type="dxa"/>
            <w:tcBorders>
              <w:right w:val="nil"/>
            </w:tcBorders>
            <w:shd w:val="clear" w:color="auto" w:fill="FFFFFF"/>
          </w:tcPr>
          <w:p>
            <w:pPr>
              <w:pStyle w:val="TableParagraph"/>
              <w:spacing w:line="235" w:lineRule="auto" w:before="145"/>
              <w:ind w:right="257"/>
              <w:rPr>
                <w:sz w:val="20"/>
              </w:rPr>
            </w:pPr>
            <w:r>
              <w:rPr>
                <w:spacing w:val="-7"/>
                <w:w w:val="120"/>
                <w:sz w:val="20"/>
              </w:rPr>
              <w:t>To </w:t>
            </w:r>
            <w:r>
              <w:rPr>
                <w:w w:val="120"/>
                <w:sz w:val="20"/>
              </w:rPr>
              <w:t>respond to resolution </w:t>
            </w:r>
            <w:r>
              <w:rPr>
                <w:spacing w:val="-11"/>
                <w:w w:val="120"/>
                <w:sz w:val="20"/>
              </w:rPr>
              <w:t>13  </w:t>
            </w:r>
            <w:r>
              <w:rPr>
                <w:w w:val="120"/>
                <w:sz w:val="20"/>
              </w:rPr>
              <w:t>of Assembly </w:t>
            </w:r>
            <w:r>
              <w:rPr>
                <w:spacing w:val="-7"/>
                <w:w w:val="120"/>
                <w:sz w:val="20"/>
              </w:rPr>
              <w:t>2014  </w:t>
            </w:r>
            <w:r>
              <w:rPr>
                <w:w w:val="120"/>
                <w:sz w:val="20"/>
              </w:rPr>
              <w:t>asking for work to be done on the possibility of authorising ‘celebrant elders’ to preside at the</w:t>
            </w:r>
            <w:r>
              <w:rPr>
                <w:spacing w:val="5"/>
                <w:w w:val="120"/>
                <w:sz w:val="20"/>
              </w:rPr>
              <w:t> </w:t>
            </w:r>
            <w:r>
              <w:rPr>
                <w:w w:val="120"/>
                <w:sz w:val="20"/>
              </w:rPr>
              <w:t>sacraments</w:t>
            </w:r>
          </w:p>
        </w:tc>
      </w:tr>
      <w:tr>
        <w:trPr>
          <w:trHeight w:val="4520" w:hRule="atLeast"/>
        </w:trPr>
        <w:tc>
          <w:tcPr>
            <w:tcW w:w="2660" w:type="dxa"/>
            <w:shd w:val="clear" w:color="auto" w:fill="FFFFFF"/>
          </w:tcPr>
          <w:p>
            <w:pPr>
              <w:pStyle w:val="TableParagraph"/>
              <w:spacing w:before="128"/>
              <w:rPr>
                <w:rFonts w:ascii="Stone Sans II ITC Std Bk"/>
                <w:b/>
                <w:sz w:val="20"/>
              </w:rPr>
            </w:pPr>
            <w:r>
              <w:rPr>
                <w:rFonts w:ascii="Stone Sans II ITC Std Bk"/>
                <w:b/>
                <w:w w:val="110"/>
                <w:sz w:val="20"/>
              </w:rPr>
              <w:t>Main points</w:t>
            </w:r>
          </w:p>
        </w:tc>
        <w:tc>
          <w:tcPr>
            <w:tcW w:w="6582" w:type="dxa"/>
            <w:tcBorders>
              <w:right w:val="nil"/>
            </w:tcBorders>
            <w:shd w:val="clear" w:color="auto" w:fill="FFFFFF"/>
          </w:tcPr>
          <w:p>
            <w:pPr>
              <w:pStyle w:val="TableParagraph"/>
              <w:numPr>
                <w:ilvl w:val="0"/>
                <w:numId w:val="124"/>
              </w:numPr>
              <w:tabs>
                <w:tab w:pos="760" w:val="left" w:leader="none"/>
                <w:tab w:pos="761" w:val="left" w:leader="none"/>
              </w:tabs>
              <w:spacing w:line="242" w:lineRule="exact" w:before="141" w:after="0"/>
              <w:ind w:left="760" w:right="0" w:hanging="681"/>
              <w:jc w:val="left"/>
              <w:rPr>
                <w:i/>
                <w:sz w:val="20"/>
              </w:rPr>
            </w:pPr>
            <w:r>
              <w:rPr>
                <w:w w:val="120"/>
                <w:sz w:val="20"/>
              </w:rPr>
              <w:t>Revision of the Guidance on Presidency (</w:t>
            </w:r>
            <w:r>
              <w:rPr>
                <w:i/>
                <w:w w:val="120"/>
                <w:sz w:val="20"/>
              </w:rPr>
              <w:t>The Manual,</w:t>
            </w:r>
          </w:p>
          <w:p>
            <w:pPr>
              <w:pStyle w:val="TableParagraph"/>
              <w:spacing w:line="240" w:lineRule="exact"/>
              <w:ind w:left="760"/>
              <w:rPr>
                <w:sz w:val="20"/>
              </w:rPr>
            </w:pPr>
            <w:r>
              <w:rPr>
                <w:w w:val="125"/>
                <w:sz w:val="20"/>
              </w:rPr>
              <w:t>Section F)</w:t>
            </w:r>
          </w:p>
          <w:p>
            <w:pPr>
              <w:pStyle w:val="TableParagraph"/>
              <w:numPr>
                <w:ilvl w:val="0"/>
                <w:numId w:val="124"/>
              </w:numPr>
              <w:tabs>
                <w:tab w:pos="760" w:val="left" w:leader="none"/>
                <w:tab w:pos="761" w:val="left" w:leader="none"/>
              </w:tabs>
              <w:spacing w:line="240" w:lineRule="exact" w:before="0" w:after="0"/>
              <w:ind w:left="760" w:right="0" w:hanging="681"/>
              <w:jc w:val="left"/>
              <w:rPr>
                <w:sz w:val="20"/>
              </w:rPr>
            </w:pPr>
            <w:r>
              <w:rPr>
                <w:w w:val="120"/>
                <w:sz w:val="20"/>
              </w:rPr>
              <w:t>Extension of the normal period of</w:t>
            </w:r>
            <w:r>
              <w:rPr>
                <w:spacing w:val="6"/>
                <w:w w:val="120"/>
                <w:sz w:val="20"/>
              </w:rPr>
              <w:t> </w:t>
            </w:r>
            <w:r>
              <w:rPr>
                <w:w w:val="120"/>
                <w:sz w:val="20"/>
              </w:rPr>
              <w:t>authorisation</w:t>
            </w:r>
          </w:p>
          <w:p>
            <w:pPr>
              <w:pStyle w:val="TableParagraph"/>
              <w:numPr>
                <w:ilvl w:val="0"/>
                <w:numId w:val="124"/>
              </w:numPr>
              <w:tabs>
                <w:tab w:pos="760" w:val="left" w:leader="none"/>
                <w:tab w:pos="761" w:val="left" w:leader="none"/>
              </w:tabs>
              <w:spacing w:line="235" w:lineRule="auto" w:before="2" w:after="0"/>
              <w:ind w:left="760" w:right="565" w:hanging="681"/>
              <w:jc w:val="left"/>
              <w:rPr>
                <w:sz w:val="20"/>
              </w:rPr>
            </w:pPr>
            <w:r>
              <w:rPr>
                <w:w w:val="120"/>
                <w:sz w:val="20"/>
              </w:rPr>
              <w:t>Synods to organise regular support and guidance for each church without an authorised elder, and to hold regular meetings for all authorised</w:t>
            </w:r>
            <w:r>
              <w:rPr>
                <w:spacing w:val="8"/>
                <w:w w:val="120"/>
                <w:sz w:val="20"/>
              </w:rPr>
              <w:t> </w:t>
            </w:r>
            <w:r>
              <w:rPr>
                <w:w w:val="120"/>
                <w:sz w:val="20"/>
              </w:rPr>
              <w:t>elders</w:t>
            </w:r>
          </w:p>
          <w:p>
            <w:pPr>
              <w:pStyle w:val="TableParagraph"/>
              <w:numPr>
                <w:ilvl w:val="0"/>
                <w:numId w:val="124"/>
              </w:numPr>
              <w:tabs>
                <w:tab w:pos="760" w:val="left" w:leader="none"/>
                <w:tab w:pos="761" w:val="left" w:leader="none"/>
              </w:tabs>
              <w:spacing w:line="235" w:lineRule="auto" w:before="2" w:after="0"/>
              <w:ind w:left="760" w:right="742" w:hanging="681"/>
              <w:jc w:val="left"/>
              <w:rPr>
                <w:sz w:val="20"/>
              </w:rPr>
            </w:pPr>
            <w:r>
              <w:rPr>
                <w:w w:val="120"/>
                <w:sz w:val="20"/>
              </w:rPr>
              <w:t>Ministries committee to prepare a code of conduct for authorised elders, which they would sign before embarking on their</w:t>
            </w:r>
            <w:r>
              <w:rPr>
                <w:spacing w:val="7"/>
                <w:w w:val="120"/>
                <w:sz w:val="20"/>
              </w:rPr>
              <w:t> </w:t>
            </w:r>
            <w:r>
              <w:rPr>
                <w:w w:val="120"/>
                <w:sz w:val="20"/>
              </w:rPr>
              <w:t>ministry</w:t>
            </w:r>
          </w:p>
          <w:p>
            <w:pPr>
              <w:pStyle w:val="TableParagraph"/>
              <w:numPr>
                <w:ilvl w:val="0"/>
                <w:numId w:val="124"/>
              </w:numPr>
              <w:tabs>
                <w:tab w:pos="760" w:val="left" w:leader="none"/>
                <w:tab w:pos="761" w:val="left" w:leader="none"/>
              </w:tabs>
              <w:spacing w:line="235" w:lineRule="auto" w:before="2" w:after="0"/>
              <w:ind w:left="760" w:right="260" w:hanging="681"/>
              <w:jc w:val="left"/>
              <w:rPr>
                <w:sz w:val="20"/>
              </w:rPr>
            </w:pPr>
            <w:r>
              <w:rPr>
                <w:w w:val="120"/>
                <w:sz w:val="20"/>
              </w:rPr>
              <w:t>General</w:t>
            </w:r>
            <w:r>
              <w:rPr>
                <w:spacing w:val="-6"/>
                <w:w w:val="120"/>
                <w:sz w:val="20"/>
              </w:rPr>
              <w:t> </w:t>
            </w:r>
            <w:r>
              <w:rPr>
                <w:w w:val="120"/>
                <w:sz w:val="20"/>
              </w:rPr>
              <w:t>Secretariat</w:t>
            </w:r>
            <w:r>
              <w:rPr>
                <w:spacing w:val="-5"/>
                <w:w w:val="120"/>
                <w:sz w:val="20"/>
              </w:rPr>
              <w:t> </w:t>
            </w:r>
            <w:r>
              <w:rPr>
                <w:w w:val="120"/>
                <w:sz w:val="20"/>
              </w:rPr>
              <w:t>to</w:t>
            </w:r>
            <w:r>
              <w:rPr>
                <w:spacing w:val="-5"/>
                <w:w w:val="120"/>
                <w:sz w:val="20"/>
              </w:rPr>
              <w:t> </w:t>
            </w:r>
            <w:r>
              <w:rPr>
                <w:w w:val="120"/>
                <w:sz w:val="20"/>
              </w:rPr>
              <w:t>maintain</w:t>
            </w:r>
            <w:r>
              <w:rPr>
                <w:spacing w:val="-5"/>
                <w:w w:val="120"/>
                <w:sz w:val="20"/>
              </w:rPr>
              <w:t> </w:t>
            </w:r>
            <w:r>
              <w:rPr>
                <w:w w:val="120"/>
                <w:sz w:val="20"/>
              </w:rPr>
              <w:t>a</w:t>
            </w:r>
            <w:r>
              <w:rPr>
                <w:spacing w:val="-5"/>
                <w:w w:val="120"/>
                <w:sz w:val="20"/>
              </w:rPr>
              <w:t> </w:t>
            </w:r>
            <w:r>
              <w:rPr>
                <w:w w:val="120"/>
                <w:sz w:val="20"/>
              </w:rPr>
              <w:t>list</w:t>
            </w:r>
            <w:r>
              <w:rPr>
                <w:spacing w:val="-5"/>
                <w:w w:val="120"/>
                <w:sz w:val="20"/>
              </w:rPr>
              <w:t> </w:t>
            </w:r>
            <w:r>
              <w:rPr>
                <w:w w:val="120"/>
                <w:sz w:val="20"/>
              </w:rPr>
              <w:t>of</w:t>
            </w:r>
            <w:r>
              <w:rPr>
                <w:spacing w:val="-5"/>
                <w:w w:val="120"/>
                <w:sz w:val="20"/>
              </w:rPr>
              <w:t> </w:t>
            </w:r>
            <w:r>
              <w:rPr>
                <w:w w:val="120"/>
                <w:sz w:val="20"/>
              </w:rPr>
              <w:t>authorised</w:t>
            </w:r>
            <w:r>
              <w:rPr>
                <w:spacing w:val="-6"/>
                <w:w w:val="120"/>
                <w:sz w:val="20"/>
              </w:rPr>
              <w:t> </w:t>
            </w:r>
            <w:r>
              <w:rPr>
                <w:w w:val="120"/>
                <w:sz w:val="20"/>
              </w:rPr>
              <w:t>elders whose service has proved</w:t>
            </w:r>
            <w:r>
              <w:rPr>
                <w:spacing w:val="5"/>
                <w:w w:val="120"/>
                <w:sz w:val="20"/>
              </w:rPr>
              <w:t> </w:t>
            </w:r>
            <w:r>
              <w:rPr>
                <w:w w:val="120"/>
                <w:sz w:val="20"/>
              </w:rPr>
              <w:t>unsatisfactory</w:t>
            </w:r>
          </w:p>
          <w:p>
            <w:pPr>
              <w:pStyle w:val="TableParagraph"/>
              <w:numPr>
                <w:ilvl w:val="0"/>
                <w:numId w:val="124"/>
              </w:numPr>
              <w:tabs>
                <w:tab w:pos="760" w:val="left" w:leader="none"/>
                <w:tab w:pos="761" w:val="left" w:leader="none"/>
              </w:tabs>
              <w:spacing w:line="235" w:lineRule="auto" w:before="2" w:after="0"/>
              <w:ind w:left="760" w:right="772" w:hanging="681"/>
              <w:jc w:val="left"/>
              <w:rPr>
                <w:sz w:val="20"/>
              </w:rPr>
            </w:pPr>
            <w:r>
              <w:rPr>
                <w:w w:val="120"/>
                <w:sz w:val="20"/>
              </w:rPr>
              <w:t>Education and learning committee to be invited to prepare an Assembly syllabus for the preparation</w:t>
            </w:r>
            <w:r>
              <w:rPr>
                <w:spacing w:val="-28"/>
                <w:w w:val="120"/>
                <w:sz w:val="20"/>
              </w:rPr>
              <w:t> </w:t>
            </w:r>
            <w:r>
              <w:rPr>
                <w:w w:val="120"/>
                <w:sz w:val="20"/>
              </w:rPr>
              <w:t>of authorised elders, drawing on synod</w:t>
            </w:r>
            <w:r>
              <w:rPr>
                <w:spacing w:val="15"/>
                <w:w w:val="120"/>
                <w:sz w:val="20"/>
              </w:rPr>
              <w:t> </w:t>
            </w:r>
            <w:r>
              <w:rPr>
                <w:w w:val="120"/>
                <w:sz w:val="20"/>
              </w:rPr>
              <w:t>resources</w:t>
            </w:r>
          </w:p>
          <w:p>
            <w:pPr>
              <w:pStyle w:val="TableParagraph"/>
              <w:numPr>
                <w:ilvl w:val="0"/>
                <w:numId w:val="124"/>
              </w:numPr>
              <w:tabs>
                <w:tab w:pos="760" w:val="left" w:leader="none"/>
                <w:tab w:pos="761" w:val="left" w:leader="none"/>
              </w:tabs>
              <w:spacing w:line="235" w:lineRule="auto" w:before="2" w:after="0"/>
              <w:ind w:left="760" w:right="465" w:hanging="681"/>
              <w:jc w:val="left"/>
              <w:rPr>
                <w:sz w:val="20"/>
              </w:rPr>
            </w:pPr>
            <w:r>
              <w:rPr>
                <w:w w:val="120"/>
                <w:sz w:val="20"/>
              </w:rPr>
              <w:t>Ministries and education and learning committees to be invited to give further attention to the possibility of restoring the original pattern of team non-stipendiary ministry</w:t>
            </w:r>
          </w:p>
        </w:tc>
      </w:tr>
      <w:tr>
        <w:trPr>
          <w:trHeight w:val="680" w:hRule="atLeast"/>
        </w:trPr>
        <w:tc>
          <w:tcPr>
            <w:tcW w:w="2660" w:type="dxa"/>
            <w:shd w:val="clear" w:color="auto" w:fill="FFFFFF"/>
          </w:tcPr>
          <w:p>
            <w:pPr>
              <w:pStyle w:val="TableParagraph"/>
              <w:spacing w:line="213" w:lineRule="auto" w:before="151"/>
              <w:ind w:right="701"/>
              <w:rPr>
                <w:rFonts w:ascii="Stone Sans II ITC Std Bk"/>
                <w:b/>
                <w:sz w:val="20"/>
              </w:rPr>
            </w:pPr>
            <w:r>
              <w:rPr>
                <w:rFonts w:ascii="Stone Sans II ITC Std Bk"/>
                <w:b/>
                <w:w w:val="110"/>
                <w:sz w:val="20"/>
              </w:rPr>
              <w:t>Previous relevant documents</w:t>
            </w:r>
          </w:p>
        </w:tc>
        <w:tc>
          <w:tcPr>
            <w:tcW w:w="6582" w:type="dxa"/>
            <w:tcBorders>
              <w:right w:val="nil"/>
            </w:tcBorders>
            <w:shd w:val="clear" w:color="auto" w:fill="FFFFFF"/>
          </w:tcPr>
          <w:p>
            <w:pPr>
              <w:pStyle w:val="TableParagraph"/>
              <w:spacing w:line="235" w:lineRule="auto" w:before="145"/>
              <w:ind w:right="1112"/>
              <w:rPr>
                <w:sz w:val="20"/>
              </w:rPr>
            </w:pPr>
            <w:r>
              <w:rPr>
                <w:w w:val="120"/>
                <w:sz w:val="20"/>
              </w:rPr>
              <w:t>General Assembly 2012, Resolution 35, </w:t>
            </w:r>
            <w:r>
              <w:rPr>
                <w:i/>
                <w:w w:val="120"/>
                <w:sz w:val="20"/>
              </w:rPr>
              <w:t>The Record </w:t>
            </w:r>
            <w:r>
              <w:rPr>
                <w:w w:val="120"/>
                <w:sz w:val="20"/>
              </w:rPr>
              <w:t>p41 General Assembly 2014, Resolution 13, </w:t>
            </w:r>
            <w:r>
              <w:rPr>
                <w:i/>
                <w:w w:val="120"/>
                <w:sz w:val="20"/>
              </w:rPr>
              <w:t>The Record </w:t>
            </w:r>
            <w:r>
              <w:rPr>
                <w:w w:val="120"/>
                <w:sz w:val="20"/>
              </w:rPr>
              <w:t>p6</w:t>
            </w:r>
          </w:p>
        </w:tc>
      </w:tr>
      <w:tr>
        <w:trPr>
          <w:trHeight w:val="920" w:hRule="atLeast"/>
        </w:trPr>
        <w:tc>
          <w:tcPr>
            <w:tcW w:w="2660" w:type="dxa"/>
            <w:shd w:val="clear" w:color="auto" w:fill="FFFFFF"/>
          </w:tcPr>
          <w:p>
            <w:pPr>
              <w:pStyle w:val="TableParagraph"/>
              <w:spacing w:line="213" w:lineRule="auto" w:before="151"/>
              <w:ind w:right="576"/>
              <w:rPr>
                <w:rFonts w:ascii="Stone Sans II ITC Std Bk"/>
                <w:b/>
                <w:sz w:val="20"/>
              </w:rPr>
            </w:pPr>
            <w:r>
              <w:rPr>
                <w:rFonts w:ascii="Stone Sans II ITC Std Bk"/>
                <w:b/>
                <w:w w:val="110"/>
                <w:sz w:val="20"/>
              </w:rPr>
              <w:t>Consultation has taken place with...</w:t>
            </w:r>
          </w:p>
        </w:tc>
        <w:tc>
          <w:tcPr>
            <w:tcW w:w="6582" w:type="dxa"/>
            <w:tcBorders>
              <w:right w:val="nil"/>
            </w:tcBorders>
            <w:shd w:val="clear" w:color="auto" w:fill="FFFFFF"/>
          </w:tcPr>
          <w:p>
            <w:pPr>
              <w:pStyle w:val="TableParagraph"/>
              <w:spacing w:line="242" w:lineRule="exact" w:before="141"/>
              <w:rPr>
                <w:sz w:val="20"/>
              </w:rPr>
            </w:pPr>
            <w:r>
              <w:rPr>
                <w:w w:val="120"/>
                <w:sz w:val="20"/>
              </w:rPr>
              <w:t>Synod moderators September 2015</w:t>
            </w:r>
          </w:p>
          <w:p>
            <w:pPr>
              <w:pStyle w:val="TableParagraph"/>
              <w:spacing w:line="235" w:lineRule="auto" w:before="2"/>
              <w:ind w:right="343"/>
              <w:rPr>
                <w:sz w:val="20"/>
              </w:rPr>
            </w:pPr>
            <w:r>
              <w:rPr>
                <w:w w:val="120"/>
                <w:sz w:val="20"/>
              </w:rPr>
              <w:t>Secretaries for Ministries and Education and Learning Ministries committee group on non-stipendiary ministry</w:t>
            </w:r>
          </w:p>
        </w:tc>
      </w:tr>
    </w:tbl>
    <w:p>
      <w:pPr>
        <w:pStyle w:val="BodyText"/>
        <w:spacing w:before="3"/>
        <w:rPr>
          <w:rFonts w:ascii="Stone Sans II ITC Std Bk"/>
          <w:b/>
          <w:sz w:val="29"/>
        </w:rPr>
      </w:pPr>
    </w:p>
    <w:p>
      <w:pPr>
        <w:pStyle w:val="Heading4"/>
        <w:spacing w:before="1"/>
        <w:ind w:left="1103"/>
      </w:pPr>
      <w:r>
        <w:rPr>
          <w:color w:val="7F7F7F"/>
        </w:rPr>
        <w:t>Summary of Impact</w:t>
      </w:r>
    </w:p>
    <w:tbl>
      <w:tblPr>
        <w:tblW w:w="0" w:type="auto"/>
        <w:jc w:val="left"/>
        <w:tblInd w:w="111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660"/>
        <w:gridCol w:w="6582"/>
      </w:tblGrid>
      <w:tr>
        <w:trPr>
          <w:trHeight w:val="440" w:hRule="atLeast"/>
        </w:trPr>
        <w:tc>
          <w:tcPr>
            <w:tcW w:w="2660" w:type="dxa"/>
            <w:shd w:val="clear" w:color="auto" w:fill="FFFFFF"/>
          </w:tcPr>
          <w:p>
            <w:pPr>
              <w:pStyle w:val="TableParagraph"/>
              <w:spacing w:before="128"/>
              <w:rPr>
                <w:rFonts w:ascii="Stone Sans II ITC Std Bk"/>
                <w:b/>
                <w:sz w:val="20"/>
              </w:rPr>
            </w:pPr>
            <w:r>
              <w:rPr>
                <w:rFonts w:ascii="Stone Sans II ITC Std Bk"/>
                <w:b/>
                <w:w w:val="110"/>
                <w:sz w:val="20"/>
              </w:rPr>
              <w:t>Financial</w:t>
            </w:r>
          </w:p>
        </w:tc>
        <w:tc>
          <w:tcPr>
            <w:tcW w:w="6582" w:type="dxa"/>
            <w:tcBorders>
              <w:right w:val="nil"/>
            </w:tcBorders>
            <w:shd w:val="clear" w:color="auto" w:fill="FFFFFF"/>
          </w:tcPr>
          <w:p>
            <w:pPr>
              <w:pStyle w:val="TableParagraph"/>
              <w:spacing w:before="141"/>
              <w:rPr>
                <w:sz w:val="20"/>
              </w:rPr>
            </w:pPr>
            <w:r>
              <w:rPr>
                <w:w w:val="120"/>
                <w:sz w:val="20"/>
              </w:rPr>
              <w:t>No significant financial implication</w:t>
            </w:r>
          </w:p>
        </w:tc>
      </w:tr>
      <w:tr>
        <w:trPr>
          <w:trHeight w:val="680" w:hRule="atLeast"/>
        </w:trPr>
        <w:tc>
          <w:tcPr>
            <w:tcW w:w="2660" w:type="dxa"/>
            <w:shd w:val="clear" w:color="auto" w:fill="FFFFFF"/>
          </w:tcPr>
          <w:p>
            <w:pPr>
              <w:pStyle w:val="TableParagraph"/>
              <w:spacing w:line="255" w:lineRule="exact" w:before="128"/>
              <w:rPr>
                <w:rFonts w:ascii="Stone Sans II ITC Std Bk"/>
                <w:b/>
                <w:sz w:val="20"/>
              </w:rPr>
            </w:pPr>
            <w:r>
              <w:rPr>
                <w:rFonts w:ascii="Stone Sans II ITC Std Bk"/>
                <w:b/>
                <w:w w:val="110"/>
                <w:sz w:val="20"/>
              </w:rPr>
              <w:t>External</w:t>
            </w:r>
          </w:p>
          <w:p>
            <w:pPr>
              <w:pStyle w:val="TableParagraph"/>
              <w:spacing w:line="255" w:lineRule="exact"/>
              <w:rPr>
                <w:rFonts w:ascii="Stone Sans II ITC Std Bk"/>
                <w:b/>
                <w:sz w:val="20"/>
              </w:rPr>
            </w:pPr>
            <w:r>
              <w:rPr>
                <w:rFonts w:ascii="Stone Sans II ITC Std Bk"/>
                <w:b/>
                <w:w w:val="110"/>
                <w:sz w:val="20"/>
              </w:rPr>
              <w:t>(e.g. ecumenical)</w:t>
            </w:r>
          </w:p>
        </w:tc>
        <w:tc>
          <w:tcPr>
            <w:tcW w:w="6582" w:type="dxa"/>
            <w:tcBorders>
              <w:right w:val="nil"/>
            </w:tcBorders>
            <w:shd w:val="clear" w:color="auto" w:fill="FFFFFF"/>
          </w:tcPr>
          <w:p>
            <w:pPr>
              <w:pStyle w:val="TableParagraph"/>
              <w:spacing w:before="141"/>
              <w:rPr>
                <w:sz w:val="20"/>
              </w:rPr>
            </w:pPr>
            <w:r>
              <w:rPr>
                <w:w w:val="120"/>
                <w:sz w:val="20"/>
              </w:rPr>
              <w:t>No change in position regarding sister churches.</w:t>
            </w:r>
          </w:p>
        </w:tc>
      </w:tr>
    </w:tbl>
    <w:p>
      <w:pPr>
        <w:pStyle w:val="BodyText"/>
        <w:rPr>
          <w:rFonts w:ascii="Stone Sans II ITC Std Bk"/>
          <w:b/>
          <w:sz w:val="30"/>
        </w:rPr>
      </w:pPr>
    </w:p>
    <w:p>
      <w:pPr>
        <w:pStyle w:val="BodyText"/>
        <w:rPr>
          <w:rFonts w:ascii="Stone Sans II ITC Std Bk"/>
          <w:b/>
          <w:sz w:val="30"/>
        </w:rPr>
      </w:pPr>
    </w:p>
    <w:p>
      <w:pPr>
        <w:pStyle w:val="BodyText"/>
        <w:rPr>
          <w:rFonts w:ascii="Stone Sans II ITC Std Bk"/>
          <w:b/>
          <w:sz w:val="30"/>
        </w:rPr>
      </w:pPr>
    </w:p>
    <w:p>
      <w:pPr>
        <w:pStyle w:val="BodyText"/>
        <w:rPr>
          <w:rFonts w:ascii="Stone Sans II ITC Std Bk"/>
          <w:b/>
          <w:sz w:val="30"/>
        </w:rPr>
      </w:pPr>
    </w:p>
    <w:p>
      <w:pPr>
        <w:pStyle w:val="BodyText"/>
        <w:rPr>
          <w:rFonts w:ascii="Stone Sans II ITC Std Bk"/>
          <w:b/>
          <w:sz w:val="30"/>
        </w:rPr>
      </w:pPr>
    </w:p>
    <w:p>
      <w:pPr>
        <w:pStyle w:val="BodyText"/>
        <w:spacing w:before="10"/>
        <w:rPr>
          <w:rFonts w:ascii="Stone Sans II ITC Std Bk"/>
          <w:b/>
          <w:sz w:val="38"/>
        </w:rPr>
      </w:pPr>
    </w:p>
    <w:p>
      <w:pPr>
        <w:pStyle w:val="Heading6"/>
        <w:spacing w:before="0"/>
        <w:ind w:left="3878"/>
        <w:rPr>
          <w:rFonts w:ascii="Stone Sans II ITC Std X Bd" w:hAnsi="Stone Sans II ITC Std X Bd"/>
          <w:b/>
          <w:sz w:val="24"/>
        </w:rPr>
      </w:pPr>
      <w:r>
        <w:rPr>
          <w:color w:val="7EAABF"/>
          <w:w w:val="110"/>
        </w:rPr>
        <w:t>United Reformed Church </w:t>
      </w:r>
      <w:r>
        <w:rPr>
          <w:rFonts w:ascii="Symbol" w:hAnsi="Symbol"/>
          <w:color w:val="7EAABF"/>
          <w:w w:val="110"/>
        </w:rPr>
        <w:t></w:t>
      </w:r>
      <w:r>
        <w:rPr>
          <w:rFonts w:ascii="Times New Roman" w:hAnsi="Times New Roman"/>
          <w:color w:val="7EAABF"/>
          <w:w w:val="110"/>
        </w:rPr>
        <w:t> </w:t>
      </w:r>
      <w:r>
        <w:rPr>
          <w:color w:val="7EAABF"/>
          <w:w w:val="110"/>
        </w:rPr>
        <w:t>General Assembly 2016 </w:t>
      </w:r>
      <w:r>
        <w:rPr>
          <w:rFonts w:ascii="Symbol" w:hAnsi="Symbol"/>
          <w:color w:val="7EAABF"/>
          <w:w w:val="110"/>
        </w:rPr>
        <w:t></w:t>
      </w:r>
      <w:r>
        <w:rPr>
          <w:rFonts w:ascii="Times New Roman" w:hAnsi="Times New Roman"/>
          <w:color w:val="7EAABF"/>
          <w:w w:val="110"/>
        </w:rPr>
        <w:t> </w:t>
      </w:r>
      <w:r>
        <w:rPr>
          <w:rFonts w:ascii="Stone Sans II ITC Std X Bd" w:hAnsi="Stone Sans II ITC Std X Bd"/>
          <w:b/>
          <w:w w:val="110"/>
          <w:sz w:val="24"/>
        </w:rPr>
        <w:t>91</w:t>
      </w:r>
    </w:p>
    <w:p>
      <w:pPr>
        <w:spacing w:after="0"/>
        <w:rPr>
          <w:rFonts w:ascii="Stone Sans II ITC Std X Bd" w:hAnsi="Stone Sans II ITC Std X Bd"/>
          <w:sz w:val="24"/>
        </w:rPr>
        <w:sectPr>
          <w:headerReference w:type="default" r:id="rId280"/>
          <w:footerReference w:type="default" r:id="rId281"/>
          <w:pgSz w:w="11910" w:h="16840"/>
          <w:pgMar w:header="0" w:footer="0" w:top="0" w:bottom="0" w:left="640" w:right="0"/>
        </w:sectPr>
      </w:pPr>
    </w:p>
    <w:p>
      <w:pPr>
        <w:pStyle w:val="BodyText"/>
        <w:rPr>
          <w:rFonts w:ascii="Stone Sans II ITC Std X Bd"/>
          <w:b/>
        </w:rPr>
      </w:pPr>
      <w:r>
        <w:rPr/>
        <w:drawing>
          <wp:anchor distT="0" distB="0" distL="0" distR="0" allowOverlap="1" layoutInCell="1" locked="0" behindDoc="1" simplePos="0" relativeHeight="235453440">
            <wp:simplePos x="0" y="0"/>
            <wp:positionH relativeFrom="page">
              <wp:posOffset>0</wp:posOffset>
            </wp:positionH>
            <wp:positionV relativeFrom="page">
              <wp:posOffset>0</wp:posOffset>
            </wp:positionV>
            <wp:extent cx="594067" cy="10692003"/>
            <wp:effectExtent l="0" t="0" r="0" b="0"/>
            <wp:wrapNone/>
            <wp:docPr id="167" name="image67.png"/>
            <wp:cNvGraphicFramePr>
              <a:graphicFrameLocks noChangeAspect="1"/>
            </wp:cNvGraphicFramePr>
            <a:graphic>
              <a:graphicData uri="http://schemas.openxmlformats.org/drawingml/2006/picture">
                <pic:pic>
                  <pic:nvPicPr>
                    <pic:cNvPr id="168" name="image67.png"/>
                    <pic:cNvPicPr/>
                  </pic:nvPicPr>
                  <pic:blipFill>
                    <a:blip r:embed="rId184" cstate="print"/>
                    <a:stretch>
                      <a:fillRect/>
                    </a:stretch>
                  </pic:blipFill>
                  <pic:spPr>
                    <a:xfrm>
                      <a:off x="0" y="0"/>
                      <a:ext cx="594067" cy="10692003"/>
                    </a:xfrm>
                    <a:prstGeom prst="rect">
                      <a:avLst/>
                    </a:prstGeom>
                  </pic:spPr>
                </pic:pic>
              </a:graphicData>
            </a:graphic>
          </wp:anchor>
        </w:drawing>
      </w:r>
      <w:r>
        <w:rPr/>
        <w:pict>
          <v:shape style="position:absolute;margin-left:20.519100pt;margin-top:48.890015pt;width:25.9pt;height:360.55pt;mso-position-horizontal-relative:page;mso-position-vertical-relative:page;z-index:-267862016" type="#_x0000_t202" filled="false" stroked="false">
            <v:textbox inset="0,0,0,0" style="layout-flow:vertical">
              <w:txbxContent>
                <w:p>
                  <w:pPr>
                    <w:spacing w:before="27"/>
                    <w:ind w:left="20" w:right="0" w:firstLine="0"/>
                    <w:jc w:val="left"/>
                    <w:rPr>
                      <w:sz w:val="39"/>
                    </w:rPr>
                  </w:pPr>
                  <w:r>
                    <w:rPr>
                      <w:color w:val="FFFFFF"/>
                      <w:w w:val="120"/>
                      <w:sz w:val="39"/>
                    </w:rPr>
                    <w:t>Faith and order – </w:t>
                  </w:r>
                  <w:r>
                    <w:rPr>
                      <w:w w:val="120"/>
                      <w:sz w:val="39"/>
                    </w:rPr>
                    <w:t>Authorised elders</w:t>
                  </w:r>
                </w:p>
              </w:txbxContent>
            </v:textbox>
            <w10:wrap type="none"/>
          </v:shape>
        </w:pict>
      </w:r>
    </w:p>
    <w:p>
      <w:pPr>
        <w:pStyle w:val="BodyText"/>
        <w:spacing w:before="7"/>
        <w:rPr>
          <w:rFonts w:ascii="Stone Sans II ITC Std X Bd"/>
          <w:b/>
          <w:sz w:val="17"/>
        </w:rPr>
      </w:pPr>
    </w:p>
    <w:p>
      <w:pPr>
        <w:spacing w:before="107"/>
        <w:ind w:left="607" w:right="0" w:firstLine="0"/>
        <w:jc w:val="left"/>
        <w:rPr>
          <w:sz w:val="26"/>
        </w:rPr>
      </w:pPr>
      <w:r>
        <w:rPr>
          <w:color w:val="7EAABF"/>
          <w:w w:val="115"/>
          <w:sz w:val="26"/>
        </w:rPr>
        <w:t>Faith and order</w:t>
      </w:r>
    </w:p>
    <w:p>
      <w:pPr>
        <w:spacing w:before="245"/>
        <w:ind w:left="607" w:right="0" w:firstLine="0"/>
        <w:jc w:val="left"/>
        <w:rPr>
          <w:rFonts w:ascii="Stone Sans II ITC Std X Bd"/>
          <w:b/>
          <w:sz w:val="50"/>
        </w:rPr>
      </w:pPr>
      <w:r>
        <w:rPr>
          <w:rFonts w:ascii="Stone Sans II ITC Std X Bd"/>
          <w:b/>
          <w:w w:val="110"/>
          <w:sz w:val="50"/>
        </w:rPr>
        <w:t>Authorised elders</w:t>
      </w:r>
    </w:p>
    <w:p>
      <w:pPr>
        <w:pStyle w:val="ListParagraph"/>
        <w:numPr>
          <w:ilvl w:val="1"/>
          <w:numId w:val="125"/>
        </w:numPr>
        <w:tabs>
          <w:tab w:pos="1344" w:val="left" w:leader="none"/>
          <w:tab w:pos="1345" w:val="left" w:leader="none"/>
        </w:tabs>
        <w:spacing w:line="235" w:lineRule="auto" w:before="365" w:after="0"/>
        <w:ind w:left="607" w:right="2235" w:firstLine="0"/>
        <w:jc w:val="left"/>
        <w:rPr>
          <w:sz w:val="20"/>
        </w:rPr>
      </w:pPr>
      <w:r>
        <w:rPr>
          <w:w w:val="120"/>
          <w:sz w:val="20"/>
        </w:rPr>
        <w:t>The General Assembly of </w:t>
      </w:r>
      <w:r>
        <w:rPr>
          <w:spacing w:val="-7"/>
          <w:w w:val="120"/>
          <w:sz w:val="20"/>
        </w:rPr>
        <w:t>2014 </w:t>
      </w:r>
      <w:r>
        <w:rPr>
          <w:w w:val="120"/>
          <w:sz w:val="20"/>
        </w:rPr>
        <w:t>asked the faith and order committee to set up  a task group to explore the possibility of authorising ‘celebrant elders’ to preside at the sacraments, because Ministers of Word and Sacraments are increasingly expected to serve several congregations. The </w:t>
      </w:r>
      <w:r>
        <w:rPr>
          <w:spacing w:val="2"/>
          <w:w w:val="120"/>
          <w:sz w:val="20"/>
        </w:rPr>
        <w:t>report </w:t>
      </w:r>
      <w:r>
        <w:rPr>
          <w:w w:val="120"/>
          <w:sz w:val="20"/>
        </w:rPr>
        <w:t>of this group has been adopted by the committee for presentation to Assembly</w:t>
      </w:r>
      <w:r>
        <w:rPr>
          <w:spacing w:val="10"/>
          <w:w w:val="120"/>
          <w:sz w:val="20"/>
        </w:rPr>
        <w:t> </w:t>
      </w:r>
      <w:r>
        <w:rPr>
          <w:spacing w:val="-6"/>
          <w:w w:val="120"/>
          <w:sz w:val="20"/>
        </w:rPr>
        <w:t>2016.</w:t>
      </w:r>
    </w:p>
    <w:p>
      <w:pPr>
        <w:pStyle w:val="BodyText"/>
        <w:spacing w:before="12"/>
        <w:rPr>
          <w:sz w:val="19"/>
        </w:rPr>
      </w:pPr>
    </w:p>
    <w:p>
      <w:pPr>
        <w:pStyle w:val="ListParagraph"/>
        <w:numPr>
          <w:ilvl w:val="1"/>
          <w:numId w:val="125"/>
        </w:numPr>
        <w:tabs>
          <w:tab w:pos="1287" w:val="left" w:leader="none"/>
          <w:tab w:pos="1288" w:val="left" w:leader="none"/>
        </w:tabs>
        <w:spacing w:line="235" w:lineRule="auto" w:before="0" w:after="0"/>
        <w:ind w:left="607" w:right="1992" w:firstLine="0"/>
        <w:jc w:val="left"/>
        <w:rPr>
          <w:sz w:val="20"/>
        </w:rPr>
      </w:pPr>
      <w:r>
        <w:rPr>
          <w:w w:val="120"/>
          <w:sz w:val="20"/>
        </w:rPr>
        <w:t>The committee recommends that the term ‘celebrant elders’ should not be used, since earlier attempts to create categories within the eldership have been</w:t>
      </w:r>
      <w:r>
        <w:rPr>
          <w:spacing w:val="18"/>
          <w:w w:val="120"/>
          <w:sz w:val="20"/>
        </w:rPr>
        <w:t> </w:t>
      </w:r>
      <w:r>
        <w:rPr>
          <w:w w:val="120"/>
          <w:sz w:val="20"/>
        </w:rPr>
        <w:t>perceived</w:t>
      </w:r>
    </w:p>
    <w:p>
      <w:pPr>
        <w:pStyle w:val="BodyText"/>
        <w:spacing w:line="235" w:lineRule="auto" w:before="1"/>
        <w:ind w:left="607" w:right="2007"/>
      </w:pPr>
      <w:r>
        <w:rPr>
          <w:w w:val="120"/>
        </w:rPr>
        <w:t>as divisive. Further we believe that theologically the congregation celebrates the sacraments: those presiding lead the biblical words of institution, the thanksgiving and related prayers, and </w:t>
      </w:r>
      <w:r>
        <w:rPr>
          <w:spacing w:val="2"/>
          <w:w w:val="120"/>
        </w:rPr>
        <w:t>perform </w:t>
      </w:r>
      <w:r>
        <w:rPr>
          <w:w w:val="120"/>
        </w:rPr>
        <w:t>the sacramental actions of baptising in </w:t>
      </w:r>
      <w:r>
        <w:rPr>
          <w:spacing w:val="-3"/>
          <w:w w:val="120"/>
        </w:rPr>
        <w:t>water, </w:t>
      </w:r>
      <w:r>
        <w:rPr>
          <w:w w:val="120"/>
        </w:rPr>
        <w:t>breaking   the bread and pouring the wine. Since there already exists a procedure for authorising elders and lay preachers to preside, its proposals now simply refer to ‘authorised</w:t>
      </w:r>
      <w:r>
        <w:rPr>
          <w:spacing w:val="24"/>
          <w:w w:val="120"/>
        </w:rPr>
        <w:t> </w:t>
      </w:r>
      <w:r>
        <w:rPr>
          <w:w w:val="120"/>
        </w:rPr>
        <w:t>elders’</w:t>
      </w:r>
    </w:p>
    <w:p>
      <w:pPr>
        <w:pStyle w:val="BodyText"/>
        <w:spacing w:line="235" w:lineRule="auto" w:before="4"/>
        <w:ind w:left="607" w:right="2045"/>
      </w:pPr>
      <w:r>
        <w:rPr>
          <w:w w:val="120"/>
        </w:rPr>
        <w:t>– a term already familiar in several of our synods. The principal recommendations (embodied in Resolutions 14-18) are:</w:t>
      </w:r>
    </w:p>
    <w:p>
      <w:pPr>
        <w:pStyle w:val="BodyText"/>
        <w:spacing w:before="2"/>
        <w:rPr>
          <w:sz w:val="18"/>
        </w:rPr>
      </w:pPr>
    </w:p>
    <w:p>
      <w:pPr>
        <w:pStyle w:val="ListParagraph"/>
        <w:numPr>
          <w:ilvl w:val="0"/>
          <w:numId w:val="126"/>
        </w:numPr>
        <w:tabs>
          <w:tab w:pos="1287" w:val="left" w:leader="none"/>
          <w:tab w:pos="1288" w:val="left" w:leader="none"/>
        </w:tabs>
        <w:spacing w:line="196" w:lineRule="auto" w:before="0" w:after="0"/>
        <w:ind w:left="1287" w:right="2445" w:hanging="681"/>
        <w:jc w:val="left"/>
        <w:rPr>
          <w:sz w:val="20"/>
        </w:rPr>
      </w:pPr>
      <w:r>
        <w:rPr>
          <w:w w:val="120"/>
          <w:sz w:val="20"/>
        </w:rPr>
        <w:t>to revise the current guidance on Presidency at the Sacraments (</w:t>
      </w:r>
      <w:r>
        <w:rPr>
          <w:i/>
          <w:w w:val="120"/>
          <w:sz w:val="20"/>
        </w:rPr>
        <w:t>The Manual</w:t>
      </w:r>
      <w:r>
        <w:rPr>
          <w:w w:val="120"/>
          <w:sz w:val="20"/>
        </w:rPr>
        <w:t>, Section F) by extending the term of</w:t>
      </w:r>
      <w:r>
        <w:rPr>
          <w:spacing w:val="19"/>
          <w:w w:val="120"/>
          <w:sz w:val="20"/>
        </w:rPr>
        <w:t> </w:t>
      </w:r>
      <w:r>
        <w:rPr>
          <w:w w:val="120"/>
          <w:sz w:val="20"/>
        </w:rPr>
        <w:t>service;</w:t>
      </w:r>
    </w:p>
    <w:p>
      <w:pPr>
        <w:pStyle w:val="ListParagraph"/>
        <w:numPr>
          <w:ilvl w:val="0"/>
          <w:numId w:val="126"/>
        </w:numPr>
        <w:tabs>
          <w:tab w:pos="1287" w:val="left" w:leader="none"/>
          <w:tab w:pos="1288" w:val="left" w:leader="none"/>
        </w:tabs>
        <w:spacing w:line="196" w:lineRule="auto" w:before="0" w:after="0"/>
        <w:ind w:left="1287" w:right="2182" w:hanging="681"/>
        <w:jc w:val="left"/>
        <w:rPr>
          <w:sz w:val="20"/>
        </w:rPr>
      </w:pPr>
      <w:r>
        <w:rPr>
          <w:w w:val="120"/>
          <w:sz w:val="20"/>
        </w:rPr>
        <w:t>to recommend that synods provide regular support and guidance for congregations without authorised elders and offer opportunities for those</w:t>
      </w:r>
      <w:r>
        <w:rPr>
          <w:spacing w:val="52"/>
          <w:w w:val="120"/>
          <w:sz w:val="20"/>
        </w:rPr>
        <w:t> </w:t>
      </w:r>
      <w:r>
        <w:rPr>
          <w:w w:val="120"/>
          <w:sz w:val="20"/>
        </w:rPr>
        <w:t>who</w:t>
      </w:r>
    </w:p>
    <w:p>
      <w:pPr>
        <w:pStyle w:val="BodyText"/>
        <w:spacing w:line="212" w:lineRule="exact"/>
        <w:ind w:left="1287"/>
      </w:pPr>
      <w:r>
        <w:rPr>
          <w:w w:val="120"/>
        </w:rPr>
        <w:t>are authorised to meet together regularly;</w:t>
      </w:r>
    </w:p>
    <w:p>
      <w:pPr>
        <w:pStyle w:val="ListParagraph"/>
        <w:numPr>
          <w:ilvl w:val="0"/>
          <w:numId w:val="126"/>
        </w:numPr>
        <w:tabs>
          <w:tab w:pos="1287" w:val="left" w:leader="none"/>
          <w:tab w:pos="1288" w:val="left" w:leader="none"/>
        </w:tabs>
        <w:spacing w:line="213" w:lineRule="auto" w:before="0" w:after="0"/>
        <w:ind w:left="1287" w:right="1999" w:hanging="681"/>
        <w:jc w:val="left"/>
        <w:rPr>
          <w:sz w:val="20"/>
        </w:rPr>
      </w:pPr>
      <w:r>
        <w:rPr>
          <w:w w:val="120"/>
          <w:sz w:val="20"/>
        </w:rPr>
        <w:t>to ask the ministries committee to develop a specific code of conduct for authorised elders and lay preachers which they would be required to sign before beginning their</w:t>
      </w:r>
      <w:r>
        <w:rPr>
          <w:spacing w:val="4"/>
          <w:w w:val="120"/>
          <w:sz w:val="20"/>
        </w:rPr>
        <w:t> </w:t>
      </w:r>
      <w:r>
        <w:rPr>
          <w:w w:val="120"/>
          <w:sz w:val="20"/>
        </w:rPr>
        <w:t>ministry;</w:t>
      </w:r>
    </w:p>
    <w:p>
      <w:pPr>
        <w:pStyle w:val="ListParagraph"/>
        <w:numPr>
          <w:ilvl w:val="0"/>
          <w:numId w:val="126"/>
        </w:numPr>
        <w:tabs>
          <w:tab w:pos="1287" w:val="left" w:leader="none"/>
          <w:tab w:pos="1288" w:val="left" w:leader="none"/>
        </w:tabs>
        <w:spacing w:line="196" w:lineRule="auto" w:before="0" w:after="0"/>
        <w:ind w:left="1287" w:right="2581" w:hanging="681"/>
        <w:jc w:val="left"/>
        <w:rPr>
          <w:sz w:val="20"/>
        </w:rPr>
      </w:pPr>
      <w:r>
        <w:rPr>
          <w:w w:val="120"/>
          <w:sz w:val="20"/>
        </w:rPr>
        <w:t>to maintain a list of any such elders and lay preachers whose term has been discontinued because their service had been</w:t>
      </w:r>
      <w:r>
        <w:rPr>
          <w:spacing w:val="16"/>
          <w:w w:val="120"/>
          <w:sz w:val="20"/>
        </w:rPr>
        <w:t> </w:t>
      </w:r>
      <w:r>
        <w:rPr>
          <w:w w:val="120"/>
          <w:sz w:val="20"/>
        </w:rPr>
        <w:t>unsatisfactory;</w:t>
      </w:r>
    </w:p>
    <w:p>
      <w:pPr>
        <w:pStyle w:val="ListParagraph"/>
        <w:numPr>
          <w:ilvl w:val="0"/>
          <w:numId w:val="126"/>
        </w:numPr>
        <w:tabs>
          <w:tab w:pos="1287" w:val="left" w:leader="none"/>
          <w:tab w:pos="1288" w:val="left" w:leader="none"/>
        </w:tabs>
        <w:spacing w:line="196" w:lineRule="auto" w:before="0" w:after="0"/>
        <w:ind w:left="1287" w:right="2194" w:hanging="681"/>
        <w:jc w:val="left"/>
        <w:rPr>
          <w:sz w:val="20"/>
        </w:rPr>
      </w:pPr>
      <w:r>
        <w:rPr>
          <w:w w:val="120"/>
          <w:sz w:val="20"/>
        </w:rPr>
        <w:t>and to invite the education and learning committee to develop an Assembly syllabus for the preparation of authorised elders and lay preachers, drawing</w:t>
      </w:r>
      <w:r>
        <w:rPr>
          <w:spacing w:val="48"/>
          <w:w w:val="120"/>
          <w:sz w:val="20"/>
        </w:rPr>
        <w:t> </w:t>
      </w:r>
      <w:r>
        <w:rPr>
          <w:w w:val="120"/>
          <w:sz w:val="20"/>
        </w:rPr>
        <w:t>on</w:t>
      </w:r>
    </w:p>
    <w:p>
      <w:pPr>
        <w:pStyle w:val="BodyText"/>
        <w:ind w:left="1287"/>
      </w:pPr>
      <w:r>
        <w:rPr>
          <w:w w:val="120"/>
        </w:rPr>
        <w:t>existing synod resources.</w:t>
      </w:r>
    </w:p>
    <w:p>
      <w:pPr>
        <w:pStyle w:val="BodyText"/>
        <w:spacing w:line="235" w:lineRule="auto" w:before="207"/>
        <w:ind w:left="607" w:right="2114"/>
      </w:pPr>
      <w:r>
        <w:rPr>
          <w:w w:val="120"/>
        </w:rPr>
        <w:t>The committee has also accepted the task </w:t>
      </w:r>
      <w:r>
        <w:rPr>
          <w:spacing w:val="-3"/>
          <w:w w:val="120"/>
        </w:rPr>
        <w:t>group’s </w:t>
      </w:r>
      <w:r>
        <w:rPr>
          <w:w w:val="120"/>
        </w:rPr>
        <w:t>recommendation that the ministries and education and learning committees should re-examine the approved patterns of non-stipendiary ministry so as to restore the original understanding of what would  now be called ‘team non-stipendiary ministry’. This would ease some of the potential ecumenical difficulties surrounding an increase in the number of authorised elders and lay preachers (Resolution</w:t>
      </w:r>
      <w:r>
        <w:rPr>
          <w:spacing w:val="6"/>
          <w:w w:val="120"/>
        </w:rPr>
        <w:t> </w:t>
      </w:r>
      <w:r>
        <w:rPr>
          <w:spacing w:val="-8"/>
          <w:w w:val="120"/>
        </w:rPr>
        <w:t>19).</w:t>
      </w:r>
    </w:p>
    <w:p>
      <w:pPr>
        <w:pStyle w:val="BodyText"/>
      </w:pPr>
    </w:p>
    <w:p>
      <w:pPr>
        <w:pStyle w:val="ListParagraph"/>
        <w:numPr>
          <w:ilvl w:val="1"/>
          <w:numId w:val="125"/>
        </w:numPr>
        <w:tabs>
          <w:tab w:pos="1287" w:val="left" w:leader="none"/>
          <w:tab w:pos="1288" w:val="left" w:leader="none"/>
        </w:tabs>
        <w:spacing w:line="235" w:lineRule="auto" w:before="0" w:after="0"/>
        <w:ind w:left="607" w:right="2546" w:firstLine="0"/>
        <w:jc w:val="left"/>
        <w:rPr>
          <w:sz w:val="20"/>
        </w:rPr>
      </w:pPr>
      <w:r>
        <w:rPr>
          <w:w w:val="120"/>
          <w:sz w:val="20"/>
        </w:rPr>
        <w:t>The committee believes that these proposals will meet the needs of our congregations; that they will strengthen the role of elders in the church; that they can be readily implemented and overseen by synods; and that they are</w:t>
      </w:r>
      <w:r>
        <w:rPr>
          <w:spacing w:val="33"/>
          <w:w w:val="120"/>
          <w:sz w:val="20"/>
        </w:rPr>
        <w:t> </w:t>
      </w:r>
      <w:r>
        <w:rPr>
          <w:w w:val="120"/>
          <w:sz w:val="20"/>
        </w:rPr>
        <w:t>realistic.</w:t>
      </w:r>
    </w:p>
    <w:p>
      <w:pPr>
        <w:pStyle w:val="BodyText"/>
        <w:spacing w:line="235" w:lineRule="auto" w:before="3"/>
        <w:ind w:left="607" w:right="2045"/>
      </w:pPr>
      <w:r>
        <w:rPr>
          <w:w w:val="120"/>
        </w:rPr>
        <w:t>By extending the term of service for which authorised elders and lay preachers are appointed, it hopes that the proposals will increase trust and involve less monitoring by synods.</w:t>
      </w:r>
    </w:p>
    <w:p>
      <w:pPr>
        <w:pStyle w:val="BodyText"/>
        <w:spacing w:before="10"/>
        <w:rPr>
          <w:sz w:val="19"/>
        </w:rPr>
      </w:pPr>
    </w:p>
    <w:p>
      <w:pPr>
        <w:pStyle w:val="ListParagraph"/>
        <w:numPr>
          <w:ilvl w:val="1"/>
          <w:numId w:val="125"/>
        </w:numPr>
        <w:tabs>
          <w:tab w:pos="1287" w:val="left" w:leader="none"/>
          <w:tab w:pos="1288" w:val="left" w:leader="none"/>
        </w:tabs>
        <w:spacing w:line="235" w:lineRule="auto" w:before="0" w:after="0"/>
        <w:ind w:left="607" w:right="2011" w:firstLine="0"/>
        <w:jc w:val="left"/>
        <w:rPr>
          <w:sz w:val="20"/>
        </w:rPr>
      </w:pPr>
      <w:r>
        <w:rPr>
          <w:w w:val="120"/>
          <w:sz w:val="20"/>
        </w:rPr>
        <w:t>In </w:t>
      </w:r>
      <w:r>
        <w:rPr>
          <w:spacing w:val="-7"/>
          <w:w w:val="120"/>
          <w:sz w:val="20"/>
        </w:rPr>
        <w:t>1972 </w:t>
      </w:r>
      <w:r>
        <w:rPr>
          <w:w w:val="120"/>
          <w:sz w:val="20"/>
        </w:rPr>
        <w:t>the United Reformed Church boldly committed itself to ‘take steps to ensure that so far as possible ordained Ministers of Word and Sacraments are readily available to every local church’ </w:t>
      </w:r>
      <w:r>
        <w:rPr>
          <w:spacing w:val="-3"/>
          <w:w w:val="120"/>
          <w:sz w:val="20"/>
        </w:rPr>
        <w:t>(</w:t>
      </w:r>
      <w:r>
        <w:rPr>
          <w:i/>
          <w:spacing w:val="-3"/>
          <w:w w:val="120"/>
          <w:sz w:val="20"/>
        </w:rPr>
        <w:t>Basis </w:t>
      </w:r>
      <w:r>
        <w:rPr>
          <w:i/>
          <w:w w:val="120"/>
          <w:sz w:val="20"/>
        </w:rPr>
        <w:t>of Union</w:t>
      </w:r>
      <w:r>
        <w:rPr>
          <w:w w:val="120"/>
          <w:sz w:val="20"/>
        </w:rPr>
        <w:t>, </w:t>
      </w:r>
      <w:r>
        <w:rPr>
          <w:spacing w:val="-3"/>
          <w:w w:val="120"/>
          <w:sz w:val="20"/>
        </w:rPr>
        <w:t>§25: </w:t>
      </w:r>
      <w:r>
        <w:rPr>
          <w:w w:val="120"/>
          <w:sz w:val="20"/>
        </w:rPr>
        <w:t>see </w:t>
      </w:r>
      <w:r>
        <w:rPr>
          <w:spacing w:val="-3"/>
          <w:w w:val="120"/>
          <w:sz w:val="20"/>
        </w:rPr>
        <w:t>§2.4 </w:t>
      </w:r>
      <w:r>
        <w:rPr>
          <w:w w:val="120"/>
          <w:sz w:val="20"/>
        </w:rPr>
        <w:t>– references to the history and theological justification for these proposals are in the Appendix). But because the two Churches (Presbyterian and Congregational) had different views of the appropriate pattern of presidency at the sacraments, paragraph 25 was a compromise. On</w:t>
      </w:r>
      <w:r>
        <w:rPr>
          <w:spacing w:val="44"/>
          <w:w w:val="120"/>
          <w:sz w:val="20"/>
        </w:rPr>
        <w:t> </w:t>
      </w:r>
      <w:r>
        <w:rPr>
          <w:w w:val="120"/>
          <w:sz w:val="20"/>
        </w:rPr>
        <w:t>the</w:t>
      </w:r>
    </w:p>
    <w:p>
      <w:pPr>
        <w:pStyle w:val="BodyText"/>
        <w:spacing w:line="235" w:lineRule="auto" w:before="4"/>
        <w:ind w:left="607" w:right="2295"/>
      </w:pPr>
      <w:r>
        <w:rPr>
          <w:w w:val="120"/>
        </w:rPr>
        <w:t>one hand, there was the Presbyterian </w:t>
      </w:r>
      <w:r>
        <w:rPr>
          <w:spacing w:val="-3"/>
          <w:w w:val="120"/>
        </w:rPr>
        <w:t>view, </w:t>
      </w:r>
      <w:r>
        <w:rPr>
          <w:w w:val="120"/>
        </w:rPr>
        <w:t>which emphasised that those presiding  at the sacraments represented the whole Church, not just a single congregation,    and therefore sought to restrict exceptions to presidency by Ministers of Word and Sacraments as far as possible. On the other hand, the Congregational view regarded presidency at the sacraments as a decision for the local church, and was ready to authorise lay preachers, where Ministers of Word and Sacraments were not</w:t>
      </w:r>
      <w:r>
        <w:rPr>
          <w:spacing w:val="-33"/>
          <w:w w:val="120"/>
        </w:rPr>
        <w:t> </w:t>
      </w:r>
      <w:r>
        <w:rPr>
          <w:w w:val="120"/>
        </w:rPr>
        <w:t>available.</w:t>
      </w:r>
    </w:p>
    <w:p>
      <w:pPr>
        <w:spacing w:after="0" w:line="235" w:lineRule="auto"/>
        <w:sectPr>
          <w:headerReference w:type="even" r:id="rId282"/>
          <w:footerReference w:type="even" r:id="rId283"/>
          <w:footerReference w:type="default" r:id="rId284"/>
          <w:pgSz w:w="11910" w:h="16840"/>
          <w:pgMar w:header="0" w:footer="647" w:top="0" w:bottom="840" w:left="640" w:right="0"/>
          <w:pgNumType w:start="92"/>
        </w:sectPr>
      </w:pPr>
    </w:p>
    <w:p>
      <w:pPr>
        <w:pStyle w:val="BodyText"/>
      </w:pPr>
      <w:r>
        <w:rPr/>
        <w:drawing>
          <wp:anchor distT="0" distB="0" distL="0" distR="0" allowOverlap="1" layoutInCell="1" locked="0" behindDoc="0" simplePos="0" relativeHeight="251910144">
            <wp:simplePos x="0" y="0"/>
            <wp:positionH relativeFrom="page">
              <wp:posOffset>6974928</wp:posOffset>
            </wp:positionH>
            <wp:positionV relativeFrom="page">
              <wp:posOffset>0</wp:posOffset>
            </wp:positionV>
            <wp:extent cx="585063" cy="10692003"/>
            <wp:effectExtent l="0" t="0" r="0" b="0"/>
            <wp:wrapNone/>
            <wp:docPr id="169" name="image54.png"/>
            <wp:cNvGraphicFramePr>
              <a:graphicFrameLocks noChangeAspect="1"/>
            </wp:cNvGraphicFramePr>
            <a:graphic>
              <a:graphicData uri="http://schemas.openxmlformats.org/drawingml/2006/picture">
                <pic:pic>
                  <pic:nvPicPr>
                    <pic:cNvPr id="170" name="image54.png"/>
                    <pic:cNvPicPr/>
                  </pic:nvPicPr>
                  <pic:blipFill>
                    <a:blip r:embed="rId169" cstate="print"/>
                    <a:stretch>
                      <a:fillRect/>
                    </a:stretch>
                  </pic:blipFill>
                  <pic:spPr>
                    <a:xfrm>
                      <a:off x="0" y="0"/>
                      <a:ext cx="585063" cy="10692003"/>
                    </a:xfrm>
                    <a:prstGeom prst="rect">
                      <a:avLst/>
                    </a:prstGeom>
                  </pic:spPr>
                </pic:pic>
              </a:graphicData>
            </a:graphic>
          </wp:anchor>
        </w:drawing>
      </w:r>
    </w:p>
    <w:p>
      <w:pPr>
        <w:pStyle w:val="BodyText"/>
        <w:spacing w:before="7"/>
        <w:rPr>
          <w:sz w:val="21"/>
        </w:rPr>
      </w:pPr>
    </w:p>
    <w:p>
      <w:pPr>
        <w:spacing w:before="106"/>
        <w:ind w:left="0" w:right="1245" w:firstLine="0"/>
        <w:jc w:val="right"/>
        <w:rPr>
          <w:sz w:val="26"/>
        </w:rPr>
      </w:pPr>
      <w:r>
        <w:rPr/>
        <w:pict>
          <v:shape style="position:absolute;margin-left:554.141174pt;margin-top:22.593945pt;width:25.9pt;height:360.55pt;mso-position-horizontal-relative:page;mso-position-vertical-relative:paragraph;z-index:251911168" type="#_x0000_t202" filled="false" stroked="false">
            <v:textbox inset="0,0,0,0" style="layout-flow:vertical">
              <w:txbxContent>
                <w:p>
                  <w:pPr>
                    <w:spacing w:before="27"/>
                    <w:ind w:left="20" w:right="0" w:firstLine="0"/>
                    <w:jc w:val="left"/>
                    <w:rPr>
                      <w:sz w:val="39"/>
                    </w:rPr>
                  </w:pPr>
                  <w:r>
                    <w:rPr>
                      <w:color w:val="FFFFFF"/>
                      <w:w w:val="120"/>
                      <w:sz w:val="39"/>
                    </w:rPr>
                    <w:t>Faith and order – </w:t>
                  </w:r>
                  <w:r>
                    <w:rPr>
                      <w:w w:val="120"/>
                      <w:sz w:val="39"/>
                    </w:rPr>
                    <w:t>Authorised elders</w:t>
                  </w:r>
                </w:p>
              </w:txbxContent>
            </v:textbox>
            <w10:wrap type="none"/>
          </v:shape>
        </w:pict>
      </w:r>
      <w:r>
        <w:rPr>
          <w:color w:val="7EAABF"/>
          <w:w w:val="115"/>
          <w:sz w:val="26"/>
        </w:rPr>
        <w:t>Faith and order</w:t>
      </w:r>
    </w:p>
    <w:p>
      <w:pPr>
        <w:pStyle w:val="BodyText"/>
        <w:spacing w:line="235" w:lineRule="auto" w:before="222"/>
        <w:ind w:left="1344" w:right="1661"/>
      </w:pPr>
      <w:r>
        <w:rPr>
          <w:w w:val="120"/>
        </w:rPr>
        <w:t>The compromise was that presidency would normally fall to a minister of Word and Sacraments, but in cases of pastoral necessity deaconesses</w:t>
      </w:r>
      <w:r>
        <w:rPr>
          <w:w w:val="120"/>
          <w:position w:val="7"/>
          <w:sz w:val="11"/>
        </w:rPr>
        <w:t>1</w:t>
      </w:r>
      <w:r>
        <w:rPr>
          <w:w w:val="120"/>
        </w:rPr>
        <w:t>, elders and accredited</w:t>
      </w:r>
      <w:r>
        <w:rPr>
          <w:w w:val="120"/>
          <w:position w:val="7"/>
          <w:sz w:val="11"/>
        </w:rPr>
        <w:t>2 </w:t>
      </w:r>
      <w:r>
        <w:rPr>
          <w:w w:val="120"/>
        </w:rPr>
        <w:t>lay preachers might be authorised by District Councils to preside, thereby securing recognition by the wider church. Although the provisions of the Basis of Union apply to baptism as well as Holy Communion, in practice most of the discussion has taken</w:t>
      </w:r>
    </w:p>
    <w:p>
      <w:pPr>
        <w:pStyle w:val="BodyText"/>
        <w:spacing w:line="235" w:lineRule="auto" w:before="3"/>
        <w:ind w:left="1344" w:right="1383"/>
      </w:pPr>
      <w:r>
        <w:rPr>
          <w:w w:val="120"/>
        </w:rPr>
        <w:t>place about Communion. Also, different views have been taken about what constitutes ‘pastoral necessity’ in various parts of the country. This was true from the beginning, but with the abolition of District Councils as a regular part of the Church’s life, it has been necessary to create a common policy within each synod.</w:t>
      </w:r>
    </w:p>
    <w:p>
      <w:pPr>
        <w:pStyle w:val="BodyText"/>
        <w:spacing w:before="11"/>
        <w:rPr>
          <w:sz w:val="19"/>
        </w:rPr>
      </w:pPr>
    </w:p>
    <w:p>
      <w:pPr>
        <w:pStyle w:val="ListParagraph"/>
        <w:numPr>
          <w:ilvl w:val="1"/>
          <w:numId w:val="125"/>
        </w:numPr>
        <w:tabs>
          <w:tab w:pos="2024" w:val="left" w:leader="none"/>
          <w:tab w:pos="2025" w:val="left" w:leader="none"/>
        </w:tabs>
        <w:spacing w:line="235" w:lineRule="auto" w:before="0" w:after="0"/>
        <w:ind w:left="1344" w:right="1717" w:firstLine="0"/>
        <w:jc w:val="left"/>
        <w:rPr>
          <w:sz w:val="20"/>
        </w:rPr>
      </w:pPr>
      <w:r>
        <w:rPr>
          <w:w w:val="120"/>
          <w:sz w:val="20"/>
        </w:rPr>
        <w:t>Those differences of view about sacramental order have been overtaken by  a significant change in the pastoral situation facing our congregations. The number of ordained Ministers of Word and Sacraments has declined (notwithstanding the introduction of non-stipendiary ministry from </w:t>
      </w:r>
      <w:r>
        <w:rPr>
          <w:spacing w:val="-8"/>
          <w:w w:val="120"/>
          <w:sz w:val="20"/>
        </w:rPr>
        <w:t>1979) </w:t>
      </w:r>
      <w:r>
        <w:rPr>
          <w:w w:val="120"/>
          <w:sz w:val="20"/>
        </w:rPr>
        <w:t>and this is likely to continue. But the number of congregations has declined more slowly. The Church therefore confronts a new mission situation, if the sacraments are to continue to be readily available to our</w:t>
      </w:r>
      <w:r>
        <w:rPr>
          <w:spacing w:val="6"/>
          <w:w w:val="120"/>
          <w:sz w:val="20"/>
        </w:rPr>
        <w:t> </w:t>
      </w:r>
      <w:r>
        <w:rPr>
          <w:w w:val="120"/>
          <w:sz w:val="20"/>
        </w:rPr>
        <w:t>congregations.</w:t>
      </w:r>
    </w:p>
    <w:p>
      <w:pPr>
        <w:pStyle w:val="BodyText"/>
        <w:spacing w:before="1"/>
      </w:pPr>
    </w:p>
    <w:p>
      <w:pPr>
        <w:pStyle w:val="ListParagraph"/>
        <w:numPr>
          <w:ilvl w:val="1"/>
          <w:numId w:val="125"/>
        </w:numPr>
        <w:tabs>
          <w:tab w:pos="2024" w:val="left" w:leader="none"/>
          <w:tab w:pos="2025" w:val="left" w:leader="none"/>
        </w:tabs>
        <w:spacing w:line="235" w:lineRule="auto" w:before="0" w:after="0"/>
        <w:ind w:left="1344" w:right="1249" w:firstLine="0"/>
        <w:jc w:val="left"/>
        <w:rPr>
          <w:sz w:val="20"/>
        </w:rPr>
      </w:pPr>
      <w:r>
        <w:rPr>
          <w:w w:val="120"/>
          <w:sz w:val="20"/>
        </w:rPr>
        <w:t>How can the underlying differences of conviction on this matter that paragraph 25 sought to resolve be handled </w:t>
      </w:r>
      <w:r>
        <w:rPr>
          <w:spacing w:val="-3"/>
          <w:w w:val="120"/>
          <w:sz w:val="20"/>
        </w:rPr>
        <w:t>today? </w:t>
      </w:r>
      <w:r>
        <w:rPr>
          <w:w w:val="120"/>
          <w:sz w:val="20"/>
        </w:rPr>
        <w:t>The committee’s </w:t>
      </w:r>
      <w:r>
        <w:rPr>
          <w:spacing w:val="2"/>
          <w:w w:val="120"/>
          <w:sz w:val="20"/>
        </w:rPr>
        <w:t>report </w:t>
      </w:r>
      <w:r>
        <w:rPr>
          <w:w w:val="120"/>
          <w:sz w:val="20"/>
        </w:rPr>
        <w:t>to Assembly in </w:t>
      </w:r>
      <w:r>
        <w:rPr>
          <w:spacing w:val="-7"/>
          <w:w w:val="120"/>
          <w:sz w:val="20"/>
        </w:rPr>
        <w:t>2014 </w:t>
      </w:r>
      <w:r>
        <w:rPr>
          <w:w w:val="120"/>
          <w:sz w:val="20"/>
        </w:rPr>
        <w:t>noted that in several synods it had been suggested that there was already an ordained local ministry – the eldership; and it therefore suggested that a solution might be found by developing a new category of elder: ‘celebrant </w:t>
      </w:r>
      <w:r>
        <w:rPr>
          <w:spacing w:val="-3"/>
          <w:w w:val="120"/>
          <w:sz w:val="20"/>
        </w:rPr>
        <w:t>elders’. </w:t>
      </w:r>
      <w:r>
        <w:rPr>
          <w:w w:val="120"/>
          <w:sz w:val="20"/>
        </w:rPr>
        <w:t>The task group, </w:t>
      </w:r>
      <w:r>
        <w:rPr>
          <w:spacing w:val="-3"/>
          <w:w w:val="120"/>
          <w:sz w:val="20"/>
        </w:rPr>
        <w:t>however, </w:t>
      </w:r>
      <w:r>
        <w:rPr>
          <w:w w:val="120"/>
          <w:sz w:val="20"/>
        </w:rPr>
        <w:t>argued:</w:t>
      </w:r>
    </w:p>
    <w:p>
      <w:pPr>
        <w:pStyle w:val="ListParagraph"/>
        <w:numPr>
          <w:ilvl w:val="0"/>
          <w:numId w:val="127"/>
        </w:numPr>
        <w:tabs>
          <w:tab w:pos="2024" w:val="left" w:leader="none"/>
          <w:tab w:pos="2025" w:val="left" w:leader="none"/>
        </w:tabs>
        <w:spacing w:line="235" w:lineRule="auto" w:before="5" w:after="0"/>
        <w:ind w:left="2024" w:right="1412" w:hanging="681"/>
        <w:jc w:val="left"/>
        <w:rPr>
          <w:sz w:val="20"/>
        </w:rPr>
      </w:pPr>
      <w:r>
        <w:rPr>
          <w:w w:val="120"/>
          <w:sz w:val="20"/>
        </w:rPr>
        <w:t>that ordination does not of itself give authority to preside; what determines the ministry authorised is the office to which a person is ordained</w:t>
      </w:r>
      <w:r>
        <w:rPr>
          <w:spacing w:val="11"/>
          <w:w w:val="120"/>
          <w:sz w:val="20"/>
        </w:rPr>
        <w:t> </w:t>
      </w:r>
      <w:r>
        <w:rPr>
          <w:spacing w:val="-8"/>
          <w:w w:val="120"/>
          <w:sz w:val="20"/>
        </w:rPr>
        <w:t>(§§2.10-2.11);</w:t>
      </w:r>
    </w:p>
    <w:p>
      <w:pPr>
        <w:pStyle w:val="ListParagraph"/>
        <w:numPr>
          <w:ilvl w:val="0"/>
          <w:numId w:val="127"/>
        </w:numPr>
        <w:tabs>
          <w:tab w:pos="2024" w:val="left" w:leader="none"/>
          <w:tab w:pos="2025" w:val="left" w:leader="none"/>
        </w:tabs>
        <w:spacing w:line="235" w:lineRule="auto" w:before="1" w:after="0"/>
        <w:ind w:left="2024" w:right="1348" w:hanging="681"/>
        <w:jc w:val="left"/>
        <w:rPr>
          <w:sz w:val="20"/>
        </w:rPr>
      </w:pPr>
      <w:r>
        <w:rPr>
          <w:w w:val="120"/>
          <w:sz w:val="20"/>
        </w:rPr>
        <w:t>if elders, or a specified group of elders, were to be given authority to preside by ordination, this would require amendments to the Basis of Union </w:t>
      </w:r>
      <w:r>
        <w:rPr>
          <w:spacing w:val="-10"/>
          <w:w w:val="120"/>
          <w:sz w:val="20"/>
        </w:rPr>
        <w:t>(§2.13), </w:t>
      </w:r>
      <w:r>
        <w:rPr>
          <w:w w:val="120"/>
          <w:sz w:val="20"/>
        </w:rPr>
        <w:t>which would change the nature of the eldership and involve lengthy</w:t>
      </w:r>
      <w:r>
        <w:rPr>
          <w:spacing w:val="50"/>
          <w:w w:val="120"/>
          <w:sz w:val="20"/>
        </w:rPr>
        <w:t> </w:t>
      </w:r>
      <w:r>
        <w:rPr>
          <w:w w:val="120"/>
          <w:sz w:val="20"/>
        </w:rPr>
        <w:t>consultation.</w:t>
      </w:r>
    </w:p>
    <w:p>
      <w:pPr>
        <w:pStyle w:val="BodyText"/>
        <w:spacing w:before="10"/>
        <w:rPr>
          <w:sz w:val="19"/>
        </w:rPr>
      </w:pPr>
    </w:p>
    <w:p>
      <w:pPr>
        <w:pStyle w:val="ListParagraph"/>
        <w:numPr>
          <w:ilvl w:val="1"/>
          <w:numId w:val="125"/>
        </w:numPr>
        <w:tabs>
          <w:tab w:pos="2024" w:val="left" w:leader="none"/>
          <w:tab w:pos="2025" w:val="left" w:leader="none"/>
        </w:tabs>
        <w:spacing w:line="235" w:lineRule="auto" w:before="1" w:after="0"/>
        <w:ind w:left="1344" w:right="1584" w:firstLine="0"/>
        <w:jc w:val="left"/>
        <w:rPr>
          <w:sz w:val="20"/>
        </w:rPr>
      </w:pPr>
      <w:r>
        <w:rPr>
          <w:w w:val="120"/>
          <w:sz w:val="20"/>
        </w:rPr>
        <w:t>The committee recognises that urgent action is necessary. It is already four years since the Wessex Synod resolution was proposed in </w:t>
      </w:r>
      <w:r>
        <w:rPr>
          <w:spacing w:val="-6"/>
          <w:w w:val="120"/>
          <w:sz w:val="20"/>
        </w:rPr>
        <w:t>2012. </w:t>
      </w:r>
      <w:r>
        <w:rPr>
          <w:w w:val="120"/>
          <w:sz w:val="20"/>
        </w:rPr>
        <w:t>This is a mission imperative for many local churches, given the increasing number of multi-church pastorates, the clustering of churches with ministry teams including ministers, elders and lay preachers, and the inexorable problems of deploying a declining number of ministers over wider</w:t>
      </w:r>
      <w:r>
        <w:rPr>
          <w:spacing w:val="4"/>
          <w:w w:val="120"/>
          <w:sz w:val="20"/>
        </w:rPr>
        <w:t> </w:t>
      </w:r>
      <w:r>
        <w:rPr>
          <w:w w:val="120"/>
          <w:sz w:val="20"/>
        </w:rPr>
        <w:t>areas.</w:t>
      </w:r>
    </w:p>
    <w:p>
      <w:pPr>
        <w:pStyle w:val="BodyText"/>
      </w:pPr>
    </w:p>
    <w:p>
      <w:pPr>
        <w:pStyle w:val="ListParagraph"/>
        <w:numPr>
          <w:ilvl w:val="1"/>
          <w:numId w:val="125"/>
        </w:numPr>
        <w:tabs>
          <w:tab w:pos="2024" w:val="left" w:leader="none"/>
          <w:tab w:pos="2025" w:val="left" w:leader="none"/>
        </w:tabs>
        <w:spacing w:line="235" w:lineRule="auto" w:before="0" w:after="0"/>
        <w:ind w:left="1344" w:right="1442" w:firstLine="0"/>
        <w:jc w:val="left"/>
        <w:rPr>
          <w:sz w:val="20"/>
        </w:rPr>
      </w:pPr>
      <w:r>
        <w:rPr>
          <w:w w:val="120"/>
          <w:sz w:val="20"/>
        </w:rPr>
        <w:t>The synod moderators in responding to a request from the committee about the present position indicated that the current practice was to invite nominations  from church meetings annually of elders or lay preachers for nomination (four synods limited the number to two or three per </w:t>
      </w:r>
      <w:r>
        <w:rPr>
          <w:spacing w:val="-4"/>
          <w:w w:val="120"/>
          <w:sz w:val="20"/>
        </w:rPr>
        <w:t>church), </w:t>
      </w:r>
      <w:r>
        <w:rPr>
          <w:w w:val="120"/>
          <w:sz w:val="20"/>
        </w:rPr>
        <w:t>which were submitted to the pastoral committee for approval, and recorded in committee and/or synod minutes. In all twelve synods responding, a majority (sometimes overwhelming) were elders; any lay preachers tended to be either church members or those who preached in the</w:t>
      </w:r>
      <w:r>
        <w:rPr>
          <w:spacing w:val="5"/>
          <w:w w:val="120"/>
          <w:sz w:val="20"/>
        </w:rPr>
        <w:t> </w:t>
      </w:r>
      <w:r>
        <w:rPr>
          <w:w w:val="120"/>
          <w:sz w:val="20"/>
        </w:rPr>
        <w:t>local</w:t>
      </w:r>
    </w:p>
    <w:p>
      <w:pPr>
        <w:pStyle w:val="BodyText"/>
        <w:spacing w:line="235" w:lineRule="auto" w:before="5"/>
        <w:ind w:left="1344" w:right="1360"/>
      </w:pPr>
      <w:r>
        <w:rPr>
          <w:w w:val="120"/>
        </w:rPr>
        <w:t>area. All new nominees underwent a synod training course before presiding. Although at present all synods except one only made authorisations for one year at a time (three still authorised for one occasion at a time), a majority of moderators would be content with a period of authorisation for three to five years.</w:t>
      </w:r>
    </w:p>
    <w:p>
      <w:pPr>
        <w:pStyle w:val="BodyText"/>
      </w:pPr>
    </w:p>
    <w:p>
      <w:pPr>
        <w:pStyle w:val="BodyText"/>
        <w:spacing w:before="10"/>
        <w:rPr>
          <w:sz w:val="24"/>
        </w:rPr>
      </w:pPr>
      <w:r>
        <w:rPr/>
        <w:pict>
          <v:shape style="position:absolute;margin-left:99.212601pt;margin-top:17.631905pt;width:72pt;height:.1pt;mso-position-horizontal-relative:page;mso-position-vertical-relative:paragraph;z-index:-251407360;mso-wrap-distance-left:0;mso-wrap-distance-right:0" coordorigin="1984,353" coordsize="1440,0" path="m1984,353l3424,353e" filled="false" stroked="true" strokeweight="1pt" strokecolor="#000000">
            <v:path arrowok="t"/>
            <v:stroke dashstyle="solid"/>
            <w10:wrap type="topAndBottom"/>
          </v:shape>
        </w:pict>
      </w:r>
    </w:p>
    <w:p>
      <w:pPr>
        <w:pStyle w:val="ListParagraph"/>
        <w:numPr>
          <w:ilvl w:val="0"/>
          <w:numId w:val="128"/>
        </w:numPr>
        <w:tabs>
          <w:tab w:pos="1797" w:val="left" w:leader="none"/>
          <w:tab w:pos="1798" w:val="left" w:leader="none"/>
        </w:tabs>
        <w:spacing w:line="240" w:lineRule="auto" w:before="9" w:after="0"/>
        <w:ind w:left="1797" w:right="1245" w:hanging="454"/>
        <w:jc w:val="left"/>
        <w:rPr>
          <w:sz w:val="18"/>
        </w:rPr>
      </w:pPr>
      <w:r>
        <w:rPr>
          <w:w w:val="120"/>
          <w:sz w:val="18"/>
        </w:rPr>
        <w:t>The Presbyterian Church of England ordained deaconesses, who might have pastoral charge of a congregation but were not authorised to preside at the sacraments. At the formation of The United Reformed Church there were eight deaconesses, and one about to enter training. It was decided not to continue to recruit to this ministry in future, but to honour the ministry of those already in post. </w:t>
      </w:r>
      <w:r>
        <w:rPr>
          <w:spacing w:val="2"/>
          <w:w w:val="120"/>
          <w:sz w:val="18"/>
        </w:rPr>
        <w:t>Of </w:t>
      </w:r>
      <w:r>
        <w:rPr>
          <w:w w:val="120"/>
          <w:sz w:val="18"/>
        </w:rPr>
        <w:t>the six listed in the </w:t>
      </w:r>
      <w:r>
        <w:rPr>
          <w:spacing w:val="-6"/>
          <w:w w:val="120"/>
          <w:sz w:val="18"/>
        </w:rPr>
        <w:t>1979 </w:t>
      </w:r>
      <w:r>
        <w:rPr>
          <w:i/>
          <w:spacing w:val="-3"/>
          <w:w w:val="120"/>
          <w:sz w:val="18"/>
        </w:rPr>
        <w:t>Year </w:t>
      </w:r>
      <w:r>
        <w:rPr>
          <w:i/>
          <w:w w:val="120"/>
          <w:sz w:val="18"/>
        </w:rPr>
        <w:t>Book</w:t>
      </w:r>
      <w:r>
        <w:rPr>
          <w:w w:val="120"/>
          <w:sz w:val="18"/>
        </w:rPr>
        <w:t>, three were ordained to the ministry in </w:t>
      </w:r>
      <w:r>
        <w:rPr>
          <w:spacing w:val="-6"/>
          <w:w w:val="120"/>
          <w:sz w:val="18"/>
        </w:rPr>
        <w:t>1979 </w:t>
      </w:r>
      <w:r>
        <w:rPr>
          <w:w w:val="120"/>
          <w:sz w:val="18"/>
        </w:rPr>
        <w:t>and two retired. The remaining one retired in </w:t>
      </w:r>
      <w:r>
        <w:rPr>
          <w:spacing w:val="-3"/>
          <w:w w:val="120"/>
          <w:sz w:val="18"/>
        </w:rPr>
        <w:t>1990. </w:t>
      </w:r>
      <w:r>
        <w:rPr>
          <w:w w:val="120"/>
          <w:sz w:val="18"/>
        </w:rPr>
        <w:t>The paragraph in the </w:t>
      </w:r>
      <w:r>
        <w:rPr>
          <w:i/>
          <w:w w:val="120"/>
          <w:sz w:val="18"/>
        </w:rPr>
        <w:t>Basis of Union </w:t>
      </w:r>
      <w:r>
        <w:rPr>
          <w:w w:val="120"/>
          <w:sz w:val="18"/>
        </w:rPr>
        <w:t>on Deaconesses was removed in</w:t>
      </w:r>
      <w:r>
        <w:rPr>
          <w:spacing w:val="-1"/>
          <w:w w:val="120"/>
          <w:sz w:val="18"/>
        </w:rPr>
        <w:t> </w:t>
      </w:r>
      <w:r>
        <w:rPr>
          <w:spacing w:val="2"/>
          <w:w w:val="120"/>
          <w:sz w:val="18"/>
        </w:rPr>
        <w:t>2000.</w:t>
      </w:r>
    </w:p>
    <w:p>
      <w:pPr>
        <w:pStyle w:val="ListParagraph"/>
        <w:numPr>
          <w:ilvl w:val="0"/>
          <w:numId w:val="128"/>
        </w:numPr>
        <w:tabs>
          <w:tab w:pos="1797" w:val="left" w:leader="none"/>
          <w:tab w:pos="1798" w:val="left" w:leader="none"/>
        </w:tabs>
        <w:spacing w:line="240" w:lineRule="auto" w:before="2" w:after="0"/>
        <w:ind w:left="1797" w:right="1324" w:hanging="454"/>
        <w:jc w:val="left"/>
        <w:rPr>
          <w:sz w:val="18"/>
        </w:rPr>
      </w:pPr>
      <w:r>
        <w:rPr>
          <w:w w:val="120"/>
          <w:sz w:val="18"/>
        </w:rPr>
        <w:t>In </w:t>
      </w:r>
      <w:r>
        <w:rPr>
          <w:spacing w:val="-8"/>
          <w:w w:val="120"/>
          <w:sz w:val="18"/>
        </w:rPr>
        <w:t>1972 </w:t>
      </w:r>
      <w:r>
        <w:rPr>
          <w:w w:val="120"/>
          <w:sz w:val="18"/>
        </w:rPr>
        <w:t>the only form of URC accreditation was that through the Assembly lay preachers committee.</w:t>
      </w:r>
      <w:r>
        <w:rPr>
          <w:spacing w:val="-11"/>
          <w:w w:val="120"/>
          <w:sz w:val="18"/>
        </w:rPr>
        <w:t> </w:t>
      </w:r>
      <w:r>
        <w:rPr>
          <w:spacing w:val="-3"/>
          <w:w w:val="120"/>
          <w:sz w:val="18"/>
        </w:rPr>
        <w:t>Since</w:t>
      </w:r>
      <w:r>
        <w:rPr>
          <w:spacing w:val="-10"/>
          <w:w w:val="120"/>
          <w:sz w:val="18"/>
        </w:rPr>
        <w:t> </w:t>
      </w:r>
      <w:r>
        <w:rPr>
          <w:w w:val="120"/>
          <w:sz w:val="18"/>
        </w:rPr>
        <w:t>then</w:t>
      </w:r>
      <w:r>
        <w:rPr>
          <w:spacing w:val="-11"/>
          <w:w w:val="120"/>
          <w:sz w:val="18"/>
        </w:rPr>
        <w:t> </w:t>
      </w:r>
      <w:r>
        <w:rPr>
          <w:w w:val="120"/>
          <w:sz w:val="18"/>
        </w:rPr>
        <w:t>synods</w:t>
      </w:r>
      <w:r>
        <w:rPr>
          <w:spacing w:val="-10"/>
          <w:w w:val="120"/>
          <w:sz w:val="18"/>
        </w:rPr>
        <w:t> </w:t>
      </w:r>
      <w:r>
        <w:rPr>
          <w:w w:val="120"/>
          <w:sz w:val="18"/>
        </w:rPr>
        <w:t>have</w:t>
      </w:r>
      <w:r>
        <w:rPr>
          <w:spacing w:val="-11"/>
          <w:w w:val="120"/>
          <w:sz w:val="18"/>
        </w:rPr>
        <w:t> </w:t>
      </w:r>
      <w:r>
        <w:rPr>
          <w:w w:val="120"/>
          <w:sz w:val="18"/>
        </w:rPr>
        <w:t>begun</w:t>
      </w:r>
      <w:r>
        <w:rPr>
          <w:spacing w:val="-10"/>
          <w:w w:val="120"/>
          <w:sz w:val="18"/>
        </w:rPr>
        <w:t> </w:t>
      </w:r>
      <w:r>
        <w:rPr>
          <w:w w:val="120"/>
          <w:sz w:val="18"/>
        </w:rPr>
        <w:t>to</w:t>
      </w:r>
      <w:r>
        <w:rPr>
          <w:spacing w:val="-10"/>
          <w:w w:val="120"/>
          <w:sz w:val="18"/>
        </w:rPr>
        <w:t> </w:t>
      </w:r>
      <w:r>
        <w:rPr>
          <w:w w:val="120"/>
          <w:sz w:val="18"/>
        </w:rPr>
        <w:t>accredit</w:t>
      </w:r>
      <w:r>
        <w:rPr>
          <w:spacing w:val="-11"/>
          <w:w w:val="120"/>
          <w:sz w:val="18"/>
        </w:rPr>
        <w:t> </w:t>
      </w:r>
      <w:r>
        <w:rPr>
          <w:w w:val="120"/>
          <w:sz w:val="18"/>
        </w:rPr>
        <w:t>lay</w:t>
      </w:r>
      <w:r>
        <w:rPr>
          <w:spacing w:val="-10"/>
          <w:w w:val="120"/>
          <w:sz w:val="18"/>
        </w:rPr>
        <w:t> </w:t>
      </w:r>
      <w:r>
        <w:rPr>
          <w:w w:val="120"/>
          <w:sz w:val="18"/>
        </w:rPr>
        <w:t>preachers.</w:t>
      </w:r>
      <w:r>
        <w:rPr>
          <w:spacing w:val="-11"/>
          <w:w w:val="120"/>
          <w:sz w:val="18"/>
        </w:rPr>
        <w:t> </w:t>
      </w:r>
      <w:r>
        <w:rPr>
          <w:w w:val="120"/>
          <w:sz w:val="18"/>
        </w:rPr>
        <w:t>Apart</w:t>
      </w:r>
      <w:r>
        <w:rPr>
          <w:spacing w:val="-10"/>
          <w:w w:val="120"/>
          <w:sz w:val="18"/>
        </w:rPr>
        <w:t> </w:t>
      </w:r>
      <w:r>
        <w:rPr>
          <w:w w:val="120"/>
          <w:sz w:val="18"/>
        </w:rPr>
        <w:t>from</w:t>
      </w:r>
      <w:r>
        <w:rPr>
          <w:spacing w:val="-10"/>
          <w:w w:val="120"/>
          <w:sz w:val="18"/>
        </w:rPr>
        <w:t> </w:t>
      </w:r>
      <w:r>
        <w:rPr>
          <w:w w:val="120"/>
          <w:sz w:val="18"/>
        </w:rPr>
        <w:t>lay</w:t>
      </w:r>
      <w:r>
        <w:rPr>
          <w:spacing w:val="-11"/>
          <w:w w:val="120"/>
          <w:sz w:val="18"/>
        </w:rPr>
        <w:t> </w:t>
      </w:r>
      <w:r>
        <w:rPr>
          <w:w w:val="120"/>
          <w:sz w:val="18"/>
        </w:rPr>
        <w:t>preachers from</w:t>
      </w:r>
      <w:r>
        <w:rPr>
          <w:spacing w:val="-13"/>
          <w:w w:val="120"/>
          <w:sz w:val="18"/>
        </w:rPr>
        <w:t> </w:t>
      </w:r>
      <w:r>
        <w:rPr>
          <w:w w:val="120"/>
          <w:sz w:val="18"/>
        </w:rPr>
        <w:t>other</w:t>
      </w:r>
      <w:r>
        <w:rPr>
          <w:spacing w:val="-13"/>
          <w:w w:val="120"/>
          <w:sz w:val="18"/>
        </w:rPr>
        <w:t> </w:t>
      </w:r>
      <w:r>
        <w:rPr>
          <w:w w:val="120"/>
          <w:sz w:val="18"/>
        </w:rPr>
        <w:t>churches,</w:t>
      </w:r>
      <w:r>
        <w:rPr>
          <w:spacing w:val="-13"/>
          <w:w w:val="120"/>
          <w:sz w:val="18"/>
        </w:rPr>
        <w:t> </w:t>
      </w:r>
      <w:r>
        <w:rPr>
          <w:w w:val="120"/>
          <w:sz w:val="18"/>
        </w:rPr>
        <w:t>they</w:t>
      </w:r>
      <w:r>
        <w:rPr>
          <w:spacing w:val="-13"/>
          <w:w w:val="120"/>
          <w:sz w:val="18"/>
        </w:rPr>
        <w:t> </w:t>
      </w:r>
      <w:r>
        <w:rPr>
          <w:w w:val="120"/>
          <w:sz w:val="18"/>
        </w:rPr>
        <w:t>are</w:t>
      </w:r>
      <w:r>
        <w:rPr>
          <w:spacing w:val="-13"/>
          <w:w w:val="120"/>
          <w:sz w:val="18"/>
        </w:rPr>
        <w:t> </w:t>
      </w:r>
      <w:r>
        <w:rPr>
          <w:w w:val="120"/>
          <w:sz w:val="18"/>
        </w:rPr>
        <w:t>the</w:t>
      </w:r>
      <w:r>
        <w:rPr>
          <w:spacing w:val="-13"/>
          <w:w w:val="120"/>
          <w:sz w:val="18"/>
        </w:rPr>
        <w:t> </w:t>
      </w:r>
      <w:r>
        <w:rPr>
          <w:w w:val="120"/>
          <w:sz w:val="18"/>
        </w:rPr>
        <w:t>only</w:t>
      </w:r>
      <w:r>
        <w:rPr>
          <w:spacing w:val="-13"/>
          <w:w w:val="120"/>
          <w:sz w:val="18"/>
        </w:rPr>
        <w:t> </w:t>
      </w:r>
      <w:r>
        <w:rPr>
          <w:w w:val="120"/>
          <w:sz w:val="18"/>
        </w:rPr>
        <w:t>category</w:t>
      </w:r>
      <w:r>
        <w:rPr>
          <w:spacing w:val="-13"/>
          <w:w w:val="120"/>
          <w:sz w:val="18"/>
        </w:rPr>
        <w:t> </w:t>
      </w:r>
      <w:r>
        <w:rPr>
          <w:w w:val="120"/>
          <w:sz w:val="18"/>
        </w:rPr>
        <w:t>covered</w:t>
      </w:r>
      <w:r>
        <w:rPr>
          <w:spacing w:val="-12"/>
          <w:w w:val="120"/>
          <w:sz w:val="18"/>
        </w:rPr>
        <w:t> </w:t>
      </w:r>
      <w:r>
        <w:rPr>
          <w:w w:val="120"/>
          <w:sz w:val="18"/>
        </w:rPr>
        <w:t>by</w:t>
      </w:r>
      <w:r>
        <w:rPr>
          <w:spacing w:val="-13"/>
          <w:w w:val="120"/>
          <w:sz w:val="18"/>
        </w:rPr>
        <w:t> </w:t>
      </w:r>
      <w:r>
        <w:rPr>
          <w:w w:val="120"/>
          <w:sz w:val="18"/>
        </w:rPr>
        <w:t>paragraph</w:t>
      </w:r>
      <w:r>
        <w:rPr>
          <w:spacing w:val="-13"/>
          <w:w w:val="120"/>
          <w:sz w:val="18"/>
        </w:rPr>
        <w:t> </w:t>
      </w:r>
      <w:r>
        <w:rPr>
          <w:w w:val="120"/>
          <w:sz w:val="18"/>
        </w:rPr>
        <w:t>25</w:t>
      </w:r>
      <w:r>
        <w:rPr>
          <w:spacing w:val="-13"/>
          <w:w w:val="120"/>
          <w:sz w:val="18"/>
        </w:rPr>
        <w:t> </w:t>
      </w:r>
      <w:r>
        <w:rPr>
          <w:w w:val="120"/>
          <w:sz w:val="18"/>
        </w:rPr>
        <w:t>of</w:t>
      </w:r>
      <w:r>
        <w:rPr>
          <w:spacing w:val="-13"/>
          <w:w w:val="120"/>
          <w:sz w:val="18"/>
        </w:rPr>
        <w:t> </w:t>
      </w:r>
      <w:r>
        <w:rPr>
          <w:w w:val="120"/>
          <w:sz w:val="18"/>
        </w:rPr>
        <w:t>the</w:t>
      </w:r>
      <w:r>
        <w:rPr>
          <w:spacing w:val="-13"/>
          <w:w w:val="120"/>
          <w:sz w:val="18"/>
        </w:rPr>
        <w:t> </w:t>
      </w:r>
      <w:r>
        <w:rPr>
          <w:i/>
          <w:spacing w:val="-3"/>
          <w:w w:val="120"/>
          <w:sz w:val="18"/>
        </w:rPr>
        <w:t>Basis</w:t>
      </w:r>
      <w:r>
        <w:rPr>
          <w:i/>
          <w:spacing w:val="-15"/>
          <w:w w:val="120"/>
          <w:sz w:val="18"/>
        </w:rPr>
        <w:t> </w:t>
      </w:r>
      <w:r>
        <w:rPr>
          <w:i/>
          <w:w w:val="120"/>
          <w:sz w:val="18"/>
        </w:rPr>
        <w:t>of</w:t>
      </w:r>
      <w:r>
        <w:rPr>
          <w:i/>
          <w:spacing w:val="-15"/>
          <w:w w:val="120"/>
          <w:sz w:val="18"/>
        </w:rPr>
        <w:t> </w:t>
      </w:r>
      <w:r>
        <w:rPr>
          <w:i/>
          <w:spacing w:val="-3"/>
          <w:w w:val="120"/>
          <w:sz w:val="18"/>
        </w:rPr>
        <w:t>Union</w:t>
      </w:r>
      <w:r>
        <w:rPr>
          <w:spacing w:val="-3"/>
          <w:w w:val="120"/>
          <w:sz w:val="18"/>
        </w:rPr>
        <w:t>.</w:t>
      </w:r>
    </w:p>
    <w:p>
      <w:pPr>
        <w:spacing w:after="0" w:line="240" w:lineRule="auto"/>
        <w:jc w:val="left"/>
        <w:rPr>
          <w:sz w:val="18"/>
        </w:rPr>
        <w:sectPr>
          <w:headerReference w:type="default" r:id="rId285"/>
          <w:pgSz w:w="11910" w:h="16840"/>
          <w:pgMar w:header="0" w:footer="647" w:top="0" w:bottom="840" w:left="640" w:right="0"/>
        </w:sectPr>
      </w:pPr>
    </w:p>
    <w:p>
      <w:pPr>
        <w:pStyle w:val="BodyText"/>
      </w:pPr>
      <w:r>
        <w:rPr/>
        <w:drawing>
          <wp:anchor distT="0" distB="0" distL="0" distR="0" allowOverlap="1" layoutInCell="1" locked="0" behindDoc="1" simplePos="0" relativeHeight="235458560">
            <wp:simplePos x="0" y="0"/>
            <wp:positionH relativeFrom="page">
              <wp:posOffset>0</wp:posOffset>
            </wp:positionH>
            <wp:positionV relativeFrom="page">
              <wp:posOffset>0</wp:posOffset>
            </wp:positionV>
            <wp:extent cx="594067" cy="10692003"/>
            <wp:effectExtent l="0" t="0" r="0" b="0"/>
            <wp:wrapNone/>
            <wp:docPr id="171" name="image67.png"/>
            <wp:cNvGraphicFramePr>
              <a:graphicFrameLocks noChangeAspect="1"/>
            </wp:cNvGraphicFramePr>
            <a:graphic>
              <a:graphicData uri="http://schemas.openxmlformats.org/drawingml/2006/picture">
                <pic:pic>
                  <pic:nvPicPr>
                    <pic:cNvPr id="172" name="image67.png"/>
                    <pic:cNvPicPr/>
                  </pic:nvPicPr>
                  <pic:blipFill>
                    <a:blip r:embed="rId184" cstate="print"/>
                    <a:stretch>
                      <a:fillRect/>
                    </a:stretch>
                  </pic:blipFill>
                  <pic:spPr>
                    <a:xfrm>
                      <a:off x="0" y="0"/>
                      <a:ext cx="594067" cy="10692003"/>
                    </a:xfrm>
                    <a:prstGeom prst="rect">
                      <a:avLst/>
                    </a:prstGeom>
                  </pic:spPr>
                </pic:pic>
              </a:graphicData>
            </a:graphic>
          </wp:anchor>
        </w:drawing>
      </w:r>
      <w:r>
        <w:rPr/>
        <w:pict>
          <v:shape style="position:absolute;margin-left:20.519100pt;margin-top:48.890015pt;width:25.9pt;height:360.55pt;mso-position-horizontal-relative:page;mso-position-vertical-relative:page;z-index:-267856896" type="#_x0000_t202" filled="false" stroked="false">
            <v:textbox inset="0,0,0,0" style="layout-flow:vertical">
              <w:txbxContent>
                <w:p>
                  <w:pPr>
                    <w:spacing w:before="27"/>
                    <w:ind w:left="20" w:right="0" w:firstLine="0"/>
                    <w:jc w:val="left"/>
                    <w:rPr>
                      <w:sz w:val="39"/>
                    </w:rPr>
                  </w:pPr>
                  <w:r>
                    <w:rPr>
                      <w:color w:val="FFFFFF"/>
                      <w:w w:val="120"/>
                      <w:sz w:val="39"/>
                    </w:rPr>
                    <w:t>Faith and order – </w:t>
                  </w:r>
                  <w:r>
                    <w:rPr>
                      <w:w w:val="120"/>
                      <w:sz w:val="39"/>
                    </w:rPr>
                    <w:t>Authorised elders</w:t>
                  </w:r>
                </w:p>
              </w:txbxContent>
            </v:textbox>
            <w10:wrap type="none"/>
          </v:shape>
        </w:pict>
      </w:r>
    </w:p>
    <w:p>
      <w:pPr>
        <w:pStyle w:val="BodyText"/>
        <w:spacing w:before="7"/>
        <w:rPr>
          <w:sz w:val="21"/>
        </w:rPr>
      </w:pPr>
    </w:p>
    <w:p>
      <w:pPr>
        <w:spacing w:before="106"/>
        <w:ind w:left="607" w:right="0" w:firstLine="0"/>
        <w:jc w:val="left"/>
        <w:rPr>
          <w:sz w:val="26"/>
        </w:rPr>
      </w:pPr>
      <w:r>
        <w:rPr>
          <w:color w:val="7EAABF"/>
          <w:w w:val="115"/>
          <w:sz w:val="26"/>
        </w:rPr>
        <w:t>Faith and order</w:t>
      </w:r>
    </w:p>
    <w:p>
      <w:pPr>
        <w:pStyle w:val="ListParagraph"/>
        <w:numPr>
          <w:ilvl w:val="1"/>
          <w:numId w:val="125"/>
        </w:numPr>
        <w:tabs>
          <w:tab w:pos="1287" w:val="left" w:leader="none"/>
          <w:tab w:pos="1288" w:val="left" w:leader="none"/>
        </w:tabs>
        <w:spacing w:line="235" w:lineRule="auto" w:before="222" w:after="0"/>
        <w:ind w:left="607" w:right="2239" w:firstLine="0"/>
        <w:jc w:val="left"/>
        <w:rPr>
          <w:sz w:val="20"/>
        </w:rPr>
      </w:pPr>
      <w:r>
        <w:rPr>
          <w:w w:val="120"/>
          <w:sz w:val="20"/>
        </w:rPr>
        <w:t>The committee therefore proposes that synods should be encouraged to authorise elders, or lay preachers with a pastoral relationship to the congregation, for periods of between three and five years at a time </w:t>
      </w:r>
      <w:r>
        <w:rPr>
          <w:spacing w:val="-3"/>
          <w:w w:val="120"/>
          <w:sz w:val="20"/>
        </w:rPr>
        <w:t>(according </w:t>
      </w:r>
      <w:r>
        <w:rPr>
          <w:w w:val="120"/>
          <w:sz w:val="20"/>
        </w:rPr>
        <w:t>to synod judgement), rather than for particular occasions or for a year at a time. (The current guidance in Section F of </w:t>
      </w:r>
      <w:r>
        <w:rPr>
          <w:i/>
          <w:w w:val="120"/>
          <w:sz w:val="20"/>
        </w:rPr>
        <w:t>The Manual </w:t>
      </w:r>
      <w:r>
        <w:rPr>
          <w:w w:val="120"/>
          <w:sz w:val="20"/>
        </w:rPr>
        <w:t>limits authorisation to periods of one </w:t>
      </w:r>
      <w:r>
        <w:rPr>
          <w:spacing w:val="-6"/>
          <w:w w:val="120"/>
          <w:sz w:val="20"/>
        </w:rPr>
        <w:t>year.) </w:t>
      </w:r>
      <w:r>
        <w:rPr>
          <w:w w:val="120"/>
          <w:sz w:val="20"/>
        </w:rPr>
        <w:t>Such a proposal  is supported by a majority of Synod Moderators; and it would satisfy those voices strongly urging a steer from Assembly, so that we should be seen to be acting</w:t>
      </w:r>
      <w:r>
        <w:rPr>
          <w:spacing w:val="5"/>
          <w:w w:val="120"/>
          <w:sz w:val="20"/>
        </w:rPr>
        <w:t> </w:t>
      </w:r>
      <w:r>
        <w:rPr>
          <w:w w:val="120"/>
          <w:sz w:val="20"/>
        </w:rPr>
        <w:t>as</w:t>
      </w:r>
    </w:p>
    <w:p>
      <w:pPr>
        <w:pStyle w:val="BodyText"/>
        <w:spacing w:line="235" w:lineRule="auto" w:before="5"/>
        <w:ind w:left="607" w:right="2248"/>
      </w:pPr>
      <w:r>
        <w:rPr>
          <w:w w:val="120"/>
        </w:rPr>
        <w:t>one church rather than thirteen synods. It would enable those authorised to feel that the preparation for the task is worth undertaking, as well as giving stability to local congregational situations. Moreover such persons should be used regularly, not just </w:t>
      </w:r>
      <w:r>
        <w:rPr>
          <w:spacing w:val="2"/>
          <w:w w:val="120"/>
        </w:rPr>
        <w:t>left </w:t>
      </w:r>
      <w:r>
        <w:rPr>
          <w:w w:val="120"/>
        </w:rPr>
        <w:t>as names on a list; otherwise the time spent in preparation is wasted </w:t>
      </w:r>
      <w:r>
        <w:rPr>
          <w:spacing w:val="-4"/>
          <w:w w:val="120"/>
        </w:rPr>
        <w:t>(§2.27). </w:t>
      </w:r>
      <w:r>
        <w:rPr>
          <w:w w:val="120"/>
        </w:rPr>
        <w:t>All synods take seriously the responsibility of preparing elders to preside; this diversity   of resources is an asset, which enables us to learn from one another’s experience. The committee does not propose a maximum or minimum number per church, since</w:t>
      </w:r>
      <w:r>
        <w:rPr>
          <w:spacing w:val="53"/>
          <w:w w:val="120"/>
        </w:rPr>
        <w:t> </w:t>
      </w:r>
      <w:r>
        <w:rPr>
          <w:w w:val="120"/>
        </w:rPr>
        <w:t>it</w:t>
      </w:r>
    </w:p>
    <w:p>
      <w:pPr>
        <w:pStyle w:val="BodyText"/>
        <w:spacing w:line="235" w:lineRule="auto" w:before="5"/>
        <w:ind w:left="607" w:right="2045"/>
      </w:pPr>
      <w:r>
        <w:rPr>
          <w:w w:val="120"/>
        </w:rPr>
        <w:t>believes the Basis of Union intended the matter to be determined on the basis of need not numbers.</w:t>
      </w:r>
    </w:p>
    <w:p>
      <w:pPr>
        <w:pStyle w:val="BodyText"/>
        <w:spacing w:before="9"/>
        <w:rPr>
          <w:sz w:val="19"/>
        </w:rPr>
      </w:pPr>
    </w:p>
    <w:p>
      <w:pPr>
        <w:pStyle w:val="ListParagraph"/>
        <w:numPr>
          <w:ilvl w:val="1"/>
          <w:numId w:val="125"/>
        </w:numPr>
        <w:tabs>
          <w:tab w:pos="1287" w:val="left" w:leader="none"/>
          <w:tab w:pos="1288" w:val="left" w:leader="none"/>
        </w:tabs>
        <w:spacing w:line="235" w:lineRule="auto" w:before="1" w:after="0"/>
        <w:ind w:left="607" w:right="2074" w:firstLine="0"/>
        <w:jc w:val="left"/>
        <w:rPr>
          <w:sz w:val="20"/>
        </w:rPr>
      </w:pPr>
      <w:r>
        <w:rPr>
          <w:w w:val="120"/>
          <w:sz w:val="20"/>
        </w:rPr>
        <w:t>Various pastoral questions have been raised, although in general the detailed application of Assembly policy will always lie with the synods. Some have wondered about appropriate provision in various Fresh Expressions of church or Local Mission Projects; this must depend on the synod’s judgement about the local situation in question. Presumably there will be a local church or a synod-appointed group to guide the development concerned; thus the recommendations would fall to them. Other questions have been raised about communion for the housebound, or for those in care homes and similar situations. There is an obvious difference between conducting a service for one or two church members in a home accompanied by another elder, and providing a service to which all the residents are invited. We commend the practice of the Synod of Scotland in giving special preparation for those presiding at communion with vulnerable adults. Another synod has suggested that a named elder might be  given the task of preparing candidates for baptism and conducting the service. The committee regards this as an imaginative use of</w:t>
      </w:r>
      <w:r>
        <w:rPr>
          <w:spacing w:val="15"/>
          <w:w w:val="120"/>
          <w:sz w:val="20"/>
        </w:rPr>
        <w:t> </w:t>
      </w:r>
      <w:r>
        <w:rPr>
          <w:spacing w:val="-3"/>
          <w:w w:val="120"/>
          <w:sz w:val="20"/>
        </w:rPr>
        <w:t>§25.</w:t>
      </w:r>
    </w:p>
    <w:p>
      <w:pPr>
        <w:pStyle w:val="BodyText"/>
        <w:spacing w:before="6"/>
      </w:pPr>
    </w:p>
    <w:p>
      <w:pPr>
        <w:pStyle w:val="ListParagraph"/>
        <w:numPr>
          <w:ilvl w:val="1"/>
          <w:numId w:val="125"/>
        </w:numPr>
        <w:tabs>
          <w:tab w:pos="1287" w:val="left" w:leader="none"/>
          <w:tab w:pos="1288" w:val="left" w:leader="none"/>
        </w:tabs>
        <w:spacing w:line="235" w:lineRule="auto" w:before="0" w:after="0"/>
        <w:ind w:left="607" w:right="2321" w:firstLine="0"/>
        <w:jc w:val="left"/>
        <w:rPr>
          <w:sz w:val="20"/>
        </w:rPr>
      </w:pPr>
      <w:r>
        <w:rPr>
          <w:w w:val="120"/>
          <w:sz w:val="20"/>
        </w:rPr>
        <w:t>The new atmosphere of suspicion in parliamentary legislation about internal church discipline, exemplified by the Goddard Inquiry, has influenced the drafting    of other details: the committee proposes a probationary period of one year for new appointments before commissioning; a code of conduct by which authorised elders and lay preachers would agree to be bound before beginning their probationary period; regular support and guidance from synods for both churches without an authorised elder or lay preacher, similar support for those authorised so they can share their experience; and a list of any whose authorization has been withdrawn,  for reference if someone moves from one synod to another (resolutions </w:t>
      </w:r>
      <w:r>
        <w:rPr>
          <w:spacing w:val="-9"/>
          <w:w w:val="120"/>
          <w:sz w:val="20"/>
        </w:rPr>
        <w:t>14(c), </w:t>
      </w:r>
      <w:r>
        <w:rPr>
          <w:spacing w:val="-8"/>
          <w:w w:val="120"/>
          <w:sz w:val="20"/>
        </w:rPr>
        <w:t>15, </w:t>
      </w:r>
      <w:r>
        <w:rPr>
          <w:spacing w:val="-6"/>
          <w:w w:val="120"/>
          <w:sz w:val="20"/>
        </w:rPr>
        <w:t>16, </w:t>
      </w:r>
      <w:r>
        <w:rPr>
          <w:w w:val="120"/>
          <w:sz w:val="20"/>
        </w:rPr>
        <w:t>and </w:t>
      </w:r>
      <w:r>
        <w:rPr>
          <w:spacing w:val="-12"/>
          <w:w w:val="120"/>
          <w:sz w:val="20"/>
        </w:rPr>
        <w:t>17; </w:t>
      </w:r>
      <w:r>
        <w:rPr>
          <w:w w:val="120"/>
          <w:sz w:val="20"/>
        </w:rPr>
        <w:t>see also </w:t>
      </w:r>
      <w:r>
        <w:rPr>
          <w:spacing w:val="-8"/>
          <w:w w:val="120"/>
          <w:sz w:val="20"/>
        </w:rPr>
        <w:t>§2.14, </w:t>
      </w:r>
      <w:r>
        <w:rPr>
          <w:w w:val="120"/>
          <w:sz w:val="20"/>
        </w:rPr>
        <w:t>2.23, </w:t>
      </w:r>
      <w:r>
        <w:rPr>
          <w:spacing w:val="-5"/>
          <w:w w:val="120"/>
          <w:sz w:val="20"/>
        </w:rPr>
        <w:t>2.33, </w:t>
      </w:r>
      <w:r>
        <w:rPr>
          <w:spacing w:val="-3"/>
          <w:w w:val="120"/>
          <w:sz w:val="20"/>
        </w:rPr>
        <w:t>2.36, </w:t>
      </w:r>
      <w:r>
        <w:rPr>
          <w:spacing w:val="-4"/>
          <w:w w:val="120"/>
          <w:sz w:val="20"/>
        </w:rPr>
        <w:t>2.37). </w:t>
      </w:r>
      <w:r>
        <w:rPr>
          <w:w w:val="120"/>
          <w:sz w:val="20"/>
        </w:rPr>
        <w:t>Authorised elders, like ministers</w:t>
      </w:r>
      <w:r>
        <w:rPr>
          <w:spacing w:val="1"/>
          <w:w w:val="120"/>
          <w:sz w:val="20"/>
        </w:rPr>
        <w:t> </w:t>
      </w:r>
      <w:r>
        <w:rPr>
          <w:w w:val="120"/>
          <w:sz w:val="20"/>
        </w:rPr>
        <w:t>and</w:t>
      </w:r>
    </w:p>
    <w:p>
      <w:pPr>
        <w:pStyle w:val="BodyText"/>
        <w:spacing w:line="235" w:lineRule="auto" w:before="7"/>
        <w:ind w:left="607" w:right="2045"/>
      </w:pPr>
      <w:r>
        <w:rPr>
          <w:w w:val="120"/>
        </w:rPr>
        <w:t>lay preachers at present, would be well advised (and might be required, according to synod policy) to have a DBS check.</w:t>
      </w:r>
    </w:p>
    <w:p>
      <w:pPr>
        <w:pStyle w:val="BodyText"/>
        <w:spacing w:before="10"/>
        <w:rPr>
          <w:sz w:val="19"/>
        </w:rPr>
      </w:pPr>
    </w:p>
    <w:p>
      <w:pPr>
        <w:pStyle w:val="ListParagraph"/>
        <w:numPr>
          <w:ilvl w:val="1"/>
          <w:numId w:val="125"/>
        </w:numPr>
        <w:tabs>
          <w:tab w:pos="1287" w:val="left" w:leader="none"/>
          <w:tab w:pos="1288" w:val="left" w:leader="none"/>
        </w:tabs>
        <w:spacing w:line="235" w:lineRule="auto" w:before="0" w:after="0"/>
        <w:ind w:left="607" w:right="2457" w:firstLine="0"/>
        <w:jc w:val="left"/>
        <w:rPr>
          <w:sz w:val="20"/>
        </w:rPr>
      </w:pPr>
      <w:r>
        <w:rPr>
          <w:w w:val="120"/>
          <w:sz w:val="20"/>
        </w:rPr>
        <w:t>The development of a programme of missional discipleship, with a variety   of learning resources, means that the preparation for such a ministry by those not ordained to the ministry of word and sacraments can be seen as </w:t>
      </w:r>
      <w:r>
        <w:rPr>
          <w:spacing w:val="2"/>
          <w:w w:val="120"/>
          <w:sz w:val="20"/>
        </w:rPr>
        <w:t>part </w:t>
      </w:r>
      <w:r>
        <w:rPr>
          <w:w w:val="120"/>
          <w:sz w:val="20"/>
        </w:rPr>
        <w:t>of a total commitment</w:t>
      </w:r>
      <w:r>
        <w:rPr>
          <w:spacing w:val="8"/>
          <w:w w:val="120"/>
          <w:sz w:val="20"/>
        </w:rPr>
        <w:t> </w:t>
      </w:r>
      <w:r>
        <w:rPr>
          <w:w w:val="120"/>
          <w:sz w:val="20"/>
        </w:rPr>
        <w:t>by</w:t>
      </w:r>
      <w:r>
        <w:rPr>
          <w:spacing w:val="9"/>
          <w:w w:val="120"/>
          <w:sz w:val="20"/>
        </w:rPr>
        <w:t> </w:t>
      </w:r>
      <w:r>
        <w:rPr>
          <w:w w:val="120"/>
          <w:sz w:val="20"/>
        </w:rPr>
        <w:t>the</w:t>
      </w:r>
      <w:r>
        <w:rPr>
          <w:spacing w:val="8"/>
          <w:w w:val="120"/>
          <w:sz w:val="20"/>
        </w:rPr>
        <w:t> </w:t>
      </w:r>
      <w:r>
        <w:rPr>
          <w:w w:val="120"/>
          <w:sz w:val="20"/>
        </w:rPr>
        <w:t>United</w:t>
      </w:r>
      <w:r>
        <w:rPr>
          <w:spacing w:val="9"/>
          <w:w w:val="120"/>
          <w:sz w:val="20"/>
        </w:rPr>
        <w:t> </w:t>
      </w:r>
      <w:r>
        <w:rPr>
          <w:w w:val="120"/>
          <w:sz w:val="20"/>
        </w:rPr>
        <w:t>Reformed</w:t>
      </w:r>
      <w:r>
        <w:rPr>
          <w:spacing w:val="8"/>
          <w:w w:val="120"/>
          <w:sz w:val="20"/>
        </w:rPr>
        <w:t> </w:t>
      </w:r>
      <w:r>
        <w:rPr>
          <w:w w:val="120"/>
          <w:sz w:val="20"/>
        </w:rPr>
        <w:t>Church</w:t>
      </w:r>
      <w:r>
        <w:rPr>
          <w:spacing w:val="9"/>
          <w:w w:val="120"/>
          <w:sz w:val="20"/>
        </w:rPr>
        <w:t> </w:t>
      </w:r>
      <w:r>
        <w:rPr>
          <w:w w:val="120"/>
          <w:sz w:val="20"/>
        </w:rPr>
        <w:t>to</w:t>
      </w:r>
      <w:r>
        <w:rPr>
          <w:spacing w:val="8"/>
          <w:w w:val="120"/>
          <w:sz w:val="20"/>
        </w:rPr>
        <w:t> </w:t>
      </w:r>
      <w:r>
        <w:rPr>
          <w:w w:val="120"/>
          <w:sz w:val="20"/>
        </w:rPr>
        <w:t>a</w:t>
      </w:r>
      <w:r>
        <w:rPr>
          <w:spacing w:val="9"/>
          <w:w w:val="120"/>
          <w:sz w:val="20"/>
        </w:rPr>
        <w:t> </w:t>
      </w:r>
      <w:r>
        <w:rPr>
          <w:w w:val="120"/>
          <w:sz w:val="20"/>
        </w:rPr>
        <w:t>new</w:t>
      </w:r>
      <w:r>
        <w:rPr>
          <w:spacing w:val="8"/>
          <w:w w:val="120"/>
          <w:sz w:val="20"/>
        </w:rPr>
        <w:t> </w:t>
      </w:r>
      <w:r>
        <w:rPr>
          <w:w w:val="120"/>
          <w:sz w:val="20"/>
        </w:rPr>
        <w:t>outward-facing</w:t>
      </w:r>
      <w:r>
        <w:rPr>
          <w:spacing w:val="9"/>
          <w:w w:val="120"/>
          <w:sz w:val="20"/>
        </w:rPr>
        <w:t> </w:t>
      </w:r>
      <w:r>
        <w:rPr>
          <w:w w:val="120"/>
          <w:sz w:val="20"/>
        </w:rPr>
        <w:t>approach</w:t>
      </w:r>
      <w:r>
        <w:rPr>
          <w:spacing w:val="9"/>
          <w:w w:val="120"/>
          <w:sz w:val="20"/>
        </w:rPr>
        <w:t> </w:t>
      </w:r>
      <w:r>
        <w:rPr>
          <w:w w:val="120"/>
          <w:sz w:val="20"/>
        </w:rPr>
        <w:t>in</w:t>
      </w:r>
    </w:p>
    <w:p>
      <w:pPr>
        <w:pStyle w:val="BodyText"/>
        <w:spacing w:line="235" w:lineRule="auto" w:before="3"/>
        <w:ind w:left="607" w:right="2045"/>
      </w:pPr>
      <w:r>
        <w:rPr>
          <w:w w:val="120"/>
        </w:rPr>
        <w:t>their local situation. In addressing the elders at Ephesus (Acts 20:18ff) Paul alludes to Ezekiel 33-34, which enables him to characterise the elders as sentinels and shepherds. An elder looks outward at the wider community, recognising and understanding the pressures, concerns and context amid which the congregation serves. Elders also look inward, with a caring and supportive ministry towards the people who have elected them. Both aspects of the role matter. Elders can only help members in their faith and witness if they understand well the local context within which that faith is set and</w:t>
      </w:r>
    </w:p>
    <w:p>
      <w:pPr>
        <w:pStyle w:val="BodyText"/>
        <w:spacing w:line="235" w:lineRule="auto" w:before="5"/>
        <w:ind w:left="607" w:right="2394"/>
      </w:pPr>
      <w:r>
        <w:rPr>
          <w:w w:val="120"/>
        </w:rPr>
        <w:t>that witness expressed. A single Assembly syllabus for a programme of preparation for authorised elders and lay preachers could build on the existing resources of each synod, and ensure that the delivery of such a programme would be adapted to the local situations of those preparing for this ministry (including flexibility over timing</w:t>
      </w:r>
    </w:p>
    <w:p>
      <w:pPr>
        <w:spacing w:after="0" w:line="235" w:lineRule="auto"/>
        <w:sectPr>
          <w:headerReference w:type="even" r:id="rId286"/>
          <w:footerReference w:type="even" r:id="rId287"/>
          <w:footerReference w:type="default" r:id="rId288"/>
          <w:pgSz w:w="11910" w:h="16840"/>
          <w:pgMar w:header="0" w:footer="647" w:top="0" w:bottom="840" w:left="640" w:right="0"/>
          <w:pgNumType w:start="94"/>
        </w:sectPr>
      </w:pPr>
    </w:p>
    <w:p>
      <w:pPr>
        <w:pStyle w:val="BodyText"/>
      </w:pPr>
      <w:r>
        <w:rPr/>
        <w:drawing>
          <wp:anchor distT="0" distB="0" distL="0" distR="0" allowOverlap="1" layoutInCell="1" locked="0" behindDoc="0" simplePos="0" relativeHeight="251914240">
            <wp:simplePos x="0" y="0"/>
            <wp:positionH relativeFrom="page">
              <wp:posOffset>6974928</wp:posOffset>
            </wp:positionH>
            <wp:positionV relativeFrom="page">
              <wp:posOffset>0</wp:posOffset>
            </wp:positionV>
            <wp:extent cx="585063" cy="10692003"/>
            <wp:effectExtent l="0" t="0" r="0" b="0"/>
            <wp:wrapNone/>
            <wp:docPr id="173" name="image54.png"/>
            <wp:cNvGraphicFramePr>
              <a:graphicFrameLocks noChangeAspect="1"/>
            </wp:cNvGraphicFramePr>
            <a:graphic>
              <a:graphicData uri="http://schemas.openxmlformats.org/drawingml/2006/picture">
                <pic:pic>
                  <pic:nvPicPr>
                    <pic:cNvPr id="174" name="image54.png"/>
                    <pic:cNvPicPr/>
                  </pic:nvPicPr>
                  <pic:blipFill>
                    <a:blip r:embed="rId169" cstate="print"/>
                    <a:stretch>
                      <a:fillRect/>
                    </a:stretch>
                  </pic:blipFill>
                  <pic:spPr>
                    <a:xfrm>
                      <a:off x="0" y="0"/>
                      <a:ext cx="585063" cy="10692003"/>
                    </a:xfrm>
                    <a:prstGeom prst="rect">
                      <a:avLst/>
                    </a:prstGeom>
                  </pic:spPr>
                </pic:pic>
              </a:graphicData>
            </a:graphic>
          </wp:anchor>
        </w:drawing>
      </w:r>
    </w:p>
    <w:p>
      <w:pPr>
        <w:pStyle w:val="BodyText"/>
        <w:spacing w:before="7"/>
        <w:rPr>
          <w:sz w:val="21"/>
        </w:rPr>
      </w:pPr>
    </w:p>
    <w:p>
      <w:pPr>
        <w:spacing w:before="106"/>
        <w:ind w:left="0" w:right="1245" w:firstLine="0"/>
        <w:jc w:val="right"/>
        <w:rPr>
          <w:sz w:val="26"/>
        </w:rPr>
      </w:pPr>
      <w:r>
        <w:rPr/>
        <w:pict>
          <v:shape style="position:absolute;margin-left:554.141174pt;margin-top:22.593945pt;width:25.9pt;height:360.55pt;mso-position-horizontal-relative:page;mso-position-vertical-relative:paragraph;z-index:251915264" type="#_x0000_t202" filled="false" stroked="false">
            <v:textbox inset="0,0,0,0" style="layout-flow:vertical">
              <w:txbxContent>
                <w:p>
                  <w:pPr>
                    <w:spacing w:before="27"/>
                    <w:ind w:left="20" w:right="0" w:firstLine="0"/>
                    <w:jc w:val="left"/>
                    <w:rPr>
                      <w:sz w:val="39"/>
                    </w:rPr>
                  </w:pPr>
                  <w:r>
                    <w:rPr>
                      <w:color w:val="FFFFFF"/>
                      <w:w w:val="120"/>
                      <w:sz w:val="39"/>
                    </w:rPr>
                    <w:t>Faith and order – </w:t>
                  </w:r>
                  <w:r>
                    <w:rPr>
                      <w:w w:val="120"/>
                      <w:sz w:val="39"/>
                    </w:rPr>
                    <w:t>Authorised elders</w:t>
                  </w:r>
                </w:p>
              </w:txbxContent>
            </v:textbox>
            <w10:wrap type="none"/>
          </v:shape>
        </w:pict>
      </w:r>
      <w:r>
        <w:rPr>
          <w:color w:val="7EAABF"/>
          <w:w w:val="115"/>
          <w:sz w:val="26"/>
        </w:rPr>
        <w:t>Faith and order</w:t>
      </w:r>
    </w:p>
    <w:p>
      <w:pPr>
        <w:pStyle w:val="BodyText"/>
        <w:spacing w:line="235" w:lineRule="auto" w:before="222"/>
        <w:ind w:left="1344" w:right="1478"/>
      </w:pPr>
      <w:r>
        <w:rPr>
          <w:w w:val="120"/>
        </w:rPr>
        <w:t>to suit the candidates). The committee proposes that the education and learning committee be invited to prepare such a syllabus, which could be linked to the work on Missional Discipleship (see Resolution 18).</w:t>
      </w:r>
    </w:p>
    <w:p>
      <w:pPr>
        <w:pStyle w:val="BodyText"/>
        <w:spacing w:before="6"/>
        <w:rPr>
          <w:sz w:val="19"/>
        </w:rPr>
      </w:pPr>
    </w:p>
    <w:p>
      <w:pPr>
        <w:pStyle w:val="ListParagraph"/>
        <w:numPr>
          <w:ilvl w:val="1"/>
          <w:numId w:val="125"/>
        </w:numPr>
        <w:tabs>
          <w:tab w:pos="2024" w:val="left" w:leader="none"/>
          <w:tab w:pos="2025" w:val="left" w:leader="none"/>
        </w:tabs>
        <w:spacing w:line="240" w:lineRule="auto" w:before="0" w:after="0"/>
        <w:ind w:left="2024" w:right="0" w:hanging="681"/>
        <w:jc w:val="left"/>
        <w:rPr>
          <w:sz w:val="20"/>
        </w:rPr>
      </w:pPr>
      <w:r>
        <w:rPr>
          <w:w w:val="120"/>
          <w:sz w:val="20"/>
        </w:rPr>
        <w:t>The committee therefore proposes the following</w:t>
      </w:r>
      <w:r>
        <w:rPr>
          <w:spacing w:val="12"/>
          <w:w w:val="120"/>
          <w:sz w:val="20"/>
        </w:rPr>
        <w:t> </w:t>
      </w:r>
      <w:r>
        <w:rPr>
          <w:w w:val="120"/>
          <w:sz w:val="20"/>
        </w:rPr>
        <w:t>resolutions:</w:t>
      </w:r>
    </w:p>
    <w:p>
      <w:pPr>
        <w:pStyle w:val="BodyText"/>
        <w:spacing w:before="1"/>
      </w:pPr>
    </w:p>
    <w:p>
      <w:pPr>
        <w:pStyle w:val="Heading7"/>
        <w:numPr>
          <w:ilvl w:val="0"/>
          <w:numId w:val="129"/>
        </w:numPr>
        <w:tabs>
          <w:tab w:pos="2784" w:val="left" w:leader="none"/>
          <w:tab w:pos="2785" w:val="left" w:leader="none"/>
        </w:tabs>
        <w:spacing w:line="213" w:lineRule="auto" w:before="1" w:after="0"/>
        <w:ind w:left="2024" w:right="1376" w:firstLine="0"/>
        <w:jc w:val="left"/>
      </w:pPr>
      <w:r>
        <w:rPr>
          <w:w w:val="110"/>
        </w:rPr>
        <w:t>General Assembly agrees that the existing guidance on Presidency at the Sacraments </w:t>
      </w:r>
      <w:r>
        <w:rPr>
          <w:rFonts w:ascii="Calibri"/>
          <w:b w:val="0"/>
          <w:w w:val="110"/>
        </w:rPr>
        <w:t>(</w:t>
      </w:r>
      <w:r>
        <w:rPr>
          <w:rFonts w:ascii="Calibri"/>
          <w:b w:val="0"/>
          <w:i/>
          <w:w w:val="110"/>
        </w:rPr>
        <w:t>The Manual, </w:t>
      </w:r>
      <w:r>
        <w:rPr>
          <w:rFonts w:ascii="Calibri"/>
          <w:b w:val="0"/>
          <w:w w:val="110"/>
        </w:rPr>
        <w:t>Section F)</w:t>
      </w:r>
      <w:r>
        <w:rPr>
          <w:rFonts w:ascii="Calibri"/>
          <w:b w:val="0"/>
          <w:spacing w:val="20"/>
          <w:w w:val="110"/>
        </w:rPr>
        <w:t> </w:t>
      </w:r>
      <w:r>
        <w:rPr>
          <w:w w:val="110"/>
        </w:rPr>
        <w:t>be amended to read:</w:t>
      </w:r>
    </w:p>
    <w:p>
      <w:pPr>
        <w:pStyle w:val="Heading7"/>
        <w:spacing w:line="213" w:lineRule="auto"/>
        <w:ind w:right="1478"/>
      </w:pPr>
      <w:r>
        <w:rPr>
          <w:w w:val="110"/>
        </w:rPr>
        <w:t>The pattern of presidency at the sacraments if the minister in pastoral charge is not available should be as follows –</w:t>
      </w:r>
    </w:p>
    <w:p>
      <w:pPr>
        <w:pStyle w:val="Heading7"/>
        <w:numPr>
          <w:ilvl w:val="0"/>
          <w:numId w:val="130"/>
        </w:numPr>
        <w:tabs>
          <w:tab w:pos="2704" w:val="left" w:leader="none"/>
          <w:tab w:pos="2705" w:val="left" w:leader="none"/>
        </w:tabs>
        <w:spacing w:line="213" w:lineRule="auto" w:before="0" w:after="0"/>
        <w:ind w:left="2704" w:right="2021" w:hanging="681"/>
        <w:jc w:val="left"/>
      </w:pPr>
      <w:r>
        <w:rPr>
          <w:w w:val="110"/>
        </w:rPr>
        <w:t>the Church Meeting may invite another Minister of Word and Sacraments (including a retired minister who has expressed willingness to do</w:t>
      </w:r>
      <w:r>
        <w:rPr>
          <w:spacing w:val="-1"/>
          <w:w w:val="110"/>
        </w:rPr>
        <w:t> </w:t>
      </w:r>
      <w:r>
        <w:rPr>
          <w:spacing w:val="-6"/>
          <w:w w:val="110"/>
        </w:rPr>
        <w:t>so);</w:t>
      </w:r>
    </w:p>
    <w:p>
      <w:pPr>
        <w:pStyle w:val="Heading7"/>
        <w:numPr>
          <w:ilvl w:val="0"/>
          <w:numId w:val="130"/>
        </w:numPr>
        <w:tabs>
          <w:tab w:pos="2704" w:val="left" w:leader="none"/>
          <w:tab w:pos="2705" w:val="left" w:leader="none"/>
        </w:tabs>
        <w:spacing w:line="213" w:lineRule="auto" w:before="0" w:after="0"/>
        <w:ind w:left="2704" w:right="1657" w:hanging="681"/>
        <w:jc w:val="left"/>
      </w:pPr>
      <w:r>
        <w:rPr>
          <w:w w:val="110"/>
        </w:rPr>
        <w:t>if such a minister is not available, the Church Meeting may invite an elder </w:t>
      </w:r>
      <w:r>
        <w:rPr>
          <w:spacing w:val="-5"/>
          <w:w w:val="110"/>
        </w:rPr>
        <w:t>(or </w:t>
      </w:r>
      <w:r>
        <w:rPr>
          <w:w w:val="110"/>
        </w:rPr>
        <w:t>accredited lay preacher) authorised by the synod,</w:t>
      </w:r>
      <w:r>
        <w:rPr>
          <w:spacing w:val="6"/>
          <w:w w:val="110"/>
        </w:rPr>
        <w:t> </w:t>
      </w:r>
      <w:r>
        <w:rPr>
          <w:w w:val="110"/>
        </w:rPr>
        <w:t>in</w:t>
      </w:r>
    </w:p>
    <w:p>
      <w:pPr>
        <w:pStyle w:val="Heading7"/>
        <w:spacing w:line="213" w:lineRule="auto"/>
        <w:ind w:left="2704" w:right="1295"/>
      </w:pPr>
      <w:r>
        <w:rPr>
          <w:w w:val="110"/>
        </w:rPr>
        <w:t>accordance with the provisions of §25 of the </w:t>
      </w:r>
      <w:r>
        <w:rPr>
          <w:i/>
          <w:w w:val="110"/>
        </w:rPr>
        <w:t>Basis of Union</w:t>
      </w:r>
      <w:r>
        <w:rPr>
          <w:w w:val="110"/>
        </w:rPr>
        <w:t>: elders of the local church and accredited lay preachers regularly conducting worship there should be considered first;</w:t>
      </w:r>
    </w:p>
    <w:p>
      <w:pPr>
        <w:pStyle w:val="Heading7"/>
        <w:numPr>
          <w:ilvl w:val="0"/>
          <w:numId w:val="130"/>
        </w:numPr>
        <w:tabs>
          <w:tab w:pos="2704" w:val="left" w:leader="none"/>
          <w:tab w:pos="2706" w:val="left" w:leader="none"/>
        </w:tabs>
        <w:spacing w:line="213" w:lineRule="auto" w:before="0" w:after="0"/>
        <w:ind w:left="2704" w:right="1266" w:hanging="681"/>
        <w:jc w:val="left"/>
      </w:pPr>
      <w:r>
        <w:rPr>
          <w:w w:val="110"/>
        </w:rPr>
        <w:t>authorisation</w:t>
      </w:r>
      <w:r>
        <w:rPr>
          <w:spacing w:val="-14"/>
          <w:w w:val="110"/>
        </w:rPr>
        <w:t> </w:t>
      </w:r>
      <w:r>
        <w:rPr>
          <w:w w:val="110"/>
        </w:rPr>
        <w:t>for</w:t>
      </w:r>
      <w:r>
        <w:rPr>
          <w:spacing w:val="-13"/>
          <w:w w:val="110"/>
        </w:rPr>
        <w:t> </w:t>
      </w:r>
      <w:r>
        <w:rPr>
          <w:w w:val="110"/>
        </w:rPr>
        <w:t>such</w:t>
      </w:r>
      <w:r>
        <w:rPr>
          <w:spacing w:val="-13"/>
          <w:w w:val="110"/>
        </w:rPr>
        <w:t> </w:t>
      </w:r>
      <w:r>
        <w:rPr>
          <w:w w:val="110"/>
        </w:rPr>
        <w:t>presidency</w:t>
      </w:r>
      <w:r>
        <w:rPr>
          <w:spacing w:val="-13"/>
          <w:w w:val="110"/>
        </w:rPr>
        <w:t> </w:t>
      </w:r>
      <w:r>
        <w:rPr>
          <w:w w:val="110"/>
        </w:rPr>
        <w:t>by</w:t>
      </w:r>
      <w:r>
        <w:rPr>
          <w:spacing w:val="-13"/>
          <w:w w:val="110"/>
        </w:rPr>
        <w:t> </w:t>
      </w:r>
      <w:r>
        <w:rPr>
          <w:w w:val="110"/>
        </w:rPr>
        <w:t>the</w:t>
      </w:r>
      <w:r>
        <w:rPr>
          <w:spacing w:val="-13"/>
          <w:w w:val="110"/>
        </w:rPr>
        <w:t> </w:t>
      </w:r>
      <w:r>
        <w:rPr>
          <w:w w:val="110"/>
        </w:rPr>
        <w:t>synod,</w:t>
      </w:r>
      <w:r>
        <w:rPr>
          <w:spacing w:val="-13"/>
          <w:w w:val="110"/>
        </w:rPr>
        <w:t> </w:t>
      </w:r>
      <w:r>
        <w:rPr>
          <w:w w:val="110"/>
        </w:rPr>
        <w:t>normally</w:t>
      </w:r>
      <w:r>
        <w:rPr>
          <w:spacing w:val="-14"/>
          <w:w w:val="110"/>
        </w:rPr>
        <w:t> </w:t>
      </w:r>
      <w:r>
        <w:rPr>
          <w:w w:val="110"/>
        </w:rPr>
        <w:t>of</w:t>
      </w:r>
      <w:r>
        <w:rPr>
          <w:spacing w:val="-13"/>
          <w:w w:val="110"/>
        </w:rPr>
        <w:t> </w:t>
      </w:r>
      <w:r>
        <w:rPr>
          <w:w w:val="110"/>
        </w:rPr>
        <w:t>members from within the congregation concerned, should be for an initial period of three </w:t>
      </w:r>
      <w:r>
        <w:rPr>
          <w:spacing w:val="-3"/>
          <w:w w:val="110"/>
        </w:rPr>
        <w:t>to </w:t>
      </w:r>
      <w:r>
        <w:rPr>
          <w:w w:val="110"/>
        </w:rPr>
        <w:t>five years </w:t>
      </w:r>
      <w:r>
        <w:rPr>
          <w:spacing w:val="-4"/>
          <w:w w:val="110"/>
        </w:rPr>
        <w:t>(according </w:t>
      </w:r>
      <w:r>
        <w:rPr>
          <w:spacing w:val="-3"/>
          <w:w w:val="110"/>
        </w:rPr>
        <w:t>to </w:t>
      </w:r>
      <w:r>
        <w:rPr>
          <w:w w:val="110"/>
        </w:rPr>
        <w:t>synod </w:t>
      </w:r>
      <w:r>
        <w:rPr>
          <w:spacing w:val="-4"/>
          <w:w w:val="110"/>
        </w:rPr>
        <w:t>judgement), </w:t>
      </w:r>
      <w:r>
        <w:rPr>
          <w:w w:val="110"/>
        </w:rPr>
        <w:t>including a probationary </w:t>
      </w:r>
      <w:r>
        <w:rPr>
          <w:spacing w:val="-3"/>
          <w:w w:val="110"/>
        </w:rPr>
        <w:t>year </w:t>
      </w:r>
      <w:r>
        <w:rPr>
          <w:w w:val="110"/>
        </w:rPr>
        <w:t>on first appointment, with the possibility of </w:t>
      </w:r>
      <w:r>
        <w:rPr>
          <w:spacing w:val="-3"/>
          <w:w w:val="110"/>
        </w:rPr>
        <w:t>renewal. </w:t>
      </w:r>
      <w:r>
        <w:rPr>
          <w:w w:val="110"/>
        </w:rPr>
        <w:t>Before renewal there should be consultation by</w:t>
      </w:r>
      <w:r>
        <w:rPr>
          <w:spacing w:val="-8"/>
          <w:w w:val="110"/>
        </w:rPr>
        <w:t> </w:t>
      </w:r>
      <w:r>
        <w:rPr>
          <w:w w:val="110"/>
        </w:rPr>
        <w:t>the</w:t>
      </w:r>
      <w:r>
        <w:rPr>
          <w:spacing w:val="-7"/>
          <w:w w:val="110"/>
        </w:rPr>
        <w:t> </w:t>
      </w:r>
      <w:r>
        <w:rPr>
          <w:w w:val="110"/>
        </w:rPr>
        <w:t>synod</w:t>
      </w:r>
      <w:r>
        <w:rPr>
          <w:spacing w:val="-7"/>
          <w:w w:val="110"/>
        </w:rPr>
        <w:t> </w:t>
      </w:r>
      <w:r>
        <w:rPr>
          <w:w w:val="110"/>
        </w:rPr>
        <w:t>with</w:t>
      </w:r>
      <w:r>
        <w:rPr>
          <w:spacing w:val="-8"/>
          <w:w w:val="110"/>
        </w:rPr>
        <w:t> </w:t>
      </w:r>
      <w:r>
        <w:rPr>
          <w:w w:val="110"/>
        </w:rPr>
        <w:t>the</w:t>
      </w:r>
      <w:r>
        <w:rPr>
          <w:spacing w:val="-7"/>
          <w:w w:val="110"/>
        </w:rPr>
        <w:t> </w:t>
      </w:r>
      <w:r>
        <w:rPr>
          <w:w w:val="110"/>
        </w:rPr>
        <w:t>congregation,</w:t>
      </w:r>
      <w:r>
        <w:rPr>
          <w:spacing w:val="-7"/>
          <w:w w:val="110"/>
        </w:rPr>
        <w:t> </w:t>
      </w:r>
      <w:r>
        <w:rPr>
          <w:w w:val="110"/>
        </w:rPr>
        <w:t>and</w:t>
      </w:r>
      <w:r>
        <w:rPr>
          <w:spacing w:val="-7"/>
          <w:w w:val="110"/>
        </w:rPr>
        <w:t> </w:t>
      </w:r>
      <w:r>
        <w:rPr>
          <w:w w:val="110"/>
        </w:rPr>
        <w:t>a</w:t>
      </w:r>
      <w:r>
        <w:rPr>
          <w:spacing w:val="-8"/>
          <w:w w:val="110"/>
        </w:rPr>
        <w:t> </w:t>
      </w:r>
      <w:r>
        <w:rPr>
          <w:spacing w:val="-3"/>
          <w:w w:val="110"/>
        </w:rPr>
        <w:t>review</w:t>
      </w:r>
      <w:r>
        <w:rPr>
          <w:spacing w:val="-7"/>
          <w:w w:val="110"/>
        </w:rPr>
        <w:t> </w:t>
      </w:r>
      <w:r>
        <w:rPr>
          <w:w w:val="110"/>
        </w:rPr>
        <w:t>of</w:t>
      </w:r>
      <w:r>
        <w:rPr>
          <w:spacing w:val="-7"/>
          <w:w w:val="110"/>
        </w:rPr>
        <w:t> </w:t>
      </w:r>
      <w:r>
        <w:rPr>
          <w:w w:val="110"/>
        </w:rPr>
        <w:t>its</w:t>
      </w:r>
      <w:r>
        <w:rPr>
          <w:spacing w:val="-7"/>
          <w:w w:val="110"/>
        </w:rPr>
        <w:t> </w:t>
      </w:r>
      <w:r>
        <w:rPr>
          <w:w w:val="110"/>
        </w:rPr>
        <w:t>needs.</w:t>
      </w:r>
    </w:p>
    <w:p>
      <w:pPr>
        <w:pStyle w:val="Heading7"/>
        <w:numPr>
          <w:ilvl w:val="0"/>
          <w:numId w:val="129"/>
        </w:numPr>
        <w:tabs>
          <w:tab w:pos="2784" w:val="left" w:leader="none"/>
          <w:tab w:pos="2785" w:val="left" w:leader="none"/>
        </w:tabs>
        <w:spacing w:line="213" w:lineRule="auto" w:before="208" w:after="0"/>
        <w:ind w:left="2024" w:right="1319" w:firstLine="0"/>
        <w:jc w:val="left"/>
      </w:pPr>
      <w:r>
        <w:rPr>
          <w:w w:val="110"/>
        </w:rPr>
        <w:t>General Assembly agrees that synods are recommended to provide regular support and guidance for each church without an authorised elder within its membership; and also for authorised elders, for example by holding an annual meeting where experiences can be</w:t>
      </w:r>
      <w:r>
        <w:rPr>
          <w:spacing w:val="3"/>
          <w:w w:val="110"/>
        </w:rPr>
        <w:t> </w:t>
      </w:r>
      <w:r>
        <w:rPr>
          <w:w w:val="110"/>
        </w:rPr>
        <w:t>shared.</w:t>
      </w:r>
    </w:p>
    <w:p>
      <w:pPr>
        <w:pStyle w:val="Heading7"/>
        <w:numPr>
          <w:ilvl w:val="0"/>
          <w:numId w:val="129"/>
        </w:numPr>
        <w:tabs>
          <w:tab w:pos="2784" w:val="left" w:leader="none"/>
          <w:tab w:pos="2785" w:val="left" w:leader="none"/>
        </w:tabs>
        <w:spacing w:line="213" w:lineRule="auto" w:before="197" w:after="0"/>
        <w:ind w:left="2024" w:right="1291" w:firstLine="0"/>
        <w:jc w:val="left"/>
      </w:pPr>
      <w:r>
        <w:rPr>
          <w:w w:val="110"/>
        </w:rPr>
        <w:t>General</w:t>
      </w:r>
      <w:r>
        <w:rPr>
          <w:spacing w:val="-12"/>
          <w:w w:val="110"/>
        </w:rPr>
        <w:t> </w:t>
      </w:r>
      <w:r>
        <w:rPr>
          <w:w w:val="110"/>
        </w:rPr>
        <w:t>Assembly</w:t>
      </w:r>
      <w:r>
        <w:rPr>
          <w:spacing w:val="-12"/>
          <w:w w:val="110"/>
        </w:rPr>
        <w:t> </w:t>
      </w:r>
      <w:r>
        <w:rPr>
          <w:w w:val="110"/>
        </w:rPr>
        <w:t>agrees</w:t>
      </w:r>
      <w:r>
        <w:rPr>
          <w:spacing w:val="-12"/>
          <w:w w:val="110"/>
        </w:rPr>
        <w:t> </w:t>
      </w:r>
      <w:r>
        <w:rPr>
          <w:w w:val="110"/>
        </w:rPr>
        <w:t>that</w:t>
      </w:r>
      <w:r>
        <w:rPr>
          <w:spacing w:val="-12"/>
          <w:w w:val="110"/>
        </w:rPr>
        <w:t> </w:t>
      </w:r>
      <w:r>
        <w:rPr>
          <w:w w:val="110"/>
        </w:rPr>
        <w:t>the</w:t>
      </w:r>
      <w:r>
        <w:rPr>
          <w:spacing w:val="-11"/>
          <w:w w:val="110"/>
        </w:rPr>
        <w:t> </w:t>
      </w:r>
      <w:r>
        <w:rPr>
          <w:w w:val="110"/>
        </w:rPr>
        <w:t>ministries</w:t>
      </w:r>
      <w:r>
        <w:rPr>
          <w:spacing w:val="-12"/>
          <w:w w:val="110"/>
        </w:rPr>
        <w:t> </w:t>
      </w:r>
      <w:r>
        <w:rPr>
          <w:w w:val="110"/>
        </w:rPr>
        <w:t>committee</w:t>
      </w:r>
      <w:r>
        <w:rPr>
          <w:spacing w:val="-12"/>
          <w:w w:val="110"/>
        </w:rPr>
        <w:t> </w:t>
      </w:r>
      <w:r>
        <w:rPr>
          <w:w w:val="110"/>
        </w:rPr>
        <w:t>be</w:t>
      </w:r>
      <w:r>
        <w:rPr>
          <w:spacing w:val="-12"/>
          <w:w w:val="110"/>
        </w:rPr>
        <w:t> </w:t>
      </w:r>
      <w:r>
        <w:rPr>
          <w:spacing w:val="-3"/>
          <w:w w:val="110"/>
        </w:rPr>
        <w:t>invited</w:t>
      </w:r>
      <w:r>
        <w:rPr>
          <w:spacing w:val="-11"/>
          <w:w w:val="110"/>
        </w:rPr>
        <w:t> </w:t>
      </w:r>
      <w:r>
        <w:rPr>
          <w:spacing w:val="-3"/>
          <w:w w:val="110"/>
        </w:rPr>
        <w:t>to </w:t>
      </w:r>
      <w:r>
        <w:rPr>
          <w:w w:val="110"/>
        </w:rPr>
        <w:t>develop a specific code of conduct for authorised elders and </w:t>
      </w:r>
      <w:r>
        <w:rPr>
          <w:spacing w:val="-3"/>
          <w:w w:val="110"/>
        </w:rPr>
        <w:t>lay </w:t>
      </w:r>
      <w:r>
        <w:rPr>
          <w:w w:val="110"/>
        </w:rPr>
        <w:t>preachers; and that those concerned agree </w:t>
      </w:r>
      <w:r>
        <w:rPr>
          <w:spacing w:val="-3"/>
          <w:w w:val="110"/>
        </w:rPr>
        <w:t>to </w:t>
      </w:r>
      <w:r>
        <w:rPr>
          <w:w w:val="110"/>
        </w:rPr>
        <w:t>be bound by it before embarking on their</w:t>
      </w:r>
      <w:r>
        <w:rPr>
          <w:spacing w:val="-6"/>
          <w:w w:val="110"/>
        </w:rPr>
        <w:t> </w:t>
      </w:r>
      <w:r>
        <w:rPr>
          <w:spacing w:val="-3"/>
          <w:w w:val="110"/>
        </w:rPr>
        <w:t>ministry.</w:t>
      </w:r>
    </w:p>
    <w:p>
      <w:pPr>
        <w:pStyle w:val="Heading7"/>
        <w:numPr>
          <w:ilvl w:val="0"/>
          <w:numId w:val="129"/>
        </w:numPr>
        <w:tabs>
          <w:tab w:pos="2840" w:val="left" w:leader="none"/>
          <w:tab w:pos="2841" w:val="left" w:leader="none"/>
        </w:tabs>
        <w:spacing w:line="213" w:lineRule="auto" w:before="197" w:after="0"/>
        <w:ind w:left="2024" w:right="1248" w:firstLine="0"/>
        <w:jc w:val="left"/>
      </w:pPr>
      <w:r>
        <w:rPr>
          <w:w w:val="110"/>
        </w:rPr>
        <w:t>General Assembly agrees that a list of those authorised elders and </w:t>
      </w:r>
      <w:r>
        <w:rPr>
          <w:spacing w:val="-3"/>
          <w:w w:val="110"/>
        </w:rPr>
        <w:t>lay </w:t>
      </w:r>
      <w:r>
        <w:rPr>
          <w:w w:val="110"/>
        </w:rPr>
        <w:t>preachers whose authority </w:t>
      </w:r>
      <w:r>
        <w:rPr>
          <w:spacing w:val="-3"/>
          <w:w w:val="110"/>
        </w:rPr>
        <w:t>to </w:t>
      </w:r>
      <w:r>
        <w:rPr>
          <w:w w:val="110"/>
        </w:rPr>
        <w:t>serve has been withdrawn be maintained by the General Secretariat, </w:t>
      </w:r>
      <w:r>
        <w:rPr>
          <w:spacing w:val="-3"/>
          <w:w w:val="110"/>
        </w:rPr>
        <w:t>to avoid </w:t>
      </w:r>
      <w:r>
        <w:rPr>
          <w:w w:val="110"/>
        </w:rPr>
        <w:t>the possibility of </w:t>
      </w:r>
      <w:r>
        <w:rPr>
          <w:spacing w:val="-3"/>
          <w:w w:val="110"/>
        </w:rPr>
        <w:t>any </w:t>
      </w:r>
      <w:r>
        <w:rPr>
          <w:w w:val="110"/>
        </w:rPr>
        <w:t>individual exercising</w:t>
      </w:r>
      <w:r>
        <w:rPr>
          <w:spacing w:val="-14"/>
          <w:w w:val="110"/>
        </w:rPr>
        <w:t> </w:t>
      </w:r>
      <w:r>
        <w:rPr>
          <w:w w:val="110"/>
        </w:rPr>
        <w:t>this</w:t>
      </w:r>
      <w:r>
        <w:rPr>
          <w:spacing w:val="-14"/>
          <w:w w:val="110"/>
        </w:rPr>
        <w:t> </w:t>
      </w:r>
      <w:r>
        <w:rPr>
          <w:w w:val="110"/>
        </w:rPr>
        <w:t>ministry</w:t>
      </w:r>
      <w:r>
        <w:rPr>
          <w:spacing w:val="-13"/>
          <w:w w:val="110"/>
        </w:rPr>
        <w:t> </w:t>
      </w:r>
      <w:r>
        <w:rPr>
          <w:w w:val="110"/>
        </w:rPr>
        <w:t>unhelpfully</w:t>
      </w:r>
      <w:r>
        <w:rPr>
          <w:spacing w:val="-14"/>
          <w:w w:val="110"/>
        </w:rPr>
        <w:t> </w:t>
      </w:r>
      <w:r>
        <w:rPr>
          <w:w w:val="110"/>
        </w:rPr>
        <w:t>in</w:t>
      </w:r>
      <w:r>
        <w:rPr>
          <w:spacing w:val="-14"/>
          <w:w w:val="110"/>
        </w:rPr>
        <w:t> </w:t>
      </w:r>
      <w:r>
        <w:rPr>
          <w:w w:val="110"/>
        </w:rPr>
        <w:t>one</w:t>
      </w:r>
      <w:r>
        <w:rPr>
          <w:spacing w:val="-13"/>
          <w:w w:val="110"/>
        </w:rPr>
        <w:t> </w:t>
      </w:r>
      <w:r>
        <w:rPr>
          <w:w w:val="110"/>
        </w:rPr>
        <w:t>place</w:t>
      </w:r>
      <w:r>
        <w:rPr>
          <w:spacing w:val="-14"/>
          <w:w w:val="110"/>
        </w:rPr>
        <w:t> </w:t>
      </w:r>
      <w:r>
        <w:rPr>
          <w:w w:val="110"/>
        </w:rPr>
        <w:t>and</w:t>
      </w:r>
      <w:r>
        <w:rPr>
          <w:spacing w:val="-13"/>
          <w:w w:val="110"/>
        </w:rPr>
        <w:t> </w:t>
      </w:r>
      <w:r>
        <w:rPr>
          <w:w w:val="110"/>
        </w:rPr>
        <w:t>then</w:t>
      </w:r>
      <w:r>
        <w:rPr>
          <w:spacing w:val="-14"/>
          <w:w w:val="110"/>
        </w:rPr>
        <w:t> </w:t>
      </w:r>
      <w:r>
        <w:rPr>
          <w:w w:val="110"/>
        </w:rPr>
        <w:t>moving</w:t>
      </w:r>
      <w:r>
        <w:rPr>
          <w:spacing w:val="-14"/>
          <w:w w:val="110"/>
        </w:rPr>
        <w:t> </w:t>
      </w:r>
      <w:r>
        <w:rPr>
          <w:w w:val="110"/>
        </w:rPr>
        <w:t>elsewhere without</w:t>
      </w:r>
      <w:r>
        <w:rPr>
          <w:spacing w:val="-7"/>
          <w:w w:val="110"/>
        </w:rPr>
        <w:t> </w:t>
      </w:r>
      <w:r>
        <w:rPr>
          <w:w w:val="110"/>
        </w:rPr>
        <w:t>the</w:t>
      </w:r>
      <w:r>
        <w:rPr>
          <w:spacing w:val="-7"/>
          <w:w w:val="110"/>
        </w:rPr>
        <w:t> </w:t>
      </w:r>
      <w:r>
        <w:rPr>
          <w:w w:val="110"/>
        </w:rPr>
        <w:t>previous</w:t>
      </w:r>
      <w:r>
        <w:rPr>
          <w:spacing w:val="-7"/>
          <w:w w:val="110"/>
        </w:rPr>
        <w:t> </w:t>
      </w:r>
      <w:r>
        <w:rPr>
          <w:w w:val="110"/>
        </w:rPr>
        <w:t>difficulty</w:t>
      </w:r>
      <w:r>
        <w:rPr>
          <w:spacing w:val="-7"/>
          <w:w w:val="110"/>
        </w:rPr>
        <w:t> </w:t>
      </w:r>
      <w:r>
        <w:rPr>
          <w:w w:val="110"/>
        </w:rPr>
        <w:t>being</w:t>
      </w:r>
      <w:r>
        <w:rPr>
          <w:spacing w:val="-7"/>
          <w:w w:val="110"/>
        </w:rPr>
        <w:t> </w:t>
      </w:r>
      <w:r>
        <w:rPr>
          <w:w w:val="110"/>
        </w:rPr>
        <w:t>addressed</w:t>
      </w:r>
      <w:r>
        <w:rPr>
          <w:spacing w:val="-7"/>
          <w:w w:val="110"/>
        </w:rPr>
        <w:t> </w:t>
      </w:r>
      <w:r>
        <w:rPr>
          <w:spacing w:val="-3"/>
          <w:w w:val="110"/>
        </w:rPr>
        <w:t>to</w:t>
      </w:r>
      <w:r>
        <w:rPr>
          <w:spacing w:val="-7"/>
          <w:w w:val="110"/>
        </w:rPr>
        <w:t> </w:t>
      </w:r>
      <w:r>
        <w:rPr>
          <w:w w:val="110"/>
        </w:rPr>
        <w:t>try</w:t>
      </w:r>
      <w:r>
        <w:rPr>
          <w:spacing w:val="-7"/>
          <w:w w:val="110"/>
        </w:rPr>
        <w:t> </w:t>
      </w:r>
      <w:r>
        <w:rPr>
          <w:w w:val="110"/>
        </w:rPr>
        <w:t>again.</w:t>
      </w:r>
    </w:p>
    <w:p>
      <w:pPr>
        <w:pStyle w:val="BodyText"/>
        <w:spacing w:before="7"/>
        <w:rPr>
          <w:rFonts w:ascii="Stone Sans II ITC Std Bk"/>
          <w:b/>
          <w:sz w:val="17"/>
        </w:rPr>
      </w:pPr>
    </w:p>
    <w:p>
      <w:pPr>
        <w:pStyle w:val="Heading7"/>
        <w:numPr>
          <w:ilvl w:val="0"/>
          <w:numId w:val="129"/>
        </w:numPr>
        <w:tabs>
          <w:tab w:pos="2784" w:val="left" w:leader="none"/>
          <w:tab w:pos="2785" w:val="left" w:leader="none"/>
        </w:tabs>
        <w:spacing w:line="213" w:lineRule="auto" w:before="0" w:after="0"/>
        <w:ind w:left="2024" w:right="1538" w:firstLine="0"/>
        <w:jc w:val="left"/>
      </w:pPr>
      <w:r>
        <w:rPr>
          <w:w w:val="110"/>
        </w:rPr>
        <w:t>General Assembly agrees that the education and learning committee be invited to prepare an Assembly syllabus for the preparation of authorised elders and lay preachers, drawing on existing synod</w:t>
      </w:r>
      <w:r>
        <w:rPr>
          <w:spacing w:val="-1"/>
          <w:w w:val="110"/>
        </w:rPr>
        <w:t> </w:t>
      </w:r>
      <w:r>
        <w:rPr>
          <w:w w:val="110"/>
        </w:rPr>
        <w:t>resources.</w:t>
      </w:r>
    </w:p>
    <w:p>
      <w:pPr>
        <w:pStyle w:val="BodyText"/>
        <w:spacing w:before="2"/>
        <w:rPr>
          <w:rFonts w:ascii="Stone Sans II ITC Std Bk"/>
          <w:b/>
          <w:sz w:val="17"/>
        </w:rPr>
      </w:pPr>
    </w:p>
    <w:p>
      <w:pPr>
        <w:pStyle w:val="BodyText"/>
        <w:spacing w:line="235" w:lineRule="auto"/>
        <w:ind w:left="1344" w:right="1478"/>
      </w:pPr>
      <w:r>
        <w:rPr>
          <w:w w:val="120"/>
        </w:rPr>
        <w:t>(The reason why lay preachers are referred to in the resolution and text above, even though this Report is about authorised elders, is that lay preachers are included in the </w:t>
      </w:r>
      <w:r>
        <w:rPr>
          <w:i/>
          <w:w w:val="120"/>
        </w:rPr>
        <w:t>Basis of Union </w:t>
      </w:r>
      <w:r>
        <w:rPr>
          <w:w w:val="120"/>
        </w:rPr>
        <w:t>among those eligible to be authorised to preside)</w:t>
      </w:r>
    </w:p>
    <w:p>
      <w:pPr>
        <w:pStyle w:val="BodyText"/>
        <w:spacing w:before="10"/>
        <w:rPr>
          <w:sz w:val="19"/>
        </w:rPr>
      </w:pPr>
    </w:p>
    <w:p>
      <w:pPr>
        <w:pStyle w:val="ListParagraph"/>
        <w:numPr>
          <w:ilvl w:val="1"/>
          <w:numId w:val="125"/>
        </w:numPr>
        <w:tabs>
          <w:tab w:pos="2024" w:val="left" w:leader="none"/>
          <w:tab w:pos="2025" w:val="left" w:leader="none"/>
        </w:tabs>
        <w:spacing w:line="235" w:lineRule="auto" w:before="0" w:after="0"/>
        <w:ind w:left="1344" w:right="1365" w:firstLine="0"/>
        <w:jc w:val="left"/>
        <w:rPr>
          <w:sz w:val="20"/>
        </w:rPr>
      </w:pPr>
      <w:r>
        <w:rPr>
          <w:w w:val="120"/>
          <w:sz w:val="20"/>
        </w:rPr>
        <w:t>Finally the committee reminds Assembly that the original model of non- stipendiary ministry, introduced in </w:t>
      </w:r>
      <w:r>
        <w:rPr>
          <w:spacing w:val="-9"/>
          <w:w w:val="120"/>
          <w:sz w:val="20"/>
        </w:rPr>
        <w:t>1979, </w:t>
      </w:r>
      <w:r>
        <w:rPr>
          <w:w w:val="120"/>
          <w:sz w:val="20"/>
        </w:rPr>
        <w:t>(based on the practice of former Churches of Christ congregations) was rooted in local congregations. The committee proposes that there should be further exploration of the pattern of ‘team non-stipendiary ministry’, by the ministries committee </w:t>
      </w:r>
      <w:r>
        <w:rPr>
          <w:spacing w:val="-3"/>
          <w:w w:val="120"/>
          <w:sz w:val="20"/>
        </w:rPr>
        <w:t>(which </w:t>
      </w:r>
      <w:r>
        <w:rPr>
          <w:w w:val="120"/>
          <w:sz w:val="20"/>
        </w:rPr>
        <w:t>has a working group on non-stipendiary ministry) and the education and learning committee. This would ensure that presidency at the sacraments (both baptism and Holy </w:t>
      </w:r>
      <w:r>
        <w:rPr>
          <w:spacing w:val="-3"/>
          <w:w w:val="120"/>
          <w:sz w:val="20"/>
        </w:rPr>
        <w:t>Communion) </w:t>
      </w:r>
      <w:r>
        <w:rPr>
          <w:w w:val="120"/>
          <w:sz w:val="20"/>
        </w:rPr>
        <w:t>is rooted in the local congregations concerned. The committee therefore proposes the following</w:t>
      </w:r>
      <w:r>
        <w:rPr>
          <w:spacing w:val="21"/>
          <w:w w:val="120"/>
          <w:sz w:val="20"/>
        </w:rPr>
        <w:t> </w:t>
      </w:r>
      <w:r>
        <w:rPr>
          <w:w w:val="120"/>
          <w:sz w:val="20"/>
        </w:rPr>
        <w:t>resolution:</w:t>
      </w:r>
    </w:p>
    <w:p>
      <w:pPr>
        <w:spacing w:after="0" w:line="235" w:lineRule="auto"/>
        <w:jc w:val="left"/>
        <w:rPr>
          <w:sz w:val="20"/>
        </w:rPr>
        <w:sectPr>
          <w:headerReference w:type="default" r:id="rId289"/>
          <w:pgSz w:w="11910" w:h="16840"/>
          <w:pgMar w:header="0" w:footer="647" w:top="0" w:bottom="840" w:left="640" w:right="0"/>
        </w:sectPr>
      </w:pPr>
    </w:p>
    <w:p>
      <w:pPr>
        <w:pStyle w:val="BodyText"/>
      </w:pPr>
      <w:r>
        <w:rPr/>
        <w:drawing>
          <wp:anchor distT="0" distB="0" distL="0" distR="0" allowOverlap="1" layoutInCell="1" locked="0" behindDoc="1" simplePos="0" relativeHeight="235462656">
            <wp:simplePos x="0" y="0"/>
            <wp:positionH relativeFrom="page">
              <wp:posOffset>0</wp:posOffset>
            </wp:positionH>
            <wp:positionV relativeFrom="page">
              <wp:posOffset>0</wp:posOffset>
            </wp:positionV>
            <wp:extent cx="594067" cy="10692003"/>
            <wp:effectExtent l="0" t="0" r="0" b="0"/>
            <wp:wrapNone/>
            <wp:docPr id="175" name="image67.png"/>
            <wp:cNvGraphicFramePr>
              <a:graphicFrameLocks noChangeAspect="1"/>
            </wp:cNvGraphicFramePr>
            <a:graphic>
              <a:graphicData uri="http://schemas.openxmlformats.org/drawingml/2006/picture">
                <pic:pic>
                  <pic:nvPicPr>
                    <pic:cNvPr id="176" name="image67.png"/>
                    <pic:cNvPicPr/>
                  </pic:nvPicPr>
                  <pic:blipFill>
                    <a:blip r:embed="rId184" cstate="print"/>
                    <a:stretch>
                      <a:fillRect/>
                    </a:stretch>
                  </pic:blipFill>
                  <pic:spPr>
                    <a:xfrm>
                      <a:off x="0" y="0"/>
                      <a:ext cx="594067" cy="10692003"/>
                    </a:xfrm>
                    <a:prstGeom prst="rect">
                      <a:avLst/>
                    </a:prstGeom>
                  </pic:spPr>
                </pic:pic>
              </a:graphicData>
            </a:graphic>
          </wp:anchor>
        </w:drawing>
      </w:r>
      <w:r>
        <w:rPr/>
        <w:pict>
          <v:shape style="position:absolute;margin-left:20.519100pt;margin-top:48.890015pt;width:25.9pt;height:360.55pt;mso-position-horizontal-relative:page;mso-position-vertical-relative:page;z-index:-267852800" type="#_x0000_t202" filled="false" stroked="false">
            <v:textbox inset="0,0,0,0" style="layout-flow:vertical">
              <w:txbxContent>
                <w:p>
                  <w:pPr>
                    <w:spacing w:before="27"/>
                    <w:ind w:left="20" w:right="0" w:firstLine="0"/>
                    <w:jc w:val="left"/>
                    <w:rPr>
                      <w:sz w:val="39"/>
                    </w:rPr>
                  </w:pPr>
                  <w:r>
                    <w:rPr>
                      <w:color w:val="FFFFFF"/>
                      <w:w w:val="120"/>
                      <w:sz w:val="39"/>
                    </w:rPr>
                    <w:t>Faith and order – </w:t>
                  </w:r>
                  <w:r>
                    <w:rPr>
                      <w:w w:val="120"/>
                      <w:sz w:val="39"/>
                    </w:rPr>
                    <w:t>Authorised elders</w:t>
                  </w:r>
                </w:p>
              </w:txbxContent>
            </v:textbox>
            <w10:wrap type="none"/>
          </v:shape>
        </w:pict>
      </w:r>
    </w:p>
    <w:p>
      <w:pPr>
        <w:pStyle w:val="BodyText"/>
        <w:spacing w:before="7"/>
        <w:rPr>
          <w:sz w:val="21"/>
        </w:rPr>
      </w:pPr>
    </w:p>
    <w:p>
      <w:pPr>
        <w:spacing w:before="106"/>
        <w:ind w:left="607" w:right="0" w:firstLine="0"/>
        <w:jc w:val="left"/>
        <w:rPr>
          <w:sz w:val="26"/>
        </w:rPr>
      </w:pPr>
      <w:r>
        <w:rPr>
          <w:color w:val="7EAABF"/>
          <w:w w:val="115"/>
          <w:sz w:val="26"/>
        </w:rPr>
        <w:t>Faith and order</w:t>
      </w:r>
    </w:p>
    <w:p>
      <w:pPr>
        <w:pStyle w:val="Heading7"/>
        <w:numPr>
          <w:ilvl w:val="0"/>
          <w:numId w:val="129"/>
        </w:numPr>
        <w:tabs>
          <w:tab w:pos="2047" w:val="left" w:leader="none"/>
          <w:tab w:pos="2048" w:val="left" w:leader="none"/>
        </w:tabs>
        <w:spacing w:line="213" w:lineRule="auto" w:before="228" w:after="0"/>
        <w:ind w:left="1287" w:right="2178" w:firstLine="0"/>
        <w:jc w:val="left"/>
      </w:pPr>
      <w:r>
        <w:rPr>
          <w:w w:val="110"/>
        </w:rPr>
        <w:t>General Assembly agrees that further attention be given by the ministries and education and learning committees to the possibility of expanding the concept of non-stipendiary ministry to include once more the original pattern of team non-stipendiary</w:t>
      </w:r>
      <w:r>
        <w:rPr>
          <w:spacing w:val="1"/>
          <w:w w:val="110"/>
        </w:rPr>
        <w:t> </w:t>
      </w:r>
      <w:r>
        <w:rPr>
          <w:w w:val="110"/>
        </w:rPr>
        <w:t>ministry.</w:t>
      </w:r>
    </w:p>
    <w:p>
      <w:pPr>
        <w:pStyle w:val="BodyText"/>
        <w:spacing w:before="11"/>
        <w:rPr>
          <w:rFonts w:ascii="Stone Sans II ITC Std Bk"/>
          <w:b/>
          <w:sz w:val="16"/>
        </w:rPr>
      </w:pPr>
    </w:p>
    <w:p>
      <w:pPr>
        <w:pStyle w:val="ListParagraph"/>
        <w:numPr>
          <w:ilvl w:val="1"/>
          <w:numId w:val="125"/>
        </w:numPr>
        <w:tabs>
          <w:tab w:pos="1287" w:val="left" w:leader="none"/>
          <w:tab w:pos="1288" w:val="left" w:leader="none"/>
        </w:tabs>
        <w:spacing w:line="240" w:lineRule="auto" w:before="0" w:after="0"/>
        <w:ind w:left="1287" w:right="0" w:hanging="681"/>
        <w:jc w:val="left"/>
        <w:rPr>
          <w:sz w:val="20"/>
        </w:rPr>
      </w:pPr>
      <w:r>
        <w:rPr>
          <w:w w:val="120"/>
          <w:sz w:val="20"/>
        </w:rPr>
        <w:t>The committee offers some concluding</w:t>
      </w:r>
      <w:r>
        <w:rPr>
          <w:spacing w:val="12"/>
          <w:w w:val="120"/>
          <w:sz w:val="20"/>
        </w:rPr>
        <w:t> </w:t>
      </w:r>
      <w:r>
        <w:rPr>
          <w:w w:val="120"/>
          <w:sz w:val="20"/>
        </w:rPr>
        <w:t>thoughts:</w:t>
      </w:r>
    </w:p>
    <w:p>
      <w:pPr>
        <w:pStyle w:val="BodyText"/>
        <w:spacing w:before="9"/>
        <w:rPr>
          <w:sz w:val="18"/>
        </w:rPr>
      </w:pPr>
    </w:p>
    <w:p>
      <w:pPr>
        <w:pStyle w:val="Heading2"/>
        <w:numPr>
          <w:ilvl w:val="0"/>
          <w:numId w:val="131"/>
        </w:numPr>
        <w:tabs>
          <w:tab w:pos="1287" w:val="left" w:leader="none"/>
          <w:tab w:pos="1288" w:val="left" w:leader="none"/>
        </w:tabs>
        <w:spacing w:line="240" w:lineRule="auto" w:before="0" w:after="0"/>
        <w:ind w:left="1287" w:right="0" w:hanging="681"/>
        <w:jc w:val="left"/>
      </w:pPr>
      <w:r>
        <w:rPr>
          <w:spacing w:val="-5"/>
          <w:w w:val="110"/>
        </w:rPr>
        <w:t>Teamwork</w:t>
      </w:r>
    </w:p>
    <w:p>
      <w:pPr>
        <w:pStyle w:val="BodyText"/>
        <w:spacing w:line="235" w:lineRule="auto" w:before="83"/>
        <w:ind w:left="607" w:right="2096"/>
      </w:pPr>
      <w:r>
        <w:rPr>
          <w:w w:val="120"/>
        </w:rPr>
        <w:t>Regardless of whether the committee’s suggestion for further work on team non- stipendiary ministers is pursued, it believes that there should be a fresh look at the opportunities for teamwork, and the possibility of mixed teams of ministers of word  and sacraments, elders and lay preachers; this suggestion, which has been mentioned more than once in previous Reports, should be referred to the ministries and education and learning committees, and to Synod Moderators and pastoral committees, in consultation with the local churches</w:t>
      </w:r>
      <w:r>
        <w:rPr>
          <w:spacing w:val="11"/>
          <w:w w:val="120"/>
        </w:rPr>
        <w:t> </w:t>
      </w:r>
      <w:r>
        <w:rPr>
          <w:w w:val="120"/>
        </w:rPr>
        <w:t>concerned.</w:t>
      </w:r>
    </w:p>
    <w:p>
      <w:pPr>
        <w:pStyle w:val="BodyText"/>
        <w:spacing w:before="2"/>
        <w:rPr>
          <w:sz w:val="19"/>
        </w:rPr>
      </w:pPr>
    </w:p>
    <w:p>
      <w:pPr>
        <w:pStyle w:val="Heading2"/>
        <w:numPr>
          <w:ilvl w:val="0"/>
          <w:numId w:val="131"/>
        </w:numPr>
        <w:tabs>
          <w:tab w:pos="1287" w:val="left" w:leader="none"/>
          <w:tab w:pos="1288" w:val="left" w:leader="none"/>
        </w:tabs>
        <w:spacing w:line="240" w:lineRule="auto" w:before="1" w:after="0"/>
        <w:ind w:left="1287" w:right="0" w:hanging="681"/>
        <w:jc w:val="left"/>
      </w:pPr>
      <w:r>
        <w:rPr>
          <w:w w:val="110"/>
        </w:rPr>
        <w:t>Information</w:t>
      </w:r>
    </w:p>
    <w:p>
      <w:pPr>
        <w:pStyle w:val="BodyText"/>
        <w:spacing w:line="235" w:lineRule="auto" w:before="82"/>
        <w:ind w:left="607" w:right="2248"/>
      </w:pPr>
      <w:r>
        <w:rPr>
          <w:w w:val="120"/>
        </w:rPr>
        <w:t>We are concerned at the apparent lack of information about who preaches and leads worship generally in our congregations week-by-week. Obviously local churches know what is happening, and we suggest that synods should gather more information than   is routinely available </w:t>
      </w:r>
      <w:r>
        <w:rPr>
          <w:spacing w:val="-3"/>
          <w:w w:val="120"/>
        </w:rPr>
        <w:t>today. </w:t>
      </w:r>
      <w:r>
        <w:rPr>
          <w:w w:val="120"/>
        </w:rPr>
        <w:t>Questions concerning presidency need to be set in the wider context of the current patterns of worship, which include, for example, services taken by authorised representatives of partner churches, and joint or united services.  If Assembly and synods are to decide on these matters, we believe that they require more information than is currently</w:t>
      </w:r>
      <w:r>
        <w:rPr>
          <w:spacing w:val="8"/>
          <w:w w:val="120"/>
        </w:rPr>
        <w:t> </w:t>
      </w:r>
      <w:r>
        <w:rPr>
          <w:w w:val="120"/>
        </w:rPr>
        <w:t>available.</w:t>
      </w:r>
    </w:p>
    <w:p>
      <w:pPr>
        <w:pStyle w:val="BodyText"/>
        <w:spacing w:before="4"/>
        <w:rPr>
          <w:sz w:val="19"/>
        </w:rPr>
      </w:pPr>
    </w:p>
    <w:p>
      <w:pPr>
        <w:pStyle w:val="Heading2"/>
        <w:numPr>
          <w:ilvl w:val="0"/>
          <w:numId w:val="131"/>
        </w:numPr>
        <w:tabs>
          <w:tab w:pos="1287" w:val="left" w:leader="none"/>
          <w:tab w:pos="1288" w:val="left" w:leader="none"/>
        </w:tabs>
        <w:spacing w:line="240" w:lineRule="auto" w:before="0" w:after="0"/>
        <w:ind w:left="1287" w:right="0" w:hanging="681"/>
        <w:jc w:val="left"/>
      </w:pPr>
      <w:r>
        <w:rPr>
          <w:spacing w:val="-3"/>
          <w:w w:val="110"/>
        </w:rPr>
        <w:t>‘Clericalisation?’</w:t>
      </w:r>
    </w:p>
    <w:p>
      <w:pPr>
        <w:pStyle w:val="BodyText"/>
        <w:spacing w:line="235" w:lineRule="auto" w:before="82"/>
        <w:ind w:left="607" w:right="2238"/>
      </w:pPr>
      <w:r>
        <w:rPr>
          <w:w w:val="120"/>
        </w:rPr>
        <w:t>At the General Assembly in </w:t>
      </w:r>
      <w:r>
        <w:rPr>
          <w:spacing w:val="-6"/>
          <w:w w:val="120"/>
        </w:rPr>
        <w:t>1995, </w:t>
      </w:r>
      <w:r>
        <w:rPr>
          <w:w w:val="120"/>
        </w:rPr>
        <w:t>and to a lesser extent in 2005, some members expressed concern that the addition of further responsibilities to even two or three elders might distract them from their Christian witness in the wider world – what other traditions might call ‘the clericalisation of the laity’. An elder’s office in the United Reformed Church is one of governance and pastoral care; it carries authority and responsibility, dependent on the grace of God. There is no reason why another responsibility for some should impede the task of every Christian ‘to give an account of the faith that is in us’ in encountering an increasingly secularised world. </w:t>
      </w:r>
      <w:r>
        <w:rPr>
          <w:spacing w:val="-7"/>
          <w:w w:val="120"/>
        </w:rPr>
        <w:t>To </w:t>
      </w:r>
      <w:r>
        <w:rPr>
          <w:w w:val="120"/>
        </w:rPr>
        <w:t>accept the popular distinction between clerical and lay is to deny the biblical view that the laos is the whole people of God, not only the unordained. It does not accord with the Reformed tradition. Nor is the difference one between ‘amateurs’ and ‘professionals’: this</w:t>
      </w:r>
      <w:r>
        <w:rPr>
          <w:spacing w:val="6"/>
          <w:w w:val="120"/>
        </w:rPr>
        <w:t> </w:t>
      </w:r>
      <w:r>
        <w:rPr>
          <w:w w:val="120"/>
        </w:rPr>
        <w:t>seriously</w:t>
      </w:r>
      <w:r>
        <w:rPr>
          <w:spacing w:val="6"/>
          <w:w w:val="120"/>
        </w:rPr>
        <w:t> </w:t>
      </w:r>
      <w:r>
        <w:rPr>
          <w:w w:val="120"/>
        </w:rPr>
        <w:t>undervalues</w:t>
      </w:r>
      <w:r>
        <w:rPr>
          <w:spacing w:val="6"/>
          <w:w w:val="120"/>
        </w:rPr>
        <w:t> </w:t>
      </w:r>
      <w:r>
        <w:rPr>
          <w:w w:val="120"/>
        </w:rPr>
        <w:t>the</w:t>
      </w:r>
      <w:r>
        <w:rPr>
          <w:spacing w:val="6"/>
          <w:w w:val="120"/>
        </w:rPr>
        <w:t> </w:t>
      </w:r>
      <w:r>
        <w:rPr>
          <w:w w:val="120"/>
        </w:rPr>
        <w:t>work</w:t>
      </w:r>
      <w:r>
        <w:rPr>
          <w:spacing w:val="6"/>
          <w:w w:val="120"/>
        </w:rPr>
        <w:t> </w:t>
      </w:r>
      <w:r>
        <w:rPr>
          <w:w w:val="120"/>
        </w:rPr>
        <w:t>of</w:t>
      </w:r>
      <w:r>
        <w:rPr>
          <w:spacing w:val="6"/>
          <w:w w:val="120"/>
        </w:rPr>
        <w:t> </w:t>
      </w:r>
      <w:r>
        <w:rPr>
          <w:w w:val="120"/>
        </w:rPr>
        <w:t>our</w:t>
      </w:r>
      <w:r>
        <w:rPr>
          <w:spacing w:val="6"/>
          <w:w w:val="120"/>
        </w:rPr>
        <w:t> </w:t>
      </w:r>
      <w:r>
        <w:rPr>
          <w:w w:val="120"/>
        </w:rPr>
        <w:t>elders</w:t>
      </w:r>
      <w:r>
        <w:rPr>
          <w:spacing w:val="6"/>
          <w:w w:val="120"/>
        </w:rPr>
        <w:t> </w:t>
      </w:r>
      <w:r>
        <w:rPr>
          <w:w w:val="120"/>
        </w:rPr>
        <w:t>in</w:t>
      </w:r>
      <w:r>
        <w:rPr>
          <w:spacing w:val="6"/>
          <w:w w:val="120"/>
        </w:rPr>
        <w:t> </w:t>
      </w:r>
      <w:r>
        <w:rPr>
          <w:w w:val="120"/>
        </w:rPr>
        <w:t>leading</w:t>
      </w:r>
      <w:r>
        <w:rPr>
          <w:spacing w:val="6"/>
          <w:w w:val="120"/>
        </w:rPr>
        <w:t> </w:t>
      </w:r>
      <w:r>
        <w:rPr>
          <w:w w:val="120"/>
        </w:rPr>
        <w:t>worship</w:t>
      </w:r>
      <w:r>
        <w:rPr>
          <w:spacing w:val="6"/>
          <w:w w:val="120"/>
        </w:rPr>
        <w:t> </w:t>
      </w:r>
      <w:r>
        <w:rPr>
          <w:w w:val="120"/>
        </w:rPr>
        <w:t>and</w:t>
      </w:r>
      <w:r>
        <w:rPr>
          <w:spacing w:val="6"/>
          <w:w w:val="120"/>
        </w:rPr>
        <w:t> </w:t>
      </w:r>
      <w:r>
        <w:rPr>
          <w:w w:val="120"/>
        </w:rPr>
        <w:t>preaching.</w:t>
      </w:r>
    </w:p>
    <w:p>
      <w:pPr>
        <w:pStyle w:val="BodyText"/>
        <w:spacing w:line="235" w:lineRule="auto" w:before="9"/>
        <w:ind w:left="607" w:right="2174"/>
      </w:pPr>
      <w:r>
        <w:rPr>
          <w:w w:val="120"/>
        </w:rPr>
        <w:t>One member of the task group remarked that it was when preparing devotions, praying with members who were sick, or presiding at the Lord’s Supper that she was most strongly reminded of our concern for witness and service to the community and evangelism at home and abroad. The committee is therefore confident that nothing in these proposals will reduce the missionary potential of our</w:t>
      </w:r>
      <w:r>
        <w:rPr>
          <w:spacing w:val="17"/>
          <w:w w:val="120"/>
        </w:rPr>
        <w:t> </w:t>
      </w:r>
      <w:r>
        <w:rPr>
          <w:w w:val="120"/>
        </w:rPr>
        <w:t>elders.</w:t>
      </w:r>
    </w:p>
    <w:p>
      <w:pPr>
        <w:pStyle w:val="BodyText"/>
        <w:spacing w:before="1"/>
        <w:rPr>
          <w:sz w:val="19"/>
        </w:rPr>
      </w:pPr>
    </w:p>
    <w:p>
      <w:pPr>
        <w:pStyle w:val="Heading2"/>
        <w:numPr>
          <w:ilvl w:val="0"/>
          <w:numId w:val="131"/>
        </w:numPr>
        <w:tabs>
          <w:tab w:pos="1287" w:val="left" w:leader="none"/>
          <w:tab w:pos="1288" w:val="left" w:leader="none"/>
        </w:tabs>
        <w:spacing w:line="240" w:lineRule="auto" w:before="1" w:after="0"/>
        <w:ind w:left="1287" w:right="0" w:hanging="681"/>
        <w:jc w:val="left"/>
      </w:pPr>
      <w:r>
        <w:rPr>
          <w:w w:val="110"/>
        </w:rPr>
        <w:t>Differences of</w:t>
      </w:r>
      <w:r>
        <w:rPr>
          <w:spacing w:val="1"/>
          <w:w w:val="110"/>
        </w:rPr>
        <w:t> </w:t>
      </w:r>
      <w:r>
        <w:rPr>
          <w:w w:val="110"/>
        </w:rPr>
        <w:t>opinion</w:t>
      </w:r>
    </w:p>
    <w:p>
      <w:pPr>
        <w:pStyle w:val="BodyText"/>
        <w:spacing w:line="235" w:lineRule="auto" w:before="82"/>
        <w:ind w:left="607" w:right="2149"/>
      </w:pPr>
      <w:r>
        <w:rPr>
          <w:w w:val="120"/>
        </w:rPr>
        <w:t>We are struck by the </w:t>
      </w:r>
      <w:r>
        <w:rPr>
          <w:spacing w:val="2"/>
          <w:w w:val="120"/>
        </w:rPr>
        <w:t>fact </w:t>
      </w:r>
      <w:r>
        <w:rPr>
          <w:w w:val="120"/>
        </w:rPr>
        <w:t>that attempts to resolve some of these issues have divided opinion in the Church for more than 20 years </w:t>
      </w:r>
      <w:r>
        <w:rPr>
          <w:spacing w:val="-4"/>
          <w:w w:val="120"/>
        </w:rPr>
        <w:t>(see </w:t>
      </w:r>
      <w:r>
        <w:rPr>
          <w:spacing w:val="-7"/>
          <w:w w:val="120"/>
        </w:rPr>
        <w:t>§§1.4-1.6  </w:t>
      </w:r>
      <w:r>
        <w:rPr>
          <w:spacing w:val="-4"/>
          <w:w w:val="120"/>
        </w:rPr>
        <w:t>above). </w:t>
      </w:r>
      <w:r>
        <w:rPr>
          <w:w w:val="120"/>
        </w:rPr>
        <w:t>The faith and  order committee was not unanimous in bringing their recommendation to Assembly   in </w:t>
      </w:r>
      <w:r>
        <w:rPr>
          <w:spacing w:val="-7"/>
          <w:w w:val="120"/>
        </w:rPr>
        <w:t>2014, </w:t>
      </w:r>
      <w:r>
        <w:rPr>
          <w:w w:val="120"/>
        </w:rPr>
        <w:t>and Assembly approved the resolution by agreement (rather than </w:t>
      </w:r>
      <w:r>
        <w:rPr>
          <w:spacing w:val="-3"/>
          <w:w w:val="120"/>
        </w:rPr>
        <w:t>consensus). </w:t>
      </w:r>
      <w:r>
        <w:rPr>
          <w:w w:val="120"/>
        </w:rPr>
        <w:t>Therefore, although the task group has found unanimity in its thinking, the committee recognises that further decisions on this matter will not be </w:t>
      </w:r>
      <w:r>
        <w:rPr>
          <w:spacing w:val="-3"/>
          <w:w w:val="120"/>
        </w:rPr>
        <w:t>easy, </w:t>
      </w:r>
      <w:r>
        <w:rPr>
          <w:w w:val="120"/>
        </w:rPr>
        <w:t>and will require an appropriate combination of prayer and realism, alongside theological</w:t>
      </w:r>
      <w:r>
        <w:rPr>
          <w:spacing w:val="49"/>
          <w:w w:val="120"/>
        </w:rPr>
        <w:t> </w:t>
      </w:r>
      <w:r>
        <w:rPr>
          <w:w w:val="120"/>
        </w:rPr>
        <w:t>discernment.</w:t>
      </w:r>
    </w:p>
    <w:p>
      <w:pPr>
        <w:pStyle w:val="BodyText"/>
        <w:spacing w:line="235" w:lineRule="auto" w:before="5"/>
        <w:ind w:left="607" w:right="2709"/>
      </w:pPr>
      <w:r>
        <w:rPr>
          <w:w w:val="120"/>
        </w:rPr>
        <w:t>The committee reminds members of Assembly that the United Reformed Church is committed to living with differences of opinion, unless its unity and peace are threatened – which is a matter for the Assembly to judge.</w:t>
      </w:r>
    </w:p>
    <w:p>
      <w:pPr>
        <w:spacing w:after="0" w:line="235" w:lineRule="auto"/>
        <w:sectPr>
          <w:headerReference w:type="even" r:id="rId290"/>
          <w:footerReference w:type="even" r:id="rId291"/>
          <w:footerReference w:type="default" r:id="rId292"/>
          <w:pgSz w:w="11910" w:h="16840"/>
          <w:pgMar w:header="0" w:footer="647" w:top="0" w:bottom="840" w:left="640" w:right="0"/>
          <w:pgNumType w:start="96"/>
        </w:sectPr>
      </w:pPr>
    </w:p>
    <w:p>
      <w:pPr>
        <w:pStyle w:val="BodyText"/>
      </w:pPr>
    </w:p>
    <w:p>
      <w:pPr>
        <w:pStyle w:val="BodyText"/>
        <w:spacing w:before="7"/>
        <w:rPr>
          <w:sz w:val="21"/>
        </w:rPr>
      </w:pPr>
    </w:p>
    <w:p>
      <w:pPr>
        <w:spacing w:after="0"/>
        <w:rPr>
          <w:sz w:val="21"/>
        </w:rPr>
        <w:sectPr>
          <w:headerReference w:type="default" r:id="rId293"/>
          <w:pgSz w:w="11910" w:h="16840"/>
          <w:pgMar w:header="0" w:footer="647" w:top="0" w:bottom="840" w:left="640" w:right="0"/>
        </w:sectPr>
      </w:pPr>
    </w:p>
    <w:p>
      <w:pPr>
        <w:pStyle w:val="BodyText"/>
        <w:spacing w:before="2"/>
        <w:rPr>
          <w:sz w:val="53"/>
        </w:rPr>
      </w:pPr>
    </w:p>
    <w:p>
      <w:pPr>
        <w:tabs>
          <w:tab w:pos="4723" w:val="left" w:leader="none"/>
          <w:tab w:pos="7041" w:val="left" w:leader="none"/>
        </w:tabs>
        <w:spacing w:before="0"/>
        <w:ind w:left="4207" w:right="0" w:firstLine="0"/>
        <w:jc w:val="left"/>
        <w:rPr>
          <w:rFonts w:ascii="Stone Sans II ITC Std Bk"/>
          <w:b/>
          <w:sz w:val="36"/>
        </w:rPr>
      </w:pPr>
      <w:r>
        <w:rPr>
          <w:rFonts w:ascii="Stone Sans II ITC Std Bk"/>
          <w:b/>
          <w:color w:val="0B72B5"/>
          <w:w w:val="111"/>
          <w:sz w:val="36"/>
          <w:shd w:fill="E0EEF9" w:color="auto" w:val="clear"/>
        </w:rPr>
        <w:t> </w:t>
      </w:r>
      <w:r>
        <w:rPr>
          <w:rFonts w:ascii="Stone Sans II ITC Std Bk"/>
          <w:b/>
          <w:color w:val="0B72B5"/>
          <w:sz w:val="36"/>
          <w:shd w:fill="E0EEF9" w:color="auto" w:val="clear"/>
        </w:rPr>
        <w:tab/>
      </w:r>
      <w:r>
        <w:rPr>
          <w:rFonts w:ascii="Stone Sans II ITC Std Bk"/>
          <w:b/>
          <w:color w:val="0B72B5"/>
          <w:spacing w:val="5"/>
          <w:w w:val="110"/>
          <w:sz w:val="36"/>
          <w:shd w:fill="E0EEF9" w:color="auto" w:val="clear"/>
        </w:rPr>
        <w:t>Appendix</w:t>
      </w:r>
      <w:r>
        <w:rPr>
          <w:rFonts w:ascii="Stone Sans II ITC Std Bk"/>
          <w:b/>
          <w:color w:val="0B72B5"/>
          <w:spacing w:val="5"/>
          <w:sz w:val="36"/>
          <w:shd w:fill="E0EEF9" w:color="auto" w:val="clear"/>
        </w:rPr>
        <w:tab/>
      </w:r>
    </w:p>
    <w:p>
      <w:pPr>
        <w:spacing w:before="106"/>
        <w:ind w:left="1077" w:right="0" w:firstLine="0"/>
        <w:jc w:val="left"/>
        <w:rPr>
          <w:sz w:val="26"/>
        </w:rPr>
      </w:pPr>
      <w:r>
        <w:rPr/>
        <w:br w:type="column"/>
      </w:r>
      <w:r>
        <w:rPr>
          <w:color w:val="7EAABF"/>
          <w:w w:val="115"/>
          <w:sz w:val="26"/>
        </w:rPr>
        <w:t>Faith and order</w:t>
      </w:r>
    </w:p>
    <w:p>
      <w:pPr>
        <w:spacing w:after="0"/>
        <w:jc w:val="left"/>
        <w:rPr>
          <w:sz w:val="26"/>
        </w:rPr>
        <w:sectPr>
          <w:type w:val="continuous"/>
          <w:pgSz w:w="11910" w:h="16840"/>
          <w:pgMar w:top="1580" w:bottom="280" w:left="640" w:right="0"/>
          <w:cols w:num="2" w:equalWidth="0">
            <w:col w:w="7042" w:space="40"/>
            <w:col w:w="4188"/>
          </w:cols>
        </w:sectPr>
      </w:pPr>
    </w:p>
    <w:p>
      <w:pPr>
        <w:spacing w:line="300" w:lineRule="auto" w:before="121"/>
        <w:ind w:left="4081" w:right="2394" w:hanging="1268"/>
        <w:jc w:val="left"/>
        <w:rPr>
          <w:rFonts w:ascii="Stone Sans II ITC Std Bk"/>
          <w:b/>
          <w:sz w:val="29"/>
        </w:rPr>
      </w:pPr>
      <w:r>
        <w:rPr/>
        <w:drawing>
          <wp:anchor distT="0" distB="0" distL="0" distR="0" allowOverlap="1" layoutInCell="1" locked="0" behindDoc="0" simplePos="0" relativeHeight="251918336">
            <wp:simplePos x="0" y="0"/>
            <wp:positionH relativeFrom="page">
              <wp:posOffset>6974928</wp:posOffset>
            </wp:positionH>
            <wp:positionV relativeFrom="page">
              <wp:posOffset>0</wp:posOffset>
            </wp:positionV>
            <wp:extent cx="585063" cy="10692003"/>
            <wp:effectExtent l="0" t="0" r="0" b="0"/>
            <wp:wrapNone/>
            <wp:docPr id="177" name="image54.png"/>
            <wp:cNvGraphicFramePr>
              <a:graphicFrameLocks noChangeAspect="1"/>
            </wp:cNvGraphicFramePr>
            <a:graphic>
              <a:graphicData uri="http://schemas.openxmlformats.org/drawingml/2006/picture">
                <pic:pic>
                  <pic:nvPicPr>
                    <pic:cNvPr id="178" name="image54.png"/>
                    <pic:cNvPicPr/>
                  </pic:nvPicPr>
                  <pic:blipFill>
                    <a:blip r:embed="rId169" cstate="print"/>
                    <a:stretch>
                      <a:fillRect/>
                    </a:stretch>
                  </pic:blipFill>
                  <pic:spPr>
                    <a:xfrm>
                      <a:off x="0" y="0"/>
                      <a:ext cx="585063" cy="10692003"/>
                    </a:xfrm>
                    <a:prstGeom prst="rect">
                      <a:avLst/>
                    </a:prstGeom>
                  </pic:spPr>
                </pic:pic>
              </a:graphicData>
            </a:graphic>
          </wp:anchor>
        </w:drawing>
      </w:r>
      <w:r>
        <w:rPr/>
        <w:pict>
          <v:shape style="position:absolute;margin-left:554.141174pt;margin-top:-34.170181pt;width:25.9pt;height:483.55pt;mso-position-horizontal-relative:page;mso-position-vertical-relative:paragraph;z-index:251919360" type="#_x0000_t202" filled="false" stroked="false">
            <v:textbox inset="0,0,0,0" style="layout-flow:vertical">
              <w:txbxContent>
                <w:p>
                  <w:pPr>
                    <w:spacing w:before="27"/>
                    <w:ind w:left="20" w:right="0" w:firstLine="0"/>
                    <w:jc w:val="left"/>
                    <w:rPr>
                      <w:sz w:val="39"/>
                    </w:rPr>
                  </w:pPr>
                  <w:r>
                    <w:rPr>
                      <w:color w:val="FFFFFF"/>
                      <w:spacing w:val="6"/>
                      <w:w w:val="120"/>
                      <w:sz w:val="39"/>
                    </w:rPr>
                    <w:t>Faith </w:t>
                  </w:r>
                  <w:r>
                    <w:rPr>
                      <w:color w:val="FFFFFF"/>
                      <w:spacing w:val="7"/>
                      <w:w w:val="120"/>
                      <w:sz w:val="39"/>
                    </w:rPr>
                    <w:t>and order </w:t>
                  </w:r>
                  <w:r>
                    <w:rPr>
                      <w:color w:val="FFFFFF"/>
                      <w:w w:val="120"/>
                      <w:sz w:val="39"/>
                    </w:rPr>
                    <w:t>– </w:t>
                  </w:r>
                  <w:r>
                    <w:rPr>
                      <w:spacing w:val="10"/>
                      <w:w w:val="120"/>
                      <w:sz w:val="39"/>
                    </w:rPr>
                    <w:t>Authorised </w:t>
                  </w:r>
                  <w:r>
                    <w:rPr>
                      <w:spacing w:val="9"/>
                      <w:w w:val="120"/>
                      <w:sz w:val="39"/>
                    </w:rPr>
                    <w:t>elders </w:t>
                  </w:r>
                  <w:r>
                    <w:rPr>
                      <w:color w:val="FFFFFF"/>
                      <w:w w:val="120"/>
                      <w:sz w:val="39"/>
                    </w:rPr>
                    <w:t>–</w:t>
                  </w:r>
                  <w:r>
                    <w:rPr>
                      <w:color w:val="FFFFFF"/>
                      <w:spacing w:val="56"/>
                      <w:w w:val="120"/>
                      <w:sz w:val="39"/>
                    </w:rPr>
                    <w:t> </w:t>
                  </w:r>
                  <w:r>
                    <w:rPr>
                      <w:spacing w:val="11"/>
                      <w:w w:val="120"/>
                      <w:sz w:val="39"/>
                    </w:rPr>
                    <w:t>Appendix</w:t>
                  </w:r>
                </w:p>
              </w:txbxContent>
            </v:textbox>
            <w10:wrap type="none"/>
          </v:shape>
        </w:pict>
      </w:r>
      <w:r>
        <w:rPr>
          <w:rFonts w:ascii="Stone Sans II ITC Std Bk"/>
          <w:b/>
          <w:w w:val="110"/>
          <w:sz w:val="29"/>
        </w:rPr>
        <w:t>History and theological justification The 2014 resolution</w:t>
      </w:r>
    </w:p>
    <w:p>
      <w:pPr>
        <w:pStyle w:val="ListParagraph"/>
        <w:numPr>
          <w:ilvl w:val="1"/>
          <w:numId w:val="132"/>
        </w:numPr>
        <w:tabs>
          <w:tab w:pos="2024" w:val="left" w:leader="none"/>
          <w:tab w:pos="2025" w:val="left" w:leader="none"/>
        </w:tabs>
        <w:spacing w:line="235" w:lineRule="auto" w:before="211" w:after="0"/>
        <w:ind w:left="1344" w:right="1625" w:firstLine="0"/>
        <w:jc w:val="left"/>
        <w:rPr>
          <w:sz w:val="20"/>
        </w:rPr>
      </w:pPr>
      <w:r>
        <w:rPr>
          <w:w w:val="120"/>
          <w:sz w:val="20"/>
        </w:rPr>
        <w:t>The </w:t>
      </w:r>
      <w:r>
        <w:rPr>
          <w:spacing w:val="-4"/>
          <w:w w:val="120"/>
          <w:sz w:val="20"/>
        </w:rPr>
        <w:t>Wessex resolution to </w:t>
      </w:r>
      <w:r>
        <w:rPr>
          <w:spacing w:val="-3"/>
          <w:w w:val="120"/>
          <w:sz w:val="20"/>
        </w:rPr>
        <w:t>General Assembly </w:t>
      </w:r>
      <w:r>
        <w:rPr>
          <w:spacing w:val="-10"/>
          <w:w w:val="120"/>
          <w:sz w:val="20"/>
        </w:rPr>
        <w:t>2012 </w:t>
      </w:r>
      <w:r>
        <w:rPr>
          <w:spacing w:val="-3"/>
          <w:w w:val="120"/>
          <w:sz w:val="20"/>
        </w:rPr>
        <w:t>suggesting exploration </w:t>
      </w:r>
      <w:r>
        <w:rPr>
          <w:w w:val="120"/>
          <w:sz w:val="20"/>
        </w:rPr>
        <w:t>of </w:t>
      </w:r>
      <w:r>
        <w:rPr>
          <w:spacing w:val="-4"/>
          <w:w w:val="120"/>
          <w:sz w:val="20"/>
        </w:rPr>
        <w:t>ordained </w:t>
      </w:r>
      <w:r>
        <w:rPr>
          <w:spacing w:val="-3"/>
          <w:w w:val="120"/>
          <w:sz w:val="20"/>
        </w:rPr>
        <w:t>local ministry was </w:t>
      </w:r>
      <w:r>
        <w:rPr>
          <w:w w:val="120"/>
          <w:sz w:val="20"/>
        </w:rPr>
        <w:t>the </w:t>
      </w:r>
      <w:r>
        <w:rPr>
          <w:spacing w:val="-4"/>
          <w:w w:val="120"/>
          <w:sz w:val="20"/>
        </w:rPr>
        <w:t>latest </w:t>
      </w:r>
      <w:r>
        <w:rPr>
          <w:spacing w:val="-5"/>
          <w:w w:val="120"/>
          <w:sz w:val="20"/>
        </w:rPr>
        <w:t>initiative </w:t>
      </w:r>
      <w:r>
        <w:rPr>
          <w:spacing w:val="-3"/>
          <w:w w:val="120"/>
          <w:sz w:val="20"/>
        </w:rPr>
        <w:t>in </w:t>
      </w:r>
      <w:r>
        <w:rPr>
          <w:w w:val="120"/>
          <w:sz w:val="20"/>
        </w:rPr>
        <w:t>a </w:t>
      </w:r>
      <w:r>
        <w:rPr>
          <w:spacing w:val="-4"/>
          <w:w w:val="120"/>
          <w:sz w:val="20"/>
        </w:rPr>
        <w:t>twenty-year </w:t>
      </w:r>
      <w:r>
        <w:rPr>
          <w:spacing w:val="-3"/>
          <w:w w:val="120"/>
          <w:sz w:val="20"/>
        </w:rPr>
        <w:t>long </w:t>
      </w:r>
      <w:r>
        <w:rPr>
          <w:spacing w:val="-4"/>
          <w:w w:val="120"/>
          <w:sz w:val="20"/>
        </w:rPr>
        <w:t>process to address </w:t>
      </w:r>
      <w:r>
        <w:rPr>
          <w:w w:val="120"/>
          <w:sz w:val="20"/>
        </w:rPr>
        <w:t>the </w:t>
      </w:r>
      <w:r>
        <w:rPr>
          <w:spacing w:val="-4"/>
          <w:w w:val="120"/>
          <w:sz w:val="20"/>
        </w:rPr>
        <w:t>issues </w:t>
      </w:r>
      <w:r>
        <w:rPr>
          <w:w w:val="120"/>
          <w:sz w:val="20"/>
        </w:rPr>
        <w:t>of </w:t>
      </w:r>
      <w:r>
        <w:rPr>
          <w:spacing w:val="-4"/>
          <w:w w:val="120"/>
          <w:sz w:val="20"/>
        </w:rPr>
        <w:t>continuity </w:t>
      </w:r>
      <w:r>
        <w:rPr>
          <w:w w:val="120"/>
          <w:sz w:val="20"/>
        </w:rPr>
        <w:t>of </w:t>
      </w:r>
      <w:r>
        <w:rPr>
          <w:spacing w:val="-4"/>
          <w:w w:val="120"/>
          <w:sz w:val="20"/>
        </w:rPr>
        <w:t>ministerial </w:t>
      </w:r>
      <w:r>
        <w:rPr>
          <w:spacing w:val="-3"/>
          <w:w w:val="120"/>
          <w:sz w:val="20"/>
        </w:rPr>
        <w:t>service </w:t>
      </w:r>
      <w:r>
        <w:rPr>
          <w:spacing w:val="-4"/>
          <w:w w:val="120"/>
          <w:sz w:val="20"/>
        </w:rPr>
        <w:t>within </w:t>
      </w:r>
      <w:r>
        <w:rPr>
          <w:spacing w:val="-3"/>
          <w:w w:val="120"/>
          <w:sz w:val="20"/>
        </w:rPr>
        <w:t>local </w:t>
      </w:r>
      <w:r>
        <w:rPr>
          <w:spacing w:val="-4"/>
          <w:w w:val="120"/>
          <w:sz w:val="20"/>
        </w:rPr>
        <w:t>congregations, </w:t>
      </w:r>
      <w:r>
        <w:rPr>
          <w:w w:val="120"/>
          <w:sz w:val="20"/>
        </w:rPr>
        <w:t>as</w:t>
      </w:r>
      <w:r>
        <w:rPr>
          <w:spacing w:val="-13"/>
          <w:w w:val="120"/>
          <w:sz w:val="20"/>
        </w:rPr>
        <w:t> </w:t>
      </w:r>
      <w:r>
        <w:rPr>
          <w:spacing w:val="-4"/>
          <w:w w:val="120"/>
          <w:sz w:val="20"/>
        </w:rPr>
        <w:t>multi-church</w:t>
      </w:r>
    </w:p>
    <w:p>
      <w:pPr>
        <w:pStyle w:val="BodyText"/>
        <w:spacing w:line="235" w:lineRule="auto" w:before="2"/>
        <w:ind w:left="1344" w:right="1287"/>
      </w:pPr>
      <w:r>
        <w:rPr>
          <w:spacing w:val="-4"/>
          <w:w w:val="120"/>
        </w:rPr>
        <w:t>pastorates </w:t>
      </w:r>
      <w:r>
        <w:rPr>
          <w:spacing w:val="-3"/>
          <w:w w:val="120"/>
        </w:rPr>
        <w:t>and </w:t>
      </w:r>
      <w:r>
        <w:rPr>
          <w:spacing w:val="-4"/>
          <w:w w:val="120"/>
        </w:rPr>
        <w:t>clusters </w:t>
      </w:r>
      <w:r>
        <w:rPr>
          <w:spacing w:val="-5"/>
          <w:w w:val="120"/>
        </w:rPr>
        <w:t>have </w:t>
      </w:r>
      <w:r>
        <w:rPr>
          <w:spacing w:val="-4"/>
          <w:w w:val="120"/>
        </w:rPr>
        <w:t>become </w:t>
      </w:r>
      <w:r>
        <w:rPr>
          <w:spacing w:val="-3"/>
          <w:w w:val="120"/>
        </w:rPr>
        <w:t>more </w:t>
      </w:r>
      <w:r>
        <w:rPr>
          <w:spacing w:val="-4"/>
          <w:w w:val="120"/>
        </w:rPr>
        <w:t>common </w:t>
      </w:r>
      <w:r>
        <w:rPr>
          <w:spacing w:val="-3"/>
          <w:w w:val="120"/>
        </w:rPr>
        <w:t>and more </w:t>
      </w:r>
      <w:r>
        <w:rPr>
          <w:spacing w:val="-4"/>
          <w:w w:val="120"/>
        </w:rPr>
        <w:t>use </w:t>
      </w:r>
      <w:r>
        <w:rPr>
          <w:spacing w:val="-3"/>
          <w:w w:val="120"/>
        </w:rPr>
        <w:t>is made </w:t>
      </w:r>
      <w:r>
        <w:rPr>
          <w:w w:val="120"/>
        </w:rPr>
        <w:t>of the </w:t>
      </w:r>
      <w:r>
        <w:rPr>
          <w:spacing w:val="-4"/>
          <w:w w:val="120"/>
        </w:rPr>
        <w:t>provision </w:t>
      </w:r>
      <w:r>
        <w:rPr>
          <w:spacing w:val="-3"/>
          <w:w w:val="120"/>
        </w:rPr>
        <w:t>in </w:t>
      </w:r>
      <w:r>
        <w:rPr>
          <w:w w:val="120"/>
        </w:rPr>
        <w:t>the </w:t>
      </w:r>
      <w:r>
        <w:rPr>
          <w:spacing w:val="-4"/>
          <w:w w:val="120"/>
        </w:rPr>
        <w:t>Basis </w:t>
      </w:r>
      <w:r>
        <w:rPr>
          <w:w w:val="120"/>
        </w:rPr>
        <w:t>of </w:t>
      </w:r>
      <w:r>
        <w:rPr>
          <w:spacing w:val="-3"/>
          <w:w w:val="120"/>
        </w:rPr>
        <w:t>Union </w:t>
      </w:r>
      <w:r>
        <w:rPr>
          <w:spacing w:val="-4"/>
          <w:w w:val="120"/>
        </w:rPr>
        <w:t>to authorise </w:t>
      </w:r>
      <w:r>
        <w:rPr>
          <w:spacing w:val="-3"/>
          <w:w w:val="120"/>
        </w:rPr>
        <w:t>elders </w:t>
      </w:r>
      <w:r>
        <w:rPr>
          <w:w w:val="120"/>
        </w:rPr>
        <w:t>or </w:t>
      </w:r>
      <w:r>
        <w:rPr>
          <w:spacing w:val="-4"/>
          <w:w w:val="120"/>
        </w:rPr>
        <w:t>lay </w:t>
      </w:r>
      <w:r>
        <w:rPr>
          <w:spacing w:val="-3"/>
          <w:w w:val="120"/>
        </w:rPr>
        <w:t>preachers </w:t>
      </w:r>
      <w:r>
        <w:rPr>
          <w:spacing w:val="-4"/>
          <w:w w:val="120"/>
        </w:rPr>
        <w:t>to preside </w:t>
      </w:r>
      <w:r>
        <w:rPr>
          <w:spacing w:val="-3"/>
          <w:w w:val="120"/>
        </w:rPr>
        <w:t>at Holy </w:t>
      </w:r>
      <w:r>
        <w:rPr>
          <w:spacing w:val="-5"/>
          <w:w w:val="120"/>
        </w:rPr>
        <w:t>Communion.</w:t>
      </w:r>
    </w:p>
    <w:p>
      <w:pPr>
        <w:pStyle w:val="BodyText"/>
        <w:spacing w:line="235" w:lineRule="auto" w:before="2"/>
        <w:ind w:left="1344" w:right="1425"/>
      </w:pPr>
      <w:r>
        <w:rPr>
          <w:w w:val="120"/>
        </w:rPr>
        <w:t>A </w:t>
      </w:r>
      <w:r>
        <w:rPr>
          <w:spacing w:val="-4"/>
          <w:w w:val="120"/>
        </w:rPr>
        <w:t>version </w:t>
      </w:r>
      <w:r>
        <w:rPr>
          <w:w w:val="120"/>
        </w:rPr>
        <w:t>of </w:t>
      </w:r>
      <w:r>
        <w:rPr>
          <w:spacing w:val="-4"/>
          <w:w w:val="120"/>
        </w:rPr>
        <w:t>this </w:t>
      </w:r>
      <w:r>
        <w:rPr>
          <w:spacing w:val="-3"/>
          <w:w w:val="120"/>
        </w:rPr>
        <w:t>was </w:t>
      </w:r>
      <w:r>
        <w:rPr>
          <w:spacing w:val="-4"/>
          <w:w w:val="120"/>
        </w:rPr>
        <w:t>adopted </w:t>
      </w:r>
      <w:r>
        <w:rPr>
          <w:spacing w:val="-3"/>
          <w:w w:val="120"/>
        </w:rPr>
        <w:t>by </w:t>
      </w:r>
      <w:r>
        <w:rPr>
          <w:w w:val="120"/>
        </w:rPr>
        <w:t>a </w:t>
      </w:r>
      <w:r>
        <w:rPr>
          <w:spacing w:val="-3"/>
          <w:w w:val="120"/>
        </w:rPr>
        <w:t>majority </w:t>
      </w:r>
      <w:r>
        <w:rPr>
          <w:w w:val="120"/>
        </w:rPr>
        <w:t>of the </w:t>
      </w:r>
      <w:r>
        <w:rPr>
          <w:spacing w:val="-3"/>
          <w:w w:val="120"/>
        </w:rPr>
        <w:t>faith and order </w:t>
      </w:r>
      <w:r>
        <w:rPr>
          <w:spacing w:val="-4"/>
          <w:w w:val="120"/>
        </w:rPr>
        <w:t>committee </w:t>
      </w:r>
      <w:r>
        <w:rPr>
          <w:spacing w:val="-3"/>
          <w:w w:val="120"/>
        </w:rPr>
        <w:t>and </w:t>
      </w:r>
      <w:r>
        <w:rPr>
          <w:spacing w:val="-4"/>
          <w:w w:val="120"/>
        </w:rPr>
        <w:t>brought to </w:t>
      </w:r>
      <w:r>
        <w:rPr>
          <w:spacing w:val="-3"/>
          <w:w w:val="120"/>
        </w:rPr>
        <w:t>General Assembly in </w:t>
      </w:r>
      <w:r>
        <w:rPr>
          <w:spacing w:val="-10"/>
          <w:w w:val="120"/>
        </w:rPr>
        <w:t>2014, </w:t>
      </w:r>
      <w:r>
        <w:rPr>
          <w:spacing w:val="-4"/>
          <w:w w:val="120"/>
        </w:rPr>
        <w:t>which approved </w:t>
      </w:r>
      <w:r>
        <w:rPr>
          <w:spacing w:val="-3"/>
          <w:w w:val="120"/>
        </w:rPr>
        <w:t>it by </w:t>
      </w:r>
      <w:r>
        <w:rPr>
          <w:spacing w:val="-4"/>
          <w:w w:val="120"/>
        </w:rPr>
        <w:t>agreement </w:t>
      </w:r>
      <w:r>
        <w:rPr>
          <w:spacing w:val="-5"/>
          <w:w w:val="120"/>
        </w:rPr>
        <w:t>(for </w:t>
      </w:r>
      <w:r>
        <w:rPr>
          <w:w w:val="120"/>
        </w:rPr>
        <w:t>the text </w:t>
      </w:r>
      <w:r>
        <w:rPr>
          <w:spacing w:val="-3"/>
          <w:w w:val="120"/>
        </w:rPr>
        <w:t>see </w:t>
      </w:r>
      <w:r>
        <w:rPr>
          <w:spacing w:val="-7"/>
          <w:w w:val="120"/>
        </w:rPr>
        <w:t>§2.2).</w:t>
      </w:r>
    </w:p>
    <w:p>
      <w:pPr>
        <w:pStyle w:val="BodyText"/>
        <w:spacing w:line="235" w:lineRule="auto" w:before="1"/>
        <w:ind w:left="1344" w:right="1478"/>
      </w:pPr>
      <w:r>
        <w:rPr>
          <w:w w:val="120"/>
        </w:rPr>
        <w:t>A </w:t>
      </w:r>
      <w:r>
        <w:rPr>
          <w:spacing w:val="-4"/>
          <w:w w:val="120"/>
        </w:rPr>
        <w:t>small </w:t>
      </w:r>
      <w:r>
        <w:rPr>
          <w:spacing w:val="-3"/>
          <w:w w:val="120"/>
        </w:rPr>
        <w:t>task </w:t>
      </w:r>
      <w:r>
        <w:rPr>
          <w:spacing w:val="-4"/>
          <w:w w:val="120"/>
        </w:rPr>
        <w:t>group </w:t>
      </w:r>
      <w:r>
        <w:rPr>
          <w:spacing w:val="-3"/>
          <w:w w:val="120"/>
        </w:rPr>
        <w:t>was then set up </w:t>
      </w:r>
      <w:r>
        <w:rPr>
          <w:spacing w:val="-4"/>
          <w:w w:val="120"/>
        </w:rPr>
        <w:t>to address </w:t>
      </w:r>
      <w:r>
        <w:rPr>
          <w:w w:val="120"/>
        </w:rPr>
        <w:t>the </w:t>
      </w:r>
      <w:r>
        <w:rPr>
          <w:spacing w:val="-4"/>
          <w:w w:val="120"/>
        </w:rPr>
        <w:t>issues </w:t>
      </w:r>
      <w:r>
        <w:rPr>
          <w:spacing w:val="-8"/>
          <w:w w:val="120"/>
        </w:rPr>
        <w:t>(§2.3, </w:t>
      </w:r>
      <w:r>
        <w:rPr>
          <w:spacing w:val="-6"/>
          <w:w w:val="120"/>
        </w:rPr>
        <w:t>2.6-2.7). </w:t>
      </w:r>
      <w:r>
        <w:rPr>
          <w:w w:val="120"/>
        </w:rPr>
        <w:t>The </w:t>
      </w:r>
      <w:r>
        <w:rPr>
          <w:spacing w:val="-6"/>
          <w:w w:val="120"/>
        </w:rPr>
        <w:t>committee’s </w:t>
      </w:r>
      <w:r>
        <w:rPr>
          <w:spacing w:val="-5"/>
          <w:w w:val="120"/>
        </w:rPr>
        <w:t>conclusions </w:t>
      </w:r>
      <w:r>
        <w:rPr>
          <w:spacing w:val="-3"/>
          <w:w w:val="120"/>
        </w:rPr>
        <w:t>are set out in </w:t>
      </w:r>
      <w:r>
        <w:rPr>
          <w:spacing w:val="-9"/>
          <w:w w:val="120"/>
        </w:rPr>
        <w:t>§1.2 </w:t>
      </w:r>
      <w:r>
        <w:rPr>
          <w:spacing w:val="-4"/>
          <w:w w:val="120"/>
        </w:rPr>
        <w:t>above.</w:t>
      </w:r>
    </w:p>
    <w:p>
      <w:pPr>
        <w:pStyle w:val="BodyText"/>
        <w:spacing w:before="6"/>
        <w:rPr>
          <w:sz w:val="19"/>
        </w:rPr>
      </w:pPr>
    </w:p>
    <w:p>
      <w:pPr>
        <w:pStyle w:val="ListParagraph"/>
        <w:numPr>
          <w:ilvl w:val="1"/>
          <w:numId w:val="132"/>
        </w:numPr>
        <w:tabs>
          <w:tab w:pos="2024" w:val="left" w:leader="none"/>
          <w:tab w:pos="2025" w:val="left" w:leader="none"/>
        </w:tabs>
        <w:spacing w:line="240" w:lineRule="auto" w:before="0" w:after="0"/>
        <w:ind w:left="2024" w:right="0" w:hanging="681"/>
        <w:jc w:val="left"/>
        <w:rPr>
          <w:sz w:val="20"/>
        </w:rPr>
      </w:pPr>
      <w:r>
        <w:rPr>
          <w:w w:val="120"/>
          <w:sz w:val="20"/>
        </w:rPr>
        <w:t>Resolution </w:t>
      </w:r>
      <w:r>
        <w:rPr>
          <w:spacing w:val="-11"/>
          <w:w w:val="120"/>
          <w:sz w:val="20"/>
        </w:rPr>
        <w:t>13 </w:t>
      </w:r>
      <w:r>
        <w:rPr>
          <w:w w:val="120"/>
          <w:sz w:val="20"/>
        </w:rPr>
        <w:t>of </w:t>
      </w:r>
      <w:r>
        <w:rPr>
          <w:spacing w:val="-7"/>
          <w:w w:val="120"/>
          <w:sz w:val="20"/>
        </w:rPr>
        <w:t>2014: </w:t>
      </w:r>
      <w:r>
        <w:rPr>
          <w:w w:val="120"/>
          <w:sz w:val="20"/>
        </w:rPr>
        <w:t>ordained local</w:t>
      </w:r>
      <w:r>
        <w:rPr>
          <w:spacing w:val="-11"/>
          <w:w w:val="120"/>
          <w:sz w:val="20"/>
        </w:rPr>
        <w:t> </w:t>
      </w:r>
      <w:r>
        <w:rPr>
          <w:w w:val="120"/>
          <w:sz w:val="20"/>
        </w:rPr>
        <w:t>ministry</w:t>
      </w:r>
    </w:p>
    <w:p>
      <w:pPr>
        <w:pStyle w:val="BodyText"/>
        <w:spacing w:before="7"/>
        <w:rPr>
          <w:sz w:val="19"/>
        </w:rPr>
      </w:pPr>
    </w:p>
    <w:p>
      <w:pPr>
        <w:pStyle w:val="ListParagraph"/>
        <w:numPr>
          <w:ilvl w:val="2"/>
          <w:numId w:val="132"/>
        </w:numPr>
        <w:tabs>
          <w:tab w:pos="2784" w:val="left" w:leader="none"/>
          <w:tab w:pos="2785" w:val="left" w:leader="none"/>
        </w:tabs>
        <w:spacing w:line="235" w:lineRule="auto" w:before="1" w:after="0"/>
        <w:ind w:left="2024" w:right="1457" w:firstLine="0"/>
        <w:jc w:val="left"/>
        <w:rPr>
          <w:sz w:val="20"/>
        </w:rPr>
      </w:pPr>
      <w:r>
        <w:rPr>
          <w:w w:val="120"/>
          <w:sz w:val="20"/>
        </w:rPr>
        <w:t>General Assembly, affirming the existing </w:t>
      </w:r>
      <w:r>
        <w:rPr>
          <w:spacing w:val="2"/>
          <w:w w:val="120"/>
          <w:sz w:val="20"/>
        </w:rPr>
        <w:t>gift </w:t>
      </w:r>
      <w:r>
        <w:rPr>
          <w:w w:val="120"/>
          <w:sz w:val="20"/>
        </w:rPr>
        <w:t>of elders and the diversity of </w:t>
      </w:r>
      <w:r>
        <w:rPr>
          <w:spacing w:val="2"/>
          <w:w w:val="120"/>
          <w:sz w:val="20"/>
        </w:rPr>
        <w:t>gifts </w:t>
      </w:r>
      <w:r>
        <w:rPr>
          <w:w w:val="120"/>
          <w:sz w:val="20"/>
        </w:rPr>
        <w:t>within each elders meeting as </w:t>
      </w:r>
      <w:r>
        <w:rPr>
          <w:spacing w:val="2"/>
          <w:w w:val="120"/>
          <w:sz w:val="20"/>
        </w:rPr>
        <w:t>part </w:t>
      </w:r>
      <w:r>
        <w:rPr>
          <w:w w:val="120"/>
          <w:sz w:val="20"/>
        </w:rPr>
        <w:t>of the United Reformed </w:t>
      </w:r>
      <w:r>
        <w:rPr>
          <w:spacing w:val="-3"/>
          <w:w w:val="120"/>
          <w:sz w:val="20"/>
        </w:rPr>
        <w:t>Church’s </w:t>
      </w:r>
      <w:r>
        <w:rPr>
          <w:w w:val="120"/>
          <w:sz w:val="20"/>
        </w:rPr>
        <w:t>distinctive contribution to the Church universal, wishes to reinvigorate the role of elders and welcomes current work to that</w:t>
      </w:r>
      <w:r>
        <w:rPr>
          <w:spacing w:val="15"/>
          <w:w w:val="120"/>
          <w:sz w:val="20"/>
        </w:rPr>
        <w:t> </w:t>
      </w:r>
      <w:r>
        <w:rPr>
          <w:w w:val="120"/>
          <w:sz w:val="20"/>
        </w:rPr>
        <w:t>end.</w:t>
      </w:r>
    </w:p>
    <w:p>
      <w:pPr>
        <w:pStyle w:val="BodyText"/>
        <w:spacing w:before="10"/>
        <w:rPr>
          <w:sz w:val="19"/>
        </w:rPr>
      </w:pPr>
    </w:p>
    <w:p>
      <w:pPr>
        <w:pStyle w:val="ListParagraph"/>
        <w:numPr>
          <w:ilvl w:val="2"/>
          <w:numId w:val="132"/>
        </w:numPr>
        <w:tabs>
          <w:tab w:pos="2784" w:val="left" w:leader="none"/>
          <w:tab w:pos="2785" w:val="left" w:leader="none"/>
        </w:tabs>
        <w:spacing w:line="235" w:lineRule="auto" w:before="1" w:after="0"/>
        <w:ind w:left="2024" w:right="1414" w:firstLine="0"/>
        <w:jc w:val="left"/>
        <w:rPr>
          <w:sz w:val="20"/>
        </w:rPr>
      </w:pPr>
      <w:r>
        <w:rPr>
          <w:w w:val="120"/>
          <w:sz w:val="20"/>
        </w:rPr>
        <w:t>General Assembly directs the faith and order committee to set up a task group incorporating expertise from other committees of the United Reformed Church to explore the possibility of authorising ‘celebrant elders’ to preside at the</w:t>
      </w:r>
      <w:r>
        <w:rPr>
          <w:spacing w:val="1"/>
          <w:w w:val="120"/>
          <w:sz w:val="20"/>
        </w:rPr>
        <w:t> </w:t>
      </w:r>
      <w:r>
        <w:rPr>
          <w:w w:val="120"/>
          <w:sz w:val="20"/>
        </w:rPr>
        <w:t>sacraments.</w:t>
      </w:r>
    </w:p>
    <w:p>
      <w:pPr>
        <w:pStyle w:val="BodyText"/>
        <w:spacing w:before="7"/>
        <w:rPr>
          <w:sz w:val="19"/>
        </w:rPr>
      </w:pPr>
    </w:p>
    <w:p>
      <w:pPr>
        <w:pStyle w:val="BodyText"/>
        <w:spacing w:line="242" w:lineRule="exact"/>
        <w:ind w:left="2024"/>
      </w:pPr>
      <w:r>
        <w:rPr>
          <w:w w:val="120"/>
        </w:rPr>
        <w:t>To that end General Assembly asks for work to be done in the following areas:</w:t>
      </w:r>
    </w:p>
    <w:p>
      <w:pPr>
        <w:pStyle w:val="ListParagraph"/>
        <w:numPr>
          <w:ilvl w:val="0"/>
          <w:numId w:val="133"/>
        </w:numPr>
        <w:tabs>
          <w:tab w:pos="2704" w:val="left" w:leader="none"/>
          <w:tab w:pos="2705" w:val="left" w:leader="none"/>
        </w:tabs>
        <w:spacing w:line="235" w:lineRule="auto" w:before="2" w:after="0"/>
        <w:ind w:left="2704" w:right="1771" w:hanging="681"/>
        <w:jc w:val="left"/>
        <w:rPr>
          <w:sz w:val="20"/>
        </w:rPr>
      </w:pPr>
      <w:r>
        <w:rPr>
          <w:w w:val="120"/>
          <w:sz w:val="20"/>
        </w:rPr>
        <w:t>the nature of ordination within the United Reformed Church, both of Ministers of Word and Sacrament </w:t>
      </w:r>
      <w:r>
        <w:rPr>
          <w:spacing w:val="-6"/>
          <w:w w:val="120"/>
          <w:sz w:val="20"/>
        </w:rPr>
        <w:t>(</w:t>
      </w:r>
      <w:r>
        <w:rPr>
          <w:i/>
          <w:spacing w:val="-6"/>
          <w:w w:val="120"/>
          <w:sz w:val="20"/>
        </w:rPr>
        <w:t>sic</w:t>
      </w:r>
      <w:r>
        <w:rPr>
          <w:spacing w:val="-6"/>
          <w:w w:val="120"/>
          <w:sz w:val="20"/>
        </w:rPr>
        <w:t>) </w:t>
      </w:r>
      <w:r>
        <w:rPr>
          <w:w w:val="120"/>
          <w:sz w:val="20"/>
        </w:rPr>
        <w:t>and of</w:t>
      </w:r>
      <w:r>
        <w:rPr>
          <w:spacing w:val="16"/>
          <w:w w:val="120"/>
          <w:sz w:val="20"/>
        </w:rPr>
        <w:t> </w:t>
      </w:r>
      <w:r>
        <w:rPr>
          <w:w w:val="120"/>
          <w:sz w:val="20"/>
        </w:rPr>
        <w:t>elders;</w:t>
      </w:r>
    </w:p>
    <w:p>
      <w:pPr>
        <w:pStyle w:val="ListParagraph"/>
        <w:numPr>
          <w:ilvl w:val="0"/>
          <w:numId w:val="133"/>
        </w:numPr>
        <w:tabs>
          <w:tab w:pos="2704" w:val="left" w:leader="none"/>
          <w:tab w:pos="2705" w:val="left" w:leader="none"/>
        </w:tabs>
        <w:spacing w:line="235" w:lineRule="auto" w:before="1" w:after="0"/>
        <w:ind w:left="2704" w:right="1509" w:hanging="681"/>
        <w:jc w:val="left"/>
        <w:rPr>
          <w:sz w:val="20"/>
        </w:rPr>
      </w:pPr>
      <w:r>
        <w:rPr>
          <w:w w:val="120"/>
          <w:sz w:val="20"/>
        </w:rPr>
        <w:t>how within the understandings of the various traditions which make up our Church the sacrament of Holy Communion is linked to</w:t>
      </w:r>
      <w:r>
        <w:rPr>
          <w:spacing w:val="3"/>
          <w:w w:val="120"/>
          <w:sz w:val="20"/>
        </w:rPr>
        <w:t> </w:t>
      </w:r>
      <w:r>
        <w:rPr>
          <w:w w:val="120"/>
          <w:sz w:val="20"/>
        </w:rPr>
        <w:t>ordination;</w:t>
      </w:r>
    </w:p>
    <w:p>
      <w:pPr>
        <w:pStyle w:val="ListParagraph"/>
        <w:numPr>
          <w:ilvl w:val="0"/>
          <w:numId w:val="133"/>
        </w:numPr>
        <w:tabs>
          <w:tab w:pos="2704" w:val="left" w:leader="none"/>
          <w:tab w:pos="2705" w:val="left" w:leader="none"/>
        </w:tabs>
        <w:spacing w:line="235" w:lineRule="auto" w:before="2" w:after="0"/>
        <w:ind w:left="2704" w:right="1365" w:hanging="681"/>
        <w:jc w:val="left"/>
        <w:rPr>
          <w:sz w:val="20"/>
        </w:rPr>
      </w:pPr>
      <w:r>
        <w:rPr>
          <w:w w:val="120"/>
          <w:sz w:val="20"/>
        </w:rPr>
        <w:t>the suggested future relationships of ‘celebrant elders’ to local church leaders, lay preachers, Ministers of Word and Sacrament </w:t>
      </w:r>
      <w:r>
        <w:rPr>
          <w:spacing w:val="-6"/>
          <w:w w:val="120"/>
          <w:sz w:val="20"/>
        </w:rPr>
        <w:t>(</w:t>
      </w:r>
      <w:r>
        <w:rPr>
          <w:i/>
          <w:spacing w:val="-6"/>
          <w:w w:val="120"/>
          <w:sz w:val="20"/>
        </w:rPr>
        <w:t>sic</w:t>
      </w:r>
      <w:r>
        <w:rPr>
          <w:spacing w:val="-6"/>
          <w:w w:val="120"/>
          <w:sz w:val="20"/>
        </w:rPr>
        <w:t>), </w:t>
      </w:r>
      <w:r>
        <w:rPr>
          <w:w w:val="120"/>
          <w:sz w:val="20"/>
        </w:rPr>
        <w:t>synods and General</w:t>
      </w:r>
      <w:r>
        <w:rPr>
          <w:spacing w:val="2"/>
          <w:w w:val="120"/>
          <w:sz w:val="20"/>
        </w:rPr>
        <w:t> </w:t>
      </w:r>
      <w:r>
        <w:rPr>
          <w:w w:val="120"/>
          <w:sz w:val="20"/>
        </w:rPr>
        <w:t>Assembly;</w:t>
      </w:r>
    </w:p>
    <w:p>
      <w:pPr>
        <w:pStyle w:val="ListParagraph"/>
        <w:numPr>
          <w:ilvl w:val="0"/>
          <w:numId w:val="133"/>
        </w:numPr>
        <w:tabs>
          <w:tab w:pos="2704" w:val="left" w:leader="none"/>
          <w:tab w:pos="2705" w:val="left" w:leader="none"/>
        </w:tabs>
        <w:spacing w:line="235" w:lineRule="auto" w:before="2" w:after="0"/>
        <w:ind w:left="2704" w:right="1254" w:hanging="681"/>
        <w:jc w:val="left"/>
        <w:rPr>
          <w:sz w:val="20"/>
        </w:rPr>
      </w:pPr>
      <w:r>
        <w:rPr>
          <w:w w:val="120"/>
          <w:sz w:val="20"/>
        </w:rPr>
        <w:t>the nature and financing of the requisite training to support such elders in their</w:t>
      </w:r>
      <w:r>
        <w:rPr>
          <w:spacing w:val="2"/>
          <w:w w:val="120"/>
          <w:sz w:val="20"/>
        </w:rPr>
        <w:t> </w:t>
      </w:r>
      <w:r>
        <w:rPr>
          <w:w w:val="120"/>
          <w:sz w:val="20"/>
        </w:rPr>
        <w:t>calling;</w:t>
      </w:r>
    </w:p>
    <w:p>
      <w:pPr>
        <w:pStyle w:val="ListParagraph"/>
        <w:numPr>
          <w:ilvl w:val="0"/>
          <w:numId w:val="133"/>
        </w:numPr>
        <w:tabs>
          <w:tab w:pos="2704" w:val="left" w:leader="none"/>
          <w:tab w:pos="2705" w:val="left" w:leader="none"/>
        </w:tabs>
        <w:spacing w:line="235" w:lineRule="auto" w:before="1" w:after="0"/>
        <w:ind w:left="2704" w:right="1686" w:hanging="681"/>
        <w:jc w:val="left"/>
        <w:rPr>
          <w:sz w:val="20"/>
        </w:rPr>
      </w:pPr>
      <w:r>
        <w:rPr>
          <w:w w:val="120"/>
          <w:sz w:val="20"/>
        </w:rPr>
        <w:t>the accountability of such elders and the question of who would be responsible</w:t>
      </w:r>
      <w:r>
        <w:rPr>
          <w:spacing w:val="13"/>
          <w:w w:val="120"/>
          <w:sz w:val="20"/>
        </w:rPr>
        <w:t> </w:t>
      </w:r>
      <w:r>
        <w:rPr>
          <w:w w:val="120"/>
          <w:sz w:val="20"/>
        </w:rPr>
        <w:t>for</w:t>
      </w:r>
      <w:r>
        <w:rPr>
          <w:spacing w:val="14"/>
          <w:w w:val="120"/>
          <w:sz w:val="20"/>
        </w:rPr>
        <w:t> </w:t>
      </w:r>
      <w:r>
        <w:rPr>
          <w:w w:val="120"/>
          <w:sz w:val="20"/>
        </w:rPr>
        <w:t>discerning,</w:t>
      </w:r>
      <w:r>
        <w:rPr>
          <w:spacing w:val="13"/>
          <w:w w:val="120"/>
          <w:sz w:val="20"/>
        </w:rPr>
        <w:t> </w:t>
      </w:r>
      <w:r>
        <w:rPr>
          <w:w w:val="120"/>
          <w:sz w:val="20"/>
        </w:rPr>
        <w:t>authorising</w:t>
      </w:r>
      <w:r>
        <w:rPr>
          <w:spacing w:val="14"/>
          <w:w w:val="120"/>
          <w:sz w:val="20"/>
        </w:rPr>
        <w:t> </w:t>
      </w:r>
      <w:r>
        <w:rPr>
          <w:w w:val="120"/>
          <w:sz w:val="20"/>
        </w:rPr>
        <w:t>and</w:t>
      </w:r>
      <w:r>
        <w:rPr>
          <w:spacing w:val="14"/>
          <w:w w:val="120"/>
          <w:sz w:val="20"/>
        </w:rPr>
        <w:t> </w:t>
      </w:r>
      <w:r>
        <w:rPr>
          <w:w w:val="120"/>
          <w:sz w:val="20"/>
        </w:rPr>
        <w:t>supporting</w:t>
      </w:r>
      <w:r>
        <w:rPr>
          <w:spacing w:val="13"/>
          <w:w w:val="120"/>
          <w:sz w:val="20"/>
        </w:rPr>
        <w:t> </w:t>
      </w:r>
      <w:r>
        <w:rPr>
          <w:w w:val="120"/>
          <w:sz w:val="20"/>
        </w:rPr>
        <w:t>their</w:t>
      </w:r>
      <w:r>
        <w:rPr>
          <w:spacing w:val="14"/>
          <w:w w:val="120"/>
          <w:sz w:val="20"/>
        </w:rPr>
        <w:t> </w:t>
      </w:r>
      <w:r>
        <w:rPr>
          <w:w w:val="120"/>
          <w:sz w:val="20"/>
        </w:rPr>
        <w:t>vocation;</w:t>
      </w:r>
    </w:p>
    <w:p>
      <w:pPr>
        <w:pStyle w:val="ListParagraph"/>
        <w:numPr>
          <w:ilvl w:val="0"/>
          <w:numId w:val="133"/>
        </w:numPr>
        <w:tabs>
          <w:tab w:pos="2704" w:val="left" w:leader="none"/>
          <w:tab w:pos="2705" w:val="left" w:leader="none"/>
        </w:tabs>
        <w:spacing w:line="242" w:lineRule="exact" w:before="0" w:after="0"/>
        <w:ind w:left="2704" w:right="0" w:hanging="681"/>
        <w:jc w:val="left"/>
        <w:rPr>
          <w:sz w:val="20"/>
        </w:rPr>
      </w:pPr>
      <w:r>
        <w:rPr>
          <w:w w:val="120"/>
          <w:sz w:val="20"/>
        </w:rPr>
        <w:t>the place of such elders in local ecumenical</w:t>
      </w:r>
      <w:r>
        <w:rPr>
          <w:spacing w:val="19"/>
          <w:w w:val="120"/>
          <w:sz w:val="20"/>
        </w:rPr>
        <w:t> </w:t>
      </w:r>
      <w:r>
        <w:rPr>
          <w:w w:val="120"/>
          <w:sz w:val="20"/>
        </w:rPr>
        <w:t>partnerships.</w:t>
      </w:r>
    </w:p>
    <w:p>
      <w:pPr>
        <w:pStyle w:val="BodyText"/>
        <w:spacing w:before="8"/>
        <w:rPr>
          <w:sz w:val="19"/>
        </w:rPr>
      </w:pPr>
    </w:p>
    <w:p>
      <w:pPr>
        <w:pStyle w:val="BodyText"/>
        <w:spacing w:line="235" w:lineRule="auto"/>
        <w:ind w:left="2024" w:right="2045"/>
      </w:pPr>
      <w:r>
        <w:rPr>
          <w:w w:val="120"/>
        </w:rPr>
        <w:t>General Assembly instructs that the progress of such work be reported to General Assembly in 2016.</w:t>
      </w:r>
    </w:p>
    <w:p>
      <w:pPr>
        <w:pStyle w:val="BodyText"/>
        <w:spacing w:before="2"/>
        <w:rPr>
          <w:sz w:val="22"/>
        </w:rPr>
      </w:pPr>
    </w:p>
    <w:p>
      <w:pPr>
        <w:spacing w:before="0"/>
        <w:ind w:left="1344" w:right="0" w:firstLine="0"/>
        <w:jc w:val="left"/>
        <w:rPr>
          <w:rFonts w:ascii="Stone Sans II ITC Std Bk"/>
          <w:b/>
          <w:sz w:val="29"/>
        </w:rPr>
      </w:pPr>
      <w:r>
        <w:rPr>
          <w:rFonts w:ascii="Stone Sans II ITC Std Bk"/>
          <w:b/>
          <w:w w:val="110"/>
          <w:sz w:val="29"/>
        </w:rPr>
        <w:t>The task group</w:t>
      </w:r>
    </w:p>
    <w:p>
      <w:pPr>
        <w:pStyle w:val="ListParagraph"/>
        <w:numPr>
          <w:ilvl w:val="1"/>
          <w:numId w:val="132"/>
        </w:numPr>
        <w:tabs>
          <w:tab w:pos="2024" w:val="left" w:leader="none"/>
          <w:tab w:pos="2025" w:val="left" w:leader="none"/>
        </w:tabs>
        <w:spacing w:line="235" w:lineRule="auto" w:before="69" w:after="0"/>
        <w:ind w:left="1344" w:right="1476" w:firstLine="0"/>
        <w:jc w:val="left"/>
        <w:rPr>
          <w:sz w:val="20"/>
        </w:rPr>
      </w:pPr>
      <w:r>
        <w:rPr>
          <w:w w:val="120"/>
          <w:sz w:val="20"/>
        </w:rPr>
        <w:t>The task group consisted of the Revd Professor David Thompson, Eastern  Synod </w:t>
      </w:r>
      <w:r>
        <w:rPr>
          <w:spacing w:val="-4"/>
          <w:w w:val="120"/>
          <w:sz w:val="20"/>
        </w:rPr>
        <w:t>(convenor), </w:t>
      </w:r>
      <w:r>
        <w:rPr>
          <w:w w:val="120"/>
          <w:sz w:val="20"/>
        </w:rPr>
        <w:t>the Revd Dr Sarah Hall, Wessex Synod, </w:t>
      </w:r>
      <w:r>
        <w:rPr>
          <w:spacing w:val="-2"/>
          <w:w w:val="120"/>
          <w:sz w:val="20"/>
        </w:rPr>
        <w:t>(secretary), </w:t>
      </w:r>
      <w:r>
        <w:rPr>
          <w:w w:val="120"/>
          <w:sz w:val="20"/>
        </w:rPr>
        <w:t>Mrs Susan Bush, </w:t>
      </w:r>
      <w:r>
        <w:rPr>
          <w:spacing w:val="2"/>
          <w:w w:val="120"/>
          <w:sz w:val="20"/>
        </w:rPr>
        <w:t>Northern </w:t>
      </w:r>
      <w:r>
        <w:rPr>
          <w:w w:val="120"/>
          <w:sz w:val="20"/>
        </w:rPr>
        <w:t>Synod and Mrs Lesley Richmond, Synod of</w:t>
      </w:r>
      <w:r>
        <w:rPr>
          <w:spacing w:val="21"/>
          <w:w w:val="120"/>
          <w:sz w:val="20"/>
        </w:rPr>
        <w:t> </w:t>
      </w:r>
      <w:r>
        <w:rPr>
          <w:w w:val="120"/>
          <w:sz w:val="20"/>
        </w:rPr>
        <w:t>Scotland.</w:t>
      </w:r>
    </w:p>
    <w:p>
      <w:pPr>
        <w:pStyle w:val="BodyText"/>
        <w:spacing w:before="2"/>
        <w:rPr>
          <w:sz w:val="22"/>
        </w:rPr>
      </w:pPr>
    </w:p>
    <w:p>
      <w:pPr>
        <w:spacing w:before="1"/>
        <w:ind w:left="1344" w:right="0" w:firstLine="0"/>
        <w:jc w:val="left"/>
        <w:rPr>
          <w:rFonts w:ascii="Stone Sans II ITC Std Bk"/>
          <w:b/>
          <w:sz w:val="29"/>
        </w:rPr>
      </w:pPr>
      <w:r>
        <w:rPr>
          <w:rFonts w:ascii="Stone Sans II ITC Std Bk"/>
          <w:b/>
          <w:w w:val="110"/>
          <w:sz w:val="29"/>
        </w:rPr>
        <w:t>Background since 1972</w:t>
      </w:r>
    </w:p>
    <w:p>
      <w:pPr>
        <w:pStyle w:val="ListParagraph"/>
        <w:numPr>
          <w:ilvl w:val="1"/>
          <w:numId w:val="132"/>
        </w:numPr>
        <w:tabs>
          <w:tab w:pos="2024" w:val="left" w:leader="none"/>
          <w:tab w:pos="2025" w:val="left" w:leader="none"/>
        </w:tabs>
        <w:spacing w:line="240" w:lineRule="auto" w:before="65" w:after="0"/>
        <w:ind w:left="2024" w:right="0" w:hanging="681"/>
        <w:jc w:val="left"/>
        <w:rPr>
          <w:sz w:val="20"/>
        </w:rPr>
      </w:pPr>
      <w:r>
        <w:rPr>
          <w:w w:val="120"/>
          <w:sz w:val="20"/>
        </w:rPr>
        <w:t>Paragraph 25 states (in</w:t>
      </w:r>
      <w:r>
        <w:rPr>
          <w:spacing w:val="8"/>
          <w:w w:val="120"/>
          <w:sz w:val="20"/>
        </w:rPr>
        <w:t> </w:t>
      </w:r>
      <w:r>
        <w:rPr>
          <w:w w:val="120"/>
          <w:sz w:val="20"/>
        </w:rPr>
        <w:t>part):</w:t>
      </w:r>
    </w:p>
    <w:p>
      <w:pPr>
        <w:pStyle w:val="BodyText"/>
        <w:spacing w:before="7"/>
        <w:rPr>
          <w:sz w:val="19"/>
        </w:rPr>
      </w:pPr>
    </w:p>
    <w:p>
      <w:pPr>
        <w:pStyle w:val="BodyText"/>
        <w:spacing w:line="235" w:lineRule="auto" w:before="1"/>
        <w:ind w:left="2024" w:right="1360"/>
      </w:pPr>
      <w:r>
        <w:rPr>
          <w:w w:val="120"/>
        </w:rPr>
        <w:t>The worship of the local church is an expression of the worship of the whole people of God. In order that this may be clearly seen, the United Reformed Church shall (a) take steps to ensure that so far as possible ordained ministers of the Word and Sacraments are readily available to every local church…</w:t>
      </w:r>
    </w:p>
    <w:p>
      <w:pPr>
        <w:spacing w:after="0" w:line="235" w:lineRule="auto"/>
        <w:sectPr>
          <w:type w:val="continuous"/>
          <w:pgSz w:w="11910" w:h="16840"/>
          <w:pgMar w:top="1580" w:bottom="280" w:left="640" w:right="0"/>
        </w:sectPr>
      </w:pPr>
    </w:p>
    <w:p>
      <w:pPr>
        <w:pStyle w:val="BodyText"/>
      </w:pPr>
      <w:r>
        <w:rPr/>
        <w:drawing>
          <wp:anchor distT="0" distB="0" distL="0" distR="0" allowOverlap="1" layoutInCell="1" locked="0" behindDoc="1" simplePos="0" relativeHeight="235466752">
            <wp:simplePos x="0" y="0"/>
            <wp:positionH relativeFrom="page">
              <wp:posOffset>0</wp:posOffset>
            </wp:positionH>
            <wp:positionV relativeFrom="page">
              <wp:posOffset>0</wp:posOffset>
            </wp:positionV>
            <wp:extent cx="594067" cy="10692003"/>
            <wp:effectExtent l="0" t="0" r="0" b="0"/>
            <wp:wrapNone/>
            <wp:docPr id="179" name="image67.png"/>
            <wp:cNvGraphicFramePr>
              <a:graphicFrameLocks noChangeAspect="1"/>
            </wp:cNvGraphicFramePr>
            <a:graphic>
              <a:graphicData uri="http://schemas.openxmlformats.org/drawingml/2006/picture">
                <pic:pic>
                  <pic:nvPicPr>
                    <pic:cNvPr id="180" name="image67.png"/>
                    <pic:cNvPicPr/>
                  </pic:nvPicPr>
                  <pic:blipFill>
                    <a:blip r:embed="rId184" cstate="print"/>
                    <a:stretch>
                      <a:fillRect/>
                    </a:stretch>
                  </pic:blipFill>
                  <pic:spPr>
                    <a:xfrm>
                      <a:off x="0" y="0"/>
                      <a:ext cx="594067" cy="10692003"/>
                    </a:xfrm>
                    <a:prstGeom prst="rect">
                      <a:avLst/>
                    </a:prstGeom>
                  </pic:spPr>
                </pic:pic>
              </a:graphicData>
            </a:graphic>
          </wp:anchor>
        </w:drawing>
      </w:r>
      <w:r>
        <w:rPr/>
        <w:pict>
          <v:shape style="position:absolute;margin-left:20.519100pt;margin-top:48.890015pt;width:25.9pt;height:483.55pt;mso-position-horizontal-relative:page;mso-position-vertical-relative:page;z-index:-267848704" type="#_x0000_t202" filled="false" stroked="false">
            <v:textbox inset="0,0,0,0" style="layout-flow:vertical">
              <w:txbxContent>
                <w:p>
                  <w:pPr>
                    <w:spacing w:before="27"/>
                    <w:ind w:left="20" w:right="0" w:firstLine="0"/>
                    <w:jc w:val="left"/>
                    <w:rPr>
                      <w:sz w:val="39"/>
                    </w:rPr>
                  </w:pPr>
                  <w:r>
                    <w:rPr>
                      <w:color w:val="FFFFFF"/>
                      <w:spacing w:val="6"/>
                      <w:w w:val="120"/>
                      <w:sz w:val="39"/>
                    </w:rPr>
                    <w:t>Faith </w:t>
                  </w:r>
                  <w:r>
                    <w:rPr>
                      <w:color w:val="FFFFFF"/>
                      <w:spacing w:val="7"/>
                      <w:w w:val="120"/>
                      <w:sz w:val="39"/>
                    </w:rPr>
                    <w:t>and order </w:t>
                  </w:r>
                  <w:r>
                    <w:rPr>
                      <w:color w:val="FFFFFF"/>
                      <w:w w:val="120"/>
                      <w:sz w:val="39"/>
                    </w:rPr>
                    <w:t>– </w:t>
                  </w:r>
                  <w:r>
                    <w:rPr>
                      <w:spacing w:val="10"/>
                      <w:w w:val="120"/>
                      <w:sz w:val="39"/>
                    </w:rPr>
                    <w:t>Authorised </w:t>
                  </w:r>
                  <w:r>
                    <w:rPr>
                      <w:spacing w:val="9"/>
                      <w:w w:val="120"/>
                      <w:sz w:val="39"/>
                    </w:rPr>
                    <w:t>elders </w:t>
                  </w:r>
                  <w:r>
                    <w:rPr>
                      <w:color w:val="FFFFFF"/>
                      <w:w w:val="120"/>
                      <w:sz w:val="39"/>
                    </w:rPr>
                    <w:t>–</w:t>
                  </w:r>
                  <w:r>
                    <w:rPr>
                      <w:color w:val="FFFFFF"/>
                      <w:spacing w:val="56"/>
                      <w:w w:val="120"/>
                      <w:sz w:val="39"/>
                    </w:rPr>
                    <w:t> </w:t>
                  </w:r>
                  <w:r>
                    <w:rPr>
                      <w:spacing w:val="11"/>
                      <w:w w:val="120"/>
                      <w:sz w:val="39"/>
                    </w:rPr>
                    <w:t>Appendix</w:t>
                  </w:r>
                </w:p>
              </w:txbxContent>
            </v:textbox>
            <w10:wrap type="none"/>
          </v:shape>
        </w:pict>
      </w:r>
    </w:p>
    <w:p>
      <w:pPr>
        <w:pStyle w:val="BodyText"/>
        <w:spacing w:before="7"/>
        <w:rPr>
          <w:sz w:val="21"/>
        </w:rPr>
      </w:pPr>
    </w:p>
    <w:p>
      <w:pPr>
        <w:spacing w:before="106"/>
        <w:ind w:left="607" w:right="0" w:firstLine="0"/>
        <w:jc w:val="left"/>
        <w:rPr>
          <w:sz w:val="26"/>
        </w:rPr>
      </w:pPr>
      <w:r>
        <w:rPr>
          <w:color w:val="7EAABF"/>
          <w:w w:val="115"/>
          <w:sz w:val="26"/>
        </w:rPr>
        <w:t>Faith and order</w:t>
      </w:r>
    </w:p>
    <w:p>
      <w:pPr>
        <w:pStyle w:val="BodyText"/>
        <w:spacing w:line="235" w:lineRule="auto" w:before="222"/>
        <w:ind w:left="607" w:right="1982"/>
      </w:pPr>
      <w:r>
        <w:rPr>
          <w:w w:val="120"/>
        </w:rPr>
        <w:t>It has never proved possible to deliver that commitment in the way that was hoped. Furthermore, had there been any widespread adoption of the former Churches of   Christ custom of weekly communion after </w:t>
      </w:r>
      <w:r>
        <w:rPr>
          <w:spacing w:val="-8"/>
          <w:w w:val="120"/>
        </w:rPr>
        <w:t>1981, </w:t>
      </w:r>
      <w:r>
        <w:rPr>
          <w:w w:val="120"/>
        </w:rPr>
        <w:t>its impossibility would have become apparent long since. Even without any change in communion practice, ready availability of Ministers of Word and Sacraments for every local church would have been difficult  for the majority of former Congregationalist local churches making up the new Church  to achieve. The section provided also for the training and accreditation of lay preachers </w:t>
      </w:r>
      <w:r>
        <w:rPr>
          <w:spacing w:val="-6"/>
          <w:w w:val="120"/>
        </w:rPr>
        <w:t>(an </w:t>
      </w:r>
      <w:r>
        <w:rPr>
          <w:w w:val="120"/>
        </w:rPr>
        <w:t>office not otherwise defined in the </w:t>
      </w:r>
      <w:r>
        <w:rPr>
          <w:spacing w:val="-4"/>
          <w:w w:val="120"/>
        </w:rPr>
        <w:t>Basis), </w:t>
      </w:r>
      <w:r>
        <w:rPr>
          <w:w w:val="120"/>
        </w:rPr>
        <w:t>and for the recognition of certain  members of the United Reformed Church ‘normally deaconesses, elders or accredited lay preachers’ to preside at the sacraments ‘where pastoral necessity so</w:t>
      </w:r>
      <w:r>
        <w:rPr>
          <w:spacing w:val="-5"/>
          <w:w w:val="120"/>
        </w:rPr>
        <w:t> </w:t>
      </w:r>
      <w:r>
        <w:rPr>
          <w:w w:val="120"/>
        </w:rPr>
        <w:t>requires’.</w:t>
      </w:r>
    </w:p>
    <w:p>
      <w:pPr>
        <w:pStyle w:val="BodyText"/>
        <w:spacing w:line="235" w:lineRule="auto" w:before="7"/>
        <w:ind w:left="607" w:right="2085"/>
      </w:pPr>
      <w:r>
        <w:rPr>
          <w:w w:val="120"/>
        </w:rPr>
        <w:t>The paragraph has been the subject of successive interpretations by Assembly. The  most recent one in </w:t>
      </w:r>
      <w:r>
        <w:rPr>
          <w:spacing w:val="-4"/>
          <w:w w:val="120"/>
        </w:rPr>
        <w:t>1998, </w:t>
      </w:r>
      <w:r>
        <w:rPr>
          <w:w w:val="120"/>
        </w:rPr>
        <w:t>states that the provisions of the paragraph </w:t>
      </w:r>
      <w:r>
        <w:rPr>
          <w:spacing w:val="-3"/>
          <w:w w:val="120"/>
        </w:rPr>
        <w:t>‘are </w:t>
      </w:r>
      <w:r>
        <w:rPr>
          <w:w w:val="120"/>
        </w:rPr>
        <w:t>intended to establish the principle that worship should be led by representative persons recognised by the wider church as well as by the local</w:t>
      </w:r>
      <w:r>
        <w:rPr>
          <w:spacing w:val="26"/>
          <w:w w:val="120"/>
        </w:rPr>
        <w:t> </w:t>
      </w:r>
      <w:r>
        <w:rPr>
          <w:spacing w:val="-4"/>
          <w:w w:val="120"/>
        </w:rPr>
        <w:t>church’.</w:t>
      </w:r>
    </w:p>
    <w:p>
      <w:pPr>
        <w:pStyle w:val="BodyText"/>
        <w:spacing w:before="3"/>
        <w:rPr>
          <w:sz w:val="22"/>
        </w:rPr>
      </w:pPr>
    </w:p>
    <w:p>
      <w:pPr>
        <w:spacing w:before="0"/>
        <w:ind w:left="607" w:right="0" w:firstLine="0"/>
        <w:jc w:val="left"/>
        <w:rPr>
          <w:rFonts w:ascii="Stone Sans II ITC Std Bk"/>
          <w:b/>
          <w:sz w:val="29"/>
        </w:rPr>
      </w:pPr>
      <w:r>
        <w:rPr>
          <w:rFonts w:ascii="Stone Sans II ITC Std Bk"/>
          <w:b/>
          <w:w w:val="110"/>
          <w:sz w:val="29"/>
        </w:rPr>
        <w:t>Previous reports to Assembly</w:t>
      </w:r>
    </w:p>
    <w:p>
      <w:pPr>
        <w:pStyle w:val="ListParagraph"/>
        <w:numPr>
          <w:ilvl w:val="1"/>
          <w:numId w:val="132"/>
        </w:numPr>
        <w:tabs>
          <w:tab w:pos="1287" w:val="left" w:leader="none"/>
          <w:tab w:pos="1288" w:val="left" w:leader="none"/>
        </w:tabs>
        <w:spacing w:line="235" w:lineRule="auto" w:before="69" w:after="0"/>
        <w:ind w:left="607" w:right="2051" w:firstLine="0"/>
        <w:jc w:val="left"/>
        <w:rPr>
          <w:sz w:val="20"/>
        </w:rPr>
      </w:pPr>
      <w:r>
        <w:rPr>
          <w:spacing w:val="-6"/>
          <w:w w:val="120"/>
          <w:sz w:val="20"/>
        </w:rPr>
        <w:t>Two </w:t>
      </w:r>
      <w:r>
        <w:rPr>
          <w:spacing w:val="2"/>
          <w:w w:val="120"/>
          <w:sz w:val="20"/>
        </w:rPr>
        <w:t>reports </w:t>
      </w:r>
      <w:r>
        <w:rPr>
          <w:w w:val="120"/>
          <w:sz w:val="20"/>
        </w:rPr>
        <w:t>to Assembly in the past 20 years have aroused intense debate. The first was </w:t>
      </w:r>
      <w:r>
        <w:rPr>
          <w:i/>
          <w:w w:val="120"/>
          <w:sz w:val="20"/>
        </w:rPr>
        <w:t>Patterns of Ministry</w:t>
      </w:r>
      <w:r>
        <w:rPr>
          <w:w w:val="120"/>
          <w:sz w:val="20"/>
        </w:rPr>
        <w:t>, the recommendations of which, despite a two-year period of consultation in synods and District Councils, were mainly rejected by Assembly in </w:t>
      </w:r>
      <w:r>
        <w:rPr>
          <w:spacing w:val="-6"/>
          <w:w w:val="120"/>
          <w:sz w:val="20"/>
        </w:rPr>
        <w:t>1995. </w:t>
      </w:r>
      <w:r>
        <w:rPr>
          <w:w w:val="120"/>
          <w:sz w:val="20"/>
        </w:rPr>
        <w:t>The second, </w:t>
      </w:r>
      <w:r>
        <w:rPr>
          <w:i/>
          <w:w w:val="120"/>
          <w:sz w:val="20"/>
        </w:rPr>
        <w:t>Equipping the Saints </w:t>
      </w:r>
      <w:r>
        <w:rPr>
          <w:spacing w:val="-4"/>
          <w:w w:val="120"/>
          <w:sz w:val="20"/>
        </w:rPr>
        <w:t>(2002-4), </w:t>
      </w:r>
      <w:r>
        <w:rPr>
          <w:w w:val="120"/>
          <w:sz w:val="20"/>
        </w:rPr>
        <w:t>which was less overtly radical, received more support. Nevertheless, resolution 30 of 2005 on deployment accepted</w:t>
      </w:r>
      <w:r>
        <w:rPr>
          <w:spacing w:val="3"/>
          <w:w w:val="120"/>
          <w:sz w:val="20"/>
        </w:rPr>
        <w:t> </w:t>
      </w:r>
      <w:r>
        <w:rPr>
          <w:w w:val="120"/>
          <w:sz w:val="20"/>
        </w:rPr>
        <w:t>‘that</w:t>
      </w:r>
    </w:p>
    <w:p>
      <w:pPr>
        <w:pStyle w:val="BodyText"/>
        <w:spacing w:line="235" w:lineRule="auto" w:before="4"/>
        <w:ind w:left="607" w:right="2231"/>
      </w:pPr>
      <w:r>
        <w:rPr>
          <w:w w:val="120"/>
        </w:rPr>
        <w:t>not every congregation has or will have a Minister directly providing their day-to-day leadership’. An amendment that would have weakened the force of that statement was defeated. The Assembly discussions revealed that the differences of conviction underlying §25 in the late 1960s were the fundamental reason why both the </w:t>
      </w:r>
      <w:r>
        <w:rPr>
          <w:i/>
          <w:w w:val="120"/>
        </w:rPr>
        <w:t>Patterns </w:t>
      </w:r>
      <w:r>
        <w:rPr>
          <w:i/>
          <w:w w:val="120"/>
        </w:rPr>
        <w:t>of Ministry </w:t>
      </w:r>
      <w:r>
        <w:rPr>
          <w:w w:val="120"/>
        </w:rPr>
        <w:t>report of 1993 and the </w:t>
      </w:r>
      <w:r>
        <w:rPr>
          <w:i/>
          <w:w w:val="120"/>
        </w:rPr>
        <w:t>Equipping the Saints </w:t>
      </w:r>
      <w:r>
        <w:rPr>
          <w:w w:val="120"/>
        </w:rPr>
        <w:t>report of 2004 faced such disagreement in the General Assembly.</w:t>
      </w:r>
    </w:p>
    <w:p>
      <w:pPr>
        <w:pStyle w:val="BodyText"/>
        <w:spacing w:before="5"/>
        <w:rPr>
          <w:sz w:val="22"/>
        </w:rPr>
      </w:pPr>
    </w:p>
    <w:p>
      <w:pPr>
        <w:spacing w:before="0"/>
        <w:ind w:left="607" w:right="0" w:firstLine="0"/>
        <w:jc w:val="left"/>
        <w:rPr>
          <w:rFonts w:ascii="Stone Sans II ITC Std Bk"/>
          <w:b/>
          <w:sz w:val="29"/>
        </w:rPr>
      </w:pPr>
      <w:r>
        <w:rPr>
          <w:rFonts w:ascii="Stone Sans II ITC Std Bk"/>
          <w:b/>
          <w:w w:val="110"/>
          <w:sz w:val="29"/>
        </w:rPr>
        <w:t>Process and conclusions</w:t>
      </w:r>
    </w:p>
    <w:p>
      <w:pPr>
        <w:pStyle w:val="ListParagraph"/>
        <w:numPr>
          <w:ilvl w:val="1"/>
          <w:numId w:val="132"/>
        </w:numPr>
        <w:tabs>
          <w:tab w:pos="1288" w:val="left" w:leader="none"/>
        </w:tabs>
        <w:spacing w:line="235" w:lineRule="auto" w:before="69" w:after="0"/>
        <w:ind w:left="607" w:right="1982" w:firstLine="0"/>
        <w:jc w:val="both"/>
        <w:rPr>
          <w:sz w:val="20"/>
        </w:rPr>
      </w:pPr>
      <w:r>
        <w:rPr>
          <w:w w:val="120"/>
          <w:sz w:val="20"/>
        </w:rPr>
        <w:t>The</w:t>
      </w:r>
      <w:r>
        <w:rPr>
          <w:spacing w:val="-4"/>
          <w:w w:val="120"/>
          <w:sz w:val="20"/>
        </w:rPr>
        <w:t> </w:t>
      </w:r>
      <w:r>
        <w:rPr>
          <w:w w:val="120"/>
          <w:sz w:val="20"/>
        </w:rPr>
        <w:t>task</w:t>
      </w:r>
      <w:r>
        <w:rPr>
          <w:spacing w:val="-4"/>
          <w:w w:val="120"/>
          <w:sz w:val="20"/>
        </w:rPr>
        <w:t> </w:t>
      </w:r>
      <w:r>
        <w:rPr>
          <w:w w:val="120"/>
          <w:sz w:val="20"/>
        </w:rPr>
        <w:t>group</w:t>
      </w:r>
      <w:r>
        <w:rPr>
          <w:spacing w:val="-4"/>
          <w:w w:val="120"/>
          <w:sz w:val="20"/>
        </w:rPr>
        <w:t> </w:t>
      </w:r>
      <w:r>
        <w:rPr>
          <w:w w:val="120"/>
          <w:sz w:val="20"/>
        </w:rPr>
        <w:t>has</w:t>
      </w:r>
      <w:r>
        <w:rPr>
          <w:spacing w:val="-4"/>
          <w:w w:val="120"/>
          <w:sz w:val="20"/>
        </w:rPr>
        <w:t> </w:t>
      </w:r>
      <w:r>
        <w:rPr>
          <w:w w:val="120"/>
          <w:sz w:val="20"/>
        </w:rPr>
        <w:t>met</w:t>
      </w:r>
      <w:r>
        <w:rPr>
          <w:spacing w:val="-4"/>
          <w:w w:val="120"/>
          <w:sz w:val="20"/>
        </w:rPr>
        <w:t> </w:t>
      </w:r>
      <w:r>
        <w:rPr>
          <w:spacing w:val="-3"/>
          <w:w w:val="120"/>
          <w:sz w:val="20"/>
        </w:rPr>
        <w:t>seven</w:t>
      </w:r>
      <w:r>
        <w:rPr>
          <w:spacing w:val="-4"/>
          <w:w w:val="120"/>
          <w:sz w:val="20"/>
        </w:rPr>
        <w:t> </w:t>
      </w:r>
      <w:r>
        <w:rPr>
          <w:w w:val="120"/>
          <w:sz w:val="20"/>
        </w:rPr>
        <w:t>times.</w:t>
      </w:r>
      <w:r>
        <w:rPr>
          <w:spacing w:val="-3"/>
          <w:w w:val="120"/>
          <w:sz w:val="20"/>
        </w:rPr>
        <w:t> </w:t>
      </w:r>
      <w:r>
        <w:rPr>
          <w:w w:val="120"/>
          <w:sz w:val="20"/>
        </w:rPr>
        <w:t>A</w:t>
      </w:r>
      <w:r>
        <w:rPr>
          <w:spacing w:val="-4"/>
          <w:w w:val="120"/>
          <w:sz w:val="20"/>
        </w:rPr>
        <w:t> </w:t>
      </w:r>
      <w:r>
        <w:rPr>
          <w:w w:val="120"/>
          <w:sz w:val="20"/>
        </w:rPr>
        <w:t>large</w:t>
      </w:r>
      <w:r>
        <w:rPr>
          <w:spacing w:val="-4"/>
          <w:w w:val="120"/>
          <w:sz w:val="20"/>
        </w:rPr>
        <w:t> </w:t>
      </w:r>
      <w:r>
        <w:rPr>
          <w:w w:val="120"/>
          <w:sz w:val="20"/>
        </w:rPr>
        <w:t>part</w:t>
      </w:r>
      <w:r>
        <w:rPr>
          <w:spacing w:val="-4"/>
          <w:w w:val="120"/>
          <w:sz w:val="20"/>
        </w:rPr>
        <w:t> </w:t>
      </w:r>
      <w:r>
        <w:rPr>
          <w:w w:val="120"/>
          <w:sz w:val="20"/>
        </w:rPr>
        <w:t>of</w:t>
      </w:r>
      <w:r>
        <w:rPr>
          <w:spacing w:val="-4"/>
          <w:w w:val="120"/>
          <w:sz w:val="20"/>
        </w:rPr>
        <w:t> </w:t>
      </w:r>
      <w:r>
        <w:rPr>
          <w:w w:val="120"/>
          <w:sz w:val="20"/>
        </w:rPr>
        <w:t>one</w:t>
      </w:r>
      <w:r>
        <w:rPr>
          <w:spacing w:val="-4"/>
          <w:w w:val="120"/>
          <w:sz w:val="20"/>
        </w:rPr>
        <w:t> </w:t>
      </w:r>
      <w:r>
        <w:rPr>
          <w:w w:val="120"/>
          <w:sz w:val="20"/>
        </w:rPr>
        <w:t>meeting</w:t>
      </w:r>
      <w:r>
        <w:rPr>
          <w:spacing w:val="-4"/>
          <w:w w:val="120"/>
          <w:sz w:val="20"/>
        </w:rPr>
        <w:t> </w:t>
      </w:r>
      <w:r>
        <w:rPr>
          <w:w w:val="120"/>
          <w:sz w:val="20"/>
        </w:rPr>
        <w:t>was</w:t>
      </w:r>
      <w:r>
        <w:rPr>
          <w:spacing w:val="-3"/>
          <w:w w:val="120"/>
          <w:sz w:val="20"/>
        </w:rPr>
        <w:t> </w:t>
      </w:r>
      <w:r>
        <w:rPr>
          <w:w w:val="120"/>
          <w:sz w:val="20"/>
        </w:rPr>
        <w:t>given</w:t>
      </w:r>
      <w:r>
        <w:rPr>
          <w:spacing w:val="-4"/>
          <w:w w:val="120"/>
          <w:sz w:val="20"/>
        </w:rPr>
        <w:t> </w:t>
      </w:r>
      <w:r>
        <w:rPr>
          <w:spacing w:val="-3"/>
          <w:w w:val="120"/>
          <w:sz w:val="20"/>
        </w:rPr>
        <w:t>over</w:t>
      </w:r>
      <w:r>
        <w:rPr>
          <w:spacing w:val="-4"/>
          <w:w w:val="120"/>
          <w:sz w:val="20"/>
        </w:rPr>
        <w:t> </w:t>
      </w:r>
      <w:r>
        <w:rPr>
          <w:spacing w:val="-3"/>
          <w:w w:val="120"/>
          <w:sz w:val="20"/>
        </w:rPr>
        <w:t>to discussion </w:t>
      </w:r>
      <w:r>
        <w:rPr>
          <w:w w:val="120"/>
          <w:sz w:val="20"/>
        </w:rPr>
        <w:t>with the </w:t>
      </w:r>
      <w:r>
        <w:rPr>
          <w:spacing w:val="-3"/>
          <w:w w:val="120"/>
          <w:sz w:val="20"/>
        </w:rPr>
        <w:t>Revds </w:t>
      </w:r>
      <w:r>
        <w:rPr>
          <w:w w:val="120"/>
          <w:sz w:val="20"/>
        </w:rPr>
        <w:t>Fiona Thomas (Secretary for Education and </w:t>
      </w:r>
      <w:r>
        <w:rPr>
          <w:spacing w:val="-3"/>
          <w:w w:val="120"/>
          <w:sz w:val="20"/>
        </w:rPr>
        <w:t>Learning) </w:t>
      </w:r>
      <w:r>
        <w:rPr>
          <w:w w:val="120"/>
          <w:sz w:val="20"/>
        </w:rPr>
        <w:t>and Craig Bowman</w:t>
      </w:r>
      <w:r>
        <w:rPr>
          <w:spacing w:val="-7"/>
          <w:w w:val="120"/>
          <w:sz w:val="20"/>
        </w:rPr>
        <w:t> </w:t>
      </w:r>
      <w:r>
        <w:rPr>
          <w:w w:val="120"/>
          <w:sz w:val="20"/>
        </w:rPr>
        <w:t>(Secretary</w:t>
      </w:r>
      <w:r>
        <w:rPr>
          <w:spacing w:val="-6"/>
          <w:w w:val="120"/>
          <w:sz w:val="20"/>
        </w:rPr>
        <w:t> </w:t>
      </w:r>
      <w:r>
        <w:rPr>
          <w:w w:val="120"/>
          <w:sz w:val="20"/>
        </w:rPr>
        <w:t>for</w:t>
      </w:r>
      <w:r>
        <w:rPr>
          <w:spacing w:val="-6"/>
          <w:w w:val="120"/>
          <w:sz w:val="20"/>
        </w:rPr>
        <w:t> </w:t>
      </w:r>
      <w:r>
        <w:rPr>
          <w:spacing w:val="-4"/>
          <w:w w:val="120"/>
          <w:sz w:val="20"/>
        </w:rPr>
        <w:t>Ministries).</w:t>
      </w:r>
      <w:r>
        <w:rPr>
          <w:spacing w:val="-7"/>
          <w:w w:val="120"/>
          <w:sz w:val="20"/>
        </w:rPr>
        <w:t> </w:t>
      </w:r>
      <w:r>
        <w:rPr>
          <w:w w:val="120"/>
          <w:sz w:val="20"/>
        </w:rPr>
        <w:t>In</w:t>
      </w:r>
      <w:r>
        <w:rPr>
          <w:spacing w:val="-6"/>
          <w:w w:val="120"/>
          <w:sz w:val="20"/>
        </w:rPr>
        <w:t> </w:t>
      </w:r>
      <w:r>
        <w:rPr>
          <w:w w:val="120"/>
          <w:sz w:val="20"/>
        </w:rPr>
        <w:t>an</w:t>
      </w:r>
      <w:r>
        <w:rPr>
          <w:spacing w:val="-6"/>
          <w:w w:val="120"/>
          <w:sz w:val="20"/>
        </w:rPr>
        <w:t> </w:t>
      </w:r>
      <w:r>
        <w:rPr>
          <w:w w:val="120"/>
          <w:sz w:val="20"/>
        </w:rPr>
        <w:t>attempt</w:t>
      </w:r>
      <w:r>
        <w:rPr>
          <w:spacing w:val="-7"/>
          <w:w w:val="120"/>
          <w:sz w:val="20"/>
        </w:rPr>
        <w:t> </w:t>
      </w:r>
      <w:r>
        <w:rPr>
          <w:spacing w:val="-3"/>
          <w:w w:val="120"/>
          <w:sz w:val="20"/>
        </w:rPr>
        <w:t>to</w:t>
      </w:r>
      <w:r>
        <w:rPr>
          <w:spacing w:val="-6"/>
          <w:w w:val="120"/>
          <w:sz w:val="20"/>
        </w:rPr>
        <w:t> </w:t>
      </w:r>
      <w:r>
        <w:rPr>
          <w:w w:val="120"/>
          <w:sz w:val="20"/>
        </w:rPr>
        <w:t>set</w:t>
      </w:r>
      <w:r>
        <w:rPr>
          <w:spacing w:val="-6"/>
          <w:w w:val="120"/>
          <w:sz w:val="20"/>
        </w:rPr>
        <w:t> </w:t>
      </w:r>
      <w:r>
        <w:rPr>
          <w:w w:val="120"/>
          <w:sz w:val="20"/>
        </w:rPr>
        <w:t>the</w:t>
      </w:r>
      <w:r>
        <w:rPr>
          <w:spacing w:val="-7"/>
          <w:w w:val="120"/>
          <w:sz w:val="20"/>
        </w:rPr>
        <w:t> </w:t>
      </w:r>
      <w:r>
        <w:rPr>
          <w:w w:val="120"/>
          <w:sz w:val="20"/>
        </w:rPr>
        <w:t>question</w:t>
      </w:r>
      <w:r>
        <w:rPr>
          <w:spacing w:val="-6"/>
          <w:w w:val="120"/>
          <w:sz w:val="20"/>
        </w:rPr>
        <w:t> </w:t>
      </w:r>
      <w:r>
        <w:rPr>
          <w:w w:val="120"/>
          <w:sz w:val="20"/>
        </w:rPr>
        <w:t>of</w:t>
      </w:r>
      <w:r>
        <w:rPr>
          <w:spacing w:val="-6"/>
          <w:w w:val="120"/>
          <w:sz w:val="20"/>
        </w:rPr>
        <w:t> </w:t>
      </w:r>
      <w:r>
        <w:rPr>
          <w:w w:val="120"/>
          <w:sz w:val="20"/>
        </w:rPr>
        <w:t>presidency</w:t>
      </w:r>
      <w:r>
        <w:rPr>
          <w:spacing w:val="-7"/>
          <w:w w:val="120"/>
          <w:sz w:val="20"/>
        </w:rPr>
        <w:t> </w:t>
      </w:r>
      <w:r>
        <w:rPr>
          <w:w w:val="120"/>
          <w:sz w:val="20"/>
        </w:rPr>
        <w:t>at</w:t>
      </w:r>
    </w:p>
    <w:p>
      <w:pPr>
        <w:pStyle w:val="BodyText"/>
        <w:spacing w:line="235" w:lineRule="auto" w:before="2"/>
        <w:ind w:left="607" w:right="1982"/>
      </w:pPr>
      <w:r>
        <w:rPr>
          <w:w w:val="120"/>
        </w:rPr>
        <w:t>the sacraments in the broader context of worship in the local </w:t>
      </w:r>
      <w:r>
        <w:rPr>
          <w:spacing w:val="-3"/>
          <w:w w:val="120"/>
        </w:rPr>
        <w:t>church, </w:t>
      </w:r>
      <w:r>
        <w:rPr>
          <w:w w:val="120"/>
        </w:rPr>
        <w:t>Synod Moderators were also </w:t>
      </w:r>
      <w:r>
        <w:rPr>
          <w:spacing w:val="-3"/>
          <w:w w:val="120"/>
        </w:rPr>
        <w:t>invited to consult </w:t>
      </w:r>
      <w:r>
        <w:rPr>
          <w:w w:val="120"/>
        </w:rPr>
        <w:t>their </w:t>
      </w:r>
      <w:r>
        <w:rPr>
          <w:spacing w:val="-2"/>
          <w:w w:val="120"/>
        </w:rPr>
        <w:t>lay </w:t>
      </w:r>
      <w:r>
        <w:rPr>
          <w:w w:val="120"/>
        </w:rPr>
        <w:t>preaching </w:t>
      </w:r>
      <w:r>
        <w:rPr>
          <w:spacing w:val="-2"/>
          <w:w w:val="120"/>
        </w:rPr>
        <w:t>commissioners </w:t>
      </w:r>
      <w:r>
        <w:rPr>
          <w:spacing w:val="-3"/>
          <w:w w:val="120"/>
        </w:rPr>
        <w:t>to </w:t>
      </w:r>
      <w:r>
        <w:rPr>
          <w:w w:val="120"/>
        </w:rPr>
        <w:t>secure some sense of who actually preaches and conducts worship in our churches week by week, taking </w:t>
      </w:r>
      <w:r>
        <w:rPr>
          <w:spacing w:val="-3"/>
          <w:w w:val="120"/>
        </w:rPr>
        <w:t>note </w:t>
      </w:r>
      <w:r>
        <w:rPr>
          <w:w w:val="120"/>
        </w:rPr>
        <w:t>of</w:t>
      </w:r>
      <w:r>
        <w:rPr>
          <w:spacing w:val="-10"/>
          <w:w w:val="120"/>
        </w:rPr>
        <w:t> </w:t>
      </w:r>
      <w:r>
        <w:rPr>
          <w:w w:val="120"/>
        </w:rPr>
        <w:t>those</w:t>
      </w:r>
      <w:r>
        <w:rPr>
          <w:spacing w:val="-10"/>
          <w:w w:val="120"/>
        </w:rPr>
        <w:t> </w:t>
      </w:r>
      <w:r>
        <w:rPr>
          <w:w w:val="120"/>
        </w:rPr>
        <w:t>served</w:t>
      </w:r>
      <w:r>
        <w:rPr>
          <w:spacing w:val="-10"/>
          <w:w w:val="120"/>
        </w:rPr>
        <w:t> </w:t>
      </w:r>
      <w:r>
        <w:rPr>
          <w:w w:val="120"/>
        </w:rPr>
        <w:t>by</w:t>
      </w:r>
      <w:r>
        <w:rPr>
          <w:spacing w:val="-10"/>
          <w:w w:val="120"/>
        </w:rPr>
        <w:t> </w:t>
      </w:r>
      <w:r>
        <w:rPr>
          <w:w w:val="120"/>
        </w:rPr>
        <w:t>Ministers</w:t>
      </w:r>
      <w:r>
        <w:rPr>
          <w:spacing w:val="-10"/>
          <w:w w:val="120"/>
        </w:rPr>
        <w:t> </w:t>
      </w:r>
      <w:r>
        <w:rPr>
          <w:w w:val="120"/>
        </w:rPr>
        <w:t>of</w:t>
      </w:r>
      <w:r>
        <w:rPr>
          <w:spacing w:val="-10"/>
          <w:w w:val="120"/>
        </w:rPr>
        <w:t> </w:t>
      </w:r>
      <w:r>
        <w:rPr>
          <w:w w:val="120"/>
        </w:rPr>
        <w:t>Word</w:t>
      </w:r>
      <w:r>
        <w:rPr>
          <w:spacing w:val="-10"/>
          <w:w w:val="120"/>
        </w:rPr>
        <w:t> </w:t>
      </w:r>
      <w:r>
        <w:rPr>
          <w:w w:val="120"/>
        </w:rPr>
        <w:t>and</w:t>
      </w:r>
      <w:r>
        <w:rPr>
          <w:spacing w:val="-10"/>
          <w:w w:val="120"/>
        </w:rPr>
        <w:t> </w:t>
      </w:r>
      <w:r>
        <w:rPr>
          <w:w w:val="120"/>
        </w:rPr>
        <w:t>Sacraments,</w:t>
      </w:r>
      <w:r>
        <w:rPr>
          <w:spacing w:val="-10"/>
          <w:w w:val="120"/>
        </w:rPr>
        <w:t> </w:t>
      </w:r>
      <w:r>
        <w:rPr>
          <w:spacing w:val="-3"/>
          <w:w w:val="120"/>
        </w:rPr>
        <w:t>accredited</w:t>
      </w:r>
      <w:r>
        <w:rPr>
          <w:spacing w:val="-10"/>
          <w:w w:val="120"/>
        </w:rPr>
        <w:t> </w:t>
      </w:r>
      <w:r>
        <w:rPr>
          <w:spacing w:val="-2"/>
          <w:w w:val="120"/>
        </w:rPr>
        <w:t>lay</w:t>
      </w:r>
      <w:r>
        <w:rPr>
          <w:spacing w:val="-10"/>
          <w:w w:val="120"/>
        </w:rPr>
        <w:t> </w:t>
      </w:r>
      <w:r>
        <w:rPr>
          <w:w w:val="120"/>
        </w:rPr>
        <w:t>preachers</w:t>
      </w:r>
      <w:r>
        <w:rPr>
          <w:spacing w:val="-10"/>
          <w:w w:val="120"/>
        </w:rPr>
        <w:t> </w:t>
      </w:r>
      <w:r>
        <w:rPr>
          <w:w w:val="120"/>
        </w:rPr>
        <w:t>(Assembly or </w:t>
      </w:r>
      <w:r>
        <w:rPr>
          <w:spacing w:val="-3"/>
          <w:w w:val="120"/>
        </w:rPr>
        <w:t>synod), </w:t>
      </w:r>
      <w:r>
        <w:rPr>
          <w:w w:val="120"/>
        </w:rPr>
        <w:t>those </w:t>
      </w:r>
      <w:r>
        <w:rPr>
          <w:spacing w:val="-3"/>
          <w:w w:val="120"/>
        </w:rPr>
        <w:t>occupying similar positions </w:t>
      </w:r>
      <w:r>
        <w:rPr>
          <w:w w:val="120"/>
        </w:rPr>
        <w:t>in other Churches, and others.</w:t>
      </w:r>
      <w:r>
        <w:rPr>
          <w:spacing w:val="13"/>
          <w:w w:val="120"/>
        </w:rPr>
        <w:t> </w:t>
      </w:r>
      <w:r>
        <w:rPr>
          <w:w w:val="120"/>
        </w:rPr>
        <w:t>Three</w:t>
      </w:r>
    </w:p>
    <w:p>
      <w:pPr>
        <w:pStyle w:val="BodyText"/>
        <w:spacing w:line="235" w:lineRule="auto" w:before="4"/>
        <w:ind w:left="607" w:right="2045"/>
      </w:pPr>
      <w:r>
        <w:rPr>
          <w:w w:val="120"/>
        </w:rPr>
        <w:t>synods (Wessex, Eastern and East </w:t>
      </w:r>
      <w:r>
        <w:rPr>
          <w:spacing w:val="-4"/>
          <w:w w:val="120"/>
        </w:rPr>
        <w:t>Midlands) </w:t>
      </w:r>
      <w:r>
        <w:rPr>
          <w:w w:val="120"/>
        </w:rPr>
        <w:t>submitted detailed reports, and some other Moderators responded </w:t>
      </w:r>
      <w:r>
        <w:rPr>
          <w:spacing w:val="-3"/>
          <w:w w:val="120"/>
        </w:rPr>
        <w:t>personally. </w:t>
      </w:r>
      <w:r>
        <w:rPr>
          <w:w w:val="120"/>
        </w:rPr>
        <w:t>After the November </w:t>
      </w:r>
      <w:r>
        <w:rPr>
          <w:spacing w:val="-9"/>
          <w:w w:val="120"/>
        </w:rPr>
        <w:t>2015 </w:t>
      </w:r>
      <w:r>
        <w:rPr>
          <w:w w:val="120"/>
        </w:rPr>
        <w:t>Mission </w:t>
      </w:r>
      <w:r>
        <w:rPr>
          <w:spacing w:val="-3"/>
          <w:w w:val="120"/>
        </w:rPr>
        <w:t>Council </w:t>
      </w:r>
      <w:r>
        <w:rPr>
          <w:w w:val="120"/>
        </w:rPr>
        <w:t>Synod Moderators provided further information on the </w:t>
      </w:r>
      <w:r>
        <w:rPr>
          <w:spacing w:val="-2"/>
          <w:w w:val="120"/>
        </w:rPr>
        <w:t>way </w:t>
      </w:r>
      <w:r>
        <w:rPr>
          <w:w w:val="120"/>
        </w:rPr>
        <w:t>in which authorisation of elders</w:t>
      </w:r>
    </w:p>
    <w:p>
      <w:pPr>
        <w:pStyle w:val="BodyText"/>
        <w:spacing w:line="235" w:lineRule="auto" w:before="2"/>
        <w:ind w:left="607" w:right="2205"/>
      </w:pPr>
      <w:r>
        <w:rPr>
          <w:spacing w:val="-3"/>
          <w:w w:val="120"/>
        </w:rPr>
        <w:t>to </w:t>
      </w:r>
      <w:r>
        <w:rPr>
          <w:w w:val="120"/>
        </w:rPr>
        <w:t>preside at the sacraments is handled in their synods. The </w:t>
      </w:r>
      <w:r>
        <w:rPr>
          <w:spacing w:val="-3"/>
          <w:w w:val="120"/>
        </w:rPr>
        <w:t>committee </w:t>
      </w:r>
      <w:r>
        <w:rPr>
          <w:w w:val="120"/>
        </w:rPr>
        <w:t>is grateful </w:t>
      </w:r>
      <w:r>
        <w:rPr>
          <w:spacing w:val="-3"/>
          <w:w w:val="120"/>
        </w:rPr>
        <w:t>to </w:t>
      </w:r>
      <w:r>
        <w:rPr>
          <w:w w:val="120"/>
        </w:rPr>
        <w:t>all those who </w:t>
      </w:r>
      <w:r>
        <w:rPr>
          <w:spacing w:val="-3"/>
          <w:w w:val="120"/>
        </w:rPr>
        <w:t>have </w:t>
      </w:r>
      <w:r>
        <w:rPr>
          <w:w w:val="120"/>
        </w:rPr>
        <w:t>assisted its work.</w:t>
      </w:r>
    </w:p>
    <w:p>
      <w:pPr>
        <w:pStyle w:val="BodyText"/>
        <w:spacing w:before="10"/>
        <w:rPr>
          <w:sz w:val="19"/>
        </w:rPr>
      </w:pPr>
    </w:p>
    <w:p>
      <w:pPr>
        <w:pStyle w:val="ListParagraph"/>
        <w:numPr>
          <w:ilvl w:val="1"/>
          <w:numId w:val="132"/>
        </w:numPr>
        <w:tabs>
          <w:tab w:pos="1287" w:val="left" w:leader="none"/>
          <w:tab w:pos="1288" w:val="left" w:leader="none"/>
        </w:tabs>
        <w:spacing w:line="235" w:lineRule="auto" w:before="0" w:after="0"/>
        <w:ind w:left="607" w:right="2054" w:firstLine="0"/>
        <w:jc w:val="left"/>
        <w:rPr>
          <w:sz w:val="20"/>
        </w:rPr>
      </w:pPr>
      <w:r>
        <w:rPr>
          <w:w w:val="120"/>
          <w:sz w:val="20"/>
        </w:rPr>
        <w:t>The </w:t>
      </w:r>
      <w:r>
        <w:rPr>
          <w:spacing w:val="-3"/>
          <w:w w:val="120"/>
          <w:sz w:val="20"/>
        </w:rPr>
        <w:t>initial conclusion </w:t>
      </w:r>
      <w:r>
        <w:rPr>
          <w:w w:val="120"/>
          <w:sz w:val="20"/>
        </w:rPr>
        <w:t>was unsurprising. There is a shortage of ordained leadership not only in the </w:t>
      </w:r>
      <w:r>
        <w:rPr>
          <w:spacing w:val="-3"/>
          <w:w w:val="120"/>
          <w:sz w:val="20"/>
        </w:rPr>
        <w:t>United </w:t>
      </w:r>
      <w:r>
        <w:rPr>
          <w:w w:val="120"/>
          <w:sz w:val="20"/>
        </w:rPr>
        <w:t>Reformed </w:t>
      </w:r>
      <w:r>
        <w:rPr>
          <w:spacing w:val="-3"/>
          <w:w w:val="120"/>
          <w:sz w:val="20"/>
        </w:rPr>
        <w:t>Church, </w:t>
      </w:r>
      <w:r>
        <w:rPr>
          <w:w w:val="120"/>
          <w:sz w:val="20"/>
        </w:rPr>
        <w:t>but also in </w:t>
      </w:r>
      <w:r>
        <w:rPr>
          <w:spacing w:val="-3"/>
          <w:w w:val="120"/>
          <w:sz w:val="20"/>
        </w:rPr>
        <w:t>many </w:t>
      </w:r>
      <w:r>
        <w:rPr>
          <w:w w:val="120"/>
          <w:sz w:val="20"/>
        </w:rPr>
        <w:t>of the traditional</w:t>
      </w:r>
      <w:r>
        <w:rPr>
          <w:spacing w:val="-28"/>
          <w:w w:val="120"/>
          <w:sz w:val="20"/>
        </w:rPr>
        <w:t> </w:t>
      </w:r>
      <w:r>
        <w:rPr>
          <w:w w:val="120"/>
          <w:sz w:val="20"/>
        </w:rPr>
        <w:t>Churches.</w:t>
      </w:r>
    </w:p>
    <w:p>
      <w:pPr>
        <w:pStyle w:val="BodyText"/>
        <w:spacing w:line="235" w:lineRule="auto" w:before="1"/>
        <w:ind w:left="607" w:right="2394"/>
      </w:pPr>
      <w:r>
        <w:rPr>
          <w:w w:val="120"/>
        </w:rPr>
        <w:t>Proposed solutions </w:t>
      </w:r>
      <w:r>
        <w:rPr>
          <w:spacing w:val="-3"/>
          <w:w w:val="120"/>
        </w:rPr>
        <w:t>have </w:t>
      </w:r>
      <w:r>
        <w:rPr>
          <w:w w:val="120"/>
        </w:rPr>
        <w:t>varied. The </w:t>
      </w:r>
      <w:r>
        <w:rPr>
          <w:spacing w:val="-3"/>
          <w:w w:val="120"/>
        </w:rPr>
        <w:t>Church </w:t>
      </w:r>
      <w:r>
        <w:rPr>
          <w:w w:val="120"/>
        </w:rPr>
        <w:t>of England </w:t>
      </w:r>
      <w:r>
        <w:rPr>
          <w:spacing w:val="-3"/>
          <w:w w:val="120"/>
        </w:rPr>
        <w:t>intends to </w:t>
      </w:r>
      <w:r>
        <w:rPr>
          <w:w w:val="120"/>
        </w:rPr>
        <w:t>increase numbers of</w:t>
      </w:r>
      <w:r>
        <w:rPr>
          <w:spacing w:val="-11"/>
          <w:w w:val="120"/>
        </w:rPr>
        <w:t> </w:t>
      </w:r>
      <w:r>
        <w:rPr>
          <w:spacing w:val="-3"/>
          <w:w w:val="120"/>
        </w:rPr>
        <w:t>ordinands</w:t>
      </w:r>
      <w:r>
        <w:rPr>
          <w:spacing w:val="-10"/>
          <w:w w:val="120"/>
        </w:rPr>
        <w:t> </w:t>
      </w:r>
      <w:r>
        <w:rPr>
          <w:w w:val="120"/>
        </w:rPr>
        <w:t>by</w:t>
      </w:r>
      <w:r>
        <w:rPr>
          <w:spacing w:val="-10"/>
          <w:w w:val="120"/>
        </w:rPr>
        <w:t> </w:t>
      </w:r>
      <w:r>
        <w:rPr>
          <w:w w:val="120"/>
        </w:rPr>
        <w:t>50%</w:t>
      </w:r>
      <w:r>
        <w:rPr>
          <w:spacing w:val="-10"/>
          <w:w w:val="120"/>
        </w:rPr>
        <w:t> </w:t>
      </w:r>
      <w:r>
        <w:rPr>
          <w:w w:val="120"/>
        </w:rPr>
        <w:t>in</w:t>
      </w:r>
      <w:r>
        <w:rPr>
          <w:spacing w:val="-10"/>
          <w:w w:val="120"/>
        </w:rPr>
        <w:t> </w:t>
      </w:r>
      <w:r>
        <w:rPr>
          <w:w w:val="120"/>
        </w:rPr>
        <w:t>the</w:t>
      </w:r>
      <w:r>
        <w:rPr>
          <w:spacing w:val="-11"/>
          <w:w w:val="120"/>
        </w:rPr>
        <w:t> </w:t>
      </w:r>
      <w:r>
        <w:rPr>
          <w:w w:val="120"/>
        </w:rPr>
        <w:t>next</w:t>
      </w:r>
      <w:r>
        <w:rPr>
          <w:spacing w:val="-10"/>
          <w:w w:val="120"/>
        </w:rPr>
        <w:t> </w:t>
      </w:r>
      <w:r>
        <w:rPr>
          <w:spacing w:val="-3"/>
          <w:w w:val="120"/>
        </w:rPr>
        <w:t>ten</w:t>
      </w:r>
      <w:r>
        <w:rPr>
          <w:spacing w:val="-10"/>
          <w:w w:val="120"/>
        </w:rPr>
        <w:t> </w:t>
      </w:r>
      <w:r>
        <w:rPr>
          <w:spacing w:val="-3"/>
          <w:w w:val="120"/>
        </w:rPr>
        <w:t>years;</w:t>
      </w:r>
      <w:r>
        <w:rPr>
          <w:spacing w:val="-10"/>
          <w:w w:val="120"/>
        </w:rPr>
        <w:t> </w:t>
      </w:r>
      <w:r>
        <w:rPr>
          <w:w w:val="120"/>
        </w:rPr>
        <w:t>the</w:t>
      </w:r>
      <w:r>
        <w:rPr>
          <w:spacing w:val="-10"/>
          <w:w w:val="120"/>
        </w:rPr>
        <w:t> </w:t>
      </w:r>
      <w:r>
        <w:rPr>
          <w:w w:val="120"/>
        </w:rPr>
        <w:t>Methodists’</w:t>
      </w:r>
      <w:r>
        <w:rPr>
          <w:spacing w:val="-10"/>
          <w:w w:val="120"/>
        </w:rPr>
        <w:t> </w:t>
      </w:r>
      <w:r>
        <w:rPr>
          <w:i/>
          <w:w w:val="120"/>
        </w:rPr>
        <w:t>Fruitful</w:t>
      </w:r>
      <w:r>
        <w:rPr>
          <w:i/>
          <w:spacing w:val="-13"/>
          <w:w w:val="120"/>
        </w:rPr>
        <w:t> </w:t>
      </w:r>
      <w:r>
        <w:rPr>
          <w:i/>
          <w:spacing w:val="-3"/>
          <w:w w:val="120"/>
        </w:rPr>
        <w:t>Field</w:t>
      </w:r>
      <w:r>
        <w:rPr>
          <w:i/>
          <w:spacing w:val="-10"/>
          <w:w w:val="120"/>
        </w:rPr>
        <w:t> </w:t>
      </w:r>
      <w:r>
        <w:rPr>
          <w:spacing w:val="-3"/>
          <w:w w:val="120"/>
        </w:rPr>
        <w:t>initiative</w:t>
      </w:r>
      <w:r>
        <w:rPr>
          <w:spacing w:val="-10"/>
          <w:w w:val="120"/>
        </w:rPr>
        <w:t> </w:t>
      </w:r>
      <w:r>
        <w:rPr>
          <w:w w:val="120"/>
        </w:rPr>
        <w:t>three years</w:t>
      </w:r>
      <w:r>
        <w:rPr>
          <w:spacing w:val="-4"/>
          <w:w w:val="120"/>
        </w:rPr>
        <w:t> </w:t>
      </w:r>
      <w:r>
        <w:rPr>
          <w:w w:val="120"/>
        </w:rPr>
        <w:t>ago</w:t>
      </w:r>
      <w:r>
        <w:rPr>
          <w:spacing w:val="-4"/>
          <w:w w:val="120"/>
        </w:rPr>
        <w:t> </w:t>
      </w:r>
      <w:r>
        <w:rPr>
          <w:w w:val="120"/>
        </w:rPr>
        <w:t>places</w:t>
      </w:r>
      <w:r>
        <w:rPr>
          <w:spacing w:val="-4"/>
          <w:w w:val="120"/>
        </w:rPr>
        <w:t> </w:t>
      </w:r>
      <w:r>
        <w:rPr>
          <w:spacing w:val="-3"/>
          <w:w w:val="120"/>
        </w:rPr>
        <w:t>ordinands</w:t>
      </w:r>
      <w:r>
        <w:rPr>
          <w:spacing w:val="-4"/>
          <w:w w:val="120"/>
        </w:rPr>
        <w:t> </w:t>
      </w:r>
      <w:r>
        <w:rPr>
          <w:w w:val="120"/>
        </w:rPr>
        <w:t>in</w:t>
      </w:r>
      <w:r>
        <w:rPr>
          <w:spacing w:val="-4"/>
          <w:w w:val="120"/>
        </w:rPr>
        <w:t> </w:t>
      </w:r>
      <w:r>
        <w:rPr>
          <w:w w:val="120"/>
        </w:rPr>
        <w:t>Circuits</w:t>
      </w:r>
      <w:r>
        <w:rPr>
          <w:spacing w:val="-4"/>
          <w:w w:val="120"/>
        </w:rPr>
        <w:t> </w:t>
      </w:r>
      <w:r>
        <w:rPr>
          <w:w w:val="120"/>
        </w:rPr>
        <w:t>for</w:t>
      </w:r>
      <w:r>
        <w:rPr>
          <w:spacing w:val="-4"/>
          <w:w w:val="120"/>
        </w:rPr>
        <w:t> </w:t>
      </w:r>
      <w:r>
        <w:rPr>
          <w:w w:val="120"/>
        </w:rPr>
        <w:t>a</w:t>
      </w:r>
      <w:r>
        <w:rPr>
          <w:spacing w:val="-4"/>
          <w:w w:val="120"/>
        </w:rPr>
        <w:t> </w:t>
      </w:r>
      <w:r>
        <w:rPr>
          <w:spacing w:val="-3"/>
          <w:w w:val="120"/>
        </w:rPr>
        <w:t>year</w:t>
      </w:r>
      <w:r>
        <w:rPr>
          <w:spacing w:val="-4"/>
          <w:w w:val="120"/>
        </w:rPr>
        <w:t> </w:t>
      </w:r>
      <w:r>
        <w:rPr>
          <w:w w:val="120"/>
        </w:rPr>
        <w:t>before</w:t>
      </w:r>
      <w:r>
        <w:rPr>
          <w:spacing w:val="-4"/>
          <w:w w:val="120"/>
        </w:rPr>
        <w:t> </w:t>
      </w:r>
      <w:r>
        <w:rPr>
          <w:w w:val="120"/>
        </w:rPr>
        <w:t>they</w:t>
      </w:r>
      <w:r>
        <w:rPr>
          <w:spacing w:val="-3"/>
          <w:w w:val="120"/>
        </w:rPr>
        <w:t> </w:t>
      </w:r>
      <w:r>
        <w:rPr>
          <w:w w:val="120"/>
        </w:rPr>
        <w:t>spend</w:t>
      </w:r>
      <w:r>
        <w:rPr>
          <w:spacing w:val="-4"/>
          <w:w w:val="120"/>
        </w:rPr>
        <w:t> </w:t>
      </w:r>
      <w:r>
        <w:rPr>
          <w:spacing w:val="-3"/>
          <w:w w:val="120"/>
        </w:rPr>
        <w:t>any</w:t>
      </w:r>
      <w:r>
        <w:rPr>
          <w:spacing w:val="-4"/>
          <w:w w:val="120"/>
        </w:rPr>
        <w:t> </w:t>
      </w:r>
      <w:r>
        <w:rPr>
          <w:w w:val="120"/>
        </w:rPr>
        <w:t>time</w:t>
      </w:r>
      <w:r>
        <w:rPr>
          <w:spacing w:val="-4"/>
          <w:w w:val="120"/>
        </w:rPr>
        <w:t> </w:t>
      </w:r>
      <w:r>
        <w:rPr>
          <w:w w:val="120"/>
        </w:rPr>
        <w:t>in</w:t>
      </w:r>
      <w:r>
        <w:rPr>
          <w:spacing w:val="-4"/>
          <w:w w:val="120"/>
        </w:rPr>
        <w:t> </w:t>
      </w:r>
      <w:r>
        <w:rPr>
          <w:w w:val="120"/>
        </w:rPr>
        <w:t>one</w:t>
      </w:r>
    </w:p>
    <w:p>
      <w:pPr>
        <w:pStyle w:val="BodyText"/>
        <w:spacing w:line="235" w:lineRule="auto" w:before="2"/>
        <w:ind w:left="607" w:right="2085"/>
      </w:pPr>
      <w:r>
        <w:rPr>
          <w:w w:val="120"/>
        </w:rPr>
        <w:t>of two remaining colleges; the Church of Scotland is merging local parishes, as is the Roman Catholic Church (though not without significant local opposition). In Africa, Asia and Latin America the traditional European size of parish has rarely become the norm; nonetheless some of these areas are those where the Church is growing most rapidly – not because of the number of ministers, but because of active and recognised groups of non-ordained members.</w:t>
      </w:r>
    </w:p>
    <w:p>
      <w:pPr>
        <w:pStyle w:val="BodyText"/>
        <w:spacing w:before="1"/>
      </w:pPr>
    </w:p>
    <w:p>
      <w:pPr>
        <w:pStyle w:val="ListParagraph"/>
        <w:numPr>
          <w:ilvl w:val="1"/>
          <w:numId w:val="132"/>
        </w:numPr>
        <w:tabs>
          <w:tab w:pos="1287" w:val="left" w:leader="none"/>
          <w:tab w:pos="1288" w:val="left" w:leader="none"/>
        </w:tabs>
        <w:spacing w:line="235" w:lineRule="auto" w:before="0" w:after="0"/>
        <w:ind w:left="607" w:right="2357" w:firstLine="0"/>
        <w:jc w:val="left"/>
        <w:rPr>
          <w:sz w:val="20"/>
        </w:rPr>
      </w:pPr>
      <w:r>
        <w:rPr>
          <w:w w:val="120"/>
          <w:sz w:val="20"/>
        </w:rPr>
        <w:t>The original Wessex resolution to General Assembly asked for the exploration of ‘some form of locally ordained ministry’, which inevitably involves local church leadership in a broader sense than presidency at Communion. With current levels</w:t>
      </w:r>
      <w:r>
        <w:rPr>
          <w:spacing w:val="35"/>
          <w:w w:val="120"/>
          <w:sz w:val="20"/>
        </w:rPr>
        <w:t> </w:t>
      </w:r>
      <w:r>
        <w:rPr>
          <w:w w:val="120"/>
          <w:sz w:val="20"/>
        </w:rPr>
        <w:t>of</w:t>
      </w:r>
    </w:p>
    <w:p>
      <w:pPr>
        <w:spacing w:after="0" w:line="235" w:lineRule="auto"/>
        <w:jc w:val="left"/>
        <w:rPr>
          <w:sz w:val="20"/>
        </w:rPr>
        <w:sectPr>
          <w:headerReference w:type="even" r:id="rId294"/>
          <w:footerReference w:type="even" r:id="rId295"/>
          <w:footerReference w:type="default" r:id="rId296"/>
          <w:pgSz w:w="11910" w:h="16840"/>
          <w:pgMar w:header="0" w:footer="647" w:top="0" w:bottom="840" w:left="640" w:right="0"/>
          <w:pgNumType w:start="98"/>
        </w:sectPr>
      </w:pPr>
    </w:p>
    <w:p>
      <w:pPr>
        <w:pStyle w:val="BodyText"/>
      </w:pPr>
      <w:r>
        <w:rPr/>
        <w:drawing>
          <wp:anchor distT="0" distB="0" distL="0" distR="0" allowOverlap="1" layoutInCell="1" locked="0" behindDoc="0" simplePos="0" relativeHeight="251922432">
            <wp:simplePos x="0" y="0"/>
            <wp:positionH relativeFrom="page">
              <wp:posOffset>6974928</wp:posOffset>
            </wp:positionH>
            <wp:positionV relativeFrom="page">
              <wp:posOffset>0</wp:posOffset>
            </wp:positionV>
            <wp:extent cx="585063" cy="10692003"/>
            <wp:effectExtent l="0" t="0" r="0" b="0"/>
            <wp:wrapNone/>
            <wp:docPr id="181" name="image54.png"/>
            <wp:cNvGraphicFramePr>
              <a:graphicFrameLocks noChangeAspect="1"/>
            </wp:cNvGraphicFramePr>
            <a:graphic>
              <a:graphicData uri="http://schemas.openxmlformats.org/drawingml/2006/picture">
                <pic:pic>
                  <pic:nvPicPr>
                    <pic:cNvPr id="182" name="image54.png"/>
                    <pic:cNvPicPr/>
                  </pic:nvPicPr>
                  <pic:blipFill>
                    <a:blip r:embed="rId169" cstate="print"/>
                    <a:stretch>
                      <a:fillRect/>
                    </a:stretch>
                  </pic:blipFill>
                  <pic:spPr>
                    <a:xfrm>
                      <a:off x="0" y="0"/>
                      <a:ext cx="585063" cy="10692003"/>
                    </a:xfrm>
                    <a:prstGeom prst="rect">
                      <a:avLst/>
                    </a:prstGeom>
                  </pic:spPr>
                </pic:pic>
              </a:graphicData>
            </a:graphic>
          </wp:anchor>
        </w:drawing>
      </w:r>
    </w:p>
    <w:p>
      <w:pPr>
        <w:pStyle w:val="BodyText"/>
        <w:spacing w:before="7"/>
        <w:rPr>
          <w:sz w:val="21"/>
        </w:rPr>
      </w:pPr>
    </w:p>
    <w:p>
      <w:pPr>
        <w:spacing w:before="106"/>
        <w:ind w:left="0" w:right="1245" w:firstLine="0"/>
        <w:jc w:val="right"/>
        <w:rPr>
          <w:sz w:val="26"/>
        </w:rPr>
      </w:pPr>
      <w:r>
        <w:rPr/>
        <w:pict>
          <v:shape style="position:absolute;margin-left:554.141174pt;margin-top:22.593945pt;width:25.9pt;height:483.55pt;mso-position-horizontal-relative:page;mso-position-vertical-relative:paragraph;z-index:251923456" type="#_x0000_t202" filled="false" stroked="false">
            <v:textbox inset="0,0,0,0" style="layout-flow:vertical">
              <w:txbxContent>
                <w:p>
                  <w:pPr>
                    <w:spacing w:before="27"/>
                    <w:ind w:left="20" w:right="0" w:firstLine="0"/>
                    <w:jc w:val="left"/>
                    <w:rPr>
                      <w:sz w:val="39"/>
                    </w:rPr>
                  </w:pPr>
                  <w:r>
                    <w:rPr>
                      <w:color w:val="FFFFFF"/>
                      <w:spacing w:val="6"/>
                      <w:w w:val="120"/>
                      <w:sz w:val="39"/>
                    </w:rPr>
                    <w:t>Faith </w:t>
                  </w:r>
                  <w:r>
                    <w:rPr>
                      <w:color w:val="FFFFFF"/>
                      <w:spacing w:val="7"/>
                      <w:w w:val="120"/>
                      <w:sz w:val="39"/>
                    </w:rPr>
                    <w:t>and order </w:t>
                  </w:r>
                  <w:r>
                    <w:rPr>
                      <w:color w:val="FFFFFF"/>
                      <w:w w:val="120"/>
                      <w:sz w:val="39"/>
                    </w:rPr>
                    <w:t>– </w:t>
                  </w:r>
                  <w:r>
                    <w:rPr>
                      <w:spacing w:val="10"/>
                      <w:w w:val="120"/>
                      <w:sz w:val="39"/>
                    </w:rPr>
                    <w:t>Authorised </w:t>
                  </w:r>
                  <w:r>
                    <w:rPr>
                      <w:spacing w:val="9"/>
                      <w:w w:val="120"/>
                      <w:sz w:val="39"/>
                    </w:rPr>
                    <w:t>elders </w:t>
                  </w:r>
                  <w:r>
                    <w:rPr>
                      <w:color w:val="FFFFFF"/>
                      <w:w w:val="120"/>
                      <w:sz w:val="39"/>
                    </w:rPr>
                    <w:t>–</w:t>
                  </w:r>
                  <w:r>
                    <w:rPr>
                      <w:color w:val="FFFFFF"/>
                      <w:spacing w:val="56"/>
                      <w:w w:val="120"/>
                      <w:sz w:val="39"/>
                    </w:rPr>
                    <w:t> </w:t>
                  </w:r>
                  <w:r>
                    <w:rPr>
                      <w:spacing w:val="11"/>
                      <w:w w:val="120"/>
                      <w:sz w:val="39"/>
                    </w:rPr>
                    <w:t>Appendix</w:t>
                  </w:r>
                </w:p>
              </w:txbxContent>
            </v:textbox>
            <w10:wrap type="none"/>
          </v:shape>
        </w:pict>
      </w:r>
      <w:r>
        <w:rPr>
          <w:color w:val="7EAABF"/>
          <w:w w:val="115"/>
          <w:sz w:val="26"/>
        </w:rPr>
        <w:t>Faith and order</w:t>
      </w:r>
    </w:p>
    <w:p>
      <w:pPr>
        <w:pStyle w:val="BodyText"/>
        <w:spacing w:line="235" w:lineRule="auto" w:before="222"/>
        <w:ind w:left="1344" w:right="1468"/>
      </w:pPr>
      <w:r>
        <w:rPr>
          <w:w w:val="120"/>
        </w:rPr>
        <w:t>ministry there need to be those alongside Ministers of Word and Sacraments to whom local congregations can look for leadership in mission and worship. This point was   also made in </w:t>
      </w:r>
      <w:r>
        <w:rPr>
          <w:i/>
          <w:w w:val="120"/>
        </w:rPr>
        <w:t>Equipping the Saints </w:t>
      </w:r>
      <w:r>
        <w:rPr>
          <w:w w:val="120"/>
        </w:rPr>
        <w:t>in 2005. Such people need to be accountable so that if there are problems, for whatever reason, their service may be terminated with the minimum disruption to the peace and unity of the</w:t>
      </w:r>
      <w:r>
        <w:rPr>
          <w:spacing w:val="30"/>
          <w:w w:val="120"/>
        </w:rPr>
        <w:t> </w:t>
      </w:r>
      <w:r>
        <w:rPr>
          <w:w w:val="120"/>
        </w:rPr>
        <w:t>congregation.</w:t>
      </w:r>
    </w:p>
    <w:p>
      <w:pPr>
        <w:pStyle w:val="BodyText"/>
        <w:spacing w:before="3"/>
        <w:rPr>
          <w:sz w:val="22"/>
        </w:rPr>
      </w:pPr>
    </w:p>
    <w:p>
      <w:pPr>
        <w:spacing w:before="1"/>
        <w:ind w:left="1344" w:right="0" w:firstLine="0"/>
        <w:jc w:val="left"/>
        <w:rPr>
          <w:rFonts w:ascii="Stone Sans II ITC Std Bk" w:hAnsi="Stone Sans II ITC Std Bk"/>
          <w:b/>
          <w:sz w:val="29"/>
        </w:rPr>
      </w:pPr>
      <w:r>
        <w:rPr>
          <w:rFonts w:ascii="Stone Sans II ITC Std Bk" w:hAnsi="Stone Sans II ITC Std Bk"/>
          <w:b/>
          <w:w w:val="110"/>
          <w:sz w:val="29"/>
        </w:rPr>
        <w:t>The response to the six areas of work (see §2.2)</w:t>
      </w:r>
    </w:p>
    <w:p>
      <w:pPr>
        <w:pStyle w:val="ListParagraph"/>
        <w:numPr>
          <w:ilvl w:val="1"/>
          <w:numId w:val="132"/>
        </w:numPr>
        <w:tabs>
          <w:tab w:pos="2024" w:val="left" w:leader="none"/>
          <w:tab w:pos="2025" w:val="left" w:leader="none"/>
        </w:tabs>
        <w:spacing w:line="240" w:lineRule="auto" w:before="65" w:after="0"/>
        <w:ind w:left="2024" w:right="0" w:hanging="681"/>
        <w:jc w:val="left"/>
        <w:rPr>
          <w:i/>
          <w:sz w:val="20"/>
        </w:rPr>
      </w:pPr>
      <w:r>
        <w:rPr>
          <w:i/>
          <w:w w:val="110"/>
          <w:sz w:val="20"/>
        </w:rPr>
        <w:t>The nature of</w:t>
      </w:r>
      <w:r>
        <w:rPr>
          <w:i/>
          <w:spacing w:val="11"/>
          <w:w w:val="110"/>
          <w:sz w:val="20"/>
        </w:rPr>
        <w:t> </w:t>
      </w:r>
      <w:r>
        <w:rPr>
          <w:i/>
          <w:w w:val="110"/>
          <w:sz w:val="20"/>
        </w:rPr>
        <w:t>ordination</w:t>
      </w:r>
    </w:p>
    <w:p>
      <w:pPr>
        <w:pStyle w:val="BodyText"/>
        <w:spacing w:before="7"/>
        <w:rPr>
          <w:i/>
          <w:sz w:val="19"/>
        </w:rPr>
      </w:pPr>
    </w:p>
    <w:p>
      <w:pPr>
        <w:spacing w:line="235" w:lineRule="auto" w:before="1"/>
        <w:ind w:left="2024" w:right="1439" w:firstLine="0"/>
        <w:jc w:val="left"/>
        <w:rPr>
          <w:i/>
          <w:sz w:val="20"/>
        </w:rPr>
      </w:pPr>
      <w:r>
        <w:rPr>
          <w:w w:val="120"/>
          <w:sz w:val="20"/>
        </w:rPr>
        <w:t>For the equipment of his people for this total ministry the Lord Jesus Christ  gives particular </w:t>
      </w:r>
      <w:r>
        <w:rPr>
          <w:spacing w:val="2"/>
          <w:w w:val="120"/>
          <w:sz w:val="20"/>
        </w:rPr>
        <w:t>gifts </w:t>
      </w:r>
      <w:r>
        <w:rPr>
          <w:w w:val="120"/>
          <w:sz w:val="20"/>
        </w:rPr>
        <w:t>for particular ministries and calls </w:t>
      </w:r>
      <w:r>
        <w:rPr>
          <w:i/>
          <w:w w:val="120"/>
          <w:sz w:val="20"/>
        </w:rPr>
        <w:t>some of his servants </w:t>
      </w:r>
      <w:r>
        <w:rPr>
          <w:w w:val="120"/>
          <w:sz w:val="20"/>
        </w:rPr>
        <w:t>to exercise them in offices duly recognised within his Church...Those who enter on such ministries commit themselves to them for so long as God wills: the United Reformed Church having solemnly acknowledged their vocation and accepted their commitment shall appoint them </w:t>
      </w:r>
      <w:r>
        <w:rPr>
          <w:i/>
          <w:w w:val="120"/>
          <w:sz w:val="20"/>
        </w:rPr>
        <w:t>to their particular ministry and give them </w:t>
      </w:r>
      <w:r>
        <w:rPr>
          <w:i/>
          <w:w w:val="120"/>
          <w:sz w:val="20"/>
        </w:rPr>
        <w:t>authority</w:t>
      </w:r>
      <w:r>
        <w:rPr>
          <w:i/>
          <w:spacing w:val="-20"/>
          <w:w w:val="120"/>
          <w:sz w:val="20"/>
        </w:rPr>
        <w:t> </w:t>
      </w:r>
      <w:r>
        <w:rPr>
          <w:w w:val="120"/>
          <w:sz w:val="20"/>
        </w:rPr>
        <w:t>to</w:t>
      </w:r>
      <w:r>
        <w:rPr>
          <w:spacing w:val="-20"/>
          <w:w w:val="120"/>
          <w:sz w:val="20"/>
        </w:rPr>
        <w:t> </w:t>
      </w:r>
      <w:r>
        <w:rPr>
          <w:w w:val="120"/>
          <w:sz w:val="20"/>
        </w:rPr>
        <w:t>exercise</w:t>
      </w:r>
      <w:r>
        <w:rPr>
          <w:spacing w:val="-20"/>
          <w:w w:val="120"/>
          <w:sz w:val="20"/>
        </w:rPr>
        <w:t> </w:t>
      </w:r>
      <w:r>
        <w:rPr>
          <w:w w:val="120"/>
          <w:sz w:val="20"/>
        </w:rPr>
        <w:t>it</w:t>
      </w:r>
      <w:r>
        <w:rPr>
          <w:spacing w:val="-20"/>
          <w:w w:val="120"/>
          <w:sz w:val="20"/>
        </w:rPr>
        <w:t> </w:t>
      </w:r>
      <w:r>
        <w:rPr>
          <w:w w:val="120"/>
          <w:sz w:val="20"/>
        </w:rPr>
        <w:t>within</w:t>
      </w:r>
      <w:r>
        <w:rPr>
          <w:spacing w:val="-19"/>
          <w:w w:val="120"/>
          <w:sz w:val="20"/>
        </w:rPr>
        <w:t> </w:t>
      </w:r>
      <w:r>
        <w:rPr>
          <w:w w:val="120"/>
          <w:sz w:val="20"/>
        </w:rPr>
        <w:t>the</w:t>
      </w:r>
      <w:r>
        <w:rPr>
          <w:spacing w:val="-20"/>
          <w:w w:val="120"/>
          <w:sz w:val="20"/>
        </w:rPr>
        <w:t> </w:t>
      </w:r>
      <w:r>
        <w:rPr>
          <w:w w:val="120"/>
          <w:sz w:val="20"/>
        </w:rPr>
        <w:t>Church,</w:t>
      </w:r>
      <w:r>
        <w:rPr>
          <w:spacing w:val="-20"/>
          <w:w w:val="120"/>
          <w:sz w:val="20"/>
        </w:rPr>
        <w:t> </w:t>
      </w:r>
      <w:r>
        <w:rPr>
          <w:i/>
          <w:w w:val="120"/>
          <w:sz w:val="20"/>
        </w:rPr>
        <w:t>setting</w:t>
      </w:r>
      <w:r>
        <w:rPr>
          <w:i/>
          <w:spacing w:val="-22"/>
          <w:w w:val="120"/>
          <w:sz w:val="20"/>
        </w:rPr>
        <w:t> </w:t>
      </w:r>
      <w:r>
        <w:rPr>
          <w:i/>
          <w:w w:val="120"/>
          <w:sz w:val="20"/>
        </w:rPr>
        <w:t>them</w:t>
      </w:r>
      <w:r>
        <w:rPr>
          <w:i/>
          <w:spacing w:val="-21"/>
          <w:w w:val="120"/>
          <w:sz w:val="20"/>
        </w:rPr>
        <w:t> </w:t>
      </w:r>
      <w:r>
        <w:rPr>
          <w:i/>
          <w:w w:val="120"/>
          <w:sz w:val="20"/>
        </w:rPr>
        <w:t>apart</w:t>
      </w:r>
      <w:r>
        <w:rPr>
          <w:i/>
          <w:spacing w:val="-22"/>
          <w:w w:val="120"/>
          <w:sz w:val="20"/>
        </w:rPr>
        <w:t> </w:t>
      </w:r>
      <w:r>
        <w:rPr>
          <w:i/>
          <w:w w:val="120"/>
          <w:sz w:val="20"/>
        </w:rPr>
        <w:t>with</w:t>
      </w:r>
      <w:r>
        <w:rPr>
          <w:i/>
          <w:spacing w:val="-22"/>
          <w:w w:val="120"/>
          <w:sz w:val="20"/>
        </w:rPr>
        <w:t> </w:t>
      </w:r>
      <w:r>
        <w:rPr>
          <w:i/>
          <w:w w:val="120"/>
          <w:sz w:val="20"/>
        </w:rPr>
        <w:t>prayer</w:t>
      </w:r>
      <w:r>
        <w:rPr>
          <w:i/>
          <w:spacing w:val="-21"/>
          <w:w w:val="120"/>
          <w:sz w:val="20"/>
        </w:rPr>
        <w:t> </w:t>
      </w:r>
      <w:r>
        <w:rPr>
          <w:i/>
          <w:w w:val="120"/>
          <w:sz w:val="20"/>
        </w:rPr>
        <w:t>that</w:t>
      </w:r>
      <w:r>
        <w:rPr>
          <w:i/>
          <w:spacing w:val="-22"/>
          <w:w w:val="120"/>
          <w:sz w:val="20"/>
        </w:rPr>
        <w:t> </w:t>
      </w:r>
      <w:r>
        <w:rPr>
          <w:i/>
          <w:w w:val="120"/>
          <w:sz w:val="20"/>
        </w:rPr>
        <w:t>that</w:t>
      </w:r>
    </w:p>
    <w:p>
      <w:pPr>
        <w:spacing w:line="235" w:lineRule="auto" w:before="5"/>
        <w:ind w:left="2024" w:right="1217" w:firstLine="0"/>
        <w:jc w:val="left"/>
        <w:rPr>
          <w:i/>
          <w:sz w:val="20"/>
        </w:rPr>
      </w:pPr>
      <w:r>
        <w:rPr>
          <w:i/>
          <w:w w:val="115"/>
          <w:sz w:val="20"/>
        </w:rPr>
        <w:t>they shall be given all needful gifts and graces for its fulfillment</w:t>
      </w:r>
      <w:r>
        <w:rPr>
          <w:w w:val="115"/>
          <w:sz w:val="20"/>
        </w:rPr>
        <w:t>, which solemn setting apart shall in the case of ministers and elders be termed ordination (</w:t>
      </w:r>
      <w:r>
        <w:rPr>
          <w:i/>
          <w:w w:val="115"/>
          <w:sz w:val="20"/>
        </w:rPr>
        <w:t>Basis of Union</w:t>
      </w:r>
    </w:p>
    <w:p>
      <w:pPr>
        <w:pStyle w:val="BodyText"/>
        <w:spacing w:line="242" w:lineRule="exact"/>
        <w:ind w:left="2024"/>
      </w:pPr>
      <w:r>
        <w:rPr>
          <w:w w:val="125"/>
        </w:rPr>
        <w:t>§20</w:t>
      </w:r>
      <w:r>
        <w:rPr>
          <w:i/>
          <w:w w:val="125"/>
        </w:rPr>
        <w:t>) </w:t>
      </w:r>
      <w:r>
        <w:rPr>
          <w:w w:val="125"/>
        </w:rPr>
        <w:t>[italics added].</w:t>
      </w:r>
    </w:p>
    <w:p>
      <w:pPr>
        <w:pStyle w:val="BodyText"/>
        <w:spacing w:before="7"/>
        <w:rPr>
          <w:sz w:val="19"/>
        </w:rPr>
      </w:pPr>
    </w:p>
    <w:p>
      <w:pPr>
        <w:spacing w:line="235" w:lineRule="auto" w:before="1"/>
        <w:ind w:left="2024" w:right="1217" w:firstLine="0"/>
        <w:jc w:val="left"/>
        <w:rPr>
          <w:i/>
          <w:sz w:val="20"/>
        </w:rPr>
      </w:pPr>
      <w:r>
        <w:rPr>
          <w:w w:val="115"/>
          <w:sz w:val="20"/>
        </w:rPr>
        <w:t>Some are called to the ministry of the Word and Sacraments. … </w:t>
      </w:r>
      <w:r>
        <w:rPr>
          <w:i/>
          <w:w w:val="115"/>
          <w:sz w:val="20"/>
        </w:rPr>
        <w:t>They are </w:t>
      </w:r>
      <w:r>
        <w:rPr>
          <w:i/>
          <w:w w:val="115"/>
          <w:sz w:val="20"/>
        </w:rPr>
        <w:t>commissioned to conduct public worship, to preach the Word and to administer the Sacraments</w:t>
      </w:r>
      <w:r>
        <w:rPr>
          <w:w w:val="115"/>
          <w:sz w:val="20"/>
        </w:rPr>
        <w:t>… Their service may be stipendiary or non-stipendiary… (</w:t>
      </w:r>
      <w:r>
        <w:rPr>
          <w:i/>
          <w:w w:val="115"/>
          <w:sz w:val="20"/>
        </w:rPr>
        <w:t>Basis of Union</w:t>
      </w:r>
    </w:p>
    <w:p>
      <w:pPr>
        <w:pStyle w:val="BodyText"/>
        <w:spacing w:line="243" w:lineRule="exact"/>
        <w:ind w:left="2024"/>
      </w:pPr>
      <w:r>
        <w:rPr>
          <w:w w:val="125"/>
        </w:rPr>
        <w:t>§21) [italics added].</w:t>
      </w:r>
    </w:p>
    <w:p>
      <w:pPr>
        <w:pStyle w:val="BodyText"/>
        <w:spacing w:before="7"/>
        <w:rPr>
          <w:sz w:val="19"/>
        </w:rPr>
      </w:pPr>
    </w:p>
    <w:p>
      <w:pPr>
        <w:pStyle w:val="ListParagraph"/>
        <w:numPr>
          <w:ilvl w:val="1"/>
          <w:numId w:val="132"/>
        </w:numPr>
        <w:tabs>
          <w:tab w:pos="2024" w:val="left" w:leader="none"/>
          <w:tab w:pos="2025" w:val="left" w:leader="none"/>
        </w:tabs>
        <w:spacing w:line="235" w:lineRule="auto" w:before="0" w:after="0"/>
        <w:ind w:left="1344" w:right="1572" w:firstLine="0"/>
        <w:jc w:val="left"/>
        <w:rPr>
          <w:sz w:val="20"/>
        </w:rPr>
      </w:pPr>
      <w:r>
        <w:rPr>
          <w:w w:val="120"/>
          <w:sz w:val="20"/>
        </w:rPr>
        <w:t>The general understanding of ‘ordination’ in biblical and Christian theology     is</w:t>
      </w:r>
      <w:r>
        <w:rPr>
          <w:spacing w:val="4"/>
          <w:w w:val="120"/>
          <w:sz w:val="20"/>
        </w:rPr>
        <w:t> </w:t>
      </w:r>
      <w:r>
        <w:rPr>
          <w:w w:val="120"/>
          <w:sz w:val="20"/>
        </w:rPr>
        <w:t>the</w:t>
      </w:r>
      <w:r>
        <w:rPr>
          <w:spacing w:val="5"/>
          <w:w w:val="120"/>
          <w:sz w:val="20"/>
        </w:rPr>
        <w:t> </w:t>
      </w:r>
      <w:r>
        <w:rPr>
          <w:w w:val="120"/>
          <w:sz w:val="20"/>
        </w:rPr>
        <w:t>setting</w:t>
      </w:r>
      <w:r>
        <w:rPr>
          <w:spacing w:val="4"/>
          <w:w w:val="120"/>
          <w:sz w:val="20"/>
        </w:rPr>
        <w:t> </w:t>
      </w:r>
      <w:r>
        <w:rPr>
          <w:w w:val="120"/>
          <w:sz w:val="20"/>
        </w:rPr>
        <w:t>apart</w:t>
      </w:r>
      <w:r>
        <w:rPr>
          <w:spacing w:val="5"/>
          <w:w w:val="120"/>
          <w:sz w:val="20"/>
        </w:rPr>
        <w:t> </w:t>
      </w:r>
      <w:r>
        <w:rPr>
          <w:w w:val="120"/>
          <w:sz w:val="20"/>
        </w:rPr>
        <w:t>of</w:t>
      </w:r>
      <w:r>
        <w:rPr>
          <w:spacing w:val="4"/>
          <w:w w:val="120"/>
          <w:sz w:val="20"/>
        </w:rPr>
        <w:t> </w:t>
      </w:r>
      <w:r>
        <w:rPr>
          <w:w w:val="120"/>
          <w:sz w:val="20"/>
        </w:rPr>
        <w:t>someone</w:t>
      </w:r>
      <w:r>
        <w:rPr>
          <w:spacing w:val="5"/>
          <w:w w:val="120"/>
          <w:sz w:val="20"/>
        </w:rPr>
        <w:t> </w:t>
      </w:r>
      <w:r>
        <w:rPr>
          <w:w w:val="120"/>
          <w:sz w:val="20"/>
        </w:rPr>
        <w:t>by</w:t>
      </w:r>
      <w:r>
        <w:rPr>
          <w:spacing w:val="4"/>
          <w:w w:val="120"/>
          <w:sz w:val="20"/>
        </w:rPr>
        <w:t> </w:t>
      </w:r>
      <w:r>
        <w:rPr>
          <w:w w:val="120"/>
          <w:sz w:val="20"/>
        </w:rPr>
        <w:t>prayer,</w:t>
      </w:r>
      <w:r>
        <w:rPr>
          <w:spacing w:val="5"/>
          <w:w w:val="120"/>
          <w:sz w:val="20"/>
        </w:rPr>
        <w:t> </w:t>
      </w:r>
      <w:r>
        <w:rPr>
          <w:w w:val="120"/>
          <w:sz w:val="20"/>
        </w:rPr>
        <w:t>fasting</w:t>
      </w:r>
      <w:r>
        <w:rPr>
          <w:spacing w:val="4"/>
          <w:w w:val="120"/>
          <w:sz w:val="20"/>
        </w:rPr>
        <w:t> </w:t>
      </w:r>
      <w:r>
        <w:rPr>
          <w:w w:val="120"/>
          <w:sz w:val="20"/>
        </w:rPr>
        <w:t>and</w:t>
      </w:r>
      <w:r>
        <w:rPr>
          <w:spacing w:val="5"/>
          <w:w w:val="120"/>
          <w:sz w:val="20"/>
        </w:rPr>
        <w:t> </w:t>
      </w:r>
      <w:r>
        <w:rPr>
          <w:w w:val="120"/>
          <w:sz w:val="20"/>
        </w:rPr>
        <w:t>the</w:t>
      </w:r>
      <w:r>
        <w:rPr>
          <w:spacing w:val="4"/>
          <w:w w:val="120"/>
          <w:sz w:val="20"/>
        </w:rPr>
        <w:t> </w:t>
      </w:r>
      <w:r>
        <w:rPr>
          <w:w w:val="120"/>
          <w:sz w:val="20"/>
        </w:rPr>
        <w:t>laying-on</w:t>
      </w:r>
      <w:r>
        <w:rPr>
          <w:spacing w:val="5"/>
          <w:w w:val="120"/>
          <w:sz w:val="20"/>
        </w:rPr>
        <w:t> </w:t>
      </w:r>
      <w:r>
        <w:rPr>
          <w:w w:val="120"/>
          <w:sz w:val="20"/>
        </w:rPr>
        <w:t>of</w:t>
      </w:r>
      <w:r>
        <w:rPr>
          <w:spacing w:val="4"/>
          <w:w w:val="120"/>
          <w:sz w:val="20"/>
        </w:rPr>
        <w:t> </w:t>
      </w:r>
      <w:r>
        <w:rPr>
          <w:w w:val="120"/>
          <w:sz w:val="20"/>
        </w:rPr>
        <w:t>hands.</w:t>
      </w:r>
      <w:r>
        <w:rPr>
          <w:spacing w:val="5"/>
          <w:w w:val="120"/>
          <w:sz w:val="20"/>
        </w:rPr>
        <w:t> </w:t>
      </w:r>
      <w:r>
        <w:rPr>
          <w:w w:val="120"/>
          <w:sz w:val="20"/>
        </w:rPr>
        <w:t>Fasting</w:t>
      </w:r>
    </w:p>
    <w:p>
      <w:pPr>
        <w:pStyle w:val="BodyText"/>
        <w:spacing w:line="235" w:lineRule="auto" w:before="2"/>
        <w:ind w:left="1344" w:right="1499"/>
      </w:pPr>
      <w:r>
        <w:rPr>
          <w:w w:val="120"/>
        </w:rPr>
        <w:t>has been overlooked in our traditions in the last century or more. The key question is, ‘What office is a person ordained </w:t>
      </w:r>
      <w:r>
        <w:rPr>
          <w:spacing w:val="-3"/>
          <w:w w:val="120"/>
        </w:rPr>
        <w:t>to?’ </w:t>
      </w:r>
      <w:r>
        <w:rPr>
          <w:w w:val="120"/>
        </w:rPr>
        <w:t>since that determines the nature and meaning of ordination in a particular case. In other words, the primary significance that any ordination has relates to the definition of the office to which someone is</w:t>
      </w:r>
      <w:r>
        <w:rPr>
          <w:spacing w:val="4"/>
          <w:w w:val="120"/>
        </w:rPr>
        <w:t> </w:t>
      </w:r>
      <w:r>
        <w:rPr>
          <w:w w:val="120"/>
        </w:rPr>
        <w:t>ordained.</w:t>
      </w:r>
    </w:p>
    <w:p>
      <w:pPr>
        <w:pStyle w:val="BodyText"/>
        <w:spacing w:line="235" w:lineRule="auto" w:before="3"/>
        <w:ind w:left="1344" w:right="1217"/>
      </w:pPr>
      <w:r>
        <w:rPr>
          <w:w w:val="120"/>
        </w:rPr>
        <w:t>This view is shared by Catholics and Protestants alike. Thus in the catholic tradition of a threefold ministry a person may be ordained to the office of deacon, priest or bishop: bishops and priests can preside at the Lord’s Table; deacons cannot. This difference</w:t>
      </w:r>
    </w:p>
    <w:p>
      <w:pPr>
        <w:pStyle w:val="BodyText"/>
        <w:spacing w:line="235" w:lineRule="auto" w:before="2"/>
        <w:ind w:left="1344" w:right="1217"/>
      </w:pPr>
      <w:r>
        <w:rPr>
          <w:w w:val="120"/>
        </w:rPr>
        <w:t>in function does not make the service for the ordination of a deacon any less of an ordination. There is nothing contradictory, in other words, in ordaining to some offices that carry the privilege of presidency at the sacraments and others that do not.</w:t>
      </w:r>
    </w:p>
    <w:p>
      <w:pPr>
        <w:pStyle w:val="BodyText"/>
        <w:spacing w:before="10"/>
        <w:rPr>
          <w:sz w:val="19"/>
        </w:rPr>
      </w:pPr>
    </w:p>
    <w:p>
      <w:pPr>
        <w:pStyle w:val="ListParagraph"/>
        <w:numPr>
          <w:ilvl w:val="1"/>
          <w:numId w:val="132"/>
        </w:numPr>
        <w:tabs>
          <w:tab w:pos="2024" w:val="left" w:leader="none"/>
          <w:tab w:pos="2025" w:val="left" w:leader="none"/>
        </w:tabs>
        <w:spacing w:line="235" w:lineRule="auto" w:before="0" w:after="0"/>
        <w:ind w:left="1344" w:right="1336" w:firstLine="0"/>
        <w:jc w:val="left"/>
        <w:rPr>
          <w:sz w:val="20"/>
        </w:rPr>
      </w:pPr>
      <w:r>
        <w:rPr>
          <w:w w:val="120"/>
          <w:sz w:val="20"/>
        </w:rPr>
        <w:t>The </w:t>
      </w:r>
      <w:r>
        <w:rPr>
          <w:i/>
          <w:w w:val="120"/>
          <w:sz w:val="20"/>
        </w:rPr>
        <w:t>Basis of Union </w:t>
      </w:r>
      <w:r>
        <w:rPr>
          <w:w w:val="120"/>
          <w:sz w:val="20"/>
        </w:rPr>
        <w:t>also states that: ‘elders share with the minister in the pastoral oversight and leadership of the local churches, taking counsel together in the elders’ meeting for the whole church and having severally groups of members particularly entrusted</w:t>
      </w:r>
      <w:r>
        <w:rPr>
          <w:spacing w:val="-5"/>
          <w:w w:val="120"/>
          <w:sz w:val="20"/>
        </w:rPr>
        <w:t> </w:t>
      </w:r>
      <w:r>
        <w:rPr>
          <w:w w:val="120"/>
          <w:sz w:val="20"/>
        </w:rPr>
        <w:t>to</w:t>
      </w:r>
      <w:r>
        <w:rPr>
          <w:spacing w:val="-5"/>
          <w:w w:val="120"/>
          <w:sz w:val="20"/>
        </w:rPr>
        <w:t> </w:t>
      </w:r>
      <w:r>
        <w:rPr>
          <w:w w:val="120"/>
          <w:sz w:val="20"/>
        </w:rPr>
        <w:t>their</w:t>
      </w:r>
      <w:r>
        <w:rPr>
          <w:spacing w:val="-5"/>
          <w:w w:val="120"/>
          <w:sz w:val="20"/>
        </w:rPr>
        <w:t> </w:t>
      </w:r>
      <w:r>
        <w:rPr>
          <w:w w:val="120"/>
          <w:sz w:val="20"/>
        </w:rPr>
        <w:t>pastoral</w:t>
      </w:r>
      <w:r>
        <w:rPr>
          <w:spacing w:val="-5"/>
          <w:w w:val="120"/>
          <w:sz w:val="20"/>
        </w:rPr>
        <w:t> </w:t>
      </w:r>
      <w:r>
        <w:rPr>
          <w:w w:val="120"/>
          <w:sz w:val="20"/>
        </w:rPr>
        <w:t>care’</w:t>
      </w:r>
      <w:r>
        <w:rPr>
          <w:spacing w:val="-4"/>
          <w:w w:val="120"/>
          <w:sz w:val="20"/>
        </w:rPr>
        <w:t> </w:t>
      </w:r>
      <w:r>
        <w:rPr>
          <w:spacing w:val="-5"/>
          <w:w w:val="120"/>
          <w:sz w:val="20"/>
        </w:rPr>
        <w:t>(§22). </w:t>
      </w:r>
      <w:r>
        <w:rPr>
          <w:w w:val="120"/>
          <w:sz w:val="20"/>
        </w:rPr>
        <w:t>Neither</w:t>
      </w:r>
      <w:r>
        <w:rPr>
          <w:spacing w:val="-5"/>
          <w:w w:val="120"/>
          <w:sz w:val="20"/>
        </w:rPr>
        <w:t> </w:t>
      </w:r>
      <w:r>
        <w:rPr>
          <w:w w:val="120"/>
          <w:sz w:val="20"/>
        </w:rPr>
        <w:t>the</w:t>
      </w:r>
      <w:r>
        <w:rPr>
          <w:spacing w:val="-5"/>
          <w:w w:val="120"/>
          <w:sz w:val="20"/>
        </w:rPr>
        <w:t> </w:t>
      </w:r>
      <w:r>
        <w:rPr>
          <w:w w:val="120"/>
          <w:sz w:val="20"/>
        </w:rPr>
        <w:t>Basis,</w:t>
      </w:r>
      <w:r>
        <w:rPr>
          <w:spacing w:val="-5"/>
          <w:w w:val="120"/>
          <w:sz w:val="20"/>
        </w:rPr>
        <w:t> </w:t>
      </w:r>
      <w:r>
        <w:rPr>
          <w:w w:val="120"/>
          <w:sz w:val="20"/>
        </w:rPr>
        <w:t>nor</w:t>
      </w:r>
      <w:r>
        <w:rPr>
          <w:spacing w:val="-4"/>
          <w:w w:val="120"/>
          <w:sz w:val="20"/>
        </w:rPr>
        <w:t> </w:t>
      </w:r>
      <w:r>
        <w:rPr>
          <w:w w:val="120"/>
          <w:sz w:val="20"/>
        </w:rPr>
        <w:t>the</w:t>
      </w:r>
      <w:r>
        <w:rPr>
          <w:spacing w:val="-5"/>
          <w:w w:val="120"/>
          <w:sz w:val="20"/>
        </w:rPr>
        <w:t> </w:t>
      </w:r>
      <w:r>
        <w:rPr>
          <w:w w:val="120"/>
          <w:sz w:val="20"/>
        </w:rPr>
        <w:t>service</w:t>
      </w:r>
      <w:r>
        <w:rPr>
          <w:spacing w:val="-5"/>
          <w:w w:val="120"/>
          <w:sz w:val="20"/>
        </w:rPr>
        <w:t> </w:t>
      </w:r>
      <w:r>
        <w:rPr>
          <w:w w:val="120"/>
          <w:sz w:val="20"/>
        </w:rPr>
        <w:t>in</w:t>
      </w:r>
      <w:r>
        <w:rPr>
          <w:spacing w:val="-5"/>
          <w:w w:val="120"/>
          <w:sz w:val="20"/>
        </w:rPr>
        <w:t> </w:t>
      </w:r>
      <w:r>
        <w:rPr>
          <w:i/>
          <w:w w:val="120"/>
          <w:sz w:val="20"/>
        </w:rPr>
        <w:t>Worship</w:t>
      </w:r>
      <w:r>
        <w:rPr>
          <w:i/>
          <w:spacing w:val="-7"/>
          <w:w w:val="120"/>
          <w:sz w:val="20"/>
        </w:rPr>
        <w:t> </w:t>
      </w:r>
      <w:r>
        <w:rPr>
          <w:i/>
          <w:w w:val="120"/>
          <w:sz w:val="20"/>
        </w:rPr>
        <w:t>from </w:t>
      </w:r>
      <w:r>
        <w:rPr>
          <w:i/>
          <w:w w:val="120"/>
          <w:sz w:val="20"/>
        </w:rPr>
        <w:t>the United Reformed Church </w:t>
      </w:r>
      <w:r>
        <w:rPr>
          <w:spacing w:val="-3"/>
          <w:w w:val="120"/>
          <w:sz w:val="20"/>
        </w:rPr>
        <w:t>(2004), </w:t>
      </w:r>
      <w:r>
        <w:rPr>
          <w:w w:val="120"/>
          <w:sz w:val="20"/>
        </w:rPr>
        <w:t>which provides a longer statement of duties, makes any reference to presiding at the sacraments. (The only reference to the</w:t>
      </w:r>
      <w:r>
        <w:rPr>
          <w:spacing w:val="28"/>
          <w:w w:val="120"/>
          <w:sz w:val="20"/>
        </w:rPr>
        <w:t> </w:t>
      </w:r>
      <w:r>
        <w:rPr>
          <w:w w:val="120"/>
          <w:sz w:val="20"/>
        </w:rPr>
        <w:t>possibility</w:t>
      </w:r>
    </w:p>
    <w:p>
      <w:pPr>
        <w:pStyle w:val="BodyText"/>
        <w:spacing w:line="235" w:lineRule="auto" w:before="5"/>
        <w:ind w:left="1344" w:right="1478"/>
      </w:pPr>
      <w:r>
        <w:rPr>
          <w:w w:val="120"/>
        </w:rPr>
        <w:t>of presidency by elders comes later in §25 of the Basis ‘where pastoral necessity so requires’, and requires specific authorisation.) The fact that elders are ordained is therefore irrelevant to the general question of presidency at the sacraments.</w:t>
      </w:r>
    </w:p>
    <w:p>
      <w:pPr>
        <w:pStyle w:val="BodyText"/>
        <w:spacing w:before="6"/>
        <w:rPr>
          <w:sz w:val="19"/>
        </w:rPr>
      </w:pPr>
    </w:p>
    <w:p>
      <w:pPr>
        <w:pStyle w:val="ListParagraph"/>
        <w:numPr>
          <w:ilvl w:val="1"/>
          <w:numId w:val="132"/>
        </w:numPr>
        <w:tabs>
          <w:tab w:pos="2024" w:val="left" w:leader="none"/>
          <w:tab w:pos="2025" w:val="left" w:leader="none"/>
        </w:tabs>
        <w:spacing w:line="240" w:lineRule="auto" w:before="0" w:after="0"/>
        <w:ind w:left="2024" w:right="0" w:hanging="681"/>
        <w:jc w:val="left"/>
        <w:rPr>
          <w:i/>
          <w:sz w:val="20"/>
        </w:rPr>
      </w:pPr>
      <w:r>
        <w:rPr>
          <w:i/>
          <w:w w:val="115"/>
          <w:sz w:val="20"/>
        </w:rPr>
        <w:t>How communion is linked to</w:t>
      </w:r>
      <w:r>
        <w:rPr>
          <w:i/>
          <w:spacing w:val="2"/>
          <w:w w:val="115"/>
          <w:sz w:val="20"/>
        </w:rPr>
        <w:t> </w:t>
      </w:r>
      <w:r>
        <w:rPr>
          <w:i/>
          <w:w w:val="115"/>
          <w:sz w:val="20"/>
        </w:rPr>
        <w:t>ordination</w:t>
      </w:r>
    </w:p>
    <w:p>
      <w:pPr>
        <w:pStyle w:val="BodyText"/>
        <w:spacing w:before="8"/>
        <w:rPr>
          <w:i/>
          <w:sz w:val="19"/>
        </w:rPr>
      </w:pPr>
    </w:p>
    <w:p>
      <w:pPr>
        <w:pStyle w:val="BodyText"/>
        <w:spacing w:line="235" w:lineRule="auto"/>
        <w:ind w:left="2024" w:right="1295"/>
        <w:rPr>
          <w:i/>
        </w:rPr>
      </w:pPr>
      <w:r>
        <w:rPr>
          <w:w w:val="120"/>
        </w:rPr>
        <w:t>The United Reformed Church celebrates the gospel sacrament of the Lord’s Supper. When in obedience to the Lord’s command his people show forth his sacrifice on the cross by the bread broken and the wine outpoured for them to eat and drink, he himself, risen and ascended, is present and gives himself to them for their spiritual nourishment and growth in grace. United with him and with the whole Church on earth and in heaven, his people gathered at his table present their sacrifice of thanksgiving and renew the offering of themselves, and rejoice in the promise of his coming in glory </w:t>
      </w:r>
      <w:r>
        <w:rPr>
          <w:i/>
          <w:w w:val="120"/>
        </w:rPr>
        <w:t>(Basis of Union </w:t>
      </w:r>
      <w:r>
        <w:rPr>
          <w:w w:val="120"/>
        </w:rPr>
        <w:t>§15</w:t>
      </w:r>
      <w:r>
        <w:rPr>
          <w:i/>
          <w:w w:val="120"/>
        </w:rPr>
        <w:t>).</w:t>
      </w:r>
    </w:p>
    <w:p>
      <w:pPr>
        <w:spacing w:after="0" w:line="235" w:lineRule="auto"/>
        <w:sectPr>
          <w:headerReference w:type="default" r:id="rId297"/>
          <w:pgSz w:w="11910" w:h="16840"/>
          <w:pgMar w:header="0" w:footer="647" w:top="0" w:bottom="840" w:left="640" w:right="0"/>
        </w:sectPr>
      </w:pPr>
    </w:p>
    <w:p>
      <w:pPr>
        <w:pStyle w:val="BodyText"/>
        <w:rPr>
          <w:i/>
        </w:rPr>
      </w:pPr>
      <w:r>
        <w:rPr/>
        <w:drawing>
          <wp:anchor distT="0" distB="0" distL="0" distR="0" allowOverlap="1" layoutInCell="1" locked="0" behindDoc="1" simplePos="0" relativeHeight="235470848">
            <wp:simplePos x="0" y="0"/>
            <wp:positionH relativeFrom="page">
              <wp:posOffset>0</wp:posOffset>
            </wp:positionH>
            <wp:positionV relativeFrom="page">
              <wp:posOffset>0</wp:posOffset>
            </wp:positionV>
            <wp:extent cx="594067" cy="10692003"/>
            <wp:effectExtent l="0" t="0" r="0" b="0"/>
            <wp:wrapNone/>
            <wp:docPr id="183" name="image67.png"/>
            <wp:cNvGraphicFramePr>
              <a:graphicFrameLocks noChangeAspect="1"/>
            </wp:cNvGraphicFramePr>
            <a:graphic>
              <a:graphicData uri="http://schemas.openxmlformats.org/drawingml/2006/picture">
                <pic:pic>
                  <pic:nvPicPr>
                    <pic:cNvPr id="184" name="image67.png"/>
                    <pic:cNvPicPr/>
                  </pic:nvPicPr>
                  <pic:blipFill>
                    <a:blip r:embed="rId184" cstate="print"/>
                    <a:stretch>
                      <a:fillRect/>
                    </a:stretch>
                  </pic:blipFill>
                  <pic:spPr>
                    <a:xfrm>
                      <a:off x="0" y="0"/>
                      <a:ext cx="594067" cy="10692003"/>
                    </a:xfrm>
                    <a:prstGeom prst="rect">
                      <a:avLst/>
                    </a:prstGeom>
                  </pic:spPr>
                </pic:pic>
              </a:graphicData>
            </a:graphic>
          </wp:anchor>
        </w:drawing>
      </w:r>
      <w:r>
        <w:rPr/>
        <w:pict>
          <v:shape style="position:absolute;margin-left:20.519100pt;margin-top:48.890015pt;width:25.9pt;height:483.55pt;mso-position-horizontal-relative:page;mso-position-vertical-relative:page;z-index:-267844608" type="#_x0000_t202" filled="false" stroked="false">
            <v:textbox inset="0,0,0,0" style="layout-flow:vertical">
              <w:txbxContent>
                <w:p>
                  <w:pPr>
                    <w:spacing w:before="27"/>
                    <w:ind w:left="20" w:right="0" w:firstLine="0"/>
                    <w:jc w:val="left"/>
                    <w:rPr>
                      <w:sz w:val="39"/>
                    </w:rPr>
                  </w:pPr>
                  <w:r>
                    <w:rPr>
                      <w:color w:val="FFFFFF"/>
                      <w:spacing w:val="6"/>
                      <w:w w:val="120"/>
                      <w:sz w:val="39"/>
                    </w:rPr>
                    <w:t>Faith </w:t>
                  </w:r>
                  <w:r>
                    <w:rPr>
                      <w:color w:val="FFFFFF"/>
                      <w:spacing w:val="7"/>
                      <w:w w:val="120"/>
                      <w:sz w:val="39"/>
                    </w:rPr>
                    <w:t>and order </w:t>
                  </w:r>
                  <w:r>
                    <w:rPr>
                      <w:color w:val="FFFFFF"/>
                      <w:w w:val="120"/>
                      <w:sz w:val="39"/>
                    </w:rPr>
                    <w:t>– </w:t>
                  </w:r>
                  <w:r>
                    <w:rPr>
                      <w:spacing w:val="10"/>
                      <w:w w:val="120"/>
                      <w:sz w:val="39"/>
                    </w:rPr>
                    <w:t>Authorised </w:t>
                  </w:r>
                  <w:r>
                    <w:rPr>
                      <w:spacing w:val="9"/>
                      <w:w w:val="120"/>
                      <w:sz w:val="39"/>
                    </w:rPr>
                    <w:t>elders </w:t>
                  </w:r>
                  <w:r>
                    <w:rPr>
                      <w:color w:val="FFFFFF"/>
                      <w:w w:val="120"/>
                      <w:sz w:val="39"/>
                    </w:rPr>
                    <w:t>–</w:t>
                  </w:r>
                  <w:r>
                    <w:rPr>
                      <w:color w:val="FFFFFF"/>
                      <w:spacing w:val="56"/>
                      <w:w w:val="120"/>
                      <w:sz w:val="39"/>
                    </w:rPr>
                    <w:t> </w:t>
                  </w:r>
                  <w:r>
                    <w:rPr>
                      <w:spacing w:val="11"/>
                      <w:w w:val="120"/>
                      <w:sz w:val="39"/>
                    </w:rPr>
                    <w:t>Appendix</w:t>
                  </w:r>
                </w:p>
              </w:txbxContent>
            </v:textbox>
            <w10:wrap type="none"/>
          </v:shape>
        </w:pict>
      </w:r>
    </w:p>
    <w:p>
      <w:pPr>
        <w:pStyle w:val="BodyText"/>
        <w:spacing w:before="7"/>
        <w:rPr>
          <w:i/>
          <w:sz w:val="21"/>
        </w:rPr>
      </w:pPr>
    </w:p>
    <w:p>
      <w:pPr>
        <w:spacing w:before="106"/>
        <w:ind w:left="607" w:right="0" w:firstLine="0"/>
        <w:jc w:val="left"/>
        <w:rPr>
          <w:sz w:val="26"/>
        </w:rPr>
      </w:pPr>
      <w:r>
        <w:rPr>
          <w:color w:val="7EAABF"/>
          <w:w w:val="115"/>
          <w:sz w:val="26"/>
        </w:rPr>
        <w:t>Faith and order</w:t>
      </w:r>
    </w:p>
    <w:p>
      <w:pPr>
        <w:pStyle w:val="BodyText"/>
        <w:spacing w:line="235" w:lineRule="auto" w:before="236"/>
        <w:ind w:left="1287" w:right="2247"/>
      </w:pPr>
      <w:r>
        <w:rPr>
          <w:w w:val="120"/>
        </w:rPr>
        <w:t>The worship of the local church is an expression of the worship of the whole people of God. In order that this may be clearly seen, the United Reformed Church</w:t>
      </w:r>
      <w:r>
        <w:rPr>
          <w:spacing w:val="-9"/>
          <w:w w:val="120"/>
        </w:rPr>
        <w:t> </w:t>
      </w:r>
      <w:r>
        <w:rPr>
          <w:w w:val="120"/>
        </w:rPr>
        <w:t>shall</w:t>
      </w:r>
      <w:r>
        <w:rPr>
          <w:spacing w:val="-8"/>
          <w:w w:val="120"/>
        </w:rPr>
        <w:t> </w:t>
      </w:r>
      <w:r>
        <w:rPr>
          <w:spacing w:val="-11"/>
          <w:w w:val="120"/>
        </w:rPr>
        <w:t>(a)</w:t>
      </w:r>
      <w:r>
        <w:rPr>
          <w:spacing w:val="-8"/>
          <w:w w:val="120"/>
        </w:rPr>
        <w:t> </w:t>
      </w:r>
      <w:r>
        <w:rPr>
          <w:w w:val="120"/>
        </w:rPr>
        <w:t>take</w:t>
      </w:r>
      <w:r>
        <w:rPr>
          <w:spacing w:val="-8"/>
          <w:w w:val="120"/>
        </w:rPr>
        <w:t> </w:t>
      </w:r>
      <w:r>
        <w:rPr>
          <w:w w:val="120"/>
        </w:rPr>
        <w:t>steps</w:t>
      </w:r>
      <w:r>
        <w:rPr>
          <w:spacing w:val="-8"/>
          <w:w w:val="120"/>
        </w:rPr>
        <w:t> </w:t>
      </w:r>
      <w:r>
        <w:rPr>
          <w:w w:val="120"/>
        </w:rPr>
        <w:t>to</w:t>
      </w:r>
      <w:r>
        <w:rPr>
          <w:spacing w:val="-8"/>
          <w:w w:val="120"/>
        </w:rPr>
        <w:t> </w:t>
      </w:r>
      <w:r>
        <w:rPr>
          <w:w w:val="120"/>
        </w:rPr>
        <w:t>ensure</w:t>
      </w:r>
      <w:r>
        <w:rPr>
          <w:spacing w:val="-8"/>
          <w:w w:val="120"/>
        </w:rPr>
        <w:t> </w:t>
      </w:r>
      <w:r>
        <w:rPr>
          <w:w w:val="120"/>
        </w:rPr>
        <w:t>that</w:t>
      </w:r>
      <w:r>
        <w:rPr>
          <w:spacing w:val="-8"/>
          <w:w w:val="120"/>
        </w:rPr>
        <w:t> </w:t>
      </w:r>
      <w:r>
        <w:rPr>
          <w:i/>
          <w:w w:val="120"/>
        </w:rPr>
        <w:t>so</w:t>
      </w:r>
      <w:r>
        <w:rPr>
          <w:i/>
          <w:spacing w:val="-11"/>
          <w:w w:val="120"/>
        </w:rPr>
        <w:t> </w:t>
      </w:r>
      <w:r>
        <w:rPr>
          <w:i/>
          <w:w w:val="120"/>
        </w:rPr>
        <w:t>far</w:t>
      </w:r>
      <w:r>
        <w:rPr>
          <w:i/>
          <w:spacing w:val="-10"/>
          <w:w w:val="120"/>
        </w:rPr>
        <w:t> </w:t>
      </w:r>
      <w:r>
        <w:rPr>
          <w:i/>
          <w:w w:val="120"/>
        </w:rPr>
        <w:t>as</w:t>
      </w:r>
      <w:r>
        <w:rPr>
          <w:i/>
          <w:spacing w:val="-11"/>
          <w:w w:val="120"/>
        </w:rPr>
        <w:t> </w:t>
      </w:r>
      <w:r>
        <w:rPr>
          <w:i/>
          <w:w w:val="120"/>
        </w:rPr>
        <w:t>possible</w:t>
      </w:r>
      <w:r>
        <w:rPr>
          <w:i/>
          <w:spacing w:val="-8"/>
          <w:w w:val="120"/>
        </w:rPr>
        <w:t> </w:t>
      </w:r>
      <w:r>
        <w:rPr>
          <w:w w:val="120"/>
        </w:rPr>
        <w:t>ordained</w:t>
      </w:r>
      <w:r>
        <w:rPr>
          <w:spacing w:val="-8"/>
          <w:w w:val="120"/>
        </w:rPr>
        <w:t> </w:t>
      </w:r>
      <w:r>
        <w:rPr>
          <w:w w:val="120"/>
        </w:rPr>
        <w:t>ministers</w:t>
      </w:r>
      <w:r>
        <w:rPr>
          <w:spacing w:val="-8"/>
          <w:w w:val="120"/>
        </w:rPr>
        <w:t> </w:t>
      </w:r>
      <w:r>
        <w:rPr>
          <w:w w:val="120"/>
        </w:rPr>
        <w:t>of Word and Sacraments are </w:t>
      </w:r>
      <w:r>
        <w:rPr>
          <w:i/>
          <w:w w:val="120"/>
        </w:rPr>
        <w:t>readily </w:t>
      </w:r>
      <w:r>
        <w:rPr>
          <w:w w:val="120"/>
        </w:rPr>
        <w:t>available to every local church; </w:t>
      </w:r>
      <w:r>
        <w:rPr>
          <w:spacing w:val="-7"/>
          <w:w w:val="120"/>
        </w:rPr>
        <w:t>(b) </w:t>
      </w:r>
      <w:r>
        <w:rPr>
          <w:w w:val="120"/>
        </w:rPr>
        <w:t>provide for the training of suitable men and women, members of the United</w:t>
      </w:r>
      <w:r>
        <w:rPr>
          <w:spacing w:val="31"/>
          <w:w w:val="120"/>
        </w:rPr>
        <w:t> </w:t>
      </w:r>
      <w:r>
        <w:rPr>
          <w:w w:val="120"/>
        </w:rPr>
        <w:t>Reformed</w:t>
      </w:r>
    </w:p>
    <w:p>
      <w:pPr>
        <w:spacing w:line="235" w:lineRule="auto" w:before="3"/>
        <w:ind w:left="1287" w:right="2040" w:firstLine="0"/>
        <w:jc w:val="left"/>
        <w:rPr>
          <w:sz w:val="20"/>
        </w:rPr>
      </w:pPr>
      <w:r>
        <w:rPr>
          <w:w w:val="115"/>
          <w:sz w:val="20"/>
        </w:rPr>
        <w:t>Church, to be accredited by synods as lay preachers; </w:t>
      </w:r>
      <w:r>
        <w:rPr>
          <w:spacing w:val="-11"/>
          <w:w w:val="115"/>
          <w:sz w:val="20"/>
        </w:rPr>
        <w:t>(c) </w:t>
      </w:r>
      <w:r>
        <w:rPr>
          <w:w w:val="115"/>
          <w:sz w:val="20"/>
        </w:rPr>
        <w:t>make provision through synods, in full consultation with the local churches concerned, for the </w:t>
      </w:r>
      <w:r>
        <w:rPr>
          <w:i/>
          <w:w w:val="115"/>
          <w:sz w:val="20"/>
        </w:rPr>
        <w:t>recognition    </w:t>
      </w:r>
      <w:r>
        <w:rPr>
          <w:i/>
          <w:w w:val="115"/>
          <w:sz w:val="20"/>
        </w:rPr>
        <w:t>of certain members of the United Reformed Church, normally deaconesses, elders or accredited</w:t>
      </w:r>
      <w:r>
        <w:rPr>
          <w:i/>
          <w:spacing w:val="-14"/>
          <w:w w:val="115"/>
          <w:sz w:val="20"/>
        </w:rPr>
        <w:t> </w:t>
      </w:r>
      <w:r>
        <w:rPr>
          <w:i/>
          <w:w w:val="115"/>
          <w:sz w:val="20"/>
        </w:rPr>
        <w:t>lay</w:t>
      </w:r>
      <w:r>
        <w:rPr>
          <w:i/>
          <w:spacing w:val="-14"/>
          <w:w w:val="115"/>
          <w:sz w:val="20"/>
        </w:rPr>
        <w:t> </w:t>
      </w:r>
      <w:r>
        <w:rPr>
          <w:i/>
          <w:w w:val="115"/>
          <w:sz w:val="20"/>
        </w:rPr>
        <w:t>preachers,</w:t>
      </w:r>
      <w:r>
        <w:rPr>
          <w:i/>
          <w:spacing w:val="-14"/>
          <w:w w:val="115"/>
          <w:sz w:val="20"/>
        </w:rPr>
        <w:t> </w:t>
      </w:r>
      <w:r>
        <w:rPr>
          <w:i/>
          <w:w w:val="115"/>
          <w:sz w:val="20"/>
        </w:rPr>
        <w:t>who</w:t>
      </w:r>
      <w:r>
        <w:rPr>
          <w:i/>
          <w:spacing w:val="-13"/>
          <w:w w:val="115"/>
          <w:sz w:val="20"/>
        </w:rPr>
        <w:t> </w:t>
      </w:r>
      <w:r>
        <w:rPr>
          <w:i/>
          <w:w w:val="115"/>
          <w:sz w:val="20"/>
        </w:rPr>
        <w:t>may</w:t>
      </w:r>
      <w:r>
        <w:rPr>
          <w:i/>
          <w:spacing w:val="-14"/>
          <w:w w:val="115"/>
          <w:sz w:val="20"/>
        </w:rPr>
        <w:t> </w:t>
      </w:r>
      <w:r>
        <w:rPr>
          <w:i/>
          <w:w w:val="115"/>
          <w:sz w:val="20"/>
        </w:rPr>
        <w:t>be</w:t>
      </w:r>
      <w:r>
        <w:rPr>
          <w:i/>
          <w:spacing w:val="-14"/>
          <w:w w:val="115"/>
          <w:sz w:val="20"/>
        </w:rPr>
        <w:t> </w:t>
      </w:r>
      <w:r>
        <w:rPr>
          <w:i/>
          <w:w w:val="115"/>
          <w:sz w:val="20"/>
        </w:rPr>
        <w:t>invited</w:t>
      </w:r>
      <w:r>
        <w:rPr>
          <w:i/>
          <w:spacing w:val="-13"/>
          <w:w w:val="115"/>
          <w:sz w:val="20"/>
        </w:rPr>
        <w:t> </w:t>
      </w:r>
      <w:r>
        <w:rPr>
          <w:i/>
          <w:w w:val="115"/>
          <w:sz w:val="20"/>
        </w:rPr>
        <w:t>by</w:t>
      </w:r>
      <w:r>
        <w:rPr>
          <w:i/>
          <w:spacing w:val="-14"/>
          <w:w w:val="115"/>
          <w:sz w:val="20"/>
        </w:rPr>
        <w:t> </w:t>
      </w:r>
      <w:r>
        <w:rPr>
          <w:i/>
          <w:w w:val="115"/>
          <w:sz w:val="20"/>
        </w:rPr>
        <w:t>local</w:t>
      </w:r>
      <w:r>
        <w:rPr>
          <w:i/>
          <w:spacing w:val="-14"/>
          <w:w w:val="115"/>
          <w:sz w:val="20"/>
        </w:rPr>
        <w:t> </w:t>
      </w:r>
      <w:r>
        <w:rPr>
          <w:i/>
          <w:w w:val="115"/>
          <w:sz w:val="20"/>
        </w:rPr>
        <w:t>churches</w:t>
      </w:r>
      <w:r>
        <w:rPr>
          <w:i/>
          <w:spacing w:val="-13"/>
          <w:w w:val="115"/>
          <w:sz w:val="20"/>
        </w:rPr>
        <w:t> </w:t>
      </w:r>
      <w:r>
        <w:rPr>
          <w:i/>
          <w:w w:val="115"/>
          <w:sz w:val="20"/>
        </w:rPr>
        <w:t>to</w:t>
      </w:r>
      <w:r>
        <w:rPr>
          <w:i/>
          <w:spacing w:val="-14"/>
          <w:w w:val="115"/>
          <w:sz w:val="20"/>
        </w:rPr>
        <w:t> </w:t>
      </w:r>
      <w:r>
        <w:rPr>
          <w:i/>
          <w:w w:val="115"/>
          <w:sz w:val="20"/>
        </w:rPr>
        <w:t>preside</w:t>
      </w:r>
      <w:r>
        <w:rPr>
          <w:i/>
          <w:spacing w:val="-14"/>
          <w:w w:val="115"/>
          <w:sz w:val="20"/>
        </w:rPr>
        <w:t> </w:t>
      </w:r>
      <w:r>
        <w:rPr>
          <w:i/>
          <w:w w:val="115"/>
          <w:sz w:val="20"/>
        </w:rPr>
        <w:t>at</w:t>
      </w:r>
      <w:r>
        <w:rPr>
          <w:i/>
          <w:spacing w:val="-14"/>
          <w:w w:val="115"/>
          <w:sz w:val="20"/>
        </w:rPr>
        <w:t> </w:t>
      </w:r>
      <w:r>
        <w:rPr>
          <w:i/>
          <w:w w:val="115"/>
          <w:sz w:val="20"/>
        </w:rPr>
        <w:t>baptismal and communion services, where pastoral necessity so requires</w:t>
      </w:r>
      <w:r>
        <w:rPr>
          <w:w w:val="115"/>
          <w:sz w:val="20"/>
        </w:rPr>
        <w:t>. … </w:t>
      </w:r>
      <w:r>
        <w:rPr>
          <w:spacing w:val="2"/>
          <w:w w:val="115"/>
          <w:sz w:val="20"/>
        </w:rPr>
        <w:t>Apart </w:t>
      </w:r>
      <w:r>
        <w:rPr>
          <w:w w:val="115"/>
          <w:sz w:val="20"/>
        </w:rPr>
        <w:t>from ordained ministers of the United Reformed Church and of other  churches,  only such</w:t>
      </w:r>
      <w:r>
        <w:rPr>
          <w:spacing w:val="19"/>
          <w:w w:val="115"/>
          <w:sz w:val="20"/>
        </w:rPr>
        <w:t> </w:t>
      </w:r>
      <w:r>
        <w:rPr>
          <w:w w:val="115"/>
          <w:sz w:val="20"/>
        </w:rPr>
        <w:t>recognized</w:t>
      </w:r>
      <w:r>
        <w:rPr>
          <w:spacing w:val="19"/>
          <w:w w:val="115"/>
          <w:sz w:val="20"/>
        </w:rPr>
        <w:t> </w:t>
      </w:r>
      <w:r>
        <w:rPr>
          <w:w w:val="115"/>
          <w:sz w:val="20"/>
        </w:rPr>
        <w:t>persons</w:t>
      </w:r>
      <w:r>
        <w:rPr>
          <w:spacing w:val="19"/>
          <w:w w:val="115"/>
          <w:sz w:val="20"/>
        </w:rPr>
        <w:t> </w:t>
      </w:r>
      <w:r>
        <w:rPr>
          <w:w w:val="115"/>
          <w:sz w:val="20"/>
        </w:rPr>
        <w:t>may</w:t>
      </w:r>
      <w:r>
        <w:rPr>
          <w:spacing w:val="19"/>
          <w:w w:val="115"/>
          <w:sz w:val="20"/>
        </w:rPr>
        <w:t> </w:t>
      </w:r>
      <w:r>
        <w:rPr>
          <w:w w:val="115"/>
          <w:sz w:val="20"/>
        </w:rPr>
        <w:t>be</w:t>
      </w:r>
      <w:r>
        <w:rPr>
          <w:spacing w:val="19"/>
          <w:w w:val="115"/>
          <w:sz w:val="20"/>
        </w:rPr>
        <w:t> </w:t>
      </w:r>
      <w:r>
        <w:rPr>
          <w:w w:val="115"/>
          <w:sz w:val="20"/>
        </w:rPr>
        <w:t>invited</w:t>
      </w:r>
      <w:r>
        <w:rPr>
          <w:spacing w:val="19"/>
          <w:w w:val="115"/>
          <w:sz w:val="20"/>
        </w:rPr>
        <w:t> </w:t>
      </w:r>
      <w:r>
        <w:rPr>
          <w:spacing w:val="-3"/>
          <w:w w:val="115"/>
          <w:sz w:val="20"/>
        </w:rPr>
        <w:t>(</w:t>
      </w:r>
      <w:r>
        <w:rPr>
          <w:i/>
          <w:spacing w:val="-3"/>
          <w:w w:val="115"/>
          <w:sz w:val="20"/>
        </w:rPr>
        <w:t>Basis</w:t>
      </w:r>
      <w:r>
        <w:rPr>
          <w:i/>
          <w:spacing w:val="15"/>
          <w:w w:val="115"/>
          <w:sz w:val="20"/>
        </w:rPr>
        <w:t> </w:t>
      </w:r>
      <w:r>
        <w:rPr>
          <w:i/>
          <w:w w:val="115"/>
          <w:sz w:val="20"/>
        </w:rPr>
        <w:t>of</w:t>
      </w:r>
      <w:r>
        <w:rPr>
          <w:i/>
          <w:spacing w:val="16"/>
          <w:w w:val="115"/>
          <w:sz w:val="20"/>
        </w:rPr>
        <w:t> </w:t>
      </w:r>
      <w:r>
        <w:rPr>
          <w:i/>
          <w:w w:val="115"/>
          <w:sz w:val="20"/>
        </w:rPr>
        <w:t>Union</w:t>
      </w:r>
      <w:r>
        <w:rPr>
          <w:i/>
          <w:spacing w:val="15"/>
          <w:w w:val="115"/>
          <w:sz w:val="20"/>
        </w:rPr>
        <w:t> </w:t>
      </w:r>
      <w:r>
        <w:rPr>
          <w:spacing w:val="-3"/>
          <w:w w:val="115"/>
          <w:sz w:val="20"/>
        </w:rPr>
        <w:t>§25)</w:t>
      </w:r>
      <w:r>
        <w:rPr>
          <w:spacing w:val="15"/>
          <w:w w:val="115"/>
          <w:sz w:val="20"/>
        </w:rPr>
        <w:t> </w:t>
      </w:r>
      <w:r>
        <w:rPr>
          <w:w w:val="115"/>
          <w:sz w:val="20"/>
        </w:rPr>
        <w:t>[italics</w:t>
      </w:r>
      <w:r>
        <w:rPr>
          <w:spacing w:val="19"/>
          <w:w w:val="115"/>
          <w:sz w:val="20"/>
        </w:rPr>
        <w:t> </w:t>
      </w:r>
      <w:r>
        <w:rPr>
          <w:w w:val="115"/>
          <w:sz w:val="20"/>
        </w:rPr>
        <w:t>added].</w:t>
      </w:r>
    </w:p>
    <w:p>
      <w:pPr>
        <w:pStyle w:val="BodyText"/>
        <w:spacing w:before="1"/>
      </w:pPr>
    </w:p>
    <w:p>
      <w:pPr>
        <w:pStyle w:val="ListParagraph"/>
        <w:numPr>
          <w:ilvl w:val="1"/>
          <w:numId w:val="132"/>
        </w:numPr>
        <w:tabs>
          <w:tab w:pos="1287" w:val="left" w:leader="none"/>
          <w:tab w:pos="1288" w:val="left" w:leader="none"/>
        </w:tabs>
        <w:spacing w:line="235" w:lineRule="auto" w:before="1" w:after="0"/>
        <w:ind w:left="607" w:right="2579" w:firstLine="0"/>
        <w:jc w:val="left"/>
        <w:rPr>
          <w:sz w:val="20"/>
        </w:rPr>
      </w:pPr>
      <w:r>
        <w:rPr>
          <w:w w:val="120"/>
          <w:sz w:val="20"/>
        </w:rPr>
        <w:t>These provisions suggest that, if any decision were made to enable elders to</w:t>
      </w:r>
      <w:r>
        <w:rPr>
          <w:spacing w:val="-15"/>
          <w:w w:val="120"/>
          <w:sz w:val="20"/>
        </w:rPr>
        <w:t> </w:t>
      </w:r>
      <w:r>
        <w:rPr>
          <w:w w:val="120"/>
          <w:sz w:val="20"/>
        </w:rPr>
        <w:t>preside</w:t>
      </w:r>
      <w:r>
        <w:rPr>
          <w:spacing w:val="-14"/>
          <w:w w:val="120"/>
          <w:sz w:val="20"/>
        </w:rPr>
        <w:t> </w:t>
      </w:r>
      <w:r>
        <w:rPr>
          <w:w w:val="120"/>
          <w:sz w:val="20"/>
        </w:rPr>
        <w:t>at</w:t>
      </w:r>
      <w:r>
        <w:rPr>
          <w:spacing w:val="-14"/>
          <w:w w:val="120"/>
          <w:sz w:val="20"/>
        </w:rPr>
        <w:t> </w:t>
      </w:r>
      <w:r>
        <w:rPr>
          <w:w w:val="120"/>
          <w:sz w:val="20"/>
        </w:rPr>
        <w:t>Communion</w:t>
      </w:r>
      <w:r>
        <w:rPr>
          <w:spacing w:val="-14"/>
          <w:w w:val="120"/>
          <w:sz w:val="20"/>
        </w:rPr>
        <w:t> </w:t>
      </w:r>
      <w:r>
        <w:rPr>
          <w:i/>
          <w:w w:val="120"/>
          <w:sz w:val="20"/>
        </w:rPr>
        <w:t>as</w:t>
      </w:r>
      <w:r>
        <w:rPr>
          <w:i/>
          <w:spacing w:val="-16"/>
          <w:w w:val="120"/>
          <w:sz w:val="20"/>
        </w:rPr>
        <w:t> </w:t>
      </w:r>
      <w:r>
        <w:rPr>
          <w:i/>
          <w:w w:val="120"/>
          <w:sz w:val="20"/>
        </w:rPr>
        <w:t>one</w:t>
      </w:r>
      <w:r>
        <w:rPr>
          <w:i/>
          <w:spacing w:val="-16"/>
          <w:w w:val="120"/>
          <w:sz w:val="20"/>
        </w:rPr>
        <w:t> </w:t>
      </w:r>
      <w:r>
        <w:rPr>
          <w:i/>
          <w:w w:val="120"/>
          <w:sz w:val="20"/>
        </w:rPr>
        <w:t>of</w:t>
      </w:r>
      <w:r>
        <w:rPr>
          <w:i/>
          <w:spacing w:val="-16"/>
          <w:w w:val="120"/>
          <w:sz w:val="20"/>
        </w:rPr>
        <w:t> </w:t>
      </w:r>
      <w:r>
        <w:rPr>
          <w:i/>
          <w:w w:val="120"/>
          <w:sz w:val="20"/>
        </w:rPr>
        <w:t>their</w:t>
      </w:r>
      <w:r>
        <w:rPr>
          <w:i/>
          <w:spacing w:val="-16"/>
          <w:w w:val="120"/>
          <w:sz w:val="20"/>
        </w:rPr>
        <w:t> </w:t>
      </w:r>
      <w:r>
        <w:rPr>
          <w:i/>
          <w:w w:val="120"/>
          <w:sz w:val="20"/>
        </w:rPr>
        <w:t>duties</w:t>
      </w:r>
      <w:r>
        <w:rPr>
          <w:i/>
          <w:spacing w:val="-16"/>
          <w:w w:val="120"/>
          <w:sz w:val="20"/>
        </w:rPr>
        <w:t> </w:t>
      </w:r>
      <w:r>
        <w:rPr>
          <w:i/>
          <w:w w:val="120"/>
          <w:sz w:val="20"/>
        </w:rPr>
        <w:t>as</w:t>
      </w:r>
      <w:r>
        <w:rPr>
          <w:i/>
          <w:spacing w:val="-16"/>
          <w:w w:val="120"/>
          <w:sz w:val="20"/>
        </w:rPr>
        <w:t> </w:t>
      </w:r>
      <w:r>
        <w:rPr>
          <w:i/>
          <w:w w:val="120"/>
          <w:sz w:val="20"/>
        </w:rPr>
        <w:t>elders</w:t>
      </w:r>
      <w:r>
        <w:rPr>
          <w:w w:val="120"/>
          <w:sz w:val="20"/>
        </w:rPr>
        <w:t>,</w:t>
      </w:r>
      <w:r>
        <w:rPr>
          <w:spacing w:val="-14"/>
          <w:w w:val="120"/>
          <w:sz w:val="20"/>
        </w:rPr>
        <w:t> </w:t>
      </w:r>
      <w:r>
        <w:rPr>
          <w:w w:val="120"/>
          <w:sz w:val="20"/>
        </w:rPr>
        <w:t>an</w:t>
      </w:r>
      <w:r>
        <w:rPr>
          <w:spacing w:val="-14"/>
          <w:w w:val="120"/>
          <w:sz w:val="20"/>
        </w:rPr>
        <w:t> </w:t>
      </w:r>
      <w:r>
        <w:rPr>
          <w:w w:val="120"/>
          <w:sz w:val="20"/>
        </w:rPr>
        <w:t>alteration</w:t>
      </w:r>
      <w:r>
        <w:rPr>
          <w:spacing w:val="-15"/>
          <w:w w:val="120"/>
          <w:sz w:val="20"/>
        </w:rPr>
        <w:t> </w:t>
      </w:r>
      <w:r>
        <w:rPr>
          <w:w w:val="120"/>
          <w:sz w:val="20"/>
        </w:rPr>
        <w:t>of</w:t>
      </w:r>
      <w:r>
        <w:rPr>
          <w:spacing w:val="-14"/>
          <w:w w:val="120"/>
          <w:sz w:val="20"/>
        </w:rPr>
        <w:t> </w:t>
      </w:r>
      <w:r>
        <w:rPr>
          <w:w w:val="120"/>
          <w:sz w:val="20"/>
        </w:rPr>
        <w:t>the</w:t>
      </w:r>
      <w:r>
        <w:rPr>
          <w:spacing w:val="-14"/>
          <w:w w:val="120"/>
          <w:sz w:val="20"/>
        </w:rPr>
        <w:t> </w:t>
      </w:r>
      <w:r>
        <w:rPr>
          <w:w w:val="120"/>
          <w:sz w:val="20"/>
        </w:rPr>
        <w:t>Basis</w:t>
      </w:r>
      <w:r>
        <w:rPr>
          <w:spacing w:val="-14"/>
          <w:w w:val="120"/>
          <w:sz w:val="20"/>
        </w:rPr>
        <w:t> </w:t>
      </w:r>
      <w:r>
        <w:rPr>
          <w:w w:val="120"/>
          <w:sz w:val="20"/>
        </w:rPr>
        <w:t>of</w:t>
      </w:r>
    </w:p>
    <w:p>
      <w:pPr>
        <w:pStyle w:val="BodyText"/>
        <w:spacing w:line="235" w:lineRule="auto" w:before="1"/>
        <w:ind w:left="607" w:right="2045"/>
      </w:pPr>
      <w:r>
        <w:rPr>
          <w:w w:val="125"/>
        </w:rPr>
        <w:t>Union</w:t>
      </w:r>
      <w:r>
        <w:rPr>
          <w:spacing w:val="-19"/>
          <w:w w:val="125"/>
        </w:rPr>
        <w:t> </w:t>
      </w:r>
      <w:r>
        <w:rPr>
          <w:w w:val="125"/>
        </w:rPr>
        <w:t>would</w:t>
      </w:r>
      <w:r>
        <w:rPr>
          <w:spacing w:val="-19"/>
          <w:w w:val="125"/>
        </w:rPr>
        <w:t> </w:t>
      </w:r>
      <w:r>
        <w:rPr>
          <w:w w:val="125"/>
        </w:rPr>
        <w:t>be</w:t>
      </w:r>
      <w:r>
        <w:rPr>
          <w:spacing w:val="-19"/>
          <w:w w:val="125"/>
        </w:rPr>
        <w:t> </w:t>
      </w:r>
      <w:r>
        <w:rPr>
          <w:w w:val="125"/>
        </w:rPr>
        <w:t>required.</w:t>
      </w:r>
      <w:r>
        <w:rPr>
          <w:spacing w:val="-18"/>
          <w:w w:val="125"/>
        </w:rPr>
        <w:t> </w:t>
      </w:r>
      <w:r>
        <w:rPr>
          <w:w w:val="125"/>
        </w:rPr>
        <w:t>An</w:t>
      </w:r>
      <w:r>
        <w:rPr>
          <w:spacing w:val="-19"/>
          <w:w w:val="125"/>
        </w:rPr>
        <w:t> </w:t>
      </w:r>
      <w:r>
        <w:rPr>
          <w:w w:val="125"/>
        </w:rPr>
        <w:t>illustration</w:t>
      </w:r>
      <w:r>
        <w:rPr>
          <w:spacing w:val="-19"/>
          <w:w w:val="125"/>
        </w:rPr>
        <w:t> </w:t>
      </w:r>
      <w:r>
        <w:rPr>
          <w:w w:val="125"/>
        </w:rPr>
        <w:t>of</w:t>
      </w:r>
      <w:r>
        <w:rPr>
          <w:spacing w:val="-19"/>
          <w:w w:val="125"/>
        </w:rPr>
        <w:t> </w:t>
      </w:r>
      <w:r>
        <w:rPr>
          <w:w w:val="125"/>
        </w:rPr>
        <w:t>the</w:t>
      </w:r>
      <w:r>
        <w:rPr>
          <w:spacing w:val="-18"/>
          <w:w w:val="125"/>
        </w:rPr>
        <w:t> </w:t>
      </w:r>
      <w:r>
        <w:rPr>
          <w:w w:val="125"/>
        </w:rPr>
        <w:t>kind</w:t>
      </w:r>
      <w:r>
        <w:rPr>
          <w:spacing w:val="-19"/>
          <w:w w:val="125"/>
        </w:rPr>
        <w:t> </w:t>
      </w:r>
      <w:r>
        <w:rPr>
          <w:w w:val="125"/>
        </w:rPr>
        <w:t>of</w:t>
      </w:r>
      <w:r>
        <w:rPr>
          <w:spacing w:val="-19"/>
          <w:w w:val="125"/>
        </w:rPr>
        <w:t> </w:t>
      </w:r>
      <w:r>
        <w:rPr>
          <w:w w:val="125"/>
        </w:rPr>
        <w:t>change</w:t>
      </w:r>
      <w:r>
        <w:rPr>
          <w:spacing w:val="-19"/>
          <w:w w:val="125"/>
        </w:rPr>
        <w:t> </w:t>
      </w:r>
      <w:r>
        <w:rPr>
          <w:w w:val="125"/>
        </w:rPr>
        <w:t>that</w:t>
      </w:r>
      <w:r>
        <w:rPr>
          <w:spacing w:val="-18"/>
          <w:w w:val="125"/>
        </w:rPr>
        <w:t> </w:t>
      </w:r>
      <w:r>
        <w:rPr>
          <w:w w:val="125"/>
        </w:rPr>
        <w:t>we</w:t>
      </w:r>
      <w:r>
        <w:rPr>
          <w:spacing w:val="-19"/>
          <w:w w:val="125"/>
        </w:rPr>
        <w:t> </w:t>
      </w:r>
      <w:r>
        <w:rPr>
          <w:w w:val="125"/>
        </w:rPr>
        <w:t>have</w:t>
      </w:r>
      <w:r>
        <w:rPr>
          <w:spacing w:val="-19"/>
          <w:w w:val="125"/>
        </w:rPr>
        <w:t> </w:t>
      </w:r>
      <w:r>
        <w:rPr>
          <w:w w:val="125"/>
        </w:rPr>
        <w:t>discussed would be either to specify an additional duty for elders to preside within the local congregation, or to remove the phrase ‘where pastoral necessity so requires’, or both. Such an alteration would be justified on the basis that </w:t>
      </w:r>
      <w:r>
        <w:rPr>
          <w:spacing w:val="-6"/>
          <w:w w:val="125"/>
        </w:rPr>
        <w:t>(as </w:t>
      </w:r>
      <w:r>
        <w:rPr>
          <w:w w:val="125"/>
        </w:rPr>
        <w:t>resolution 30b of 2005</w:t>
      </w:r>
      <w:r>
        <w:rPr>
          <w:spacing w:val="-19"/>
          <w:w w:val="125"/>
        </w:rPr>
        <w:t> </w:t>
      </w:r>
      <w:r>
        <w:rPr>
          <w:w w:val="125"/>
        </w:rPr>
        <w:t>concerning</w:t>
      </w:r>
      <w:r>
        <w:rPr>
          <w:spacing w:val="-19"/>
          <w:w w:val="125"/>
        </w:rPr>
        <w:t> </w:t>
      </w:r>
      <w:r>
        <w:rPr>
          <w:w w:val="125"/>
        </w:rPr>
        <w:t>deployment</w:t>
      </w:r>
      <w:r>
        <w:rPr>
          <w:spacing w:val="-19"/>
          <w:w w:val="125"/>
        </w:rPr>
        <w:t> </w:t>
      </w:r>
      <w:r>
        <w:rPr>
          <w:w w:val="125"/>
        </w:rPr>
        <w:t>in</w:t>
      </w:r>
      <w:r>
        <w:rPr>
          <w:spacing w:val="-19"/>
          <w:w w:val="125"/>
        </w:rPr>
        <w:t> </w:t>
      </w:r>
      <w:r>
        <w:rPr>
          <w:w w:val="125"/>
        </w:rPr>
        <w:t>the</w:t>
      </w:r>
      <w:r>
        <w:rPr>
          <w:spacing w:val="-18"/>
          <w:w w:val="125"/>
        </w:rPr>
        <w:t> </w:t>
      </w:r>
      <w:r>
        <w:rPr>
          <w:w w:val="125"/>
        </w:rPr>
        <w:t>light</w:t>
      </w:r>
      <w:r>
        <w:rPr>
          <w:spacing w:val="-19"/>
          <w:w w:val="125"/>
        </w:rPr>
        <w:t> </w:t>
      </w:r>
      <w:r>
        <w:rPr>
          <w:w w:val="125"/>
        </w:rPr>
        <w:t>of</w:t>
      </w:r>
      <w:r>
        <w:rPr>
          <w:spacing w:val="-19"/>
          <w:w w:val="125"/>
        </w:rPr>
        <w:t> </w:t>
      </w:r>
      <w:r>
        <w:rPr>
          <w:w w:val="125"/>
        </w:rPr>
        <w:t>the</w:t>
      </w:r>
      <w:r>
        <w:rPr>
          <w:spacing w:val="-19"/>
          <w:w w:val="125"/>
        </w:rPr>
        <w:t> </w:t>
      </w:r>
      <w:r>
        <w:rPr>
          <w:spacing w:val="2"/>
          <w:w w:val="125"/>
        </w:rPr>
        <w:t>report</w:t>
      </w:r>
      <w:r>
        <w:rPr>
          <w:spacing w:val="-18"/>
          <w:w w:val="125"/>
        </w:rPr>
        <w:t> </w:t>
      </w:r>
      <w:r>
        <w:rPr>
          <w:i/>
          <w:w w:val="125"/>
        </w:rPr>
        <w:t>Equipping</w:t>
      </w:r>
      <w:r>
        <w:rPr>
          <w:i/>
          <w:spacing w:val="-21"/>
          <w:w w:val="125"/>
        </w:rPr>
        <w:t> </w:t>
      </w:r>
      <w:r>
        <w:rPr>
          <w:i/>
          <w:w w:val="125"/>
        </w:rPr>
        <w:t>the</w:t>
      </w:r>
      <w:r>
        <w:rPr>
          <w:i/>
          <w:spacing w:val="-21"/>
          <w:w w:val="125"/>
        </w:rPr>
        <w:t> </w:t>
      </w:r>
      <w:r>
        <w:rPr>
          <w:i/>
          <w:w w:val="125"/>
        </w:rPr>
        <w:t>Saints</w:t>
      </w:r>
      <w:r>
        <w:rPr>
          <w:i/>
          <w:spacing w:val="-19"/>
          <w:w w:val="125"/>
        </w:rPr>
        <w:t> </w:t>
      </w:r>
      <w:r>
        <w:rPr>
          <w:w w:val="125"/>
        </w:rPr>
        <w:t>implied)</w:t>
      </w:r>
    </w:p>
    <w:p>
      <w:pPr>
        <w:pStyle w:val="BodyText"/>
        <w:spacing w:line="235" w:lineRule="auto" w:before="4"/>
        <w:ind w:left="607" w:right="2231"/>
      </w:pPr>
      <w:r>
        <w:rPr>
          <w:w w:val="120"/>
        </w:rPr>
        <w:t>it is no longer in practice the case in the United Reformed Church that ‘ordained Ministers of the Word and Sacraments are readily available to every local church’. However, the inclusion of such a duty might also put off others who would be quite prepared to become elders on the current basis. Thus the amendment might have to be more complicated, e.g. by inserting a phrase after ‘the local churches’ in §22 such as: ‘presiding (if they are willing) at the sacraments when required’. Such a detailed reflection was necessary in order to see whether there was a simple amendment that would achieve this. There is not one.</w:t>
      </w:r>
    </w:p>
    <w:p>
      <w:pPr>
        <w:pStyle w:val="BodyText"/>
        <w:spacing w:before="1"/>
      </w:pPr>
    </w:p>
    <w:p>
      <w:pPr>
        <w:pStyle w:val="ListParagraph"/>
        <w:numPr>
          <w:ilvl w:val="1"/>
          <w:numId w:val="132"/>
        </w:numPr>
        <w:tabs>
          <w:tab w:pos="1287" w:val="left" w:leader="none"/>
          <w:tab w:pos="1288" w:val="left" w:leader="none"/>
        </w:tabs>
        <w:spacing w:line="235" w:lineRule="auto" w:before="1" w:after="0"/>
        <w:ind w:left="607" w:right="2307" w:firstLine="0"/>
        <w:jc w:val="left"/>
        <w:rPr>
          <w:sz w:val="20"/>
        </w:rPr>
      </w:pPr>
      <w:r>
        <w:rPr>
          <w:w w:val="120"/>
          <w:sz w:val="20"/>
        </w:rPr>
        <w:t>The interpretation of the phrase ‘pastoral necessity’ as the current criterion for authorisation of elders to preside at communion exemplifies the tension between different understandings of ‘normal’ practice within our churches. That tension has never been resolved, and experience suggests that ‘pastoral necessity’</w:t>
      </w:r>
      <w:r>
        <w:rPr>
          <w:spacing w:val="31"/>
          <w:w w:val="120"/>
          <w:sz w:val="20"/>
        </w:rPr>
        <w:t> </w:t>
      </w:r>
      <w:r>
        <w:rPr>
          <w:w w:val="120"/>
          <w:sz w:val="20"/>
        </w:rPr>
        <w:t>sometimes</w:t>
      </w:r>
    </w:p>
    <w:p>
      <w:pPr>
        <w:pStyle w:val="BodyText"/>
        <w:spacing w:line="235" w:lineRule="auto" w:before="2"/>
        <w:ind w:left="607" w:right="2120"/>
      </w:pPr>
      <w:r>
        <w:rPr>
          <w:w w:val="120"/>
        </w:rPr>
        <w:t>lasts for much longer than was originally envisaged in the </w:t>
      </w:r>
      <w:r>
        <w:rPr>
          <w:spacing w:val="-3"/>
          <w:w w:val="120"/>
        </w:rPr>
        <w:t>1960s. </w:t>
      </w:r>
      <w:r>
        <w:rPr>
          <w:spacing w:val="-7"/>
          <w:w w:val="120"/>
        </w:rPr>
        <w:t>To </w:t>
      </w:r>
      <w:r>
        <w:rPr>
          <w:w w:val="120"/>
        </w:rPr>
        <w:t>recognise this we propose extending the normal period for such authorisations from one year to three   to five years, according to the judgement of the synod concerned. (The committee considers it unreasonable to expect someone to spend a year or more preparing for</w:t>
      </w:r>
      <w:r>
        <w:rPr>
          <w:spacing w:val="47"/>
          <w:w w:val="120"/>
        </w:rPr>
        <w:t> </w:t>
      </w:r>
      <w:r>
        <w:rPr>
          <w:w w:val="120"/>
        </w:rPr>
        <w:t>an</w:t>
      </w:r>
    </w:p>
    <w:p>
      <w:pPr>
        <w:pStyle w:val="BodyText"/>
        <w:spacing w:line="235" w:lineRule="auto" w:before="3"/>
        <w:ind w:left="607" w:right="2007"/>
      </w:pPr>
      <w:r>
        <w:rPr>
          <w:w w:val="120"/>
        </w:rPr>
        <w:t>authorisation that might only last for a year.) We also suggest that such authorisation be given for a probationary year on first appointment, before a service of commissioning takes place. This would make it possible for the candidate to conduct more than one service, and thereby enable both congregations and candidate to decide whether the candidate should continue.</w:t>
      </w:r>
    </w:p>
    <w:p>
      <w:pPr>
        <w:pStyle w:val="BodyText"/>
      </w:pPr>
    </w:p>
    <w:p>
      <w:pPr>
        <w:pStyle w:val="ListParagraph"/>
        <w:numPr>
          <w:ilvl w:val="1"/>
          <w:numId w:val="132"/>
        </w:numPr>
        <w:tabs>
          <w:tab w:pos="1287" w:val="left" w:leader="none"/>
          <w:tab w:pos="1288" w:val="left" w:leader="none"/>
        </w:tabs>
        <w:spacing w:line="235" w:lineRule="auto" w:before="0" w:after="0"/>
        <w:ind w:left="607" w:right="2025" w:firstLine="0"/>
        <w:jc w:val="left"/>
        <w:rPr>
          <w:sz w:val="20"/>
        </w:rPr>
      </w:pPr>
      <w:r>
        <w:rPr>
          <w:w w:val="120"/>
          <w:sz w:val="20"/>
        </w:rPr>
        <w:t>The committee notes that the demographic profile of our Church has led to an increasing need for provision of Communion for the housebound and those in care homes. We affirm the importance of meeting this need; and we also affirm that in the Reformed tradition such services are understood as distinct services of the local church concerned. This is why it is customary for the person’s elder, and possibly another member, to be present with the minister at such a service. It is not </w:t>
      </w:r>
      <w:r>
        <w:rPr>
          <w:spacing w:val="2"/>
          <w:w w:val="120"/>
          <w:sz w:val="20"/>
        </w:rPr>
        <w:t>part </w:t>
      </w:r>
      <w:r>
        <w:rPr>
          <w:w w:val="120"/>
          <w:sz w:val="20"/>
        </w:rPr>
        <w:t>of the Reformed theology of communion for bread and wine already set apart at an earlier church  service to be used for this</w:t>
      </w:r>
      <w:r>
        <w:rPr>
          <w:spacing w:val="12"/>
          <w:w w:val="120"/>
          <w:sz w:val="20"/>
        </w:rPr>
        <w:t> </w:t>
      </w:r>
      <w:r>
        <w:rPr>
          <w:w w:val="120"/>
          <w:sz w:val="20"/>
        </w:rPr>
        <w:t>purpose.</w:t>
      </w:r>
    </w:p>
    <w:p>
      <w:pPr>
        <w:pStyle w:val="BodyText"/>
        <w:spacing w:before="2"/>
      </w:pPr>
    </w:p>
    <w:p>
      <w:pPr>
        <w:pStyle w:val="ListParagraph"/>
        <w:numPr>
          <w:ilvl w:val="1"/>
          <w:numId w:val="132"/>
        </w:numPr>
        <w:tabs>
          <w:tab w:pos="1287" w:val="left" w:leader="none"/>
          <w:tab w:pos="1288" w:val="left" w:leader="none"/>
        </w:tabs>
        <w:spacing w:line="235" w:lineRule="auto" w:before="0" w:after="0"/>
        <w:ind w:left="607" w:right="2258" w:firstLine="0"/>
        <w:jc w:val="left"/>
        <w:rPr>
          <w:sz w:val="20"/>
        </w:rPr>
      </w:pPr>
      <w:r>
        <w:rPr>
          <w:w w:val="120"/>
          <w:sz w:val="20"/>
        </w:rPr>
        <w:t>Lay preachers also may be authorised in case of pastoral necessity to preside  at</w:t>
      </w:r>
      <w:r>
        <w:rPr>
          <w:spacing w:val="-5"/>
          <w:w w:val="120"/>
          <w:sz w:val="20"/>
        </w:rPr>
        <w:t> </w:t>
      </w:r>
      <w:r>
        <w:rPr>
          <w:w w:val="120"/>
          <w:sz w:val="20"/>
        </w:rPr>
        <w:t>Communion</w:t>
      </w:r>
      <w:r>
        <w:rPr>
          <w:spacing w:val="-5"/>
          <w:w w:val="120"/>
          <w:sz w:val="20"/>
        </w:rPr>
        <w:t> </w:t>
      </w:r>
      <w:r>
        <w:rPr>
          <w:spacing w:val="-4"/>
          <w:w w:val="120"/>
          <w:sz w:val="20"/>
        </w:rPr>
        <w:t>(see </w:t>
      </w:r>
      <w:r>
        <w:rPr>
          <w:i/>
          <w:w w:val="120"/>
          <w:sz w:val="20"/>
        </w:rPr>
        <w:t>Basis</w:t>
      </w:r>
      <w:r>
        <w:rPr>
          <w:i/>
          <w:spacing w:val="-8"/>
          <w:w w:val="120"/>
          <w:sz w:val="20"/>
        </w:rPr>
        <w:t> </w:t>
      </w:r>
      <w:r>
        <w:rPr>
          <w:i/>
          <w:w w:val="120"/>
          <w:sz w:val="20"/>
        </w:rPr>
        <w:t>of</w:t>
      </w:r>
      <w:r>
        <w:rPr>
          <w:i/>
          <w:spacing w:val="-7"/>
          <w:w w:val="120"/>
          <w:sz w:val="20"/>
        </w:rPr>
        <w:t> </w:t>
      </w:r>
      <w:r>
        <w:rPr>
          <w:i/>
          <w:w w:val="120"/>
          <w:sz w:val="20"/>
        </w:rPr>
        <w:t>Union</w:t>
      </w:r>
      <w:r>
        <w:rPr>
          <w:i/>
          <w:spacing w:val="-7"/>
          <w:w w:val="120"/>
          <w:sz w:val="20"/>
        </w:rPr>
        <w:t> </w:t>
      </w:r>
      <w:r>
        <w:rPr>
          <w:spacing w:val="-4"/>
          <w:w w:val="120"/>
          <w:sz w:val="20"/>
        </w:rPr>
        <w:t>§25),</w:t>
      </w:r>
      <w:r>
        <w:rPr>
          <w:spacing w:val="-5"/>
          <w:w w:val="120"/>
          <w:sz w:val="20"/>
        </w:rPr>
        <w:t> </w:t>
      </w:r>
      <w:r>
        <w:rPr>
          <w:w w:val="120"/>
          <w:sz w:val="20"/>
        </w:rPr>
        <w:t>but</w:t>
      </w:r>
      <w:r>
        <w:rPr>
          <w:spacing w:val="-5"/>
          <w:w w:val="120"/>
          <w:sz w:val="20"/>
        </w:rPr>
        <w:t> </w:t>
      </w:r>
      <w:r>
        <w:rPr>
          <w:w w:val="120"/>
          <w:sz w:val="20"/>
        </w:rPr>
        <w:t>they</w:t>
      </w:r>
      <w:r>
        <w:rPr>
          <w:spacing w:val="-4"/>
          <w:w w:val="120"/>
          <w:sz w:val="20"/>
        </w:rPr>
        <w:t> </w:t>
      </w:r>
      <w:r>
        <w:rPr>
          <w:w w:val="120"/>
          <w:sz w:val="20"/>
        </w:rPr>
        <w:t>are</w:t>
      </w:r>
      <w:r>
        <w:rPr>
          <w:spacing w:val="-5"/>
          <w:w w:val="120"/>
          <w:sz w:val="20"/>
        </w:rPr>
        <w:t> </w:t>
      </w:r>
      <w:r>
        <w:rPr>
          <w:w w:val="120"/>
          <w:sz w:val="20"/>
        </w:rPr>
        <w:t>listed</w:t>
      </w:r>
      <w:r>
        <w:rPr>
          <w:spacing w:val="-5"/>
          <w:w w:val="120"/>
          <w:sz w:val="20"/>
        </w:rPr>
        <w:t> </w:t>
      </w:r>
      <w:r>
        <w:rPr>
          <w:w w:val="120"/>
          <w:sz w:val="20"/>
        </w:rPr>
        <w:t>after</w:t>
      </w:r>
      <w:r>
        <w:rPr>
          <w:spacing w:val="-4"/>
          <w:w w:val="120"/>
          <w:sz w:val="20"/>
        </w:rPr>
        <w:t> </w:t>
      </w:r>
      <w:r>
        <w:rPr>
          <w:w w:val="120"/>
          <w:sz w:val="20"/>
        </w:rPr>
        <w:t>elders</w:t>
      </w:r>
      <w:r>
        <w:rPr>
          <w:spacing w:val="-5"/>
          <w:w w:val="120"/>
          <w:sz w:val="20"/>
        </w:rPr>
        <w:t> </w:t>
      </w:r>
      <w:r>
        <w:rPr>
          <w:w w:val="120"/>
          <w:sz w:val="20"/>
        </w:rPr>
        <w:t>in</w:t>
      </w:r>
      <w:r>
        <w:rPr>
          <w:spacing w:val="-4"/>
          <w:w w:val="120"/>
          <w:sz w:val="20"/>
        </w:rPr>
        <w:t> </w:t>
      </w:r>
      <w:r>
        <w:rPr>
          <w:w w:val="120"/>
          <w:sz w:val="20"/>
        </w:rPr>
        <w:t>the</w:t>
      </w:r>
      <w:r>
        <w:rPr>
          <w:spacing w:val="-5"/>
          <w:w w:val="120"/>
          <w:sz w:val="20"/>
        </w:rPr>
        <w:t> </w:t>
      </w:r>
      <w:r>
        <w:rPr>
          <w:i/>
          <w:w w:val="120"/>
          <w:sz w:val="20"/>
        </w:rPr>
        <w:t>Basis</w:t>
      </w:r>
      <w:r>
        <w:rPr>
          <w:i/>
          <w:spacing w:val="-5"/>
          <w:w w:val="120"/>
          <w:sz w:val="20"/>
        </w:rPr>
        <w:t> </w:t>
      </w:r>
      <w:r>
        <w:rPr>
          <w:w w:val="120"/>
          <w:sz w:val="20"/>
        </w:rPr>
        <w:t>and the </w:t>
      </w:r>
      <w:r>
        <w:rPr>
          <w:spacing w:val="-6"/>
          <w:w w:val="120"/>
          <w:sz w:val="20"/>
        </w:rPr>
        <w:t>1995 </w:t>
      </w:r>
      <w:r>
        <w:rPr>
          <w:w w:val="120"/>
          <w:sz w:val="20"/>
        </w:rPr>
        <w:t>guidance, because elders have a more obvious pastoral relationship with their church. The Moderators tell us that the majority of those currently authorised  to preside are elders, and in some synods overwhelmingly so. Since lay preachers are often also elders, they have frequently taken this role, and </w:t>
      </w:r>
      <w:r>
        <w:rPr>
          <w:spacing w:val="2"/>
          <w:w w:val="120"/>
          <w:sz w:val="20"/>
        </w:rPr>
        <w:t>perform </w:t>
      </w:r>
      <w:r>
        <w:rPr>
          <w:w w:val="120"/>
          <w:sz w:val="20"/>
        </w:rPr>
        <w:t>other</w:t>
      </w:r>
      <w:r>
        <w:rPr>
          <w:spacing w:val="-7"/>
          <w:w w:val="120"/>
          <w:sz w:val="20"/>
        </w:rPr>
        <w:t> </w:t>
      </w:r>
      <w:r>
        <w:rPr>
          <w:w w:val="120"/>
          <w:sz w:val="20"/>
        </w:rPr>
        <w:t>functions</w:t>
      </w:r>
    </w:p>
    <w:p>
      <w:pPr>
        <w:spacing w:after="0" w:line="235" w:lineRule="auto"/>
        <w:jc w:val="left"/>
        <w:rPr>
          <w:sz w:val="20"/>
        </w:rPr>
        <w:sectPr>
          <w:headerReference w:type="even" r:id="rId298"/>
          <w:footerReference w:type="even" r:id="rId299"/>
          <w:footerReference w:type="default" r:id="rId300"/>
          <w:pgSz w:w="11910" w:h="16840"/>
          <w:pgMar w:header="0" w:footer="647" w:top="0" w:bottom="840" w:left="640" w:right="0"/>
          <w:pgNumType w:start="100"/>
        </w:sectPr>
      </w:pPr>
    </w:p>
    <w:p>
      <w:pPr>
        <w:pStyle w:val="BodyText"/>
      </w:pPr>
      <w:r>
        <w:rPr/>
        <w:drawing>
          <wp:anchor distT="0" distB="0" distL="0" distR="0" allowOverlap="1" layoutInCell="1" locked="0" behindDoc="0" simplePos="0" relativeHeight="251927552">
            <wp:simplePos x="0" y="0"/>
            <wp:positionH relativeFrom="page">
              <wp:posOffset>6974928</wp:posOffset>
            </wp:positionH>
            <wp:positionV relativeFrom="page">
              <wp:posOffset>0</wp:posOffset>
            </wp:positionV>
            <wp:extent cx="585063" cy="10692003"/>
            <wp:effectExtent l="0" t="0" r="0" b="0"/>
            <wp:wrapNone/>
            <wp:docPr id="185" name="image54.png"/>
            <wp:cNvGraphicFramePr>
              <a:graphicFrameLocks noChangeAspect="1"/>
            </wp:cNvGraphicFramePr>
            <a:graphic>
              <a:graphicData uri="http://schemas.openxmlformats.org/drawingml/2006/picture">
                <pic:pic>
                  <pic:nvPicPr>
                    <pic:cNvPr id="186" name="image54.png"/>
                    <pic:cNvPicPr/>
                  </pic:nvPicPr>
                  <pic:blipFill>
                    <a:blip r:embed="rId169" cstate="print"/>
                    <a:stretch>
                      <a:fillRect/>
                    </a:stretch>
                  </pic:blipFill>
                  <pic:spPr>
                    <a:xfrm>
                      <a:off x="0" y="0"/>
                      <a:ext cx="585063" cy="10692003"/>
                    </a:xfrm>
                    <a:prstGeom prst="rect">
                      <a:avLst/>
                    </a:prstGeom>
                  </pic:spPr>
                </pic:pic>
              </a:graphicData>
            </a:graphic>
          </wp:anchor>
        </w:drawing>
      </w:r>
    </w:p>
    <w:p>
      <w:pPr>
        <w:pStyle w:val="BodyText"/>
        <w:spacing w:before="7"/>
        <w:rPr>
          <w:sz w:val="21"/>
        </w:rPr>
      </w:pPr>
    </w:p>
    <w:p>
      <w:pPr>
        <w:spacing w:before="106"/>
        <w:ind w:left="0" w:right="1245" w:firstLine="0"/>
        <w:jc w:val="right"/>
        <w:rPr>
          <w:sz w:val="26"/>
        </w:rPr>
      </w:pPr>
      <w:r>
        <w:rPr/>
        <w:pict>
          <v:shape style="position:absolute;margin-left:554.141174pt;margin-top:22.593945pt;width:25.9pt;height:483.55pt;mso-position-horizontal-relative:page;mso-position-vertical-relative:paragraph;z-index:251928576" type="#_x0000_t202" filled="false" stroked="false">
            <v:textbox inset="0,0,0,0" style="layout-flow:vertical">
              <w:txbxContent>
                <w:p>
                  <w:pPr>
                    <w:spacing w:before="27"/>
                    <w:ind w:left="20" w:right="0" w:firstLine="0"/>
                    <w:jc w:val="left"/>
                    <w:rPr>
                      <w:sz w:val="39"/>
                    </w:rPr>
                  </w:pPr>
                  <w:r>
                    <w:rPr>
                      <w:color w:val="FFFFFF"/>
                      <w:spacing w:val="6"/>
                      <w:w w:val="120"/>
                      <w:sz w:val="39"/>
                    </w:rPr>
                    <w:t>Faith </w:t>
                  </w:r>
                  <w:r>
                    <w:rPr>
                      <w:color w:val="FFFFFF"/>
                      <w:spacing w:val="7"/>
                      <w:w w:val="120"/>
                      <w:sz w:val="39"/>
                    </w:rPr>
                    <w:t>and order </w:t>
                  </w:r>
                  <w:r>
                    <w:rPr>
                      <w:color w:val="FFFFFF"/>
                      <w:w w:val="120"/>
                      <w:sz w:val="39"/>
                    </w:rPr>
                    <w:t>– </w:t>
                  </w:r>
                  <w:r>
                    <w:rPr>
                      <w:spacing w:val="10"/>
                      <w:w w:val="120"/>
                      <w:sz w:val="39"/>
                    </w:rPr>
                    <w:t>Authorised </w:t>
                  </w:r>
                  <w:r>
                    <w:rPr>
                      <w:spacing w:val="9"/>
                      <w:w w:val="120"/>
                      <w:sz w:val="39"/>
                    </w:rPr>
                    <w:t>elders </w:t>
                  </w:r>
                  <w:r>
                    <w:rPr>
                      <w:color w:val="FFFFFF"/>
                      <w:w w:val="120"/>
                      <w:sz w:val="39"/>
                    </w:rPr>
                    <w:t>–</w:t>
                  </w:r>
                  <w:r>
                    <w:rPr>
                      <w:color w:val="FFFFFF"/>
                      <w:spacing w:val="56"/>
                      <w:w w:val="120"/>
                      <w:sz w:val="39"/>
                    </w:rPr>
                    <w:t> </w:t>
                  </w:r>
                  <w:r>
                    <w:rPr>
                      <w:spacing w:val="11"/>
                      <w:w w:val="120"/>
                      <w:sz w:val="39"/>
                    </w:rPr>
                    <w:t>Appendix</w:t>
                  </w:r>
                </w:p>
              </w:txbxContent>
            </v:textbox>
            <w10:wrap type="none"/>
          </v:shape>
        </w:pict>
      </w:r>
      <w:r>
        <w:rPr>
          <w:color w:val="7EAABF"/>
          <w:w w:val="115"/>
          <w:sz w:val="26"/>
        </w:rPr>
        <w:t>Faith and order</w:t>
      </w:r>
    </w:p>
    <w:p>
      <w:pPr>
        <w:pStyle w:val="BodyText"/>
        <w:spacing w:line="235" w:lineRule="auto" w:before="222"/>
        <w:ind w:left="1344" w:right="1425"/>
      </w:pPr>
      <w:r>
        <w:rPr>
          <w:w w:val="120"/>
        </w:rPr>
        <w:t>of local church leadership.</w:t>
      </w:r>
      <w:r>
        <w:rPr>
          <w:w w:val="120"/>
          <w:position w:val="7"/>
          <w:sz w:val="11"/>
        </w:rPr>
        <w:t>3 </w:t>
      </w:r>
      <w:r>
        <w:rPr>
          <w:w w:val="120"/>
        </w:rPr>
        <w:t>The Committee urges lay preachers not to cite their lay preaching commitments as a reason for not agreeing to nomination as elders. While  the proportion of congregations to ministers has increased considerably since the inauguration of the URC, the proportion of congregations to lay preachers has stayed remarkably constant, suggesting that the supply is being replenished. On the other hand we have no evidence to suggest that lay preachers are taking a higher proportion of</w:t>
      </w:r>
      <w:r>
        <w:rPr>
          <w:spacing w:val="1"/>
          <w:w w:val="120"/>
        </w:rPr>
        <w:t> </w:t>
      </w:r>
      <w:r>
        <w:rPr>
          <w:w w:val="120"/>
        </w:rPr>
        <w:t>services.</w:t>
      </w:r>
    </w:p>
    <w:p>
      <w:pPr>
        <w:pStyle w:val="BodyText"/>
      </w:pPr>
    </w:p>
    <w:p>
      <w:pPr>
        <w:pStyle w:val="ListParagraph"/>
        <w:numPr>
          <w:ilvl w:val="1"/>
          <w:numId w:val="132"/>
        </w:numPr>
        <w:tabs>
          <w:tab w:pos="2024" w:val="left" w:leader="none"/>
          <w:tab w:pos="2025" w:val="left" w:leader="none"/>
        </w:tabs>
        <w:spacing w:line="235" w:lineRule="auto" w:before="1" w:after="0"/>
        <w:ind w:left="1344" w:right="1345" w:firstLine="0"/>
        <w:jc w:val="left"/>
        <w:rPr>
          <w:sz w:val="20"/>
        </w:rPr>
      </w:pPr>
      <w:r>
        <w:rPr>
          <w:w w:val="120"/>
          <w:sz w:val="20"/>
        </w:rPr>
        <w:t>In the </w:t>
      </w:r>
      <w:r>
        <w:rPr>
          <w:i/>
          <w:w w:val="120"/>
          <w:sz w:val="20"/>
        </w:rPr>
        <w:t>Patterns of Ministry Report</w:t>
      </w:r>
      <w:r>
        <w:rPr>
          <w:w w:val="120"/>
          <w:sz w:val="20"/>
        </w:rPr>
        <w:t>, there is a Statement on Presidency at the Sacraments in </w:t>
      </w:r>
      <w:r>
        <w:rPr>
          <w:spacing w:val="-7"/>
          <w:w w:val="120"/>
          <w:sz w:val="20"/>
        </w:rPr>
        <w:t>§5.1 </w:t>
      </w:r>
      <w:r>
        <w:rPr>
          <w:w w:val="120"/>
          <w:sz w:val="20"/>
        </w:rPr>
        <w:t>that was accepted </w:t>
      </w:r>
      <w:r>
        <w:rPr>
          <w:spacing w:val="-3"/>
          <w:w w:val="120"/>
          <w:sz w:val="20"/>
        </w:rPr>
        <w:t>(with </w:t>
      </w:r>
      <w:r>
        <w:rPr>
          <w:w w:val="120"/>
          <w:sz w:val="20"/>
        </w:rPr>
        <w:t>one amendment) by Assembly </w:t>
      </w:r>
      <w:r>
        <w:rPr>
          <w:spacing w:val="-6"/>
          <w:w w:val="120"/>
          <w:sz w:val="20"/>
        </w:rPr>
        <w:t>1995 </w:t>
      </w:r>
      <w:r>
        <w:rPr>
          <w:w w:val="120"/>
          <w:sz w:val="20"/>
        </w:rPr>
        <w:t>as an expression</w:t>
      </w:r>
      <w:r>
        <w:rPr>
          <w:spacing w:val="-6"/>
          <w:w w:val="120"/>
          <w:sz w:val="20"/>
        </w:rPr>
        <w:t> </w:t>
      </w:r>
      <w:r>
        <w:rPr>
          <w:w w:val="120"/>
          <w:sz w:val="20"/>
        </w:rPr>
        <w:t>of</w:t>
      </w:r>
      <w:r>
        <w:rPr>
          <w:spacing w:val="-6"/>
          <w:w w:val="120"/>
          <w:sz w:val="20"/>
        </w:rPr>
        <w:t> </w:t>
      </w:r>
      <w:r>
        <w:rPr>
          <w:w w:val="120"/>
          <w:sz w:val="20"/>
        </w:rPr>
        <w:t>the</w:t>
      </w:r>
      <w:r>
        <w:rPr>
          <w:spacing w:val="-6"/>
          <w:w w:val="120"/>
          <w:sz w:val="20"/>
        </w:rPr>
        <w:t> </w:t>
      </w:r>
      <w:r>
        <w:rPr>
          <w:w w:val="120"/>
          <w:sz w:val="20"/>
        </w:rPr>
        <w:t>mind</w:t>
      </w:r>
      <w:r>
        <w:rPr>
          <w:spacing w:val="-6"/>
          <w:w w:val="120"/>
          <w:sz w:val="20"/>
        </w:rPr>
        <w:t> </w:t>
      </w:r>
      <w:r>
        <w:rPr>
          <w:w w:val="120"/>
          <w:sz w:val="20"/>
        </w:rPr>
        <w:t>of</w:t>
      </w:r>
      <w:r>
        <w:rPr>
          <w:spacing w:val="-6"/>
          <w:w w:val="120"/>
          <w:sz w:val="20"/>
        </w:rPr>
        <w:t> </w:t>
      </w:r>
      <w:r>
        <w:rPr>
          <w:w w:val="120"/>
          <w:sz w:val="20"/>
        </w:rPr>
        <w:t>the</w:t>
      </w:r>
      <w:r>
        <w:rPr>
          <w:spacing w:val="-6"/>
          <w:w w:val="120"/>
          <w:sz w:val="20"/>
        </w:rPr>
        <w:t> </w:t>
      </w:r>
      <w:r>
        <w:rPr>
          <w:w w:val="120"/>
          <w:sz w:val="20"/>
        </w:rPr>
        <w:t>church</w:t>
      </w:r>
      <w:r>
        <w:rPr>
          <w:spacing w:val="-6"/>
          <w:w w:val="120"/>
          <w:sz w:val="20"/>
        </w:rPr>
        <w:t> </w:t>
      </w:r>
      <w:r>
        <w:rPr>
          <w:spacing w:val="-4"/>
          <w:w w:val="120"/>
          <w:sz w:val="20"/>
        </w:rPr>
        <w:t>‘at</w:t>
      </w:r>
      <w:r>
        <w:rPr>
          <w:spacing w:val="-6"/>
          <w:w w:val="120"/>
          <w:sz w:val="20"/>
        </w:rPr>
        <w:t> </w:t>
      </w:r>
      <w:r>
        <w:rPr>
          <w:w w:val="120"/>
          <w:sz w:val="20"/>
        </w:rPr>
        <w:t>this</w:t>
      </w:r>
      <w:r>
        <w:rPr>
          <w:spacing w:val="-6"/>
          <w:w w:val="120"/>
          <w:sz w:val="20"/>
        </w:rPr>
        <w:t> </w:t>
      </w:r>
      <w:r>
        <w:rPr>
          <w:w w:val="120"/>
          <w:sz w:val="20"/>
        </w:rPr>
        <w:t>present</w:t>
      </w:r>
      <w:r>
        <w:rPr>
          <w:spacing w:val="-6"/>
          <w:w w:val="120"/>
          <w:sz w:val="20"/>
        </w:rPr>
        <w:t> </w:t>
      </w:r>
      <w:r>
        <w:rPr>
          <w:w w:val="120"/>
          <w:sz w:val="20"/>
        </w:rPr>
        <w:t>time’</w:t>
      </w:r>
      <w:r>
        <w:rPr>
          <w:spacing w:val="-6"/>
          <w:w w:val="120"/>
          <w:sz w:val="20"/>
        </w:rPr>
        <w:t> </w:t>
      </w:r>
      <w:r>
        <w:rPr>
          <w:w w:val="120"/>
          <w:sz w:val="20"/>
        </w:rPr>
        <w:t>(</w:t>
      </w:r>
      <w:r>
        <w:rPr>
          <w:i/>
          <w:w w:val="120"/>
          <w:sz w:val="20"/>
        </w:rPr>
        <w:t>Reports</w:t>
      </w:r>
      <w:r>
        <w:rPr>
          <w:i/>
          <w:spacing w:val="-8"/>
          <w:w w:val="120"/>
          <w:sz w:val="20"/>
        </w:rPr>
        <w:t> </w:t>
      </w:r>
      <w:r>
        <w:rPr>
          <w:i/>
          <w:w w:val="120"/>
          <w:sz w:val="20"/>
        </w:rPr>
        <w:t>to</w:t>
      </w:r>
      <w:r>
        <w:rPr>
          <w:i/>
          <w:spacing w:val="-9"/>
          <w:w w:val="120"/>
          <w:sz w:val="20"/>
        </w:rPr>
        <w:t> </w:t>
      </w:r>
      <w:r>
        <w:rPr>
          <w:i/>
          <w:w w:val="120"/>
          <w:sz w:val="20"/>
        </w:rPr>
        <w:t>Assembly</w:t>
      </w:r>
      <w:r>
        <w:rPr>
          <w:i/>
          <w:spacing w:val="-8"/>
          <w:w w:val="120"/>
          <w:sz w:val="20"/>
        </w:rPr>
        <w:t> </w:t>
      </w:r>
      <w:r>
        <w:rPr>
          <w:spacing w:val="-6"/>
          <w:w w:val="120"/>
          <w:sz w:val="20"/>
        </w:rPr>
        <w:t>1995, </w:t>
      </w:r>
      <w:r>
        <w:rPr>
          <w:w w:val="120"/>
          <w:sz w:val="20"/>
        </w:rPr>
        <w:t>pp </w:t>
      </w:r>
      <w:r>
        <w:rPr>
          <w:spacing w:val="-7"/>
          <w:w w:val="120"/>
          <w:sz w:val="20"/>
        </w:rPr>
        <w:t>124-25; </w:t>
      </w:r>
      <w:r>
        <w:rPr>
          <w:w w:val="120"/>
          <w:sz w:val="20"/>
        </w:rPr>
        <w:t>Resolution </w:t>
      </w:r>
      <w:r>
        <w:rPr>
          <w:spacing w:val="-6"/>
          <w:w w:val="120"/>
          <w:sz w:val="20"/>
        </w:rPr>
        <w:t>45, </w:t>
      </w:r>
      <w:r>
        <w:rPr>
          <w:i/>
          <w:spacing w:val="-3"/>
          <w:w w:val="120"/>
          <w:sz w:val="20"/>
        </w:rPr>
        <w:t>Record </w:t>
      </w:r>
      <w:r>
        <w:rPr>
          <w:spacing w:val="-8"/>
          <w:w w:val="120"/>
          <w:sz w:val="20"/>
        </w:rPr>
        <w:t>1995, </w:t>
      </w:r>
      <w:r>
        <w:rPr>
          <w:w w:val="120"/>
          <w:sz w:val="20"/>
        </w:rPr>
        <w:t>p </w:t>
      </w:r>
      <w:r>
        <w:rPr>
          <w:spacing w:val="-7"/>
          <w:w w:val="120"/>
          <w:sz w:val="20"/>
        </w:rPr>
        <w:t>45). </w:t>
      </w:r>
      <w:r>
        <w:rPr>
          <w:w w:val="120"/>
          <w:sz w:val="20"/>
        </w:rPr>
        <w:t>An </w:t>
      </w:r>
      <w:r>
        <w:rPr>
          <w:spacing w:val="-3"/>
          <w:w w:val="120"/>
          <w:sz w:val="20"/>
        </w:rPr>
        <w:t>alternative to </w:t>
      </w:r>
      <w:r>
        <w:rPr>
          <w:w w:val="120"/>
          <w:sz w:val="20"/>
        </w:rPr>
        <w:t>an amendment of the Basis  of Union would be </w:t>
      </w:r>
      <w:r>
        <w:rPr>
          <w:spacing w:val="-3"/>
          <w:w w:val="120"/>
          <w:sz w:val="20"/>
        </w:rPr>
        <w:t>to update </w:t>
      </w:r>
      <w:r>
        <w:rPr>
          <w:w w:val="120"/>
          <w:sz w:val="20"/>
        </w:rPr>
        <w:t>that </w:t>
      </w:r>
      <w:r>
        <w:rPr>
          <w:spacing w:val="-3"/>
          <w:w w:val="120"/>
          <w:sz w:val="20"/>
        </w:rPr>
        <w:t>Statement </w:t>
      </w:r>
      <w:r>
        <w:rPr>
          <w:spacing w:val="-4"/>
          <w:w w:val="120"/>
          <w:sz w:val="20"/>
        </w:rPr>
        <w:t>(which </w:t>
      </w:r>
      <w:r>
        <w:rPr>
          <w:w w:val="120"/>
          <w:sz w:val="20"/>
        </w:rPr>
        <w:t>was published in Section F of </w:t>
      </w:r>
      <w:r>
        <w:rPr>
          <w:i/>
          <w:spacing w:val="-3"/>
          <w:w w:val="120"/>
          <w:sz w:val="20"/>
        </w:rPr>
        <w:t>The </w:t>
      </w:r>
      <w:r>
        <w:rPr>
          <w:i/>
          <w:spacing w:val="-4"/>
          <w:w w:val="120"/>
          <w:sz w:val="20"/>
        </w:rPr>
        <w:t>Manual</w:t>
      </w:r>
      <w:r>
        <w:rPr>
          <w:spacing w:val="-4"/>
          <w:w w:val="120"/>
          <w:sz w:val="20"/>
        </w:rPr>
        <w:t>, </w:t>
      </w:r>
      <w:r>
        <w:rPr>
          <w:w w:val="120"/>
          <w:sz w:val="20"/>
        </w:rPr>
        <w:t>and is on the URC </w:t>
      </w:r>
      <w:r>
        <w:rPr>
          <w:spacing w:val="-6"/>
          <w:w w:val="120"/>
          <w:sz w:val="20"/>
        </w:rPr>
        <w:t>website). </w:t>
      </w:r>
      <w:r>
        <w:rPr>
          <w:w w:val="120"/>
          <w:sz w:val="20"/>
        </w:rPr>
        <w:t>This would </w:t>
      </w:r>
      <w:r>
        <w:rPr>
          <w:spacing w:val="-3"/>
          <w:w w:val="120"/>
          <w:sz w:val="20"/>
        </w:rPr>
        <w:t>have </w:t>
      </w:r>
      <w:r>
        <w:rPr>
          <w:w w:val="120"/>
          <w:sz w:val="20"/>
        </w:rPr>
        <w:t>the added advantage of </w:t>
      </w:r>
      <w:r>
        <w:rPr>
          <w:spacing w:val="-3"/>
          <w:w w:val="120"/>
          <w:sz w:val="20"/>
        </w:rPr>
        <w:t>involving Scotland </w:t>
      </w:r>
      <w:r>
        <w:rPr>
          <w:w w:val="120"/>
          <w:sz w:val="20"/>
        </w:rPr>
        <w:t>in the </w:t>
      </w:r>
      <w:r>
        <w:rPr>
          <w:spacing w:val="-3"/>
          <w:w w:val="120"/>
          <w:sz w:val="20"/>
        </w:rPr>
        <w:t>decision, since </w:t>
      </w:r>
      <w:r>
        <w:rPr>
          <w:w w:val="120"/>
          <w:sz w:val="20"/>
        </w:rPr>
        <w:t>the original statement was agreed before the</w:t>
      </w:r>
      <w:r>
        <w:rPr>
          <w:spacing w:val="-21"/>
          <w:w w:val="120"/>
          <w:sz w:val="20"/>
        </w:rPr>
        <w:t> </w:t>
      </w:r>
      <w:r>
        <w:rPr>
          <w:w w:val="120"/>
          <w:sz w:val="20"/>
        </w:rPr>
        <w:t>union</w:t>
      </w:r>
    </w:p>
    <w:p>
      <w:pPr>
        <w:spacing w:line="223" w:lineRule="auto" w:before="14"/>
        <w:ind w:left="1344" w:right="1573" w:firstLine="0"/>
        <w:jc w:val="left"/>
        <w:rPr>
          <w:rFonts w:ascii="Stone Sans II ITC Std Bk"/>
          <w:b/>
          <w:sz w:val="20"/>
        </w:rPr>
      </w:pPr>
      <w:r>
        <w:rPr>
          <w:w w:val="120"/>
          <w:sz w:val="20"/>
        </w:rPr>
        <w:t>of 2000. It would also take </w:t>
      </w:r>
      <w:r>
        <w:rPr>
          <w:spacing w:val="-3"/>
          <w:w w:val="120"/>
          <w:sz w:val="20"/>
        </w:rPr>
        <w:t>account </w:t>
      </w:r>
      <w:r>
        <w:rPr>
          <w:w w:val="120"/>
          <w:sz w:val="20"/>
        </w:rPr>
        <w:t>of the disappearance of District </w:t>
      </w:r>
      <w:r>
        <w:rPr>
          <w:spacing w:val="-3"/>
          <w:w w:val="120"/>
          <w:sz w:val="20"/>
        </w:rPr>
        <w:t>Councils </w:t>
      </w:r>
      <w:r>
        <w:rPr>
          <w:w w:val="120"/>
          <w:sz w:val="20"/>
        </w:rPr>
        <w:t>in their original form. In order that some speedy action on </w:t>
      </w:r>
      <w:r>
        <w:rPr>
          <w:spacing w:val="-3"/>
          <w:w w:val="120"/>
          <w:sz w:val="20"/>
        </w:rPr>
        <w:t>this </w:t>
      </w:r>
      <w:r>
        <w:rPr>
          <w:w w:val="120"/>
          <w:sz w:val="20"/>
        </w:rPr>
        <w:t>report is </w:t>
      </w:r>
      <w:r>
        <w:rPr>
          <w:spacing w:val="-2"/>
          <w:w w:val="120"/>
          <w:sz w:val="20"/>
        </w:rPr>
        <w:t>taken, </w:t>
      </w:r>
      <w:r>
        <w:rPr>
          <w:w w:val="120"/>
          <w:sz w:val="20"/>
        </w:rPr>
        <w:t>the committee </w:t>
      </w:r>
      <w:r>
        <w:rPr>
          <w:w w:val="115"/>
          <w:sz w:val="20"/>
        </w:rPr>
        <w:t>recommends </w:t>
      </w:r>
      <w:r>
        <w:rPr>
          <w:rFonts w:ascii="Stone Sans II ITC Std Bk"/>
          <w:b/>
          <w:w w:val="115"/>
          <w:sz w:val="20"/>
        </w:rPr>
        <w:t>that the existing guidance on Presidency at the Sacraments </w:t>
      </w:r>
      <w:r>
        <w:rPr>
          <w:spacing w:val="-4"/>
          <w:w w:val="115"/>
          <w:sz w:val="20"/>
        </w:rPr>
        <w:t>(</w:t>
      </w:r>
      <w:r>
        <w:rPr>
          <w:i/>
          <w:spacing w:val="-4"/>
          <w:w w:val="115"/>
          <w:sz w:val="20"/>
        </w:rPr>
        <w:t>The </w:t>
      </w:r>
      <w:r>
        <w:rPr>
          <w:i/>
          <w:spacing w:val="-4"/>
          <w:w w:val="120"/>
          <w:sz w:val="20"/>
        </w:rPr>
        <w:t>Manual</w:t>
      </w:r>
      <w:r>
        <w:rPr>
          <w:spacing w:val="-4"/>
          <w:w w:val="120"/>
          <w:sz w:val="20"/>
        </w:rPr>
        <w:t>, </w:t>
      </w:r>
      <w:r>
        <w:rPr>
          <w:w w:val="120"/>
          <w:sz w:val="20"/>
        </w:rPr>
        <w:t>Section F) </w:t>
      </w:r>
      <w:r>
        <w:rPr>
          <w:rFonts w:ascii="Stone Sans II ITC Std Bk"/>
          <w:b/>
          <w:w w:val="120"/>
          <w:sz w:val="20"/>
        </w:rPr>
        <w:t>be amended </w:t>
      </w:r>
      <w:r>
        <w:rPr>
          <w:rFonts w:ascii="Stone Sans II ITC Std Bk"/>
          <w:b/>
          <w:spacing w:val="-3"/>
          <w:w w:val="120"/>
          <w:sz w:val="20"/>
        </w:rPr>
        <w:t>to </w:t>
      </w:r>
      <w:r>
        <w:rPr>
          <w:rFonts w:ascii="Stone Sans II ITC Std Bk"/>
          <w:b/>
          <w:w w:val="120"/>
          <w:sz w:val="20"/>
        </w:rPr>
        <w:t>read:</w:t>
      </w:r>
    </w:p>
    <w:p>
      <w:pPr>
        <w:pStyle w:val="BodyText"/>
        <w:spacing w:before="10"/>
        <w:rPr>
          <w:rFonts w:ascii="Stone Sans II ITC Std Bk"/>
          <w:b/>
          <w:sz w:val="17"/>
        </w:rPr>
      </w:pPr>
    </w:p>
    <w:p>
      <w:pPr>
        <w:pStyle w:val="Heading7"/>
        <w:spacing w:line="213" w:lineRule="auto"/>
        <w:ind w:right="1478"/>
      </w:pPr>
      <w:r>
        <w:rPr>
          <w:w w:val="110"/>
        </w:rPr>
        <w:t>The pattern of presidency at the sacraments if the minister in pastoral charge is not available should be as follows:</w:t>
      </w:r>
    </w:p>
    <w:p>
      <w:pPr>
        <w:pStyle w:val="BodyText"/>
        <w:spacing w:before="9"/>
        <w:rPr>
          <w:rFonts w:ascii="Stone Sans II ITC Std Bk"/>
          <w:b/>
          <w:sz w:val="17"/>
        </w:rPr>
      </w:pPr>
    </w:p>
    <w:p>
      <w:pPr>
        <w:pStyle w:val="Heading7"/>
        <w:numPr>
          <w:ilvl w:val="0"/>
          <w:numId w:val="134"/>
        </w:numPr>
        <w:tabs>
          <w:tab w:pos="2704" w:val="left" w:leader="none"/>
          <w:tab w:pos="2705" w:val="left" w:leader="none"/>
        </w:tabs>
        <w:spacing w:line="213" w:lineRule="auto" w:before="0" w:after="0"/>
        <w:ind w:left="2704" w:right="2021" w:hanging="681"/>
        <w:jc w:val="left"/>
      </w:pPr>
      <w:r>
        <w:rPr>
          <w:w w:val="110"/>
        </w:rPr>
        <w:t>the Church Meeting may invite another Minister of Word and Sacraments (including a retired minister who has expressed willingness to do</w:t>
      </w:r>
      <w:r>
        <w:rPr>
          <w:spacing w:val="-1"/>
          <w:w w:val="110"/>
        </w:rPr>
        <w:t> </w:t>
      </w:r>
      <w:r>
        <w:rPr>
          <w:spacing w:val="-6"/>
          <w:w w:val="110"/>
        </w:rPr>
        <w:t>so);</w:t>
      </w:r>
    </w:p>
    <w:p>
      <w:pPr>
        <w:pStyle w:val="BodyText"/>
        <w:spacing w:before="8"/>
        <w:rPr>
          <w:rFonts w:ascii="Stone Sans II ITC Std Bk"/>
          <w:b/>
          <w:sz w:val="17"/>
        </w:rPr>
      </w:pPr>
    </w:p>
    <w:p>
      <w:pPr>
        <w:pStyle w:val="Heading7"/>
        <w:numPr>
          <w:ilvl w:val="0"/>
          <w:numId w:val="134"/>
        </w:numPr>
        <w:tabs>
          <w:tab w:pos="2704" w:val="left" w:leader="none"/>
          <w:tab w:pos="2705" w:val="left" w:leader="none"/>
        </w:tabs>
        <w:spacing w:line="213" w:lineRule="auto" w:before="0" w:after="0"/>
        <w:ind w:left="2704" w:right="1665" w:hanging="681"/>
        <w:jc w:val="left"/>
      </w:pPr>
      <w:r>
        <w:rPr>
          <w:w w:val="110"/>
        </w:rPr>
        <w:t>if such a Minister is not available, the Church Meeting may invite an elder </w:t>
      </w:r>
      <w:r>
        <w:rPr>
          <w:spacing w:val="-5"/>
          <w:w w:val="110"/>
        </w:rPr>
        <w:t>(or </w:t>
      </w:r>
      <w:r>
        <w:rPr>
          <w:w w:val="110"/>
        </w:rPr>
        <w:t>accredited lay preacher) authorised by the Synod,  in accordance with the provisions of </w:t>
      </w:r>
      <w:r>
        <w:rPr>
          <w:spacing w:val="-3"/>
          <w:w w:val="110"/>
        </w:rPr>
        <w:t>§25 </w:t>
      </w:r>
      <w:r>
        <w:rPr>
          <w:w w:val="110"/>
        </w:rPr>
        <w:t>of the Basis of Union: elders of the local church and accredited lay preachers regularly conducting worship there should be considered</w:t>
      </w:r>
      <w:r>
        <w:rPr>
          <w:spacing w:val="3"/>
          <w:w w:val="110"/>
        </w:rPr>
        <w:t> </w:t>
      </w:r>
      <w:r>
        <w:rPr>
          <w:w w:val="110"/>
        </w:rPr>
        <w:t>first;</w:t>
      </w:r>
    </w:p>
    <w:p>
      <w:pPr>
        <w:pStyle w:val="BodyText"/>
        <w:spacing w:before="7"/>
        <w:rPr>
          <w:rFonts w:ascii="Stone Sans II ITC Std Bk"/>
          <w:b/>
          <w:sz w:val="17"/>
        </w:rPr>
      </w:pPr>
    </w:p>
    <w:p>
      <w:pPr>
        <w:pStyle w:val="Heading7"/>
        <w:numPr>
          <w:ilvl w:val="0"/>
          <w:numId w:val="134"/>
        </w:numPr>
        <w:tabs>
          <w:tab w:pos="2704" w:val="left" w:leader="none"/>
          <w:tab w:pos="2706" w:val="left" w:leader="none"/>
        </w:tabs>
        <w:spacing w:line="213" w:lineRule="auto" w:before="0" w:after="0"/>
        <w:ind w:left="2704" w:right="1246" w:hanging="681"/>
        <w:jc w:val="left"/>
      </w:pPr>
      <w:r>
        <w:rPr>
          <w:w w:val="110"/>
        </w:rPr>
        <w:t>authorisation for such presidency by the synod, normally of members from within the congregation concerned, should be for an initial period of three to five years (according to synod judgement), including a probationary year on first appointment, with the possibility of renewal. Before renewal there should be consultation by the synod with the congregation, and a review of its needs (Resolution</w:t>
      </w:r>
      <w:r>
        <w:rPr>
          <w:spacing w:val="-1"/>
          <w:w w:val="110"/>
        </w:rPr>
        <w:t> </w:t>
      </w:r>
      <w:r>
        <w:rPr>
          <w:spacing w:val="-8"/>
          <w:w w:val="110"/>
        </w:rPr>
        <w:t>14).</w:t>
      </w:r>
    </w:p>
    <w:p>
      <w:pPr>
        <w:pStyle w:val="BodyText"/>
        <w:spacing w:before="13"/>
        <w:rPr>
          <w:rFonts w:ascii="Stone Sans II ITC Std Bk"/>
          <w:b/>
          <w:sz w:val="16"/>
        </w:rPr>
      </w:pPr>
    </w:p>
    <w:p>
      <w:pPr>
        <w:pStyle w:val="BodyText"/>
        <w:spacing w:line="235" w:lineRule="auto"/>
        <w:ind w:left="2024" w:right="1478"/>
      </w:pPr>
      <w:r>
        <w:rPr>
          <w:w w:val="120"/>
        </w:rPr>
        <w:t>The committee believes that such a process will remain true to the spirit of the Basis of Union. It will enable us to be ourselves, and it will be sensitive to our ecumenical context.</w:t>
      </w:r>
    </w:p>
    <w:p>
      <w:pPr>
        <w:pStyle w:val="BodyText"/>
        <w:spacing w:before="10"/>
        <w:rPr>
          <w:sz w:val="19"/>
        </w:rPr>
      </w:pPr>
    </w:p>
    <w:p>
      <w:pPr>
        <w:pStyle w:val="ListParagraph"/>
        <w:numPr>
          <w:ilvl w:val="1"/>
          <w:numId w:val="132"/>
        </w:numPr>
        <w:tabs>
          <w:tab w:pos="2024" w:val="left" w:leader="none"/>
          <w:tab w:pos="2025" w:val="left" w:leader="none"/>
        </w:tabs>
        <w:spacing w:line="235" w:lineRule="auto" w:before="0" w:after="0"/>
        <w:ind w:left="1344" w:right="1649" w:firstLine="0"/>
        <w:jc w:val="left"/>
        <w:rPr>
          <w:i/>
          <w:sz w:val="20"/>
        </w:rPr>
      </w:pPr>
      <w:r>
        <w:rPr>
          <w:i/>
          <w:w w:val="110"/>
          <w:sz w:val="20"/>
        </w:rPr>
        <w:t>The understanding of the constituent traditions about the relationship of ordination </w:t>
      </w:r>
      <w:r>
        <w:rPr>
          <w:i/>
          <w:w w:val="110"/>
          <w:sz w:val="20"/>
        </w:rPr>
        <w:t>to</w:t>
      </w:r>
      <w:r>
        <w:rPr>
          <w:i/>
          <w:spacing w:val="3"/>
          <w:w w:val="110"/>
          <w:sz w:val="20"/>
        </w:rPr>
        <w:t> </w:t>
      </w:r>
      <w:r>
        <w:rPr>
          <w:i/>
          <w:w w:val="110"/>
          <w:sz w:val="20"/>
        </w:rPr>
        <w:t>communion</w:t>
      </w:r>
    </w:p>
    <w:p>
      <w:pPr>
        <w:pStyle w:val="BodyText"/>
        <w:spacing w:before="10"/>
        <w:rPr>
          <w:i/>
          <w:sz w:val="19"/>
        </w:rPr>
      </w:pPr>
    </w:p>
    <w:p>
      <w:pPr>
        <w:pStyle w:val="BodyText"/>
        <w:spacing w:line="235" w:lineRule="auto"/>
        <w:ind w:left="1344" w:right="1383"/>
      </w:pPr>
      <w:r>
        <w:rPr>
          <w:w w:val="120"/>
        </w:rPr>
        <w:t>The different interpretations of the relationship of ordination to communion among us arise from various strands within the historical antecedents of our Church. The </w:t>
      </w:r>
      <w:r>
        <w:rPr>
          <w:i/>
          <w:w w:val="120"/>
        </w:rPr>
        <w:t>Form of </w:t>
      </w:r>
      <w:r>
        <w:rPr>
          <w:i/>
          <w:w w:val="120"/>
        </w:rPr>
        <w:t>Presbyterial</w:t>
      </w:r>
      <w:r>
        <w:rPr>
          <w:i/>
          <w:spacing w:val="-30"/>
          <w:w w:val="120"/>
        </w:rPr>
        <w:t> </w:t>
      </w:r>
      <w:r>
        <w:rPr>
          <w:i/>
          <w:w w:val="120"/>
        </w:rPr>
        <w:t>Church</w:t>
      </w:r>
      <w:r>
        <w:rPr>
          <w:i/>
          <w:spacing w:val="-30"/>
          <w:w w:val="120"/>
        </w:rPr>
        <w:t> </w:t>
      </w:r>
      <w:r>
        <w:rPr>
          <w:i/>
          <w:w w:val="120"/>
        </w:rPr>
        <w:t>Government</w:t>
      </w:r>
      <w:r>
        <w:rPr>
          <w:i/>
          <w:spacing w:val="-29"/>
          <w:w w:val="120"/>
        </w:rPr>
        <w:t> </w:t>
      </w:r>
      <w:r>
        <w:rPr>
          <w:w w:val="120"/>
        </w:rPr>
        <w:t>annexed</w:t>
      </w:r>
      <w:r>
        <w:rPr>
          <w:spacing w:val="-28"/>
          <w:w w:val="120"/>
        </w:rPr>
        <w:t> </w:t>
      </w:r>
      <w:r>
        <w:rPr>
          <w:w w:val="120"/>
        </w:rPr>
        <w:t>to</w:t>
      </w:r>
      <w:r>
        <w:rPr>
          <w:spacing w:val="-29"/>
          <w:w w:val="120"/>
        </w:rPr>
        <w:t> </w:t>
      </w:r>
      <w:r>
        <w:rPr>
          <w:w w:val="120"/>
        </w:rPr>
        <w:t>the</w:t>
      </w:r>
      <w:r>
        <w:rPr>
          <w:spacing w:val="-28"/>
          <w:w w:val="120"/>
        </w:rPr>
        <w:t> </w:t>
      </w:r>
      <w:r>
        <w:rPr>
          <w:i/>
          <w:w w:val="120"/>
        </w:rPr>
        <w:t>Westminster</w:t>
      </w:r>
      <w:r>
        <w:rPr>
          <w:i/>
          <w:spacing w:val="-29"/>
          <w:w w:val="120"/>
        </w:rPr>
        <w:t> </w:t>
      </w:r>
      <w:r>
        <w:rPr>
          <w:i/>
          <w:w w:val="120"/>
        </w:rPr>
        <w:t>Confession</w:t>
      </w:r>
      <w:r>
        <w:rPr>
          <w:i/>
          <w:spacing w:val="-28"/>
          <w:w w:val="120"/>
        </w:rPr>
        <w:t> </w:t>
      </w:r>
      <w:r>
        <w:rPr>
          <w:spacing w:val="-5"/>
          <w:w w:val="120"/>
        </w:rPr>
        <w:t>(1646/7)</w:t>
      </w:r>
      <w:r>
        <w:rPr>
          <w:spacing w:val="-29"/>
          <w:w w:val="120"/>
        </w:rPr>
        <w:t> </w:t>
      </w:r>
      <w:r>
        <w:rPr>
          <w:w w:val="120"/>
        </w:rPr>
        <w:t>is</w:t>
      </w:r>
      <w:r>
        <w:rPr>
          <w:spacing w:val="-28"/>
          <w:w w:val="120"/>
        </w:rPr>
        <w:t> </w:t>
      </w:r>
      <w:r>
        <w:rPr>
          <w:w w:val="120"/>
        </w:rPr>
        <w:t>silent about the ordination of any other ministers than ministers of word and sacrament, although it recognises the offices of elder and deacon as ministries in the Church </w:t>
      </w:r>
      <w:r>
        <w:rPr>
          <w:spacing w:val="-6"/>
          <w:w w:val="120"/>
        </w:rPr>
        <w:t>(as </w:t>
      </w:r>
      <w:r>
        <w:rPr>
          <w:w w:val="120"/>
        </w:rPr>
        <w:t>well as teachers or doctors, who are ordained to the ministry of word and</w:t>
      </w:r>
      <w:r>
        <w:rPr>
          <w:spacing w:val="28"/>
          <w:w w:val="120"/>
        </w:rPr>
        <w:t> </w:t>
      </w:r>
      <w:r>
        <w:rPr>
          <w:w w:val="120"/>
        </w:rPr>
        <w:t>sacraments</w:t>
      </w:r>
    </w:p>
    <w:p>
      <w:pPr>
        <w:pStyle w:val="BodyText"/>
        <w:spacing w:before="6"/>
        <w:rPr>
          <w:sz w:val="27"/>
        </w:rPr>
      </w:pPr>
      <w:r>
        <w:rPr/>
        <w:pict>
          <v:shape style="position:absolute;margin-left:99.212601pt;margin-top:19.274912pt;width:72pt;height:.1pt;mso-position-horizontal-relative:page;mso-position-vertical-relative:paragraph;z-index:-251389952;mso-wrap-distance-left:0;mso-wrap-distance-right:0" coordorigin="1984,385" coordsize="1440,0" path="m1984,385l3424,385e" filled="false" stroked="true" strokeweight="1pt" strokecolor="#000000">
            <v:path arrowok="t"/>
            <v:stroke dashstyle="solid"/>
            <w10:wrap type="topAndBottom"/>
          </v:shape>
        </w:pict>
      </w:r>
    </w:p>
    <w:p>
      <w:pPr>
        <w:pStyle w:val="ListParagraph"/>
        <w:numPr>
          <w:ilvl w:val="0"/>
          <w:numId w:val="128"/>
        </w:numPr>
        <w:tabs>
          <w:tab w:pos="1797" w:val="left" w:leader="none"/>
          <w:tab w:pos="1798" w:val="left" w:leader="none"/>
        </w:tabs>
        <w:spacing w:line="240" w:lineRule="auto" w:before="9" w:after="0"/>
        <w:ind w:left="1797" w:right="1255" w:hanging="454"/>
        <w:jc w:val="left"/>
        <w:rPr>
          <w:sz w:val="18"/>
        </w:rPr>
      </w:pPr>
      <w:r>
        <w:rPr>
          <w:w w:val="120"/>
          <w:sz w:val="18"/>
        </w:rPr>
        <w:t>Research by the lay preaching committee 20 years ago suggested that one-third of Sunday services were taken by lay preachers. Evidence presented to the task group indicated that 44% of the congregations making a return in Wessex were served by ‘local arrangements’ for their weekly worship. 64% of those authorised to preside at Communion in Eastern Synod were neither Assembly – or synod-accredited lay</w:t>
      </w:r>
      <w:r>
        <w:rPr>
          <w:spacing w:val="13"/>
          <w:w w:val="120"/>
          <w:sz w:val="18"/>
        </w:rPr>
        <w:t> </w:t>
      </w:r>
      <w:r>
        <w:rPr>
          <w:w w:val="120"/>
          <w:sz w:val="18"/>
        </w:rPr>
        <w:t>preachers.</w:t>
      </w:r>
    </w:p>
    <w:p>
      <w:pPr>
        <w:spacing w:after="0" w:line="240" w:lineRule="auto"/>
        <w:jc w:val="left"/>
        <w:rPr>
          <w:sz w:val="18"/>
        </w:rPr>
        <w:sectPr>
          <w:headerReference w:type="default" r:id="rId301"/>
          <w:pgSz w:w="11910" w:h="16840"/>
          <w:pgMar w:header="0" w:footer="647" w:top="0" w:bottom="840" w:left="640" w:right="0"/>
        </w:sectPr>
      </w:pPr>
    </w:p>
    <w:p>
      <w:pPr>
        <w:pStyle w:val="BodyText"/>
      </w:pPr>
      <w:r>
        <w:rPr/>
        <w:drawing>
          <wp:anchor distT="0" distB="0" distL="0" distR="0" allowOverlap="1" layoutInCell="1" locked="0" behindDoc="1" simplePos="0" relativeHeight="235475968">
            <wp:simplePos x="0" y="0"/>
            <wp:positionH relativeFrom="page">
              <wp:posOffset>0</wp:posOffset>
            </wp:positionH>
            <wp:positionV relativeFrom="page">
              <wp:posOffset>0</wp:posOffset>
            </wp:positionV>
            <wp:extent cx="594067" cy="10692003"/>
            <wp:effectExtent l="0" t="0" r="0" b="0"/>
            <wp:wrapNone/>
            <wp:docPr id="187" name="image67.png"/>
            <wp:cNvGraphicFramePr>
              <a:graphicFrameLocks noChangeAspect="1"/>
            </wp:cNvGraphicFramePr>
            <a:graphic>
              <a:graphicData uri="http://schemas.openxmlformats.org/drawingml/2006/picture">
                <pic:pic>
                  <pic:nvPicPr>
                    <pic:cNvPr id="188" name="image67.png"/>
                    <pic:cNvPicPr/>
                  </pic:nvPicPr>
                  <pic:blipFill>
                    <a:blip r:embed="rId184" cstate="print"/>
                    <a:stretch>
                      <a:fillRect/>
                    </a:stretch>
                  </pic:blipFill>
                  <pic:spPr>
                    <a:xfrm>
                      <a:off x="0" y="0"/>
                      <a:ext cx="594067" cy="10692003"/>
                    </a:xfrm>
                    <a:prstGeom prst="rect">
                      <a:avLst/>
                    </a:prstGeom>
                  </pic:spPr>
                </pic:pic>
              </a:graphicData>
            </a:graphic>
          </wp:anchor>
        </w:drawing>
      </w:r>
      <w:r>
        <w:rPr/>
        <w:pict>
          <v:shape style="position:absolute;margin-left:20.519100pt;margin-top:48.890015pt;width:25.9pt;height:483.55pt;mso-position-horizontal-relative:page;mso-position-vertical-relative:page;z-index:-267839488" type="#_x0000_t202" filled="false" stroked="false">
            <v:textbox inset="0,0,0,0" style="layout-flow:vertical">
              <w:txbxContent>
                <w:p>
                  <w:pPr>
                    <w:spacing w:before="27"/>
                    <w:ind w:left="20" w:right="0" w:firstLine="0"/>
                    <w:jc w:val="left"/>
                    <w:rPr>
                      <w:sz w:val="39"/>
                    </w:rPr>
                  </w:pPr>
                  <w:r>
                    <w:rPr>
                      <w:color w:val="FFFFFF"/>
                      <w:spacing w:val="6"/>
                      <w:w w:val="120"/>
                      <w:sz w:val="39"/>
                    </w:rPr>
                    <w:t>Faith </w:t>
                  </w:r>
                  <w:r>
                    <w:rPr>
                      <w:color w:val="FFFFFF"/>
                      <w:spacing w:val="7"/>
                      <w:w w:val="120"/>
                      <w:sz w:val="39"/>
                    </w:rPr>
                    <w:t>and order </w:t>
                  </w:r>
                  <w:r>
                    <w:rPr>
                      <w:color w:val="FFFFFF"/>
                      <w:w w:val="120"/>
                      <w:sz w:val="39"/>
                    </w:rPr>
                    <w:t>– </w:t>
                  </w:r>
                  <w:r>
                    <w:rPr>
                      <w:spacing w:val="10"/>
                      <w:w w:val="120"/>
                      <w:sz w:val="39"/>
                    </w:rPr>
                    <w:t>Authorised </w:t>
                  </w:r>
                  <w:r>
                    <w:rPr>
                      <w:spacing w:val="9"/>
                      <w:w w:val="120"/>
                      <w:sz w:val="39"/>
                    </w:rPr>
                    <w:t>elders </w:t>
                  </w:r>
                  <w:r>
                    <w:rPr>
                      <w:color w:val="FFFFFF"/>
                      <w:w w:val="120"/>
                      <w:sz w:val="39"/>
                    </w:rPr>
                    <w:t>–</w:t>
                  </w:r>
                  <w:r>
                    <w:rPr>
                      <w:color w:val="FFFFFF"/>
                      <w:spacing w:val="56"/>
                      <w:w w:val="120"/>
                      <w:sz w:val="39"/>
                    </w:rPr>
                    <w:t> </w:t>
                  </w:r>
                  <w:r>
                    <w:rPr>
                      <w:spacing w:val="11"/>
                      <w:w w:val="120"/>
                      <w:sz w:val="39"/>
                    </w:rPr>
                    <w:t>Appendix</w:t>
                  </w:r>
                </w:p>
              </w:txbxContent>
            </v:textbox>
            <w10:wrap type="none"/>
          </v:shape>
        </w:pict>
      </w:r>
    </w:p>
    <w:p>
      <w:pPr>
        <w:pStyle w:val="BodyText"/>
        <w:spacing w:before="7"/>
        <w:rPr>
          <w:sz w:val="21"/>
        </w:rPr>
      </w:pPr>
    </w:p>
    <w:p>
      <w:pPr>
        <w:spacing w:before="106"/>
        <w:ind w:left="607" w:right="0" w:firstLine="0"/>
        <w:jc w:val="left"/>
        <w:rPr>
          <w:sz w:val="26"/>
        </w:rPr>
      </w:pPr>
      <w:r>
        <w:rPr>
          <w:color w:val="7EAABF"/>
          <w:w w:val="115"/>
          <w:sz w:val="26"/>
        </w:rPr>
        <w:t>Faith and order</w:t>
      </w:r>
    </w:p>
    <w:p>
      <w:pPr>
        <w:pStyle w:val="BodyText"/>
        <w:spacing w:line="235" w:lineRule="auto" w:before="222"/>
        <w:ind w:left="607" w:right="2394"/>
      </w:pPr>
      <w:r>
        <w:rPr>
          <w:w w:val="120"/>
        </w:rPr>
        <w:t>like</w:t>
      </w:r>
      <w:r>
        <w:rPr>
          <w:spacing w:val="-22"/>
          <w:w w:val="120"/>
        </w:rPr>
        <w:t> </w:t>
      </w:r>
      <w:r>
        <w:rPr>
          <w:w w:val="120"/>
        </w:rPr>
        <w:t>pastors).</w:t>
      </w:r>
      <w:r>
        <w:rPr>
          <w:spacing w:val="-21"/>
          <w:w w:val="120"/>
        </w:rPr>
        <w:t> </w:t>
      </w:r>
      <w:r>
        <w:rPr>
          <w:w w:val="120"/>
        </w:rPr>
        <w:t>The</w:t>
      </w:r>
      <w:r>
        <w:rPr>
          <w:spacing w:val="-21"/>
          <w:w w:val="120"/>
        </w:rPr>
        <w:t> </w:t>
      </w:r>
      <w:r>
        <w:rPr>
          <w:i/>
          <w:w w:val="120"/>
        </w:rPr>
        <w:t>Form</w:t>
      </w:r>
      <w:r>
        <w:rPr>
          <w:i/>
          <w:spacing w:val="-23"/>
          <w:w w:val="120"/>
        </w:rPr>
        <w:t> </w:t>
      </w:r>
      <w:r>
        <w:rPr>
          <w:i/>
          <w:w w:val="120"/>
        </w:rPr>
        <w:t>of</w:t>
      </w:r>
      <w:r>
        <w:rPr>
          <w:i/>
          <w:spacing w:val="-23"/>
          <w:w w:val="120"/>
        </w:rPr>
        <w:t> </w:t>
      </w:r>
      <w:r>
        <w:rPr>
          <w:i/>
          <w:w w:val="120"/>
        </w:rPr>
        <w:t>Presbyterial</w:t>
      </w:r>
      <w:r>
        <w:rPr>
          <w:i/>
          <w:spacing w:val="-22"/>
          <w:w w:val="120"/>
        </w:rPr>
        <w:t> </w:t>
      </w:r>
      <w:r>
        <w:rPr>
          <w:i/>
          <w:w w:val="120"/>
        </w:rPr>
        <w:t>Church</w:t>
      </w:r>
      <w:r>
        <w:rPr>
          <w:i/>
          <w:spacing w:val="-23"/>
          <w:w w:val="120"/>
        </w:rPr>
        <w:t> </w:t>
      </w:r>
      <w:r>
        <w:rPr>
          <w:i/>
          <w:w w:val="120"/>
        </w:rPr>
        <w:t>Government</w:t>
      </w:r>
      <w:r>
        <w:rPr>
          <w:i/>
          <w:spacing w:val="-21"/>
          <w:w w:val="120"/>
        </w:rPr>
        <w:t> </w:t>
      </w:r>
      <w:r>
        <w:rPr>
          <w:w w:val="120"/>
        </w:rPr>
        <w:t>also</w:t>
      </w:r>
      <w:r>
        <w:rPr>
          <w:spacing w:val="-22"/>
          <w:w w:val="120"/>
        </w:rPr>
        <w:t> </w:t>
      </w:r>
      <w:r>
        <w:rPr>
          <w:w w:val="120"/>
        </w:rPr>
        <w:t>declares</w:t>
      </w:r>
      <w:r>
        <w:rPr>
          <w:spacing w:val="-21"/>
          <w:w w:val="120"/>
        </w:rPr>
        <w:t> </w:t>
      </w:r>
      <w:r>
        <w:rPr>
          <w:w w:val="120"/>
        </w:rPr>
        <w:t>all</w:t>
      </w:r>
      <w:r>
        <w:rPr>
          <w:spacing w:val="-21"/>
          <w:w w:val="120"/>
        </w:rPr>
        <w:t> </w:t>
      </w:r>
      <w:r>
        <w:rPr>
          <w:w w:val="120"/>
        </w:rPr>
        <w:t>ordinations to be an act of a presbytery, rather than a particular local congregation. The Church of Scotland found it difficult to agree on whether elders should be ordained in the late sixteenth century </w:t>
      </w:r>
      <w:r>
        <w:rPr>
          <w:spacing w:val="-4"/>
          <w:w w:val="120"/>
        </w:rPr>
        <w:t>(see </w:t>
      </w:r>
      <w:r>
        <w:rPr>
          <w:w w:val="120"/>
        </w:rPr>
        <w:t>the difference between the First and the Second </w:t>
      </w:r>
      <w:r>
        <w:rPr>
          <w:i/>
          <w:w w:val="120"/>
        </w:rPr>
        <w:t>Book of </w:t>
      </w:r>
      <w:r>
        <w:rPr>
          <w:i/>
          <w:spacing w:val="-3"/>
          <w:w w:val="120"/>
        </w:rPr>
        <w:t>Discipline</w:t>
      </w:r>
      <w:r>
        <w:rPr>
          <w:spacing w:val="-3"/>
          <w:w w:val="120"/>
        </w:rPr>
        <w:t>).</w:t>
      </w:r>
    </w:p>
    <w:p>
      <w:pPr>
        <w:pStyle w:val="BodyText"/>
        <w:spacing w:before="11"/>
        <w:rPr>
          <w:sz w:val="19"/>
        </w:rPr>
      </w:pPr>
    </w:p>
    <w:p>
      <w:pPr>
        <w:pStyle w:val="ListParagraph"/>
        <w:numPr>
          <w:ilvl w:val="1"/>
          <w:numId w:val="132"/>
        </w:numPr>
        <w:tabs>
          <w:tab w:pos="1287" w:val="left" w:leader="none"/>
          <w:tab w:pos="1288" w:val="left" w:leader="none"/>
        </w:tabs>
        <w:spacing w:line="235" w:lineRule="auto" w:before="0" w:after="0"/>
        <w:ind w:left="607" w:right="2451" w:firstLine="0"/>
        <w:jc w:val="left"/>
        <w:rPr>
          <w:sz w:val="20"/>
        </w:rPr>
      </w:pPr>
      <w:r>
        <w:rPr>
          <w:w w:val="115"/>
          <w:sz w:val="20"/>
        </w:rPr>
        <w:t>On the other hand, </w:t>
      </w:r>
      <w:r>
        <w:rPr>
          <w:i/>
          <w:w w:val="115"/>
          <w:sz w:val="20"/>
        </w:rPr>
        <w:t>The Institution of Churches and the Order Appointed in them </w:t>
      </w:r>
      <w:r>
        <w:rPr>
          <w:i/>
          <w:w w:val="115"/>
          <w:sz w:val="20"/>
        </w:rPr>
        <w:t>by</w:t>
      </w:r>
      <w:r>
        <w:rPr>
          <w:i/>
          <w:spacing w:val="8"/>
          <w:w w:val="115"/>
          <w:sz w:val="20"/>
        </w:rPr>
        <w:t> </w:t>
      </w:r>
      <w:r>
        <w:rPr>
          <w:i/>
          <w:w w:val="115"/>
          <w:sz w:val="20"/>
        </w:rPr>
        <w:t>Jesus</w:t>
      </w:r>
      <w:r>
        <w:rPr>
          <w:i/>
          <w:spacing w:val="9"/>
          <w:w w:val="115"/>
          <w:sz w:val="20"/>
        </w:rPr>
        <w:t> </w:t>
      </w:r>
      <w:r>
        <w:rPr>
          <w:i/>
          <w:w w:val="115"/>
          <w:sz w:val="20"/>
        </w:rPr>
        <w:t>Christ</w:t>
      </w:r>
      <w:r>
        <w:rPr>
          <w:w w:val="115"/>
          <w:sz w:val="20"/>
        </w:rPr>
        <w:t>,</w:t>
      </w:r>
      <w:r>
        <w:rPr>
          <w:spacing w:val="12"/>
          <w:w w:val="115"/>
          <w:sz w:val="20"/>
        </w:rPr>
        <w:t> </w:t>
      </w:r>
      <w:r>
        <w:rPr>
          <w:w w:val="115"/>
          <w:sz w:val="20"/>
        </w:rPr>
        <w:t>annexed</w:t>
      </w:r>
      <w:r>
        <w:rPr>
          <w:spacing w:val="12"/>
          <w:w w:val="115"/>
          <w:sz w:val="20"/>
        </w:rPr>
        <w:t> </w:t>
      </w:r>
      <w:r>
        <w:rPr>
          <w:w w:val="115"/>
          <w:sz w:val="20"/>
        </w:rPr>
        <w:t>to</w:t>
      </w:r>
      <w:r>
        <w:rPr>
          <w:spacing w:val="12"/>
          <w:w w:val="115"/>
          <w:sz w:val="20"/>
        </w:rPr>
        <w:t> </w:t>
      </w:r>
      <w:r>
        <w:rPr>
          <w:w w:val="115"/>
          <w:sz w:val="20"/>
        </w:rPr>
        <w:t>the</w:t>
      </w:r>
      <w:r>
        <w:rPr>
          <w:spacing w:val="12"/>
          <w:w w:val="115"/>
          <w:sz w:val="20"/>
        </w:rPr>
        <w:t> </w:t>
      </w:r>
      <w:r>
        <w:rPr>
          <w:i/>
          <w:w w:val="115"/>
          <w:sz w:val="20"/>
        </w:rPr>
        <w:t>Savoy</w:t>
      </w:r>
      <w:r>
        <w:rPr>
          <w:i/>
          <w:spacing w:val="8"/>
          <w:w w:val="115"/>
          <w:sz w:val="20"/>
        </w:rPr>
        <w:t> </w:t>
      </w:r>
      <w:r>
        <w:rPr>
          <w:i/>
          <w:w w:val="115"/>
          <w:sz w:val="20"/>
        </w:rPr>
        <w:t>Declaration</w:t>
      </w:r>
      <w:r>
        <w:rPr>
          <w:i/>
          <w:spacing w:val="12"/>
          <w:w w:val="115"/>
          <w:sz w:val="20"/>
        </w:rPr>
        <w:t> </w:t>
      </w:r>
      <w:r>
        <w:rPr>
          <w:w w:val="115"/>
          <w:sz w:val="20"/>
        </w:rPr>
        <w:t>of</w:t>
      </w:r>
      <w:r>
        <w:rPr>
          <w:spacing w:val="13"/>
          <w:w w:val="115"/>
          <w:sz w:val="20"/>
        </w:rPr>
        <w:t> </w:t>
      </w:r>
      <w:r>
        <w:rPr>
          <w:spacing w:val="-5"/>
          <w:w w:val="115"/>
          <w:sz w:val="20"/>
        </w:rPr>
        <w:t>1658,</w:t>
      </w:r>
      <w:r>
        <w:rPr>
          <w:spacing w:val="12"/>
          <w:w w:val="115"/>
          <w:sz w:val="20"/>
        </w:rPr>
        <w:t> </w:t>
      </w:r>
      <w:r>
        <w:rPr>
          <w:w w:val="115"/>
          <w:sz w:val="20"/>
        </w:rPr>
        <w:t>accepted</w:t>
      </w:r>
      <w:r>
        <w:rPr>
          <w:spacing w:val="12"/>
          <w:w w:val="115"/>
          <w:sz w:val="20"/>
        </w:rPr>
        <w:t> </w:t>
      </w:r>
      <w:r>
        <w:rPr>
          <w:w w:val="115"/>
          <w:sz w:val="20"/>
        </w:rPr>
        <w:t>the</w:t>
      </w:r>
      <w:r>
        <w:rPr>
          <w:spacing w:val="12"/>
          <w:w w:val="115"/>
          <w:sz w:val="20"/>
        </w:rPr>
        <w:t> </w:t>
      </w:r>
      <w:r>
        <w:rPr>
          <w:w w:val="115"/>
          <w:sz w:val="20"/>
        </w:rPr>
        <w:t>same</w:t>
      </w:r>
      <w:r>
        <w:rPr>
          <w:spacing w:val="12"/>
          <w:w w:val="115"/>
          <w:sz w:val="20"/>
        </w:rPr>
        <w:t> </w:t>
      </w:r>
      <w:r>
        <w:rPr>
          <w:w w:val="115"/>
          <w:sz w:val="20"/>
        </w:rPr>
        <w:t>fourfold</w:t>
      </w:r>
    </w:p>
    <w:p>
      <w:pPr>
        <w:pStyle w:val="BodyText"/>
        <w:spacing w:line="235" w:lineRule="auto" w:before="2"/>
        <w:ind w:left="607" w:right="2209"/>
      </w:pPr>
      <w:r>
        <w:rPr>
          <w:w w:val="120"/>
        </w:rPr>
        <w:t>ministry but placed the emphasis on the calling of persons to each office – that is ‘that he be chosen thereunto by the common suffrage of the church itself, and solemnly set apart by fasting and prayer, with imposition of hands of the eldership of that church’ </w:t>
      </w:r>
      <w:r>
        <w:rPr>
          <w:spacing w:val="-12"/>
          <w:w w:val="120"/>
        </w:rPr>
        <w:t>(§11). </w:t>
      </w:r>
      <w:r>
        <w:rPr>
          <w:w w:val="120"/>
        </w:rPr>
        <w:t>Furthermore ‘those who are so chosen, though not set apart by imposition of hands, are rightly constituted ministers of Jesus Christ’ </w:t>
      </w:r>
      <w:r>
        <w:rPr>
          <w:spacing w:val="-10"/>
          <w:w w:val="120"/>
        </w:rPr>
        <w:t>(§12). </w:t>
      </w:r>
      <w:r>
        <w:rPr>
          <w:w w:val="120"/>
        </w:rPr>
        <w:t>The work of preaching  the Word was not confined to pastors and teachers, but could be undertaken by others, approved and called by the congregation </w:t>
      </w:r>
      <w:r>
        <w:rPr>
          <w:spacing w:val="-11"/>
          <w:w w:val="120"/>
        </w:rPr>
        <w:t>(§13), </w:t>
      </w:r>
      <w:r>
        <w:rPr>
          <w:w w:val="120"/>
        </w:rPr>
        <w:t>i.e.  lay  preachers;  and  for good measure, the </w:t>
      </w:r>
      <w:r>
        <w:rPr>
          <w:i/>
          <w:w w:val="120"/>
        </w:rPr>
        <w:t>Declaration </w:t>
      </w:r>
      <w:r>
        <w:rPr>
          <w:w w:val="120"/>
        </w:rPr>
        <w:t>added that ‘ordination alone without the election or precedent consent of the church’ did not make any person a church-officer </w:t>
      </w:r>
      <w:r>
        <w:rPr>
          <w:spacing w:val="-9"/>
          <w:w w:val="120"/>
        </w:rPr>
        <w:t>(§15). </w:t>
      </w:r>
      <w:r>
        <w:rPr>
          <w:w w:val="120"/>
        </w:rPr>
        <w:t>Thus for Congregationalists election by the local congregation was</w:t>
      </w:r>
      <w:r>
        <w:rPr>
          <w:spacing w:val="41"/>
          <w:w w:val="120"/>
        </w:rPr>
        <w:t> </w:t>
      </w:r>
      <w:r>
        <w:rPr>
          <w:w w:val="120"/>
        </w:rPr>
        <w:t>fundamental.</w:t>
      </w:r>
    </w:p>
    <w:p>
      <w:pPr>
        <w:pStyle w:val="BodyText"/>
        <w:spacing w:before="3"/>
      </w:pPr>
    </w:p>
    <w:p>
      <w:pPr>
        <w:pStyle w:val="ListParagraph"/>
        <w:numPr>
          <w:ilvl w:val="1"/>
          <w:numId w:val="132"/>
        </w:numPr>
        <w:tabs>
          <w:tab w:pos="1287" w:val="left" w:leader="none"/>
          <w:tab w:pos="1288" w:val="left" w:leader="none"/>
        </w:tabs>
        <w:spacing w:line="235" w:lineRule="auto" w:before="0" w:after="0"/>
        <w:ind w:left="607" w:right="2152" w:firstLine="0"/>
        <w:jc w:val="left"/>
        <w:rPr>
          <w:sz w:val="20"/>
        </w:rPr>
      </w:pPr>
      <w:r>
        <w:rPr>
          <w:w w:val="120"/>
          <w:sz w:val="20"/>
        </w:rPr>
        <w:t>The Churches of Christ developed a different understanding of church order again, by routinely expecting elders to preside at the Lord’s </w:t>
      </w:r>
      <w:r>
        <w:rPr>
          <w:spacing w:val="-3"/>
          <w:w w:val="120"/>
          <w:sz w:val="20"/>
        </w:rPr>
        <w:t>Table. </w:t>
      </w:r>
      <w:r>
        <w:rPr>
          <w:w w:val="120"/>
          <w:sz w:val="20"/>
        </w:rPr>
        <w:t>The mandate at the ordination of elders read (in part) as</w:t>
      </w:r>
      <w:r>
        <w:rPr>
          <w:spacing w:val="13"/>
          <w:w w:val="120"/>
          <w:sz w:val="20"/>
        </w:rPr>
        <w:t> </w:t>
      </w:r>
      <w:r>
        <w:rPr>
          <w:w w:val="120"/>
          <w:sz w:val="20"/>
        </w:rPr>
        <w:t>follows:</w:t>
      </w:r>
    </w:p>
    <w:p>
      <w:pPr>
        <w:pStyle w:val="BodyText"/>
        <w:spacing w:before="10"/>
        <w:rPr>
          <w:sz w:val="19"/>
        </w:rPr>
      </w:pPr>
    </w:p>
    <w:p>
      <w:pPr>
        <w:spacing w:line="235" w:lineRule="auto" w:before="0"/>
        <w:ind w:left="1287" w:right="1982" w:firstLine="0"/>
        <w:jc w:val="left"/>
        <w:rPr>
          <w:sz w:val="20"/>
        </w:rPr>
      </w:pPr>
      <w:r>
        <w:rPr>
          <w:w w:val="115"/>
          <w:sz w:val="20"/>
        </w:rPr>
        <w:t>‘You are appointed to minister in sacred things, and </w:t>
      </w:r>
      <w:r>
        <w:rPr>
          <w:i/>
          <w:w w:val="115"/>
          <w:sz w:val="20"/>
        </w:rPr>
        <w:t>to take your place at the </w:t>
      </w:r>
      <w:r>
        <w:rPr>
          <w:i/>
          <w:spacing w:val="-4"/>
          <w:w w:val="115"/>
          <w:sz w:val="20"/>
        </w:rPr>
        <w:t>Table   </w:t>
      </w:r>
      <w:r>
        <w:rPr>
          <w:i/>
          <w:w w:val="115"/>
          <w:sz w:val="20"/>
        </w:rPr>
        <w:t>of your blessed </w:t>
      </w:r>
      <w:r>
        <w:rPr>
          <w:i/>
          <w:spacing w:val="-3"/>
          <w:w w:val="115"/>
          <w:sz w:val="20"/>
        </w:rPr>
        <w:t>Lord</w:t>
      </w:r>
      <w:r>
        <w:rPr>
          <w:spacing w:val="-3"/>
          <w:w w:val="115"/>
          <w:sz w:val="20"/>
        </w:rPr>
        <w:t>.  </w:t>
      </w:r>
      <w:r>
        <w:rPr>
          <w:w w:val="115"/>
          <w:sz w:val="20"/>
        </w:rPr>
        <w:t>It will be your privilege and your duty to break the Bread of   Life to this congregation, and for the due and adequate discharge of this Office      you will answer to the great Head of the Church. It will fall to your lot, with your brother Elders, to rule over the House of God as the steward of God, to maintain    the services of the Church, and </w:t>
      </w:r>
      <w:r>
        <w:rPr>
          <w:i/>
          <w:w w:val="115"/>
          <w:sz w:val="20"/>
        </w:rPr>
        <w:t>to celebrate the sacraments with faithfulness, dignity </w:t>
      </w:r>
      <w:r>
        <w:rPr>
          <w:i/>
          <w:w w:val="115"/>
          <w:sz w:val="20"/>
        </w:rPr>
        <w:t>and grace </w:t>
      </w:r>
      <w:r>
        <w:rPr>
          <w:w w:val="115"/>
          <w:sz w:val="20"/>
        </w:rPr>
        <w:t>(</w:t>
      </w:r>
      <w:r>
        <w:rPr>
          <w:i/>
          <w:w w:val="115"/>
          <w:sz w:val="20"/>
        </w:rPr>
        <w:t>Report of the Commission on Ordination</w:t>
      </w:r>
      <w:r>
        <w:rPr>
          <w:w w:val="115"/>
          <w:sz w:val="20"/>
        </w:rPr>
        <w:t>, adopted by Annual Conference, </w:t>
      </w:r>
      <w:r>
        <w:rPr>
          <w:i/>
          <w:spacing w:val="-4"/>
          <w:w w:val="115"/>
          <w:sz w:val="20"/>
        </w:rPr>
        <w:t>Year </w:t>
      </w:r>
      <w:r>
        <w:rPr>
          <w:i/>
          <w:w w:val="115"/>
          <w:sz w:val="20"/>
        </w:rPr>
        <w:t>Book </w:t>
      </w:r>
      <w:r>
        <w:rPr>
          <w:spacing w:val="-6"/>
          <w:w w:val="115"/>
          <w:sz w:val="20"/>
        </w:rPr>
        <w:t>1942, </w:t>
      </w:r>
      <w:r>
        <w:rPr>
          <w:w w:val="115"/>
          <w:sz w:val="20"/>
        </w:rPr>
        <w:t>p </w:t>
      </w:r>
      <w:r>
        <w:rPr>
          <w:spacing w:val="-6"/>
          <w:w w:val="115"/>
          <w:sz w:val="20"/>
        </w:rPr>
        <w:t>148 </w:t>
      </w:r>
      <w:r>
        <w:rPr>
          <w:w w:val="115"/>
          <w:sz w:val="20"/>
        </w:rPr>
        <w:t>[italics</w:t>
      </w:r>
      <w:r>
        <w:rPr>
          <w:spacing w:val="49"/>
          <w:w w:val="115"/>
          <w:sz w:val="20"/>
        </w:rPr>
        <w:t> </w:t>
      </w:r>
      <w:r>
        <w:rPr>
          <w:w w:val="115"/>
          <w:sz w:val="20"/>
        </w:rPr>
        <w:t>added]).</w:t>
      </w:r>
    </w:p>
    <w:p>
      <w:pPr>
        <w:pStyle w:val="BodyText"/>
        <w:spacing w:before="3"/>
        <w:ind w:left="607"/>
      </w:pPr>
      <w:r>
        <w:rPr>
          <w:w w:val="120"/>
        </w:rPr>
        <w:t>This was why they were recognized as auxiliary ministers in 1981.</w:t>
      </w:r>
    </w:p>
    <w:p>
      <w:pPr>
        <w:pStyle w:val="BodyText"/>
        <w:spacing w:before="7"/>
        <w:rPr>
          <w:sz w:val="19"/>
        </w:rPr>
      </w:pPr>
    </w:p>
    <w:p>
      <w:pPr>
        <w:pStyle w:val="ListParagraph"/>
        <w:numPr>
          <w:ilvl w:val="1"/>
          <w:numId w:val="132"/>
        </w:numPr>
        <w:tabs>
          <w:tab w:pos="1287" w:val="left" w:leader="none"/>
          <w:tab w:pos="1288" w:val="left" w:leader="none"/>
        </w:tabs>
        <w:spacing w:line="235" w:lineRule="auto" w:before="0" w:after="0"/>
        <w:ind w:left="607" w:right="2210" w:firstLine="0"/>
        <w:jc w:val="left"/>
        <w:rPr>
          <w:sz w:val="20"/>
        </w:rPr>
      </w:pPr>
      <w:r>
        <w:rPr>
          <w:w w:val="120"/>
          <w:sz w:val="20"/>
        </w:rPr>
        <w:t>Churches of Christ Elders did not operate individually as sole church leaders  but as a team supported and resourced by their ministers, especially since single- congregation pastorates were very rare. The development of the auxiliary ministry into today’s non-stipendiary ministry, differing from their stipendiary colleagues only in the lack of stipend rather than the nature and length of training, is understandable as a wish to express parity between the two ministries, yet a certain flexibility and accessibility of leadership has been lost to the local church </w:t>
      </w:r>
      <w:r>
        <w:rPr>
          <w:spacing w:val="-3"/>
          <w:w w:val="120"/>
          <w:sz w:val="20"/>
        </w:rPr>
        <w:t>(except </w:t>
      </w:r>
      <w:r>
        <w:rPr>
          <w:w w:val="120"/>
          <w:sz w:val="20"/>
        </w:rPr>
        <w:t>perhaps in </w:t>
      </w:r>
      <w:r>
        <w:rPr>
          <w:spacing w:val="2"/>
          <w:w w:val="120"/>
          <w:sz w:val="20"/>
        </w:rPr>
        <w:t>parts </w:t>
      </w:r>
      <w:r>
        <w:rPr>
          <w:w w:val="120"/>
          <w:sz w:val="20"/>
        </w:rPr>
        <w:t>of Scotland) in this development from the original Churches of Christ understanding of eldership.</w:t>
      </w:r>
    </w:p>
    <w:p>
      <w:pPr>
        <w:pStyle w:val="BodyText"/>
        <w:spacing w:before="11"/>
        <w:rPr>
          <w:sz w:val="19"/>
        </w:rPr>
      </w:pPr>
    </w:p>
    <w:p>
      <w:pPr>
        <w:pStyle w:val="ListParagraph"/>
        <w:numPr>
          <w:ilvl w:val="1"/>
          <w:numId w:val="132"/>
        </w:numPr>
        <w:tabs>
          <w:tab w:pos="1287" w:val="left" w:leader="none"/>
          <w:tab w:pos="1288" w:val="left" w:leader="none"/>
        </w:tabs>
        <w:spacing w:line="240" w:lineRule="auto" w:before="0" w:after="0"/>
        <w:ind w:left="1287" w:right="0" w:hanging="681"/>
        <w:jc w:val="left"/>
        <w:rPr>
          <w:i/>
          <w:sz w:val="20"/>
        </w:rPr>
      </w:pPr>
      <w:r>
        <w:rPr>
          <w:i/>
          <w:w w:val="110"/>
          <w:sz w:val="20"/>
        </w:rPr>
        <w:t>The position of authorised elders within the</w:t>
      </w:r>
      <w:r>
        <w:rPr>
          <w:i/>
          <w:spacing w:val="28"/>
          <w:w w:val="110"/>
          <w:sz w:val="20"/>
        </w:rPr>
        <w:t> </w:t>
      </w:r>
      <w:r>
        <w:rPr>
          <w:i/>
          <w:w w:val="110"/>
          <w:sz w:val="20"/>
        </w:rPr>
        <w:t>church</w:t>
      </w:r>
    </w:p>
    <w:p>
      <w:pPr>
        <w:pStyle w:val="BodyText"/>
        <w:spacing w:before="8"/>
        <w:rPr>
          <w:i/>
          <w:sz w:val="19"/>
        </w:rPr>
      </w:pPr>
    </w:p>
    <w:p>
      <w:pPr>
        <w:pStyle w:val="BodyText"/>
        <w:spacing w:line="235" w:lineRule="auto"/>
        <w:ind w:left="607" w:right="2335"/>
      </w:pPr>
      <w:r>
        <w:rPr>
          <w:w w:val="120"/>
        </w:rPr>
        <w:t>There are different kinds of ‘pastoral necessity’, which require different kinds of solution. A fundamental difference between the situation of larger </w:t>
      </w:r>
      <w:r>
        <w:rPr>
          <w:spacing w:val="-3"/>
          <w:w w:val="120"/>
        </w:rPr>
        <w:t>(usually urban)  </w:t>
      </w:r>
      <w:r>
        <w:rPr>
          <w:w w:val="120"/>
        </w:rPr>
        <w:t>and smaller </w:t>
      </w:r>
      <w:r>
        <w:rPr>
          <w:spacing w:val="-3"/>
          <w:w w:val="120"/>
        </w:rPr>
        <w:t>(usually </w:t>
      </w:r>
      <w:r>
        <w:rPr>
          <w:w w:val="120"/>
        </w:rPr>
        <w:t>rural) churches runs through most of our approach to Church life beyond the local congregation. Typically the voices of the smaller churches are rarely heard or listened </w:t>
      </w:r>
      <w:r>
        <w:rPr>
          <w:spacing w:val="-3"/>
          <w:w w:val="120"/>
        </w:rPr>
        <w:t>to. </w:t>
      </w:r>
      <w:r>
        <w:rPr>
          <w:w w:val="120"/>
        </w:rPr>
        <w:t>At least three different scenarios currently exist, which require rather different</w:t>
      </w:r>
      <w:r>
        <w:rPr>
          <w:spacing w:val="3"/>
          <w:w w:val="120"/>
        </w:rPr>
        <w:t> </w:t>
      </w:r>
      <w:r>
        <w:rPr>
          <w:w w:val="120"/>
        </w:rPr>
        <w:t>solutions:</w:t>
      </w:r>
    </w:p>
    <w:p>
      <w:pPr>
        <w:pStyle w:val="BodyText"/>
      </w:pPr>
    </w:p>
    <w:p>
      <w:pPr>
        <w:pStyle w:val="ListParagraph"/>
        <w:numPr>
          <w:ilvl w:val="0"/>
          <w:numId w:val="135"/>
        </w:numPr>
        <w:tabs>
          <w:tab w:pos="1287" w:val="left" w:leader="none"/>
          <w:tab w:pos="1288" w:val="left" w:leader="none"/>
        </w:tabs>
        <w:spacing w:line="235" w:lineRule="auto" w:before="0" w:after="0"/>
        <w:ind w:left="1287" w:right="2050" w:hanging="681"/>
        <w:jc w:val="left"/>
        <w:rPr>
          <w:sz w:val="20"/>
        </w:rPr>
      </w:pPr>
      <w:r>
        <w:rPr>
          <w:w w:val="120"/>
          <w:sz w:val="20"/>
        </w:rPr>
        <w:t>emergencies, when the appointed minister either fails to arrive or gives very late notice </w:t>
      </w:r>
      <w:r>
        <w:rPr>
          <w:spacing w:val="-3"/>
          <w:w w:val="120"/>
          <w:sz w:val="20"/>
        </w:rPr>
        <w:t>(i.e. </w:t>
      </w:r>
      <w:r>
        <w:rPr>
          <w:w w:val="120"/>
          <w:sz w:val="20"/>
        </w:rPr>
        <w:t>less than </w:t>
      </w:r>
      <w:r>
        <w:rPr>
          <w:spacing w:val="-5"/>
          <w:w w:val="120"/>
          <w:sz w:val="20"/>
        </w:rPr>
        <w:t>24 </w:t>
      </w:r>
      <w:r>
        <w:rPr>
          <w:spacing w:val="-3"/>
          <w:w w:val="120"/>
          <w:sz w:val="20"/>
        </w:rPr>
        <w:t>hours) </w:t>
      </w:r>
      <w:r>
        <w:rPr>
          <w:w w:val="120"/>
          <w:sz w:val="20"/>
        </w:rPr>
        <w:t>of inability to come. Here, unless there is another eligible</w:t>
      </w:r>
      <w:r>
        <w:rPr>
          <w:spacing w:val="9"/>
          <w:w w:val="120"/>
          <w:sz w:val="20"/>
        </w:rPr>
        <w:t> </w:t>
      </w:r>
      <w:r>
        <w:rPr>
          <w:w w:val="120"/>
          <w:sz w:val="20"/>
        </w:rPr>
        <w:t>member</w:t>
      </w:r>
      <w:r>
        <w:rPr>
          <w:spacing w:val="10"/>
          <w:w w:val="120"/>
          <w:sz w:val="20"/>
        </w:rPr>
        <w:t> </w:t>
      </w:r>
      <w:r>
        <w:rPr>
          <w:w w:val="120"/>
          <w:sz w:val="20"/>
        </w:rPr>
        <w:t>of</w:t>
      </w:r>
      <w:r>
        <w:rPr>
          <w:spacing w:val="10"/>
          <w:w w:val="120"/>
          <w:sz w:val="20"/>
        </w:rPr>
        <w:t> </w:t>
      </w:r>
      <w:r>
        <w:rPr>
          <w:w w:val="120"/>
          <w:sz w:val="20"/>
        </w:rPr>
        <w:t>the</w:t>
      </w:r>
      <w:r>
        <w:rPr>
          <w:spacing w:val="10"/>
          <w:w w:val="120"/>
          <w:sz w:val="20"/>
        </w:rPr>
        <w:t> </w:t>
      </w:r>
      <w:r>
        <w:rPr>
          <w:w w:val="120"/>
          <w:sz w:val="20"/>
        </w:rPr>
        <w:t>congregation</w:t>
      </w:r>
      <w:r>
        <w:rPr>
          <w:spacing w:val="10"/>
          <w:w w:val="120"/>
          <w:sz w:val="20"/>
        </w:rPr>
        <w:t> </w:t>
      </w:r>
      <w:r>
        <w:rPr>
          <w:w w:val="120"/>
          <w:sz w:val="20"/>
        </w:rPr>
        <w:t>who</w:t>
      </w:r>
      <w:r>
        <w:rPr>
          <w:spacing w:val="9"/>
          <w:w w:val="120"/>
          <w:sz w:val="20"/>
        </w:rPr>
        <w:t> </w:t>
      </w:r>
      <w:r>
        <w:rPr>
          <w:w w:val="120"/>
          <w:sz w:val="20"/>
        </w:rPr>
        <w:t>can</w:t>
      </w:r>
      <w:r>
        <w:rPr>
          <w:spacing w:val="10"/>
          <w:w w:val="120"/>
          <w:sz w:val="20"/>
        </w:rPr>
        <w:t> </w:t>
      </w:r>
      <w:r>
        <w:rPr>
          <w:w w:val="120"/>
          <w:sz w:val="20"/>
        </w:rPr>
        <w:t>be</w:t>
      </w:r>
      <w:r>
        <w:rPr>
          <w:spacing w:val="10"/>
          <w:w w:val="120"/>
          <w:sz w:val="20"/>
        </w:rPr>
        <w:t> </w:t>
      </w:r>
      <w:r>
        <w:rPr>
          <w:w w:val="120"/>
          <w:sz w:val="20"/>
        </w:rPr>
        <w:t>approached</w:t>
      </w:r>
      <w:r>
        <w:rPr>
          <w:spacing w:val="10"/>
          <w:w w:val="120"/>
          <w:sz w:val="20"/>
        </w:rPr>
        <w:t> </w:t>
      </w:r>
      <w:r>
        <w:rPr>
          <w:w w:val="120"/>
          <w:sz w:val="20"/>
        </w:rPr>
        <w:t>and</w:t>
      </w:r>
      <w:r>
        <w:rPr>
          <w:spacing w:val="10"/>
          <w:w w:val="120"/>
          <w:sz w:val="20"/>
        </w:rPr>
        <w:t> </w:t>
      </w:r>
      <w:r>
        <w:rPr>
          <w:w w:val="120"/>
          <w:sz w:val="20"/>
        </w:rPr>
        <w:t>is</w:t>
      </w:r>
      <w:r>
        <w:rPr>
          <w:spacing w:val="10"/>
          <w:w w:val="120"/>
          <w:sz w:val="20"/>
        </w:rPr>
        <w:t> </w:t>
      </w:r>
      <w:r>
        <w:rPr>
          <w:w w:val="120"/>
          <w:sz w:val="20"/>
        </w:rPr>
        <w:t>willing,</w:t>
      </w:r>
    </w:p>
    <w:p>
      <w:pPr>
        <w:pStyle w:val="BodyText"/>
        <w:spacing w:line="235" w:lineRule="auto" w:before="2"/>
        <w:ind w:left="1287" w:right="2007"/>
      </w:pPr>
      <w:r>
        <w:rPr>
          <w:w w:val="120"/>
        </w:rPr>
        <w:t>the procedure envisaged in the final paragraph of §25 of the </w:t>
      </w:r>
      <w:r>
        <w:rPr>
          <w:i/>
          <w:w w:val="120"/>
        </w:rPr>
        <w:t>Basis </w:t>
      </w:r>
      <w:r>
        <w:rPr>
          <w:w w:val="120"/>
        </w:rPr>
        <w:t>allows for the congregation assembled for a baptismal or communion service themselves to appoint, </w:t>
      </w:r>
      <w:r>
        <w:rPr>
          <w:spacing w:val="-4"/>
          <w:w w:val="120"/>
        </w:rPr>
        <w:t>‘as </w:t>
      </w:r>
      <w:r>
        <w:rPr>
          <w:w w:val="120"/>
        </w:rPr>
        <w:t>a church meeting, a suitable person to preside at the sacrament in a case of emergency’. In practice, this is more likely to apply to a baptismal service, since a communion service could always be postponed to another </w:t>
      </w:r>
      <w:r>
        <w:rPr>
          <w:spacing w:val="-3"/>
          <w:w w:val="120"/>
        </w:rPr>
        <w:t>Sunday.</w:t>
      </w:r>
    </w:p>
    <w:p>
      <w:pPr>
        <w:spacing w:after="0" w:line="235" w:lineRule="auto"/>
        <w:sectPr>
          <w:headerReference w:type="even" r:id="rId302"/>
          <w:footerReference w:type="even" r:id="rId303"/>
          <w:footerReference w:type="default" r:id="rId304"/>
          <w:pgSz w:w="11910" w:h="16840"/>
          <w:pgMar w:header="0" w:footer="647" w:top="0" w:bottom="840" w:left="640" w:right="0"/>
          <w:pgNumType w:start="102"/>
        </w:sectPr>
      </w:pPr>
    </w:p>
    <w:p>
      <w:pPr>
        <w:pStyle w:val="BodyText"/>
      </w:pPr>
      <w:r>
        <w:rPr/>
        <w:drawing>
          <wp:anchor distT="0" distB="0" distL="0" distR="0" allowOverlap="1" layoutInCell="1" locked="0" behindDoc="0" simplePos="0" relativeHeight="251931648">
            <wp:simplePos x="0" y="0"/>
            <wp:positionH relativeFrom="page">
              <wp:posOffset>6974928</wp:posOffset>
            </wp:positionH>
            <wp:positionV relativeFrom="page">
              <wp:posOffset>0</wp:posOffset>
            </wp:positionV>
            <wp:extent cx="585063" cy="10692003"/>
            <wp:effectExtent l="0" t="0" r="0" b="0"/>
            <wp:wrapNone/>
            <wp:docPr id="189" name="image54.png"/>
            <wp:cNvGraphicFramePr>
              <a:graphicFrameLocks noChangeAspect="1"/>
            </wp:cNvGraphicFramePr>
            <a:graphic>
              <a:graphicData uri="http://schemas.openxmlformats.org/drawingml/2006/picture">
                <pic:pic>
                  <pic:nvPicPr>
                    <pic:cNvPr id="190" name="image54.png"/>
                    <pic:cNvPicPr/>
                  </pic:nvPicPr>
                  <pic:blipFill>
                    <a:blip r:embed="rId169" cstate="print"/>
                    <a:stretch>
                      <a:fillRect/>
                    </a:stretch>
                  </pic:blipFill>
                  <pic:spPr>
                    <a:xfrm>
                      <a:off x="0" y="0"/>
                      <a:ext cx="585063" cy="10692003"/>
                    </a:xfrm>
                    <a:prstGeom prst="rect">
                      <a:avLst/>
                    </a:prstGeom>
                  </pic:spPr>
                </pic:pic>
              </a:graphicData>
            </a:graphic>
          </wp:anchor>
        </w:drawing>
      </w:r>
    </w:p>
    <w:p>
      <w:pPr>
        <w:pStyle w:val="BodyText"/>
        <w:spacing w:before="7"/>
        <w:rPr>
          <w:sz w:val="21"/>
        </w:rPr>
      </w:pPr>
    </w:p>
    <w:p>
      <w:pPr>
        <w:spacing w:before="106"/>
        <w:ind w:left="0" w:right="1245" w:firstLine="0"/>
        <w:jc w:val="right"/>
        <w:rPr>
          <w:sz w:val="26"/>
        </w:rPr>
      </w:pPr>
      <w:r>
        <w:rPr/>
        <w:pict>
          <v:shape style="position:absolute;margin-left:554.141174pt;margin-top:22.593945pt;width:25.9pt;height:483.55pt;mso-position-horizontal-relative:page;mso-position-vertical-relative:paragraph;z-index:251932672" type="#_x0000_t202" filled="false" stroked="false">
            <v:textbox inset="0,0,0,0" style="layout-flow:vertical">
              <w:txbxContent>
                <w:p>
                  <w:pPr>
                    <w:spacing w:before="27"/>
                    <w:ind w:left="20" w:right="0" w:firstLine="0"/>
                    <w:jc w:val="left"/>
                    <w:rPr>
                      <w:sz w:val="39"/>
                    </w:rPr>
                  </w:pPr>
                  <w:r>
                    <w:rPr>
                      <w:color w:val="FFFFFF"/>
                      <w:spacing w:val="6"/>
                      <w:w w:val="120"/>
                      <w:sz w:val="39"/>
                    </w:rPr>
                    <w:t>Faith </w:t>
                  </w:r>
                  <w:r>
                    <w:rPr>
                      <w:color w:val="FFFFFF"/>
                      <w:spacing w:val="7"/>
                      <w:w w:val="120"/>
                      <w:sz w:val="39"/>
                    </w:rPr>
                    <w:t>and order </w:t>
                  </w:r>
                  <w:r>
                    <w:rPr>
                      <w:color w:val="FFFFFF"/>
                      <w:w w:val="120"/>
                      <w:sz w:val="39"/>
                    </w:rPr>
                    <w:t>– </w:t>
                  </w:r>
                  <w:r>
                    <w:rPr>
                      <w:spacing w:val="10"/>
                      <w:w w:val="120"/>
                      <w:sz w:val="39"/>
                    </w:rPr>
                    <w:t>Authorised </w:t>
                  </w:r>
                  <w:r>
                    <w:rPr>
                      <w:spacing w:val="9"/>
                      <w:w w:val="120"/>
                      <w:sz w:val="39"/>
                    </w:rPr>
                    <w:t>elders </w:t>
                  </w:r>
                  <w:r>
                    <w:rPr>
                      <w:color w:val="FFFFFF"/>
                      <w:w w:val="120"/>
                      <w:sz w:val="39"/>
                    </w:rPr>
                    <w:t>–</w:t>
                  </w:r>
                  <w:r>
                    <w:rPr>
                      <w:color w:val="FFFFFF"/>
                      <w:spacing w:val="56"/>
                      <w:w w:val="120"/>
                      <w:sz w:val="39"/>
                    </w:rPr>
                    <w:t> </w:t>
                  </w:r>
                  <w:r>
                    <w:rPr>
                      <w:spacing w:val="11"/>
                      <w:w w:val="120"/>
                      <w:sz w:val="39"/>
                    </w:rPr>
                    <w:t>Appendix</w:t>
                  </w:r>
                </w:p>
              </w:txbxContent>
            </v:textbox>
            <w10:wrap type="none"/>
          </v:shape>
        </w:pict>
      </w:r>
      <w:r>
        <w:rPr>
          <w:color w:val="7EAABF"/>
          <w:w w:val="115"/>
          <w:sz w:val="26"/>
        </w:rPr>
        <w:t>Faith and order</w:t>
      </w:r>
    </w:p>
    <w:p>
      <w:pPr>
        <w:pStyle w:val="ListParagraph"/>
        <w:numPr>
          <w:ilvl w:val="0"/>
          <w:numId w:val="135"/>
        </w:numPr>
        <w:tabs>
          <w:tab w:pos="2024" w:val="left" w:leader="none"/>
          <w:tab w:pos="2025" w:val="left" w:leader="none"/>
        </w:tabs>
        <w:spacing w:line="235" w:lineRule="auto" w:before="222" w:after="0"/>
        <w:ind w:left="2024" w:right="1427" w:hanging="681"/>
        <w:jc w:val="left"/>
        <w:rPr>
          <w:sz w:val="20"/>
        </w:rPr>
      </w:pPr>
      <w:r>
        <w:rPr>
          <w:w w:val="120"/>
          <w:sz w:val="20"/>
        </w:rPr>
        <w:t>churches </w:t>
      </w:r>
      <w:r>
        <w:rPr>
          <w:spacing w:val="-5"/>
          <w:w w:val="120"/>
          <w:sz w:val="20"/>
        </w:rPr>
        <w:t>(e.g. </w:t>
      </w:r>
      <w:r>
        <w:rPr>
          <w:w w:val="120"/>
          <w:sz w:val="20"/>
        </w:rPr>
        <w:t>in a multi-church pastorate) with no minister regularly assigned or obtainable, where some kind of continuity from week to week or month to month is desirable. This would justify the authorisation of a designated elder or lay preacher along the lines envisaged in §25 of the</w:t>
      </w:r>
      <w:r>
        <w:rPr>
          <w:spacing w:val="15"/>
          <w:w w:val="120"/>
          <w:sz w:val="20"/>
        </w:rPr>
        <w:t> </w:t>
      </w:r>
      <w:r>
        <w:rPr>
          <w:i/>
          <w:w w:val="120"/>
          <w:sz w:val="20"/>
        </w:rPr>
        <w:t>Basis</w:t>
      </w:r>
      <w:r>
        <w:rPr>
          <w:w w:val="120"/>
          <w:sz w:val="20"/>
        </w:rPr>
        <w:t>.</w:t>
      </w:r>
    </w:p>
    <w:p>
      <w:pPr>
        <w:pStyle w:val="BodyText"/>
        <w:spacing w:before="10"/>
        <w:rPr>
          <w:sz w:val="19"/>
        </w:rPr>
      </w:pPr>
    </w:p>
    <w:p>
      <w:pPr>
        <w:pStyle w:val="ListParagraph"/>
        <w:numPr>
          <w:ilvl w:val="0"/>
          <w:numId w:val="135"/>
        </w:numPr>
        <w:tabs>
          <w:tab w:pos="2024" w:val="left" w:leader="none"/>
          <w:tab w:pos="2025" w:val="left" w:leader="none"/>
        </w:tabs>
        <w:spacing w:line="235" w:lineRule="auto" w:before="1" w:after="0"/>
        <w:ind w:left="2024" w:right="1255" w:hanging="681"/>
        <w:jc w:val="left"/>
        <w:rPr>
          <w:sz w:val="20"/>
        </w:rPr>
      </w:pPr>
      <w:r>
        <w:rPr>
          <w:w w:val="120"/>
          <w:sz w:val="20"/>
        </w:rPr>
        <w:t>churches</w:t>
      </w:r>
      <w:r>
        <w:rPr>
          <w:spacing w:val="-5"/>
          <w:w w:val="120"/>
          <w:sz w:val="20"/>
        </w:rPr>
        <w:t> </w:t>
      </w:r>
      <w:r>
        <w:rPr>
          <w:spacing w:val="-3"/>
          <w:w w:val="120"/>
          <w:sz w:val="20"/>
        </w:rPr>
        <w:t>like</w:t>
      </w:r>
      <w:r>
        <w:rPr>
          <w:spacing w:val="-4"/>
          <w:w w:val="120"/>
          <w:sz w:val="20"/>
        </w:rPr>
        <w:t> </w:t>
      </w:r>
      <w:r>
        <w:rPr>
          <w:w w:val="120"/>
          <w:sz w:val="20"/>
        </w:rPr>
        <w:t>those</w:t>
      </w:r>
      <w:r>
        <w:rPr>
          <w:spacing w:val="-4"/>
          <w:w w:val="120"/>
          <w:sz w:val="20"/>
        </w:rPr>
        <w:t> </w:t>
      </w:r>
      <w:r>
        <w:rPr>
          <w:w w:val="120"/>
          <w:sz w:val="20"/>
        </w:rPr>
        <w:t>in</w:t>
      </w:r>
      <w:r>
        <w:rPr>
          <w:spacing w:val="-5"/>
          <w:w w:val="120"/>
          <w:sz w:val="20"/>
        </w:rPr>
        <w:t> </w:t>
      </w:r>
      <w:r>
        <w:rPr>
          <w:spacing w:val="-9"/>
          <w:w w:val="120"/>
          <w:sz w:val="20"/>
        </w:rPr>
        <w:t>(b),</w:t>
      </w:r>
      <w:r>
        <w:rPr>
          <w:spacing w:val="-4"/>
          <w:w w:val="120"/>
          <w:sz w:val="20"/>
        </w:rPr>
        <w:t> </w:t>
      </w:r>
      <w:r>
        <w:rPr>
          <w:w w:val="120"/>
          <w:sz w:val="20"/>
        </w:rPr>
        <w:t>but</w:t>
      </w:r>
      <w:r>
        <w:rPr>
          <w:spacing w:val="-4"/>
          <w:w w:val="120"/>
          <w:sz w:val="20"/>
        </w:rPr>
        <w:t> </w:t>
      </w:r>
      <w:r>
        <w:rPr>
          <w:w w:val="120"/>
          <w:sz w:val="20"/>
        </w:rPr>
        <w:t>where</w:t>
      </w:r>
      <w:r>
        <w:rPr>
          <w:spacing w:val="-4"/>
          <w:w w:val="120"/>
          <w:sz w:val="20"/>
        </w:rPr>
        <w:t> </w:t>
      </w:r>
      <w:r>
        <w:rPr>
          <w:w w:val="120"/>
          <w:sz w:val="20"/>
        </w:rPr>
        <w:t>it</w:t>
      </w:r>
      <w:r>
        <w:rPr>
          <w:spacing w:val="-5"/>
          <w:w w:val="120"/>
          <w:sz w:val="20"/>
        </w:rPr>
        <w:t> </w:t>
      </w:r>
      <w:r>
        <w:rPr>
          <w:w w:val="120"/>
          <w:sz w:val="20"/>
        </w:rPr>
        <w:t>would</w:t>
      </w:r>
      <w:r>
        <w:rPr>
          <w:spacing w:val="-4"/>
          <w:w w:val="120"/>
          <w:sz w:val="20"/>
        </w:rPr>
        <w:t> </w:t>
      </w:r>
      <w:r>
        <w:rPr>
          <w:w w:val="120"/>
          <w:sz w:val="20"/>
        </w:rPr>
        <w:t>be</w:t>
      </w:r>
      <w:r>
        <w:rPr>
          <w:spacing w:val="-4"/>
          <w:w w:val="120"/>
          <w:sz w:val="20"/>
        </w:rPr>
        <w:t> </w:t>
      </w:r>
      <w:r>
        <w:rPr>
          <w:w w:val="120"/>
          <w:sz w:val="20"/>
        </w:rPr>
        <w:t>more</w:t>
      </w:r>
      <w:r>
        <w:rPr>
          <w:spacing w:val="-4"/>
          <w:w w:val="120"/>
          <w:sz w:val="20"/>
        </w:rPr>
        <w:t> </w:t>
      </w:r>
      <w:r>
        <w:rPr>
          <w:w w:val="120"/>
          <w:sz w:val="20"/>
        </w:rPr>
        <w:t>effective</w:t>
      </w:r>
      <w:r>
        <w:rPr>
          <w:spacing w:val="-5"/>
          <w:w w:val="120"/>
          <w:sz w:val="20"/>
        </w:rPr>
        <w:t> </w:t>
      </w:r>
      <w:r>
        <w:rPr>
          <w:w w:val="120"/>
          <w:sz w:val="20"/>
        </w:rPr>
        <w:t>in</w:t>
      </w:r>
      <w:r>
        <w:rPr>
          <w:spacing w:val="-4"/>
          <w:w w:val="120"/>
          <w:sz w:val="20"/>
        </w:rPr>
        <w:t> </w:t>
      </w:r>
      <w:r>
        <w:rPr>
          <w:w w:val="120"/>
          <w:sz w:val="20"/>
        </w:rPr>
        <w:t>terms</w:t>
      </w:r>
      <w:r>
        <w:rPr>
          <w:spacing w:val="-4"/>
          <w:w w:val="120"/>
          <w:sz w:val="20"/>
        </w:rPr>
        <w:t> </w:t>
      </w:r>
      <w:r>
        <w:rPr>
          <w:w w:val="120"/>
          <w:sz w:val="20"/>
        </w:rPr>
        <w:t>of</w:t>
      </w:r>
      <w:r>
        <w:rPr>
          <w:spacing w:val="-4"/>
          <w:w w:val="120"/>
          <w:sz w:val="20"/>
        </w:rPr>
        <w:t> </w:t>
      </w:r>
      <w:r>
        <w:rPr>
          <w:w w:val="120"/>
          <w:sz w:val="20"/>
        </w:rPr>
        <w:t>sharing the burden of preparation </w:t>
      </w:r>
      <w:r>
        <w:rPr>
          <w:spacing w:val="-3"/>
          <w:w w:val="120"/>
          <w:sz w:val="20"/>
        </w:rPr>
        <w:t>to have </w:t>
      </w:r>
      <w:r>
        <w:rPr>
          <w:w w:val="120"/>
          <w:sz w:val="20"/>
        </w:rPr>
        <w:t>a </w:t>
      </w:r>
      <w:r>
        <w:rPr>
          <w:spacing w:val="-3"/>
          <w:w w:val="120"/>
          <w:sz w:val="20"/>
        </w:rPr>
        <w:t>team </w:t>
      </w:r>
      <w:r>
        <w:rPr>
          <w:w w:val="120"/>
          <w:sz w:val="20"/>
        </w:rPr>
        <w:t>of </w:t>
      </w:r>
      <w:r>
        <w:rPr>
          <w:spacing w:val="-3"/>
          <w:w w:val="120"/>
          <w:sz w:val="20"/>
        </w:rPr>
        <w:t>designated </w:t>
      </w:r>
      <w:r>
        <w:rPr>
          <w:w w:val="120"/>
          <w:sz w:val="20"/>
        </w:rPr>
        <w:t>elders or </w:t>
      </w:r>
      <w:r>
        <w:rPr>
          <w:spacing w:val="-2"/>
          <w:w w:val="120"/>
          <w:sz w:val="20"/>
        </w:rPr>
        <w:t>lay </w:t>
      </w:r>
      <w:r>
        <w:rPr>
          <w:w w:val="120"/>
          <w:sz w:val="20"/>
        </w:rPr>
        <w:t>preachers authorised.</w:t>
      </w:r>
    </w:p>
    <w:p>
      <w:pPr>
        <w:pStyle w:val="BodyText"/>
        <w:spacing w:before="10"/>
        <w:rPr>
          <w:sz w:val="19"/>
        </w:rPr>
      </w:pPr>
    </w:p>
    <w:p>
      <w:pPr>
        <w:pStyle w:val="BodyText"/>
        <w:spacing w:line="235" w:lineRule="auto"/>
        <w:ind w:left="1344" w:right="1217"/>
      </w:pPr>
      <w:r>
        <w:rPr>
          <w:w w:val="120"/>
        </w:rPr>
        <w:t>It should also be remembered that some multi-church pastorates may be quite large in area, or have geographical obstacles to speedy communication, such as mountains or rivers with few bridges.</w:t>
      </w:r>
    </w:p>
    <w:p>
      <w:pPr>
        <w:pStyle w:val="BodyText"/>
        <w:spacing w:before="10"/>
        <w:rPr>
          <w:sz w:val="19"/>
        </w:rPr>
      </w:pPr>
    </w:p>
    <w:p>
      <w:pPr>
        <w:pStyle w:val="ListParagraph"/>
        <w:numPr>
          <w:ilvl w:val="1"/>
          <w:numId w:val="132"/>
        </w:numPr>
        <w:tabs>
          <w:tab w:pos="2024" w:val="left" w:leader="none"/>
          <w:tab w:pos="2025" w:val="left" w:leader="none"/>
        </w:tabs>
        <w:spacing w:line="235" w:lineRule="auto" w:before="0" w:after="0"/>
        <w:ind w:left="1344" w:right="1381" w:firstLine="0"/>
        <w:jc w:val="left"/>
        <w:rPr>
          <w:sz w:val="20"/>
        </w:rPr>
      </w:pPr>
      <w:r>
        <w:rPr>
          <w:w w:val="120"/>
          <w:sz w:val="20"/>
        </w:rPr>
        <w:t>Relationships of authorised elders with every council of the church – elderships, church meetings, synods and General Assembly – must be characterised by both support and accountability. The former Churches of Christ model of team leadership can be helpful here, allowing as it does for a differentiation within worship between presiding and preaching, and for a close working relationship between Ministers of Word and Sacrament and authorised</w:t>
      </w:r>
      <w:r>
        <w:rPr>
          <w:spacing w:val="10"/>
          <w:w w:val="120"/>
          <w:sz w:val="20"/>
        </w:rPr>
        <w:t> </w:t>
      </w:r>
      <w:r>
        <w:rPr>
          <w:w w:val="120"/>
          <w:sz w:val="20"/>
        </w:rPr>
        <w:t>elders.</w:t>
      </w:r>
    </w:p>
    <w:p>
      <w:pPr>
        <w:pStyle w:val="BodyText"/>
      </w:pPr>
    </w:p>
    <w:p>
      <w:pPr>
        <w:pStyle w:val="ListParagraph"/>
        <w:numPr>
          <w:ilvl w:val="1"/>
          <w:numId w:val="132"/>
        </w:numPr>
        <w:tabs>
          <w:tab w:pos="2024" w:val="left" w:leader="none"/>
          <w:tab w:pos="2025" w:val="left" w:leader="none"/>
        </w:tabs>
        <w:spacing w:line="235" w:lineRule="auto" w:before="1" w:after="0"/>
        <w:ind w:left="1344" w:right="1246" w:firstLine="0"/>
        <w:jc w:val="left"/>
        <w:rPr>
          <w:sz w:val="20"/>
        </w:rPr>
      </w:pPr>
      <w:r>
        <w:rPr>
          <w:w w:val="120"/>
          <w:sz w:val="20"/>
        </w:rPr>
        <w:t>The committee suggests that, to be true to the </w:t>
      </w:r>
      <w:r>
        <w:rPr>
          <w:spacing w:val="-3"/>
          <w:w w:val="120"/>
          <w:sz w:val="20"/>
        </w:rPr>
        <w:t>Church’s </w:t>
      </w:r>
      <w:r>
        <w:rPr>
          <w:w w:val="120"/>
          <w:sz w:val="20"/>
        </w:rPr>
        <w:t>understanding of call,  the call of authorised elders should be recognised by a service of commissioning after approval of their names by the synod. There is a particular need to support those congregations that have no authorised elder in their membership. It also believes that authorised elders need support and encouragement from a larger group than their own local</w:t>
      </w:r>
      <w:r>
        <w:rPr>
          <w:spacing w:val="5"/>
          <w:w w:val="120"/>
          <w:sz w:val="20"/>
        </w:rPr>
        <w:t> </w:t>
      </w:r>
      <w:r>
        <w:rPr>
          <w:w w:val="120"/>
          <w:sz w:val="20"/>
        </w:rPr>
        <w:t>church.</w:t>
      </w:r>
      <w:r>
        <w:rPr>
          <w:spacing w:val="6"/>
          <w:w w:val="120"/>
          <w:sz w:val="20"/>
        </w:rPr>
        <w:t> </w:t>
      </w:r>
      <w:r>
        <w:rPr>
          <w:w w:val="120"/>
          <w:sz w:val="20"/>
        </w:rPr>
        <w:t>This</w:t>
      </w:r>
      <w:r>
        <w:rPr>
          <w:spacing w:val="5"/>
          <w:w w:val="120"/>
          <w:sz w:val="20"/>
        </w:rPr>
        <w:t> </w:t>
      </w:r>
      <w:r>
        <w:rPr>
          <w:w w:val="120"/>
          <w:sz w:val="20"/>
        </w:rPr>
        <w:t>would</w:t>
      </w:r>
      <w:r>
        <w:rPr>
          <w:spacing w:val="6"/>
          <w:w w:val="120"/>
          <w:sz w:val="20"/>
        </w:rPr>
        <w:t> </w:t>
      </w:r>
      <w:r>
        <w:rPr>
          <w:w w:val="120"/>
          <w:sz w:val="20"/>
        </w:rPr>
        <w:t>be</w:t>
      </w:r>
      <w:r>
        <w:rPr>
          <w:spacing w:val="5"/>
          <w:w w:val="120"/>
          <w:sz w:val="20"/>
        </w:rPr>
        <w:t> </w:t>
      </w:r>
      <w:r>
        <w:rPr>
          <w:w w:val="120"/>
          <w:sz w:val="20"/>
        </w:rPr>
        <w:t>more</w:t>
      </w:r>
      <w:r>
        <w:rPr>
          <w:spacing w:val="6"/>
          <w:w w:val="120"/>
          <w:sz w:val="20"/>
        </w:rPr>
        <w:t> </w:t>
      </w:r>
      <w:r>
        <w:rPr>
          <w:w w:val="120"/>
          <w:sz w:val="20"/>
        </w:rPr>
        <w:t>important</w:t>
      </w:r>
      <w:r>
        <w:rPr>
          <w:spacing w:val="5"/>
          <w:w w:val="120"/>
          <w:sz w:val="20"/>
        </w:rPr>
        <w:t> </w:t>
      </w:r>
      <w:r>
        <w:rPr>
          <w:w w:val="120"/>
          <w:sz w:val="20"/>
        </w:rPr>
        <w:t>if</w:t>
      </w:r>
      <w:r>
        <w:rPr>
          <w:spacing w:val="6"/>
          <w:w w:val="120"/>
          <w:sz w:val="20"/>
        </w:rPr>
        <w:t> </w:t>
      </w:r>
      <w:r>
        <w:rPr>
          <w:w w:val="120"/>
          <w:sz w:val="20"/>
        </w:rPr>
        <w:t>the</w:t>
      </w:r>
      <w:r>
        <w:rPr>
          <w:spacing w:val="5"/>
          <w:w w:val="120"/>
          <w:sz w:val="20"/>
        </w:rPr>
        <w:t> </w:t>
      </w:r>
      <w:r>
        <w:rPr>
          <w:w w:val="120"/>
          <w:sz w:val="20"/>
        </w:rPr>
        <w:t>length</w:t>
      </w:r>
      <w:r>
        <w:rPr>
          <w:spacing w:val="6"/>
          <w:w w:val="120"/>
          <w:sz w:val="20"/>
        </w:rPr>
        <w:t> </w:t>
      </w:r>
      <w:r>
        <w:rPr>
          <w:w w:val="120"/>
          <w:sz w:val="20"/>
        </w:rPr>
        <w:t>of</w:t>
      </w:r>
      <w:r>
        <w:rPr>
          <w:spacing w:val="5"/>
          <w:w w:val="120"/>
          <w:sz w:val="20"/>
        </w:rPr>
        <w:t> </w:t>
      </w:r>
      <w:r>
        <w:rPr>
          <w:w w:val="120"/>
          <w:sz w:val="20"/>
        </w:rPr>
        <w:t>service</w:t>
      </w:r>
      <w:r>
        <w:rPr>
          <w:spacing w:val="6"/>
          <w:w w:val="120"/>
          <w:sz w:val="20"/>
        </w:rPr>
        <w:t> </w:t>
      </w:r>
      <w:r>
        <w:rPr>
          <w:w w:val="120"/>
          <w:sz w:val="20"/>
        </w:rPr>
        <w:t>is</w:t>
      </w:r>
      <w:r>
        <w:rPr>
          <w:spacing w:val="6"/>
          <w:w w:val="120"/>
          <w:sz w:val="20"/>
        </w:rPr>
        <w:t> </w:t>
      </w:r>
      <w:r>
        <w:rPr>
          <w:w w:val="120"/>
          <w:sz w:val="20"/>
        </w:rPr>
        <w:t>extended.</w:t>
      </w:r>
      <w:r>
        <w:rPr>
          <w:spacing w:val="5"/>
          <w:w w:val="120"/>
          <w:sz w:val="20"/>
        </w:rPr>
        <w:t> </w:t>
      </w:r>
      <w:r>
        <w:rPr>
          <w:w w:val="120"/>
          <w:sz w:val="20"/>
        </w:rPr>
        <w:t>For</w:t>
      </w:r>
    </w:p>
    <w:p>
      <w:pPr>
        <w:pStyle w:val="Heading7"/>
        <w:spacing w:line="213" w:lineRule="auto" w:before="10"/>
        <w:ind w:left="1344" w:right="1309"/>
      </w:pPr>
      <w:r>
        <w:rPr>
          <w:rFonts w:ascii="Calibri"/>
          <w:b w:val="0"/>
          <w:w w:val="110"/>
        </w:rPr>
        <w:t>this  reason  </w:t>
      </w:r>
      <w:r>
        <w:rPr>
          <w:w w:val="110"/>
        </w:rPr>
        <w:t>synods are recommended to provide regular support and guidance for each church without an authorised elder within its membership; and also for authorised elders, for example by holding an annual meeting where experiences can be shared (Resolution</w:t>
      </w:r>
      <w:r>
        <w:rPr>
          <w:spacing w:val="-2"/>
          <w:w w:val="110"/>
        </w:rPr>
        <w:t> </w:t>
      </w:r>
      <w:r>
        <w:rPr>
          <w:spacing w:val="-7"/>
          <w:w w:val="110"/>
        </w:rPr>
        <w:t>15).</w:t>
      </w:r>
    </w:p>
    <w:p>
      <w:pPr>
        <w:pStyle w:val="BodyText"/>
        <w:spacing w:before="1"/>
        <w:rPr>
          <w:rFonts w:ascii="Stone Sans II ITC Std Bk"/>
          <w:b/>
          <w:sz w:val="17"/>
        </w:rPr>
      </w:pPr>
    </w:p>
    <w:p>
      <w:pPr>
        <w:pStyle w:val="ListParagraph"/>
        <w:numPr>
          <w:ilvl w:val="1"/>
          <w:numId w:val="132"/>
        </w:numPr>
        <w:tabs>
          <w:tab w:pos="2024" w:val="left" w:leader="none"/>
          <w:tab w:pos="2025" w:val="left" w:leader="none"/>
        </w:tabs>
        <w:spacing w:line="235" w:lineRule="auto" w:before="0" w:after="0"/>
        <w:ind w:left="1344" w:right="1307" w:firstLine="0"/>
        <w:jc w:val="left"/>
        <w:rPr>
          <w:sz w:val="20"/>
        </w:rPr>
      </w:pPr>
      <w:r>
        <w:rPr>
          <w:w w:val="120"/>
          <w:sz w:val="20"/>
        </w:rPr>
        <w:t>Where there are local church leaders in a congregation, the relationship  between them and authorised elders should be clarified at the outset, because of any overlaps in function </w:t>
      </w:r>
      <w:r>
        <w:rPr>
          <w:spacing w:val="-4"/>
          <w:w w:val="120"/>
          <w:sz w:val="20"/>
        </w:rPr>
        <w:t>(see </w:t>
      </w:r>
      <w:r>
        <w:rPr>
          <w:w w:val="120"/>
          <w:sz w:val="20"/>
        </w:rPr>
        <w:t>the </w:t>
      </w:r>
      <w:r>
        <w:rPr>
          <w:i/>
          <w:w w:val="120"/>
          <w:sz w:val="20"/>
        </w:rPr>
        <w:t>Guidelines</w:t>
      </w:r>
      <w:r>
        <w:rPr>
          <w:w w:val="120"/>
          <w:sz w:val="20"/>
        </w:rPr>
        <w:t>, approved and amended by Assembly, </w:t>
      </w:r>
      <w:r>
        <w:rPr>
          <w:i/>
          <w:w w:val="120"/>
          <w:sz w:val="20"/>
        </w:rPr>
        <w:t>Reports </w:t>
      </w:r>
      <w:r>
        <w:rPr>
          <w:i/>
          <w:w w:val="120"/>
          <w:sz w:val="20"/>
        </w:rPr>
        <w:t>to Assembly </w:t>
      </w:r>
      <w:r>
        <w:rPr>
          <w:spacing w:val="-4"/>
          <w:w w:val="120"/>
          <w:sz w:val="20"/>
        </w:rPr>
        <w:t>1998, </w:t>
      </w:r>
      <w:r>
        <w:rPr>
          <w:w w:val="120"/>
          <w:sz w:val="20"/>
        </w:rPr>
        <w:t>pp 66-67). Both are accountable to the elders’ meeting, as well as the synod. Any greater detail should be set out by the synod that appoints</w:t>
      </w:r>
      <w:r>
        <w:rPr>
          <w:spacing w:val="49"/>
          <w:w w:val="120"/>
          <w:sz w:val="20"/>
        </w:rPr>
        <w:t> </w:t>
      </w:r>
      <w:r>
        <w:rPr>
          <w:w w:val="120"/>
          <w:sz w:val="20"/>
        </w:rPr>
        <w:t>them.</w:t>
      </w:r>
    </w:p>
    <w:p>
      <w:pPr>
        <w:pStyle w:val="BodyText"/>
      </w:pPr>
    </w:p>
    <w:p>
      <w:pPr>
        <w:pStyle w:val="ListParagraph"/>
        <w:numPr>
          <w:ilvl w:val="1"/>
          <w:numId w:val="132"/>
        </w:numPr>
        <w:tabs>
          <w:tab w:pos="2024" w:val="left" w:leader="none"/>
          <w:tab w:pos="2025" w:val="left" w:leader="none"/>
        </w:tabs>
        <w:spacing w:line="235" w:lineRule="auto" w:before="0" w:after="0"/>
        <w:ind w:left="1344" w:right="1532" w:firstLine="0"/>
        <w:jc w:val="left"/>
        <w:rPr>
          <w:sz w:val="20"/>
        </w:rPr>
      </w:pPr>
      <w:r>
        <w:rPr>
          <w:w w:val="120"/>
          <w:sz w:val="20"/>
        </w:rPr>
        <w:t>There are apparently some churches which currently propose names on a ‘just in case’ basis, and some synods approve them. The committee strongly urges</w:t>
      </w:r>
      <w:r>
        <w:rPr>
          <w:spacing w:val="4"/>
          <w:w w:val="120"/>
          <w:sz w:val="20"/>
        </w:rPr>
        <w:t> </w:t>
      </w:r>
      <w:r>
        <w:rPr>
          <w:w w:val="120"/>
          <w:sz w:val="20"/>
        </w:rPr>
        <w:t>on</w:t>
      </w:r>
    </w:p>
    <w:p>
      <w:pPr>
        <w:pStyle w:val="BodyText"/>
        <w:spacing w:line="235" w:lineRule="auto" w:before="2"/>
        <w:ind w:left="1344" w:right="1704"/>
      </w:pPr>
      <w:r>
        <w:rPr>
          <w:w w:val="120"/>
        </w:rPr>
        <w:t>all concerned that this practice is in no-one’s best interest; indeed it has been told that some persons already authorised have had so little experience that they would be</w:t>
      </w:r>
      <w:r>
        <w:rPr>
          <w:spacing w:val="5"/>
          <w:w w:val="120"/>
        </w:rPr>
        <w:t> </w:t>
      </w:r>
      <w:r>
        <w:rPr>
          <w:w w:val="120"/>
        </w:rPr>
        <w:t>nervous</w:t>
      </w:r>
      <w:r>
        <w:rPr>
          <w:spacing w:val="5"/>
          <w:w w:val="120"/>
        </w:rPr>
        <w:t> </w:t>
      </w:r>
      <w:r>
        <w:rPr>
          <w:w w:val="120"/>
        </w:rPr>
        <w:t>at</w:t>
      </w:r>
      <w:r>
        <w:rPr>
          <w:spacing w:val="6"/>
          <w:w w:val="120"/>
        </w:rPr>
        <w:t> </w:t>
      </w:r>
      <w:r>
        <w:rPr>
          <w:w w:val="120"/>
        </w:rPr>
        <w:t>being</w:t>
      </w:r>
      <w:r>
        <w:rPr>
          <w:spacing w:val="5"/>
          <w:w w:val="120"/>
        </w:rPr>
        <w:t> </w:t>
      </w:r>
      <w:r>
        <w:rPr>
          <w:w w:val="120"/>
        </w:rPr>
        <w:t>called</w:t>
      </w:r>
      <w:r>
        <w:rPr>
          <w:spacing w:val="6"/>
          <w:w w:val="120"/>
        </w:rPr>
        <w:t> </w:t>
      </w:r>
      <w:r>
        <w:rPr>
          <w:w w:val="120"/>
        </w:rPr>
        <w:t>upon.</w:t>
      </w:r>
      <w:r>
        <w:rPr>
          <w:spacing w:val="5"/>
          <w:w w:val="120"/>
        </w:rPr>
        <w:t> </w:t>
      </w:r>
      <w:r>
        <w:rPr>
          <w:w w:val="120"/>
        </w:rPr>
        <w:t>This</w:t>
      </w:r>
      <w:r>
        <w:rPr>
          <w:spacing w:val="6"/>
          <w:w w:val="120"/>
        </w:rPr>
        <w:t> </w:t>
      </w:r>
      <w:r>
        <w:rPr>
          <w:w w:val="120"/>
        </w:rPr>
        <w:t>is</w:t>
      </w:r>
      <w:r>
        <w:rPr>
          <w:spacing w:val="5"/>
          <w:w w:val="120"/>
        </w:rPr>
        <w:t> </w:t>
      </w:r>
      <w:r>
        <w:rPr>
          <w:w w:val="120"/>
        </w:rPr>
        <w:t>not</w:t>
      </w:r>
      <w:r>
        <w:rPr>
          <w:spacing w:val="6"/>
          <w:w w:val="120"/>
        </w:rPr>
        <w:t> </w:t>
      </w:r>
      <w:r>
        <w:rPr>
          <w:w w:val="120"/>
        </w:rPr>
        <w:t>what</w:t>
      </w:r>
      <w:r>
        <w:rPr>
          <w:spacing w:val="5"/>
          <w:w w:val="120"/>
        </w:rPr>
        <w:t> </w:t>
      </w:r>
      <w:r>
        <w:rPr>
          <w:w w:val="120"/>
        </w:rPr>
        <w:t>ministry</w:t>
      </w:r>
      <w:r>
        <w:rPr>
          <w:spacing w:val="5"/>
          <w:w w:val="120"/>
        </w:rPr>
        <w:t> </w:t>
      </w:r>
      <w:r>
        <w:rPr>
          <w:w w:val="120"/>
        </w:rPr>
        <w:t>is</w:t>
      </w:r>
      <w:r>
        <w:rPr>
          <w:spacing w:val="6"/>
          <w:w w:val="120"/>
        </w:rPr>
        <w:t> </w:t>
      </w:r>
      <w:r>
        <w:rPr>
          <w:w w:val="120"/>
        </w:rPr>
        <w:t>about.</w:t>
      </w:r>
      <w:r>
        <w:rPr>
          <w:spacing w:val="5"/>
          <w:w w:val="120"/>
        </w:rPr>
        <w:t> </w:t>
      </w:r>
      <w:r>
        <w:rPr>
          <w:w w:val="120"/>
        </w:rPr>
        <w:t>If</w:t>
      </w:r>
      <w:r>
        <w:rPr>
          <w:spacing w:val="6"/>
          <w:w w:val="120"/>
        </w:rPr>
        <w:t> </w:t>
      </w:r>
      <w:r>
        <w:rPr>
          <w:w w:val="120"/>
        </w:rPr>
        <w:t>people</w:t>
      </w:r>
      <w:r>
        <w:rPr>
          <w:spacing w:val="5"/>
          <w:w w:val="120"/>
        </w:rPr>
        <w:t> </w:t>
      </w:r>
      <w:r>
        <w:rPr>
          <w:w w:val="120"/>
        </w:rPr>
        <w:t>are</w:t>
      </w:r>
    </w:p>
    <w:p>
      <w:pPr>
        <w:pStyle w:val="BodyText"/>
        <w:spacing w:line="235" w:lineRule="auto" w:before="2"/>
        <w:ind w:left="1344" w:right="1339"/>
      </w:pPr>
      <w:r>
        <w:rPr>
          <w:w w:val="120"/>
        </w:rPr>
        <w:t>nominated and approved, then they should be used – for their own sake as well as that of the churches. The proposed probationary year would obviously require this in order that there should be experience to be tested. There are also various ways in which   such</w:t>
      </w:r>
      <w:r>
        <w:rPr>
          <w:spacing w:val="7"/>
          <w:w w:val="120"/>
        </w:rPr>
        <w:t> </w:t>
      </w:r>
      <w:r>
        <w:rPr>
          <w:w w:val="120"/>
        </w:rPr>
        <w:t>people</w:t>
      </w:r>
      <w:r>
        <w:rPr>
          <w:spacing w:val="7"/>
          <w:w w:val="120"/>
        </w:rPr>
        <w:t> </w:t>
      </w:r>
      <w:r>
        <w:rPr>
          <w:w w:val="120"/>
        </w:rPr>
        <w:t>can</w:t>
      </w:r>
      <w:r>
        <w:rPr>
          <w:spacing w:val="7"/>
          <w:w w:val="120"/>
        </w:rPr>
        <w:t> </w:t>
      </w:r>
      <w:r>
        <w:rPr>
          <w:w w:val="120"/>
        </w:rPr>
        <w:t>be</w:t>
      </w:r>
      <w:r>
        <w:rPr>
          <w:spacing w:val="7"/>
          <w:w w:val="120"/>
        </w:rPr>
        <w:t> </w:t>
      </w:r>
      <w:r>
        <w:rPr>
          <w:w w:val="120"/>
        </w:rPr>
        <w:t>involved</w:t>
      </w:r>
      <w:r>
        <w:rPr>
          <w:spacing w:val="7"/>
          <w:w w:val="120"/>
        </w:rPr>
        <w:t> </w:t>
      </w:r>
      <w:r>
        <w:rPr>
          <w:w w:val="120"/>
        </w:rPr>
        <w:t>in</w:t>
      </w:r>
      <w:r>
        <w:rPr>
          <w:spacing w:val="7"/>
          <w:w w:val="120"/>
        </w:rPr>
        <w:t> </w:t>
      </w:r>
      <w:r>
        <w:rPr>
          <w:w w:val="120"/>
        </w:rPr>
        <w:t>sharing</w:t>
      </w:r>
      <w:r>
        <w:rPr>
          <w:spacing w:val="7"/>
          <w:w w:val="120"/>
        </w:rPr>
        <w:t> </w:t>
      </w:r>
      <w:r>
        <w:rPr>
          <w:w w:val="120"/>
        </w:rPr>
        <w:t>the</w:t>
      </w:r>
      <w:r>
        <w:rPr>
          <w:spacing w:val="7"/>
          <w:w w:val="120"/>
        </w:rPr>
        <w:t> </w:t>
      </w:r>
      <w:r>
        <w:rPr>
          <w:w w:val="120"/>
        </w:rPr>
        <w:t>presidency</w:t>
      </w:r>
      <w:r>
        <w:rPr>
          <w:spacing w:val="8"/>
          <w:w w:val="120"/>
        </w:rPr>
        <w:t> </w:t>
      </w:r>
      <w:r>
        <w:rPr>
          <w:w w:val="120"/>
        </w:rPr>
        <w:t>with</w:t>
      </w:r>
      <w:r>
        <w:rPr>
          <w:spacing w:val="7"/>
          <w:w w:val="120"/>
        </w:rPr>
        <w:t> </w:t>
      </w:r>
      <w:r>
        <w:rPr>
          <w:w w:val="120"/>
        </w:rPr>
        <w:t>an</w:t>
      </w:r>
      <w:r>
        <w:rPr>
          <w:spacing w:val="7"/>
          <w:w w:val="120"/>
        </w:rPr>
        <w:t> </w:t>
      </w:r>
      <w:r>
        <w:rPr>
          <w:w w:val="120"/>
        </w:rPr>
        <w:t>ordained</w:t>
      </w:r>
      <w:r>
        <w:rPr>
          <w:spacing w:val="7"/>
          <w:w w:val="120"/>
        </w:rPr>
        <w:t> </w:t>
      </w:r>
      <w:r>
        <w:rPr>
          <w:w w:val="120"/>
        </w:rPr>
        <w:t>minister.</w:t>
      </w:r>
      <w:r>
        <w:rPr>
          <w:spacing w:val="7"/>
          <w:w w:val="120"/>
        </w:rPr>
        <w:t> </w:t>
      </w:r>
      <w:r>
        <w:rPr>
          <w:w w:val="120"/>
        </w:rPr>
        <w:t>From</w:t>
      </w:r>
    </w:p>
    <w:p>
      <w:pPr>
        <w:pStyle w:val="BodyText"/>
        <w:spacing w:line="235" w:lineRule="auto" w:before="3"/>
        <w:ind w:left="1344" w:right="1217"/>
      </w:pPr>
      <w:r>
        <w:rPr>
          <w:w w:val="120"/>
        </w:rPr>
        <w:t>time-to-time at General Assembly others have been involved with the principal presider in saying parts of the Prayer of Thanksgiving; and simply to involve such a person at</w:t>
      </w:r>
    </w:p>
    <w:p>
      <w:pPr>
        <w:pStyle w:val="BodyText"/>
        <w:spacing w:line="235" w:lineRule="auto" w:before="1"/>
        <w:ind w:left="1344" w:right="1245"/>
      </w:pPr>
      <w:r>
        <w:rPr>
          <w:w w:val="120"/>
        </w:rPr>
        <w:t>the front of the church alongside the minister can boost confidence. </w:t>
      </w:r>
      <w:r>
        <w:rPr>
          <w:spacing w:val="-7"/>
          <w:w w:val="120"/>
        </w:rPr>
        <w:t>To </w:t>
      </w:r>
      <w:r>
        <w:rPr>
          <w:w w:val="120"/>
        </w:rPr>
        <w:t>preside at the Lord’s </w:t>
      </w:r>
      <w:r>
        <w:rPr>
          <w:spacing w:val="-3"/>
          <w:w w:val="120"/>
        </w:rPr>
        <w:t>Table </w:t>
      </w:r>
      <w:r>
        <w:rPr>
          <w:w w:val="120"/>
        </w:rPr>
        <w:t>is no light matter: it requires careful personal preparation and prayer; and   it is a ministry to and for other Christians. The value of such a ministry in </w:t>
      </w:r>
      <w:r>
        <w:rPr>
          <w:spacing w:val="-4"/>
          <w:w w:val="120"/>
        </w:rPr>
        <w:t>‘an </w:t>
      </w:r>
      <w:r>
        <w:rPr>
          <w:w w:val="120"/>
        </w:rPr>
        <w:t>emergency’ is directly proportionate to that person’s previous preparation and</w:t>
      </w:r>
      <w:r>
        <w:rPr>
          <w:spacing w:val="26"/>
          <w:w w:val="120"/>
        </w:rPr>
        <w:t> </w:t>
      </w:r>
      <w:r>
        <w:rPr>
          <w:w w:val="120"/>
        </w:rPr>
        <w:t>experience.</w:t>
      </w:r>
    </w:p>
    <w:p>
      <w:pPr>
        <w:pStyle w:val="BodyText"/>
        <w:spacing w:before="7"/>
        <w:rPr>
          <w:sz w:val="19"/>
        </w:rPr>
      </w:pPr>
    </w:p>
    <w:p>
      <w:pPr>
        <w:pStyle w:val="ListParagraph"/>
        <w:numPr>
          <w:ilvl w:val="1"/>
          <w:numId w:val="132"/>
        </w:numPr>
        <w:tabs>
          <w:tab w:pos="2024" w:val="left" w:leader="none"/>
          <w:tab w:pos="2025" w:val="left" w:leader="none"/>
        </w:tabs>
        <w:spacing w:line="240" w:lineRule="auto" w:before="0" w:after="0"/>
        <w:ind w:left="2024" w:right="0" w:hanging="681"/>
        <w:jc w:val="left"/>
        <w:rPr>
          <w:i/>
          <w:sz w:val="20"/>
        </w:rPr>
      </w:pPr>
      <w:r>
        <w:rPr>
          <w:i/>
          <w:spacing w:val="-3"/>
          <w:w w:val="110"/>
          <w:sz w:val="20"/>
        </w:rPr>
        <w:t>Training </w:t>
      </w:r>
      <w:r>
        <w:rPr>
          <w:i/>
          <w:w w:val="110"/>
          <w:sz w:val="20"/>
        </w:rPr>
        <w:t>for authorised</w:t>
      </w:r>
      <w:r>
        <w:rPr>
          <w:i/>
          <w:spacing w:val="14"/>
          <w:w w:val="110"/>
          <w:sz w:val="20"/>
        </w:rPr>
        <w:t> </w:t>
      </w:r>
      <w:r>
        <w:rPr>
          <w:i/>
          <w:w w:val="110"/>
          <w:sz w:val="20"/>
        </w:rPr>
        <w:t>elders</w:t>
      </w:r>
    </w:p>
    <w:p>
      <w:pPr>
        <w:pStyle w:val="BodyText"/>
        <w:spacing w:before="8"/>
        <w:rPr>
          <w:i/>
          <w:sz w:val="19"/>
        </w:rPr>
      </w:pPr>
    </w:p>
    <w:p>
      <w:pPr>
        <w:pStyle w:val="BodyText"/>
        <w:spacing w:line="235" w:lineRule="auto"/>
        <w:ind w:left="1344" w:right="1499"/>
      </w:pPr>
      <w:r>
        <w:rPr>
          <w:w w:val="120"/>
        </w:rPr>
        <w:t>The word ‘training’ has been experienced by some potential candidates in the past as a pejorative judgment on their current ability rather than as a supportive resource for improvement. The task group notes that ‘formation’ is now generally used in relation to education for pastoral ministry, rather than ‘training’. Those who have years of experience</w:t>
      </w:r>
      <w:r>
        <w:rPr>
          <w:spacing w:val="7"/>
          <w:w w:val="120"/>
        </w:rPr>
        <w:t> </w:t>
      </w:r>
      <w:r>
        <w:rPr>
          <w:w w:val="120"/>
        </w:rPr>
        <w:t>in</w:t>
      </w:r>
      <w:r>
        <w:rPr>
          <w:spacing w:val="7"/>
          <w:w w:val="120"/>
        </w:rPr>
        <w:t> </w:t>
      </w:r>
      <w:r>
        <w:rPr>
          <w:w w:val="120"/>
        </w:rPr>
        <w:t>conducting</w:t>
      </w:r>
      <w:r>
        <w:rPr>
          <w:spacing w:val="7"/>
          <w:w w:val="120"/>
        </w:rPr>
        <w:t> </w:t>
      </w:r>
      <w:r>
        <w:rPr>
          <w:w w:val="120"/>
        </w:rPr>
        <w:t>worship</w:t>
      </w:r>
      <w:r>
        <w:rPr>
          <w:spacing w:val="7"/>
          <w:w w:val="120"/>
        </w:rPr>
        <w:t> </w:t>
      </w:r>
      <w:r>
        <w:rPr>
          <w:w w:val="120"/>
        </w:rPr>
        <w:t>may</w:t>
      </w:r>
      <w:r>
        <w:rPr>
          <w:spacing w:val="7"/>
          <w:w w:val="120"/>
        </w:rPr>
        <w:t> </w:t>
      </w:r>
      <w:r>
        <w:rPr>
          <w:w w:val="120"/>
        </w:rPr>
        <w:t>not</w:t>
      </w:r>
      <w:r>
        <w:rPr>
          <w:spacing w:val="7"/>
          <w:w w:val="120"/>
        </w:rPr>
        <w:t> </w:t>
      </w:r>
      <w:r>
        <w:rPr>
          <w:w w:val="120"/>
        </w:rPr>
        <w:t>see</w:t>
      </w:r>
      <w:r>
        <w:rPr>
          <w:spacing w:val="8"/>
          <w:w w:val="120"/>
        </w:rPr>
        <w:t> </w:t>
      </w:r>
      <w:r>
        <w:rPr>
          <w:w w:val="120"/>
        </w:rPr>
        <w:t>any</w:t>
      </w:r>
      <w:r>
        <w:rPr>
          <w:spacing w:val="7"/>
          <w:w w:val="120"/>
        </w:rPr>
        <w:t> </w:t>
      </w:r>
      <w:r>
        <w:rPr>
          <w:w w:val="120"/>
        </w:rPr>
        <w:t>need</w:t>
      </w:r>
      <w:r>
        <w:rPr>
          <w:spacing w:val="7"/>
          <w:w w:val="120"/>
        </w:rPr>
        <w:t> </w:t>
      </w:r>
      <w:r>
        <w:rPr>
          <w:w w:val="120"/>
        </w:rPr>
        <w:t>for</w:t>
      </w:r>
      <w:r>
        <w:rPr>
          <w:spacing w:val="7"/>
          <w:w w:val="120"/>
        </w:rPr>
        <w:t> </w:t>
      </w:r>
      <w:r>
        <w:rPr>
          <w:w w:val="120"/>
        </w:rPr>
        <w:t>further</w:t>
      </w:r>
      <w:r>
        <w:rPr>
          <w:spacing w:val="7"/>
          <w:w w:val="120"/>
        </w:rPr>
        <w:t> </w:t>
      </w:r>
      <w:r>
        <w:rPr>
          <w:w w:val="120"/>
        </w:rPr>
        <w:t>training.</w:t>
      </w:r>
      <w:r>
        <w:rPr>
          <w:spacing w:val="7"/>
          <w:w w:val="120"/>
        </w:rPr>
        <w:t> </w:t>
      </w:r>
      <w:r>
        <w:rPr>
          <w:w w:val="120"/>
        </w:rPr>
        <w:t>On</w:t>
      </w:r>
      <w:r>
        <w:rPr>
          <w:spacing w:val="8"/>
          <w:w w:val="120"/>
        </w:rPr>
        <w:t> </w:t>
      </w:r>
      <w:r>
        <w:rPr>
          <w:w w:val="120"/>
        </w:rPr>
        <w:t>the</w:t>
      </w:r>
    </w:p>
    <w:p>
      <w:pPr>
        <w:spacing w:after="0" w:line="235" w:lineRule="auto"/>
        <w:sectPr>
          <w:headerReference w:type="default" r:id="rId305"/>
          <w:pgSz w:w="11910" w:h="16840"/>
          <w:pgMar w:header="0" w:footer="647" w:top="0" w:bottom="840" w:left="640" w:right="0"/>
        </w:sectPr>
      </w:pPr>
    </w:p>
    <w:p>
      <w:pPr>
        <w:pStyle w:val="BodyText"/>
      </w:pPr>
      <w:r>
        <w:rPr/>
        <w:drawing>
          <wp:anchor distT="0" distB="0" distL="0" distR="0" allowOverlap="1" layoutInCell="1" locked="0" behindDoc="1" simplePos="0" relativeHeight="235481088">
            <wp:simplePos x="0" y="0"/>
            <wp:positionH relativeFrom="page">
              <wp:posOffset>0</wp:posOffset>
            </wp:positionH>
            <wp:positionV relativeFrom="page">
              <wp:posOffset>0</wp:posOffset>
            </wp:positionV>
            <wp:extent cx="594067" cy="10692003"/>
            <wp:effectExtent l="0" t="0" r="0" b="0"/>
            <wp:wrapNone/>
            <wp:docPr id="191" name="image67.png"/>
            <wp:cNvGraphicFramePr>
              <a:graphicFrameLocks noChangeAspect="1"/>
            </wp:cNvGraphicFramePr>
            <a:graphic>
              <a:graphicData uri="http://schemas.openxmlformats.org/drawingml/2006/picture">
                <pic:pic>
                  <pic:nvPicPr>
                    <pic:cNvPr id="192" name="image67.png"/>
                    <pic:cNvPicPr/>
                  </pic:nvPicPr>
                  <pic:blipFill>
                    <a:blip r:embed="rId184" cstate="print"/>
                    <a:stretch>
                      <a:fillRect/>
                    </a:stretch>
                  </pic:blipFill>
                  <pic:spPr>
                    <a:xfrm>
                      <a:off x="0" y="0"/>
                      <a:ext cx="594067" cy="10692003"/>
                    </a:xfrm>
                    <a:prstGeom prst="rect">
                      <a:avLst/>
                    </a:prstGeom>
                  </pic:spPr>
                </pic:pic>
              </a:graphicData>
            </a:graphic>
          </wp:anchor>
        </w:drawing>
      </w:r>
      <w:r>
        <w:rPr/>
        <w:pict>
          <v:shape style="position:absolute;margin-left:20.519100pt;margin-top:48.890015pt;width:25.9pt;height:483.55pt;mso-position-horizontal-relative:page;mso-position-vertical-relative:page;z-index:-267834368" type="#_x0000_t202" filled="false" stroked="false">
            <v:textbox inset="0,0,0,0" style="layout-flow:vertical">
              <w:txbxContent>
                <w:p>
                  <w:pPr>
                    <w:spacing w:before="27"/>
                    <w:ind w:left="20" w:right="0" w:firstLine="0"/>
                    <w:jc w:val="left"/>
                    <w:rPr>
                      <w:sz w:val="39"/>
                    </w:rPr>
                  </w:pPr>
                  <w:r>
                    <w:rPr>
                      <w:color w:val="FFFFFF"/>
                      <w:spacing w:val="6"/>
                      <w:w w:val="120"/>
                      <w:sz w:val="39"/>
                    </w:rPr>
                    <w:t>Faith </w:t>
                  </w:r>
                  <w:r>
                    <w:rPr>
                      <w:color w:val="FFFFFF"/>
                      <w:spacing w:val="7"/>
                      <w:w w:val="120"/>
                      <w:sz w:val="39"/>
                    </w:rPr>
                    <w:t>and order </w:t>
                  </w:r>
                  <w:r>
                    <w:rPr>
                      <w:color w:val="FFFFFF"/>
                      <w:w w:val="120"/>
                      <w:sz w:val="39"/>
                    </w:rPr>
                    <w:t>– </w:t>
                  </w:r>
                  <w:r>
                    <w:rPr>
                      <w:spacing w:val="10"/>
                      <w:w w:val="120"/>
                      <w:sz w:val="39"/>
                    </w:rPr>
                    <w:t>Authorised </w:t>
                  </w:r>
                  <w:r>
                    <w:rPr>
                      <w:spacing w:val="9"/>
                      <w:w w:val="120"/>
                      <w:sz w:val="39"/>
                    </w:rPr>
                    <w:t>elders </w:t>
                  </w:r>
                  <w:r>
                    <w:rPr>
                      <w:color w:val="FFFFFF"/>
                      <w:w w:val="120"/>
                      <w:sz w:val="39"/>
                    </w:rPr>
                    <w:t>–</w:t>
                  </w:r>
                  <w:r>
                    <w:rPr>
                      <w:color w:val="FFFFFF"/>
                      <w:spacing w:val="56"/>
                      <w:w w:val="120"/>
                      <w:sz w:val="39"/>
                    </w:rPr>
                    <w:t> </w:t>
                  </w:r>
                  <w:r>
                    <w:rPr>
                      <w:spacing w:val="11"/>
                      <w:w w:val="120"/>
                      <w:sz w:val="39"/>
                    </w:rPr>
                    <w:t>Appendix</w:t>
                  </w:r>
                </w:p>
              </w:txbxContent>
            </v:textbox>
            <w10:wrap type="none"/>
          </v:shape>
        </w:pict>
      </w:r>
    </w:p>
    <w:p>
      <w:pPr>
        <w:pStyle w:val="BodyText"/>
        <w:spacing w:before="7"/>
        <w:rPr>
          <w:sz w:val="21"/>
        </w:rPr>
      </w:pPr>
    </w:p>
    <w:p>
      <w:pPr>
        <w:spacing w:before="106"/>
        <w:ind w:left="607" w:right="0" w:firstLine="0"/>
        <w:jc w:val="left"/>
        <w:rPr>
          <w:sz w:val="26"/>
        </w:rPr>
      </w:pPr>
      <w:r>
        <w:rPr>
          <w:color w:val="7EAABF"/>
          <w:w w:val="115"/>
          <w:sz w:val="26"/>
        </w:rPr>
        <w:t>Faith and order</w:t>
      </w:r>
    </w:p>
    <w:p>
      <w:pPr>
        <w:pStyle w:val="BodyText"/>
        <w:spacing w:line="235" w:lineRule="auto" w:before="222"/>
        <w:ind w:left="607" w:right="2174"/>
      </w:pPr>
      <w:r>
        <w:rPr>
          <w:w w:val="120"/>
        </w:rPr>
        <w:t>other hand, lay preaching courses are oversubscribed </w:t>
      </w:r>
      <w:r>
        <w:rPr>
          <w:spacing w:val="-3"/>
          <w:w w:val="120"/>
        </w:rPr>
        <w:t>(more </w:t>
      </w:r>
      <w:r>
        <w:rPr>
          <w:w w:val="120"/>
        </w:rPr>
        <w:t>so than when they were described as training </w:t>
      </w:r>
      <w:r>
        <w:rPr>
          <w:spacing w:val="-3"/>
          <w:w w:val="120"/>
        </w:rPr>
        <w:t>courses), </w:t>
      </w:r>
      <w:r>
        <w:rPr>
          <w:w w:val="120"/>
        </w:rPr>
        <w:t>and the idea of lifelong learning is increasingly accepted within society generally. We need both to motivate those currently serving to see the benefits available, and to persuade others that adopting such a position of leadership would be good for them and their congregation. The committee therefore suggests  that the ministries and education and learning committees consider using the words ‘further preparation’ be used for authorised elders, rather than</w:t>
      </w:r>
      <w:r>
        <w:rPr>
          <w:spacing w:val="16"/>
          <w:w w:val="120"/>
        </w:rPr>
        <w:t> </w:t>
      </w:r>
      <w:r>
        <w:rPr>
          <w:w w:val="120"/>
        </w:rPr>
        <w:t>‘training’.</w:t>
      </w:r>
    </w:p>
    <w:p>
      <w:pPr>
        <w:pStyle w:val="BodyText"/>
      </w:pPr>
    </w:p>
    <w:p>
      <w:pPr>
        <w:pStyle w:val="ListParagraph"/>
        <w:numPr>
          <w:ilvl w:val="1"/>
          <w:numId w:val="132"/>
        </w:numPr>
        <w:tabs>
          <w:tab w:pos="1287" w:val="left" w:leader="none"/>
          <w:tab w:pos="1288" w:val="left" w:leader="none"/>
        </w:tabs>
        <w:spacing w:line="235" w:lineRule="auto" w:before="1" w:after="0"/>
        <w:ind w:left="607" w:right="2016" w:firstLine="0"/>
        <w:jc w:val="left"/>
        <w:rPr>
          <w:sz w:val="20"/>
        </w:rPr>
      </w:pPr>
      <w:r>
        <w:rPr>
          <w:w w:val="120"/>
          <w:sz w:val="20"/>
        </w:rPr>
        <w:t>The </w:t>
      </w:r>
      <w:r>
        <w:rPr>
          <w:i/>
          <w:w w:val="120"/>
          <w:sz w:val="20"/>
        </w:rPr>
        <w:t>Basis of Union </w:t>
      </w:r>
      <w:r>
        <w:rPr>
          <w:spacing w:val="-6"/>
          <w:w w:val="120"/>
          <w:sz w:val="20"/>
        </w:rPr>
        <w:t>(§21 </w:t>
      </w:r>
      <w:r>
        <w:rPr>
          <w:w w:val="120"/>
          <w:sz w:val="20"/>
        </w:rPr>
        <w:t>and </w:t>
      </w:r>
      <w:r>
        <w:rPr>
          <w:spacing w:val="-3"/>
          <w:w w:val="120"/>
          <w:sz w:val="20"/>
        </w:rPr>
        <w:t>§25) </w:t>
      </w:r>
      <w:r>
        <w:rPr>
          <w:w w:val="120"/>
          <w:sz w:val="20"/>
        </w:rPr>
        <w:t>emphasises that those who preside must also be recognised</w:t>
      </w:r>
      <w:r>
        <w:rPr>
          <w:spacing w:val="8"/>
          <w:w w:val="120"/>
          <w:sz w:val="20"/>
        </w:rPr>
        <w:t> </w:t>
      </w:r>
      <w:r>
        <w:rPr>
          <w:w w:val="120"/>
          <w:sz w:val="20"/>
        </w:rPr>
        <w:t>more</w:t>
      </w:r>
      <w:r>
        <w:rPr>
          <w:spacing w:val="9"/>
          <w:w w:val="120"/>
          <w:sz w:val="20"/>
        </w:rPr>
        <w:t> </w:t>
      </w:r>
      <w:r>
        <w:rPr>
          <w:w w:val="120"/>
          <w:sz w:val="20"/>
        </w:rPr>
        <w:t>widely</w:t>
      </w:r>
      <w:r>
        <w:rPr>
          <w:spacing w:val="8"/>
          <w:w w:val="120"/>
          <w:sz w:val="20"/>
        </w:rPr>
        <w:t> </w:t>
      </w:r>
      <w:r>
        <w:rPr>
          <w:w w:val="120"/>
          <w:sz w:val="20"/>
        </w:rPr>
        <w:t>than</w:t>
      </w:r>
      <w:r>
        <w:rPr>
          <w:spacing w:val="9"/>
          <w:w w:val="120"/>
          <w:sz w:val="20"/>
        </w:rPr>
        <w:t> </w:t>
      </w:r>
      <w:r>
        <w:rPr>
          <w:w w:val="120"/>
          <w:sz w:val="20"/>
        </w:rPr>
        <w:t>by</w:t>
      </w:r>
      <w:r>
        <w:rPr>
          <w:spacing w:val="8"/>
          <w:w w:val="120"/>
          <w:sz w:val="20"/>
        </w:rPr>
        <w:t> </w:t>
      </w:r>
      <w:r>
        <w:rPr>
          <w:w w:val="120"/>
          <w:sz w:val="20"/>
        </w:rPr>
        <w:t>the</w:t>
      </w:r>
      <w:r>
        <w:rPr>
          <w:spacing w:val="9"/>
          <w:w w:val="120"/>
          <w:sz w:val="20"/>
        </w:rPr>
        <w:t> </w:t>
      </w:r>
      <w:r>
        <w:rPr>
          <w:w w:val="120"/>
          <w:sz w:val="20"/>
        </w:rPr>
        <w:t>congregation</w:t>
      </w:r>
      <w:r>
        <w:rPr>
          <w:spacing w:val="8"/>
          <w:w w:val="120"/>
          <w:sz w:val="20"/>
        </w:rPr>
        <w:t> </w:t>
      </w:r>
      <w:r>
        <w:rPr>
          <w:w w:val="120"/>
          <w:sz w:val="20"/>
        </w:rPr>
        <w:t>alone.</w:t>
      </w:r>
      <w:r>
        <w:rPr>
          <w:spacing w:val="9"/>
          <w:w w:val="120"/>
          <w:sz w:val="20"/>
        </w:rPr>
        <w:t> </w:t>
      </w:r>
      <w:r>
        <w:rPr>
          <w:w w:val="120"/>
          <w:sz w:val="20"/>
        </w:rPr>
        <w:t>In</w:t>
      </w:r>
      <w:r>
        <w:rPr>
          <w:spacing w:val="8"/>
          <w:w w:val="120"/>
          <w:sz w:val="20"/>
        </w:rPr>
        <w:t> </w:t>
      </w:r>
      <w:r>
        <w:rPr>
          <w:w w:val="120"/>
          <w:sz w:val="20"/>
        </w:rPr>
        <w:t>every</w:t>
      </w:r>
      <w:r>
        <w:rPr>
          <w:spacing w:val="9"/>
          <w:w w:val="120"/>
          <w:sz w:val="20"/>
        </w:rPr>
        <w:t> </w:t>
      </w:r>
      <w:r>
        <w:rPr>
          <w:w w:val="120"/>
          <w:sz w:val="20"/>
        </w:rPr>
        <w:t>synod</w:t>
      </w:r>
      <w:r>
        <w:rPr>
          <w:spacing w:val="9"/>
          <w:w w:val="120"/>
          <w:sz w:val="20"/>
        </w:rPr>
        <w:t> </w:t>
      </w:r>
      <w:r>
        <w:rPr>
          <w:w w:val="120"/>
          <w:sz w:val="20"/>
        </w:rPr>
        <w:t>preparation</w:t>
      </w:r>
    </w:p>
    <w:p>
      <w:pPr>
        <w:pStyle w:val="BodyText"/>
        <w:spacing w:line="235" w:lineRule="auto" w:before="1"/>
        <w:ind w:left="607" w:right="2045"/>
      </w:pPr>
      <w:r>
        <w:rPr>
          <w:w w:val="120"/>
        </w:rPr>
        <w:t>is currently a prerequisite for those elders or lay preachers applying for permission to preside at the sacraments, though its content and style varies. The committee suggests that the synod should also be involved from the candidating process onwards, possibly through its Development/Training Officer. If a candidate has unsuccessfully offered for ministry of Word and Sacrament, this information should be available as part of the decision process, though it should not in itself be a reason for rejection.</w:t>
      </w:r>
    </w:p>
    <w:p>
      <w:pPr>
        <w:pStyle w:val="BodyText"/>
      </w:pPr>
    </w:p>
    <w:p>
      <w:pPr>
        <w:pStyle w:val="ListParagraph"/>
        <w:numPr>
          <w:ilvl w:val="1"/>
          <w:numId w:val="132"/>
        </w:numPr>
        <w:tabs>
          <w:tab w:pos="1287" w:val="left" w:leader="none"/>
          <w:tab w:pos="1288" w:val="left" w:leader="none"/>
        </w:tabs>
        <w:spacing w:line="235" w:lineRule="auto" w:before="0" w:after="0"/>
        <w:ind w:left="607" w:right="2146" w:firstLine="0"/>
        <w:jc w:val="left"/>
        <w:rPr>
          <w:sz w:val="20"/>
        </w:rPr>
      </w:pPr>
      <w:r>
        <w:rPr>
          <w:w w:val="120"/>
          <w:sz w:val="20"/>
        </w:rPr>
        <w:t>Preparation for authorisation to preside needs to be tailored to individual  needs and </w:t>
      </w:r>
      <w:r>
        <w:rPr>
          <w:spacing w:val="2"/>
          <w:w w:val="120"/>
          <w:sz w:val="20"/>
        </w:rPr>
        <w:t>gifts, </w:t>
      </w:r>
      <w:r>
        <w:rPr>
          <w:w w:val="120"/>
          <w:sz w:val="20"/>
        </w:rPr>
        <w:t>but also be of a sufficiently high </w:t>
      </w:r>
      <w:r>
        <w:rPr>
          <w:spacing w:val="-5"/>
          <w:w w:val="120"/>
          <w:sz w:val="20"/>
        </w:rPr>
        <w:t>(and </w:t>
      </w:r>
      <w:r>
        <w:rPr>
          <w:spacing w:val="-3"/>
          <w:w w:val="120"/>
          <w:sz w:val="20"/>
        </w:rPr>
        <w:t>common) </w:t>
      </w:r>
      <w:r>
        <w:rPr>
          <w:w w:val="120"/>
          <w:sz w:val="20"/>
        </w:rPr>
        <w:t>standard. Currently   the Church offers no form of preparation between </w:t>
      </w:r>
      <w:r>
        <w:rPr>
          <w:spacing w:val="2"/>
          <w:w w:val="120"/>
          <w:sz w:val="20"/>
        </w:rPr>
        <w:t>TLS </w:t>
      </w:r>
      <w:r>
        <w:rPr>
          <w:w w:val="120"/>
          <w:sz w:val="20"/>
        </w:rPr>
        <w:t>accreditation and full NSM ministerial education. The concept of ‘graduate attributes’ used in higher education   to produce a well-rounded tertiary education could be considered.</w:t>
      </w:r>
      <w:r>
        <w:rPr>
          <w:w w:val="120"/>
          <w:position w:val="7"/>
          <w:sz w:val="11"/>
        </w:rPr>
        <w:t>4 </w:t>
      </w:r>
      <w:r>
        <w:rPr>
          <w:w w:val="120"/>
          <w:sz w:val="20"/>
        </w:rPr>
        <w:t>The model of apprenticeship, whether in the last year of initial ministerial education or as an integral </w:t>
      </w:r>
      <w:r>
        <w:rPr>
          <w:spacing w:val="2"/>
          <w:w w:val="120"/>
          <w:sz w:val="20"/>
        </w:rPr>
        <w:t>part </w:t>
      </w:r>
      <w:r>
        <w:rPr>
          <w:w w:val="120"/>
          <w:sz w:val="20"/>
        </w:rPr>
        <w:t>of the whole course, is already recognised in formation for ministry of Word</w:t>
      </w:r>
      <w:r>
        <w:rPr>
          <w:spacing w:val="17"/>
          <w:w w:val="120"/>
          <w:sz w:val="20"/>
        </w:rPr>
        <w:t> </w:t>
      </w:r>
      <w:r>
        <w:rPr>
          <w:w w:val="120"/>
          <w:sz w:val="20"/>
        </w:rPr>
        <w:t>and</w:t>
      </w:r>
    </w:p>
    <w:p>
      <w:pPr>
        <w:pStyle w:val="BodyText"/>
        <w:spacing w:line="235" w:lineRule="auto" w:before="6"/>
        <w:ind w:left="607" w:right="1905"/>
      </w:pPr>
      <w:r>
        <w:rPr>
          <w:w w:val="120"/>
        </w:rPr>
        <w:t>Sacraments and sometimes in placements before initial ministerial education begins. In TLS local tutor groups and placements (in </w:t>
      </w:r>
      <w:r>
        <w:rPr>
          <w:i/>
          <w:w w:val="120"/>
        </w:rPr>
        <w:t>Gateways into Worship</w:t>
      </w:r>
      <w:r>
        <w:rPr>
          <w:w w:val="120"/>
        </w:rPr>
        <w:t>) achieved this, although with the ending of TLS something new will be required. A clear understanding of what needs to be achieved to qualify for authorisation will be necessary. There should be</w:t>
      </w:r>
    </w:p>
    <w:p>
      <w:pPr>
        <w:pStyle w:val="BodyText"/>
        <w:spacing w:line="235" w:lineRule="auto" w:before="3"/>
        <w:ind w:left="607" w:right="2045"/>
      </w:pPr>
      <w:r>
        <w:rPr>
          <w:w w:val="120"/>
        </w:rPr>
        <w:t>a clear sense of the aims and objectives, including the use of appropriate prayers and enabling candidates to feel at ease with the procedures involved.</w:t>
      </w:r>
    </w:p>
    <w:p>
      <w:pPr>
        <w:pStyle w:val="BodyText"/>
        <w:spacing w:before="9"/>
        <w:rPr>
          <w:sz w:val="19"/>
        </w:rPr>
      </w:pPr>
    </w:p>
    <w:p>
      <w:pPr>
        <w:pStyle w:val="ListParagraph"/>
        <w:numPr>
          <w:ilvl w:val="1"/>
          <w:numId w:val="132"/>
        </w:numPr>
        <w:tabs>
          <w:tab w:pos="1287" w:val="left" w:leader="none"/>
          <w:tab w:pos="1288" w:val="left" w:leader="none"/>
        </w:tabs>
        <w:spacing w:line="235" w:lineRule="auto" w:before="0" w:after="0"/>
        <w:ind w:left="607" w:right="2676" w:firstLine="0"/>
        <w:jc w:val="left"/>
        <w:rPr>
          <w:sz w:val="20"/>
        </w:rPr>
      </w:pPr>
      <w:r>
        <w:rPr>
          <w:w w:val="120"/>
          <w:sz w:val="20"/>
        </w:rPr>
        <w:t>Apprenticeship used also to be the training method for lay preachers as the ‘student’ followed the ‘expert’ preacher around the churches. Candidates</w:t>
      </w:r>
      <w:r>
        <w:rPr>
          <w:spacing w:val="6"/>
          <w:w w:val="120"/>
          <w:sz w:val="20"/>
        </w:rPr>
        <w:t> </w:t>
      </w:r>
      <w:r>
        <w:rPr>
          <w:w w:val="120"/>
          <w:sz w:val="20"/>
        </w:rPr>
        <w:t>for</w:t>
      </w:r>
    </w:p>
    <w:p>
      <w:pPr>
        <w:pStyle w:val="BodyText"/>
        <w:spacing w:line="235" w:lineRule="auto" w:before="2"/>
        <w:ind w:left="607" w:right="2226"/>
      </w:pPr>
      <w:r>
        <w:rPr>
          <w:w w:val="120"/>
        </w:rPr>
        <w:t>authorised eldership might similarly be linked to Ministers of Word and Sacrament and</w:t>
      </w:r>
      <w:r>
        <w:rPr>
          <w:spacing w:val="10"/>
          <w:w w:val="120"/>
        </w:rPr>
        <w:t> </w:t>
      </w:r>
      <w:r>
        <w:rPr>
          <w:w w:val="120"/>
        </w:rPr>
        <w:t>learn</w:t>
      </w:r>
      <w:r>
        <w:rPr>
          <w:spacing w:val="11"/>
          <w:w w:val="120"/>
        </w:rPr>
        <w:t> </w:t>
      </w:r>
      <w:r>
        <w:rPr>
          <w:spacing w:val="-4"/>
          <w:w w:val="120"/>
        </w:rPr>
        <w:t>‘on</w:t>
      </w:r>
      <w:r>
        <w:rPr>
          <w:spacing w:val="11"/>
          <w:w w:val="120"/>
        </w:rPr>
        <w:t> </w:t>
      </w:r>
      <w:r>
        <w:rPr>
          <w:w w:val="120"/>
        </w:rPr>
        <w:t>the</w:t>
      </w:r>
      <w:r>
        <w:rPr>
          <w:spacing w:val="10"/>
          <w:w w:val="120"/>
        </w:rPr>
        <w:t> </w:t>
      </w:r>
      <w:r>
        <w:rPr>
          <w:w w:val="120"/>
        </w:rPr>
        <w:t>job’</w:t>
      </w:r>
      <w:r>
        <w:rPr>
          <w:spacing w:val="11"/>
          <w:w w:val="120"/>
        </w:rPr>
        <w:t> </w:t>
      </w:r>
      <w:r>
        <w:rPr>
          <w:w w:val="120"/>
        </w:rPr>
        <w:t>by</w:t>
      </w:r>
      <w:r>
        <w:rPr>
          <w:spacing w:val="11"/>
          <w:w w:val="120"/>
        </w:rPr>
        <w:t> </w:t>
      </w:r>
      <w:r>
        <w:rPr>
          <w:w w:val="120"/>
        </w:rPr>
        <w:t>sharing</w:t>
      </w:r>
      <w:r>
        <w:rPr>
          <w:spacing w:val="11"/>
          <w:w w:val="120"/>
        </w:rPr>
        <w:t> </w:t>
      </w:r>
      <w:r>
        <w:rPr>
          <w:w w:val="120"/>
        </w:rPr>
        <w:t>in</w:t>
      </w:r>
      <w:r>
        <w:rPr>
          <w:spacing w:val="10"/>
          <w:w w:val="120"/>
        </w:rPr>
        <w:t> </w:t>
      </w:r>
      <w:r>
        <w:rPr>
          <w:w w:val="120"/>
        </w:rPr>
        <w:t>presidency</w:t>
      </w:r>
      <w:r>
        <w:rPr>
          <w:spacing w:val="11"/>
          <w:w w:val="120"/>
        </w:rPr>
        <w:t> </w:t>
      </w:r>
      <w:r>
        <w:rPr>
          <w:w w:val="120"/>
        </w:rPr>
        <w:t>in</w:t>
      </w:r>
      <w:r>
        <w:rPr>
          <w:spacing w:val="11"/>
          <w:w w:val="120"/>
        </w:rPr>
        <w:t> </w:t>
      </w:r>
      <w:r>
        <w:rPr>
          <w:w w:val="120"/>
        </w:rPr>
        <w:t>appropriate</w:t>
      </w:r>
      <w:r>
        <w:rPr>
          <w:spacing w:val="10"/>
          <w:w w:val="120"/>
        </w:rPr>
        <w:t> </w:t>
      </w:r>
      <w:r>
        <w:rPr>
          <w:w w:val="120"/>
        </w:rPr>
        <w:t>ways</w:t>
      </w:r>
      <w:r>
        <w:rPr>
          <w:spacing w:val="11"/>
          <w:w w:val="120"/>
        </w:rPr>
        <w:t> </w:t>
      </w:r>
      <w:r>
        <w:rPr>
          <w:spacing w:val="-4"/>
          <w:w w:val="120"/>
        </w:rPr>
        <w:t>(see</w:t>
      </w:r>
      <w:r>
        <w:rPr>
          <w:spacing w:val="11"/>
          <w:w w:val="120"/>
        </w:rPr>
        <w:t> </w:t>
      </w:r>
      <w:r>
        <w:rPr>
          <w:spacing w:val="-3"/>
          <w:w w:val="120"/>
        </w:rPr>
        <w:t>§2.27</w:t>
      </w:r>
      <w:r>
        <w:rPr>
          <w:spacing w:val="11"/>
          <w:w w:val="120"/>
        </w:rPr>
        <w:t> </w:t>
      </w:r>
      <w:r>
        <w:rPr>
          <w:spacing w:val="-4"/>
          <w:w w:val="120"/>
        </w:rPr>
        <w:t>above).</w:t>
      </w:r>
    </w:p>
    <w:p>
      <w:pPr>
        <w:pStyle w:val="BodyText"/>
        <w:spacing w:line="235" w:lineRule="auto" w:before="1"/>
        <w:ind w:left="607" w:right="2045"/>
      </w:pPr>
      <w:r>
        <w:rPr>
          <w:w w:val="120"/>
        </w:rPr>
        <w:t>The members of the task group, who are all well-acquainted with what professional qualifications in themselves tell anyone about adequate preparation, believe that there is scope for greater flexibility in the criteria used for authorisation for presidency at the sacraments, in particular the recognition of the significance of previous experience and the recommendations (as well as the requests) of local congregations. This is why they recommended that the normal period of authorisation for presidency be extended to three to five years, rather than one year at present (see §2.18 above).</w:t>
      </w:r>
    </w:p>
    <w:p>
      <w:pPr>
        <w:pStyle w:val="BodyText"/>
        <w:spacing w:before="9"/>
        <w:rPr>
          <w:sz w:val="19"/>
        </w:rPr>
      </w:pPr>
    </w:p>
    <w:p>
      <w:pPr>
        <w:pStyle w:val="ListParagraph"/>
        <w:numPr>
          <w:ilvl w:val="1"/>
          <w:numId w:val="132"/>
        </w:numPr>
        <w:tabs>
          <w:tab w:pos="1287" w:val="left" w:leader="none"/>
          <w:tab w:pos="1288" w:val="left" w:leader="none"/>
        </w:tabs>
        <w:spacing w:line="242" w:lineRule="exact" w:before="1" w:after="0"/>
        <w:ind w:left="1287" w:right="0" w:hanging="681"/>
        <w:jc w:val="left"/>
        <w:rPr>
          <w:sz w:val="20"/>
        </w:rPr>
      </w:pPr>
      <w:r>
        <w:rPr>
          <w:w w:val="120"/>
          <w:sz w:val="20"/>
        </w:rPr>
        <w:t>While the practice of presidency at Communion in itself is already covered</w:t>
      </w:r>
      <w:r>
        <w:rPr>
          <w:spacing w:val="31"/>
          <w:w w:val="120"/>
          <w:sz w:val="20"/>
        </w:rPr>
        <w:t> </w:t>
      </w:r>
      <w:r>
        <w:rPr>
          <w:spacing w:val="-4"/>
          <w:w w:val="120"/>
          <w:sz w:val="20"/>
        </w:rPr>
        <w:t>(see</w:t>
      </w:r>
    </w:p>
    <w:p>
      <w:pPr>
        <w:pStyle w:val="BodyText"/>
        <w:spacing w:line="235" w:lineRule="auto" w:before="1"/>
        <w:ind w:left="607" w:right="2205"/>
      </w:pPr>
      <w:r>
        <w:rPr>
          <w:spacing w:val="-10"/>
          <w:w w:val="120"/>
        </w:rPr>
        <w:t>§2.17 </w:t>
      </w:r>
      <w:r>
        <w:rPr>
          <w:w w:val="120"/>
        </w:rPr>
        <w:t>above on what currently happens in the </w:t>
      </w:r>
      <w:r>
        <w:rPr>
          <w:spacing w:val="-3"/>
          <w:w w:val="120"/>
        </w:rPr>
        <w:t>synods), </w:t>
      </w:r>
      <w:r>
        <w:rPr>
          <w:w w:val="120"/>
        </w:rPr>
        <w:t>preparation for authorised elders might helpfully be offered through an expanded module on the conduct of worship (including </w:t>
      </w:r>
      <w:r>
        <w:rPr>
          <w:spacing w:val="-3"/>
          <w:w w:val="120"/>
        </w:rPr>
        <w:t>baptism) </w:t>
      </w:r>
      <w:r>
        <w:rPr>
          <w:w w:val="120"/>
        </w:rPr>
        <w:t>in the new material for missional education. Could there be levels of certification to encourage those who </w:t>
      </w:r>
      <w:r>
        <w:rPr>
          <w:spacing w:val="2"/>
          <w:w w:val="120"/>
        </w:rPr>
        <w:t>start </w:t>
      </w:r>
      <w:r>
        <w:rPr>
          <w:w w:val="120"/>
        </w:rPr>
        <w:t>off in a smaller </w:t>
      </w:r>
      <w:r>
        <w:rPr>
          <w:spacing w:val="-4"/>
          <w:w w:val="120"/>
        </w:rPr>
        <w:t>way, </w:t>
      </w:r>
      <w:r>
        <w:rPr>
          <w:w w:val="120"/>
        </w:rPr>
        <w:t>so that, for example, there would be a series of short courses, the completion of each one would be marked with a certificate? (In the secular world such methods are used for one-day first aid or safeguarding courses.) Alternatively, material already used by the Resource Centres for Learning </w:t>
      </w:r>
      <w:r>
        <w:rPr>
          <w:spacing w:val="-3"/>
          <w:w w:val="120"/>
        </w:rPr>
        <w:t>(RCLs) </w:t>
      </w:r>
      <w:r>
        <w:rPr>
          <w:w w:val="120"/>
        </w:rPr>
        <w:t>in preparation packages for elders and lay preachers could relatively easily be assembled into a course, preferably developed by all four</w:t>
      </w:r>
      <w:r>
        <w:rPr>
          <w:spacing w:val="35"/>
          <w:w w:val="120"/>
        </w:rPr>
        <w:t> </w:t>
      </w:r>
      <w:r>
        <w:rPr>
          <w:w w:val="120"/>
        </w:rPr>
        <w:t>RCLs</w:t>
      </w:r>
    </w:p>
    <w:p>
      <w:pPr>
        <w:pStyle w:val="BodyText"/>
      </w:pPr>
    </w:p>
    <w:p>
      <w:pPr>
        <w:pStyle w:val="BodyText"/>
        <w:rPr>
          <w:sz w:val="17"/>
        </w:rPr>
      </w:pPr>
      <w:r>
        <w:rPr/>
        <w:pict>
          <v:shape style="position:absolute;margin-left:62.362202pt;margin-top:12.826834pt;width:72pt;height:.1pt;mso-position-horizontal-relative:page;mso-position-vertical-relative:paragraph;z-index:-251382784;mso-wrap-distance-left:0;mso-wrap-distance-right:0" coordorigin="1247,257" coordsize="1440,0" path="m1247,257l2687,257e" filled="false" stroked="true" strokeweight="1pt" strokecolor="#000000">
            <v:path arrowok="t"/>
            <v:stroke dashstyle="solid"/>
            <w10:wrap type="topAndBottom"/>
          </v:shape>
        </w:pict>
      </w:r>
    </w:p>
    <w:p>
      <w:pPr>
        <w:pStyle w:val="ListParagraph"/>
        <w:numPr>
          <w:ilvl w:val="0"/>
          <w:numId w:val="128"/>
        </w:numPr>
        <w:tabs>
          <w:tab w:pos="1060" w:val="left" w:leader="none"/>
          <w:tab w:pos="1061" w:val="left" w:leader="none"/>
        </w:tabs>
        <w:spacing w:line="240" w:lineRule="auto" w:before="9" w:after="0"/>
        <w:ind w:left="1060" w:right="2242" w:hanging="454"/>
        <w:jc w:val="left"/>
        <w:rPr>
          <w:sz w:val="18"/>
        </w:rPr>
      </w:pPr>
      <w:r>
        <w:rPr>
          <w:w w:val="120"/>
          <w:sz w:val="18"/>
        </w:rPr>
        <w:t>The concept of ‘graduate attributes’ as a way of defining the outcomes of higher education has been developed in this country, particularly (but not exclusively) in the Scottish universities, and includes such qualities as enquiry and lifelong learning, personal development, ability in public speaking and communicating ideas, working within a team, critical thinking and research skills, and</w:t>
      </w:r>
      <w:r>
        <w:rPr>
          <w:spacing w:val="9"/>
          <w:w w:val="120"/>
          <w:sz w:val="18"/>
        </w:rPr>
        <w:t> </w:t>
      </w:r>
      <w:r>
        <w:rPr>
          <w:w w:val="120"/>
          <w:sz w:val="18"/>
        </w:rPr>
        <w:t>leadership.</w:t>
      </w:r>
    </w:p>
    <w:p>
      <w:pPr>
        <w:spacing w:after="0" w:line="240" w:lineRule="auto"/>
        <w:jc w:val="left"/>
        <w:rPr>
          <w:sz w:val="18"/>
        </w:rPr>
        <w:sectPr>
          <w:headerReference w:type="even" r:id="rId306"/>
          <w:footerReference w:type="even" r:id="rId307"/>
          <w:footerReference w:type="default" r:id="rId308"/>
          <w:pgSz w:w="11910" w:h="16840"/>
          <w:pgMar w:header="0" w:footer="647" w:top="0" w:bottom="840" w:left="640" w:right="0"/>
          <w:pgNumType w:start="104"/>
        </w:sectPr>
      </w:pPr>
    </w:p>
    <w:p>
      <w:pPr>
        <w:pStyle w:val="BodyText"/>
      </w:pPr>
      <w:r>
        <w:rPr/>
        <w:drawing>
          <wp:anchor distT="0" distB="0" distL="0" distR="0" allowOverlap="1" layoutInCell="1" locked="0" behindDoc="0" simplePos="0" relativeHeight="251936768">
            <wp:simplePos x="0" y="0"/>
            <wp:positionH relativeFrom="page">
              <wp:posOffset>6974928</wp:posOffset>
            </wp:positionH>
            <wp:positionV relativeFrom="page">
              <wp:posOffset>0</wp:posOffset>
            </wp:positionV>
            <wp:extent cx="585063" cy="10692003"/>
            <wp:effectExtent l="0" t="0" r="0" b="0"/>
            <wp:wrapNone/>
            <wp:docPr id="193" name="image54.png"/>
            <wp:cNvGraphicFramePr>
              <a:graphicFrameLocks noChangeAspect="1"/>
            </wp:cNvGraphicFramePr>
            <a:graphic>
              <a:graphicData uri="http://schemas.openxmlformats.org/drawingml/2006/picture">
                <pic:pic>
                  <pic:nvPicPr>
                    <pic:cNvPr id="194" name="image54.png"/>
                    <pic:cNvPicPr/>
                  </pic:nvPicPr>
                  <pic:blipFill>
                    <a:blip r:embed="rId169" cstate="print"/>
                    <a:stretch>
                      <a:fillRect/>
                    </a:stretch>
                  </pic:blipFill>
                  <pic:spPr>
                    <a:xfrm>
                      <a:off x="0" y="0"/>
                      <a:ext cx="585063" cy="10692003"/>
                    </a:xfrm>
                    <a:prstGeom prst="rect">
                      <a:avLst/>
                    </a:prstGeom>
                  </pic:spPr>
                </pic:pic>
              </a:graphicData>
            </a:graphic>
          </wp:anchor>
        </w:drawing>
      </w:r>
    </w:p>
    <w:p>
      <w:pPr>
        <w:pStyle w:val="BodyText"/>
        <w:spacing w:before="7"/>
        <w:rPr>
          <w:sz w:val="21"/>
        </w:rPr>
      </w:pPr>
    </w:p>
    <w:p>
      <w:pPr>
        <w:spacing w:before="106"/>
        <w:ind w:left="0" w:right="1245" w:firstLine="0"/>
        <w:jc w:val="right"/>
        <w:rPr>
          <w:sz w:val="26"/>
        </w:rPr>
      </w:pPr>
      <w:r>
        <w:rPr/>
        <w:pict>
          <v:shape style="position:absolute;margin-left:554.141174pt;margin-top:22.593945pt;width:25.9pt;height:483.55pt;mso-position-horizontal-relative:page;mso-position-vertical-relative:paragraph;z-index:251937792" type="#_x0000_t202" filled="false" stroked="false">
            <v:textbox inset="0,0,0,0" style="layout-flow:vertical">
              <w:txbxContent>
                <w:p>
                  <w:pPr>
                    <w:spacing w:before="27"/>
                    <w:ind w:left="20" w:right="0" w:firstLine="0"/>
                    <w:jc w:val="left"/>
                    <w:rPr>
                      <w:sz w:val="39"/>
                    </w:rPr>
                  </w:pPr>
                  <w:r>
                    <w:rPr>
                      <w:color w:val="FFFFFF"/>
                      <w:spacing w:val="6"/>
                      <w:w w:val="120"/>
                      <w:sz w:val="39"/>
                    </w:rPr>
                    <w:t>Faith </w:t>
                  </w:r>
                  <w:r>
                    <w:rPr>
                      <w:color w:val="FFFFFF"/>
                      <w:spacing w:val="7"/>
                      <w:w w:val="120"/>
                      <w:sz w:val="39"/>
                    </w:rPr>
                    <w:t>and order </w:t>
                  </w:r>
                  <w:r>
                    <w:rPr>
                      <w:color w:val="FFFFFF"/>
                      <w:w w:val="120"/>
                      <w:sz w:val="39"/>
                    </w:rPr>
                    <w:t>– </w:t>
                  </w:r>
                  <w:r>
                    <w:rPr>
                      <w:spacing w:val="10"/>
                      <w:w w:val="120"/>
                      <w:sz w:val="39"/>
                    </w:rPr>
                    <w:t>Authorised </w:t>
                  </w:r>
                  <w:r>
                    <w:rPr>
                      <w:spacing w:val="9"/>
                      <w:w w:val="120"/>
                      <w:sz w:val="39"/>
                    </w:rPr>
                    <w:t>elders </w:t>
                  </w:r>
                  <w:r>
                    <w:rPr>
                      <w:color w:val="FFFFFF"/>
                      <w:w w:val="120"/>
                      <w:sz w:val="39"/>
                    </w:rPr>
                    <w:t>–</w:t>
                  </w:r>
                  <w:r>
                    <w:rPr>
                      <w:color w:val="FFFFFF"/>
                      <w:spacing w:val="56"/>
                      <w:w w:val="120"/>
                      <w:sz w:val="39"/>
                    </w:rPr>
                    <w:t> </w:t>
                  </w:r>
                  <w:r>
                    <w:rPr>
                      <w:spacing w:val="11"/>
                      <w:w w:val="120"/>
                      <w:sz w:val="39"/>
                    </w:rPr>
                    <w:t>Appendix</w:t>
                  </w:r>
                </w:p>
              </w:txbxContent>
            </v:textbox>
            <w10:wrap type="none"/>
          </v:shape>
        </w:pict>
      </w:r>
      <w:r>
        <w:rPr>
          <w:color w:val="7EAABF"/>
          <w:w w:val="115"/>
          <w:sz w:val="26"/>
        </w:rPr>
        <w:t>Faith and order</w:t>
      </w:r>
    </w:p>
    <w:p>
      <w:pPr>
        <w:pStyle w:val="BodyText"/>
        <w:spacing w:line="235" w:lineRule="auto" w:before="222"/>
        <w:ind w:left="1344" w:right="1217"/>
      </w:pPr>
      <w:r>
        <w:rPr>
          <w:w w:val="120"/>
        </w:rPr>
        <w:t>in collaboration and then delivered from all four centres. Could the RCLs and the discipleship department work together on this? In our view a system that allows further preparation after a provisional authorisation is preferable to one in which authorisation follows the completion of all course requirements.</w:t>
      </w:r>
    </w:p>
    <w:p>
      <w:pPr>
        <w:pStyle w:val="BodyText"/>
        <w:spacing w:before="10"/>
        <w:rPr>
          <w:sz w:val="19"/>
        </w:rPr>
      </w:pPr>
    </w:p>
    <w:p>
      <w:pPr>
        <w:pStyle w:val="ListParagraph"/>
        <w:numPr>
          <w:ilvl w:val="1"/>
          <w:numId w:val="132"/>
        </w:numPr>
        <w:tabs>
          <w:tab w:pos="2024" w:val="left" w:leader="none"/>
          <w:tab w:pos="2025" w:val="left" w:leader="none"/>
        </w:tabs>
        <w:spacing w:line="235" w:lineRule="auto" w:before="1" w:after="0"/>
        <w:ind w:left="1344" w:right="1289" w:firstLine="0"/>
        <w:jc w:val="left"/>
        <w:rPr>
          <w:sz w:val="20"/>
        </w:rPr>
      </w:pPr>
      <w:r>
        <w:rPr>
          <w:w w:val="120"/>
          <w:sz w:val="20"/>
        </w:rPr>
        <w:t>These two modes of learning, the more academic and the more practical, </w:t>
      </w:r>
      <w:r>
        <w:rPr>
          <w:spacing w:val="-3"/>
          <w:w w:val="120"/>
          <w:sz w:val="20"/>
        </w:rPr>
        <w:t>could </w:t>
      </w:r>
      <w:r>
        <w:rPr>
          <w:w w:val="120"/>
          <w:sz w:val="20"/>
        </w:rPr>
        <w:t>helpfully be </w:t>
      </w:r>
      <w:r>
        <w:rPr>
          <w:spacing w:val="-3"/>
          <w:w w:val="120"/>
          <w:sz w:val="20"/>
        </w:rPr>
        <w:t>integrated. </w:t>
      </w:r>
      <w:r>
        <w:rPr>
          <w:w w:val="120"/>
          <w:sz w:val="20"/>
        </w:rPr>
        <w:t>Mentoring for a </w:t>
      </w:r>
      <w:r>
        <w:rPr>
          <w:spacing w:val="-3"/>
          <w:w w:val="120"/>
          <w:sz w:val="20"/>
        </w:rPr>
        <w:t>year </w:t>
      </w:r>
      <w:r>
        <w:rPr>
          <w:w w:val="120"/>
          <w:sz w:val="20"/>
        </w:rPr>
        <w:t>before final recognition would also be good,</w:t>
      </w:r>
      <w:r>
        <w:rPr>
          <w:spacing w:val="-6"/>
          <w:w w:val="120"/>
          <w:sz w:val="20"/>
        </w:rPr>
        <w:t> </w:t>
      </w:r>
      <w:r>
        <w:rPr>
          <w:w w:val="120"/>
          <w:sz w:val="20"/>
        </w:rPr>
        <w:t>as</w:t>
      </w:r>
      <w:r>
        <w:rPr>
          <w:spacing w:val="-5"/>
          <w:w w:val="120"/>
          <w:sz w:val="20"/>
        </w:rPr>
        <w:t> </w:t>
      </w:r>
      <w:r>
        <w:rPr>
          <w:w w:val="120"/>
          <w:sz w:val="20"/>
        </w:rPr>
        <w:t>would</w:t>
      </w:r>
      <w:r>
        <w:rPr>
          <w:spacing w:val="-5"/>
          <w:w w:val="120"/>
          <w:sz w:val="20"/>
        </w:rPr>
        <w:t> </w:t>
      </w:r>
      <w:r>
        <w:rPr>
          <w:w w:val="120"/>
          <w:sz w:val="20"/>
        </w:rPr>
        <w:t>fixed</w:t>
      </w:r>
      <w:r>
        <w:rPr>
          <w:spacing w:val="-5"/>
          <w:w w:val="120"/>
          <w:sz w:val="20"/>
        </w:rPr>
        <w:t> </w:t>
      </w:r>
      <w:r>
        <w:rPr>
          <w:w w:val="120"/>
          <w:sz w:val="20"/>
        </w:rPr>
        <w:t>terms</w:t>
      </w:r>
      <w:r>
        <w:rPr>
          <w:spacing w:val="-6"/>
          <w:w w:val="120"/>
          <w:sz w:val="20"/>
        </w:rPr>
        <w:t> </w:t>
      </w:r>
      <w:r>
        <w:rPr>
          <w:w w:val="120"/>
          <w:sz w:val="20"/>
        </w:rPr>
        <w:t>of</w:t>
      </w:r>
      <w:r>
        <w:rPr>
          <w:spacing w:val="-5"/>
          <w:w w:val="120"/>
          <w:sz w:val="20"/>
        </w:rPr>
        <w:t> </w:t>
      </w:r>
      <w:r>
        <w:rPr>
          <w:w w:val="120"/>
          <w:sz w:val="20"/>
        </w:rPr>
        <w:t>service</w:t>
      </w:r>
      <w:r>
        <w:rPr>
          <w:spacing w:val="-5"/>
          <w:w w:val="120"/>
          <w:sz w:val="20"/>
        </w:rPr>
        <w:t> </w:t>
      </w:r>
      <w:r>
        <w:rPr>
          <w:w w:val="120"/>
          <w:sz w:val="20"/>
        </w:rPr>
        <w:t>with</w:t>
      </w:r>
      <w:r>
        <w:rPr>
          <w:spacing w:val="-5"/>
          <w:w w:val="120"/>
          <w:sz w:val="20"/>
        </w:rPr>
        <w:t> </w:t>
      </w:r>
      <w:r>
        <w:rPr>
          <w:spacing w:val="-3"/>
          <w:w w:val="120"/>
          <w:sz w:val="20"/>
        </w:rPr>
        <w:t>built-in</w:t>
      </w:r>
      <w:r>
        <w:rPr>
          <w:spacing w:val="-6"/>
          <w:w w:val="120"/>
          <w:sz w:val="20"/>
        </w:rPr>
        <w:t> </w:t>
      </w:r>
      <w:r>
        <w:rPr>
          <w:w w:val="120"/>
          <w:sz w:val="20"/>
        </w:rPr>
        <w:t>assessment.</w:t>
      </w:r>
      <w:r>
        <w:rPr>
          <w:spacing w:val="-5"/>
          <w:w w:val="120"/>
          <w:sz w:val="20"/>
        </w:rPr>
        <w:t> </w:t>
      </w:r>
      <w:r>
        <w:rPr>
          <w:w w:val="120"/>
          <w:sz w:val="20"/>
        </w:rPr>
        <w:t>When</w:t>
      </w:r>
      <w:r>
        <w:rPr>
          <w:spacing w:val="-5"/>
          <w:w w:val="120"/>
          <w:sz w:val="20"/>
        </w:rPr>
        <w:t> </w:t>
      </w:r>
      <w:r>
        <w:rPr>
          <w:w w:val="120"/>
          <w:sz w:val="20"/>
        </w:rPr>
        <w:t>the</w:t>
      </w:r>
      <w:r>
        <w:rPr>
          <w:spacing w:val="-5"/>
          <w:w w:val="120"/>
          <w:sz w:val="20"/>
        </w:rPr>
        <w:t> </w:t>
      </w:r>
      <w:r>
        <w:rPr>
          <w:w w:val="120"/>
          <w:sz w:val="20"/>
        </w:rPr>
        <w:t>synod</w:t>
      </w:r>
      <w:r>
        <w:rPr>
          <w:spacing w:val="-6"/>
          <w:w w:val="120"/>
          <w:sz w:val="20"/>
        </w:rPr>
        <w:t> </w:t>
      </w:r>
      <w:r>
        <w:rPr>
          <w:w w:val="120"/>
          <w:sz w:val="20"/>
        </w:rPr>
        <w:t>adjudges preparation </w:t>
      </w:r>
      <w:r>
        <w:rPr>
          <w:spacing w:val="-3"/>
          <w:w w:val="120"/>
          <w:sz w:val="20"/>
        </w:rPr>
        <w:t>to </w:t>
      </w:r>
      <w:r>
        <w:rPr>
          <w:w w:val="120"/>
          <w:sz w:val="20"/>
        </w:rPr>
        <w:t>be </w:t>
      </w:r>
      <w:r>
        <w:rPr>
          <w:spacing w:val="-3"/>
          <w:w w:val="120"/>
          <w:sz w:val="20"/>
        </w:rPr>
        <w:t>complete, </w:t>
      </w:r>
      <w:r>
        <w:rPr>
          <w:w w:val="120"/>
          <w:sz w:val="20"/>
        </w:rPr>
        <w:t>the </w:t>
      </w:r>
      <w:r>
        <w:rPr>
          <w:spacing w:val="-3"/>
          <w:w w:val="120"/>
          <w:sz w:val="20"/>
        </w:rPr>
        <w:t>committee </w:t>
      </w:r>
      <w:r>
        <w:rPr>
          <w:w w:val="120"/>
          <w:sz w:val="20"/>
        </w:rPr>
        <w:t>suggests a service of </w:t>
      </w:r>
      <w:r>
        <w:rPr>
          <w:spacing w:val="-3"/>
          <w:w w:val="120"/>
          <w:sz w:val="20"/>
        </w:rPr>
        <w:t>commissioning</w:t>
      </w:r>
      <w:r>
        <w:rPr>
          <w:spacing w:val="8"/>
          <w:w w:val="120"/>
          <w:sz w:val="20"/>
        </w:rPr>
        <w:t> </w:t>
      </w:r>
      <w:r>
        <w:rPr>
          <w:spacing w:val="-3"/>
          <w:w w:val="120"/>
          <w:sz w:val="20"/>
        </w:rPr>
        <w:t>to</w:t>
      </w:r>
    </w:p>
    <w:p>
      <w:pPr>
        <w:pStyle w:val="BodyText"/>
        <w:spacing w:line="235" w:lineRule="auto" w:before="3"/>
        <w:ind w:left="1344" w:right="1661"/>
      </w:pPr>
      <w:r>
        <w:rPr>
          <w:w w:val="120"/>
        </w:rPr>
        <w:t>mark the transition. Congregations should also be prepared for this new situation, both to support authorised elders and also to avoid misunderstandings or unrealistic expectations of them in their new role.</w:t>
      </w:r>
    </w:p>
    <w:p>
      <w:pPr>
        <w:pStyle w:val="BodyText"/>
        <w:spacing w:before="10"/>
        <w:rPr>
          <w:sz w:val="19"/>
        </w:rPr>
      </w:pPr>
    </w:p>
    <w:p>
      <w:pPr>
        <w:pStyle w:val="ListParagraph"/>
        <w:numPr>
          <w:ilvl w:val="1"/>
          <w:numId w:val="132"/>
        </w:numPr>
        <w:tabs>
          <w:tab w:pos="2024" w:val="left" w:leader="none"/>
          <w:tab w:pos="2025" w:val="left" w:leader="none"/>
        </w:tabs>
        <w:spacing w:line="235" w:lineRule="auto" w:before="0" w:after="0"/>
        <w:ind w:left="1344" w:right="1287" w:firstLine="0"/>
        <w:jc w:val="left"/>
        <w:rPr>
          <w:sz w:val="20"/>
        </w:rPr>
      </w:pPr>
      <w:r>
        <w:rPr>
          <w:w w:val="120"/>
          <w:sz w:val="20"/>
        </w:rPr>
        <w:t>Since the </w:t>
      </w:r>
      <w:r>
        <w:rPr>
          <w:spacing w:val="-7"/>
          <w:w w:val="120"/>
          <w:sz w:val="20"/>
        </w:rPr>
        <w:t>2014 </w:t>
      </w:r>
      <w:r>
        <w:rPr>
          <w:w w:val="120"/>
          <w:sz w:val="20"/>
        </w:rPr>
        <w:t>General Assembly the discipleship and mission departments have begun work on a new programme of Missional Discipleship for the Church, which was introduced at Mission Council in November </w:t>
      </w:r>
      <w:r>
        <w:rPr>
          <w:spacing w:val="-7"/>
          <w:w w:val="120"/>
          <w:sz w:val="20"/>
        </w:rPr>
        <w:t>2015. </w:t>
      </w:r>
      <w:r>
        <w:rPr>
          <w:w w:val="120"/>
          <w:sz w:val="20"/>
        </w:rPr>
        <w:t>This </w:t>
      </w:r>
      <w:r>
        <w:rPr>
          <w:spacing w:val="2"/>
          <w:w w:val="120"/>
          <w:sz w:val="20"/>
        </w:rPr>
        <w:t>report </w:t>
      </w:r>
      <w:r>
        <w:rPr>
          <w:w w:val="120"/>
          <w:sz w:val="20"/>
        </w:rPr>
        <w:t>was already in </w:t>
      </w:r>
      <w:r>
        <w:rPr>
          <w:spacing w:val="2"/>
          <w:w w:val="120"/>
          <w:sz w:val="20"/>
        </w:rPr>
        <w:t>draft </w:t>
      </w:r>
      <w:r>
        <w:rPr>
          <w:w w:val="120"/>
          <w:sz w:val="20"/>
        </w:rPr>
        <w:t>at  that Mission Council, but the point was made that any church-wide programme should include the kind of preparation for authorised elders presiding at the sacraments. In view of the phasing out of </w:t>
      </w:r>
      <w:r>
        <w:rPr>
          <w:spacing w:val="2"/>
          <w:w w:val="120"/>
          <w:sz w:val="20"/>
        </w:rPr>
        <w:t>TLS </w:t>
      </w:r>
      <w:r>
        <w:rPr>
          <w:w w:val="120"/>
          <w:sz w:val="20"/>
        </w:rPr>
        <w:t>a new programme will be necessary anyway.</w:t>
      </w:r>
      <w:r>
        <w:rPr>
          <w:spacing w:val="2"/>
          <w:w w:val="120"/>
          <w:sz w:val="20"/>
        </w:rPr>
        <w:t> </w:t>
      </w:r>
      <w:r>
        <w:rPr>
          <w:w w:val="120"/>
          <w:sz w:val="20"/>
        </w:rPr>
        <w:t>Since</w:t>
      </w:r>
    </w:p>
    <w:p>
      <w:pPr>
        <w:spacing w:line="218" w:lineRule="auto" w:before="18"/>
        <w:ind w:left="1344" w:right="1458" w:firstLine="0"/>
        <w:jc w:val="left"/>
        <w:rPr>
          <w:rFonts w:ascii="Stone Sans II ITC Std Bk"/>
          <w:b/>
          <w:sz w:val="20"/>
        </w:rPr>
      </w:pPr>
      <w:bookmarkStart w:name="_GoBack" w:id="13"/>
      <w:bookmarkEnd w:id="13"/>
      <w:r>
        <w:rPr/>
      </w:r>
      <w:r>
        <w:rPr>
          <w:w w:val="115"/>
          <w:sz w:val="20"/>
        </w:rPr>
        <w:t>there are already resources in the various synods, the committee believes that it is only necessary for the Assembly to authorise a list of the elements in such programmes that  are regarded as essential. The committee therefore recommends </w:t>
      </w:r>
      <w:r>
        <w:rPr>
          <w:rFonts w:ascii="Stone Sans II ITC Std Bk"/>
          <w:b/>
          <w:w w:val="115"/>
          <w:sz w:val="20"/>
        </w:rPr>
        <w:t>that the education</w:t>
      </w:r>
      <w:r>
        <w:rPr>
          <w:rFonts w:ascii="Stone Sans II ITC Std Bk"/>
          <w:b/>
          <w:spacing w:val="60"/>
          <w:w w:val="115"/>
          <w:sz w:val="20"/>
        </w:rPr>
        <w:t> </w:t>
      </w:r>
      <w:r>
        <w:rPr>
          <w:rFonts w:ascii="Stone Sans II ITC Std Bk"/>
          <w:b/>
          <w:w w:val="115"/>
          <w:sz w:val="20"/>
        </w:rPr>
        <w:t>and learning committee be invited to prepare an Assembly syllabus for the preparation</w:t>
      </w:r>
      <w:r>
        <w:rPr>
          <w:rFonts w:ascii="Stone Sans II ITC Std Bk"/>
          <w:b/>
          <w:spacing w:val="-28"/>
          <w:w w:val="115"/>
          <w:sz w:val="20"/>
        </w:rPr>
        <w:t> </w:t>
      </w:r>
      <w:r>
        <w:rPr>
          <w:rFonts w:ascii="Stone Sans II ITC Std Bk"/>
          <w:b/>
          <w:w w:val="115"/>
          <w:sz w:val="20"/>
        </w:rPr>
        <w:t>of</w:t>
      </w:r>
      <w:r>
        <w:rPr>
          <w:rFonts w:ascii="Stone Sans II ITC Std Bk"/>
          <w:b/>
          <w:spacing w:val="-28"/>
          <w:w w:val="115"/>
          <w:sz w:val="20"/>
        </w:rPr>
        <w:t> </w:t>
      </w:r>
      <w:r>
        <w:rPr>
          <w:rFonts w:ascii="Stone Sans II ITC Std Bk"/>
          <w:b/>
          <w:w w:val="115"/>
          <w:sz w:val="20"/>
        </w:rPr>
        <w:t>authorised</w:t>
      </w:r>
      <w:r>
        <w:rPr>
          <w:rFonts w:ascii="Stone Sans II ITC Std Bk"/>
          <w:b/>
          <w:spacing w:val="-28"/>
          <w:w w:val="115"/>
          <w:sz w:val="20"/>
        </w:rPr>
        <w:t> </w:t>
      </w:r>
      <w:r>
        <w:rPr>
          <w:rFonts w:ascii="Stone Sans II ITC Std Bk"/>
          <w:b/>
          <w:w w:val="115"/>
          <w:sz w:val="20"/>
        </w:rPr>
        <w:t>elders</w:t>
      </w:r>
      <w:r>
        <w:rPr>
          <w:rFonts w:ascii="Stone Sans II ITC Std Bk"/>
          <w:b/>
          <w:spacing w:val="-27"/>
          <w:w w:val="115"/>
          <w:sz w:val="20"/>
        </w:rPr>
        <w:t> </w:t>
      </w:r>
      <w:r>
        <w:rPr>
          <w:rFonts w:ascii="Stone Sans II ITC Std Bk"/>
          <w:b/>
          <w:w w:val="115"/>
          <w:sz w:val="20"/>
        </w:rPr>
        <w:t>and</w:t>
      </w:r>
      <w:r>
        <w:rPr>
          <w:rFonts w:ascii="Stone Sans II ITC Std Bk"/>
          <w:b/>
          <w:spacing w:val="-28"/>
          <w:w w:val="115"/>
          <w:sz w:val="20"/>
        </w:rPr>
        <w:t> </w:t>
      </w:r>
      <w:r>
        <w:rPr>
          <w:rFonts w:ascii="Stone Sans II ITC Std Bk"/>
          <w:b/>
          <w:w w:val="115"/>
          <w:sz w:val="20"/>
        </w:rPr>
        <w:t>lay</w:t>
      </w:r>
      <w:r>
        <w:rPr>
          <w:rFonts w:ascii="Stone Sans II ITC Std Bk"/>
          <w:b/>
          <w:spacing w:val="-28"/>
          <w:w w:val="115"/>
          <w:sz w:val="20"/>
        </w:rPr>
        <w:t> </w:t>
      </w:r>
      <w:r>
        <w:rPr>
          <w:rFonts w:ascii="Stone Sans II ITC Std Bk"/>
          <w:b/>
          <w:w w:val="115"/>
          <w:sz w:val="20"/>
        </w:rPr>
        <w:t>preachers,</w:t>
      </w:r>
      <w:r>
        <w:rPr>
          <w:rFonts w:ascii="Stone Sans II ITC Std Bk"/>
          <w:b/>
          <w:spacing w:val="-28"/>
          <w:w w:val="115"/>
          <w:sz w:val="20"/>
        </w:rPr>
        <w:t> </w:t>
      </w:r>
      <w:r>
        <w:rPr>
          <w:rFonts w:ascii="Stone Sans II ITC Std Bk"/>
          <w:b/>
          <w:w w:val="115"/>
          <w:sz w:val="20"/>
        </w:rPr>
        <w:t>drawing</w:t>
      </w:r>
      <w:r>
        <w:rPr>
          <w:rFonts w:ascii="Stone Sans II ITC Std Bk"/>
          <w:b/>
          <w:spacing w:val="-27"/>
          <w:w w:val="115"/>
          <w:sz w:val="20"/>
        </w:rPr>
        <w:t> </w:t>
      </w:r>
      <w:r>
        <w:rPr>
          <w:rFonts w:ascii="Stone Sans II ITC Std Bk"/>
          <w:b/>
          <w:w w:val="115"/>
          <w:sz w:val="20"/>
        </w:rPr>
        <w:t>on</w:t>
      </w:r>
      <w:r>
        <w:rPr>
          <w:rFonts w:ascii="Stone Sans II ITC Std Bk"/>
          <w:b/>
          <w:spacing w:val="-28"/>
          <w:w w:val="115"/>
          <w:sz w:val="20"/>
        </w:rPr>
        <w:t> </w:t>
      </w:r>
      <w:r>
        <w:rPr>
          <w:rFonts w:ascii="Stone Sans II ITC Std Bk"/>
          <w:b/>
          <w:w w:val="115"/>
          <w:sz w:val="20"/>
        </w:rPr>
        <w:t>existing</w:t>
      </w:r>
      <w:r>
        <w:rPr>
          <w:rFonts w:ascii="Stone Sans II ITC Std Bk"/>
          <w:b/>
          <w:spacing w:val="-28"/>
          <w:w w:val="115"/>
          <w:sz w:val="20"/>
        </w:rPr>
        <w:t> </w:t>
      </w:r>
      <w:r>
        <w:rPr>
          <w:rFonts w:ascii="Stone Sans II ITC Std Bk"/>
          <w:b/>
          <w:w w:val="115"/>
          <w:sz w:val="20"/>
        </w:rPr>
        <w:t>synod resources. (Resolution</w:t>
      </w:r>
      <w:r>
        <w:rPr>
          <w:rFonts w:ascii="Stone Sans II ITC Std Bk"/>
          <w:b/>
          <w:spacing w:val="-9"/>
          <w:w w:val="115"/>
          <w:sz w:val="20"/>
        </w:rPr>
        <w:t> </w:t>
      </w:r>
      <w:r>
        <w:rPr>
          <w:rFonts w:ascii="Stone Sans II ITC Std Bk"/>
          <w:b/>
          <w:spacing w:val="-7"/>
          <w:w w:val="115"/>
          <w:sz w:val="20"/>
        </w:rPr>
        <w:t>18).</w:t>
      </w:r>
    </w:p>
    <w:p>
      <w:pPr>
        <w:pStyle w:val="BodyText"/>
        <w:spacing w:before="8"/>
        <w:rPr>
          <w:rFonts w:ascii="Stone Sans II ITC Std Bk"/>
          <w:b/>
          <w:sz w:val="17"/>
        </w:rPr>
      </w:pPr>
    </w:p>
    <w:p>
      <w:pPr>
        <w:pStyle w:val="ListParagraph"/>
        <w:numPr>
          <w:ilvl w:val="1"/>
          <w:numId w:val="132"/>
        </w:numPr>
        <w:tabs>
          <w:tab w:pos="2024" w:val="left" w:leader="none"/>
          <w:tab w:pos="2025" w:val="left" w:leader="none"/>
        </w:tabs>
        <w:spacing w:line="235" w:lineRule="auto" w:before="0" w:after="0"/>
        <w:ind w:left="1344" w:right="1246" w:firstLine="0"/>
        <w:jc w:val="left"/>
        <w:rPr>
          <w:sz w:val="20"/>
        </w:rPr>
      </w:pPr>
      <w:r>
        <w:rPr>
          <w:w w:val="120"/>
          <w:sz w:val="20"/>
        </w:rPr>
        <w:t>How much would this cost? The task group has not attempted to answer this question, because it does not know in detail about how what is currently offered is accounted for at present. In large </w:t>
      </w:r>
      <w:r>
        <w:rPr>
          <w:spacing w:val="2"/>
          <w:w w:val="120"/>
          <w:sz w:val="20"/>
        </w:rPr>
        <w:t>part </w:t>
      </w:r>
      <w:r>
        <w:rPr>
          <w:w w:val="120"/>
          <w:sz w:val="20"/>
        </w:rPr>
        <w:t>it depends on the number of candidates per </w:t>
      </w:r>
      <w:r>
        <w:rPr>
          <w:spacing w:val="-4"/>
          <w:w w:val="120"/>
          <w:sz w:val="20"/>
        </w:rPr>
        <w:t>year. </w:t>
      </w:r>
      <w:r>
        <w:rPr>
          <w:w w:val="120"/>
          <w:sz w:val="20"/>
        </w:rPr>
        <w:t>But much of the initial work in dealing with preparatory material is a </w:t>
      </w:r>
      <w:r>
        <w:rPr>
          <w:spacing w:val="2"/>
          <w:w w:val="120"/>
          <w:sz w:val="20"/>
        </w:rPr>
        <w:t>one-off </w:t>
      </w:r>
      <w:r>
        <w:rPr>
          <w:w w:val="120"/>
          <w:sz w:val="20"/>
        </w:rPr>
        <w:t>exercise, which may be something that is </w:t>
      </w:r>
      <w:r>
        <w:rPr>
          <w:spacing w:val="2"/>
          <w:w w:val="120"/>
          <w:sz w:val="20"/>
        </w:rPr>
        <w:t>part </w:t>
      </w:r>
      <w:r>
        <w:rPr>
          <w:w w:val="120"/>
          <w:sz w:val="20"/>
        </w:rPr>
        <w:t>of the programme of a synod or the RCLs anyway.  It is aware that some </w:t>
      </w:r>
      <w:r>
        <w:rPr>
          <w:spacing w:val="2"/>
          <w:w w:val="120"/>
          <w:sz w:val="20"/>
        </w:rPr>
        <w:t>worry </w:t>
      </w:r>
      <w:r>
        <w:rPr>
          <w:w w:val="120"/>
          <w:sz w:val="20"/>
        </w:rPr>
        <w:t>about the implications of any change for ministry and mission payments; but it regards that as a separate question, not directly related to its remit. There is no obvious way of reflecting on it until a decision has been taken on the main</w:t>
      </w:r>
      <w:r>
        <w:rPr>
          <w:spacing w:val="2"/>
          <w:w w:val="120"/>
          <w:sz w:val="20"/>
        </w:rPr>
        <w:t> </w:t>
      </w:r>
      <w:r>
        <w:rPr>
          <w:w w:val="120"/>
          <w:sz w:val="20"/>
        </w:rPr>
        <w:t>principle.</w:t>
      </w:r>
    </w:p>
    <w:p>
      <w:pPr>
        <w:pStyle w:val="BodyText"/>
        <w:spacing w:before="11"/>
        <w:rPr>
          <w:sz w:val="19"/>
        </w:rPr>
      </w:pPr>
    </w:p>
    <w:p>
      <w:pPr>
        <w:pStyle w:val="ListParagraph"/>
        <w:numPr>
          <w:ilvl w:val="1"/>
          <w:numId w:val="132"/>
        </w:numPr>
        <w:tabs>
          <w:tab w:pos="2024" w:val="left" w:leader="none"/>
          <w:tab w:pos="2025" w:val="left" w:leader="none"/>
        </w:tabs>
        <w:spacing w:line="240" w:lineRule="auto" w:before="0" w:after="0"/>
        <w:ind w:left="2024" w:right="0" w:hanging="681"/>
        <w:jc w:val="left"/>
        <w:rPr>
          <w:i/>
          <w:sz w:val="20"/>
        </w:rPr>
      </w:pPr>
      <w:r>
        <w:rPr>
          <w:i/>
          <w:w w:val="110"/>
          <w:sz w:val="20"/>
        </w:rPr>
        <w:t>The accountability of authorised</w:t>
      </w:r>
      <w:r>
        <w:rPr>
          <w:i/>
          <w:spacing w:val="15"/>
          <w:w w:val="110"/>
          <w:sz w:val="20"/>
        </w:rPr>
        <w:t> </w:t>
      </w:r>
      <w:r>
        <w:rPr>
          <w:i/>
          <w:w w:val="110"/>
          <w:sz w:val="20"/>
        </w:rPr>
        <w:t>elders</w:t>
      </w:r>
    </w:p>
    <w:p>
      <w:pPr>
        <w:pStyle w:val="BodyText"/>
        <w:spacing w:before="7"/>
        <w:rPr>
          <w:i/>
          <w:sz w:val="19"/>
        </w:rPr>
      </w:pPr>
    </w:p>
    <w:p>
      <w:pPr>
        <w:pStyle w:val="BodyText"/>
        <w:spacing w:line="235" w:lineRule="auto" w:before="1"/>
        <w:ind w:left="1344" w:right="1312"/>
        <w:rPr>
          <w:rFonts w:ascii="Stone Sans II ITC Std Bk" w:hAnsi="Stone Sans II ITC Std Bk"/>
          <w:b/>
        </w:rPr>
      </w:pPr>
      <w:r>
        <w:rPr>
          <w:w w:val="120"/>
        </w:rPr>
        <w:t>Discipline can and should be exercised by the eldership of the church in which this ministry is to be exercised. </w:t>
      </w:r>
      <w:r>
        <w:rPr>
          <w:spacing w:val="-3"/>
          <w:w w:val="120"/>
        </w:rPr>
        <w:t>However, </w:t>
      </w:r>
      <w:r>
        <w:rPr>
          <w:w w:val="120"/>
        </w:rPr>
        <w:t>the current promises made by elders on ordination and induction </w:t>
      </w:r>
      <w:r>
        <w:rPr>
          <w:spacing w:val="-4"/>
          <w:w w:val="120"/>
        </w:rPr>
        <w:t>(</w:t>
      </w:r>
      <w:r>
        <w:rPr>
          <w:i/>
          <w:spacing w:val="-4"/>
          <w:w w:val="120"/>
        </w:rPr>
        <w:t>Basis, </w:t>
      </w:r>
      <w:r>
        <w:rPr>
          <w:w w:val="120"/>
        </w:rPr>
        <w:t>Schedule </w:t>
      </w:r>
      <w:r>
        <w:rPr>
          <w:spacing w:val="-7"/>
          <w:w w:val="120"/>
        </w:rPr>
        <w:t>B) </w:t>
      </w:r>
      <w:r>
        <w:rPr>
          <w:w w:val="120"/>
        </w:rPr>
        <w:t>do not include anything about presidency at the sacraments, because that is not a specified duty for elders. Authorised elders might be considered more likely to need DBS checks, and may be affected by other parliamentary legislation. For these reasons the committee believes that a separate code of conduct for authorised elders is necessary. The URC elders’ code of conduct and the disciplinary and incapacity codes for ministers could be resources. The committee recommends </w:t>
      </w:r>
      <w:r>
        <w:rPr>
          <w:rFonts w:ascii="Stone Sans II ITC Std Bk" w:hAnsi="Stone Sans II ITC Std Bk"/>
          <w:b/>
          <w:w w:val="115"/>
        </w:rPr>
        <w:t>that</w:t>
      </w:r>
      <w:r>
        <w:rPr>
          <w:rFonts w:ascii="Stone Sans II ITC Std Bk" w:hAnsi="Stone Sans II ITC Std Bk"/>
          <w:b/>
          <w:spacing w:val="-36"/>
          <w:w w:val="115"/>
        </w:rPr>
        <w:t> </w:t>
      </w:r>
      <w:r>
        <w:rPr>
          <w:rFonts w:ascii="Stone Sans II ITC Std Bk" w:hAnsi="Stone Sans II ITC Std Bk"/>
          <w:b/>
          <w:w w:val="115"/>
        </w:rPr>
        <w:t>the</w:t>
      </w:r>
      <w:r>
        <w:rPr>
          <w:rFonts w:ascii="Stone Sans II ITC Std Bk" w:hAnsi="Stone Sans II ITC Std Bk"/>
          <w:b/>
          <w:spacing w:val="-35"/>
          <w:w w:val="115"/>
        </w:rPr>
        <w:t> </w:t>
      </w:r>
      <w:r>
        <w:rPr>
          <w:rFonts w:ascii="Stone Sans II ITC Std Bk" w:hAnsi="Stone Sans II ITC Std Bk"/>
          <w:b/>
          <w:w w:val="115"/>
        </w:rPr>
        <w:t>ministries</w:t>
      </w:r>
      <w:r>
        <w:rPr>
          <w:rFonts w:ascii="Stone Sans II ITC Std Bk" w:hAnsi="Stone Sans II ITC Std Bk"/>
          <w:b/>
          <w:spacing w:val="-35"/>
          <w:w w:val="115"/>
        </w:rPr>
        <w:t> </w:t>
      </w:r>
      <w:r>
        <w:rPr>
          <w:rFonts w:ascii="Stone Sans II ITC Std Bk" w:hAnsi="Stone Sans II ITC Std Bk"/>
          <w:b/>
          <w:w w:val="115"/>
        </w:rPr>
        <w:t>committee</w:t>
      </w:r>
      <w:r>
        <w:rPr>
          <w:rFonts w:ascii="Stone Sans II ITC Std Bk" w:hAnsi="Stone Sans II ITC Std Bk"/>
          <w:b/>
          <w:spacing w:val="-36"/>
          <w:w w:val="115"/>
        </w:rPr>
        <w:t> </w:t>
      </w:r>
      <w:r>
        <w:rPr>
          <w:rFonts w:ascii="Stone Sans II ITC Std Bk" w:hAnsi="Stone Sans II ITC Std Bk"/>
          <w:b/>
          <w:w w:val="115"/>
        </w:rPr>
        <w:t>be</w:t>
      </w:r>
      <w:r>
        <w:rPr>
          <w:rFonts w:ascii="Stone Sans II ITC Std Bk" w:hAnsi="Stone Sans II ITC Std Bk"/>
          <w:b/>
          <w:spacing w:val="-35"/>
          <w:w w:val="115"/>
        </w:rPr>
        <w:t> </w:t>
      </w:r>
      <w:r>
        <w:rPr>
          <w:rFonts w:ascii="Stone Sans II ITC Std Bk" w:hAnsi="Stone Sans II ITC Std Bk"/>
          <w:b/>
          <w:w w:val="115"/>
        </w:rPr>
        <w:t>invited</w:t>
      </w:r>
      <w:r>
        <w:rPr>
          <w:rFonts w:ascii="Stone Sans II ITC Std Bk" w:hAnsi="Stone Sans II ITC Std Bk"/>
          <w:b/>
          <w:spacing w:val="-35"/>
          <w:w w:val="115"/>
        </w:rPr>
        <w:t> </w:t>
      </w:r>
      <w:r>
        <w:rPr>
          <w:rFonts w:ascii="Stone Sans II ITC Std Bk" w:hAnsi="Stone Sans II ITC Std Bk"/>
          <w:b/>
          <w:w w:val="115"/>
        </w:rPr>
        <w:t>to</w:t>
      </w:r>
      <w:r>
        <w:rPr>
          <w:rFonts w:ascii="Stone Sans II ITC Std Bk" w:hAnsi="Stone Sans II ITC Std Bk"/>
          <w:b/>
          <w:spacing w:val="-36"/>
          <w:w w:val="115"/>
        </w:rPr>
        <w:t> </w:t>
      </w:r>
      <w:r>
        <w:rPr>
          <w:rFonts w:ascii="Stone Sans II ITC Std Bk" w:hAnsi="Stone Sans II ITC Std Bk"/>
          <w:b/>
          <w:w w:val="115"/>
        </w:rPr>
        <w:t>develop</w:t>
      </w:r>
      <w:r>
        <w:rPr>
          <w:rFonts w:ascii="Stone Sans II ITC Std Bk" w:hAnsi="Stone Sans II ITC Std Bk"/>
          <w:b/>
          <w:spacing w:val="-35"/>
          <w:w w:val="115"/>
        </w:rPr>
        <w:t> </w:t>
      </w:r>
      <w:r>
        <w:rPr>
          <w:rFonts w:ascii="Stone Sans II ITC Std Bk" w:hAnsi="Stone Sans II ITC Std Bk"/>
          <w:b/>
          <w:w w:val="115"/>
        </w:rPr>
        <w:t>a</w:t>
      </w:r>
      <w:r>
        <w:rPr>
          <w:rFonts w:ascii="Stone Sans II ITC Std Bk" w:hAnsi="Stone Sans II ITC Std Bk"/>
          <w:b/>
          <w:spacing w:val="-35"/>
          <w:w w:val="115"/>
        </w:rPr>
        <w:t> </w:t>
      </w:r>
      <w:r>
        <w:rPr>
          <w:rFonts w:ascii="Stone Sans II ITC Std Bk" w:hAnsi="Stone Sans II ITC Std Bk"/>
          <w:b/>
          <w:w w:val="115"/>
        </w:rPr>
        <w:t>specific</w:t>
      </w:r>
      <w:r>
        <w:rPr>
          <w:rFonts w:ascii="Stone Sans II ITC Std Bk" w:hAnsi="Stone Sans II ITC Std Bk"/>
          <w:b/>
          <w:spacing w:val="-35"/>
          <w:w w:val="115"/>
        </w:rPr>
        <w:t> </w:t>
      </w:r>
      <w:r>
        <w:rPr>
          <w:rFonts w:ascii="Stone Sans II ITC Std Bk" w:hAnsi="Stone Sans II ITC Std Bk"/>
          <w:b/>
          <w:w w:val="115"/>
        </w:rPr>
        <w:t>code</w:t>
      </w:r>
      <w:r>
        <w:rPr>
          <w:rFonts w:ascii="Stone Sans II ITC Std Bk" w:hAnsi="Stone Sans II ITC Std Bk"/>
          <w:b/>
          <w:spacing w:val="-36"/>
          <w:w w:val="115"/>
        </w:rPr>
        <w:t> </w:t>
      </w:r>
      <w:r>
        <w:rPr>
          <w:rFonts w:ascii="Stone Sans II ITC Std Bk" w:hAnsi="Stone Sans II ITC Std Bk"/>
          <w:b/>
          <w:w w:val="115"/>
        </w:rPr>
        <w:t>of</w:t>
      </w:r>
      <w:r>
        <w:rPr>
          <w:rFonts w:ascii="Stone Sans II ITC Std Bk" w:hAnsi="Stone Sans II ITC Std Bk"/>
          <w:b/>
          <w:spacing w:val="-35"/>
          <w:w w:val="115"/>
        </w:rPr>
        <w:t> </w:t>
      </w:r>
      <w:r>
        <w:rPr>
          <w:rFonts w:ascii="Stone Sans II ITC Std Bk" w:hAnsi="Stone Sans II ITC Std Bk"/>
          <w:b/>
          <w:w w:val="115"/>
        </w:rPr>
        <w:t>conduct</w:t>
      </w:r>
      <w:r>
        <w:rPr>
          <w:rFonts w:ascii="Stone Sans II ITC Std Bk" w:hAnsi="Stone Sans II ITC Std Bk"/>
          <w:b/>
          <w:spacing w:val="-35"/>
          <w:w w:val="115"/>
        </w:rPr>
        <w:t> </w:t>
      </w:r>
      <w:r>
        <w:rPr>
          <w:rFonts w:ascii="Stone Sans II ITC Std Bk" w:hAnsi="Stone Sans II ITC Std Bk"/>
          <w:b/>
          <w:w w:val="115"/>
        </w:rPr>
        <w:t>for</w:t>
      </w:r>
    </w:p>
    <w:p>
      <w:pPr>
        <w:pStyle w:val="Heading7"/>
        <w:spacing w:line="220" w:lineRule="exact"/>
        <w:ind w:left="1344"/>
      </w:pPr>
      <w:r>
        <w:rPr>
          <w:w w:val="110"/>
        </w:rPr>
        <w:t>authorised</w:t>
      </w:r>
      <w:r>
        <w:rPr>
          <w:spacing w:val="-6"/>
          <w:w w:val="110"/>
        </w:rPr>
        <w:t> </w:t>
      </w:r>
      <w:r>
        <w:rPr>
          <w:w w:val="110"/>
        </w:rPr>
        <w:t>elders</w:t>
      </w:r>
      <w:r>
        <w:rPr>
          <w:spacing w:val="-5"/>
          <w:w w:val="110"/>
        </w:rPr>
        <w:t> </w:t>
      </w:r>
      <w:r>
        <w:rPr>
          <w:w w:val="110"/>
        </w:rPr>
        <w:t>and</w:t>
      </w:r>
      <w:r>
        <w:rPr>
          <w:spacing w:val="-6"/>
          <w:w w:val="110"/>
        </w:rPr>
        <w:t> </w:t>
      </w:r>
      <w:r>
        <w:rPr>
          <w:w w:val="110"/>
        </w:rPr>
        <w:t>lay</w:t>
      </w:r>
      <w:r>
        <w:rPr>
          <w:spacing w:val="-5"/>
          <w:w w:val="110"/>
        </w:rPr>
        <w:t> </w:t>
      </w:r>
      <w:r>
        <w:rPr>
          <w:w w:val="110"/>
        </w:rPr>
        <w:t>preachers;</w:t>
      </w:r>
      <w:r>
        <w:rPr>
          <w:spacing w:val="-5"/>
          <w:w w:val="110"/>
        </w:rPr>
        <w:t> </w:t>
      </w:r>
      <w:r>
        <w:rPr>
          <w:w w:val="110"/>
        </w:rPr>
        <w:t>and</w:t>
      </w:r>
      <w:r>
        <w:rPr>
          <w:spacing w:val="-6"/>
          <w:w w:val="110"/>
        </w:rPr>
        <w:t> </w:t>
      </w:r>
      <w:r>
        <w:rPr>
          <w:w w:val="110"/>
        </w:rPr>
        <w:t>that</w:t>
      </w:r>
      <w:r>
        <w:rPr>
          <w:spacing w:val="-5"/>
          <w:w w:val="110"/>
        </w:rPr>
        <w:t> </w:t>
      </w:r>
      <w:r>
        <w:rPr>
          <w:w w:val="110"/>
        </w:rPr>
        <w:t>those</w:t>
      </w:r>
      <w:r>
        <w:rPr>
          <w:spacing w:val="-5"/>
          <w:w w:val="110"/>
        </w:rPr>
        <w:t> </w:t>
      </w:r>
      <w:r>
        <w:rPr>
          <w:w w:val="110"/>
        </w:rPr>
        <w:t>concerned</w:t>
      </w:r>
      <w:r>
        <w:rPr>
          <w:spacing w:val="-6"/>
          <w:w w:val="110"/>
        </w:rPr>
        <w:t> </w:t>
      </w:r>
      <w:r>
        <w:rPr>
          <w:w w:val="110"/>
        </w:rPr>
        <w:t>agree</w:t>
      </w:r>
      <w:r>
        <w:rPr>
          <w:spacing w:val="-5"/>
          <w:w w:val="110"/>
        </w:rPr>
        <w:t> </w:t>
      </w:r>
      <w:r>
        <w:rPr>
          <w:w w:val="110"/>
        </w:rPr>
        <w:t>to</w:t>
      </w:r>
      <w:r>
        <w:rPr>
          <w:spacing w:val="-5"/>
          <w:w w:val="110"/>
        </w:rPr>
        <w:t> </w:t>
      </w:r>
      <w:r>
        <w:rPr>
          <w:w w:val="110"/>
        </w:rPr>
        <w:t>be</w:t>
      </w:r>
      <w:r>
        <w:rPr>
          <w:spacing w:val="-6"/>
          <w:w w:val="110"/>
        </w:rPr>
        <w:t> </w:t>
      </w:r>
      <w:r>
        <w:rPr>
          <w:w w:val="110"/>
        </w:rPr>
        <w:t>bound</w:t>
      </w:r>
    </w:p>
    <w:p>
      <w:pPr>
        <w:pStyle w:val="BodyText"/>
        <w:spacing w:line="232" w:lineRule="auto"/>
        <w:ind w:left="1344" w:right="1313"/>
      </w:pPr>
      <w:r>
        <w:rPr>
          <w:rFonts w:ascii="Stone Sans II ITC Std Bk" w:hAnsi="Stone Sans II ITC Std Bk"/>
          <w:b/>
          <w:w w:val="115"/>
        </w:rPr>
        <w:t>by</w:t>
      </w:r>
      <w:r>
        <w:rPr>
          <w:rFonts w:ascii="Stone Sans II ITC Std Bk" w:hAnsi="Stone Sans II ITC Std Bk"/>
          <w:b/>
          <w:spacing w:val="-29"/>
          <w:w w:val="115"/>
        </w:rPr>
        <w:t> </w:t>
      </w:r>
      <w:r>
        <w:rPr>
          <w:rFonts w:ascii="Stone Sans II ITC Std Bk" w:hAnsi="Stone Sans II ITC Std Bk"/>
          <w:b/>
          <w:w w:val="115"/>
        </w:rPr>
        <w:t>it</w:t>
      </w:r>
      <w:r>
        <w:rPr>
          <w:rFonts w:ascii="Stone Sans II ITC Std Bk" w:hAnsi="Stone Sans II ITC Std Bk"/>
          <w:b/>
          <w:spacing w:val="-29"/>
          <w:w w:val="115"/>
        </w:rPr>
        <w:t> </w:t>
      </w:r>
      <w:r>
        <w:rPr>
          <w:rFonts w:ascii="Stone Sans II ITC Std Bk" w:hAnsi="Stone Sans II ITC Std Bk"/>
          <w:b/>
          <w:w w:val="115"/>
        </w:rPr>
        <w:t>before</w:t>
      </w:r>
      <w:r>
        <w:rPr>
          <w:rFonts w:ascii="Stone Sans II ITC Std Bk" w:hAnsi="Stone Sans II ITC Std Bk"/>
          <w:b/>
          <w:spacing w:val="-29"/>
          <w:w w:val="115"/>
        </w:rPr>
        <w:t> </w:t>
      </w:r>
      <w:r>
        <w:rPr>
          <w:rFonts w:ascii="Stone Sans II ITC Std Bk" w:hAnsi="Stone Sans II ITC Std Bk"/>
          <w:b/>
          <w:w w:val="115"/>
        </w:rPr>
        <w:t>beginning</w:t>
      </w:r>
      <w:r>
        <w:rPr>
          <w:rFonts w:ascii="Stone Sans II ITC Std Bk" w:hAnsi="Stone Sans II ITC Std Bk"/>
          <w:b/>
          <w:spacing w:val="-29"/>
          <w:w w:val="115"/>
        </w:rPr>
        <w:t> </w:t>
      </w:r>
      <w:r>
        <w:rPr>
          <w:rFonts w:ascii="Stone Sans II ITC Std Bk" w:hAnsi="Stone Sans II ITC Std Bk"/>
          <w:b/>
          <w:w w:val="115"/>
        </w:rPr>
        <w:t>their</w:t>
      </w:r>
      <w:r>
        <w:rPr>
          <w:rFonts w:ascii="Stone Sans II ITC Std Bk" w:hAnsi="Stone Sans II ITC Std Bk"/>
          <w:b/>
          <w:spacing w:val="-29"/>
          <w:w w:val="115"/>
        </w:rPr>
        <w:t> </w:t>
      </w:r>
      <w:r>
        <w:rPr>
          <w:rFonts w:ascii="Stone Sans II ITC Std Bk" w:hAnsi="Stone Sans II ITC Std Bk"/>
          <w:b/>
          <w:w w:val="115"/>
        </w:rPr>
        <w:t>probationary</w:t>
      </w:r>
      <w:r>
        <w:rPr>
          <w:rFonts w:ascii="Stone Sans II ITC Std Bk" w:hAnsi="Stone Sans II ITC Std Bk"/>
          <w:b/>
          <w:spacing w:val="-29"/>
          <w:w w:val="115"/>
        </w:rPr>
        <w:t> </w:t>
      </w:r>
      <w:r>
        <w:rPr>
          <w:rFonts w:ascii="Stone Sans II ITC Std Bk" w:hAnsi="Stone Sans II ITC Std Bk"/>
          <w:b/>
          <w:w w:val="115"/>
        </w:rPr>
        <w:t>year</w:t>
      </w:r>
      <w:r>
        <w:rPr>
          <w:rFonts w:ascii="Stone Sans II ITC Std Bk" w:hAnsi="Stone Sans II ITC Std Bk"/>
          <w:b/>
          <w:spacing w:val="-29"/>
          <w:w w:val="115"/>
        </w:rPr>
        <w:t> </w:t>
      </w:r>
      <w:r>
        <w:rPr>
          <w:rFonts w:ascii="Stone Sans II ITC Std Bk" w:hAnsi="Stone Sans II ITC Std Bk"/>
          <w:b/>
          <w:w w:val="115"/>
        </w:rPr>
        <w:t>(Resolution</w:t>
      </w:r>
      <w:r>
        <w:rPr>
          <w:rFonts w:ascii="Stone Sans II ITC Std Bk" w:hAnsi="Stone Sans II ITC Std Bk"/>
          <w:b/>
          <w:spacing w:val="-29"/>
          <w:w w:val="115"/>
        </w:rPr>
        <w:t> </w:t>
      </w:r>
      <w:r>
        <w:rPr>
          <w:rFonts w:ascii="Stone Sans II ITC Std Bk" w:hAnsi="Stone Sans II ITC Std Bk"/>
          <w:b/>
          <w:spacing w:val="-8"/>
          <w:w w:val="115"/>
        </w:rPr>
        <w:t>16)</w:t>
      </w:r>
      <w:r>
        <w:rPr>
          <w:spacing w:val="-8"/>
          <w:w w:val="115"/>
        </w:rPr>
        <w:t>.</w:t>
      </w:r>
      <w:r>
        <w:rPr>
          <w:spacing w:val="-21"/>
          <w:w w:val="115"/>
        </w:rPr>
        <w:t> </w:t>
      </w:r>
      <w:r>
        <w:rPr>
          <w:w w:val="115"/>
        </w:rPr>
        <w:t>Where,</w:t>
      </w:r>
      <w:r>
        <w:rPr>
          <w:spacing w:val="-22"/>
          <w:w w:val="115"/>
        </w:rPr>
        <w:t> </w:t>
      </w:r>
      <w:r>
        <w:rPr>
          <w:w w:val="115"/>
        </w:rPr>
        <w:t>for</w:t>
      </w:r>
      <w:r>
        <w:rPr>
          <w:spacing w:val="-21"/>
          <w:w w:val="115"/>
        </w:rPr>
        <w:t> </w:t>
      </w:r>
      <w:r>
        <w:rPr>
          <w:w w:val="115"/>
        </w:rPr>
        <w:t>pastoral </w:t>
      </w:r>
      <w:r>
        <w:rPr>
          <w:w w:val="120"/>
        </w:rPr>
        <w:t>reasons, discipline becomes problematic – for example, in the case of conflict between an authorised elder and a local church leader or lay preacher – the synod pastoral committee should be called upon for help. </w:t>
      </w:r>
      <w:r>
        <w:rPr>
          <w:spacing w:val="-3"/>
          <w:w w:val="120"/>
        </w:rPr>
        <w:t>However, </w:t>
      </w:r>
      <w:r>
        <w:rPr>
          <w:w w:val="120"/>
        </w:rPr>
        <w:t>the committee advises that the Synod Moderator should not engage directly with any disciplinary process, so as to be available for pastoral support to any parties as</w:t>
      </w:r>
      <w:r>
        <w:rPr>
          <w:spacing w:val="-11"/>
          <w:w w:val="120"/>
        </w:rPr>
        <w:t> </w:t>
      </w:r>
      <w:r>
        <w:rPr>
          <w:w w:val="120"/>
        </w:rPr>
        <w:t>necessary.</w:t>
      </w:r>
    </w:p>
    <w:p>
      <w:pPr>
        <w:pStyle w:val="BodyText"/>
        <w:spacing w:before="2"/>
        <w:rPr>
          <w:sz w:val="19"/>
        </w:rPr>
      </w:pPr>
    </w:p>
    <w:p>
      <w:pPr>
        <w:pStyle w:val="ListParagraph"/>
        <w:numPr>
          <w:ilvl w:val="1"/>
          <w:numId w:val="132"/>
        </w:numPr>
        <w:tabs>
          <w:tab w:pos="2024" w:val="left" w:leader="none"/>
          <w:tab w:pos="2025" w:val="left" w:leader="none"/>
        </w:tabs>
        <w:spacing w:line="235" w:lineRule="auto" w:before="0" w:after="0"/>
        <w:ind w:left="1344" w:right="1482" w:firstLine="0"/>
        <w:jc w:val="left"/>
        <w:rPr>
          <w:sz w:val="20"/>
        </w:rPr>
      </w:pPr>
      <w:r>
        <w:rPr>
          <w:w w:val="120"/>
          <w:sz w:val="20"/>
        </w:rPr>
        <w:t>There are also potential problems if authorised elders move from one synod to another where they are not known – though in principle they are no different from those faced in relation to those for any elder who moves to a different church and synod. Authorisation is not ‘transferable’ from one Synod to another, without positive action</w:t>
      </w:r>
      <w:r>
        <w:rPr>
          <w:spacing w:val="4"/>
          <w:w w:val="120"/>
          <w:sz w:val="20"/>
        </w:rPr>
        <w:t> </w:t>
      </w:r>
      <w:r>
        <w:rPr>
          <w:w w:val="120"/>
          <w:sz w:val="20"/>
        </w:rPr>
        <w:t>from</w:t>
      </w:r>
      <w:r>
        <w:rPr>
          <w:spacing w:val="5"/>
          <w:w w:val="120"/>
          <w:sz w:val="20"/>
        </w:rPr>
        <w:t> </w:t>
      </w:r>
      <w:r>
        <w:rPr>
          <w:w w:val="120"/>
          <w:sz w:val="20"/>
        </w:rPr>
        <w:t>the</w:t>
      </w:r>
      <w:r>
        <w:rPr>
          <w:spacing w:val="4"/>
          <w:w w:val="120"/>
          <w:sz w:val="20"/>
        </w:rPr>
        <w:t> </w:t>
      </w:r>
      <w:r>
        <w:rPr>
          <w:w w:val="120"/>
          <w:sz w:val="20"/>
        </w:rPr>
        <w:t>receiving</w:t>
      </w:r>
      <w:r>
        <w:rPr>
          <w:spacing w:val="5"/>
          <w:w w:val="120"/>
          <w:sz w:val="20"/>
        </w:rPr>
        <w:t> </w:t>
      </w:r>
      <w:r>
        <w:rPr>
          <w:w w:val="120"/>
          <w:sz w:val="20"/>
        </w:rPr>
        <w:t>synod.</w:t>
      </w:r>
      <w:r>
        <w:rPr>
          <w:spacing w:val="5"/>
          <w:w w:val="120"/>
          <w:sz w:val="20"/>
        </w:rPr>
        <w:t> </w:t>
      </w:r>
      <w:r>
        <w:rPr>
          <w:w w:val="120"/>
          <w:sz w:val="20"/>
        </w:rPr>
        <w:t>It</w:t>
      </w:r>
      <w:r>
        <w:rPr>
          <w:spacing w:val="4"/>
          <w:w w:val="120"/>
          <w:sz w:val="20"/>
        </w:rPr>
        <w:t> </w:t>
      </w:r>
      <w:r>
        <w:rPr>
          <w:w w:val="120"/>
          <w:sz w:val="20"/>
        </w:rPr>
        <w:t>is</w:t>
      </w:r>
      <w:r>
        <w:rPr>
          <w:spacing w:val="5"/>
          <w:w w:val="120"/>
          <w:sz w:val="20"/>
        </w:rPr>
        <w:t> </w:t>
      </w:r>
      <w:r>
        <w:rPr>
          <w:w w:val="120"/>
          <w:sz w:val="20"/>
        </w:rPr>
        <w:t>right</w:t>
      </w:r>
      <w:r>
        <w:rPr>
          <w:spacing w:val="4"/>
          <w:w w:val="120"/>
          <w:sz w:val="20"/>
        </w:rPr>
        <w:t> </w:t>
      </w:r>
      <w:r>
        <w:rPr>
          <w:w w:val="120"/>
          <w:sz w:val="20"/>
        </w:rPr>
        <w:t>that</w:t>
      </w:r>
      <w:r>
        <w:rPr>
          <w:spacing w:val="5"/>
          <w:w w:val="120"/>
          <w:sz w:val="20"/>
        </w:rPr>
        <w:t> </w:t>
      </w:r>
      <w:r>
        <w:rPr>
          <w:w w:val="120"/>
          <w:sz w:val="20"/>
        </w:rPr>
        <w:t>a</w:t>
      </w:r>
      <w:r>
        <w:rPr>
          <w:spacing w:val="5"/>
          <w:w w:val="120"/>
          <w:sz w:val="20"/>
        </w:rPr>
        <w:t> </w:t>
      </w:r>
      <w:r>
        <w:rPr>
          <w:w w:val="120"/>
          <w:sz w:val="20"/>
        </w:rPr>
        <w:t>letter</w:t>
      </w:r>
      <w:r>
        <w:rPr>
          <w:spacing w:val="4"/>
          <w:w w:val="120"/>
          <w:sz w:val="20"/>
        </w:rPr>
        <w:t> </w:t>
      </w:r>
      <w:r>
        <w:rPr>
          <w:w w:val="120"/>
          <w:sz w:val="20"/>
        </w:rPr>
        <w:t>of</w:t>
      </w:r>
      <w:r>
        <w:rPr>
          <w:spacing w:val="5"/>
          <w:w w:val="120"/>
          <w:sz w:val="20"/>
        </w:rPr>
        <w:t> </w:t>
      </w:r>
      <w:r>
        <w:rPr>
          <w:w w:val="120"/>
          <w:sz w:val="20"/>
        </w:rPr>
        <w:t>commendation</w:t>
      </w:r>
      <w:r>
        <w:rPr>
          <w:spacing w:val="4"/>
          <w:w w:val="120"/>
          <w:sz w:val="20"/>
        </w:rPr>
        <w:t> </w:t>
      </w:r>
      <w:r>
        <w:rPr>
          <w:w w:val="120"/>
          <w:sz w:val="20"/>
        </w:rPr>
        <w:t>should</w:t>
      </w:r>
      <w:r>
        <w:rPr>
          <w:spacing w:val="5"/>
          <w:w w:val="120"/>
          <w:sz w:val="20"/>
        </w:rPr>
        <w:t> </w:t>
      </w:r>
      <w:r>
        <w:rPr>
          <w:w w:val="120"/>
          <w:sz w:val="20"/>
        </w:rPr>
        <w:t>be</w:t>
      </w:r>
    </w:p>
    <w:p>
      <w:pPr>
        <w:spacing w:after="0" w:line="235" w:lineRule="auto"/>
        <w:jc w:val="left"/>
        <w:rPr>
          <w:sz w:val="20"/>
        </w:rPr>
        <w:sectPr>
          <w:headerReference w:type="default" r:id="rId309"/>
          <w:pgSz w:w="11910" w:h="16840"/>
          <w:pgMar w:header="0" w:footer="647" w:top="0" w:bottom="840" w:left="640" w:right="0"/>
        </w:sectPr>
      </w:pPr>
    </w:p>
    <w:p>
      <w:pPr>
        <w:pStyle w:val="BodyText"/>
      </w:pPr>
      <w:r>
        <w:rPr/>
        <w:drawing>
          <wp:anchor distT="0" distB="0" distL="0" distR="0" allowOverlap="1" layoutInCell="1" locked="0" behindDoc="1" simplePos="0" relativeHeight="235485184">
            <wp:simplePos x="0" y="0"/>
            <wp:positionH relativeFrom="page">
              <wp:posOffset>0</wp:posOffset>
            </wp:positionH>
            <wp:positionV relativeFrom="page">
              <wp:posOffset>0</wp:posOffset>
            </wp:positionV>
            <wp:extent cx="594067" cy="10692003"/>
            <wp:effectExtent l="0" t="0" r="0" b="0"/>
            <wp:wrapNone/>
            <wp:docPr id="195" name="image67.png"/>
            <wp:cNvGraphicFramePr>
              <a:graphicFrameLocks noChangeAspect="1"/>
            </wp:cNvGraphicFramePr>
            <a:graphic>
              <a:graphicData uri="http://schemas.openxmlformats.org/drawingml/2006/picture">
                <pic:pic>
                  <pic:nvPicPr>
                    <pic:cNvPr id="196" name="image67.png"/>
                    <pic:cNvPicPr/>
                  </pic:nvPicPr>
                  <pic:blipFill>
                    <a:blip r:embed="rId184" cstate="print"/>
                    <a:stretch>
                      <a:fillRect/>
                    </a:stretch>
                  </pic:blipFill>
                  <pic:spPr>
                    <a:xfrm>
                      <a:off x="0" y="0"/>
                      <a:ext cx="594067" cy="10692003"/>
                    </a:xfrm>
                    <a:prstGeom prst="rect">
                      <a:avLst/>
                    </a:prstGeom>
                  </pic:spPr>
                </pic:pic>
              </a:graphicData>
            </a:graphic>
          </wp:anchor>
        </w:drawing>
      </w:r>
      <w:r>
        <w:rPr/>
        <w:pict>
          <v:shape style="position:absolute;margin-left:20.519100pt;margin-top:48.890015pt;width:25.9pt;height:483.55pt;mso-position-horizontal-relative:page;mso-position-vertical-relative:page;z-index:-267830272" type="#_x0000_t202" filled="false" stroked="false">
            <v:textbox inset="0,0,0,0" style="layout-flow:vertical">
              <w:txbxContent>
                <w:p>
                  <w:pPr>
                    <w:spacing w:before="27"/>
                    <w:ind w:left="20" w:right="0" w:firstLine="0"/>
                    <w:jc w:val="left"/>
                    <w:rPr>
                      <w:sz w:val="39"/>
                    </w:rPr>
                  </w:pPr>
                  <w:r>
                    <w:rPr>
                      <w:color w:val="FFFFFF"/>
                      <w:spacing w:val="6"/>
                      <w:w w:val="120"/>
                      <w:sz w:val="39"/>
                    </w:rPr>
                    <w:t>Faith </w:t>
                  </w:r>
                  <w:r>
                    <w:rPr>
                      <w:color w:val="FFFFFF"/>
                      <w:spacing w:val="7"/>
                      <w:w w:val="120"/>
                      <w:sz w:val="39"/>
                    </w:rPr>
                    <w:t>and order </w:t>
                  </w:r>
                  <w:r>
                    <w:rPr>
                      <w:color w:val="FFFFFF"/>
                      <w:w w:val="120"/>
                      <w:sz w:val="39"/>
                    </w:rPr>
                    <w:t>– </w:t>
                  </w:r>
                  <w:r>
                    <w:rPr>
                      <w:spacing w:val="10"/>
                      <w:w w:val="120"/>
                      <w:sz w:val="39"/>
                    </w:rPr>
                    <w:t>Authorised </w:t>
                  </w:r>
                  <w:r>
                    <w:rPr>
                      <w:spacing w:val="9"/>
                      <w:w w:val="120"/>
                      <w:sz w:val="39"/>
                    </w:rPr>
                    <w:t>elders </w:t>
                  </w:r>
                  <w:r>
                    <w:rPr>
                      <w:color w:val="FFFFFF"/>
                      <w:w w:val="120"/>
                      <w:sz w:val="39"/>
                    </w:rPr>
                    <w:t>–</w:t>
                  </w:r>
                  <w:r>
                    <w:rPr>
                      <w:color w:val="FFFFFF"/>
                      <w:spacing w:val="56"/>
                      <w:w w:val="120"/>
                      <w:sz w:val="39"/>
                    </w:rPr>
                    <w:t> </w:t>
                  </w:r>
                  <w:r>
                    <w:rPr>
                      <w:spacing w:val="11"/>
                      <w:w w:val="120"/>
                      <w:sz w:val="39"/>
                    </w:rPr>
                    <w:t>Appendix</w:t>
                  </w:r>
                </w:p>
              </w:txbxContent>
            </v:textbox>
            <w10:wrap type="none"/>
          </v:shape>
        </w:pict>
      </w:r>
    </w:p>
    <w:p>
      <w:pPr>
        <w:pStyle w:val="BodyText"/>
        <w:spacing w:before="7"/>
        <w:rPr>
          <w:sz w:val="21"/>
        </w:rPr>
      </w:pPr>
    </w:p>
    <w:p>
      <w:pPr>
        <w:spacing w:before="106"/>
        <w:ind w:left="607" w:right="0" w:firstLine="0"/>
        <w:jc w:val="left"/>
        <w:rPr>
          <w:sz w:val="26"/>
        </w:rPr>
      </w:pPr>
      <w:r>
        <w:rPr>
          <w:color w:val="7EAABF"/>
          <w:w w:val="115"/>
          <w:sz w:val="26"/>
        </w:rPr>
        <w:t>Faith and order</w:t>
      </w:r>
    </w:p>
    <w:p>
      <w:pPr>
        <w:spacing w:line="228" w:lineRule="auto" w:before="227"/>
        <w:ind w:left="607" w:right="1983" w:firstLine="0"/>
        <w:jc w:val="left"/>
        <w:rPr>
          <w:rFonts w:ascii="Stone Sans II ITC Std Bk" w:hAnsi="Stone Sans II ITC Std Bk"/>
          <w:b/>
          <w:sz w:val="20"/>
        </w:rPr>
      </w:pPr>
      <w:r>
        <w:rPr>
          <w:w w:val="120"/>
          <w:sz w:val="20"/>
        </w:rPr>
        <w:t>received from the ‘sending synod’, just as letters of transfer are expected is a member moves from one local church to another. Similarly a ‘receiving synod’ needs to know whether authorisation has been withdrawn at any point and </w:t>
      </w:r>
      <w:r>
        <w:rPr>
          <w:spacing w:val="-4"/>
          <w:w w:val="120"/>
          <w:sz w:val="20"/>
        </w:rPr>
        <w:t>why. </w:t>
      </w:r>
      <w:r>
        <w:rPr>
          <w:w w:val="120"/>
          <w:sz w:val="20"/>
        </w:rPr>
        <w:t>This might be   because the elder’s service was no longer needed, but it might be because there had been dissatisfaction with that service, and attempts to remedy that had failed. In any such situation, the person concerned would be informed, as would local churches for which the authorisation had been granted. It is impossible to produce a complete list of what might be regarded as reasons for withdrawing authorisation, but three different illustrations might assist: unwillingness to use a form of worship that was recognisable  as a common service within the pattern expected by the United Reformed Church; actions and behaviors which exceed the authority granted by the synod and local  church; refusal to co-operate with the preparation and/or support offered by the synod. The</w:t>
      </w:r>
      <w:r>
        <w:rPr>
          <w:spacing w:val="-23"/>
          <w:w w:val="120"/>
          <w:sz w:val="20"/>
        </w:rPr>
        <w:t> </w:t>
      </w:r>
      <w:r>
        <w:rPr>
          <w:w w:val="120"/>
          <w:sz w:val="20"/>
        </w:rPr>
        <w:t>committee</w:t>
      </w:r>
      <w:r>
        <w:rPr>
          <w:spacing w:val="-23"/>
          <w:w w:val="120"/>
          <w:sz w:val="20"/>
        </w:rPr>
        <w:t> </w:t>
      </w:r>
      <w:r>
        <w:rPr>
          <w:w w:val="120"/>
          <w:sz w:val="20"/>
        </w:rPr>
        <w:t>therefore</w:t>
      </w:r>
      <w:r>
        <w:rPr>
          <w:spacing w:val="-23"/>
          <w:w w:val="120"/>
          <w:sz w:val="20"/>
        </w:rPr>
        <w:t> </w:t>
      </w:r>
      <w:r>
        <w:rPr>
          <w:w w:val="120"/>
          <w:sz w:val="20"/>
        </w:rPr>
        <w:t>recommends</w:t>
      </w:r>
      <w:r>
        <w:rPr>
          <w:spacing w:val="-22"/>
          <w:w w:val="120"/>
          <w:sz w:val="20"/>
        </w:rPr>
        <w:t> </w:t>
      </w:r>
      <w:r>
        <w:rPr>
          <w:rFonts w:ascii="Stone Sans II ITC Std Bk" w:hAnsi="Stone Sans II ITC Std Bk"/>
          <w:b/>
          <w:w w:val="120"/>
          <w:sz w:val="20"/>
        </w:rPr>
        <w:t>that</w:t>
      </w:r>
      <w:r>
        <w:rPr>
          <w:rFonts w:ascii="Stone Sans II ITC Std Bk" w:hAnsi="Stone Sans II ITC Std Bk"/>
          <w:b/>
          <w:spacing w:val="-31"/>
          <w:w w:val="120"/>
          <w:sz w:val="20"/>
        </w:rPr>
        <w:t> </w:t>
      </w:r>
      <w:r>
        <w:rPr>
          <w:rFonts w:ascii="Stone Sans II ITC Std Bk" w:hAnsi="Stone Sans II ITC Std Bk"/>
          <w:b/>
          <w:w w:val="120"/>
          <w:sz w:val="20"/>
        </w:rPr>
        <w:t>a</w:t>
      </w:r>
      <w:r>
        <w:rPr>
          <w:rFonts w:ascii="Stone Sans II ITC Std Bk" w:hAnsi="Stone Sans II ITC Std Bk"/>
          <w:b/>
          <w:spacing w:val="-32"/>
          <w:w w:val="120"/>
          <w:sz w:val="20"/>
        </w:rPr>
        <w:t> </w:t>
      </w:r>
      <w:r>
        <w:rPr>
          <w:rFonts w:ascii="Stone Sans II ITC Std Bk" w:hAnsi="Stone Sans II ITC Std Bk"/>
          <w:b/>
          <w:w w:val="120"/>
          <w:sz w:val="20"/>
        </w:rPr>
        <w:t>list</w:t>
      </w:r>
      <w:r>
        <w:rPr>
          <w:rFonts w:ascii="Stone Sans II ITC Std Bk" w:hAnsi="Stone Sans II ITC Std Bk"/>
          <w:b/>
          <w:spacing w:val="-31"/>
          <w:w w:val="120"/>
          <w:sz w:val="20"/>
        </w:rPr>
        <w:t> </w:t>
      </w:r>
      <w:r>
        <w:rPr>
          <w:rFonts w:ascii="Stone Sans II ITC Std Bk" w:hAnsi="Stone Sans II ITC Std Bk"/>
          <w:b/>
          <w:w w:val="120"/>
          <w:sz w:val="20"/>
        </w:rPr>
        <w:t>of</w:t>
      </w:r>
      <w:r>
        <w:rPr>
          <w:rFonts w:ascii="Stone Sans II ITC Std Bk" w:hAnsi="Stone Sans II ITC Std Bk"/>
          <w:b/>
          <w:spacing w:val="-31"/>
          <w:w w:val="120"/>
          <w:sz w:val="20"/>
        </w:rPr>
        <w:t> </w:t>
      </w:r>
      <w:r>
        <w:rPr>
          <w:rFonts w:ascii="Stone Sans II ITC Std Bk" w:hAnsi="Stone Sans II ITC Std Bk"/>
          <w:b/>
          <w:w w:val="120"/>
          <w:sz w:val="20"/>
        </w:rPr>
        <w:t>those</w:t>
      </w:r>
      <w:r>
        <w:rPr>
          <w:rFonts w:ascii="Stone Sans II ITC Std Bk" w:hAnsi="Stone Sans II ITC Std Bk"/>
          <w:b/>
          <w:spacing w:val="-31"/>
          <w:w w:val="120"/>
          <w:sz w:val="20"/>
        </w:rPr>
        <w:t> </w:t>
      </w:r>
      <w:r>
        <w:rPr>
          <w:rFonts w:ascii="Stone Sans II ITC Std Bk" w:hAnsi="Stone Sans II ITC Std Bk"/>
          <w:b/>
          <w:w w:val="120"/>
          <w:sz w:val="20"/>
        </w:rPr>
        <w:t>authorised</w:t>
      </w:r>
      <w:r>
        <w:rPr>
          <w:rFonts w:ascii="Stone Sans II ITC Std Bk" w:hAnsi="Stone Sans II ITC Std Bk"/>
          <w:b/>
          <w:spacing w:val="-31"/>
          <w:w w:val="120"/>
          <w:sz w:val="20"/>
        </w:rPr>
        <w:t> </w:t>
      </w:r>
      <w:r>
        <w:rPr>
          <w:rFonts w:ascii="Stone Sans II ITC Std Bk" w:hAnsi="Stone Sans II ITC Std Bk"/>
          <w:b/>
          <w:w w:val="120"/>
          <w:sz w:val="20"/>
        </w:rPr>
        <w:t>elders</w:t>
      </w:r>
      <w:r>
        <w:rPr>
          <w:rFonts w:ascii="Stone Sans II ITC Std Bk" w:hAnsi="Stone Sans II ITC Std Bk"/>
          <w:b/>
          <w:spacing w:val="-32"/>
          <w:w w:val="120"/>
          <w:sz w:val="20"/>
        </w:rPr>
        <w:t> </w:t>
      </w:r>
      <w:r>
        <w:rPr>
          <w:rFonts w:ascii="Stone Sans II ITC Std Bk" w:hAnsi="Stone Sans II ITC Std Bk"/>
          <w:b/>
          <w:w w:val="120"/>
          <w:sz w:val="20"/>
        </w:rPr>
        <w:t>and</w:t>
      </w:r>
      <w:r>
        <w:rPr>
          <w:rFonts w:ascii="Stone Sans II ITC Std Bk" w:hAnsi="Stone Sans II ITC Std Bk"/>
          <w:b/>
          <w:spacing w:val="-31"/>
          <w:w w:val="120"/>
          <w:sz w:val="20"/>
        </w:rPr>
        <w:t> </w:t>
      </w:r>
      <w:r>
        <w:rPr>
          <w:rFonts w:ascii="Stone Sans II ITC Std Bk" w:hAnsi="Stone Sans II ITC Std Bk"/>
          <w:b/>
          <w:w w:val="120"/>
          <w:sz w:val="20"/>
        </w:rPr>
        <w:t>lay </w:t>
      </w:r>
      <w:r>
        <w:rPr>
          <w:rFonts w:ascii="Stone Sans II ITC Std Bk" w:hAnsi="Stone Sans II ITC Std Bk"/>
          <w:b/>
          <w:w w:val="115"/>
          <w:sz w:val="20"/>
        </w:rPr>
        <w:t>preachers</w:t>
      </w:r>
      <w:r>
        <w:rPr>
          <w:rFonts w:ascii="Stone Sans II ITC Std Bk" w:hAnsi="Stone Sans II ITC Std Bk"/>
          <w:b/>
          <w:spacing w:val="-34"/>
          <w:w w:val="115"/>
          <w:sz w:val="20"/>
        </w:rPr>
        <w:t> </w:t>
      </w:r>
      <w:r>
        <w:rPr>
          <w:rFonts w:ascii="Stone Sans II ITC Std Bk" w:hAnsi="Stone Sans II ITC Std Bk"/>
          <w:b/>
          <w:w w:val="115"/>
          <w:sz w:val="20"/>
        </w:rPr>
        <w:t>whose</w:t>
      </w:r>
      <w:r>
        <w:rPr>
          <w:rFonts w:ascii="Stone Sans II ITC Std Bk" w:hAnsi="Stone Sans II ITC Std Bk"/>
          <w:b/>
          <w:spacing w:val="-33"/>
          <w:w w:val="115"/>
          <w:sz w:val="20"/>
        </w:rPr>
        <w:t> </w:t>
      </w:r>
      <w:r>
        <w:rPr>
          <w:rFonts w:ascii="Stone Sans II ITC Std Bk" w:hAnsi="Stone Sans II ITC Std Bk"/>
          <w:b/>
          <w:w w:val="115"/>
          <w:sz w:val="20"/>
        </w:rPr>
        <w:t>service</w:t>
      </w:r>
      <w:r>
        <w:rPr>
          <w:rFonts w:ascii="Stone Sans II ITC Std Bk" w:hAnsi="Stone Sans II ITC Std Bk"/>
          <w:b/>
          <w:spacing w:val="-33"/>
          <w:w w:val="115"/>
          <w:sz w:val="20"/>
        </w:rPr>
        <w:t> </w:t>
      </w:r>
      <w:r>
        <w:rPr>
          <w:rFonts w:ascii="Stone Sans II ITC Std Bk" w:hAnsi="Stone Sans II ITC Std Bk"/>
          <w:b/>
          <w:w w:val="115"/>
          <w:sz w:val="20"/>
        </w:rPr>
        <w:t>has</w:t>
      </w:r>
      <w:r>
        <w:rPr>
          <w:rFonts w:ascii="Stone Sans II ITC Std Bk" w:hAnsi="Stone Sans II ITC Std Bk"/>
          <w:b/>
          <w:spacing w:val="-33"/>
          <w:w w:val="115"/>
          <w:sz w:val="20"/>
        </w:rPr>
        <w:t> </w:t>
      </w:r>
      <w:r>
        <w:rPr>
          <w:rFonts w:ascii="Stone Sans II ITC Std Bk" w:hAnsi="Stone Sans II ITC Std Bk"/>
          <w:b/>
          <w:w w:val="115"/>
          <w:sz w:val="20"/>
        </w:rPr>
        <w:t>proved</w:t>
      </w:r>
      <w:r>
        <w:rPr>
          <w:rFonts w:ascii="Stone Sans II ITC Std Bk" w:hAnsi="Stone Sans II ITC Std Bk"/>
          <w:b/>
          <w:spacing w:val="-33"/>
          <w:w w:val="115"/>
          <w:sz w:val="20"/>
        </w:rPr>
        <w:t> </w:t>
      </w:r>
      <w:r>
        <w:rPr>
          <w:rFonts w:ascii="Stone Sans II ITC Std Bk" w:hAnsi="Stone Sans II ITC Std Bk"/>
          <w:b/>
          <w:w w:val="115"/>
          <w:sz w:val="20"/>
        </w:rPr>
        <w:t>unsatisfactory</w:t>
      </w:r>
      <w:r>
        <w:rPr>
          <w:rFonts w:ascii="Stone Sans II ITC Std Bk" w:hAnsi="Stone Sans II ITC Std Bk"/>
          <w:b/>
          <w:spacing w:val="-33"/>
          <w:w w:val="115"/>
          <w:sz w:val="20"/>
        </w:rPr>
        <w:t> </w:t>
      </w:r>
      <w:r>
        <w:rPr>
          <w:rFonts w:ascii="Stone Sans II ITC Std Bk" w:hAnsi="Stone Sans II ITC Std Bk"/>
          <w:b/>
          <w:w w:val="115"/>
          <w:sz w:val="20"/>
        </w:rPr>
        <w:t>be</w:t>
      </w:r>
      <w:r>
        <w:rPr>
          <w:rFonts w:ascii="Stone Sans II ITC Std Bk" w:hAnsi="Stone Sans II ITC Std Bk"/>
          <w:b/>
          <w:spacing w:val="-33"/>
          <w:w w:val="115"/>
          <w:sz w:val="20"/>
        </w:rPr>
        <w:t> </w:t>
      </w:r>
      <w:r>
        <w:rPr>
          <w:rFonts w:ascii="Stone Sans II ITC Std Bk" w:hAnsi="Stone Sans II ITC Std Bk"/>
          <w:b/>
          <w:w w:val="115"/>
          <w:sz w:val="20"/>
        </w:rPr>
        <w:t>maintained</w:t>
      </w:r>
      <w:r>
        <w:rPr>
          <w:rFonts w:ascii="Stone Sans II ITC Std Bk" w:hAnsi="Stone Sans II ITC Std Bk"/>
          <w:b/>
          <w:spacing w:val="-33"/>
          <w:w w:val="115"/>
          <w:sz w:val="20"/>
        </w:rPr>
        <w:t> </w:t>
      </w:r>
      <w:r>
        <w:rPr>
          <w:rFonts w:ascii="Stone Sans II ITC Std Bk" w:hAnsi="Stone Sans II ITC Std Bk"/>
          <w:b/>
          <w:w w:val="115"/>
          <w:sz w:val="20"/>
        </w:rPr>
        <w:t>by</w:t>
      </w:r>
      <w:r>
        <w:rPr>
          <w:rFonts w:ascii="Stone Sans II ITC Std Bk" w:hAnsi="Stone Sans II ITC Std Bk"/>
          <w:b/>
          <w:spacing w:val="-33"/>
          <w:w w:val="115"/>
          <w:sz w:val="20"/>
        </w:rPr>
        <w:t> </w:t>
      </w:r>
      <w:r>
        <w:rPr>
          <w:rFonts w:ascii="Stone Sans II ITC Std Bk" w:hAnsi="Stone Sans II ITC Std Bk"/>
          <w:b/>
          <w:w w:val="115"/>
          <w:sz w:val="20"/>
        </w:rPr>
        <w:t>the</w:t>
      </w:r>
      <w:r>
        <w:rPr>
          <w:rFonts w:ascii="Stone Sans II ITC Std Bk" w:hAnsi="Stone Sans II ITC Std Bk"/>
          <w:b/>
          <w:spacing w:val="-33"/>
          <w:w w:val="115"/>
          <w:sz w:val="20"/>
        </w:rPr>
        <w:t> </w:t>
      </w:r>
      <w:r>
        <w:rPr>
          <w:rFonts w:ascii="Stone Sans II ITC Std Bk" w:hAnsi="Stone Sans II ITC Std Bk"/>
          <w:b/>
          <w:w w:val="115"/>
          <w:sz w:val="20"/>
        </w:rPr>
        <w:t>General </w:t>
      </w:r>
      <w:r>
        <w:rPr>
          <w:rFonts w:ascii="Stone Sans II ITC Std Bk" w:hAnsi="Stone Sans II ITC Std Bk"/>
          <w:b/>
          <w:w w:val="120"/>
          <w:sz w:val="20"/>
        </w:rPr>
        <w:t>Secretariat,</w:t>
      </w:r>
      <w:r>
        <w:rPr>
          <w:rFonts w:ascii="Stone Sans II ITC Std Bk" w:hAnsi="Stone Sans II ITC Std Bk"/>
          <w:b/>
          <w:spacing w:val="-39"/>
          <w:w w:val="120"/>
          <w:sz w:val="20"/>
        </w:rPr>
        <w:t> </w:t>
      </w:r>
      <w:r>
        <w:rPr>
          <w:rFonts w:ascii="Stone Sans II ITC Std Bk" w:hAnsi="Stone Sans II ITC Std Bk"/>
          <w:b/>
          <w:w w:val="120"/>
          <w:sz w:val="20"/>
        </w:rPr>
        <w:t>to</w:t>
      </w:r>
      <w:r>
        <w:rPr>
          <w:rFonts w:ascii="Stone Sans II ITC Std Bk" w:hAnsi="Stone Sans II ITC Std Bk"/>
          <w:b/>
          <w:spacing w:val="-38"/>
          <w:w w:val="120"/>
          <w:sz w:val="20"/>
        </w:rPr>
        <w:t> </w:t>
      </w:r>
      <w:r>
        <w:rPr>
          <w:rFonts w:ascii="Stone Sans II ITC Std Bk" w:hAnsi="Stone Sans II ITC Std Bk"/>
          <w:b/>
          <w:w w:val="120"/>
          <w:sz w:val="20"/>
        </w:rPr>
        <w:t>avoid</w:t>
      </w:r>
      <w:r>
        <w:rPr>
          <w:rFonts w:ascii="Stone Sans II ITC Std Bk" w:hAnsi="Stone Sans II ITC Std Bk"/>
          <w:b/>
          <w:spacing w:val="-38"/>
          <w:w w:val="120"/>
          <w:sz w:val="20"/>
        </w:rPr>
        <w:t> </w:t>
      </w:r>
      <w:r>
        <w:rPr>
          <w:rFonts w:ascii="Stone Sans II ITC Std Bk" w:hAnsi="Stone Sans II ITC Std Bk"/>
          <w:b/>
          <w:w w:val="120"/>
          <w:sz w:val="20"/>
        </w:rPr>
        <w:t>the</w:t>
      </w:r>
      <w:r>
        <w:rPr>
          <w:rFonts w:ascii="Stone Sans II ITC Std Bk" w:hAnsi="Stone Sans II ITC Std Bk"/>
          <w:b/>
          <w:spacing w:val="-38"/>
          <w:w w:val="120"/>
          <w:sz w:val="20"/>
        </w:rPr>
        <w:t> </w:t>
      </w:r>
      <w:r>
        <w:rPr>
          <w:rFonts w:ascii="Stone Sans II ITC Std Bk" w:hAnsi="Stone Sans II ITC Std Bk"/>
          <w:b/>
          <w:w w:val="120"/>
          <w:sz w:val="20"/>
        </w:rPr>
        <w:t>possibility</w:t>
      </w:r>
      <w:r>
        <w:rPr>
          <w:rFonts w:ascii="Stone Sans II ITC Std Bk" w:hAnsi="Stone Sans II ITC Std Bk"/>
          <w:b/>
          <w:spacing w:val="-38"/>
          <w:w w:val="120"/>
          <w:sz w:val="20"/>
        </w:rPr>
        <w:t> </w:t>
      </w:r>
      <w:r>
        <w:rPr>
          <w:rFonts w:ascii="Stone Sans II ITC Std Bk" w:hAnsi="Stone Sans II ITC Std Bk"/>
          <w:b/>
          <w:w w:val="120"/>
          <w:sz w:val="20"/>
        </w:rPr>
        <w:t>of</w:t>
      </w:r>
      <w:r>
        <w:rPr>
          <w:rFonts w:ascii="Stone Sans II ITC Std Bk" w:hAnsi="Stone Sans II ITC Std Bk"/>
          <w:b/>
          <w:spacing w:val="-38"/>
          <w:w w:val="120"/>
          <w:sz w:val="20"/>
        </w:rPr>
        <w:t> </w:t>
      </w:r>
      <w:r>
        <w:rPr>
          <w:rFonts w:ascii="Stone Sans II ITC Std Bk" w:hAnsi="Stone Sans II ITC Std Bk"/>
          <w:b/>
          <w:w w:val="120"/>
          <w:sz w:val="20"/>
        </w:rPr>
        <w:t>any</w:t>
      </w:r>
      <w:r>
        <w:rPr>
          <w:rFonts w:ascii="Stone Sans II ITC Std Bk" w:hAnsi="Stone Sans II ITC Std Bk"/>
          <w:b/>
          <w:spacing w:val="-38"/>
          <w:w w:val="120"/>
          <w:sz w:val="20"/>
        </w:rPr>
        <w:t> </w:t>
      </w:r>
      <w:r>
        <w:rPr>
          <w:rFonts w:ascii="Stone Sans II ITC Std Bk" w:hAnsi="Stone Sans II ITC Std Bk"/>
          <w:b/>
          <w:w w:val="120"/>
          <w:sz w:val="20"/>
        </w:rPr>
        <w:t>individual</w:t>
      </w:r>
      <w:r>
        <w:rPr>
          <w:rFonts w:ascii="Stone Sans II ITC Std Bk" w:hAnsi="Stone Sans II ITC Std Bk"/>
          <w:b/>
          <w:spacing w:val="-39"/>
          <w:w w:val="120"/>
          <w:sz w:val="20"/>
        </w:rPr>
        <w:t> </w:t>
      </w:r>
      <w:r>
        <w:rPr>
          <w:rFonts w:ascii="Stone Sans II ITC Std Bk" w:hAnsi="Stone Sans II ITC Std Bk"/>
          <w:b/>
          <w:w w:val="120"/>
          <w:sz w:val="20"/>
        </w:rPr>
        <w:t>exercising</w:t>
      </w:r>
      <w:r>
        <w:rPr>
          <w:rFonts w:ascii="Stone Sans II ITC Std Bk" w:hAnsi="Stone Sans II ITC Std Bk"/>
          <w:b/>
          <w:spacing w:val="-38"/>
          <w:w w:val="120"/>
          <w:sz w:val="20"/>
        </w:rPr>
        <w:t> </w:t>
      </w:r>
      <w:r>
        <w:rPr>
          <w:rFonts w:ascii="Stone Sans II ITC Std Bk" w:hAnsi="Stone Sans II ITC Std Bk"/>
          <w:b/>
          <w:w w:val="120"/>
          <w:sz w:val="20"/>
        </w:rPr>
        <w:t>this</w:t>
      </w:r>
      <w:r>
        <w:rPr>
          <w:rFonts w:ascii="Stone Sans II ITC Std Bk" w:hAnsi="Stone Sans II ITC Std Bk"/>
          <w:b/>
          <w:spacing w:val="-38"/>
          <w:w w:val="120"/>
          <w:sz w:val="20"/>
        </w:rPr>
        <w:t> </w:t>
      </w:r>
      <w:r>
        <w:rPr>
          <w:rFonts w:ascii="Stone Sans II ITC Std Bk" w:hAnsi="Stone Sans II ITC Std Bk"/>
          <w:b/>
          <w:w w:val="120"/>
          <w:sz w:val="20"/>
        </w:rPr>
        <w:t>ministry unhelpfully in one place and then moving elsewhere without the previous difficulty</w:t>
      </w:r>
      <w:r>
        <w:rPr>
          <w:rFonts w:ascii="Stone Sans II ITC Std Bk" w:hAnsi="Stone Sans II ITC Std Bk"/>
          <w:b/>
          <w:spacing w:val="-15"/>
          <w:w w:val="120"/>
          <w:sz w:val="20"/>
        </w:rPr>
        <w:t> </w:t>
      </w:r>
      <w:r>
        <w:rPr>
          <w:rFonts w:ascii="Stone Sans II ITC Std Bk" w:hAnsi="Stone Sans II ITC Std Bk"/>
          <w:b/>
          <w:w w:val="120"/>
          <w:sz w:val="20"/>
        </w:rPr>
        <w:t>being</w:t>
      </w:r>
      <w:r>
        <w:rPr>
          <w:rFonts w:ascii="Stone Sans II ITC Std Bk" w:hAnsi="Stone Sans II ITC Std Bk"/>
          <w:b/>
          <w:spacing w:val="-14"/>
          <w:w w:val="120"/>
          <w:sz w:val="20"/>
        </w:rPr>
        <w:t> </w:t>
      </w:r>
      <w:r>
        <w:rPr>
          <w:rFonts w:ascii="Stone Sans II ITC Std Bk" w:hAnsi="Stone Sans II ITC Std Bk"/>
          <w:b/>
          <w:w w:val="120"/>
          <w:sz w:val="20"/>
        </w:rPr>
        <w:t>addressed</w:t>
      </w:r>
      <w:r>
        <w:rPr>
          <w:rFonts w:ascii="Stone Sans II ITC Std Bk" w:hAnsi="Stone Sans II ITC Std Bk"/>
          <w:b/>
          <w:spacing w:val="-14"/>
          <w:w w:val="120"/>
          <w:sz w:val="20"/>
        </w:rPr>
        <w:t> </w:t>
      </w:r>
      <w:r>
        <w:rPr>
          <w:rFonts w:ascii="Stone Sans II ITC Std Bk" w:hAnsi="Stone Sans II ITC Std Bk"/>
          <w:b/>
          <w:w w:val="120"/>
          <w:sz w:val="20"/>
        </w:rPr>
        <w:t>to</w:t>
      </w:r>
      <w:r>
        <w:rPr>
          <w:rFonts w:ascii="Stone Sans II ITC Std Bk" w:hAnsi="Stone Sans II ITC Std Bk"/>
          <w:b/>
          <w:spacing w:val="-14"/>
          <w:w w:val="120"/>
          <w:sz w:val="20"/>
        </w:rPr>
        <w:t> </w:t>
      </w:r>
      <w:r>
        <w:rPr>
          <w:rFonts w:ascii="Stone Sans II ITC Std Bk" w:hAnsi="Stone Sans II ITC Std Bk"/>
          <w:b/>
          <w:spacing w:val="2"/>
          <w:w w:val="120"/>
          <w:sz w:val="20"/>
        </w:rPr>
        <w:t>try</w:t>
      </w:r>
      <w:r>
        <w:rPr>
          <w:rFonts w:ascii="Stone Sans II ITC Std Bk" w:hAnsi="Stone Sans II ITC Std Bk"/>
          <w:b/>
          <w:spacing w:val="-14"/>
          <w:w w:val="120"/>
          <w:sz w:val="20"/>
        </w:rPr>
        <w:t> </w:t>
      </w:r>
      <w:r>
        <w:rPr>
          <w:rFonts w:ascii="Stone Sans II ITC Std Bk" w:hAnsi="Stone Sans II ITC Std Bk"/>
          <w:b/>
          <w:w w:val="120"/>
          <w:sz w:val="20"/>
        </w:rPr>
        <w:t>again</w:t>
      </w:r>
      <w:r>
        <w:rPr>
          <w:rFonts w:ascii="Stone Sans II ITC Std Bk" w:hAnsi="Stone Sans II ITC Std Bk"/>
          <w:b/>
          <w:spacing w:val="-15"/>
          <w:w w:val="120"/>
          <w:sz w:val="20"/>
        </w:rPr>
        <w:t> </w:t>
      </w:r>
      <w:r>
        <w:rPr>
          <w:rFonts w:ascii="Stone Sans II ITC Std Bk" w:hAnsi="Stone Sans II ITC Std Bk"/>
          <w:b/>
          <w:w w:val="120"/>
          <w:sz w:val="20"/>
        </w:rPr>
        <w:t>(Resolution</w:t>
      </w:r>
      <w:r>
        <w:rPr>
          <w:rFonts w:ascii="Stone Sans II ITC Std Bk" w:hAnsi="Stone Sans II ITC Std Bk"/>
          <w:b/>
          <w:spacing w:val="-14"/>
          <w:w w:val="120"/>
          <w:sz w:val="20"/>
        </w:rPr>
        <w:t> </w:t>
      </w:r>
      <w:r>
        <w:rPr>
          <w:rFonts w:ascii="Stone Sans II ITC Std Bk" w:hAnsi="Stone Sans II ITC Std Bk"/>
          <w:b/>
          <w:spacing w:val="-7"/>
          <w:w w:val="120"/>
          <w:sz w:val="20"/>
        </w:rPr>
        <w:t>17).</w:t>
      </w:r>
    </w:p>
    <w:p>
      <w:pPr>
        <w:pStyle w:val="BodyText"/>
        <w:rPr>
          <w:rFonts w:ascii="Stone Sans II ITC Std Bk"/>
          <w:b/>
          <w:sz w:val="18"/>
        </w:rPr>
      </w:pPr>
    </w:p>
    <w:p>
      <w:pPr>
        <w:pStyle w:val="ListParagraph"/>
        <w:numPr>
          <w:ilvl w:val="1"/>
          <w:numId w:val="132"/>
        </w:numPr>
        <w:tabs>
          <w:tab w:pos="1287" w:val="left" w:leader="none"/>
          <w:tab w:pos="1288" w:val="left" w:leader="none"/>
        </w:tabs>
        <w:spacing w:line="240" w:lineRule="auto" w:before="0" w:after="0"/>
        <w:ind w:left="1287" w:right="0" w:hanging="681"/>
        <w:jc w:val="left"/>
        <w:rPr>
          <w:i/>
          <w:sz w:val="20"/>
        </w:rPr>
      </w:pPr>
      <w:r>
        <w:rPr>
          <w:i/>
          <w:w w:val="110"/>
          <w:sz w:val="20"/>
        </w:rPr>
        <w:t>The place of authorised elders in local ecumenical</w:t>
      </w:r>
      <w:r>
        <w:rPr>
          <w:i/>
          <w:spacing w:val="36"/>
          <w:w w:val="110"/>
          <w:sz w:val="20"/>
        </w:rPr>
        <w:t> </w:t>
      </w:r>
      <w:r>
        <w:rPr>
          <w:i/>
          <w:w w:val="110"/>
          <w:sz w:val="20"/>
        </w:rPr>
        <w:t>partnerships</w:t>
      </w:r>
    </w:p>
    <w:p>
      <w:pPr>
        <w:pStyle w:val="BodyText"/>
        <w:spacing w:before="7"/>
        <w:rPr>
          <w:i/>
          <w:sz w:val="19"/>
        </w:rPr>
      </w:pPr>
    </w:p>
    <w:p>
      <w:pPr>
        <w:pStyle w:val="BodyText"/>
        <w:spacing w:line="235" w:lineRule="auto" w:before="1"/>
        <w:ind w:left="607" w:right="2045"/>
      </w:pPr>
      <w:r>
        <w:rPr>
          <w:w w:val="120"/>
        </w:rPr>
        <w:t>The ecumenical implications of these recommendations are significant, both for local ecumenical partnerships (LEPs) and our wider ecumenical relations. The Church of England cannot at present recognise authorised elders for LEPs in which they and</w:t>
      </w:r>
    </w:p>
    <w:p>
      <w:pPr>
        <w:pStyle w:val="BodyText"/>
        <w:spacing w:line="235" w:lineRule="auto" w:before="2"/>
        <w:ind w:left="607" w:right="2174"/>
      </w:pPr>
      <w:r>
        <w:rPr>
          <w:w w:val="120"/>
        </w:rPr>
        <w:t>we are involved. The Methodist Church does not have an objection in principle to authorising non-presbyters to preside, but its criteria are based on a strict arithmetical calculation of need </w:t>
      </w:r>
      <w:r>
        <w:rPr>
          <w:spacing w:val="-4"/>
          <w:w w:val="120"/>
        </w:rPr>
        <w:t>(see </w:t>
      </w:r>
      <w:r>
        <w:rPr>
          <w:i/>
          <w:w w:val="120"/>
        </w:rPr>
        <w:t>Constitutional Practice and Discipline of the Methodist </w:t>
      </w:r>
      <w:r>
        <w:rPr>
          <w:w w:val="120"/>
        </w:rPr>
        <w:t>Church, Volume 2, Book VI, section </w:t>
      </w:r>
      <w:r>
        <w:rPr>
          <w:spacing w:val="-8"/>
          <w:w w:val="120"/>
        </w:rPr>
        <w:t>3) </w:t>
      </w:r>
      <w:r>
        <w:rPr>
          <w:w w:val="120"/>
        </w:rPr>
        <w:t>and authorisation is only for three years. The current total is nearly </w:t>
      </w:r>
      <w:r>
        <w:rPr>
          <w:spacing w:val="-7"/>
          <w:w w:val="120"/>
        </w:rPr>
        <w:t>150 </w:t>
      </w:r>
      <w:r>
        <w:rPr>
          <w:w w:val="120"/>
        </w:rPr>
        <w:t>for the </w:t>
      </w:r>
      <w:r>
        <w:rPr>
          <w:spacing w:val="2"/>
          <w:w w:val="120"/>
        </w:rPr>
        <w:t>UK, </w:t>
      </w:r>
      <w:r>
        <w:rPr>
          <w:w w:val="120"/>
        </w:rPr>
        <w:t>including those ministers serving their probationary year before ordination. The Presbyterian Church in Wales, our major ecumenical</w:t>
      </w:r>
      <w:r>
        <w:rPr>
          <w:spacing w:val="27"/>
          <w:w w:val="120"/>
        </w:rPr>
        <w:t> </w:t>
      </w:r>
      <w:r>
        <w:rPr>
          <w:w w:val="120"/>
        </w:rPr>
        <w:t>partner</w:t>
      </w:r>
    </w:p>
    <w:p>
      <w:pPr>
        <w:pStyle w:val="BodyText"/>
        <w:spacing w:line="235" w:lineRule="auto" w:before="4"/>
        <w:ind w:left="607" w:right="2473"/>
      </w:pPr>
      <w:r>
        <w:rPr>
          <w:w w:val="120"/>
        </w:rPr>
        <w:t>in Wales, permits elders to administer the sacraments in specified situations, but only licenses them (for renewable periods of three </w:t>
      </w:r>
      <w:r>
        <w:rPr>
          <w:spacing w:val="-3"/>
          <w:w w:val="120"/>
        </w:rPr>
        <w:t>years) </w:t>
      </w:r>
      <w:r>
        <w:rPr>
          <w:w w:val="120"/>
        </w:rPr>
        <w:t>after three years’ training. In Scotland, our only LEPs involving the Scottish Episcopal Church and the Church   of Scotland are large churches that do not require authorised elders. There are</w:t>
      </w:r>
      <w:r>
        <w:rPr>
          <w:spacing w:val="35"/>
          <w:w w:val="120"/>
        </w:rPr>
        <w:t> </w:t>
      </w:r>
      <w:r>
        <w:rPr>
          <w:w w:val="120"/>
        </w:rPr>
        <w:t>no</w:t>
      </w:r>
    </w:p>
    <w:p>
      <w:pPr>
        <w:pStyle w:val="BodyText"/>
        <w:spacing w:line="235" w:lineRule="auto" w:before="3"/>
        <w:ind w:left="607" w:right="2045"/>
      </w:pPr>
      <w:r>
        <w:rPr>
          <w:w w:val="120"/>
        </w:rPr>
        <w:t>problems with Baptist/URC congregations and probably would not be for community churches either. Thus in various ways other traditions, particular the URC’s major partners, work with less flexibility over who can preside at the Sacraments. In view</w:t>
      </w:r>
    </w:p>
    <w:p>
      <w:pPr>
        <w:pStyle w:val="BodyText"/>
        <w:spacing w:line="235" w:lineRule="auto" w:before="2"/>
        <w:ind w:left="607" w:right="2357"/>
      </w:pPr>
      <w:r>
        <w:rPr>
          <w:w w:val="120"/>
        </w:rPr>
        <w:t>of the United Reformed </w:t>
      </w:r>
      <w:r>
        <w:rPr>
          <w:spacing w:val="-3"/>
          <w:w w:val="120"/>
        </w:rPr>
        <w:t>Church’s </w:t>
      </w:r>
      <w:r>
        <w:rPr>
          <w:w w:val="120"/>
        </w:rPr>
        <w:t>commitment to seek wider unity in the Church,   the committee therefore ventures to suggest another possibility of answering the same need: reviving a model of team non-stipendiary ministry, arising from the former Churches of Christ understanding of eldership. This is not a substitute for the earlier recommendations, but one that might be more ecumenically fruitful among our partners, who would probably find the use of non-stipendiary ministers more acceptable than that of authorised</w:t>
      </w:r>
      <w:r>
        <w:rPr>
          <w:spacing w:val="9"/>
          <w:w w:val="120"/>
        </w:rPr>
        <w:t> </w:t>
      </w:r>
      <w:r>
        <w:rPr>
          <w:w w:val="120"/>
        </w:rPr>
        <w:t>elders.</w:t>
      </w:r>
    </w:p>
    <w:p>
      <w:pPr>
        <w:pStyle w:val="BodyText"/>
        <w:spacing w:before="1"/>
      </w:pPr>
    </w:p>
    <w:p>
      <w:pPr>
        <w:pStyle w:val="ListParagraph"/>
        <w:numPr>
          <w:ilvl w:val="1"/>
          <w:numId w:val="132"/>
        </w:numPr>
        <w:tabs>
          <w:tab w:pos="1287" w:val="left" w:leader="none"/>
          <w:tab w:pos="1288" w:val="left" w:leader="none"/>
        </w:tabs>
        <w:spacing w:line="235" w:lineRule="auto" w:before="0" w:after="0"/>
        <w:ind w:left="607" w:right="2134" w:firstLine="0"/>
        <w:jc w:val="left"/>
        <w:rPr>
          <w:sz w:val="20"/>
        </w:rPr>
      </w:pPr>
      <w:r>
        <w:rPr>
          <w:w w:val="120"/>
          <w:sz w:val="20"/>
        </w:rPr>
        <w:t>There would be several other advantages in using once more the pattern of team non-stipendiary ministry that the Church recognised as early as </w:t>
      </w:r>
      <w:r>
        <w:rPr>
          <w:spacing w:val="-7"/>
          <w:w w:val="120"/>
          <w:sz w:val="20"/>
        </w:rPr>
        <w:t>1979 </w:t>
      </w:r>
      <w:r>
        <w:rPr>
          <w:spacing w:val="-4"/>
          <w:w w:val="120"/>
          <w:sz w:val="20"/>
        </w:rPr>
        <w:t>(see </w:t>
      </w:r>
      <w:r>
        <w:rPr>
          <w:i/>
          <w:w w:val="120"/>
          <w:sz w:val="20"/>
        </w:rPr>
        <w:t>Reports </w:t>
      </w:r>
      <w:r>
        <w:rPr>
          <w:i/>
          <w:w w:val="120"/>
          <w:sz w:val="20"/>
        </w:rPr>
        <w:t>to Assembly </w:t>
      </w:r>
      <w:r>
        <w:rPr>
          <w:spacing w:val="-9"/>
          <w:w w:val="120"/>
          <w:sz w:val="20"/>
        </w:rPr>
        <w:t>1979, </w:t>
      </w:r>
      <w:r>
        <w:rPr>
          <w:w w:val="120"/>
          <w:sz w:val="20"/>
        </w:rPr>
        <w:t>pp 46-49, section II of which still reads as freshly today as when it was</w:t>
      </w:r>
      <w:r>
        <w:rPr>
          <w:spacing w:val="1"/>
          <w:w w:val="120"/>
          <w:sz w:val="20"/>
        </w:rPr>
        <w:t> </w:t>
      </w:r>
      <w:r>
        <w:rPr>
          <w:w w:val="120"/>
          <w:sz w:val="20"/>
        </w:rPr>
        <w:t>written):</w:t>
      </w:r>
    </w:p>
    <w:p>
      <w:pPr>
        <w:pStyle w:val="BodyText"/>
        <w:spacing w:before="7"/>
        <w:rPr>
          <w:sz w:val="19"/>
        </w:rPr>
      </w:pPr>
    </w:p>
    <w:p>
      <w:pPr>
        <w:pStyle w:val="ListParagraph"/>
        <w:numPr>
          <w:ilvl w:val="0"/>
          <w:numId w:val="136"/>
        </w:numPr>
        <w:tabs>
          <w:tab w:pos="1287" w:val="left" w:leader="none"/>
          <w:tab w:pos="1288" w:val="left" w:leader="none"/>
        </w:tabs>
        <w:spacing w:line="242" w:lineRule="exact" w:before="1" w:after="0"/>
        <w:ind w:left="1287" w:right="0" w:hanging="681"/>
        <w:jc w:val="left"/>
        <w:rPr>
          <w:sz w:val="20"/>
        </w:rPr>
      </w:pPr>
      <w:r>
        <w:rPr>
          <w:w w:val="120"/>
          <w:sz w:val="20"/>
        </w:rPr>
        <w:t>Creativity</w:t>
      </w:r>
    </w:p>
    <w:p>
      <w:pPr>
        <w:pStyle w:val="BodyText"/>
        <w:spacing w:line="235" w:lineRule="auto" w:before="1"/>
        <w:ind w:left="1287" w:right="2205"/>
      </w:pPr>
      <w:r>
        <w:rPr>
          <w:w w:val="120"/>
        </w:rPr>
        <w:t>Increasingly our pastorates for stipendiary ministers include several congregations; or several pastorates are combined in clusters. This means that those ministers are more stretched so that they have enough to do simply maintaining what exists, rather than stepping back and reflecting on what new initiatives might be taken. Much more of the life of the church is unhelpfully compressed into Sunday mornings than in earlier years, though larger churches offer midweek opportunities. The more activities that are initiated, </w:t>
      </w:r>
      <w:r>
        <w:rPr>
          <w:spacing w:val="-3"/>
          <w:w w:val="120"/>
        </w:rPr>
        <w:t>however, </w:t>
      </w:r>
      <w:r>
        <w:rPr>
          <w:w w:val="120"/>
        </w:rPr>
        <w:t>the more a team is required to lead them. Although </w:t>
      </w:r>
      <w:r>
        <w:rPr>
          <w:spacing w:val="-3"/>
          <w:w w:val="120"/>
        </w:rPr>
        <w:t>EM1 </w:t>
      </w:r>
      <w:r>
        <w:rPr>
          <w:w w:val="120"/>
        </w:rPr>
        <w:t>now uses a teamwork approach, many ministers are still not experienced at working in</w:t>
      </w:r>
      <w:r>
        <w:rPr>
          <w:spacing w:val="21"/>
          <w:w w:val="120"/>
        </w:rPr>
        <w:t> </w:t>
      </w:r>
      <w:r>
        <w:rPr>
          <w:w w:val="120"/>
        </w:rPr>
        <w:t>teams.</w:t>
      </w:r>
    </w:p>
    <w:p>
      <w:pPr>
        <w:pStyle w:val="BodyText"/>
        <w:spacing w:before="3"/>
        <w:ind w:left="1287"/>
      </w:pPr>
      <w:r>
        <w:rPr>
          <w:w w:val="120"/>
        </w:rPr>
        <w:t>Teamwork is harder than doing everything oneself, because it means telling</w:t>
      </w:r>
    </w:p>
    <w:p>
      <w:pPr>
        <w:spacing w:after="0"/>
        <w:sectPr>
          <w:headerReference w:type="even" r:id="rId310"/>
          <w:footerReference w:type="even" r:id="rId311"/>
          <w:footerReference w:type="default" r:id="rId312"/>
          <w:pgSz w:w="11910" w:h="16840"/>
          <w:pgMar w:header="0" w:footer="647" w:top="0" w:bottom="840" w:left="640" w:right="0"/>
          <w:pgNumType w:start="106"/>
        </w:sectPr>
      </w:pPr>
    </w:p>
    <w:p>
      <w:pPr>
        <w:pStyle w:val="BodyText"/>
      </w:pPr>
      <w:r>
        <w:rPr/>
        <w:drawing>
          <wp:anchor distT="0" distB="0" distL="0" distR="0" allowOverlap="1" layoutInCell="1" locked="0" behindDoc="0" simplePos="0" relativeHeight="251940864">
            <wp:simplePos x="0" y="0"/>
            <wp:positionH relativeFrom="page">
              <wp:posOffset>6974928</wp:posOffset>
            </wp:positionH>
            <wp:positionV relativeFrom="page">
              <wp:posOffset>0</wp:posOffset>
            </wp:positionV>
            <wp:extent cx="585063" cy="10692003"/>
            <wp:effectExtent l="0" t="0" r="0" b="0"/>
            <wp:wrapNone/>
            <wp:docPr id="197" name="image54.png"/>
            <wp:cNvGraphicFramePr>
              <a:graphicFrameLocks noChangeAspect="1"/>
            </wp:cNvGraphicFramePr>
            <a:graphic>
              <a:graphicData uri="http://schemas.openxmlformats.org/drawingml/2006/picture">
                <pic:pic>
                  <pic:nvPicPr>
                    <pic:cNvPr id="198" name="image54.png"/>
                    <pic:cNvPicPr/>
                  </pic:nvPicPr>
                  <pic:blipFill>
                    <a:blip r:embed="rId169" cstate="print"/>
                    <a:stretch>
                      <a:fillRect/>
                    </a:stretch>
                  </pic:blipFill>
                  <pic:spPr>
                    <a:xfrm>
                      <a:off x="0" y="0"/>
                      <a:ext cx="585063" cy="10692003"/>
                    </a:xfrm>
                    <a:prstGeom prst="rect">
                      <a:avLst/>
                    </a:prstGeom>
                  </pic:spPr>
                </pic:pic>
              </a:graphicData>
            </a:graphic>
          </wp:anchor>
        </w:drawing>
      </w:r>
    </w:p>
    <w:p>
      <w:pPr>
        <w:pStyle w:val="BodyText"/>
        <w:spacing w:before="7"/>
        <w:rPr>
          <w:sz w:val="21"/>
        </w:rPr>
      </w:pPr>
    </w:p>
    <w:p>
      <w:pPr>
        <w:spacing w:before="106"/>
        <w:ind w:left="0" w:right="1245" w:firstLine="0"/>
        <w:jc w:val="right"/>
        <w:rPr>
          <w:sz w:val="26"/>
        </w:rPr>
      </w:pPr>
      <w:r>
        <w:rPr/>
        <w:pict>
          <v:shape style="position:absolute;margin-left:554.141174pt;margin-top:22.593945pt;width:25.9pt;height:483.55pt;mso-position-horizontal-relative:page;mso-position-vertical-relative:paragraph;z-index:251941888" type="#_x0000_t202" filled="false" stroked="false">
            <v:textbox inset="0,0,0,0" style="layout-flow:vertical">
              <w:txbxContent>
                <w:p>
                  <w:pPr>
                    <w:spacing w:before="27"/>
                    <w:ind w:left="20" w:right="0" w:firstLine="0"/>
                    <w:jc w:val="left"/>
                    <w:rPr>
                      <w:sz w:val="39"/>
                    </w:rPr>
                  </w:pPr>
                  <w:r>
                    <w:rPr>
                      <w:color w:val="FFFFFF"/>
                      <w:spacing w:val="6"/>
                      <w:w w:val="120"/>
                      <w:sz w:val="39"/>
                    </w:rPr>
                    <w:t>Faith </w:t>
                  </w:r>
                  <w:r>
                    <w:rPr>
                      <w:color w:val="FFFFFF"/>
                      <w:spacing w:val="7"/>
                      <w:w w:val="120"/>
                      <w:sz w:val="39"/>
                    </w:rPr>
                    <w:t>and order </w:t>
                  </w:r>
                  <w:r>
                    <w:rPr>
                      <w:color w:val="FFFFFF"/>
                      <w:w w:val="120"/>
                      <w:sz w:val="39"/>
                    </w:rPr>
                    <w:t>– </w:t>
                  </w:r>
                  <w:r>
                    <w:rPr>
                      <w:spacing w:val="10"/>
                      <w:w w:val="120"/>
                      <w:sz w:val="39"/>
                    </w:rPr>
                    <w:t>Authorised </w:t>
                  </w:r>
                  <w:r>
                    <w:rPr>
                      <w:spacing w:val="9"/>
                      <w:w w:val="120"/>
                      <w:sz w:val="39"/>
                    </w:rPr>
                    <w:t>elders </w:t>
                  </w:r>
                  <w:r>
                    <w:rPr>
                      <w:color w:val="FFFFFF"/>
                      <w:w w:val="120"/>
                      <w:sz w:val="39"/>
                    </w:rPr>
                    <w:t>–</w:t>
                  </w:r>
                  <w:r>
                    <w:rPr>
                      <w:color w:val="FFFFFF"/>
                      <w:spacing w:val="56"/>
                      <w:w w:val="120"/>
                      <w:sz w:val="39"/>
                    </w:rPr>
                    <w:t> </w:t>
                  </w:r>
                  <w:r>
                    <w:rPr>
                      <w:spacing w:val="11"/>
                      <w:w w:val="120"/>
                      <w:sz w:val="39"/>
                    </w:rPr>
                    <w:t>Appendix</w:t>
                  </w:r>
                </w:p>
              </w:txbxContent>
            </v:textbox>
            <w10:wrap type="none"/>
          </v:shape>
        </w:pict>
      </w:r>
      <w:r>
        <w:rPr>
          <w:color w:val="7EAABF"/>
          <w:w w:val="115"/>
          <w:sz w:val="26"/>
        </w:rPr>
        <w:t>Faith and order</w:t>
      </w:r>
    </w:p>
    <w:p>
      <w:pPr>
        <w:pStyle w:val="BodyText"/>
        <w:spacing w:line="235" w:lineRule="auto" w:before="222"/>
        <w:ind w:left="2024" w:right="1360"/>
      </w:pPr>
      <w:r>
        <w:rPr>
          <w:w w:val="120"/>
        </w:rPr>
        <w:t>others what one is planning or doing in good time, as well as learning to trust and sharing ministerial control. This may be a sign that busy people are trying to do more than they can manage, at the expense of consultation. Some members of congregations may also be unwilling to let go of reliance on ‘their’ Minister of Word and Sacraments as the one to solve all</w:t>
      </w:r>
      <w:r>
        <w:rPr>
          <w:spacing w:val="16"/>
          <w:w w:val="120"/>
        </w:rPr>
        <w:t> </w:t>
      </w:r>
      <w:r>
        <w:rPr>
          <w:w w:val="120"/>
        </w:rPr>
        <w:t>problems.</w:t>
      </w:r>
    </w:p>
    <w:p>
      <w:pPr>
        <w:pStyle w:val="BodyText"/>
        <w:spacing w:before="7"/>
        <w:rPr>
          <w:sz w:val="19"/>
        </w:rPr>
      </w:pPr>
    </w:p>
    <w:p>
      <w:pPr>
        <w:pStyle w:val="ListParagraph"/>
        <w:numPr>
          <w:ilvl w:val="0"/>
          <w:numId w:val="136"/>
        </w:numPr>
        <w:tabs>
          <w:tab w:pos="2024" w:val="left" w:leader="none"/>
          <w:tab w:pos="2025" w:val="left" w:leader="none"/>
        </w:tabs>
        <w:spacing w:line="242" w:lineRule="exact" w:before="1" w:after="0"/>
        <w:ind w:left="2024" w:right="0" w:hanging="681"/>
        <w:jc w:val="left"/>
        <w:rPr>
          <w:sz w:val="20"/>
        </w:rPr>
      </w:pPr>
      <w:r>
        <w:rPr>
          <w:w w:val="120"/>
          <w:sz w:val="20"/>
        </w:rPr>
        <w:t>Flexibility</w:t>
      </w:r>
    </w:p>
    <w:p>
      <w:pPr>
        <w:pStyle w:val="BodyText"/>
        <w:spacing w:line="235" w:lineRule="auto" w:before="1"/>
        <w:ind w:left="2024" w:right="1417"/>
      </w:pPr>
      <w:r>
        <w:rPr>
          <w:w w:val="120"/>
        </w:rPr>
        <w:t>Such a pattern of team leadership allows for flexibility, with the </w:t>
      </w:r>
      <w:r>
        <w:rPr>
          <w:spacing w:val="2"/>
          <w:w w:val="120"/>
        </w:rPr>
        <w:t>gifts </w:t>
      </w:r>
      <w:r>
        <w:rPr>
          <w:w w:val="120"/>
        </w:rPr>
        <w:t>of various people being used in leadership as the local situation requires, instead of expecting one person to be good at everything. The responsibilities of team non-stipendiary ministers could (depending upon their gifts) involve some administration, the conduct of worship (including the sacraments), and the  time to reflect upon and assist in the leadership of new methods of evangelism, working as a team with the stipendiary ministers for the pastorates. Rather  than falling into the trap of ‘steady as she goes’ and spreading ministry too thinly between different congregations – as may also be the case for those</w:t>
      </w:r>
      <w:r>
        <w:rPr>
          <w:spacing w:val="17"/>
          <w:w w:val="120"/>
        </w:rPr>
        <w:t> </w:t>
      </w:r>
      <w:r>
        <w:rPr>
          <w:w w:val="120"/>
        </w:rPr>
        <w:t>lay</w:t>
      </w:r>
    </w:p>
    <w:p>
      <w:pPr>
        <w:pStyle w:val="BodyText"/>
        <w:spacing w:line="235" w:lineRule="auto" w:before="7"/>
        <w:ind w:left="2024" w:right="1360"/>
      </w:pPr>
      <w:r>
        <w:rPr>
          <w:w w:val="120"/>
        </w:rPr>
        <w:t>preachers, who rarely offer or receive ministry within their own congregations – a local gift-oriented leadership team has the potential for growth.</w:t>
      </w:r>
    </w:p>
    <w:p>
      <w:pPr>
        <w:pStyle w:val="BodyText"/>
        <w:spacing w:before="6"/>
        <w:rPr>
          <w:sz w:val="19"/>
        </w:rPr>
      </w:pPr>
    </w:p>
    <w:p>
      <w:pPr>
        <w:pStyle w:val="ListParagraph"/>
        <w:numPr>
          <w:ilvl w:val="0"/>
          <w:numId w:val="136"/>
        </w:numPr>
        <w:tabs>
          <w:tab w:pos="2024" w:val="left" w:leader="none"/>
          <w:tab w:pos="2025" w:val="left" w:leader="none"/>
        </w:tabs>
        <w:spacing w:line="242" w:lineRule="exact" w:before="0" w:after="0"/>
        <w:ind w:left="2024" w:right="0" w:hanging="681"/>
        <w:jc w:val="left"/>
        <w:rPr>
          <w:sz w:val="20"/>
        </w:rPr>
      </w:pPr>
      <w:r>
        <w:rPr>
          <w:w w:val="125"/>
          <w:sz w:val="20"/>
        </w:rPr>
        <w:t>Discipline</w:t>
      </w:r>
    </w:p>
    <w:p>
      <w:pPr>
        <w:pStyle w:val="BodyText"/>
        <w:spacing w:line="235" w:lineRule="auto" w:before="1"/>
        <w:ind w:left="2024" w:right="1271"/>
      </w:pPr>
      <w:r>
        <w:rPr>
          <w:w w:val="120"/>
        </w:rPr>
        <w:t>A key element of this discussion (particularly in the minds of Synod Moderators) is the question of the discipline under which elders serve. At present, as discussion of safeguarding has demonstrated, elders count as ‘volunteers’; and  as such there is no obvious disciplinary process for them, unless the Church devises one. A code of conduct was approved by Assembly </w:t>
      </w:r>
      <w:r>
        <w:rPr>
          <w:spacing w:val="-5"/>
          <w:w w:val="120"/>
        </w:rPr>
        <w:t>2010, </w:t>
      </w:r>
      <w:r>
        <w:rPr>
          <w:w w:val="120"/>
        </w:rPr>
        <w:t>but it has received little publicity, and does not deal with the questions of accountability, term of office or circumstances in which a period of office can be terminated early. Non-stipendiary ministers, on the other hand, are subject to the ministerial disciplinary and incapacity process, because of their</w:t>
      </w:r>
      <w:r>
        <w:rPr>
          <w:spacing w:val="16"/>
          <w:w w:val="120"/>
        </w:rPr>
        <w:t> </w:t>
      </w:r>
      <w:r>
        <w:rPr>
          <w:w w:val="120"/>
        </w:rPr>
        <w:t>office.</w:t>
      </w:r>
    </w:p>
    <w:p>
      <w:pPr>
        <w:pStyle w:val="BodyText"/>
        <w:spacing w:before="3"/>
      </w:pPr>
    </w:p>
    <w:p>
      <w:pPr>
        <w:pStyle w:val="ListParagraph"/>
        <w:numPr>
          <w:ilvl w:val="1"/>
          <w:numId w:val="132"/>
        </w:numPr>
        <w:tabs>
          <w:tab w:pos="2025" w:val="left" w:leader="none"/>
        </w:tabs>
        <w:spacing w:line="235" w:lineRule="auto" w:before="0" w:after="0"/>
        <w:ind w:left="1344" w:right="1345" w:firstLine="0"/>
        <w:jc w:val="both"/>
        <w:rPr>
          <w:sz w:val="20"/>
        </w:rPr>
      </w:pPr>
      <w:r>
        <w:rPr>
          <w:w w:val="120"/>
          <w:sz w:val="20"/>
        </w:rPr>
        <w:t>This</w:t>
      </w:r>
      <w:r>
        <w:rPr>
          <w:spacing w:val="-4"/>
          <w:w w:val="120"/>
          <w:sz w:val="20"/>
        </w:rPr>
        <w:t> </w:t>
      </w:r>
      <w:r>
        <w:rPr>
          <w:w w:val="120"/>
          <w:sz w:val="20"/>
        </w:rPr>
        <w:t>solution</w:t>
      </w:r>
      <w:r>
        <w:rPr>
          <w:spacing w:val="-3"/>
          <w:w w:val="120"/>
          <w:sz w:val="20"/>
        </w:rPr>
        <w:t> </w:t>
      </w:r>
      <w:r>
        <w:rPr>
          <w:w w:val="120"/>
          <w:sz w:val="20"/>
        </w:rPr>
        <w:t>would</w:t>
      </w:r>
      <w:r>
        <w:rPr>
          <w:spacing w:val="-4"/>
          <w:w w:val="120"/>
          <w:sz w:val="20"/>
        </w:rPr>
        <w:t> </w:t>
      </w:r>
      <w:r>
        <w:rPr>
          <w:w w:val="120"/>
          <w:sz w:val="20"/>
        </w:rPr>
        <w:t>require</w:t>
      </w:r>
      <w:r>
        <w:rPr>
          <w:spacing w:val="-3"/>
          <w:w w:val="120"/>
          <w:sz w:val="20"/>
        </w:rPr>
        <w:t> </w:t>
      </w:r>
      <w:r>
        <w:rPr>
          <w:w w:val="120"/>
          <w:sz w:val="20"/>
        </w:rPr>
        <w:t>no</w:t>
      </w:r>
      <w:r>
        <w:rPr>
          <w:spacing w:val="-4"/>
          <w:w w:val="120"/>
          <w:sz w:val="20"/>
        </w:rPr>
        <w:t> </w:t>
      </w:r>
      <w:r>
        <w:rPr>
          <w:w w:val="120"/>
          <w:sz w:val="20"/>
        </w:rPr>
        <w:t>amendments</w:t>
      </w:r>
      <w:r>
        <w:rPr>
          <w:spacing w:val="-3"/>
          <w:w w:val="120"/>
          <w:sz w:val="20"/>
        </w:rPr>
        <w:t> </w:t>
      </w:r>
      <w:r>
        <w:rPr>
          <w:w w:val="120"/>
          <w:sz w:val="20"/>
        </w:rPr>
        <w:t>to</w:t>
      </w:r>
      <w:r>
        <w:rPr>
          <w:spacing w:val="-4"/>
          <w:w w:val="120"/>
          <w:sz w:val="20"/>
        </w:rPr>
        <w:t> </w:t>
      </w:r>
      <w:r>
        <w:rPr>
          <w:w w:val="120"/>
          <w:sz w:val="20"/>
        </w:rPr>
        <w:t>the</w:t>
      </w:r>
      <w:r>
        <w:rPr>
          <w:spacing w:val="-3"/>
          <w:w w:val="120"/>
          <w:sz w:val="20"/>
        </w:rPr>
        <w:t> </w:t>
      </w:r>
      <w:r>
        <w:rPr>
          <w:i/>
          <w:w w:val="120"/>
          <w:sz w:val="20"/>
        </w:rPr>
        <w:t>Basis</w:t>
      </w:r>
      <w:r>
        <w:rPr>
          <w:i/>
          <w:spacing w:val="-6"/>
          <w:w w:val="120"/>
          <w:sz w:val="20"/>
        </w:rPr>
        <w:t> </w:t>
      </w:r>
      <w:r>
        <w:rPr>
          <w:i/>
          <w:w w:val="120"/>
          <w:sz w:val="20"/>
        </w:rPr>
        <w:t>of</w:t>
      </w:r>
      <w:r>
        <w:rPr>
          <w:i/>
          <w:spacing w:val="-7"/>
          <w:w w:val="120"/>
          <w:sz w:val="20"/>
        </w:rPr>
        <w:t> </w:t>
      </w:r>
      <w:r>
        <w:rPr>
          <w:i/>
          <w:w w:val="120"/>
          <w:sz w:val="20"/>
        </w:rPr>
        <w:t>Union</w:t>
      </w:r>
      <w:r>
        <w:rPr>
          <w:i/>
          <w:spacing w:val="-3"/>
          <w:w w:val="120"/>
          <w:sz w:val="20"/>
        </w:rPr>
        <w:t> </w:t>
      </w:r>
      <w:r>
        <w:rPr>
          <w:spacing w:val="-3"/>
          <w:w w:val="120"/>
          <w:sz w:val="20"/>
        </w:rPr>
        <w:t>(other</w:t>
      </w:r>
      <w:r>
        <w:rPr>
          <w:spacing w:val="-4"/>
          <w:w w:val="120"/>
          <w:sz w:val="20"/>
        </w:rPr>
        <w:t> </w:t>
      </w:r>
      <w:r>
        <w:rPr>
          <w:w w:val="120"/>
          <w:sz w:val="20"/>
        </w:rPr>
        <w:t>than</w:t>
      </w:r>
      <w:r>
        <w:rPr>
          <w:spacing w:val="-3"/>
          <w:w w:val="120"/>
          <w:sz w:val="20"/>
        </w:rPr>
        <w:t> </w:t>
      </w:r>
      <w:r>
        <w:rPr>
          <w:w w:val="120"/>
          <w:sz w:val="20"/>
        </w:rPr>
        <w:t>the updating of the guidance on Presidency referred to in Resolution </w:t>
      </w:r>
      <w:r>
        <w:rPr>
          <w:spacing w:val="-9"/>
          <w:w w:val="120"/>
          <w:sz w:val="20"/>
        </w:rPr>
        <w:t>14(a), </w:t>
      </w:r>
      <w:r>
        <w:rPr>
          <w:w w:val="120"/>
          <w:sz w:val="20"/>
        </w:rPr>
        <w:t>which is not an amendment to the</w:t>
      </w:r>
      <w:r>
        <w:rPr>
          <w:spacing w:val="5"/>
          <w:w w:val="120"/>
          <w:sz w:val="20"/>
        </w:rPr>
        <w:t> </w:t>
      </w:r>
      <w:r>
        <w:rPr>
          <w:i/>
          <w:spacing w:val="-5"/>
          <w:w w:val="120"/>
          <w:sz w:val="20"/>
        </w:rPr>
        <w:t>Basis</w:t>
      </w:r>
      <w:r>
        <w:rPr>
          <w:spacing w:val="-5"/>
          <w:w w:val="120"/>
          <w:sz w:val="20"/>
        </w:rPr>
        <w:t>).</w:t>
      </w:r>
    </w:p>
    <w:p>
      <w:pPr>
        <w:pStyle w:val="BodyText"/>
        <w:spacing w:before="10"/>
        <w:rPr>
          <w:sz w:val="19"/>
        </w:rPr>
      </w:pPr>
    </w:p>
    <w:p>
      <w:pPr>
        <w:pStyle w:val="ListParagraph"/>
        <w:numPr>
          <w:ilvl w:val="1"/>
          <w:numId w:val="132"/>
        </w:numPr>
        <w:tabs>
          <w:tab w:pos="2024" w:val="left" w:leader="none"/>
          <w:tab w:pos="2025" w:val="left" w:leader="none"/>
        </w:tabs>
        <w:spacing w:line="235" w:lineRule="auto" w:before="0" w:after="0"/>
        <w:ind w:left="1344" w:right="1286" w:firstLine="0"/>
        <w:jc w:val="left"/>
        <w:rPr>
          <w:sz w:val="20"/>
        </w:rPr>
      </w:pPr>
      <w:r>
        <w:rPr>
          <w:w w:val="120"/>
          <w:sz w:val="20"/>
        </w:rPr>
        <w:t>The United Reformed Church rightly values its eldership. It has been suggested that instead of meeting the need for presidency at the sacraments in our churches by using the ministry of elders, the creation of more ministers might appear to devalue the elders we have. This is illogical; the need for elders’ ministry remains. We usually rejoice if an elder feels the call to stipendiary ministry: why should this be different? The</w:t>
      </w:r>
      <w:r>
        <w:rPr>
          <w:spacing w:val="5"/>
          <w:w w:val="120"/>
          <w:sz w:val="20"/>
        </w:rPr>
        <w:t> </w:t>
      </w:r>
      <w:r>
        <w:rPr>
          <w:w w:val="120"/>
          <w:sz w:val="20"/>
        </w:rPr>
        <w:t>task</w:t>
      </w:r>
    </w:p>
    <w:p>
      <w:pPr>
        <w:pStyle w:val="BodyText"/>
        <w:spacing w:line="235" w:lineRule="auto" w:before="4"/>
        <w:ind w:left="1344" w:right="1217"/>
      </w:pPr>
      <w:r>
        <w:rPr>
          <w:w w:val="120"/>
        </w:rPr>
        <w:t>of ‘giving an account of the faith that is in us’ is one for all Christians – church members and elders – not simply ministers. Where that is done most effectively, churches grow.</w:t>
      </w:r>
    </w:p>
    <w:p>
      <w:pPr>
        <w:pStyle w:val="BodyText"/>
        <w:spacing w:before="9"/>
        <w:rPr>
          <w:sz w:val="19"/>
        </w:rPr>
      </w:pPr>
    </w:p>
    <w:p>
      <w:pPr>
        <w:pStyle w:val="ListParagraph"/>
        <w:numPr>
          <w:ilvl w:val="1"/>
          <w:numId w:val="132"/>
        </w:numPr>
        <w:tabs>
          <w:tab w:pos="2024" w:val="left" w:leader="none"/>
          <w:tab w:pos="2025" w:val="left" w:leader="none"/>
        </w:tabs>
        <w:spacing w:line="220" w:lineRule="auto" w:before="0" w:after="0"/>
        <w:ind w:left="1344" w:right="1281" w:firstLine="0"/>
        <w:jc w:val="left"/>
        <w:rPr>
          <w:sz w:val="20"/>
        </w:rPr>
      </w:pPr>
      <w:r>
        <w:rPr>
          <w:spacing w:val="-4"/>
          <w:w w:val="115"/>
          <w:sz w:val="20"/>
        </w:rPr>
        <w:t>Taking </w:t>
      </w:r>
      <w:r>
        <w:rPr>
          <w:w w:val="115"/>
          <w:sz w:val="20"/>
        </w:rPr>
        <w:t>all this into </w:t>
      </w:r>
      <w:r>
        <w:rPr>
          <w:spacing w:val="-3"/>
          <w:w w:val="115"/>
          <w:sz w:val="20"/>
        </w:rPr>
        <w:t>account</w:t>
      </w:r>
      <w:r>
        <w:rPr>
          <w:rFonts w:ascii="Stone Sans II ITC Std Bk"/>
          <w:b/>
          <w:spacing w:val="-3"/>
          <w:w w:val="115"/>
          <w:sz w:val="20"/>
        </w:rPr>
        <w:t>, </w:t>
      </w:r>
      <w:r>
        <w:rPr>
          <w:w w:val="115"/>
          <w:sz w:val="20"/>
        </w:rPr>
        <w:t>the committee recommends </w:t>
      </w:r>
      <w:r>
        <w:rPr>
          <w:rFonts w:ascii="Stone Sans II ITC Std Bk"/>
          <w:b/>
          <w:w w:val="115"/>
          <w:sz w:val="20"/>
        </w:rPr>
        <w:t>that further attention be given by the ministries and education and learning committees to the possibility</w:t>
      </w:r>
      <w:r>
        <w:rPr>
          <w:rFonts w:ascii="Stone Sans II ITC Std Bk"/>
          <w:b/>
          <w:spacing w:val="-35"/>
          <w:w w:val="115"/>
          <w:sz w:val="20"/>
        </w:rPr>
        <w:t> </w:t>
      </w:r>
      <w:r>
        <w:rPr>
          <w:rFonts w:ascii="Stone Sans II ITC Std Bk"/>
          <w:b/>
          <w:w w:val="115"/>
          <w:sz w:val="20"/>
        </w:rPr>
        <w:t>of</w:t>
      </w:r>
      <w:r>
        <w:rPr>
          <w:rFonts w:ascii="Stone Sans II ITC Std Bk"/>
          <w:b/>
          <w:spacing w:val="-34"/>
          <w:w w:val="115"/>
          <w:sz w:val="20"/>
        </w:rPr>
        <w:t> </w:t>
      </w:r>
      <w:r>
        <w:rPr>
          <w:rFonts w:ascii="Stone Sans II ITC Std Bk"/>
          <w:b/>
          <w:w w:val="115"/>
          <w:sz w:val="20"/>
        </w:rPr>
        <w:t>expanding</w:t>
      </w:r>
      <w:r>
        <w:rPr>
          <w:rFonts w:ascii="Stone Sans II ITC Std Bk"/>
          <w:b/>
          <w:spacing w:val="-34"/>
          <w:w w:val="115"/>
          <w:sz w:val="20"/>
        </w:rPr>
        <w:t> </w:t>
      </w:r>
      <w:r>
        <w:rPr>
          <w:rFonts w:ascii="Stone Sans II ITC Std Bk"/>
          <w:b/>
          <w:w w:val="115"/>
          <w:sz w:val="20"/>
        </w:rPr>
        <w:t>the</w:t>
      </w:r>
      <w:r>
        <w:rPr>
          <w:rFonts w:ascii="Stone Sans II ITC Std Bk"/>
          <w:b/>
          <w:spacing w:val="-35"/>
          <w:w w:val="115"/>
          <w:sz w:val="20"/>
        </w:rPr>
        <w:t> </w:t>
      </w:r>
      <w:r>
        <w:rPr>
          <w:rFonts w:ascii="Stone Sans II ITC Std Bk"/>
          <w:b/>
          <w:w w:val="115"/>
          <w:sz w:val="20"/>
        </w:rPr>
        <w:t>concept</w:t>
      </w:r>
      <w:r>
        <w:rPr>
          <w:rFonts w:ascii="Stone Sans II ITC Std Bk"/>
          <w:b/>
          <w:spacing w:val="-34"/>
          <w:w w:val="115"/>
          <w:sz w:val="20"/>
        </w:rPr>
        <w:t> </w:t>
      </w:r>
      <w:r>
        <w:rPr>
          <w:rFonts w:ascii="Stone Sans II ITC Std Bk"/>
          <w:b/>
          <w:w w:val="115"/>
          <w:sz w:val="20"/>
        </w:rPr>
        <w:t>of</w:t>
      </w:r>
      <w:r>
        <w:rPr>
          <w:rFonts w:ascii="Stone Sans II ITC Std Bk"/>
          <w:b/>
          <w:spacing w:val="-34"/>
          <w:w w:val="115"/>
          <w:sz w:val="20"/>
        </w:rPr>
        <w:t> </w:t>
      </w:r>
      <w:r>
        <w:rPr>
          <w:rFonts w:ascii="Stone Sans II ITC Std Bk"/>
          <w:b/>
          <w:w w:val="115"/>
          <w:sz w:val="20"/>
        </w:rPr>
        <w:t>non-stipendiary</w:t>
      </w:r>
      <w:r>
        <w:rPr>
          <w:rFonts w:ascii="Stone Sans II ITC Std Bk"/>
          <w:b/>
          <w:spacing w:val="-35"/>
          <w:w w:val="115"/>
          <w:sz w:val="20"/>
        </w:rPr>
        <w:t> </w:t>
      </w:r>
      <w:r>
        <w:rPr>
          <w:rFonts w:ascii="Stone Sans II ITC Std Bk"/>
          <w:b/>
          <w:w w:val="115"/>
          <w:sz w:val="20"/>
        </w:rPr>
        <w:t>ministry</w:t>
      </w:r>
      <w:r>
        <w:rPr>
          <w:rFonts w:ascii="Stone Sans II ITC Std Bk"/>
          <w:b/>
          <w:spacing w:val="-34"/>
          <w:w w:val="115"/>
          <w:sz w:val="20"/>
        </w:rPr>
        <w:t> </w:t>
      </w:r>
      <w:r>
        <w:rPr>
          <w:rFonts w:ascii="Stone Sans II ITC Std Bk"/>
          <w:b/>
          <w:w w:val="115"/>
          <w:sz w:val="20"/>
        </w:rPr>
        <w:t>to</w:t>
      </w:r>
      <w:r>
        <w:rPr>
          <w:rFonts w:ascii="Stone Sans II ITC Std Bk"/>
          <w:b/>
          <w:spacing w:val="-34"/>
          <w:w w:val="115"/>
          <w:sz w:val="20"/>
        </w:rPr>
        <w:t> </w:t>
      </w:r>
      <w:r>
        <w:rPr>
          <w:rFonts w:ascii="Stone Sans II ITC Std Bk"/>
          <w:b/>
          <w:w w:val="115"/>
          <w:sz w:val="20"/>
        </w:rPr>
        <w:t>include</w:t>
      </w:r>
      <w:r>
        <w:rPr>
          <w:rFonts w:ascii="Stone Sans II ITC Std Bk"/>
          <w:b/>
          <w:spacing w:val="-35"/>
          <w:w w:val="115"/>
          <w:sz w:val="20"/>
        </w:rPr>
        <w:t> </w:t>
      </w:r>
      <w:r>
        <w:rPr>
          <w:rFonts w:ascii="Stone Sans II ITC Std Bk"/>
          <w:b/>
          <w:w w:val="115"/>
          <w:sz w:val="20"/>
        </w:rPr>
        <w:t>once more</w:t>
      </w:r>
      <w:r>
        <w:rPr>
          <w:rFonts w:ascii="Stone Sans II ITC Std Bk"/>
          <w:b/>
          <w:spacing w:val="-31"/>
          <w:w w:val="115"/>
          <w:sz w:val="20"/>
        </w:rPr>
        <w:t> </w:t>
      </w:r>
      <w:r>
        <w:rPr>
          <w:rFonts w:ascii="Stone Sans II ITC Std Bk"/>
          <w:b/>
          <w:w w:val="115"/>
          <w:sz w:val="20"/>
        </w:rPr>
        <w:t>the</w:t>
      </w:r>
      <w:r>
        <w:rPr>
          <w:rFonts w:ascii="Stone Sans II ITC Std Bk"/>
          <w:b/>
          <w:spacing w:val="-30"/>
          <w:w w:val="115"/>
          <w:sz w:val="20"/>
        </w:rPr>
        <w:t> </w:t>
      </w:r>
      <w:r>
        <w:rPr>
          <w:rFonts w:ascii="Stone Sans II ITC Std Bk"/>
          <w:b/>
          <w:w w:val="115"/>
          <w:sz w:val="20"/>
        </w:rPr>
        <w:t>original</w:t>
      </w:r>
      <w:r>
        <w:rPr>
          <w:rFonts w:ascii="Stone Sans II ITC Std Bk"/>
          <w:b/>
          <w:spacing w:val="-31"/>
          <w:w w:val="115"/>
          <w:sz w:val="20"/>
        </w:rPr>
        <w:t> </w:t>
      </w:r>
      <w:r>
        <w:rPr>
          <w:rFonts w:ascii="Stone Sans II ITC Std Bk"/>
          <w:b/>
          <w:w w:val="115"/>
          <w:sz w:val="20"/>
        </w:rPr>
        <w:t>pattern</w:t>
      </w:r>
      <w:r>
        <w:rPr>
          <w:rFonts w:ascii="Stone Sans II ITC Std Bk"/>
          <w:b/>
          <w:spacing w:val="-30"/>
          <w:w w:val="115"/>
          <w:sz w:val="20"/>
        </w:rPr>
        <w:t> </w:t>
      </w:r>
      <w:r>
        <w:rPr>
          <w:rFonts w:ascii="Stone Sans II ITC Std Bk"/>
          <w:b/>
          <w:w w:val="115"/>
          <w:sz w:val="20"/>
        </w:rPr>
        <w:t>of</w:t>
      </w:r>
      <w:r>
        <w:rPr>
          <w:rFonts w:ascii="Stone Sans II ITC Std Bk"/>
          <w:b/>
          <w:spacing w:val="-30"/>
          <w:w w:val="115"/>
          <w:sz w:val="20"/>
        </w:rPr>
        <w:t> </w:t>
      </w:r>
      <w:r>
        <w:rPr>
          <w:rFonts w:ascii="Stone Sans II ITC Std Bk"/>
          <w:b/>
          <w:w w:val="115"/>
          <w:sz w:val="20"/>
        </w:rPr>
        <w:t>team</w:t>
      </w:r>
      <w:r>
        <w:rPr>
          <w:rFonts w:ascii="Stone Sans II ITC Std Bk"/>
          <w:b/>
          <w:spacing w:val="-31"/>
          <w:w w:val="115"/>
          <w:sz w:val="20"/>
        </w:rPr>
        <w:t> </w:t>
      </w:r>
      <w:r>
        <w:rPr>
          <w:rFonts w:ascii="Stone Sans II ITC Std Bk"/>
          <w:b/>
          <w:w w:val="115"/>
          <w:sz w:val="20"/>
        </w:rPr>
        <w:t>non-stipendiary</w:t>
      </w:r>
      <w:r>
        <w:rPr>
          <w:rFonts w:ascii="Stone Sans II ITC Std Bk"/>
          <w:b/>
          <w:spacing w:val="-30"/>
          <w:w w:val="115"/>
          <w:sz w:val="20"/>
        </w:rPr>
        <w:t> </w:t>
      </w:r>
      <w:r>
        <w:rPr>
          <w:rFonts w:ascii="Stone Sans II ITC Std Bk"/>
          <w:b/>
          <w:w w:val="115"/>
          <w:sz w:val="20"/>
        </w:rPr>
        <w:t>ministry</w:t>
      </w:r>
      <w:r>
        <w:rPr>
          <w:rFonts w:ascii="Stone Sans II ITC Std Bk"/>
          <w:b/>
          <w:spacing w:val="-30"/>
          <w:w w:val="115"/>
          <w:sz w:val="20"/>
        </w:rPr>
        <w:t> </w:t>
      </w:r>
      <w:r>
        <w:rPr>
          <w:rFonts w:ascii="Stone Sans II ITC Std Bk"/>
          <w:b/>
          <w:w w:val="115"/>
          <w:sz w:val="20"/>
        </w:rPr>
        <w:t>(Resolution</w:t>
      </w:r>
      <w:r>
        <w:rPr>
          <w:rFonts w:ascii="Stone Sans II ITC Std Bk"/>
          <w:b/>
          <w:spacing w:val="-31"/>
          <w:w w:val="115"/>
          <w:sz w:val="20"/>
        </w:rPr>
        <w:t> </w:t>
      </w:r>
      <w:r>
        <w:rPr>
          <w:rFonts w:ascii="Stone Sans II ITC Std Bk"/>
          <w:b/>
          <w:spacing w:val="-8"/>
          <w:w w:val="115"/>
          <w:sz w:val="20"/>
        </w:rPr>
        <w:t>19).</w:t>
      </w:r>
      <w:r>
        <w:rPr>
          <w:rFonts w:ascii="Stone Sans II ITC Std Bk"/>
          <w:b/>
          <w:spacing w:val="-31"/>
          <w:w w:val="115"/>
          <w:sz w:val="20"/>
        </w:rPr>
        <w:t> </w:t>
      </w:r>
      <w:r>
        <w:rPr>
          <w:w w:val="115"/>
          <w:sz w:val="20"/>
        </w:rPr>
        <w:t>The ministries committee already has a working party on non-stipendiary ministry, and the education and learning committee has spent much time in the last few years in adjusting    to</w:t>
      </w:r>
      <w:r>
        <w:rPr>
          <w:spacing w:val="12"/>
          <w:w w:val="115"/>
          <w:sz w:val="20"/>
        </w:rPr>
        <w:t> </w:t>
      </w:r>
      <w:r>
        <w:rPr>
          <w:w w:val="115"/>
          <w:sz w:val="20"/>
        </w:rPr>
        <w:t>new</w:t>
      </w:r>
      <w:r>
        <w:rPr>
          <w:spacing w:val="12"/>
          <w:w w:val="115"/>
          <w:sz w:val="20"/>
        </w:rPr>
        <w:t> </w:t>
      </w:r>
      <w:r>
        <w:rPr>
          <w:w w:val="115"/>
          <w:sz w:val="20"/>
        </w:rPr>
        <w:t>requirements</w:t>
      </w:r>
      <w:r>
        <w:rPr>
          <w:spacing w:val="13"/>
          <w:w w:val="115"/>
          <w:sz w:val="20"/>
        </w:rPr>
        <w:t> </w:t>
      </w:r>
      <w:r>
        <w:rPr>
          <w:w w:val="115"/>
          <w:sz w:val="20"/>
        </w:rPr>
        <w:t>in</w:t>
      </w:r>
      <w:r>
        <w:rPr>
          <w:spacing w:val="12"/>
          <w:w w:val="115"/>
          <w:sz w:val="20"/>
        </w:rPr>
        <w:t> </w:t>
      </w:r>
      <w:r>
        <w:rPr>
          <w:w w:val="115"/>
          <w:sz w:val="20"/>
        </w:rPr>
        <w:t>the</w:t>
      </w:r>
      <w:r>
        <w:rPr>
          <w:spacing w:val="13"/>
          <w:w w:val="115"/>
          <w:sz w:val="20"/>
        </w:rPr>
        <w:t> </w:t>
      </w:r>
      <w:r>
        <w:rPr>
          <w:w w:val="115"/>
          <w:sz w:val="20"/>
        </w:rPr>
        <w:t>common</w:t>
      </w:r>
      <w:r>
        <w:rPr>
          <w:spacing w:val="12"/>
          <w:w w:val="115"/>
          <w:sz w:val="20"/>
        </w:rPr>
        <w:t> </w:t>
      </w:r>
      <w:r>
        <w:rPr>
          <w:w w:val="115"/>
          <w:sz w:val="20"/>
        </w:rPr>
        <w:t>awards</w:t>
      </w:r>
      <w:r>
        <w:rPr>
          <w:spacing w:val="13"/>
          <w:w w:val="115"/>
          <w:sz w:val="20"/>
        </w:rPr>
        <w:t> </w:t>
      </w:r>
      <w:r>
        <w:rPr>
          <w:w w:val="115"/>
          <w:sz w:val="20"/>
        </w:rPr>
        <w:t>for</w:t>
      </w:r>
      <w:r>
        <w:rPr>
          <w:spacing w:val="12"/>
          <w:w w:val="115"/>
          <w:sz w:val="20"/>
        </w:rPr>
        <w:t> </w:t>
      </w:r>
      <w:r>
        <w:rPr>
          <w:w w:val="115"/>
          <w:sz w:val="20"/>
        </w:rPr>
        <w:t>stipendiary</w:t>
      </w:r>
      <w:r>
        <w:rPr>
          <w:spacing w:val="13"/>
          <w:w w:val="115"/>
          <w:sz w:val="20"/>
        </w:rPr>
        <w:t> </w:t>
      </w:r>
      <w:r>
        <w:rPr>
          <w:w w:val="115"/>
          <w:sz w:val="20"/>
        </w:rPr>
        <w:t>ministry</w:t>
      </w:r>
      <w:r>
        <w:rPr>
          <w:spacing w:val="12"/>
          <w:w w:val="115"/>
          <w:sz w:val="20"/>
        </w:rPr>
        <w:t> </w:t>
      </w:r>
      <w:r>
        <w:rPr>
          <w:w w:val="115"/>
          <w:sz w:val="20"/>
        </w:rPr>
        <w:t>candidates.</w:t>
      </w:r>
    </w:p>
    <w:p>
      <w:pPr>
        <w:spacing w:after="0" w:line="220" w:lineRule="auto"/>
        <w:jc w:val="left"/>
        <w:rPr>
          <w:sz w:val="20"/>
        </w:rPr>
        <w:sectPr>
          <w:headerReference w:type="default" r:id="rId313"/>
          <w:pgSz w:w="11910" w:h="16840"/>
          <w:pgMar w:header="0" w:footer="647" w:top="0" w:bottom="840" w:left="640" w:right="0"/>
        </w:sectPr>
      </w:pPr>
    </w:p>
    <w:p>
      <w:pPr>
        <w:pStyle w:val="BodyText"/>
      </w:pPr>
      <w:r>
        <w:rPr/>
        <w:pict>
          <v:rect style="position:absolute;margin-left:46.777pt;margin-top:.000015pt;width:548.498pt;height:841.89pt;mso-position-horizontal-relative:page;mso-position-vertical-relative:page;z-index:-267827200" filled="true" fillcolor="#d4e9f7" stroked="false">
            <v:fill type="solid"/>
            <w10:wrap type="none"/>
          </v:rect>
        </w:pict>
      </w:r>
      <w:r>
        <w:rPr/>
        <w:drawing>
          <wp:anchor distT="0" distB="0" distL="0" distR="0" allowOverlap="1" layoutInCell="1" locked="0" behindDoc="1" simplePos="0" relativeHeight="235490304">
            <wp:simplePos x="0" y="0"/>
            <wp:positionH relativeFrom="page">
              <wp:posOffset>0</wp:posOffset>
            </wp:positionH>
            <wp:positionV relativeFrom="page">
              <wp:posOffset>0</wp:posOffset>
            </wp:positionV>
            <wp:extent cx="594067" cy="10692003"/>
            <wp:effectExtent l="0" t="0" r="0" b="0"/>
            <wp:wrapNone/>
            <wp:docPr id="199" name="image67.png"/>
            <wp:cNvGraphicFramePr>
              <a:graphicFrameLocks noChangeAspect="1"/>
            </wp:cNvGraphicFramePr>
            <a:graphic>
              <a:graphicData uri="http://schemas.openxmlformats.org/drawingml/2006/picture">
                <pic:pic>
                  <pic:nvPicPr>
                    <pic:cNvPr id="200" name="image67.png"/>
                    <pic:cNvPicPr/>
                  </pic:nvPicPr>
                  <pic:blipFill>
                    <a:blip r:embed="rId184" cstate="print"/>
                    <a:stretch>
                      <a:fillRect/>
                    </a:stretch>
                  </pic:blipFill>
                  <pic:spPr>
                    <a:xfrm>
                      <a:off x="0" y="0"/>
                      <a:ext cx="594067" cy="10692003"/>
                    </a:xfrm>
                    <a:prstGeom prst="rect">
                      <a:avLst/>
                    </a:prstGeom>
                  </pic:spPr>
                </pic:pic>
              </a:graphicData>
            </a:graphic>
          </wp:anchor>
        </w:drawing>
      </w:r>
      <w:r>
        <w:rPr/>
        <w:pict>
          <v:shape style="position:absolute;margin-left:20.519100pt;margin-top:48.890015pt;width:25.9pt;height:444.45pt;mso-position-horizontal-relative:page;mso-position-vertical-relative:page;z-index:-267825152" type="#_x0000_t202" filled="false" stroked="false">
            <v:textbox inset="0,0,0,0" style="layout-flow:vertical">
              <w:txbxContent>
                <w:p>
                  <w:pPr>
                    <w:spacing w:before="27"/>
                    <w:ind w:left="20" w:right="0" w:firstLine="0"/>
                    <w:jc w:val="left"/>
                    <w:rPr>
                      <w:sz w:val="39"/>
                    </w:rPr>
                  </w:pPr>
                  <w:r>
                    <w:rPr>
                      <w:color w:val="FFFFFF"/>
                      <w:w w:val="120"/>
                      <w:sz w:val="39"/>
                    </w:rPr>
                    <w:t>Faith and order – </w:t>
                  </w:r>
                  <w:r>
                    <w:rPr>
                      <w:w w:val="120"/>
                      <w:sz w:val="39"/>
                    </w:rPr>
                    <w:t>Towards a common vision</w:t>
                  </w:r>
                </w:p>
              </w:txbxContent>
            </v:textbox>
            <w10:wrap type="none"/>
          </v:shape>
        </w:pict>
      </w:r>
    </w:p>
    <w:p>
      <w:pPr>
        <w:pStyle w:val="BodyText"/>
      </w:pPr>
    </w:p>
    <w:p>
      <w:pPr>
        <w:pStyle w:val="BodyText"/>
      </w:pPr>
    </w:p>
    <w:p>
      <w:pPr>
        <w:pStyle w:val="BodyText"/>
        <w:spacing w:before="5"/>
        <w:rPr>
          <w:sz w:val="28"/>
        </w:rPr>
      </w:pPr>
    </w:p>
    <w:p>
      <w:pPr>
        <w:spacing w:line="653" w:lineRule="exact" w:before="97"/>
        <w:ind w:left="607" w:right="0" w:firstLine="0"/>
        <w:jc w:val="left"/>
        <w:rPr>
          <w:rFonts w:ascii="Stone Sans II ITC Std X Bd"/>
          <w:b/>
          <w:sz w:val="50"/>
        </w:rPr>
      </w:pPr>
      <w:r>
        <w:rPr>
          <w:rFonts w:ascii="Stone Sans II ITC Std X Bd"/>
          <w:b/>
          <w:color w:val="0090D4"/>
          <w:w w:val="110"/>
          <w:sz w:val="50"/>
        </w:rPr>
        <w:t>Faith and order committee:</w:t>
      </w:r>
    </w:p>
    <w:p>
      <w:pPr>
        <w:spacing w:line="225" w:lineRule="auto" w:before="6"/>
        <w:ind w:left="607" w:right="2231" w:firstLine="0"/>
        <w:jc w:val="left"/>
        <w:rPr>
          <w:rFonts w:ascii="Stone Sans II ITC Std X Bd" w:hAnsi="Stone Sans II ITC Std X Bd"/>
          <w:b/>
          <w:sz w:val="47"/>
        </w:rPr>
      </w:pPr>
      <w:r>
        <w:rPr>
          <w:rFonts w:ascii="Stone Sans II ITC Std X Bd" w:hAnsi="Stone Sans II ITC Std X Bd"/>
          <w:b/>
          <w:w w:val="110"/>
          <w:sz w:val="47"/>
        </w:rPr>
        <w:t>A </w:t>
      </w:r>
      <w:r>
        <w:rPr>
          <w:rFonts w:ascii="Stone Sans II ITC Std X Bd" w:hAnsi="Stone Sans II ITC Std X Bd"/>
          <w:b/>
          <w:spacing w:val="-9"/>
          <w:w w:val="110"/>
          <w:sz w:val="47"/>
        </w:rPr>
        <w:t>Response to </w:t>
      </w:r>
      <w:r>
        <w:rPr>
          <w:rFonts w:ascii="Stone Sans II ITC Std X Bd" w:hAnsi="Stone Sans II ITC Std X Bd"/>
          <w:b/>
          <w:spacing w:val="-8"/>
          <w:w w:val="110"/>
          <w:sz w:val="47"/>
        </w:rPr>
        <w:t>the </w:t>
      </w:r>
      <w:r>
        <w:rPr>
          <w:rFonts w:ascii="Stone Sans II ITC Std X Bd" w:hAnsi="Stone Sans II ITC Std X Bd"/>
          <w:b/>
          <w:spacing w:val="-9"/>
          <w:w w:val="110"/>
          <w:sz w:val="47"/>
        </w:rPr>
        <w:t>World Council </w:t>
      </w:r>
      <w:r>
        <w:rPr>
          <w:rFonts w:ascii="Stone Sans II ITC Std X Bd" w:hAnsi="Stone Sans II ITC Std X Bd"/>
          <w:b/>
          <w:spacing w:val="-5"/>
          <w:w w:val="110"/>
          <w:sz w:val="47"/>
        </w:rPr>
        <w:t>of </w:t>
      </w:r>
      <w:r>
        <w:rPr>
          <w:rFonts w:ascii="Stone Sans II ITC Std X Bd" w:hAnsi="Stone Sans II ITC Std X Bd"/>
          <w:b/>
          <w:spacing w:val="-9"/>
          <w:w w:val="110"/>
          <w:sz w:val="47"/>
        </w:rPr>
        <w:t>Churches </w:t>
      </w:r>
      <w:r>
        <w:rPr>
          <w:rFonts w:ascii="Stone Sans II ITC Std X Bd" w:hAnsi="Stone Sans II ITC Std X Bd"/>
          <w:b/>
          <w:spacing w:val="-11"/>
          <w:w w:val="110"/>
          <w:sz w:val="47"/>
        </w:rPr>
        <w:t>convergence </w:t>
      </w:r>
      <w:r>
        <w:rPr>
          <w:rFonts w:ascii="Stone Sans II ITC Std X Bd" w:hAnsi="Stone Sans II ITC Std X Bd"/>
          <w:b/>
          <w:spacing w:val="-9"/>
          <w:w w:val="110"/>
          <w:sz w:val="47"/>
        </w:rPr>
        <w:t>document, </w:t>
      </w:r>
      <w:r>
        <w:rPr>
          <w:rFonts w:ascii="Stone Sans II ITC Std X Bd" w:hAnsi="Stone Sans II ITC Std X Bd"/>
          <w:b/>
          <w:spacing w:val="-3"/>
          <w:w w:val="110"/>
          <w:sz w:val="47"/>
        </w:rPr>
        <w:t>‘The </w:t>
      </w:r>
      <w:r>
        <w:rPr>
          <w:rFonts w:ascii="Stone Sans II ITC Std X Bd" w:hAnsi="Stone Sans II ITC Std X Bd"/>
          <w:b/>
          <w:spacing w:val="-10"/>
          <w:w w:val="110"/>
          <w:sz w:val="47"/>
        </w:rPr>
        <w:t>Church: </w:t>
      </w:r>
      <w:r>
        <w:rPr>
          <w:rFonts w:ascii="Stone Sans II ITC Std X Bd" w:hAnsi="Stone Sans II ITC Std X Bd"/>
          <w:b/>
          <w:spacing w:val="-15"/>
          <w:w w:val="110"/>
          <w:sz w:val="47"/>
        </w:rPr>
        <w:t>Towards </w:t>
      </w:r>
      <w:r>
        <w:rPr>
          <w:rFonts w:ascii="Stone Sans II ITC Std X Bd" w:hAnsi="Stone Sans II ITC Std X Bd"/>
          <w:b/>
          <w:w w:val="110"/>
          <w:sz w:val="47"/>
        </w:rPr>
        <w:t>a </w:t>
      </w:r>
      <w:r>
        <w:rPr>
          <w:rFonts w:ascii="Stone Sans II ITC Std X Bd" w:hAnsi="Stone Sans II ITC Std X Bd"/>
          <w:b/>
          <w:spacing w:val="-8"/>
          <w:w w:val="110"/>
          <w:sz w:val="47"/>
        </w:rPr>
        <w:t>common Vision’</w:t>
      </w:r>
    </w:p>
    <w:p>
      <w:pPr>
        <w:pStyle w:val="Heading4"/>
        <w:spacing w:before="336"/>
      </w:pPr>
      <w:r>
        <w:rPr>
          <w:color w:val="7F7F7F"/>
        </w:rPr>
        <w:t>Basic Information</w:t>
      </w:r>
    </w:p>
    <w:tbl>
      <w:tblPr>
        <w:tblW w:w="0" w:type="auto"/>
        <w:jc w:val="left"/>
        <w:tblInd w:w="6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660"/>
        <w:gridCol w:w="6582"/>
      </w:tblGrid>
      <w:tr>
        <w:trPr>
          <w:trHeight w:val="680" w:hRule="atLeast"/>
        </w:trPr>
        <w:tc>
          <w:tcPr>
            <w:tcW w:w="2660" w:type="dxa"/>
            <w:shd w:val="clear" w:color="auto" w:fill="FFFFFF"/>
          </w:tcPr>
          <w:p>
            <w:pPr>
              <w:pStyle w:val="TableParagraph"/>
              <w:spacing w:line="213" w:lineRule="auto" w:before="151"/>
              <w:ind w:right="595"/>
              <w:rPr>
                <w:rFonts w:ascii="Stone Sans II ITC Std Bk"/>
                <w:b/>
                <w:sz w:val="20"/>
              </w:rPr>
            </w:pPr>
            <w:r>
              <w:rPr>
                <w:rFonts w:ascii="Stone Sans II ITC Std Bk"/>
                <w:b/>
                <w:w w:val="110"/>
                <w:sz w:val="20"/>
              </w:rPr>
              <w:t>Contact name and email address</w:t>
            </w:r>
          </w:p>
        </w:tc>
        <w:tc>
          <w:tcPr>
            <w:tcW w:w="6582" w:type="dxa"/>
            <w:shd w:val="clear" w:color="auto" w:fill="FFFFFF"/>
          </w:tcPr>
          <w:p>
            <w:pPr>
              <w:pStyle w:val="TableParagraph"/>
              <w:spacing w:line="235" w:lineRule="auto" w:before="145"/>
              <w:ind w:right="569"/>
              <w:rPr>
                <w:sz w:val="20"/>
              </w:rPr>
            </w:pPr>
            <w:r>
              <w:rPr>
                <w:w w:val="120"/>
                <w:sz w:val="20"/>
              </w:rPr>
              <w:t>The Revd Dr Catherine Ball: </w:t>
            </w:r>
            <w:hyperlink r:id="rId316">
              <w:r>
                <w:rPr>
                  <w:color w:val="006AB3"/>
                  <w:w w:val="120"/>
                  <w:sz w:val="20"/>
                </w:rPr>
                <w:t>catherine.ball@ntlworld.com</w:t>
              </w:r>
            </w:hyperlink>
            <w:r>
              <w:rPr>
                <w:color w:val="006AB3"/>
                <w:w w:val="120"/>
                <w:sz w:val="20"/>
              </w:rPr>
              <w:t> </w:t>
            </w:r>
            <w:r>
              <w:rPr>
                <w:w w:val="120"/>
                <w:sz w:val="20"/>
              </w:rPr>
              <w:t>The Revd Elizabeth Welch: </w:t>
            </w:r>
            <w:hyperlink r:id="rId279">
              <w:r>
                <w:rPr>
                  <w:color w:val="006AB3"/>
                  <w:w w:val="120"/>
                  <w:sz w:val="20"/>
                </w:rPr>
                <w:t>minister@theroundchapel.org.uk</w:t>
              </w:r>
            </w:hyperlink>
          </w:p>
        </w:tc>
      </w:tr>
      <w:tr>
        <w:trPr>
          <w:trHeight w:val="680" w:hRule="atLeast"/>
        </w:trPr>
        <w:tc>
          <w:tcPr>
            <w:tcW w:w="2660" w:type="dxa"/>
            <w:shd w:val="clear" w:color="auto" w:fill="FFFFFF"/>
          </w:tcPr>
          <w:p>
            <w:pPr>
              <w:pStyle w:val="TableParagraph"/>
              <w:spacing w:before="128"/>
              <w:rPr>
                <w:rFonts w:ascii="Stone Sans II ITC Std Bk"/>
                <w:b/>
                <w:sz w:val="20"/>
              </w:rPr>
            </w:pPr>
            <w:r>
              <w:rPr>
                <w:rFonts w:ascii="Stone Sans II ITC Std Bk"/>
                <w:b/>
                <w:w w:val="110"/>
                <w:sz w:val="20"/>
              </w:rPr>
              <w:t>Action required</w:t>
            </w:r>
          </w:p>
        </w:tc>
        <w:tc>
          <w:tcPr>
            <w:tcW w:w="6582" w:type="dxa"/>
            <w:shd w:val="clear" w:color="auto" w:fill="FFFFFF"/>
          </w:tcPr>
          <w:p>
            <w:pPr>
              <w:pStyle w:val="TableParagraph"/>
              <w:spacing w:line="235" w:lineRule="auto" w:before="145"/>
              <w:rPr>
                <w:sz w:val="20"/>
              </w:rPr>
            </w:pPr>
            <w:r>
              <w:rPr>
                <w:w w:val="120"/>
                <w:sz w:val="20"/>
              </w:rPr>
              <w:t>To take note of the response formulated by the faith and order committee and invite further responses from within the church.</w:t>
            </w:r>
          </w:p>
        </w:tc>
      </w:tr>
      <w:tr>
        <w:trPr>
          <w:trHeight w:val="1640" w:hRule="atLeast"/>
        </w:trPr>
        <w:tc>
          <w:tcPr>
            <w:tcW w:w="2660" w:type="dxa"/>
            <w:shd w:val="clear" w:color="auto" w:fill="FFFFFF"/>
          </w:tcPr>
          <w:p>
            <w:pPr>
              <w:pStyle w:val="TableParagraph"/>
              <w:spacing w:before="128"/>
              <w:rPr>
                <w:rFonts w:ascii="Stone Sans II ITC Std Bk"/>
                <w:b/>
                <w:sz w:val="20"/>
              </w:rPr>
            </w:pPr>
            <w:r>
              <w:rPr>
                <w:rFonts w:ascii="Stone Sans II ITC Std Bk"/>
                <w:b/>
                <w:w w:val="110"/>
                <w:sz w:val="20"/>
              </w:rPr>
              <w:t>Draft resolution(s)</w:t>
            </w:r>
          </w:p>
        </w:tc>
        <w:tc>
          <w:tcPr>
            <w:tcW w:w="6582" w:type="dxa"/>
            <w:shd w:val="clear" w:color="auto" w:fill="FFFFFF"/>
          </w:tcPr>
          <w:p>
            <w:pPr>
              <w:pStyle w:val="TableParagraph"/>
              <w:tabs>
                <w:tab w:pos="760" w:val="left" w:leader="none"/>
              </w:tabs>
              <w:spacing w:line="223" w:lineRule="auto" w:before="143"/>
              <w:ind w:right="104"/>
              <w:rPr>
                <w:rFonts w:ascii="Stone Sans II ITC Std Bk" w:hAnsi="Stone Sans II ITC Std Bk"/>
                <w:b/>
                <w:sz w:val="19"/>
              </w:rPr>
            </w:pPr>
            <w:r>
              <w:rPr>
                <w:rFonts w:ascii="Stone Sans II ITC Std Bk" w:hAnsi="Stone Sans II ITC Std Bk"/>
                <w:b/>
                <w:w w:val="115"/>
                <w:sz w:val="20"/>
              </w:rPr>
              <w:t>20.</w:t>
              <w:tab/>
              <w:t>General </w:t>
            </w:r>
            <w:r>
              <w:rPr>
                <w:rFonts w:ascii="Stone Sans II ITC Std Bk" w:hAnsi="Stone Sans II ITC Std Bk"/>
                <w:b/>
                <w:w w:val="115"/>
                <w:sz w:val="19"/>
              </w:rPr>
              <w:t>Assembly commends the document ‘The Church: </w:t>
            </w:r>
            <w:r>
              <w:rPr>
                <w:rFonts w:ascii="Stone Sans II ITC Std Bk" w:hAnsi="Stone Sans II ITC Std Bk"/>
                <w:b/>
                <w:spacing w:val="-3"/>
                <w:w w:val="115"/>
                <w:sz w:val="19"/>
              </w:rPr>
              <w:t>Towards </w:t>
            </w:r>
            <w:r>
              <w:rPr>
                <w:rFonts w:ascii="Stone Sans II ITC Std Bk" w:hAnsi="Stone Sans II ITC Std Bk"/>
                <w:b/>
                <w:w w:val="115"/>
                <w:sz w:val="19"/>
              </w:rPr>
              <w:t>a Common Vision’ for ongoing reflection  in the church; takes note of the faith and order committee response and invites comments on that response by the end of October for consideration for inclusion in the submission to the World</w:t>
            </w:r>
            <w:r>
              <w:rPr>
                <w:rFonts w:ascii="Stone Sans II ITC Std Bk" w:hAnsi="Stone Sans II ITC Std Bk"/>
                <w:b/>
                <w:spacing w:val="-2"/>
                <w:w w:val="115"/>
                <w:sz w:val="19"/>
              </w:rPr>
              <w:t> </w:t>
            </w:r>
            <w:r>
              <w:rPr>
                <w:rFonts w:ascii="Stone Sans II ITC Std Bk" w:hAnsi="Stone Sans II ITC Std Bk"/>
                <w:b/>
                <w:w w:val="115"/>
                <w:sz w:val="19"/>
              </w:rPr>
              <w:t>Council.</w:t>
            </w:r>
          </w:p>
        </w:tc>
      </w:tr>
    </w:tbl>
    <w:p>
      <w:pPr>
        <w:pStyle w:val="BodyText"/>
        <w:spacing w:before="3"/>
        <w:rPr>
          <w:rFonts w:ascii="Stone Sans II ITC Std Bk"/>
          <w:b/>
          <w:sz w:val="29"/>
        </w:rPr>
      </w:pPr>
    </w:p>
    <w:p>
      <w:pPr>
        <w:pStyle w:val="Heading4"/>
      </w:pPr>
      <w:r>
        <w:rPr>
          <w:color w:val="7F7F7F"/>
        </w:rPr>
        <w:t>Summary of Content</w:t>
      </w:r>
    </w:p>
    <w:tbl>
      <w:tblPr>
        <w:tblW w:w="0" w:type="auto"/>
        <w:jc w:val="left"/>
        <w:tblInd w:w="6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660"/>
        <w:gridCol w:w="6582"/>
      </w:tblGrid>
      <w:tr>
        <w:trPr>
          <w:trHeight w:val="1400" w:hRule="atLeast"/>
        </w:trPr>
        <w:tc>
          <w:tcPr>
            <w:tcW w:w="2660" w:type="dxa"/>
            <w:shd w:val="clear" w:color="auto" w:fill="FFFFFF"/>
          </w:tcPr>
          <w:p>
            <w:pPr>
              <w:pStyle w:val="TableParagraph"/>
              <w:spacing w:before="128"/>
              <w:rPr>
                <w:rFonts w:ascii="Stone Sans II ITC Std Bk"/>
                <w:b/>
                <w:sz w:val="20"/>
              </w:rPr>
            </w:pPr>
            <w:r>
              <w:rPr>
                <w:rFonts w:ascii="Stone Sans II ITC Std Bk"/>
                <w:b/>
                <w:w w:val="110"/>
                <w:sz w:val="20"/>
              </w:rPr>
              <w:t>Subject and aim(s)</w:t>
            </w:r>
          </w:p>
        </w:tc>
        <w:tc>
          <w:tcPr>
            <w:tcW w:w="6582" w:type="dxa"/>
            <w:shd w:val="clear" w:color="auto" w:fill="FFFFFF"/>
          </w:tcPr>
          <w:p>
            <w:pPr>
              <w:pStyle w:val="TableParagraph"/>
              <w:spacing w:line="235" w:lineRule="auto" w:before="145"/>
              <w:ind w:right="182"/>
              <w:rPr>
                <w:sz w:val="20"/>
              </w:rPr>
            </w:pPr>
            <w:r>
              <w:rPr>
                <w:w w:val="120"/>
                <w:sz w:val="20"/>
              </w:rPr>
              <w:t>Responses from the perspective of the United Reformed Church to the contents of the World Council of Churches document.</w:t>
            </w:r>
          </w:p>
          <w:p>
            <w:pPr>
              <w:pStyle w:val="TableParagraph"/>
              <w:spacing w:line="235" w:lineRule="auto" w:before="1"/>
              <w:rPr>
                <w:sz w:val="20"/>
              </w:rPr>
            </w:pPr>
            <w:r>
              <w:rPr>
                <w:w w:val="120"/>
                <w:sz w:val="20"/>
              </w:rPr>
              <w:t>Aims: To formulate and communicate an articulate and accurate response. To share that within the denomination for further reflection</w:t>
            </w:r>
          </w:p>
        </w:tc>
      </w:tr>
      <w:tr>
        <w:trPr>
          <w:trHeight w:val="1400" w:hRule="atLeast"/>
        </w:trPr>
        <w:tc>
          <w:tcPr>
            <w:tcW w:w="2660" w:type="dxa"/>
            <w:shd w:val="clear" w:color="auto" w:fill="FFFFFF"/>
          </w:tcPr>
          <w:p>
            <w:pPr>
              <w:pStyle w:val="TableParagraph"/>
              <w:spacing w:before="128"/>
              <w:rPr>
                <w:rFonts w:ascii="Stone Sans II ITC Std Bk"/>
                <w:b/>
                <w:sz w:val="20"/>
              </w:rPr>
            </w:pPr>
            <w:r>
              <w:rPr>
                <w:rFonts w:ascii="Stone Sans II ITC Std Bk"/>
                <w:b/>
                <w:w w:val="110"/>
                <w:sz w:val="20"/>
              </w:rPr>
              <w:t>Main points</w:t>
            </w:r>
          </w:p>
        </w:tc>
        <w:tc>
          <w:tcPr>
            <w:tcW w:w="6582" w:type="dxa"/>
            <w:shd w:val="clear" w:color="auto" w:fill="FFFFFF"/>
          </w:tcPr>
          <w:p>
            <w:pPr>
              <w:pStyle w:val="TableParagraph"/>
              <w:spacing w:line="235" w:lineRule="auto" w:before="145"/>
              <w:ind w:right="129"/>
              <w:jc w:val="both"/>
              <w:rPr>
                <w:sz w:val="20"/>
              </w:rPr>
            </w:pPr>
            <w:r>
              <w:rPr>
                <w:w w:val="120"/>
                <w:sz w:val="20"/>
              </w:rPr>
              <w:t>There are many individual points in relation to specific questions but the main point is to affirm the Church’s commitment both</w:t>
            </w:r>
          </w:p>
          <w:p>
            <w:pPr>
              <w:pStyle w:val="TableParagraph"/>
              <w:spacing w:line="235" w:lineRule="auto" w:before="1"/>
              <w:ind w:right="380"/>
              <w:jc w:val="both"/>
              <w:rPr>
                <w:sz w:val="20"/>
              </w:rPr>
            </w:pPr>
            <w:r>
              <w:rPr>
                <w:w w:val="120"/>
                <w:sz w:val="20"/>
              </w:rPr>
              <w:t>to the ecumenical movement’s search for organic unity and to affirm the distinctive contribution of the tradition in which we stand to such a process, striving for unity with diversity</w:t>
            </w:r>
          </w:p>
        </w:tc>
      </w:tr>
      <w:tr>
        <w:trPr>
          <w:trHeight w:val="680" w:hRule="atLeast"/>
        </w:trPr>
        <w:tc>
          <w:tcPr>
            <w:tcW w:w="2660" w:type="dxa"/>
            <w:shd w:val="clear" w:color="auto" w:fill="FFFFFF"/>
          </w:tcPr>
          <w:p>
            <w:pPr>
              <w:pStyle w:val="TableParagraph"/>
              <w:spacing w:line="213" w:lineRule="auto" w:before="151"/>
              <w:ind w:right="701"/>
              <w:rPr>
                <w:rFonts w:ascii="Stone Sans II ITC Std Bk"/>
                <w:b/>
                <w:sz w:val="20"/>
              </w:rPr>
            </w:pPr>
            <w:r>
              <w:rPr>
                <w:rFonts w:ascii="Stone Sans II ITC Std Bk"/>
                <w:b/>
                <w:w w:val="110"/>
                <w:sz w:val="20"/>
              </w:rPr>
              <w:t>Previous relevant documents</w:t>
            </w:r>
          </w:p>
        </w:tc>
        <w:tc>
          <w:tcPr>
            <w:tcW w:w="6582" w:type="dxa"/>
            <w:shd w:val="clear" w:color="auto" w:fill="FFFFFF"/>
          </w:tcPr>
          <w:p>
            <w:pPr>
              <w:pStyle w:val="TableParagraph"/>
              <w:spacing w:before="141"/>
              <w:rPr>
                <w:sz w:val="20"/>
              </w:rPr>
            </w:pPr>
            <w:r>
              <w:rPr>
                <w:w w:val="120"/>
                <w:sz w:val="20"/>
              </w:rPr>
              <w:t>None</w:t>
            </w:r>
          </w:p>
        </w:tc>
      </w:tr>
      <w:tr>
        <w:trPr>
          <w:trHeight w:val="680" w:hRule="atLeast"/>
        </w:trPr>
        <w:tc>
          <w:tcPr>
            <w:tcW w:w="2660" w:type="dxa"/>
            <w:shd w:val="clear" w:color="auto" w:fill="FFFFFF"/>
          </w:tcPr>
          <w:p>
            <w:pPr>
              <w:pStyle w:val="TableParagraph"/>
              <w:spacing w:line="213" w:lineRule="auto" w:before="151"/>
              <w:ind w:right="576"/>
              <w:rPr>
                <w:rFonts w:ascii="Stone Sans II ITC Std Bk"/>
                <w:b/>
                <w:sz w:val="20"/>
              </w:rPr>
            </w:pPr>
            <w:r>
              <w:rPr>
                <w:rFonts w:ascii="Stone Sans II ITC Std Bk"/>
                <w:b/>
                <w:w w:val="110"/>
                <w:sz w:val="20"/>
              </w:rPr>
              <w:t>Consultation has taken place with...</w:t>
            </w:r>
          </w:p>
        </w:tc>
        <w:tc>
          <w:tcPr>
            <w:tcW w:w="6582" w:type="dxa"/>
            <w:shd w:val="clear" w:color="auto" w:fill="FFFFFF"/>
          </w:tcPr>
          <w:p>
            <w:pPr>
              <w:pStyle w:val="TableParagraph"/>
              <w:spacing w:before="141"/>
              <w:rPr>
                <w:sz w:val="20"/>
              </w:rPr>
            </w:pPr>
            <w:r>
              <w:rPr>
                <w:w w:val="120"/>
                <w:sz w:val="20"/>
              </w:rPr>
              <w:t>The faith and order committee</w:t>
            </w:r>
          </w:p>
        </w:tc>
      </w:tr>
    </w:tbl>
    <w:p>
      <w:pPr>
        <w:pStyle w:val="BodyText"/>
        <w:spacing w:before="4"/>
        <w:rPr>
          <w:rFonts w:ascii="Stone Sans II ITC Std Bk"/>
          <w:b/>
          <w:sz w:val="29"/>
        </w:rPr>
      </w:pPr>
    </w:p>
    <w:p>
      <w:pPr>
        <w:pStyle w:val="Heading4"/>
      </w:pPr>
      <w:r>
        <w:rPr>
          <w:color w:val="7F7F7F"/>
        </w:rPr>
        <w:t>Summary of Impact</w:t>
      </w:r>
    </w:p>
    <w:tbl>
      <w:tblPr>
        <w:tblW w:w="0" w:type="auto"/>
        <w:jc w:val="left"/>
        <w:tblInd w:w="6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660"/>
        <w:gridCol w:w="6582"/>
      </w:tblGrid>
      <w:tr>
        <w:trPr>
          <w:trHeight w:val="440" w:hRule="atLeast"/>
        </w:trPr>
        <w:tc>
          <w:tcPr>
            <w:tcW w:w="2660" w:type="dxa"/>
            <w:shd w:val="clear" w:color="auto" w:fill="FFFFFF"/>
          </w:tcPr>
          <w:p>
            <w:pPr>
              <w:pStyle w:val="TableParagraph"/>
              <w:spacing w:before="128"/>
              <w:rPr>
                <w:rFonts w:ascii="Stone Sans II ITC Std Bk"/>
                <w:b/>
                <w:sz w:val="20"/>
              </w:rPr>
            </w:pPr>
            <w:r>
              <w:rPr>
                <w:rFonts w:ascii="Stone Sans II ITC Std Bk"/>
                <w:b/>
                <w:w w:val="110"/>
                <w:sz w:val="20"/>
              </w:rPr>
              <w:t>Financial</w:t>
            </w:r>
          </w:p>
        </w:tc>
        <w:tc>
          <w:tcPr>
            <w:tcW w:w="6582" w:type="dxa"/>
            <w:shd w:val="clear" w:color="auto" w:fill="FFFFFF"/>
          </w:tcPr>
          <w:p>
            <w:pPr>
              <w:pStyle w:val="TableParagraph"/>
              <w:spacing w:before="141"/>
              <w:rPr>
                <w:sz w:val="20"/>
              </w:rPr>
            </w:pPr>
            <w:r>
              <w:rPr>
                <w:w w:val="120"/>
                <w:sz w:val="20"/>
              </w:rPr>
              <w:t>None</w:t>
            </w:r>
          </w:p>
        </w:tc>
      </w:tr>
      <w:tr>
        <w:trPr>
          <w:trHeight w:val="680" w:hRule="atLeast"/>
        </w:trPr>
        <w:tc>
          <w:tcPr>
            <w:tcW w:w="2660" w:type="dxa"/>
            <w:shd w:val="clear" w:color="auto" w:fill="FFFFFF"/>
          </w:tcPr>
          <w:p>
            <w:pPr>
              <w:pStyle w:val="TableParagraph"/>
              <w:spacing w:line="255" w:lineRule="exact" w:before="128"/>
              <w:rPr>
                <w:rFonts w:ascii="Stone Sans II ITC Std Bk"/>
                <w:b/>
                <w:sz w:val="20"/>
              </w:rPr>
            </w:pPr>
            <w:r>
              <w:rPr>
                <w:rFonts w:ascii="Stone Sans II ITC Std Bk"/>
                <w:b/>
                <w:w w:val="110"/>
                <w:sz w:val="20"/>
              </w:rPr>
              <w:t>External</w:t>
            </w:r>
          </w:p>
          <w:p>
            <w:pPr>
              <w:pStyle w:val="TableParagraph"/>
              <w:spacing w:line="255" w:lineRule="exact"/>
              <w:rPr>
                <w:rFonts w:ascii="Stone Sans II ITC Std Bk"/>
                <w:b/>
                <w:sz w:val="20"/>
              </w:rPr>
            </w:pPr>
            <w:r>
              <w:rPr>
                <w:rFonts w:ascii="Stone Sans II ITC Std Bk"/>
                <w:b/>
                <w:w w:val="110"/>
                <w:sz w:val="20"/>
              </w:rPr>
              <w:t>(e.g. ecumenical)</w:t>
            </w:r>
          </w:p>
        </w:tc>
        <w:tc>
          <w:tcPr>
            <w:tcW w:w="6582" w:type="dxa"/>
            <w:shd w:val="clear" w:color="auto" w:fill="FFFFFF"/>
          </w:tcPr>
          <w:p>
            <w:pPr>
              <w:pStyle w:val="TableParagraph"/>
              <w:spacing w:line="235" w:lineRule="auto" w:before="145"/>
              <w:rPr>
                <w:sz w:val="20"/>
              </w:rPr>
            </w:pPr>
            <w:r>
              <w:rPr>
                <w:w w:val="120"/>
                <w:sz w:val="20"/>
              </w:rPr>
              <w:t>Contributes to the collective thinking of the world ecumenical movement.</w:t>
            </w:r>
          </w:p>
        </w:tc>
      </w:tr>
    </w:tbl>
    <w:p>
      <w:pPr>
        <w:pStyle w:val="BodyText"/>
        <w:rPr>
          <w:rFonts w:ascii="Stone Sans II ITC Std Bk"/>
          <w:b/>
          <w:sz w:val="30"/>
        </w:rPr>
      </w:pPr>
    </w:p>
    <w:p>
      <w:pPr>
        <w:pStyle w:val="BodyText"/>
        <w:rPr>
          <w:rFonts w:ascii="Stone Sans II ITC Std Bk"/>
          <w:b/>
          <w:sz w:val="30"/>
        </w:rPr>
      </w:pPr>
    </w:p>
    <w:p>
      <w:pPr>
        <w:pStyle w:val="BodyText"/>
        <w:spacing w:before="13"/>
        <w:rPr>
          <w:rFonts w:ascii="Stone Sans II ITC Std Bk"/>
          <w:b/>
          <w:sz w:val="31"/>
        </w:rPr>
      </w:pPr>
    </w:p>
    <w:p>
      <w:pPr>
        <w:pStyle w:val="Heading6"/>
        <w:spacing w:before="0"/>
        <w:ind w:left="607"/>
      </w:pPr>
      <w:r>
        <w:rPr>
          <w:rFonts w:ascii="Stone Sans II ITC Std X Bd" w:hAnsi="Stone Sans II ITC Std X Bd"/>
          <w:b/>
          <w:w w:val="110"/>
          <w:sz w:val="24"/>
        </w:rPr>
        <w:t>108 </w:t>
      </w:r>
      <w:r>
        <w:rPr>
          <w:rFonts w:ascii="Symbol" w:hAnsi="Symbol"/>
          <w:color w:val="7EAABF"/>
          <w:w w:val="110"/>
        </w:rPr>
        <w:t></w:t>
      </w:r>
      <w:r>
        <w:rPr>
          <w:rFonts w:ascii="Times New Roman" w:hAnsi="Times New Roman"/>
          <w:color w:val="7EAABF"/>
          <w:w w:val="110"/>
        </w:rPr>
        <w:t> </w:t>
      </w:r>
      <w:r>
        <w:rPr>
          <w:color w:val="7EAABF"/>
          <w:w w:val="110"/>
        </w:rPr>
        <w:t>United Reformed Church </w:t>
      </w:r>
      <w:r>
        <w:rPr>
          <w:rFonts w:ascii="Symbol" w:hAnsi="Symbol"/>
          <w:color w:val="7EAABF"/>
          <w:w w:val="110"/>
        </w:rPr>
        <w:t></w:t>
      </w:r>
      <w:r>
        <w:rPr>
          <w:rFonts w:ascii="Times New Roman" w:hAnsi="Times New Roman"/>
          <w:color w:val="7EAABF"/>
          <w:w w:val="110"/>
        </w:rPr>
        <w:t> </w:t>
      </w:r>
      <w:r>
        <w:rPr>
          <w:color w:val="7EAABF"/>
          <w:w w:val="110"/>
        </w:rPr>
        <w:t>General Assembly 2016</w:t>
      </w:r>
    </w:p>
    <w:p>
      <w:pPr>
        <w:spacing w:after="0"/>
        <w:sectPr>
          <w:headerReference w:type="even" r:id="rId314"/>
          <w:footerReference w:type="even" r:id="rId315"/>
          <w:pgSz w:w="11910" w:h="16840"/>
          <w:pgMar w:header="0" w:footer="0" w:top="0" w:bottom="0" w:left="640" w:right="0"/>
        </w:sectPr>
      </w:pPr>
    </w:p>
    <w:p>
      <w:pPr>
        <w:pStyle w:val="BodyText"/>
      </w:pPr>
      <w:r>
        <w:rPr/>
        <w:pict>
          <v:line style="position:absolute;mso-position-horizontal-relative:page;mso-position-vertical-relative:page;z-index:251945984" from="0pt,.000315pt" to="0pt,841.890315pt" stroked="true" strokeweight="0pt" strokecolor="#d4e9f7">
            <v:stroke dashstyle="solid"/>
            <w10:wrap type="none"/>
          </v:line>
        </w:pict>
      </w:r>
      <w:r>
        <w:rPr/>
        <w:drawing>
          <wp:anchor distT="0" distB="0" distL="0" distR="0" allowOverlap="1" layoutInCell="1" locked="0" behindDoc="0" simplePos="0" relativeHeight="251947008">
            <wp:simplePos x="0" y="0"/>
            <wp:positionH relativeFrom="page">
              <wp:posOffset>6974928</wp:posOffset>
            </wp:positionH>
            <wp:positionV relativeFrom="page">
              <wp:posOffset>0</wp:posOffset>
            </wp:positionV>
            <wp:extent cx="585063" cy="10692003"/>
            <wp:effectExtent l="0" t="0" r="0" b="0"/>
            <wp:wrapNone/>
            <wp:docPr id="201" name="image54.png"/>
            <wp:cNvGraphicFramePr>
              <a:graphicFrameLocks noChangeAspect="1"/>
            </wp:cNvGraphicFramePr>
            <a:graphic>
              <a:graphicData uri="http://schemas.openxmlformats.org/drawingml/2006/picture">
                <pic:pic>
                  <pic:nvPicPr>
                    <pic:cNvPr id="202" name="image54.png"/>
                    <pic:cNvPicPr/>
                  </pic:nvPicPr>
                  <pic:blipFill>
                    <a:blip r:embed="rId169" cstate="print"/>
                    <a:stretch>
                      <a:fillRect/>
                    </a:stretch>
                  </pic:blipFill>
                  <pic:spPr>
                    <a:xfrm>
                      <a:off x="0" y="0"/>
                      <a:ext cx="585063" cy="10692003"/>
                    </a:xfrm>
                    <a:prstGeom prst="rect">
                      <a:avLst/>
                    </a:prstGeom>
                  </pic:spPr>
                </pic:pic>
              </a:graphicData>
            </a:graphic>
          </wp:anchor>
        </w:drawing>
      </w:r>
    </w:p>
    <w:p>
      <w:pPr>
        <w:pStyle w:val="BodyText"/>
      </w:pPr>
    </w:p>
    <w:p>
      <w:pPr>
        <w:pStyle w:val="BodyText"/>
      </w:pPr>
    </w:p>
    <w:p>
      <w:pPr>
        <w:pStyle w:val="BodyText"/>
        <w:spacing w:before="3"/>
        <w:rPr>
          <w:sz w:val="28"/>
        </w:rPr>
      </w:pPr>
    </w:p>
    <w:p>
      <w:pPr>
        <w:spacing w:line="220" w:lineRule="auto" w:before="138"/>
        <w:ind w:left="1344" w:right="1343" w:firstLine="0"/>
        <w:jc w:val="left"/>
        <w:rPr>
          <w:rFonts w:ascii="Stone Sans II ITC Std X Bd" w:hAnsi="Stone Sans II ITC Std X Bd"/>
          <w:b/>
          <w:sz w:val="48"/>
        </w:rPr>
      </w:pPr>
      <w:r>
        <w:rPr/>
        <w:pict>
          <v:shape style="position:absolute;margin-left:554.141174pt;margin-top:-5.89693pt;width:25.9pt;height:444.45pt;mso-position-horizontal-relative:page;mso-position-vertical-relative:paragraph;z-index:251949056" type="#_x0000_t202" filled="false" stroked="false">
            <v:textbox inset="0,0,0,0" style="layout-flow:vertical">
              <w:txbxContent>
                <w:p>
                  <w:pPr>
                    <w:spacing w:before="27"/>
                    <w:ind w:left="20" w:right="0" w:firstLine="0"/>
                    <w:jc w:val="left"/>
                    <w:rPr>
                      <w:sz w:val="39"/>
                    </w:rPr>
                  </w:pPr>
                  <w:r>
                    <w:rPr>
                      <w:color w:val="FFFFFF"/>
                      <w:w w:val="120"/>
                      <w:sz w:val="39"/>
                    </w:rPr>
                    <w:t>Faith and order – </w:t>
                  </w:r>
                  <w:r>
                    <w:rPr>
                      <w:w w:val="120"/>
                      <w:sz w:val="39"/>
                    </w:rPr>
                    <w:t>Towards a common vision</w:t>
                  </w:r>
                </w:p>
              </w:txbxContent>
            </v:textbox>
            <w10:wrap type="none"/>
          </v:shape>
        </w:pict>
      </w:r>
      <w:r>
        <w:rPr>
          <w:rFonts w:ascii="Stone Sans II ITC Std X Bd" w:hAnsi="Stone Sans II ITC Std X Bd"/>
          <w:b/>
          <w:w w:val="115"/>
          <w:sz w:val="48"/>
        </w:rPr>
        <w:t>A</w:t>
      </w:r>
      <w:r>
        <w:rPr>
          <w:rFonts w:ascii="Stone Sans II ITC Std X Bd" w:hAnsi="Stone Sans II ITC Std X Bd"/>
          <w:b/>
          <w:spacing w:val="-47"/>
          <w:w w:val="115"/>
          <w:sz w:val="48"/>
        </w:rPr>
        <w:t> </w:t>
      </w:r>
      <w:r>
        <w:rPr>
          <w:rFonts w:ascii="Stone Sans II ITC Std X Bd" w:hAnsi="Stone Sans II ITC Std X Bd"/>
          <w:b/>
          <w:spacing w:val="-9"/>
          <w:w w:val="115"/>
          <w:sz w:val="48"/>
        </w:rPr>
        <w:t>Response</w:t>
      </w:r>
      <w:r>
        <w:rPr>
          <w:rFonts w:ascii="Stone Sans II ITC Std X Bd" w:hAnsi="Stone Sans II ITC Std X Bd"/>
          <w:b/>
          <w:spacing w:val="-47"/>
          <w:w w:val="115"/>
          <w:sz w:val="48"/>
        </w:rPr>
        <w:t> </w:t>
      </w:r>
      <w:r>
        <w:rPr>
          <w:rFonts w:ascii="Stone Sans II ITC Std X Bd" w:hAnsi="Stone Sans II ITC Std X Bd"/>
          <w:b/>
          <w:spacing w:val="-9"/>
          <w:w w:val="115"/>
          <w:sz w:val="48"/>
        </w:rPr>
        <w:t>to</w:t>
      </w:r>
      <w:r>
        <w:rPr>
          <w:rFonts w:ascii="Stone Sans II ITC Std X Bd" w:hAnsi="Stone Sans II ITC Std X Bd"/>
          <w:b/>
          <w:spacing w:val="-47"/>
          <w:w w:val="115"/>
          <w:sz w:val="48"/>
        </w:rPr>
        <w:t> </w:t>
      </w:r>
      <w:r>
        <w:rPr>
          <w:rFonts w:ascii="Stone Sans II ITC Std X Bd" w:hAnsi="Stone Sans II ITC Std X Bd"/>
          <w:b/>
          <w:spacing w:val="-8"/>
          <w:w w:val="115"/>
          <w:sz w:val="48"/>
        </w:rPr>
        <w:t>the</w:t>
      </w:r>
      <w:r>
        <w:rPr>
          <w:rFonts w:ascii="Stone Sans II ITC Std X Bd" w:hAnsi="Stone Sans II ITC Std X Bd"/>
          <w:b/>
          <w:spacing w:val="-47"/>
          <w:w w:val="115"/>
          <w:sz w:val="48"/>
        </w:rPr>
        <w:t> </w:t>
      </w:r>
      <w:r>
        <w:rPr>
          <w:rFonts w:ascii="Stone Sans II ITC Std X Bd" w:hAnsi="Stone Sans II ITC Std X Bd"/>
          <w:b/>
          <w:spacing w:val="-9"/>
          <w:w w:val="115"/>
          <w:sz w:val="48"/>
        </w:rPr>
        <w:t>World</w:t>
      </w:r>
      <w:r>
        <w:rPr>
          <w:rFonts w:ascii="Stone Sans II ITC Std X Bd" w:hAnsi="Stone Sans II ITC Std X Bd"/>
          <w:b/>
          <w:spacing w:val="-47"/>
          <w:w w:val="115"/>
          <w:sz w:val="48"/>
        </w:rPr>
        <w:t> </w:t>
      </w:r>
      <w:r>
        <w:rPr>
          <w:rFonts w:ascii="Stone Sans II ITC Std X Bd" w:hAnsi="Stone Sans II ITC Std X Bd"/>
          <w:b/>
          <w:spacing w:val="-10"/>
          <w:w w:val="115"/>
          <w:sz w:val="48"/>
        </w:rPr>
        <w:t>Council </w:t>
      </w:r>
      <w:r>
        <w:rPr>
          <w:rFonts w:ascii="Stone Sans II ITC Std X Bd" w:hAnsi="Stone Sans II ITC Std X Bd"/>
          <w:b/>
          <w:spacing w:val="-5"/>
          <w:w w:val="115"/>
          <w:sz w:val="48"/>
        </w:rPr>
        <w:t>of </w:t>
      </w:r>
      <w:r>
        <w:rPr>
          <w:rFonts w:ascii="Stone Sans II ITC Std X Bd" w:hAnsi="Stone Sans II ITC Std X Bd"/>
          <w:b/>
          <w:spacing w:val="-10"/>
          <w:w w:val="115"/>
          <w:sz w:val="48"/>
        </w:rPr>
        <w:t>Churches </w:t>
      </w:r>
      <w:r>
        <w:rPr>
          <w:rFonts w:ascii="Stone Sans II ITC Std X Bd" w:hAnsi="Stone Sans II ITC Std X Bd"/>
          <w:b/>
          <w:spacing w:val="-11"/>
          <w:w w:val="115"/>
          <w:sz w:val="48"/>
        </w:rPr>
        <w:t>convergence </w:t>
      </w:r>
      <w:r>
        <w:rPr>
          <w:rFonts w:ascii="Stone Sans II ITC Std X Bd" w:hAnsi="Stone Sans II ITC Std X Bd"/>
          <w:b/>
          <w:spacing w:val="-9"/>
          <w:w w:val="115"/>
          <w:sz w:val="48"/>
        </w:rPr>
        <w:t>document, </w:t>
      </w:r>
      <w:r>
        <w:rPr>
          <w:rFonts w:ascii="Stone Sans II ITC Std X Bd" w:hAnsi="Stone Sans II ITC Std X Bd"/>
          <w:b/>
          <w:spacing w:val="-3"/>
          <w:w w:val="115"/>
          <w:sz w:val="48"/>
        </w:rPr>
        <w:t>‘The </w:t>
      </w:r>
      <w:r>
        <w:rPr>
          <w:rFonts w:ascii="Stone Sans II ITC Std X Bd" w:hAnsi="Stone Sans II ITC Std X Bd"/>
          <w:b/>
          <w:spacing w:val="-11"/>
          <w:w w:val="115"/>
          <w:sz w:val="48"/>
        </w:rPr>
        <w:t>Church: </w:t>
      </w:r>
      <w:r>
        <w:rPr>
          <w:rFonts w:ascii="Stone Sans II ITC Std X Bd" w:hAnsi="Stone Sans II ITC Std X Bd"/>
          <w:b/>
          <w:spacing w:val="-16"/>
          <w:w w:val="115"/>
          <w:sz w:val="48"/>
        </w:rPr>
        <w:t>Towards </w:t>
      </w:r>
      <w:r>
        <w:rPr>
          <w:rFonts w:ascii="Stone Sans II ITC Std X Bd" w:hAnsi="Stone Sans II ITC Std X Bd"/>
          <w:b/>
          <w:w w:val="115"/>
          <w:sz w:val="48"/>
        </w:rPr>
        <w:t>a </w:t>
      </w:r>
      <w:r>
        <w:rPr>
          <w:rFonts w:ascii="Stone Sans II ITC Std X Bd" w:hAnsi="Stone Sans II ITC Std X Bd"/>
          <w:b/>
          <w:spacing w:val="-9"/>
          <w:w w:val="115"/>
          <w:sz w:val="48"/>
        </w:rPr>
        <w:t>Common</w:t>
      </w:r>
      <w:r>
        <w:rPr>
          <w:rFonts w:ascii="Stone Sans II ITC Std X Bd" w:hAnsi="Stone Sans II ITC Std X Bd"/>
          <w:b/>
          <w:spacing w:val="-58"/>
          <w:w w:val="115"/>
          <w:sz w:val="48"/>
        </w:rPr>
        <w:t> </w:t>
      </w:r>
      <w:r>
        <w:rPr>
          <w:rFonts w:ascii="Stone Sans II ITC Std X Bd" w:hAnsi="Stone Sans II ITC Std X Bd"/>
          <w:b/>
          <w:spacing w:val="-9"/>
          <w:w w:val="115"/>
          <w:sz w:val="48"/>
        </w:rPr>
        <w:t>Vision’</w:t>
      </w:r>
    </w:p>
    <w:p>
      <w:pPr>
        <w:spacing w:line="261" w:lineRule="auto" w:before="169"/>
        <w:ind w:left="1571" w:right="1478" w:firstLine="0"/>
        <w:jc w:val="left"/>
        <w:rPr>
          <w:sz w:val="18"/>
        </w:rPr>
      </w:pPr>
      <w:r>
        <w:rPr/>
        <w:pict>
          <v:line style="position:absolute;mso-position-horizontal-relative:page;mso-position-vertical-relative:paragraph;z-index:251948032" from="99.212601pt,10.258506pt" to="99.212601pt,89.629506pt" stroked="true" strokeweight="2pt" strokecolor="#0090d4">
            <v:stroke dashstyle="solid"/>
            <w10:wrap type="none"/>
          </v:line>
        </w:pict>
      </w:r>
      <w:r>
        <w:rPr>
          <w:color w:val="707172"/>
          <w:w w:val="120"/>
          <w:sz w:val="18"/>
        </w:rPr>
        <w:t>The </w:t>
      </w:r>
      <w:r>
        <w:rPr>
          <w:color w:val="707172"/>
          <w:spacing w:val="2"/>
          <w:w w:val="120"/>
          <w:sz w:val="18"/>
        </w:rPr>
        <w:t>report </w:t>
      </w:r>
      <w:r>
        <w:rPr>
          <w:color w:val="707172"/>
          <w:w w:val="120"/>
          <w:sz w:val="18"/>
        </w:rPr>
        <w:t>of the World Council of Churches, </w:t>
      </w:r>
      <w:r>
        <w:rPr>
          <w:i/>
          <w:color w:val="707172"/>
          <w:w w:val="120"/>
          <w:sz w:val="18"/>
        </w:rPr>
        <w:t>The Church: </w:t>
      </w:r>
      <w:r>
        <w:rPr>
          <w:i/>
          <w:color w:val="707172"/>
          <w:spacing w:val="-3"/>
          <w:w w:val="120"/>
          <w:sz w:val="18"/>
        </w:rPr>
        <w:t>Towards </w:t>
      </w:r>
      <w:r>
        <w:rPr>
          <w:i/>
          <w:color w:val="707172"/>
          <w:w w:val="120"/>
          <w:sz w:val="18"/>
        </w:rPr>
        <w:t>a Common Vision </w:t>
      </w:r>
      <w:r>
        <w:rPr>
          <w:color w:val="707172"/>
          <w:w w:val="120"/>
          <w:sz w:val="18"/>
        </w:rPr>
        <w:t>is elegantly and graciously written – obviously with much thought and care and respect for all  the different churches. Rather than confronting </w:t>
      </w:r>
      <w:r>
        <w:rPr>
          <w:color w:val="707172"/>
          <w:spacing w:val="2"/>
          <w:w w:val="120"/>
          <w:sz w:val="18"/>
        </w:rPr>
        <w:t>head-on </w:t>
      </w:r>
      <w:r>
        <w:rPr>
          <w:color w:val="707172"/>
          <w:w w:val="120"/>
          <w:sz w:val="18"/>
        </w:rPr>
        <w:t>great differences between different Christian denominations, it steps back and looks at the process of how we discuss and reason with</w:t>
      </w:r>
      <w:r>
        <w:rPr>
          <w:color w:val="707172"/>
          <w:spacing w:val="6"/>
          <w:w w:val="120"/>
          <w:sz w:val="18"/>
        </w:rPr>
        <w:t> </w:t>
      </w:r>
      <w:r>
        <w:rPr>
          <w:color w:val="707172"/>
          <w:w w:val="120"/>
          <w:sz w:val="18"/>
        </w:rPr>
        <w:t>each</w:t>
      </w:r>
      <w:r>
        <w:rPr>
          <w:color w:val="707172"/>
          <w:spacing w:val="6"/>
          <w:w w:val="120"/>
          <w:sz w:val="18"/>
        </w:rPr>
        <w:t> </w:t>
      </w:r>
      <w:r>
        <w:rPr>
          <w:color w:val="707172"/>
          <w:w w:val="120"/>
          <w:sz w:val="18"/>
        </w:rPr>
        <w:t>other</w:t>
      </w:r>
      <w:r>
        <w:rPr>
          <w:color w:val="707172"/>
          <w:spacing w:val="6"/>
          <w:w w:val="120"/>
          <w:sz w:val="18"/>
        </w:rPr>
        <w:t> </w:t>
      </w:r>
      <w:r>
        <w:rPr>
          <w:color w:val="707172"/>
          <w:w w:val="120"/>
          <w:sz w:val="18"/>
        </w:rPr>
        <w:t>–</w:t>
      </w:r>
      <w:r>
        <w:rPr>
          <w:color w:val="707172"/>
          <w:spacing w:val="6"/>
          <w:w w:val="120"/>
          <w:sz w:val="18"/>
        </w:rPr>
        <w:t> </w:t>
      </w:r>
      <w:r>
        <w:rPr>
          <w:color w:val="707172"/>
          <w:w w:val="120"/>
          <w:sz w:val="18"/>
        </w:rPr>
        <w:t>with</w:t>
      </w:r>
      <w:r>
        <w:rPr>
          <w:color w:val="707172"/>
          <w:spacing w:val="7"/>
          <w:w w:val="120"/>
          <w:sz w:val="18"/>
        </w:rPr>
        <w:t> </w:t>
      </w:r>
      <w:r>
        <w:rPr>
          <w:color w:val="707172"/>
          <w:w w:val="120"/>
          <w:sz w:val="18"/>
        </w:rPr>
        <w:t>the</w:t>
      </w:r>
      <w:r>
        <w:rPr>
          <w:color w:val="707172"/>
          <w:spacing w:val="6"/>
          <w:w w:val="120"/>
          <w:sz w:val="18"/>
        </w:rPr>
        <w:t> </w:t>
      </w:r>
      <w:r>
        <w:rPr>
          <w:color w:val="707172"/>
          <w:w w:val="120"/>
          <w:sz w:val="18"/>
        </w:rPr>
        <w:t>intention</w:t>
      </w:r>
      <w:r>
        <w:rPr>
          <w:color w:val="707172"/>
          <w:spacing w:val="6"/>
          <w:w w:val="120"/>
          <w:sz w:val="18"/>
        </w:rPr>
        <w:t> </w:t>
      </w:r>
      <w:r>
        <w:rPr>
          <w:color w:val="707172"/>
          <w:w w:val="120"/>
          <w:sz w:val="18"/>
        </w:rPr>
        <w:t>of</w:t>
      </w:r>
      <w:r>
        <w:rPr>
          <w:color w:val="707172"/>
          <w:spacing w:val="6"/>
          <w:w w:val="120"/>
          <w:sz w:val="18"/>
        </w:rPr>
        <w:t> </w:t>
      </w:r>
      <w:r>
        <w:rPr>
          <w:color w:val="707172"/>
          <w:w w:val="120"/>
          <w:sz w:val="18"/>
        </w:rPr>
        <w:t>listening</w:t>
      </w:r>
      <w:r>
        <w:rPr>
          <w:color w:val="707172"/>
          <w:spacing w:val="6"/>
          <w:w w:val="120"/>
          <w:sz w:val="18"/>
        </w:rPr>
        <w:t> </w:t>
      </w:r>
      <w:r>
        <w:rPr>
          <w:color w:val="707172"/>
          <w:w w:val="120"/>
          <w:sz w:val="18"/>
        </w:rPr>
        <w:t>to</w:t>
      </w:r>
      <w:r>
        <w:rPr>
          <w:color w:val="707172"/>
          <w:spacing w:val="7"/>
          <w:w w:val="120"/>
          <w:sz w:val="18"/>
        </w:rPr>
        <w:t> </w:t>
      </w:r>
      <w:r>
        <w:rPr>
          <w:color w:val="707172"/>
          <w:w w:val="120"/>
          <w:sz w:val="18"/>
        </w:rPr>
        <w:t>and</w:t>
      </w:r>
      <w:r>
        <w:rPr>
          <w:color w:val="707172"/>
          <w:spacing w:val="6"/>
          <w:w w:val="120"/>
          <w:sz w:val="18"/>
        </w:rPr>
        <w:t> </w:t>
      </w:r>
      <w:r>
        <w:rPr>
          <w:color w:val="707172"/>
          <w:w w:val="120"/>
          <w:sz w:val="18"/>
        </w:rPr>
        <w:t>understanding</w:t>
      </w:r>
      <w:r>
        <w:rPr>
          <w:color w:val="707172"/>
          <w:spacing w:val="6"/>
          <w:w w:val="120"/>
          <w:sz w:val="18"/>
        </w:rPr>
        <w:t> </w:t>
      </w:r>
      <w:r>
        <w:rPr>
          <w:color w:val="707172"/>
          <w:w w:val="120"/>
          <w:sz w:val="18"/>
        </w:rPr>
        <w:t>each</w:t>
      </w:r>
      <w:r>
        <w:rPr>
          <w:color w:val="707172"/>
          <w:spacing w:val="6"/>
          <w:w w:val="120"/>
          <w:sz w:val="18"/>
        </w:rPr>
        <w:t> </w:t>
      </w:r>
      <w:r>
        <w:rPr>
          <w:color w:val="707172"/>
          <w:w w:val="120"/>
          <w:sz w:val="18"/>
        </w:rPr>
        <w:t>other.</w:t>
      </w:r>
    </w:p>
    <w:p>
      <w:pPr>
        <w:pStyle w:val="BodyText"/>
        <w:spacing w:before="10"/>
        <w:rPr>
          <w:sz w:val="19"/>
        </w:rPr>
      </w:pPr>
    </w:p>
    <w:p>
      <w:pPr>
        <w:spacing w:before="1"/>
        <w:ind w:left="1571" w:right="0" w:firstLine="0"/>
        <w:jc w:val="left"/>
        <w:rPr>
          <w:sz w:val="18"/>
        </w:rPr>
      </w:pPr>
      <w:r>
        <w:rPr>
          <w:color w:val="707172"/>
          <w:w w:val="120"/>
          <w:sz w:val="18"/>
        </w:rPr>
        <w:t>The responses below relate to the indicated sections of the document itself.</w:t>
      </w:r>
    </w:p>
    <w:p>
      <w:pPr>
        <w:pStyle w:val="BodyText"/>
        <w:rPr>
          <w:sz w:val="22"/>
        </w:rPr>
      </w:pPr>
    </w:p>
    <w:p>
      <w:pPr>
        <w:pStyle w:val="BodyText"/>
        <w:spacing w:before="1"/>
      </w:pPr>
    </w:p>
    <w:p>
      <w:pPr>
        <w:pStyle w:val="ListParagraph"/>
        <w:numPr>
          <w:ilvl w:val="0"/>
          <w:numId w:val="137"/>
        </w:numPr>
        <w:tabs>
          <w:tab w:pos="2024" w:val="left" w:leader="none"/>
          <w:tab w:pos="2025" w:val="left" w:leader="none"/>
        </w:tabs>
        <w:spacing w:line="240" w:lineRule="auto" w:before="0" w:after="0"/>
        <w:ind w:left="2024" w:right="0" w:hanging="681"/>
        <w:jc w:val="left"/>
        <w:rPr>
          <w:rFonts w:ascii="Stone Sans II ITC Std Bk"/>
          <w:b/>
          <w:sz w:val="29"/>
        </w:rPr>
      </w:pPr>
      <w:r>
        <w:rPr>
          <w:rFonts w:ascii="Stone Sans II ITC Std Bk"/>
          <w:b/>
          <w:spacing w:val="4"/>
          <w:w w:val="110"/>
          <w:sz w:val="29"/>
        </w:rPr>
        <w:t>Introduction</w:t>
      </w:r>
    </w:p>
    <w:p>
      <w:pPr>
        <w:pStyle w:val="Heading7"/>
        <w:numPr>
          <w:ilvl w:val="1"/>
          <w:numId w:val="137"/>
        </w:numPr>
        <w:tabs>
          <w:tab w:pos="2024" w:val="left" w:leader="none"/>
          <w:tab w:pos="2025" w:val="left" w:leader="none"/>
        </w:tabs>
        <w:spacing w:line="213" w:lineRule="auto" w:before="75" w:after="0"/>
        <w:ind w:left="1344" w:right="1657" w:firstLine="0"/>
        <w:jc w:val="left"/>
      </w:pPr>
      <w:r>
        <w:rPr>
          <w:spacing w:val="-7"/>
          <w:w w:val="110"/>
        </w:rPr>
        <w:t>To </w:t>
      </w:r>
      <w:r>
        <w:rPr>
          <w:w w:val="110"/>
        </w:rPr>
        <w:t>what extent does the text reflect the ecclesiastical understanding of the</w:t>
      </w:r>
      <w:r>
        <w:rPr>
          <w:spacing w:val="-1"/>
          <w:w w:val="110"/>
        </w:rPr>
        <w:t> </w:t>
      </w:r>
      <w:r>
        <w:rPr>
          <w:w w:val="110"/>
        </w:rPr>
        <w:t>URC?</w:t>
      </w:r>
    </w:p>
    <w:p>
      <w:pPr>
        <w:pStyle w:val="ListParagraph"/>
        <w:numPr>
          <w:ilvl w:val="2"/>
          <w:numId w:val="137"/>
        </w:numPr>
        <w:tabs>
          <w:tab w:pos="2024" w:val="left" w:leader="none"/>
          <w:tab w:pos="2025" w:val="left" w:leader="none"/>
        </w:tabs>
        <w:spacing w:line="235" w:lineRule="auto" w:before="0" w:after="0"/>
        <w:ind w:left="1344" w:right="1858" w:firstLine="0"/>
        <w:jc w:val="left"/>
        <w:rPr>
          <w:sz w:val="20"/>
        </w:rPr>
      </w:pPr>
      <w:r>
        <w:rPr>
          <w:w w:val="120"/>
          <w:sz w:val="20"/>
        </w:rPr>
        <w:t>In many ways the </w:t>
      </w:r>
      <w:r>
        <w:rPr>
          <w:spacing w:val="2"/>
          <w:w w:val="120"/>
          <w:sz w:val="20"/>
        </w:rPr>
        <w:t>report </w:t>
      </w:r>
      <w:r>
        <w:rPr>
          <w:w w:val="120"/>
          <w:sz w:val="20"/>
        </w:rPr>
        <w:t>reflects the values and principles of the United Reformed Church. We are one in Christ, yet the Church in the world is </w:t>
      </w:r>
      <w:r>
        <w:rPr>
          <w:spacing w:val="2"/>
          <w:w w:val="120"/>
          <w:sz w:val="20"/>
        </w:rPr>
        <w:t>imperfect </w:t>
      </w:r>
      <w:r>
        <w:rPr>
          <w:w w:val="120"/>
          <w:sz w:val="20"/>
        </w:rPr>
        <w:t>and we have different histories, traditions and styles of worship that mean there</w:t>
      </w:r>
      <w:r>
        <w:rPr>
          <w:spacing w:val="-29"/>
          <w:w w:val="120"/>
          <w:sz w:val="20"/>
        </w:rPr>
        <w:t> </w:t>
      </w:r>
      <w:r>
        <w:rPr>
          <w:w w:val="120"/>
          <w:sz w:val="20"/>
        </w:rPr>
        <w:t>is</w:t>
      </w:r>
    </w:p>
    <w:p>
      <w:pPr>
        <w:pStyle w:val="BodyText"/>
        <w:spacing w:line="235" w:lineRule="auto"/>
        <w:ind w:left="1344" w:right="1546"/>
      </w:pPr>
      <w:r>
        <w:rPr>
          <w:w w:val="120"/>
        </w:rPr>
        <w:t>diversity of expressions of the Christian faith. The URC would agree with Chapter I the understanding that the church is to further God’s work of healing and reconciliation accomplished through Christ Jesus by worship, initiating new members by baptism,   by</w:t>
      </w:r>
      <w:r>
        <w:rPr>
          <w:spacing w:val="13"/>
          <w:w w:val="120"/>
        </w:rPr>
        <w:t> </w:t>
      </w:r>
      <w:r>
        <w:rPr>
          <w:w w:val="120"/>
        </w:rPr>
        <w:t>discipleship</w:t>
      </w:r>
      <w:r>
        <w:rPr>
          <w:spacing w:val="14"/>
          <w:w w:val="120"/>
        </w:rPr>
        <w:t> </w:t>
      </w:r>
      <w:r>
        <w:rPr>
          <w:w w:val="120"/>
        </w:rPr>
        <w:t>and</w:t>
      </w:r>
      <w:r>
        <w:rPr>
          <w:spacing w:val="13"/>
          <w:w w:val="120"/>
        </w:rPr>
        <w:t> </w:t>
      </w:r>
      <w:r>
        <w:rPr>
          <w:w w:val="120"/>
        </w:rPr>
        <w:t>celebrating</w:t>
      </w:r>
      <w:r>
        <w:rPr>
          <w:spacing w:val="14"/>
          <w:w w:val="120"/>
        </w:rPr>
        <w:t> </w:t>
      </w:r>
      <w:r>
        <w:rPr>
          <w:w w:val="120"/>
        </w:rPr>
        <w:t>Holy</w:t>
      </w:r>
      <w:r>
        <w:rPr>
          <w:spacing w:val="13"/>
          <w:w w:val="120"/>
        </w:rPr>
        <w:t> </w:t>
      </w:r>
      <w:r>
        <w:rPr>
          <w:w w:val="120"/>
        </w:rPr>
        <w:t>Communion,</w:t>
      </w:r>
      <w:r>
        <w:rPr>
          <w:spacing w:val="14"/>
          <w:w w:val="120"/>
        </w:rPr>
        <w:t> </w:t>
      </w:r>
      <w:r>
        <w:rPr>
          <w:w w:val="120"/>
        </w:rPr>
        <w:t>proclaiming</w:t>
      </w:r>
      <w:r>
        <w:rPr>
          <w:spacing w:val="14"/>
          <w:w w:val="120"/>
        </w:rPr>
        <w:t> </w:t>
      </w:r>
      <w:r>
        <w:rPr>
          <w:w w:val="120"/>
        </w:rPr>
        <w:t>the</w:t>
      </w:r>
      <w:r>
        <w:rPr>
          <w:spacing w:val="13"/>
          <w:w w:val="120"/>
        </w:rPr>
        <w:t> </w:t>
      </w:r>
      <w:r>
        <w:rPr>
          <w:w w:val="120"/>
        </w:rPr>
        <w:t>Word</w:t>
      </w:r>
      <w:r>
        <w:rPr>
          <w:spacing w:val="14"/>
          <w:w w:val="120"/>
        </w:rPr>
        <w:t> </w:t>
      </w:r>
      <w:r>
        <w:rPr>
          <w:w w:val="120"/>
        </w:rPr>
        <w:t>of</w:t>
      </w:r>
      <w:r>
        <w:rPr>
          <w:spacing w:val="13"/>
          <w:w w:val="120"/>
        </w:rPr>
        <w:t> </w:t>
      </w:r>
      <w:r>
        <w:rPr>
          <w:w w:val="120"/>
        </w:rPr>
        <w:t>God</w:t>
      </w:r>
      <w:r>
        <w:rPr>
          <w:spacing w:val="14"/>
          <w:w w:val="120"/>
        </w:rPr>
        <w:t> </w:t>
      </w:r>
      <w:r>
        <w:rPr>
          <w:w w:val="120"/>
        </w:rPr>
        <w:t>and</w:t>
      </w:r>
    </w:p>
    <w:p>
      <w:pPr>
        <w:pStyle w:val="BodyText"/>
        <w:spacing w:line="235" w:lineRule="auto"/>
        <w:ind w:left="1344" w:right="1309"/>
      </w:pPr>
      <w:r>
        <w:rPr>
          <w:w w:val="120"/>
        </w:rPr>
        <w:t>acknowledging that Christ is crucified and risen. </w:t>
      </w:r>
      <w:r>
        <w:rPr>
          <w:spacing w:val="3"/>
          <w:w w:val="120"/>
        </w:rPr>
        <w:t>As </w:t>
      </w:r>
      <w:r>
        <w:rPr>
          <w:w w:val="120"/>
        </w:rPr>
        <w:t>a church in the Reformed tradition, the URC understands the church as the body of Christ where the Word is preached,    the sacraments of Holy Communion and baptism are practiced, and church discipline maintained. There is recognition that the church is fallible, full of ‘sinners saved by grace’ and therefore needs to be continually reformed. There is a strong emphasis in the URC on unity and a real desire to work ecumenically wherever possible and to work towards organic unity with other</w:t>
      </w:r>
      <w:r>
        <w:rPr>
          <w:spacing w:val="11"/>
          <w:w w:val="120"/>
        </w:rPr>
        <w:t> </w:t>
      </w:r>
      <w:r>
        <w:rPr>
          <w:w w:val="120"/>
        </w:rPr>
        <w:t>churches.</w:t>
      </w:r>
    </w:p>
    <w:p>
      <w:pPr>
        <w:pStyle w:val="BodyText"/>
        <w:spacing w:before="11"/>
        <w:rPr>
          <w:sz w:val="19"/>
        </w:rPr>
      </w:pPr>
    </w:p>
    <w:p>
      <w:pPr>
        <w:pStyle w:val="ListParagraph"/>
        <w:numPr>
          <w:ilvl w:val="2"/>
          <w:numId w:val="137"/>
        </w:numPr>
        <w:tabs>
          <w:tab w:pos="2024" w:val="left" w:leader="none"/>
          <w:tab w:pos="2025" w:val="left" w:leader="none"/>
        </w:tabs>
        <w:spacing w:line="235" w:lineRule="auto" w:before="0" w:after="0"/>
        <w:ind w:left="1344" w:right="1340" w:firstLine="0"/>
        <w:jc w:val="left"/>
        <w:rPr>
          <w:sz w:val="20"/>
        </w:rPr>
      </w:pPr>
      <w:r>
        <w:rPr>
          <w:w w:val="120"/>
          <w:sz w:val="20"/>
        </w:rPr>
        <w:t>In addition </w:t>
      </w:r>
      <w:r>
        <w:rPr>
          <w:spacing w:val="-3"/>
          <w:w w:val="120"/>
          <w:sz w:val="20"/>
        </w:rPr>
        <w:t>to </w:t>
      </w:r>
      <w:r>
        <w:rPr>
          <w:spacing w:val="-2"/>
          <w:w w:val="120"/>
          <w:sz w:val="20"/>
        </w:rPr>
        <w:t>providing </w:t>
      </w:r>
      <w:r>
        <w:rPr>
          <w:spacing w:val="-3"/>
          <w:w w:val="120"/>
          <w:sz w:val="20"/>
        </w:rPr>
        <w:t>worship </w:t>
      </w:r>
      <w:r>
        <w:rPr>
          <w:w w:val="120"/>
          <w:sz w:val="20"/>
        </w:rPr>
        <w:t>and pastoral </w:t>
      </w:r>
      <w:r>
        <w:rPr>
          <w:spacing w:val="-3"/>
          <w:w w:val="120"/>
          <w:sz w:val="20"/>
        </w:rPr>
        <w:t>care, </w:t>
      </w:r>
      <w:r>
        <w:rPr>
          <w:w w:val="120"/>
          <w:sz w:val="20"/>
        </w:rPr>
        <w:t>the URC has a history and </w:t>
      </w:r>
      <w:r>
        <w:rPr>
          <w:spacing w:val="-3"/>
          <w:w w:val="120"/>
          <w:sz w:val="20"/>
        </w:rPr>
        <w:t>focus </w:t>
      </w:r>
      <w:r>
        <w:rPr>
          <w:w w:val="120"/>
          <w:sz w:val="20"/>
        </w:rPr>
        <w:t>upon social action: our faith should be lived out in our </w:t>
      </w:r>
      <w:r>
        <w:rPr>
          <w:spacing w:val="-3"/>
          <w:w w:val="120"/>
          <w:sz w:val="20"/>
        </w:rPr>
        <w:t>lives, </w:t>
      </w:r>
      <w:r>
        <w:rPr>
          <w:spacing w:val="-2"/>
          <w:w w:val="120"/>
          <w:sz w:val="20"/>
        </w:rPr>
        <w:t>not </w:t>
      </w:r>
      <w:r>
        <w:rPr>
          <w:w w:val="120"/>
          <w:sz w:val="20"/>
        </w:rPr>
        <w:t>only as </w:t>
      </w:r>
      <w:r>
        <w:rPr>
          <w:spacing w:val="-3"/>
          <w:w w:val="120"/>
          <w:sz w:val="20"/>
        </w:rPr>
        <w:t>individuals, </w:t>
      </w:r>
      <w:r>
        <w:rPr>
          <w:w w:val="120"/>
          <w:sz w:val="20"/>
        </w:rPr>
        <w:t>but </w:t>
      </w:r>
      <w:r>
        <w:rPr>
          <w:spacing w:val="-4"/>
          <w:w w:val="120"/>
          <w:sz w:val="20"/>
        </w:rPr>
        <w:t>corporately, </w:t>
      </w:r>
      <w:r>
        <w:rPr>
          <w:w w:val="120"/>
          <w:sz w:val="20"/>
        </w:rPr>
        <w:t>and that we should stand alongside the </w:t>
      </w:r>
      <w:r>
        <w:rPr>
          <w:spacing w:val="-4"/>
          <w:w w:val="120"/>
          <w:sz w:val="20"/>
        </w:rPr>
        <w:t>poor, </w:t>
      </w:r>
      <w:r>
        <w:rPr>
          <w:w w:val="120"/>
          <w:sz w:val="20"/>
        </w:rPr>
        <w:t>sick and oppressed of our world, and work for </w:t>
      </w:r>
      <w:r>
        <w:rPr>
          <w:spacing w:val="-3"/>
          <w:w w:val="120"/>
          <w:sz w:val="20"/>
        </w:rPr>
        <w:t>justice </w:t>
      </w:r>
      <w:r>
        <w:rPr>
          <w:w w:val="120"/>
          <w:sz w:val="20"/>
        </w:rPr>
        <w:t>and </w:t>
      </w:r>
      <w:r>
        <w:rPr>
          <w:spacing w:val="-3"/>
          <w:w w:val="120"/>
          <w:sz w:val="20"/>
        </w:rPr>
        <w:t>peace. We </w:t>
      </w:r>
      <w:r>
        <w:rPr>
          <w:w w:val="120"/>
          <w:sz w:val="20"/>
        </w:rPr>
        <w:t>should be good </w:t>
      </w:r>
      <w:r>
        <w:rPr>
          <w:spacing w:val="-3"/>
          <w:w w:val="120"/>
          <w:sz w:val="20"/>
        </w:rPr>
        <w:t>stewards </w:t>
      </w:r>
      <w:r>
        <w:rPr>
          <w:w w:val="120"/>
          <w:sz w:val="20"/>
        </w:rPr>
        <w:t>of our</w:t>
      </w:r>
      <w:r>
        <w:rPr>
          <w:spacing w:val="-4"/>
          <w:w w:val="120"/>
          <w:sz w:val="20"/>
        </w:rPr>
        <w:t> </w:t>
      </w:r>
      <w:r>
        <w:rPr>
          <w:spacing w:val="-3"/>
          <w:w w:val="120"/>
          <w:sz w:val="20"/>
        </w:rPr>
        <w:t>environment</w:t>
      </w:r>
    </w:p>
    <w:p>
      <w:pPr>
        <w:pStyle w:val="BodyText"/>
        <w:spacing w:line="235" w:lineRule="auto" w:before="3"/>
        <w:ind w:left="1344" w:right="1217"/>
      </w:pPr>
      <w:r>
        <w:rPr>
          <w:w w:val="120"/>
        </w:rPr>
        <w:t>– for God is reconciling the whole world through Christ. This is seen in our work with the Council for World Mission, Christian Aid and the Fairtrade movement.</w:t>
      </w:r>
    </w:p>
    <w:p>
      <w:pPr>
        <w:pStyle w:val="BodyText"/>
        <w:spacing w:before="3"/>
      </w:pPr>
    </w:p>
    <w:p>
      <w:pPr>
        <w:pStyle w:val="Heading7"/>
        <w:numPr>
          <w:ilvl w:val="1"/>
          <w:numId w:val="137"/>
        </w:numPr>
        <w:tabs>
          <w:tab w:pos="2024" w:val="left" w:leader="none"/>
          <w:tab w:pos="2025" w:val="left" w:leader="none"/>
        </w:tabs>
        <w:spacing w:line="213" w:lineRule="auto" w:before="0" w:after="0"/>
        <w:ind w:left="1344" w:right="1944" w:firstLine="0"/>
        <w:jc w:val="left"/>
      </w:pPr>
      <w:r>
        <w:rPr>
          <w:spacing w:val="-7"/>
          <w:w w:val="110"/>
        </w:rPr>
        <w:t>To </w:t>
      </w:r>
      <w:r>
        <w:rPr>
          <w:w w:val="110"/>
        </w:rPr>
        <w:t>what extent does the text offer a basis for growth in unity among the</w:t>
      </w:r>
      <w:r>
        <w:rPr>
          <w:spacing w:val="-1"/>
          <w:w w:val="110"/>
        </w:rPr>
        <w:t> </w:t>
      </w:r>
      <w:r>
        <w:rPr>
          <w:w w:val="110"/>
        </w:rPr>
        <w:t>churches?</w:t>
      </w:r>
    </w:p>
    <w:p>
      <w:pPr>
        <w:pStyle w:val="ListParagraph"/>
        <w:numPr>
          <w:ilvl w:val="2"/>
          <w:numId w:val="137"/>
        </w:numPr>
        <w:tabs>
          <w:tab w:pos="2024" w:val="left" w:leader="none"/>
          <w:tab w:pos="2025" w:val="left" w:leader="none"/>
        </w:tabs>
        <w:spacing w:line="235" w:lineRule="auto" w:before="0" w:after="0"/>
        <w:ind w:left="1344" w:right="1521" w:firstLine="0"/>
        <w:jc w:val="left"/>
        <w:rPr>
          <w:sz w:val="20"/>
        </w:rPr>
      </w:pPr>
      <w:r>
        <w:rPr>
          <w:w w:val="120"/>
          <w:sz w:val="20"/>
        </w:rPr>
        <w:t>The URC acknowledges the gracious, patient and sensitive work that was involved in forming the </w:t>
      </w:r>
      <w:r>
        <w:rPr>
          <w:spacing w:val="-3"/>
          <w:w w:val="120"/>
          <w:sz w:val="20"/>
        </w:rPr>
        <w:t>WCC </w:t>
      </w:r>
      <w:r>
        <w:rPr>
          <w:spacing w:val="2"/>
          <w:w w:val="120"/>
          <w:sz w:val="20"/>
        </w:rPr>
        <w:t>report </w:t>
      </w:r>
      <w:r>
        <w:rPr>
          <w:w w:val="120"/>
          <w:sz w:val="20"/>
        </w:rPr>
        <w:t>and agrees that it offers a basis of understanding from which to develop greater unity among</w:t>
      </w:r>
      <w:r>
        <w:rPr>
          <w:spacing w:val="20"/>
          <w:w w:val="120"/>
          <w:sz w:val="20"/>
        </w:rPr>
        <w:t> </w:t>
      </w:r>
      <w:r>
        <w:rPr>
          <w:w w:val="120"/>
          <w:sz w:val="20"/>
        </w:rPr>
        <w:t>churches.</w:t>
      </w:r>
    </w:p>
    <w:p>
      <w:pPr>
        <w:pStyle w:val="BodyText"/>
        <w:spacing w:before="3"/>
        <w:rPr>
          <w:sz w:val="19"/>
        </w:rPr>
      </w:pPr>
    </w:p>
    <w:p>
      <w:pPr>
        <w:pStyle w:val="ListParagraph"/>
        <w:numPr>
          <w:ilvl w:val="2"/>
          <w:numId w:val="137"/>
        </w:numPr>
        <w:tabs>
          <w:tab w:pos="2025" w:val="left" w:leader="none"/>
        </w:tabs>
        <w:spacing w:line="235" w:lineRule="auto" w:before="0" w:after="0"/>
        <w:ind w:left="1344" w:right="1268" w:firstLine="0"/>
        <w:jc w:val="left"/>
        <w:rPr>
          <w:sz w:val="20"/>
        </w:rPr>
      </w:pPr>
      <w:r>
        <w:rPr>
          <w:w w:val="120"/>
          <w:sz w:val="20"/>
        </w:rPr>
        <w:t>The URC affirms, along with the other churches in the World Council of  Churches, the catholic faith witnessed in the Apostles’ and Nicene Creeds, included in the</w:t>
      </w:r>
      <w:r>
        <w:rPr>
          <w:spacing w:val="-4"/>
          <w:w w:val="120"/>
          <w:sz w:val="20"/>
        </w:rPr>
        <w:t> </w:t>
      </w:r>
      <w:r>
        <w:rPr>
          <w:i/>
          <w:w w:val="120"/>
          <w:sz w:val="20"/>
        </w:rPr>
        <w:t>Basis</w:t>
      </w:r>
      <w:r>
        <w:rPr>
          <w:i/>
          <w:spacing w:val="-7"/>
          <w:w w:val="120"/>
          <w:sz w:val="20"/>
        </w:rPr>
        <w:t> </w:t>
      </w:r>
      <w:r>
        <w:rPr>
          <w:i/>
          <w:w w:val="120"/>
          <w:sz w:val="20"/>
        </w:rPr>
        <w:t>of</w:t>
      </w:r>
      <w:r>
        <w:rPr>
          <w:i/>
          <w:spacing w:val="-6"/>
          <w:w w:val="120"/>
          <w:sz w:val="20"/>
        </w:rPr>
        <w:t> </w:t>
      </w:r>
      <w:r>
        <w:rPr>
          <w:i/>
          <w:w w:val="120"/>
          <w:sz w:val="20"/>
        </w:rPr>
        <w:t>Union</w:t>
      </w:r>
      <w:r>
        <w:rPr>
          <w:i/>
          <w:spacing w:val="-4"/>
          <w:w w:val="120"/>
          <w:sz w:val="20"/>
        </w:rPr>
        <w:t> </w:t>
      </w:r>
      <w:r>
        <w:rPr>
          <w:w w:val="120"/>
          <w:sz w:val="20"/>
        </w:rPr>
        <w:t>Para</w:t>
      </w:r>
      <w:r>
        <w:rPr>
          <w:spacing w:val="-4"/>
          <w:w w:val="120"/>
          <w:sz w:val="20"/>
        </w:rPr>
        <w:t> </w:t>
      </w:r>
      <w:r>
        <w:rPr>
          <w:spacing w:val="-7"/>
          <w:w w:val="120"/>
          <w:sz w:val="20"/>
        </w:rPr>
        <w:t>18</w:t>
      </w:r>
      <w:r>
        <w:rPr>
          <w:spacing w:val="-4"/>
          <w:w w:val="120"/>
          <w:sz w:val="20"/>
        </w:rPr>
        <w:t> </w:t>
      </w:r>
      <w:r>
        <w:rPr>
          <w:w w:val="120"/>
          <w:sz w:val="20"/>
        </w:rPr>
        <w:t>and</w:t>
      </w:r>
      <w:r>
        <w:rPr>
          <w:spacing w:val="-4"/>
          <w:w w:val="120"/>
          <w:sz w:val="20"/>
        </w:rPr>
        <w:t> </w:t>
      </w:r>
      <w:r>
        <w:rPr>
          <w:w w:val="120"/>
          <w:sz w:val="20"/>
        </w:rPr>
        <w:t>the</w:t>
      </w:r>
      <w:r>
        <w:rPr>
          <w:spacing w:val="-3"/>
          <w:w w:val="120"/>
          <w:sz w:val="20"/>
        </w:rPr>
        <w:t> </w:t>
      </w:r>
      <w:r>
        <w:rPr>
          <w:w w:val="120"/>
          <w:sz w:val="20"/>
        </w:rPr>
        <w:t>Nature,</w:t>
      </w:r>
      <w:r>
        <w:rPr>
          <w:spacing w:val="-4"/>
          <w:w w:val="120"/>
          <w:sz w:val="20"/>
        </w:rPr>
        <w:t> </w:t>
      </w:r>
      <w:r>
        <w:rPr>
          <w:w w:val="120"/>
          <w:sz w:val="20"/>
        </w:rPr>
        <w:t>Faith</w:t>
      </w:r>
      <w:r>
        <w:rPr>
          <w:spacing w:val="-4"/>
          <w:w w:val="120"/>
          <w:sz w:val="20"/>
        </w:rPr>
        <w:t> </w:t>
      </w:r>
      <w:r>
        <w:rPr>
          <w:w w:val="120"/>
          <w:sz w:val="20"/>
        </w:rPr>
        <w:t>and</w:t>
      </w:r>
      <w:r>
        <w:rPr>
          <w:spacing w:val="-4"/>
          <w:w w:val="120"/>
          <w:sz w:val="20"/>
        </w:rPr>
        <w:t> </w:t>
      </w:r>
      <w:r>
        <w:rPr>
          <w:w w:val="120"/>
          <w:sz w:val="20"/>
        </w:rPr>
        <w:t>Order</w:t>
      </w:r>
      <w:r>
        <w:rPr>
          <w:spacing w:val="-4"/>
          <w:w w:val="120"/>
          <w:sz w:val="20"/>
        </w:rPr>
        <w:t> </w:t>
      </w:r>
      <w:r>
        <w:rPr>
          <w:w w:val="120"/>
          <w:sz w:val="20"/>
        </w:rPr>
        <w:t>of</w:t>
      </w:r>
      <w:r>
        <w:rPr>
          <w:spacing w:val="-3"/>
          <w:w w:val="120"/>
          <w:sz w:val="20"/>
        </w:rPr>
        <w:t> </w:t>
      </w:r>
      <w:r>
        <w:rPr>
          <w:w w:val="120"/>
          <w:sz w:val="20"/>
        </w:rPr>
        <w:t>the</w:t>
      </w:r>
      <w:r>
        <w:rPr>
          <w:spacing w:val="-4"/>
          <w:w w:val="120"/>
          <w:sz w:val="20"/>
        </w:rPr>
        <w:t> </w:t>
      </w:r>
      <w:r>
        <w:rPr>
          <w:w w:val="120"/>
          <w:sz w:val="20"/>
        </w:rPr>
        <w:t>Church,</w:t>
      </w:r>
      <w:r>
        <w:rPr>
          <w:spacing w:val="-4"/>
          <w:w w:val="120"/>
          <w:sz w:val="20"/>
        </w:rPr>
        <w:t> </w:t>
      </w:r>
      <w:r>
        <w:rPr>
          <w:w w:val="120"/>
          <w:sz w:val="20"/>
        </w:rPr>
        <w:t>Para</w:t>
      </w:r>
      <w:r>
        <w:rPr>
          <w:spacing w:val="-4"/>
          <w:w w:val="120"/>
          <w:sz w:val="20"/>
        </w:rPr>
        <w:t> </w:t>
      </w:r>
      <w:r>
        <w:rPr>
          <w:w w:val="120"/>
          <w:sz w:val="20"/>
        </w:rPr>
        <w:t>4</w:t>
      </w:r>
      <w:r>
        <w:rPr>
          <w:spacing w:val="-4"/>
          <w:w w:val="120"/>
          <w:sz w:val="20"/>
        </w:rPr>
        <w:t> </w:t>
      </w:r>
      <w:r>
        <w:rPr>
          <w:w w:val="120"/>
          <w:sz w:val="20"/>
        </w:rPr>
        <w:t>and</w:t>
      </w:r>
      <w:r>
        <w:rPr>
          <w:spacing w:val="-4"/>
          <w:w w:val="120"/>
          <w:sz w:val="20"/>
        </w:rPr>
        <w:t> </w:t>
      </w:r>
      <w:r>
        <w:rPr>
          <w:w w:val="120"/>
          <w:sz w:val="20"/>
        </w:rPr>
        <w:t>also in the URC hymnbook, </w:t>
      </w:r>
      <w:r>
        <w:rPr>
          <w:i/>
          <w:w w:val="120"/>
          <w:sz w:val="20"/>
        </w:rPr>
        <w:t>Rejoice and</w:t>
      </w:r>
      <w:r>
        <w:rPr>
          <w:i/>
          <w:spacing w:val="2"/>
          <w:w w:val="120"/>
          <w:sz w:val="20"/>
        </w:rPr>
        <w:t> </w:t>
      </w:r>
      <w:r>
        <w:rPr>
          <w:i/>
          <w:spacing w:val="-3"/>
          <w:w w:val="120"/>
          <w:sz w:val="20"/>
        </w:rPr>
        <w:t>Sing</w:t>
      </w:r>
      <w:r>
        <w:rPr>
          <w:spacing w:val="-3"/>
          <w:w w:val="120"/>
          <w:sz w:val="20"/>
        </w:rPr>
        <w:t>.</w:t>
      </w:r>
    </w:p>
    <w:p>
      <w:pPr>
        <w:pStyle w:val="BodyText"/>
        <w:spacing w:before="11"/>
        <w:rPr>
          <w:sz w:val="19"/>
        </w:rPr>
      </w:pPr>
    </w:p>
    <w:p>
      <w:pPr>
        <w:pStyle w:val="ListParagraph"/>
        <w:numPr>
          <w:ilvl w:val="2"/>
          <w:numId w:val="137"/>
        </w:numPr>
        <w:tabs>
          <w:tab w:pos="2025" w:val="left" w:leader="none"/>
        </w:tabs>
        <w:spacing w:line="235" w:lineRule="auto" w:before="0" w:after="0"/>
        <w:ind w:left="1344" w:right="1406" w:firstLine="0"/>
        <w:jc w:val="left"/>
        <w:rPr>
          <w:sz w:val="20"/>
        </w:rPr>
      </w:pPr>
      <w:r>
        <w:rPr>
          <w:w w:val="120"/>
          <w:sz w:val="20"/>
        </w:rPr>
        <w:t>The URC also affirms its right to make new declarations of faith according to the leading of the Holy Spirit. This can cause division and needs to be handled carefully  and patiently, using proper procedures. The URC recognises that churches hold different views on how to live as Christians – for example: </w:t>
      </w:r>
      <w:r>
        <w:rPr>
          <w:spacing w:val="-7"/>
          <w:w w:val="120"/>
          <w:sz w:val="20"/>
        </w:rPr>
        <w:t>a) </w:t>
      </w:r>
      <w:r>
        <w:rPr>
          <w:w w:val="120"/>
          <w:sz w:val="20"/>
        </w:rPr>
        <w:t>in the URC women</w:t>
      </w:r>
      <w:r>
        <w:rPr>
          <w:spacing w:val="47"/>
          <w:w w:val="120"/>
          <w:sz w:val="20"/>
        </w:rPr>
        <w:t> </w:t>
      </w:r>
      <w:r>
        <w:rPr>
          <w:w w:val="120"/>
          <w:sz w:val="20"/>
        </w:rPr>
        <w:t>may</w:t>
      </w:r>
    </w:p>
    <w:p>
      <w:pPr>
        <w:spacing w:after="0" w:line="235" w:lineRule="auto"/>
        <w:jc w:val="left"/>
        <w:rPr>
          <w:sz w:val="20"/>
        </w:rPr>
        <w:sectPr>
          <w:headerReference w:type="default" r:id="rId317"/>
          <w:footerReference w:type="default" r:id="rId318"/>
          <w:footerReference w:type="even" r:id="rId319"/>
          <w:pgSz w:w="11910" w:h="16840"/>
          <w:pgMar w:header="0" w:footer="647" w:top="0" w:bottom="840" w:left="640" w:right="0"/>
          <w:pgNumType w:start="109"/>
        </w:sectPr>
      </w:pPr>
    </w:p>
    <w:p>
      <w:pPr>
        <w:pStyle w:val="BodyText"/>
      </w:pPr>
      <w:r>
        <w:rPr/>
        <w:drawing>
          <wp:anchor distT="0" distB="0" distL="0" distR="0" allowOverlap="1" layoutInCell="1" locked="0" behindDoc="1" simplePos="0" relativeHeight="235496448">
            <wp:simplePos x="0" y="0"/>
            <wp:positionH relativeFrom="page">
              <wp:posOffset>0</wp:posOffset>
            </wp:positionH>
            <wp:positionV relativeFrom="page">
              <wp:posOffset>0</wp:posOffset>
            </wp:positionV>
            <wp:extent cx="594067" cy="10692003"/>
            <wp:effectExtent l="0" t="0" r="0" b="0"/>
            <wp:wrapNone/>
            <wp:docPr id="203" name="image67.png"/>
            <wp:cNvGraphicFramePr>
              <a:graphicFrameLocks noChangeAspect="1"/>
            </wp:cNvGraphicFramePr>
            <a:graphic>
              <a:graphicData uri="http://schemas.openxmlformats.org/drawingml/2006/picture">
                <pic:pic>
                  <pic:nvPicPr>
                    <pic:cNvPr id="204" name="image67.png"/>
                    <pic:cNvPicPr/>
                  </pic:nvPicPr>
                  <pic:blipFill>
                    <a:blip r:embed="rId184" cstate="print"/>
                    <a:stretch>
                      <a:fillRect/>
                    </a:stretch>
                  </pic:blipFill>
                  <pic:spPr>
                    <a:xfrm>
                      <a:off x="0" y="0"/>
                      <a:ext cx="594067" cy="10692003"/>
                    </a:xfrm>
                    <a:prstGeom prst="rect">
                      <a:avLst/>
                    </a:prstGeom>
                  </pic:spPr>
                </pic:pic>
              </a:graphicData>
            </a:graphic>
          </wp:anchor>
        </w:drawing>
      </w:r>
      <w:r>
        <w:rPr/>
        <w:pict>
          <v:shape style="position:absolute;margin-left:20.519100pt;margin-top:48.890015pt;width:25.9pt;height:444.45pt;mso-position-horizontal-relative:page;mso-position-vertical-relative:page;z-index:-267819008" type="#_x0000_t202" filled="false" stroked="false">
            <v:textbox inset="0,0,0,0" style="layout-flow:vertical">
              <w:txbxContent>
                <w:p>
                  <w:pPr>
                    <w:spacing w:before="27"/>
                    <w:ind w:left="20" w:right="0" w:firstLine="0"/>
                    <w:jc w:val="left"/>
                    <w:rPr>
                      <w:sz w:val="39"/>
                    </w:rPr>
                  </w:pPr>
                  <w:r>
                    <w:rPr>
                      <w:color w:val="FFFFFF"/>
                      <w:w w:val="120"/>
                      <w:sz w:val="39"/>
                    </w:rPr>
                    <w:t>Faith and order – </w:t>
                  </w:r>
                  <w:r>
                    <w:rPr>
                      <w:w w:val="120"/>
                      <w:sz w:val="39"/>
                    </w:rPr>
                    <w:t>Towards a common vision</w:t>
                  </w:r>
                </w:p>
              </w:txbxContent>
            </v:textbox>
            <w10:wrap type="none"/>
          </v:shape>
        </w:pict>
      </w:r>
    </w:p>
    <w:p>
      <w:pPr>
        <w:pStyle w:val="BodyText"/>
        <w:spacing w:before="7"/>
        <w:rPr>
          <w:sz w:val="21"/>
        </w:rPr>
      </w:pPr>
    </w:p>
    <w:p>
      <w:pPr>
        <w:spacing w:before="106"/>
        <w:ind w:left="607" w:right="0" w:firstLine="0"/>
        <w:jc w:val="left"/>
        <w:rPr>
          <w:sz w:val="26"/>
        </w:rPr>
      </w:pPr>
      <w:r>
        <w:rPr>
          <w:color w:val="7EAABF"/>
          <w:w w:val="115"/>
          <w:sz w:val="26"/>
        </w:rPr>
        <w:t>Faith and order</w:t>
      </w:r>
    </w:p>
    <w:p>
      <w:pPr>
        <w:pStyle w:val="BodyText"/>
        <w:spacing w:line="235" w:lineRule="auto" w:before="222"/>
        <w:ind w:left="607" w:right="2114"/>
      </w:pPr>
      <w:r>
        <w:rPr>
          <w:w w:val="120"/>
        </w:rPr>
        <w:t>hold any position in the church; b) in the URC, as well as holding up marriage to one partner for life as an ideal, because it is a human institution as well as God’s design, we recognise that some marriages may fail and individuals in this situation may seek God’s forgiveness and new beginnings in a new relationship. The URC upholds the rights of personal and denominational conviction and so allows some differences of opinion, such as the case of same sex marriage, which it seeks to hold within its wider unity.</w:t>
      </w:r>
    </w:p>
    <w:p>
      <w:pPr>
        <w:pStyle w:val="BodyText"/>
      </w:pPr>
    </w:p>
    <w:p>
      <w:pPr>
        <w:pStyle w:val="ListParagraph"/>
        <w:numPr>
          <w:ilvl w:val="2"/>
          <w:numId w:val="137"/>
        </w:numPr>
        <w:tabs>
          <w:tab w:pos="1288" w:val="left" w:leader="none"/>
        </w:tabs>
        <w:spacing w:line="235" w:lineRule="auto" w:before="0" w:after="0"/>
        <w:ind w:left="607" w:right="2211" w:firstLine="0"/>
        <w:jc w:val="left"/>
        <w:rPr>
          <w:sz w:val="20"/>
        </w:rPr>
      </w:pPr>
      <w:r>
        <w:rPr>
          <w:w w:val="120"/>
          <w:sz w:val="20"/>
        </w:rPr>
        <w:t>The identification of common core beliefs of Christians in the text of the </w:t>
      </w:r>
      <w:r>
        <w:rPr>
          <w:spacing w:val="2"/>
          <w:w w:val="120"/>
          <w:sz w:val="20"/>
        </w:rPr>
        <w:t>report </w:t>
      </w:r>
      <w:r>
        <w:rPr>
          <w:w w:val="120"/>
          <w:sz w:val="20"/>
        </w:rPr>
        <w:t>is a helpful means of sustaining our commonality. Identifying how we then live out  our faith may change in different historical and cultural situations. This would be one possible criterion for acknowledging overriding unity with diversity of lifestyle – and allowing some diversity without</w:t>
      </w:r>
      <w:r>
        <w:rPr>
          <w:spacing w:val="10"/>
          <w:w w:val="120"/>
          <w:sz w:val="20"/>
        </w:rPr>
        <w:t> </w:t>
      </w:r>
      <w:r>
        <w:rPr>
          <w:w w:val="120"/>
          <w:sz w:val="20"/>
        </w:rPr>
        <w:t>division.</w:t>
      </w:r>
    </w:p>
    <w:p>
      <w:pPr>
        <w:pStyle w:val="BodyText"/>
        <w:spacing w:before="5"/>
      </w:pPr>
    </w:p>
    <w:p>
      <w:pPr>
        <w:pStyle w:val="Heading7"/>
        <w:numPr>
          <w:ilvl w:val="1"/>
          <w:numId w:val="137"/>
        </w:numPr>
        <w:tabs>
          <w:tab w:pos="1287" w:val="left" w:leader="none"/>
          <w:tab w:pos="1288" w:val="left" w:leader="none"/>
        </w:tabs>
        <w:spacing w:line="213" w:lineRule="auto" w:before="0" w:after="0"/>
        <w:ind w:left="607" w:right="2397" w:firstLine="0"/>
        <w:jc w:val="left"/>
      </w:pPr>
      <w:r>
        <w:rPr>
          <w:w w:val="110"/>
        </w:rPr>
        <w:t>What adaptations or renewal does this statement challenge the URC to work</w:t>
      </w:r>
      <w:r>
        <w:rPr>
          <w:spacing w:val="-1"/>
          <w:w w:val="110"/>
        </w:rPr>
        <w:t> </w:t>
      </w:r>
      <w:r>
        <w:rPr>
          <w:w w:val="110"/>
        </w:rPr>
        <w:t>for?</w:t>
      </w:r>
    </w:p>
    <w:p>
      <w:pPr>
        <w:pStyle w:val="ListParagraph"/>
        <w:numPr>
          <w:ilvl w:val="2"/>
          <w:numId w:val="137"/>
        </w:numPr>
        <w:tabs>
          <w:tab w:pos="1287" w:val="left" w:leader="none"/>
          <w:tab w:pos="1288" w:val="left" w:leader="none"/>
        </w:tabs>
        <w:spacing w:line="235" w:lineRule="auto" w:before="0" w:after="0"/>
        <w:ind w:left="607" w:right="2004" w:firstLine="0"/>
        <w:jc w:val="left"/>
        <w:rPr>
          <w:sz w:val="20"/>
        </w:rPr>
      </w:pPr>
      <w:r>
        <w:rPr>
          <w:w w:val="120"/>
          <w:sz w:val="20"/>
        </w:rPr>
        <w:t>One of the areas that the URC is challenged to adapt in order to share commonalities with other denominations is in the area of worship. The URC is more open and understanding toward more sacramental forms of worship than our  Protestant forebears. The URC acknowledges that God is mystery and so there is a place for mystery in worship, yet we could continue to learn from more contemplative and Anglo-Catholic styles of worship. An example of convergence already can be seen in  URC styles of worship. Although the URC was formed by some who were dissenters reluctant to use a set liturgy as in the </w:t>
      </w:r>
      <w:r>
        <w:rPr>
          <w:i/>
          <w:w w:val="120"/>
          <w:sz w:val="20"/>
        </w:rPr>
        <w:t>Book of Common Prayer </w:t>
      </w:r>
      <w:r>
        <w:rPr>
          <w:w w:val="120"/>
          <w:sz w:val="20"/>
        </w:rPr>
        <w:t>of the Church of England, today worship leaders tend to follow the URC Service Book or Worship Books. Churches in the United Reformed Church follow their own service book, and it is also quite common for churches in the URC to use the </w:t>
      </w:r>
      <w:r>
        <w:rPr>
          <w:i/>
          <w:w w:val="120"/>
          <w:sz w:val="20"/>
        </w:rPr>
        <w:t>Revised Common Lectionary </w:t>
      </w:r>
      <w:r>
        <w:rPr>
          <w:w w:val="120"/>
          <w:sz w:val="20"/>
        </w:rPr>
        <w:t>that we share across different traditions for weekly Scripture readings during</w:t>
      </w:r>
      <w:r>
        <w:rPr>
          <w:spacing w:val="18"/>
          <w:w w:val="120"/>
          <w:sz w:val="20"/>
        </w:rPr>
        <w:t> </w:t>
      </w:r>
      <w:r>
        <w:rPr>
          <w:w w:val="120"/>
          <w:sz w:val="20"/>
        </w:rPr>
        <w:t>worship.</w:t>
      </w:r>
    </w:p>
    <w:p>
      <w:pPr>
        <w:pStyle w:val="BodyText"/>
        <w:spacing w:before="4"/>
      </w:pPr>
    </w:p>
    <w:p>
      <w:pPr>
        <w:pStyle w:val="Heading7"/>
        <w:numPr>
          <w:ilvl w:val="1"/>
          <w:numId w:val="137"/>
        </w:numPr>
        <w:tabs>
          <w:tab w:pos="1287" w:val="left" w:leader="none"/>
          <w:tab w:pos="1288" w:val="left" w:leader="none"/>
        </w:tabs>
        <w:spacing w:line="213" w:lineRule="auto" w:before="0" w:after="0"/>
        <w:ind w:left="607" w:right="2268" w:firstLine="0"/>
        <w:jc w:val="left"/>
      </w:pPr>
      <w:r>
        <w:rPr>
          <w:w w:val="110"/>
        </w:rPr>
        <w:t>How far is the URC able to form closer relationships in life and mission with those churches that can acknowledge in a positive way the account of the Church described in the </w:t>
      </w:r>
      <w:r>
        <w:rPr>
          <w:spacing w:val="-3"/>
          <w:w w:val="110"/>
        </w:rPr>
        <w:t>Towards </w:t>
      </w:r>
      <w:r>
        <w:rPr>
          <w:w w:val="110"/>
        </w:rPr>
        <w:t>a Common Vision</w:t>
      </w:r>
      <w:r>
        <w:rPr>
          <w:spacing w:val="2"/>
          <w:w w:val="110"/>
        </w:rPr>
        <w:t> </w:t>
      </w:r>
      <w:r>
        <w:rPr>
          <w:w w:val="110"/>
        </w:rPr>
        <w:t>Statement?</w:t>
      </w:r>
    </w:p>
    <w:p>
      <w:pPr>
        <w:pStyle w:val="ListParagraph"/>
        <w:numPr>
          <w:ilvl w:val="2"/>
          <w:numId w:val="137"/>
        </w:numPr>
        <w:tabs>
          <w:tab w:pos="1287" w:val="left" w:leader="none"/>
          <w:tab w:pos="1288" w:val="left" w:leader="none"/>
        </w:tabs>
        <w:spacing w:line="235" w:lineRule="auto" w:before="0" w:after="0"/>
        <w:ind w:left="607" w:right="2266" w:firstLine="0"/>
        <w:jc w:val="left"/>
        <w:rPr>
          <w:sz w:val="20"/>
        </w:rPr>
      </w:pPr>
      <w:r>
        <w:rPr>
          <w:w w:val="120"/>
          <w:sz w:val="20"/>
        </w:rPr>
        <w:t>This is a difficult question in the UK today as many Christian denominations  are solidifying their patterns of ministry and worship with the decline of membership numbers. The primary way in which many local churches are able to form</w:t>
      </w:r>
      <w:r>
        <w:rPr>
          <w:spacing w:val="44"/>
          <w:w w:val="120"/>
          <w:sz w:val="20"/>
        </w:rPr>
        <w:t> </w:t>
      </w:r>
      <w:r>
        <w:rPr>
          <w:w w:val="120"/>
          <w:sz w:val="20"/>
        </w:rPr>
        <w:t>closer</w:t>
      </w:r>
    </w:p>
    <w:p>
      <w:pPr>
        <w:pStyle w:val="BodyText"/>
        <w:spacing w:line="235" w:lineRule="auto"/>
        <w:ind w:left="607" w:right="2045"/>
      </w:pPr>
      <w:r>
        <w:rPr>
          <w:w w:val="120"/>
        </w:rPr>
        <w:t>relationships with other churches at present is on the ground rather than structurally at a denominational level. There are many Local Ecumenical Partnerships (LEP), in which the URC and one or more other denominations form one worshipping congregation.</w:t>
      </w:r>
    </w:p>
    <w:p>
      <w:pPr>
        <w:pStyle w:val="BodyText"/>
        <w:spacing w:line="235" w:lineRule="auto"/>
        <w:ind w:left="607" w:right="2600"/>
      </w:pPr>
      <w:r>
        <w:rPr>
          <w:w w:val="120"/>
        </w:rPr>
        <w:t>And the URC is open to forming new LEP relationships. These do not represent  the organic unity of different denominations at a local level but the partnership</w:t>
      </w:r>
      <w:r>
        <w:rPr>
          <w:spacing w:val="28"/>
          <w:w w:val="120"/>
        </w:rPr>
        <w:t> </w:t>
      </w:r>
      <w:r>
        <w:rPr>
          <w:w w:val="120"/>
        </w:rPr>
        <w:t>of</w:t>
      </w:r>
    </w:p>
    <w:p>
      <w:pPr>
        <w:pStyle w:val="BodyText"/>
        <w:spacing w:line="235" w:lineRule="auto"/>
        <w:ind w:left="607" w:right="2045"/>
      </w:pPr>
      <w:r>
        <w:rPr>
          <w:w w:val="120"/>
        </w:rPr>
        <w:t>distinct traditions. In practice, however, they can be experienced as organic unions which represent a challenge to the parent denominations as to how this can be both acknowledged and a source of fruitful dialogue.</w:t>
      </w:r>
    </w:p>
    <w:p>
      <w:pPr>
        <w:pStyle w:val="BodyText"/>
        <w:spacing w:before="8"/>
        <w:rPr>
          <w:sz w:val="19"/>
        </w:rPr>
      </w:pPr>
    </w:p>
    <w:p>
      <w:pPr>
        <w:pStyle w:val="ListParagraph"/>
        <w:numPr>
          <w:ilvl w:val="2"/>
          <w:numId w:val="137"/>
        </w:numPr>
        <w:tabs>
          <w:tab w:pos="1288" w:val="left" w:leader="none"/>
        </w:tabs>
        <w:spacing w:line="235" w:lineRule="auto" w:before="0" w:after="0"/>
        <w:ind w:left="607" w:right="2077" w:firstLine="0"/>
        <w:jc w:val="left"/>
        <w:rPr>
          <w:sz w:val="20"/>
        </w:rPr>
      </w:pPr>
      <w:r>
        <w:rPr>
          <w:w w:val="120"/>
          <w:sz w:val="20"/>
        </w:rPr>
        <w:t>The URC holds a strong positive view of the unity of the Church and seeks to work toward organic unity of the church in conversations and forming agreements where possible. This is recorded in its Basis of Union, ‘The URC sees its formation and growth as a </w:t>
      </w:r>
      <w:r>
        <w:rPr>
          <w:spacing w:val="2"/>
          <w:w w:val="120"/>
          <w:sz w:val="20"/>
        </w:rPr>
        <w:t>part </w:t>
      </w:r>
      <w:r>
        <w:rPr>
          <w:w w:val="120"/>
          <w:sz w:val="20"/>
        </w:rPr>
        <w:t>of what God is doing to make his people one, and as a united church will take, wherever possible and with all speed, further steps towards the unity of all God’s people.’ The URC celebrates our fellowship with the other Covenanted Churches in Wales, through which we recognise the ministry of one another. Such ecumenical understanding has come through prayer, compromise and hard work, and the URC is keen to work for other examples of visible unity within Wales, the UK and</w:t>
      </w:r>
      <w:r>
        <w:rPr>
          <w:spacing w:val="29"/>
          <w:w w:val="120"/>
          <w:sz w:val="20"/>
        </w:rPr>
        <w:t> </w:t>
      </w:r>
      <w:r>
        <w:rPr>
          <w:w w:val="120"/>
          <w:sz w:val="20"/>
        </w:rPr>
        <w:t>beyond.</w:t>
      </w:r>
    </w:p>
    <w:p>
      <w:pPr>
        <w:pStyle w:val="BodyText"/>
        <w:spacing w:before="3"/>
      </w:pPr>
    </w:p>
    <w:p>
      <w:pPr>
        <w:pStyle w:val="ListParagraph"/>
        <w:numPr>
          <w:ilvl w:val="2"/>
          <w:numId w:val="137"/>
        </w:numPr>
        <w:tabs>
          <w:tab w:pos="1288" w:val="left" w:leader="none"/>
        </w:tabs>
        <w:spacing w:line="235" w:lineRule="auto" w:before="0" w:after="0"/>
        <w:ind w:left="607" w:right="2261" w:firstLine="0"/>
        <w:jc w:val="left"/>
        <w:rPr>
          <w:sz w:val="20"/>
        </w:rPr>
      </w:pPr>
      <w:r>
        <w:rPr>
          <w:w w:val="120"/>
          <w:sz w:val="20"/>
        </w:rPr>
        <w:t>The URC seeks to work ecumenically wherever it can in mission projects with other local churches through Churches Together and in social action such as with the Fairtrade movement, Christian Aid and ecology groups. Another example is the Joint Public Issues </w:t>
      </w:r>
      <w:r>
        <w:rPr>
          <w:spacing w:val="-4"/>
          <w:w w:val="120"/>
          <w:sz w:val="20"/>
        </w:rPr>
        <w:t>Team </w:t>
      </w:r>
      <w:r>
        <w:rPr>
          <w:w w:val="120"/>
          <w:sz w:val="20"/>
        </w:rPr>
        <w:t>where the URC works with Methodists, Baptists and the Church of Scotland on common</w:t>
      </w:r>
      <w:r>
        <w:rPr>
          <w:spacing w:val="7"/>
          <w:w w:val="120"/>
          <w:sz w:val="20"/>
        </w:rPr>
        <w:t> </w:t>
      </w:r>
      <w:r>
        <w:rPr>
          <w:w w:val="120"/>
          <w:sz w:val="20"/>
        </w:rPr>
        <w:t>concerns.</w:t>
      </w:r>
    </w:p>
    <w:p>
      <w:pPr>
        <w:pStyle w:val="BodyText"/>
        <w:spacing w:before="11"/>
        <w:rPr>
          <w:sz w:val="19"/>
        </w:rPr>
      </w:pPr>
    </w:p>
    <w:p>
      <w:pPr>
        <w:pStyle w:val="ListParagraph"/>
        <w:numPr>
          <w:ilvl w:val="2"/>
          <w:numId w:val="137"/>
        </w:numPr>
        <w:tabs>
          <w:tab w:pos="1287" w:val="left" w:leader="none"/>
          <w:tab w:pos="1288" w:val="left" w:leader="none"/>
        </w:tabs>
        <w:spacing w:line="235" w:lineRule="auto" w:before="0" w:after="0"/>
        <w:ind w:left="607" w:right="2262" w:firstLine="0"/>
        <w:jc w:val="left"/>
        <w:rPr>
          <w:sz w:val="20"/>
        </w:rPr>
      </w:pPr>
      <w:r>
        <w:rPr>
          <w:w w:val="120"/>
          <w:sz w:val="20"/>
        </w:rPr>
        <w:t>Local congregations of the URC often work together with churches from other denominations on mission projects and joint events through Churches</w:t>
      </w:r>
      <w:r>
        <w:rPr>
          <w:spacing w:val="51"/>
          <w:w w:val="120"/>
          <w:sz w:val="20"/>
        </w:rPr>
        <w:t> </w:t>
      </w:r>
      <w:r>
        <w:rPr>
          <w:w w:val="120"/>
          <w:sz w:val="20"/>
        </w:rPr>
        <w:t>Together</w:t>
      </w:r>
    </w:p>
    <w:p>
      <w:pPr>
        <w:spacing w:after="0" w:line="235" w:lineRule="auto"/>
        <w:jc w:val="left"/>
        <w:rPr>
          <w:sz w:val="20"/>
        </w:rPr>
        <w:sectPr>
          <w:headerReference w:type="even" r:id="rId320"/>
          <w:pgSz w:w="11910" w:h="16840"/>
          <w:pgMar w:header="0" w:footer="647" w:top="0" w:bottom="840" w:left="640" w:right="0"/>
        </w:sectPr>
      </w:pPr>
    </w:p>
    <w:p>
      <w:pPr>
        <w:pStyle w:val="BodyText"/>
      </w:pPr>
      <w:r>
        <w:rPr/>
        <w:drawing>
          <wp:anchor distT="0" distB="0" distL="0" distR="0" allowOverlap="1" layoutInCell="1" locked="0" behindDoc="0" simplePos="0" relativeHeight="251952128">
            <wp:simplePos x="0" y="0"/>
            <wp:positionH relativeFrom="page">
              <wp:posOffset>6974928</wp:posOffset>
            </wp:positionH>
            <wp:positionV relativeFrom="page">
              <wp:posOffset>0</wp:posOffset>
            </wp:positionV>
            <wp:extent cx="585063" cy="10692003"/>
            <wp:effectExtent l="0" t="0" r="0" b="0"/>
            <wp:wrapNone/>
            <wp:docPr id="205" name="image54.png"/>
            <wp:cNvGraphicFramePr>
              <a:graphicFrameLocks noChangeAspect="1"/>
            </wp:cNvGraphicFramePr>
            <a:graphic>
              <a:graphicData uri="http://schemas.openxmlformats.org/drawingml/2006/picture">
                <pic:pic>
                  <pic:nvPicPr>
                    <pic:cNvPr id="206" name="image54.png"/>
                    <pic:cNvPicPr/>
                  </pic:nvPicPr>
                  <pic:blipFill>
                    <a:blip r:embed="rId169" cstate="print"/>
                    <a:stretch>
                      <a:fillRect/>
                    </a:stretch>
                  </pic:blipFill>
                  <pic:spPr>
                    <a:xfrm>
                      <a:off x="0" y="0"/>
                      <a:ext cx="585063" cy="10692003"/>
                    </a:xfrm>
                    <a:prstGeom prst="rect">
                      <a:avLst/>
                    </a:prstGeom>
                  </pic:spPr>
                </pic:pic>
              </a:graphicData>
            </a:graphic>
          </wp:anchor>
        </w:drawing>
      </w:r>
    </w:p>
    <w:p>
      <w:pPr>
        <w:pStyle w:val="BodyText"/>
        <w:spacing w:before="7"/>
        <w:rPr>
          <w:sz w:val="21"/>
        </w:rPr>
      </w:pPr>
    </w:p>
    <w:p>
      <w:pPr>
        <w:spacing w:before="106"/>
        <w:ind w:left="0" w:right="1245" w:firstLine="0"/>
        <w:jc w:val="right"/>
        <w:rPr>
          <w:sz w:val="26"/>
        </w:rPr>
      </w:pPr>
      <w:r>
        <w:rPr/>
        <w:pict>
          <v:shape style="position:absolute;margin-left:554.141174pt;margin-top:22.593945pt;width:25.9pt;height:444.45pt;mso-position-horizontal-relative:page;mso-position-vertical-relative:paragraph;z-index:251953152" type="#_x0000_t202" filled="false" stroked="false">
            <v:textbox inset="0,0,0,0" style="layout-flow:vertical">
              <w:txbxContent>
                <w:p>
                  <w:pPr>
                    <w:spacing w:before="27"/>
                    <w:ind w:left="20" w:right="0" w:firstLine="0"/>
                    <w:jc w:val="left"/>
                    <w:rPr>
                      <w:sz w:val="39"/>
                    </w:rPr>
                  </w:pPr>
                  <w:r>
                    <w:rPr>
                      <w:color w:val="FFFFFF"/>
                      <w:w w:val="120"/>
                      <w:sz w:val="39"/>
                    </w:rPr>
                    <w:t>Faith and order – </w:t>
                  </w:r>
                  <w:r>
                    <w:rPr>
                      <w:w w:val="120"/>
                      <w:sz w:val="39"/>
                    </w:rPr>
                    <w:t>Towards a common vision</w:t>
                  </w:r>
                </w:p>
              </w:txbxContent>
            </v:textbox>
            <w10:wrap type="none"/>
          </v:shape>
        </w:pict>
      </w:r>
      <w:r>
        <w:rPr>
          <w:color w:val="7EAABF"/>
          <w:w w:val="115"/>
          <w:sz w:val="26"/>
        </w:rPr>
        <w:t>Faith and order</w:t>
      </w:r>
    </w:p>
    <w:p>
      <w:pPr>
        <w:pStyle w:val="BodyText"/>
        <w:spacing w:line="235" w:lineRule="auto" w:before="222"/>
        <w:ind w:left="1344" w:right="1478"/>
      </w:pPr>
      <w:r>
        <w:rPr>
          <w:w w:val="120"/>
        </w:rPr>
        <w:t>in England, CYTUN (Churches Together in Wales) or ACTS (Action for Churches Together in Scotland). At the institutional level, however, there is a struggle to reconcile our differences. Some of our differences come from the Reformation and a past of conscientious dissent, which our forebears gave their lives to achieve. Perhaps identifying, acknowledging and jointly declaring our shared Christian principles</w:t>
      </w:r>
    </w:p>
    <w:p>
      <w:pPr>
        <w:pStyle w:val="BodyText"/>
        <w:spacing w:line="235" w:lineRule="auto" w:before="3"/>
        <w:ind w:left="1344" w:right="1478"/>
      </w:pPr>
      <w:r>
        <w:rPr>
          <w:w w:val="120"/>
        </w:rPr>
        <w:t>of justice, love, tolerance, freedom of belief etc. would help us to listen and work alongside each other more cooperatively.</w:t>
      </w:r>
    </w:p>
    <w:p>
      <w:pPr>
        <w:pStyle w:val="BodyText"/>
        <w:spacing w:before="10"/>
        <w:rPr>
          <w:sz w:val="19"/>
        </w:rPr>
      </w:pPr>
    </w:p>
    <w:p>
      <w:pPr>
        <w:pStyle w:val="ListParagraph"/>
        <w:numPr>
          <w:ilvl w:val="2"/>
          <w:numId w:val="137"/>
        </w:numPr>
        <w:tabs>
          <w:tab w:pos="2025" w:val="left" w:leader="none"/>
        </w:tabs>
        <w:spacing w:line="235" w:lineRule="auto" w:before="0" w:after="0"/>
        <w:ind w:left="1344" w:right="1274" w:firstLine="0"/>
        <w:jc w:val="left"/>
        <w:rPr>
          <w:sz w:val="20"/>
        </w:rPr>
      </w:pPr>
      <w:r>
        <w:rPr>
          <w:w w:val="120"/>
          <w:sz w:val="20"/>
        </w:rPr>
        <w:t>The URC recognises a need in its local churches for more house groups and Bible studies to enable people to grow and deepen their level of devotion and discipleship.  An affirmation that all Christians are pilgrims growing in faith and knowledge of God throughout their lives might encourage life-long discipleship.  The  URC  could  learn from other denominations that have good resources for study discussion and worship.  A positive example is the annual Lenten Course produced by Churches Together in Britain and</w:t>
      </w:r>
      <w:r>
        <w:rPr>
          <w:spacing w:val="3"/>
          <w:w w:val="120"/>
          <w:sz w:val="20"/>
        </w:rPr>
        <w:t> </w:t>
      </w:r>
      <w:r>
        <w:rPr>
          <w:w w:val="120"/>
          <w:sz w:val="20"/>
        </w:rPr>
        <w:t>Ireland.</w:t>
      </w:r>
    </w:p>
    <w:p>
      <w:pPr>
        <w:pStyle w:val="BodyText"/>
        <w:spacing w:before="7"/>
      </w:pPr>
    </w:p>
    <w:p>
      <w:pPr>
        <w:pStyle w:val="Heading7"/>
        <w:numPr>
          <w:ilvl w:val="1"/>
          <w:numId w:val="137"/>
        </w:numPr>
        <w:tabs>
          <w:tab w:pos="2024" w:val="left" w:leader="none"/>
          <w:tab w:pos="2025" w:val="left" w:leader="none"/>
        </w:tabs>
        <w:spacing w:line="213" w:lineRule="auto" w:before="0" w:after="0"/>
        <w:ind w:left="1344" w:right="1361" w:firstLine="0"/>
        <w:jc w:val="left"/>
      </w:pPr>
      <w:r>
        <w:rPr>
          <w:w w:val="110"/>
        </w:rPr>
        <w:t>What aspects of the life of the Church could call for further discussion  and what advice could the URC offer for the ongoing work by the WCC faith and order group in the area of</w:t>
      </w:r>
      <w:r>
        <w:rPr>
          <w:spacing w:val="-2"/>
          <w:w w:val="110"/>
        </w:rPr>
        <w:t> </w:t>
      </w:r>
      <w:r>
        <w:rPr>
          <w:w w:val="110"/>
        </w:rPr>
        <w:t>ecclesiology?</w:t>
      </w:r>
    </w:p>
    <w:p>
      <w:pPr>
        <w:pStyle w:val="ListParagraph"/>
        <w:numPr>
          <w:ilvl w:val="2"/>
          <w:numId w:val="137"/>
        </w:numPr>
        <w:tabs>
          <w:tab w:pos="2024" w:val="left" w:leader="none"/>
          <w:tab w:pos="2025" w:val="left" w:leader="none"/>
        </w:tabs>
        <w:spacing w:line="235" w:lineRule="auto" w:before="0" w:after="0"/>
        <w:ind w:left="1344" w:right="1588" w:firstLine="0"/>
        <w:jc w:val="left"/>
        <w:rPr>
          <w:sz w:val="20"/>
        </w:rPr>
      </w:pPr>
      <w:r>
        <w:rPr>
          <w:w w:val="120"/>
          <w:sz w:val="20"/>
        </w:rPr>
        <w:t>The URC has a statement of its ecclesiology in the Basis of Union. It affirms one Church called into being through Jesus Christ, by the power of the Holy Spirit.     It considers the Church holy because God has redeemed and consecrated it through the death and resurrection of Jesus Christ and because Christ dwells with his</w:t>
      </w:r>
      <w:r>
        <w:rPr>
          <w:spacing w:val="5"/>
          <w:w w:val="120"/>
          <w:sz w:val="20"/>
        </w:rPr>
        <w:t> </w:t>
      </w:r>
      <w:r>
        <w:rPr>
          <w:w w:val="120"/>
          <w:sz w:val="20"/>
        </w:rPr>
        <w:t>people.</w:t>
      </w:r>
    </w:p>
    <w:p>
      <w:pPr>
        <w:pStyle w:val="BodyText"/>
        <w:spacing w:line="235" w:lineRule="auto"/>
        <w:ind w:left="1344" w:right="1478"/>
      </w:pPr>
      <w:r>
        <w:rPr>
          <w:w w:val="120"/>
        </w:rPr>
        <w:t>It views the Church as apostolic because Christ continues to entrust it with the Gospel and the commission to proclaim that Gospel to all peoples. Yet the URC acknowledges that failure and weakness mar the life of the Church, requiring it to ever be renewed and reformed by Christ’s mercy and under the guidance of the Holy Spirit. The ecclesiology of the URC includes an acknowledgement that the church has a call to repent of what has been amiss including divisions in the church in the past and to be reconciled. The URC believes that the church should take wherever possible and with all speed further steps towards the unity of all God’s people.</w:t>
      </w:r>
    </w:p>
    <w:p>
      <w:pPr>
        <w:pStyle w:val="BodyText"/>
        <w:spacing w:before="9"/>
        <w:rPr>
          <w:sz w:val="19"/>
        </w:rPr>
      </w:pPr>
    </w:p>
    <w:p>
      <w:pPr>
        <w:pStyle w:val="ListParagraph"/>
        <w:numPr>
          <w:ilvl w:val="2"/>
          <w:numId w:val="137"/>
        </w:numPr>
        <w:tabs>
          <w:tab w:pos="2025" w:val="left" w:leader="none"/>
        </w:tabs>
        <w:spacing w:line="235" w:lineRule="auto" w:before="0" w:after="0"/>
        <w:ind w:left="1344" w:right="1349" w:firstLine="0"/>
        <w:jc w:val="left"/>
        <w:rPr>
          <w:sz w:val="20"/>
        </w:rPr>
      </w:pPr>
      <w:r>
        <w:rPr>
          <w:spacing w:val="-6"/>
          <w:w w:val="120"/>
          <w:sz w:val="20"/>
        </w:rPr>
        <w:t>Yet </w:t>
      </w:r>
      <w:r>
        <w:rPr>
          <w:w w:val="120"/>
          <w:sz w:val="20"/>
        </w:rPr>
        <w:t>there are some hard </w:t>
      </w:r>
      <w:r>
        <w:rPr>
          <w:spacing w:val="-2"/>
          <w:w w:val="120"/>
          <w:sz w:val="20"/>
        </w:rPr>
        <w:t>won </w:t>
      </w:r>
      <w:r>
        <w:rPr>
          <w:w w:val="120"/>
          <w:sz w:val="20"/>
        </w:rPr>
        <w:t>values and principles of the URC that the </w:t>
      </w:r>
      <w:r>
        <w:rPr>
          <w:spacing w:val="-3"/>
          <w:w w:val="120"/>
          <w:sz w:val="20"/>
        </w:rPr>
        <w:t>church would </w:t>
      </w:r>
      <w:r>
        <w:rPr>
          <w:w w:val="120"/>
          <w:sz w:val="20"/>
        </w:rPr>
        <w:t>be reluctant </w:t>
      </w:r>
      <w:r>
        <w:rPr>
          <w:spacing w:val="-3"/>
          <w:w w:val="120"/>
          <w:sz w:val="20"/>
        </w:rPr>
        <w:t>to </w:t>
      </w:r>
      <w:r>
        <w:rPr>
          <w:w w:val="120"/>
          <w:sz w:val="20"/>
        </w:rPr>
        <w:t>let go </w:t>
      </w:r>
      <w:r>
        <w:rPr>
          <w:spacing w:val="-4"/>
          <w:w w:val="120"/>
          <w:sz w:val="20"/>
        </w:rPr>
        <w:t>of. </w:t>
      </w:r>
      <w:r>
        <w:rPr>
          <w:w w:val="120"/>
          <w:sz w:val="20"/>
        </w:rPr>
        <w:t>One of its main </w:t>
      </w:r>
      <w:r>
        <w:rPr>
          <w:spacing w:val="-3"/>
          <w:w w:val="120"/>
          <w:sz w:val="20"/>
        </w:rPr>
        <w:t>distinguishing features </w:t>
      </w:r>
      <w:r>
        <w:rPr>
          <w:w w:val="120"/>
          <w:sz w:val="20"/>
        </w:rPr>
        <w:t>is its more participative</w:t>
      </w:r>
      <w:r>
        <w:rPr>
          <w:spacing w:val="-7"/>
          <w:w w:val="120"/>
          <w:sz w:val="20"/>
        </w:rPr>
        <w:t> </w:t>
      </w:r>
      <w:r>
        <w:rPr>
          <w:spacing w:val="-3"/>
          <w:w w:val="120"/>
          <w:sz w:val="20"/>
        </w:rPr>
        <w:t>church</w:t>
      </w:r>
      <w:r>
        <w:rPr>
          <w:spacing w:val="-6"/>
          <w:w w:val="120"/>
          <w:sz w:val="20"/>
        </w:rPr>
        <w:t> </w:t>
      </w:r>
      <w:r>
        <w:rPr>
          <w:w w:val="120"/>
          <w:sz w:val="20"/>
        </w:rPr>
        <w:t>structure.</w:t>
      </w:r>
      <w:r>
        <w:rPr>
          <w:spacing w:val="-6"/>
          <w:w w:val="120"/>
          <w:sz w:val="20"/>
        </w:rPr>
        <w:t> </w:t>
      </w:r>
      <w:r>
        <w:rPr>
          <w:w w:val="120"/>
          <w:sz w:val="20"/>
        </w:rPr>
        <w:t>It</w:t>
      </w:r>
      <w:r>
        <w:rPr>
          <w:spacing w:val="-6"/>
          <w:w w:val="120"/>
          <w:sz w:val="20"/>
        </w:rPr>
        <w:t> </w:t>
      </w:r>
      <w:r>
        <w:rPr>
          <w:w w:val="120"/>
          <w:sz w:val="20"/>
        </w:rPr>
        <w:t>is</w:t>
      </w:r>
      <w:r>
        <w:rPr>
          <w:spacing w:val="-6"/>
          <w:w w:val="120"/>
          <w:sz w:val="20"/>
        </w:rPr>
        <w:t> </w:t>
      </w:r>
      <w:r>
        <w:rPr>
          <w:w w:val="120"/>
          <w:sz w:val="20"/>
        </w:rPr>
        <w:t>encouraged</w:t>
      </w:r>
      <w:r>
        <w:rPr>
          <w:spacing w:val="-6"/>
          <w:w w:val="120"/>
          <w:sz w:val="20"/>
        </w:rPr>
        <w:t> </w:t>
      </w:r>
      <w:r>
        <w:rPr>
          <w:w w:val="120"/>
          <w:sz w:val="20"/>
        </w:rPr>
        <w:t>by</w:t>
      </w:r>
      <w:r>
        <w:rPr>
          <w:spacing w:val="-6"/>
          <w:w w:val="120"/>
          <w:sz w:val="20"/>
        </w:rPr>
        <w:t> </w:t>
      </w:r>
      <w:r>
        <w:rPr>
          <w:w w:val="120"/>
          <w:sz w:val="20"/>
        </w:rPr>
        <w:t>the</w:t>
      </w:r>
      <w:r>
        <w:rPr>
          <w:spacing w:val="-6"/>
          <w:w w:val="120"/>
          <w:sz w:val="20"/>
        </w:rPr>
        <w:t> </w:t>
      </w:r>
      <w:r>
        <w:rPr>
          <w:w w:val="120"/>
          <w:sz w:val="20"/>
        </w:rPr>
        <w:t>increased</w:t>
      </w:r>
      <w:r>
        <w:rPr>
          <w:spacing w:val="-7"/>
          <w:w w:val="120"/>
          <w:sz w:val="20"/>
        </w:rPr>
        <w:t> </w:t>
      </w:r>
      <w:r>
        <w:rPr>
          <w:spacing w:val="-2"/>
          <w:w w:val="120"/>
          <w:sz w:val="20"/>
        </w:rPr>
        <w:t>use</w:t>
      </w:r>
      <w:r>
        <w:rPr>
          <w:spacing w:val="-6"/>
          <w:w w:val="120"/>
          <w:sz w:val="20"/>
        </w:rPr>
        <w:t> </w:t>
      </w:r>
      <w:r>
        <w:rPr>
          <w:w w:val="120"/>
          <w:sz w:val="20"/>
        </w:rPr>
        <w:t>of</w:t>
      </w:r>
      <w:r>
        <w:rPr>
          <w:spacing w:val="-6"/>
          <w:w w:val="120"/>
          <w:sz w:val="20"/>
        </w:rPr>
        <w:t> </w:t>
      </w:r>
      <w:r>
        <w:rPr>
          <w:spacing w:val="-3"/>
          <w:w w:val="120"/>
          <w:sz w:val="20"/>
        </w:rPr>
        <w:t>conciliar</w:t>
      </w:r>
      <w:r>
        <w:rPr>
          <w:spacing w:val="-6"/>
          <w:w w:val="120"/>
          <w:sz w:val="20"/>
        </w:rPr>
        <w:t> </w:t>
      </w:r>
      <w:r>
        <w:rPr>
          <w:w w:val="120"/>
          <w:sz w:val="20"/>
        </w:rPr>
        <w:t>methods of </w:t>
      </w:r>
      <w:r>
        <w:rPr>
          <w:spacing w:val="-3"/>
          <w:w w:val="120"/>
          <w:sz w:val="20"/>
        </w:rPr>
        <w:t>church </w:t>
      </w:r>
      <w:r>
        <w:rPr>
          <w:w w:val="120"/>
          <w:sz w:val="20"/>
        </w:rPr>
        <w:t>government in other </w:t>
      </w:r>
      <w:r>
        <w:rPr>
          <w:spacing w:val="-3"/>
          <w:w w:val="120"/>
          <w:sz w:val="20"/>
        </w:rPr>
        <w:t>denominations </w:t>
      </w:r>
      <w:r>
        <w:rPr>
          <w:w w:val="120"/>
          <w:sz w:val="20"/>
        </w:rPr>
        <w:t>as a </w:t>
      </w:r>
      <w:r>
        <w:rPr>
          <w:spacing w:val="-3"/>
          <w:w w:val="120"/>
          <w:sz w:val="20"/>
        </w:rPr>
        <w:t>result </w:t>
      </w:r>
      <w:r>
        <w:rPr>
          <w:w w:val="120"/>
          <w:sz w:val="20"/>
        </w:rPr>
        <w:t>of ecumenical</w:t>
      </w:r>
      <w:r>
        <w:rPr>
          <w:spacing w:val="-11"/>
          <w:w w:val="120"/>
          <w:sz w:val="20"/>
        </w:rPr>
        <w:t> </w:t>
      </w:r>
      <w:r>
        <w:rPr>
          <w:spacing w:val="-3"/>
          <w:w w:val="120"/>
          <w:sz w:val="20"/>
        </w:rPr>
        <w:t>dialogue.</w:t>
      </w:r>
    </w:p>
    <w:p>
      <w:pPr>
        <w:pStyle w:val="BodyText"/>
        <w:spacing w:before="11"/>
        <w:rPr>
          <w:sz w:val="19"/>
        </w:rPr>
      </w:pPr>
    </w:p>
    <w:p>
      <w:pPr>
        <w:pStyle w:val="ListParagraph"/>
        <w:numPr>
          <w:ilvl w:val="2"/>
          <w:numId w:val="137"/>
        </w:numPr>
        <w:tabs>
          <w:tab w:pos="2025" w:val="left" w:leader="none"/>
        </w:tabs>
        <w:spacing w:line="235" w:lineRule="auto" w:before="0" w:after="0"/>
        <w:ind w:left="1344" w:right="1288" w:firstLine="0"/>
        <w:jc w:val="left"/>
        <w:rPr>
          <w:sz w:val="20"/>
        </w:rPr>
      </w:pPr>
      <w:r>
        <w:rPr>
          <w:w w:val="120"/>
          <w:sz w:val="20"/>
        </w:rPr>
        <w:t>One value of the URC is the equality of opportunity for all its members, regardless of gender or marital status, to be in positions of leadership within the  church. There are some questions that the URC might consider as it seeks to form   closer relationships with other churches. How should the URC respond with strength</w:t>
      </w:r>
      <w:bookmarkStart w:name="__DdeLink__627_475020336" w:id="14"/>
      <w:bookmarkEnd w:id="14"/>
      <w:r>
        <w:rPr>
          <w:w w:val="120"/>
          <w:sz w:val="20"/>
        </w:rPr>
      </w:r>
      <w:r>
        <w:rPr>
          <w:w w:val="120"/>
          <w:sz w:val="20"/>
        </w:rPr>
        <w:t> and solidarity supporting freedom and equality of women and those with different beliefs, yet also with graciousness, humility and respect for others’ views? How can Christians of different denominations show respect for those of different cultures and sexual orientations? It would be helpful to form agreements with other Christians on URC concerns about our consumerist, western ways – e.g. the overt use of violence and sexuality</w:t>
      </w:r>
      <w:r>
        <w:rPr>
          <w:spacing w:val="8"/>
          <w:w w:val="120"/>
          <w:sz w:val="20"/>
        </w:rPr>
        <w:t> </w:t>
      </w:r>
      <w:r>
        <w:rPr>
          <w:w w:val="120"/>
          <w:sz w:val="20"/>
        </w:rPr>
        <w:t>in</w:t>
      </w:r>
      <w:r>
        <w:rPr>
          <w:spacing w:val="8"/>
          <w:w w:val="120"/>
          <w:sz w:val="20"/>
        </w:rPr>
        <w:t> </w:t>
      </w:r>
      <w:r>
        <w:rPr>
          <w:spacing w:val="6"/>
          <w:w w:val="120"/>
          <w:sz w:val="20"/>
        </w:rPr>
        <w:t>TV</w:t>
      </w:r>
      <w:r>
        <w:rPr>
          <w:spacing w:val="8"/>
          <w:w w:val="120"/>
          <w:sz w:val="20"/>
        </w:rPr>
        <w:t> </w:t>
      </w:r>
      <w:r>
        <w:rPr>
          <w:w w:val="120"/>
          <w:sz w:val="20"/>
        </w:rPr>
        <w:t>and</w:t>
      </w:r>
      <w:r>
        <w:rPr>
          <w:spacing w:val="8"/>
          <w:w w:val="120"/>
          <w:sz w:val="20"/>
        </w:rPr>
        <w:t> </w:t>
      </w:r>
      <w:r>
        <w:rPr>
          <w:w w:val="120"/>
          <w:sz w:val="20"/>
        </w:rPr>
        <w:t>advertising.</w:t>
      </w:r>
      <w:r>
        <w:rPr>
          <w:spacing w:val="8"/>
          <w:w w:val="120"/>
          <w:sz w:val="20"/>
        </w:rPr>
        <w:t> </w:t>
      </w:r>
      <w:r>
        <w:rPr>
          <w:spacing w:val="-5"/>
          <w:w w:val="120"/>
          <w:sz w:val="20"/>
        </w:rPr>
        <w:t>Yet</w:t>
      </w:r>
      <w:r>
        <w:rPr>
          <w:spacing w:val="8"/>
          <w:w w:val="120"/>
          <w:sz w:val="20"/>
        </w:rPr>
        <w:t> </w:t>
      </w:r>
      <w:r>
        <w:rPr>
          <w:w w:val="120"/>
          <w:sz w:val="20"/>
        </w:rPr>
        <w:t>it</w:t>
      </w:r>
      <w:r>
        <w:rPr>
          <w:spacing w:val="8"/>
          <w:w w:val="120"/>
          <w:sz w:val="20"/>
        </w:rPr>
        <w:t> </w:t>
      </w:r>
      <w:r>
        <w:rPr>
          <w:w w:val="120"/>
          <w:sz w:val="20"/>
        </w:rPr>
        <w:t>would</w:t>
      </w:r>
      <w:r>
        <w:rPr>
          <w:spacing w:val="8"/>
          <w:w w:val="120"/>
          <w:sz w:val="20"/>
        </w:rPr>
        <w:t> </w:t>
      </w:r>
      <w:r>
        <w:rPr>
          <w:w w:val="120"/>
          <w:sz w:val="20"/>
        </w:rPr>
        <w:t>be</w:t>
      </w:r>
      <w:r>
        <w:rPr>
          <w:spacing w:val="8"/>
          <w:w w:val="120"/>
          <w:sz w:val="20"/>
        </w:rPr>
        <w:t> </w:t>
      </w:r>
      <w:r>
        <w:rPr>
          <w:w w:val="120"/>
          <w:sz w:val="20"/>
        </w:rPr>
        <w:t>good</w:t>
      </w:r>
      <w:r>
        <w:rPr>
          <w:spacing w:val="8"/>
          <w:w w:val="120"/>
          <w:sz w:val="20"/>
        </w:rPr>
        <w:t> </w:t>
      </w:r>
      <w:r>
        <w:rPr>
          <w:w w:val="120"/>
          <w:sz w:val="20"/>
        </w:rPr>
        <w:t>to</w:t>
      </w:r>
      <w:r>
        <w:rPr>
          <w:spacing w:val="8"/>
          <w:w w:val="120"/>
          <w:sz w:val="20"/>
        </w:rPr>
        <w:t> </w:t>
      </w:r>
      <w:r>
        <w:rPr>
          <w:w w:val="120"/>
          <w:sz w:val="20"/>
        </w:rPr>
        <w:t>acknowledge</w:t>
      </w:r>
      <w:r>
        <w:rPr>
          <w:spacing w:val="8"/>
          <w:w w:val="120"/>
          <w:sz w:val="20"/>
        </w:rPr>
        <w:t> </w:t>
      </w:r>
      <w:r>
        <w:rPr>
          <w:w w:val="120"/>
          <w:sz w:val="20"/>
        </w:rPr>
        <w:t>where</w:t>
      </w:r>
      <w:r>
        <w:rPr>
          <w:spacing w:val="8"/>
          <w:w w:val="120"/>
          <w:sz w:val="20"/>
        </w:rPr>
        <w:t> </w:t>
      </w:r>
      <w:r>
        <w:rPr>
          <w:w w:val="120"/>
          <w:sz w:val="20"/>
        </w:rPr>
        <w:t>we</w:t>
      </w:r>
      <w:r>
        <w:rPr>
          <w:spacing w:val="8"/>
          <w:w w:val="120"/>
          <w:sz w:val="20"/>
        </w:rPr>
        <w:t> </w:t>
      </w:r>
      <w:r>
        <w:rPr>
          <w:w w:val="120"/>
          <w:sz w:val="20"/>
        </w:rPr>
        <w:t>differ</w:t>
      </w:r>
    </w:p>
    <w:p>
      <w:pPr>
        <w:pStyle w:val="BodyText"/>
        <w:spacing w:line="235" w:lineRule="auto" w:before="7"/>
        <w:ind w:left="1344" w:right="1435"/>
        <w:jc w:val="both"/>
      </w:pPr>
      <w:r>
        <w:rPr>
          <w:w w:val="120"/>
        </w:rPr>
        <w:t>– in the URC we believe that women should be able to have education and leadership roles. The WCC could speak to and guide the different churches so that we could offer Christian perspectives on current issues in the world.</w:t>
      </w:r>
    </w:p>
    <w:p>
      <w:pPr>
        <w:pStyle w:val="BodyText"/>
        <w:spacing w:before="3"/>
        <w:rPr>
          <w:sz w:val="22"/>
        </w:rPr>
      </w:pPr>
    </w:p>
    <w:p>
      <w:pPr>
        <w:pStyle w:val="ListParagraph"/>
        <w:numPr>
          <w:ilvl w:val="0"/>
          <w:numId w:val="137"/>
        </w:numPr>
        <w:tabs>
          <w:tab w:pos="2024" w:val="left" w:leader="none"/>
          <w:tab w:pos="2025" w:val="left" w:leader="none"/>
        </w:tabs>
        <w:spacing w:line="356" w:lineRule="exact" w:before="0" w:after="0"/>
        <w:ind w:left="2024" w:right="0" w:hanging="681"/>
        <w:jc w:val="left"/>
        <w:rPr>
          <w:rFonts w:ascii="Stone Sans II ITC Std Bk"/>
          <w:b/>
          <w:sz w:val="29"/>
        </w:rPr>
      </w:pPr>
      <w:r>
        <w:rPr>
          <w:rFonts w:ascii="Stone Sans II ITC Std Bk"/>
          <w:b/>
          <w:spacing w:val="2"/>
          <w:w w:val="110"/>
          <w:sz w:val="29"/>
        </w:rPr>
        <w:t>Chapter</w:t>
      </w:r>
      <w:r>
        <w:rPr>
          <w:rFonts w:ascii="Stone Sans II ITC Std Bk"/>
          <w:b/>
          <w:spacing w:val="12"/>
          <w:w w:val="110"/>
          <w:sz w:val="29"/>
        </w:rPr>
        <w:t> </w:t>
      </w:r>
      <w:r>
        <w:rPr>
          <w:rFonts w:ascii="Stone Sans II ITC Std Bk"/>
          <w:b/>
          <w:w w:val="110"/>
          <w:sz w:val="29"/>
        </w:rPr>
        <w:t>I</w:t>
      </w:r>
    </w:p>
    <w:p>
      <w:pPr>
        <w:spacing w:line="356" w:lineRule="exact" w:before="0"/>
        <w:ind w:left="2024" w:right="0" w:firstLine="0"/>
        <w:jc w:val="left"/>
        <w:rPr>
          <w:rFonts w:ascii="Stone Sans II ITC Std Bk"/>
          <w:b/>
          <w:sz w:val="29"/>
        </w:rPr>
      </w:pPr>
      <w:r>
        <w:rPr>
          <w:rFonts w:ascii="Stone Sans II ITC Std Bk"/>
          <w:b/>
          <w:spacing w:val="3"/>
          <w:w w:val="110"/>
          <w:sz w:val="29"/>
        </w:rPr>
        <w:t>Fundamental </w:t>
      </w:r>
      <w:r>
        <w:rPr>
          <w:rFonts w:ascii="Stone Sans II ITC Std Bk"/>
          <w:b/>
          <w:spacing w:val="2"/>
          <w:w w:val="110"/>
          <w:sz w:val="29"/>
        </w:rPr>
        <w:t>issues </w:t>
      </w:r>
      <w:r>
        <w:rPr>
          <w:rFonts w:ascii="Stone Sans II ITC Std Bk"/>
          <w:b/>
          <w:w w:val="110"/>
          <w:sz w:val="29"/>
        </w:rPr>
        <w:t>of </w:t>
      </w:r>
      <w:r>
        <w:rPr>
          <w:rFonts w:ascii="Stone Sans II ITC Std Bk"/>
          <w:b/>
          <w:spacing w:val="2"/>
          <w:w w:val="110"/>
          <w:sz w:val="29"/>
        </w:rPr>
        <w:t>the </w:t>
      </w:r>
      <w:r>
        <w:rPr>
          <w:rFonts w:ascii="Stone Sans II ITC Std Bk"/>
          <w:b/>
          <w:w w:val="110"/>
          <w:sz w:val="29"/>
        </w:rPr>
        <w:t>way to</w:t>
      </w:r>
      <w:r>
        <w:rPr>
          <w:rFonts w:ascii="Stone Sans II ITC Std Bk"/>
          <w:b/>
          <w:spacing w:val="73"/>
          <w:w w:val="110"/>
          <w:sz w:val="29"/>
        </w:rPr>
        <w:t> </w:t>
      </w:r>
      <w:r>
        <w:rPr>
          <w:rFonts w:ascii="Stone Sans II ITC Std Bk"/>
          <w:b/>
          <w:spacing w:val="4"/>
          <w:w w:val="110"/>
          <w:sz w:val="29"/>
        </w:rPr>
        <w:t>unity</w:t>
      </w:r>
    </w:p>
    <w:p>
      <w:pPr>
        <w:pStyle w:val="ListParagraph"/>
        <w:numPr>
          <w:ilvl w:val="1"/>
          <w:numId w:val="137"/>
        </w:numPr>
        <w:tabs>
          <w:tab w:pos="2081" w:val="left" w:leader="none"/>
          <w:tab w:pos="2082" w:val="left" w:leader="none"/>
        </w:tabs>
        <w:spacing w:line="235" w:lineRule="auto" w:before="69" w:after="0"/>
        <w:ind w:left="1344" w:right="1398" w:firstLine="0"/>
        <w:jc w:val="left"/>
        <w:rPr>
          <w:sz w:val="20"/>
        </w:rPr>
      </w:pPr>
      <w:r>
        <w:rPr>
          <w:w w:val="120"/>
          <w:sz w:val="20"/>
        </w:rPr>
        <w:t>Ever since the </w:t>
      </w:r>
      <w:r>
        <w:rPr>
          <w:spacing w:val="-3"/>
          <w:w w:val="120"/>
          <w:sz w:val="20"/>
        </w:rPr>
        <w:t>Toronto </w:t>
      </w:r>
      <w:r>
        <w:rPr>
          <w:w w:val="120"/>
          <w:sz w:val="20"/>
        </w:rPr>
        <w:t>Declaration of </w:t>
      </w:r>
      <w:r>
        <w:rPr>
          <w:spacing w:val="-6"/>
          <w:w w:val="120"/>
          <w:sz w:val="20"/>
        </w:rPr>
        <w:t>1950, </w:t>
      </w:r>
      <w:r>
        <w:rPr>
          <w:w w:val="120"/>
          <w:sz w:val="20"/>
        </w:rPr>
        <w:t>the </w:t>
      </w:r>
      <w:r>
        <w:rPr>
          <w:spacing w:val="-3"/>
          <w:w w:val="120"/>
          <w:sz w:val="20"/>
        </w:rPr>
        <w:t>WCC </w:t>
      </w:r>
      <w:r>
        <w:rPr>
          <w:w w:val="120"/>
          <w:sz w:val="20"/>
        </w:rPr>
        <w:t>has challenged the churches to ‘recognise that the membership of the church of Christ is more inclusive than the membership of their own church </w:t>
      </w:r>
      <w:r>
        <w:rPr>
          <w:spacing w:val="-5"/>
          <w:w w:val="120"/>
          <w:sz w:val="20"/>
        </w:rPr>
        <w:t>body.’ </w:t>
      </w:r>
      <w:r>
        <w:rPr>
          <w:w w:val="120"/>
          <w:sz w:val="20"/>
        </w:rPr>
        <w:t>Moreover, mutual regard between churches and their members has been profoundly encouraged and advanced by ecumenical </w:t>
      </w:r>
      <w:r>
        <w:rPr>
          <w:spacing w:val="-3"/>
          <w:w w:val="120"/>
          <w:sz w:val="20"/>
        </w:rPr>
        <w:t>encounter. </w:t>
      </w:r>
      <w:r>
        <w:rPr>
          <w:w w:val="120"/>
          <w:sz w:val="20"/>
        </w:rPr>
        <w:t>Nevertheless, differences on some basic questions remain and need</w:t>
      </w:r>
      <w:r>
        <w:rPr>
          <w:spacing w:val="8"/>
          <w:w w:val="120"/>
          <w:sz w:val="20"/>
        </w:rPr>
        <w:t> </w:t>
      </w:r>
      <w:r>
        <w:rPr>
          <w:w w:val="120"/>
          <w:sz w:val="20"/>
        </w:rPr>
        <w:t>to</w:t>
      </w:r>
      <w:r>
        <w:rPr>
          <w:spacing w:val="9"/>
          <w:w w:val="120"/>
          <w:sz w:val="20"/>
        </w:rPr>
        <w:t> </w:t>
      </w:r>
      <w:r>
        <w:rPr>
          <w:w w:val="120"/>
          <w:sz w:val="20"/>
        </w:rPr>
        <w:t>be</w:t>
      </w:r>
      <w:r>
        <w:rPr>
          <w:spacing w:val="8"/>
          <w:w w:val="120"/>
          <w:sz w:val="20"/>
        </w:rPr>
        <w:t> </w:t>
      </w:r>
      <w:r>
        <w:rPr>
          <w:w w:val="120"/>
          <w:sz w:val="20"/>
        </w:rPr>
        <w:t>faced</w:t>
      </w:r>
      <w:r>
        <w:rPr>
          <w:spacing w:val="9"/>
          <w:w w:val="120"/>
          <w:sz w:val="20"/>
        </w:rPr>
        <w:t> </w:t>
      </w:r>
      <w:r>
        <w:rPr>
          <w:w w:val="120"/>
          <w:sz w:val="20"/>
        </w:rPr>
        <w:t>together:</w:t>
      </w:r>
      <w:r>
        <w:rPr>
          <w:spacing w:val="8"/>
          <w:w w:val="120"/>
          <w:sz w:val="20"/>
        </w:rPr>
        <w:t> </w:t>
      </w:r>
      <w:r>
        <w:rPr>
          <w:w w:val="120"/>
          <w:sz w:val="20"/>
        </w:rPr>
        <w:t>How</w:t>
      </w:r>
      <w:r>
        <w:rPr>
          <w:spacing w:val="9"/>
          <w:w w:val="120"/>
          <w:sz w:val="20"/>
        </w:rPr>
        <w:t> </w:t>
      </w:r>
      <w:r>
        <w:rPr>
          <w:w w:val="120"/>
          <w:sz w:val="20"/>
        </w:rPr>
        <w:t>can</w:t>
      </w:r>
      <w:r>
        <w:rPr>
          <w:spacing w:val="8"/>
          <w:w w:val="120"/>
          <w:sz w:val="20"/>
        </w:rPr>
        <w:t> </w:t>
      </w:r>
      <w:r>
        <w:rPr>
          <w:w w:val="120"/>
          <w:sz w:val="20"/>
        </w:rPr>
        <w:t>we</w:t>
      </w:r>
      <w:r>
        <w:rPr>
          <w:spacing w:val="9"/>
          <w:w w:val="120"/>
          <w:sz w:val="20"/>
        </w:rPr>
        <w:t> </w:t>
      </w:r>
      <w:r>
        <w:rPr>
          <w:w w:val="120"/>
          <w:sz w:val="20"/>
        </w:rPr>
        <w:t>identify</w:t>
      </w:r>
      <w:r>
        <w:rPr>
          <w:spacing w:val="8"/>
          <w:w w:val="120"/>
          <w:sz w:val="20"/>
        </w:rPr>
        <w:t> </w:t>
      </w:r>
      <w:r>
        <w:rPr>
          <w:w w:val="120"/>
          <w:sz w:val="20"/>
        </w:rPr>
        <w:t>the</w:t>
      </w:r>
      <w:r>
        <w:rPr>
          <w:spacing w:val="9"/>
          <w:w w:val="120"/>
          <w:sz w:val="20"/>
        </w:rPr>
        <w:t> </w:t>
      </w:r>
      <w:r>
        <w:rPr>
          <w:w w:val="120"/>
          <w:sz w:val="20"/>
        </w:rPr>
        <w:t>Church</w:t>
      </w:r>
      <w:r>
        <w:rPr>
          <w:spacing w:val="8"/>
          <w:w w:val="120"/>
          <w:sz w:val="20"/>
        </w:rPr>
        <w:t> </w:t>
      </w:r>
      <w:r>
        <w:rPr>
          <w:w w:val="120"/>
          <w:sz w:val="20"/>
        </w:rPr>
        <w:t>which</w:t>
      </w:r>
      <w:r>
        <w:rPr>
          <w:spacing w:val="9"/>
          <w:w w:val="120"/>
          <w:sz w:val="20"/>
        </w:rPr>
        <w:t> </w:t>
      </w:r>
      <w:r>
        <w:rPr>
          <w:w w:val="120"/>
          <w:sz w:val="20"/>
        </w:rPr>
        <w:t>the</w:t>
      </w:r>
      <w:r>
        <w:rPr>
          <w:spacing w:val="8"/>
          <w:w w:val="120"/>
          <w:sz w:val="20"/>
        </w:rPr>
        <w:t> </w:t>
      </w:r>
      <w:r>
        <w:rPr>
          <w:w w:val="120"/>
          <w:sz w:val="20"/>
        </w:rPr>
        <w:t>creed</w:t>
      </w:r>
      <w:r>
        <w:rPr>
          <w:spacing w:val="9"/>
          <w:w w:val="120"/>
          <w:sz w:val="20"/>
        </w:rPr>
        <w:t> </w:t>
      </w:r>
      <w:r>
        <w:rPr>
          <w:w w:val="120"/>
          <w:sz w:val="20"/>
        </w:rPr>
        <w:t>calls</w:t>
      </w:r>
      <w:r>
        <w:rPr>
          <w:spacing w:val="8"/>
          <w:w w:val="120"/>
          <w:sz w:val="20"/>
        </w:rPr>
        <w:t> </w:t>
      </w:r>
      <w:r>
        <w:rPr>
          <w:w w:val="120"/>
          <w:sz w:val="20"/>
        </w:rPr>
        <w:t>one,</w:t>
      </w:r>
    </w:p>
    <w:p>
      <w:pPr>
        <w:spacing w:after="0" w:line="235" w:lineRule="auto"/>
        <w:jc w:val="left"/>
        <w:rPr>
          <w:sz w:val="20"/>
        </w:rPr>
        <w:sectPr>
          <w:headerReference w:type="default" r:id="rId321"/>
          <w:footerReference w:type="default" r:id="rId322"/>
          <w:footerReference w:type="even" r:id="rId323"/>
          <w:pgSz w:w="11910" w:h="16840"/>
          <w:pgMar w:header="0" w:footer="647" w:top="0" w:bottom="840" w:left="640" w:right="0"/>
        </w:sectPr>
      </w:pPr>
    </w:p>
    <w:p>
      <w:pPr>
        <w:pStyle w:val="BodyText"/>
      </w:pPr>
      <w:r>
        <w:rPr/>
        <w:drawing>
          <wp:anchor distT="0" distB="0" distL="0" distR="0" allowOverlap="1" layoutInCell="1" locked="0" behindDoc="1" simplePos="0" relativeHeight="235500544">
            <wp:simplePos x="0" y="0"/>
            <wp:positionH relativeFrom="page">
              <wp:posOffset>0</wp:posOffset>
            </wp:positionH>
            <wp:positionV relativeFrom="page">
              <wp:posOffset>0</wp:posOffset>
            </wp:positionV>
            <wp:extent cx="594067" cy="10692003"/>
            <wp:effectExtent l="0" t="0" r="0" b="0"/>
            <wp:wrapNone/>
            <wp:docPr id="207" name="image67.png"/>
            <wp:cNvGraphicFramePr>
              <a:graphicFrameLocks noChangeAspect="1"/>
            </wp:cNvGraphicFramePr>
            <a:graphic>
              <a:graphicData uri="http://schemas.openxmlformats.org/drawingml/2006/picture">
                <pic:pic>
                  <pic:nvPicPr>
                    <pic:cNvPr id="208" name="image67.png"/>
                    <pic:cNvPicPr/>
                  </pic:nvPicPr>
                  <pic:blipFill>
                    <a:blip r:embed="rId184" cstate="print"/>
                    <a:stretch>
                      <a:fillRect/>
                    </a:stretch>
                  </pic:blipFill>
                  <pic:spPr>
                    <a:xfrm>
                      <a:off x="0" y="0"/>
                      <a:ext cx="594067" cy="10692003"/>
                    </a:xfrm>
                    <a:prstGeom prst="rect">
                      <a:avLst/>
                    </a:prstGeom>
                  </pic:spPr>
                </pic:pic>
              </a:graphicData>
            </a:graphic>
          </wp:anchor>
        </w:drawing>
      </w:r>
      <w:r>
        <w:rPr/>
        <w:pict>
          <v:shape style="position:absolute;margin-left:20.519100pt;margin-top:48.890015pt;width:25.9pt;height:444.45pt;mso-position-horizontal-relative:page;mso-position-vertical-relative:page;z-index:-267814912" type="#_x0000_t202" filled="false" stroked="false">
            <v:textbox inset="0,0,0,0" style="layout-flow:vertical">
              <w:txbxContent>
                <w:p>
                  <w:pPr>
                    <w:spacing w:before="27"/>
                    <w:ind w:left="20" w:right="0" w:firstLine="0"/>
                    <w:jc w:val="left"/>
                    <w:rPr>
                      <w:sz w:val="39"/>
                    </w:rPr>
                  </w:pPr>
                  <w:r>
                    <w:rPr>
                      <w:color w:val="FFFFFF"/>
                      <w:w w:val="120"/>
                      <w:sz w:val="39"/>
                    </w:rPr>
                    <w:t>Faith and order – </w:t>
                  </w:r>
                  <w:r>
                    <w:rPr>
                      <w:w w:val="120"/>
                      <w:sz w:val="39"/>
                    </w:rPr>
                    <w:t>Towards a common vision</w:t>
                  </w:r>
                </w:p>
              </w:txbxContent>
            </v:textbox>
            <w10:wrap type="none"/>
          </v:shape>
        </w:pict>
      </w:r>
    </w:p>
    <w:p>
      <w:pPr>
        <w:pStyle w:val="BodyText"/>
        <w:spacing w:before="7"/>
        <w:rPr>
          <w:sz w:val="21"/>
        </w:rPr>
      </w:pPr>
    </w:p>
    <w:p>
      <w:pPr>
        <w:spacing w:before="106"/>
        <w:ind w:left="607" w:right="0" w:firstLine="0"/>
        <w:jc w:val="left"/>
        <w:rPr>
          <w:sz w:val="26"/>
        </w:rPr>
      </w:pPr>
      <w:r>
        <w:rPr>
          <w:color w:val="7EAABF"/>
          <w:w w:val="115"/>
          <w:sz w:val="26"/>
        </w:rPr>
        <w:t>Faith and order</w:t>
      </w:r>
    </w:p>
    <w:p>
      <w:pPr>
        <w:pStyle w:val="BodyText"/>
        <w:spacing w:line="235" w:lineRule="auto" w:before="222"/>
        <w:ind w:left="607" w:right="2045"/>
      </w:pPr>
      <w:r>
        <w:rPr>
          <w:w w:val="120"/>
        </w:rPr>
        <w:t>holy, catholic and apostolic? What is God’s will for the unity of this church? What do we need to do to put God’s will into practice? This text has been written in order to assist the churches as they reflect upon such questions, seeking common answers.</w:t>
      </w:r>
    </w:p>
    <w:p>
      <w:pPr>
        <w:pStyle w:val="BodyText"/>
        <w:spacing w:before="10"/>
        <w:rPr>
          <w:sz w:val="19"/>
        </w:rPr>
      </w:pPr>
    </w:p>
    <w:p>
      <w:pPr>
        <w:pStyle w:val="ListParagraph"/>
        <w:numPr>
          <w:ilvl w:val="1"/>
          <w:numId w:val="137"/>
        </w:numPr>
        <w:tabs>
          <w:tab w:pos="1287" w:val="left" w:leader="none"/>
          <w:tab w:pos="1288" w:val="left" w:leader="none"/>
        </w:tabs>
        <w:spacing w:line="235" w:lineRule="auto" w:before="0" w:after="0"/>
        <w:ind w:left="607" w:right="1983" w:firstLine="0"/>
        <w:jc w:val="left"/>
        <w:rPr>
          <w:sz w:val="20"/>
        </w:rPr>
      </w:pPr>
      <w:r>
        <w:rPr>
          <w:w w:val="120"/>
          <w:sz w:val="20"/>
        </w:rPr>
        <w:t>Fundamental issues of justice and peace and respect of all people are important aspects of unity within the worldwide Church of Christ. The main way that people in society can identify the Church as universal and apostolic is for the people of the church to follow Christ’s way of ‘taking up our crosses’ rather than ‘taking up our swords’ in church life and ministry. </w:t>
      </w:r>
      <w:r>
        <w:rPr>
          <w:spacing w:val="3"/>
          <w:w w:val="120"/>
          <w:sz w:val="20"/>
        </w:rPr>
        <w:t>As </w:t>
      </w:r>
      <w:r>
        <w:rPr>
          <w:w w:val="120"/>
          <w:sz w:val="20"/>
        </w:rPr>
        <w:t>followers of Christ we are called to imitate his ways, display his humility and further his ministry of healing, welcoming the outcast, feeding the hungry, challenging evil and showing self sacrificial giving in our service toward each other and people in the</w:t>
      </w:r>
      <w:r>
        <w:rPr>
          <w:spacing w:val="11"/>
          <w:w w:val="120"/>
          <w:sz w:val="20"/>
        </w:rPr>
        <w:t> </w:t>
      </w:r>
      <w:r>
        <w:rPr>
          <w:w w:val="120"/>
          <w:sz w:val="20"/>
        </w:rPr>
        <w:t>world.</w:t>
      </w:r>
    </w:p>
    <w:p>
      <w:pPr>
        <w:pStyle w:val="BodyText"/>
        <w:spacing w:before="6"/>
        <w:rPr>
          <w:sz w:val="22"/>
        </w:rPr>
      </w:pPr>
    </w:p>
    <w:p>
      <w:pPr>
        <w:pStyle w:val="ListParagraph"/>
        <w:numPr>
          <w:ilvl w:val="0"/>
          <w:numId w:val="137"/>
        </w:numPr>
        <w:tabs>
          <w:tab w:pos="1287" w:val="left" w:leader="none"/>
          <w:tab w:pos="1288" w:val="left" w:leader="none"/>
        </w:tabs>
        <w:spacing w:line="356" w:lineRule="exact" w:before="0" w:after="0"/>
        <w:ind w:left="1287" w:right="0" w:hanging="681"/>
        <w:jc w:val="left"/>
        <w:rPr>
          <w:rFonts w:ascii="Stone Sans II ITC Std Bk"/>
          <w:b/>
          <w:sz w:val="29"/>
        </w:rPr>
      </w:pPr>
      <w:r>
        <w:rPr>
          <w:rFonts w:ascii="Stone Sans II ITC Std Bk"/>
          <w:b/>
          <w:spacing w:val="2"/>
          <w:w w:val="110"/>
          <w:sz w:val="29"/>
        </w:rPr>
        <w:t>Chapter</w:t>
      </w:r>
      <w:r>
        <w:rPr>
          <w:rFonts w:ascii="Stone Sans II ITC Std Bk"/>
          <w:b/>
          <w:spacing w:val="20"/>
          <w:w w:val="110"/>
          <w:sz w:val="29"/>
        </w:rPr>
        <w:t> </w:t>
      </w:r>
      <w:r>
        <w:rPr>
          <w:rFonts w:ascii="Stone Sans II ITC Std Bk"/>
          <w:b/>
          <w:spacing w:val="3"/>
          <w:w w:val="110"/>
          <w:sz w:val="29"/>
        </w:rPr>
        <w:t>II</w:t>
      </w:r>
    </w:p>
    <w:p>
      <w:pPr>
        <w:spacing w:line="356" w:lineRule="exact" w:before="0"/>
        <w:ind w:left="1287" w:right="0" w:firstLine="0"/>
        <w:jc w:val="left"/>
        <w:rPr>
          <w:rFonts w:ascii="Stone Sans II ITC Std Bk"/>
          <w:b/>
          <w:sz w:val="29"/>
        </w:rPr>
      </w:pPr>
      <w:r>
        <w:rPr>
          <w:rFonts w:ascii="Stone Sans II ITC Std Bk"/>
          <w:b/>
          <w:spacing w:val="4"/>
          <w:w w:val="110"/>
          <w:sz w:val="29"/>
        </w:rPr>
        <w:t>The </w:t>
      </w:r>
      <w:r>
        <w:rPr>
          <w:rFonts w:ascii="Stone Sans II ITC Std Bk"/>
          <w:b/>
          <w:spacing w:val="3"/>
          <w:w w:val="110"/>
          <w:sz w:val="29"/>
        </w:rPr>
        <w:t>Church </w:t>
      </w:r>
      <w:r>
        <w:rPr>
          <w:rFonts w:ascii="Stone Sans II ITC Std Bk"/>
          <w:b/>
          <w:w w:val="110"/>
          <w:sz w:val="29"/>
        </w:rPr>
        <w:t>of </w:t>
      </w:r>
      <w:r>
        <w:rPr>
          <w:rFonts w:ascii="Stone Sans II ITC Std Bk"/>
          <w:b/>
          <w:spacing w:val="2"/>
          <w:w w:val="110"/>
          <w:sz w:val="29"/>
        </w:rPr>
        <w:t>the </w:t>
      </w:r>
      <w:r>
        <w:rPr>
          <w:rFonts w:ascii="Stone Sans II ITC Std Bk"/>
          <w:b/>
          <w:spacing w:val="3"/>
          <w:w w:val="110"/>
          <w:sz w:val="29"/>
        </w:rPr>
        <w:t>triune</w:t>
      </w:r>
      <w:r>
        <w:rPr>
          <w:rFonts w:ascii="Stone Sans II ITC Std Bk"/>
          <w:b/>
          <w:spacing w:val="54"/>
          <w:w w:val="110"/>
          <w:sz w:val="29"/>
        </w:rPr>
        <w:t> </w:t>
      </w:r>
      <w:r>
        <w:rPr>
          <w:rFonts w:ascii="Stone Sans II ITC Std Bk"/>
          <w:b/>
          <w:spacing w:val="5"/>
          <w:w w:val="110"/>
          <w:sz w:val="29"/>
        </w:rPr>
        <w:t>God</w:t>
      </w:r>
    </w:p>
    <w:p>
      <w:pPr>
        <w:pStyle w:val="Heading7"/>
        <w:numPr>
          <w:ilvl w:val="1"/>
          <w:numId w:val="137"/>
        </w:numPr>
        <w:tabs>
          <w:tab w:pos="1287" w:val="left" w:leader="none"/>
          <w:tab w:pos="1288" w:val="left" w:leader="none"/>
        </w:tabs>
        <w:spacing w:line="261" w:lineRule="exact" w:before="53" w:after="0"/>
        <w:ind w:left="1287" w:right="0" w:hanging="681"/>
        <w:jc w:val="left"/>
      </w:pPr>
      <w:r>
        <w:rPr>
          <w:w w:val="110"/>
        </w:rPr>
        <w:t>How continuity and change in the Church relate to God’s</w:t>
      </w:r>
      <w:r>
        <w:rPr>
          <w:spacing w:val="-4"/>
          <w:w w:val="110"/>
        </w:rPr>
        <w:t> </w:t>
      </w:r>
      <w:r>
        <w:rPr>
          <w:w w:val="110"/>
        </w:rPr>
        <w:t>will</w:t>
      </w:r>
    </w:p>
    <w:p>
      <w:pPr>
        <w:pStyle w:val="ListParagraph"/>
        <w:numPr>
          <w:ilvl w:val="2"/>
          <w:numId w:val="137"/>
        </w:numPr>
        <w:tabs>
          <w:tab w:pos="1287" w:val="left" w:leader="none"/>
          <w:tab w:pos="1288" w:val="left" w:leader="none"/>
        </w:tabs>
        <w:spacing w:line="235" w:lineRule="auto" w:before="0" w:after="0"/>
        <w:ind w:left="607" w:right="2249" w:firstLine="0"/>
        <w:jc w:val="left"/>
        <w:rPr>
          <w:sz w:val="20"/>
        </w:rPr>
      </w:pPr>
      <w:r>
        <w:rPr>
          <w:w w:val="120"/>
          <w:sz w:val="20"/>
        </w:rPr>
        <w:t>Through their patient </w:t>
      </w:r>
      <w:r>
        <w:rPr>
          <w:spacing w:val="-3"/>
          <w:w w:val="120"/>
          <w:sz w:val="20"/>
        </w:rPr>
        <w:t>encounter, </w:t>
      </w:r>
      <w:r>
        <w:rPr>
          <w:w w:val="120"/>
          <w:sz w:val="20"/>
        </w:rPr>
        <w:t>in a spirit of mutual respect and attention, many churches have come to a deeper understanding of these differing sensitivities and convictions regarding continuity and change in the church. In that deeper understanding, it becomes clear that the same intent – to obey God’s will for the ordering of the Church – </w:t>
      </w:r>
      <w:r>
        <w:rPr>
          <w:spacing w:val="-4"/>
          <w:w w:val="120"/>
          <w:sz w:val="20"/>
        </w:rPr>
        <w:t>may, </w:t>
      </w:r>
      <w:r>
        <w:rPr>
          <w:w w:val="120"/>
          <w:sz w:val="20"/>
        </w:rPr>
        <w:t>in some, inspire commitment to continuity and, in others, commitment to change. We invite churches to recognise and honour each other’s commitment to seeking the will of God in the ordering of the Church. We further invite them to reflect about the criteria which are employed in different churches for considering issues about continuity and change. How far are such  criteria open to development in the light of the urgent call of Christ to reconciliation? (Matt. </w:t>
      </w:r>
      <w:r>
        <w:rPr>
          <w:spacing w:val="-4"/>
          <w:w w:val="120"/>
          <w:sz w:val="20"/>
        </w:rPr>
        <w:t>5.23-24) </w:t>
      </w:r>
      <w:r>
        <w:rPr>
          <w:w w:val="120"/>
          <w:sz w:val="20"/>
        </w:rPr>
        <w:t>Could this be the time for a new</w:t>
      </w:r>
      <w:r>
        <w:rPr>
          <w:spacing w:val="32"/>
          <w:w w:val="120"/>
          <w:sz w:val="20"/>
        </w:rPr>
        <w:t> </w:t>
      </w:r>
      <w:r>
        <w:rPr>
          <w:w w:val="120"/>
          <w:sz w:val="20"/>
        </w:rPr>
        <w:t>approach?</w:t>
      </w:r>
    </w:p>
    <w:p>
      <w:pPr>
        <w:pStyle w:val="BodyText"/>
        <w:spacing w:before="11"/>
        <w:rPr>
          <w:sz w:val="19"/>
        </w:rPr>
      </w:pPr>
    </w:p>
    <w:p>
      <w:pPr>
        <w:pStyle w:val="ListParagraph"/>
        <w:numPr>
          <w:ilvl w:val="2"/>
          <w:numId w:val="137"/>
        </w:numPr>
        <w:tabs>
          <w:tab w:pos="1287" w:val="left" w:leader="none"/>
          <w:tab w:pos="1288" w:val="left" w:leader="none"/>
        </w:tabs>
        <w:spacing w:line="235" w:lineRule="auto" w:before="0" w:after="0"/>
        <w:ind w:left="607" w:right="1998" w:firstLine="0"/>
        <w:jc w:val="left"/>
        <w:rPr>
          <w:sz w:val="20"/>
        </w:rPr>
      </w:pPr>
      <w:r>
        <w:rPr>
          <w:w w:val="120"/>
          <w:sz w:val="20"/>
        </w:rPr>
        <w:t>The United Reformed Church affirms the faith of the apostles and also recognises that ‘the Holy Spirit may lead us to make new statements of faith in ever new obedience to the living Christ’ as indicated in our Statement concerning the Nature, Faith and  Order of the United Reformed</w:t>
      </w:r>
      <w:r>
        <w:rPr>
          <w:spacing w:val="11"/>
          <w:w w:val="120"/>
          <w:sz w:val="20"/>
        </w:rPr>
        <w:t> </w:t>
      </w:r>
      <w:r>
        <w:rPr>
          <w:w w:val="120"/>
          <w:sz w:val="20"/>
        </w:rPr>
        <w:t>Church:</w:t>
      </w:r>
    </w:p>
    <w:p>
      <w:pPr>
        <w:pStyle w:val="BodyText"/>
        <w:spacing w:before="11"/>
        <w:rPr>
          <w:sz w:val="19"/>
        </w:rPr>
      </w:pPr>
    </w:p>
    <w:p>
      <w:pPr>
        <w:pStyle w:val="ListParagraph"/>
        <w:numPr>
          <w:ilvl w:val="2"/>
          <w:numId w:val="137"/>
        </w:numPr>
        <w:tabs>
          <w:tab w:pos="1287" w:val="left" w:leader="none"/>
          <w:tab w:pos="1288" w:val="left" w:leader="none"/>
        </w:tabs>
        <w:spacing w:line="235" w:lineRule="auto" w:before="0" w:after="0"/>
        <w:ind w:left="607" w:right="2162" w:firstLine="0"/>
        <w:jc w:val="left"/>
        <w:rPr>
          <w:sz w:val="20"/>
        </w:rPr>
      </w:pPr>
      <w:r>
        <w:rPr>
          <w:w w:val="120"/>
          <w:sz w:val="20"/>
        </w:rPr>
        <w:t>‘We conduct our life together according to the Basis of Union in which we give expression to our faith in forms which we believe contain the essential elements of the </w:t>
      </w:r>
      <w:r>
        <w:rPr>
          <w:spacing w:val="-3"/>
          <w:w w:val="120"/>
          <w:sz w:val="20"/>
        </w:rPr>
        <w:t>Church’s </w:t>
      </w:r>
      <w:r>
        <w:rPr>
          <w:w w:val="120"/>
          <w:sz w:val="20"/>
        </w:rPr>
        <w:t>life, both catholic and reformed; but we affirm our right and readiness, if the need arises, to change the Basis of Union and to make new statements of faith in ever new obedience to the Living</w:t>
      </w:r>
      <w:r>
        <w:rPr>
          <w:spacing w:val="13"/>
          <w:w w:val="120"/>
          <w:sz w:val="20"/>
        </w:rPr>
        <w:t> </w:t>
      </w:r>
      <w:r>
        <w:rPr>
          <w:w w:val="120"/>
          <w:sz w:val="20"/>
        </w:rPr>
        <w:t>Christ’.</w:t>
      </w:r>
    </w:p>
    <w:p>
      <w:pPr>
        <w:pStyle w:val="BodyText"/>
        <w:spacing w:before="12"/>
        <w:rPr>
          <w:sz w:val="19"/>
        </w:rPr>
      </w:pPr>
    </w:p>
    <w:p>
      <w:pPr>
        <w:pStyle w:val="ListParagraph"/>
        <w:numPr>
          <w:ilvl w:val="2"/>
          <w:numId w:val="137"/>
        </w:numPr>
        <w:tabs>
          <w:tab w:pos="1287" w:val="left" w:leader="none"/>
          <w:tab w:pos="1288" w:val="left" w:leader="none"/>
        </w:tabs>
        <w:spacing w:line="235" w:lineRule="auto" w:before="0" w:after="0"/>
        <w:ind w:left="607" w:right="2319" w:firstLine="0"/>
        <w:jc w:val="left"/>
        <w:rPr>
          <w:sz w:val="20"/>
        </w:rPr>
      </w:pPr>
      <w:r>
        <w:rPr>
          <w:w w:val="120"/>
          <w:sz w:val="20"/>
        </w:rPr>
        <w:t>This means that the URC affirms the Protestant Christian understanding that people are saved by faith and not by practice (although the faith that saves is never alone, but followed by good </w:t>
      </w:r>
      <w:r>
        <w:rPr>
          <w:spacing w:val="-3"/>
          <w:w w:val="120"/>
          <w:sz w:val="20"/>
        </w:rPr>
        <w:t>works). </w:t>
      </w:r>
      <w:r>
        <w:rPr>
          <w:w w:val="120"/>
          <w:sz w:val="20"/>
        </w:rPr>
        <w:t>The Christian faith is always experienced in person. It is not a set of propositional truths, but a relationship with the living God which is lived in a particular culture and society and generation. </w:t>
      </w:r>
      <w:r>
        <w:rPr>
          <w:spacing w:val="3"/>
          <w:w w:val="120"/>
          <w:sz w:val="20"/>
        </w:rPr>
        <w:t>As </w:t>
      </w:r>
      <w:r>
        <w:rPr>
          <w:w w:val="120"/>
          <w:sz w:val="20"/>
        </w:rPr>
        <w:t>society changes   it is appropriate for Christians to change their expectations of themselves to be appropriately good and decent in the society in which they live. It may mean a woman wearing a head covering in some societies and it may mean not so in others. The Church will evolve as it seeks to live out the will of God in bringing peace and justice and wholeness to all. This has been shown in the </w:t>
      </w:r>
      <w:r>
        <w:rPr>
          <w:spacing w:val="-3"/>
          <w:w w:val="120"/>
          <w:sz w:val="20"/>
        </w:rPr>
        <w:t>church’s </w:t>
      </w:r>
      <w:r>
        <w:rPr>
          <w:w w:val="120"/>
          <w:sz w:val="20"/>
        </w:rPr>
        <w:t>response against slavery, which took many years to realise, the recognition of </w:t>
      </w:r>
      <w:r>
        <w:rPr>
          <w:spacing w:val="-3"/>
          <w:w w:val="120"/>
          <w:sz w:val="20"/>
        </w:rPr>
        <w:t>women’s </w:t>
      </w:r>
      <w:r>
        <w:rPr>
          <w:w w:val="120"/>
          <w:sz w:val="20"/>
        </w:rPr>
        <w:t>ministry in some denominations and an ongoing searching and discovery of what is healthy and wholesome sexual identity and behaviour. One of the important principles is</w:t>
      </w:r>
      <w:r>
        <w:rPr>
          <w:spacing w:val="51"/>
          <w:w w:val="120"/>
          <w:sz w:val="20"/>
        </w:rPr>
        <w:t> </w:t>
      </w:r>
      <w:r>
        <w:rPr>
          <w:w w:val="120"/>
          <w:sz w:val="20"/>
        </w:rPr>
        <w:t>the</w:t>
      </w:r>
    </w:p>
    <w:p>
      <w:pPr>
        <w:pStyle w:val="BodyText"/>
        <w:spacing w:line="235" w:lineRule="auto" w:before="9"/>
        <w:ind w:left="607" w:right="2045"/>
      </w:pPr>
      <w:r>
        <w:rPr>
          <w:w w:val="120"/>
        </w:rPr>
        <w:t>recognition that some churches in different societies will have different understandings and expectations and therefore we should allow difference and respect for each</w:t>
      </w:r>
    </w:p>
    <w:p>
      <w:pPr>
        <w:pStyle w:val="BodyText"/>
        <w:spacing w:line="235" w:lineRule="auto" w:before="2"/>
        <w:ind w:left="607" w:right="2394"/>
      </w:pPr>
      <w:r>
        <w:rPr>
          <w:w w:val="120"/>
        </w:rPr>
        <w:t>other as pilgrim people. One of the United Reformed </w:t>
      </w:r>
      <w:r>
        <w:rPr>
          <w:spacing w:val="-3"/>
          <w:w w:val="120"/>
        </w:rPr>
        <w:t>Church’s </w:t>
      </w:r>
      <w:r>
        <w:rPr>
          <w:w w:val="120"/>
        </w:rPr>
        <w:t>ways of living this out is to revise the Basis of Union for the essential elements of the </w:t>
      </w:r>
      <w:r>
        <w:rPr>
          <w:spacing w:val="-3"/>
          <w:w w:val="120"/>
        </w:rPr>
        <w:t>Church’s </w:t>
      </w:r>
      <w:r>
        <w:rPr>
          <w:w w:val="120"/>
        </w:rPr>
        <w:t>life</w:t>
      </w:r>
      <w:r>
        <w:rPr>
          <w:spacing w:val="-1"/>
          <w:w w:val="120"/>
        </w:rPr>
        <w:t> </w:t>
      </w:r>
      <w:r>
        <w:rPr>
          <w:w w:val="120"/>
        </w:rPr>
        <w:t>through</w:t>
      </w:r>
    </w:p>
    <w:p>
      <w:pPr>
        <w:pStyle w:val="BodyText"/>
        <w:spacing w:line="235" w:lineRule="auto" w:before="1"/>
        <w:ind w:left="607" w:right="2045"/>
      </w:pPr>
      <w:r>
        <w:rPr>
          <w:w w:val="120"/>
        </w:rPr>
        <w:t>General Assembly, and for local churches to work out in the local Church Meeting more specifically local issues that are important to them.</w:t>
      </w:r>
    </w:p>
    <w:p>
      <w:pPr>
        <w:spacing w:after="0" w:line="235" w:lineRule="auto"/>
        <w:sectPr>
          <w:headerReference w:type="even" r:id="rId324"/>
          <w:pgSz w:w="11910" w:h="16840"/>
          <w:pgMar w:header="0" w:footer="647" w:top="0" w:bottom="840" w:left="640" w:right="0"/>
        </w:sectPr>
      </w:pPr>
    </w:p>
    <w:p>
      <w:pPr>
        <w:pStyle w:val="BodyText"/>
      </w:pPr>
    </w:p>
    <w:p>
      <w:pPr>
        <w:pStyle w:val="BodyText"/>
        <w:spacing w:before="7"/>
        <w:rPr>
          <w:sz w:val="21"/>
        </w:rPr>
      </w:pPr>
    </w:p>
    <w:p>
      <w:pPr>
        <w:spacing w:after="0"/>
        <w:rPr>
          <w:sz w:val="21"/>
        </w:rPr>
        <w:sectPr>
          <w:headerReference w:type="default" r:id="rId325"/>
          <w:footerReference w:type="default" r:id="rId326"/>
          <w:footerReference w:type="even" r:id="rId327"/>
          <w:pgSz w:w="11910" w:h="16840"/>
          <w:pgMar w:header="0" w:footer="647" w:top="0" w:bottom="840" w:left="640" w:right="0"/>
          <w:pgNumType w:start="113"/>
        </w:sectPr>
      </w:pPr>
    </w:p>
    <w:p>
      <w:pPr>
        <w:pStyle w:val="BodyText"/>
        <w:rPr>
          <w:sz w:val="24"/>
        </w:rPr>
      </w:pPr>
    </w:p>
    <w:p>
      <w:pPr>
        <w:pStyle w:val="BodyText"/>
        <w:spacing w:before="6"/>
        <w:rPr>
          <w:sz w:val="27"/>
        </w:rPr>
      </w:pPr>
    </w:p>
    <w:p>
      <w:pPr>
        <w:pStyle w:val="Heading7"/>
        <w:numPr>
          <w:ilvl w:val="1"/>
          <w:numId w:val="137"/>
        </w:numPr>
        <w:tabs>
          <w:tab w:pos="2024" w:val="left" w:leader="none"/>
          <w:tab w:pos="2025" w:val="left" w:leader="none"/>
        </w:tabs>
        <w:spacing w:line="253" w:lineRule="exact" w:before="0" w:after="0"/>
        <w:ind w:left="2024" w:right="0" w:hanging="681"/>
        <w:jc w:val="left"/>
      </w:pPr>
      <w:r>
        <w:rPr/>
        <w:pict>
          <v:shape style="position:absolute;margin-left:554.141174pt;margin-top:-8.818079pt;width:25.9pt;height:444.45pt;mso-position-horizontal-relative:page;mso-position-vertical-relative:paragraph;z-index:251957248" type="#_x0000_t202" filled="false" stroked="false">
            <v:textbox inset="0,0,0,0" style="layout-flow:vertical">
              <w:txbxContent>
                <w:p>
                  <w:pPr>
                    <w:spacing w:before="27"/>
                    <w:ind w:left="20" w:right="0" w:firstLine="0"/>
                    <w:jc w:val="left"/>
                    <w:rPr>
                      <w:sz w:val="39"/>
                    </w:rPr>
                  </w:pPr>
                  <w:r>
                    <w:rPr>
                      <w:color w:val="FFFFFF"/>
                      <w:w w:val="120"/>
                      <w:sz w:val="39"/>
                    </w:rPr>
                    <w:t>Faith and order – </w:t>
                  </w:r>
                  <w:r>
                    <w:rPr>
                      <w:w w:val="120"/>
                      <w:sz w:val="39"/>
                    </w:rPr>
                    <w:t>Towards a common vision</w:t>
                  </w:r>
                </w:p>
              </w:txbxContent>
            </v:textbox>
            <w10:wrap type="none"/>
          </v:shape>
        </w:pict>
      </w:r>
      <w:r>
        <w:rPr>
          <w:w w:val="110"/>
        </w:rPr>
        <w:t>The expression, ‘the Church as</w:t>
      </w:r>
      <w:r>
        <w:rPr>
          <w:spacing w:val="7"/>
          <w:w w:val="110"/>
        </w:rPr>
        <w:t> </w:t>
      </w:r>
      <w:r>
        <w:rPr>
          <w:w w:val="110"/>
        </w:rPr>
        <w:t>sacrament’</w:t>
      </w:r>
    </w:p>
    <w:p>
      <w:pPr>
        <w:spacing w:before="106"/>
        <w:ind w:left="1344" w:right="0" w:firstLine="0"/>
        <w:jc w:val="left"/>
        <w:rPr>
          <w:sz w:val="26"/>
        </w:rPr>
      </w:pPr>
      <w:r>
        <w:rPr/>
        <w:br w:type="column"/>
      </w:r>
      <w:r>
        <w:rPr>
          <w:color w:val="7EAABF"/>
          <w:w w:val="115"/>
          <w:sz w:val="26"/>
        </w:rPr>
        <w:t>Faith and order</w:t>
      </w:r>
    </w:p>
    <w:p>
      <w:pPr>
        <w:spacing w:after="0"/>
        <w:jc w:val="left"/>
        <w:rPr>
          <w:sz w:val="26"/>
        </w:rPr>
        <w:sectPr>
          <w:type w:val="continuous"/>
          <w:pgSz w:w="11910" w:h="16840"/>
          <w:pgMar w:top="1580" w:bottom="280" w:left="640" w:right="0"/>
          <w:cols w:num="2" w:equalWidth="0">
            <w:col w:w="6580" w:space="235"/>
            <w:col w:w="4455"/>
          </w:cols>
        </w:sectPr>
      </w:pPr>
    </w:p>
    <w:p>
      <w:pPr>
        <w:pStyle w:val="ListParagraph"/>
        <w:numPr>
          <w:ilvl w:val="2"/>
          <w:numId w:val="137"/>
        </w:numPr>
        <w:tabs>
          <w:tab w:pos="2025" w:val="left" w:leader="none"/>
        </w:tabs>
        <w:spacing w:line="235" w:lineRule="auto" w:before="4" w:after="0"/>
        <w:ind w:left="1344" w:right="1632" w:firstLine="0"/>
        <w:jc w:val="left"/>
        <w:rPr>
          <w:sz w:val="20"/>
        </w:rPr>
      </w:pPr>
      <w:r>
        <w:rPr/>
        <w:drawing>
          <wp:anchor distT="0" distB="0" distL="0" distR="0" allowOverlap="1" layoutInCell="1" locked="0" behindDoc="0" simplePos="0" relativeHeight="251956224">
            <wp:simplePos x="0" y="0"/>
            <wp:positionH relativeFrom="page">
              <wp:posOffset>6974928</wp:posOffset>
            </wp:positionH>
            <wp:positionV relativeFrom="page">
              <wp:posOffset>0</wp:posOffset>
            </wp:positionV>
            <wp:extent cx="585063" cy="10692003"/>
            <wp:effectExtent l="0" t="0" r="0" b="0"/>
            <wp:wrapNone/>
            <wp:docPr id="209" name="image54.png"/>
            <wp:cNvGraphicFramePr>
              <a:graphicFrameLocks noChangeAspect="1"/>
            </wp:cNvGraphicFramePr>
            <a:graphic>
              <a:graphicData uri="http://schemas.openxmlformats.org/drawingml/2006/picture">
                <pic:pic>
                  <pic:nvPicPr>
                    <pic:cNvPr id="210" name="image54.png"/>
                    <pic:cNvPicPr/>
                  </pic:nvPicPr>
                  <pic:blipFill>
                    <a:blip r:embed="rId169" cstate="print"/>
                    <a:stretch>
                      <a:fillRect/>
                    </a:stretch>
                  </pic:blipFill>
                  <pic:spPr>
                    <a:xfrm>
                      <a:off x="0" y="0"/>
                      <a:ext cx="585063" cy="10692003"/>
                    </a:xfrm>
                    <a:prstGeom prst="rect">
                      <a:avLst/>
                    </a:prstGeom>
                  </pic:spPr>
                </pic:pic>
              </a:graphicData>
            </a:graphic>
          </wp:anchor>
        </w:drawing>
      </w:r>
      <w:r>
        <w:rPr>
          <w:w w:val="120"/>
          <w:sz w:val="20"/>
        </w:rPr>
        <w:t>Those who use the expression ‘the Church as sacrament’ do not deny the unique ‘sacramentality’ of the sacraments nor do they deny the frailty of human ministers. Those who reject this expression, on the other hand, do not deny that the Church has an effective sign of God’s presence and action. Might this, therefore, be seen as a question where legitimate differences of formulation are compatible and mutually</w:t>
      </w:r>
      <w:r>
        <w:rPr>
          <w:spacing w:val="1"/>
          <w:w w:val="120"/>
          <w:sz w:val="20"/>
        </w:rPr>
        <w:t> </w:t>
      </w:r>
      <w:r>
        <w:rPr>
          <w:w w:val="120"/>
          <w:sz w:val="20"/>
        </w:rPr>
        <w:t>acceptable?</w:t>
      </w:r>
    </w:p>
    <w:p>
      <w:pPr>
        <w:pStyle w:val="BodyText"/>
      </w:pPr>
    </w:p>
    <w:p>
      <w:pPr>
        <w:pStyle w:val="ListParagraph"/>
        <w:numPr>
          <w:ilvl w:val="2"/>
          <w:numId w:val="137"/>
        </w:numPr>
        <w:tabs>
          <w:tab w:pos="2025" w:val="left" w:leader="none"/>
        </w:tabs>
        <w:spacing w:line="235" w:lineRule="auto" w:before="0" w:after="0"/>
        <w:ind w:left="1344" w:right="1380" w:firstLine="0"/>
        <w:jc w:val="left"/>
        <w:rPr>
          <w:sz w:val="20"/>
        </w:rPr>
      </w:pPr>
      <w:r>
        <w:rPr>
          <w:w w:val="120"/>
          <w:sz w:val="20"/>
        </w:rPr>
        <w:t>This </w:t>
      </w:r>
      <w:r>
        <w:rPr>
          <w:spacing w:val="-3"/>
          <w:w w:val="120"/>
          <w:sz w:val="20"/>
        </w:rPr>
        <w:t>would </w:t>
      </w:r>
      <w:r>
        <w:rPr>
          <w:spacing w:val="-2"/>
          <w:w w:val="120"/>
          <w:sz w:val="20"/>
        </w:rPr>
        <w:t>not </w:t>
      </w:r>
      <w:r>
        <w:rPr>
          <w:w w:val="120"/>
          <w:sz w:val="20"/>
        </w:rPr>
        <w:t>normally be an expression used in the URC. The URC </w:t>
      </w:r>
      <w:r>
        <w:rPr>
          <w:spacing w:val="-3"/>
          <w:w w:val="120"/>
          <w:sz w:val="20"/>
        </w:rPr>
        <w:t>would </w:t>
      </w:r>
      <w:r>
        <w:rPr>
          <w:w w:val="120"/>
          <w:sz w:val="20"/>
        </w:rPr>
        <w:t>agree that the </w:t>
      </w:r>
      <w:r>
        <w:rPr>
          <w:spacing w:val="-3"/>
          <w:w w:val="120"/>
          <w:sz w:val="20"/>
        </w:rPr>
        <w:t>church </w:t>
      </w:r>
      <w:r>
        <w:rPr>
          <w:w w:val="120"/>
          <w:sz w:val="20"/>
        </w:rPr>
        <w:t>is a </w:t>
      </w:r>
      <w:r>
        <w:rPr>
          <w:spacing w:val="-5"/>
          <w:w w:val="120"/>
          <w:sz w:val="20"/>
        </w:rPr>
        <w:t>‘sign’ </w:t>
      </w:r>
      <w:r>
        <w:rPr>
          <w:w w:val="120"/>
          <w:sz w:val="20"/>
        </w:rPr>
        <w:t>or </w:t>
      </w:r>
      <w:r>
        <w:rPr>
          <w:spacing w:val="-3"/>
          <w:w w:val="120"/>
          <w:sz w:val="20"/>
        </w:rPr>
        <w:t>‘foretaste’ </w:t>
      </w:r>
      <w:r>
        <w:rPr>
          <w:w w:val="120"/>
          <w:sz w:val="20"/>
        </w:rPr>
        <w:t>of the Kingdom. It is a </w:t>
      </w:r>
      <w:r>
        <w:rPr>
          <w:spacing w:val="-3"/>
          <w:w w:val="120"/>
          <w:sz w:val="20"/>
        </w:rPr>
        <w:t>place </w:t>
      </w:r>
      <w:r>
        <w:rPr>
          <w:w w:val="120"/>
          <w:sz w:val="20"/>
        </w:rPr>
        <w:t>of </w:t>
      </w:r>
      <w:r>
        <w:rPr>
          <w:spacing w:val="-4"/>
          <w:w w:val="120"/>
          <w:sz w:val="20"/>
        </w:rPr>
        <w:t>God’s </w:t>
      </w:r>
      <w:r>
        <w:rPr>
          <w:spacing w:val="-3"/>
          <w:w w:val="120"/>
          <w:sz w:val="20"/>
        </w:rPr>
        <w:t>presence </w:t>
      </w:r>
      <w:r>
        <w:rPr>
          <w:w w:val="120"/>
          <w:sz w:val="20"/>
        </w:rPr>
        <w:t>and action in the world, but is imperfect and </w:t>
      </w:r>
      <w:r>
        <w:rPr>
          <w:spacing w:val="-2"/>
          <w:w w:val="120"/>
          <w:sz w:val="20"/>
        </w:rPr>
        <w:t>not </w:t>
      </w:r>
      <w:r>
        <w:rPr>
          <w:w w:val="120"/>
          <w:sz w:val="20"/>
        </w:rPr>
        <w:t>the Kingdom of God but</w:t>
      </w:r>
      <w:r>
        <w:rPr>
          <w:spacing w:val="16"/>
          <w:w w:val="120"/>
          <w:sz w:val="20"/>
        </w:rPr>
        <w:t> </w:t>
      </w:r>
      <w:r>
        <w:rPr>
          <w:spacing w:val="-3"/>
          <w:w w:val="120"/>
          <w:sz w:val="20"/>
        </w:rPr>
        <w:t>supposed</w:t>
      </w:r>
    </w:p>
    <w:p>
      <w:pPr>
        <w:pStyle w:val="BodyText"/>
        <w:spacing w:line="235" w:lineRule="auto" w:before="2"/>
        <w:ind w:left="1344" w:right="1217"/>
      </w:pPr>
      <w:r>
        <w:rPr>
          <w:spacing w:val="-3"/>
          <w:w w:val="120"/>
        </w:rPr>
        <w:t>to </w:t>
      </w:r>
      <w:r>
        <w:rPr>
          <w:w w:val="120"/>
        </w:rPr>
        <w:t>point </w:t>
      </w:r>
      <w:r>
        <w:rPr>
          <w:spacing w:val="-3"/>
          <w:w w:val="120"/>
        </w:rPr>
        <w:t>to </w:t>
      </w:r>
      <w:r>
        <w:rPr>
          <w:w w:val="120"/>
        </w:rPr>
        <w:t>it. The URC acknowledges the work of the Holy Spirit </w:t>
      </w:r>
      <w:r>
        <w:rPr>
          <w:spacing w:val="-2"/>
          <w:w w:val="120"/>
        </w:rPr>
        <w:t>beyond </w:t>
      </w:r>
      <w:r>
        <w:rPr>
          <w:w w:val="120"/>
        </w:rPr>
        <w:t>the </w:t>
      </w:r>
      <w:r>
        <w:rPr>
          <w:spacing w:val="-3"/>
          <w:w w:val="120"/>
        </w:rPr>
        <w:t>church to </w:t>
      </w:r>
      <w:r>
        <w:rPr>
          <w:w w:val="120"/>
        </w:rPr>
        <w:t>draw people </w:t>
      </w:r>
      <w:r>
        <w:rPr>
          <w:spacing w:val="-3"/>
          <w:w w:val="120"/>
        </w:rPr>
        <w:t>to </w:t>
      </w:r>
      <w:r>
        <w:rPr>
          <w:w w:val="120"/>
        </w:rPr>
        <w:t>God. One of the first of the Five Marks of </w:t>
      </w:r>
      <w:r>
        <w:rPr>
          <w:spacing w:val="-3"/>
          <w:w w:val="120"/>
        </w:rPr>
        <w:t>Mission, </w:t>
      </w:r>
      <w:r>
        <w:rPr>
          <w:w w:val="120"/>
        </w:rPr>
        <w:t>adopted by Anglican, Methodist and URC </w:t>
      </w:r>
      <w:r>
        <w:rPr>
          <w:spacing w:val="-3"/>
          <w:w w:val="120"/>
        </w:rPr>
        <w:t>churches </w:t>
      </w:r>
      <w:r>
        <w:rPr>
          <w:w w:val="120"/>
        </w:rPr>
        <w:t>is </w:t>
      </w:r>
      <w:r>
        <w:rPr>
          <w:spacing w:val="-3"/>
          <w:w w:val="120"/>
        </w:rPr>
        <w:t>to </w:t>
      </w:r>
      <w:r>
        <w:rPr>
          <w:w w:val="120"/>
        </w:rPr>
        <w:t>proclaim the good news of the Kingdom. One URC </w:t>
      </w:r>
      <w:r>
        <w:rPr>
          <w:spacing w:val="-3"/>
          <w:w w:val="120"/>
        </w:rPr>
        <w:t>church quotes this </w:t>
      </w:r>
      <w:r>
        <w:rPr>
          <w:w w:val="120"/>
        </w:rPr>
        <w:t>statement and says, ‘This is central </w:t>
      </w:r>
      <w:r>
        <w:rPr>
          <w:spacing w:val="-3"/>
          <w:w w:val="120"/>
        </w:rPr>
        <w:t>to </w:t>
      </w:r>
      <w:r>
        <w:rPr>
          <w:w w:val="120"/>
        </w:rPr>
        <w:t>our </w:t>
      </w:r>
      <w:r>
        <w:rPr>
          <w:spacing w:val="-3"/>
          <w:w w:val="120"/>
        </w:rPr>
        <w:t>worship </w:t>
      </w:r>
      <w:r>
        <w:rPr>
          <w:w w:val="120"/>
        </w:rPr>
        <w:t>in which we honour Christ </w:t>
      </w:r>
      <w:r>
        <w:rPr>
          <w:spacing w:val="-3"/>
          <w:w w:val="120"/>
        </w:rPr>
        <w:t>whose </w:t>
      </w:r>
      <w:r>
        <w:rPr>
          <w:w w:val="120"/>
        </w:rPr>
        <w:t>Kingdom is </w:t>
      </w:r>
      <w:r>
        <w:rPr>
          <w:spacing w:val="-3"/>
          <w:w w:val="120"/>
        </w:rPr>
        <w:t>coming </w:t>
      </w:r>
      <w:r>
        <w:rPr>
          <w:w w:val="120"/>
        </w:rPr>
        <w:t>and which we are called </w:t>
      </w:r>
      <w:r>
        <w:rPr>
          <w:spacing w:val="-3"/>
          <w:w w:val="120"/>
        </w:rPr>
        <w:t>to anticipate’ </w:t>
      </w:r>
      <w:r>
        <w:rPr>
          <w:spacing w:val="-4"/>
          <w:w w:val="120"/>
        </w:rPr>
        <w:t>(taken </w:t>
      </w:r>
      <w:r>
        <w:rPr>
          <w:w w:val="120"/>
        </w:rPr>
        <w:t>from the </w:t>
      </w:r>
      <w:r>
        <w:rPr>
          <w:spacing w:val="-3"/>
          <w:w w:val="120"/>
        </w:rPr>
        <w:t>mission </w:t>
      </w:r>
      <w:r>
        <w:rPr>
          <w:w w:val="120"/>
        </w:rPr>
        <w:t>statement of </w:t>
      </w:r>
      <w:r>
        <w:rPr>
          <w:spacing w:val="-3"/>
          <w:w w:val="120"/>
        </w:rPr>
        <w:t>Emmanuel </w:t>
      </w:r>
      <w:r>
        <w:rPr>
          <w:w w:val="120"/>
        </w:rPr>
        <w:t>URC, </w:t>
      </w:r>
      <w:r>
        <w:rPr>
          <w:spacing w:val="-4"/>
          <w:w w:val="120"/>
        </w:rPr>
        <w:t>Trumpington </w:t>
      </w:r>
      <w:r>
        <w:rPr>
          <w:w w:val="120"/>
        </w:rPr>
        <w:t>Street, </w:t>
      </w:r>
      <w:r>
        <w:rPr>
          <w:spacing w:val="-3"/>
          <w:w w:val="120"/>
        </w:rPr>
        <w:t>Cambridge)</w:t>
      </w:r>
    </w:p>
    <w:p>
      <w:pPr>
        <w:pStyle w:val="BodyText"/>
        <w:spacing w:before="8"/>
        <w:rPr>
          <w:sz w:val="18"/>
        </w:rPr>
      </w:pPr>
    </w:p>
    <w:p>
      <w:pPr>
        <w:pStyle w:val="Heading7"/>
        <w:numPr>
          <w:ilvl w:val="1"/>
          <w:numId w:val="137"/>
        </w:numPr>
        <w:tabs>
          <w:tab w:pos="2024" w:val="left" w:leader="none"/>
          <w:tab w:pos="2025" w:val="left" w:leader="none"/>
        </w:tabs>
        <w:spacing w:line="261" w:lineRule="exact" w:before="1" w:after="0"/>
        <w:ind w:left="2024" w:right="0" w:hanging="681"/>
        <w:jc w:val="left"/>
      </w:pPr>
      <w:r>
        <w:rPr>
          <w:w w:val="110"/>
        </w:rPr>
        <w:t>Legitimate and divisive</w:t>
      </w:r>
      <w:r>
        <w:rPr>
          <w:spacing w:val="-1"/>
          <w:w w:val="110"/>
        </w:rPr>
        <w:t> </w:t>
      </w:r>
      <w:r>
        <w:rPr>
          <w:w w:val="110"/>
        </w:rPr>
        <w:t>diversity</w:t>
      </w:r>
    </w:p>
    <w:p>
      <w:pPr>
        <w:pStyle w:val="ListParagraph"/>
        <w:numPr>
          <w:ilvl w:val="2"/>
          <w:numId w:val="137"/>
        </w:numPr>
        <w:tabs>
          <w:tab w:pos="2024" w:val="left" w:leader="none"/>
          <w:tab w:pos="2025" w:val="left" w:leader="none"/>
        </w:tabs>
        <w:spacing w:line="235" w:lineRule="auto" w:before="0" w:after="0"/>
        <w:ind w:left="1344" w:right="1271" w:firstLine="0"/>
        <w:jc w:val="left"/>
        <w:rPr>
          <w:sz w:val="20"/>
        </w:rPr>
      </w:pPr>
      <w:r>
        <w:rPr>
          <w:w w:val="120"/>
          <w:sz w:val="20"/>
        </w:rPr>
        <w:t>Ecumenical dialogue in search of the unity for which Christ prayed has, in large part, been an </w:t>
      </w:r>
      <w:r>
        <w:rPr>
          <w:spacing w:val="2"/>
          <w:w w:val="120"/>
          <w:sz w:val="20"/>
        </w:rPr>
        <w:t>effort </w:t>
      </w:r>
      <w:r>
        <w:rPr>
          <w:w w:val="120"/>
          <w:sz w:val="20"/>
        </w:rPr>
        <w:t>by representatives from various Christian churches to discern, with the help of the Holy Spirit, what is necessary for unity, according to the will of God, and what is properly understood as legitimate diversity. Though all churches have their own procedures for distinguishing legitimate from illegitimate diversity, it is clear that two things are lacking: </w:t>
      </w:r>
      <w:r>
        <w:rPr>
          <w:spacing w:val="-11"/>
          <w:w w:val="120"/>
          <w:sz w:val="20"/>
        </w:rPr>
        <w:t>(a) </w:t>
      </w:r>
      <w:r>
        <w:rPr>
          <w:w w:val="120"/>
          <w:sz w:val="20"/>
        </w:rPr>
        <w:t>common criteria, or means of discernment, and </w:t>
      </w:r>
      <w:r>
        <w:rPr>
          <w:spacing w:val="-7"/>
          <w:w w:val="120"/>
          <w:sz w:val="20"/>
        </w:rPr>
        <w:t>(b) </w:t>
      </w:r>
      <w:r>
        <w:rPr>
          <w:w w:val="120"/>
          <w:sz w:val="20"/>
        </w:rPr>
        <w:t>such mutually recognised structures as are needed to use these effectively. All churches seek to follow the will of the Lord yet they continue to disagree on some aspects of faith and order and, moreover, on whether such disagreements are Church-divisive </w:t>
      </w:r>
      <w:r>
        <w:rPr>
          <w:spacing w:val="-4"/>
          <w:w w:val="120"/>
          <w:sz w:val="20"/>
        </w:rPr>
        <w:t>or, </w:t>
      </w:r>
      <w:r>
        <w:rPr>
          <w:w w:val="120"/>
          <w:sz w:val="20"/>
        </w:rPr>
        <w:t>instead,</w:t>
      </w:r>
      <w:r>
        <w:rPr>
          <w:spacing w:val="43"/>
          <w:w w:val="120"/>
          <w:sz w:val="20"/>
        </w:rPr>
        <w:t> </w:t>
      </w:r>
      <w:r>
        <w:rPr>
          <w:spacing w:val="2"/>
          <w:w w:val="120"/>
          <w:sz w:val="20"/>
        </w:rPr>
        <w:t>part</w:t>
      </w:r>
    </w:p>
    <w:p>
      <w:pPr>
        <w:pStyle w:val="BodyText"/>
        <w:spacing w:line="235" w:lineRule="auto" w:before="1"/>
        <w:ind w:left="1344" w:right="1478"/>
      </w:pPr>
      <w:r>
        <w:rPr>
          <w:w w:val="120"/>
        </w:rPr>
        <w:t>of legitimate diversity. We invite the churches to consider, what positive steps can be taken to make common discernment possible?</w:t>
      </w:r>
    </w:p>
    <w:p>
      <w:pPr>
        <w:pStyle w:val="BodyText"/>
        <w:spacing w:before="9"/>
        <w:rPr>
          <w:sz w:val="19"/>
        </w:rPr>
      </w:pPr>
    </w:p>
    <w:p>
      <w:pPr>
        <w:pStyle w:val="ListParagraph"/>
        <w:numPr>
          <w:ilvl w:val="2"/>
          <w:numId w:val="137"/>
        </w:numPr>
        <w:tabs>
          <w:tab w:pos="2025" w:val="left" w:leader="none"/>
        </w:tabs>
        <w:spacing w:line="235" w:lineRule="auto" w:before="1" w:after="0"/>
        <w:ind w:left="1344" w:right="1355" w:firstLine="0"/>
        <w:jc w:val="left"/>
        <w:rPr>
          <w:sz w:val="20"/>
        </w:rPr>
      </w:pPr>
      <w:r>
        <w:rPr>
          <w:w w:val="120"/>
          <w:sz w:val="20"/>
        </w:rPr>
        <w:t>It </w:t>
      </w:r>
      <w:r>
        <w:rPr>
          <w:spacing w:val="-3"/>
          <w:w w:val="120"/>
          <w:sz w:val="20"/>
        </w:rPr>
        <w:t>would </w:t>
      </w:r>
      <w:r>
        <w:rPr>
          <w:w w:val="120"/>
          <w:sz w:val="20"/>
        </w:rPr>
        <w:t>seem </w:t>
      </w:r>
      <w:r>
        <w:rPr>
          <w:spacing w:val="-3"/>
          <w:w w:val="120"/>
          <w:sz w:val="20"/>
        </w:rPr>
        <w:t>legitimate </w:t>
      </w:r>
      <w:r>
        <w:rPr>
          <w:w w:val="120"/>
          <w:sz w:val="20"/>
        </w:rPr>
        <w:t>for Christian </w:t>
      </w:r>
      <w:r>
        <w:rPr>
          <w:spacing w:val="-3"/>
          <w:w w:val="120"/>
          <w:sz w:val="20"/>
        </w:rPr>
        <w:t>churches to </w:t>
      </w:r>
      <w:r>
        <w:rPr>
          <w:w w:val="120"/>
          <w:sz w:val="20"/>
        </w:rPr>
        <w:t>agree on the main historical orthodox statements of faith while </w:t>
      </w:r>
      <w:r>
        <w:rPr>
          <w:spacing w:val="-3"/>
          <w:w w:val="120"/>
          <w:sz w:val="20"/>
        </w:rPr>
        <w:t>having </w:t>
      </w:r>
      <w:r>
        <w:rPr>
          <w:w w:val="120"/>
          <w:sz w:val="20"/>
        </w:rPr>
        <w:t>some differences of opinion on local </w:t>
      </w:r>
      <w:r>
        <w:rPr>
          <w:spacing w:val="-3"/>
          <w:w w:val="120"/>
          <w:sz w:val="20"/>
        </w:rPr>
        <w:t>cultural ways</w:t>
      </w:r>
      <w:r>
        <w:rPr>
          <w:spacing w:val="-6"/>
          <w:w w:val="120"/>
          <w:sz w:val="20"/>
        </w:rPr>
        <w:t> </w:t>
      </w:r>
      <w:r>
        <w:rPr>
          <w:w w:val="120"/>
          <w:sz w:val="20"/>
        </w:rPr>
        <w:t>in</w:t>
      </w:r>
      <w:r>
        <w:rPr>
          <w:spacing w:val="-6"/>
          <w:w w:val="120"/>
          <w:sz w:val="20"/>
        </w:rPr>
        <w:t> </w:t>
      </w:r>
      <w:r>
        <w:rPr>
          <w:w w:val="120"/>
          <w:sz w:val="20"/>
        </w:rPr>
        <w:t>which</w:t>
      </w:r>
      <w:r>
        <w:rPr>
          <w:spacing w:val="-6"/>
          <w:w w:val="120"/>
          <w:sz w:val="20"/>
        </w:rPr>
        <w:t> </w:t>
      </w:r>
      <w:r>
        <w:rPr>
          <w:w w:val="120"/>
          <w:sz w:val="20"/>
        </w:rPr>
        <w:t>they</w:t>
      </w:r>
      <w:r>
        <w:rPr>
          <w:spacing w:val="-6"/>
          <w:w w:val="120"/>
          <w:sz w:val="20"/>
        </w:rPr>
        <w:t> </w:t>
      </w:r>
      <w:r>
        <w:rPr>
          <w:w w:val="120"/>
          <w:sz w:val="20"/>
        </w:rPr>
        <w:t>express</w:t>
      </w:r>
      <w:r>
        <w:rPr>
          <w:spacing w:val="-5"/>
          <w:w w:val="120"/>
          <w:sz w:val="20"/>
        </w:rPr>
        <w:t> </w:t>
      </w:r>
      <w:r>
        <w:rPr>
          <w:w w:val="120"/>
          <w:sz w:val="20"/>
        </w:rPr>
        <w:t>their</w:t>
      </w:r>
      <w:r>
        <w:rPr>
          <w:spacing w:val="-6"/>
          <w:w w:val="120"/>
          <w:sz w:val="20"/>
        </w:rPr>
        <w:t> </w:t>
      </w:r>
      <w:r>
        <w:rPr>
          <w:w w:val="120"/>
          <w:sz w:val="20"/>
        </w:rPr>
        <w:t>faith.</w:t>
      </w:r>
      <w:r>
        <w:rPr>
          <w:spacing w:val="-6"/>
          <w:w w:val="120"/>
          <w:sz w:val="20"/>
        </w:rPr>
        <w:t> </w:t>
      </w:r>
      <w:r>
        <w:rPr>
          <w:w w:val="120"/>
          <w:sz w:val="20"/>
        </w:rPr>
        <w:t>If</w:t>
      </w:r>
      <w:r>
        <w:rPr>
          <w:spacing w:val="-6"/>
          <w:w w:val="120"/>
          <w:sz w:val="20"/>
        </w:rPr>
        <w:t> </w:t>
      </w:r>
      <w:r>
        <w:rPr>
          <w:spacing w:val="-3"/>
          <w:w w:val="120"/>
          <w:sz w:val="20"/>
        </w:rPr>
        <w:t>churches</w:t>
      </w:r>
      <w:r>
        <w:rPr>
          <w:spacing w:val="-6"/>
          <w:w w:val="120"/>
          <w:sz w:val="20"/>
        </w:rPr>
        <w:t> </w:t>
      </w:r>
      <w:r>
        <w:rPr>
          <w:spacing w:val="-3"/>
          <w:w w:val="120"/>
          <w:sz w:val="20"/>
        </w:rPr>
        <w:t>follow</w:t>
      </w:r>
      <w:r>
        <w:rPr>
          <w:spacing w:val="-5"/>
          <w:w w:val="120"/>
          <w:sz w:val="20"/>
        </w:rPr>
        <w:t> </w:t>
      </w:r>
      <w:r>
        <w:rPr>
          <w:w w:val="120"/>
          <w:sz w:val="20"/>
        </w:rPr>
        <w:t>the</w:t>
      </w:r>
      <w:r>
        <w:rPr>
          <w:spacing w:val="-6"/>
          <w:w w:val="120"/>
          <w:sz w:val="20"/>
        </w:rPr>
        <w:t> </w:t>
      </w:r>
      <w:r>
        <w:rPr>
          <w:spacing w:val="-3"/>
          <w:w w:val="120"/>
          <w:sz w:val="20"/>
        </w:rPr>
        <w:t>teaching</w:t>
      </w:r>
      <w:r>
        <w:rPr>
          <w:spacing w:val="-6"/>
          <w:w w:val="120"/>
          <w:sz w:val="20"/>
        </w:rPr>
        <w:t> </w:t>
      </w:r>
      <w:r>
        <w:rPr>
          <w:w w:val="120"/>
          <w:sz w:val="20"/>
        </w:rPr>
        <w:t>of</w:t>
      </w:r>
      <w:r>
        <w:rPr>
          <w:spacing w:val="-6"/>
          <w:w w:val="120"/>
          <w:sz w:val="20"/>
        </w:rPr>
        <w:t> </w:t>
      </w:r>
      <w:r>
        <w:rPr>
          <w:w w:val="120"/>
          <w:sz w:val="20"/>
        </w:rPr>
        <w:t>the</w:t>
      </w:r>
      <w:r>
        <w:rPr>
          <w:spacing w:val="-6"/>
          <w:w w:val="120"/>
          <w:sz w:val="20"/>
        </w:rPr>
        <w:t> </w:t>
      </w:r>
      <w:r>
        <w:rPr>
          <w:w w:val="120"/>
          <w:sz w:val="20"/>
        </w:rPr>
        <w:t>Book</w:t>
      </w:r>
      <w:r>
        <w:rPr>
          <w:spacing w:val="-5"/>
          <w:w w:val="120"/>
          <w:sz w:val="20"/>
        </w:rPr>
        <w:t> </w:t>
      </w:r>
      <w:r>
        <w:rPr>
          <w:w w:val="120"/>
          <w:sz w:val="20"/>
        </w:rPr>
        <w:t>of</w:t>
      </w:r>
      <w:r>
        <w:rPr>
          <w:spacing w:val="-6"/>
          <w:w w:val="120"/>
          <w:sz w:val="20"/>
        </w:rPr>
        <w:t> </w:t>
      </w:r>
      <w:r>
        <w:rPr>
          <w:w w:val="120"/>
          <w:sz w:val="20"/>
        </w:rPr>
        <w:t>Acts and</w:t>
      </w:r>
      <w:r>
        <w:rPr>
          <w:spacing w:val="-9"/>
          <w:w w:val="120"/>
          <w:sz w:val="20"/>
        </w:rPr>
        <w:t> </w:t>
      </w:r>
      <w:r>
        <w:rPr>
          <w:w w:val="120"/>
          <w:sz w:val="20"/>
        </w:rPr>
        <w:t>the</w:t>
      </w:r>
      <w:r>
        <w:rPr>
          <w:spacing w:val="-8"/>
          <w:w w:val="120"/>
          <w:sz w:val="20"/>
        </w:rPr>
        <w:t> </w:t>
      </w:r>
      <w:r>
        <w:rPr>
          <w:w w:val="120"/>
          <w:sz w:val="20"/>
        </w:rPr>
        <w:t>Letter</w:t>
      </w:r>
      <w:r>
        <w:rPr>
          <w:spacing w:val="-8"/>
          <w:w w:val="120"/>
          <w:sz w:val="20"/>
        </w:rPr>
        <w:t> </w:t>
      </w:r>
      <w:r>
        <w:rPr>
          <w:w w:val="120"/>
          <w:sz w:val="20"/>
        </w:rPr>
        <w:t>of</w:t>
      </w:r>
      <w:r>
        <w:rPr>
          <w:spacing w:val="-8"/>
          <w:w w:val="120"/>
          <w:sz w:val="20"/>
        </w:rPr>
        <w:t> </w:t>
      </w:r>
      <w:r>
        <w:rPr>
          <w:w w:val="120"/>
          <w:sz w:val="20"/>
        </w:rPr>
        <w:t>Paul</w:t>
      </w:r>
      <w:r>
        <w:rPr>
          <w:spacing w:val="-9"/>
          <w:w w:val="120"/>
          <w:sz w:val="20"/>
        </w:rPr>
        <w:t> </w:t>
      </w:r>
      <w:r>
        <w:rPr>
          <w:spacing w:val="-3"/>
          <w:w w:val="120"/>
          <w:sz w:val="20"/>
        </w:rPr>
        <w:t>to</w:t>
      </w:r>
      <w:r>
        <w:rPr>
          <w:spacing w:val="-8"/>
          <w:w w:val="120"/>
          <w:sz w:val="20"/>
        </w:rPr>
        <w:t> </w:t>
      </w:r>
      <w:r>
        <w:rPr>
          <w:w w:val="120"/>
          <w:sz w:val="20"/>
        </w:rPr>
        <w:t>the</w:t>
      </w:r>
      <w:r>
        <w:rPr>
          <w:spacing w:val="-8"/>
          <w:w w:val="120"/>
          <w:sz w:val="20"/>
        </w:rPr>
        <w:t> </w:t>
      </w:r>
      <w:r>
        <w:rPr>
          <w:spacing w:val="-3"/>
          <w:w w:val="120"/>
          <w:sz w:val="20"/>
        </w:rPr>
        <w:t>Romans,</w:t>
      </w:r>
      <w:r>
        <w:rPr>
          <w:spacing w:val="-8"/>
          <w:w w:val="120"/>
          <w:sz w:val="20"/>
        </w:rPr>
        <w:t> </w:t>
      </w:r>
      <w:r>
        <w:rPr>
          <w:w w:val="120"/>
          <w:sz w:val="20"/>
        </w:rPr>
        <w:t>which</w:t>
      </w:r>
      <w:r>
        <w:rPr>
          <w:spacing w:val="-9"/>
          <w:w w:val="120"/>
          <w:sz w:val="20"/>
        </w:rPr>
        <w:t> </w:t>
      </w:r>
      <w:r>
        <w:rPr>
          <w:w w:val="120"/>
          <w:sz w:val="20"/>
        </w:rPr>
        <w:t>refused</w:t>
      </w:r>
      <w:r>
        <w:rPr>
          <w:spacing w:val="-8"/>
          <w:w w:val="120"/>
          <w:sz w:val="20"/>
        </w:rPr>
        <w:t> </w:t>
      </w:r>
      <w:r>
        <w:rPr>
          <w:spacing w:val="-3"/>
          <w:w w:val="120"/>
          <w:sz w:val="20"/>
        </w:rPr>
        <w:t>to</w:t>
      </w:r>
      <w:r>
        <w:rPr>
          <w:spacing w:val="-8"/>
          <w:w w:val="120"/>
          <w:sz w:val="20"/>
        </w:rPr>
        <w:t> </w:t>
      </w:r>
      <w:r>
        <w:rPr>
          <w:spacing w:val="-3"/>
          <w:w w:val="120"/>
          <w:sz w:val="20"/>
        </w:rPr>
        <w:t>place</w:t>
      </w:r>
      <w:r>
        <w:rPr>
          <w:spacing w:val="-8"/>
          <w:w w:val="120"/>
          <w:sz w:val="20"/>
        </w:rPr>
        <w:t> </w:t>
      </w:r>
      <w:r>
        <w:rPr>
          <w:w w:val="120"/>
          <w:sz w:val="20"/>
        </w:rPr>
        <w:t>unnecessary</w:t>
      </w:r>
      <w:r>
        <w:rPr>
          <w:spacing w:val="-8"/>
          <w:w w:val="120"/>
          <w:sz w:val="20"/>
        </w:rPr>
        <w:t> </w:t>
      </w:r>
      <w:r>
        <w:rPr>
          <w:w w:val="120"/>
          <w:sz w:val="20"/>
        </w:rPr>
        <w:t>burdens</w:t>
      </w:r>
      <w:r>
        <w:rPr>
          <w:spacing w:val="-9"/>
          <w:w w:val="120"/>
          <w:sz w:val="20"/>
        </w:rPr>
        <w:t> </w:t>
      </w:r>
      <w:r>
        <w:rPr>
          <w:w w:val="120"/>
          <w:sz w:val="20"/>
        </w:rPr>
        <w:t>of</w:t>
      </w:r>
      <w:r>
        <w:rPr>
          <w:spacing w:val="-8"/>
          <w:w w:val="120"/>
          <w:sz w:val="20"/>
        </w:rPr>
        <w:t> </w:t>
      </w:r>
      <w:r>
        <w:rPr>
          <w:w w:val="120"/>
          <w:sz w:val="20"/>
        </w:rPr>
        <w:t>the Law on Gentiles </w:t>
      </w:r>
      <w:r>
        <w:rPr>
          <w:spacing w:val="-3"/>
          <w:w w:val="120"/>
          <w:sz w:val="20"/>
        </w:rPr>
        <w:t>to prevent </w:t>
      </w:r>
      <w:r>
        <w:rPr>
          <w:w w:val="120"/>
          <w:sz w:val="20"/>
        </w:rPr>
        <w:t>them from </w:t>
      </w:r>
      <w:r>
        <w:rPr>
          <w:spacing w:val="-3"/>
          <w:w w:val="120"/>
          <w:sz w:val="20"/>
        </w:rPr>
        <w:t>coming to </w:t>
      </w:r>
      <w:r>
        <w:rPr>
          <w:w w:val="120"/>
          <w:sz w:val="20"/>
        </w:rPr>
        <w:t>God, then </w:t>
      </w:r>
      <w:r>
        <w:rPr>
          <w:spacing w:val="-3"/>
          <w:w w:val="120"/>
          <w:sz w:val="20"/>
        </w:rPr>
        <w:t>churches </w:t>
      </w:r>
      <w:r>
        <w:rPr>
          <w:w w:val="120"/>
          <w:sz w:val="20"/>
        </w:rPr>
        <w:t>should </w:t>
      </w:r>
      <w:r>
        <w:rPr>
          <w:spacing w:val="-3"/>
          <w:w w:val="120"/>
          <w:sz w:val="20"/>
        </w:rPr>
        <w:t>recognise </w:t>
      </w:r>
      <w:r>
        <w:rPr>
          <w:w w:val="120"/>
          <w:sz w:val="20"/>
        </w:rPr>
        <w:t>that there are differences of personal </w:t>
      </w:r>
      <w:r>
        <w:rPr>
          <w:spacing w:val="-3"/>
          <w:w w:val="120"/>
          <w:sz w:val="20"/>
        </w:rPr>
        <w:t>conviction </w:t>
      </w:r>
      <w:r>
        <w:rPr>
          <w:w w:val="120"/>
          <w:sz w:val="20"/>
        </w:rPr>
        <w:t>relating </w:t>
      </w:r>
      <w:r>
        <w:rPr>
          <w:spacing w:val="-3"/>
          <w:w w:val="120"/>
          <w:sz w:val="20"/>
        </w:rPr>
        <w:t>to </w:t>
      </w:r>
      <w:r>
        <w:rPr>
          <w:w w:val="120"/>
          <w:sz w:val="20"/>
        </w:rPr>
        <w:t>lifestyle and </w:t>
      </w:r>
      <w:r>
        <w:rPr>
          <w:spacing w:val="-2"/>
          <w:w w:val="120"/>
          <w:sz w:val="20"/>
        </w:rPr>
        <w:t>not </w:t>
      </w:r>
      <w:r>
        <w:rPr>
          <w:w w:val="120"/>
          <w:sz w:val="20"/>
        </w:rPr>
        <w:t>judge each </w:t>
      </w:r>
      <w:r>
        <w:rPr>
          <w:spacing w:val="-5"/>
          <w:w w:val="120"/>
          <w:sz w:val="20"/>
        </w:rPr>
        <w:t>other. </w:t>
      </w:r>
      <w:r>
        <w:rPr>
          <w:w w:val="120"/>
          <w:sz w:val="20"/>
        </w:rPr>
        <w:t>This </w:t>
      </w:r>
      <w:r>
        <w:rPr>
          <w:spacing w:val="-3"/>
          <w:w w:val="120"/>
          <w:sz w:val="20"/>
        </w:rPr>
        <w:t>would </w:t>
      </w:r>
      <w:r>
        <w:rPr>
          <w:w w:val="120"/>
          <w:sz w:val="20"/>
        </w:rPr>
        <w:t>mean that it </w:t>
      </w:r>
      <w:r>
        <w:rPr>
          <w:spacing w:val="-3"/>
          <w:w w:val="120"/>
          <w:sz w:val="20"/>
        </w:rPr>
        <w:t>would </w:t>
      </w:r>
      <w:r>
        <w:rPr>
          <w:w w:val="120"/>
          <w:sz w:val="20"/>
        </w:rPr>
        <w:t>be helpful </w:t>
      </w:r>
      <w:r>
        <w:rPr>
          <w:spacing w:val="-3"/>
          <w:w w:val="120"/>
          <w:sz w:val="20"/>
        </w:rPr>
        <w:t>to </w:t>
      </w:r>
      <w:r>
        <w:rPr>
          <w:w w:val="120"/>
          <w:sz w:val="20"/>
        </w:rPr>
        <w:t>identify the principles and practices that</w:t>
      </w:r>
      <w:r>
        <w:rPr>
          <w:spacing w:val="-5"/>
          <w:w w:val="120"/>
          <w:sz w:val="20"/>
        </w:rPr>
        <w:t> </w:t>
      </w:r>
      <w:r>
        <w:rPr>
          <w:w w:val="120"/>
          <w:sz w:val="20"/>
        </w:rPr>
        <w:t>should</w:t>
      </w:r>
      <w:r>
        <w:rPr>
          <w:spacing w:val="-5"/>
          <w:w w:val="120"/>
          <w:sz w:val="20"/>
        </w:rPr>
        <w:t> </w:t>
      </w:r>
      <w:r>
        <w:rPr>
          <w:w w:val="120"/>
          <w:sz w:val="20"/>
        </w:rPr>
        <w:t>characterise</w:t>
      </w:r>
      <w:r>
        <w:rPr>
          <w:spacing w:val="-4"/>
          <w:w w:val="120"/>
          <w:sz w:val="20"/>
        </w:rPr>
        <w:t> </w:t>
      </w:r>
      <w:r>
        <w:rPr>
          <w:w w:val="120"/>
          <w:sz w:val="20"/>
        </w:rPr>
        <w:t>all</w:t>
      </w:r>
      <w:r>
        <w:rPr>
          <w:spacing w:val="-5"/>
          <w:w w:val="120"/>
          <w:sz w:val="20"/>
        </w:rPr>
        <w:t> </w:t>
      </w:r>
      <w:r>
        <w:rPr>
          <w:w w:val="120"/>
          <w:sz w:val="20"/>
        </w:rPr>
        <w:t>Christian</w:t>
      </w:r>
      <w:r>
        <w:rPr>
          <w:spacing w:val="-4"/>
          <w:w w:val="120"/>
          <w:sz w:val="20"/>
        </w:rPr>
        <w:t> </w:t>
      </w:r>
      <w:r>
        <w:rPr>
          <w:spacing w:val="-3"/>
          <w:w w:val="120"/>
          <w:sz w:val="20"/>
        </w:rPr>
        <w:t>churches,</w:t>
      </w:r>
      <w:r>
        <w:rPr>
          <w:spacing w:val="-5"/>
          <w:w w:val="120"/>
          <w:sz w:val="20"/>
        </w:rPr>
        <w:t> </w:t>
      </w:r>
      <w:r>
        <w:rPr>
          <w:spacing w:val="-3"/>
          <w:w w:val="120"/>
          <w:sz w:val="20"/>
        </w:rPr>
        <w:t>such</w:t>
      </w:r>
      <w:r>
        <w:rPr>
          <w:spacing w:val="-4"/>
          <w:w w:val="120"/>
          <w:sz w:val="20"/>
        </w:rPr>
        <w:t> </w:t>
      </w:r>
      <w:r>
        <w:rPr>
          <w:w w:val="120"/>
          <w:sz w:val="20"/>
        </w:rPr>
        <w:t>as</w:t>
      </w:r>
      <w:r>
        <w:rPr>
          <w:spacing w:val="-5"/>
          <w:w w:val="120"/>
          <w:sz w:val="20"/>
        </w:rPr>
        <w:t> </w:t>
      </w:r>
      <w:r>
        <w:rPr>
          <w:w w:val="120"/>
          <w:sz w:val="20"/>
        </w:rPr>
        <w:t>valuing</w:t>
      </w:r>
      <w:r>
        <w:rPr>
          <w:spacing w:val="-4"/>
          <w:w w:val="120"/>
          <w:sz w:val="20"/>
        </w:rPr>
        <w:t> </w:t>
      </w:r>
      <w:r>
        <w:rPr>
          <w:w w:val="120"/>
          <w:sz w:val="20"/>
        </w:rPr>
        <w:t>and</w:t>
      </w:r>
      <w:r>
        <w:rPr>
          <w:spacing w:val="-5"/>
          <w:w w:val="120"/>
          <w:sz w:val="20"/>
        </w:rPr>
        <w:t> </w:t>
      </w:r>
      <w:r>
        <w:rPr>
          <w:w w:val="120"/>
          <w:sz w:val="20"/>
        </w:rPr>
        <w:t>respecting</w:t>
      </w:r>
      <w:r>
        <w:rPr>
          <w:spacing w:val="-4"/>
          <w:w w:val="120"/>
          <w:sz w:val="20"/>
        </w:rPr>
        <w:t> </w:t>
      </w:r>
      <w:r>
        <w:rPr>
          <w:w w:val="120"/>
          <w:sz w:val="20"/>
        </w:rPr>
        <w:t>all</w:t>
      </w:r>
      <w:r>
        <w:rPr>
          <w:spacing w:val="-5"/>
          <w:w w:val="120"/>
          <w:sz w:val="20"/>
        </w:rPr>
        <w:t> </w:t>
      </w:r>
      <w:r>
        <w:rPr>
          <w:w w:val="120"/>
          <w:sz w:val="20"/>
        </w:rPr>
        <w:t>people, because God </w:t>
      </w:r>
      <w:r>
        <w:rPr>
          <w:spacing w:val="-3"/>
          <w:w w:val="120"/>
          <w:sz w:val="20"/>
        </w:rPr>
        <w:t>created </w:t>
      </w:r>
      <w:r>
        <w:rPr>
          <w:w w:val="120"/>
          <w:sz w:val="20"/>
        </w:rPr>
        <w:t>us in </w:t>
      </w:r>
      <w:r>
        <w:rPr>
          <w:spacing w:val="-3"/>
          <w:w w:val="120"/>
          <w:sz w:val="20"/>
        </w:rPr>
        <w:t>his image, </w:t>
      </w:r>
      <w:r>
        <w:rPr>
          <w:w w:val="120"/>
          <w:sz w:val="20"/>
        </w:rPr>
        <w:t>and </w:t>
      </w:r>
      <w:r>
        <w:rPr>
          <w:spacing w:val="-3"/>
          <w:w w:val="120"/>
          <w:sz w:val="20"/>
        </w:rPr>
        <w:t>to </w:t>
      </w:r>
      <w:r>
        <w:rPr>
          <w:w w:val="120"/>
          <w:sz w:val="20"/>
        </w:rPr>
        <w:t>work </w:t>
      </w:r>
      <w:r>
        <w:rPr>
          <w:spacing w:val="-3"/>
          <w:w w:val="120"/>
          <w:sz w:val="20"/>
        </w:rPr>
        <w:t>toward justice </w:t>
      </w:r>
      <w:r>
        <w:rPr>
          <w:w w:val="120"/>
          <w:sz w:val="20"/>
        </w:rPr>
        <w:t>and </w:t>
      </w:r>
      <w:r>
        <w:rPr>
          <w:spacing w:val="-3"/>
          <w:w w:val="120"/>
          <w:sz w:val="20"/>
        </w:rPr>
        <w:t>peace </w:t>
      </w:r>
      <w:r>
        <w:rPr>
          <w:w w:val="120"/>
          <w:sz w:val="20"/>
        </w:rPr>
        <w:t>and </w:t>
      </w:r>
      <w:r>
        <w:rPr>
          <w:spacing w:val="-3"/>
          <w:w w:val="120"/>
          <w:sz w:val="20"/>
        </w:rPr>
        <w:t>to </w:t>
      </w:r>
      <w:r>
        <w:rPr>
          <w:w w:val="120"/>
          <w:sz w:val="20"/>
        </w:rPr>
        <w:t>respect the </w:t>
      </w:r>
      <w:r>
        <w:rPr>
          <w:spacing w:val="-3"/>
          <w:w w:val="120"/>
          <w:sz w:val="20"/>
        </w:rPr>
        <w:t>environment, </w:t>
      </w:r>
      <w:r>
        <w:rPr>
          <w:w w:val="120"/>
          <w:sz w:val="20"/>
        </w:rPr>
        <w:t>a responsibility given </w:t>
      </w:r>
      <w:r>
        <w:rPr>
          <w:spacing w:val="-3"/>
          <w:w w:val="120"/>
          <w:sz w:val="20"/>
        </w:rPr>
        <w:t>to human </w:t>
      </w:r>
      <w:r>
        <w:rPr>
          <w:w w:val="120"/>
          <w:sz w:val="20"/>
        </w:rPr>
        <w:t>beings by God in Genesis. </w:t>
      </w:r>
      <w:r>
        <w:rPr>
          <w:spacing w:val="-3"/>
          <w:w w:val="120"/>
          <w:sz w:val="20"/>
        </w:rPr>
        <w:t>Churches may </w:t>
      </w:r>
      <w:r>
        <w:rPr>
          <w:w w:val="120"/>
          <w:sz w:val="20"/>
        </w:rPr>
        <w:t>differ on minor matters, acknowledging that no </w:t>
      </w:r>
      <w:r>
        <w:rPr>
          <w:spacing w:val="-3"/>
          <w:w w:val="120"/>
          <w:sz w:val="20"/>
        </w:rPr>
        <w:t>church </w:t>
      </w:r>
      <w:r>
        <w:rPr>
          <w:w w:val="120"/>
          <w:sz w:val="20"/>
        </w:rPr>
        <w:t>is perfect, but seeking </w:t>
      </w:r>
      <w:r>
        <w:rPr>
          <w:spacing w:val="-3"/>
          <w:w w:val="120"/>
          <w:sz w:val="20"/>
        </w:rPr>
        <w:t>to follow </w:t>
      </w:r>
      <w:r>
        <w:rPr>
          <w:w w:val="120"/>
          <w:sz w:val="20"/>
        </w:rPr>
        <w:t>Christ faithfully in their location and generation. One of the worst witnesses</w:t>
      </w:r>
      <w:r>
        <w:rPr>
          <w:spacing w:val="-4"/>
          <w:w w:val="120"/>
          <w:sz w:val="20"/>
        </w:rPr>
        <w:t> </w:t>
      </w:r>
      <w:r>
        <w:rPr>
          <w:spacing w:val="-3"/>
          <w:w w:val="120"/>
          <w:sz w:val="20"/>
        </w:rPr>
        <w:t>to</w:t>
      </w:r>
      <w:r>
        <w:rPr>
          <w:spacing w:val="-4"/>
          <w:w w:val="120"/>
          <w:sz w:val="20"/>
        </w:rPr>
        <w:t> </w:t>
      </w:r>
      <w:r>
        <w:rPr>
          <w:w w:val="120"/>
          <w:sz w:val="20"/>
        </w:rPr>
        <w:t>the</w:t>
      </w:r>
      <w:r>
        <w:rPr>
          <w:spacing w:val="-4"/>
          <w:w w:val="120"/>
          <w:sz w:val="20"/>
        </w:rPr>
        <w:t> </w:t>
      </w:r>
      <w:r>
        <w:rPr>
          <w:w w:val="120"/>
          <w:sz w:val="20"/>
        </w:rPr>
        <w:t>gospel</w:t>
      </w:r>
      <w:r>
        <w:rPr>
          <w:spacing w:val="-3"/>
          <w:w w:val="120"/>
          <w:sz w:val="20"/>
        </w:rPr>
        <w:t> </w:t>
      </w:r>
      <w:r>
        <w:rPr>
          <w:w w:val="120"/>
          <w:sz w:val="20"/>
        </w:rPr>
        <w:t>in</w:t>
      </w:r>
      <w:r>
        <w:rPr>
          <w:spacing w:val="-4"/>
          <w:w w:val="120"/>
          <w:sz w:val="20"/>
        </w:rPr>
        <w:t> </w:t>
      </w:r>
      <w:r>
        <w:rPr>
          <w:w w:val="120"/>
          <w:sz w:val="20"/>
        </w:rPr>
        <w:t>the</w:t>
      </w:r>
      <w:r>
        <w:rPr>
          <w:spacing w:val="-4"/>
          <w:w w:val="120"/>
          <w:sz w:val="20"/>
        </w:rPr>
        <w:t> </w:t>
      </w:r>
      <w:r>
        <w:rPr>
          <w:w w:val="120"/>
          <w:sz w:val="20"/>
        </w:rPr>
        <w:t>history</w:t>
      </w:r>
      <w:r>
        <w:rPr>
          <w:spacing w:val="-4"/>
          <w:w w:val="120"/>
          <w:sz w:val="20"/>
        </w:rPr>
        <w:t> </w:t>
      </w:r>
      <w:r>
        <w:rPr>
          <w:w w:val="120"/>
          <w:sz w:val="20"/>
        </w:rPr>
        <w:t>of</w:t>
      </w:r>
      <w:r>
        <w:rPr>
          <w:spacing w:val="-3"/>
          <w:w w:val="120"/>
          <w:sz w:val="20"/>
        </w:rPr>
        <w:t> </w:t>
      </w:r>
      <w:r>
        <w:rPr>
          <w:w w:val="120"/>
          <w:sz w:val="20"/>
        </w:rPr>
        <w:t>the</w:t>
      </w:r>
      <w:r>
        <w:rPr>
          <w:spacing w:val="-4"/>
          <w:w w:val="120"/>
          <w:sz w:val="20"/>
        </w:rPr>
        <w:t> </w:t>
      </w:r>
      <w:r>
        <w:rPr>
          <w:spacing w:val="-3"/>
          <w:w w:val="120"/>
          <w:sz w:val="20"/>
        </w:rPr>
        <w:t>church</w:t>
      </w:r>
      <w:r>
        <w:rPr>
          <w:spacing w:val="-4"/>
          <w:w w:val="120"/>
          <w:sz w:val="20"/>
        </w:rPr>
        <w:t> </w:t>
      </w:r>
      <w:r>
        <w:rPr>
          <w:w w:val="120"/>
          <w:sz w:val="20"/>
        </w:rPr>
        <w:t>was</w:t>
      </w:r>
      <w:r>
        <w:rPr>
          <w:spacing w:val="-3"/>
          <w:w w:val="120"/>
          <w:sz w:val="20"/>
        </w:rPr>
        <w:t> </w:t>
      </w:r>
      <w:r>
        <w:rPr>
          <w:w w:val="120"/>
          <w:sz w:val="20"/>
        </w:rPr>
        <w:t>the</w:t>
      </w:r>
      <w:r>
        <w:rPr>
          <w:spacing w:val="-4"/>
          <w:w w:val="120"/>
          <w:sz w:val="20"/>
        </w:rPr>
        <w:t> </w:t>
      </w:r>
      <w:r>
        <w:rPr>
          <w:spacing w:val="-3"/>
          <w:w w:val="120"/>
          <w:sz w:val="20"/>
        </w:rPr>
        <w:t>violence</w:t>
      </w:r>
      <w:r>
        <w:rPr>
          <w:spacing w:val="-4"/>
          <w:w w:val="120"/>
          <w:sz w:val="20"/>
        </w:rPr>
        <w:t> </w:t>
      </w:r>
      <w:r>
        <w:rPr>
          <w:w w:val="120"/>
          <w:sz w:val="20"/>
        </w:rPr>
        <w:t>and</w:t>
      </w:r>
      <w:r>
        <w:rPr>
          <w:spacing w:val="-4"/>
          <w:w w:val="120"/>
          <w:sz w:val="20"/>
        </w:rPr>
        <w:t> </w:t>
      </w:r>
      <w:r>
        <w:rPr>
          <w:spacing w:val="-3"/>
          <w:w w:val="120"/>
          <w:sz w:val="20"/>
        </w:rPr>
        <w:t>force </w:t>
      </w:r>
      <w:r>
        <w:rPr>
          <w:w w:val="120"/>
          <w:sz w:val="20"/>
        </w:rPr>
        <w:t>used</w:t>
      </w:r>
    </w:p>
    <w:p>
      <w:pPr>
        <w:pStyle w:val="BodyText"/>
        <w:spacing w:line="235" w:lineRule="auto" w:before="9"/>
        <w:ind w:left="1344" w:right="1217"/>
      </w:pPr>
      <w:r>
        <w:rPr>
          <w:w w:val="120"/>
        </w:rPr>
        <w:t>by some Christians against others through the Spanish Inquisition and the European Reformation. So it would be important to discourage churches from calling others heretical which is a divisive diversity, but to allow churches to work out their own faith and church life through discussion and discernment under the leading of the Holy Spirit.</w:t>
      </w:r>
    </w:p>
    <w:p>
      <w:pPr>
        <w:pStyle w:val="BodyText"/>
        <w:spacing w:before="7"/>
        <w:rPr>
          <w:sz w:val="18"/>
        </w:rPr>
      </w:pPr>
    </w:p>
    <w:p>
      <w:pPr>
        <w:pStyle w:val="Heading7"/>
        <w:numPr>
          <w:ilvl w:val="1"/>
          <w:numId w:val="137"/>
        </w:numPr>
        <w:tabs>
          <w:tab w:pos="2024" w:val="left" w:leader="none"/>
          <w:tab w:pos="2025" w:val="left" w:leader="none"/>
        </w:tabs>
        <w:spacing w:line="261" w:lineRule="exact" w:before="0" w:after="0"/>
        <w:ind w:left="2024" w:right="0" w:hanging="681"/>
        <w:jc w:val="left"/>
      </w:pPr>
      <w:r>
        <w:rPr>
          <w:w w:val="110"/>
        </w:rPr>
        <w:t>The relationship between local and universal</w:t>
      </w:r>
      <w:r>
        <w:rPr>
          <w:spacing w:val="-1"/>
          <w:w w:val="110"/>
        </w:rPr>
        <w:t> </w:t>
      </w:r>
      <w:r>
        <w:rPr>
          <w:w w:val="110"/>
        </w:rPr>
        <w:t>church</w:t>
      </w:r>
    </w:p>
    <w:p>
      <w:pPr>
        <w:pStyle w:val="ListParagraph"/>
        <w:numPr>
          <w:ilvl w:val="2"/>
          <w:numId w:val="137"/>
        </w:numPr>
        <w:tabs>
          <w:tab w:pos="2024" w:val="left" w:leader="none"/>
          <w:tab w:pos="2025" w:val="left" w:leader="none"/>
        </w:tabs>
        <w:spacing w:line="235" w:lineRule="auto" w:before="0" w:after="0"/>
        <w:ind w:left="1344" w:right="1515" w:firstLine="0"/>
        <w:jc w:val="left"/>
        <w:rPr>
          <w:sz w:val="20"/>
        </w:rPr>
      </w:pPr>
      <w:r>
        <w:rPr>
          <w:w w:val="120"/>
          <w:sz w:val="20"/>
        </w:rPr>
        <w:t>Many churches can embrace a shared understanding of the fundamental relationship and communion of local churches within the universal Church. They  share the understanding that the presence of Christ, by the will of the Father and the power of the Spirit, is truly manifested in the local church (it is ‘wholly Church’), and that this very presence of Christ impels the local church to be in communion with the universal Church (it is not ‘the whole Church’). Where this fundamental</w:t>
      </w:r>
      <w:r>
        <w:rPr>
          <w:spacing w:val="10"/>
          <w:w w:val="120"/>
          <w:sz w:val="20"/>
        </w:rPr>
        <w:t> </w:t>
      </w:r>
      <w:r>
        <w:rPr>
          <w:w w:val="120"/>
          <w:sz w:val="20"/>
        </w:rPr>
        <w:t>agreement</w:t>
      </w:r>
    </w:p>
    <w:p>
      <w:pPr>
        <w:pStyle w:val="BodyText"/>
        <w:spacing w:line="235" w:lineRule="auto"/>
        <w:ind w:left="1344" w:right="1794"/>
      </w:pPr>
      <w:r>
        <w:rPr>
          <w:w w:val="120"/>
        </w:rPr>
        <w:t>is found, the expression ‘local church’ may nonetheless be used in varying ways.   In our common quest for closer unity, we invite the churches to seek more precise mutual understanding and agreement in this area: what is the appropriate</w:t>
      </w:r>
      <w:r>
        <w:rPr>
          <w:spacing w:val="27"/>
          <w:w w:val="120"/>
        </w:rPr>
        <w:t> </w:t>
      </w:r>
      <w:r>
        <w:rPr>
          <w:w w:val="120"/>
        </w:rPr>
        <w:t>relation</w:t>
      </w:r>
    </w:p>
    <w:p>
      <w:pPr>
        <w:pStyle w:val="BodyText"/>
        <w:spacing w:line="235" w:lineRule="auto" w:before="2"/>
        <w:ind w:left="1344" w:right="1217"/>
      </w:pPr>
      <w:r>
        <w:rPr>
          <w:w w:val="120"/>
        </w:rPr>
        <w:t>between the various levels of life of a fully united Church and what specific ministries of leadership are needed to serve and foster those relations?</w:t>
      </w:r>
    </w:p>
    <w:p>
      <w:pPr>
        <w:spacing w:after="0" w:line="235" w:lineRule="auto"/>
        <w:sectPr>
          <w:type w:val="continuous"/>
          <w:pgSz w:w="11910" w:h="16840"/>
          <w:pgMar w:top="1580" w:bottom="280" w:left="640" w:right="0"/>
        </w:sectPr>
      </w:pPr>
    </w:p>
    <w:p>
      <w:pPr>
        <w:pStyle w:val="BodyText"/>
      </w:pPr>
      <w:r>
        <w:rPr/>
        <w:drawing>
          <wp:anchor distT="0" distB="0" distL="0" distR="0" allowOverlap="1" layoutInCell="1" locked="0" behindDoc="1" simplePos="0" relativeHeight="235504640">
            <wp:simplePos x="0" y="0"/>
            <wp:positionH relativeFrom="page">
              <wp:posOffset>0</wp:posOffset>
            </wp:positionH>
            <wp:positionV relativeFrom="page">
              <wp:posOffset>0</wp:posOffset>
            </wp:positionV>
            <wp:extent cx="594067" cy="10692003"/>
            <wp:effectExtent l="0" t="0" r="0" b="0"/>
            <wp:wrapNone/>
            <wp:docPr id="211" name="image67.png"/>
            <wp:cNvGraphicFramePr>
              <a:graphicFrameLocks noChangeAspect="1"/>
            </wp:cNvGraphicFramePr>
            <a:graphic>
              <a:graphicData uri="http://schemas.openxmlformats.org/drawingml/2006/picture">
                <pic:pic>
                  <pic:nvPicPr>
                    <pic:cNvPr id="212" name="image67.png"/>
                    <pic:cNvPicPr/>
                  </pic:nvPicPr>
                  <pic:blipFill>
                    <a:blip r:embed="rId184" cstate="print"/>
                    <a:stretch>
                      <a:fillRect/>
                    </a:stretch>
                  </pic:blipFill>
                  <pic:spPr>
                    <a:xfrm>
                      <a:off x="0" y="0"/>
                      <a:ext cx="594067" cy="10692003"/>
                    </a:xfrm>
                    <a:prstGeom prst="rect">
                      <a:avLst/>
                    </a:prstGeom>
                  </pic:spPr>
                </pic:pic>
              </a:graphicData>
            </a:graphic>
          </wp:anchor>
        </w:drawing>
      </w:r>
      <w:r>
        <w:rPr/>
        <w:pict>
          <v:shape style="position:absolute;margin-left:20.519100pt;margin-top:48.890015pt;width:25.9pt;height:444.45pt;mso-position-horizontal-relative:page;mso-position-vertical-relative:page;z-index:-267810816" type="#_x0000_t202" filled="false" stroked="false">
            <v:textbox inset="0,0,0,0" style="layout-flow:vertical">
              <w:txbxContent>
                <w:p>
                  <w:pPr>
                    <w:spacing w:before="27"/>
                    <w:ind w:left="20" w:right="0" w:firstLine="0"/>
                    <w:jc w:val="left"/>
                    <w:rPr>
                      <w:sz w:val="39"/>
                    </w:rPr>
                  </w:pPr>
                  <w:r>
                    <w:rPr>
                      <w:color w:val="FFFFFF"/>
                      <w:w w:val="120"/>
                      <w:sz w:val="39"/>
                    </w:rPr>
                    <w:t>Faith and order – </w:t>
                  </w:r>
                  <w:r>
                    <w:rPr>
                      <w:w w:val="120"/>
                      <w:sz w:val="39"/>
                    </w:rPr>
                    <w:t>Towards a common vision</w:t>
                  </w:r>
                </w:p>
              </w:txbxContent>
            </v:textbox>
            <w10:wrap type="none"/>
          </v:shape>
        </w:pict>
      </w:r>
    </w:p>
    <w:p>
      <w:pPr>
        <w:pStyle w:val="BodyText"/>
        <w:spacing w:before="7"/>
        <w:rPr>
          <w:sz w:val="21"/>
        </w:rPr>
      </w:pPr>
    </w:p>
    <w:p>
      <w:pPr>
        <w:spacing w:before="106"/>
        <w:ind w:left="607" w:right="0" w:firstLine="0"/>
        <w:jc w:val="left"/>
        <w:rPr>
          <w:sz w:val="26"/>
        </w:rPr>
      </w:pPr>
      <w:r>
        <w:rPr>
          <w:color w:val="7EAABF"/>
          <w:w w:val="115"/>
          <w:sz w:val="26"/>
        </w:rPr>
        <w:t>Faith and order</w:t>
      </w:r>
    </w:p>
    <w:p>
      <w:pPr>
        <w:pStyle w:val="ListParagraph"/>
        <w:numPr>
          <w:ilvl w:val="2"/>
          <w:numId w:val="137"/>
        </w:numPr>
        <w:tabs>
          <w:tab w:pos="1288" w:val="left" w:leader="none"/>
        </w:tabs>
        <w:spacing w:line="235" w:lineRule="auto" w:before="222" w:after="0"/>
        <w:ind w:left="607" w:right="2036" w:firstLine="0"/>
        <w:jc w:val="left"/>
        <w:rPr>
          <w:sz w:val="20"/>
        </w:rPr>
      </w:pPr>
      <w:r>
        <w:rPr>
          <w:w w:val="120"/>
          <w:sz w:val="20"/>
        </w:rPr>
        <w:t>The URC is linked in various ways to other bodies of Christians: at the world level it is a member of the World Council of Churches, the World Communion of Reformed Churches, the Disciples Ecumenical Consultative Council and the Council for World Mission. At the regional level, it is a member of the Conference of European Churches and the Community of Protestant Churches in Europe. In the British Isles it is a member of Churches Together in Britain and Ireland as well as the ecumenical instruments of England, Scotland and Wales. These relationships are manifested in various ways in the life of the URC. They provide a basis for recognising members and ministers of other member Churches; they also provide a network of contacts between people and places resulting in exchange visits and partner congregations, which bring the universal   Church to life in a very local</w:t>
      </w:r>
      <w:r>
        <w:rPr>
          <w:spacing w:val="15"/>
          <w:w w:val="120"/>
          <w:sz w:val="20"/>
        </w:rPr>
        <w:t> </w:t>
      </w:r>
      <w:r>
        <w:rPr>
          <w:spacing w:val="-4"/>
          <w:w w:val="120"/>
          <w:sz w:val="20"/>
        </w:rPr>
        <w:t>way.</w:t>
      </w:r>
    </w:p>
    <w:p>
      <w:pPr>
        <w:pStyle w:val="BodyText"/>
        <w:spacing w:before="3"/>
      </w:pPr>
    </w:p>
    <w:p>
      <w:pPr>
        <w:pStyle w:val="ListParagraph"/>
        <w:numPr>
          <w:ilvl w:val="2"/>
          <w:numId w:val="137"/>
        </w:numPr>
        <w:tabs>
          <w:tab w:pos="1288" w:val="left" w:leader="none"/>
        </w:tabs>
        <w:spacing w:line="235" w:lineRule="auto" w:before="1" w:after="0"/>
        <w:ind w:left="607" w:right="2152" w:firstLine="0"/>
        <w:jc w:val="left"/>
        <w:rPr>
          <w:sz w:val="20"/>
        </w:rPr>
      </w:pPr>
      <w:r>
        <w:rPr>
          <w:w w:val="120"/>
          <w:sz w:val="20"/>
        </w:rPr>
        <w:t>Ministers</w:t>
      </w:r>
      <w:r>
        <w:rPr>
          <w:spacing w:val="-6"/>
          <w:w w:val="120"/>
          <w:sz w:val="20"/>
        </w:rPr>
        <w:t> </w:t>
      </w:r>
      <w:r>
        <w:rPr>
          <w:w w:val="120"/>
          <w:sz w:val="20"/>
        </w:rPr>
        <w:t>of</w:t>
      </w:r>
      <w:r>
        <w:rPr>
          <w:spacing w:val="-5"/>
          <w:w w:val="120"/>
          <w:sz w:val="20"/>
        </w:rPr>
        <w:t> </w:t>
      </w:r>
      <w:r>
        <w:rPr>
          <w:w w:val="120"/>
          <w:sz w:val="20"/>
        </w:rPr>
        <w:t>Word</w:t>
      </w:r>
      <w:r>
        <w:rPr>
          <w:spacing w:val="-6"/>
          <w:w w:val="120"/>
          <w:sz w:val="20"/>
        </w:rPr>
        <w:t> </w:t>
      </w:r>
      <w:r>
        <w:rPr>
          <w:w w:val="120"/>
          <w:sz w:val="20"/>
        </w:rPr>
        <w:t>and</w:t>
      </w:r>
      <w:r>
        <w:rPr>
          <w:spacing w:val="-5"/>
          <w:w w:val="120"/>
          <w:sz w:val="20"/>
        </w:rPr>
        <w:t> </w:t>
      </w:r>
      <w:r>
        <w:rPr>
          <w:w w:val="120"/>
          <w:sz w:val="20"/>
        </w:rPr>
        <w:t>Sacraments</w:t>
      </w:r>
      <w:r>
        <w:rPr>
          <w:spacing w:val="-5"/>
          <w:w w:val="120"/>
          <w:sz w:val="20"/>
        </w:rPr>
        <w:t> </w:t>
      </w:r>
      <w:r>
        <w:rPr>
          <w:w w:val="120"/>
          <w:sz w:val="20"/>
        </w:rPr>
        <w:t>are</w:t>
      </w:r>
      <w:r>
        <w:rPr>
          <w:spacing w:val="-6"/>
          <w:w w:val="120"/>
          <w:sz w:val="20"/>
        </w:rPr>
        <w:t> </w:t>
      </w:r>
      <w:r>
        <w:rPr>
          <w:w w:val="120"/>
          <w:sz w:val="20"/>
        </w:rPr>
        <w:t>trained</w:t>
      </w:r>
      <w:r>
        <w:rPr>
          <w:spacing w:val="-5"/>
          <w:w w:val="120"/>
          <w:sz w:val="20"/>
        </w:rPr>
        <w:t> </w:t>
      </w:r>
      <w:r>
        <w:rPr>
          <w:w w:val="120"/>
          <w:sz w:val="20"/>
        </w:rPr>
        <w:t>for</w:t>
      </w:r>
      <w:r>
        <w:rPr>
          <w:spacing w:val="-5"/>
          <w:w w:val="120"/>
          <w:sz w:val="20"/>
        </w:rPr>
        <w:t> </w:t>
      </w:r>
      <w:r>
        <w:rPr>
          <w:w w:val="120"/>
          <w:sz w:val="20"/>
        </w:rPr>
        <w:t>three</w:t>
      </w:r>
      <w:r>
        <w:rPr>
          <w:spacing w:val="-6"/>
          <w:w w:val="120"/>
          <w:sz w:val="20"/>
        </w:rPr>
        <w:t> </w:t>
      </w:r>
      <w:r>
        <w:rPr>
          <w:w w:val="120"/>
          <w:sz w:val="20"/>
        </w:rPr>
        <w:t>to</w:t>
      </w:r>
      <w:r>
        <w:rPr>
          <w:spacing w:val="-5"/>
          <w:w w:val="120"/>
          <w:sz w:val="20"/>
        </w:rPr>
        <w:t> </w:t>
      </w:r>
      <w:r>
        <w:rPr>
          <w:w w:val="120"/>
          <w:sz w:val="20"/>
        </w:rPr>
        <w:t>four</w:t>
      </w:r>
      <w:r>
        <w:rPr>
          <w:spacing w:val="-5"/>
          <w:w w:val="120"/>
          <w:sz w:val="20"/>
        </w:rPr>
        <w:t> </w:t>
      </w:r>
      <w:r>
        <w:rPr>
          <w:w w:val="120"/>
          <w:sz w:val="20"/>
        </w:rPr>
        <w:t>years</w:t>
      </w:r>
      <w:r>
        <w:rPr>
          <w:spacing w:val="-6"/>
          <w:w w:val="120"/>
          <w:sz w:val="20"/>
        </w:rPr>
        <w:t> </w:t>
      </w:r>
      <w:r>
        <w:rPr>
          <w:w w:val="120"/>
          <w:sz w:val="20"/>
        </w:rPr>
        <w:t>with</w:t>
      </w:r>
      <w:r>
        <w:rPr>
          <w:spacing w:val="-5"/>
          <w:w w:val="120"/>
          <w:sz w:val="20"/>
        </w:rPr>
        <w:t> </w:t>
      </w:r>
      <w:r>
        <w:rPr>
          <w:w w:val="120"/>
          <w:sz w:val="20"/>
        </w:rPr>
        <w:t>a</w:t>
      </w:r>
      <w:r>
        <w:rPr>
          <w:spacing w:val="-5"/>
          <w:w w:val="120"/>
          <w:sz w:val="20"/>
        </w:rPr>
        <w:t> </w:t>
      </w:r>
      <w:r>
        <w:rPr>
          <w:w w:val="120"/>
          <w:sz w:val="20"/>
        </w:rPr>
        <w:t>year placement, often in ecumenical settings sharing teaching with other denominations, and therefore would have similar academic standards to other churches in Britain.  This would mean that we will recognise the ministry in other denominations, and if individuals wish to transfer to our denomination we acknowledge and recognise their ministry; however we would require them to take some training about the United Reformed</w:t>
      </w:r>
      <w:r>
        <w:rPr>
          <w:spacing w:val="2"/>
          <w:w w:val="120"/>
          <w:sz w:val="20"/>
        </w:rPr>
        <w:t> </w:t>
      </w:r>
      <w:r>
        <w:rPr>
          <w:w w:val="120"/>
          <w:sz w:val="20"/>
        </w:rPr>
        <w:t>Church.</w:t>
      </w:r>
    </w:p>
    <w:p>
      <w:pPr>
        <w:pStyle w:val="BodyText"/>
      </w:pPr>
    </w:p>
    <w:p>
      <w:pPr>
        <w:pStyle w:val="ListParagraph"/>
        <w:numPr>
          <w:ilvl w:val="2"/>
          <w:numId w:val="137"/>
        </w:numPr>
        <w:tabs>
          <w:tab w:pos="1288" w:val="left" w:leader="none"/>
        </w:tabs>
        <w:spacing w:line="235" w:lineRule="auto" w:before="1" w:after="0"/>
        <w:ind w:left="607" w:right="2023" w:firstLine="0"/>
        <w:jc w:val="left"/>
        <w:rPr>
          <w:sz w:val="20"/>
        </w:rPr>
      </w:pPr>
      <w:r>
        <w:rPr>
          <w:w w:val="120"/>
          <w:sz w:val="20"/>
        </w:rPr>
        <w:t>URC</w:t>
      </w:r>
      <w:r>
        <w:rPr>
          <w:spacing w:val="-11"/>
          <w:w w:val="120"/>
          <w:sz w:val="20"/>
        </w:rPr>
        <w:t> </w:t>
      </w:r>
      <w:r>
        <w:rPr>
          <w:spacing w:val="-3"/>
          <w:w w:val="120"/>
          <w:sz w:val="20"/>
        </w:rPr>
        <w:t>ministers</w:t>
      </w:r>
      <w:r>
        <w:rPr>
          <w:spacing w:val="-11"/>
          <w:w w:val="120"/>
          <w:sz w:val="20"/>
        </w:rPr>
        <w:t> </w:t>
      </w:r>
      <w:r>
        <w:rPr>
          <w:w w:val="120"/>
          <w:sz w:val="20"/>
        </w:rPr>
        <w:t>often</w:t>
      </w:r>
      <w:r>
        <w:rPr>
          <w:spacing w:val="-11"/>
          <w:w w:val="120"/>
          <w:sz w:val="20"/>
        </w:rPr>
        <w:t> </w:t>
      </w:r>
      <w:r>
        <w:rPr>
          <w:w w:val="120"/>
          <w:sz w:val="20"/>
        </w:rPr>
        <w:t>serve</w:t>
      </w:r>
      <w:r>
        <w:rPr>
          <w:spacing w:val="-11"/>
          <w:w w:val="120"/>
          <w:sz w:val="20"/>
        </w:rPr>
        <w:t> </w:t>
      </w:r>
      <w:r>
        <w:rPr>
          <w:w w:val="120"/>
          <w:sz w:val="20"/>
        </w:rPr>
        <w:t>in</w:t>
      </w:r>
      <w:r>
        <w:rPr>
          <w:spacing w:val="-11"/>
          <w:w w:val="120"/>
          <w:sz w:val="20"/>
        </w:rPr>
        <w:t> </w:t>
      </w:r>
      <w:r>
        <w:rPr>
          <w:w w:val="120"/>
          <w:sz w:val="20"/>
        </w:rPr>
        <w:t>local</w:t>
      </w:r>
      <w:r>
        <w:rPr>
          <w:spacing w:val="-10"/>
          <w:w w:val="120"/>
          <w:sz w:val="20"/>
        </w:rPr>
        <w:t> </w:t>
      </w:r>
      <w:r>
        <w:rPr>
          <w:w w:val="120"/>
          <w:sz w:val="20"/>
        </w:rPr>
        <w:t>ecumenical</w:t>
      </w:r>
      <w:r>
        <w:rPr>
          <w:spacing w:val="-11"/>
          <w:w w:val="120"/>
          <w:sz w:val="20"/>
        </w:rPr>
        <w:t> </w:t>
      </w:r>
      <w:r>
        <w:rPr>
          <w:w w:val="120"/>
          <w:sz w:val="20"/>
        </w:rPr>
        <w:t>partnerships.</w:t>
      </w:r>
      <w:r>
        <w:rPr>
          <w:spacing w:val="-11"/>
          <w:w w:val="120"/>
          <w:sz w:val="20"/>
        </w:rPr>
        <w:t> </w:t>
      </w:r>
      <w:r>
        <w:rPr>
          <w:w w:val="120"/>
          <w:sz w:val="20"/>
        </w:rPr>
        <w:t>These</w:t>
      </w:r>
      <w:r>
        <w:rPr>
          <w:spacing w:val="-11"/>
          <w:w w:val="120"/>
          <w:sz w:val="20"/>
        </w:rPr>
        <w:t> </w:t>
      </w:r>
      <w:r>
        <w:rPr>
          <w:w w:val="120"/>
          <w:sz w:val="20"/>
        </w:rPr>
        <w:t>are</w:t>
      </w:r>
      <w:r>
        <w:rPr>
          <w:spacing w:val="-11"/>
          <w:w w:val="120"/>
          <w:sz w:val="20"/>
        </w:rPr>
        <w:t> </w:t>
      </w:r>
      <w:r>
        <w:rPr>
          <w:w w:val="120"/>
          <w:sz w:val="20"/>
        </w:rPr>
        <w:t>partnerships of local </w:t>
      </w:r>
      <w:r>
        <w:rPr>
          <w:spacing w:val="-3"/>
          <w:w w:val="120"/>
          <w:sz w:val="20"/>
        </w:rPr>
        <w:t>churches usually </w:t>
      </w:r>
      <w:r>
        <w:rPr>
          <w:w w:val="120"/>
          <w:sz w:val="20"/>
        </w:rPr>
        <w:t>worshipping as one </w:t>
      </w:r>
      <w:r>
        <w:rPr>
          <w:spacing w:val="-3"/>
          <w:w w:val="120"/>
          <w:sz w:val="20"/>
        </w:rPr>
        <w:t>congregation, </w:t>
      </w:r>
      <w:r>
        <w:rPr>
          <w:w w:val="120"/>
          <w:sz w:val="20"/>
        </w:rPr>
        <w:t>bound together by </w:t>
      </w:r>
      <w:r>
        <w:rPr>
          <w:spacing w:val="-4"/>
          <w:w w:val="120"/>
          <w:sz w:val="20"/>
        </w:rPr>
        <w:t>covenant </w:t>
      </w:r>
      <w:r>
        <w:rPr>
          <w:w w:val="120"/>
          <w:sz w:val="20"/>
        </w:rPr>
        <w:t>whereby the ministry of a pastorate </w:t>
      </w:r>
      <w:r>
        <w:rPr>
          <w:spacing w:val="-3"/>
          <w:w w:val="120"/>
          <w:sz w:val="20"/>
        </w:rPr>
        <w:t>may </w:t>
      </w:r>
      <w:r>
        <w:rPr>
          <w:w w:val="120"/>
          <w:sz w:val="20"/>
        </w:rPr>
        <w:t>be provided by different </w:t>
      </w:r>
      <w:r>
        <w:rPr>
          <w:spacing w:val="-3"/>
          <w:w w:val="120"/>
          <w:sz w:val="20"/>
        </w:rPr>
        <w:t>denominations </w:t>
      </w:r>
      <w:r>
        <w:rPr>
          <w:w w:val="120"/>
          <w:sz w:val="20"/>
        </w:rPr>
        <w:t>at different times or as part of a </w:t>
      </w:r>
      <w:r>
        <w:rPr>
          <w:spacing w:val="-3"/>
          <w:w w:val="120"/>
          <w:sz w:val="20"/>
        </w:rPr>
        <w:t>team. </w:t>
      </w:r>
      <w:r>
        <w:rPr>
          <w:w w:val="120"/>
          <w:sz w:val="20"/>
        </w:rPr>
        <w:t>With the </w:t>
      </w:r>
      <w:r>
        <w:rPr>
          <w:spacing w:val="-3"/>
          <w:w w:val="120"/>
          <w:sz w:val="20"/>
        </w:rPr>
        <w:t>exception </w:t>
      </w:r>
      <w:r>
        <w:rPr>
          <w:w w:val="120"/>
          <w:sz w:val="20"/>
        </w:rPr>
        <w:t>of Roman Catholic </w:t>
      </w:r>
      <w:r>
        <w:rPr>
          <w:spacing w:val="-3"/>
          <w:w w:val="120"/>
          <w:sz w:val="20"/>
        </w:rPr>
        <w:t>involvement, this</w:t>
      </w:r>
      <w:r>
        <w:rPr>
          <w:spacing w:val="-8"/>
          <w:w w:val="120"/>
          <w:sz w:val="20"/>
        </w:rPr>
        <w:t> </w:t>
      </w:r>
      <w:r>
        <w:rPr>
          <w:spacing w:val="-3"/>
          <w:w w:val="120"/>
          <w:sz w:val="20"/>
        </w:rPr>
        <w:t>allows</w:t>
      </w:r>
      <w:r>
        <w:rPr>
          <w:spacing w:val="-7"/>
          <w:w w:val="120"/>
          <w:sz w:val="20"/>
        </w:rPr>
        <w:t> </w:t>
      </w:r>
      <w:r>
        <w:rPr>
          <w:w w:val="120"/>
          <w:sz w:val="20"/>
        </w:rPr>
        <w:t>the</w:t>
      </w:r>
      <w:r>
        <w:rPr>
          <w:spacing w:val="-8"/>
          <w:w w:val="120"/>
          <w:sz w:val="20"/>
        </w:rPr>
        <w:t> </w:t>
      </w:r>
      <w:r>
        <w:rPr>
          <w:spacing w:val="-3"/>
          <w:w w:val="120"/>
          <w:sz w:val="20"/>
        </w:rPr>
        <w:t>ministers</w:t>
      </w:r>
      <w:r>
        <w:rPr>
          <w:spacing w:val="-7"/>
          <w:w w:val="120"/>
          <w:sz w:val="20"/>
        </w:rPr>
        <w:t> </w:t>
      </w:r>
      <w:r>
        <w:rPr>
          <w:w w:val="120"/>
          <w:sz w:val="20"/>
        </w:rPr>
        <w:t>of</w:t>
      </w:r>
      <w:r>
        <w:rPr>
          <w:spacing w:val="-7"/>
          <w:w w:val="120"/>
          <w:sz w:val="20"/>
        </w:rPr>
        <w:t> </w:t>
      </w:r>
      <w:r>
        <w:rPr>
          <w:w w:val="120"/>
          <w:sz w:val="20"/>
        </w:rPr>
        <w:t>different</w:t>
      </w:r>
      <w:r>
        <w:rPr>
          <w:spacing w:val="-8"/>
          <w:w w:val="120"/>
          <w:sz w:val="20"/>
        </w:rPr>
        <w:t> </w:t>
      </w:r>
      <w:r>
        <w:rPr>
          <w:w w:val="120"/>
          <w:sz w:val="20"/>
        </w:rPr>
        <w:t>traditions</w:t>
      </w:r>
      <w:r>
        <w:rPr>
          <w:spacing w:val="-7"/>
          <w:w w:val="120"/>
          <w:sz w:val="20"/>
        </w:rPr>
        <w:t> </w:t>
      </w:r>
      <w:r>
        <w:rPr>
          <w:spacing w:val="-3"/>
          <w:w w:val="120"/>
          <w:sz w:val="20"/>
        </w:rPr>
        <w:t>to</w:t>
      </w:r>
      <w:r>
        <w:rPr>
          <w:spacing w:val="-8"/>
          <w:w w:val="120"/>
          <w:sz w:val="20"/>
        </w:rPr>
        <w:t> </w:t>
      </w:r>
      <w:r>
        <w:rPr>
          <w:w w:val="120"/>
          <w:sz w:val="20"/>
        </w:rPr>
        <w:t>fully</w:t>
      </w:r>
      <w:r>
        <w:rPr>
          <w:spacing w:val="-7"/>
          <w:w w:val="120"/>
          <w:sz w:val="20"/>
        </w:rPr>
        <w:t> </w:t>
      </w:r>
      <w:r>
        <w:rPr>
          <w:spacing w:val="-3"/>
          <w:w w:val="120"/>
          <w:sz w:val="20"/>
        </w:rPr>
        <w:t>cooperate</w:t>
      </w:r>
      <w:r>
        <w:rPr>
          <w:spacing w:val="-7"/>
          <w:w w:val="120"/>
          <w:sz w:val="20"/>
        </w:rPr>
        <w:t> </w:t>
      </w:r>
      <w:r>
        <w:rPr>
          <w:w w:val="120"/>
          <w:sz w:val="20"/>
        </w:rPr>
        <w:t>and</w:t>
      </w:r>
      <w:r>
        <w:rPr>
          <w:spacing w:val="-8"/>
          <w:w w:val="120"/>
          <w:sz w:val="20"/>
        </w:rPr>
        <w:t> </w:t>
      </w:r>
      <w:r>
        <w:rPr>
          <w:w w:val="120"/>
          <w:sz w:val="20"/>
        </w:rPr>
        <w:t>share</w:t>
      </w:r>
      <w:r>
        <w:rPr>
          <w:spacing w:val="-7"/>
          <w:w w:val="120"/>
          <w:sz w:val="20"/>
        </w:rPr>
        <w:t> </w:t>
      </w:r>
      <w:r>
        <w:rPr>
          <w:w w:val="120"/>
          <w:sz w:val="20"/>
        </w:rPr>
        <w:t>in</w:t>
      </w:r>
      <w:r>
        <w:rPr>
          <w:spacing w:val="-8"/>
          <w:w w:val="120"/>
          <w:sz w:val="20"/>
        </w:rPr>
        <w:t> </w:t>
      </w:r>
      <w:r>
        <w:rPr>
          <w:w w:val="120"/>
          <w:sz w:val="20"/>
        </w:rPr>
        <w:t>ministry</w:t>
      </w:r>
    </w:p>
    <w:p>
      <w:pPr>
        <w:pStyle w:val="BodyText"/>
        <w:spacing w:line="235" w:lineRule="auto" w:before="3"/>
        <w:ind w:left="607" w:right="2007"/>
      </w:pPr>
      <w:r>
        <w:rPr>
          <w:w w:val="120"/>
        </w:rPr>
        <w:t>on an equal </w:t>
      </w:r>
      <w:r>
        <w:rPr>
          <w:spacing w:val="-3"/>
          <w:w w:val="120"/>
        </w:rPr>
        <w:t>basis including </w:t>
      </w:r>
      <w:r>
        <w:rPr>
          <w:w w:val="120"/>
        </w:rPr>
        <w:t>in the celebration of the Eucharist. This shared training and experience </w:t>
      </w:r>
      <w:r>
        <w:rPr>
          <w:spacing w:val="-3"/>
          <w:w w:val="120"/>
        </w:rPr>
        <w:t>would </w:t>
      </w:r>
      <w:r>
        <w:rPr>
          <w:w w:val="120"/>
        </w:rPr>
        <w:t>be helpful in seeking </w:t>
      </w:r>
      <w:r>
        <w:rPr>
          <w:spacing w:val="-3"/>
          <w:w w:val="120"/>
        </w:rPr>
        <w:t>to </w:t>
      </w:r>
      <w:r>
        <w:rPr>
          <w:w w:val="120"/>
        </w:rPr>
        <w:t>deepen the understanding of ecumenical cooperation </w:t>
      </w:r>
      <w:r>
        <w:rPr>
          <w:spacing w:val="-3"/>
          <w:w w:val="120"/>
        </w:rPr>
        <w:t>across </w:t>
      </w:r>
      <w:r>
        <w:rPr>
          <w:w w:val="120"/>
        </w:rPr>
        <w:t>different traditions and </w:t>
      </w:r>
      <w:r>
        <w:rPr>
          <w:spacing w:val="-3"/>
          <w:w w:val="120"/>
        </w:rPr>
        <w:t>to develop </w:t>
      </w:r>
      <w:r>
        <w:rPr>
          <w:w w:val="120"/>
        </w:rPr>
        <w:t>the </w:t>
      </w:r>
      <w:r>
        <w:rPr>
          <w:spacing w:val="-3"/>
          <w:w w:val="120"/>
        </w:rPr>
        <w:t>skills </w:t>
      </w:r>
      <w:r>
        <w:rPr>
          <w:w w:val="120"/>
        </w:rPr>
        <w:t>needed </w:t>
      </w:r>
      <w:r>
        <w:rPr>
          <w:spacing w:val="-3"/>
          <w:w w:val="120"/>
        </w:rPr>
        <w:t>to minister across </w:t>
      </w:r>
      <w:r>
        <w:rPr>
          <w:w w:val="120"/>
        </w:rPr>
        <w:t>the range of traditions and </w:t>
      </w:r>
      <w:r>
        <w:rPr>
          <w:spacing w:val="-3"/>
          <w:w w:val="120"/>
        </w:rPr>
        <w:t>cultural </w:t>
      </w:r>
      <w:r>
        <w:rPr>
          <w:w w:val="120"/>
        </w:rPr>
        <w:t>differences that are often so </w:t>
      </w:r>
      <w:r>
        <w:rPr>
          <w:spacing w:val="-3"/>
          <w:w w:val="120"/>
        </w:rPr>
        <w:t>challenging.</w:t>
      </w:r>
    </w:p>
    <w:p>
      <w:pPr>
        <w:pStyle w:val="BodyText"/>
        <w:spacing w:before="4"/>
        <w:rPr>
          <w:sz w:val="22"/>
        </w:rPr>
      </w:pPr>
    </w:p>
    <w:p>
      <w:pPr>
        <w:pStyle w:val="ListParagraph"/>
        <w:numPr>
          <w:ilvl w:val="0"/>
          <w:numId w:val="137"/>
        </w:numPr>
        <w:tabs>
          <w:tab w:pos="1287" w:val="left" w:leader="none"/>
          <w:tab w:pos="1288" w:val="left" w:leader="none"/>
        </w:tabs>
        <w:spacing w:line="356" w:lineRule="exact" w:before="0" w:after="0"/>
        <w:ind w:left="1287" w:right="0" w:hanging="681"/>
        <w:jc w:val="left"/>
        <w:rPr>
          <w:rFonts w:ascii="Stone Sans II ITC Std Bk"/>
          <w:b/>
          <w:sz w:val="29"/>
        </w:rPr>
      </w:pPr>
      <w:r>
        <w:rPr>
          <w:rFonts w:ascii="Stone Sans II ITC Std Bk"/>
          <w:b/>
          <w:spacing w:val="2"/>
          <w:w w:val="110"/>
          <w:sz w:val="29"/>
        </w:rPr>
        <w:t>Chapter</w:t>
      </w:r>
      <w:r>
        <w:rPr>
          <w:rFonts w:ascii="Stone Sans II ITC Std Bk"/>
          <w:b/>
          <w:spacing w:val="12"/>
          <w:w w:val="110"/>
          <w:sz w:val="29"/>
        </w:rPr>
        <w:t> </w:t>
      </w:r>
      <w:r>
        <w:rPr>
          <w:rFonts w:ascii="Stone Sans II ITC Std Bk"/>
          <w:b/>
          <w:spacing w:val="4"/>
          <w:w w:val="110"/>
          <w:sz w:val="29"/>
        </w:rPr>
        <w:t>III</w:t>
      </w:r>
    </w:p>
    <w:p>
      <w:pPr>
        <w:spacing w:line="356" w:lineRule="exact" w:before="0"/>
        <w:ind w:left="1287" w:right="0" w:firstLine="0"/>
        <w:jc w:val="left"/>
        <w:rPr>
          <w:rFonts w:ascii="Stone Sans II ITC Std Bk"/>
          <w:b/>
          <w:sz w:val="29"/>
        </w:rPr>
      </w:pPr>
      <w:r>
        <w:rPr>
          <w:rFonts w:ascii="Stone Sans II ITC Std Bk"/>
          <w:b/>
          <w:w w:val="110"/>
          <w:sz w:val="29"/>
        </w:rPr>
        <w:t>Growing In Communion</w:t>
      </w:r>
    </w:p>
    <w:p>
      <w:pPr>
        <w:pStyle w:val="ListParagraph"/>
        <w:numPr>
          <w:ilvl w:val="2"/>
          <w:numId w:val="138"/>
        </w:numPr>
        <w:tabs>
          <w:tab w:pos="1287" w:val="left" w:leader="none"/>
          <w:tab w:pos="1288" w:val="left" w:leader="none"/>
        </w:tabs>
        <w:spacing w:line="235" w:lineRule="auto" w:before="69" w:after="0"/>
        <w:ind w:left="607" w:right="2193" w:firstLine="0"/>
        <w:jc w:val="left"/>
        <w:rPr>
          <w:sz w:val="20"/>
        </w:rPr>
      </w:pPr>
      <w:r>
        <w:rPr>
          <w:w w:val="120"/>
          <w:sz w:val="20"/>
        </w:rPr>
        <w:t>In the light of the convergences of Baptism and Eucharist and of further reflection upon the historical roots and potential compatibility of the expressions ‘sacrament’ and </w:t>
      </w:r>
      <w:r>
        <w:rPr>
          <w:spacing w:val="-3"/>
          <w:w w:val="120"/>
          <w:sz w:val="20"/>
        </w:rPr>
        <w:t>ordinance,’ </w:t>
      </w:r>
      <w:r>
        <w:rPr>
          <w:w w:val="120"/>
          <w:sz w:val="20"/>
        </w:rPr>
        <w:t>the churches are challenged to explore whether they are able to arrive at deeper agreement about that dimension of the life of the Church that involves these rites. Such convergence could lead them to consider several additional questions. Most churches celebrate other rites or sacraments, such as chrismations/ confirmations, weddings and ordinations within their liturgies and many also have rites for the forgiveness of sin and the blessing of the sick: may not the</w:t>
      </w:r>
      <w:r>
        <w:rPr>
          <w:spacing w:val="21"/>
          <w:w w:val="120"/>
          <w:sz w:val="20"/>
        </w:rPr>
        <w:t> </w:t>
      </w:r>
      <w:r>
        <w:rPr>
          <w:w w:val="120"/>
          <w:sz w:val="20"/>
        </w:rPr>
        <w:t>number</w:t>
      </w:r>
    </w:p>
    <w:p>
      <w:pPr>
        <w:pStyle w:val="BodyText"/>
        <w:spacing w:line="235" w:lineRule="auto" w:before="6"/>
        <w:ind w:left="607" w:right="2231"/>
      </w:pPr>
      <w:r>
        <w:rPr>
          <w:w w:val="120"/>
        </w:rPr>
        <w:t>and ecclesial status of these sacraments or ordinances be addressed in ecumenical dialogues? We also invite churches to consider whether they can now achieve closer convergence about who may receive baptism and who may preside at the Church’s liturgical celebrations? Further, are there ways in which fuller mutual understanding can be established between the churches which celebrate these rites and those Christian communities convinced that the sharing of life in Christ does not require the celebration of sacraments or other rites?</w:t>
      </w:r>
    </w:p>
    <w:p>
      <w:pPr>
        <w:pStyle w:val="BodyText"/>
        <w:spacing w:before="1"/>
      </w:pPr>
    </w:p>
    <w:p>
      <w:pPr>
        <w:pStyle w:val="ListParagraph"/>
        <w:numPr>
          <w:ilvl w:val="2"/>
          <w:numId w:val="138"/>
        </w:numPr>
        <w:tabs>
          <w:tab w:pos="1287" w:val="left" w:leader="none"/>
          <w:tab w:pos="1288" w:val="left" w:leader="none"/>
        </w:tabs>
        <w:spacing w:line="235" w:lineRule="auto" w:before="0" w:after="0"/>
        <w:ind w:left="607" w:right="1981" w:firstLine="0"/>
        <w:jc w:val="left"/>
        <w:rPr>
          <w:sz w:val="20"/>
        </w:rPr>
      </w:pPr>
      <w:r>
        <w:rPr>
          <w:w w:val="120"/>
          <w:sz w:val="20"/>
        </w:rPr>
        <w:t>The United Reformed Church recognises only two sacraments: Holy Communion and Baptism. The URC holds a Reformed understanding of Holy Communion as a sacred symbolic meal. There is recognition of the mystery of the presence of Christ in the meal through the Holy Spirit. However this is an area of diversity within our</w:t>
      </w:r>
      <w:r>
        <w:rPr>
          <w:spacing w:val="50"/>
          <w:w w:val="120"/>
          <w:sz w:val="20"/>
        </w:rPr>
        <w:t> </w:t>
      </w:r>
      <w:r>
        <w:rPr>
          <w:w w:val="120"/>
          <w:sz w:val="20"/>
        </w:rPr>
        <w:t>denomination.</w:t>
      </w:r>
    </w:p>
    <w:p>
      <w:pPr>
        <w:pStyle w:val="BodyText"/>
        <w:spacing w:line="235" w:lineRule="auto" w:before="3"/>
        <w:ind w:left="607" w:right="2276"/>
      </w:pPr>
      <w:r>
        <w:rPr>
          <w:w w:val="120"/>
        </w:rPr>
        <w:t>In the URC Worship Book II baptism is described as publicly marking the beginning of  a person’s life as a Christian and as belonging to the body of Christ the Church. This means that baptism in itself does not make a person a Christian, that is done by God’s grace and calling. Also, in the URC there is an understanding that God’s love and   grace are wider and broader than the Church and so those who are not baptised </w:t>
      </w:r>
      <w:r>
        <w:rPr>
          <w:spacing w:val="-4"/>
          <w:w w:val="120"/>
        </w:rPr>
        <w:t>may, </w:t>
      </w:r>
      <w:r>
        <w:rPr>
          <w:w w:val="120"/>
        </w:rPr>
        <w:t>through Christ be accepted and welcomed into the Kingdom of</w:t>
      </w:r>
      <w:r>
        <w:rPr>
          <w:spacing w:val="1"/>
          <w:w w:val="120"/>
        </w:rPr>
        <w:t> </w:t>
      </w:r>
      <w:r>
        <w:rPr>
          <w:w w:val="120"/>
        </w:rPr>
        <w:t>God.</w:t>
      </w:r>
    </w:p>
    <w:p>
      <w:pPr>
        <w:spacing w:after="0" w:line="235" w:lineRule="auto"/>
        <w:sectPr>
          <w:headerReference w:type="even" r:id="rId328"/>
          <w:pgSz w:w="11910" w:h="16840"/>
          <w:pgMar w:header="0" w:footer="647" w:top="0" w:bottom="840" w:left="640" w:right="0"/>
        </w:sectPr>
      </w:pPr>
    </w:p>
    <w:p>
      <w:pPr>
        <w:pStyle w:val="BodyText"/>
      </w:pPr>
      <w:r>
        <w:rPr/>
        <w:drawing>
          <wp:anchor distT="0" distB="0" distL="0" distR="0" allowOverlap="1" layoutInCell="1" locked="0" behindDoc="0" simplePos="0" relativeHeight="251960320">
            <wp:simplePos x="0" y="0"/>
            <wp:positionH relativeFrom="page">
              <wp:posOffset>6974928</wp:posOffset>
            </wp:positionH>
            <wp:positionV relativeFrom="page">
              <wp:posOffset>0</wp:posOffset>
            </wp:positionV>
            <wp:extent cx="585063" cy="10692003"/>
            <wp:effectExtent l="0" t="0" r="0" b="0"/>
            <wp:wrapNone/>
            <wp:docPr id="213" name="image54.png"/>
            <wp:cNvGraphicFramePr>
              <a:graphicFrameLocks noChangeAspect="1"/>
            </wp:cNvGraphicFramePr>
            <a:graphic>
              <a:graphicData uri="http://schemas.openxmlformats.org/drawingml/2006/picture">
                <pic:pic>
                  <pic:nvPicPr>
                    <pic:cNvPr id="214" name="image54.png"/>
                    <pic:cNvPicPr/>
                  </pic:nvPicPr>
                  <pic:blipFill>
                    <a:blip r:embed="rId169" cstate="print"/>
                    <a:stretch>
                      <a:fillRect/>
                    </a:stretch>
                  </pic:blipFill>
                  <pic:spPr>
                    <a:xfrm>
                      <a:off x="0" y="0"/>
                      <a:ext cx="585063" cy="10692003"/>
                    </a:xfrm>
                    <a:prstGeom prst="rect">
                      <a:avLst/>
                    </a:prstGeom>
                  </pic:spPr>
                </pic:pic>
              </a:graphicData>
            </a:graphic>
          </wp:anchor>
        </w:drawing>
      </w:r>
    </w:p>
    <w:p>
      <w:pPr>
        <w:pStyle w:val="BodyText"/>
        <w:spacing w:before="7"/>
        <w:rPr>
          <w:sz w:val="21"/>
        </w:rPr>
      </w:pPr>
    </w:p>
    <w:p>
      <w:pPr>
        <w:spacing w:before="106"/>
        <w:ind w:left="0" w:right="1245" w:firstLine="0"/>
        <w:jc w:val="right"/>
        <w:rPr>
          <w:sz w:val="26"/>
        </w:rPr>
      </w:pPr>
      <w:r>
        <w:rPr/>
        <w:pict>
          <v:shape style="position:absolute;margin-left:554.141174pt;margin-top:22.593945pt;width:25.9pt;height:444.45pt;mso-position-horizontal-relative:page;mso-position-vertical-relative:paragraph;z-index:251961344" type="#_x0000_t202" filled="false" stroked="false">
            <v:textbox inset="0,0,0,0" style="layout-flow:vertical">
              <w:txbxContent>
                <w:p>
                  <w:pPr>
                    <w:spacing w:before="27"/>
                    <w:ind w:left="20" w:right="0" w:firstLine="0"/>
                    <w:jc w:val="left"/>
                    <w:rPr>
                      <w:sz w:val="39"/>
                    </w:rPr>
                  </w:pPr>
                  <w:r>
                    <w:rPr>
                      <w:color w:val="FFFFFF"/>
                      <w:w w:val="120"/>
                      <w:sz w:val="39"/>
                    </w:rPr>
                    <w:t>Faith and order – </w:t>
                  </w:r>
                  <w:r>
                    <w:rPr>
                      <w:w w:val="120"/>
                      <w:sz w:val="39"/>
                    </w:rPr>
                    <w:t>Towards a common vision</w:t>
                  </w:r>
                </w:p>
              </w:txbxContent>
            </v:textbox>
            <w10:wrap type="none"/>
          </v:shape>
        </w:pict>
      </w:r>
      <w:r>
        <w:rPr>
          <w:color w:val="7EAABF"/>
          <w:w w:val="115"/>
          <w:sz w:val="26"/>
        </w:rPr>
        <w:t>Faith and order</w:t>
      </w:r>
    </w:p>
    <w:p>
      <w:pPr>
        <w:pStyle w:val="ListParagraph"/>
        <w:numPr>
          <w:ilvl w:val="2"/>
          <w:numId w:val="138"/>
        </w:numPr>
        <w:tabs>
          <w:tab w:pos="2024" w:val="left" w:leader="none"/>
          <w:tab w:pos="2025" w:val="left" w:leader="none"/>
        </w:tabs>
        <w:spacing w:line="235" w:lineRule="auto" w:before="222" w:after="0"/>
        <w:ind w:left="1344" w:right="1473" w:firstLine="0"/>
        <w:jc w:val="left"/>
        <w:rPr>
          <w:sz w:val="20"/>
        </w:rPr>
      </w:pPr>
      <w:r>
        <w:rPr>
          <w:w w:val="120"/>
          <w:sz w:val="20"/>
        </w:rPr>
        <w:t>The church is willing to offer infant baptism as well as ‘believer’s’ baptism, as the URC recognises baptism to be an outward expression of a response to God’s prior love for all people. Infant baptism is based on the parents making a confession of faith and</w:t>
      </w:r>
      <w:r>
        <w:rPr>
          <w:spacing w:val="8"/>
          <w:w w:val="120"/>
          <w:sz w:val="20"/>
        </w:rPr>
        <w:t> </w:t>
      </w:r>
      <w:r>
        <w:rPr>
          <w:w w:val="120"/>
          <w:sz w:val="20"/>
        </w:rPr>
        <w:t>promising</w:t>
      </w:r>
      <w:r>
        <w:rPr>
          <w:spacing w:val="8"/>
          <w:w w:val="120"/>
          <w:sz w:val="20"/>
        </w:rPr>
        <w:t> </w:t>
      </w:r>
      <w:r>
        <w:rPr>
          <w:w w:val="120"/>
          <w:sz w:val="20"/>
        </w:rPr>
        <w:t>to</w:t>
      </w:r>
      <w:r>
        <w:rPr>
          <w:spacing w:val="9"/>
          <w:w w:val="120"/>
          <w:sz w:val="20"/>
        </w:rPr>
        <w:t> </w:t>
      </w:r>
      <w:r>
        <w:rPr>
          <w:w w:val="120"/>
          <w:sz w:val="20"/>
        </w:rPr>
        <w:t>bring</w:t>
      </w:r>
      <w:r>
        <w:rPr>
          <w:spacing w:val="8"/>
          <w:w w:val="120"/>
          <w:sz w:val="20"/>
        </w:rPr>
        <w:t> </w:t>
      </w:r>
      <w:r>
        <w:rPr>
          <w:w w:val="120"/>
          <w:sz w:val="20"/>
        </w:rPr>
        <w:t>their</w:t>
      </w:r>
      <w:r>
        <w:rPr>
          <w:spacing w:val="9"/>
          <w:w w:val="120"/>
          <w:sz w:val="20"/>
        </w:rPr>
        <w:t> </w:t>
      </w:r>
      <w:r>
        <w:rPr>
          <w:w w:val="120"/>
          <w:sz w:val="20"/>
        </w:rPr>
        <w:t>children</w:t>
      </w:r>
      <w:r>
        <w:rPr>
          <w:spacing w:val="8"/>
          <w:w w:val="120"/>
          <w:sz w:val="20"/>
        </w:rPr>
        <w:t> </w:t>
      </w:r>
      <w:r>
        <w:rPr>
          <w:w w:val="120"/>
          <w:sz w:val="20"/>
        </w:rPr>
        <w:t>up</w:t>
      </w:r>
      <w:r>
        <w:rPr>
          <w:spacing w:val="9"/>
          <w:w w:val="120"/>
          <w:sz w:val="20"/>
        </w:rPr>
        <w:t> </w:t>
      </w:r>
      <w:r>
        <w:rPr>
          <w:w w:val="120"/>
          <w:sz w:val="20"/>
        </w:rPr>
        <w:t>in</w:t>
      </w:r>
      <w:r>
        <w:rPr>
          <w:spacing w:val="8"/>
          <w:w w:val="120"/>
          <w:sz w:val="20"/>
        </w:rPr>
        <w:t> </w:t>
      </w:r>
      <w:r>
        <w:rPr>
          <w:w w:val="120"/>
          <w:sz w:val="20"/>
        </w:rPr>
        <w:t>the</w:t>
      </w:r>
      <w:r>
        <w:rPr>
          <w:spacing w:val="9"/>
          <w:w w:val="120"/>
          <w:sz w:val="20"/>
        </w:rPr>
        <w:t> </w:t>
      </w:r>
      <w:r>
        <w:rPr>
          <w:w w:val="120"/>
          <w:sz w:val="20"/>
        </w:rPr>
        <w:t>life</w:t>
      </w:r>
      <w:r>
        <w:rPr>
          <w:spacing w:val="8"/>
          <w:w w:val="120"/>
          <w:sz w:val="20"/>
        </w:rPr>
        <w:t> </w:t>
      </w:r>
      <w:r>
        <w:rPr>
          <w:w w:val="120"/>
          <w:sz w:val="20"/>
        </w:rPr>
        <w:t>of</w:t>
      </w:r>
      <w:r>
        <w:rPr>
          <w:spacing w:val="9"/>
          <w:w w:val="120"/>
          <w:sz w:val="20"/>
        </w:rPr>
        <w:t> </w:t>
      </w:r>
      <w:r>
        <w:rPr>
          <w:w w:val="120"/>
          <w:sz w:val="20"/>
        </w:rPr>
        <w:t>the</w:t>
      </w:r>
      <w:r>
        <w:rPr>
          <w:spacing w:val="8"/>
          <w:w w:val="120"/>
          <w:sz w:val="20"/>
        </w:rPr>
        <w:t> </w:t>
      </w:r>
      <w:r>
        <w:rPr>
          <w:w w:val="120"/>
          <w:sz w:val="20"/>
        </w:rPr>
        <w:t>church</w:t>
      </w:r>
      <w:r>
        <w:rPr>
          <w:spacing w:val="9"/>
          <w:w w:val="120"/>
          <w:sz w:val="20"/>
        </w:rPr>
        <w:t> </w:t>
      </w:r>
      <w:r>
        <w:rPr>
          <w:w w:val="120"/>
          <w:sz w:val="20"/>
        </w:rPr>
        <w:t>and</w:t>
      </w:r>
      <w:r>
        <w:rPr>
          <w:spacing w:val="8"/>
          <w:w w:val="120"/>
          <w:sz w:val="20"/>
        </w:rPr>
        <w:t> </w:t>
      </w:r>
      <w:r>
        <w:rPr>
          <w:w w:val="120"/>
          <w:sz w:val="20"/>
        </w:rPr>
        <w:t>a</w:t>
      </w:r>
      <w:r>
        <w:rPr>
          <w:spacing w:val="9"/>
          <w:w w:val="120"/>
          <w:sz w:val="20"/>
        </w:rPr>
        <w:t> </w:t>
      </w:r>
      <w:r>
        <w:rPr>
          <w:w w:val="120"/>
          <w:sz w:val="20"/>
        </w:rPr>
        <w:t>congregation</w:t>
      </w:r>
    </w:p>
    <w:p>
      <w:pPr>
        <w:pStyle w:val="BodyText"/>
        <w:spacing w:line="235" w:lineRule="auto" w:before="3"/>
        <w:ind w:left="1344" w:right="1360"/>
      </w:pPr>
      <w:r>
        <w:rPr>
          <w:w w:val="120"/>
        </w:rPr>
        <w:t>promising to provide Christian teaching and example, with the hope that they will grow up to make their own commitment of faith. However while the URC will </w:t>
      </w:r>
      <w:r>
        <w:rPr>
          <w:spacing w:val="2"/>
          <w:w w:val="120"/>
        </w:rPr>
        <w:t>perform </w:t>
      </w:r>
      <w:r>
        <w:rPr>
          <w:w w:val="120"/>
        </w:rPr>
        <w:t>both infant and believers’ baptism there is an acknowledgement of different hermeneutical views on this and the URC upholds the importance of personal conviction through enabling ministers to act according to their own discernment and conviction. If a minister does not wish to </w:t>
      </w:r>
      <w:r>
        <w:rPr>
          <w:spacing w:val="2"/>
          <w:w w:val="120"/>
        </w:rPr>
        <w:t>perform </w:t>
      </w:r>
      <w:r>
        <w:rPr>
          <w:w w:val="120"/>
        </w:rPr>
        <w:t>infant baptisms then they are expected to enable someone else to conduct this</w:t>
      </w:r>
      <w:r>
        <w:rPr>
          <w:spacing w:val="9"/>
          <w:w w:val="120"/>
        </w:rPr>
        <w:t> </w:t>
      </w:r>
      <w:r>
        <w:rPr>
          <w:w w:val="120"/>
        </w:rPr>
        <w:t>sacrament.</w:t>
      </w:r>
    </w:p>
    <w:p>
      <w:pPr>
        <w:pStyle w:val="BodyText"/>
      </w:pPr>
    </w:p>
    <w:p>
      <w:pPr>
        <w:pStyle w:val="ListParagraph"/>
        <w:numPr>
          <w:ilvl w:val="2"/>
          <w:numId w:val="138"/>
        </w:numPr>
        <w:tabs>
          <w:tab w:pos="2024" w:val="left" w:leader="none"/>
          <w:tab w:pos="2025" w:val="left" w:leader="none"/>
        </w:tabs>
        <w:spacing w:line="235" w:lineRule="auto" w:before="1" w:after="0"/>
        <w:ind w:left="1344" w:right="1263" w:firstLine="0"/>
        <w:jc w:val="left"/>
        <w:rPr>
          <w:sz w:val="20"/>
        </w:rPr>
      </w:pPr>
      <w:r>
        <w:rPr>
          <w:w w:val="120"/>
          <w:sz w:val="20"/>
        </w:rPr>
        <w:t>When someone who has been baptised as an infant wishes to make a confession of faith they are considered already properly baptised at birth and so the United Reformed church would not re-baptise them, but would invite them to confirm their faith and be welcomed into church membership, with the rights and responsibilities of making decisions at church meeting and supporting others in fellowship and financially. An acknowledgement that members of the same tradition can differ over their understanding of something so significant is both a challenge for the denomination   and, we believe, a working example of how diversity and unity can both be lived out within the institutional</w:t>
      </w:r>
      <w:r>
        <w:rPr>
          <w:spacing w:val="6"/>
          <w:w w:val="120"/>
          <w:sz w:val="20"/>
        </w:rPr>
        <w:t> </w:t>
      </w:r>
      <w:r>
        <w:rPr>
          <w:w w:val="120"/>
          <w:sz w:val="20"/>
        </w:rPr>
        <w:t>church.</w:t>
      </w:r>
    </w:p>
    <w:p>
      <w:pPr>
        <w:pStyle w:val="BodyText"/>
        <w:spacing w:before="2"/>
      </w:pPr>
    </w:p>
    <w:p>
      <w:pPr>
        <w:pStyle w:val="ListParagraph"/>
        <w:numPr>
          <w:ilvl w:val="2"/>
          <w:numId w:val="138"/>
        </w:numPr>
        <w:tabs>
          <w:tab w:pos="2024" w:val="left" w:leader="none"/>
          <w:tab w:pos="2025" w:val="left" w:leader="none"/>
        </w:tabs>
        <w:spacing w:line="235" w:lineRule="auto" w:before="0" w:after="0"/>
        <w:ind w:left="1344" w:right="1723" w:firstLine="0"/>
        <w:jc w:val="left"/>
        <w:rPr>
          <w:sz w:val="20"/>
        </w:rPr>
      </w:pPr>
      <w:r>
        <w:rPr>
          <w:w w:val="120"/>
          <w:sz w:val="20"/>
        </w:rPr>
        <w:t>Other rites would be considered services of blessing or welcome into membership, or of healing etc. They could be offered by a minister or an elder and may be designed appropriate to a situation. URC worship leaders may use liturgical resources from different denominations for such</w:t>
      </w:r>
      <w:r>
        <w:rPr>
          <w:spacing w:val="6"/>
          <w:w w:val="120"/>
          <w:sz w:val="20"/>
        </w:rPr>
        <w:t> </w:t>
      </w:r>
      <w:r>
        <w:rPr>
          <w:w w:val="120"/>
          <w:sz w:val="20"/>
        </w:rPr>
        <w:t>occasions.</w:t>
      </w:r>
    </w:p>
    <w:p>
      <w:pPr>
        <w:pStyle w:val="BodyText"/>
        <w:spacing w:before="7"/>
        <w:rPr>
          <w:sz w:val="18"/>
        </w:rPr>
      </w:pPr>
    </w:p>
    <w:p>
      <w:pPr>
        <w:pStyle w:val="Heading7"/>
        <w:numPr>
          <w:ilvl w:val="1"/>
          <w:numId w:val="139"/>
        </w:numPr>
        <w:tabs>
          <w:tab w:pos="2024" w:val="left" w:leader="none"/>
          <w:tab w:pos="2025" w:val="left" w:leader="none"/>
        </w:tabs>
        <w:spacing w:line="261" w:lineRule="exact" w:before="0" w:after="0"/>
        <w:ind w:left="2024" w:right="0" w:hanging="681"/>
        <w:jc w:val="left"/>
      </w:pPr>
      <w:r>
        <w:rPr>
          <w:w w:val="110"/>
        </w:rPr>
        <w:t>Ordained</w:t>
      </w:r>
      <w:r>
        <w:rPr>
          <w:spacing w:val="-1"/>
          <w:w w:val="110"/>
        </w:rPr>
        <w:t> </w:t>
      </w:r>
      <w:r>
        <w:rPr>
          <w:w w:val="110"/>
        </w:rPr>
        <w:t>ministry</w:t>
      </w:r>
    </w:p>
    <w:p>
      <w:pPr>
        <w:pStyle w:val="ListParagraph"/>
        <w:numPr>
          <w:ilvl w:val="2"/>
          <w:numId w:val="139"/>
        </w:numPr>
        <w:tabs>
          <w:tab w:pos="2025" w:val="left" w:leader="none"/>
        </w:tabs>
        <w:spacing w:line="235" w:lineRule="auto" w:before="0" w:after="0"/>
        <w:ind w:left="1344" w:right="1433" w:firstLine="0"/>
        <w:jc w:val="left"/>
        <w:rPr>
          <w:sz w:val="20"/>
        </w:rPr>
      </w:pPr>
      <w:r>
        <w:rPr>
          <w:w w:val="120"/>
          <w:sz w:val="20"/>
        </w:rPr>
        <w:t>Ecumenical dialogue has repeatedly shown that issues relating to ordained ministry constitute challenging obstacles on the path to unity. If differences such as those relating to the priesthood of the ordained prohibit full unity, it must continue to be an urgent priority for the churches to discover how they can be</w:t>
      </w:r>
      <w:r>
        <w:rPr>
          <w:spacing w:val="45"/>
          <w:w w:val="120"/>
          <w:sz w:val="20"/>
        </w:rPr>
        <w:t> </w:t>
      </w:r>
      <w:r>
        <w:rPr>
          <w:w w:val="120"/>
          <w:sz w:val="20"/>
        </w:rPr>
        <w:t>overcome.</w:t>
      </w:r>
    </w:p>
    <w:p>
      <w:pPr>
        <w:pStyle w:val="BodyText"/>
        <w:spacing w:before="6"/>
        <w:rPr>
          <w:sz w:val="19"/>
        </w:rPr>
      </w:pPr>
    </w:p>
    <w:p>
      <w:pPr>
        <w:pStyle w:val="ListParagraph"/>
        <w:numPr>
          <w:ilvl w:val="2"/>
          <w:numId w:val="139"/>
        </w:numPr>
        <w:tabs>
          <w:tab w:pos="2025" w:val="left" w:leader="none"/>
        </w:tabs>
        <w:spacing w:line="235" w:lineRule="auto" w:before="0" w:after="0"/>
        <w:ind w:left="1344" w:right="1644" w:firstLine="0"/>
        <w:jc w:val="left"/>
        <w:rPr>
          <w:sz w:val="20"/>
        </w:rPr>
      </w:pPr>
      <w:r>
        <w:rPr>
          <w:w w:val="120"/>
          <w:sz w:val="20"/>
        </w:rPr>
        <w:t>A difference which may be a barrier to unity with other churches is the URC understanding of ministry. There is an understanding in the URC that both men and women may serve as Ministers of Word and Sacraments. The URC will also accept for ministry people of any marital status or sexual orientation. In the URC we would recognise</w:t>
      </w:r>
      <w:r>
        <w:rPr>
          <w:spacing w:val="6"/>
          <w:w w:val="120"/>
          <w:sz w:val="20"/>
        </w:rPr>
        <w:t> </w:t>
      </w:r>
      <w:r>
        <w:rPr>
          <w:w w:val="120"/>
          <w:sz w:val="20"/>
        </w:rPr>
        <w:t>that</w:t>
      </w:r>
      <w:r>
        <w:rPr>
          <w:spacing w:val="6"/>
          <w:w w:val="120"/>
          <w:sz w:val="20"/>
        </w:rPr>
        <w:t> </w:t>
      </w:r>
      <w:r>
        <w:rPr>
          <w:w w:val="120"/>
          <w:sz w:val="20"/>
        </w:rPr>
        <w:t>some</w:t>
      </w:r>
      <w:r>
        <w:rPr>
          <w:spacing w:val="6"/>
          <w:w w:val="120"/>
          <w:sz w:val="20"/>
        </w:rPr>
        <w:t> </w:t>
      </w:r>
      <w:r>
        <w:rPr>
          <w:w w:val="120"/>
          <w:sz w:val="20"/>
        </w:rPr>
        <w:t>people</w:t>
      </w:r>
      <w:r>
        <w:rPr>
          <w:spacing w:val="6"/>
          <w:w w:val="120"/>
          <w:sz w:val="20"/>
        </w:rPr>
        <w:t> </w:t>
      </w:r>
      <w:r>
        <w:rPr>
          <w:w w:val="120"/>
          <w:sz w:val="20"/>
        </w:rPr>
        <w:t>may</w:t>
      </w:r>
      <w:r>
        <w:rPr>
          <w:spacing w:val="6"/>
          <w:w w:val="120"/>
          <w:sz w:val="20"/>
        </w:rPr>
        <w:t> </w:t>
      </w:r>
      <w:r>
        <w:rPr>
          <w:w w:val="120"/>
          <w:sz w:val="20"/>
        </w:rPr>
        <w:t>be</w:t>
      </w:r>
      <w:r>
        <w:rPr>
          <w:spacing w:val="6"/>
          <w:w w:val="120"/>
          <w:sz w:val="20"/>
        </w:rPr>
        <w:t> </w:t>
      </w:r>
      <w:r>
        <w:rPr>
          <w:w w:val="120"/>
          <w:sz w:val="20"/>
        </w:rPr>
        <w:t>called</w:t>
      </w:r>
      <w:r>
        <w:rPr>
          <w:spacing w:val="6"/>
          <w:w w:val="120"/>
          <w:sz w:val="20"/>
        </w:rPr>
        <w:t> </w:t>
      </w:r>
      <w:r>
        <w:rPr>
          <w:w w:val="120"/>
          <w:sz w:val="20"/>
        </w:rPr>
        <w:t>to</w:t>
      </w:r>
      <w:r>
        <w:rPr>
          <w:spacing w:val="6"/>
          <w:w w:val="120"/>
          <w:sz w:val="20"/>
        </w:rPr>
        <w:t> </w:t>
      </w:r>
      <w:r>
        <w:rPr>
          <w:w w:val="120"/>
          <w:sz w:val="20"/>
        </w:rPr>
        <w:t>celibacy</w:t>
      </w:r>
      <w:r>
        <w:rPr>
          <w:spacing w:val="6"/>
          <w:w w:val="120"/>
          <w:sz w:val="20"/>
        </w:rPr>
        <w:t> </w:t>
      </w:r>
      <w:r>
        <w:rPr>
          <w:w w:val="120"/>
          <w:sz w:val="20"/>
        </w:rPr>
        <w:t>–</w:t>
      </w:r>
      <w:r>
        <w:rPr>
          <w:spacing w:val="6"/>
          <w:w w:val="120"/>
          <w:sz w:val="20"/>
        </w:rPr>
        <w:t> </w:t>
      </w:r>
      <w:r>
        <w:rPr>
          <w:w w:val="120"/>
          <w:sz w:val="20"/>
        </w:rPr>
        <w:t>but</w:t>
      </w:r>
      <w:r>
        <w:rPr>
          <w:spacing w:val="6"/>
          <w:w w:val="120"/>
          <w:sz w:val="20"/>
        </w:rPr>
        <w:t> </w:t>
      </w:r>
      <w:r>
        <w:rPr>
          <w:w w:val="120"/>
          <w:sz w:val="20"/>
        </w:rPr>
        <w:t>probably</w:t>
      </w:r>
      <w:r>
        <w:rPr>
          <w:spacing w:val="6"/>
          <w:w w:val="120"/>
          <w:sz w:val="20"/>
        </w:rPr>
        <w:t> </w:t>
      </w:r>
      <w:r>
        <w:rPr>
          <w:w w:val="120"/>
          <w:sz w:val="20"/>
        </w:rPr>
        <w:t>a</w:t>
      </w:r>
      <w:r>
        <w:rPr>
          <w:spacing w:val="6"/>
          <w:w w:val="120"/>
          <w:sz w:val="20"/>
        </w:rPr>
        <w:t> </w:t>
      </w:r>
      <w:r>
        <w:rPr>
          <w:w w:val="120"/>
          <w:sz w:val="20"/>
        </w:rPr>
        <w:t>very</w:t>
      </w:r>
      <w:r>
        <w:rPr>
          <w:spacing w:val="6"/>
          <w:w w:val="120"/>
          <w:sz w:val="20"/>
        </w:rPr>
        <w:t> </w:t>
      </w:r>
      <w:r>
        <w:rPr>
          <w:w w:val="120"/>
          <w:sz w:val="20"/>
        </w:rPr>
        <w:t>few</w:t>
      </w:r>
    </w:p>
    <w:p>
      <w:pPr>
        <w:pStyle w:val="BodyText"/>
        <w:spacing w:line="235" w:lineRule="auto" w:before="4"/>
        <w:ind w:left="1344" w:right="1217"/>
      </w:pPr>
      <w:r>
        <w:rPr>
          <w:w w:val="120"/>
        </w:rPr>
        <w:t>people. Not all in ministry are able to fulfil this calling and nor should it be required of them. In 2017 the URC marks the centenary of the ordination of women to the mainline church in Britain, and offers their experience to the wider church.</w:t>
      </w:r>
    </w:p>
    <w:p>
      <w:pPr>
        <w:pStyle w:val="BodyText"/>
        <w:spacing w:before="6"/>
        <w:rPr>
          <w:sz w:val="18"/>
        </w:rPr>
      </w:pPr>
    </w:p>
    <w:p>
      <w:pPr>
        <w:pStyle w:val="Heading7"/>
        <w:numPr>
          <w:ilvl w:val="1"/>
          <w:numId w:val="139"/>
        </w:numPr>
        <w:tabs>
          <w:tab w:pos="2024" w:val="left" w:leader="none"/>
          <w:tab w:pos="2025" w:val="left" w:leader="none"/>
        </w:tabs>
        <w:spacing w:line="261" w:lineRule="exact" w:before="0" w:after="0"/>
        <w:ind w:left="2024" w:right="0" w:hanging="681"/>
        <w:jc w:val="left"/>
      </w:pPr>
      <w:r>
        <w:rPr>
          <w:w w:val="110"/>
        </w:rPr>
        <w:t>Threefold</w:t>
      </w:r>
      <w:r>
        <w:rPr>
          <w:spacing w:val="-1"/>
          <w:w w:val="110"/>
        </w:rPr>
        <w:t> </w:t>
      </w:r>
      <w:r>
        <w:rPr>
          <w:w w:val="110"/>
        </w:rPr>
        <w:t>ministry</w:t>
      </w:r>
    </w:p>
    <w:p>
      <w:pPr>
        <w:pStyle w:val="ListParagraph"/>
        <w:numPr>
          <w:ilvl w:val="2"/>
          <w:numId w:val="139"/>
        </w:numPr>
        <w:tabs>
          <w:tab w:pos="2024" w:val="left" w:leader="none"/>
          <w:tab w:pos="2025" w:val="left" w:leader="none"/>
        </w:tabs>
        <w:spacing w:line="235" w:lineRule="auto" w:before="0" w:after="0"/>
        <w:ind w:left="1344" w:right="1261" w:firstLine="0"/>
        <w:jc w:val="left"/>
        <w:rPr>
          <w:sz w:val="20"/>
        </w:rPr>
      </w:pPr>
      <w:r>
        <w:rPr>
          <w:w w:val="120"/>
          <w:sz w:val="20"/>
        </w:rPr>
        <w:t>Given the </w:t>
      </w:r>
      <w:r>
        <w:rPr>
          <w:spacing w:val="-3"/>
          <w:w w:val="120"/>
          <w:sz w:val="20"/>
        </w:rPr>
        <w:t>signs </w:t>
      </w:r>
      <w:r>
        <w:rPr>
          <w:w w:val="120"/>
          <w:sz w:val="20"/>
        </w:rPr>
        <w:t>of growing agreement about the </w:t>
      </w:r>
      <w:r>
        <w:rPr>
          <w:spacing w:val="-3"/>
          <w:w w:val="120"/>
          <w:sz w:val="20"/>
        </w:rPr>
        <w:t>place </w:t>
      </w:r>
      <w:r>
        <w:rPr>
          <w:w w:val="120"/>
          <w:sz w:val="20"/>
        </w:rPr>
        <w:t>of ordained ministry in the </w:t>
      </w:r>
      <w:r>
        <w:rPr>
          <w:spacing w:val="-3"/>
          <w:w w:val="120"/>
          <w:sz w:val="20"/>
        </w:rPr>
        <w:t>Church,</w:t>
      </w:r>
      <w:r>
        <w:rPr>
          <w:spacing w:val="-4"/>
          <w:w w:val="120"/>
          <w:sz w:val="20"/>
        </w:rPr>
        <w:t> </w:t>
      </w:r>
      <w:r>
        <w:rPr>
          <w:w w:val="120"/>
          <w:sz w:val="20"/>
        </w:rPr>
        <w:t>we</w:t>
      </w:r>
      <w:r>
        <w:rPr>
          <w:spacing w:val="-4"/>
          <w:w w:val="120"/>
          <w:sz w:val="20"/>
        </w:rPr>
        <w:t> </w:t>
      </w:r>
      <w:r>
        <w:rPr>
          <w:w w:val="120"/>
          <w:sz w:val="20"/>
        </w:rPr>
        <w:t>are</w:t>
      </w:r>
      <w:r>
        <w:rPr>
          <w:spacing w:val="-3"/>
          <w:w w:val="120"/>
          <w:sz w:val="20"/>
        </w:rPr>
        <w:t> </w:t>
      </w:r>
      <w:r>
        <w:rPr>
          <w:w w:val="120"/>
          <w:sz w:val="20"/>
        </w:rPr>
        <w:t>led</w:t>
      </w:r>
      <w:r>
        <w:rPr>
          <w:spacing w:val="-4"/>
          <w:w w:val="120"/>
          <w:sz w:val="20"/>
        </w:rPr>
        <w:t> </w:t>
      </w:r>
      <w:r>
        <w:rPr>
          <w:spacing w:val="-3"/>
          <w:w w:val="120"/>
          <w:sz w:val="20"/>
        </w:rPr>
        <w:t>to</w:t>
      </w:r>
      <w:r>
        <w:rPr>
          <w:spacing w:val="-4"/>
          <w:w w:val="120"/>
          <w:sz w:val="20"/>
        </w:rPr>
        <w:t> </w:t>
      </w:r>
      <w:r>
        <w:rPr>
          <w:w w:val="120"/>
          <w:sz w:val="20"/>
        </w:rPr>
        <w:t>ask</w:t>
      </w:r>
      <w:r>
        <w:rPr>
          <w:spacing w:val="-3"/>
          <w:w w:val="120"/>
          <w:sz w:val="20"/>
        </w:rPr>
        <w:t> </w:t>
      </w:r>
      <w:r>
        <w:rPr>
          <w:w w:val="120"/>
          <w:sz w:val="20"/>
        </w:rPr>
        <w:t>if</w:t>
      </w:r>
      <w:r>
        <w:rPr>
          <w:spacing w:val="-4"/>
          <w:w w:val="120"/>
          <w:sz w:val="20"/>
        </w:rPr>
        <w:t> </w:t>
      </w:r>
      <w:r>
        <w:rPr>
          <w:w w:val="120"/>
          <w:sz w:val="20"/>
        </w:rPr>
        <w:t>the</w:t>
      </w:r>
      <w:r>
        <w:rPr>
          <w:spacing w:val="-4"/>
          <w:w w:val="120"/>
          <w:sz w:val="20"/>
        </w:rPr>
        <w:t> </w:t>
      </w:r>
      <w:r>
        <w:rPr>
          <w:spacing w:val="-3"/>
          <w:w w:val="120"/>
          <w:sz w:val="20"/>
        </w:rPr>
        <w:t>churches </w:t>
      </w:r>
      <w:r>
        <w:rPr>
          <w:w w:val="120"/>
          <w:sz w:val="20"/>
        </w:rPr>
        <w:t>can</w:t>
      </w:r>
      <w:r>
        <w:rPr>
          <w:spacing w:val="-4"/>
          <w:w w:val="120"/>
          <w:sz w:val="20"/>
        </w:rPr>
        <w:t> </w:t>
      </w:r>
      <w:r>
        <w:rPr>
          <w:spacing w:val="-3"/>
          <w:w w:val="120"/>
          <w:sz w:val="20"/>
        </w:rPr>
        <w:t>achieve</w:t>
      </w:r>
      <w:r>
        <w:rPr>
          <w:spacing w:val="-4"/>
          <w:w w:val="120"/>
          <w:sz w:val="20"/>
        </w:rPr>
        <w:t> </w:t>
      </w:r>
      <w:r>
        <w:rPr>
          <w:w w:val="120"/>
          <w:sz w:val="20"/>
        </w:rPr>
        <w:t>a</w:t>
      </w:r>
      <w:r>
        <w:rPr>
          <w:spacing w:val="-3"/>
          <w:w w:val="120"/>
          <w:sz w:val="20"/>
        </w:rPr>
        <w:t> </w:t>
      </w:r>
      <w:r>
        <w:rPr>
          <w:spacing w:val="-4"/>
          <w:w w:val="120"/>
          <w:sz w:val="20"/>
        </w:rPr>
        <w:t>consensus </w:t>
      </w:r>
      <w:r>
        <w:rPr>
          <w:w w:val="120"/>
          <w:sz w:val="20"/>
        </w:rPr>
        <w:t>as</w:t>
      </w:r>
      <w:r>
        <w:rPr>
          <w:spacing w:val="-3"/>
          <w:w w:val="120"/>
          <w:sz w:val="20"/>
        </w:rPr>
        <w:t> to</w:t>
      </w:r>
      <w:r>
        <w:rPr>
          <w:spacing w:val="-4"/>
          <w:w w:val="120"/>
          <w:sz w:val="20"/>
        </w:rPr>
        <w:t> </w:t>
      </w:r>
      <w:r>
        <w:rPr>
          <w:w w:val="120"/>
          <w:sz w:val="20"/>
        </w:rPr>
        <w:t>whether</w:t>
      </w:r>
      <w:r>
        <w:rPr>
          <w:spacing w:val="-4"/>
          <w:w w:val="120"/>
          <w:sz w:val="20"/>
        </w:rPr>
        <w:t> </w:t>
      </w:r>
      <w:r>
        <w:rPr>
          <w:w w:val="120"/>
          <w:sz w:val="20"/>
        </w:rPr>
        <w:t>or</w:t>
      </w:r>
      <w:r>
        <w:rPr>
          <w:spacing w:val="-3"/>
          <w:w w:val="120"/>
          <w:sz w:val="20"/>
        </w:rPr>
        <w:t> </w:t>
      </w:r>
      <w:r>
        <w:rPr>
          <w:spacing w:val="-2"/>
          <w:w w:val="120"/>
          <w:sz w:val="20"/>
        </w:rPr>
        <w:t>not</w:t>
      </w:r>
      <w:r>
        <w:rPr>
          <w:spacing w:val="-4"/>
          <w:w w:val="120"/>
          <w:sz w:val="20"/>
        </w:rPr>
        <w:t> </w:t>
      </w:r>
      <w:r>
        <w:rPr>
          <w:w w:val="120"/>
          <w:sz w:val="20"/>
        </w:rPr>
        <w:t>the threefold ministry is part of </w:t>
      </w:r>
      <w:r>
        <w:rPr>
          <w:spacing w:val="-4"/>
          <w:w w:val="120"/>
          <w:sz w:val="20"/>
        </w:rPr>
        <w:t>God’s </w:t>
      </w:r>
      <w:r>
        <w:rPr>
          <w:w w:val="120"/>
          <w:sz w:val="20"/>
        </w:rPr>
        <w:t>will for the </w:t>
      </w:r>
      <w:r>
        <w:rPr>
          <w:spacing w:val="-3"/>
          <w:w w:val="120"/>
          <w:sz w:val="20"/>
        </w:rPr>
        <w:t>Church </w:t>
      </w:r>
      <w:r>
        <w:rPr>
          <w:w w:val="120"/>
          <w:sz w:val="20"/>
        </w:rPr>
        <w:t>in its </w:t>
      </w:r>
      <w:r>
        <w:rPr>
          <w:spacing w:val="-3"/>
          <w:w w:val="120"/>
          <w:sz w:val="20"/>
        </w:rPr>
        <w:t>realisation </w:t>
      </w:r>
      <w:r>
        <w:rPr>
          <w:w w:val="120"/>
          <w:sz w:val="20"/>
        </w:rPr>
        <w:t>of the unity which God</w:t>
      </w:r>
      <w:r>
        <w:rPr>
          <w:spacing w:val="-2"/>
          <w:w w:val="120"/>
          <w:sz w:val="20"/>
        </w:rPr>
        <w:t> </w:t>
      </w:r>
      <w:r>
        <w:rPr>
          <w:spacing w:val="-4"/>
          <w:w w:val="120"/>
          <w:sz w:val="20"/>
        </w:rPr>
        <w:t>wills?</w:t>
      </w:r>
    </w:p>
    <w:p>
      <w:pPr>
        <w:pStyle w:val="BodyText"/>
        <w:spacing w:before="5"/>
        <w:rPr>
          <w:sz w:val="19"/>
        </w:rPr>
      </w:pPr>
    </w:p>
    <w:p>
      <w:pPr>
        <w:pStyle w:val="ListParagraph"/>
        <w:numPr>
          <w:ilvl w:val="2"/>
          <w:numId w:val="139"/>
        </w:numPr>
        <w:tabs>
          <w:tab w:pos="2025" w:val="left" w:leader="none"/>
        </w:tabs>
        <w:spacing w:line="235" w:lineRule="auto" w:before="1" w:after="0"/>
        <w:ind w:left="1344" w:right="1255" w:firstLine="0"/>
        <w:jc w:val="left"/>
        <w:rPr>
          <w:sz w:val="20"/>
        </w:rPr>
      </w:pPr>
      <w:r>
        <w:rPr>
          <w:w w:val="120"/>
          <w:sz w:val="20"/>
        </w:rPr>
        <w:t>In the URC we do not normally use the language of a threefold ministry. Synod moderators, while in office, would have a somewhat similar role to bishops, having oversight of ministers, but hold no special status among ministers once their period of service as a moderator is </w:t>
      </w:r>
      <w:r>
        <w:rPr>
          <w:spacing w:val="-4"/>
          <w:w w:val="120"/>
          <w:sz w:val="20"/>
        </w:rPr>
        <w:t>over. </w:t>
      </w:r>
      <w:r>
        <w:rPr>
          <w:w w:val="120"/>
          <w:sz w:val="20"/>
        </w:rPr>
        <w:t>There is a difference between an Anglican understanding of priest and a church minister in the United Reformed Church. Although we would   have similar training to Anglican priests, URC ministers have different practical experience and different expectations to meet. The URC has a different understanding  of ordination. Ordained Ministers of Word and Sacraments are not held as a separate order but are simply recognised and set apart to serve as ministers. The use of</w:t>
      </w:r>
      <w:r>
        <w:rPr>
          <w:spacing w:val="24"/>
          <w:w w:val="120"/>
          <w:sz w:val="20"/>
        </w:rPr>
        <w:t> </w:t>
      </w:r>
      <w:r>
        <w:rPr>
          <w:w w:val="120"/>
          <w:sz w:val="20"/>
        </w:rPr>
        <w:t>the</w:t>
      </w:r>
    </w:p>
    <w:p>
      <w:pPr>
        <w:pStyle w:val="BodyText"/>
        <w:spacing w:line="235" w:lineRule="auto" w:before="6"/>
        <w:ind w:left="1344" w:right="1217"/>
      </w:pPr>
      <w:r>
        <w:rPr>
          <w:w w:val="120"/>
        </w:rPr>
        <w:t>word ‘minister’ reflects the role as servant of the church, following Christ’s example of servant leadership. Ministers serve alongside elders and are led by decisions of the local Church Meeting rather than having authority and power over a local pastorate.</w:t>
      </w:r>
    </w:p>
    <w:p>
      <w:pPr>
        <w:spacing w:after="0" w:line="235" w:lineRule="auto"/>
        <w:sectPr>
          <w:headerReference w:type="default" r:id="rId329"/>
          <w:footerReference w:type="default" r:id="rId330"/>
          <w:footerReference w:type="even" r:id="rId331"/>
          <w:pgSz w:w="11910" w:h="16840"/>
          <w:pgMar w:header="0" w:footer="647" w:top="0" w:bottom="840" w:left="640" w:right="0"/>
          <w:pgNumType w:start="115"/>
        </w:sectPr>
      </w:pPr>
    </w:p>
    <w:p>
      <w:pPr>
        <w:pStyle w:val="BodyText"/>
      </w:pPr>
      <w:r>
        <w:rPr/>
        <w:drawing>
          <wp:anchor distT="0" distB="0" distL="0" distR="0" allowOverlap="1" layoutInCell="1" locked="0" behindDoc="1" simplePos="0" relativeHeight="235508736">
            <wp:simplePos x="0" y="0"/>
            <wp:positionH relativeFrom="page">
              <wp:posOffset>0</wp:posOffset>
            </wp:positionH>
            <wp:positionV relativeFrom="page">
              <wp:posOffset>0</wp:posOffset>
            </wp:positionV>
            <wp:extent cx="594067" cy="10692003"/>
            <wp:effectExtent l="0" t="0" r="0" b="0"/>
            <wp:wrapNone/>
            <wp:docPr id="215" name="image67.png"/>
            <wp:cNvGraphicFramePr>
              <a:graphicFrameLocks noChangeAspect="1"/>
            </wp:cNvGraphicFramePr>
            <a:graphic>
              <a:graphicData uri="http://schemas.openxmlformats.org/drawingml/2006/picture">
                <pic:pic>
                  <pic:nvPicPr>
                    <pic:cNvPr id="216" name="image67.png"/>
                    <pic:cNvPicPr/>
                  </pic:nvPicPr>
                  <pic:blipFill>
                    <a:blip r:embed="rId184" cstate="print"/>
                    <a:stretch>
                      <a:fillRect/>
                    </a:stretch>
                  </pic:blipFill>
                  <pic:spPr>
                    <a:xfrm>
                      <a:off x="0" y="0"/>
                      <a:ext cx="594067" cy="10692003"/>
                    </a:xfrm>
                    <a:prstGeom prst="rect">
                      <a:avLst/>
                    </a:prstGeom>
                  </pic:spPr>
                </pic:pic>
              </a:graphicData>
            </a:graphic>
          </wp:anchor>
        </w:drawing>
      </w:r>
      <w:r>
        <w:rPr/>
        <w:pict>
          <v:shape style="position:absolute;margin-left:20.519100pt;margin-top:48.890015pt;width:25.9pt;height:444.45pt;mso-position-horizontal-relative:page;mso-position-vertical-relative:page;z-index:-267806720" type="#_x0000_t202" filled="false" stroked="false">
            <v:textbox inset="0,0,0,0" style="layout-flow:vertical">
              <w:txbxContent>
                <w:p>
                  <w:pPr>
                    <w:spacing w:before="27"/>
                    <w:ind w:left="20" w:right="0" w:firstLine="0"/>
                    <w:jc w:val="left"/>
                    <w:rPr>
                      <w:sz w:val="39"/>
                    </w:rPr>
                  </w:pPr>
                  <w:r>
                    <w:rPr>
                      <w:color w:val="FFFFFF"/>
                      <w:w w:val="120"/>
                      <w:sz w:val="39"/>
                    </w:rPr>
                    <w:t>Faith and order – </w:t>
                  </w:r>
                  <w:r>
                    <w:rPr>
                      <w:w w:val="120"/>
                      <w:sz w:val="39"/>
                    </w:rPr>
                    <w:t>Towards a common vision</w:t>
                  </w:r>
                </w:p>
              </w:txbxContent>
            </v:textbox>
            <w10:wrap type="none"/>
          </v:shape>
        </w:pict>
      </w:r>
    </w:p>
    <w:p>
      <w:pPr>
        <w:pStyle w:val="BodyText"/>
        <w:spacing w:before="7"/>
        <w:rPr>
          <w:sz w:val="21"/>
        </w:rPr>
      </w:pPr>
    </w:p>
    <w:p>
      <w:pPr>
        <w:spacing w:before="106"/>
        <w:ind w:left="607" w:right="0" w:firstLine="0"/>
        <w:jc w:val="left"/>
        <w:rPr>
          <w:sz w:val="26"/>
        </w:rPr>
      </w:pPr>
      <w:r>
        <w:rPr>
          <w:color w:val="7EAABF"/>
          <w:w w:val="115"/>
          <w:sz w:val="26"/>
        </w:rPr>
        <w:t>Faith and order</w:t>
      </w:r>
    </w:p>
    <w:p>
      <w:pPr>
        <w:pStyle w:val="ListParagraph"/>
        <w:numPr>
          <w:ilvl w:val="2"/>
          <w:numId w:val="139"/>
        </w:numPr>
        <w:tabs>
          <w:tab w:pos="1288" w:val="left" w:leader="none"/>
        </w:tabs>
        <w:spacing w:line="235" w:lineRule="auto" w:before="222" w:after="0"/>
        <w:ind w:left="607" w:right="2045" w:firstLine="0"/>
        <w:jc w:val="left"/>
        <w:rPr>
          <w:sz w:val="20"/>
        </w:rPr>
      </w:pPr>
      <w:r>
        <w:rPr>
          <w:w w:val="120"/>
          <w:sz w:val="20"/>
        </w:rPr>
        <w:t>The URC commissions church related community workers who have the role of supporting local churches with its community. They have gone through the assessment process, been accepted as a candidate, and then completed prescribed training</w:t>
      </w:r>
      <w:r>
        <w:rPr>
          <w:spacing w:val="7"/>
          <w:w w:val="120"/>
          <w:sz w:val="20"/>
        </w:rPr>
        <w:t> </w:t>
      </w:r>
      <w:r>
        <w:rPr>
          <w:w w:val="120"/>
          <w:sz w:val="20"/>
        </w:rPr>
        <w:t>like</w:t>
      </w:r>
    </w:p>
    <w:p>
      <w:pPr>
        <w:pStyle w:val="BodyText"/>
        <w:spacing w:line="235" w:lineRule="auto" w:before="2"/>
        <w:ind w:left="607" w:right="2045"/>
      </w:pPr>
      <w:r>
        <w:rPr>
          <w:w w:val="120"/>
        </w:rPr>
        <w:t>a Minister of Word and Sacraments, but with a focus on community and social issues. They are then appointed to a post approved by the URC.</w:t>
      </w:r>
    </w:p>
    <w:p>
      <w:pPr>
        <w:pStyle w:val="BodyText"/>
        <w:spacing w:before="9"/>
        <w:rPr>
          <w:sz w:val="19"/>
        </w:rPr>
      </w:pPr>
    </w:p>
    <w:p>
      <w:pPr>
        <w:pStyle w:val="ListParagraph"/>
        <w:numPr>
          <w:ilvl w:val="2"/>
          <w:numId w:val="139"/>
        </w:numPr>
        <w:tabs>
          <w:tab w:pos="1288" w:val="left" w:leader="none"/>
        </w:tabs>
        <w:spacing w:line="235" w:lineRule="auto" w:before="0" w:after="0"/>
        <w:ind w:left="607" w:right="2344" w:firstLine="0"/>
        <w:jc w:val="left"/>
        <w:rPr>
          <w:sz w:val="20"/>
        </w:rPr>
      </w:pPr>
      <w:r>
        <w:rPr>
          <w:w w:val="120"/>
          <w:sz w:val="20"/>
        </w:rPr>
        <w:t>Ministers of Word and Sacraments work alongside a team of elders. The role to which an elder is ordained is not equivalent to an Anglican deacon or a Methodist deacon. In the URC, elders share with the minister in the pastoral oversight</w:t>
      </w:r>
      <w:r>
        <w:rPr>
          <w:spacing w:val="33"/>
          <w:w w:val="120"/>
          <w:sz w:val="20"/>
        </w:rPr>
        <w:t> </w:t>
      </w:r>
      <w:r>
        <w:rPr>
          <w:w w:val="120"/>
          <w:sz w:val="20"/>
        </w:rPr>
        <w:t>and</w:t>
      </w:r>
    </w:p>
    <w:p>
      <w:pPr>
        <w:pStyle w:val="BodyText"/>
        <w:spacing w:line="235" w:lineRule="auto" w:before="3"/>
        <w:ind w:left="607" w:right="2045"/>
      </w:pPr>
      <w:r>
        <w:rPr>
          <w:w w:val="120"/>
        </w:rPr>
        <w:t>leadership of the local church. They work in teams with each other to provide pastoral care. In the elders’ meeting they take counsel together for the whole congregation.</w:t>
      </w:r>
    </w:p>
    <w:p>
      <w:pPr>
        <w:pStyle w:val="BodyText"/>
        <w:spacing w:line="235" w:lineRule="auto" w:before="1"/>
        <w:ind w:left="607" w:right="1996"/>
      </w:pPr>
      <w:r>
        <w:rPr>
          <w:w w:val="120"/>
        </w:rPr>
        <w:t>They are responsible for: making provision for Christian worship and education, for maintaining proper standards of membership, and for promoting witness and service    to the community, mission at home and abroad, and the peace, unity and welfare of the Church. So in a sense the URC has a four-fold</w:t>
      </w:r>
      <w:r>
        <w:rPr>
          <w:spacing w:val="20"/>
          <w:w w:val="120"/>
        </w:rPr>
        <w:t> </w:t>
      </w:r>
      <w:r>
        <w:rPr>
          <w:w w:val="120"/>
        </w:rPr>
        <w:t>ministry</w:t>
      </w:r>
    </w:p>
    <w:p>
      <w:pPr>
        <w:pStyle w:val="BodyText"/>
        <w:spacing w:before="11"/>
        <w:rPr>
          <w:sz w:val="19"/>
        </w:rPr>
      </w:pPr>
    </w:p>
    <w:p>
      <w:pPr>
        <w:pStyle w:val="ListParagraph"/>
        <w:numPr>
          <w:ilvl w:val="2"/>
          <w:numId w:val="139"/>
        </w:numPr>
        <w:tabs>
          <w:tab w:pos="1288" w:val="left" w:leader="none"/>
        </w:tabs>
        <w:spacing w:line="235" w:lineRule="auto" w:before="0" w:after="0"/>
        <w:ind w:left="607" w:right="2000" w:firstLine="0"/>
        <w:jc w:val="left"/>
        <w:rPr>
          <w:sz w:val="20"/>
        </w:rPr>
      </w:pPr>
      <w:r>
        <w:rPr>
          <w:spacing w:val="3"/>
          <w:w w:val="120"/>
          <w:sz w:val="20"/>
        </w:rPr>
        <w:t>As </w:t>
      </w:r>
      <w:r>
        <w:rPr>
          <w:w w:val="120"/>
          <w:sz w:val="20"/>
        </w:rPr>
        <w:t>Elders have become trustees under state legislation, ‘it is their duty to arrange for the proper maintenance of church buildings, and to ensure the oversight of church finances. Some represent the local church in the wider councils of the Church, and by virtue of their membership of these councils also represent the whole Church to the local </w:t>
      </w:r>
      <w:r>
        <w:rPr>
          <w:spacing w:val="-3"/>
          <w:w w:val="120"/>
          <w:sz w:val="20"/>
        </w:rPr>
        <w:t>church.’ </w:t>
      </w:r>
      <w:r>
        <w:rPr>
          <w:w w:val="120"/>
          <w:sz w:val="20"/>
        </w:rPr>
        <w:t>(From the URC Worship</w:t>
      </w:r>
      <w:r>
        <w:rPr>
          <w:spacing w:val="19"/>
          <w:w w:val="120"/>
          <w:sz w:val="20"/>
        </w:rPr>
        <w:t> </w:t>
      </w:r>
      <w:r>
        <w:rPr>
          <w:w w:val="120"/>
          <w:sz w:val="20"/>
        </w:rPr>
        <w:t>book)</w:t>
      </w:r>
    </w:p>
    <w:p>
      <w:pPr>
        <w:pStyle w:val="BodyText"/>
        <w:spacing w:before="8"/>
        <w:rPr>
          <w:sz w:val="18"/>
        </w:rPr>
      </w:pPr>
    </w:p>
    <w:p>
      <w:pPr>
        <w:pStyle w:val="Heading7"/>
        <w:numPr>
          <w:ilvl w:val="1"/>
          <w:numId w:val="139"/>
        </w:numPr>
        <w:tabs>
          <w:tab w:pos="1287" w:val="left" w:leader="none"/>
          <w:tab w:pos="1288" w:val="left" w:leader="none"/>
        </w:tabs>
        <w:spacing w:line="261" w:lineRule="exact" w:before="0" w:after="0"/>
        <w:ind w:left="1287" w:right="0" w:hanging="681"/>
        <w:jc w:val="left"/>
      </w:pPr>
      <w:r>
        <w:rPr>
          <w:w w:val="110"/>
        </w:rPr>
        <w:t>Authority in the Church and its</w:t>
      </w:r>
      <w:r>
        <w:rPr>
          <w:spacing w:val="-1"/>
          <w:w w:val="110"/>
        </w:rPr>
        <w:t> </w:t>
      </w:r>
      <w:r>
        <w:rPr>
          <w:w w:val="110"/>
        </w:rPr>
        <w:t>exercise</w:t>
      </w:r>
    </w:p>
    <w:p>
      <w:pPr>
        <w:pStyle w:val="ListParagraph"/>
        <w:numPr>
          <w:ilvl w:val="2"/>
          <w:numId w:val="139"/>
        </w:numPr>
        <w:tabs>
          <w:tab w:pos="1287" w:val="left" w:leader="none"/>
          <w:tab w:pos="1288" w:val="left" w:leader="none"/>
        </w:tabs>
        <w:spacing w:line="235" w:lineRule="auto" w:before="0" w:after="0"/>
        <w:ind w:left="607" w:right="2437" w:firstLine="0"/>
        <w:jc w:val="left"/>
        <w:rPr>
          <w:sz w:val="20"/>
        </w:rPr>
      </w:pPr>
      <w:r>
        <w:rPr>
          <w:w w:val="120"/>
          <w:sz w:val="20"/>
        </w:rPr>
        <w:t>Significant steps towards convergence on authority and its exercise have been recorded in various bilateral dialogues. Differences continue to exist between churches, </w:t>
      </w:r>
      <w:r>
        <w:rPr>
          <w:spacing w:val="-3"/>
          <w:w w:val="120"/>
          <w:sz w:val="20"/>
        </w:rPr>
        <w:t>however, </w:t>
      </w:r>
      <w:r>
        <w:rPr>
          <w:w w:val="120"/>
          <w:sz w:val="20"/>
        </w:rPr>
        <w:t>as to the relative weight to be accorded to the different sources of authority, as to how far and in what ways the Church has the means to arrive at</w:t>
      </w:r>
      <w:r>
        <w:rPr>
          <w:spacing w:val="-32"/>
          <w:w w:val="120"/>
          <w:sz w:val="20"/>
        </w:rPr>
        <w:t> </w:t>
      </w:r>
      <w:r>
        <w:rPr>
          <w:w w:val="120"/>
          <w:sz w:val="20"/>
        </w:rPr>
        <w:t>a</w:t>
      </w:r>
    </w:p>
    <w:p>
      <w:pPr>
        <w:pStyle w:val="BodyText"/>
        <w:spacing w:line="235" w:lineRule="auto"/>
        <w:ind w:left="607" w:right="2174"/>
      </w:pPr>
      <w:r>
        <w:rPr>
          <w:w w:val="120"/>
        </w:rPr>
        <w:t>normative expression of its faith, and as to the role of ordained ministers in providing an authoritative interpretation of revelation. </w:t>
      </w:r>
      <w:r>
        <w:rPr>
          <w:spacing w:val="-5"/>
          <w:w w:val="120"/>
        </w:rPr>
        <w:t>Yet </w:t>
      </w:r>
      <w:r>
        <w:rPr>
          <w:w w:val="120"/>
        </w:rPr>
        <w:t>all churches share the urgent concern that the Gospel be preached, interpreted and lived out in the world humbly, but with compelling authority. May not the seeking of ecumenical convergence on the</w:t>
      </w:r>
      <w:r>
        <w:rPr>
          <w:spacing w:val="53"/>
          <w:w w:val="120"/>
        </w:rPr>
        <w:t> </w:t>
      </w:r>
      <w:r>
        <w:rPr>
          <w:w w:val="120"/>
        </w:rPr>
        <w:t>way</w:t>
      </w:r>
    </w:p>
    <w:p>
      <w:pPr>
        <w:pStyle w:val="BodyText"/>
        <w:spacing w:line="235" w:lineRule="auto" w:before="1"/>
        <w:ind w:left="607" w:right="2045"/>
      </w:pPr>
      <w:r>
        <w:rPr>
          <w:w w:val="120"/>
        </w:rPr>
        <w:t>in which authority is recognised and exercised play a creative role in this missionary endeavour of the churches?</w:t>
      </w:r>
    </w:p>
    <w:p>
      <w:pPr>
        <w:pStyle w:val="BodyText"/>
        <w:spacing w:before="9"/>
        <w:rPr>
          <w:sz w:val="19"/>
        </w:rPr>
      </w:pPr>
    </w:p>
    <w:p>
      <w:pPr>
        <w:pStyle w:val="ListParagraph"/>
        <w:numPr>
          <w:ilvl w:val="2"/>
          <w:numId w:val="139"/>
        </w:numPr>
        <w:tabs>
          <w:tab w:pos="1288" w:val="left" w:leader="none"/>
        </w:tabs>
        <w:spacing w:line="235" w:lineRule="auto" w:before="0" w:after="0"/>
        <w:ind w:left="607" w:right="2351" w:firstLine="0"/>
        <w:jc w:val="left"/>
        <w:rPr>
          <w:sz w:val="20"/>
        </w:rPr>
      </w:pPr>
      <w:r>
        <w:rPr>
          <w:w w:val="120"/>
          <w:sz w:val="20"/>
        </w:rPr>
        <w:t>The URC has a participatory form of government in which authority is shared among the different councils of the church under the leading of the Holy Spirit. One of the main features of the United Reformed Church is its conciliar style of church government in which decisions are made in councils from the local Church Meeting, to</w:t>
      </w:r>
      <w:r>
        <w:rPr>
          <w:spacing w:val="5"/>
          <w:w w:val="120"/>
          <w:sz w:val="20"/>
        </w:rPr>
        <w:t> </w:t>
      </w:r>
      <w:r>
        <w:rPr>
          <w:w w:val="120"/>
          <w:sz w:val="20"/>
        </w:rPr>
        <w:t>synod</w:t>
      </w:r>
      <w:r>
        <w:rPr>
          <w:spacing w:val="6"/>
          <w:w w:val="120"/>
          <w:sz w:val="20"/>
        </w:rPr>
        <w:t> </w:t>
      </w:r>
      <w:r>
        <w:rPr>
          <w:w w:val="120"/>
          <w:sz w:val="20"/>
        </w:rPr>
        <w:t>and</w:t>
      </w:r>
      <w:r>
        <w:rPr>
          <w:spacing w:val="6"/>
          <w:w w:val="120"/>
          <w:sz w:val="20"/>
        </w:rPr>
        <w:t> </w:t>
      </w:r>
      <w:r>
        <w:rPr>
          <w:w w:val="120"/>
          <w:sz w:val="20"/>
        </w:rPr>
        <w:t>through</w:t>
      </w:r>
      <w:r>
        <w:rPr>
          <w:spacing w:val="6"/>
          <w:w w:val="120"/>
          <w:sz w:val="20"/>
        </w:rPr>
        <w:t> </w:t>
      </w:r>
      <w:r>
        <w:rPr>
          <w:w w:val="120"/>
          <w:sz w:val="20"/>
        </w:rPr>
        <w:t>General</w:t>
      </w:r>
      <w:r>
        <w:rPr>
          <w:spacing w:val="6"/>
          <w:w w:val="120"/>
          <w:sz w:val="20"/>
        </w:rPr>
        <w:t> </w:t>
      </w:r>
      <w:r>
        <w:rPr>
          <w:w w:val="120"/>
          <w:sz w:val="20"/>
        </w:rPr>
        <w:t>Assembly.</w:t>
      </w:r>
      <w:r>
        <w:rPr>
          <w:spacing w:val="6"/>
          <w:w w:val="120"/>
          <w:sz w:val="20"/>
        </w:rPr>
        <w:t> </w:t>
      </w:r>
      <w:r>
        <w:rPr>
          <w:w w:val="120"/>
          <w:sz w:val="20"/>
        </w:rPr>
        <w:t>The</w:t>
      </w:r>
      <w:r>
        <w:rPr>
          <w:spacing w:val="6"/>
          <w:w w:val="120"/>
          <w:sz w:val="20"/>
        </w:rPr>
        <w:t> </w:t>
      </w:r>
      <w:r>
        <w:rPr>
          <w:w w:val="120"/>
          <w:sz w:val="20"/>
        </w:rPr>
        <w:t>URC</w:t>
      </w:r>
      <w:r>
        <w:rPr>
          <w:spacing w:val="5"/>
          <w:w w:val="120"/>
          <w:sz w:val="20"/>
        </w:rPr>
        <w:t> </w:t>
      </w:r>
      <w:r>
        <w:rPr>
          <w:w w:val="120"/>
          <w:sz w:val="20"/>
        </w:rPr>
        <w:t>has</w:t>
      </w:r>
      <w:r>
        <w:rPr>
          <w:spacing w:val="6"/>
          <w:w w:val="120"/>
          <w:sz w:val="20"/>
        </w:rPr>
        <w:t> </w:t>
      </w:r>
      <w:r>
        <w:rPr>
          <w:w w:val="120"/>
          <w:sz w:val="20"/>
        </w:rPr>
        <w:t>four</w:t>
      </w:r>
      <w:r>
        <w:rPr>
          <w:spacing w:val="6"/>
          <w:w w:val="120"/>
          <w:sz w:val="20"/>
        </w:rPr>
        <w:t> </w:t>
      </w:r>
      <w:r>
        <w:rPr>
          <w:w w:val="120"/>
          <w:sz w:val="20"/>
        </w:rPr>
        <w:t>levels</w:t>
      </w:r>
      <w:r>
        <w:rPr>
          <w:spacing w:val="6"/>
          <w:w w:val="120"/>
          <w:sz w:val="20"/>
        </w:rPr>
        <w:t> </w:t>
      </w:r>
      <w:r>
        <w:rPr>
          <w:w w:val="120"/>
          <w:sz w:val="20"/>
        </w:rPr>
        <w:t>of</w:t>
      </w:r>
      <w:r>
        <w:rPr>
          <w:spacing w:val="6"/>
          <w:w w:val="120"/>
          <w:sz w:val="20"/>
        </w:rPr>
        <w:t> </w:t>
      </w:r>
      <w:r>
        <w:rPr>
          <w:w w:val="120"/>
          <w:sz w:val="20"/>
        </w:rPr>
        <w:t>church</w:t>
      </w:r>
      <w:r>
        <w:rPr>
          <w:spacing w:val="6"/>
          <w:w w:val="120"/>
          <w:sz w:val="20"/>
        </w:rPr>
        <w:t> </w:t>
      </w:r>
      <w:r>
        <w:rPr>
          <w:w w:val="120"/>
          <w:sz w:val="20"/>
        </w:rPr>
        <w:t>councils:</w:t>
      </w:r>
    </w:p>
    <w:p>
      <w:pPr>
        <w:pStyle w:val="BodyText"/>
        <w:spacing w:line="235" w:lineRule="auto" w:before="4"/>
        <w:ind w:left="607" w:right="2231"/>
      </w:pPr>
      <w:r>
        <w:rPr>
          <w:spacing w:val="-10"/>
          <w:w w:val="120"/>
        </w:rPr>
        <w:t>1) </w:t>
      </w:r>
      <w:r>
        <w:rPr>
          <w:w w:val="120"/>
        </w:rPr>
        <w:t>the Church Meeting of a local church, in which decisions affecting the local church are made; </w:t>
      </w:r>
      <w:r>
        <w:rPr>
          <w:spacing w:val="-6"/>
          <w:w w:val="120"/>
        </w:rPr>
        <w:t>2)  </w:t>
      </w:r>
      <w:r>
        <w:rPr>
          <w:w w:val="120"/>
        </w:rPr>
        <w:t>the locally elected elders meeting makes decisions as Church trustees  and gives leadership to the Church Meeting; </w:t>
      </w:r>
      <w:r>
        <w:rPr>
          <w:spacing w:val="-8"/>
          <w:w w:val="120"/>
        </w:rPr>
        <w:t>3) </w:t>
      </w:r>
      <w:r>
        <w:rPr>
          <w:w w:val="120"/>
        </w:rPr>
        <w:t>synod level of region or nation dealing with</w:t>
      </w:r>
      <w:r>
        <w:rPr>
          <w:spacing w:val="6"/>
          <w:w w:val="120"/>
        </w:rPr>
        <w:t> </w:t>
      </w:r>
      <w:r>
        <w:rPr>
          <w:w w:val="120"/>
        </w:rPr>
        <w:t>matters</w:t>
      </w:r>
      <w:r>
        <w:rPr>
          <w:spacing w:val="7"/>
          <w:w w:val="120"/>
        </w:rPr>
        <w:t> </w:t>
      </w:r>
      <w:r>
        <w:rPr>
          <w:w w:val="120"/>
        </w:rPr>
        <w:t>of</w:t>
      </w:r>
      <w:r>
        <w:rPr>
          <w:spacing w:val="7"/>
          <w:w w:val="120"/>
        </w:rPr>
        <w:t> </w:t>
      </w:r>
      <w:r>
        <w:rPr>
          <w:w w:val="120"/>
        </w:rPr>
        <w:t>wider</w:t>
      </w:r>
      <w:r>
        <w:rPr>
          <w:spacing w:val="6"/>
          <w:w w:val="120"/>
        </w:rPr>
        <w:t> </w:t>
      </w:r>
      <w:r>
        <w:rPr>
          <w:w w:val="120"/>
        </w:rPr>
        <w:t>concern,</w:t>
      </w:r>
      <w:r>
        <w:rPr>
          <w:spacing w:val="7"/>
          <w:w w:val="120"/>
        </w:rPr>
        <w:t> </w:t>
      </w:r>
      <w:r>
        <w:rPr>
          <w:w w:val="120"/>
        </w:rPr>
        <w:t>taking</w:t>
      </w:r>
      <w:r>
        <w:rPr>
          <w:spacing w:val="7"/>
          <w:w w:val="120"/>
        </w:rPr>
        <w:t> </w:t>
      </w:r>
      <w:r>
        <w:rPr>
          <w:w w:val="120"/>
        </w:rPr>
        <w:t>actions</w:t>
      </w:r>
      <w:r>
        <w:rPr>
          <w:spacing w:val="6"/>
          <w:w w:val="120"/>
        </w:rPr>
        <w:t> </w:t>
      </w:r>
      <w:r>
        <w:rPr>
          <w:w w:val="120"/>
        </w:rPr>
        <w:t>from</w:t>
      </w:r>
      <w:r>
        <w:rPr>
          <w:spacing w:val="7"/>
          <w:w w:val="120"/>
        </w:rPr>
        <w:t> </w:t>
      </w:r>
      <w:r>
        <w:rPr>
          <w:w w:val="120"/>
        </w:rPr>
        <w:t>General</w:t>
      </w:r>
      <w:r>
        <w:rPr>
          <w:spacing w:val="7"/>
          <w:w w:val="120"/>
        </w:rPr>
        <w:t> </w:t>
      </w:r>
      <w:r>
        <w:rPr>
          <w:w w:val="120"/>
        </w:rPr>
        <w:t>Assembly</w:t>
      </w:r>
      <w:r>
        <w:rPr>
          <w:spacing w:val="6"/>
          <w:w w:val="120"/>
        </w:rPr>
        <w:t> </w:t>
      </w:r>
      <w:r>
        <w:rPr>
          <w:w w:val="120"/>
        </w:rPr>
        <w:t>and</w:t>
      </w:r>
      <w:r>
        <w:rPr>
          <w:spacing w:val="7"/>
          <w:w w:val="120"/>
        </w:rPr>
        <w:t> </w:t>
      </w:r>
      <w:r>
        <w:rPr>
          <w:w w:val="120"/>
        </w:rPr>
        <w:t>bringing</w:t>
      </w:r>
    </w:p>
    <w:p>
      <w:pPr>
        <w:pStyle w:val="BodyText"/>
        <w:spacing w:line="235" w:lineRule="auto" w:before="3"/>
        <w:ind w:left="607" w:right="2106"/>
      </w:pPr>
      <w:r>
        <w:rPr>
          <w:w w:val="120"/>
        </w:rPr>
        <w:t>forward concerns to General Assembly; and </w:t>
      </w:r>
      <w:r>
        <w:rPr>
          <w:spacing w:val="-5"/>
          <w:w w:val="120"/>
        </w:rPr>
        <w:t>4) </w:t>
      </w:r>
      <w:r>
        <w:rPr>
          <w:w w:val="120"/>
        </w:rPr>
        <w:t>General Assembly, held biennially, which is the central organ and final authority on matters of doctrine and order of the URC. Each council makes decisions and </w:t>
      </w:r>
      <w:r>
        <w:rPr>
          <w:spacing w:val="2"/>
          <w:w w:val="120"/>
        </w:rPr>
        <w:t>reports, </w:t>
      </w:r>
      <w:r>
        <w:rPr>
          <w:w w:val="120"/>
        </w:rPr>
        <w:t>proposals and suggested actions travel from wider to local church level or from the local level to the wider church. This encourages   a shared use of power to reduce the likelihood of abuse and increase the regular accountability of leaders. This conciliar model of church government is valued highly by the</w:t>
      </w:r>
      <w:r>
        <w:rPr>
          <w:spacing w:val="5"/>
          <w:w w:val="120"/>
        </w:rPr>
        <w:t> </w:t>
      </w:r>
      <w:r>
        <w:rPr>
          <w:w w:val="120"/>
        </w:rPr>
        <w:t>URC</w:t>
      </w:r>
      <w:r>
        <w:rPr>
          <w:spacing w:val="6"/>
          <w:w w:val="120"/>
        </w:rPr>
        <w:t> </w:t>
      </w:r>
      <w:r>
        <w:rPr>
          <w:w w:val="120"/>
        </w:rPr>
        <w:t>and</w:t>
      </w:r>
      <w:r>
        <w:rPr>
          <w:spacing w:val="6"/>
          <w:w w:val="120"/>
        </w:rPr>
        <w:t> </w:t>
      </w:r>
      <w:r>
        <w:rPr>
          <w:w w:val="120"/>
        </w:rPr>
        <w:t>we</w:t>
      </w:r>
      <w:r>
        <w:rPr>
          <w:spacing w:val="5"/>
          <w:w w:val="120"/>
        </w:rPr>
        <w:t> </w:t>
      </w:r>
      <w:r>
        <w:rPr>
          <w:w w:val="120"/>
        </w:rPr>
        <w:t>would</w:t>
      </w:r>
      <w:r>
        <w:rPr>
          <w:spacing w:val="6"/>
          <w:w w:val="120"/>
        </w:rPr>
        <w:t> </w:t>
      </w:r>
      <w:r>
        <w:rPr>
          <w:w w:val="120"/>
        </w:rPr>
        <w:t>want</w:t>
      </w:r>
      <w:r>
        <w:rPr>
          <w:spacing w:val="6"/>
          <w:w w:val="120"/>
        </w:rPr>
        <w:t> </w:t>
      </w:r>
      <w:r>
        <w:rPr>
          <w:w w:val="120"/>
        </w:rPr>
        <w:t>to</w:t>
      </w:r>
      <w:r>
        <w:rPr>
          <w:spacing w:val="6"/>
          <w:w w:val="120"/>
        </w:rPr>
        <w:t> </w:t>
      </w:r>
      <w:r>
        <w:rPr>
          <w:w w:val="120"/>
        </w:rPr>
        <w:t>hold</w:t>
      </w:r>
      <w:r>
        <w:rPr>
          <w:spacing w:val="5"/>
          <w:w w:val="120"/>
        </w:rPr>
        <w:t> </w:t>
      </w:r>
      <w:r>
        <w:rPr>
          <w:w w:val="120"/>
        </w:rPr>
        <w:t>it</w:t>
      </w:r>
      <w:r>
        <w:rPr>
          <w:spacing w:val="6"/>
          <w:w w:val="120"/>
        </w:rPr>
        <w:t> </w:t>
      </w:r>
      <w:r>
        <w:rPr>
          <w:w w:val="120"/>
        </w:rPr>
        <w:t>up</w:t>
      </w:r>
      <w:r>
        <w:rPr>
          <w:spacing w:val="6"/>
          <w:w w:val="120"/>
        </w:rPr>
        <w:t> </w:t>
      </w:r>
      <w:r>
        <w:rPr>
          <w:w w:val="120"/>
        </w:rPr>
        <w:t>as</w:t>
      </w:r>
      <w:r>
        <w:rPr>
          <w:spacing w:val="6"/>
          <w:w w:val="120"/>
        </w:rPr>
        <w:t> </w:t>
      </w:r>
      <w:r>
        <w:rPr>
          <w:w w:val="120"/>
        </w:rPr>
        <w:t>a</w:t>
      </w:r>
      <w:r>
        <w:rPr>
          <w:spacing w:val="5"/>
          <w:w w:val="120"/>
        </w:rPr>
        <w:t> </w:t>
      </w:r>
      <w:r>
        <w:rPr>
          <w:w w:val="120"/>
        </w:rPr>
        <w:t>positive</w:t>
      </w:r>
      <w:r>
        <w:rPr>
          <w:spacing w:val="6"/>
          <w:w w:val="120"/>
        </w:rPr>
        <w:t> </w:t>
      </w:r>
      <w:r>
        <w:rPr>
          <w:w w:val="120"/>
        </w:rPr>
        <w:t>model</w:t>
      </w:r>
      <w:r>
        <w:rPr>
          <w:spacing w:val="6"/>
          <w:w w:val="120"/>
        </w:rPr>
        <w:t> </w:t>
      </w:r>
      <w:r>
        <w:rPr>
          <w:w w:val="120"/>
        </w:rPr>
        <w:t>of</w:t>
      </w:r>
      <w:r>
        <w:rPr>
          <w:spacing w:val="6"/>
          <w:w w:val="120"/>
        </w:rPr>
        <w:t> </w:t>
      </w:r>
      <w:r>
        <w:rPr>
          <w:w w:val="120"/>
        </w:rPr>
        <w:t>church</w:t>
      </w:r>
      <w:r>
        <w:rPr>
          <w:spacing w:val="5"/>
          <w:w w:val="120"/>
        </w:rPr>
        <w:t> </w:t>
      </w:r>
      <w:r>
        <w:rPr>
          <w:w w:val="120"/>
        </w:rPr>
        <w:t>government.</w:t>
      </w:r>
    </w:p>
    <w:p>
      <w:pPr>
        <w:pStyle w:val="BodyText"/>
        <w:spacing w:before="1"/>
      </w:pPr>
    </w:p>
    <w:p>
      <w:pPr>
        <w:pStyle w:val="ListParagraph"/>
        <w:numPr>
          <w:ilvl w:val="2"/>
          <w:numId w:val="139"/>
        </w:numPr>
        <w:tabs>
          <w:tab w:pos="1288" w:val="left" w:leader="none"/>
        </w:tabs>
        <w:spacing w:line="235" w:lineRule="auto" w:before="0" w:after="0"/>
        <w:ind w:left="607" w:right="2261" w:firstLine="0"/>
        <w:jc w:val="left"/>
        <w:rPr>
          <w:sz w:val="20"/>
        </w:rPr>
      </w:pPr>
      <w:r>
        <w:rPr>
          <w:spacing w:val="2"/>
          <w:w w:val="120"/>
          <w:sz w:val="20"/>
        </w:rPr>
        <w:t>The </w:t>
      </w:r>
      <w:r>
        <w:rPr>
          <w:w w:val="120"/>
          <w:sz w:val="20"/>
        </w:rPr>
        <w:t>URC </w:t>
      </w:r>
      <w:r>
        <w:rPr>
          <w:spacing w:val="2"/>
          <w:w w:val="120"/>
          <w:sz w:val="20"/>
        </w:rPr>
        <w:t>understanding </w:t>
      </w:r>
      <w:r>
        <w:rPr>
          <w:w w:val="120"/>
          <w:sz w:val="20"/>
        </w:rPr>
        <w:t>of </w:t>
      </w:r>
      <w:r>
        <w:rPr>
          <w:spacing w:val="2"/>
          <w:w w:val="120"/>
          <w:sz w:val="20"/>
        </w:rPr>
        <w:t>authority </w:t>
      </w:r>
      <w:r>
        <w:rPr>
          <w:w w:val="120"/>
          <w:sz w:val="20"/>
        </w:rPr>
        <w:t>in </w:t>
      </w:r>
      <w:r>
        <w:rPr>
          <w:spacing w:val="3"/>
          <w:w w:val="120"/>
          <w:sz w:val="20"/>
        </w:rPr>
        <w:t>ministry </w:t>
      </w:r>
      <w:r>
        <w:rPr>
          <w:w w:val="120"/>
          <w:sz w:val="20"/>
        </w:rPr>
        <w:t>is that it should be exercised by those who are </w:t>
      </w:r>
      <w:r>
        <w:rPr>
          <w:spacing w:val="2"/>
          <w:w w:val="120"/>
          <w:sz w:val="20"/>
        </w:rPr>
        <w:t>authorised </w:t>
      </w:r>
      <w:r>
        <w:rPr>
          <w:w w:val="120"/>
          <w:sz w:val="20"/>
        </w:rPr>
        <w:t>but always accountable to the councils of the church. </w:t>
      </w:r>
      <w:r>
        <w:rPr>
          <w:spacing w:val="2"/>
          <w:w w:val="120"/>
          <w:sz w:val="20"/>
        </w:rPr>
        <w:t>The </w:t>
      </w:r>
      <w:r>
        <w:rPr>
          <w:w w:val="120"/>
          <w:sz w:val="20"/>
        </w:rPr>
        <w:t>role of minister or </w:t>
      </w:r>
      <w:r>
        <w:rPr>
          <w:spacing w:val="3"/>
          <w:w w:val="120"/>
          <w:sz w:val="20"/>
        </w:rPr>
        <w:t>synod </w:t>
      </w:r>
      <w:r>
        <w:rPr>
          <w:spacing w:val="2"/>
          <w:w w:val="120"/>
          <w:sz w:val="20"/>
        </w:rPr>
        <w:t>moderator </w:t>
      </w:r>
      <w:r>
        <w:rPr>
          <w:w w:val="120"/>
          <w:sz w:val="20"/>
        </w:rPr>
        <w:t>is one of </w:t>
      </w:r>
      <w:r>
        <w:rPr>
          <w:spacing w:val="3"/>
          <w:w w:val="120"/>
          <w:sz w:val="20"/>
        </w:rPr>
        <w:t>servant </w:t>
      </w:r>
      <w:r>
        <w:rPr>
          <w:spacing w:val="2"/>
          <w:w w:val="120"/>
          <w:sz w:val="20"/>
        </w:rPr>
        <w:t>leadership rather </w:t>
      </w:r>
      <w:r>
        <w:rPr>
          <w:w w:val="120"/>
          <w:sz w:val="20"/>
        </w:rPr>
        <w:t>than an </w:t>
      </w:r>
      <w:r>
        <w:rPr>
          <w:spacing w:val="2"/>
          <w:w w:val="120"/>
          <w:sz w:val="20"/>
        </w:rPr>
        <w:t>authoritarian </w:t>
      </w:r>
      <w:r>
        <w:rPr>
          <w:w w:val="120"/>
          <w:sz w:val="20"/>
        </w:rPr>
        <w:t>position over </w:t>
      </w:r>
      <w:r>
        <w:rPr>
          <w:spacing w:val="2"/>
          <w:w w:val="120"/>
          <w:sz w:val="20"/>
        </w:rPr>
        <w:t>others. </w:t>
      </w:r>
      <w:r>
        <w:rPr>
          <w:w w:val="120"/>
          <w:sz w:val="20"/>
        </w:rPr>
        <w:t>It is based on a calling by </w:t>
      </w:r>
      <w:r>
        <w:rPr>
          <w:spacing w:val="2"/>
          <w:w w:val="120"/>
          <w:sz w:val="20"/>
        </w:rPr>
        <w:t>God, confirmed </w:t>
      </w:r>
      <w:r>
        <w:rPr>
          <w:w w:val="120"/>
          <w:sz w:val="20"/>
        </w:rPr>
        <w:t>by the community of </w:t>
      </w:r>
      <w:r>
        <w:rPr>
          <w:spacing w:val="2"/>
          <w:w w:val="120"/>
          <w:sz w:val="20"/>
        </w:rPr>
        <w:t>faith. </w:t>
      </w:r>
      <w:r>
        <w:rPr>
          <w:w w:val="120"/>
          <w:sz w:val="20"/>
        </w:rPr>
        <w:t>In the URC </w:t>
      </w:r>
      <w:r>
        <w:rPr>
          <w:spacing w:val="2"/>
          <w:w w:val="120"/>
          <w:sz w:val="20"/>
        </w:rPr>
        <w:t>there </w:t>
      </w:r>
      <w:r>
        <w:rPr>
          <w:w w:val="120"/>
          <w:sz w:val="20"/>
        </w:rPr>
        <w:t>is recognition that a woman may equally be called by </w:t>
      </w:r>
      <w:r>
        <w:rPr>
          <w:spacing w:val="2"/>
          <w:w w:val="120"/>
          <w:sz w:val="20"/>
        </w:rPr>
        <w:t>God </w:t>
      </w:r>
      <w:r>
        <w:rPr>
          <w:w w:val="120"/>
          <w:sz w:val="20"/>
        </w:rPr>
        <w:t>to a </w:t>
      </w:r>
      <w:r>
        <w:rPr>
          <w:spacing w:val="2"/>
          <w:w w:val="120"/>
          <w:sz w:val="20"/>
        </w:rPr>
        <w:t>form </w:t>
      </w:r>
      <w:r>
        <w:rPr>
          <w:w w:val="120"/>
          <w:sz w:val="20"/>
        </w:rPr>
        <w:t>of </w:t>
      </w:r>
      <w:r>
        <w:rPr>
          <w:spacing w:val="3"/>
          <w:w w:val="120"/>
          <w:sz w:val="20"/>
        </w:rPr>
        <w:t>ministry </w:t>
      </w:r>
      <w:r>
        <w:rPr>
          <w:w w:val="120"/>
          <w:sz w:val="20"/>
        </w:rPr>
        <w:t>and may </w:t>
      </w:r>
      <w:r>
        <w:rPr>
          <w:spacing w:val="2"/>
          <w:w w:val="120"/>
          <w:sz w:val="20"/>
        </w:rPr>
        <w:t>hold </w:t>
      </w:r>
      <w:r>
        <w:rPr>
          <w:w w:val="120"/>
          <w:sz w:val="20"/>
        </w:rPr>
        <w:t>any position in the church. This is seen as recognition of God’s call. </w:t>
      </w:r>
      <w:r>
        <w:rPr>
          <w:spacing w:val="2"/>
          <w:w w:val="120"/>
          <w:sz w:val="20"/>
        </w:rPr>
        <w:t>The </w:t>
      </w:r>
      <w:r>
        <w:rPr>
          <w:w w:val="120"/>
          <w:sz w:val="20"/>
        </w:rPr>
        <w:t>church </w:t>
      </w:r>
      <w:r>
        <w:rPr>
          <w:spacing w:val="3"/>
          <w:w w:val="120"/>
          <w:sz w:val="20"/>
        </w:rPr>
        <w:t>seeks </w:t>
      </w:r>
      <w:r>
        <w:rPr>
          <w:w w:val="120"/>
          <w:sz w:val="20"/>
        </w:rPr>
        <w:t>to discourage discrimination on any basis of race, culture, </w:t>
      </w:r>
      <w:r>
        <w:rPr>
          <w:spacing w:val="2"/>
          <w:w w:val="120"/>
          <w:sz w:val="20"/>
        </w:rPr>
        <w:t>age </w:t>
      </w:r>
      <w:r>
        <w:rPr>
          <w:w w:val="120"/>
          <w:sz w:val="20"/>
        </w:rPr>
        <w:t>or gender, </w:t>
      </w:r>
      <w:r>
        <w:rPr>
          <w:spacing w:val="2"/>
          <w:w w:val="120"/>
          <w:sz w:val="20"/>
        </w:rPr>
        <w:t>sexual orientation </w:t>
      </w:r>
      <w:r>
        <w:rPr>
          <w:w w:val="120"/>
          <w:sz w:val="20"/>
        </w:rPr>
        <w:t>or </w:t>
      </w:r>
      <w:r>
        <w:rPr>
          <w:spacing w:val="2"/>
          <w:w w:val="120"/>
          <w:sz w:val="20"/>
        </w:rPr>
        <w:t>marital </w:t>
      </w:r>
      <w:r>
        <w:rPr>
          <w:w w:val="120"/>
          <w:sz w:val="20"/>
        </w:rPr>
        <w:t>status within the URC and to promote full</w:t>
      </w:r>
      <w:r>
        <w:rPr>
          <w:spacing w:val="41"/>
          <w:w w:val="120"/>
          <w:sz w:val="20"/>
        </w:rPr>
        <w:t> </w:t>
      </w:r>
      <w:r>
        <w:rPr>
          <w:w w:val="120"/>
          <w:sz w:val="20"/>
        </w:rPr>
        <w:t>inclusion.</w:t>
      </w:r>
    </w:p>
    <w:p>
      <w:pPr>
        <w:spacing w:after="0" w:line="235" w:lineRule="auto"/>
        <w:jc w:val="left"/>
        <w:rPr>
          <w:sz w:val="20"/>
        </w:rPr>
        <w:sectPr>
          <w:headerReference w:type="even" r:id="rId332"/>
          <w:pgSz w:w="11910" w:h="16840"/>
          <w:pgMar w:header="0" w:footer="647" w:top="0" w:bottom="840" w:left="640" w:right="0"/>
        </w:sectPr>
      </w:pPr>
    </w:p>
    <w:p>
      <w:pPr>
        <w:pStyle w:val="BodyText"/>
      </w:pPr>
    </w:p>
    <w:p>
      <w:pPr>
        <w:pStyle w:val="BodyText"/>
        <w:spacing w:before="7"/>
        <w:rPr>
          <w:sz w:val="21"/>
        </w:rPr>
      </w:pPr>
    </w:p>
    <w:p>
      <w:pPr>
        <w:spacing w:after="0"/>
        <w:rPr>
          <w:sz w:val="21"/>
        </w:rPr>
        <w:sectPr>
          <w:headerReference w:type="default" r:id="rId333"/>
          <w:footerReference w:type="default" r:id="rId334"/>
          <w:footerReference w:type="even" r:id="rId335"/>
          <w:pgSz w:w="11910" w:h="16840"/>
          <w:pgMar w:header="0" w:footer="647" w:top="0" w:bottom="840" w:left="640" w:right="0"/>
          <w:pgNumType w:start="117"/>
        </w:sectPr>
      </w:pPr>
    </w:p>
    <w:p>
      <w:pPr>
        <w:pStyle w:val="BodyText"/>
        <w:rPr>
          <w:sz w:val="24"/>
        </w:rPr>
      </w:pPr>
    </w:p>
    <w:p>
      <w:pPr>
        <w:pStyle w:val="BodyText"/>
        <w:spacing w:before="6"/>
        <w:rPr>
          <w:sz w:val="27"/>
        </w:rPr>
      </w:pPr>
    </w:p>
    <w:p>
      <w:pPr>
        <w:pStyle w:val="Heading7"/>
        <w:numPr>
          <w:ilvl w:val="1"/>
          <w:numId w:val="139"/>
        </w:numPr>
        <w:tabs>
          <w:tab w:pos="2024" w:val="left" w:leader="none"/>
          <w:tab w:pos="2025" w:val="left" w:leader="none"/>
        </w:tabs>
        <w:spacing w:line="253" w:lineRule="exact" w:before="0" w:after="0"/>
        <w:ind w:left="2024" w:right="0" w:hanging="681"/>
        <w:jc w:val="left"/>
      </w:pPr>
      <w:r>
        <w:rPr/>
        <w:pict>
          <v:shape style="position:absolute;margin-left:554.141174pt;margin-top:-8.818079pt;width:25.9pt;height:444.45pt;mso-position-horizontal-relative:page;mso-position-vertical-relative:paragraph;z-index:251965440" type="#_x0000_t202" filled="false" stroked="false">
            <v:textbox inset="0,0,0,0" style="layout-flow:vertical">
              <w:txbxContent>
                <w:p>
                  <w:pPr>
                    <w:spacing w:before="27"/>
                    <w:ind w:left="20" w:right="0" w:firstLine="0"/>
                    <w:jc w:val="left"/>
                    <w:rPr>
                      <w:sz w:val="39"/>
                    </w:rPr>
                  </w:pPr>
                  <w:r>
                    <w:rPr>
                      <w:color w:val="FFFFFF"/>
                      <w:w w:val="120"/>
                      <w:sz w:val="39"/>
                    </w:rPr>
                    <w:t>Faith and order – </w:t>
                  </w:r>
                  <w:r>
                    <w:rPr>
                      <w:w w:val="120"/>
                      <w:sz w:val="39"/>
                    </w:rPr>
                    <w:t>Towards a common vision</w:t>
                  </w:r>
                </w:p>
              </w:txbxContent>
            </v:textbox>
            <w10:wrap type="none"/>
          </v:shape>
        </w:pict>
      </w:r>
      <w:r>
        <w:rPr>
          <w:w w:val="110"/>
        </w:rPr>
        <w:t>Authority of ecumenical</w:t>
      </w:r>
      <w:r>
        <w:rPr>
          <w:spacing w:val="9"/>
          <w:w w:val="110"/>
        </w:rPr>
        <w:t> </w:t>
      </w:r>
      <w:r>
        <w:rPr>
          <w:w w:val="110"/>
        </w:rPr>
        <w:t>councils</w:t>
      </w:r>
    </w:p>
    <w:p>
      <w:pPr>
        <w:spacing w:before="106"/>
        <w:ind w:left="1344" w:right="0" w:firstLine="0"/>
        <w:jc w:val="left"/>
        <w:rPr>
          <w:sz w:val="26"/>
        </w:rPr>
      </w:pPr>
      <w:r>
        <w:rPr/>
        <w:br w:type="column"/>
      </w:r>
      <w:r>
        <w:rPr>
          <w:color w:val="7EAABF"/>
          <w:w w:val="115"/>
          <w:sz w:val="26"/>
        </w:rPr>
        <w:t>Faith and order</w:t>
      </w:r>
    </w:p>
    <w:p>
      <w:pPr>
        <w:spacing w:after="0"/>
        <w:jc w:val="left"/>
        <w:rPr>
          <w:sz w:val="26"/>
        </w:rPr>
        <w:sectPr>
          <w:type w:val="continuous"/>
          <w:pgSz w:w="11910" w:h="16840"/>
          <w:pgMar w:top="1580" w:bottom="280" w:left="640" w:right="0"/>
          <w:cols w:num="2" w:equalWidth="0">
            <w:col w:w="5576" w:space="1239"/>
            <w:col w:w="4455"/>
          </w:cols>
        </w:sectPr>
      </w:pPr>
    </w:p>
    <w:p>
      <w:pPr>
        <w:pStyle w:val="ListParagraph"/>
        <w:numPr>
          <w:ilvl w:val="2"/>
          <w:numId w:val="139"/>
        </w:numPr>
        <w:tabs>
          <w:tab w:pos="2025" w:val="left" w:leader="none"/>
        </w:tabs>
        <w:spacing w:line="235" w:lineRule="auto" w:before="4" w:after="0"/>
        <w:ind w:left="1344" w:right="1711" w:firstLine="0"/>
        <w:jc w:val="left"/>
        <w:rPr>
          <w:sz w:val="20"/>
        </w:rPr>
      </w:pPr>
      <w:r>
        <w:rPr/>
        <w:drawing>
          <wp:anchor distT="0" distB="0" distL="0" distR="0" allowOverlap="1" layoutInCell="1" locked="0" behindDoc="0" simplePos="0" relativeHeight="251964416">
            <wp:simplePos x="0" y="0"/>
            <wp:positionH relativeFrom="page">
              <wp:posOffset>6974928</wp:posOffset>
            </wp:positionH>
            <wp:positionV relativeFrom="page">
              <wp:posOffset>0</wp:posOffset>
            </wp:positionV>
            <wp:extent cx="585063" cy="10692003"/>
            <wp:effectExtent l="0" t="0" r="0" b="0"/>
            <wp:wrapNone/>
            <wp:docPr id="217" name="image54.png"/>
            <wp:cNvGraphicFramePr>
              <a:graphicFrameLocks noChangeAspect="1"/>
            </wp:cNvGraphicFramePr>
            <a:graphic>
              <a:graphicData uri="http://schemas.openxmlformats.org/drawingml/2006/picture">
                <pic:pic>
                  <pic:nvPicPr>
                    <pic:cNvPr id="218" name="image54.png"/>
                    <pic:cNvPicPr/>
                  </pic:nvPicPr>
                  <pic:blipFill>
                    <a:blip r:embed="rId169" cstate="print"/>
                    <a:stretch>
                      <a:fillRect/>
                    </a:stretch>
                  </pic:blipFill>
                  <pic:spPr>
                    <a:xfrm>
                      <a:off x="0" y="0"/>
                      <a:ext cx="585063" cy="10692003"/>
                    </a:xfrm>
                    <a:prstGeom prst="rect">
                      <a:avLst/>
                    </a:prstGeom>
                  </pic:spPr>
                </pic:pic>
              </a:graphicData>
            </a:graphic>
          </wp:anchor>
        </w:drawing>
      </w:r>
      <w:r>
        <w:rPr>
          <w:w w:val="120"/>
          <w:sz w:val="20"/>
        </w:rPr>
        <w:t>While most churches accept the doctrinal definitions of the early Ecumenical Councils as expressive of the teaching of the New Testament, some maintain that  all post-biblical doctrinal definitions to be normative and therefore</w:t>
      </w:r>
      <w:r>
        <w:rPr>
          <w:spacing w:val="25"/>
          <w:w w:val="120"/>
          <w:sz w:val="20"/>
        </w:rPr>
        <w:t> </w:t>
      </w:r>
      <w:r>
        <w:rPr>
          <w:w w:val="120"/>
          <w:sz w:val="20"/>
        </w:rPr>
        <w:t>irreformable</w:t>
      </w:r>
    </w:p>
    <w:p>
      <w:pPr>
        <w:pStyle w:val="BodyText"/>
        <w:spacing w:line="235" w:lineRule="auto" w:before="2"/>
        <w:ind w:left="1344" w:right="1217"/>
      </w:pPr>
      <w:r>
        <w:rPr>
          <w:w w:val="120"/>
        </w:rPr>
        <w:t>expressions of the faith. Has ecumenical dialogue made possible a common assessment of the normativity of the teaching of the early Ecumenical Councils?</w:t>
      </w:r>
    </w:p>
    <w:p>
      <w:pPr>
        <w:pStyle w:val="BodyText"/>
        <w:spacing w:before="9"/>
        <w:rPr>
          <w:sz w:val="19"/>
        </w:rPr>
      </w:pPr>
    </w:p>
    <w:p>
      <w:pPr>
        <w:pStyle w:val="ListParagraph"/>
        <w:numPr>
          <w:ilvl w:val="2"/>
          <w:numId w:val="139"/>
        </w:numPr>
        <w:tabs>
          <w:tab w:pos="2025" w:val="left" w:leader="none"/>
        </w:tabs>
        <w:spacing w:line="235" w:lineRule="auto" w:before="0" w:after="0"/>
        <w:ind w:left="1344" w:right="1354" w:firstLine="0"/>
        <w:jc w:val="left"/>
        <w:rPr>
          <w:sz w:val="20"/>
        </w:rPr>
      </w:pPr>
      <w:r>
        <w:rPr>
          <w:w w:val="120"/>
          <w:sz w:val="20"/>
        </w:rPr>
        <w:t>The URC recognised the early ecumenical councils being normative for the Christian Church, but it would be open to holding further Ecumenical Councils. According to the Statement of the Nature, Faith and Order of the URC, ‘we affirm our right and readiness, if the need arises, to make new statements of faith in ever new obedience to the living Christ’. There is recognition in the URC that each culture, social class, gender and generation of churches may interpret the Scriptures in</w:t>
      </w:r>
      <w:r>
        <w:rPr>
          <w:spacing w:val="28"/>
          <w:w w:val="120"/>
          <w:sz w:val="20"/>
        </w:rPr>
        <w:t> </w:t>
      </w:r>
      <w:r>
        <w:rPr>
          <w:w w:val="120"/>
          <w:sz w:val="20"/>
        </w:rPr>
        <w:t>different</w:t>
      </w:r>
    </w:p>
    <w:p>
      <w:pPr>
        <w:pStyle w:val="BodyText"/>
        <w:spacing w:line="235" w:lineRule="auto" w:before="5"/>
        <w:ind w:left="1344" w:right="1499"/>
      </w:pPr>
      <w:r>
        <w:rPr>
          <w:w w:val="120"/>
        </w:rPr>
        <w:t>ways as the Christian faith is an incarnational faith that is expressed slightly differently in different places and times. Definitions of orthodoxy need to be discerned by each generation and place, acknowledging that there is a breadth of understanding.</w:t>
      </w:r>
    </w:p>
    <w:p>
      <w:pPr>
        <w:pStyle w:val="BodyText"/>
        <w:spacing w:before="6"/>
        <w:rPr>
          <w:sz w:val="18"/>
        </w:rPr>
      </w:pPr>
    </w:p>
    <w:p>
      <w:pPr>
        <w:pStyle w:val="Heading7"/>
        <w:numPr>
          <w:ilvl w:val="1"/>
          <w:numId w:val="139"/>
        </w:numPr>
        <w:tabs>
          <w:tab w:pos="2024" w:val="left" w:leader="none"/>
          <w:tab w:pos="2025" w:val="left" w:leader="none"/>
        </w:tabs>
        <w:spacing w:line="261" w:lineRule="exact" w:before="0" w:after="0"/>
        <w:ind w:left="2024" w:right="0" w:hanging="681"/>
        <w:jc w:val="left"/>
      </w:pPr>
      <w:r>
        <w:rPr>
          <w:w w:val="110"/>
        </w:rPr>
        <w:t>Universal ministry of</w:t>
      </w:r>
      <w:r>
        <w:rPr>
          <w:spacing w:val="-1"/>
          <w:w w:val="110"/>
        </w:rPr>
        <w:t> </w:t>
      </w:r>
      <w:r>
        <w:rPr>
          <w:w w:val="110"/>
        </w:rPr>
        <w:t>unity</w:t>
      </w:r>
    </w:p>
    <w:p>
      <w:pPr>
        <w:pStyle w:val="ListParagraph"/>
        <w:numPr>
          <w:ilvl w:val="2"/>
          <w:numId w:val="139"/>
        </w:numPr>
        <w:tabs>
          <w:tab w:pos="2025" w:val="left" w:leader="none"/>
        </w:tabs>
        <w:spacing w:line="235" w:lineRule="auto" w:before="0" w:after="0"/>
        <w:ind w:left="1344" w:right="1573" w:firstLine="0"/>
        <w:jc w:val="left"/>
        <w:rPr>
          <w:sz w:val="20"/>
        </w:rPr>
      </w:pPr>
      <w:r>
        <w:rPr>
          <w:w w:val="120"/>
          <w:sz w:val="20"/>
        </w:rPr>
        <w:t>If, according to the will of Christ, current divisions are overcome, how might a ministry that fosters and promotes the unity of the Church at the universal level be understood and</w:t>
      </w:r>
      <w:r>
        <w:rPr>
          <w:spacing w:val="4"/>
          <w:w w:val="120"/>
          <w:sz w:val="20"/>
        </w:rPr>
        <w:t> </w:t>
      </w:r>
      <w:r>
        <w:rPr>
          <w:w w:val="120"/>
          <w:sz w:val="20"/>
        </w:rPr>
        <w:t>exercised?</w:t>
      </w:r>
    </w:p>
    <w:p>
      <w:pPr>
        <w:pStyle w:val="BodyText"/>
        <w:spacing w:before="5"/>
        <w:rPr>
          <w:sz w:val="19"/>
        </w:rPr>
      </w:pPr>
    </w:p>
    <w:p>
      <w:pPr>
        <w:pStyle w:val="ListParagraph"/>
        <w:numPr>
          <w:ilvl w:val="2"/>
          <w:numId w:val="139"/>
        </w:numPr>
        <w:tabs>
          <w:tab w:pos="2025" w:val="left" w:leader="none"/>
        </w:tabs>
        <w:spacing w:line="235" w:lineRule="auto" w:before="0" w:after="0"/>
        <w:ind w:left="1344" w:right="1801" w:firstLine="0"/>
        <w:jc w:val="left"/>
        <w:rPr>
          <w:sz w:val="20"/>
        </w:rPr>
      </w:pPr>
      <w:r>
        <w:rPr>
          <w:w w:val="120"/>
          <w:sz w:val="20"/>
        </w:rPr>
        <w:t>The Church universal should show unity as reflecting the prayer Jesus made in John </w:t>
      </w:r>
      <w:r>
        <w:rPr>
          <w:spacing w:val="-16"/>
          <w:w w:val="120"/>
          <w:sz w:val="20"/>
        </w:rPr>
        <w:t>17. </w:t>
      </w:r>
      <w:r>
        <w:rPr>
          <w:spacing w:val="-5"/>
          <w:w w:val="120"/>
          <w:sz w:val="20"/>
        </w:rPr>
        <w:t>Yet </w:t>
      </w:r>
      <w:r>
        <w:rPr>
          <w:w w:val="120"/>
          <w:sz w:val="20"/>
        </w:rPr>
        <w:t>the reality is that it is divided by different denominations,</w:t>
      </w:r>
      <w:r>
        <w:rPr>
          <w:spacing w:val="16"/>
          <w:w w:val="120"/>
          <w:sz w:val="20"/>
        </w:rPr>
        <w:t> </w:t>
      </w:r>
      <w:r>
        <w:rPr>
          <w:w w:val="120"/>
          <w:sz w:val="20"/>
        </w:rPr>
        <w:t>church</w:t>
      </w:r>
    </w:p>
    <w:p>
      <w:pPr>
        <w:pStyle w:val="BodyText"/>
        <w:spacing w:line="235" w:lineRule="auto" w:before="2"/>
        <w:ind w:left="1344" w:right="1217"/>
      </w:pPr>
      <w:r>
        <w:rPr>
          <w:w w:val="120"/>
        </w:rPr>
        <w:t>governments, styles of worship and polity and practice of the Christian faith. The URC understands the apostolic succession of the Christian faith is found in the councils of the church under the leading of the Holy Spirit.</w:t>
      </w:r>
    </w:p>
    <w:p>
      <w:pPr>
        <w:pStyle w:val="BodyText"/>
        <w:spacing w:before="10"/>
        <w:rPr>
          <w:sz w:val="19"/>
        </w:rPr>
      </w:pPr>
    </w:p>
    <w:p>
      <w:pPr>
        <w:pStyle w:val="ListParagraph"/>
        <w:numPr>
          <w:ilvl w:val="2"/>
          <w:numId w:val="139"/>
        </w:numPr>
        <w:tabs>
          <w:tab w:pos="2025" w:val="left" w:leader="none"/>
        </w:tabs>
        <w:spacing w:line="235" w:lineRule="auto" w:before="0" w:after="0"/>
        <w:ind w:left="1344" w:right="1650" w:firstLine="0"/>
        <w:jc w:val="left"/>
        <w:rPr>
          <w:sz w:val="20"/>
        </w:rPr>
      </w:pPr>
      <w:r>
        <w:rPr>
          <w:w w:val="120"/>
          <w:sz w:val="20"/>
        </w:rPr>
        <w:t>In order to regain or form greater unity, one of the fears of the URC as a small denomination is that some of its good distinctive features and emphases might be lost in the union. It would require significant representation by smaller churches in negotiations toward unity with larger, more powerful churches so that the positive features of different smaller churches might be valued and maintained. Smaller churches may be more adaptable to cultural and societal</w:t>
      </w:r>
      <w:r>
        <w:rPr>
          <w:spacing w:val="25"/>
          <w:w w:val="120"/>
          <w:sz w:val="20"/>
        </w:rPr>
        <w:t> </w:t>
      </w:r>
      <w:r>
        <w:rPr>
          <w:w w:val="120"/>
          <w:sz w:val="20"/>
        </w:rPr>
        <w:t>changes.</w:t>
      </w:r>
    </w:p>
    <w:p>
      <w:pPr>
        <w:pStyle w:val="BodyText"/>
        <w:spacing w:before="5"/>
        <w:rPr>
          <w:sz w:val="22"/>
        </w:rPr>
      </w:pPr>
    </w:p>
    <w:p>
      <w:pPr>
        <w:pStyle w:val="ListParagraph"/>
        <w:numPr>
          <w:ilvl w:val="0"/>
          <w:numId w:val="137"/>
        </w:numPr>
        <w:tabs>
          <w:tab w:pos="2024" w:val="left" w:leader="none"/>
          <w:tab w:pos="2025" w:val="left" w:leader="none"/>
        </w:tabs>
        <w:spacing w:line="356" w:lineRule="exact" w:before="0" w:after="0"/>
        <w:ind w:left="2024" w:right="0" w:hanging="681"/>
        <w:jc w:val="left"/>
        <w:rPr>
          <w:rFonts w:ascii="Stone Sans II ITC Std Bk"/>
          <w:b/>
          <w:sz w:val="29"/>
        </w:rPr>
      </w:pPr>
      <w:r>
        <w:rPr>
          <w:rFonts w:ascii="Stone Sans II ITC Std Bk"/>
          <w:b/>
          <w:spacing w:val="2"/>
          <w:w w:val="110"/>
          <w:sz w:val="29"/>
        </w:rPr>
        <w:t>Chapter</w:t>
      </w:r>
      <w:r>
        <w:rPr>
          <w:rFonts w:ascii="Stone Sans II ITC Std Bk"/>
          <w:b/>
          <w:spacing w:val="12"/>
          <w:w w:val="110"/>
          <w:sz w:val="29"/>
        </w:rPr>
        <w:t> </w:t>
      </w:r>
      <w:r>
        <w:rPr>
          <w:rFonts w:ascii="Stone Sans II ITC Std Bk"/>
          <w:b/>
          <w:spacing w:val="4"/>
          <w:w w:val="110"/>
          <w:sz w:val="29"/>
        </w:rPr>
        <w:t>IV</w:t>
      </w:r>
    </w:p>
    <w:p>
      <w:pPr>
        <w:spacing w:line="356" w:lineRule="exact" w:before="0"/>
        <w:ind w:left="2024" w:right="0" w:firstLine="0"/>
        <w:jc w:val="left"/>
        <w:rPr>
          <w:rFonts w:ascii="Stone Sans II ITC Std Bk"/>
          <w:b/>
          <w:sz w:val="29"/>
        </w:rPr>
      </w:pPr>
      <w:r>
        <w:rPr>
          <w:rFonts w:ascii="Stone Sans II ITC Std Bk"/>
          <w:b/>
          <w:spacing w:val="4"/>
          <w:w w:val="110"/>
          <w:sz w:val="29"/>
        </w:rPr>
        <w:t>The </w:t>
      </w:r>
      <w:r>
        <w:rPr>
          <w:rFonts w:ascii="Stone Sans II ITC Std Bk"/>
          <w:b/>
          <w:spacing w:val="2"/>
          <w:w w:val="110"/>
          <w:sz w:val="29"/>
        </w:rPr>
        <w:t>Church: In </w:t>
      </w:r>
      <w:r>
        <w:rPr>
          <w:rFonts w:ascii="Stone Sans II ITC Std Bk"/>
          <w:b/>
          <w:spacing w:val="3"/>
          <w:w w:val="110"/>
          <w:sz w:val="29"/>
        </w:rPr>
        <w:t>and for </w:t>
      </w:r>
      <w:r>
        <w:rPr>
          <w:rFonts w:ascii="Stone Sans II ITC Std Bk"/>
          <w:b/>
          <w:spacing w:val="2"/>
          <w:w w:val="110"/>
          <w:sz w:val="29"/>
        </w:rPr>
        <w:t>the</w:t>
      </w:r>
      <w:r>
        <w:rPr>
          <w:rFonts w:ascii="Stone Sans II ITC Std Bk"/>
          <w:b/>
          <w:spacing w:val="63"/>
          <w:w w:val="110"/>
          <w:sz w:val="29"/>
        </w:rPr>
        <w:t> </w:t>
      </w:r>
      <w:r>
        <w:rPr>
          <w:rFonts w:ascii="Stone Sans II ITC Std Bk"/>
          <w:b/>
          <w:spacing w:val="3"/>
          <w:w w:val="110"/>
          <w:sz w:val="29"/>
        </w:rPr>
        <w:t>World</w:t>
      </w:r>
    </w:p>
    <w:p>
      <w:pPr>
        <w:pStyle w:val="Heading7"/>
        <w:numPr>
          <w:ilvl w:val="1"/>
          <w:numId w:val="137"/>
        </w:numPr>
        <w:tabs>
          <w:tab w:pos="2024" w:val="left" w:leader="none"/>
          <w:tab w:pos="2025" w:val="left" w:leader="none"/>
        </w:tabs>
        <w:spacing w:line="261" w:lineRule="exact" w:before="53" w:after="0"/>
        <w:ind w:left="2024" w:right="0" w:hanging="681"/>
        <w:jc w:val="left"/>
      </w:pPr>
      <w:r>
        <w:rPr>
          <w:w w:val="110"/>
        </w:rPr>
        <w:t>Ecumenical response to religious</w:t>
      </w:r>
      <w:r>
        <w:rPr>
          <w:spacing w:val="-1"/>
          <w:w w:val="110"/>
        </w:rPr>
        <w:t> </w:t>
      </w:r>
      <w:r>
        <w:rPr>
          <w:w w:val="110"/>
        </w:rPr>
        <w:t>pluralism</w:t>
      </w:r>
    </w:p>
    <w:p>
      <w:pPr>
        <w:pStyle w:val="ListParagraph"/>
        <w:numPr>
          <w:ilvl w:val="2"/>
          <w:numId w:val="137"/>
        </w:numPr>
        <w:tabs>
          <w:tab w:pos="2024" w:val="left" w:leader="none"/>
          <w:tab w:pos="2025" w:val="left" w:leader="none"/>
        </w:tabs>
        <w:spacing w:line="235" w:lineRule="auto" w:before="0" w:after="0"/>
        <w:ind w:left="1344" w:right="1305" w:firstLine="0"/>
        <w:jc w:val="left"/>
        <w:rPr>
          <w:sz w:val="20"/>
        </w:rPr>
      </w:pPr>
      <w:r>
        <w:rPr>
          <w:w w:val="120"/>
          <w:sz w:val="20"/>
        </w:rPr>
        <w:t>There remain serious disagreements </w:t>
      </w:r>
      <w:r>
        <w:rPr>
          <w:spacing w:val="-3"/>
          <w:w w:val="120"/>
          <w:sz w:val="20"/>
        </w:rPr>
        <w:t>within </w:t>
      </w:r>
      <w:r>
        <w:rPr>
          <w:w w:val="120"/>
          <w:sz w:val="20"/>
        </w:rPr>
        <w:t>and between some </w:t>
      </w:r>
      <w:r>
        <w:rPr>
          <w:spacing w:val="-3"/>
          <w:w w:val="120"/>
          <w:sz w:val="20"/>
        </w:rPr>
        <w:t>churches concerning </w:t>
      </w:r>
      <w:r>
        <w:rPr>
          <w:w w:val="120"/>
          <w:sz w:val="20"/>
        </w:rPr>
        <w:t>these </w:t>
      </w:r>
      <w:r>
        <w:rPr>
          <w:spacing w:val="-3"/>
          <w:w w:val="120"/>
          <w:sz w:val="20"/>
        </w:rPr>
        <w:t>issues. </w:t>
      </w:r>
      <w:r>
        <w:rPr>
          <w:w w:val="120"/>
          <w:sz w:val="20"/>
        </w:rPr>
        <w:t>The New </w:t>
      </w:r>
      <w:r>
        <w:rPr>
          <w:spacing w:val="-3"/>
          <w:w w:val="120"/>
          <w:sz w:val="20"/>
        </w:rPr>
        <w:t>Testament teaches </w:t>
      </w:r>
      <w:r>
        <w:rPr>
          <w:w w:val="120"/>
          <w:sz w:val="20"/>
        </w:rPr>
        <w:t>that God </w:t>
      </w:r>
      <w:r>
        <w:rPr>
          <w:spacing w:val="-3"/>
          <w:w w:val="120"/>
          <w:sz w:val="20"/>
        </w:rPr>
        <w:t>wills </w:t>
      </w:r>
      <w:r>
        <w:rPr>
          <w:w w:val="120"/>
          <w:sz w:val="20"/>
        </w:rPr>
        <w:t>the salvation of all people </w:t>
      </w:r>
      <w:r>
        <w:rPr>
          <w:spacing w:val="-7"/>
          <w:w w:val="120"/>
          <w:sz w:val="20"/>
        </w:rPr>
        <w:t>(1 </w:t>
      </w:r>
      <w:r>
        <w:rPr>
          <w:spacing w:val="-4"/>
          <w:w w:val="120"/>
          <w:sz w:val="20"/>
        </w:rPr>
        <w:t>Tim.2.4) </w:t>
      </w:r>
      <w:r>
        <w:rPr>
          <w:w w:val="120"/>
          <w:sz w:val="20"/>
        </w:rPr>
        <w:t>and, at the same </w:t>
      </w:r>
      <w:r>
        <w:rPr>
          <w:spacing w:val="-3"/>
          <w:w w:val="120"/>
          <w:sz w:val="20"/>
        </w:rPr>
        <w:t>time, </w:t>
      </w:r>
      <w:r>
        <w:rPr>
          <w:w w:val="120"/>
          <w:sz w:val="20"/>
        </w:rPr>
        <w:t>that Jesus is the one and only saviour of the world </w:t>
      </w:r>
      <w:r>
        <w:rPr>
          <w:spacing w:val="-7"/>
          <w:w w:val="120"/>
          <w:sz w:val="20"/>
        </w:rPr>
        <w:t>(1 </w:t>
      </w:r>
      <w:r>
        <w:rPr>
          <w:w w:val="120"/>
          <w:sz w:val="20"/>
        </w:rPr>
        <w:t>Tim. 2.5 and Acts </w:t>
      </w:r>
      <w:r>
        <w:rPr>
          <w:spacing w:val="-11"/>
          <w:w w:val="120"/>
          <w:sz w:val="20"/>
        </w:rPr>
        <w:t>4.12). </w:t>
      </w:r>
      <w:r>
        <w:rPr>
          <w:w w:val="120"/>
          <w:sz w:val="20"/>
        </w:rPr>
        <w:t>What </w:t>
      </w:r>
      <w:r>
        <w:rPr>
          <w:spacing w:val="-3"/>
          <w:w w:val="120"/>
          <w:sz w:val="20"/>
        </w:rPr>
        <w:t>conclusions may </w:t>
      </w:r>
      <w:r>
        <w:rPr>
          <w:w w:val="120"/>
          <w:sz w:val="20"/>
        </w:rPr>
        <w:t>be drawn from these biblical </w:t>
      </w:r>
      <w:r>
        <w:rPr>
          <w:spacing w:val="-3"/>
          <w:w w:val="120"/>
          <w:sz w:val="20"/>
        </w:rPr>
        <w:t>teachings </w:t>
      </w:r>
      <w:r>
        <w:rPr>
          <w:w w:val="120"/>
          <w:sz w:val="20"/>
        </w:rPr>
        <w:t>regarding the possibility of salvation for </w:t>
      </w:r>
      <w:r>
        <w:rPr>
          <w:spacing w:val="-3"/>
          <w:w w:val="120"/>
          <w:sz w:val="20"/>
        </w:rPr>
        <w:t>those </w:t>
      </w:r>
      <w:r>
        <w:rPr>
          <w:w w:val="120"/>
          <w:sz w:val="20"/>
        </w:rPr>
        <w:t>who do </w:t>
      </w:r>
      <w:r>
        <w:rPr>
          <w:spacing w:val="-2"/>
          <w:w w:val="120"/>
          <w:sz w:val="20"/>
        </w:rPr>
        <w:t>not </w:t>
      </w:r>
      <w:r>
        <w:rPr>
          <w:w w:val="120"/>
          <w:sz w:val="20"/>
        </w:rPr>
        <w:t>believe in </w:t>
      </w:r>
      <w:r>
        <w:rPr>
          <w:spacing w:val="-3"/>
          <w:w w:val="120"/>
          <w:sz w:val="20"/>
        </w:rPr>
        <w:t>Christ? </w:t>
      </w:r>
      <w:r>
        <w:rPr>
          <w:w w:val="120"/>
          <w:sz w:val="20"/>
        </w:rPr>
        <w:t>Some hold that, in </w:t>
      </w:r>
      <w:r>
        <w:rPr>
          <w:spacing w:val="-3"/>
          <w:w w:val="120"/>
          <w:sz w:val="20"/>
        </w:rPr>
        <w:t>ways </w:t>
      </w:r>
      <w:r>
        <w:rPr>
          <w:w w:val="120"/>
          <w:sz w:val="20"/>
        </w:rPr>
        <w:t>known </w:t>
      </w:r>
      <w:r>
        <w:rPr>
          <w:spacing w:val="-3"/>
          <w:w w:val="120"/>
          <w:sz w:val="20"/>
        </w:rPr>
        <w:t>to </w:t>
      </w:r>
      <w:r>
        <w:rPr>
          <w:w w:val="120"/>
          <w:sz w:val="20"/>
        </w:rPr>
        <w:t>God, salvation in Christ through the </w:t>
      </w:r>
      <w:r>
        <w:rPr>
          <w:spacing w:val="-3"/>
          <w:w w:val="120"/>
          <w:sz w:val="20"/>
        </w:rPr>
        <w:t>power </w:t>
      </w:r>
      <w:r>
        <w:rPr>
          <w:w w:val="120"/>
          <w:sz w:val="20"/>
        </w:rPr>
        <w:t>of the Holy Spirit is </w:t>
      </w:r>
      <w:r>
        <w:rPr>
          <w:spacing w:val="-3"/>
          <w:w w:val="120"/>
          <w:sz w:val="20"/>
        </w:rPr>
        <w:t>possible </w:t>
      </w:r>
      <w:r>
        <w:rPr>
          <w:w w:val="120"/>
          <w:sz w:val="20"/>
        </w:rPr>
        <w:t>for </w:t>
      </w:r>
      <w:r>
        <w:rPr>
          <w:spacing w:val="-3"/>
          <w:w w:val="120"/>
          <w:sz w:val="20"/>
        </w:rPr>
        <w:t>those </w:t>
      </w:r>
      <w:r>
        <w:rPr>
          <w:w w:val="120"/>
          <w:sz w:val="20"/>
        </w:rPr>
        <w:t>who do </w:t>
      </w:r>
      <w:r>
        <w:rPr>
          <w:spacing w:val="-2"/>
          <w:w w:val="120"/>
          <w:sz w:val="20"/>
        </w:rPr>
        <w:t>not </w:t>
      </w:r>
      <w:r>
        <w:rPr>
          <w:w w:val="120"/>
          <w:sz w:val="20"/>
        </w:rPr>
        <w:t>explicitly share Christian faith. Others do </w:t>
      </w:r>
      <w:r>
        <w:rPr>
          <w:spacing w:val="-2"/>
          <w:w w:val="120"/>
          <w:sz w:val="20"/>
        </w:rPr>
        <w:t>not </w:t>
      </w:r>
      <w:r>
        <w:rPr>
          <w:w w:val="120"/>
          <w:sz w:val="20"/>
        </w:rPr>
        <w:t>see </w:t>
      </w:r>
      <w:r>
        <w:rPr>
          <w:spacing w:val="-2"/>
          <w:w w:val="120"/>
          <w:sz w:val="20"/>
        </w:rPr>
        <w:t>how </w:t>
      </w:r>
      <w:r>
        <w:rPr>
          <w:spacing w:val="-3"/>
          <w:w w:val="120"/>
          <w:sz w:val="20"/>
        </w:rPr>
        <w:t>such </w:t>
      </w:r>
      <w:r>
        <w:rPr>
          <w:w w:val="120"/>
          <w:sz w:val="20"/>
        </w:rPr>
        <w:t>a view sufficiently </w:t>
      </w:r>
      <w:r>
        <w:rPr>
          <w:spacing w:val="-3"/>
          <w:w w:val="120"/>
          <w:sz w:val="20"/>
        </w:rPr>
        <w:t>corresponds to </w:t>
      </w:r>
      <w:r>
        <w:rPr>
          <w:w w:val="120"/>
          <w:sz w:val="20"/>
        </w:rPr>
        <w:t>biblical passages about the necessity of faith and </w:t>
      </w:r>
      <w:r>
        <w:rPr>
          <w:spacing w:val="-3"/>
          <w:w w:val="120"/>
          <w:sz w:val="20"/>
        </w:rPr>
        <w:t>baptism </w:t>
      </w:r>
      <w:r>
        <w:rPr>
          <w:w w:val="120"/>
          <w:sz w:val="20"/>
        </w:rPr>
        <w:t>for salvation. Differences on </w:t>
      </w:r>
      <w:r>
        <w:rPr>
          <w:spacing w:val="-3"/>
          <w:w w:val="120"/>
          <w:sz w:val="20"/>
        </w:rPr>
        <w:t>this </w:t>
      </w:r>
      <w:r>
        <w:rPr>
          <w:w w:val="120"/>
          <w:sz w:val="20"/>
        </w:rPr>
        <w:t>question will </w:t>
      </w:r>
      <w:r>
        <w:rPr>
          <w:spacing w:val="-3"/>
          <w:w w:val="120"/>
          <w:sz w:val="20"/>
        </w:rPr>
        <w:t>have </w:t>
      </w:r>
      <w:r>
        <w:rPr>
          <w:w w:val="120"/>
          <w:sz w:val="20"/>
        </w:rPr>
        <w:t>an impact upon </w:t>
      </w:r>
      <w:r>
        <w:rPr>
          <w:spacing w:val="-2"/>
          <w:w w:val="120"/>
          <w:sz w:val="20"/>
        </w:rPr>
        <w:t>how </w:t>
      </w:r>
      <w:r>
        <w:rPr>
          <w:w w:val="120"/>
          <w:sz w:val="20"/>
        </w:rPr>
        <w:t>one understands and puts </w:t>
      </w:r>
      <w:r>
        <w:rPr>
          <w:spacing w:val="-3"/>
          <w:w w:val="120"/>
          <w:sz w:val="20"/>
        </w:rPr>
        <w:t>into </w:t>
      </w:r>
      <w:r>
        <w:rPr>
          <w:w w:val="120"/>
          <w:sz w:val="20"/>
        </w:rPr>
        <w:t>practice the </w:t>
      </w:r>
      <w:r>
        <w:rPr>
          <w:spacing w:val="-3"/>
          <w:w w:val="120"/>
          <w:sz w:val="20"/>
        </w:rPr>
        <w:t>mission </w:t>
      </w:r>
      <w:r>
        <w:rPr>
          <w:w w:val="120"/>
          <w:sz w:val="20"/>
        </w:rPr>
        <w:t>of the </w:t>
      </w:r>
      <w:r>
        <w:rPr>
          <w:spacing w:val="-3"/>
          <w:w w:val="120"/>
          <w:sz w:val="20"/>
        </w:rPr>
        <w:t>Church. </w:t>
      </w:r>
      <w:r>
        <w:rPr>
          <w:w w:val="120"/>
          <w:sz w:val="20"/>
        </w:rPr>
        <w:t>Within </w:t>
      </w:r>
      <w:r>
        <w:rPr>
          <w:spacing w:val="-4"/>
          <w:w w:val="120"/>
          <w:sz w:val="20"/>
        </w:rPr>
        <w:t>today’s </w:t>
      </w:r>
      <w:r>
        <w:rPr>
          <w:w w:val="120"/>
          <w:sz w:val="20"/>
        </w:rPr>
        <w:t>context of</w:t>
      </w:r>
      <w:r>
        <w:rPr>
          <w:spacing w:val="-7"/>
          <w:w w:val="120"/>
          <w:sz w:val="20"/>
        </w:rPr>
        <w:t> </w:t>
      </w:r>
      <w:r>
        <w:rPr>
          <w:w w:val="120"/>
          <w:sz w:val="20"/>
        </w:rPr>
        <w:t>increased</w:t>
      </w:r>
      <w:r>
        <w:rPr>
          <w:spacing w:val="-6"/>
          <w:w w:val="120"/>
          <w:sz w:val="20"/>
        </w:rPr>
        <w:t> </w:t>
      </w:r>
      <w:r>
        <w:rPr>
          <w:w w:val="120"/>
          <w:sz w:val="20"/>
        </w:rPr>
        <w:t>awareness</w:t>
      </w:r>
      <w:r>
        <w:rPr>
          <w:spacing w:val="-6"/>
          <w:w w:val="120"/>
          <w:sz w:val="20"/>
        </w:rPr>
        <w:t> </w:t>
      </w:r>
      <w:r>
        <w:rPr>
          <w:w w:val="120"/>
          <w:sz w:val="20"/>
        </w:rPr>
        <w:t>of</w:t>
      </w:r>
      <w:r>
        <w:rPr>
          <w:spacing w:val="-6"/>
          <w:w w:val="120"/>
          <w:sz w:val="20"/>
        </w:rPr>
        <w:t> </w:t>
      </w:r>
      <w:r>
        <w:rPr>
          <w:w w:val="120"/>
          <w:sz w:val="20"/>
        </w:rPr>
        <w:t>the</w:t>
      </w:r>
      <w:r>
        <w:rPr>
          <w:spacing w:val="-6"/>
          <w:w w:val="120"/>
          <w:sz w:val="20"/>
        </w:rPr>
        <w:t> </w:t>
      </w:r>
      <w:r>
        <w:rPr>
          <w:w w:val="120"/>
          <w:sz w:val="20"/>
        </w:rPr>
        <w:t>vitality</w:t>
      </w:r>
      <w:r>
        <w:rPr>
          <w:spacing w:val="-6"/>
          <w:w w:val="120"/>
          <w:sz w:val="20"/>
        </w:rPr>
        <w:t> </w:t>
      </w:r>
      <w:r>
        <w:rPr>
          <w:w w:val="120"/>
          <w:sz w:val="20"/>
        </w:rPr>
        <w:t>of</w:t>
      </w:r>
      <w:r>
        <w:rPr>
          <w:spacing w:val="-7"/>
          <w:w w:val="120"/>
          <w:sz w:val="20"/>
        </w:rPr>
        <w:t> </w:t>
      </w:r>
      <w:r>
        <w:rPr>
          <w:w w:val="120"/>
          <w:sz w:val="20"/>
        </w:rPr>
        <w:t>various</w:t>
      </w:r>
      <w:r>
        <w:rPr>
          <w:spacing w:val="-6"/>
          <w:w w:val="120"/>
          <w:sz w:val="20"/>
        </w:rPr>
        <w:t> </w:t>
      </w:r>
      <w:r>
        <w:rPr>
          <w:spacing w:val="-3"/>
          <w:w w:val="120"/>
          <w:sz w:val="20"/>
        </w:rPr>
        <w:t>religions</w:t>
      </w:r>
      <w:r>
        <w:rPr>
          <w:spacing w:val="-6"/>
          <w:w w:val="120"/>
          <w:sz w:val="20"/>
        </w:rPr>
        <w:t> </w:t>
      </w:r>
      <w:r>
        <w:rPr>
          <w:w w:val="120"/>
          <w:sz w:val="20"/>
        </w:rPr>
        <w:t>throughout</w:t>
      </w:r>
      <w:r>
        <w:rPr>
          <w:spacing w:val="-6"/>
          <w:w w:val="120"/>
          <w:sz w:val="20"/>
        </w:rPr>
        <w:t> </w:t>
      </w:r>
      <w:r>
        <w:rPr>
          <w:w w:val="120"/>
          <w:sz w:val="20"/>
        </w:rPr>
        <w:t>the</w:t>
      </w:r>
      <w:r>
        <w:rPr>
          <w:spacing w:val="-6"/>
          <w:w w:val="120"/>
          <w:sz w:val="20"/>
        </w:rPr>
        <w:t> </w:t>
      </w:r>
      <w:r>
        <w:rPr>
          <w:w w:val="120"/>
          <w:sz w:val="20"/>
        </w:rPr>
        <w:t>world,</w:t>
      </w:r>
      <w:r>
        <w:rPr>
          <w:spacing w:val="-6"/>
          <w:w w:val="120"/>
          <w:sz w:val="20"/>
        </w:rPr>
        <w:t> </w:t>
      </w:r>
      <w:r>
        <w:rPr>
          <w:spacing w:val="-2"/>
          <w:w w:val="120"/>
          <w:sz w:val="20"/>
        </w:rPr>
        <w:t>how</w:t>
      </w:r>
    </w:p>
    <w:p>
      <w:pPr>
        <w:pStyle w:val="BodyText"/>
        <w:spacing w:line="235" w:lineRule="auto" w:before="3"/>
        <w:ind w:left="1344" w:right="1482"/>
      </w:pPr>
      <w:r>
        <w:rPr>
          <w:spacing w:val="-3"/>
          <w:w w:val="120"/>
        </w:rPr>
        <w:t>may </w:t>
      </w:r>
      <w:r>
        <w:rPr>
          <w:w w:val="120"/>
        </w:rPr>
        <w:t>the </w:t>
      </w:r>
      <w:r>
        <w:rPr>
          <w:spacing w:val="-3"/>
          <w:w w:val="120"/>
        </w:rPr>
        <w:t>churches </w:t>
      </w:r>
      <w:r>
        <w:rPr>
          <w:w w:val="120"/>
        </w:rPr>
        <w:t>arrive at </w:t>
      </w:r>
      <w:r>
        <w:rPr>
          <w:spacing w:val="-3"/>
          <w:w w:val="120"/>
        </w:rPr>
        <w:t>greater convergence </w:t>
      </w:r>
      <w:r>
        <w:rPr>
          <w:w w:val="120"/>
        </w:rPr>
        <w:t>about these </w:t>
      </w:r>
      <w:r>
        <w:rPr>
          <w:spacing w:val="-3"/>
          <w:w w:val="120"/>
        </w:rPr>
        <w:t>issues </w:t>
      </w:r>
      <w:r>
        <w:rPr>
          <w:w w:val="120"/>
        </w:rPr>
        <w:t>and </w:t>
      </w:r>
      <w:r>
        <w:rPr>
          <w:spacing w:val="-3"/>
          <w:w w:val="120"/>
        </w:rPr>
        <w:t>cooperate </w:t>
      </w:r>
      <w:r>
        <w:rPr>
          <w:w w:val="120"/>
        </w:rPr>
        <w:t>more effectively in witnessing </w:t>
      </w:r>
      <w:r>
        <w:rPr>
          <w:spacing w:val="-3"/>
          <w:w w:val="120"/>
        </w:rPr>
        <w:t>to </w:t>
      </w:r>
      <w:r>
        <w:rPr>
          <w:w w:val="120"/>
        </w:rPr>
        <w:t>the Gospel in word and deed?</w:t>
      </w:r>
    </w:p>
    <w:p>
      <w:pPr>
        <w:pStyle w:val="BodyText"/>
        <w:spacing w:before="9"/>
        <w:rPr>
          <w:sz w:val="19"/>
        </w:rPr>
      </w:pPr>
    </w:p>
    <w:p>
      <w:pPr>
        <w:pStyle w:val="ListParagraph"/>
        <w:numPr>
          <w:ilvl w:val="2"/>
          <w:numId w:val="137"/>
        </w:numPr>
        <w:tabs>
          <w:tab w:pos="2024" w:val="left" w:leader="none"/>
          <w:tab w:pos="2025" w:val="left" w:leader="none"/>
        </w:tabs>
        <w:spacing w:line="235" w:lineRule="auto" w:before="0" w:after="0"/>
        <w:ind w:left="1344" w:right="1631" w:firstLine="0"/>
        <w:jc w:val="left"/>
        <w:rPr>
          <w:sz w:val="20"/>
        </w:rPr>
      </w:pPr>
      <w:r>
        <w:rPr>
          <w:w w:val="120"/>
          <w:sz w:val="20"/>
        </w:rPr>
        <w:t>Within the URC there are some who emphasise a more exclusive approach, focusing upon individual salvation through faith and baptism. There are others that would invite a more universalist understanding of salvation regarding God’s coming kingdom and the vision of all things being brought into the New Jerusalem at the Parousia. The URC is a church that respects a range of beliefs of salvation</w:t>
      </w:r>
      <w:r>
        <w:rPr>
          <w:spacing w:val="30"/>
          <w:w w:val="120"/>
          <w:sz w:val="20"/>
        </w:rPr>
        <w:t> </w:t>
      </w:r>
      <w:r>
        <w:rPr>
          <w:w w:val="120"/>
          <w:sz w:val="20"/>
        </w:rPr>
        <w:t>among</w:t>
      </w:r>
    </w:p>
    <w:p>
      <w:pPr>
        <w:pStyle w:val="BodyText"/>
        <w:ind w:left="1344"/>
      </w:pPr>
      <w:r>
        <w:rPr>
          <w:w w:val="120"/>
        </w:rPr>
        <w:t>its members.</w:t>
      </w:r>
    </w:p>
    <w:p>
      <w:pPr>
        <w:spacing w:after="0"/>
        <w:sectPr>
          <w:type w:val="continuous"/>
          <w:pgSz w:w="11910" w:h="16840"/>
          <w:pgMar w:top="1580" w:bottom="280" w:left="640" w:right="0"/>
        </w:sectPr>
      </w:pPr>
    </w:p>
    <w:p>
      <w:pPr>
        <w:pStyle w:val="BodyText"/>
      </w:pPr>
      <w:r>
        <w:rPr/>
        <w:drawing>
          <wp:anchor distT="0" distB="0" distL="0" distR="0" allowOverlap="1" layoutInCell="1" locked="0" behindDoc="1" simplePos="0" relativeHeight="235512832">
            <wp:simplePos x="0" y="0"/>
            <wp:positionH relativeFrom="page">
              <wp:posOffset>0</wp:posOffset>
            </wp:positionH>
            <wp:positionV relativeFrom="page">
              <wp:posOffset>0</wp:posOffset>
            </wp:positionV>
            <wp:extent cx="594067" cy="10692003"/>
            <wp:effectExtent l="0" t="0" r="0" b="0"/>
            <wp:wrapNone/>
            <wp:docPr id="219" name="image67.png"/>
            <wp:cNvGraphicFramePr>
              <a:graphicFrameLocks noChangeAspect="1"/>
            </wp:cNvGraphicFramePr>
            <a:graphic>
              <a:graphicData uri="http://schemas.openxmlformats.org/drawingml/2006/picture">
                <pic:pic>
                  <pic:nvPicPr>
                    <pic:cNvPr id="220" name="image67.png"/>
                    <pic:cNvPicPr/>
                  </pic:nvPicPr>
                  <pic:blipFill>
                    <a:blip r:embed="rId184" cstate="print"/>
                    <a:stretch>
                      <a:fillRect/>
                    </a:stretch>
                  </pic:blipFill>
                  <pic:spPr>
                    <a:xfrm>
                      <a:off x="0" y="0"/>
                      <a:ext cx="594067" cy="10692003"/>
                    </a:xfrm>
                    <a:prstGeom prst="rect">
                      <a:avLst/>
                    </a:prstGeom>
                  </pic:spPr>
                </pic:pic>
              </a:graphicData>
            </a:graphic>
          </wp:anchor>
        </w:drawing>
      </w:r>
      <w:r>
        <w:rPr/>
        <w:pict>
          <v:shape style="position:absolute;margin-left:20.519100pt;margin-top:48.890015pt;width:25.9pt;height:444.45pt;mso-position-horizontal-relative:page;mso-position-vertical-relative:page;z-index:-267802624" type="#_x0000_t202" filled="false" stroked="false">
            <v:textbox inset="0,0,0,0" style="layout-flow:vertical">
              <w:txbxContent>
                <w:p>
                  <w:pPr>
                    <w:spacing w:before="27"/>
                    <w:ind w:left="20" w:right="0" w:firstLine="0"/>
                    <w:jc w:val="left"/>
                    <w:rPr>
                      <w:sz w:val="39"/>
                    </w:rPr>
                  </w:pPr>
                  <w:r>
                    <w:rPr>
                      <w:color w:val="FFFFFF"/>
                      <w:w w:val="120"/>
                      <w:sz w:val="39"/>
                    </w:rPr>
                    <w:t>Faith and order – </w:t>
                  </w:r>
                  <w:r>
                    <w:rPr>
                      <w:w w:val="120"/>
                      <w:sz w:val="39"/>
                    </w:rPr>
                    <w:t>Towards a common vision</w:t>
                  </w:r>
                </w:p>
              </w:txbxContent>
            </v:textbox>
            <w10:wrap type="none"/>
          </v:shape>
        </w:pict>
      </w:r>
    </w:p>
    <w:p>
      <w:pPr>
        <w:pStyle w:val="BodyText"/>
        <w:spacing w:before="7"/>
        <w:rPr>
          <w:sz w:val="21"/>
        </w:rPr>
      </w:pPr>
    </w:p>
    <w:p>
      <w:pPr>
        <w:spacing w:before="106"/>
        <w:ind w:left="607" w:right="0" w:firstLine="0"/>
        <w:jc w:val="left"/>
        <w:rPr>
          <w:sz w:val="26"/>
        </w:rPr>
      </w:pPr>
      <w:r>
        <w:rPr>
          <w:color w:val="7EAABF"/>
          <w:w w:val="115"/>
          <w:sz w:val="26"/>
        </w:rPr>
        <w:t>Faith and order</w:t>
      </w:r>
    </w:p>
    <w:p>
      <w:pPr>
        <w:pStyle w:val="Heading7"/>
        <w:numPr>
          <w:ilvl w:val="1"/>
          <w:numId w:val="137"/>
        </w:numPr>
        <w:tabs>
          <w:tab w:pos="1287" w:val="left" w:leader="none"/>
          <w:tab w:pos="1288" w:val="left" w:leader="none"/>
        </w:tabs>
        <w:spacing w:line="261" w:lineRule="exact" w:before="205" w:after="0"/>
        <w:ind w:left="1287" w:right="0" w:hanging="681"/>
        <w:jc w:val="left"/>
      </w:pPr>
      <w:r>
        <w:rPr>
          <w:w w:val="110"/>
        </w:rPr>
        <w:t>Moral questions and the unity of the</w:t>
      </w:r>
      <w:r>
        <w:rPr>
          <w:spacing w:val="-1"/>
          <w:w w:val="110"/>
        </w:rPr>
        <w:t> </w:t>
      </w:r>
      <w:r>
        <w:rPr>
          <w:w w:val="110"/>
        </w:rPr>
        <w:t>Church</w:t>
      </w:r>
    </w:p>
    <w:p>
      <w:pPr>
        <w:pStyle w:val="ListParagraph"/>
        <w:numPr>
          <w:ilvl w:val="2"/>
          <w:numId w:val="137"/>
        </w:numPr>
        <w:tabs>
          <w:tab w:pos="1287" w:val="left" w:leader="none"/>
          <w:tab w:pos="1288" w:val="left" w:leader="none"/>
        </w:tabs>
        <w:spacing w:line="235" w:lineRule="auto" w:before="0" w:after="0"/>
        <w:ind w:left="607" w:right="2010" w:firstLine="0"/>
        <w:jc w:val="left"/>
        <w:rPr>
          <w:sz w:val="20"/>
        </w:rPr>
      </w:pPr>
      <w:r>
        <w:rPr>
          <w:spacing w:val="-3"/>
          <w:w w:val="120"/>
          <w:sz w:val="20"/>
        </w:rPr>
        <w:t>Ecumenical </w:t>
      </w:r>
      <w:r>
        <w:rPr>
          <w:w w:val="120"/>
          <w:sz w:val="20"/>
        </w:rPr>
        <w:t>dialogue at the </w:t>
      </w:r>
      <w:r>
        <w:rPr>
          <w:spacing w:val="-3"/>
          <w:w w:val="120"/>
          <w:sz w:val="20"/>
        </w:rPr>
        <w:t>multilateral </w:t>
      </w:r>
      <w:r>
        <w:rPr>
          <w:w w:val="120"/>
          <w:sz w:val="20"/>
        </w:rPr>
        <w:t>and bilateral </w:t>
      </w:r>
      <w:r>
        <w:rPr>
          <w:spacing w:val="-3"/>
          <w:w w:val="120"/>
          <w:sz w:val="20"/>
        </w:rPr>
        <w:t>levels </w:t>
      </w:r>
      <w:r>
        <w:rPr>
          <w:w w:val="120"/>
          <w:sz w:val="20"/>
        </w:rPr>
        <w:t>has begun </w:t>
      </w:r>
      <w:r>
        <w:rPr>
          <w:spacing w:val="-3"/>
          <w:w w:val="120"/>
          <w:sz w:val="20"/>
        </w:rPr>
        <w:t>to </w:t>
      </w:r>
      <w:r>
        <w:rPr>
          <w:spacing w:val="-4"/>
          <w:w w:val="120"/>
          <w:sz w:val="20"/>
        </w:rPr>
        <w:t>sketch </w:t>
      </w:r>
      <w:r>
        <w:rPr>
          <w:w w:val="120"/>
          <w:sz w:val="20"/>
        </w:rPr>
        <w:t>out some of the parameters of the significance of moral doctrine and practice for Christian </w:t>
      </w:r>
      <w:r>
        <w:rPr>
          <w:spacing w:val="-4"/>
          <w:w w:val="120"/>
          <w:sz w:val="20"/>
        </w:rPr>
        <w:t>unity. </w:t>
      </w:r>
      <w:r>
        <w:rPr>
          <w:w w:val="120"/>
          <w:sz w:val="20"/>
        </w:rPr>
        <w:t>If present and future ecumenical dialogue is </w:t>
      </w:r>
      <w:r>
        <w:rPr>
          <w:spacing w:val="-3"/>
          <w:w w:val="120"/>
          <w:sz w:val="20"/>
        </w:rPr>
        <w:t>to </w:t>
      </w:r>
      <w:r>
        <w:rPr>
          <w:w w:val="120"/>
          <w:sz w:val="20"/>
        </w:rPr>
        <w:t>serve both the </w:t>
      </w:r>
      <w:r>
        <w:rPr>
          <w:spacing w:val="-3"/>
          <w:w w:val="120"/>
          <w:sz w:val="20"/>
        </w:rPr>
        <w:t>mission </w:t>
      </w:r>
      <w:r>
        <w:rPr>
          <w:w w:val="120"/>
          <w:sz w:val="20"/>
        </w:rPr>
        <w:t>and the unity</w:t>
      </w:r>
      <w:r>
        <w:rPr>
          <w:spacing w:val="-4"/>
          <w:w w:val="120"/>
          <w:sz w:val="20"/>
        </w:rPr>
        <w:t> </w:t>
      </w:r>
      <w:r>
        <w:rPr>
          <w:w w:val="120"/>
          <w:sz w:val="20"/>
        </w:rPr>
        <w:t>of</w:t>
      </w:r>
      <w:r>
        <w:rPr>
          <w:spacing w:val="-4"/>
          <w:w w:val="120"/>
          <w:sz w:val="20"/>
        </w:rPr>
        <w:t> </w:t>
      </w:r>
      <w:r>
        <w:rPr>
          <w:w w:val="120"/>
          <w:sz w:val="20"/>
        </w:rPr>
        <w:t>the</w:t>
      </w:r>
      <w:r>
        <w:rPr>
          <w:spacing w:val="-3"/>
          <w:w w:val="120"/>
          <w:sz w:val="20"/>
        </w:rPr>
        <w:t> Church,</w:t>
      </w:r>
      <w:r>
        <w:rPr>
          <w:spacing w:val="-4"/>
          <w:w w:val="120"/>
          <w:sz w:val="20"/>
        </w:rPr>
        <w:t> </w:t>
      </w:r>
      <w:r>
        <w:rPr>
          <w:w w:val="120"/>
          <w:sz w:val="20"/>
        </w:rPr>
        <w:t>it</w:t>
      </w:r>
      <w:r>
        <w:rPr>
          <w:spacing w:val="-3"/>
          <w:w w:val="120"/>
          <w:sz w:val="20"/>
        </w:rPr>
        <w:t> </w:t>
      </w:r>
      <w:r>
        <w:rPr>
          <w:w w:val="120"/>
          <w:sz w:val="20"/>
        </w:rPr>
        <w:t>is</w:t>
      </w:r>
      <w:r>
        <w:rPr>
          <w:spacing w:val="-4"/>
          <w:w w:val="120"/>
          <w:sz w:val="20"/>
        </w:rPr>
        <w:t> </w:t>
      </w:r>
      <w:r>
        <w:rPr>
          <w:w w:val="120"/>
          <w:sz w:val="20"/>
        </w:rPr>
        <w:t>important</w:t>
      </w:r>
      <w:r>
        <w:rPr>
          <w:spacing w:val="-4"/>
          <w:w w:val="120"/>
          <w:sz w:val="20"/>
        </w:rPr>
        <w:t> </w:t>
      </w:r>
      <w:r>
        <w:rPr>
          <w:w w:val="120"/>
          <w:sz w:val="20"/>
        </w:rPr>
        <w:t>that</w:t>
      </w:r>
      <w:r>
        <w:rPr>
          <w:spacing w:val="-3"/>
          <w:w w:val="120"/>
          <w:sz w:val="20"/>
        </w:rPr>
        <w:t> this</w:t>
      </w:r>
      <w:r>
        <w:rPr>
          <w:spacing w:val="-4"/>
          <w:w w:val="120"/>
          <w:sz w:val="20"/>
        </w:rPr>
        <w:t> </w:t>
      </w:r>
      <w:r>
        <w:rPr>
          <w:w w:val="120"/>
          <w:sz w:val="20"/>
        </w:rPr>
        <w:t>dialogue</w:t>
      </w:r>
      <w:r>
        <w:rPr>
          <w:spacing w:val="-3"/>
          <w:w w:val="120"/>
          <w:sz w:val="20"/>
        </w:rPr>
        <w:t> </w:t>
      </w:r>
      <w:r>
        <w:rPr>
          <w:w w:val="120"/>
          <w:sz w:val="20"/>
        </w:rPr>
        <w:t>explicitly</w:t>
      </w:r>
      <w:r>
        <w:rPr>
          <w:spacing w:val="-4"/>
          <w:w w:val="120"/>
          <w:sz w:val="20"/>
        </w:rPr>
        <w:t> </w:t>
      </w:r>
      <w:r>
        <w:rPr>
          <w:w w:val="120"/>
          <w:sz w:val="20"/>
        </w:rPr>
        <w:t>address</w:t>
      </w:r>
      <w:r>
        <w:rPr>
          <w:spacing w:val="-4"/>
          <w:w w:val="120"/>
          <w:sz w:val="20"/>
        </w:rPr>
        <w:t> </w:t>
      </w:r>
      <w:r>
        <w:rPr>
          <w:w w:val="120"/>
          <w:sz w:val="20"/>
        </w:rPr>
        <w:t>the</w:t>
      </w:r>
      <w:r>
        <w:rPr>
          <w:spacing w:val="-3"/>
          <w:w w:val="120"/>
          <w:sz w:val="20"/>
        </w:rPr>
        <w:t> </w:t>
      </w:r>
      <w:r>
        <w:rPr>
          <w:w w:val="120"/>
          <w:sz w:val="20"/>
        </w:rPr>
        <w:t>challenges</w:t>
      </w:r>
    </w:p>
    <w:p>
      <w:pPr>
        <w:pStyle w:val="BodyText"/>
        <w:spacing w:line="235" w:lineRule="auto"/>
        <w:ind w:left="607" w:right="2420"/>
      </w:pPr>
      <w:r>
        <w:rPr>
          <w:spacing w:val="-3"/>
          <w:w w:val="120"/>
        </w:rPr>
        <w:t>to convergence </w:t>
      </w:r>
      <w:r>
        <w:rPr>
          <w:w w:val="120"/>
        </w:rPr>
        <w:t>represented by contemporary moral </w:t>
      </w:r>
      <w:r>
        <w:rPr>
          <w:spacing w:val="-3"/>
          <w:w w:val="120"/>
        </w:rPr>
        <w:t>issues. We invite </w:t>
      </w:r>
      <w:r>
        <w:rPr>
          <w:w w:val="120"/>
        </w:rPr>
        <w:t>the </w:t>
      </w:r>
      <w:r>
        <w:rPr>
          <w:spacing w:val="-3"/>
          <w:w w:val="120"/>
        </w:rPr>
        <w:t>churches  to</w:t>
      </w:r>
      <w:r>
        <w:rPr>
          <w:spacing w:val="-6"/>
          <w:w w:val="120"/>
        </w:rPr>
        <w:t> </w:t>
      </w:r>
      <w:r>
        <w:rPr>
          <w:w w:val="120"/>
        </w:rPr>
        <w:t>explore</w:t>
      </w:r>
      <w:r>
        <w:rPr>
          <w:spacing w:val="-6"/>
          <w:w w:val="120"/>
        </w:rPr>
        <w:t> </w:t>
      </w:r>
      <w:r>
        <w:rPr>
          <w:w w:val="120"/>
        </w:rPr>
        <w:t>these</w:t>
      </w:r>
      <w:r>
        <w:rPr>
          <w:spacing w:val="-6"/>
          <w:w w:val="120"/>
        </w:rPr>
        <w:t> </w:t>
      </w:r>
      <w:r>
        <w:rPr>
          <w:spacing w:val="-3"/>
          <w:w w:val="120"/>
        </w:rPr>
        <w:t>issues</w:t>
      </w:r>
      <w:r>
        <w:rPr>
          <w:spacing w:val="-5"/>
          <w:w w:val="120"/>
        </w:rPr>
        <w:t> </w:t>
      </w:r>
      <w:r>
        <w:rPr>
          <w:w w:val="120"/>
        </w:rPr>
        <w:t>in</w:t>
      </w:r>
      <w:r>
        <w:rPr>
          <w:spacing w:val="-6"/>
          <w:w w:val="120"/>
        </w:rPr>
        <w:t> </w:t>
      </w:r>
      <w:r>
        <w:rPr>
          <w:w w:val="120"/>
        </w:rPr>
        <w:t>a</w:t>
      </w:r>
      <w:r>
        <w:rPr>
          <w:spacing w:val="-6"/>
          <w:w w:val="120"/>
        </w:rPr>
        <w:t> </w:t>
      </w:r>
      <w:r>
        <w:rPr>
          <w:w w:val="120"/>
        </w:rPr>
        <w:t>spirit</w:t>
      </w:r>
      <w:r>
        <w:rPr>
          <w:spacing w:val="-6"/>
          <w:w w:val="120"/>
        </w:rPr>
        <w:t> </w:t>
      </w:r>
      <w:r>
        <w:rPr>
          <w:w w:val="120"/>
        </w:rPr>
        <w:t>of</w:t>
      </w:r>
      <w:r>
        <w:rPr>
          <w:spacing w:val="-5"/>
          <w:w w:val="120"/>
        </w:rPr>
        <w:t> </w:t>
      </w:r>
      <w:r>
        <w:rPr>
          <w:spacing w:val="-3"/>
          <w:w w:val="120"/>
        </w:rPr>
        <w:t>mutual</w:t>
      </w:r>
      <w:r>
        <w:rPr>
          <w:spacing w:val="-6"/>
          <w:w w:val="120"/>
        </w:rPr>
        <w:t> </w:t>
      </w:r>
      <w:r>
        <w:rPr>
          <w:spacing w:val="-2"/>
          <w:w w:val="120"/>
        </w:rPr>
        <w:t>attentiveness</w:t>
      </w:r>
      <w:r>
        <w:rPr>
          <w:spacing w:val="-6"/>
          <w:w w:val="120"/>
        </w:rPr>
        <w:t> </w:t>
      </w:r>
      <w:r>
        <w:rPr>
          <w:w w:val="120"/>
        </w:rPr>
        <w:t>and</w:t>
      </w:r>
      <w:r>
        <w:rPr>
          <w:spacing w:val="-6"/>
          <w:w w:val="120"/>
        </w:rPr>
        <w:t> </w:t>
      </w:r>
      <w:r>
        <w:rPr>
          <w:w w:val="120"/>
        </w:rPr>
        <w:t>support.</w:t>
      </w:r>
      <w:r>
        <w:rPr>
          <w:spacing w:val="-5"/>
          <w:w w:val="120"/>
        </w:rPr>
        <w:t> </w:t>
      </w:r>
      <w:r>
        <w:rPr>
          <w:w w:val="120"/>
        </w:rPr>
        <w:t>How</w:t>
      </w:r>
      <w:r>
        <w:rPr>
          <w:spacing w:val="-6"/>
          <w:w w:val="120"/>
        </w:rPr>
        <w:t> </w:t>
      </w:r>
      <w:r>
        <w:rPr>
          <w:w w:val="120"/>
        </w:rPr>
        <w:t>might</w:t>
      </w:r>
      <w:r>
        <w:rPr>
          <w:spacing w:val="-6"/>
          <w:w w:val="120"/>
        </w:rPr>
        <w:t> </w:t>
      </w:r>
      <w:r>
        <w:rPr>
          <w:w w:val="120"/>
        </w:rPr>
        <w:t>the </w:t>
      </w:r>
      <w:r>
        <w:rPr>
          <w:spacing w:val="-3"/>
          <w:w w:val="120"/>
        </w:rPr>
        <w:t>churches, </w:t>
      </w:r>
      <w:r>
        <w:rPr>
          <w:w w:val="120"/>
        </w:rPr>
        <w:t>guided by the Spirit, </w:t>
      </w:r>
      <w:r>
        <w:rPr>
          <w:spacing w:val="-3"/>
          <w:w w:val="120"/>
        </w:rPr>
        <w:t>discern </w:t>
      </w:r>
      <w:r>
        <w:rPr>
          <w:w w:val="120"/>
        </w:rPr>
        <w:t>together what it means </w:t>
      </w:r>
      <w:r>
        <w:rPr>
          <w:spacing w:val="-3"/>
          <w:w w:val="120"/>
        </w:rPr>
        <w:t>today to</w:t>
      </w:r>
      <w:r>
        <w:rPr>
          <w:w w:val="120"/>
        </w:rPr>
        <w:t> understand</w:t>
      </w:r>
    </w:p>
    <w:p>
      <w:pPr>
        <w:pStyle w:val="BodyText"/>
        <w:spacing w:line="235" w:lineRule="auto"/>
        <w:ind w:left="607" w:right="2302"/>
        <w:jc w:val="both"/>
      </w:pPr>
      <w:r>
        <w:rPr>
          <w:w w:val="120"/>
        </w:rPr>
        <w:t>and </w:t>
      </w:r>
      <w:r>
        <w:rPr>
          <w:spacing w:val="-3"/>
          <w:w w:val="120"/>
        </w:rPr>
        <w:t>live </w:t>
      </w:r>
      <w:r>
        <w:rPr>
          <w:w w:val="120"/>
        </w:rPr>
        <w:t>in fidelity </w:t>
      </w:r>
      <w:r>
        <w:rPr>
          <w:spacing w:val="-3"/>
          <w:w w:val="120"/>
        </w:rPr>
        <w:t>to </w:t>
      </w:r>
      <w:r>
        <w:rPr>
          <w:w w:val="120"/>
        </w:rPr>
        <w:t>the </w:t>
      </w:r>
      <w:r>
        <w:rPr>
          <w:spacing w:val="-3"/>
          <w:w w:val="120"/>
        </w:rPr>
        <w:t>teaching </w:t>
      </w:r>
      <w:r>
        <w:rPr>
          <w:w w:val="120"/>
        </w:rPr>
        <w:t>and attitude of </w:t>
      </w:r>
      <w:r>
        <w:rPr>
          <w:spacing w:val="-4"/>
          <w:w w:val="120"/>
        </w:rPr>
        <w:t>Jesus? </w:t>
      </w:r>
      <w:r>
        <w:rPr>
          <w:w w:val="120"/>
        </w:rPr>
        <w:t>How can the </w:t>
      </w:r>
      <w:r>
        <w:rPr>
          <w:spacing w:val="-3"/>
          <w:w w:val="120"/>
        </w:rPr>
        <w:t>churches, </w:t>
      </w:r>
      <w:r>
        <w:rPr>
          <w:w w:val="120"/>
        </w:rPr>
        <w:t>as they engage</w:t>
      </w:r>
      <w:r>
        <w:rPr>
          <w:spacing w:val="-5"/>
          <w:w w:val="120"/>
        </w:rPr>
        <w:t> </w:t>
      </w:r>
      <w:r>
        <w:rPr>
          <w:w w:val="120"/>
        </w:rPr>
        <w:t>together</w:t>
      </w:r>
      <w:r>
        <w:rPr>
          <w:spacing w:val="-5"/>
          <w:w w:val="120"/>
        </w:rPr>
        <w:t> </w:t>
      </w:r>
      <w:r>
        <w:rPr>
          <w:w w:val="120"/>
        </w:rPr>
        <w:t>in</w:t>
      </w:r>
      <w:r>
        <w:rPr>
          <w:spacing w:val="-5"/>
          <w:w w:val="120"/>
        </w:rPr>
        <w:t> </w:t>
      </w:r>
      <w:r>
        <w:rPr>
          <w:spacing w:val="-3"/>
          <w:w w:val="120"/>
        </w:rPr>
        <w:t>this</w:t>
      </w:r>
      <w:r>
        <w:rPr>
          <w:spacing w:val="-5"/>
          <w:w w:val="120"/>
        </w:rPr>
        <w:t> </w:t>
      </w:r>
      <w:r>
        <w:rPr>
          <w:w w:val="120"/>
        </w:rPr>
        <w:t>task</w:t>
      </w:r>
      <w:r>
        <w:rPr>
          <w:spacing w:val="-5"/>
          <w:w w:val="120"/>
        </w:rPr>
        <w:t> </w:t>
      </w:r>
      <w:r>
        <w:rPr>
          <w:w w:val="120"/>
        </w:rPr>
        <w:t>of</w:t>
      </w:r>
      <w:r>
        <w:rPr>
          <w:spacing w:val="-5"/>
          <w:w w:val="120"/>
        </w:rPr>
        <w:t> </w:t>
      </w:r>
      <w:r>
        <w:rPr>
          <w:spacing w:val="-3"/>
          <w:w w:val="120"/>
        </w:rPr>
        <w:t>discernment,</w:t>
      </w:r>
      <w:r>
        <w:rPr>
          <w:spacing w:val="-5"/>
          <w:w w:val="120"/>
        </w:rPr>
        <w:t> </w:t>
      </w:r>
      <w:r>
        <w:rPr>
          <w:w w:val="120"/>
        </w:rPr>
        <w:t>offer</w:t>
      </w:r>
      <w:r>
        <w:rPr>
          <w:spacing w:val="-5"/>
          <w:w w:val="120"/>
        </w:rPr>
        <w:t> </w:t>
      </w:r>
      <w:r>
        <w:rPr>
          <w:w w:val="120"/>
        </w:rPr>
        <w:t>appropriate</w:t>
      </w:r>
      <w:r>
        <w:rPr>
          <w:spacing w:val="-5"/>
          <w:w w:val="120"/>
        </w:rPr>
        <w:t> </w:t>
      </w:r>
      <w:r>
        <w:rPr>
          <w:w w:val="120"/>
        </w:rPr>
        <w:t>models</w:t>
      </w:r>
      <w:r>
        <w:rPr>
          <w:spacing w:val="-5"/>
          <w:w w:val="120"/>
        </w:rPr>
        <w:t> </w:t>
      </w:r>
      <w:r>
        <w:rPr>
          <w:w w:val="120"/>
        </w:rPr>
        <w:t>of</w:t>
      </w:r>
      <w:r>
        <w:rPr>
          <w:spacing w:val="-5"/>
          <w:w w:val="120"/>
        </w:rPr>
        <w:t> </w:t>
      </w:r>
      <w:r>
        <w:rPr>
          <w:spacing w:val="-3"/>
          <w:w w:val="120"/>
        </w:rPr>
        <w:t>discourse</w:t>
      </w:r>
      <w:r>
        <w:rPr>
          <w:spacing w:val="-5"/>
          <w:w w:val="120"/>
        </w:rPr>
        <w:t> </w:t>
      </w:r>
      <w:r>
        <w:rPr>
          <w:w w:val="120"/>
        </w:rPr>
        <w:t>and wise </w:t>
      </w:r>
      <w:r>
        <w:rPr>
          <w:spacing w:val="-3"/>
          <w:w w:val="120"/>
        </w:rPr>
        <w:t>counsel to </w:t>
      </w:r>
      <w:r>
        <w:rPr>
          <w:w w:val="120"/>
        </w:rPr>
        <w:t>the societies in which they are called </w:t>
      </w:r>
      <w:r>
        <w:rPr>
          <w:spacing w:val="-3"/>
          <w:w w:val="120"/>
        </w:rPr>
        <w:t>to</w:t>
      </w:r>
      <w:r>
        <w:rPr>
          <w:spacing w:val="-33"/>
          <w:w w:val="120"/>
        </w:rPr>
        <w:t> </w:t>
      </w:r>
      <w:r>
        <w:rPr>
          <w:w w:val="120"/>
        </w:rPr>
        <w:t>serve?</w:t>
      </w:r>
    </w:p>
    <w:p>
      <w:pPr>
        <w:pStyle w:val="BodyText"/>
        <w:spacing w:before="10"/>
        <w:rPr>
          <w:sz w:val="19"/>
        </w:rPr>
      </w:pPr>
    </w:p>
    <w:p>
      <w:pPr>
        <w:pStyle w:val="ListParagraph"/>
        <w:numPr>
          <w:ilvl w:val="2"/>
          <w:numId w:val="137"/>
        </w:numPr>
        <w:tabs>
          <w:tab w:pos="1288" w:val="left" w:leader="none"/>
        </w:tabs>
        <w:spacing w:line="235" w:lineRule="auto" w:before="1" w:after="0"/>
        <w:ind w:left="607" w:right="2050" w:firstLine="0"/>
        <w:jc w:val="left"/>
        <w:rPr>
          <w:sz w:val="20"/>
        </w:rPr>
      </w:pPr>
      <w:r>
        <w:rPr>
          <w:w w:val="120"/>
          <w:sz w:val="20"/>
        </w:rPr>
        <w:t>This is a very difficult area to address. Perhaps further sharing of biblical scholarship and study would help churches to acknowledge cultural adaptations to contemporary moral issues. The Western church has had a tendency to focus on sexual behaviour, which Jesus spoke about very little. He had much more to say about the  love of wealth and the oppression of others and self-righteousness. He disobeyed some temple rules of purity saying that the rules are for the people, not the people for the rules. Jesus summarised the commandments as to love God and love our fellow human beings. The URC affirms the </w:t>
      </w:r>
      <w:r>
        <w:rPr>
          <w:spacing w:val="-5"/>
          <w:w w:val="120"/>
          <w:sz w:val="20"/>
        </w:rPr>
        <w:t>Ten </w:t>
      </w:r>
      <w:r>
        <w:rPr>
          <w:w w:val="120"/>
          <w:sz w:val="20"/>
        </w:rPr>
        <w:t>Commandments and Jesus’ Sermon on the Mount in the gospel of Matthew </w:t>
      </w:r>
      <w:r>
        <w:rPr>
          <w:spacing w:val="-5"/>
          <w:w w:val="120"/>
          <w:sz w:val="20"/>
        </w:rPr>
        <w:t>(and </w:t>
      </w:r>
      <w:r>
        <w:rPr>
          <w:w w:val="120"/>
          <w:sz w:val="20"/>
        </w:rPr>
        <w:t>on the plain in </w:t>
      </w:r>
      <w:r>
        <w:rPr>
          <w:spacing w:val="-4"/>
          <w:w w:val="120"/>
          <w:sz w:val="20"/>
        </w:rPr>
        <w:t>Luke’s </w:t>
      </w:r>
      <w:r>
        <w:rPr>
          <w:w w:val="120"/>
          <w:sz w:val="20"/>
        </w:rPr>
        <w:t>gospel). Jesus’ demands are almost impossible to follow and show that all are sinful in need of God’s</w:t>
      </w:r>
      <w:r>
        <w:rPr>
          <w:spacing w:val="29"/>
          <w:w w:val="120"/>
          <w:sz w:val="20"/>
        </w:rPr>
        <w:t> </w:t>
      </w:r>
      <w:r>
        <w:rPr>
          <w:w w:val="120"/>
          <w:sz w:val="20"/>
        </w:rPr>
        <w:t>grace.</w:t>
      </w:r>
    </w:p>
    <w:p>
      <w:pPr>
        <w:pStyle w:val="BodyText"/>
        <w:spacing w:before="3"/>
      </w:pPr>
    </w:p>
    <w:p>
      <w:pPr>
        <w:pStyle w:val="ListParagraph"/>
        <w:numPr>
          <w:ilvl w:val="2"/>
          <w:numId w:val="137"/>
        </w:numPr>
        <w:tabs>
          <w:tab w:pos="1288" w:val="left" w:leader="none"/>
        </w:tabs>
        <w:spacing w:line="235" w:lineRule="auto" w:before="0" w:after="0"/>
        <w:ind w:left="607" w:right="2023" w:firstLine="0"/>
        <w:jc w:val="left"/>
        <w:rPr>
          <w:sz w:val="20"/>
        </w:rPr>
      </w:pPr>
      <w:r>
        <w:rPr>
          <w:w w:val="120"/>
          <w:sz w:val="20"/>
        </w:rPr>
        <w:t>A recognition that there are differences in how Jewish and Gentile Christians would be expected to live their Christian lives, even within the same generation, in first century Palestine, and an acknowledgement of changes down the centuries since then might help churches recognise that different churches in different places and times may express their faith differently and still be faithful to the overriding commandment by Christ to love God and to love one another. This would mean that there need not be unanimity on this in order to have</w:t>
      </w:r>
      <w:r>
        <w:rPr>
          <w:spacing w:val="12"/>
          <w:w w:val="120"/>
          <w:sz w:val="20"/>
        </w:rPr>
        <w:t> </w:t>
      </w:r>
      <w:r>
        <w:rPr>
          <w:w w:val="120"/>
          <w:sz w:val="20"/>
        </w:rPr>
        <w:t>unity.</w:t>
      </w:r>
    </w:p>
    <w:p>
      <w:pPr>
        <w:pStyle w:val="BodyText"/>
        <w:spacing w:before="9"/>
        <w:rPr>
          <w:sz w:val="18"/>
        </w:rPr>
      </w:pPr>
    </w:p>
    <w:p>
      <w:pPr>
        <w:pStyle w:val="Heading7"/>
        <w:numPr>
          <w:ilvl w:val="1"/>
          <w:numId w:val="137"/>
        </w:numPr>
        <w:tabs>
          <w:tab w:pos="1287" w:val="left" w:leader="none"/>
          <w:tab w:pos="1288" w:val="left" w:leader="none"/>
        </w:tabs>
        <w:spacing w:line="261" w:lineRule="exact" w:before="0" w:after="0"/>
        <w:ind w:left="1287" w:right="0" w:hanging="681"/>
        <w:jc w:val="left"/>
      </w:pPr>
      <w:r>
        <w:rPr>
          <w:w w:val="110"/>
        </w:rPr>
        <w:t>The role of the Church in</w:t>
      </w:r>
      <w:r>
        <w:rPr>
          <w:spacing w:val="-2"/>
          <w:w w:val="110"/>
        </w:rPr>
        <w:t> </w:t>
      </w:r>
      <w:r>
        <w:rPr>
          <w:w w:val="110"/>
        </w:rPr>
        <w:t>mission</w:t>
      </w:r>
    </w:p>
    <w:p>
      <w:pPr>
        <w:pStyle w:val="ListParagraph"/>
        <w:numPr>
          <w:ilvl w:val="2"/>
          <w:numId w:val="137"/>
        </w:numPr>
        <w:tabs>
          <w:tab w:pos="1287" w:val="left" w:leader="none"/>
          <w:tab w:pos="1288" w:val="left" w:leader="none"/>
        </w:tabs>
        <w:spacing w:line="235" w:lineRule="auto" w:before="0" w:after="0"/>
        <w:ind w:left="607" w:right="2334" w:firstLine="0"/>
        <w:jc w:val="left"/>
        <w:rPr>
          <w:sz w:val="20"/>
        </w:rPr>
      </w:pPr>
      <w:r>
        <w:rPr>
          <w:w w:val="120"/>
          <w:sz w:val="20"/>
        </w:rPr>
        <w:t>This seems to be an area in ‘The Church: </w:t>
      </w:r>
      <w:r>
        <w:rPr>
          <w:spacing w:val="-3"/>
          <w:w w:val="120"/>
          <w:sz w:val="20"/>
        </w:rPr>
        <w:t>Towards </w:t>
      </w:r>
      <w:r>
        <w:rPr>
          <w:w w:val="120"/>
          <w:sz w:val="20"/>
        </w:rPr>
        <w:t>a Common Vision’ paper that has not been sufficiently addressed. Jesus’ final words in the gospel of Matthew </w:t>
      </w:r>
      <w:r>
        <w:rPr>
          <w:spacing w:val="-9"/>
          <w:w w:val="120"/>
          <w:sz w:val="20"/>
        </w:rPr>
        <w:t>28.18,19 </w:t>
      </w:r>
      <w:r>
        <w:rPr>
          <w:w w:val="120"/>
          <w:sz w:val="20"/>
        </w:rPr>
        <w:t>are his commissioning of the disciples to make disciples of all nations. There are many models in the Scriptures that speak of the church as being a witness to</w:t>
      </w:r>
      <w:r>
        <w:rPr>
          <w:spacing w:val="15"/>
          <w:w w:val="120"/>
          <w:sz w:val="20"/>
        </w:rPr>
        <w:t> </w:t>
      </w:r>
      <w:r>
        <w:rPr>
          <w:w w:val="120"/>
          <w:sz w:val="20"/>
        </w:rPr>
        <w:t>the</w:t>
      </w:r>
    </w:p>
    <w:p>
      <w:pPr>
        <w:pStyle w:val="BodyText"/>
        <w:spacing w:line="235" w:lineRule="auto"/>
        <w:ind w:left="607" w:right="2045"/>
      </w:pPr>
      <w:r>
        <w:rPr>
          <w:w w:val="120"/>
        </w:rPr>
        <w:t>world. The URC acknowledges in its Basis of Union that Christ continues to entrust the commission first given to the apostles to proclaim the Gospel to all peoples. There are different metaphors used in the gospels referring to being a witness to the world: salt and light in Matthew </w:t>
      </w:r>
      <w:r>
        <w:rPr>
          <w:spacing w:val="-3"/>
          <w:w w:val="120"/>
        </w:rPr>
        <w:t>5, </w:t>
      </w:r>
      <w:r>
        <w:rPr>
          <w:w w:val="120"/>
        </w:rPr>
        <w:t>salt to preserve the world and light to be a visible presence in which Christian good works may be seen and give </w:t>
      </w:r>
      <w:r>
        <w:rPr>
          <w:spacing w:val="2"/>
          <w:w w:val="120"/>
        </w:rPr>
        <w:t>glory </w:t>
      </w:r>
      <w:r>
        <w:rPr>
          <w:w w:val="120"/>
        </w:rPr>
        <w:t>to God. Jesus sent out the first disciples</w:t>
      </w:r>
      <w:r>
        <w:rPr>
          <w:spacing w:val="8"/>
          <w:w w:val="120"/>
        </w:rPr>
        <w:t> </w:t>
      </w:r>
      <w:r>
        <w:rPr>
          <w:w w:val="120"/>
        </w:rPr>
        <w:t>to</w:t>
      </w:r>
      <w:r>
        <w:rPr>
          <w:spacing w:val="9"/>
          <w:w w:val="120"/>
        </w:rPr>
        <w:t> </w:t>
      </w:r>
      <w:r>
        <w:rPr>
          <w:w w:val="120"/>
        </w:rPr>
        <w:t>proclaim</w:t>
      </w:r>
      <w:r>
        <w:rPr>
          <w:spacing w:val="9"/>
          <w:w w:val="120"/>
        </w:rPr>
        <w:t> </w:t>
      </w:r>
      <w:r>
        <w:rPr>
          <w:w w:val="120"/>
        </w:rPr>
        <w:t>the</w:t>
      </w:r>
      <w:r>
        <w:rPr>
          <w:spacing w:val="9"/>
          <w:w w:val="120"/>
        </w:rPr>
        <w:t> </w:t>
      </w:r>
      <w:r>
        <w:rPr>
          <w:w w:val="120"/>
        </w:rPr>
        <w:t>good</w:t>
      </w:r>
      <w:r>
        <w:rPr>
          <w:spacing w:val="9"/>
          <w:w w:val="120"/>
        </w:rPr>
        <w:t> </w:t>
      </w:r>
      <w:r>
        <w:rPr>
          <w:w w:val="120"/>
        </w:rPr>
        <w:t>news</w:t>
      </w:r>
      <w:r>
        <w:rPr>
          <w:spacing w:val="9"/>
          <w:w w:val="120"/>
        </w:rPr>
        <w:t> </w:t>
      </w:r>
      <w:r>
        <w:rPr>
          <w:w w:val="120"/>
        </w:rPr>
        <w:t>and</w:t>
      </w:r>
      <w:r>
        <w:rPr>
          <w:spacing w:val="9"/>
          <w:w w:val="120"/>
        </w:rPr>
        <w:t> </w:t>
      </w:r>
      <w:r>
        <w:rPr>
          <w:w w:val="120"/>
        </w:rPr>
        <w:t>to</w:t>
      </w:r>
      <w:r>
        <w:rPr>
          <w:spacing w:val="9"/>
          <w:w w:val="120"/>
        </w:rPr>
        <w:t> </w:t>
      </w:r>
      <w:r>
        <w:rPr>
          <w:w w:val="120"/>
        </w:rPr>
        <w:t>bring</w:t>
      </w:r>
      <w:r>
        <w:rPr>
          <w:spacing w:val="8"/>
          <w:w w:val="120"/>
        </w:rPr>
        <w:t> </w:t>
      </w:r>
      <w:r>
        <w:rPr>
          <w:w w:val="120"/>
        </w:rPr>
        <w:t>healing</w:t>
      </w:r>
      <w:r>
        <w:rPr>
          <w:spacing w:val="9"/>
          <w:w w:val="120"/>
        </w:rPr>
        <w:t> </w:t>
      </w:r>
      <w:r>
        <w:rPr>
          <w:w w:val="120"/>
        </w:rPr>
        <w:t>and</w:t>
      </w:r>
      <w:r>
        <w:rPr>
          <w:spacing w:val="9"/>
          <w:w w:val="120"/>
        </w:rPr>
        <w:t> </w:t>
      </w:r>
      <w:r>
        <w:rPr>
          <w:w w:val="120"/>
        </w:rPr>
        <w:t>wholeness</w:t>
      </w:r>
      <w:r>
        <w:rPr>
          <w:spacing w:val="9"/>
          <w:w w:val="120"/>
        </w:rPr>
        <w:t> </w:t>
      </w:r>
      <w:r>
        <w:rPr>
          <w:w w:val="120"/>
        </w:rPr>
        <w:t>to</w:t>
      </w:r>
      <w:r>
        <w:rPr>
          <w:spacing w:val="9"/>
          <w:w w:val="120"/>
        </w:rPr>
        <w:t> </w:t>
      </w:r>
      <w:r>
        <w:rPr>
          <w:w w:val="120"/>
        </w:rPr>
        <w:t>people.</w:t>
      </w:r>
    </w:p>
    <w:p>
      <w:pPr>
        <w:pStyle w:val="BodyText"/>
        <w:spacing w:line="235" w:lineRule="auto" w:before="2"/>
        <w:ind w:left="607" w:right="2025"/>
      </w:pPr>
      <w:r>
        <w:rPr>
          <w:w w:val="120"/>
        </w:rPr>
        <w:t>The main model of mission is the Kingdom or realm of God. </w:t>
      </w:r>
      <w:r>
        <w:rPr>
          <w:spacing w:val="-4"/>
          <w:w w:val="120"/>
        </w:rPr>
        <w:t>Luke’s  </w:t>
      </w:r>
      <w:r>
        <w:rPr>
          <w:w w:val="120"/>
        </w:rPr>
        <w:t>gospel ends with   the risen Lord saying repentance and forgiveness of sins is to be proclaimed in his name to all nations beginning from Jerusalem. </w:t>
      </w:r>
      <w:r>
        <w:rPr>
          <w:spacing w:val="-3"/>
          <w:w w:val="120"/>
        </w:rPr>
        <w:t>John’s </w:t>
      </w:r>
      <w:r>
        <w:rPr>
          <w:w w:val="120"/>
        </w:rPr>
        <w:t>gospel was written so that people may come to believe that Jesus is the Messiah. </w:t>
      </w:r>
      <w:r>
        <w:rPr>
          <w:spacing w:val="-3"/>
          <w:w w:val="120"/>
        </w:rPr>
        <w:t>John’s </w:t>
      </w:r>
      <w:r>
        <w:rPr>
          <w:w w:val="120"/>
        </w:rPr>
        <w:t>letters challenge Christian disciples to love one another and in this way they are to reveal God’s love to the world. The URC affirms the importance of mission and the role of congregations as a witness in their local communities and so mission is to be appropriate for their local</w:t>
      </w:r>
      <w:r>
        <w:rPr>
          <w:spacing w:val="26"/>
          <w:w w:val="120"/>
        </w:rPr>
        <w:t> </w:t>
      </w:r>
      <w:r>
        <w:rPr>
          <w:w w:val="120"/>
        </w:rPr>
        <w:t>context.</w:t>
      </w:r>
    </w:p>
    <w:p>
      <w:pPr>
        <w:spacing w:after="0" w:line="235" w:lineRule="auto"/>
        <w:sectPr>
          <w:headerReference w:type="even" r:id="rId336"/>
          <w:pgSz w:w="11910" w:h="16840"/>
          <w:pgMar w:header="0" w:footer="647" w:top="0" w:bottom="840" w:left="640" w:right="0"/>
        </w:sectPr>
      </w:pPr>
    </w:p>
    <w:p>
      <w:pPr>
        <w:pStyle w:val="BodyText"/>
      </w:pPr>
      <w:r>
        <w:rPr/>
        <w:pict>
          <v:rect style="position:absolute;margin-left:0pt;margin-top:.000015pt;width:549.207pt;height:841.89pt;mso-position-horizontal-relative:page;mso-position-vertical-relative:page;z-index:-267801600" filled="true" fillcolor="#d4e9f7" stroked="false">
            <v:fill type="solid"/>
            <w10:wrap type="none"/>
          </v:rect>
        </w:pict>
      </w:r>
      <w:r>
        <w:rPr/>
        <w:drawing>
          <wp:anchor distT="0" distB="0" distL="0" distR="0" allowOverlap="1" layoutInCell="1" locked="0" behindDoc="0" simplePos="0" relativeHeight="251969536">
            <wp:simplePos x="0" y="0"/>
            <wp:positionH relativeFrom="page">
              <wp:posOffset>6974928</wp:posOffset>
            </wp:positionH>
            <wp:positionV relativeFrom="page">
              <wp:posOffset>0</wp:posOffset>
            </wp:positionV>
            <wp:extent cx="585063" cy="10692003"/>
            <wp:effectExtent l="0" t="0" r="0" b="0"/>
            <wp:wrapNone/>
            <wp:docPr id="221" name="image54.png"/>
            <wp:cNvGraphicFramePr>
              <a:graphicFrameLocks noChangeAspect="1"/>
            </wp:cNvGraphicFramePr>
            <a:graphic>
              <a:graphicData uri="http://schemas.openxmlformats.org/drawingml/2006/picture">
                <pic:pic>
                  <pic:nvPicPr>
                    <pic:cNvPr id="222" name="image54.png"/>
                    <pic:cNvPicPr/>
                  </pic:nvPicPr>
                  <pic:blipFill>
                    <a:blip r:embed="rId169" cstate="print"/>
                    <a:stretch>
                      <a:fillRect/>
                    </a:stretch>
                  </pic:blipFill>
                  <pic:spPr>
                    <a:xfrm>
                      <a:off x="0" y="0"/>
                      <a:ext cx="585063" cy="10692003"/>
                    </a:xfrm>
                    <a:prstGeom prst="rect">
                      <a:avLst/>
                    </a:prstGeom>
                  </pic:spPr>
                </pic:pic>
              </a:graphicData>
            </a:graphic>
          </wp:anchor>
        </w:drawing>
      </w:r>
    </w:p>
    <w:p>
      <w:pPr>
        <w:pStyle w:val="BodyText"/>
      </w:pPr>
    </w:p>
    <w:p>
      <w:pPr>
        <w:pStyle w:val="BodyText"/>
      </w:pPr>
    </w:p>
    <w:p>
      <w:pPr>
        <w:pStyle w:val="BodyText"/>
        <w:spacing w:before="5"/>
        <w:rPr>
          <w:sz w:val="28"/>
        </w:rPr>
      </w:pPr>
    </w:p>
    <w:p>
      <w:pPr>
        <w:spacing w:line="213" w:lineRule="auto" w:before="153"/>
        <w:ind w:left="961" w:right="2791" w:firstLine="0"/>
        <w:jc w:val="both"/>
        <w:rPr>
          <w:rFonts w:ascii="Stone Sans II ITC Std X Bd"/>
          <w:b/>
          <w:sz w:val="50"/>
        </w:rPr>
      </w:pPr>
      <w:r>
        <w:rPr/>
        <w:pict>
          <v:shape style="position:absolute;margin-left:554.141174pt;margin-top:-5.989334pt;width:25.9pt;height:594.2pt;mso-position-horizontal-relative:page;mso-position-vertical-relative:paragraph;z-index:251970560" type="#_x0000_t202" filled="false" stroked="false">
            <v:textbox inset="0,0,0,0" style="layout-flow:vertical">
              <w:txbxContent>
                <w:p>
                  <w:pPr>
                    <w:spacing w:before="27"/>
                    <w:ind w:left="20" w:right="0" w:firstLine="0"/>
                    <w:jc w:val="left"/>
                    <w:rPr>
                      <w:sz w:val="39"/>
                    </w:rPr>
                  </w:pPr>
                  <w:r>
                    <w:rPr>
                      <w:color w:val="FFFFFF"/>
                      <w:w w:val="125"/>
                      <w:sz w:val="39"/>
                    </w:rPr>
                    <w:t>Faith and order – </w:t>
                  </w:r>
                  <w:r>
                    <w:rPr>
                      <w:w w:val="125"/>
                      <w:sz w:val="39"/>
                    </w:rPr>
                    <w:t>What is the Spirit saying to the Churches</w:t>
                  </w:r>
                </w:p>
              </w:txbxContent>
            </v:textbox>
            <w10:wrap type="none"/>
          </v:shape>
        </w:pict>
      </w:r>
      <w:r>
        <w:rPr>
          <w:rFonts w:ascii="Stone Sans II ITC Std X Bd"/>
          <w:b/>
          <w:color w:val="0090D4"/>
          <w:spacing w:val="-10"/>
          <w:w w:val="110"/>
          <w:sz w:val="50"/>
        </w:rPr>
        <w:t>Faith </w:t>
      </w:r>
      <w:r>
        <w:rPr>
          <w:rFonts w:ascii="Stone Sans II ITC Std X Bd"/>
          <w:b/>
          <w:color w:val="0090D4"/>
          <w:spacing w:val="-7"/>
          <w:w w:val="110"/>
          <w:sz w:val="50"/>
        </w:rPr>
        <w:t>and </w:t>
      </w:r>
      <w:r>
        <w:rPr>
          <w:rFonts w:ascii="Stone Sans II ITC Std X Bd"/>
          <w:b/>
          <w:color w:val="0090D4"/>
          <w:spacing w:val="-9"/>
          <w:w w:val="110"/>
          <w:sz w:val="50"/>
        </w:rPr>
        <w:t>order </w:t>
      </w:r>
      <w:r>
        <w:rPr>
          <w:rFonts w:ascii="Stone Sans II ITC Std X Bd"/>
          <w:b/>
          <w:color w:val="0090D4"/>
          <w:spacing w:val="-10"/>
          <w:w w:val="110"/>
          <w:sz w:val="50"/>
        </w:rPr>
        <w:t>committee: </w:t>
      </w:r>
      <w:r>
        <w:rPr>
          <w:rFonts w:ascii="Stone Sans II ITC Std X Bd"/>
          <w:b/>
          <w:spacing w:val="-8"/>
          <w:w w:val="110"/>
          <w:sz w:val="50"/>
        </w:rPr>
        <w:t>What </w:t>
      </w:r>
      <w:r>
        <w:rPr>
          <w:rFonts w:ascii="Stone Sans II ITC Std X Bd"/>
          <w:b/>
          <w:spacing w:val="-3"/>
          <w:w w:val="110"/>
          <w:sz w:val="50"/>
        </w:rPr>
        <w:t>Is </w:t>
      </w:r>
      <w:r>
        <w:rPr>
          <w:rFonts w:ascii="Stone Sans II ITC Std X Bd"/>
          <w:b/>
          <w:spacing w:val="-8"/>
          <w:w w:val="110"/>
          <w:sz w:val="50"/>
        </w:rPr>
        <w:t>the </w:t>
      </w:r>
      <w:r>
        <w:rPr>
          <w:rFonts w:ascii="Stone Sans II ITC Std X Bd"/>
          <w:b/>
          <w:spacing w:val="-9"/>
          <w:w w:val="110"/>
          <w:sz w:val="50"/>
        </w:rPr>
        <w:t>Spirit </w:t>
      </w:r>
      <w:r>
        <w:rPr>
          <w:rFonts w:ascii="Stone Sans II ITC Std X Bd"/>
          <w:b/>
          <w:spacing w:val="-11"/>
          <w:w w:val="110"/>
          <w:sz w:val="50"/>
        </w:rPr>
        <w:t>Saying </w:t>
      </w:r>
      <w:r>
        <w:rPr>
          <w:rFonts w:ascii="Stone Sans II ITC Std X Bd"/>
          <w:b/>
          <w:spacing w:val="-10"/>
          <w:w w:val="110"/>
          <w:sz w:val="50"/>
        </w:rPr>
        <w:t>to </w:t>
      </w:r>
      <w:r>
        <w:rPr>
          <w:rFonts w:ascii="Stone Sans II ITC Std X Bd"/>
          <w:b/>
          <w:spacing w:val="-8"/>
          <w:w w:val="110"/>
          <w:sz w:val="50"/>
        </w:rPr>
        <w:t>the </w:t>
      </w:r>
      <w:r>
        <w:rPr>
          <w:rFonts w:ascii="Stone Sans II ITC Std X Bd"/>
          <w:b/>
          <w:spacing w:val="-13"/>
          <w:w w:val="110"/>
          <w:sz w:val="50"/>
        </w:rPr>
        <w:t>Churches?</w:t>
      </w:r>
    </w:p>
    <w:p>
      <w:pPr>
        <w:pStyle w:val="Heading4"/>
        <w:spacing w:before="323"/>
        <w:ind w:left="961"/>
        <w:jc w:val="both"/>
      </w:pPr>
      <w:r>
        <w:rPr>
          <w:color w:val="7F7F7F"/>
        </w:rPr>
        <w:t>Basic Information</w:t>
      </w:r>
    </w:p>
    <w:tbl>
      <w:tblPr>
        <w:tblW w:w="0" w:type="auto"/>
        <w:jc w:val="left"/>
        <w:tblInd w:w="97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660"/>
        <w:gridCol w:w="6741"/>
      </w:tblGrid>
      <w:tr>
        <w:trPr>
          <w:trHeight w:val="680" w:hRule="atLeast"/>
        </w:trPr>
        <w:tc>
          <w:tcPr>
            <w:tcW w:w="2660" w:type="dxa"/>
            <w:shd w:val="clear" w:color="auto" w:fill="FFFFFF"/>
          </w:tcPr>
          <w:p>
            <w:pPr>
              <w:pStyle w:val="TableParagraph"/>
              <w:spacing w:line="213" w:lineRule="auto" w:before="151"/>
              <w:ind w:right="595"/>
              <w:rPr>
                <w:rFonts w:ascii="Stone Sans II ITC Std Bk"/>
                <w:b/>
                <w:sz w:val="20"/>
              </w:rPr>
            </w:pPr>
            <w:r>
              <w:rPr>
                <w:rFonts w:ascii="Stone Sans II ITC Std Bk"/>
                <w:b/>
                <w:w w:val="110"/>
                <w:sz w:val="20"/>
              </w:rPr>
              <w:t>Contact name and email address</w:t>
            </w:r>
          </w:p>
        </w:tc>
        <w:tc>
          <w:tcPr>
            <w:tcW w:w="6741" w:type="dxa"/>
            <w:shd w:val="clear" w:color="auto" w:fill="FFFFFF"/>
          </w:tcPr>
          <w:p>
            <w:pPr>
              <w:pStyle w:val="TableParagraph"/>
              <w:spacing w:before="141"/>
              <w:rPr>
                <w:sz w:val="20"/>
              </w:rPr>
            </w:pPr>
            <w:r>
              <w:rPr>
                <w:w w:val="120"/>
                <w:sz w:val="20"/>
              </w:rPr>
              <w:t>Elizabeth Welch: </w:t>
            </w:r>
            <w:hyperlink r:id="rId279">
              <w:r>
                <w:rPr>
                  <w:color w:val="006AB3"/>
                  <w:w w:val="120"/>
                  <w:sz w:val="20"/>
                </w:rPr>
                <w:t>minister@theroundchapel.org.uk</w:t>
              </w:r>
            </w:hyperlink>
          </w:p>
        </w:tc>
      </w:tr>
      <w:tr>
        <w:trPr>
          <w:trHeight w:val="440" w:hRule="atLeast"/>
        </w:trPr>
        <w:tc>
          <w:tcPr>
            <w:tcW w:w="2660" w:type="dxa"/>
            <w:shd w:val="clear" w:color="auto" w:fill="FFFFFF"/>
          </w:tcPr>
          <w:p>
            <w:pPr>
              <w:pStyle w:val="TableParagraph"/>
              <w:spacing w:before="128"/>
              <w:rPr>
                <w:rFonts w:ascii="Stone Sans II ITC Std Bk"/>
                <w:b/>
                <w:sz w:val="20"/>
              </w:rPr>
            </w:pPr>
            <w:r>
              <w:rPr>
                <w:rFonts w:ascii="Stone Sans II ITC Std Bk"/>
                <w:b/>
                <w:w w:val="110"/>
                <w:sz w:val="20"/>
              </w:rPr>
              <w:t>Action required</w:t>
            </w:r>
          </w:p>
        </w:tc>
        <w:tc>
          <w:tcPr>
            <w:tcW w:w="6741" w:type="dxa"/>
            <w:shd w:val="clear" w:color="auto" w:fill="FFFFFF"/>
          </w:tcPr>
          <w:p>
            <w:pPr>
              <w:pStyle w:val="TableParagraph"/>
              <w:spacing w:before="141"/>
              <w:rPr>
                <w:sz w:val="20"/>
              </w:rPr>
            </w:pPr>
            <w:r>
              <w:rPr>
                <w:w w:val="120"/>
                <w:sz w:val="20"/>
              </w:rPr>
              <w:t>Decision</w:t>
            </w:r>
          </w:p>
        </w:tc>
      </w:tr>
      <w:tr>
        <w:trPr>
          <w:trHeight w:val="4760" w:hRule="atLeast"/>
        </w:trPr>
        <w:tc>
          <w:tcPr>
            <w:tcW w:w="2660" w:type="dxa"/>
            <w:shd w:val="clear" w:color="auto" w:fill="FFFFFF"/>
          </w:tcPr>
          <w:p>
            <w:pPr>
              <w:pStyle w:val="TableParagraph"/>
              <w:spacing w:before="128"/>
              <w:rPr>
                <w:rFonts w:ascii="Stone Sans II ITC Std Bk"/>
                <w:b/>
                <w:sz w:val="20"/>
              </w:rPr>
            </w:pPr>
            <w:r>
              <w:rPr>
                <w:rFonts w:ascii="Stone Sans II ITC Std Bk"/>
                <w:b/>
                <w:w w:val="110"/>
                <w:sz w:val="20"/>
              </w:rPr>
              <w:t>Draft resolution(s)</w:t>
            </w:r>
          </w:p>
        </w:tc>
        <w:tc>
          <w:tcPr>
            <w:tcW w:w="6741" w:type="dxa"/>
            <w:shd w:val="clear" w:color="auto" w:fill="FFFFFF"/>
          </w:tcPr>
          <w:p>
            <w:pPr>
              <w:pStyle w:val="TableParagraph"/>
              <w:numPr>
                <w:ilvl w:val="0"/>
                <w:numId w:val="140"/>
              </w:numPr>
              <w:tabs>
                <w:tab w:pos="760" w:val="left" w:leader="none"/>
                <w:tab w:pos="761" w:val="left" w:leader="none"/>
              </w:tabs>
              <w:spacing w:line="213" w:lineRule="auto" w:before="151" w:after="0"/>
              <w:ind w:left="80" w:right="87" w:firstLine="0"/>
              <w:jc w:val="left"/>
              <w:rPr>
                <w:rFonts w:ascii="Stone Sans II ITC Std Bk" w:hAnsi="Stone Sans II ITC Std Bk"/>
                <w:b/>
                <w:sz w:val="20"/>
              </w:rPr>
            </w:pPr>
            <w:r>
              <w:rPr>
                <w:rFonts w:ascii="Stone Sans II ITC Std Bk" w:hAnsi="Stone Sans II ITC Std Bk"/>
                <w:b/>
                <w:w w:val="110"/>
                <w:sz w:val="20"/>
              </w:rPr>
              <w:t>General Assembly affirms ‘What Is the Spirit </w:t>
            </w:r>
            <w:r>
              <w:rPr>
                <w:rFonts w:ascii="Stone Sans II ITC Std Bk" w:hAnsi="Stone Sans II ITC Std Bk"/>
                <w:b/>
                <w:spacing w:val="-3"/>
                <w:w w:val="110"/>
                <w:sz w:val="20"/>
              </w:rPr>
              <w:t>Saying to </w:t>
            </w:r>
            <w:r>
              <w:rPr>
                <w:rFonts w:ascii="Stone Sans II ITC Std Bk" w:hAnsi="Stone Sans II ITC Std Bk"/>
                <w:b/>
                <w:w w:val="110"/>
                <w:sz w:val="20"/>
              </w:rPr>
              <w:t>the </w:t>
            </w:r>
            <w:r>
              <w:rPr>
                <w:rFonts w:ascii="Stone Sans II ITC Std Bk" w:hAnsi="Stone Sans II ITC Std Bk"/>
                <w:b/>
                <w:spacing w:val="-3"/>
                <w:w w:val="110"/>
                <w:sz w:val="20"/>
              </w:rPr>
              <w:t>Churches?’ </w:t>
            </w:r>
            <w:r>
              <w:rPr>
                <w:rFonts w:ascii="Stone Sans II ITC Std Bk" w:hAnsi="Stone Sans II ITC Std Bk"/>
                <w:b/>
                <w:w w:val="110"/>
                <w:sz w:val="20"/>
              </w:rPr>
              <w:t>and </w:t>
            </w:r>
            <w:r>
              <w:rPr>
                <w:rFonts w:ascii="Stone Sans II ITC Std Bk" w:hAnsi="Stone Sans II ITC Std Bk"/>
                <w:b/>
                <w:spacing w:val="-3"/>
                <w:w w:val="110"/>
                <w:sz w:val="20"/>
              </w:rPr>
              <w:t>invites </w:t>
            </w:r>
            <w:r>
              <w:rPr>
                <w:rFonts w:ascii="Stone Sans II ITC Std Bk" w:hAnsi="Stone Sans II ITC Std Bk"/>
                <w:b/>
                <w:w w:val="110"/>
                <w:sz w:val="20"/>
              </w:rPr>
              <w:t>local churches, synods and General </w:t>
            </w:r>
            <w:r>
              <w:rPr>
                <w:rFonts w:ascii="Stone Sans II ITC Std Bk" w:hAnsi="Stone Sans II ITC Std Bk"/>
                <w:b/>
                <w:spacing w:val="-3"/>
                <w:w w:val="110"/>
                <w:sz w:val="20"/>
              </w:rPr>
              <w:t>Assembly,</w:t>
            </w:r>
            <w:r>
              <w:rPr>
                <w:rFonts w:ascii="Stone Sans II ITC Std Bk" w:hAnsi="Stone Sans II ITC Std Bk"/>
                <w:b/>
                <w:spacing w:val="-12"/>
                <w:w w:val="110"/>
                <w:sz w:val="20"/>
              </w:rPr>
              <w:t> </w:t>
            </w:r>
            <w:r>
              <w:rPr>
                <w:rFonts w:ascii="Stone Sans II ITC Std Bk" w:hAnsi="Stone Sans II ITC Std Bk"/>
                <w:b/>
                <w:w w:val="110"/>
                <w:sz w:val="20"/>
              </w:rPr>
              <w:t>and</w:t>
            </w:r>
            <w:r>
              <w:rPr>
                <w:rFonts w:ascii="Stone Sans II ITC Std Bk" w:hAnsi="Stone Sans II ITC Std Bk"/>
                <w:b/>
                <w:spacing w:val="-11"/>
                <w:w w:val="110"/>
                <w:sz w:val="20"/>
              </w:rPr>
              <w:t> </w:t>
            </w:r>
            <w:r>
              <w:rPr>
                <w:rFonts w:ascii="Stone Sans II ITC Std Bk" w:hAnsi="Stone Sans II ITC Std Bk"/>
                <w:b/>
                <w:w w:val="110"/>
                <w:sz w:val="20"/>
              </w:rPr>
              <w:t>their</w:t>
            </w:r>
            <w:r>
              <w:rPr>
                <w:rFonts w:ascii="Stone Sans II ITC Std Bk" w:hAnsi="Stone Sans II ITC Std Bk"/>
                <w:b/>
                <w:spacing w:val="-11"/>
                <w:w w:val="110"/>
                <w:sz w:val="20"/>
              </w:rPr>
              <w:t> </w:t>
            </w:r>
            <w:r>
              <w:rPr>
                <w:rFonts w:ascii="Stone Sans II ITC Std Bk" w:hAnsi="Stone Sans II ITC Std Bk"/>
                <w:b/>
                <w:w w:val="110"/>
                <w:sz w:val="20"/>
              </w:rPr>
              <w:t>committees,</w:t>
            </w:r>
            <w:r>
              <w:rPr>
                <w:rFonts w:ascii="Stone Sans II ITC Std Bk" w:hAnsi="Stone Sans II ITC Std Bk"/>
                <w:b/>
                <w:spacing w:val="-11"/>
                <w:w w:val="110"/>
                <w:sz w:val="20"/>
              </w:rPr>
              <w:t> </w:t>
            </w:r>
            <w:r>
              <w:rPr>
                <w:rFonts w:ascii="Stone Sans II ITC Std Bk" w:hAnsi="Stone Sans II ITC Std Bk"/>
                <w:b/>
                <w:spacing w:val="-3"/>
                <w:w w:val="110"/>
                <w:sz w:val="20"/>
              </w:rPr>
              <w:t>to</w:t>
            </w:r>
            <w:r>
              <w:rPr>
                <w:rFonts w:ascii="Stone Sans II ITC Std Bk" w:hAnsi="Stone Sans II ITC Std Bk"/>
                <w:b/>
                <w:spacing w:val="-11"/>
                <w:w w:val="110"/>
                <w:sz w:val="20"/>
              </w:rPr>
              <w:t> </w:t>
            </w:r>
            <w:r>
              <w:rPr>
                <w:rFonts w:ascii="Stone Sans II ITC Std Bk" w:hAnsi="Stone Sans II ITC Std Bk"/>
                <w:b/>
                <w:w w:val="110"/>
                <w:sz w:val="20"/>
              </w:rPr>
              <w:t>continue</w:t>
            </w:r>
            <w:r>
              <w:rPr>
                <w:rFonts w:ascii="Stone Sans II ITC Std Bk" w:hAnsi="Stone Sans II ITC Std Bk"/>
                <w:b/>
                <w:spacing w:val="-11"/>
                <w:w w:val="110"/>
                <w:sz w:val="20"/>
              </w:rPr>
              <w:t> </w:t>
            </w:r>
            <w:r>
              <w:rPr>
                <w:rFonts w:ascii="Stone Sans II ITC Std Bk" w:hAnsi="Stone Sans II ITC Std Bk"/>
                <w:b/>
                <w:w w:val="110"/>
                <w:sz w:val="20"/>
              </w:rPr>
              <w:t>prayerfully</w:t>
            </w:r>
            <w:r>
              <w:rPr>
                <w:rFonts w:ascii="Stone Sans II ITC Std Bk" w:hAnsi="Stone Sans II ITC Std Bk"/>
                <w:b/>
                <w:spacing w:val="-11"/>
                <w:w w:val="110"/>
                <w:sz w:val="20"/>
              </w:rPr>
              <w:t> </w:t>
            </w:r>
            <w:r>
              <w:rPr>
                <w:rFonts w:ascii="Stone Sans II ITC Std Bk" w:hAnsi="Stone Sans II ITC Std Bk"/>
                <w:b/>
                <w:spacing w:val="-3"/>
                <w:w w:val="110"/>
                <w:sz w:val="20"/>
              </w:rPr>
              <w:t>to</w:t>
            </w:r>
            <w:r>
              <w:rPr>
                <w:rFonts w:ascii="Stone Sans II ITC Std Bk" w:hAnsi="Stone Sans II ITC Std Bk"/>
                <w:b/>
                <w:spacing w:val="-11"/>
                <w:w w:val="110"/>
                <w:sz w:val="20"/>
              </w:rPr>
              <w:t> </w:t>
            </w:r>
            <w:r>
              <w:rPr>
                <w:rFonts w:ascii="Stone Sans II ITC Std Bk" w:hAnsi="Stone Sans II ITC Std Bk"/>
                <w:b/>
                <w:spacing w:val="-2"/>
                <w:w w:val="110"/>
                <w:sz w:val="20"/>
              </w:rPr>
              <w:t>ask </w:t>
            </w:r>
            <w:r>
              <w:rPr>
                <w:rFonts w:ascii="Stone Sans II ITC Std Bk" w:hAnsi="Stone Sans II ITC Std Bk"/>
                <w:b/>
                <w:w w:val="110"/>
                <w:sz w:val="20"/>
              </w:rPr>
              <w:t>this question, looking at the points of celebration in their life and</w:t>
            </w:r>
            <w:r>
              <w:rPr>
                <w:rFonts w:ascii="Stone Sans II ITC Std Bk" w:hAnsi="Stone Sans II ITC Std Bk"/>
                <w:b/>
                <w:spacing w:val="-10"/>
                <w:w w:val="110"/>
                <w:sz w:val="20"/>
              </w:rPr>
              <w:t> </w:t>
            </w:r>
            <w:r>
              <w:rPr>
                <w:rFonts w:ascii="Stone Sans II ITC Std Bk" w:hAnsi="Stone Sans II ITC Std Bk"/>
                <w:b/>
                <w:w w:val="110"/>
                <w:sz w:val="20"/>
              </w:rPr>
              <w:t>the</w:t>
            </w:r>
            <w:r>
              <w:rPr>
                <w:rFonts w:ascii="Stone Sans II ITC Std Bk" w:hAnsi="Stone Sans II ITC Std Bk"/>
                <w:b/>
                <w:spacing w:val="-10"/>
                <w:w w:val="110"/>
                <w:sz w:val="20"/>
              </w:rPr>
              <w:t> </w:t>
            </w:r>
            <w:r>
              <w:rPr>
                <w:rFonts w:ascii="Stone Sans II ITC Std Bk" w:hAnsi="Stone Sans II ITC Std Bk"/>
                <w:b/>
                <w:w w:val="110"/>
                <w:sz w:val="20"/>
              </w:rPr>
              <w:t>possibilities</w:t>
            </w:r>
            <w:r>
              <w:rPr>
                <w:rFonts w:ascii="Stone Sans II ITC Std Bk" w:hAnsi="Stone Sans II ITC Std Bk"/>
                <w:b/>
                <w:spacing w:val="-9"/>
                <w:w w:val="110"/>
                <w:sz w:val="20"/>
              </w:rPr>
              <w:t> </w:t>
            </w:r>
            <w:r>
              <w:rPr>
                <w:rFonts w:ascii="Stone Sans II ITC Std Bk" w:hAnsi="Stone Sans II ITC Std Bk"/>
                <w:b/>
                <w:w w:val="110"/>
                <w:sz w:val="20"/>
              </w:rPr>
              <w:t>and</w:t>
            </w:r>
            <w:r>
              <w:rPr>
                <w:rFonts w:ascii="Stone Sans II ITC Std Bk" w:hAnsi="Stone Sans II ITC Std Bk"/>
                <w:b/>
                <w:spacing w:val="-10"/>
                <w:w w:val="110"/>
                <w:sz w:val="20"/>
              </w:rPr>
              <w:t> </w:t>
            </w:r>
            <w:r>
              <w:rPr>
                <w:rFonts w:ascii="Stone Sans II ITC Std Bk" w:hAnsi="Stone Sans II ITC Std Bk"/>
                <w:b/>
                <w:w w:val="110"/>
                <w:sz w:val="20"/>
              </w:rPr>
              <w:t>challenges</w:t>
            </w:r>
            <w:r>
              <w:rPr>
                <w:rFonts w:ascii="Stone Sans II ITC Std Bk" w:hAnsi="Stone Sans II ITC Std Bk"/>
                <w:b/>
                <w:spacing w:val="-10"/>
                <w:w w:val="110"/>
                <w:sz w:val="20"/>
              </w:rPr>
              <w:t> </w:t>
            </w:r>
            <w:r>
              <w:rPr>
                <w:rFonts w:ascii="Stone Sans II ITC Std Bk" w:hAnsi="Stone Sans II ITC Std Bk"/>
                <w:b/>
                <w:w w:val="110"/>
                <w:sz w:val="20"/>
              </w:rPr>
              <w:t>in</w:t>
            </w:r>
            <w:r>
              <w:rPr>
                <w:rFonts w:ascii="Stone Sans II ITC Std Bk" w:hAnsi="Stone Sans II ITC Std Bk"/>
                <w:b/>
                <w:spacing w:val="-9"/>
                <w:w w:val="110"/>
                <w:sz w:val="20"/>
              </w:rPr>
              <w:t> </w:t>
            </w:r>
            <w:r>
              <w:rPr>
                <w:rFonts w:ascii="Stone Sans II ITC Std Bk" w:hAnsi="Stone Sans II ITC Std Bk"/>
                <w:b/>
                <w:w w:val="110"/>
                <w:sz w:val="20"/>
              </w:rPr>
              <w:t>front</w:t>
            </w:r>
            <w:r>
              <w:rPr>
                <w:rFonts w:ascii="Stone Sans II ITC Std Bk" w:hAnsi="Stone Sans II ITC Std Bk"/>
                <w:b/>
                <w:spacing w:val="-10"/>
                <w:w w:val="110"/>
                <w:sz w:val="20"/>
              </w:rPr>
              <w:t> </w:t>
            </w:r>
            <w:r>
              <w:rPr>
                <w:rFonts w:ascii="Stone Sans II ITC Std Bk" w:hAnsi="Stone Sans II ITC Std Bk"/>
                <w:b/>
                <w:w w:val="110"/>
                <w:sz w:val="20"/>
              </w:rPr>
              <w:t>of</w:t>
            </w:r>
            <w:r>
              <w:rPr>
                <w:rFonts w:ascii="Stone Sans II ITC Std Bk" w:hAnsi="Stone Sans II ITC Std Bk"/>
                <w:b/>
                <w:spacing w:val="-10"/>
                <w:w w:val="110"/>
                <w:sz w:val="20"/>
              </w:rPr>
              <w:t> </w:t>
            </w:r>
            <w:r>
              <w:rPr>
                <w:rFonts w:ascii="Stone Sans II ITC Std Bk" w:hAnsi="Stone Sans II ITC Std Bk"/>
                <w:b/>
                <w:w w:val="110"/>
                <w:sz w:val="20"/>
              </w:rPr>
              <w:t>the</w:t>
            </w:r>
            <w:r>
              <w:rPr>
                <w:rFonts w:ascii="Stone Sans II ITC Std Bk" w:hAnsi="Stone Sans II ITC Std Bk"/>
                <w:b/>
                <w:spacing w:val="-9"/>
                <w:w w:val="110"/>
                <w:sz w:val="20"/>
              </w:rPr>
              <w:t> </w:t>
            </w:r>
            <w:r>
              <w:rPr>
                <w:rFonts w:ascii="Stone Sans II ITC Std Bk" w:hAnsi="Stone Sans II ITC Std Bk"/>
                <w:b/>
                <w:w w:val="110"/>
                <w:sz w:val="20"/>
              </w:rPr>
              <w:t>Church.</w:t>
            </w:r>
          </w:p>
          <w:p>
            <w:pPr>
              <w:pStyle w:val="TableParagraph"/>
              <w:spacing w:before="6"/>
              <w:ind w:left="0"/>
              <w:rPr>
                <w:rFonts w:ascii="Stone Sans II ITC Std Bk"/>
                <w:b/>
                <w:sz w:val="17"/>
              </w:rPr>
            </w:pPr>
          </w:p>
          <w:p>
            <w:pPr>
              <w:pStyle w:val="TableParagraph"/>
              <w:numPr>
                <w:ilvl w:val="0"/>
                <w:numId w:val="140"/>
              </w:numPr>
              <w:tabs>
                <w:tab w:pos="760" w:val="left" w:leader="none"/>
                <w:tab w:pos="761" w:val="left" w:leader="none"/>
              </w:tabs>
              <w:spacing w:line="213" w:lineRule="auto" w:before="1" w:after="0"/>
              <w:ind w:left="80" w:right="963" w:firstLine="0"/>
              <w:jc w:val="left"/>
              <w:rPr>
                <w:rFonts w:ascii="Stone Sans II ITC Std Bk"/>
                <w:b/>
                <w:sz w:val="20"/>
              </w:rPr>
            </w:pPr>
            <w:r>
              <w:rPr>
                <w:rFonts w:ascii="Stone Sans II ITC Std Bk"/>
                <w:b/>
                <w:w w:val="110"/>
                <w:sz w:val="20"/>
              </w:rPr>
              <w:t>General</w:t>
            </w:r>
            <w:r>
              <w:rPr>
                <w:rFonts w:ascii="Stone Sans II ITC Std Bk"/>
                <w:b/>
                <w:spacing w:val="-14"/>
                <w:w w:val="110"/>
                <w:sz w:val="20"/>
              </w:rPr>
              <w:t> </w:t>
            </w:r>
            <w:r>
              <w:rPr>
                <w:rFonts w:ascii="Stone Sans II ITC Std Bk"/>
                <w:b/>
                <w:w w:val="110"/>
                <w:sz w:val="20"/>
              </w:rPr>
              <w:t>Assembly</w:t>
            </w:r>
            <w:r>
              <w:rPr>
                <w:rFonts w:ascii="Stone Sans II ITC Std Bk"/>
                <w:b/>
                <w:spacing w:val="-14"/>
                <w:w w:val="110"/>
                <w:sz w:val="20"/>
              </w:rPr>
              <w:t> </w:t>
            </w:r>
            <w:r>
              <w:rPr>
                <w:rFonts w:ascii="Stone Sans II ITC Std Bk"/>
                <w:b/>
                <w:w w:val="110"/>
                <w:sz w:val="20"/>
              </w:rPr>
              <w:t>encourages</w:t>
            </w:r>
            <w:r>
              <w:rPr>
                <w:rFonts w:ascii="Stone Sans II ITC Std Bk"/>
                <w:b/>
                <w:spacing w:val="-14"/>
                <w:w w:val="110"/>
                <w:sz w:val="20"/>
              </w:rPr>
              <w:t> </w:t>
            </w:r>
            <w:r>
              <w:rPr>
                <w:rFonts w:ascii="Stone Sans II ITC Std Bk"/>
                <w:b/>
                <w:w w:val="110"/>
                <w:sz w:val="20"/>
              </w:rPr>
              <w:t>local</w:t>
            </w:r>
            <w:r>
              <w:rPr>
                <w:rFonts w:ascii="Stone Sans II ITC Std Bk"/>
                <w:b/>
                <w:spacing w:val="-14"/>
                <w:w w:val="110"/>
                <w:sz w:val="20"/>
              </w:rPr>
              <w:t> </w:t>
            </w:r>
            <w:r>
              <w:rPr>
                <w:rFonts w:ascii="Stone Sans II ITC Std Bk"/>
                <w:b/>
                <w:w w:val="110"/>
                <w:sz w:val="20"/>
              </w:rPr>
              <w:t>churches</w:t>
            </w:r>
            <w:r>
              <w:rPr>
                <w:rFonts w:ascii="Stone Sans II ITC Std Bk"/>
                <w:b/>
                <w:spacing w:val="-14"/>
                <w:w w:val="110"/>
                <w:sz w:val="20"/>
              </w:rPr>
              <w:t> </w:t>
            </w:r>
            <w:r>
              <w:rPr>
                <w:rFonts w:ascii="Stone Sans II ITC Std Bk"/>
                <w:b/>
                <w:spacing w:val="-3"/>
                <w:w w:val="110"/>
                <w:sz w:val="20"/>
              </w:rPr>
              <w:t>to </w:t>
            </w:r>
            <w:r>
              <w:rPr>
                <w:rFonts w:ascii="Stone Sans II ITC Std Bk"/>
                <w:b/>
                <w:w w:val="110"/>
                <w:sz w:val="20"/>
              </w:rPr>
              <w:t>be</w:t>
            </w:r>
            <w:r>
              <w:rPr>
                <w:rFonts w:ascii="Stone Sans II ITC Std Bk"/>
                <w:b/>
                <w:spacing w:val="-13"/>
                <w:w w:val="110"/>
                <w:sz w:val="20"/>
              </w:rPr>
              <w:t> </w:t>
            </w:r>
            <w:r>
              <w:rPr>
                <w:rFonts w:ascii="Stone Sans II ITC Std Bk"/>
                <w:b/>
                <w:w w:val="110"/>
                <w:sz w:val="20"/>
              </w:rPr>
              <w:t>proactive</w:t>
            </w:r>
            <w:r>
              <w:rPr>
                <w:rFonts w:ascii="Stone Sans II ITC Std Bk"/>
                <w:b/>
                <w:spacing w:val="-12"/>
                <w:w w:val="110"/>
                <w:sz w:val="20"/>
              </w:rPr>
              <w:t> </w:t>
            </w:r>
            <w:r>
              <w:rPr>
                <w:rFonts w:ascii="Stone Sans II ITC Std Bk"/>
                <w:b/>
                <w:w w:val="110"/>
                <w:sz w:val="20"/>
              </w:rPr>
              <w:t>in</w:t>
            </w:r>
            <w:r>
              <w:rPr>
                <w:rFonts w:ascii="Stone Sans II ITC Std Bk"/>
                <w:b/>
                <w:spacing w:val="-12"/>
                <w:w w:val="110"/>
                <w:sz w:val="20"/>
              </w:rPr>
              <w:t> </w:t>
            </w:r>
            <w:r>
              <w:rPr>
                <w:rFonts w:ascii="Stone Sans II ITC Std Bk"/>
                <w:b/>
                <w:w w:val="110"/>
                <w:sz w:val="20"/>
              </w:rPr>
              <w:t>sharing</w:t>
            </w:r>
            <w:r>
              <w:rPr>
                <w:rFonts w:ascii="Stone Sans II ITC Std Bk"/>
                <w:b/>
                <w:spacing w:val="-12"/>
                <w:w w:val="110"/>
                <w:sz w:val="20"/>
              </w:rPr>
              <w:t> </w:t>
            </w:r>
            <w:r>
              <w:rPr>
                <w:rFonts w:ascii="Stone Sans II ITC Std Bk"/>
                <w:b/>
                <w:w w:val="110"/>
                <w:sz w:val="20"/>
              </w:rPr>
              <w:t>their</w:t>
            </w:r>
            <w:r>
              <w:rPr>
                <w:rFonts w:ascii="Stone Sans II ITC Std Bk"/>
                <w:b/>
                <w:spacing w:val="-12"/>
                <w:w w:val="110"/>
                <w:sz w:val="20"/>
              </w:rPr>
              <w:t> </w:t>
            </w:r>
            <w:r>
              <w:rPr>
                <w:rFonts w:ascii="Stone Sans II ITC Std Bk"/>
                <w:b/>
                <w:w w:val="110"/>
                <w:sz w:val="20"/>
              </w:rPr>
              <w:t>good</w:t>
            </w:r>
            <w:r>
              <w:rPr>
                <w:rFonts w:ascii="Stone Sans II ITC Std Bk"/>
                <w:b/>
                <w:spacing w:val="-12"/>
                <w:w w:val="110"/>
                <w:sz w:val="20"/>
              </w:rPr>
              <w:t> </w:t>
            </w:r>
            <w:r>
              <w:rPr>
                <w:rFonts w:ascii="Stone Sans II ITC Std Bk"/>
                <w:b/>
                <w:w w:val="110"/>
                <w:sz w:val="20"/>
              </w:rPr>
              <w:t>news</w:t>
            </w:r>
            <w:r>
              <w:rPr>
                <w:rFonts w:ascii="Stone Sans II ITC Std Bk"/>
                <w:b/>
                <w:spacing w:val="-12"/>
                <w:w w:val="110"/>
                <w:sz w:val="20"/>
              </w:rPr>
              <w:t> </w:t>
            </w:r>
            <w:r>
              <w:rPr>
                <w:rFonts w:ascii="Stone Sans II ITC Std Bk"/>
                <w:b/>
                <w:w w:val="110"/>
                <w:sz w:val="20"/>
              </w:rPr>
              <w:t>stories</w:t>
            </w:r>
            <w:r>
              <w:rPr>
                <w:rFonts w:ascii="Stone Sans II ITC Std Bk"/>
                <w:b/>
                <w:spacing w:val="-12"/>
                <w:w w:val="110"/>
                <w:sz w:val="20"/>
              </w:rPr>
              <w:t> </w:t>
            </w:r>
            <w:r>
              <w:rPr>
                <w:rFonts w:ascii="Stone Sans II ITC Std Bk"/>
                <w:b/>
                <w:w w:val="110"/>
                <w:sz w:val="20"/>
              </w:rPr>
              <w:t>via</w:t>
            </w:r>
            <w:r>
              <w:rPr>
                <w:rFonts w:ascii="Stone Sans II ITC Std Bk"/>
                <w:b/>
                <w:spacing w:val="-12"/>
                <w:w w:val="110"/>
                <w:sz w:val="20"/>
              </w:rPr>
              <w:t> </w:t>
            </w:r>
            <w:r>
              <w:rPr>
                <w:rFonts w:ascii="Stone Sans II ITC Std Bk"/>
                <w:b/>
                <w:w w:val="110"/>
                <w:sz w:val="20"/>
              </w:rPr>
              <w:t>the</w:t>
            </w:r>
          </w:p>
          <w:p>
            <w:pPr>
              <w:pStyle w:val="TableParagraph"/>
              <w:spacing w:line="213" w:lineRule="auto"/>
              <w:ind w:right="28"/>
              <w:rPr>
                <w:rFonts w:ascii="Stone Sans II ITC Std Bk"/>
                <w:b/>
                <w:sz w:val="20"/>
              </w:rPr>
            </w:pPr>
            <w:r>
              <w:rPr>
                <w:rFonts w:ascii="Stone Sans II ITC Std Bk"/>
                <w:b/>
                <w:w w:val="110"/>
                <w:sz w:val="20"/>
              </w:rPr>
              <w:t>communications department, the </w:t>
            </w:r>
            <w:r>
              <w:rPr>
                <w:rFonts w:ascii="Stone Sans II ITC Std Bk"/>
                <w:b/>
                <w:spacing w:val="-3"/>
                <w:w w:val="110"/>
                <w:sz w:val="20"/>
              </w:rPr>
              <w:t>creative </w:t>
            </w:r>
            <w:r>
              <w:rPr>
                <w:rFonts w:ascii="Stone Sans II ITC Std Bk"/>
                <w:b/>
                <w:w w:val="110"/>
                <w:sz w:val="20"/>
              </w:rPr>
              <w:t>use of social media, synod gatherings and </w:t>
            </w:r>
            <w:r>
              <w:rPr>
                <w:rFonts w:ascii="Stone Sans II ITC Std Bk"/>
                <w:b/>
                <w:spacing w:val="-3"/>
                <w:w w:val="110"/>
                <w:sz w:val="20"/>
              </w:rPr>
              <w:t>whatever </w:t>
            </w:r>
            <w:r>
              <w:rPr>
                <w:rFonts w:ascii="Stone Sans II ITC Std Bk"/>
                <w:b/>
                <w:w w:val="110"/>
                <w:sz w:val="20"/>
              </w:rPr>
              <w:t>other opportunities present themselves or can be </w:t>
            </w:r>
            <w:r>
              <w:rPr>
                <w:rFonts w:ascii="Stone Sans II ITC Std Bk"/>
                <w:b/>
                <w:spacing w:val="-3"/>
                <w:w w:val="110"/>
                <w:sz w:val="20"/>
              </w:rPr>
              <w:t>created.</w:t>
            </w:r>
          </w:p>
          <w:p>
            <w:pPr>
              <w:pStyle w:val="TableParagraph"/>
              <w:spacing w:before="6"/>
              <w:ind w:left="0"/>
              <w:rPr>
                <w:rFonts w:ascii="Stone Sans II ITC Std Bk"/>
                <w:b/>
                <w:sz w:val="17"/>
              </w:rPr>
            </w:pPr>
          </w:p>
          <w:p>
            <w:pPr>
              <w:pStyle w:val="TableParagraph"/>
              <w:numPr>
                <w:ilvl w:val="0"/>
                <w:numId w:val="140"/>
              </w:numPr>
              <w:tabs>
                <w:tab w:pos="760" w:val="left" w:leader="none"/>
                <w:tab w:pos="761" w:val="left" w:leader="none"/>
              </w:tabs>
              <w:spacing w:line="213" w:lineRule="auto" w:before="0" w:after="0"/>
              <w:ind w:left="80" w:right="107" w:firstLine="0"/>
              <w:jc w:val="left"/>
              <w:rPr>
                <w:rFonts w:ascii="Stone Sans II ITC Std Bk" w:hAnsi="Stone Sans II ITC Std Bk"/>
                <w:b/>
                <w:sz w:val="20"/>
              </w:rPr>
            </w:pPr>
            <w:r>
              <w:rPr>
                <w:rFonts w:ascii="Stone Sans II ITC Std Bk" w:hAnsi="Stone Sans II ITC Std Bk"/>
                <w:b/>
                <w:w w:val="110"/>
                <w:sz w:val="20"/>
              </w:rPr>
              <w:t>General</w:t>
            </w:r>
            <w:r>
              <w:rPr>
                <w:rFonts w:ascii="Stone Sans II ITC Std Bk" w:hAnsi="Stone Sans II ITC Std Bk"/>
                <w:b/>
                <w:spacing w:val="-12"/>
                <w:w w:val="110"/>
                <w:sz w:val="20"/>
              </w:rPr>
              <w:t> </w:t>
            </w:r>
            <w:r>
              <w:rPr>
                <w:rFonts w:ascii="Stone Sans II ITC Std Bk" w:hAnsi="Stone Sans II ITC Std Bk"/>
                <w:b/>
                <w:w w:val="110"/>
                <w:sz w:val="20"/>
              </w:rPr>
              <w:t>Assembly</w:t>
            </w:r>
            <w:r>
              <w:rPr>
                <w:rFonts w:ascii="Stone Sans II ITC Std Bk" w:hAnsi="Stone Sans II ITC Std Bk"/>
                <w:b/>
                <w:spacing w:val="-12"/>
                <w:w w:val="110"/>
                <w:sz w:val="20"/>
              </w:rPr>
              <w:t> </w:t>
            </w:r>
            <w:r>
              <w:rPr>
                <w:rFonts w:ascii="Stone Sans II ITC Std Bk" w:hAnsi="Stone Sans II ITC Std Bk"/>
                <w:b/>
                <w:spacing w:val="-3"/>
                <w:w w:val="110"/>
                <w:sz w:val="20"/>
              </w:rPr>
              <w:t>invites</w:t>
            </w:r>
            <w:r>
              <w:rPr>
                <w:rFonts w:ascii="Stone Sans II ITC Std Bk" w:hAnsi="Stone Sans II ITC Std Bk"/>
                <w:b/>
                <w:spacing w:val="-11"/>
                <w:w w:val="110"/>
                <w:sz w:val="20"/>
              </w:rPr>
              <w:t> </w:t>
            </w:r>
            <w:r>
              <w:rPr>
                <w:rFonts w:ascii="Stone Sans II ITC Std Bk" w:hAnsi="Stone Sans II ITC Std Bk"/>
                <w:b/>
                <w:w w:val="110"/>
                <w:sz w:val="20"/>
              </w:rPr>
              <w:t>the</w:t>
            </w:r>
            <w:r>
              <w:rPr>
                <w:rFonts w:ascii="Stone Sans II ITC Std Bk" w:hAnsi="Stone Sans II ITC Std Bk"/>
                <w:b/>
                <w:spacing w:val="-12"/>
                <w:w w:val="110"/>
                <w:sz w:val="20"/>
              </w:rPr>
              <w:t> </w:t>
            </w:r>
            <w:r>
              <w:rPr>
                <w:rFonts w:ascii="Stone Sans II ITC Std Bk" w:hAnsi="Stone Sans II ITC Std Bk"/>
                <w:b/>
                <w:w w:val="110"/>
                <w:sz w:val="20"/>
              </w:rPr>
              <w:t>faith</w:t>
            </w:r>
            <w:r>
              <w:rPr>
                <w:rFonts w:ascii="Stone Sans II ITC Std Bk" w:hAnsi="Stone Sans II ITC Std Bk"/>
                <w:b/>
                <w:spacing w:val="-11"/>
                <w:w w:val="110"/>
                <w:sz w:val="20"/>
              </w:rPr>
              <w:t> </w:t>
            </w:r>
            <w:r>
              <w:rPr>
                <w:rFonts w:ascii="Stone Sans II ITC Std Bk" w:hAnsi="Stone Sans II ITC Std Bk"/>
                <w:b/>
                <w:w w:val="110"/>
                <w:sz w:val="20"/>
              </w:rPr>
              <w:t>and</w:t>
            </w:r>
            <w:r>
              <w:rPr>
                <w:rFonts w:ascii="Stone Sans II ITC Std Bk" w:hAnsi="Stone Sans II ITC Std Bk"/>
                <w:b/>
                <w:spacing w:val="-12"/>
                <w:w w:val="110"/>
                <w:sz w:val="20"/>
              </w:rPr>
              <w:t> </w:t>
            </w:r>
            <w:r>
              <w:rPr>
                <w:rFonts w:ascii="Stone Sans II ITC Std Bk" w:hAnsi="Stone Sans II ITC Std Bk"/>
                <w:b/>
                <w:w w:val="110"/>
                <w:sz w:val="20"/>
              </w:rPr>
              <w:t>order</w:t>
            </w:r>
            <w:r>
              <w:rPr>
                <w:rFonts w:ascii="Stone Sans II ITC Std Bk" w:hAnsi="Stone Sans II ITC Std Bk"/>
                <w:b/>
                <w:spacing w:val="-12"/>
                <w:w w:val="110"/>
                <w:sz w:val="20"/>
              </w:rPr>
              <w:t> </w:t>
            </w:r>
            <w:r>
              <w:rPr>
                <w:rFonts w:ascii="Stone Sans II ITC Std Bk" w:hAnsi="Stone Sans II ITC Std Bk"/>
                <w:b/>
                <w:w w:val="110"/>
                <w:sz w:val="20"/>
              </w:rPr>
              <w:t>committee in consultation with other </w:t>
            </w:r>
            <w:r>
              <w:rPr>
                <w:rFonts w:ascii="Stone Sans II ITC Std Bk" w:hAnsi="Stone Sans II ITC Std Bk"/>
                <w:b/>
                <w:spacing w:val="-3"/>
                <w:w w:val="110"/>
                <w:sz w:val="20"/>
              </w:rPr>
              <w:t>relevant </w:t>
            </w:r>
            <w:r>
              <w:rPr>
                <w:rFonts w:ascii="Stone Sans II ITC Std Bk" w:hAnsi="Stone Sans II ITC Std Bk"/>
                <w:b/>
                <w:w w:val="110"/>
                <w:sz w:val="20"/>
              </w:rPr>
              <w:t>bodies </w:t>
            </w:r>
            <w:r>
              <w:rPr>
                <w:rFonts w:ascii="Stone Sans II ITC Std Bk" w:hAnsi="Stone Sans II ITC Std Bk"/>
                <w:b/>
                <w:spacing w:val="-3"/>
                <w:w w:val="110"/>
                <w:sz w:val="20"/>
              </w:rPr>
              <w:t>to </w:t>
            </w:r>
            <w:r>
              <w:rPr>
                <w:rFonts w:ascii="Stone Sans II ITC Std Bk" w:hAnsi="Stone Sans II ITC Std Bk"/>
                <w:b/>
                <w:w w:val="110"/>
                <w:sz w:val="20"/>
              </w:rPr>
              <w:t>undertake work arising</w:t>
            </w:r>
            <w:r>
              <w:rPr>
                <w:rFonts w:ascii="Stone Sans II ITC Std Bk" w:hAnsi="Stone Sans II ITC Std Bk"/>
                <w:b/>
                <w:spacing w:val="-8"/>
                <w:w w:val="110"/>
                <w:sz w:val="20"/>
              </w:rPr>
              <w:t> </w:t>
            </w:r>
            <w:r>
              <w:rPr>
                <w:rFonts w:ascii="Stone Sans II ITC Std Bk" w:hAnsi="Stone Sans II ITC Std Bk"/>
                <w:b/>
                <w:w w:val="110"/>
                <w:sz w:val="20"/>
              </w:rPr>
              <w:t>out</w:t>
            </w:r>
            <w:r>
              <w:rPr>
                <w:rFonts w:ascii="Stone Sans II ITC Std Bk" w:hAnsi="Stone Sans II ITC Std Bk"/>
                <w:b/>
                <w:spacing w:val="-7"/>
                <w:w w:val="110"/>
                <w:sz w:val="20"/>
              </w:rPr>
              <w:t> </w:t>
            </w:r>
            <w:r>
              <w:rPr>
                <w:rFonts w:ascii="Stone Sans II ITC Std Bk" w:hAnsi="Stone Sans II ITC Std Bk"/>
                <w:b/>
                <w:w w:val="110"/>
                <w:sz w:val="20"/>
              </w:rPr>
              <w:t>of</w:t>
            </w:r>
            <w:r>
              <w:rPr>
                <w:rFonts w:ascii="Stone Sans II ITC Std Bk" w:hAnsi="Stone Sans II ITC Std Bk"/>
                <w:b/>
                <w:spacing w:val="-7"/>
                <w:w w:val="110"/>
                <w:sz w:val="20"/>
              </w:rPr>
              <w:t> </w:t>
            </w:r>
            <w:r>
              <w:rPr>
                <w:rFonts w:ascii="Stone Sans II ITC Std Bk" w:hAnsi="Stone Sans II ITC Std Bk"/>
                <w:b/>
                <w:w w:val="110"/>
                <w:sz w:val="20"/>
              </w:rPr>
              <w:t>this</w:t>
            </w:r>
            <w:r>
              <w:rPr>
                <w:rFonts w:ascii="Stone Sans II ITC Std Bk" w:hAnsi="Stone Sans II ITC Std Bk"/>
                <w:b/>
                <w:spacing w:val="-7"/>
                <w:w w:val="110"/>
                <w:sz w:val="20"/>
              </w:rPr>
              <w:t> </w:t>
            </w:r>
            <w:r>
              <w:rPr>
                <w:rFonts w:ascii="Stone Sans II ITC Std Bk" w:hAnsi="Stone Sans II ITC Std Bk"/>
                <w:b/>
                <w:w w:val="110"/>
                <w:sz w:val="20"/>
              </w:rPr>
              <w:t>report</w:t>
            </w:r>
            <w:r>
              <w:rPr>
                <w:rFonts w:ascii="Stone Sans II ITC Std Bk" w:hAnsi="Stone Sans II ITC Std Bk"/>
                <w:b/>
                <w:spacing w:val="-8"/>
                <w:w w:val="110"/>
                <w:sz w:val="20"/>
              </w:rPr>
              <w:t> </w:t>
            </w:r>
            <w:r>
              <w:rPr>
                <w:rFonts w:ascii="Stone Sans II ITC Std Bk" w:hAnsi="Stone Sans II ITC Std Bk"/>
                <w:b/>
                <w:w w:val="110"/>
                <w:sz w:val="20"/>
              </w:rPr>
              <w:t>and</w:t>
            </w:r>
            <w:r>
              <w:rPr>
                <w:rFonts w:ascii="Stone Sans II ITC Std Bk" w:hAnsi="Stone Sans II ITC Std Bk"/>
                <w:b/>
                <w:spacing w:val="-7"/>
                <w:w w:val="110"/>
                <w:sz w:val="20"/>
              </w:rPr>
              <w:t> </w:t>
            </w:r>
            <w:r>
              <w:rPr>
                <w:rFonts w:ascii="Stone Sans II ITC Std Bk" w:hAnsi="Stone Sans II ITC Std Bk"/>
                <w:b/>
                <w:w w:val="110"/>
                <w:sz w:val="20"/>
              </w:rPr>
              <w:t>on</w:t>
            </w:r>
            <w:r>
              <w:rPr>
                <w:rFonts w:ascii="Stone Sans II ITC Std Bk" w:hAnsi="Stone Sans II ITC Std Bk"/>
                <w:b/>
                <w:spacing w:val="-7"/>
                <w:w w:val="110"/>
                <w:sz w:val="20"/>
              </w:rPr>
              <w:t> </w:t>
            </w:r>
            <w:r>
              <w:rPr>
                <w:rFonts w:ascii="Stone Sans II ITC Std Bk" w:hAnsi="Stone Sans II ITC Std Bk"/>
                <w:b/>
                <w:spacing w:val="-9"/>
                <w:w w:val="110"/>
                <w:sz w:val="20"/>
              </w:rPr>
              <w:t>‘A</w:t>
            </w:r>
            <w:r>
              <w:rPr>
                <w:rFonts w:ascii="Stone Sans II ITC Std Bk" w:hAnsi="Stone Sans II ITC Std Bk"/>
                <w:b/>
                <w:spacing w:val="-7"/>
                <w:w w:val="110"/>
                <w:sz w:val="20"/>
              </w:rPr>
              <w:t> </w:t>
            </w:r>
            <w:r>
              <w:rPr>
                <w:rFonts w:ascii="Stone Sans II ITC Std Bk" w:hAnsi="Stone Sans II ITC Std Bk"/>
                <w:b/>
                <w:spacing w:val="-3"/>
                <w:w w:val="110"/>
                <w:sz w:val="20"/>
              </w:rPr>
              <w:t>Statement</w:t>
            </w:r>
            <w:r>
              <w:rPr>
                <w:rFonts w:ascii="Stone Sans II ITC Std Bk" w:hAnsi="Stone Sans II ITC Std Bk"/>
                <w:b/>
                <w:spacing w:val="-8"/>
                <w:w w:val="110"/>
                <w:sz w:val="20"/>
              </w:rPr>
              <w:t> </w:t>
            </w:r>
            <w:r>
              <w:rPr>
                <w:rFonts w:ascii="Stone Sans II ITC Std Bk" w:hAnsi="Stone Sans II ITC Std Bk"/>
                <w:b/>
                <w:w w:val="110"/>
                <w:sz w:val="20"/>
              </w:rPr>
              <w:t>Concerning</w:t>
            </w:r>
          </w:p>
          <w:p>
            <w:pPr>
              <w:pStyle w:val="TableParagraph"/>
              <w:spacing w:line="213" w:lineRule="auto"/>
              <w:ind w:right="212"/>
              <w:rPr>
                <w:rFonts w:ascii="Stone Sans II ITC Std Bk" w:hAnsi="Stone Sans II ITC Std Bk"/>
                <w:b/>
                <w:sz w:val="20"/>
              </w:rPr>
            </w:pPr>
            <w:r>
              <w:rPr>
                <w:rFonts w:ascii="Stone Sans II ITC Std Bk" w:hAnsi="Stone Sans II ITC Std Bk"/>
                <w:b/>
                <w:w w:val="110"/>
                <w:sz w:val="20"/>
              </w:rPr>
              <w:t>the </w:t>
            </w:r>
            <w:r>
              <w:rPr>
                <w:rFonts w:ascii="Stone Sans II ITC Std Bk" w:hAnsi="Stone Sans II ITC Std Bk"/>
                <w:b/>
                <w:spacing w:val="-3"/>
                <w:w w:val="110"/>
                <w:sz w:val="20"/>
              </w:rPr>
              <w:t>Nature, Faith </w:t>
            </w:r>
            <w:r>
              <w:rPr>
                <w:rFonts w:ascii="Stone Sans II ITC Std Bk" w:hAnsi="Stone Sans II ITC Std Bk"/>
                <w:b/>
                <w:w w:val="110"/>
                <w:sz w:val="20"/>
              </w:rPr>
              <w:t>and Order of the United Reformed </w:t>
            </w:r>
            <w:r>
              <w:rPr>
                <w:rFonts w:ascii="Stone Sans II ITC Std Bk" w:hAnsi="Stone Sans II ITC Std Bk"/>
                <w:b/>
                <w:spacing w:val="-5"/>
                <w:w w:val="110"/>
                <w:sz w:val="20"/>
              </w:rPr>
              <w:t>Church’, </w:t>
            </w:r>
            <w:r>
              <w:rPr>
                <w:rFonts w:ascii="Stone Sans II ITC Std Bk" w:hAnsi="Stone Sans II ITC Std Bk"/>
                <w:b/>
                <w:spacing w:val="-3"/>
                <w:w w:val="110"/>
                <w:sz w:val="20"/>
              </w:rPr>
              <w:t>to </w:t>
            </w:r>
            <w:r>
              <w:rPr>
                <w:rFonts w:ascii="Stone Sans II ITC Std Bk" w:hAnsi="Stone Sans II ITC Std Bk"/>
                <w:b/>
                <w:w w:val="110"/>
                <w:sz w:val="20"/>
              </w:rPr>
              <w:t>produce further </w:t>
            </w:r>
            <w:r>
              <w:rPr>
                <w:rFonts w:ascii="Stone Sans II ITC Std Bk" w:hAnsi="Stone Sans II ITC Std Bk"/>
                <w:b/>
                <w:spacing w:val="-3"/>
                <w:w w:val="110"/>
                <w:sz w:val="20"/>
              </w:rPr>
              <w:t>resources </w:t>
            </w:r>
            <w:r>
              <w:rPr>
                <w:rFonts w:ascii="Stone Sans II ITC Std Bk" w:hAnsi="Stone Sans II ITC Std Bk"/>
                <w:b/>
                <w:w w:val="110"/>
                <w:sz w:val="20"/>
              </w:rPr>
              <w:t>for study and </w:t>
            </w:r>
            <w:r>
              <w:rPr>
                <w:rFonts w:ascii="Stone Sans II ITC Std Bk" w:hAnsi="Stone Sans II ITC Std Bk"/>
                <w:b/>
                <w:spacing w:val="-3"/>
                <w:w w:val="110"/>
                <w:sz w:val="20"/>
              </w:rPr>
              <w:t>worship, to </w:t>
            </w:r>
            <w:r>
              <w:rPr>
                <w:rFonts w:ascii="Stone Sans II ITC Std Bk" w:hAnsi="Stone Sans II ITC Std Bk"/>
                <w:b/>
                <w:w w:val="110"/>
                <w:sz w:val="20"/>
              </w:rPr>
              <w:t>help churches in their reflection on ‘What is the Spirit </w:t>
            </w:r>
            <w:r>
              <w:rPr>
                <w:rFonts w:ascii="Stone Sans II ITC Std Bk" w:hAnsi="Stone Sans II ITC Std Bk"/>
                <w:b/>
                <w:spacing w:val="-2"/>
                <w:w w:val="110"/>
                <w:sz w:val="20"/>
              </w:rPr>
              <w:t>saying </w:t>
            </w:r>
            <w:r>
              <w:rPr>
                <w:rFonts w:ascii="Stone Sans II ITC Std Bk" w:hAnsi="Stone Sans II ITC Std Bk"/>
                <w:b/>
                <w:spacing w:val="-3"/>
                <w:w w:val="110"/>
                <w:sz w:val="20"/>
              </w:rPr>
              <w:t>to </w:t>
            </w:r>
            <w:r>
              <w:rPr>
                <w:rFonts w:ascii="Stone Sans II ITC Std Bk" w:hAnsi="Stone Sans II ITC Std Bk"/>
                <w:b/>
                <w:w w:val="110"/>
                <w:sz w:val="20"/>
              </w:rPr>
              <w:t>the </w:t>
            </w:r>
            <w:r>
              <w:rPr>
                <w:rFonts w:ascii="Stone Sans II ITC Std Bk" w:hAnsi="Stone Sans II ITC Std Bk"/>
                <w:b/>
                <w:spacing w:val="-4"/>
                <w:w w:val="110"/>
                <w:sz w:val="20"/>
              </w:rPr>
              <w:t>churches?’</w:t>
            </w:r>
          </w:p>
        </w:tc>
      </w:tr>
    </w:tbl>
    <w:p>
      <w:pPr>
        <w:pStyle w:val="BodyText"/>
        <w:spacing w:before="4"/>
        <w:rPr>
          <w:rFonts w:ascii="Stone Sans II ITC Std Bk"/>
          <w:b/>
          <w:sz w:val="29"/>
        </w:rPr>
      </w:pPr>
    </w:p>
    <w:p>
      <w:pPr>
        <w:pStyle w:val="Heading4"/>
        <w:ind w:left="961"/>
        <w:jc w:val="both"/>
      </w:pPr>
      <w:r>
        <w:rPr>
          <w:color w:val="7F7F7F"/>
        </w:rPr>
        <w:t>Summary of Content</w:t>
      </w:r>
    </w:p>
    <w:tbl>
      <w:tblPr>
        <w:tblW w:w="0" w:type="auto"/>
        <w:jc w:val="left"/>
        <w:tblInd w:w="97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660"/>
        <w:gridCol w:w="6741"/>
      </w:tblGrid>
      <w:tr>
        <w:trPr>
          <w:trHeight w:val="1400" w:hRule="atLeast"/>
        </w:trPr>
        <w:tc>
          <w:tcPr>
            <w:tcW w:w="2660" w:type="dxa"/>
            <w:shd w:val="clear" w:color="auto" w:fill="FFFFFF"/>
          </w:tcPr>
          <w:p>
            <w:pPr>
              <w:pStyle w:val="TableParagraph"/>
              <w:spacing w:before="128"/>
              <w:rPr>
                <w:rFonts w:ascii="Stone Sans II ITC Std Bk"/>
                <w:b/>
                <w:sz w:val="20"/>
              </w:rPr>
            </w:pPr>
            <w:r>
              <w:rPr>
                <w:rFonts w:ascii="Stone Sans II ITC Std Bk"/>
                <w:b/>
                <w:w w:val="110"/>
                <w:sz w:val="20"/>
              </w:rPr>
              <w:t>Subject and aim(s)</w:t>
            </w:r>
          </w:p>
        </w:tc>
        <w:tc>
          <w:tcPr>
            <w:tcW w:w="6741" w:type="dxa"/>
            <w:shd w:val="clear" w:color="auto" w:fill="FFFFFF"/>
          </w:tcPr>
          <w:p>
            <w:pPr>
              <w:pStyle w:val="TableParagraph"/>
              <w:spacing w:line="235" w:lineRule="auto" w:before="145"/>
              <w:ind w:right="767"/>
              <w:rPr>
                <w:sz w:val="20"/>
              </w:rPr>
            </w:pPr>
            <w:r>
              <w:rPr>
                <w:w w:val="120"/>
                <w:sz w:val="20"/>
              </w:rPr>
              <w:t>The results of the discussion process initiated by the 2014 General Assembly on the future of the Church</w:t>
            </w:r>
          </w:p>
          <w:p>
            <w:pPr>
              <w:pStyle w:val="TableParagraph"/>
              <w:spacing w:before="11"/>
              <w:ind w:left="0"/>
              <w:rPr>
                <w:rFonts w:ascii="Stone Sans II ITC Std Bk"/>
                <w:b/>
                <w:sz w:val="17"/>
              </w:rPr>
            </w:pPr>
          </w:p>
          <w:p>
            <w:pPr>
              <w:pStyle w:val="TableParagraph"/>
              <w:spacing w:line="235" w:lineRule="auto"/>
              <w:ind w:right="767"/>
              <w:rPr>
                <w:sz w:val="20"/>
              </w:rPr>
            </w:pPr>
            <w:r>
              <w:rPr>
                <w:w w:val="120"/>
                <w:sz w:val="20"/>
              </w:rPr>
              <w:t>The aim is to share the conclusions drawn from that process and encourage and challenge the Church</w:t>
            </w:r>
          </w:p>
        </w:tc>
      </w:tr>
      <w:tr>
        <w:trPr>
          <w:trHeight w:val="3080" w:hRule="atLeast"/>
        </w:trPr>
        <w:tc>
          <w:tcPr>
            <w:tcW w:w="2660" w:type="dxa"/>
            <w:shd w:val="clear" w:color="auto" w:fill="FFFFFF"/>
          </w:tcPr>
          <w:p>
            <w:pPr>
              <w:pStyle w:val="TableParagraph"/>
              <w:spacing w:before="128"/>
              <w:rPr>
                <w:rFonts w:ascii="Stone Sans II ITC Std Bk"/>
                <w:b/>
                <w:sz w:val="20"/>
              </w:rPr>
            </w:pPr>
            <w:r>
              <w:rPr>
                <w:rFonts w:ascii="Stone Sans II ITC Std Bk"/>
                <w:b/>
                <w:w w:val="110"/>
                <w:sz w:val="20"/>
              </w:rPr>
              <w:t>Main points</w:t>
            </w:r>
          </w:p>
        </w:tc>
        <w:tc>
          <w:tcPr>
            <w:tcW w:w="6741" w:type="dxa"/>
            <w:shd w:val="clear" w:color="auto" w:fill="FFFFFF"/>
          </w:tcPr>
          <w:p>
            <w:pPr>
              <w:pStyle w:val="TableParagraph"/>
              <w:spacing w:line="235" w:lineRule="auto" w:before="145"/>
              <w:ind w:right="212"/>
              <w:rPr>
                <w:sz w:val="20"/>
              </w:rPr>
            </w:pPr>
            <w:r>
              <w:rPr>
                <w:w w:val="120"/>
                <w:sz w:val="20"/>
              </w:rPr>
              <w:t>‘What Is the Spirit Saying to the Churches?’ is a paper that was first offered to Assembly in 2014 to aid the prayerful reflection of the United Reformed Church on this particular Church’s future. After responses received from churches, synods and individuals, and discussion at Mission Council, a further paper is brought with affirmations about the God in whom we put our trust to lead and guide us, with celebrations of our life, and with possibilities and challenges that lie in front of us</w:t>
            </w:r>
          </w:p>
          <w:p>
            <w:pPr>
              <w:pStyle w:val="TableParagraph"/>
              <w:spacing w:before="2"/>
              <w:ind w:left="0"/>
              <w:rPr>
                <w:rFonts w:ascii="Stone Sans II ITC Std Bk"/>
                <w:b/>
                <w:sz w:val="18"/>
              </w:rPr>
            </w:pPr>
          </w:p>
          <w:p>
            <w:pPr>
              <w:pStyle w:val="TableParagraph"/>
              <w:spacing w:line="235" w:lineRule="auto"/>
              <w:ind w:right="141"/>
              <w:rPr>
                <w:sz w:val="20"/>
              </w:rPr>
            </w:pPr>
            <w:r>
              <w:rPr>
                <w:w w:val="120"/>
                <w:sz w:val="20"/>
              </w:rPr>
              <w:t>Four separate resolutions, in support of some of the work referred to in this report, are also before General Assembly:</w:t>
            </w:r>
          </w:p>
        </w:tc>
      </w:tr>
    </w:tbl>
    <w:p>
      <w:pPr>
        <w:pStyle w:val="BodyText"/>
        <w:rPr>
          <w:rFonts w:ascii="Stone Sans II ITC Std Bk"/>
          <w:b/>
          <w:sz w:val="30"/>
        </w:rPr>
      </w:pPr>
    </w:p>
    <w:p>
      <w:pPr>
        <w:pStyle w:val="BodyText"/>
        <w:rPr>
          <w:rFonts w:ascii="Stone Sans II ITC Std Bk"/>
          <w:b/>
          <w:sz w:val="30"/>
        </w:rPr>
      </w:pPr>
    </w:p>
    <w:p>
      <w:pPr>
        <w:pStyle w:val="BodyText"/>
        <w:spacing w:before="11"/>
        <w:rPr>
          <w:rFonts w:ascii="Stone Sans II ITC Std Bk"/>
          <w:b/>
          <w:sz w:val="23"/>
        </w:rPr>
      </w:pPr>
    </w:p>
    <w:p>
      <w:pPr>
        <w:pStyle w:val="Heading6"/>
        <w:spacing w:before="1"/>
        <w:ind w:left="3718"/>
        <w:rPr>
          <w:rFonts w:ascii="Stone Sans II ITC Std X Bd" w:hAnsi="Stone Sans II ITC Std X Bd"/>
          <w:b/>
          <w:sz w:val="24"/>
        </w:rPr>
      </w:pPr>
      <w:r>
        <w:rPr>
          <w:color w:val="7EAABF"/>
          <w:w w:val="110"/>
        </w:rPr>
        <w:t>United Reformed Church </w:t>
      </w:r>
      <w:r>
        <w:rPr>
          <w:rFonts w:ascii="Symbol" w:hAnsi="Symbol"/>
          <w:color w:val="7EAABF"/>
          <w:w w:val="110"/>
        </w:rPr>
        <w:t></w:t>
      </w:r>
      <w:r>
        <w:rPr>
          <w:rFonts w:ascii="Times New Roman" w:hAnsi="Times New Roman"/>
          <w:color w:val="7EAABF"/>
          <w:w w:val="110"/>
        </w:rPr>
        <w:t> </w:t>
      </w:r>
      <w:r>
        <w:rPr>
          <w:color w:val="7EAABF"/>
          <w:w w:val="110"/>
        </w:rPr>
        <w:t>General Assembly 2016 </w:t>
      </w:r>
      <w:r>
        <w:rPr>
          <w:rFonts w:ascii="Symbol" w:hAnsi="Symbol"/>
          <w:color w:val="7EAABF"/>
          <w:w w:val="110"/>
        </w:rPr>
        <w:t></w:t>
      </w:r>
      <w:r>
        <w:rPr>
          <w:rFonts w:ascii="Times New Roman" w:hAnsi="Times New Roman"/>
          <w:color w:val="7EAABF"/>
          <w:w w:val="110"/>
        </w:rPr>
        <w:t> </w:t>
      </w:r>
      <w:r>
        <w:rPr>
          <w:rFonts w:ascii="Stone Sans II ITC Std X Bd" w:hAnsi="Stone Sans II ITC Std X Bd"/>
          <w:b/>
          <w:w w:val="110"/>
          <w:sz w:val="24"/>
        </w:rPr>
        <w:t>119</w:t>
      </w:r>
    </w:p>
    <w:p>
      <w:pPr>
        <w:spacing w:after="0"/>
        <w:rPr>
          <w:rFonts w:ascii="Stone Sans II ITC Std X Bd" w:hAnsi="Stone Sans II ITC Std X Bd"/>
          <w:sz w:val="24"/>
        </w:rPr>
        <w:sectPr>
          <w:headerReference w:type="default" r:id="rId337"/>
          <w:footerReference w:type="default" r:id="rId338"/>
          <w:pgSz w:w="11910" w:h="16840"/>
          <w:pgMar w:header="0" w:footer="0" w:top="0" w:bottom="0" w:left="640" w:right="0"/>
        </w:sectPr>
      </w:pPr>
    </w:p>
    <w:p>
      <w:pPr>
        <w:pStyle w:val="BodyText"/>
        <w:rPr>
          <w:rFonts w:ascii="Stone Sans II ITC Std X Bd"/>
          <w:b/>
        </w:rPr>
      </w:pPr>
      <w:r>
        <w:rPr/>
        <w:pict>
          <v:rect style="position:absolute;margin-left:46.777pt;margin-top:.000015pt;width:548.498pt;height:841.89pt;mso-position-horizontal-relative:page;mso-position-vertical-relative:page;z-index:-267798528" filled="true" fillcolor="#d4e9f7" stroked="false">
            <v:fill type="solid"/>
            <w10:wrap type="none"/>
          </v:rect>
        </w:pict>
      </w:r>
      <w:r>
        <w:rPr/>
        <w:drawing>
          <wp:anchor distT="0" distB="0" distL="0" distR="0" allowOverlap="1" layoutInCell="1" locked="0" behindDoc="1" simplePos="0" relativeHeight="235518976">
            <wp:simplePos x="0" y="0"/>
            <wp:positionH relativeFrom="page">
              <wp:posOffset>0</wp:posOffset>
            </wp:positionH>
            <wp:positionV relativeFrom="page">
              <wp:posOffset>0</wp:posOffset>
            </wp:positionV>
            <wp:extent cx="594067" cy="10692003"/>
            <wp:effectExtent l="0" t="0" r="0" b="0"/>
            <wp:wrapNone/>
            <wp:docPr id="223" name="image67.png"/>
            <wp:cNvGraphicFramePr>
              <a:graphicFrameLocks noChangeAspect="1"/>
            </wp:cNvGraphicFramePr>
            <a:graphic>
              <a:graphicData uri="http://schemas.openxmlformats.org/drawingml/2006/picture">
                <pic:pic>
                  <pic:nvPicPr>
                    <pic:cNvPr id="224" name="image67.png"/>
                    <pic:cNvPicPr/>
                  </pic:nvPicPr>
                  <pic:blipFill>
                    <a:blip r:embed="rId184" cstate="print"/>
                    <a:stretch>
                      <a:fillRect/>
                    </a:stretch>
                  </pic:blipFill>
                  <pic:spPr>
                    <a:xfrm>
                      <a:off x="0" y="0"/>
                      <a:ext cx="594067" cy="10692003"/>
                    </a:xfrm>
                    <a:prstGeom prst="rect">
                      <a:avLst/>
                    </a:prstGeom>
                  </pic:spPr>
                </pic:pic>
              </a:graphicData>
            </a:graphic>
          </wp:anchor>
        </w:drawing>
      </w:r>
      <w:r>
        <w:rPr/>
        <w:pict>
          <v:shape style="position:absolute;margin-left:20.519100pt;margin-top:48.890015pt;width:25.9pt;height:594.2pt;mso-position-horizontal-relative:page;mso-position-vertical-relative:page;z-index:-267796480" type="#_x0000_t202" filled="false" stroked="false">
            <v:textbox inset="0,0,0,0" style="layout-flow:vertical">
              <w:txbxContent>
                <w:p>
                  <w:pPr>
                    <w:spacing w:before="27"/>
                    <w:ind w:left="20" w:right="0" w:firstLine="0"/>
                    <w:jc w:val="left"/>
                    <w:rPr>
                      <w:sz w:val="39"/>
                    </w:rPr>
                  </w:pPr>
                  <w:r>
                    <w:rPr>
                      <w:color w:val="FFFFFF"/>
                      <w:w w:val="125"/>
                      <w:sz w:val="39"/>
                    </w:rPr>
                    <w:t>Faith and order – </w:t>
                  </w:r>
                  <w:r>
                    <w:rPr>
                      <w:w w:val="125"/>
                      <w:sz w:val="39"/>
                    </w:rPr>
                    <w:t>What is the Spirit saying to the Churches</w:t>
                  </w:r>
                </w:p>
              </w:txbxContent>
            </v:textbox>
            <w10:wrap type="none"/>
          </v:shape>
        </w:pict>
      </w:r>
    </w:p>
    <w:p>
      <w:pPr>
        <w:pStyle w:val="BodyText"/>
        <w:rPr>
          <w:rFonts w:ascii="Stone Sans II ITC Std X Bd"/>
          <w:b/>
        </w:rPr>
      </w:pPr>
    </w:p>
    <w:p>
      <w:pPr>
        <w:pStyle w:val="BodyText"/>
        <w:rPr>
          <w:rFonts w:ascii="Stone Sans II ITC Std X Bd"/>
          <w:b/>
        </w:rPr>
      </w:pPr>
    </w:p>
    <w:p>
      <w:pPr>
        <w:pStyle w:val="BodyText"/>
        <w:spacing w:before="7"/>
        <w:rPr>
          <w:rFonts w:ascii="Stone Sans II ITC Std X Bd"/>
          <w:b/>
          <w:sz w:val="22"/>
        </w:rPr>
      </w:pPr>
    </w:p>
    <w:tbl>
      <w:tblPr>
        <w:tblW w:w="0" w:type="auto"/>
        <w:jc w:val="left"/>
        <w:tblInd w:w="6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660"/>
        <w:gridCol w:w="6741"/>
      </w:tblGrid>
      <w:tr>
        <w:trPr>
          <w:trHeight w:val="1880" w:hRule="atLeast"/>
        </w:trPr>
        <w:tc>
          <w:tcPr>
            <w:tcW w:w="2660" w:type="dxa"/>
            <w:shd w:val="clear" w:color="auto" w:fill="FFFFFF"/>
          </w:tcPr>
          <w:p>
            <w:pPr>
              <w:pStyle w:val="TableParagraph"/>
              <w:ind w:left="0"/>
              <w:rPr>
                <w:rFonts w:ascii="Times New Roman"/>
                <w:sz w:val="22"/>
              </w:rPr>
            </w:pPr>
          </w:p>
        </w:tc>
        <w:tc>
          <w:tcPr>
            <w:tcW w:w="6741" w:type="dxa"/>
            <w:shd w:val="clear" w:color="auto" w:fill="FFFFFF"/>
          </w:tcPr>
          <w:p>
            <w:pPr>
              <w:pStyle w:val="TableParagraph"/>
              <w:numPr>
                <w:ilvl w:val="0"/>
                <w:numId w:val="141"/>
              </w:numPr>
              <w:tabs>
                <w:tab w:pos="760" w:val="left" w:leader="none"/>
                <w:tab w:pos="761" w:val="left" w:leader="none"/>
              </w:tabs>
              <w:spacing w:line="242" w:lineRule="exact" w:before="141" w:after="0"/>
              <w:ind w:left="760" w:right="0" w:hanging="681"/>
              <w:jc w:val="left"/>
              <w:rPr>
                <w:sz w:val="20"/>
              </w:rPr>
            </w:pPr>
            <w:r>
              <w:rPr>
                <w:w w:val="120"/>
                <w:sz w:val="20"/>
              </w:rPr>
              <w:t>‘The Wider Fold’ in relation to church</w:t>
            </w:r>
            <w:r>
              <w:rPr>
                <w:spacing w:val="26"/>
                <w:w w:val="120"/>
                <w:sz w:val="20"/>
              </w:rPr>
              <w:t> </w:t>
            </w:r>
            <w:r>
              <w:rPr>
                <w:w w:val="120"/>
                <w:sz w:val="20"/>
              </w:rPr>
              <w:t>membership;</w:t>
            </w:r>
          </w:p>
          <w:p>
            <w:pPr>
              <w:pStyle w:val="TableParagraph"/>
              <w:numPr>
                <w:ilvl w:val="0"/>
                <w:numId w:val="141"/>
              </w:numPr>
              <w:tabs>
                <w:tab w:pos="760" w:val="left" w:leader="none"/>
                <w:tab w:pos="761" w:val="left" w:leader="none"/>
              </w:tabs>
              <w:spacing w:line="235" w:lineRule="auto" w:before="2" w:after="0"/>
              <w:ind w:left="760" w:right="914" w:hanging="681"/>
              <w:jc w:val="left"/>
              <w:rPr>
                <w:sz w:val="20"/>
              </w:rPr>
            </w:pPr>
            <w:r>
              <w:rPr>
                <w:w w:val="120"/>
                <w:sz w:val="20"/>
              </w:rPr>
              <w:t>‘Authorised Elders’ with regard to the role of elders presiding at Holy</w:t>
            </w:r>
            <w:r>
              <w:rPr>
                <w:spacing w:val="10"/>
                <w:w w:val="120"/>
                <w:sz w:val="20"/>
              </w:rPr>
              <w:t> </w:t>
            </w:r>
            <w:r>
              <w:rPr>
                <w:w w:val="120"/>
                <w:sz w:val="20"/>
              </w:rPr>
              <w:t>Communion;</w:t>
            </w:r>
          </w:p>
          <w:p>
            <w:pPr>
              <w:pStyle w:val="TableParagraph"/>
              <w:numPr>
                <w:ilvl w:val="0"/>
                <w:numId w:val="141"/>
              </w:numPr>
              <w:tabs>
                <w:tab w:pos="760" w:val="left" w:leader="none"/>
                <w:tab w:pos="761" w:val="left" w:leader="none"/>
              </w:tabs>
              <w:spacing w:line="235" w:lineRule="auto" w:before="1" w:after="0"/>
              <w:ind w:left="760" w:right="252" w:hanging="681"/>
              <w:jc w:val="left"/>
              <w:rPr>
                <w:sz w:val="20"/>
              </w:rPr>
            </w:pPr>
            <w:r>
              <w:rPr>
                <w:w w:val="120"/>
                <w:sz w:val="20"/>
              </w:rPr>
              <w:t>The </w:t>
            </w:r>
            <w:r>
              <w:rPr>
                <w:spacing w:val="2"/>
                <w:w w:val="120"/>
                <w:sz w:val="20"/>
              </w:rPr>
              <w:t>report </w:t>
            </w:r>
            <w:r>
              <w:rPr>
                <w:w w:val="120"/>
                <w:sz w:val="20"/>
              </w:rPr>
              <w:t>of the conversations between the URC and the Church of</w:t>
            </w:r>
            <w:r>
              <w:rPr>
                <w:spacing w:val="5"/>
                <w:w w:val="120"/>
                <w:sz w:val="20"/>
              </w:rPr>
              <w:t> </w:t>
            </w:r>
            <w:r>
              <w:rPr>
                <w:w w:val="120"/>
                <w:sz w:val="20"/>
              </w:rPr>
              <w:t>England;</w:t>
            </w:r>
          </w:p>
          <w:p>
            <w:pPr>
              <w:pStyle w:val="TableParagraph"/>
              <w:numPr>
                <w:ilvl w:val="0"/>
                <w:numId w:val="141"/>
              </w:numPr>
              <w:tabs>
                <w:tab w:pos="760" w:val="left" w:leader="none"/>
                <w:tab w:pos="761" w:val="left" w:leader="none"/>
              </w:tabs>
              <w:spacing w:line="235" w:lineRule="auto" w:before="2" w:after="0"/>
              <w:ind w:left="760" w:right="861" w:hanging="681"/>
              <w:jc w:val="left"/>
              <w:rPr>
                <w:sz w:val="20"/>
              </w:rPr>
            </w:pPr>
            <w:r>
              <w:rPr>
                <w:w w:val="120"/>
                <w:sz w:val="20"/>
              </w:rPr>
              <w:t>The </w:t>
            </w:r>
            <w:r>
              <w:rPr>
                <w:spacing w:val="-3"/>
                <w:w w:val="120"/>
                <w:sz w:val="20"/>
              </w:rPr>
              <w:t>URC’s </w:t>
            </w:r>
            <w:r>
              <w:rPr>
                <w:w w:val="120"/>
                <w:sz w:val="20"/>
              </w:rPr>
              <w:t>response to the </w:t>
            </w:r>
            <w:r>
              <w:rPr>
                <w:spacing w:val="-3"/>
                <w:w w:val="120"/>
                <w:sz w:val="20"/>
              </w:rPr>
              <w:t>WCC </w:t>
            </w:r>
            <w:r>
              <w:rPr>
                <w:w w:val="120"/>
                <w:sz w:val="20"/>
              </w:rPr>
              <w:t>paper ‘The Church: </w:t>
            </w:r>
            <w:r>
              <w:rPr>
                <w:spacing w:val="-3"/>
                <w:w w:val="120"/>
                <w:sz w:val="20"/>
              </w:rPr>
              <w:t>Towards </w:t>
            </w:r>
            <w:r>
              <w:rPr>
                <w:w w:val="120"/>
                <w:sz w:val="20"/>
              </w:rPr>
              <w:t>a common</w:t>
            </w:r>
            <w:r>
              <w:rPr>
                <w:spacing w:val="11"/>
                <w:w w:val="120"/>
                <w:sz w:val="20"/>
              </w:rPr>
              <w:t> </w:t>
            </w:r>
            <w:r>
              <w:rPr>
                <w:spacing w:val="-4"/>
                <w:w w:val="120"/>
                <w:sz w:val="20"/>
              </w:rPr>
              <w:t>vision’.</w:t>
            </w:r>
          </w:p>
        </w:tc>
      </w:tr>
      <w:tr>
        <w:trPr>
          <w:trHeight w:val="1880" w:hRule="atLeast"/>
        </w:trPr>
        <w:tc>
          <w:tcPr>
            <w:tcW w:w="2660" w:type="dxa"/>
            <w:shd w:val="clear" w:color="auto" w:fill="FFFFFF"/>
          </w:tcPr>
          <w:p>
            <w:pPr>
              <w:pStyle w:val="TableParagraph"/>
              <w:spacing w:line="213" w:lineRule="auto" w:before="151"/>
              <w:ind w:right="701"/>
              <w:rPr>
                <w:rFonts w:ascii="Stone Sans II ITC Std Bk"/>
                <w:b/>
                <w:sz w:val="20"/>
              </w:rPr>
            </w:pPr>
            <w:r>
              <w:rPr>
                <w:rFonts w:ascii="Stone Sans II ITC Std Bk"/>
                <w:b/>
                <w:w w:val="110"/>
                <w:sz w:val="20"/>
              </w:rPr>
              <w:t>Previous relevant documents</w:t>
            </w:r>
          </w:p>
        </w:tc>
        <w:tc>
          <w:tcPr>
            <w:tcW w:w="6741" w:type="dxa"/>
            <w:shd w:val="clear" w:color="auto" w:fill="FFFFFF"/>
          </w:tcPr>
          <w:p>
            <w:pPr>
              <w:pStyle w:val="TableParagraph"/>
              <w:spacing w:line="235" w:lineRule="auto" w:before="145"/>
              <w:ind w:right="212"/>
              <w:rPr>
                <w:sz w:val="20"/>
              </w:rPr>
            </w:pPr>
            <w:r>
              <w:rPr>
                <w:w w:val="120"/>
                <w:sz w:val="20"/>
              </w:rPr>
              <w:t>The report ‘What Is the Spirit Saying to the Churches?’ Affirming the United Reformed Church’s future’ submitted to the 2014 General Assembly as ‘Future of the Church’, paper 1 (page 102 ff of the </w:t>
            </w:r>
            <w:r>
              <w:rPr>
                <w:i/>
                <w:w w:val="120"/>
                <w:sz w:val="20"/>
              </w:rPr>
              <w:t>Book of Reports</w:t>
            </w:r>
            <w:r>
              <w:rPr>
                <w:w w:val="120"/>
                <w:sz w:val="20"/>
              </w:rPr>
              <w:t>)</w:t>
            </w:r>
          </w:p>
          <w:p>
            <w:pPr>
              <w:pStyle w:val="TableParagraph"/>
              <w:spacing w:before="13"/>
              <w:ind w:left="0"/>
              <w:rPr>
                <w:rFonts w:ascii="Stone Sans II ITC Std X Bd"/>
                <w:b/>
                <w:sz w:val="17"/>
              </w:rPr>
            </w:pPr>
          </w:p>
          <w:p>
            <w:pPr>
              <w:pStyle w:val="TableParagraph"/>
              <w:spacing w:line="235" w:lineRule="auto"/>
              <w:ind w:right="28"/>
              <w:rPr>
                <w:sz w:val="20"/>
              </w:rPr>
            </w:pPr>
            <w:r>
              <w:rPr>
                <w:w w:val="120"/>
                <w:sz w:val="20"/>
              </w:rPr>
              <w:t>The discussion document ‘What Is the Spirit Saying to the Churches?’ circulated to the churches in winter 2014</w:t>
            </w:r>
          </w:p>
        </w:tc>
      </w:tr>
      <w:tr>
        <w:trPr>
          <w:trHeight w:val="920" w:hRule="atLeast"/>
        </w:trPr>
        <w:tc>
          <w:tcPr>
            <w:tcW w:w="2660" w:type="dxa"/>
            <w:shd w:val="clear" w:color="auto" w:fill="FFFFFF"/>
          </w:tcPr>
          <w:p>
            <w:pPr>
              <w:pStyle w:val="TableParagraph"/>
              <w:spacing w:line="213" w:lineRule="auto" w:before="151"/>
              <w:ind w:right="576"/>
              <w:rPr>
                <w:rFonts w:ascii="Stone Sans II ITC Std Bk"/>
                <w:b/>
                <w:sz w:val="20"/>
              </w:rPr>
            </w:pPr>
            <w:r>
              <w:rPr>
                <w:rFonts w:ascii="Stone Sans II ITC Std Bk"/>
                <w:b/>
                <w:w w:val="110"/>
                <w:sz w:val="20"/>
              </w:rPr>
              <w:t>Consultation has taken place with...</w:t>
            </w:r>
          </w:p>
        </w:tc>
        <w:tc>
          <w:tcPr>
            <w:tcW w:w="6741" w:type="dxa"/>
            <w:shd w:val="clear" w:color="auto" w:fill="FFFFFF"/>
          </w:tcPr>
          <w:p>
            <w:pPr>
              <w:pStyle w:val="TableParagraph"/>
              <w:spacing w:line="235" w:lineRule="auto" w:before="145"/>
              <w:ind w:right="2831"/>
              <w:rPr>
                <w:sz w:val="20"/>
              </w:rPr>
            </w:pPr>
            <w:r>
              <w:rPr>
                <w:w w:val="120"/>
                <w:sz w:val="20"/>
              </w:rPr>
              <w:t>Local congregations and synods Mission Council</w:t>
            </w:r>
          </w:p>
          <w:p>
            <w:pPr>
              <w:pStyle w:val="TableParagraph"/>
              <w:spacing w:line="242" w:lineRule="exact"/>
              <w:rPr>
                <w:sz w:val="20"/>
              </w:rPr>
            </w:pPr>
            <w:r>
              <w:rPr>
                <w:w w:val="120"/>
                <w:sz w:val="20"/>
              </w:rPr>
              <w:t>The faith and order committee</w:t>
            </w:r>
          </w:p>
        </w:tc>
      </w:tr>
    </w:tbl>
    <w:p>
      <w:pPr>
        <w:pStyle w:val="BodyText"/>
        <w:spacing w:before="5"/>
        <w:rPr>
          <w:rFonts w:ascii="Stone Sans II ITC Std X Bd"/>
          <w:b/>
          <w:sz w:val="22"/>
        </w:rPr>
      </w:pPr>
    </w:p>
    <w:p>
      <w:pPr>
        <w:pStyle w:val="Heading4"/>
        <w:spacing w:before="94"/>
      </w:pPr>
      <w:r>
        <w:rPr>
          <w:color w:val="7F7F7F"/>
        </w:rPr>
        <w:t>Summary of Impact</w:t>
      </w:r>
    </w:p>
    <w:tbl>
      <w:tblPr>
        <w:tblW w:w="0" w:type="auto"/>
        <w:jc w:val="left"/>
        <w:tblInd w:w="6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660"/>
        <w:gridCol w:w="6582"/>
      </w:tblGrid>
      <w:tr>
        <w:trPr>
          <w:trHeight w:val="440" w:hRule="atLeast"/>
        </w:trPr>
        <w:tc>
          <w:tcPr>
            <w:tcW w:w="2660" w:type="dxa"/>
            <w:shd w:val="clear" w:color="auto" w:fill="FFFFFF"/>
          </w:tcPr>
          <w:p>
            <w:pPr>
              <w:pStyle w:val="TableParagraph"/>
              <w:spacing w:before="128"/>
              <w:rPr>
                <w:rFonts w:ascii="Stone Sans II ITC Std Bk"/>
                <w:b/>
                <w:sz w:val="20"/>
              </w:rPr>
            </w:pPr>
            <w:r>
              <w:rPr>
                <w:rFonts w:ascii="Stone Sans II ITC Std Bk"/>
                <w:b/>
                <w:w w:val="110"/>
                <w:sz w:val="20"/>
              </w:rPr>
              <w:t>Financial</w:t>
            </w:r>
          </w:p>
        </w:tc>
        <w:tc>
          <w:tcPr>
            <w:tcW w:w="6582" w:type="dxa"/>
            <w:shd w:val="clear" w:color="auto" w:fill="FFFFFF"/>
          </w:tcPr>
          <w:p>
            <w:pPr>
              <w:pStyle w:val="TableParagraph"/>
              <w:spacing w:before="141"/>
              <w:rPr>
                <w:sz w:val="20"/>
              </w:rPr>
            </w:pPr>
            <w:r>
              <w:rPr>
                <w:w w:val="120"/>
                <w:sz w:val="20"/>
              </w:rPr>
              <w:t>None</w:t>
            </w:r>
          </w:p>
        </w:tc>
      </w:tr>
      <w:tr>
        <w:trPr>
          <w:trHeight w:val="680" w:hRule="atLeast"/>
        </w:trPr>
        <w:tc>
          <w:tcPr>
            <w:tcW w:w="2660" w:type="dxa"/>
            <w:shd w:val="clear" w:color="auto" w:fill="FFFFFF"/>
          </w:tcPr>
          <w:p>
            <w:pPr>
              <w:pStyle w:val="TableParagraph"/>
              <w:spacing w:line="255" w:lineRule="exact" w:before="128"/>
              <w:rPr>
                <w:rFonts w:ascii="Stone Sans II ITC Std Bk"/>
                <w:b/>
                <w:sz w:val="20"/>
              </w:rPr>
            </w:pPr>
            <w:r>
              <w:rPr>
                <w:rFonts w:ascii="Stone Sans II ITC Std Bk"/>
                <w:b/>
                <w:w w:val="110"/>
                <w:sz w:val="20"/>
              </w:rPr>
              <w:t>External</w:t>
            </w:r>
          </w:p>
          <w:p>
            <w:pPr>
              <w:pStyle w:val="TableParagraph"/>
              <w:spacing w:line="255" w:lineRule="exact"/>
              <w:rPr>
                <w:rFonts w:ascii="Stone Sans II ITC Std Bk"/>
                <w:b/>
                <w:sz w:val="20"/>
              </w:rPr>
            </w:pPr>
            <w:r>
              <w:rPr>
                <w:rFonts w:ascii="Stone Sans II ITC Std Bk"/>
                <w:b/>
                <w:w w:val="110"/>
                <w:sz w:val="20"/>
              </w:rPr>
              <w:t>(e.g. ecumenical)</w:t>
            </w:r>
          </w:p>
        </w:tc>
        <w:tc>
          <w:tcPr>
            <w:tcW w:w="6582" w:type="dxa"/>
            <w:shd w:val="clear" w:color="auto" w:fill="FFFFFF"/>
          </w:tcPr>
          <w:p>
            <w:pPr>
              <w:pStyle w:val="TableParagraph"/>
              <w:spacing w:line="235" w:lineRule="auto" w:before="145"/>
              <w:ind w:right="580"/>
              <w:rPr>
                <w:sz w:val="20"/>
              </w:rPr>
            </w:pPr>
            <w:r>
              <w:rPr>
                <w:w w:val="120"/>
                <w:sz w:val="20"/>
              </w:rPr>
              <w:t>Hoped-for enhancement of relationships inside and outside the Church.</w:t>
            </w:r>
          </w:p>
        </w:tc>
      </w:tr>
    </w:tbl>
    <w:p>
      <w:pPr>
        <w:pStyle w:val="BodyText"/>
        <w:rPr>
          <w:rFonts w:ascii="Stone Sans II ITC Std Bk"/>
          <w:b/>
          <w:sz w:val="30"/>
        </w:rPr>
      </w:pPr>
    </w:p>
    <w:p>
      <w:pPr>
        <w:pStyle w:val="BodyText"/>
        <w:rPr>
          <w:rFonts w:ascii="Stone Sans II ITC Std Bk"/>
          <w:b/>
          <w:sz w:val="30"/>
        </w:rPr>
      </w:pPr>
    </w:p>
    <w:p>
      <w:pPr>
        <w:pStyle w:val="BodyText"/>
        <w:rPr>
          <w:rFonts w:ascii="Stone Sans II ITC Std Bk"/>
          <w:b/>
          <w:sz w:val="30"/>
        </w:rPr>
      </w:pPr>
    </w:p>
    <w:p>
      <w:pPr>
        <w:pStyle w:val="BodyText"/>
        <w:rPr>
          <w:rFonts w:ascii="Stone Sans II ITC Std Bk"/>
          <w:b/>
          <w:sz w:val="30"/>
        </w:rPr>
      </w:pPr>
    </w:p>
    <w:p>
      <w:pPr>
        <w:pStyle w:val="BodyText"/>
        <w:rPr>
          <w:rFonts w:ascii="Stone Sans II ITC Std Bk"/>
          <w:b/>
          <w:sz w:val="30"/>
        </w:rPr>
      </w:pPr>
    </w:p>
    <w:p>
      <w:pPr>
        <w:pStyle w:val="BodyText"/>
        <w:rPr>
          <w:rFonts w:ascii="Stone Sans II ITC Std Bk"/>
          <w:b/>
          <w:sz w:val="30"/>
        </w:rPr>
      </w:pPr>
    </w:p>
    <w:p>
      <w:pPr>
        <w:pStyle w:val="BodyText"/>
        <w:rPr>
          <w:rFonts w:ascii="Stone Sans II ITC Std Bk"/>
          <w:b/>
          <w:sz w:val="30"/>
        </w:rPr>
      </w:pPr>
    </w:p>
    <w:p>
      <w:pPr>
        <w:pStyle w:val="BodyText"/>
        <w:rPr>
          <w:rFonts w:ascii="Stone Sans II ITC Std Bk"/>
          <w:b/>
          <w:sz w:val="30"/>
        </w:rPr>
      </w:pPr>
    </w:p>
    <w:p>
      <w:pPr>
        <w:pStyle w:val="BodyText"/>
        <w:rPr>
          <w:rFonts w:ascii="Stone Sans II ITC Std Bk"/>
          <w:b/>
          <w:sz w:val="30"/>
        </w:rPr>
      </w:pPr>
    </w:p>
    <w:p>
      <w:pPr>
        <w:pStyle w:val="BodyText"/>
        <w:rPr>
          <w:rFonts w:ascii="Stone Sans II ITC Std Bk"/>
          <w:b/>
          <w:sz w:val="30"/>
        </w:rPr>
      </w:pPr>
    </w:p>
    <w:p>
      <w:pPr>
        <w:pStyle w:val="BodyText"/>
        <w:rPr>
          <w:rFonts w:ascii="Stone Sans II ITC Std Bk"/>
          <w:b/>
          <w:sz w:val="30"/>
        </w:rPr>
      </w:pPr>
    </w:p>
    <w:p>
      <w:pPr>
        <w:pStyle w:val="BodyText"/>
        <w:rPr>
          <w:rFonts w:ascii="Stone Sans II ITC Std Bk"/>
          <w:b/>
          <w:sz w:val="30"/>
        </w:rPr>
      </w:pPr>
    </w:p>
    <w:p>
      <w:pPr>
        <w:pStyle w:val="BodyText"/>
        <w:rPr>
          <w:rFonts w:ascii="Stone Sans II ITC Std Bk"/>
          <w:b/>
          <w:sz w:val="30"/>
        </w:rPr>
      </w:pPr>
    </w:p>
    <w:p>
      <w:pPr>
        <w:pStyle w:val="BodyText"/>
        <w:rPr>
          <w:rFonts w:ascii="Stone Sans II ITC Std Bk"/>
          <w:b/>
          <w:sz w:val="30"/>
        </w:rPr>
      </w:pPr>
    </w:p>
    <w:p>
      <w:pPr>
        <w:pStyle w:val="BodyText"/>
        <w:rPr>
          <w:rFonts w:ascii="Stone Sans II ITC Std Bk"/>
          <w:b/>
          <w:sz w:val="30"/>
        </w:rPr>
      </w:pPr>
    </w:p>
    <w:p>
      <w:pPr>
        <w:pStyle w:val="BodyText"/>
        <w:rPr>
          <w:rFonts w:ascii="Stone Sans II ITC Std Bk"/>
          <w:b/>
          <w:sz w:val="30"/>
        </w:rPr>
      </w:pPr>
    </w:p>
    <w:p>
      <w:pPr>
        <w:pStyle w:val="BodyText"/>
        <w:rPr>
          <w:rFonts w:ascii="Stone Sans II ITC Std Bk"/>
          <w:b/>
          <w:sz w:val="30"/>
        </w:rPr>
      </w:pPr>
    </w:p>
    <w:p>
      <w:pPr>
        <w:pStyle w:val="BodyText"/>
        <w:rPr>
          <w:rFonts w:ascii="Stone Sans II ITC Std Bk"/>
          <w:b/>
          <w:sz w:val="30"/>
        </w:rPr>
      </w:pPr>
    </w:p>
    <w:p>
      <w:pPr>
        <w:pStyle w:val="BodyText"/>
        <w:rPr>
          <w:rFonts w:ascii="Stone Sans II ITC Std Bk"/>
          <w:b/>
          <w:sz w:val="30"/>
        </w:rPr>
      </w:pPr>
    </w:p>
    <w:p>
      <w:pPr>
        <w:pStyle w:val="BodyText"/>
        <w:spacing w:before="1"/>
        <w:rPr>
          <w:rFonts w:ascii="Stone Sans II ITC Std Bk"/>
          <w:b/>
          <w:sz w:val="41"/>
        </w:rPr>
      </w:pPr>
    </w:p>
    <w:p>
      <w:pPr>
        <w:pStyle w:val="Heading6"/>
        <w:spacing w:before="0"/>
        <w:ind w:left="607"/>
      </w:pPr>
      <w:r>
        <w:rPr>
          <w:rFonts w:ascii="Stone Sans II ITC Std X Bd" w:hAnsi="Stone Sans II ITC Std X Bd"/>
          <w:b/>
          <w:w w:val="110"/>
          <w:sz w:val="24"/>
        </w:rPr>
        <w:t>120 </w:t>
      </w:r>
      <w:r>
        <w:rPr>
          <w:rFonts w:ascii="Symbol" w:hAnsi="Symbol"/>
          <w:color w:val="7EAABF"/>
          <w:w w:val="110"/>
        </w:rPr>
        <w:t></w:t>
      </w:r>
      <w:r>
        <w:rPr>
          <w:rFonts w:ascii="Times New Roman" w:hAnsi="Times New Roman"/>
          <w:color w:val="7EAABF"/>
          <w:w w:val="110"/>
        </w:rPr>
        <w:t> </w:t>
      </w:r>
      <w:r>
        <w:rPr>
          <w:color w:val="7EAABF"/>
          <w:w w:val="110"/>
        </w:rPr>
        <w:t>United Reformed Church </w:t>
      </w:r>
      <w:r>
        <w:rPr>
          <w:rFonts w:ascii="Symbol" w:hAnsi="Symbol"/>
          <w:color w:val="7EAABF"/>
          <w:w w:val="110"/>
        </w:rPr>
        <w:t></w:t>
      </w:r>
      <w:r>
        <w:rPr>
          <w:rFonts w:ascii="Times New Roman" w:hAnsi="Times New Roman"/>
          <w:color w:val="7EAABF"/>
          <w:w w:val="110"/>
        </w:rPr>
        <w:t> </w:t>
      </w:r>
      <w:r>
        <w:rPr>
          <w:color w:val="7EAABF"/>
          <w:w w:val="110"/>
        </w:rPr>
        <w:t>General Assembly 2016</w:t>
      </w:r>
    </w:p>
    <w:p>
      <w:pPr>
        <w:spacing w:after="0"/>
        <w:sectPr>
          <w:headerReference w:type="even" r:id="rId339"/>
          <w:footerReference w:type="even" r:id="rId340"/>
          <w:pgSz w:w="11910" w:h="16840"/>
          <w:pgMar w:header="0" w:footer="0" w:top="0" w:bottom="0" w:left="640" w:right="0"/>
        </w:sectPr>
      </w:pPr>
    </w:p>
    <w:p>
      <w:pPr>
        <w:pStyle w:val="BodyText"/>
      </w:pPr>
      <w:r>
        <w:rPr/>
        <w:drawing>
          <wp:anchor distT="0" distB="0" distL="0" distR="0" allowOverlap="1" layoutInCell="1" locked="0" behindDoc="0" simplePos="0" relativeHeight="251974656">
            <wp:simplePos x="0" y="0"/>
            <wp:positionH relativeFrom="page">
              <wp:posOffset>6974928</wp:posOffset>
            </wp:positionH>
            <wp:positionV relativeFrom="page">
              <wp:posOffset>0</wp:posOffset>
            </wp:positionV>
            <wp:extent cx="585063" cy="10692003"/>
            <wp:effectExtent l="0" t="0" r="0" b="0"/>
            <wp:wrapNone/>
            <wp:docPr id="225" name="image54.png"/>
            <wp:cNvGraphicFramePr>
              <a:graphicFrameLocks noChangeAspect="1"/>
            </wp:cNvGraphicFramePr>
            <a:graphic>
              <a:graphicData uri="http://schemas.openxmlformats.org/drawingml/2006/picture">
                <pic:pic>
                  <pic:nvPicPr>
                    <pic:cNvPr id="226" name="image54.png"/>
                    <pic:cNvPicPr/>
                  </pic:nvPicPr>
                  <pic:blipFill>
                    <a:blip r:embed="rId169" cstate="print"/>
                    <a:stretch>
                      <a:fillRect/>
                    </a:stretch>
                  </pic:blipFill>
                  <pic:spPr>
                    <a:xfrm>
                      <a:off x="0" y="0"/>
                      <a:ext cx="585063" cy="10692003"/>
                    </a:xfrm>
                    <a:prstGeom prst="rect">
                      <a:avLst/>
                    </a:prstGeom>
                  </pic:spPr>
                </pic:pic>
              </a:graphicData>
            </a:graphic>
          </wp:anchor>
        </w:drawing>
      </w:r>
    </w:p>
    <w:p>
      <w:pPr>
        <w:pStyle w:val="BodyText"/>
      </w:pPr>
    </w:p>
    <w:p>
      <w:pPr>
        <w:pStyle w:val="BodyText"/>
      </w:pPr>
    </w:p>
    <w:p>
      <w:pPr>
        <w:pStyle w:val="BodyText"/>
        <w:spacing w:before="5"/>
        <w:rPr>
          <w:sz w:val="28"/>
        </w:rPr>
      </w:pPr>
    </w:p>
    <w:p>
      <w:pPr>
        <w:spacing w:line="213" w:lineRule="auto" w:before="153"/>
        <w:ind w:left="1344" w:right="2045" w:firstLine="0"/>
        <w:jc w:val="left"/>
        <w:rPr>
          <w:rFonts w:ascii="Stone Sans II ITC Std X Bd"/>
          <w:b/>
          <w:sz w:val="50"/>
        </w:rPr>
      </w:pPr>
      <w:r>
        <w:rPr/>
        <w:pict>
          <v:shape style="position:absolute;margin-left:554.141174pt;margin-top:-5.989334pt;width:25.9pt;height:594.2pt;mso-position-horizontal-relative:page;mso-position-vertical-relative:paragraph;z-index:251975680" type="#_x0000_t202" filled="false" stroked="false">
            <v:textbox inset="0,0,0,0" style="layout-flow:vertical">
              <w:txbxContent>
                <w:p>
                  <w:pPr>
                    <w:spacing w:before="27"/>
                    <w:ind w:left="20" w:right="0" w:firstLine="0"/>
                    <w:jc w:val="left"/>
                    <w:rPr>
                      <w:sz w:val="39"/>
                    </w:rPr>
                  </w:pPr>
                  <w:r>
                    <w:rPr>
                      <w:color w:val="FFFFFF"/>
                      <w:w w:val="125"/>
                      <w:sz w:val="39"/>
                    </w:rPr>
                    <w:t>Faith and order – </w:t>
                  </w:r>
                  <w:r>
                    <w:rPr>
                      <w:w w:val="125"/>
                      <w:sz w:val="39"/>
                    </w:rPr>
                    <w:t>What is the Spirit saying to the Churches</w:t>
                  </w:r>
                </w:p>
              </w:txbxContent>
            </v:textbox>
            <w10:wrap type="none"/>
          </v:shape>
        </w:pict>
      </w:r>
      <w:r>
        <w:rPr>
          <w:rFonts w:ascii="Stone Sans II ITC Std X Bd"/>
          <w:b/>
          <w:spacing w:val="-8"/>
          <w:w w:val="110"/>
          <w:sz w:val="50"/>
        </w:rPr>
        <w:t>What </w:t>
      </w:r>
      <w:r>
        <w:rPr>
          <w:rFonts w:ascii="Stone Sans II ITC Std X Bd"/>
          <w:b/>
          <w:spacing w:val="-3"/>
          <w:w w:val="110"/>
          <w:sz w:val="50"/>
        </w:rPr>
        <w:t>Is </w:t>
      </w:r>
      <w:r>
        <w:rPr>
          <w:rFonts w:ascii="Stone Sans II ITC Std X Bd"/>
          <w:b/>
          <w:spacing w:val="-8"/>
          <w:w w:val="110"/>
          <w:sz w:val="50"/>
        </w:rPr>
        <w:t>the </w:t>
      </w:r>
      <w:r>
        <w:rPr>
          <w:rFonts w:ascii="Stone Sans II ITC Std X Bd"/>
          <w:b/>
          <w:spacing w:val="-9"/>
          <w:w w:val="110"/>
          <w:sz w:val="50"/>
        </w:rPr>
        <w:t>Spirit </w:t>
      </w:r>
      <w:r>
        <w:rPr>
          <w:rFonts w:ascii="Stone Sans II ITC Std X Bd"/>
          <w:b/>
          <w:spacing w:val="-11"/>
          <w:w w:val="110"/>
          <w:sz w:val="50"/>
        </w:rPr>
        <w:t>Saying </w:t>
      </w:r>
      <w:r>
        <w:rPr>
          <w:rFonts w:ascii="Stone Sans II ITC Std X Bd"/>
          <w:b/>
          <w:spacing w:val="-10"/>
          <w:w w:val="110"/>
          <w:sz w:val="50"/>
        </w:rPr>
        <w:t>to </w:t>
      </w:r>
      <w:r>
        <w:rPr>
          <w:rFonts w:ascii="Stone Sans II ITC Std X Bd"/>
          <w:b/>
          <w:spacing w:val="-8"/>
          <w:w w:val="110"/>
          <w:sz w:val="50"/>
        </w:rPr>
        <w:t>the </w:t>
      </w:r>
      <w:r>
        <w:rPr>
          <w:rFonts w:ascii="Stone Sans II ITC Std X Bd"/>
          <w:b/>
          <w:spacing w:val="-13"/>
          <w:w w:val="110"/>
          <w:sz w:val="50"/>
        </w:rPr>
        <w:t>Churches?</w:t>
      </w:r>
    </w:p>
    <w:p>
      <w:pPr>
        <w:pStyle w:val="Heading3"/>
        <w:spacing w:before="451"/>
        <w:ind w:left="1270" w:right="1173"/>
        <w:jc w:val="center"/>
        <w:rPr>
          <w:i/>
        </w:rPr>
      </w:pPr>
      <w:r>
        <w:rPr>
          <w:i/>
          <w:w w:val="110"/>
        </w:rPr>
        <w:t>The United Reformed Church is not here to die, but to be reborn.</w:t>
      </w:r>
    </w:p>
    <w:p>
      <w:pPr>
        <w:pStyle w:val="BodyText"/>
        <w:rPr>
          <w:i/>
          <w:sz w:val="30"/>
        </w:rPr>
      </w:pPr>
    </w:p>
    <w:p>
      <w:pPr>
        <w:pStyle w:val="ListParagraph"/>
        <w:numPr>
          <w:ilvl w:val="0"/>
          <w:numId w:val="142"/>
        </w:numPr>
        <w:tabs>
          <w:tab w:pos="2024" w:val="left" w:leader="none"/>
          <w:tab w:pos="2025" w:val="left" w:leader="none"/>
        </w:tabs>
        <w:spacing w:line="196" w:lineRule="auto" w:before="192" w:after="0"/>
        <w:ind w:left="2024" w:right="3024" w:hanging="681"/>
        <w:jc w:val="left"/>
        <w:rPr>
          <w:rFonts w:ascii="Stone Sans II ITC Std Bk"/>
          <w:b/>
          <w:sz w:val="29"/>
        </w:rPr>
      </w:pPr>
      <w:r>
        <w:rPr>
          <w:rFonts w:ascii="Stone Sans II ITC Std Bk"/>
          <w:b/>
          <w:spacing w:val="4"/>
          <w:w w:val="110"/>
          <w:sz w:val="29"/>
        </w:rPr>
        <w:t>The </w:t>
      </w:r>
      <w:r>
        <w:rPr>
          <w:rFonts w:ascii="Stone Sans II ITC Std Bk"/>
          <w:b/>
          <w:spacing w:val="3"/>
          <w:w w:val="110"/>
          <w:sz w:val="29"/>
        </w:rPr>
        <w:t>Spirit-led </w:t>
      </w:r>
      <w:r>
        <w:rPr>
          <w:rFonts w:ascii="Stone Sans II ITC Std Bk"/>
          <w:b/>
          <w:spacing w:val="4"/>
          <w:w w:val="110"/>
          <w:sz w:val="29"/>
        </w:rPr>
        <w:t>pilgrimage </w:t>
      </w:r>
      <w:r>
        <w:rPr>
          <w:rFonts w:ascii="Stone Sans II ITC Std Bk"/>
          <w:b/>
          <w:w w:val="110"/>
          <w:sz w:val="29"/>
        </w:rPr>
        <w:t>of </w:t>
      </w:r>
      <w:r>
        <w:rPr>
          <w:rFonts w:ascii="Stone Sans II ITC Std Bk"/>
          <w:b/>
          <w:spacing w:val="2"/>
          <w:w w:val="110"/>
          <w:sz w:val="29"/>
        </w:rPr>
        <w:t>the </w:t>
      </w:r>
      <w:r>
        <w:rPr>
          <w:rFonts w:ascii="Stone Sans II ITC Std Bk"/>
          <w:b/>
          <w:spacing w:val="3"/>
          <w:w w:val="110"/>
          <w:sz w:val="29"/>
        </w:rPr>
        <w:t>United </w:t>
      </w:r>
      <w:r>
        <w:rPr>
          <w:rFonts w:ascii="Stone Sans II ITC Std Bk"/>
          <w:b/>
          <w:spacing w:val="4"/>
          <w:w w:val="110"/>
          <w:sz w:val="29"/>
        </w:rPr>
        <w:t>Reformed</w:t>
      </w:r>
      <w:r>
        <w:rPr>
          <w:rFonts w:ascii="Stone Sans II ITC Std Bk"/>
          <w:b/>
          <w:spacing w:val="12"/>
          <w:w w:val="110"/>
          <w:sz w:val="29"/>
        </w:rPr>
        <w:t> </w:t>
      </w:r>
      <w:r>
        <w:rPr>
          <w:rFonts w:ascii="Stone Sans II ITC Std Bk"/>
          <w:b/>
          <w:spacing w:val="3"/>
          <w:w w:val="110"/>
          <w:sz w:val="29"/>
        </w:rPr>
        <w:t>Church</w:t>
      </w:r>
    </w:p>
    <w:p>
      <w:pPr>
        <w:pStyle w:val="ListParagraph"/>
        <w:numPr>
          <w:ilvl w:val="1"/>
          <w:numId w:val="143"/>
        </w:numPr>
        <w:tabs>
          <w:tab w:pos="2024" w:val="left" w:leader="none"/>
          <w:tab w:pos="2025" w:val="left" w:leader="none"/>
        </w:tabs>
        <w:spacing w:line="235" w:lineRule="auto" w:before="85" w:after="0"/>
        <w:ind w:left="1344" w:right="1673" w:firstLine="0"/>
        <w:jc w:val="left"/>
        <w:rPr>
          <w:sz w:val="20"/>
        </w:rPr>
      </w:pPr>
      <w:r>
        <w:rPr>
          <w:w w:val="120"/>
          <w:sz w:val="20"/>
        </w:rPr>
        <w:t>The United Reformed Church has been travelling on a journey guided by the Spirit of</w:t>
      </w:r>
      <w:r>
        <w:rPr>
          <w:spacing w:val="4"/>
          <w:w w:val="120"/>
          <w:sz w:val="20"/>
        </w:rPr>
        <w:t> </w:t>
      </w:r>
      <w:r>
        <w:rPr>
          <w:w w:val="120"/>
          <w:sz w:val="20"/>
        </w:rPr>
        <w:t>God.</w:t>
      </w:r>
    </w:p>
    <w:p>
      <w:pPr>
        <w:pStyle w:val="BodyText"/>
        <w:spacing w:before="9"/>
        <w:rPr>
          <w:sz w:val="19"/>
        </w:rPr>
      </w:pPr>
    </w:p>
    <w:p>
      <w:pPr>
        <w:pStyle w:val="ListParagraph"/>
        <w:numPr>
          <w:ilvl w:val="1"/>
          <w:numId w:val="143"/>
        </w:numPr>
        <w:tabs>
          <w:tab w:pos="2024" w:val="left" w:leader="none"/>
          <w:tab w:pos="2025" w:val="left" w:leader="none"/>
        </w:tabs>
        <w:spacing w:line="235" w:lineRule="auto" w:before="0" w:after="0"/>
        <w:ind w:left="1344" w:right="1372" w:firstLine="0"/>
        <w:jc w:val="left"/>
        <w:rPr>
          <w:sz w:val="20"/>
        </w:rPr>
      </w:pPr>
      <w:r>
        <w:rPr>
          <w:w w:val="120"/>
          <w:sz w:val="20"/>
        </w:rPr>
        <w:t>We believe that the Spirit inspired our forebears to recognise that the state has no authority to legislate for the worship and practice of the Church. In England and Wales some 2,000 ministers chose in </w:t>
      </w:r>
      <w:r>
        <w:rPr>
          <w:spacing w:val="-5"/>
          <w:w w:val="120"/>
          <w:sz w:val="20"/>
        </w:rPr>
        <w:t>1662 </w:t>
      </w:r>
      <w:r>
        <w:rPr>
          <w:w w:val="120"/>
          <w:sz w:val="20"/>
        </w:rPr>
        <w:t>to be excluded from the established Church and from public office rather than conform to state legislation in matters of religious practice. Throughout these lands meeting houses and chapels were built, where Dissenting congregations worshipped with the freedom which they believed was their God-given duty and</w:t>
      </w:r>
      <w:r>
        <w:rPr>
          <w:spacing w:val="9"/>
          <w:w w:val="120"/>
          <w:sz w:val="20"/>
        </w:rPr>
        <w:t> </w:t>
      </w:r>
      <w:r>
        <w:rPr>
          <w:w w:val="120"/>
          <w:sz w:val="20"/>
        </w:rPr>
        <w:t>privilege.</w:t>
      </w:r>
    </w:p>
    <w:p>
      <w:pPr>
        <w:pStyle w:val="BodyText"/>
        <w:spacing w:before="1"/>
      </w:pPr>
    </w:p>
    <w:p>
      <w:pPr>
        <w:pStyle w:val="ListParagraph"/>
        <w:numPr>
          <w:ilvl w:val="1"/>
          <w:numId w:val="143"/>
        </w:numPr>
        <w:tabs>
          <w:tab w:pos="2024" w:val="left" w:leader="none"/>
          <w:tab w:pos="2025" w:val="left" w:leader="none"/>
        </w:tabs>
        <w:spacing w:line="235" w:lineRule="auto" w:before="0" w:after="0"/>
        <w:ind w:left="1344" w:right="1357" w:firstLine="0"/>
        <w:jc w:val="left"/>
        <w:rPr>
          <w:sz w:val="20"/>
        </w:rPr>
      </w:pPr>
      <w:r>
        <w:rPr>
          <w:w w:val="120"/>
          <w:sz w:val="20"/>
        </w:rPr>
        <w:t>We believe that the Spirit led us to recognise the role of women in the ministry of Word and Sacrament. We are about to celebrate the 100th anniversary of Constance </w:t>
      </w:r>
      <w:r>
        <w:rPr>
          <w:spacing w:val="-3"/>
          <w:w w:val="120"/>
          <w:sz w:val="20"/>
        </w:rPr>
        <w:t>Coltman’s </w:t>
      </w:r>
      <w:r>
        <w:rPr>
          <w:w w:val="120"/>
          <w:sz w:val="20"/>
        </w:rPr>
        <w:t>ordination in the Congregational Union of England and</w:t>
      </w:r>
      <w:r>
        <w:rPr>
          <w:spacing w:val="44"/>
          <w:w w:val="120"/>
          <w:sz w:val="20"/>
        </w:rPr>
        <w:t> </w:t>
      </w:r>
      <w:r>
        <w:rPr>
          <w:w w:val="120"/>
          <w:sz w:val="20"/>
        </w:rPr>
        <w:t>Wales.</w:t>
      </w:r>
    </w:p>
    <w:p>
      <w:pPr>
        <w:pStyle w:val="BodyText"/>
        <w:spacing w:before="11"/>
        <w:rPr>
          <w:sz w:val="19"/>
        </w:rPr>
      </w:pPr>
    </w:p>
    <w:p>
      <w:pPr>
        <w:pStyle w:val="ListParagraph"/>
        <w:numPr>
          <w:ilvl w:val="1"/>
          <w:numId w:val="143"/>
        </w:numPr>
        <w:tabs>
          <w:tab w:pos="2024" w:val="left" w:leader="none"/>
          <w:tab w:pos="2025" w:val="left" w:leader="none"/>
        </w:tabs>
        <w:spacing w:line="235" w:lineRule="auto" w:before="0" w:after="0"/>
        <w:ind w:left="1344" w:right="1339" w:firstLine="0"/>
        <w:jc w:val="left"/>
        <w:rPr>
          <w:sz w:val="20"/>
        </w:rPr>
      </w:pPr>
      <w:r>
        <w:rPr>
          <w:w w:val="120"/>
          <w:sz w:val="20"/>
        </w:rPr>
        <w:t>We believe that the Spirit called Presbyterians, Congregationalists and Churches of Christ to come together in the URC. </w:t>
      </w:r>
      <w:r>
        <w:rPr>
          <w:spacing w:val="3"/>
          <w:w w:val="120"/>
          <w:sz w:val="20"/>
        </w:rPr>
        <w:t>As </w:t>
      </w:r>
      <w:r>
        <w:rPr>
          <w:w w:val="120"/>
          <w:sz w:val="20"/>
        </w:rPr>
        <w:t>a united Church we have heard God’s calling to continue to work for the unity of the wider Church even at the cost of our own traditions and</w:t>
      </w:r>
      <w:r>
        <w:rPr>
          <w:spacing w:val="3"/>
          <w:w w:val="120"/>
          <w:sz w:val="20"/>
        </w:rPr>
        <w:t> </w:t>
      </w:r>
      <w:r>
        <w:rPr>
          <w:w w:val="120"/>
          <w:sz w:val="20"/>
        </w:rPr>
        <w:t>institutions.</w:t>
      </w:r>
    </w:p>
    <w:p>
      <w:pPr>
        <w:pStyle w:val="BodyText"/>
        <w:rPr>
          <w:sz w:val="24"/>
        </w:rPr>
      </w:pPr>
    </w:p>
    <w:p>
      <w:pPr>
        <w:pStyle w:val="BodyText"/>
        <w:spacing w:before="11"/>
        <w:rPr>
          <w:sz w:val="17"/>
        </w:rPr>
      </w:pPr>
    </w:p>
    <w:p>
      <w:pPr>
        <w:pStyle w:val="ListParagraph"/>
        <w:numPr>
          <w:ilvl w:val="0"/>
          <w:numId w:val="142"/>
        </w:numPr>
        <w:tabs>
          <w:tab w:pos="2024" w:val="left" w:leader="none"/>
          <w:tab w:pos="2025" w:val="left" w:leader="none"/>
        </w:tabs>
        <w:spacing w:line="240" w:lineRule="auto" w:before="0" w:after="0"/>
        <w:ind w:left="2024" w:right="0" w:hanging="681"/>
        <w:jc w:val="left"/>
        <w:rPr>
          <w:rFonts w:ascii="Stone Sans II ITC Std Bk"/>
          <w:b/>
          <w:sz w:val="29"/>
        </w:rPr>
      </w:pPr>
      <w:r>
        <w:rPr>
          <w:rFonts w:ascii="Stone Sans II ITC Std Bk"/>
          <w:b/>
          <w:spacing w:val="3"/>
          <w:w w:val="110"/>
          <w:sz w:val="29"/>
        </w:rPr>
        <w:t>What </w:t>
      </w:r>
      <w:r>
        <w:rPr>
          <w:rFonts w:ascii="Stone Sans II ITC Std Bk"/>
          <w:b/>
          <w:w w:val="110"/>
          <w:sz w:val="29"/>
        </w:rPr>
        <w:t>is </w:t>
      </w:r>
      <w:r>
        <w:rPr>
          <w:rFonts w:ascii="Stone Sans II ITC Std Bk"/>
          <w:b/>
          <w:spacing w:val="2"/>
          <w:w w:val="110"/>
          <w:sz w:val="29"/>
        </w:rPr>
        <w:t>the </w:t>
      </w:r>
      <w:r>
        <w:rPr>
          <w:rFonts w:ascii="Stone Sans II ITC Std Bk"/>
          <w:b/>
          <w:spacing w:val="3"/>
          <w:w w:val="110"/>
          <w:sz w:val="29"/>
        </w:rPr>
        <w:t>Spirit </w:t>
      </w:r>
      <w:r>
        <w:rPr>
          <w:rFonts w:ascii="Stone Sans II ITC Std Bk"/>
          <w:b/>
          <w:spacing w:val="2"/>
          <w:w w:val="110"/>
          <w:sz w:val="29"/>
        </w:rPr>
        <w:t>saying </w:t>
      </w:r>
      <w:r>
        <w:rPr>
          <w:rFonts w:ascii="Stone Sans II ITC Std Bk"/>
          <w:b/>
          <w:w w:val="110"/>
          <w:sz w:val="29"/>
        </w:rPr>
        <w:t>to </w:t>
      </w:r>
      <w:r>
        <w:rPr>
          <w:rFonts w:ascii="Stone Sans II ITC Std Bk"/>
          <w:b/>
          <w:spacing w:val="3"/>
          <w:w w:val="110"/>
          <w:sz w:val="29"/>
        </w:rPr>
        <w:t>our Church</w:t>
      </w:r>
      <w:r>
        <w:rPr>
          <w:rFonts w:ascii="Stone Sans II ITC Std Bk"/>
          <w:b/>
          <w:spacing w:val="8"/>
          <w:w w:val="110"/>
          <w:sz w:val="29"/>
        </w:rPr>
        <w:t> </w:t>
      </w:r>
      <w:r>
        <w:rPr>
          <w:rFonts w:ascii="Stone Sans II ITC Std Bk"/>
          <w:b/>
          <w:w w:val="110"/>
          <w:sz w:val="29"/>
        </w:rPr>
        <w:t>today?</w:t>
      </w:r>
    </w:p>
    <w:p>
      <w:pPr>
        <w:pStyle w:val="ListParagraph"/>
        <w:numPr>
          <w:ilvl w:val="1"/>
          <w:numId w:val="144"/>
        </w:numPr>
        <w:tabs>
          <w:tab w:pos="2024" w:val="left" w:leader="none"/>
          <w:tab w:pos="2025" w:val="left" w:leader="none"/>
        </w:tabs>
        <w:spacing w:line="235" w:lineRule="auto" w:before="69" w:after="0"/>
        <w:ind w:left="1344" w:right="1582" w:firstLine="0"/>
        <w:jc w:val="left"/>
        <w:rPr>
          <w:sz w:val="20"/>
        </w:rPr>
      </w:pPr>
      <w:r>
        <w:rPr>
          <w:spacing w:val="2"/>
          <w:w w:val="120"/>
          <w:sz w:val="20"/>
        </w:rPr>
        <w:t>The </w:t>
      </w:r>
      <w:r>
        <w:rPr>
          <w:w w:val="120"/>
          <w:sz w:val="20"/>
        </w:rPr>
        <w:t>Spirit is leading us to a renewal of </w:t>
      </w:r>
      <w:r>
        <w:rPr>
          <w:spacing w:val="2"/>
          <w:w w:val="120"/>
          <w:sz w:val="20"/>
        </w:rPr>
        <w:t>faith </w:t>
      </w:r>
      <w:r>
        <w:rPr>
          <w:w w:val="120"/>
          <w:sz w:val="20"/>
        </w:rPr>
        <w:t>in </w:t>
      </w:r>
      <w:r>
        <w:rPr>
          <w:spacing w:val="2"/>
          <w:w w:val="120"/>
          <w:sz w:val="20"/>
        </w:rPr>
        <w:t>God, </w:t>
      </w:r>
      <w:r>
        <w:rPr>
          <w:w w:val="120"/>
          <w:sz w:val="20"/>
        </w:rPr>
        <w:t>in which we can let go      of the guilt and burdens that weigh us down, and be </w:t>
      </w:r>
      <w:r>
        <w:rPr>
          <w:spacing w:val="2"/>
          <w:w w:val="120"/>
          <w:sz w:val="20"/>
        </w:rPr>
        <w:t>open </w:t>
      </w:r>
      <w:r>
        <w:rPr>
          <w:w w:val="120"/>
          <w:sz w:val="20"/>
        </w:rPr>
        <w:t>to God’s grace to guide  us. </w:t>
      </w:r>
      <w:r>
        <w:rPr>
          <w:spacing w:val="2"/>
          <w:w w:val="120"/>
          <w:sz w:val="20"/>
        </w:rPr>
        <w:t>The </w:t>
      </w:r>
      <w:r>
        <w:rPr>
          <w:w w:val="120"/>
          <w:sz w:val="20"/>
        </w:rPr>
        <w:t>Spirit is leading us to </w:t>
      </w:r>
      <w:r>
        <w:rPr>
          <w:spacing w:val="2"/>
          <w:w w:val="120"/>
          <w:sz w:val="20"/>
        </w:rPr>
        <w:t>trust </w:t>
      </w:r>
      <w:r>
        <w:rPr>
          <w:w w:val="120"/>
          <w:sz w:val="20"/>
        </w:rPr>
        <w:t>that </w:t>
      </w:r>
      <w:r>
        <w:rPr>
          <w:spacing w:val="2"/>
          <w:w w:val="120"/>
          <w:sz w:val="20"/>
        </w:rPr>
        <w:t>God </w:t>
      </w:r>
      <w:r>
        <w:rPr>
          <w:w w:val="120"/>
          <w:sz w:val="20"/>
        </w:rPr>
        <w:t>holds the future, even when the future </w:t>
      </w:r>
      <w:r>
        <w:rPr>
          <w:spacing w:val="2"/>
          <w:w w:val="120"/>
          <w:sz w:val="20"/>
        </w:rPr>
        <w:t>appears</w:t>
      </w:r>
      <w:r>
        <w:rPr>
          <w:spacing w:val="5"/>
          <w:w w:val="120"/>
          <w:sz w:val="20"/>
        </w:rPr>
        <w:t> </w:t>
      </w:r>
      <w:r>
        <w:rPr>
          <w:spacing w:val="2"/>
          <w:w w:val="120"/>
          <w:sz w:val="20"/>
        </w:rPr>
        <w:t>uncertain.</w:t>
      </w:r>
    </w:p>
    <w:p>
      <w:pPr>
        <w:pStyle w:val="BodyText"/>
        <w:spacing w:before="11"/>
        <w:rPr>
          <w:sz w:val="19"/>
        </w:rPr>
      </w:pPr>
    </w:p>
    <w:p>
      <w:pPr>
        <w:pStyle w:val="ListParagraph"/>
        <w:numPr>
          <w:ilvl w:val="1"/>
          <w:numId w:val="144"/>
        </w:numPr>
        <w:tabs>
          <w:tab w:pos="2024" w:val="left" w:leader="none"/>
          <w:tab w:pos="2025" w:val="left" w:leader="none"/>
        </w:tabs>
        <w:spacing w:line="235" w:lineRule="auto" w:before="0" w:after="0"/>
        <w:ind w:left="1344" w:right="1379" w:firstLine="0"/>
        <w:jc w:val="left"/>
        <w:rPr>
          <w:sz w:val="20"/>
        </w:rPr>
      </w:pPr>
      <w:r>
        <w:rPr>
          <w:w w:val="120"/>
          <w:sz w:val="20"/>
        </w:rPr>
        <w:t>We believe that the Spirit is calling us to reaffirm our ecumenical commitment; to understand more clearly, and so regain greater confidence in, the central features of our own Reformed tradition; and to commit ourselves to a life of radical discipleship, directed towards God’s mission in the</w:t>
      </w:r>
      <w:r>
        <w:rPr>
          <w:spacing w:val="14"/>
          <w:w w:val="120"/>
          <w:sz w:val="20"/>
        </w:rPr>
        <w:t> </w:t>
      </w:r>
      <w:r>
        <w:rPr>
          <w:w w:val="120"/>
          <w:sz w:val="20"/>
        </w:rPr>
        <w:t>world.</w:t>
      </w:r>
    </w:p>
    <w:p>
      <w:pPr>
        <w:pStyle w:val="BodyText"/>
        <w:spacing w:before="11"/>
        <w:rPr>
          <w:sz w:val="19"/>
        </w:rPr>
      </w:pPr>
    </w:p>
    <w:p>
      <w:pPr>
        <w:pStyle w:val="ListParagraph"/>
        <w:numPr>
          <w:ilvl w:val="1"/>
          <w:numId w:val="144"/>
        </w:numPr>
        <w:tabs>
          <w:tab w:pos="2024" w:val="left" w:leader="none"/>
          <w:tab w:pos="2025" w:val="left" w:leader="none"/>
        </w:tabs>
        <w:spacing w:line="235" w:lineRule="auto" w:before="0" w:after="0"/>
        <w:ind w:left="1344" w:right="1324" w:firstLine="0"/>
        <w:jc w:val="left"/>
        <w:rPr>
          <w:sz w:val="20"/>
        </w:rPr>
      </w:pPr>
      <w:r>
        <w:rPr>
          <w:spacing w:val="-3"/>
          <w:w w:val="115"/>
          <w:sz w:val="20"/>
        </w:rPr>
        <w:t>We </w:t>
      </w:r>
      <w:r>
        <w:rPr>
          <w:w w:val="115"/>
          <w:sz w:val="20"/>
        </w:rPr>
        <w:t>offer six affirmations, which point us </w:t>
      </w:r>
      <w:r>
        <w:rPr>
          <w:spacing w:val="-3"/>
          <w:w w:val="115"/>
          <w:sz w:val="20"/>
        </w:rPr>
        <w:t>to </w:t>
      </w:r>
      <w:r>
        <w:rPr>
          <w:w w:val="115"/>
          <w:sz w:val="20"/>
        </w:rPr>
        <w:t>our faith in God and the renewal of the life</w:t>
      </w:r>
      <w:r>
        <w:rPr>
          <w:spacing w:val="12"/>
          <w:w w:val="115"/>
          <w:sz w:val="20"/>
        </w:rPr>
        <w:t> </w:t>
      </w:r>
      <w:r>
        <w:rPr>
          <w:w w:val="115"/>
          <w:sz w:val="20"/>
        </w:rPr>
        <w:t>of</w:t>
      </w:r>
      <w:r>
        <w:rPr>
          <w:spacing w:val="13"/>
          <w:w w:val="115"/>
          <w:sz w:val="20"/>
        </w:rPr>
        <w:t> </w:t>
      </w:r>
      <w:r>
        <w:rPr>
          <w:w w:val="115"/>
          <w:sz w:val="20"/>
        </w:rPr>
        <w:t>the</w:t>
      </w:r>
      <w:r>
        <w:rPr>
          <w:spacing w:val="13"/>
          <w:w w:val="115"/>
          <w:sz w:val="20"/>
        </w:rPr>
        <w:t> </w:t>
      </w:r>
      <w:r>
        <w:rPr>
          <w:w w:val="115"/>
          <w:sz w:val="20"/>
        </w:rPr>
        <w:t>URC,</w:t>
      </w:r>
      <w:r>
        <w:rPr>
          <w:spacing w:val="13"/>
          <w:w w:val="115"/>
          <w:sz w:val="20"/>
        </w:rPr>
        <w:t> </w:t>
      </w:r>
      <w:r>
        <w:rPr>
          <w:w w:val="115"/>
          <w:sz w:val="20"/>
        </w:rPr>
        <w:t>believing</w:t>
      </w:r>
      <w:r>
        <w:rPr>
          <w:spacing w:val="13"/>
          <w:w w:val="115"/>
          <w:sz w:val="20"/>
        </w:rPr>
        <w:t> </w:t>
      </w:r>
      <w:r>
        <w:rPr>
          <w:w w:val="115"/>
          <w:sz w:val="20"/>
        </w:rPr>
        <w:t>that</w:t>
      </w:r>
      <w:r>
        <w:rPr>
          <w:spacing w:val="13"/>
          <w:w w:val="115"/>
          <w:sz w:val="20"/>
        </w:rPr>
        <w:t> </w:t>
      </w:r>
      <w:r>
        <w:rPr>
          <w:w w:val="115"/>
          <w:sz w:val="20"/>
        </w:rPr>
        <w:t>as</w:t>
      </w:r>
      <w:r>
        <w:rPr>
          <w:spacing w:val="13"/>
          <w:w w:val="115"/>
          <w:sz w:val="20"/>
        </w:rPr>
        <w:t> </w:t>
      </w:r>
      <w:r>
        <w:rPr>
          <w:w w:val="115"/>
          <w:sz w:val="20"/>
        </w:rPr>
        <w:t>we</w:t>
      </w:r>
      <w:r>
        <w:rPr>
          <w:spacing w:val="13"/>
          <w:w w:val="115"/>
          <w:sz w:val="20"/>
        </w:rPr>
        <w:t> </w:t>
      </w:r>
      <w:r>
        <w:rPr>
          <w:w w:val="115"/>
          <w:sz w:val="20"/>
        </w:rPr>
        <w:t>put</w:t>
      </w:r>
      <w:r>
        <w:rPr>
          <w:spacing w:val="13"/>
          <w:w w:val="115"/>
          <w:sz w:val="20"/>
        </w:rPr>
        <w:t> </w:t>
      </w:r>
      <w:r>
        <w:rPr>
          <w:w w:val="115"/>
          <w:sz w:val="20"/>
        </w:rPr>
        <w:t>our</w:t>
      </w:r>
      <w:r>
        <w:rPr>
          <w:spacing w:val="13"/>
          <w:w w:val="115"/>
          <w:sz w:val="20"/>
        </w:rPr>
        <w:t> </w:t>
      </w:r>
      <w:r>
        <w:rPr>
          <w:w w:val="115"/>
          <w:sz w:val="20"/>
        </w:rPr>
        <w:t>trust</w:t>
      </w:r>
      <w:r>
        <w:rPr>
          <w:spacing w:val="12"/>
          <w:w w:val="115"/>
          <w:sz w:val="20"/>
        </w:rPr>
        <w:t> </w:t>
      </w:r>
      <w:r>
        <w:rPr>
          <w:w w:val="115"/>
          <w:sz w:val="20"/>
        </w:rPr>
        <w:t>more</w:t>
      </w:r>
      <w:r>
        <w:rPr>
          <w:spacing w:val="13"/>
          <w:w w:val="115"/>
          <w:sz w:val="20"/>
        </w:rPr>
        <w:t> </w:t>
      </w:r>
      <w:r>
        <w:rPr>
          <w:w w:val="115"/>
          <w:sz w:val="20"/>
        </w:rPr>
        <w:t>deeply</w:t>
      </w:r>
      <w:r>
        <w:rPr>
          <w:spacing w:val="13"/>
          <w:w w:val="115"/>
          <w:sz w:val="20"/>
        </w:rPr>
        <w:t> </w:t>
      </w:r>
      <w:r>
        <w:rPr>
          <w:w w:val="115"/>
          <w:sz w:val="20"/>
        </w:rPr>
        <w:t>in</w:t>
      </w:r>
      <w:r>
        <w:rPr>
          <w:spacing w:val="13"/>
          <w:w w:val="115"/>
          <w:sz w:val="20"/>
        </w:rPr>
        <w:t> </w:t>
      </w:r>
      <w:r>
        <w:rPr>
          <w:w w:val="115"/>
          <w:sz w:val="20"/>
        </w:rPr>
        <w:t>God</w:t>
      </w:r>
      <w:r>
        <w:rPr>
          <w:spacing w:val="13"/>
          <w:w w:val="115"/>
          <w:sz w:val="20"/>
        </w:rPr>
        <w:t> </w:t>
      </w:r>
      <w:r>
        <w:rPr>
          <w:spacing w:val="-3"/>
          <w:w w:val="115"/>
          <w:sz w:val="20"/>
        </w:rPr>
        <w:t>this</w:t>
      </w:r>
      <w:r>
        <w:rPr>
          <w:spacing w:val="13"/>
          <w:w w:val="115"/>
          <w:sz w:val="20"/>
        </w:rPr>
        <w:t> </w:t>
      </w:r>
      <w:r>
        <w:rPr>
          <w:spacing w:val="-3"/>
          <w:w w:val="115"/>
          <w:sz w:val="20"/>
        </w:rPr>
        <w:t>Church</w:t>
      </w:r>
      <w:r>
        <w:rPr>
          <w:spacing w:val="13"/>
          <w:w w:val="115"/>
          <w:sz w:val="20"/>
        </w:rPr>
        <w:t> </w:t>
      </w:r>
      <w:r>
        <w:rPr>
          <w:w w:val="115"/>
          <w:sz w:val="20"/>
        </w:rPr>
        <w:t>will</w:t>
      </w:r>
    </w:p>
    <w:p>
      <w:pPr>
        <w:pStyle w:val="BodyText"/>
        <w:spacing w:line="235" w:lineRule="auto" w:before="2"/>
        <w:ind w:left="1344" w:right="1217"/>
      </w:pPr>
      <w:r>
        <w:rPr>
          <w:w w:val="120"/>
        </w:rPr>
        <w:t>be reborn. These affirmations build on </w:t>
      </w:r>
      <w:r>
        <w:rPr>
          <w:spacing w:val="-5"/>
          <w:w w:val="120"/>
        </w:rPr>
        <w:t>URC’s </w:t>
      </w:r>
      <w:r>
        <w:rPr>
          <w:i/>
          <w:spacing w:val="-3"/>
          <w:w w:val="120"/>
        </w:rPr>
        <w:t>Basis </w:t>
      </w:r>
      <w:r>
        <w:rPr>
          <w:i/>
          <w:w w:val="120"/>
        </w:rPr>
        <w:t>of </w:t>
      </w:r>
      <w:r>
        <w:rPr>
          <w:i/>
          <w:spacing w:val="-3"/>
          <w:w w:val="120"/>
        </w:rPr>
        <w:t>Union </w:t>
      </w:r>
      <w:r>
        <w:rPr>
          <w:w w:val="120"/>
        </w:rPr>
        <w:t>and the </w:t>
      </w:r>
      <w:r>
        <w:rPr>
          <w:spacing w:val="-3"/>
          <w:w w:val="120"/>
        </w:rPr>
        <w:t>resources </w:t>
      </w:r>
      <w:r>
        <w:rPr>
          <w:w w:val="120"/>
        </w:rPr>
        <w:t>offered in Vision </w:t>
      </w:r>
      <w:r>
        <w:rPr>
          <w:spacing w:val="-4"/>
          <w:w w:val="120"/>
        </w:rPr>
        <w:t>2020. </w:t>
      </w:r>
      <w:r>
        <w:rPr>
          <w:w w:val="120"/>
        </w:rPr>
        <w:t>They are expanded in the appendix, </w:t>
      </w:r>
      <w:r>
        <w:rPr>
          <w:spacing w:val="-3"/>
          <w:w w:val="120"/>
        </w:rPr>
        <w:t>to include </w:t>
      </w:r>
      <w:r>
        <w:rPr>
          <w:w w:val="120"/>
        </w:rPr>
        <w:t>particular aspects of our life that we </w:t>
      </w:r>
      <w:r>
        <w:rPr>
          <w:spacing w:val="-3"/>
          <w:w w:val="120"/>
        </w:rPr>
        <w:t>celebrate </w:t>
      </w:r>
      <w:r>
        <w:rPr>
          <w:w w:val="120"/>
        </w:rPr>
        <w:t>and some of the </w:t>
      </w:r>
      <w:r>
        <w:rPr>
          <w:spacing w:val="-3"/>
          <w:w w:val="120"/>
        </w:rPr>
        <w:t>possibilities </w:t>
      </w:r>
      <w:r>
        <w:rPr>
          <w:w w:val="120"/>
        </w:rPr>
        <w:t>and challenges before </w:t>
      </w:r>
      <w:r>
        <w:rPr>
          <w:spacing w:val="-2"/>
          <w:w w:val="120"/>
        </w:rPr>
        <w:t>us.</w:t>
      </w:r>
    </w:p>
    <w:p>
      <w:pPr>
        <w:pStyle w:val="BodyText"/>
        <w:spacing w:before="12"/>
        <w:rPr>
          <w:sz w:val="18"/>
        </w:rPr>
      </w:pPr>
    </w:p>
    <w:p>
      <w:pPr>
        <w:pStyle w:val="Heading2"/>
        <w:ind w:left="1344"/>
      </w:pPr>
      <w:r>
        <w:rPr>
          <w:w w:val="110"/>
        </w:rPr>
        <w:t>God is the generous gift-giver</w:t>
      </w:r>
    </w:p>
    <w:p>
      <w:pPr>
        <w:pStyle w:val="ListParagraph"/>
        <w:numPr>
          <w:ilvl w:val="1"/>
          <w:numId w:val="145"/>
        </w:numPr>
        <w:tabs>
          <w:tab w:pos="2024" w:val="left" w:leader="none"/>
          <w:tab w:pos="2025" w:val="left" w:leader="none"/>
        </w:tabs>
        <w:spacing w:line="240" w:lineRule="auto" w:before="79" w:after="0"/>
        <w:ind w:left="2024" w:right="0" w:hanging="681"/>
        <w:jc w:val="left"/>
        <w:rPr>
          <w:sz w:val="20"/>
        </w:rPr>
      </w:pPr>
      <w:r>
        <w:rPr>
          <w:w w:val="120"/>
          <w:sz w:val="20"/>
        </w:rPr>
        <w:t>God’s </w:t>
      </w:r>
      <w:r>
        <w:rPr>
          <w:spacing w:val="2"/>
          <w:w w:val="120"/>
          <w:sz w:val="20"/>
        </w:rPr>
        <w:t>gifts </w:t>
      </w:r>
      <w:r>
        <w:rPr>
          <w:w w:val="120"/>
          <w:sz w:val="20"/>
        </w:rPr>
        <w:t>are poured out in creation, in Jesus and in the</w:t>
      </w:r>
      <w:r>
        <w:rPr>
          <w:spacing w:val="25"/>
          <w:w w:val="120"/>
          <w:sz w:val="20"/>
        </w:rPr>
        <w:t> </w:t>
      </w:r>
      <w:r>
        <w:rPr>
          <w:w w:val="120"/>
          <w:sz w:val="20"/>
        </w:rPr>
        <w:t>Spirit.</w:t>
      </w:r>
    </w:p>
    <w:p>
      <w:pPr>
        <w:pStyle w:val="BodyText"/>
        <w:spacing w:before="7"/>
        <w:rPr>
          <w:sz w:val="19"/>
        </w:rPr>
      </w:pPr>
    </w:p>
    <w:p>
      <w:pPr>
        <w:pStyle w:val="ListParagraph"/>
        <w:numPr>
          <w:ilvl w:val="1"/>
          <w:numId w:val="145"/>
        </w:numPr>
        <w:tabs>
          <w:tab w:pos="2024" w:val="left" w:leader="none"/>
          <w:tab w:pos="2025" w:val="left" w:leader="none"/>
        </w:tabs>
        <w:spacing w:line="235" w:lineRule="auto" w:before="0" w:after="0"/>
        <w:ind w:left="1344" w:right="1275" w:firstLine="0"/>
        <w:jc w:val="left"/>
        <w:rPr>
          <w:sz w:val="20"/>
        </w:rPr>
      </w:pPr>
      <w:r>
        <w:rPr>
          <w:w w:val="120"/>
          <w:sz w:val="20"/>
        </w:rPr>
        <w:t>The </w:t>
      </w:r>
      <w:r>
        <w:rPr>
          <w:spacing w:val="-3"/>
          <w:w w:val="120"/>
          <w:sz w:val="20"/>
        </w:rPr>
        <w:t>Church’s </w:t>
      </w:r>
      <w:r>
        <w:rPr>
          <w:w w:val="120"/>
          <w:sz w:val="20"/>
        </w:rPr>
        <w:t>first response to God is the offering of worship. The URC celebrates the centrality and joy of worship as a living encounter with God, in which God is known and lives are transformed, and out of which people share in God’s transforming action  in the</w:t>
      </w:r>
      <w:r>
        <w:rPr>
          <w:spacing w:val="4"/>
          <w:w w:val="120"/>
          <w:sz w:val="20"/>
        </w:rPr>
        <w:t> </w:t>
      </w:r>
      <w:r>
        <w:rPr>
          <w:w w:val="120"/>
          <w:sz w:val="20"/>
        </w:rPr>
        <w:t>world.</w:t>
      </w:r>
    </w:p>
    <w:p>
      <w:pPr>
        <w:spacing w:after="0" w:line="235" w:lineRule="auto"/>
        <w:jc w:val="left"/>
        <w:rPr>
          <w:sz w:val="20"/>
        </w:rPr>
        <w:sectPr>
          <w:headerReference w:type="default" r:id="rId341"/>
          <w:footerReference w:type="default" r:id="rId342"/>
          <w:footerReference w:type="even" r:id="rId343"/>
          <w:pgSz w:w="11910" w:h="16840"/>
          <w:pgMar w:header="0" w:footer="647" w:top="0" w:bottom="840" w:left="640" w:right="0"/>
          <w:pgNumType w:start="121"/>
        </w:sectPr>
      </w:pPr>
    </w:p>
    <w:p>
      <w:pPr>
        <w:pStyle w:val="BodyText"/>
      </w:pPr>
      <w:r>
        <w:rPr/>
        <w:drawing>
          <wp:anchor distT="0" distB="0" distL="0" distR="0" allowOverlap="1" layoutInCell="1" locked="0" behindDoc="1" simplePos="0" relativeHeight="235523072">
            <wp:simplePos x="0" y="0"/>
            <wp:positionH relativeFrom="page">
              <wp:posOffset>0</wp:posOffset>
            </wp:positionH>
            <wp:positionV relativeFrom="page">
              <wp:posOffset>0</wp:posOffset>
            </wp:positionV>
            <wp:extent cx="594067" cy="10692003"/>
            <wp:effectExtent l="0" t="0" r="0" b="0"/>
            <wp:wrapNone/>
            <wp:docPr id="227" name="image67.png"/>
            <wp:cNvGraphicFramePr>
              <a:graphicFrameLocks noChangeAspect="1"/>
            </wp:cNvGraphicFramePr>
            <a:graphic>
              <a:graphicData uri="http://schemas.openxmlformats.org/drawingml/2006/picture">
                <pic:pic>
                  <pic:nvPicPr>
                    <pic:cNvPr id="228" name="image67.png"/>
                    <pic:cNvPicPr/>
                  </pic:nvPicPr>
                  <pic:blipFill>
                    <a:blip r:embed="rId184" cstate="print"/>
                    <a:stretch>
                      <a:fillRect/>
                    </a:stretch>
                  </pic:blipFill>
                  <pic:spPr>
                    <a:xfrm>
                      <a:off x="0" y="0"/>
                      <a:ext cx="594067" cy="10692003"/>
                    </a:xfrm>
                    <a:prstGeom prst="rect">
                      <a:avLst/>
                    </a:prstGeom>
                  </pic:spPr>
                </pic:pic>
              </a:graphicData>
            </a:graphic>
          </wp:anchor>
        </w:drawing>
      </w:r>
      <w:r>
        <w:rPr/>
        <w:pict>
          <v:shape style="position:absolute;margin-left:20.519100pt;margin-top:48.890015pt;width:25.9pt;height:594.2pt;mso-position-horizontal-relative:page;mso-position-vertical-relative:page;z-index:-267792384" type="#_x0000_t202" filled="false" stroked="false">
            <v:textbox inset="0,0,0,0" style="layout-flow:vertical">
              <w:txbxContent>
                <w:p>
                  <w:pPr>
                    <w:spacing w:before="27"/>
                    <w:ind w:left="20" w:right="0" w:firstLine="0"/>
                    <w:jc w:val="left"/>
                    <w:rPr>
                      <w:sz w:val="39"/>
                    </w:rPr>
                  </w:pPr>
                  <w:r>
                    <w:rPr>
                      <w:color w:val="FFFFFF"/>
                      <w:w w:val="125"/>
                      <w:sz w:val="39"/>
                    </w:rPr>
                    <w:t>Faith and order – </w:t>
                  </w:r>
                  <w:r>
                    <w:rPr>
                      <w:w w:val="125"/>
                      <w:sz w:val="39"/>
                    </w:rPr>
                    <w:t>What is the Spirit saying to the Churches</w:t>
                  </w:r>
                </w:p>
              </w:txbxContent>
            </v:textbox>
            <w10:wrap type="none"/>
          </v:shape>
        </w:pict>
      </w:r>
    </w:p>
    <w:p>
      <w:pPr>
        <w:pStyle w:val="BodyText"/>
        <w:spacing w:before="7"/>
        <w:rPr>
          <w:sz w:val="21"/>
        </w:rPr>
      </w:pPr>
    </w:p>
    <w:p>
      <w:pPr>
        <w:spacing w:before="106"/>
        <w:ind w:left="607" w:right="0" w:firstLine="0"/>
        <w:jc w:val="left"/>
        <w:rPr>
          <w:sz w:val="26"/>
        </w:rPr>
      </w:pPr>
      <w:r>
        <w:rPr>
          <w:color w:val="7EAABF"/>
          <w:w w:val="115"/>
          <w:sz w:val="26"/>
        </w:rPr>
        <w:t>Faith and order</w:t>
      </w:r>
    </w:p>
    <w:p>
      <w:pPr>
        <w:pStyle w:val="Heading2"/>
        <w:spacing w:before="215"/>
      </w:pPr>
      <w:r>
        <w:rPr>
          <w:w w:val="110"/>
        </w:rPr>
        <w:t>God is our source, our guide, our goal</w:t>
      </w:r>
    </w:p>
    <w:p>
      <w:pPr>
        <w:pStyle w:val="BodyText"/>
        <w:spacing w:line="235" w:lineRule="auto" w:before="83"/>
        <w:ind w:left="607" w:right="2158"/>
        <w:jc w:val="both"/>
      </w:pPr>
      <w:r>
        <w:rPr>
          <w:spacing w:val="-8"/>
          <w:w w:val="120"/>
        </w:rPr>
        <w:t>4.1    </w:t>
      </w:r>
      <w:r>
        <w:rPr>
          <w:w w:val="120"/>
        </w:rPr>
        <w:t>We celebrate the </w:t>
      </w:r>
      <w:r>
        <w:rPr>
          <w:spacing w:val="2"/>
          <w:w w:val="120"/>
        </w:rPr>
        <w:t>gifts </w:t>
      </w:r>
      <w:r>
        <w:rPr>
          <w:w w:val="120"/>
        </w:rPr>
        <w:t>and treasures of the Reformed tradition, acknowledging the rootedness in a theological heritage that goes back to the early Church, and open to the leading of the Spirit in new ways </w:t>
      </w:r>
      <w:r>
        <w:rPr>
          <w:spacing w:val="-3"/>
          <w:w w:val="120"/>
        </w:rPr>
        <w:t>today, </w:t>
      </w:r>
      <w:r>
        <w:rPr>
          <w:w w:val="120"/>
        </w:rPr>
        <w:t>as the Spirit led our Reformed ancestors in their particular cultures and</w:t>
      </w:r>
      <w:r>
        <w:rPr>
          <w:spacing w:val="10"/>
          <w:w w:val="120"/>
        </w:rPr>
        <w:t> </w:t>
      </w:r>
      <w:r>
        <w:rPr>
          <w:w w:val="120"/>
        </w:rPr>
        <w:t>contexts.</w:t>
      </w:r>
    </w:p>
    <w:p>
      <w:pPr>
        <w:pStyle w:val="BodyText"/>
        <w:rPr>
          <w:sz w:val="19"/>
        </w:rPr>
      </w:pPr>
    </w:p>
    <w:p>
      <w:pPr>
        <w:pStyle w:val="Heading2"/>
      </w:pPr>
      <w:r>
        <w:rPr>
          <w:w w:val="110"/>
        </w:rPr>
        <w:t>God leads people into truth</w:t>
      </w:r>
    </w:p>
    <w:p>
      <w:pPr>
        <w:pStyle w:val="BodyText"/>
        <w:tabs>
          <w:tab w:pos="1287" w:val="left" w:leader="none"/>
        </w:tabs>
        <w:spacing w:line="235" w:lineRule="auto" w:before="83"/>
        <w:ind w:left="607" w:right="2114"/>
      </w:pPr>
      <w:r>
        <w:rPr>
          <w:spacing w:val="-8"/>
          <w:w w:val="120"/>
        </w:rPr>
        <w:t>5.1</w:t>
        <w:tab/>
      </w:r>
      <w:r>
        <w:rPr>
          <w:w w:val="120"/>
        </w:rPr>
        <w:t>In the power of the Holy Spirit, truth is received in many different ways, through Scripture and the tradition of the Church, through the testing of personal experience, through the discernment of the gathered people of God and through wrestling deeply with the issues of the</w:t>
      </w:r>
      <w:r>
        <w:rPr>
          <w:spacing w:val="9"/>
          <w:w w:val="120"/>
        </w:rPr>
        <w:t> </w:t>
      </w:r>
      <w:r>
        <w:rPr>
          <w:spacing w:val="-4"/>
          <w:w w:val="120"/>
        </w:rPr>
        <w:t>day.</w:t>
      </w:r>
    </w:p>
    <w:p>
      <w:pPr>
        <w:pStyle w:val="BodyText"/>
        <w:rPr>
          <w:sz w:val="19"/>
        </w:rPr>
      </w:pPr>
    </w:p>
    <w:p>
      <w:pPr>
        <w:pStyle w:val="Heading2"/>
        <w:spacing w:before="1"/>
      </w:pPr>
      <w:r>
        <w:rPr>
          <w:w w:val="110"/>
        </w:rPr>
        <w:t>God in Trinity draws people into a relationship of love</w:t>
      </w:r>
    </w:p>
    <w:p>
      <w:pPr>
        <w:pStyle w:val="BodyText"/>
        <w:tabs>
          <w:tab w:pos="1287" w:val="left" w:leader="none"/>
        </w:tabs>
        <w:spacing w:line="235" w:lineRule="auto" w:before="82"/>
        <w:ind w:left="607" w:right="2055"/>
      </w:pPr>
      <w:r>
        <w:rPr>
          <w:spacing w:val="-7"/>
          <w:w w:val="120"/>
        </w:rPr>
        <w:t>6.1</w:t>
        <w:tab/>
      </w:r>
      <w:r>
        <w:rPr>
          <w:w w:val="120"/>
        </w:rPr>
        <w:t>We affirm the value of the local church as the place in which God’s love is known and lived out. The URC celebrates the whole people of God, each one, young and old, with</w:t>
      </w:r>
      <w:r>
        <w:rPr>
          <w:spacing w:val="6"/>
          <w:w w:val="120"/>
        </w:rPr>
        <w:t> </w:t>
      </w:r>
      <w:r>
        <w:rPr>
          <w:w w:val="120"/>
        </w:rPr>
        <w:t>his</w:t>
      </w:r>
      <w:r>
        <w:rPr>
          <w:spacing w:val="6"/>
          <w:w w:val="120"/>
        </w:rPr>
        <w:t> </w:t>
      </w:r>
      <w:r>
        <w:rPr>
          <w:w w:val="120"/>
        </w:rPr>
        <w:t>or</w:t>
      </w:r>
      <w:r>
        <w:rPr>
          <w:spacing w:val="7"/>
          <w:w w:val="120"/>
        </w:rPr>
        <w:t> </w:t>
      </w:r>
      <w:r>
        <w:rPr>
          <w:w w:val="120"/>
        </w:rPr>
        <w:t>her</w:t>
      </w:r>
      <w:r>
        <w:rPr>
          <w:spacing w:val="6"/>
          <w:w w:val="120"/>
        </w:rPr>
        <w:t> </w:t>
      </w:r>
      <w:r>
        <w:rPr>
          <w:w w:val="120"/>
        </w:rPr>
        <w:t>own</w:t>
      </w:r>
      <w:r>
        <w:rPr>
          <w:spacing w:val="6"/>
          <w:w w:val="120"/>
        </w:rPr>
        <w:t> </w:t>
      </w:r>
      <w:r>
        <w:rPr>
          <w:w w:val="120"/>
        </w:rPr>
        <w:t>gifting</w:t>
      </w:r>
      <w:r>
        <w:rPr>
          <w:spacing w:val="7"/>
          <w:w w:val="120"/>
        </w:rPr>
        <w:t> </w:t>
      </w:r>
      <w:r>
        <w:rPr>
          <w:w w:val="120"/>
        </w:rPr>
        <w:t>from</w:t>
      </w:r>
      <w:r>
        <w:rPr>
          <w:spacing w:val="6"/>
          <w:w w:val="120"/>
        </w:rPr>
        <w:t> </w:t>
      </w:r>
      <w:r>
        <w:rPr>
          <w:w w:val="120"/>
        </w:rPr>
        <w:t>the</w:t>
      </w:r>
      <w:r>
        <w:rPr>
          <w:spacing w:val="6"/>
          <w:w w:val="120"/>
        </w:rPr>
        <w:t> </w:t>
      </w:r>
      <w:r>
        <w:rPr>
          <w:w w:val="120"/>
        </w:rPr>
        <w:t>Spirit,</w:t>
      </w:r>
      <w:r>
        <w:rPr>
          <w:spacing w:val="7"/>
          <w:w w:val="120"/>
        </w:rPr>
        <w:t> </w:t>
      </w:r>
      <w:r>
        <w:rPr>
          <w:w w:val="120"/>
        </w:rPr>
        <w:t>each</w:t>
      </w:r>
      <w:r>
        <w:rPr>
          <w:spacing w:val="6"/>
          <w:w w:val="120"/>
        </w:rPr>
        <w:t> </w:t>
      </w:r>
      <w:r>
        <w:rPr>
          <w:w w:val="120"/>
        </w:rPr>
        <w:t>one</w:t>
      </w:r>
      <w:r>
        <w:rPr>
          <w:spacing w:val="6"/>
          <w:w w:val="120"/>
        </w:rPr>
        <w:t> </w:t>
      </w:r>
      <w:r>
        <w:rPr>
          <w:w w:val="120"/>
        </w:rPr>
        <w:t>given</w:t>
      </w:r>
      <w:r>
        <w:rPr>
          <w:spacing w:val="7"/>
          <w:w w:val="120"/>
        </w:rPr>
        <w:t> </w:t>
      </w:r>
      <w:r>
        <w:rPr>
          <w:w w:val="120"/>
        </w:rPr>
        <w:t>voice</w:t>
      </w:r>
      <w:r>
        <w:rPr>
          <w:spacing w:val="6"/>
          <w:w w:val="120"/>
        </w:rPr>
        <w:t> </w:t>
      </w:r>
      <w:r>
        <w:rPr>
          <w:w w:val="120"/>
        </w:rPr>
        <w:t>by</w:t>
      </w:r>
      <w:r>
        <w:rPr>
          <w:spacing w:val="6"/>
          <w:w w:val="120"/>
        </w:rPr>
        <w:t> </w:t>
      </w:r>
      <w:r>
        <w:rPr>
          <w:w w:val="120"/>
        </w:rPr>
        <w:t>the</w:t>
      </w:r>
      <w:r>
        <w:rPr>
          <w:spacing w:val="7"/>
          <w:w w:val="120"/>
        </w:rPr>
        <w:t> </w:t>
      </w:r>
      <w:r>
        <w:rPr>
          <w:w w:val="120"/>
        </w:rPr>
        <w:t>Holy</w:t>
      </w:r>
      <w:r>
        <w:rPr>
          <w:spacing w:val="6"/>
          <w:w w:val="120"/>
        </w:rPr>
        <w:t> </w:t>
      </w:r>
      <w:r>
        <w:rPr>
          <w:w w:val="120"/>
        </w:rPr>
        <w:t>Spirit.</w:t>
      </w:r>
    </w:p>
    <w:p>
      <w:pPr>
        <w:pStyle w:val="BodyText"/>
        <w:spacing w:before="4"/>
        <w:rPr>
          <w:sz w:val="23"/>
        </w:rPr>
      </w:pPr>
    </w:p>
    <w:p>
      <w:pPr>
        <w:pStyle w:val="Heading2"/>
        <w:spacing w:line="228" w:lineRule="auto"/>
        <w:ind w:right="2045"/>
      </w:pPr>
      <w:r>
        <w:rPr>
          <w:w w:val="110"/>
        </w:rPr>
        <w:t>God reshapes the Church to meet the challenge of different contexts and cultures</w:t>
      </w:r>
    </w:p>
    <w:p>
      <w:pPr>
        <w:pStyle w:val="BodyText"/>
        <w:tabs>
          <w:tab w:pos="1287" w:val="left" w:leader="none"/>
        </w:tabs>
        <w:spacing w:line="235" w:lineRule="auto" w:before="85"/>
        <w:ind w:left="607" w:right="2394"/>
      </w:pPr>
      <w:r>
        <w:rPr>
          <w:spacing w:val="-15"/>
          <w:w w:val="120"/>
        </w:rPr>
        <w:t>7.1</w:t>
        <w:tab/>
      </w:r>
      <w:r>
        <w:rPr>
          <w:w w:val="120"/>
        </w:rPr>
        <w:t>We celebrate the ‘risk-taking’ nature of our obedience to the Spirit across our history and in our present social and political</w:t>
      </w:r>
      <w:r>
        <w:rPr>
          <w:spacing w:val="18"/>
          <w:w w:val="120"/>
        </w:rPr>
        <w:t> </w:t>
      </w:r>
      <w:r>
        <w:rPr>
          <w:w w:val="120"/>
        </w:rPr>
        <w:t>stances.</w:t>
      </w:r>
    </w:p>
    <w:p>
      <w:pPr>
        <w:pStyle w:val="BodyText"/>
        <w:spacing w:before="3"/>
        <w:rPr>
          <w:sz w:val="23"/>
        </w:rPr>
      </w:pPr>
    </w:p>
    <w:p>
      <w:pPr>
        <w:pStyle w:val="Heading2"/>
        <w:spacing w:line="228" w:lineRule="auto"/>
        <w:ind w:right="2295"/>
      </w:pPr>
      <w:r>
        <w:rPr>
          <w:w w:val="110"/>
        </w:rPr>
        <w:t>God draws people to be one, offering reconciliation in a broken world</w:t>
      </w:r>
    </w:p>
    <w:p>
      <w:pPr>
        <w:pStyle w:val="BodyText"/>
        <w:tabs>
          <w:tab w:pos="1287" w:val="left" w:leader="none"/>
        </w:tabs>
        <w:spacing w:line="235" w:lineRule="auto" w:before="86"/>
        <w:ind w:left="607" w:right="2045"/>
      </w:pPr>
      <w:r>
        <w:rPr>
          <w:spacing w:val="-6"/>
          <w:w w:val="120"/>
        </w:rPr>
        <w:t>8.1</w:t>
        <w:tab/>
      </w:r>
      <w:r>
        <w:rPr>
          <w:w w:val="120"/>
        </w:rPr>
        <w:t>We celebrate the bold steps taken to bring this Church into being through  uniting different traditions of the Church and we affirm that our calling is to continue to witness to</w:t>
      </w:r>
      <w:r>
        <w:rPr>
          <w:spacing w:val="3"/>
          <w:w w:val="120"/>
        </w:rPr>
        <w:t> </w:t>
      </w:r>
      <w:r>
        <w:rPr>
          <w:w w:val="120"/>
        </w:rPr>
        <w:t>unity.</w:t>
      </w:r>
    </w:p>
    <w:p>
      <w:pPr>
        <w:pStyle w:val="BodyText"/>
        <w:rPr>
          <w:sz w:val="24"/>
        </w:rPr>
      </w:pPr>
    </w:p>
    <w:p>
      <w:pPr>
        <w:pStyle w:val="BodyText"/>
        <w:spacing w:before="11"/>
        <w:rPr>
          <w:sz w:val="17"/>
        </w:rPr>
      </w:pPr>
    </w:p>
    <w:p>
      <w:pPr>
        <w:pStyle w:val="ListParagraph"/>
        <w:numPr>
          <w:ilvl w:val="0"/>
          <w:numId w:val="142"/>
        </w:numPr>
        <w:tabs>
          <w:tab w:pos="1287" w:val="left" w:leader="none"/>
          <w:tab w:pos="1288" w:val="left" w:leader="none"/>
        </w:tabs>
        <w:spacing w:line="240" w:lineRule="auto" w:before="0" w:after="0"/>
        <w:ind w:left="1287" w:right="0" w:hanging="681"/>
        <w:jc w:val="left"/>
        <w:rPr>
          <w:rFonts w:ascii="Stone Sans II ITC Std Bk"/>
          <w:b/>
          <w:sz w:val="29"/>
        </w:rPr>
      </w:pPr>
      <w:r>
        <w:rPr>
          <w:rFonts w:ascii="Stone Sans II ITC Std Bk"/>
          <w:b/>
          <w:spacing w:val="4"/>
          <w:w w:val="110"/>
          <w:sz w:val="29"/>
        </w:rPr>
        <w:t>Summary</w:t>
      </w:r>
    </w:p>
    <w:p>
      <w:pPr>
        <w:pStyle w:val="ListParagraph"/>
        <w:numPr>
          <w:ilvl w:val="1"/>
          <w:numId w:val="146"/>
        </w:numPr>
        <w:tabs>
          <w:tab w:pos="1287" w:val="left" w:leader="none"/>
          <w:tab w:pos="1288" w:val="left" w:leader="none"/>
        </w:tabs>
        <w:spacing w:line="235" w:lineRule="auto" w:before="69" w:after="0"/>
        <w:ind w:left="607" w:right="1995" w:firstLine="0"/>
        <w:jc w:val="left"/>
        <w:rPr>
          <w:sz w:val="20"/>
        </w:rPr>
      </w:pPr>
      <w:r>
        <w:rPr>
          <w:spacing w:val="-3"/>
          <w:w w:val="120"/>
          <w:sz w:val="20"/>
        </w:rPr>
        <w:t>We</w:t>
      </w:r>
      <w:r>
        <w:rPr>
          <w:spacing w:val="-4"/>
          <w:w w:val="120"/>
          <w:sz w:val="20"/>
        </w:rPr>
        <w:t> </w:t>
      </w:r>
      <w:r>
        <w:rPr>
          <w:w w:val="120"/>
          <w:sz w:val="20"/>
        </w:rPr>
        <w:t>know</w:t>
      </w:r>
      <w:r>
        <w:rPr>
          <w:spacing w:val="-4"/>
          <w:w w:val="120"/>
          <w:sz w:val="20"/>
        </w:rPr>
        <w:t> </w:t>
      </w:r>
      <w:r>
        <w:rPr>
          <w:w w:val="120"/>
          <w:sz w:val="20"/>
        </w:rPr>
        <w:t>that</w:t>
      </w:r>
      <w:r>
        <w:rPr>
          <w:spacing w:val="-4"/>
          <w:w w:val="120"/>
          <w:sz w:val="20"/>
        </w:rPr>
        <w:t> </w:t>
      </w:r>
      <w:r>
        <w:rPr>
          <w:w w:val="120"/>
          <w:sz w:val="20"/>
        </w:rPr>
        <w:t>God</w:t>
      </w:r>
      <w:r>
        <w:rPr>
          <w:spacing w:val="-4"/>
          <w:w w:val="120"/>
          <w:sz w:val="20"/>
        </w:rPr>
        <w:t> </w:t>
      </w:r>
      <w:r>
        <w:rPr>
          <w:w w:val="120"/>
          <w:sz w:val="20"/>
        </w:rPr>
        <w:t>has</w:t>
      </w:r>
      <w:r>
        <w:rPr>
          <w:spacing w:val="-4"/>
          <w:w w:val="120"/>
          <w:sz w:val="20"/>
        </w:rPr>
        <w:t> </w:t>
      </w:r>
      <w:r>
        <w:rPr>
          <w:spacing w:val="-3"/>
          <w:w w:val="120"/>
          <w:sz w:val="20"/>
        </w:rPr>
        <w:t>spoken</w:t>
      </w:r>
      <w:r>
        <w:rPr>
          <w:spacing w:val="-4"/>
          <w:w w:val="120"/>
          <w:sz w:val="20"/>
        </w:rPr>
        <w:t> </w:t>
      </w:r>
      <w:r>
        <w:rPr>
          <w:spacing w:val="-3"/>
          <w:w w:val="120"/>
          <w:sz w:val="20"/>
        </w:rPr>
        <w:t>to</w:t>
      </w:r>
      <w:r>
        <w:rPr>
          <w:spacing w:val="-4"/>
          <w:w w:val="120"/>
          <w:sz w:val="20"/>
        </w:rPr>
        <w:t> </w:t>
      </w:r>
      <w:r>
        <w:rPr>
          <w:w w:val="120"/>
          <w:sz w:val="20"/>
        </w:rPr>
        <w:t>our</w:t>
      </w:r>
      <w:r>
        <w:rPr>
          <w:spacing w:val="-4"/>
          <w:w w:val="120"/>
          <w:sz w:val="20"/>
        </w:rPr>
        <w:t> </w:t>
      </w:r>
      <w:r>
        <w:rPr>
          <w:w w:val="120"/>
          <w:sz w:val="20"/>
        </w:rPr>
        <w:t>forebears,</w:t>
      </w:r>
      <w:r>
        <w:rPr>
          <w:spacing w:val="-4"/>
          <w:w w:val="120"/>
          <w:sz w:val="20"/>
        </w:rPr>
        <w:t> </w:t>
      </w:r>
      <w:r>
        <w:rPr>
          <w:w w:val="120"/>
          <w:sz w:val="20"/>
        </w:rPr>
        <w:t>but</w:t>
      </w:r>
      <w:r>
        <w:rPr>
          <w:spacing w:val="-4"/>
          <w:w w:val="120"/>
          <w:sz w:val="20"/>
        </w:rPr>
        <w:t> </w:t>
      </w:r>
      <w:r>
        <w:rPr>
          <w:spacing w:val="-2"/>
          <w:w w:val="120"/>
          <w:sz w:val="20"/>
        </w:rPr>
        <w:t>now</w:t>
      </w:r>
      <w:r>
        <w:rPr>
          <w:spacing w:val="-4"/>
          <w:w w:val="120"/>
          <w:sz w:val="20"/>
        </w:rPr>
        <w:t> </w:t>
      </w:r>
      <w:r>
        <w:rPr>
          <w:w w:val="120"/>
          <w:sz w:val="20"/>
        </w:rPr>
        <w:t>we</w:t>
      </w:r>
      <w:r>
        <w:rPr>
          <w:spacing w:val="-4"/>
          <w:w w:val="120"/>
          <w:sz w:val="20"/>
        </w:rPr>
        <w:t> </w:t>
      </w:r>
      <w:r>
        <w:rPr>
          <w:w w:val="120"/>
          <w:sz w:val="20"/>
        </w:rPr>
        <w:t>long</w:t>
      </w:r>
      <w:r>
        <w:rPr>
          <w:spacing w:val="-4"/>
          <w:w w:val="120"/>
          <w:sz w:val="20"/>
        </w:rPr>
        <w:t> </w:t>
      </w:r>
      <w:r>
        <w:rPr>
          <w:spacing w:val="-3"/>
          <w:w w:val="120"/>
          <w:sz w:val="20"/>
        </w:rPr>
        <w:t>to</w:t>
      </w:r>
      <w:r>
        <w:rPr>
          <w:spacing w:val="-4"/>
          <w:w w:val="120"/>
          <w:sz w:val="20"/>
        </w:rPr>
        <w:t> </w:t>
      </w:r>
      <w:r>
        <w:rPr>
          <w:w w:val="120"/>
          <w:sz w:val="20"/>
        </w:rPr>
        <w:t>hear</w:t>
      </w:r>
      <w:r>
        <w:rPr>
          <w:spacing w:val="-4"/>
          <w:w w:val="120"/>
          <w:sz w:val="20"/>
        </w:rPr>
        <w:t> </w:t>
      </w:r>
      <w:r>
        <w:rPr>
          <w:w w:val="120"/>
          <w:sz w:val="20"/>
        </w:rPr>
        <w:t>the</w:t>
      </w:r>
      <w:r>
        <w:rPr>
          <w:spacing w:val="-4"/>
          <w:w w:val="120"/>
          <w:sz w:val="20"/>
        </w:rPr>
        <w:t> </w:t>
      </w:r>
      <w:r>
        <w:rPr>
          <w:spacing w:val="-3"/>
          <w:w w:val="120"/>
          <w:sz w:val="20"/>
        </w:rPr>
        <w:t>voice </w:t>
      </w:r>
      <w:r>
        <w:rPr>
          <w:w w:val="120"/>
          <w:sz w:val="20"/>
        </w:rPr>
        <w:t>of the Spirit for ourselves. The faith and order </w:t>
      </w:r>
      <w:r>
        <w:rPr>
          <w:spacing w:val="-3"/>
          <w:w w:val="120"/>
          <w:sz w:val="20"/>
        </w:rPr>
        <w:t>committee </w:t>
      </w:r>
      <w:r>
        <w:rPr>
          <w:w w:val="120"/>
          <w:sz w:val="20"/>
        </w:rPr>
        <w:t>brings </w:t>
      </w:r>
      <w:r>
        <w:rPr>
          <w:spacing w:val="-3"/>
          <w:w w:val="120"/>
          <w:sz w:val="20"/>
        </w:rPr>
        <w:t>this </w:t>
      </w:r>
      <w:r>
        <w:rPr>
          <w:w w:val="120"/>
          <w:sz w:val="20"/>
        </w:rPr>
        <w:t>aspect of its work </w:t>
      </w:r>
      <w:r>
        <w:rPr>
          <w:spacing w:val="-3"/>
          <w:w w:val="120"/>
          <w:sz w:val="20"/>
        </w:rPr>
        <w:t>to </w:t>
      </w:r>
      <w:r>
        <w:rPr>
          <w:w w:val="120"/>
          <w:sz w:val="20"/>
        </w:rPr>
        <w:t>the </w:t>
      </w:r>
      <w:r>
        <w:rPr>
          <w:spacing w:val="-3"/>
          <w:w w:val="120"/>
          <w:sz w:val="20"/>
        </w:rPr>
        <w:t>Assembly, </w:t>
      </w:r>
      <w:r>
        <w:rPr>
          <w:spacing w:val="-4"/>
          <w:w w:val="120"/>
          <w:sz w:val="20"/>
        </w:rPr>
        <w:t>convinced </w:t>
      </w:r>
      <w:r>
        <w:rPr>
          <w:w w:val="120"/>
          <w:sz w:val="20"/>
        </w:rPr>
        <w:t>that as a </w:t>
      </w:r>
      <w:r>
        <w:rPr>
          <w:spacing w:val="-3"/>
          <w:w w:val="120"/>
          <w:sz w:val="20"/>
        </w:rPr>
        <w:t>Church </w:t>
      </w:r>
      <w:r>
        <w:rPr>
          <w:w w:val="120"/>
          <w:sz w:val="20"/>
        </w:rPr>
        <w:t>we do need </w:t>
      </w:r>
      <w:r>
        <w:rPr>
          <w:spacing w:val="-3"/>
          <w:w w:val="120"/>
          <w:sz w:val="20"/>
        </w:rPr>
        <w:t>to </w:t>
      </w:r>
      <w:r>
        <w:rPr>
          <w:w w:val="120"/>
          <w:sz w:val="20"/>
        </w:rPr>
        <w:t>hear the Spirit speak. </w:t>
      </w:r>
      <w:r>
        <w:rPr>
          <w:spacing w:val="-3"/>
          <w:w w:val="120"/>
          <w:sz w:val="20"/>
        </w:rPr>
        <w:t>We </w:t>
      </w:r>
      <w:r>
        <w:rPr>
          <w:w w:val="120"/>
          <w:sz w:val="20"/>
        </w:rPr>
        <w:t>believe that </w:t>
      </w:r>
      <w:r>
        <w:rPr>
          <w:spacing w:val="-3"/>
          <w:w w:val="120"/>
          <w:sz w:val="20"/>
        </w:rPr>
        <w:t>discussions </w:t>
      </w:r>
      <w:r>
        <w:rPr>
          <w:w w:val="120"/>
          <w:sz w:val="20"/>
        </w:rPr>
        <w:t>around the theme ‘What is the Spirit saying </w:t>
      </w:r>
      <w:r>
        <w:rPr>
          <w:spacing w:val="-3"/>
          <w:w w:val="120"/>
          <w:sz w:val="20"/>
        </w:rPr>
        <w:t>to </w:t>
      </w:r>
      <w:r>
        <w:rPr>
          <w:w w:val="120"/>
          <w:sz w:val="20"/>
        </w:rPr>
        <w:t>the </w:t>
      </w:r>
      <w:r>
        <w:rPr>
          <w:spacing w:val="-3"/>
          <w:w w:val="120"/>
          <w:sz w:val="20"/>
        </w:rPr>
        <w:t>churches?’ have </w:t>
      </w:r>
      <w:r>
        <w:rPr>
          <w:w w:val="120"/>
          <w:sz w:val="20"/>
        </w:rPr>
        <w:t>encouraged our people </w:t>
      </w:r>
      <w:r>
        <w:rPr>
          <w:spacing w:val="-3"/>
          <w:w w:val="120"/>
          <w:sz w:val="20"/>
        </w:rPr>
        <w:t>to </w:t>
      </w:r>
      <w:r>
        <w:rPr>
          <w:w w:val="120"/>
          <w:sz w:val="20"/>
        </w:rPr>
        <w:t>hear the </w:t>
      </w:r>
      <w:r>
        <w:rPr>
          <w:spacing w:val="-3"/>
          <w:w w:val="120"/>
          <w:sz w:val="20"/>
        </w:rPr>
        <w:t>Spirit’s voice </w:t>
      </w:r>
      <w:r>
        <w:rPr>
          <w:w w:val="120"/>
          <w:sz w:val="20"/>
        </w:rPr>
        <w:t>and will </w:t>
      </w:r>
      <w:r>
        <w:rPr>
          <w:spacing w:val="-3"/>
          <w:w w:val="120"/>
          <w:sz w:val="20"/>
        </w:rPr>
        <w:t>continue to </w:t>
      </w:r>
      <w:r>
        <w:rPr>
          <w:w w:val="120"/>
          <w:sz w:val="20"/>
        </w:rPr>
        <w:t>do</w:t>
      </w:r>
      <w:r>
        <w:rPr>
          <w:spacing w:val="-1"/>
          <w:w w:val="120"/>
          <w:sz w:val="20"/>
        </w:rPr>
        <w:t> </w:t>
      </w:r>
      <w:r>
        <w:rPr>
          <w:spacing w:val="-3"/>
          <w:w w:val="120"/>
          <w:sz w:val="20"/>
        </w:rPr>
        <w:t>so.</w:t>
      </w:r>
    </w:p>
    <w:p>
      <w:pPr>
        <w:pStyle w:val="BodyText"/>
        <w:spacing w:before="1"/>
        <w:rPr>
          <w:sz w:val="19"/>
        </w:rPr>
      </w:pPr>
    </w:p>
    <w:p>
      <w:pPr>
        <w:pStyle w:val="Heading2"/>
      </w:pPr>
      <w:r>
        <w:rPr>
          <w:w w:val="110"/>
        </w:rPr>
        <w:t>A prayer for the United Reformed Church</w:t>
      </w:r>
    </w:p>
    <w:p>
      <w:pPr>
        <w:pStyle w:val="BodyText"/>
        <w:spacing w:line="242" w:lineRule="exact" w:before="79"/>
        <w:ind w:left="607"/>
      </w:pPr>
      <w:r>
        <w:rPr>
          <w:w w:val="120"/>
        </w:rPr>
        <w:t>Speak Holy Spirit, speak.</w:t>
      </w:r>
    </w:p>
    <w:p>
      <w:pPr>
        <w:pStyle w:val="BodyText"/>
        <w:spacing w:line="235" w:lineRule="auto" w:before="2"/>
        <w:ind w:left="607" w:right="4709"/>
      </w:pPr>
      <w:r>
        <w:rPr>
          <w:w w:val="115"/>
        </w:rPr>
        <w:t>Speak like a gentle breeze comforting us in our fearfulness; Speak like a mighty gale to shake us out of false security;</w:t>
      </w:r>
    </w:p>
    <w:p>
      <w:pPr>
        <w:pStyle w:val="BodyText"/>
        <w:spacing w:line="242" w:lineRule="exact"/>
        <w:ind w:left="607"/>
      </w:pPr>
      <w:r>
        <w:rPr>
          <w:w w:val="120"/>
        </w:rPr>
        <w:t>Speak like a dove to bring peace in our hearts, amongst our people, in this world.</w:t>
      </w:r>
    </w:p>
    <w:p>
      <w:pPr>
        <w:spacing w:after="0" w:line="242" w:lineRule="exact"/>
        <w:sectPr>
          <w:headerReference w:type="even" r:id="rId344"/>
          <w:pgSz w:w="11910" w:h="16840"/>
          <w:pgMar w:header="0" w:footer="647" w:top="0" w:bottom="840" w:left="640" w:right="0"/>
        </w:sectPr>
      </w:pPr>
    </w:p>
    <w:p>
      <w:pPr>
        <w:pStyle w:val="BodyText"/>
      </w:pPr>
    </w:p>
    <w:p>
      <w:pPr>
        <w:pStyle w:val="BodyText"/>
        <w:spacing w:before="7"/>
        <w:rPr>
          <w:sz w:val="21"/>
        </w:rPr>
      </w:pPr>
    </w:p>
    <w:p>
      <w:pPr>
        <w:spacing w:after="0"/>
        <w:rPr>
          <w:sz w:val="21"/>
        </w:rPr>
        <w:sectPr>
          <w:headerReference w:type="default" r:id="rId345"/>
          <w:footerReference w:type="default" r:id="rId346"/>
          <w:footerReference w:type="even" r:id="rId347"/>
          <w:pgSz w:w="11910" w:h="16840"/>
          <w:pgMar w:header="0" w:footer="647" w:top="0" w:bottom="840" w:left="640" w:right="0"/>
          <w:pgNumType w:start="123"/>
        </w:sectPr>
      </w:pPr>
    </w:p>
    <w:p>
      <w:pPr>
        <w:pStyle w:val="BodyText"/>
        <w:spacing w:before="2"/>
        <w:rPr>
          <w:sz w:val="53"/>
        </w:rPr>
      </w:pPr>
    </w:p>
    <w:p>
      <w:pPr>
        <w:tabs>
          <w:tab w:pos="4723" w:val="left" w:leader="none"/>
          <w:tab w:pos="7041" w:val="left" w:leader="none"/>
        </w:tabs>
        <w:spacing w:before="0"/>
        <w:ind w:left="4207" w:right="0" w:firstLine="0"/>
        <w:jc w:val="left"/>
        <w:rPr>
          <w:rFonts w:ascii="Stone Sans II ITC Std Bk"/>
          <w:b/>
          <w:sz w:val="36"/>
        </w:rPr>
      </w:pPr>
      <w:r>
        <w:rPr>
          <w:rFonts w:ascii="Stone Sans II ITC Std Bk"/>
          <w:b/>
          <w:color w:val="0B72B5"/>
          <w:w w:val="111"/>
          <w:sz w:val="36"/>
          <w:shd w:fill="E0EEF9" w:color="auto" w:val="clear"/>
        </w:rPr>
        <w:t> </w:t>
      </w:r>
      <w:r>
        <w:rPr>
          <w:rFonts w:ascii="Stone Sans II ITC Std Bk"/>
          <w:b/>
          <w:color w:val="0B72B5"/>
          <w:sz w:val="36"/>
          <w:shd w:fill="E0EEF9" w:color="auto" w:val="clear"/>
        </w:rPr>
        <w:tab/>
      </w:r>
      <w:r>
        <w:rPr>
          <w:rFonts w:ascii="Stone Sans II ITC Std Bk"/>
          <w:b/>
          <w:color w:val="0B72B5"/>
          <w:spacing w:val="5"/>
          <w:w w:val="110"/>
          <w:sz w:val="36"/>
          <w:shd w:fill="E0EEF9" w:color="auto" w:val="clear"/>
        </w:rPr>
        <w:t>Appendix</w:t>
      </w:r>
      <w:r>
        <w:rPr>
          <w:rFonts w:ascii="Stone Sans II ITC Std Bk"/>
          <w:b/>
          <w:color w:val="0B72B5"/>
          <w:spacing w:val="5"/>
          <w:sz w:val="36"/>
          <w:shd w:fill="E0EEF9" w:color="auto" w:val="clear"/>
        </w:rPr>
        <w:tab/>
      </w:r>
    </w:p>
    <w:p>
      <w:pPr>
        <w:spacing w:before="106"/>
        <w:ind w:left="1077" w:right="0" w:firstLine="0"/>
        <w:jc w:val="left"/>
        <w:rPr>
          <w:sz w:val="26"/>
        </w:rPr>
      </w:pPr>
      <w:r>
        <w:rPr/>
        <w:br w:type="column"/>
      </w:r>
      <w:r>
        <w:rPr>
          <w:color w:val="7EAABF"/>
          <w:w w:val="115"/>
          <w:sz w:val="26"/>
        </w:rPr>
        <w:t>Faith and order</w:t>
      </w:r>
    </w:p>
    <w:p>
      <w:pPr>
        <w:spacing w:after="0"/>
        <w:jc w:val="left"/>
        <w:rPr>
          <w:sz w:val="26"/>
        </w:rPr>
        <w:sectPr>
          <w:type w:val="continuous"/>
          <w:pgSz w:w="11910" w:h="16840"/>
          <w:pgMar w:top="1580" w:bottom="280" w:left="640" w:right="0"/>
          <w:cols w:num="2" w:equalWidth="0">
            <w:col w:w="7042" w:space="40"/>
            <w:col w:w="4188"/>
          </w:cols>
        </w:sectPr>
      </w:pPr>
    </w:p>
    <w:p>
      <w:pPr>
        <w:pStyle w:val="BodyText"/>
      </w:pPr>
      <w:r>
        <w:rPr/>
        <w:drawing>
          <wp:anchor distT="0" distB="0" distL="0" distR="0" allowOverlap="1" layoutInCell="1" locked="0" behindDoc="0" simplePos="0" relativeHeight="251978752">
            <wp:simplePos x="0" y="0"/>
            <wp:positionH relativeFrom="page">
              <wp:posOffset>6974928</wp:posOffset>
            </wp:positionH>
            <wp:positionV relativeFrom="page">
              <wp:posOffset>0</wp:posOffset>
            </wp:positionV>
            <wp:extent cx="585063" cy="10692003"/>
            <wp:effectExtent l="0" t="0" r="0" b="0"/>
            <wp:wrapNone/>
            <wp:docPr id="229" name="image54.png"/>
            <wp:cNvGraphicFramePr>
              <a:graphicFrameLocks noChangeAspect="1"/>
            </wp:cNvGraphicFramePr>
            <a:graphic>
              <a:graphicData uri="http://schemas.openxmlformats.org/drawingml/2006/picture">
                <pic:pic>
                  <pic:nvPicPr>
                    <pic:cNvPr id="230" name="image54.png"/>
                    <pic:cNvPicPr/>
                  </pic:nvPicPr>
                  <pic:blipFill>
                    <a:blip r:embed="rId169" cstate="print"/>
                    <a:stretch>
                      <a:fillRect/>
                    </a:stretch>
                  </pic:blipFill>
                  <pic:spPr>
                    <a:xfrm>
                      <a:off x="0" y="0"/>
                      <a:ext cx="585063" cy="10692003"/>
                    </a:xfrm>
                    <a:prstGeom prst="rect">
                      <a:avLst/>
                    </a:prstGeom>
                  </pic:spPr>
                </pic:pic>
              </a:graphicData>
            </a:graphic>
          </wp:anchor>
        </w:drawing>
      </w:r>
    </w:p>
    <w:p>
      <w:pPr>
        <w:pStyle w:val="BodyText"/>
        <w:spacing w:before="8"/>
        <w:rPr>
          <w:sz w:val="22"/>
        </w:rPr>
      </w:pPr>
    </w:p>
    <w:p>
      <w:pPr>
        <w:pStyle w:val="ListParagraph"/>
        <w:numPr>
          <w:ilvl w:val="2"/>
          <w:numId w:val="146"/>
        </w:numPr>
        <w:tabs>
          <w:tab w:pos="2024" w:val="left" w:leader="none"/>
          <w:tab w:pos="2025" w:val="left" w:leader="none"/>
        </w:tabs>
        <w:spacing w:line="240" w:lineRule="auto" w:before="90" w:after="0"/>
        <w:ind w:left="2024" w:right="0" w:hanging="681"/>
        <w:jc w:val="left"/>
        <w:rPr>
          <w:rFonts w:ascii="Stone Sans II ITC Std Bk"/>
          <w:b/>
          <w:sz w:val="29"/>
        </w:rPr>
      </w:pPr>
      <w:r>
        <w:rPr/>
        <w:pict>
          <v:shape style="position:absolute;margin-left:554.141174pt;margin-top:-60.224213pt;width:25.9pt;height:717.2pt;mso-position-horizontal-relative:page;mso-position-vertical-relative:paragraph;z-index:251979776" type="#_x0000_t202" filled="false" stroked="false">
            <v:textbox inset="0,0,0,0" style="layout-flow:vertical">
              <w:txbxContent>
                <w:p>
                  <w:pPr>
                    <w:spacing w:before="27"/>
                    <w:ind w:left="20" w:right="0" w:firstLine="0"/>
                    <w:jc w:val="left"/>
                    <w:rPr>
                      <w:sz w:val="39"/>
                    </w:rPr>
                  </w:pPr>
                  <w:r>
                    <w:rPr>
                      <w:color w:val="FFFFFF"/>
                      <w:w w:val="125"/>
                      <w:sz w:val="39"/>
                    </w:rPr>
                    <w:t>Faith and order – </w:t>
                  </w:r>
                  <w:r>
                    <w:rPr>
                      <w:w w:val="125"/>
                      <w:sz w:val="39"/>
                    </w:rPr>
                    <w:t>What is the Spirit saying to the Churches </w:t>
                  </w:r>
                  <w:r>
                    <w:rPr>
                      <w:color w:val="FFFFFF"/>
                      <w:w w:val="125"/>
                      <w:sz w:val="39"/>
                    </w:rPr>
                    <w:t>– </w:t>
                  </w:r>
                  <w:r>
                    <w:rPr>
                      <w:w w:val="125"/>
                      <w:sz w:val="39"/>
                    </w:rPr>
                    <w:t>Appendix</w:t>
                  </w:r>
                </w:p>
              </w:txbxContent>
            </v:textbox>
            <w10:wrap type="none"/>
          </v:shape>
        </w:pict>
      </w:r>
      <w:r>
        <w:rPr>
          <w:rFonts w:ascii="Stone Sans II ITC Std Bk"/>
          <w:b/>
          <w:spacing w:val="4"/>
          <w:w w:val="110"/>
          <w:sz w:val="29"/>
        </w:rPr>
        <w:t>Background</w:t>
      </w:r>
    </w:p>
    <w:p>
      <w:pPr>
        <w:pStyle w:val="ListParagraph"/>
        <w:numPr>
          <w:ilvl w:val="1"/>
          <w:numId w:val="147"/>
        </w:numPr>
        <w:tabs>
          <w:tab w:pos="2024" w:val="left" w:leader="none"/>
          <w:tab w:pos="2025" w:val="left" w:leader="none"/>
        </w:tabs>
        <w:spacing w:line="235" w:lineRule="auto" w:before="69" w:after="0"/>
        <w:ind w:left="1344" w:right="1671" w:firstLine="0"/>
        <w:jc w:val="left"/>
        <w:rPr>
          <w:sz w:val="20"/>
        </w:rPr>
      </w:pPr>
      <w:r>
        <w:rPr>
          <w:w w:val="120"/>
          <w:sz w:val="20"/>
        </w:rPr>
        <w:t>The booklet ‘What Is the Spirit Saying to the Churches?’ was drawn up by   the faith and order committee after three years of reflection and consideration, presented to the </w:t>
      </w:r>
      <w:r>
        <w:rPr>
          <w:spacing w:val="-7"/>
          <w:w w:val="120"/>
          <w:sz w:val="20"/>
        </w:rPr>
        <w:t>2014 </w:t>
      </w:r>
      <w:r>
        <w:rPr>
          <w:w w:val="120"/>
          <w:sz w:val="20"/>
        </w:rPr>
        <w:t>General Assembly and circulated for discussion to the synods and churches. </w:t>
      </w:r>
      <w:r>
        <w:rPr>
          <w:spacing w:val="-8"/>
          <w:w w:val="120"/>
          <w:sz w:val="20"/>
        </w:rPr>
        <w:t>138 </w:t>
      </w:r>
      <w:r>
        <w:rPr>
          <w:w w:val="120"/>
          <w:sz w:val="20"/>
        </w:rPr>
        <w:t>responses were received from individuals, churches, groups of churches, and</w:t>
      </w:r>
      <w:r>
        <w:rPr>
          <w:spacing w:val="4"/>
          <w:w w:val="120"/>
          <w:sz w:val="20"/>
        </w:rPr>
        <w:t> </w:t>
      </w:r>
      <w:r>
        <w:rPr>
          <w:w w:val="120"/>
          <w:sz w:val="20"/>
        </w:rPr>
        <w:t>synods.</w:t>
      </w:r>
    </w:p>
    <w:p>
      <w:pPr>
        <w:pStyle w:val="BodyText"/>
      </w:pPr>
    </w:p>
    <w:p>
      <w:pPr>
        <w:pStyle w:val="ListParagraph"/>
        <w:numPr>
          <w:ilvl w:val="1"/>
          <w:numId w:val="147"/>
        </w:numPr>
        <w:tabs>
          <w:tab w:pos="2024" w:val="left" w:leader="none"/>
          <w:tab w:pos="2025" w:val="left" w:leader="none"/>
        </w:tabs>
        <w:spacing w:line="235" w:lineRule="auto" w:before="0" w:after="0"/>
        <w:ind w:left="1344" w:right="1385" w:firstLine="0"/>
        <w:jc w:val="left"/>
        <w:rPr>
          <w:sz w:val="20"/>
        </w:rPr>
      </w:pPr>
      <w:r>
        <w:rPr>
          <w:w w:val="120"/>
          <w:sz w:val="20"/>
        </w:rPr>
        <w:t>The responses indicated that many of the congregations within the URC, of different sizes and across a broad geographical and theological range, both value our traditions and are open to the voice of the Spirit in their midst. These responses were discussed by the faith and order committee, who brought the first </w:t>
      </w:r>
      <w:r>
        <w:rPr>
          <w:spacing w:val="2"/>
          <w:w w:val="120"/>
          <w:sz w:val="20"/>
        </w:rPr>
        <w:t>draft </w:t>
      </w:r>
      <w:r>
        <w:rPr>
          <w:w w:val="120"/>
          <w:sz w:val="20"/>
        </w:rPr>
        <w:t>of its </w:t>
      </w:r>
      <w:r>
        <w:rPr>
          <w:spacing w:val="2"/>
          <w:w w:val="120"/>
          <w:sz w:val="20"/>
        </w:rPr>
        <w:t>report </w:t>
      </w:r>
      <w:r>
        <w:rPr>
          <w:w w:val="120"/>
          <w:sz w:val="20"/>
        </w:rPr>
        <w:t>to Mission Council in November </w:t>
      </w:r>
      <w:r>
        <w:rPr>
          <w:spacing w:val="-7"/>
          <w:w w:val="120"/>
          <w:sz w:val="20"/>
        </w:rPr>
        <w:t>2015. </w:t>
      </w:r>
      <w:r>
        <w:rPr>
          <w:w w:val="120"/>
          <w:sz w:val="20"/>
        </w:rPr>
        <w:t>This </w:t>
      </w:r>
      <w:r>
        <w:rPr>
          <w:spacing w:val="2"/>
          <w:w w:val="120"/>
          <w:sz w:val="20"/>
        </w:rPr>
        <w:t>draft </w:t>
      </w:r>
      <w:r>
        <w:rPr>
          <w:w w:val="120"/>
          <w:sz w:val="20"/>
        </w:rPr>
        <w:t>received its final shaping at the faith and order meeting in March</w:t>
      </w:r>
      <w:r>
        <w:rPr>
          <w:spacing w:val="9"/>
          <w:w w:val="120"/>
          <w:sz w:val="20"/>
        </w:rPr>
        <w:t> </w:t>
      </w:r>
      <w:r>
        <w:rPr>
          <w:spacing w:val="-6"/>
          <w:w w:val="120"/>
          <w:sz w:val="20"/>
        </w:rPr>
        <w:t>2016.</w:t>
      </w:r>
    </w:p>
    <w:p>
      <w:pPr>
        <w:pStyle w:val="BodyText"/>
        <w:rPr>
          <w:sz w:val="24"/>
        </w:rPr>
      </w:pPr>
    </w:p>
    <w:p>
      <w:pPr>
        <w:pStyle w:val="BodyText"/>
        <w:rPr>
          <w:sz w:val="18"/>
        </w:rPr>
      </w:pPr>
    </w:p>
    <w:p>
      <w:pPr>
        <w:pStyle w:val="ListParagraph"/>
        <w:numPr>
          <w:ilvl w:val="2"/>
          <w:numId w:val="146"/>
        </w:numPr>
        <w:tabs>
          <w:tab w:pos="2024" w:val="left" w:leader="none"/>
          <w:tab w:pos="2025" w:val="left" w:leader="none"/>
        </w:tabs>
        <w:spacing w:line="240" w:lineRule="auto" w:before="1" w:after="0"/>
        <w:ind w:left="2024" w:right="0" w:hanging="681"/>
        <w:jc w:val="left"/>
        <w:rPr>
          <w:rFonts w:ascii="Stone Sans II ITC Std Bk"/>
          <w:b/>
          <w:sz w:val="29"/>
        </w:rPr>
      </w:pPr>
      <w:r>
        <w:rPr>
          <w:rFonts w:ascii="Stone Sans II ITC Std Bk"/>
          <w:b/>
          <w:spacing w:val="4"/>
          <w:w w:val="110"/>
          <w:sz w:val="29"/>
        </w:rPr>
        <w:t>Story </w:t>
      </w:r>
      <w:r>
        <w:rPr>
          <w:rFonts w:ascii="Stone Sans II ITC Std Bk"/>
          <w:b/>
          <w:w w:val="110"/>
          <w:sz w:val="29"/>
        </w:rPr>
        <w:t>of </w:t>
      </w:r>
      <w:r>
        <w:rPr>
          <w:rFonts w:ascii="Stone Sans II ITC Std Bk"/>
          <w:b/>
          <w:spacing w:val="2"/>
          <w:w w:val="110"/>
          <w:sz w:val="29"/>
        </w:rPr>
        <w:t>the </w:t>
      </w:r>
      <w:r>
        <w:rPr>
          <w:rFonts w:ascii="Stone Sans II ITC Std Bk"/>
          <w:b/>
          <w:spacing w:val="4"/>
          <w:w w:val="110"/>
          <w:sz w:val="29"/>
        </w:rPr>
        <w:t>booklet </w:t>
      </w:r>
      <w:r>
        <w:rPr>
          <w:rFonts w:ascii="Stone Sans II ITC Std Bk"/>
          <w:b/>
          <w:spacing w:val="3"/>
          <w:w w:val="110"/>
          <w:sz w:val="29"/>
        </w:rPr>
        <w:t>and </w:t>
      </w:r>
      <w:r>
        <w:rPr>
          <w:rFonts w:ascii="Stone Sans II ITC Std Bk"/>
          <w:b/>
          <w:spacing w:val="2"/>
          <w:w w:val="110"/>
          <w:sz w:val="29"/>
        </w:rPr>
        <w:t>the</w:t>
      </w:r>
      <w:r>
        <w:rPr>
          <w:rFonts w:ascii="Stone Sans II ITC Std Bk"/>
          <w:b/>
          <w:spacing w:val="65"/>
          <w:w w:val="110"/>
          <w:sz w:val="29"/>
        </w:rPr>
        <w:t> </w:t>
      </w:r>
      <w:r>
        <w:rPr>
          <w:rFonts w:ascii="Stone Sans II ITC Std Bk"/>
          <w:b/>
          <w:spacing w:val="3"/>
          <w:w w:val="110"/>
          <w:sz w:val="29"/>
        </w:rPr>
        <w:t>response</w:t>
      </w:r>
    </w:p>
    <w:p>
      <w:pPr>
        <w:pStyle w:val="ListParagraph"/>
        <w:numPr>
          <w:ilvl w:val="1"/>
          <w:numId w:val="148"/>
        </w:numPr>
        <w:tabs>
          <w:tab w:pos="2024" w:val="left" w:leader="none"/>
          <w:tab w:pos="2025" w:val="left" w:leader="none"/>
        </w:tabs>
        <w:spacing w:line="235" w:lineRule="auto" w:before="69" w:after="0"/>
        <w:ind w:left="1344" w:right="1356" w:firstLine="0"/>
        <w:jc w:val="left"/>
        <w:rPr>
          <w:sz w:val="20"/>
        </w:rPr>
      </w:pPr>
      <w:r>
        <w:rPr>
          <w:w w:val="120"/>
          <w:sz w:val="20"/>
        </w:rPr>
        <w:t>The booklet looked realistically at the numerical decline of the URC in recent years, noting that if there were easy answers to be had, these would have already been discovered. Detailed work was offered on URC identity, including the significance of being united and being Reformed. The </w:t>
      </w:r>
      <w:r>
        <w:rPr>
          <w:spacing w:val="-3"/>
          <w:w w:val="120"/>
          <w:sz w:val="20"/>
        </w:rPr>
        <w:t>Church’s </w:t>
      </w:r>
      <w:r>
        <w:rPr>
          <w:spacing w:val="2"/>
          <w:w w:val="120"/>
          <w:sz w:val="20"/>
        </w:rPr>
        <w:t>gift </w:t>
      </w:r>
      <w:r>
        <w:rPr>
          <w:w w:val="120"/>
          <w:sz w:val="20"/>
        </w:rPr>
        <w:t>of conciliarity was looked at, in particular regard to the Church Meeting. Five scenarios were offered as a device to stimulate conversation, outlining possible ecumenical ways</w:t>
      </w:r>
      <w:r>
        <w:rPr>
          <w:spacing w:val="14"/>
          <w:w w:val="120"/>
          <w:sz w:val="20"/>
        </w:rPr>
        <w:t> </w:t>
      </w:r>
      <w:r>
        <w:rPr>
          <w:w w:val="120"/>
          <w:sz w:val="20"/>
        </w:rPr>
        <w:t>forward.</w:t>
      </w:r>
    </w:p>
    <w:p>
      <w:pPr>
        <w:pStyle w:val="BodyText"/>
      </w:pPr>
    </w:p>
    <w:p>
      <w:pPr>
        <w:pStyle w:val="ListParagraph"/>
        <w:numPr>
          <w:ilvl w:val="1"/>
          <w:numId w:val="148"/>
        </w:numPr>
        <w:tabs>
          <w:tab w:pos="2024" w:val="left" w:leader="none"/>
          <w:tab w:pos="2025" w:val="left" w:leader="none"/>
        </w:tabs>
        <w:spacing w:line="235" w:lineRule="auto" w:before="0" w:after="0"/>
        <w:ind w:left="1344" w:right="1479" w:firstLine="0"/>
        <w:jc w:val="left"/>
        <w:rPr>
          <w:sz w:val="20"/>
        </w:rPr>
      </w:pPr>
      <w:r>
        <w:rPr>
          <w:w w:val="120"/>
          <w:sz w:val="20"/>
        </w:rPr>
        <w:t>Many detailed and helpful responses were offered to the booklet. People indicated happiness that the question ‘What is the Spirit saying to the churches?’ was being put before the Church. In some places there was a greater focus on the call to discern and seek the guidance of the Holy Spirit. In other places, there was a greater focus on the scenarios. It was clear that no one scenario was favoured to the exclusion of all</w:t>
      </w:r>
      <w:r>
        <w:rPr>
          <w:spacing w:val="3"/>
          <w:w w:val="120"/>
          <w:sz w:val="20"/>
        </w:rPr>
        <w:t> </w:t>
      </w:r>
      <w:r>
        <w:rPr>
          <w:w w:val="120"/>
          <w:sz w:val="20"/>
        </w:rPr>
        <w:t>others.</w:t>
      </w:r>
    </w:p>
    <w:p>
      <w:pPr>
        <w:pStyle w:val="BodyText"/>
      </w:pPr>
    </w:p>
    <w:p>
      <w:pPr>
        <w:pStyle w:val="ListParagraph"/>
        <w:numPr>
          <w:ilvl w:val="1"/>
          <w:numId w:val="148"/>
        </w:numPr>
        <w:tabs>
          <w:tab w:pos="2024" w:val="left" w:leader="none"/>
          <w:tab w:pos="2025" w:val="left" w:leader="none"/>
        </w:tabs>
        <w:spacing w:line="235" w:lineRule="auto" w:before="0" w:after="0"/>
        <w:ind w:left="1344" w:right="1613" w:firstLine="0"/>
        <w:jc w:val="left"/>
        <w:rPr>
          <w:sz w:val="20"/>
        </w:rPr>
      </w:pPr>
      <w:r>
        <w:rPr>
          <w:w w:val="120"/>
          <w:sz w:val="20"/>
        </w:rPr>
        <w:t>The breadth of response was of value: it demonstrated the multifaceted way in</w:t>
      </w:r>
      <w:r>
        <w:rPr>
          <w:spacing w:val="8"/>
          <w:w w:val="120"/>
          <w:sz w:val="20"/>
        </w:rPr>
        <w:t> </w:t>
      </w:r>
      <w:r>
        <w:rPr>
          <w:w w:val="120"/>
          <w:sz w:val="20"/>
        </w:rPr>
        <w:t>which</w:t>
      </w:r>
      <w:r>
        <w:rPr>
          <w:spacing w:val="9"/>
          <w:w w:val="120"/>
          <w:sz w:val="20"/>
        </w:rPr>
        <w:t> </w:t>
      </w:r>
      <w:r>
        <w:rPr>
          <w:w w:val="120"/>
          <w:sz w:val="20"/>
        </w:rPr>
        <w:t>the</w:t>
      </w:r>
      <w:r>
        <w:rPr>
          <w:spacing w:val="8"/>
          <w:w w:val="120"/>
          <w:sz w:val="20"/>
        </w:rPr>
        <w:t> </w:t>
      </w:r>
      <w:r>
        <w:rPr>
          <w:w w:val="120"/>
          <w:sz w:val="20"/>
        </w:rPr>
        <w:t>Spirit</w:t>
      </w:r>
      <w:r>
        <w:rPr>
          <w:spacing w:val="9"/>
          <w:w w:val="120"/>
          <w:sz w:val="20"/>
        </w:rPr>
        <w:t> </w:t>
      </w:r>
      <w:r>
        <w:rPr>
          <w:w w:val="120"/>
          <w:sz w:val="20"/>
        </w:rPr>
        <w:t>speaks</w:t>
      </w:r>
      <w:r>
        <w:rPr>
          <w:spacing w:val="8"/>
          <w:w w:val="120"/>
          <w:sz w:val="20"/>
        </w:rPr>
        <w:t> </w:t>
      </w:r>
      <w:r>
        <w:rPr>
          <w:w w:val="120"/>
          <w:sz w:val="20"/>
        </w:rPr>
        <w:t>through</w:t>
      </w:r>
      <w:r>
        <w:rPr>
          <w:spacing w:val="9"/>
          <w:w w:val="120"/>
          <w:sz w:val="20"/>
        </w:rPr>
        <w:t> </w:t>
      </w:r>
      <w:r>
        <w:rPr>
          <w:w w:val="120"/>
          <w:sz w:val="20"/>
        </w:rPr>
        <w:t>the</w:t>
      </w:r>
      <w:r>
        <w:rPr>
          <w:spacing w:val="9"/>
          <w:w w:val="120"/>
          <w:sz w:val="20"/>
        </w:rPr>
        <w:t> </w:t>
      </w:r>
      <w:r>
        <w:rPr>
          <w:w w:val="120"/>
          <w:sz w:val="20"/>
        </w:rPr>
        <w:t>churches</w:t>
      </w:r>
      <w:r>
        <w:rPr>
          <w:spacing w:val="8"/>
          <w:w w:val="120"/>
          <w:sz w:val="20"/>
        </w:rPr>
        <w:t> </w:t>
      </w:r>
      <w:r>
        <w:rPr>
          <w:w w:val="120"/>
          <w:sz w:val="20"/>
        </w:rPr>
        <w:t>and</w:t>
      </w:r>
      <w:r>
        <w:rPr>
          <w:spacing w:val="9"/>
          <w:w w:val="120"/>
          <w:sz w:val="20"/>
        </w:rPr>
        <w:t> </w:t>
      </w:r>
      <w:r>
        <w:rPr>
          <w:w w:val="120"/>
          <w:sz w:val="20"/>
        </w:rPr>
        <w:t>the</w:t>
      </w:r>
      <w:r>
        <w:rPr>
          <w:spacing w:val="8"/>
          <w:w w:val="120"/>
          <w:sz w:val="20"/>
        </w:rPr>
        <w:t> </w:t>
      </w:r>
      <w:r>
        <w:rPr>
          <w:w w:val="120"/>
          <w:sz w:val="20"/>
        </w:rPr>
        <w:t>wide</w:t>
      </w:r>
      <w:r>
        <w:rPr>
          <w:spacing w:val="9"/>
          <w:w w:val="120"/>
          <w:sz w:val="20"/>
        </w:rPr>
        <w:t> </w:t>
      </w:r>
      <w:r>
        <w:rPr>
          <w:w w:val="120"/>
          <w:sz w:val="20"/>
        </w:rPr>
        <w:t>range</w:t>
      </w:r>
      <w:r>
        <w:rPr>
          <w:spacing w:val="9"/>
          <w:w w:val="120"/>
          <w:sz w:val="20"/>
        </w:rPr>
        <w:t> </w:t>
      </w:r>
      <w:r>
        <w:rPr>
          <w:w w:val="120"/>
          <w:sz w:val="20"/>
        </w:rPr>
        <w:t>of</w:t>
      </w:r>
      <w:r>
        <w:rPr>
          <w:spacing w:val="8"/>
          <w:w w:val="120"/>
          <w:sz w:val="20"/>
        </w:rPr>
        <w:t> </w:t>
      </w:r>
      <w:r>
        <w:rPr>
          <w:w w:val="120"/>
          <w:sz w:val="20"/>
        </w:rPr>
        <w:t>thinking</w:t>
      </w:r>
      <w:r>
        <w:rPr>
          <w:spacing w:val="9"/>
          <w:w w:val="120"/>
          <w:sz w:val="20"/>
        </w:rPr>
        <w:t> </w:t>
      </w:r>
      <w:r>
        <w:rPr>
          <w:w w:val="120"/>
          <w:sz w:val="20"/>
        </w:rPr>
        <w:t>with</w:t>
      </w:r>
    </w:p>
    <w:p>
      <w:pPr>
        <w:pStyle w:val="BodyText"/>
        <w:spacing w:line="235" w:lineRule="auto" w:before="2"/>
        <w:ind w:left="1344" w:right="1217"/>
      </w:pPr>
      <w:r>
        <w:rPr>
          <w:w w:val="120"/>
        </w:rPr>
        <w:t>regard to the future of the URC. It also pointed to the need to regain confidence in this particular tradition of the Church, in God’s purpose for this Church, and in what this Church has to offer the world</w:t>
      </w:r>
      <w:r>
        <w:rPr>
          <w:color w:val="E42322"/>
          <w:w w:val="120"/>
        </w:rPr>
        <w:t>.</w:t>
      </w:r>
    </w:p>
    <w:p>
      <w:pPr>
        <w:pStyle w:val="BodyText"/>
        <w:rPr>
          <w:sz w:val="24"/>
        </w:rPr>
      </w:pPr>
    </w:p>
    <w:p>
      <w:pPr>
        <w:pStyle w:val="BodyText"/>
      </w:pPr>
    </w:p>
    <w:p>
      <w:pPr>
        <w:pStyle w:val="Heading2"/>
        <w:numPr>
          <w:ilvl w:val="2"/>
          <w:numId w:val="146"/>
        </w:numPr>
        <w:tabs>
          <w:tab w:pos="2024" w:val="left" w:leader="none"/>
          <w:tab w:pos="2025" w:val="left" w:leader="none"/>
        </w:tabs>
        <w:spacing w:line="218" w:lineRule="auto" w:before="0" w:after="0"/>
        <w:ind w:left="1344" w:right="2603" w:firstLine="0"/>
        <w:jc w:val="left"/>
      </w:pPr>
      <w:r>
        <w:rPr>
          <w:spacing w:val="4"/>
          <w:w w:val="110"/>
          <w:sz w:val="29"/>
        </w:rPr>
        <w:t>T</w:t>
      </w:r>
      <w:r>
        <w:rPr>
          <w:spacing w:val="4"/>
          <w:w w:val="110"/>
        </w:rPr>
        <w:t>he </w:t>
      </w:r>
      <w:r>
        <w:rPr>
          <w:spacing w:val="2"/>
          <w:w w:val="110"/>
        </w:rPr>
        <w:t>affirmations: </w:t>
      </w:r>
      <w:r>
        <w:rPr>
          <w:spacing w:val="3"/>
          <w:w w:val="110"/>
        </w:rPr>
        <w:t>celebrations, possibilities </w:t>
      </w:r>
      <w:r>
        <w:rPr>
          <w:spacing w:val="4"/>
          <w:w w:val="110"/>
        </w:rPr>
        <w:t>and </w:t>
      </w:r>
      <w:r>
        <w:rPr>
          <w:spacing w:val="3"/>
          <w:w w:val="110"/>
        </w:rPr>
        <w:t>challenges</w:t>
      </w:r>
    </w:p>
    <w:p>
      <w:pPr>
        <w:pStyle w:val="ListParagraph"/>
        <w:numPr>
          <w:ilvl w:val="1"/>
          <w:numId w:val="149"/>
        </w:numPr>
        <w:tabs>
          <w:tab w:pos="2024" w:val="left" w:leader="none"/>
          <w:tab w:pos="2025" w:val="left" w:leader="none"/>
        </w:tabs>
        <w:spacing w:line="235" w:lineRule="auto" w:before="91" w:after="0"/>
        <w:ind w:left="1344" w:right="1511" w:firstLine="0"/>
        <w:jc w:val="left"/>
        <w:rPr>
          <w:sz w:val="20"/>
        </w:rPr>
      </w:pPr>
      <w:r>
        <w:rPr>
          <w:w w:val="120"/>
          <w:sz w:val="20"/>
        </w:rPr>
        <w:t>We offer no easy answers. But we do offer a wealth of areas of URC life that can be celebrated, and possibilities and challenges for the future. We affirm both the characteristics of being united and Reformed that shape the </w:t>
      </w:r>
      <w:r>
        <w:rPr>
          <w:spacing w:val="-3"/>
          <w:w w:val="120"/>
          <w:sz w:val="20"/>
        </w:rPr>
        <w:t>URC’s </w:t>
      </w:r>
      <w:r>
        <w:rPr>
          <w:w w:val="120"/>
          <w:sz w:val="20"/>
        </w:rPr>
        <w:t>life as a whole and the huge diversity in which these characteristics are lived out in each place. We invite our local churches to ask themselves ‘What is the Spirit saying to the churches?’ and to see what can be celebrated, and where the possibilities and challenges lie for</w:t>
      </w:r>
      <w:r>
        <w:rPr>
          <w:spacing w:val="44"/>
          <w:w w:val="120"/>
          <w:sz w:val="20"/>
        </w:rPr>
        <w:t> </w:t>
      </w:r>
      <w:r>
        <w:rPr>
          <w:w w:val="120"/>
          <w:sz w:val="20"/>
        </w:rPr>
        <w:t>each</w:t>
      </w:r>
    </w:p>
    <w:p>
      <w:pPr>
        <w:pStyle w:val="BodyText"/>
        <w:spacing w:line="235" w:lineRule="auto" w:before="4"/>
        <w:ind w:left="1344" w:right="1478"/>
      </w:pPr>
      <w:r>
        <w:rPr>
          <w:w w:val="120"/>
        </w:rPr>
        <w:t>congregation. We hope that the particular examples we outline will act as a trigger for thinking about many other areas.</w:t>
      </w:r>
    </w:p>
    <w:p>
      <w:pPr>
        <w:spacing w:after="0" w:line="235" w:lineRule="auto"/>
        <w:sectPr>
          <w:type w:val="continuous"/>
          <w:pgSz w:w="11910" w:h="16840"/>
          <w:pgMar w:top="1580" w:bottom="280" w:left="640" w:right="0"/>
        </w:sectPr>
      </w:pPr>
    </w:p>
    <w:p>
      <w:pPr>
        <w:pStyle w:val="BodyText"/>
      </w:pPr>
      <w:r>
        <w:rPr/>
        <w:drawing>
          <wp:anchor distT="0" distB="0" distL="0" distR="0" allowOverlap="1" layoutInCell="1" locked="0" behindDoc="1" simplePos="0" relativeHeight="235527168">
            <wp:simplePos x="0" y="0"/>
            <wp:positionH relativeFrom="page">
              <wp:posOffset>0</wp:posOffset>
            </wp:positionH>
            <wp:positionV relativeFrom="page">
              <wp:posOffset>0</wp:posOffset>
            </wp:positionV>
            <wp:extent cx="594067" cy="10692003"/>
            <wp:effectExtent l="0" t="0" r="0" b="0"/>
            <wp:wrapNone/>
            <wp:docPr id="231" name="image67.png"/>
            <wp:cNvGraphicFramePr>
              <a:graphicFrameLocks noChangeAspect="1"/>
            </wp:cNvGraphicFramePr>
            <a:graphic>
              <a:graphicData uri="http://schemas.openxmlformats.org/drawingml/2006/picture">
                <pic:pic>
                  <pic:nvPicPr>
                    <pic:cNvPr id="232" name="image67.png"/>
                    <pic:cNvPicPr/>
                  </pic:nvPicPr>
                  <pic:blipFill>
                    <a:blip r:embed="rId184" cstate="print"/>
                    <a:stretch>
                      <a:fillRect/>
                    </a:stretch>
                  </pic:blipFill>
                  <pic:spPr>
                    <a:xfrm>
                      <a:off x="0" y="0"/>
                      <a:ext cx="594067" cy="10692003"/>
                    </a:xfrm>
                    <a:prstGeom prst="rect">
                      <a:avLst/>
                    </a:prstGeom>
                  </pic:spPr>
                </pic:pic>
              </a:graphicData>
            </a:graphic>
          </wp:anchor>
        </w:drawing>
      </w:r>
      <w:r>
        <w:rPr/>
        <w:pict>
          <v:shape style="position:absolute;margin-left:20.519100pt;margin-top:48.890015pt;width:25.9pt;height:717.2pt;mso-position-horizontal-relative:page;mso-position-vertical-relative:page;z-index:-267788288" type="#_x0000_t202" filled="false" stroked="false">
            <v:textbox inset="0,0,0,0" style="layout-flow:vertical">
              <w:txbxContent>
                <w:p>
                  <w:pPr>
                    <w:spacing w:before="27"/>
                    <w:ind w:left="20" w:right="0" w:firstLine="0"/>
                    <w:jc w:val="left"/>
                    <w:rPr>
                      <w:sz w:val="39"/>
                    </w:rPr>
                  </w:pPr>
                  <w:r>
                    <w:rPr>
                      <w:color w:val="FFFFFF"/>
                      <w:w w:val="125"/>
                      <w:sz w:val="39"/>
                    </w:rPr>
                    <w:t>Faith and order – </w:t>
                  </w:r>
                  <w:r>
                    <w:rPr>
                      <w:w w:val="125"/>
                      <w:sz w:val="39"/>
                    </w:rPr>
                    <w:t>What is the Spirit saying to the Churches </w:t>
                  </w:r>
                  <w:r>
                    <w:rPr>
                      <w:color w:val="FFFFFF"/>
                      <w:w w:val="125"/>
                      <w:sz w:val="39"/>
                    </w:rPr>
                    <w:t>– </w:t>
                  </w:r>
                  <w:r>
                    <w:rPr>
                      <w:w w:val="125"/>
                      <w:sz w:val="39"/>
                    </w:rPr>
                    <w:t>Appendix</w:t>
                  </w:r>
                </w:p>
              </w:txbxContent>
            </v:textbox>
            <w10:wrap type="none"/>
          </v:shape>
        </w:pict>
      </w:r>
    </w:p>
    <w:p>
      <w:pPr>
        <w:pStyle w:val="BodyText"/>
        <w:spacing w:before="7"/>
        <w:rPr>
          <w:sz w:val="21"/>
        </w:rPr>
      </w:pPr>
    </w:p>
    <w:p>
      <w:pPr>
        <w:spacing w:before="106"/>
        <w:ind w:left="607" w:right="0" w:firstLine="0"/>
        <w:jc w:val="left"/>
        <w:rPr>
          <w:sz w:val="26"/>
        </w:rPr>
      </w:pPr>
      <w:r>
        <w:rPr>
          <w:color w:val="7EAABF"/>
          <w:w w:val="115"/>
          <w:sz w:val="26"/>
        </w:rPr>
        <w:t>Faith and order</w:t>
      </w:r>
    </w:p>
    <w:p>
      <w:pPr>
        <w:spacing w:before="234"/>
        <w:ind w:left="607" w:right="0" w:firstLine="0"/>
        <w:jc w:val="left"/>
        <w:rPr>
          <w:i/>
          <w:sz w:val="29"/>
        </w:rPr>
      </w:pPr>
      <w:r>
        <w:rPr>
          <w:i/>
          <w:w w:val="110"/>
          <w:sz w:val="29"/>
        </w:rPr>
        <w:t>God is the generous gift giver</w:t>
      </w:r>
    </w:p>
    <w:p>
      <w:pPr>
        <w:pStyle w:val="Heading7"/>
        <w:numPr>
          <w:ilvl w:val="1"/>
          <w:numId w:val="149"/>
        </w:numPr>
        <w:tabs>
          <w:tab w:pos="1287" w:val="left" w:leader="none"/>
          <w:tab w:pos="1288" w:val="left" w:leader="none"/>
        </w:tabs>
        <w:spacing w:line="261" w:lineRule="exact" w:before="72" w:after="0"/>
        <w:ind w:left="1287" w:right="0" w:hanging="681"/>
        <w:jc w:val="left"/>
      </w:pPr>
      <w:r>
        <w:rPr>
          <w:w w:val="110"/>
        </w:rPr>
        <w:t>We</w:t>
      </w:r>
      <w:r>
        <w:rPr>
          <w:spacing w:val="-1"/>
          <w:w w:val="110"/>
        </w:rPr>
        <w:t> </w:t>
      </w:r>
      <w:r>
        <w:rPr>
          <w:w w:val="110"/>
        </w:rPr>
        <w:t>celebrate</w:t>
      </w:r>
    </w:p>
    <w:p>
      <w:pPr>
        <w:pStyle w:val="ListParagraph"/>
        <w:numPr>
          <w:ilvl w:val="2"/>
          <w:numId w:val="149"/>
        </w:numPr>
        <w:tabs>
          <w:tab w:pos="1287" w:val="left" w:leader="none"/>
          <w:tab w:pos="1288" w:val="left" w:leader="none"/>
        </w:tabs>
        <w:spacing w:line="235" w:lineRule="auto" w:before="0" w:after="0"/>
        <w:ind w:left="607" w:right="2144" w:firstLine="0"/>
        <w:jc w:val="left"/>
        <w:rPr>
          <w:sz w:val="20"/>
        </w:rPr>
      </w:pPr>
      <w:r>
        <w:rPr>
          <w:w w:val="120"/>
          <w:sz w:val="20"/>
        </w:rPr>
        <w:t>The offering of </w:t>
      </w:r>
      <w:r>
        <w:rPr>
          <w:spacing w:val="-3"/>
          <w:w w:val="120"/>
          <w:sz w:val="20"/>
        </w:rPr>
        <w:t>worship. Worship centres </w:t>
      </w:r>
      <w:r>
        <w:rPr>
          <w:w w:val="120"/>
          <w:sz w:val="20"/>
        </w:rPr>
        <w:t>on the opening of the </w:t>
      </w:r>
      <w:r>
        <w:rPr>
          <w:spacing w:val="-3"/>
          <w:w w:val="120"/>
          <w:sz w:val="20"/>
        </w:rPr>
        <w:t>Word </w:t>
      </w:r>
      <w:r>
        <w:rPr>
          <w:w w:val="120"/>
          <w:sz w:val="20"/>
        </w:rPr>
        <w:t>and the breaking of the bread, offered in a range of </w:t>
      </w:r>
      <w:r>
        <w:rPr>
          <w:spacing w:val="-3"/>
          <w:w w:val="120"/>
          <w:sz w:val="20"/>
        </w:rPr>
        <w:t>ways, </w:t>
      </w:r>
      <w:r>
        <w:rPr>
          <w:w w:val="120"/>
          <w:sz w:val="20"/>
        </w:rPr>
        <w:t>as the </w:t>
      </w:r>
      <w:r>
        <w:rPr>
          <w:spacing w:val="-3"/>
          <w:w w:val="120"/>
          <w:sz w:val="20"/>
        </w:rPr>
        <w:t>congregation </w:t>
      </w:r>
      <w:r>
        <w:rPr>
          <w:w w:val="120"/>
          <w:sz w:val="20"/>
        </w:rPr>
        <w:t>feels led, </w:t>
      </w:r>
      <w:r>
        <w:rPr>
          <w:spacing w:val="-3"/>
          <w:w w:val="120"/>
          <w:sz w:val="20"/>
        </w:rPr>
        <w:t>building </w:t>
      </w:r>
      <w:r>
        <w:rPr>
          <w:w w:val="120"/>
          <w:sz w:val="20"/>
        </w:rPr>
        <w:t>on the wide range of approaches </w:t>
      </w:r>
      <w:r>
        <w:rPr>
          <w:spacing w:val="-3"/>
          <w:w w:val="120"/>
          <w:sz w:val="20"/>
        </w:rPr>
        <w:t>to worship </w:t>
      </w:r>
      <w:r>
        <w:rPr>
          <w:spacing w:val="-5"/>
          <w:w w:val="120"/>
          <w:sz w:val="20"/>
        </w:rPr>
        <w:t>today. </w:t>
      </w:r>
      <w:r>
        <w:rPr>
          <w:color w:val="00000A"/>
          <w:spacing w:val="-3"/>
          <w:w w:val="120"/>
          <w:sz w:val="20"/>
        </w:rPr>
        <w:t>Worship </w:t>
      </w:r>
      <w:r>
        <w:rPr>
          <w:color w:val="00000A"/>
          <w:w w:val="120"/>
          <w:sz w:val="20"/>
        </w:rPr>
        <w:t>draws people in </w:t>
      </w:r>
      <w:r>
        <w:rPr>
          <w:color w:val="00000A"/>
          <w:spacing w:val="-3"/>
          <w:w w:val="120"/>
          <w:sz w:val="20"/>
        </w:rPr>
        <w:t>to </w:t>
      </w:r>
      <w:r>
        <w:rPr>
          <w:color w:val="00000A"/>
          <w:w w:val="120"/>
          <w:sz w:val="20"/>
        </w:rPr>
        <w:t>the mystery of the </w:t>
      </w:r>
      <w:r>
        <w:rPr>
          <w:color w:val="00000A"/>
          <w:spacing w:val="-5"/>
          <w:w w:val="120"/>
          <w:sz w:val="20"/>
        </w:rPr>
        <w:t>holy, </w:t>
      </w:r>
      <w:r>
        <w:rPr>
          <w:color w:val="00000A"/>
          <w:spacing w:val="-3"/>
          <w:w w:val="120"/>
          <w:sz w:val="20"/>
        </w:rPr>
        <w:t>receiving </w:t>
      </w:r>
      <w:r>
        <w:rPr>
          <w:color w:val="00000A"/>
          <w:w w:val="120"/>
          <w:sz w:val="20"/>
        </w:rPr>
        <w:t>generously from the </w:t>
      </w:r>
      <w:r>
        <w:rPr>
          <w:color w:val="00000A"/>
          <w:spacing w:val="-2"/>
          <w:w w:val="120"/>
          <w:sz w:val="20"/>
        </w:rPr>
        <w:t>wellspring </w:t>
      </w:r>
      <w:r>
        <w:rPr>
          <w:color w:val="00000A"/>
          <w:w w:val="120"/>
          <w:sz w:val="20"/>
        </w:rPr>
        <w:t>of </w:t>
      </w:r>
      <w:r>
        <w:rPr>
          <w:color w:val="00000A"/>
          <w:spacing w:val="-4"/>
          <w:w w:val="120"/>
          <w:sz w:val="20"/>
        </w:rPr>
        <w:t>God’s </w:t>
      </w:r>
      <w:r>
        <w:rPr>
          <w:color w:val="00000A"/>
          <w:spacing w:val="-3"/>
          <w:w w:val="120"/>
          <w:sz w:val="20"/>
        </w:rPr>
        <w:t>love. </w:t>
      </w:r>
      <w:r>
        <w:rPr>
          <w:spacing w:val="-3"/>
          <w:w w:val="120"/>
          <w:sz w:val="20"/>
        </w:rPr>
        <w:t>Worship </w:t>
      </w:r>
      <w:r>
        <w:rPr>
          <w:w w:val="120"/>
          <w:sz w:val="20"/>
        </w:rPr>
        <w:t>is the starting point </w:t>
      </w:r>
      <w:r>
        <w:rPr>
          <w:color w:val="00000A"/>
          <w:w w:val="120"/>
          <w:sz w:val="20"/>
        </w:rPr>
        <w:t>for </w:t>
      </w:r>
      <w:r>
        <w:rPr>
          <w:color w:val="00000A"/>
          <w:spacing w:val="-3"/>
          <w:w w:val="120"/>
          <w:sz w:val="20"/>
        </w:rPr>
        <w:t>mission, </w:t>
      </w:r>
      <w:r>
        <w:rPr>
          <w:color w:val="00000A"/>
          <w:w w:val="120"/>
          <w:sz w:val="20"/>
        </w:rPr>
        <w:t>as people participate in </w:t>
      </w:r>
      <w:r>
        <w:rPr>
          <w:color w:val="00000A"/>
          <w:spacing w:val="-4"/>
          <w:w w:val="120"/>
          <w:sz w:val="20"/>
        </w:rPr>
        <w:t>God’s </w:t>
      </w:r>
      <w:r>
        <w:rPr>
          <w:color w:val="00000A"/>
          <w:spacing w:val="-3"/>
          <w:w w:val="120"/>
          <w:sz w:val="20"/>
        </w:rPr>
        <w:t>mission to </w:t>
      </w:r>
      <w:r>
        <w:rPr>
          <w:color w:val="00000A"/>
          <w:w w:val="120"/>
          <w:sz w:val="20"/>
        </w:rPr>
        <w:t>the world, new people</w:t>
      </w:r>
      <w:r>
        <w:rPr>
          <w:color w:val="00000A"/>
          <w:spacing w:val="-5"/>
          <w:w w:val="120"/>
          <w:sz w:val="20"/>
        </w:rPr>
        <w:t> </w:t>
      </w:r>
      <w:r>
        <w:rPr>
          <w:color w:val="00000A"/>
          <w:w w:val="120"/>
          <w:sz w:val="20"/>
        </w:rPr>
        <w:t>are</w:t>
      </w:r>
      <w:r>
        <w:rPr>
          <w:color w:val="00000A"/>
          <w:spacing w:val="-4"/>
          <w:w w:val="120"/>
          <w:sz w:val="20"/>
        </w:rPr>
        <w:t> </w:t>
      </w:r>
      <w:r>
        <w:rPr>
          <w:color w:val="00000A"/>
          <w:spacing w:val="-3"/>
          <w:w w:val="120"/>
          <w:sz w:val="20"/>
        </w:rPr>
        <w:t>welcomed,</w:t>
      </w:r>
      <w:r>
        <w:rPr>
          <w:color w:val="00000A"/>
          <w:spacing w:val="-5"/>
          <w:w w:val="120"/>
          <w:sz w:val="20"/>
        </w:rPr>
        <w:t> </w:t>
      </w:r>
      <w:r>
        <w:rPr>
          <w:color w:val="00000A"/>
          <w:spacing w:val="-3"/>
          <w:w w:val="120"/>
          <w:sz w:val="20"/>
        </w:rPr>
        <w:t>baptism</w:t>
      </w:r>
      <w:r>
        <w:rPr>
          <w:color w:val="00000A"/>
          <w:spacing w:val="-4"/>
          <w:w w:val="120"/>
          <w:sz w:val="20"/>
        </w:rPr>
        <w:t> </w:t>
      </w:r>
      <w:r>
        <w:rPr>
          <w:color w:val="00000A"/>
          <w:w w:val="120"/>
          <w:sz w:val="20"/>
        </w:rPr>
        <w:t>is</w:t>
      </w:r>
      <w:r>
        <w:rPr>
          <w:color w:val="00000A"/>
          <w:spacing w:val="-4"/>
          <w:w w:val="120"/>
          <w:sz w:val="20"/>
        </w:rPr>
        <w:t> </w:t>
      </w:r>
      <w:r>
        <w:rPr>
          <w:color w:val="00000A"/>
          <w:w w:val="120"/>
          <w:sz w:val="20"/>
        </w:rPr>
        <w:t>offered</w:t>
      </w:r>
      <w:r>
        <w:rPr>
          <w:color w:val="00000A"/>
          <w:spacing w:val="-5"/>
          <w:w w:val="120"/>
          <w:sz w:val="20"/>
        </w:rPr>
        <w:t> </w:t>
      </w:r>
      <w:r>
        <w:rPr>
          <w:color w:val="00000A"/>
          <w:w w:val="120"/>
          <w:sz w:val="20"/>
        </w:rPr>
        <w:t>and</w:t>
      </w:r>
      <w:r>
        <w:rPr>
          <w:color w:val="00000A"/>
          <w:spacing w:val="-4"/>
          <w:w w:val="120"/>
          <w:sz w:val="20"/>
        </w:rPr>
        <w:t> </w:t>
      </w:r>
      <w:r>
        <w:rPr>
          <w:color w:val="00000A"/>
          <w:w w:val="120"/>
          <w:sz w:val="20"/>
        </w:rPr>
        <w:t>different</w:t>
      </w:r>
      <w:r>
        <w:rPr>
          <w:color w:val="00000A"/>
          <w:spacing w:val="-5"/>
          <w:w w:val="120"/>
          <w:sz w:val="20"/>
        </w:rPr>
        <w:t> </w:t>
      </w:r>
      <w:r>
        <w:rPr>
          <w:color w:val="00000A"/>
          <w:spacing w:val="-3"/>
          <w:w w:val="120"/>
          <w:sz w:val="20"/>
        </w:rPr>
        <w:t>ways</w:t>
      </w:r>
      <w:r>
        <w:rPr>
          <w:color w:val="00000A"/>
          <w:spacing w:val="-4"/>
          <w:w w:val="120"/>
          <w:sz w:val="20"/>
        </w:rPr>
        <w:t> </w:t>
      </w:r>
      <w:r>
        <w:rPr>
          <w:color w:val="00000A"/>
          <w:w w:val="120"/>
          <w:sz w:val="20"/>
        </w:rPr>
        <w:t>of</w:t>
      </w:r>
      <w:r>
        <w:rPr>
          <w:color w:val="00000A"/>
          <w:spacing w:val="-4"/>
          <w:w w:val="120"/>
          <w:sz w:val="20"/>
        </w:rPr>
        <w:t> </w:t>
      </w:r>
      <w:r>
        <w:rPr>
          <w:color w:val="00000A"/>
          <w:spacing w:val="-3"/>
          <w:w w:val="120"/>
          <w:sz w:val="20"/>
        </w:rPr>
        <w:t>worship</w:t>
      </w:r>
      <w:r>
        <w:rPr>
          <w:color w:val="00000A"/>
          <w:spacing w:val="-5"/>
          <w:w w:val="120"/>
          <w:sz w:val="20"/>
        </w:rPr>
        <w:t> </w:t>
      </w:r>
      <w:r>
        <w:rPr>
          <w:color w:val="00000A"/>
          <w:w w:val="120"/>
          <w:sz w:val="20"/>
        </w:rPr>
        <w:t>are</w:t>
      </w:r>
      <w:r>
        <w:rPr>
          <w:color w:val="00000A"/>
          <w:spacing w:val="-4"/>
          <w:w w:val="120"/>
          <w:sz w:val="20"/>
        </w:rPr>
        <w:t> </w:t>
      </w:r>
      <w:r>
        <w:rPr>
          <w:color w:val="00000A"/>
          <w:w w:val="120"/>
          <w:sz w:val="20"/>
        </w:rPr>
        <w:t>explored.</w:t>
      </w:r>
    </w:p>
    <w:p>
      <w:pPr>
        <w:pStyle w:val="BodyText"/>
        <w:spacing w:before="7"/>
        <w:rPr>
          <w:sz w:val="19"/>
        </w:rPr>
      </w:pPr>
    </w:p>
    <w:p>
      <w:pPr>
        <w:pStyle w:val="ListParagraph"/>
        <w:numPr>
          <w:ilvl w:val="2"/>
          <w:numId w:val="149"/>
        </w:numPr>
        <w:tabs>
          <w:tab w:pos="1288" w:val="left" w:leader="none"/>
        </w:tabs>
        <w:spacing w:line="235" w:lineRule="auto" w:before="0" w:after="0"/>
        <w:ind w:left="607" w:right="2535" w:firstLine="0"/>
        <w:jc w:val="both"/>
        <w:rPr>
          <w:sz w:val="20"/>
        </w:rPr>
      </w:pPr>
      <w:r>
        <w:rPr>
          <w:w w:val="120"/>
          <w:sz w:val="20"/>
        </w:rPr>
        <w:t>These different ways of worshipping are given life through a valuable range of initiatives, including Fresh Expressions, Messy Church and cafe-style church; the ‘Worshipping</w:t>
      </w:r>
      <w:r>
        <w:rPr>
          <w:spacing w:val="6"/>
          <w:w w:val="120"/>
          <w:sz w:val="20"/>
        </w:rPr>
        <w:t> </w:t>
      </w:r>
      <w:r>
        <w:rPr>
          <w:w w:val="120"/>
          <w:sz w:val="20"/>
        </w:rPr>
        <w:t>God’</w:t>
      </w:r>
      <w:r>
        <w:rPr>
          <w:spacing w:val="7"/>
          <w:w w:val="120"/>
          <w:sz w:val="20"/>
        </w:rPr>
        <w:t> </w:t>
      </w:r>
      <w:r>
        <w:rPr>
          <w:w w:val="120"/>
          <w:sz w:val="20"/>
        </w:rPr>
        <w:t>booklet;</w:t>
      </w:r>
      <w:r>
        <w:rPr>
          <w:spacing w:val="7"/>
          <w:w w:val="120"/>
          <w:sz w:val="20"/>
        </w:rPr>
        <w:t> </w:t>
      </w:r>
      <w:r>
        <w:rPr>
          <w:spacing w:val="2"/>
          <w:w w:val="120"/>
          <w:sz w:val="20"/>
        </w:rPr>
        <w:t>TLS</w:t>
      </w:r>
      <w:r>
        <w:rPr>
          <w:spacing w:val="7"/>
          <w:w w:val="120"/>
          <w:sz w:val="20"/>
        </w:rPr>
        <w:t> </w:t>
      </w:r>
      <w:r>
        <w:rPr>
          <w:w w:val="120"/>
          <w:sz w:val="20"/>
        </w:rPr>
        <w:t>training,</w:t>
      </w:r>
      <w:r>
        <w:rPr>
          <w:spacing w:val="7"/>
          <w:w w:val="120"/>
          <w:sz w:val="20"/>
        </w:rPr>
        <w:t> </w:t>
      </w:r>
      <w:r>
        <w:rPr>
          <w:w w:val="120"/>
          <w:sz w:val="20"/>
        </w:rPr>
        <w:t>soon</w:t>
      </w:r>
      <w:r>
        <w:rPr>
          <w:spacing w:val="7"/>
          <w:w w:val="120"/>
          <w:sz w:val="20"/>
        </w:rPr>
        <w:t> </w:t>
      </w:r>
      <w:r>
        <w:rPr>
          <w:w w:val="120"/>
          <w:sz w:val="20"/>
        </w:rPr>
        <w:t>to</w:t>
      </w:r>
      <w:r>
        <w:rPr>
          <w:spacing w:val="6"/>
          <w:w w:val="120"/>
          <w:sz w:val="20"/>
        </w:rPr>
        <w:t> </w:t>
      </w:r>
      <w:r>
        <w:rPr>
          <w:w w:val="120"/>
          <w:sz w:val="20"/>
        </w:rPr>
        <w:t>be</w:t>
      </w:r>
      <w:r>
        <w:rPr>
          <w:spacing w:val="7"/>
          <w:w w:val="120"/>
          <w:sz w:val="20"/>
        </w:rPr>
        <w:t> </w:t>
      </w:r>
      <w:r>
        <w:rPr>
          <w:w w:val="120"/>
          <w:sz w:val="20"/>
        </w:rPr>
        <w:t>updated</w:t>
      </w:r>
      <w:r>
        <w:rPr>
          <w:spacing w:val="7"/>
          <w:w w:val="120"/>
          <w:sz w:val="20"/>
        </w:rPr>
        <w:t> </w:t>
      </w:r>
      <w:r>
        <w:rPr>
          <w:w w:val="120"/>
          <w:sz w:val="20"/>
        </w:rPr>
        <w:t>as</w:t>
      </w:r>
      <w:r>
        <w:rPr>
          <w:spacing w:val="7"/>
          <w:w w:val="120"/>
          <w:sz w:val="20"/>
        </w:rPr>
        <w:t> </w:t>
      </w:r>
      <w:r>
        <w:rPr>
          <w:w w:val="120"/>
          <w:sz w:val="20"/>
        </w:rPr>
        <w:t>a</w:t>
      </w:r>
      <w:r>
        <w:rPr>
          <w:spacing w:val="7"/>
          <w:w w:val="120"/>
          <w:sz w:val="20"/>
        </w:rPr>
        <w:t> </w:t>
      </w:r>
      <w:r>
        <w:rPr>
          <w:w w:val="120"/>
          <w:sz w:val="20"/>
        </w:rPr>
        <w:t>result</w:t>
      </w:r>
      <w:r>
        <w:rPr>
          <w:spacing w:val="7"/>
          <w:w w:val="120"/>
          <w:sz w:val="20"/>
        </w:rPr>
        <w:t> </w:t>
      </w:r>
      <w:r>
        <w:rPr>
          <w:w w:val="120"/>
          <w:sz w:val="20"/>
        </w:rPr>
        <w:t>of</w:t>
      </w:r>
      <w:r>
        <w:rPr>
          <w:spacing w:val="6"/>
          <w:w w:val="120"/>
          <w:sz w:val="20"/>
        </w:rPr>
        <w:t> </w:t>
      </w:r>
      <w:r>
        <w:rPr>
          <w:w w:val="120"/>
          <w:sz w:val="20"/>
        </w:rPr>
        <w:t>the</w:t>
      </w:r>
    </w:p>
    <w:p>
      <w:pPr>
        <w:pStyle w:val="BodyText"/>
        <w:spacing w:line="235" w:lineRule="auto" w:before="3"/>
        <w:ind w:left="607" w:right="2266"/>
        <w:jc w:val="both"/>
      </w:pPr>
      <w:r>
        <w:rPr>
          <w:w w:val="120"/>
        </w:rPr>
        <w:t>Missional Discipleship work; and such synod initiatives as the Advent, Lent and Easter devotions produced by Northern and North Western Synods.</w:t>
      </w:r>
    </w:p>
    <w:p>
      <w:pPr>
        <w:pStyle w:val="BodyText"/>
        <w:spacing w:before="5"/>
        <w:rPr>
          <w:sz w:val="18"/>
        </w:rPr>
      </w:pPr>
    </w:p>
    <w:p>
      <w:pPr>
        <w:pStyle w:val="Heading7"/>
        <w:numPr>
          <w:ilvl w:val="1"/>
          <w:numId w:val="149"/>
        </w:numPr>
        <w:tabs>
          <w:tab w:pos="1287" w:val="left" w:leader="none"/>
          <w:tab w:pos="1288" w:val="left" w:leader="none"/>
        </w:tabs>
        <w:spacing w:line="261" w:lineRule="exact" w:before="0" w:after="0"/>
        <w:ind w:left="1287" w:right="0" w:hanging="681"/>
        <w:jc w:val="left"/>
      </w:pPr>
      <w:r>
        <w:rPr>
          <w:w w:val="110"/>
        </w:rPr>
        <w:t>New possibilities and</w:t>
      </w:r>
      <w:r>
        <w:rPr>
          <w:spacing w:val="-1"/>
          <w:w w:val="110"/>
        </w:rPr>
        <w:t> </w:t>
      </w:r>
      <w:r>
        <w:rPr>
          <w:w w:val="110"/>
        </w:rPr>
        <w:t>challenges</w:t>
      </w:r>
    </w:p>
    <w:p>
      <w:pPr>
        <w:pStyle w:val="ListParagraph"/>
        <w:numPr>
          <w:ilvl w:val="2"/>
          <w:numId w:val="149"/>
        </w:numPr>
        <w:tabs>
          <w:tab w:pos="1287" w:val="left" w:leader="none"/>
          <w:tab w:pos="1288" w:val="left" w:leader="none"/>
        </w:tabs>
        <w:spacing w:line="235" w:lineRule="exact" w:before="0" w:after="0"/>
        <w:ind w:left="1287" w:right="0" w:hanging="681"/>
        <w:jc w:val="left"/>
        <w:rPr>
          <w:sz w:val="20"/>
        </w:rPr>
      </w:pPr>
      <w:r>
        <w:rPr>
          <w:w w:val="120"/>
          <w:sz w:val="20"/>
        </w:rPr>
        <w:t>Sharing innovative and creative patterns of worshipping across the</w:t>
      </w:r>
      <w:r>
        <w:rPr>
          <w:spacing w:val="22"/>
          <w:w w:val="120"/>
          <w:sz w:val="20"/>
        </w:rPr>
        <w:t> </w:t>
      </w:r>
      <w:r>
        <w:rPr>
          <w:w w:val="120"/>
          <w:sz w:val="20"/>
        </w:rPr>
        <w:t>churches.</w:t>
      </w:r>
    </w:p>
    <w:p>
      <w:pPr>
        <w:pStyle w:val="BodyText"/>
        <w:spacing w:before="8"/>
        <w:rPr>
          <w:sz w:val="19"/>
        </w:rPr>
      </w:pPr>
    </w:p>
    <w:p>
      <w:pPr>
        <w:pStyle w:val="ListParagraph"/>
        <w:numPr>
          <w:ilvl w:val="2"/>
          <w:numId w:val="149"/>
        </w:numPr>
        <w:tabs>
          <w:tab w:pos="1288" w:val="left" w:leader="none"/>
        </w:tabs>
        <w:spacing w:line="235" w:lineRule="auto" w:before="0" w:after="0"/>
        <w:ind w:left="607" w:right="2031" w:firstLine="0"/>
        <w:jc w:val="left"/>
        <w:rPr>
          <w:sz w:val="20"/>
        </w:rPr>
      </w:pPr>
      <w:r>
        <w:rPr>
          <w:w w:val="120"/>
          <w:sz w:val="20"/>
        </w:rPr>
        <w:t>Living out our ecumenical </w:t>
      </w:r>
      <w:r>
        <w:rPr>
          <w:spacing w:val="-3"/>
          <w:w w:val="120"/>
          <w:sz w:val="20"/>
        </w:rPr>
        <w:t>commitment </w:t>
      </w:r>
      <w:r>
        <w:rPr>
          <w:w w:val="120"/>
          <w:sz w:val="20"/>
        </w:rPr>
        <w:t>by </w:t>
      </w:r>
      <w:r>
        <w:rPr>
          <w:spacing w:val="-3"/>
          <w:w w:val="120"/>
          <w:sz w:val="20"/>
        </w:rPr>
        <w:t>receiving </w:t>
      </w:r>
      <w:r>
        <w:rPr>
          <w:w w:val="120"/>
          <w:sz w:val="20"/>
        </w:rPr>
        <w:t>further the gifts of spirituality and</w:t>
      </w:r>
      <w:r>
        <w:rPr>
          <w:spacing w:val="-7"/>
          <w:w w:val="120"/>
          <w:sz w:val="20"/>
        </w:rPr>
        <w:t> </w:t>
      </w:r>
      <w:r>
        <w:rPr>
          <w:spacing w:val="-3"/>
          <w:w w:val="120"/>
          <w:sz w:val="20"/>
        </w:rPr>
        <w:t>worship</w:t>
      </w:r>
      <w:r>
        <w:rPr>
          <w:spacing w:val="-7"/>
          <w:w w:val="120"/>
          <w:sz w:val="20"/>
        </w:rPr>
        <w:t> </w:t>
      </w:r>
      <w:r>
        <w:rPr>
          <w:w w:val="120"/>
          <w:sz w:val="20"/>
        </w:rPr>
        <w:t>offered</w:t>
      </w:r>
      <w:r>
        <w:rPr>
          <w:spacing w:val="-6"/>
          <w:w w:val="120"/>
          <w:sz w:val="20"/>
        </w:rPr>
        <w:t> </w:t>
      </w:r>
      <w:r>
        <w:rPr>
          <w:w w:val="120"/>
          <w:sz w:val="20"/>
        </w:rPr>
        <w:t>by</w:t>
      </w:r>
      <w:r>
        <w:rPr>
          <w:spacing w:val="-7"/>
          <w:w w:val="120"/>
          <w:sz w:val="20"/>
        </w:rPr>
        <w:t> </w:t>
      </w:r>
      <w:r>
        <w:rPr>
          <w:w w:val="120"/>
          <w:sz w:val="20"/>
        </w:rPr>
        <w:t>our</w:t>
      </w:r>
      <w:r>
        <w:rPr>
          <w:spacing w:val="-7"/>
          <w:w w:val="120"/>
          <w:sz w:val="20"/>
        </w:rPr>
        <w:t> </w:t>
      </w:r>
      <w:r>
        <w:rPr>
          <w:w w:val="120"/>
          <w:sz w:val="20"/>
        </w:rPr>
        <w:t>brothers</w:t>
      </w:r>
      <w:r>
        <w:rPr>
          <w:spacing w:val="-6"/>
          <w:w w:val="120"/>
          <w:sz w:val="20"/>
        </w:rPr>
        <w:t> </w:t>
      </w:r>
      <w:r>
        <w:rPr>
          <w:w w:val="120"/>
          <w:sz w:val="20"/>
        </w:rPr>
        <w:t>and</w:t>
      </w:r>
      <w:r>
        <w:rPr>
          <w:spacing w:val="-7"/>
          <w:w w:val="120"/>
          <w:sz w:val="20"/>
        </w:rPr>
        <w:t> </w:t>
      </w:r>
      <w:r>
        <w:rPr>
          <w:w w:val="120"/>
          <w:sz w:val="20"/>
        </w:rPr>
        <w:t>sisters</w:t>
      </w:r>
      <w:r>
        <w:rPr>
          <w:spacing w:val="-6"/>
          <w:w w:val="120"/>
          <w:sz w:val="20"/>
        </w:rPr>
        <w:t> </w:t>
      </w:r>
      <w:r>
        <w:rPr>
          <w:w w:val="120"/>
          <w:sz w:val="20"/>
        </w:rPr>
        <w:t>in</w:t>
      </w:r>
      <w:r>
        <w:rPr>
          <w:spacing w:val="-7"/>
          <w:w w:val="120"/>
          <w:sz w:val="20"/>
        </w:rPr>
        <w:t> </w:t>
      </w:r>
      <w:r>
        <w:rPr>
          <w:w w:val="120"/>
          <w:sz w:val="20"/>
        </w:rPr>
        <w:t>Christ</w:t>
      </w:r>
      <w:r>
        <w:rPr>
          <w:spacing w:val="-7"/>
          <w:w w:val="120"/>
          <w:sz w:val="20"/>
        </w:rPr>
        <w:t> </w:t>
      </w:r>
      <w:r>
        <w:rPr>
          <w:w w:val="120"/>
          <w:sz w:val="20"/>
        </w:rPr>
        <w:t>from</w:t>
      </w:r>
      <w:r>
        <w:rPr>
          <w:spacing w:val="-6"/>
          <w:w w:val="120"/>
          <w:sz w:val="20"/>
        </w:rPr>
        <w:t> </w:t>
      </w:r>
      <w:r>
        <w:rPr>
          <w:w w:val="120"/>
          <w:sz w:val="20"/>
        </w:rPr>
        <w:t>different</w:t>
      </w:r>
      <w:r>
        <w:rPr>
          <w:spacing w:val="-7"/>
          <w:w w:val="120"/>
          <w:sz w:val="20"/>
        </w:rPr>
        <w:t> </w:t>
      </w:r>
      <w:r>
        <w:rPr>
          <w:w w:val="120"/>
          <w:sz w:val="20"/>
        </w:rPr>
        <w:t>traditions.</w:t>
      </w:r>
    </w:p>
    <w:p>
      <w:pPr>
        <w:pStyle w:val="BodyText"/>
        <w:spacing w:before="9"/>
        <w:rPr>
          <w:sz w:val="19"/>
        </w:rPr>
      </w:pPr>
    </w:p>
    <w:p>
      <w:pPr>
        <w:pStyle w:val="ListParagraph"/>
        <w:numPr>
          <w:ilvl w:val="2"/>
          <w:numId w:val="149"/>
        </w:numPr>
        <w:tabs>
          <w:tab w:pos="1288" w:val="left" w:leader="none"/>
        </w:tabs>
        <w:spacing w:line="235" w:lineRule="auto" w:before="0" w:after="0"/>
        <w:ind w:left="607" w:right="2463" w:firstLine="0"/>
        <w:jc w:val="left"/>
        <w:rPr>
          <w:sz w:val="20"/>
        </w:rPr>
      </w:pPr>
      <w:r>
        <w:rPr>
          <w:w w:val="120"/>
          <w:sz w:val="20"/>
        </w:rPr>
        <w:t>Developing the reflection on the nature of worship in a changing and increasingly secular world e.g. in the Theology of Worship group developed by the West Midlands Synod Training</w:t>
      </w:r>
      <w:r>
        <w:rPr>
          <w:spacing w:val="7"/>
          <w:w w:val="120"/>
          <w:sz w:val="20"/>
        </w:rPr>
        <w:t> </w:t>
      </w:r>
      <w:r>
        <w:rPr>
          <w:w w:val="120"/>
          <w:sz w:val="20"/>
        </w:rPr>
        <w:t>Officer.</w:t>
      </w:r>
    </w:p>
    <w:p>
      <w:pPr>
        <w:pStyle w:val="BodyText"/>
        <w:spacing w:before="9"/>
        <w:rPr>
          <w:sz w:val="23"/>
        </w:rPr>
      </w:pPr>
    </w:p>
    <w:p>
      <w:pPr>
        <w:spacing w:before="0"/>
        <w:ind w:left="607" w:right="0" w:firstLine="0"/>
        <w:jc w:val="left"/>
        <w:rPr>
          <w:i/>
          <w:sz w:val="29"/>
        </w:rPr>
      </w:pPr>
      <w:r>
        <w:rPr>
          <w:i/>
          <w:w w:val="110"/>
          <w:sz w:val="29"/>
        </w:rPr>
        <w:t>God is our source, our guide, our goal</w:t>
      </w:r>
    </w:p>
    <w:p>
      <w:pPr>
        <w:pStyle w:val="Heading7"/>
        <w:numPr>
          <w:ilvl w:val="1"/>
          <w:numId w:val="150"/>
        </w:numPr>
        <w:tabs>
          <w:tab w:pos="1287" w:val="left" w:leader="none"/>
          <w:tab w:pos="1288" w:val="left" w:leader="none"/>
        </w:tabs>
        <w:spacing w:line="261" w:lineRule="exact" w:before="73" w:after="0"/>
        <w:ind w:left="1287" w:right="0" w:hanging="681"/>
        <w:jc w:val="left"/>
      </w:pPr>
      <w:r>
        <w:rPr>
          <w:w w:val="110"/>
        </w:rPr>
        <w:t>We</w:t>
      </w:r>
      <w:r>
        <w:rPr>
          <w:spacing w:val="-1"/>
          <w:w w:val="110"/>
        </w:rPr>
        <w:t> </w:t>
      </w:r>
      <w:r>
        <w:rPr>
          <w:w w:val="110"/>
        </w:rPr>
        <w:t>celebrate</w:t>
      </w:r>
    </w:p>
    <w:p>
      <w:pPr>
        <w:pStyle w:val="ListParagraph"/>
        <w:numPr>
          <w:ilvl w:val="2"/>
          <w:numId w:val="150"/>
        </w:numPr>
        <w:tabs>
          <w:tab w:pos="1287" w:val="left" w:leader="none"/>
          <w:tab w:pos="1288" w:val="left" w:leader="none"/>
        </w:tabs>
        <w:spacing w:line="235" w:lineRule="auto" w:before="0" w:after="0"/>
        <w:ind w:left="607" w:right="2044" w:firstLine="0"/>
        <w:jc w:val="left"/>
        <w:rPr>
          <w:sz w:val="20"/>
        </w:rPr>
      </w:pPr>
      <w:r>
        <w:rPr>
          <w:w w:val="120"/>
          <w:sz w:val="20"/>
        </w:rPr>
        <w:t>The conciliar nature of the URC, in which it is affirmed that the Holy Spirit speaks through each person, gathered in the councils of the local church, the regional and national synods and the General Assembly, is a </w:t>
      </w:r>
      <w:r>
        <w:rPr>
          <w:spacing w:val="2"/>
          <w:w w:val="120"/>
          <w:sz w:val="20"/>
        </w:rPr>
        <w:t>gift </w:t>
      </w:r>
      <w:r>
        <w:rPr>
          <w:w w:val="120"/>
          <w:sz w:val="20"/>
        </w:rPr>
        <w:t>of our</w:t>
      </w:r>
      <w:r>
        <w:rPr>
          <w:spacing w:val="20"/>
          <w:w w:val="120"/>
          <w:sz w:val="20"/>
        </w:rPr>
        <w:t> </w:t>
      </w:r>
      <w:r>
        <w:rPr>
          <w:w w:val="120"/>
          <w:sz w:val="20"/>
        </w:rPr>
        <w:t>tradition.</w:t>
      </w:r>
    </w:p>
    <w:p>
      <w:pPr>
        <w:pStyle w:val="BodyText"/>
        <w:spacing w:before="5"/>
        <w:rPr>
          <w:sz w:val="19"/>
        </w:rPr>
      </w:pPr>
    </w:p>
    <w:p>
      <w:pPr>
        <w:pStyle w:val="ListParagraph"/>
        <w:numPr>
          <w:ilvl w:val="2"/>
          <w:numId w:val="150"/>
        </w:numPr>
        <w:tabs>
          <w:tab w:pos="1287" w:val="left" w:leader="none"/>
          <w:tab w:pos="1288" w:val="left" w:leader="none"/>
        </w:tabs>
        <w:spacing w:line="235" w:lineRule="auto" w:before="0" w:after="0"/>
        <w:ind w:left="607" w:right="2978" w:firstLine="0"/>
        <w:jc w:val="left"/>
        <w:rPr>
          <w:sz w:val="20"/>
        </w:rPr>
      </w:pPr>
      <w:r>
        <w:rPr>
          <w:w w:val="120"/>
          <w:sz w:val="20"/>
        </w:rPr>
        <w:t>The 500th Anniversary celebration of the Reformation in </w:t>
      </w:r>
      <w:r>
        <w:rPr>
          <w:spacing w:val="-9"/>
          <w:w w:val="120"/>
          <w:sz w:val="20"/>
        </w:rPr>
        <w:t>2017 </w:t>
      </w:r>
      <w:r>
        <w:rPr>
          <w:w w:val="120"/>
          <w:sz w:val="20"/>
        </w:rPr>
        <w:t>offers an opportunity for study and reflection for United Reformed</w:t>
      </w:r>
      <w:r>
        <w:rPr>
          <w:spacing w:val="26"/>
          <w:w w:val="120"/>
          <w:sz w:val="20"/>
        </w:rPr>
        <w:t> </w:t>
      </w:r>
      <w:r>
        <w:rPr>
          <w:w w:val="120"/>
          <w:sz w:val="20"/>
        </w:rPr>
        <w:t>churches.</w:t>
      </w:r>
    </w:p>
    <w:p>
      <w:pPr>
        <w:pStyle w:val="BodyText"/>
        <w:spacing w:before="5"/>
        <w:rPr>
          <w:sz w:val="18"/>
        </w:rPr>
      </w:pPr>
    </w:p>
    <w:p>
      <w:pPr>
        <w:pStyle w:val="Heading7"/>
        <w:numPr>
          <w:ilvl w:val="1"/>
          <w:numId w:val="150"/>
        </w:numPr>
        <w:tabs>
          <w:tab w:pos="1287" w:val="left" w:leader="none"/>
          <w:tab w:pos="1288" w:val="left" w:leader="none"/>
        </w:tabs>
        <w:spacing w:line="261" w:lineRule="exact" w:before="0" w:after="0"/>
        <w:ind w:left="1287" w:right="0" w:hanging="681"/>
        <w:jc w:val="left"/>
      </w:pPr>
      <w:r>
        <w:rPr>
          <w:w w:val="110"/>
        </w:rPr>
        <w:t>New possibilities and</w:t>
      </w:r>
      <w:r>
        <w:rPr>
          <w:spacing w:val="-1"/>
          <w:w w:val="110"/>
        </w:rPr>
        <w:t> </w:t>
      </w:r>
      <w:r>
        <w:rPr>
          <w:w w:val="110"/>
        </w:rPr>
        <w:t>challenges</w:t>
      </w:r>
    </w:p>
    <w:p>
      <w:pPr>
        <w:pStyle w:val="ListParagraph"/>
        <w:numPr>
          <w:ilvl w:val="2"/>
          <w:numId w:val="150"/>
        </w:numPr>
        <w:tabs>
          <w:tab w:pos="1288" w:val="left" w:leader="none"/>
        </w:tabs>
        <w:spacing w:line="235" w:lineRule="auto" w:before="0" w:after="0"/>
        <w:ind w:left="607" w:right="2505" w:firstLine="0"/>
        <w:jc w:val="left"/>
        <w:rPr>
          <w:sz w:val="20"/>
        </w:rPr>
      </w:pPr>
      <w:r>
        <w:rPr>
          <w:w w:val="120"/>
          <w:sz w:val="20"/>
        </w:rPr>
        <w:t>Deepening our knowledge of this Reformed tradition equips the Church to be more faithful in contemporary opportunities for mission. There is a need for</w:t>
      </w:r>
      <w:r>
        <w:rPr>
          <w:spacing w:val="29"/>
          <w:w w:val="120"/>
          <w:sz w:val="20"/>
        </w:rPr>
        <w:t> </w:t>
      </w:r>
      <w:r>
        <w:rPr>
          <w:w w:val="120"/>
          <w:sz w:val="20"/>
        </w:rPr>
        <w:t>the</w:t>
      </w:r>
    </w:p>
    <w:p>
      <w:pPr>
        <w:pStyle w:val="BodyText"/>
        <w:spacing w:line="235" w:lineRule="auto"/>
        <w:ind w:left="607" w:right="1478"/>
      </w:pPr>
      <w:r>
        <w:rPr>
          <w:w w:val="120"/>
        </w:rPr>
        <w:t>councils to work more closely together and the local churches to feel more affirmed and supported by the wider councils.</w:t>
      </w:r>
    </w:p>
    <w:p>
      <w:pPr>
        <w:pStyle w:val="BodyText"/>
        <w:spacing w:before="6"/>
        <w:rPr>
          <w:sz w:val="19"/>
        </w:rPr>
      </w:pPr>
    </w:p>
    <w:p>
      <w:pPr>
        <w:pStyle w:val="ListParagraph"/>
        <w:numPr>
          <w:ilvl w:val="2"/>
          <w:numId w:val="150"/>
        </w:numPr>
        <w:tabs>
          <w:tab w:pos="1288" w:val="left" w:leader="none"/>
        </w:tabs>
        <w:spacing w:line="235" w:lineRule="auto" w:before="0" w:after="0"/>
        <w:ind w:left="607" w:right="2154" w:firstLine="0"/>
        <w:jc w:val="left"/>
        <w:rPr>
          <w:sz w:val="20"/>
        </w:rPr>
      </w:pPr>
      <w:r>
        <w:rPr>
          <w:w w:val="120"/>
          <w:sz w:val="20"/>
        </w:rPr>
        <w:t>In </w:t>
      </w:r>
      <w:r>
        <w:rPr>
          <w:spacing w:val="-9"/>
          <w:w w:val="120"/>
          <w:sz w:val="20"/>
        </w:rPr>
        <w:t>2017 </w:t>
      </w:r>
      <w:r>
        <w:rPr>
          <w:w w:val="120"/>
          <w:sz w:val="20"/>
        </w:rPr>
        <w:t>the commemoration of the Reformation will provide an important occasion to focus particularly on those aspects of our identity that belong to our Reformed heritage. A study guide produced by the Faith and Order Committee, along with a number of other initiatives offered ecumenically, will aid our</w:t>
      </w:r>
      <w:r>
        <w:rPr>
          <w:spacing w:val="13"/>
          <w:w w:val="120"/>
          <w:sz w:val="20"/>
        </w:rPr>
        <w:t> </w:t>
      </w:r>
      <w:r>
        <w:rPr>
          <w:w w:val="120"/>
          <w:sz w:val="20"/>
        </w:rPr>
        <w:t>reflection.</w:t>
      </w:r>
    </w:p>
    <w:p>
      <w:pPr>
        <w:pStyle w:val="BodyText"/>
        <w:spacing w:before="9"/>
        <w:rPr>
          <w:sz w:val="23"/>
        </w:rPr>
      </w:pPr>
    </w:p>
    <w:p>
      <w:pPr>
        <w:spacing w:before="0"/>
        <w:ind w:left="607" w:right="0" w:firstLine="0"/>
        <w:jc w:val="left"/>
        <w:rPr>
          <w:i/>
          <w:sz w:val="29"/>
        </w:rPr>
      </w:pPr>
      <w:r>
        <w:rPr>
          <w:i/>
          <w:spacing w:val="2"/>
          <w:w w:val="110"/>
          <w:sz w:val="29"/>
        </w:rPr>
        <w:t>God </w:t>
      </w:r>
      <w:r>
        <w:rPr>
          <w:i/>
          <w:w w:val="110"/>
          <w:sz w:val="29"/>
        </w:rPr>
        <w:t>leads </w:t>
      </w:r>
      <w:r>
        <w:rPr>
          <w:i/>
          <w:spacing w:val="2"/>
          <w:w w:val="110"/>
          <w:sz w:val="29"/>
        </w:rPr>
        <w:t>people </w:t>
      </w:r>
      <w:r>
        <w:rPr>
          <w:i/>
          <w:w w:val="110"/>
          <w:sz w:val="29"/>
        </w:rPr>
        <w:t>into</w:t>
      </w:r>
      <w:r>
        <w:rPr>
          <w:i/>
          <w:spacing w:val="70"/>
          <w:w w:val="110"/>
          <w:sz w:val="29"/>
        </w:rPr>
        <w:t> </w:t>
      </w:r>
      <w:r>
        <w:rPr>
          <w:i/>
          <w:spacing w:val="4"/>
          <w:w w:val="110"/>
          <w:sz w:val="29"/>
        </w:rPr>
        <w:t>truth</w:t>
      </w:r>
    </w:p>
    <w:p>
      <w:pPr>
        <w:pStyle w:val="Heading7"/>
        <w:numPr>
          <w:ilvl w:val="1"/>
          <w:numId w:val="151"/>
        </w:numPr>
        <w:tabs>
          <w:tab w:pos="1287" w:val="left" w:leader="none"/>
          <w:tab w:pos="1288" w:val="left" w:leader="none"/>
        </w:tabs>
        <w:spacing w:line="261" w:lineRule="exact" w:before="73" w:after="0"/>
        <w:ind w:left="1287" w:right="0" w:hanging="681"/>
        <w:jc w:val="left"/>
      </w:pPr>
      <w:r>
        <w:rPr>
          <w:w w:val="110"/>
        </w:rPr>
        <w:t>We</w:t>
      </w:r>
      <w:r>
        <w:rPr>
          <w:spacing w:val="-1"/>
          <w:w w:val="110"/>
        </w:rPr>
        <w:t> </w:t>
      </w:r>
      <w:r>
        <w:rPr>
          <w:w w:val="110"/>
        </w:rPr>
        <w:t>celebrate</w:t>
      </w:r>
    </w:p>
    <w:p>
      <w:pPr>
        <w:pStyle w:val="ListParagraph"/>
        <w:numPr>
          <w:ilvl w:val="2"/>
          <w:numId w:val="151"/>
        </w:numPr>
        <w:tabs>
          <w:tab w:pos="1287" w:val="left" w:leader="none"/>
          <w:tab w:pos="1288" w:val="left" w:leader="none"/>
        </w:tabs>
        <w:spacing w:line="235" w:lineRule="auto" w:before="0" w:after="0"/>
        <w:ind w:left="607" w:right="2267" w:firstLine="0"/>
        <w:jc w:val="left"/>
        <w:rPr>
          <w:sz w:val="20"/>
        </w:rPr>
      </w:pPr>
      <w:r>
        <w:rPr>
          <w:spacing w:val="2"/>
          <w:w w:val="120"/>
          <w:sz w:val="20"/>
        </w:rPr>
        <w:t>The particular drawing </w:t>
      </w:r>
      <w:r>
        <w:rPr>
          <w:w w:val="120"/>
          <w:sz w:val="20"/>
        </w:rPr>
        <w:t>together of Scripture, </w:t>
      </w:r>
      <w:r>
        <w:rPr>
          <w:spacing w:val="2"/>
          <w:w w:val="120"/>
          <w:sz w:val="20"/>
        </w:rPr>
        <w:t>tradition </w:t>
      </w:r>
      <w:r>
        <w:rPr>
          <w:w w:val="120"/>
          <w:sz w:val="20"/>
        </w:rPr>
        <w:t>and </w:t>
      </w:r>
      <w:r>
        <w:rPr>
          <w:spacing w:val="2"/>
          <w:w w:val="120"/>
          <w:sz w:val="20"/>
        </w:rPr>
        <w:t>experience </w:t>
      </w:r>
      <w:r>
        <w:rPr>
          <w:w w:val="120"/>
          <w:sz w:val="20"/>
        </w:rPr>
        <w:t>that are God’s </w:t>
      </w:r>
      <w:r>
        <w:rPr>
          <w:spacing w:val="3"/>
          <w:w w:val="120"/>
          <w:sz w:val="20"/>
        </w:rPr>
        <w:t>gift </w:t>
      </w:r>
      <w:r>
        <w:rPr>
          <w:w w:val="120"/>
          <w:sz w:val="20"/>
        </w:rPr>
        <w:t>to this Church </w:t>
      </w:r>
      <w:r>
        <w:rPr>
          <w:spacing w:val="-5"/>
          <w:w w:val="120"/>
          <w:sz w:val="20"/>
        </w:rPr>
        <w:t>(as </w:t>
      </w:r>
      <w:r>
        <w:rPr>
          <w:w w:val="120"/>
          <w:sz w:val="20"/>
        </w:rPr>
        <w:t>seen in the URC’s founding document </w:t>
      </w:r>
      <w:r>
        <w:rPr>
          <w:spacing w:val="-7"/>
          <w:w w:val="120"/>
          <w:sz w:val="20"/>
        </w:rPr>
        <w:t>‘A </w:t>
      </w:r>
      <w:r>
        <w:rPr>
          <w:w w:val="120"/>
          <w:sz w:val="20"/>
        </w:rPr>
        <w:t>Statement Concerning the Nature, Faith and </w:t>
      </w:r>
      <w:r>
        <w:rPr>
          <w:spacing w:val="2"/>
          <w:w w:val="120"/>
          <w:sz w:val="20"/>
        </w:rPr>
        <w:t>Order </w:t>
      </w:r>
      <w:r>
        <w:rPr>
          <w:w w:val="120"/>
          <w:sz w:val="20"/>
        </w:rPr>
        <w:t>of the United </w:t>
      </w:r>
      <w:r>
        <w:rPr>
          <w:spacing w:val="2"/>
          <w:w w:val="120"/>
          <w:sz w:val="20"/>
        </w:rPr>
        <w:t>Reformed </w:t>
      </w:r>
      <w:r>
        <w:rPr>
          <w:w w:val="120"/>
          <w:sz w:val="20"/>
        </w:rPr>
        <w:t>Church’ </w:t>
      </w:r>
      <w:r>
        <w:rPr>
          <w:i/>
          <w:w w:val="120"/>
          <w:sz w:val="20"/>
        </w:rPr>
        <w:t>– </w:t>
      </w:r>
      <w:r>
        <w:rPr>
          <w:spacing w:val="2"/>
          <w:w w:val="120"/>
          <w:sz w:val="20"/>
        </w:rPr>
        <w:t>see </w:t>
      </w:r>
      <w:r>
        <w:rPr>
          <w:w w:val="120"/>
          <w:sz w:val="20"/>
        </w:rPr>
        <w:t>URC website).</w:t>
      </w:r>
    </w:p>
    <w:p>
      <w:pPr>
        <w:pStyle w:val="BodyText"/>
        <w:spacing w:before="6"/>
        <w:rPr>
          <w:sz w:val="19"/>
        </w:rPr>
      </w:pPr>
    </w:p>
    <w:p>
      <w:pPr>
        <w:pStyle w:val="ListParagraph"/>
        <w:numPr>
          <w:ilvl w:val="2"/>
          <w:numId w:val="151"/>
        </w:numPr>
        <w:tabs>
          <w:tab w:pos="1287" w:val="left" w:leader="none"/>
          <w:tab w:pos="1288" w:val="left" w:leader="none"/>
        </w:tabs>
        <w:spacing w:line="235" w:lineRule="auto" w:before="0" w:after="0"/>
        <w:ind w:left="607" w:right="2021" w:firstLine="0"/>
        <w:jc w:val="left"/>
        <w:rPr>
          <w:sz w:val="20"/>
        </w:rPr>
      </w:pPr>
      <w:r>
        <w:rPr>
          <w:w w:val="120"/>
          <w:sz w:val="20"/>
        </w:rPr>
        <w:t>The variety of ways of studying and interpreting Scripture. Growing in   knowledge and understanding of Scripture helps to articulate the faith in relation to tradition and experience and to give confidence to God’s people to speak of the faith in a changing</w:t>
      </w:r>
      <w:r>
        <w:rPr>
          <w:spacing w:val="4"/>
          <w:w w:val="120"/>
          <w:sz w:val="20"/>
        </w:rPr>
        <w:t> </w:t>
      </w:r>
      <w:r>
        <w:rPr>
          <w:w w:val="120"/>
          <w:sz w:val="20"/>
        </w:rPr>
        <w:t>world.</w:t>
      </w:r>
    </w:p>
    <w:p>
      <w:pPr>
        <w:spacing w:after="0" w:line="235" w:lineRule="auto"/>
        <w:jc w:val="left"/>
        <w:rPr>
          <w:sz w:val="20"/>
        </w:rPr>
        <w:sectPr>
          <w:headerReference w:type="even" r:id="rId348"/>
          <w:pgSz w:w="11910" w:h="16840"/>
          <w:pgMar w:header="0" w:footer="647" w:top="0" w:bottom="840" w:left="640" w:right="0"/>
        </w:sectPr>
      </w:pPr>
    </w:p>
    <w:p>
      <w:pPr>
        <w:pStyle w:val="BodyText"/>
      </w:pPr>
      <w:r>
        <w:rPr/>
        <w:drawing>
          <wp:anchor distT="0" distB="0" distL="0" distR="0" allowOverlap="1" layoutInCell="1" locked="0" behindDoc="0" simplePos="0" relativeHeight="251982848">
            <wp:simplePos x="0" y="0"/>
            <wp:positionH relativeFrom="page">
              <wp:posOffset>6974928</wp:posOffset>
            </wp:positionH>
            <wp:positionV relativeFrom="page">
              <wp:posOffset>0</wp:posOffset>
            </wp:positionV>
            <wp:extent cx="585063" cy="10692003"/>
            <wp:effectExtent l="0" t="0" r="0" b="0"/>
            <wp:wrapNone/>
            <wp:docPr id="233" name="image54.png"/>
            <wp:cNvGraphicFramePr>
              <a:graphicFrameLocks noChangeAspect="1"/>
            </wp:cNvGraphicFramePr>
            <a:graphic>
              <a:graphicData uri="http://schemas.openxmlformats.org/drawingml/2006/picture">
                <pic:pic>
                  <pic:nvPicPr>
                    <pic:cNvPr id="234" name="image54.png"/>
                    <pic:cNvPicPr/>
                  </pic:nvPicPr>
                  <pic:blipFill>
                    <a:blip r:embed="rId169" cstate="print"/>
                    <a:stretch>
                      <a:fillRect/>
                    </a:stretch>
                  </pic:blipFill>
                  <pic:spPr>
                    <a:xfrm>
                      <a:off x="0" y="0"/>
                      <a:ext cx="585063" cy="10692003"/>
                    </a:xfrm>
                    <a:prstGeom prst="rect">
                      <a:avLst/>
                    </a:prstGeom>
                  </pic:spPr>
                </pic:pic>
              </a:graphicData>
            </a:graphic>
          </wp:anchor>
        </w:drawing>
      </w:r>
    </w:p>
    <w:p>
      <w:pPr>
        <w:pStyle w:val="BodyText"/>
        <w:spacing w:before="7"/>
        <w:rPr>
          <w:sz w:val="21"/>
        </w:rPr>
      </w:pPr>
    </w:p>
    <w:p>
      <w:pPr>
        <w:spacing w:before="106"/>
        <w:ind w:left="0" w:right="1245" w:firstLine="0"/>
        <w:jc w:val="right"/>
        <w:rPr>
          <w:sz w:val="26"/>
        </w:rPr>
      </w:pPr>
      <w:r>
        <w:rPr/>
        <w:pict>
          <v:shape style="position:absolute;margin-left:554.141174pt;margin-top:22.593945pt;width:25.9pt;height:717.2pt;mso-position-horizontal-relative:page;mso-position-vertical-relative:paragraph;z-index:251983872" type="#_x0000_t202" filled="false" stroked="false">
            <v:textbox inset="0,0,0,0" style="layout-flow:vertical">
              <w:txbxContent>
                <w:p>
                  <w:pPr>
                    <w:spacing w:before="27"/>
                    <w:ind w:left="20" w:right="0" w:firstLine="0"/>
                    <w:jc w:val="left"/>
                    <w:rPr>
                      <w:sz w:val="39"/>
                    </w:rPr>
                  </w:pPr>
                  <w:r>
                    <w:rPr>
                      <w:color w:val="FFFFFF"/>
                      <w:w w:val="125"/>
                      <w:sz w:val="39"/>
                    </w:rPr>
                    <w:t>Faith and order – </w:t>
                  </w:r>
                  <w:r>
                    <w:rPr>
                      <w:w w:val="125"/>
                      <w:sz w:val="39"/>
                    </w:rPr>
                    <w:t>What is the Spirit saying to the Churches </w:t>
                  </w:r>
                  <w:r>
                    <w:rPr>
                      <w:color w:val="FFFFFF"/>
                      <w:w w:val="125"/>
                      <w:sz w:val="39"/>
                    </w:rPr>
                    <w:t>– </w:t>
                  </w:r>
                  <w:r>
                    <w:rPr>
                      <w:w w:val="125"/>
                      <w:sz w:val="39"/>
                    </w:rPr>
                    <w:t>Appendix</w:t>
                  </w:r>
                </w:p>
              </w:txbxContent>
            </v:textbox>
            <w10:wrap type="none"/>
          </v:shape>
        </w:pict>
      </w:r>
      <w:r>
        <w:rPr>
          <w:color w:val="7EAABF"/>
          <w:w w:val="115"/>
          <w:sz w:val="26"/>
        </w:rPr>
        <w:t>Faith and order</w:t>
      </w:r>
    </w:p>
    <w:p>
      <w:pPr>
        <w:pStyle w:val="ListParagraph"/>
        <w:numPr>
          <w:ilvl w:val="2"/>
          <w:numId w:val="151"/>
        </w:numPr>
        <w:tabs>
          <w:tab w:pos="2025" w:val="left" w:leader="none"/>
        </w:tabs>
        <w:spacing w:line="235" w:lineRule="auto" w:before="222" w:after="0"/>
        <w:ind w:left="1344" w:right="1995" w:firstLine="0"/>
        <w:jc w:val="both"/>
        <w:rPr>
          <w:sz w:val="20"/>
        </w:rPr>
      </w:pPr>
      <w:r>
        <w:rPr>
          <w:w w:val="120"/>
          <w:sz w:val="20"/>
        </w:rPr>
        <w:t>The times we have stood for truth against the prevailing culture, as in our Dissenting history, and the new understandings and initiatives to which we have been</w:t>
      </w:r>
      <w:r>
        <w:rPr>
          <w:spacing w:val="2"/>
          <w:w w:val="120"/>
          <w:sz w:val="20"/>
        </w:rPr>
        <w:t> </w:t>
      </w:r>
      <w:r>
        <w:rPr>
          <w:w w:val="120"/>
          <w:sz w:val="20"/>
        </w:rPr>
        <w:t>led.</w:t>
      </w:r>
    </w:p>
    <w:p>
      <w:pPr>
        <w:pStyle w:val="BodyText"/>
        <w:spacing w:before="6"/>
        <w:rPr>
          <w:sz w:val="18"/>
        </w:rPr>
      </w:pPr>
    </w:p>
    <w:p>
      <w:pPr>
        <w:pStyle w:val="Heading7"/>
        <w:numPr>
          <w:ilvl w:val="1"/>
          <w:numId w:val="151"/>
        </w:numPr>
        <w:tabs>
          <w:tab w:pos="2024" w:val="left" w:leader="none"/>
          <w:tab w:pos="2025" w:val="left" w:leader="none"/>
        </w:tabs>
        <w:spacing w:line="261" w:lineRule="exact" w:before="0" w:after="0"/>
        <w:ind w:left="2024" w:right="0" w:hanging="681"/>
        <w:jc w:val="left"/>
      </w:pPr>
      <w:r>
        <w:rPr>
          <w:w w:val="110"/>
        </w:rPr>
        <w:t>New possibilities and</w:t>
      </w:r>
      <w:r>
        <w:rPr>
          <w:spacing w:val="-1"/>
          <w:w w:val="110"/>
        </w:rPr>
        <w:t> </w:t>
      </w:r>
      <w:r>
        <w:rPr>
          <w:w w:val="110"/>
        </w:rPr>
        <w:t>challenges</w:t>
      </w:r>
    </w:p>
    <w:p>
      <w:pPr>
        <w:pStyle w:val="ListParagraph"/>
        <w:numPr>
          <w:ilvl w:val="2"/>
          <w:numId w:val="151"/>
        </w:numPr>
        <w:tabs>
          <w:tab w:pos="2025" w:val="left" w:leader="none"/>
        </w:tabs>
        <w:spacing w:line="235" w:lineRule="auto" w:before="0" w:after="0"/>
        <w:ind w:left="1344" w:right="1252" w:firstLine="0"/>
        <w:jc w:val="left"/>
        <w:rPr>
          <w:sz w:val="20"/>
        </w:rPr>
      </w:pPr>
      <w:r>
        <w:rPr>
          <w:w w:val="120"/>
          <w:sz w:val="20"/>
        </w:rPr>
        <w:t>Renewed study of </w:t>
      </w:r>
      <w:r>
        <w:rPr>
          <w:spacing w:val="-8"/>
          <w:w w:val="120"/>
          <w:sz w:val="20"/>
        </w:rPr>
        <w:t>‘A </w:t>
      </w:r>
      <w:r>
        <w:rPr>
          <w:w w:val="120"/>
          <w:sz w:val="20"/>
        </w:rPr>
        <w:t>Statement of the Nature, Faith and Order of the United Reformed</w:t>
      </w:r>
      <w:r>
        <w:rPr>
          <w:spacing w:val="12"/>
          <w:w w:val="120"/>
          <w:sz w:val="20"/>
        </w:rPr>
        <w:t> </w:t>
      </w:r>
      <w:r>
        <w:rPr>
          <w:spacing w:val="-4"/>
          <w:w w:val="120"/>
          <w:sz w:val="20"/>
        </w:rPr>
        <w:t>Church’,</w:t>
      </w:r>
      <w:r>
        <w:rPr>
          <w:spacing w:val="13"/>
          <w:w w:val="120"/>
          <w:sz w:val="20"/>
        </w:rPr>
        <w:t> </w:t>
      </w:r>
      <w:r>
        <w:rPr>
          <w:w w:val="120"/>
          <w:sz w:val="20"/>
        </w:rPr>
        <w:t>(building</w:t>
      </w:r>
      <w:r>
        <w:rPr>
          <w:spacing w:val="13"/>
          <w:w w:val="120"/>
          <w:sz w:val="20"/>
        </w:rPr>
        <w:t> </w:t>
      </w:r>
      <w:r>
        <w:rPr>
          <w:w w:val="120"/>
          <w:sz w:val="20"/>
        </w:rPr>
        <w:t>on</w:t>
      </w:r>
      <w:r>
        <w:rPr>
          <w:spacing w:val="13"/>
          <w:w w:val="120"/>
          <w:sz w:val="20"/>
        </w:rPr>
        <w:t> </w:t>
      </w:r>
      <w:r>
        <w:rPr>
          <w:w w:val="120"/>
          <w:sz w:val="20"/>
        </w:rPr>
        <w:t>the</w:t>
      </w:r>
      <w:r>
        <w:rPr>
          <w:spacing w:val="13"/>
          <w:w w:val="120"/>
          <w:sz w:val="20"/>
        </w:rPr>
        <w:t> </w:t>
      </w:r>
      <w:r>
        <w:rPr>
          <w:w w:val="120"/>
          <w:sz w:val="20"/>
        </w:rPr>
        <w:t>study</w:t>
      </w:r>
      <w:r>
        <w:rPr>
          <w:spacing w:val="13"/>
          <w:w w:val="120"/>
          <w:sz w:val="20"/>
        </w:rPr>
        <w:t> </w:t>
      </w:r>
      <w:r>
        <w:rPr>
          <w:w w:val="120"/>
          <w:sz w:val="20"/>
        </w:rPr>
        <w:t>guide</w:t>
      </w:r>
      <w:r>
        <w:rPr>
          <w:spacing w:val="13"/>
          <w:w w:val="120"/>
          <w:sz w:val="20"/>
        </w:rPr>
        <w:t> </w:t>
      </w:r>
      <w:r>
        <w:rPr>
          <w:w w:val="120"/>
          <w:sz w:val="20"/>
        </w:rPr>
        <w:t>‘What</w:t>
      </w:r>
      <w:r>
        <w:rPr>
          <w:spacing w:val="12"/>
          <w:w w:val="120"/>
          <w:sz w:val="20"/>
        </w:rPr>
        <w:t> </w:t>
      </w:r>
      <w:r>
        <w:rPr>
          <w:w w:val="120"/>
          <w:sz w:val="20"/>
        </w:rPr>
        <w:t>is</w:t>
      </w:r>
      <w:r>
        <w:rPr>
          <w:spacing w:val="13"/>
          <w:w w:val="120"/>
          <w:sz w:val="20"/>
        </w:rPr>
        <w:t> </w:t>
      </w:r>
      <w:r>
        <w:rPr>
          <w:w w:val="120"/>
          <w:sz w:val="20"/>
        </w:rPr>
        <w:t>the</w:t>
      </w:r>
      <w:r>
        <w:rPr>
          <w:spacing w:val="13"/>
          <w:w w:val="120"/>
          <w:sz w:val="20"/>
        </w:rPr>
        <w:t> </w:t>
      </w:r>
      <w:r>
        <w:rPr>
          <w:w w:val="120"/>
          <w:sz w:val="20"/>
        </w:rPr>
        <w:t>United</w:t>
      </w:r>
      <w:r>
        <w:rPr>
          <w:spacing w:val="13"/>
          <w:w w:val="120"/>
          <w:sz w:val="20"/>
        </w:rPr>
        <w:t> </w:t>
      </w:r>
      <w:r>
        <w:rPr>
          <w:w w:val="120"/>
          <w:sz w:val="20"/>
        </w:rPr>
        <w:t>Reformed</w:t>
      </w:r>
      <w:r>
        <w:rPr>
          <w:spacing w:val="13"/>
          <w:w w:val="120"/>
          <w:sz w:val="20"/>
        </w:rPr>
        <w:t> </w:t>
      </w:r>
      <w:r>
        <w:rPr>
          <w:w w:val="120"/>
          <w:sz w:val="20"/>
        </w:rPr>
        <w:t>Church?’</w:t>
      </w:r>
    </w:p>
    <w:p>
      <w:pPr>
        <w:pStyle w:val="BodyText"/>
        <w:spacing w:line="235" w:lineRule="auto"/>
        <w:ind w:left="1344" w:right="1425"/>
      </w:pPr>
      <w:r>
        <w:rPr>
          <w:w w:val="120"/>
        </w:rPr>
        <w:t>– to be found on the URC </w:t>
      </w:r>
      <w:r>
        <w:rPr>
          <w:spacing w:val="-4"/>
          <w:w w:val="120"/>
        </w:rPr>
        <w:t>website) </w:t>
      </w:r>
      <w:r>
        <w:rPr>
          <w:w w:val="120"/>
        </w:rPr>
        <w:t>so that congregations and members are aware of the foundations of this particular tradition of the Church and what these traditions still offer this Church and the world in which this Church is</w:t>
      </w:r>
      <w:r>
        <w:rPr>
          <w:spacing w:val="28"/>
          <w:w w:val="120"/>
        </w:rPr>
        <w:t> </w:t>
      </w:r>
      <w:r>
        <w:rPr>
          <w:w w:val="120"/>
        </w:rPr>
        <w:t>set.</w:t>
      </w:r>
    </w:p>
    <w:p>
      <w:pPr>
        <w:pStyle w:val="BodyText"/>
        <w:spacing w:before="6"/>
        <w:rPr>
          <w:sz w:val="19"/>
        </w:rPr>
      </w:pPr>
    </w:p>
    <w:p>
      <w:pPr>
        <w:pStyle w:val="ListParagraph"/>
        <w:numPr>
          <w:ilvl w:val="2"/>
          <w:numId w:val="151"/>
        </w:numPr>
        <w:tabs>
          <w:tab w:pos="2025" w:val="left" w:leader="none"/>
        </w:tabs>
        <w:spacing w:line="235" w:lineRule="auto" w:before="0" w:after="0"/>
        <w:ind w:left="1344" w:right="1449" w:firstLine="0"/>
        <w:jc w:val="left"/>
        <w:rPr>
          <w:sz w:val="20"/>
        </w:rPr>
      </w:pPr>
      <w:r>
        <w:rPr>
          <w:w w:val="120"/>
          <w:sz w:val="20"/>
        </w:rPr>
        <w:t>Our discussions about the marriage of same-sex couples have highlighted the multiplicity of interpretations of Scripture. The faith and order committee is initiating  a study of the different ways in which we value the Bible in this Church and how these different approaches can be developed</w:t>
      </w:r>
      <w:r>
        <w:rPr>
          <w:spacing w:val="10"/>
          <w:w w:val="120"/>
          <w:sz w:val="20"/>
        </w:rPr>
        <w:t> </w:t>
      </w:r>
      <w:r>
        <w:rPr>
          <w:w w:val="120"/>
          <w:sz w:val="20"/>
        </w:rPr>
        <w:t>further.</w:t>
      </w:r>
    </w:p>
    <w:p>
      <w:pPr>
        <w:pStyle w:val="BodyText"/>
        <w:spacing w:before="11"/>
        <w:rPr>
          <w:sz w:val="19"/>
        </w:rPr>
      </w:pPr>
    </w:p>
    <w:p>
      <w:pPr>
        <w:pStyle w:val="ListParagraph"/>
        <w:numPr>
          <w:ilvl w:val="2"/>
          <w:numId w:val="151"/>
        </w:numPr>
        <w:tabs>
          <w:tab w:pos="2025" w:val="left" w:leader="none"/>
        </w:tabs>
        <w:spacing w:line="235" w:lineRule="auto" w:before="0" w:after="0"/>
        <w:ind w:left="1344" w:right="1711" w:firstLine="0"/>
        <w:jc w:val="left"/>
        <w:rPr>
          <w:sz w:val="20"/>
        </w:rPr>
      </w:pPr>
      <w:r>
        <w:rPr>
          <w:w w:val="120"/>
          <w:sz w:val="20"/>
        </w:rPr>
        <w:t>Engaging in dialogue with science, responding to the ‘new atheism’ and our increasingly secular</w:t>
      </w:r>
      <w:r>
        <w:rPr>
          <w:spacing w:val="4"/>
          <w:w w:val="120"/>
          <w:sz w:val="20"/>
        </w:rPr>
        <w:t> </w:t>
      </w:r>
      <w:r>
        <w:rPr>
          <w:w w:val="120"/>
          <w:sz w:val="20"/>
        </w:rPr>
        <w:t>culture.</w:t>
      </w:r>
    </w:p>
    <w:p>
      <w:pPr>
        <w:pStyle w:val="BodyText"/>
        <w:spacing w:before="10"/>
        <w:rPr>
          <w:sz w:val="19"/>
        </w:rPr>
      </w:pPr>
    </w:p>
    <w:p>
      <w:pPr>
        <w:pStyle w:val="ListParagraph"/>
        <w:numPr>
          <w:ilvl w:val="2"/>
          <w:numId w:val="151"/>
        </w:numPr>
        <w:tabs>
          <w:tab w:pos="2025" w:val="left" w:leader="none"/>
        </w:tabs>
        <w:spacing w:line="235" w:lineRule="auto" w:before="0" w:after="0"/>
        <w:ind w:left="1344" w:right="1525" w:firstLine="0"/>
        <w:jc w:val="left"/>
        <w:rPr>
          <w:sz w:val="20"/>
        </w:rPr>
      </w:pPr>
      <w:r>
        <w:rPr>
          <w:w w:val="120"/>
          <w:sz w:val="20"/>
        </w:rPr>
        <w:t>The way in which the URC is led into prophetic truth in terms of our social and political</w:t>
      </w:r>
      <w:r>
        <w:rPr>
          <w:spacing w:val="2"/>
          <w:w w:val="120"/>
          <w:sz w:val="20"/>
        </w:rPr>
        <w:t> </w:t>
      </w:r>
      <w:r>
        <w:rPr>
          <w:w w:val="120"/>
          <w:sz w:val="20"/>
        </w:rPr>
        <w:t>witness.</w:t>
      </w:r>
    </w:p>
    <w:p>
      <w:pPr>
        <w:pStyle w:val="BodyText"/>
        <w:spacing w:before="8"/>
        <w:rPr>
          <w:sz w:val="23"/>
        </w:rPr>
      </w:pPr>
    </w:p>
    <w:p>
      <w:pPr>
        <w:spacing w:before="0"/>
        <w:ind w:left="1344" w:right="0" w:firstLine="0"/>
        <w:jc w:val="left"/>
        <w:rPr>
          <w:i/>
          <w:sz w:val="29"/>
        </w:rPr>
      </w:pPr>
      <w:r>
        <w:rPr>
          <w:i/>
          <w:w w:val="110"/>
          <w:sz w:val="29"/>
        </w:rPr>
        <w:t>God in Trinity draws people into a relationship of love</w:t>
      </w:r>
    </w:p>
    <w:p>
      <w:pPr>
        <w:pStyle w:val="Heading7"/>
        <w:numPr>
          <w:ilvl w:val="1"/>
          <w:numId w:val="152"/>
        </w:numPr>
        <w:tabs>
          <w:tab w:pos="2024" w:val="left" w:leader="none"/>
          <w:tab w:pos="2025" w:val="left" w:leader="none"/>
        </w:tabs>
        <w:spacing w:line="261" w:lineRule="exact" w:before="72" w:after="0"/>
        <w:ind w:left="2024" w:right="0" w:hanging="681"/>
        <w:jc w:val="left"/>
      </w:pPr>
      <w:r>
        <w:rPr>
          <w:w w:val="110"/>
        </w:rPr>
        <w:t>We</w:t>
      </w:r>
      <w:r>
        <w:rPr>
          <w:spacing w:val="-1"/>
          <w:w w:val="110"/>
        </w:rPr>
        <w:t> </w:t>
      </w:r>
      <w:r>
        <w:rPr>
          <w:w w:val="110"/>
        </w:rPr>
        <w:t>celebrate</w:t>
      </w:r>
    </w:p>
    <w:p>
      <w:pPr>
        <w:pStyle w:val="ListParagraph"/>
        <w:numPr>
          <w:ilvl w:val="2"/>
          <w:numId w:val="152"/>
        </w:numPr>
        <w:tabs>
          <w:tab w:pos="2024" w:val="left" w:leader="none"/>
          <w:tab w:pos="2025" w:val="left" w:leader="none"/>
        </w:tabs>
        <w:spacing w:line="235" w:lineRule="auto" w:before="0" w:after="0"/>
        <w:ind w:left="1344" w:right="1482" w:firstLine="0"/>
        <w:jc w:val="left"/>
        <w:rPr>
          <w:sz w:val="20"/>
        </w:rPr>
      </w:pPr>
      <w:r>
        <w:rPr>
          <w:w w:val="120"/>
          <w:sz w:val="20"/>
        </w:rPr>
        <w:t>There are many good news stories across local churches, particularly as seen in the recent ‘It Just Works’ consultation in Windermere, the valuable work of Pilots, the </w:t>
      </w:r>
      <w:r>
        <w:rPr>
          <w:spacing w:val="-3"/>
          <w:w w:val="120"/>
          <w:sz w:val="20"/>
        </w:rPr>
        <w:t>Youth </w:t>
      </w:r>
      <w:r>
        <w:rPr>
          <w:w w:val="120"/>
          <w:sz w:val="20"/>
        </w:rPr>
        <w:t>Assembly, our ministry among and with children and young people, and the huge range of work that takes place with older</w:t>
      </w:r>
      <w:r>
        <w:rPr>
          <w:spacing w:val="24"/>
          <w:w w:val="120"/>
          <w:sz w:val="20"/>
        </w:rPr>
        <w:t> </w:t>
      </w:r>
      <w:r>
        <w:rPr>
          <w:w w:val="120"/>
          <w:sz w:val="20"/>
        </w:rPr>
        <w:t>people.</w:t>
      </w:r>
    </w:p>
    <w:p>
      <w:pPr>
        <w:pStyle w:val="BodyText"/>
        <w:spacing w:before="6"/>
        <w:rPr>
          <w:sz w:val="19"/>
        </w:rPr>
      </w:pPr>
    </w:p>
    <w:p>
      <w:pPr>
        <w:pStyle w:val="ListParagraph"/>
        <w:numPr>
          <w:ilvl w:val="2"/>
          <w:numId w:val="152"/>
        </w:numPr>
        <w:tabs>
          <w:tab w:pos="2024" w:val="left" w:leader="none"/>
          <w:tab w:pos="2025" w:val="left" w:leader="none"/>
        </w:tabs>
        <w:spacing w:line="235" w:lineRule="auto" w:before="0" w:after="0"/>
        <w:ind w:left="1344" w:right="1855" w:firstLine="0"/>
        <w:jc w:val="left"/>
        <w:rPr>
          <w:sz w:val="20"/>
        </w:rPr>
      </w:pPr>
      <w:r>
        <w:rPr>
          <w:w w:val="120"/>
          <w:sz w:val="20"/>
        </w:rPr>
        <w:t>Elders are a particular </w:t>
      </w:r>
      <w:r>
        <w:rPr>
          <w:spacing w:val="2"/>
          <w:w w:val="120"/>
          <w:sz w:val="20"/>
        </w:rPr>
        <w:t>gift </w:t>
      </w:r>
      <w:r>
        <w:rPr>
          <w:w w:val="120"/>
          <w:sz w:val="20"/>
        </w:rPr>
        <w:t>to the United Reformed church, set aside in each congregation for spiritual leadership and pastoral</w:t>
      </w:r>
      <w:r>
        <w:rPr>
          <w:spacing w:val="14"/>
          <w:w w:val="120"/>
          <w:sz w:val="20"/>
        </w:rPr>
        <w:t> </w:t>
      </w:r>
      <w:r>
        <w:rPr>
          <w:w w:val="120"/>
          <w:sz w:val="20"/>
        </w:rPr>
        <w:t>care.</w:t>
      </w:r>
    </w:p>
    <w:p>
      <w:pPr>
        <w:pStyle w:val="BodyText"/>
        <w:spacing w:before="10"/>
        <w:rPr>
          <w:sz w:val="19"/>
        </w:rPr>
      </w:pPr>
    </w:p>
    <w:p>
      <w:pPr>
        <w:pStyle w:val="ListParagraph"/>
        <w:numPr>
          <w:ilvl w:val="2"/>
          <w:numId w:val="152"/>
        </w:numPr>
        <w:tabs>
          <w:tab w:pos="2024" w:val="left" w:leader="none"/>
          <w:tab w:pos="2025" w:val="left" w:leader="none"/>
        </w:tabs>
        <w:spacing w:line="235" w:lineRule="auto" w:before="0" w:after="0"/>
        <w:ind w:left="1344" w:right="1677" w:firstLine="0"/>
        <w:jc w:val="left"/>
        <w:rPr>
          <w:sz w:val="20"/>
        </w:rPr>
      </w:pPr>
      <w:r>
        <w:rPr>
          <w:w w:val="120"/>
          <w:sz w:val="20"/>
        </w:rPr>
        <w:t>Ministers of word and sacrament, entrusted with oversight and inspiration of each congregation, have a particular role in</w:t>
      </w:r>
      <w:r>
        <w:rPr>
          <w:spacing w:val="18"/>
          <w:w w:val="120"/>
          <w:sz w:val="20"/>
        </w:rPr>
        <w:t> </w:t>
      </w:r>
      <w:r>
        <w:rPr>
          <w:w w:val="120"/>
          <w:sz w:val="20"/>
        </w:rPr>
        <w:t>leadership.</w:t>
      </w:r>
    </w:p>
    <w:p>
      <w:pPr>
        <w:pStyle w:val="BodyText"/>
        <w:spacing w:before="5"/>
        <w:rPr>
          <w:sz w:val="18"/>
        </w:rPr>
      </w:pPr>
    </w:p>
    <w:p>
      <w:pPr>
        <w:pStyle w:val="Heading7"/>
        <w:numPr>
          <w:ilvl w:val="1"/>
          <w:numId w:val="152"/>
        </w:numPr>
        <w:tabs>
          <w:tab w:pos="2024" w:val="left" w:leader="none"/>
          <w:tab w:pos="2025" w:val="left" w:leader="none"/>
        </w:tabs>
        <w:spacing w:line="261" w:lineRule="exact" w:before="0" w:after="0"/>
        <w:ind w:left="2024" w:right="0" w:hanging="681"/>
        <w:jc w:val="left"/>
      </w:pPr>
      <w:r>
        <w:rPr>
          <w:w w:val="110"/>
        </w:rPr>
        <w:t>New possibilities and</w:t>
      </w:r>
      <w:r>
        <w:rPr>
          <w:spacing w:val="-1"/>
          <w:w w:val="110"/>
        </w:rPr>
        <w:t> </w:t>
      </w:r>
      <w:r>
        <w:rPr>
          <w:w w:val="110"/>
        </w:rPr>
        <w:t>challenges</w:t>
      </w:r>
    </w:p>
    <w:p>
      <w:pPr>
        <w:pStyle w:val="ListParagraph"/>
        <w:numPr>
          <w:ilvl w:val="2"/>
          <w:numId w:val="152"/>
        </w:numPr>
        <w:tabs>
          <w:tab w:pos="2025" w:val="left" w:leader="none"/>
        </w:tabs>
        <w:spacing w:line="235" w:lineRule="auto" w:before="0" w:after="0"/>
        <w:ind w:left="1344" w:right="1273" w:firstLine="0"/>
        <w:jc w:val="both"/>
        <w:rPr>
          <w:sz w:val="20"/>
        </w:rPr>
      </w:pPr>
      <w:r>
        <w:rPr>
          <w:w w:val="120"/>
          <w:sz w:val="20"/>
        </w:rPr>
        <w:t>The proposed focus on Missional Discipleship is being developed to help people to grow in the knowledge of God and the inspiration of the Holy Spirit in order to reach out to people in a spiritually hungry</w:t>
      </w:r>
      <w:r>
        <w:rPr>
          <w:spacing w:val="19"/>
          <w:w w:val="120"/>
          <w:sz w:val="20"/>
        </w:rPr>
        <w:t> </w:t>
      </w:r>
      <w:r>
        <w:rPr>
          <w:w w:val="120"/>
          <w:sz w:val="20"/>
        </w:rPr>
        <w:t>world.</w:t>
      </w:r>
    </w:p>
    <w:p>
      <w:pPr>
        <w:pStyle w:val="BodyText"/>
        <w:spacing w:before="5"/>
        <w:rPr>
          <w:sz w:val="19"/>
        </w:rPr>
      </w:pPr>
    </w:p>
    <w:p>
      <w:pPr>
        <w:pStyle w:val="ListParagraph"/>
        <w:numPr>
          <w:ilvl w:val="2"/>
          <w:numId w:val="152"/>
        </w:numPr>
        <w:tabs>
          <w:tab w:pos="2025" w:val="left" w:leader="none"/>
        </w:tabs>
        <w:spacing w:line="235" w:lineRule="auto" w:before="0" w:after="0"/>
        <w:ind w:left="1344" w:right="1608" w:firstLine="0"/>
        <w:jc w:val="left"/>
        <w:rPr>
          <w:sz w:val="20"/>
        </w:rPr>
      </w:pPr>
      <w:r>
        <w:rPr>
          <w:w w:val="120"/>
          <w:sz w:val="20"/>
        </w:rPr>
        <w:t>Discovering new ways of sharing good news stories and examples of good practice more widely for mutual encouragement, developing the sharing of stories from the recent Windermere consultation (</w:t>
      </w:r>
      <w:hyperlink r:id="rId352">
        <w:r>
          <w:rPr>
            <w:color w:val="006AB3"/>
            <w:w w:val="120"/>
            <w:sz w:val="20"/>
          </w:rPr>
          <w:t>http://thingsthatwork.urc.org.uk</w:t>
        </w:r>
      </w:hyperlink>
      <w:r>
        <w:rPr>
          <w:w w:val="120"/>
          <w:sz w:val="20"/>
        </w:rPr>
        <w:t>/), in the </w:t>
      </w:r>
      <w:r>
        <w:rPr>
          <w:spacing w:val="-3"/>
          <w:w w:val="120"/>
          <w:sz w:val="20"/>
        </w:rPr>
        <w:t>URC’s </w:t>
      </w:r>
      <w:r>
        <w:rPr>
          <w:i/>
          <w:w w:val="120"/>
          <w:sz w:val="20"/>
        </w:rPr>
        <w:t>Reform </w:t>
      </w:r>
      <w:r>
        <w:rPr>
          <w:w w:val="120"/>
          <w:sz w:val="20"/>
        </w:rPr>
        <w:t>magazine and on social</w:t>
      </w:r>
      <w:r>
        <w:rPr>
          <w:spacing w:val="14"/>
          <w:w w:val="120"/>
          <w:sz w:val="20"/>
        </w:rPr>
        <w:t> </w:t>
      </w:r>
      <w:r>
        <w:rPr>
          <w:w w:val="120"/>
          <w:sz w:val="20"/>
        </w:rPr>
        <w:t>media.</w:t>
      </w:r>
    </w:p>
    <w:p>
      <w:pPr>
        <w:pStyle w:val="BodyText"/>
        <w:spacing w:before="11"/>
        <w:rPr>
          <w:sz w:val="19"/>
        </w:rPr>
      </w:pPr>
    </w:p>
    <w:p>
      <w:pPr>
        <w:pStyle w:val="ListParagraph"/>
        <w:numPr>
          <w:ilvl w:val="2"/>
          <w:numId w:val="152"/>
        </w:numPr>
        <w:tabs>
          <w:tab w:pos="2025" w:val="left" w:leader="none"/>
        </w:tabs>
        <w:spacing w:line="235" w:lineRule="auto" w:before="0" w:after="0"/>
        <w:ind w:left="1344" w:right="1370" w:firstLine="0"/>
        <w:jc w:val="left"/>
        <w:rPr>
          <w:sz w:val="20"/>
        </w:rPr>
      </w:pPr>
      <w:r>
        <w:rPr>
          <w:w w:val="120"/>
          <w:sz w:val="20"/>
        </w:rPr>
        <w:t>In order to support the local church, further work is being undertaken by the faith and order committee on the nature of membership, with a paper on ‘The Wider Fold’ being brought to the </w:t>
      </w:r>
      <w:r>
        <w:rPr>
          <w:spacing w:val="-7"/>
          <w:w w:val="120"/>
          <w:sz w:val="20"/>
        </w:rPr>
        <w:t>2016 </w:t>
      </w:r>
      <w:r>
        <w:rPr>
          <w:w w:val="120"/>
          <w:sz w:val="20"/>
        </w:rPr>
        <w:t>General Assembly, and follow up work being planned for the autumn of </w:t>
      </w:r>
      <w:r>
        <w:rPr>
          <w:spacing w:val="-7"/>
          <w:w w:val="120"/>
          <w:sz w:val="20"/>
        </w:rPr>
        <w:t>2016 </w:t>
      </w:r>
      <w:r>
        <w:rPr>
          <w:w w:val="120"/>
          <w:sz w:val="20"/>
        </w:rPr>
        <w:t>on the concept of membership and what it means </w:t>
      </w:r>
      <w:r>
        <w:rPr>
          <w:spacing w:val="-3"/>
          <w:w w:val="120"/>
          <w:sz w:val="20"/>
        </w:rPr>
        <w:t>today. </w:t>
      </w:r>
      <w:r>
        <w:rPr>
          <w:w w:val="120"/>
          <w:sz w:val="20"/>
        </w:rPr>
        <w:t>The </w:t>
      </w:r>
      <w:r>
        <w:rPr>
          <w:spacing w:val="2"/>
          <w:w w:val="120"/>
          <w:sz w:val="20"/>
        </w:rPr>
        <w:t>report </w:t>
      </w:r>
      <w:r>
        <w:rPr>
          <w:w w:val="120"/>
          <w:sz w:val="20"/>
        </w:rPr>
        <w:t>‘What Is the Spirit Saying to the Churches?’ offered study material on the role of the Church</w:t>
      </w:r>
      <w:r>
        <w:rPr>
          <w:spacing w:val="4"/>
          <w:w w:val="120"/>
          <w:sz w:val="20"/>
        </w:rPr>
        <w:t> </w:t>
      </w:r>
      <w:r>
        <w:rPr>
          <w:w w:val="120"/>
          <w:sz w:val="20"/>
        </w:rPr>
        <w:t>Meeting.</w:t>
      </w:r>
    </w:p>
    <w:p>
      <w:pPr>
        <w:pStyle w:val="BodyText"/>
        <w:spacing w:before="1"/>
      </w:pPr>
    </w:p>
    <w:p>
      <w:pPr>
        <w:pStyle w:val="ListParagraph"/>
        <w:numPr>
          <w:ilvl w:val="2"/>
          <w:numId w:val="152"/>
        </w:numPr>
        <w:tabs>
          <w:tab w:pos="2025" w:val="left" w:leader="none"/>
        </w:tabs>
        <w:spacing w:line="235" w:lineRule="auto" w:before="0" w:after="0"/>
        <w:ind w:left="1344" w:right="1879" w:firstLine="0"/>
        <w:jc w:val="left"/>
        <w:rPr>
          <w:sz w:val="20"/>
        </w:rPr>
      </w:pPr>
      <w:r>
        <w:rPr>
          <w:w w:val="120"/>
          <w:sz w:val="20"/>
        </w:rPr>
        <w:t>The ‘Authorised Elders’ paper coming to the </w:t>
      </w:r>
      <w:r>
        <w:rPr>
          <w:spacing w:val="-7"/>
          <w:w w:val="120"/>
          <w:sz w:val="20"/>
        </w:rPr>
        <w:t>2016 </w:t>
      </w:r>
      <w:r>
        <w:rPr>
          <w:w w:val="120"/>
          <w:sz w:val="20"/>
        </w:rPr>
        <w:t>General Assembly looks at affirming and consolidating the role of elders, particularly with regard to a</w:t>
      </w:r>
      <w:r>
        <w:rPr>
          <w:spacing w:val="7"/>
          <w:w w:val="120"/>
          <w:sz w:val="20"/>
        </w:rPr>
        <w:t> </w:t>
      </w:r>
      <w:r>
        <w:rPr>
          <w:w w:val="120"/>
          <w:sz w:val="20"/>
        </w:rPr>
        <w:t>new</w:t>
      </w:r>
    </w:p>
    <w:p>
      <w:pPr>
        <w:pStyle w:val="BodyText"/>
        <w:spacing w:line="235" w:lineRule="auto" w:before="1"/>
        <w:ind w:left="1344" w:right="1383"/>
      </w:pPr>
      <w:r>
        <w:rPr>
          <w:w w:val="120"/>
        </w:rPr>
        <w:t>proposal about authorising elders to preside at Holy Communion and bringing forward  a suggestion for the development of team non-stipendiary</w:t>
      </w:r>
      <w:r>
        <w:rPr>
          <w:spacing w:val="22"/>
          <w:w w:val="120"/>
        </w:rPr>
        <w:t> </w:t>
      </w:r>
      <w:r>
        <w:rPr>
          <w:w w:val="120"/>
        </w:rPr>
        <w:t>ministry.</w:t>
      </w:r>
    </w:p>
    <w:p>
      <w:pPr>
        <w:spacing w:after="0" w:line="235" w:lineRule="auto"/>
        <w:sectPr>
          <w:headerReference w:type="default" r:id="rId349"/>
          <w:footerReference w:type="default" r:id="rId350"/>
          <w:footerReference w:type="even" r:id="rId351"/>
          <w:pgSz w:w="11910" w:h="16840"/>
          <w:pgMar w:header="0" w:footer="647" w:top="0" w:bottom="840" w:left="640" w:right="0"/>
          <w:pgNumType w:start="125"/>
        </w:sectPr>
      </w:pPr>
    </w:p>
    <w:p>
      <w:pPr>
        <w:pStyle w:val="BodyText"/>
      </w:pPr>
      <w:r>
        <w:rPr/>
        <w:drawing>
          <wp:anchor distT="0" distB="0" distL="0" distR="0" allowOverlap="1" layoutInCell="1" locked="0" behindDoc="1" simplePos="0" relativeHeight="235531264">
            <wp:simplePos x="0" y="0"/>
            <wp:positionH relativeFrom="page">
              <wp:posOffset>0</wp:posOffset>
            </wp:positionH>
            <wp:positionV relativeFrom="page">
              <wp:posOffset>0</wp:posOffset>
            </wp:positionV>
            <wp:extent cx="594067" cy="10692003"/>
            <wp:effectExtent l="0" t="0" r="0" b="0"/>
            <wp:wrapNone/>
            <wp:docPr id="235" name="image67.png"/>
            <wp:cNvGraphicFramePr>
              <a:graphicFrameLocks noChangeAspect="1"/>
            </wp:cNvGraphicFramePr>
            <a:graphic>
              <a:graphicData uri="http://schemas.openxmlformats.org/drawingml/2006/picture">
                <pic:pic>
                  <pic:nvPicPr>
                    <pic:cNvPr id="236" name="image67.png"/>
                    <pic:cNvPicPr/>
                  </pic:nvPicPr>
                  <pic:blipFill>
                    <a:blip r:embed="rId184" cstate="print"/>
                    <a:stretch>
                      <a:fillRect/>
                    </a:stretch>
                  </pic:blipFill>
                  <pic:spPr>
                    <a:xfrm>
                      <a:off x="0" y="0"/>
                      <a:ext cx="594067" cy="10692003"/>
                    </a:xfrm>
                    <a:prstGeom prst="rect">
                      <a:avLst/>
                    </a:prstGeom>
                  </pic:spPr>
                </pic:pic>
              </a:graphicData>
            </a:graphic>
          </wp:anchor>
        </w:drawing>
      </w:r>
      <w:r>
        <w:rPr/>
        <w:pict>
          <v:shape style="position:absolute;margin-left:20.519100pt;margin-top:48.890015pt;width:25.9pt;height:717.2pt;mso-position-horizontal-relative:page;mso-position-vertical-relative:page;z-index:-267784192" type="#_x0000_t202" filled="false" stroked="false">
            <v:textbox inset="0,0,0,0" style="layout-flow:vertical">
              <w:txbxContent>
                <w:p>
                  <w:pPr>
                    <w:spacing w:before="27"/>
                    <w:ind w:left="20" w:right="0" w:firstLine="0"/>
                    <w:jc w:val="left"/>
                    <w:rPr>
                      <w:sz w:val="39"/>
                    </w:rPr>
                  </w:pPr>
                  <w:r>
                    <w:rPr>
                      <w:color w:val="FFFFFF"/>
                      <w:w w:val="125"/>
                      <w:sz w:val="39"/>
                    </w:rPr>
                    <w:t>Faith and order – </w:t>
                  </w:r>
                  <w:r>
                    <w:rPr>
                      <w:w w:val="125"/>
                      <w:sz w:val="39"/>
                    </w:rPr>
                    <w:t>What is the Spirit saying to the Churches </w:t>
                  </w:r>
                  <w:r>
                    <w:rPr>
                      <w:color w:val="FFFFFF"/>
                      <w:w w:val="125"/>
                      <w:sz w:val="39"/>
                    </w:rPr>
                    <w:t>– </w:t>
                  </w:r>
                  <w:r>
                    <w:rPr>
                      <w:w w:val="125"/>
                      <w:sz w:val="39"/>
                    </w:rPr>
                    <w:t>Appendix</w:t>
                  </w:r>
                </w:p>
              </w:txbxContent>
            </v:textbox>
            <w10:wrap type="none"/>
          </v:shape>
        </w:pict>
      </w:r>
    </w:p>
    <w:p>
      <w:pPr>
        <w:pStyle w:val="BodyText"/>
        <w:spacing w:before="7"/>
        <w:rPr>
          <w:sz w:val="21"/>
        </w:rPr>
      </w:pPr>
    </w:p>
    <w:p>
      <w:pPr>
        <w:spacing w:before="106"/>
        <w:ind w:left="607" w:right="0" w:firstLine="0"/>
        <w:jc w:val="left"/>
        <w:rPr>
          <w:sz w:val="26"/>
        </w:rPr>
      </w:pPr>
      <w:r>
        <w:rPr>
          <w:color w:val="7EAABF"/>
          <w:w w:val="115"/>
          <w:sz w:val="26"/>
        </w:rPr>
        <w:t>Faith and order</w:t>
      </w:r>
    </w:p>
    <w:p>
      <w:pPr>
        <w:pStyle w:val="ListParagraph"/>
        <w:numPr>
          <w:ilvl w:val="2"/>
          <w:numId w:val="152"/>
        </w:numPr>
        <w:tabs>
          <w:tab w:pos="1288" w:val="left" w:leader="none"/>
        </w:tabs>
        <w:spacing w:line="235" w:lineRule="auto" w:before="222" w:after="0"/>
        <w:ind w:left="607" w:right="2303" w:firstLine="0"/>
        <w:jc w:val="left"/>
        <w:rPr>
          <w:sz w:val="20"/>
        </w:rPr>
      </w:pPr>
      <w:r>
        <w:rPr>
          <w:w w:val="120"/>
          <w:sz w:val="20"/>
        </w:rPr>
        <w:t>Westminster College hosted a consultation in April </w:t>
      </w:r>
      <w:r>
        <w:rPr>
          <w:spacing w:val="-7"/>
          <w:w w:val="120"/>
          <w:sz w:val="20"/>
        </w:rPr>
        <w:t>2016 </w:t>
      </w:r>
      <w:r>
        <w:rPr>
          <w:w w:val="120"/>
          <w:sz w:val="20"/>
        </w:rPr>
        <w:t>with regard to the ministry of Word and Sacrament in these changing times. (Outcomes not available at the time of writing this</w:t>
      </w:r>
      <w:r>
        <w:rPr>
          <w:spacing w:val="10"/>
          <w:w w:val="120"/>
          <w:sz w:val="20"/>
        </w:rPr>
        <w:t> </w:t>
      </w:r>
      <w:r>
        <w:rPr>
          <w:w w:val="120"/>
          <w:sz w:val="20"/>
        </w:rPr>
        <w:t>report.)</w:t>
      </w:r>
    </w:p>
    <w:p>
      <w:pPr>
        <w:pStyle w:val="BodyText"/>
        <w:spacing w:before="10"/>
        <w:rPr>
          <w:sz w:val="19"/>
        </w:rPr>
      </w:pPr>
    </w:p>
    <w:p>
      <w:pPr>
        <w:pStyle w:val="ListParagraph"/>
        <w:numPr>
          <w:ilvl w:val="2"/>
          <w:numId w:val="152"/>
        </w:numPr>
        <w:tabs>
          <w:tab w:pos="1288" w:val="left" w:leader="none"/>
        </w:tabs>
        <w:spacing w:line="235" w:lineRule="auto" w:before="0" w:after="0"/>
        <w:ind w:left="607" w:right="2177" w:firstLine="0"/>
        <w:jc w:val="left"/>
        <w:rPr>
          <w:sz w:val="20"/>
        </w:rPr>
      </w:pPr>
      <w:r>
        <w:rPr>
          <w:w w:val="120"/>
          <w:sz w:val="20"/>
        </w:rPr>
        <w:t>The </w:t>
      </w:r>
      <w:r>
        <w:rPr>
          <w:spacing w:val="-3"/>
          <w:w w:val="120"/>
          <w:sz w:val="20"/>
        </w:rPr>
        <w:t>URC’s </w:t>
      </w:r>
      <w:r>
        <w:rPr>
          <w:w w:val="120"/>
          <w:sz w:val="20"/>
        </w:rPr>
        <w:t>Ministries Committee is working on a variety of issues with regard to ministry and the pressures faced by both ministers and congregations in view of the way in which ministers are spread more</w:t>
      </w:r>
      <w:r>
        <w:rPr>
          <w:spacing w:val="14"/>
          <w:w w:val="120"/>
          <w:sz w:val="20"/>
        </w:rPr>
        <w:t> </w:t>
      </w:r>
      <w:r>
        <w:rPr>
          <w:spacing w:val="-3"/>
          <w:w w:val="120"/>
          <w:sz w:val="20"/>
        </w:rPr>
        <w:t>thinly.</w:t>
      </w:r>
    </w:p>
    <w:p>
      <w:pPr>
        <w:pStyle w:val="BodyText"/>
        <w:spacing w:before="12"/>
        <w:rPr>
          <w:sz w:val="25"/>
        </w:rPr>
      </w:pPr>
    </w:p>
    <w:p>
      <w:pPr>
        <w:spacing w:line="216" w:lineRule="auto" w:before="0"/>
        <w:ind w:left="607" w:right="2045" w:firstLine="0"/>
        <w:jc w:val="left"/>
        <w:rPr>
          <w:i/>
          <w:sz w:val="29"/>
        </w:rPr>
      </w:pPr>
      <w:r>
        <w:rPr>
          <w:i/>
          <w:w w:val="110"/>
          <w:sz w:val="29"/>
        </w:rPr>
        <w:t>God re-shapes the Church to meet the challenge of different </w:t>
      </w:r>
      <w:r>
        <w:rPr>
          <w:i/>
          <w:w w:val="110"/>
          <w:sz w:val="29"/>
        </w:rPr>
        <w:t>contexts and cultures.</w:t>
      </w:r>
    </w:p>
    <w:p>
      <w:pPr>
        <w:pStyle w:val="Heading7"/>
        <w:numPr>
          <w:ilvl w:val="1"/>
          <w:numId w:val="153"/>
        </w:numPr>
        <w:tabs>
          <w:tab w:pos="1287" w:val="left" w:leader="none"/>
          <w:tab w:pos="1288" w:val="left" w:leader="none"/>
        </w:tabs>
        <w:spacing w:line="261" w:lineRule="exact" w:before="81" w:after="0"/>
        <w:ind w:left="1287" w:right="0" w:hanging="681"/>
        <w:jc w:val="left"/>
      </w:pPr>
      <w:r>
        <w:rPr>
          <w:w w:val="110"/>
        </w:rPr>
        <w:t>We</w:t>
      </w:r>
      <w:r>
        <w:rPr>
          <w:spacing w:val="-1"/>
          <w:w w:val="110"/>
        </w:rPr>
        <w:t> </w:t>
      </w:r>
      <w:r>
        <w:rPr>
          <w:w w:val="110"/>
        </w:rPr>
        <w:t>celebrate</w:t>
      </w:r>
    </w:p>
    <w:p>
      <w:pPr>
        <w:pStyle w:val="ListParagraph"/>
        <w:numPr>
          <w:ilvl w:val="2"/>
          <w:numId w:val="153"/>
        </w:numPr>
        <w:tabs>
          <w:tab w:pos="1287" w:val="left" w:leader="none"/>
          <w:tab w:pos="1288" w:val="left" w:leader="none"/>
        </w:tabs>
        <w:spacing w:line="235" w:lineRule="auto" w:before="0" w:after="0"/>
        <w:ind w:left="607" w:right="2052" w:firstLine="0"/>
        <w:jc w:val="left"/>
        <w:rPr>
          <w:sz w:val="20"/>
        </w:rPr>
      </w:pPr>
      <w:r>
        <w:rPr>
          <w:w w:val="120"/>
          <w:sz w:val="20"/>
        </w:rPr>
        <w:t>The </w:t>
      </w:r>
      <w:r>
        <w:rPr>
          <w:spacing w:val="-3"/>
          <w:w w:val="120"/>
          <w:sz w:val="20"/>
        </w:rPr>
        <w:t>Church’s </w:t>
      </w:r>
      <w:r>
        <w:rPr>
          <w:w w:val="120"/>
          <w:sz w:val="20"/>
        </w:rPr>
        <w:t>work with people on the margins evident in the amazing variety of work undertaken by local churches, with foodbanks, homeless people, refugees and a host of other</w:t>
      </w:r>
      <w:r>
        <w:rPr>
          <w:spacing w:val="5"/>
          <w:w w:val="120"/>
          <w:sz w:val="20"/>
        </w:rPr>
        <w:t> </w:t>
      </w:r>
      <w:r>
        <w:rPr>
          <w:w w:val="120"/>
          <w:sz w:val="20"/>
        </w:rPr>
        <w:t>initiatives.</w:t>
      </w:r>
    </w:p>
    <w:p>
      <w:pPr>
        <w:pStyle w:val="BodyText"/>
        <w:spacing w:before="5"/>
        <w:rPr>
          <w:sz w:val="19"/>
        </w:rPr>
      </w:pPr>
    </w:p>
    <w:p>
      <w:pPr>
        <w:pStyle w:val="ListParagraph"/>
        <w:numPr>
          <w:ilvl w:val="2"/>
          <w:numId w:val="153"/>
        </w:numPr>
        <w:tabs>
          <w:tab w:pos="1287" w:val="left" w:leader="none"/>
          <w:tab w:pos="1288" w:val="left" w:leader="none"/>
        </w:tabs>
        <w:spacing w:line="235" w:lineRule="auto" w:before="1" w:after="0"/>
        <w:ind w:left="607" w:right="1983" w:firstLine="0"/>
        <w:jc w:val="left"/>
        <w:rPr>
          <w:sz w:val="20"/>
        </w:rPr>
      </w:pPr>
      <w:r>
        <w:rPr>
          <w:w w:val="120"/>
          <w:sz w:val="20"/>
        </w:rPr>
        <w:t>This is matched by the wider </w:t>
      </w:r>
      <w:r>
        <w:rPr>
          <w:spacing w:val="-3"/>
          <w:w w:val="120"/>
          <w:sz w:val="20"/>
        </w:rPr>
        <w:t>URC’s </w:t>
      </w:r>
      <w:r>
        <w:rPr>
          <w:w w:val="120"/>
          <w:sz w:val="20"/>
        </w:rPr>
        <w:t>engagement through the CRCW programme, Racial Justice and Intercultural Ministry, the work of Church and Society and the Joint Public Issues </w:t>
      </w:r>
      <w:r>
        <w:rPr>
          <w:spacing w:val="-4"/>
          <w:w w:val="120"/>
          <w:sz w:val="20"/>
        </w:rPr>
        <w:t>Team </w:t>
      </w:r>
      <w:r>
        <w:rPr>
          <w:w w:val="120"/>
          <w:sz w:val="20"/>
        </w:rPr>
        <w:t>and the development of interfaith</w:t>
      </w:r>
      <w:r>
        <w:rPr>
          <w:spacing w:val="19"/>
          <w:w w:val="120"/>
          <w:sz w:val="20"/>
        </w:rPr>
        <w:t> </w:t>
      </w:r>
      <w:r>
        <w:rPr>
          <w:w w:val="120"/>
          <w:sz w:val="20"/>
        </w:rPr>
        <w:t>work.</w:t>
      </w:r>
    </w:p>
    <w:p>
      <w:pPr>
        <w:pStyle w:val="BodyText"/>
        <w:spacing w:before="6"/>
        <w:rPr>
          <w:sz w:val="18"/>
        </w:rPr>
      </w:pPr>
    </w:p>
    <w:p>
      <w:pPr>
        <w:pStyle w:val="Heading7"/>
        <w:numPr>
          <w:ilvl w:val="1"/>
          <w:numId w:val="153"/>
        </w:numPr>
        <w:tabs>
          <w:tab w:pos="1287" w:val="left" w:leader="none"/>
          <w:tab w:pos="1288" w:val="left" w:leader="none"/>
        </w:tabs>
        <w:spacing w:line="261" w:lineRule="exact" w:before="0" w:after="0"/>
        <w:ind w:left="1287" w:right="0" w:hanging="681"/>
        <w:jc w:val="left"/>
      </w:pPr>
      <w:r>
        <w:rPr>
          <w:w w:val="110"/>
        </w:rPr>
        <w:t>New possibilities and</w:t>
      </w:r>
      <w:r>
        <w:rPr>
          <w:spacing w:val="-1"/>
          <w:w w:val="110"/>
        </w:rPr>
        <w:t> </w:t>
      </w:r>
      <w:r>
        <w:rPr>
          <w:w w:val="110"/>
        </w:rPr>
        <w:t>challenges</w:t>
      </w:r>
    </w:p>
    <w:p>
      <w:pPr>
        <w:pStyle w:val="ListParagraph"/>
        <w:numPr>
          <w:ilvl w:val="2"/>
          <w:numId w:val="153"/>
        </w:numPr>
        <w:tabs>
          <w:tab w:pos="1287" w:val="left" w:leader="none"/>
          <w:tab w:pos="1288" w:val="left" w:leader="none"/>
        </w:tabs>
        <w:spacing w:line="235" w:lineRule="auto" w:before="0" w:after="0"/>
        <w:ind w:left="607" w:right="2199" w:firstLine="0"/>
        <w:jc w:val="left"/>
        <w:rPr>
          <w:sz w:val="20"/>
        </w:rPr>
      </w:pPr>
      <w:r>
        <w:rPr>
          <w:w w:val="120"/>
          <w:sz w:val="20"/>
        </w:rPr>
        <w:t>Working to welcome and give homes to refugees; exploring how our buildings can become places of hospitality for people of other faiths and others who seek to build</w:t>
      </w:r>
      <w:r>
        <w:rPr>
          <w:spacing w:val="2"/>
          <w:w w:val="120"/>
          <w:sz w:val="20"/>
        </w:rPr>
        <w:t> </w:t>
      </w:r>
      <w:r>
        <w:rPr>
          <w:w w:val="120"/>
          <w:sz w:val="20"/>
        </w:rPr>
        <w:t>community.</w:t>
      </w:r>
    </w:p>
    <w:p>
      <w:pPr>
        <w:pStyle w:val="BodyText"/>
        <w:spacing w:before="5"/>
        <w:rPr>
          <w:sz w:val="19"/>
        </w:rPr>
      </w:pPr>
    </w:p>
    <w:p>
      <w:pPr>
        <w:pStyle w:val="ListParagraph"/>
        <w:numPr>
          <w:ilvl w:val="2"/>
          <w:numId w:val="153"/>
        </w:numPr>
        <w:tabs>
          <w:tab w:pos="1288" w:val="left" w:leader="none"/>
        </w:tabs>
        <w:spacing w:line="235" w:lineRule="auto" w:before="0" w:after="0"/>
        <w:ind w:left="607" w:right="2564" w:firstLine="0"/>
        <w:jc w:val="left"/>
        <w:rPr>
          <w:sz w:val="20"/>
        </w:rPr>
      </w:pPr>
      <w:r>
        <w:rPr>
          <w:w w:val="120"/>
          <w:sz w:val="20"/>
        </w:rPr>
        <w:t>Increasing our solidarity with those who are forced into increasing poverty through changes in economic policy; becoming active in creating alternatives to a consumerist culture that rewards the wealthy at the expense of the poor.</w:t>
      </w:r>
    </w:p>
    <w:p>
      <w:pPr>
        <w:pStyle w:val="BodyText"/>
        <w:spacing w:before="12"/>
        <w:rPr>
          <w:sz w:val="25"/>
        </w:rPr>
      </w:pPr>
    </w:p>
    <w:p>
      <w:pPr>
        <w:spacing w:line="216" w:lineRule="auto" w:before="0"/>
        <w:ind w:left="607" w:right="2709" w:firstLine="0"/>
        <w:jc w:val="left"/>
        <w:rPr>
          <w:i/>
          <w:sz w:val="29"/>
        </w:rPr>
      </w:pPr>
      <w:r>
        <w:rPr>
          <w:i/>
          <w:w w:val="110"/>
          <w:sz w:val="29"/>
        </w:rPr>
        <w:t>God draws people to be one, offering reconciliation in a </w:t>
      </w:r>
      <w:r>
        <w:rPr>
          <w:i/>
          <w:w w:val="110"/>
          <w:sz w:val="29"/>
        </w:rPr>
        <w:t>broken world</w:t>
      </w:r>
    </w:p>
    <w:p>
      <w:pPr>
        <w:pStyle w:val="Heading7"/>
        <w:numPr>
          <w:ilvl w:val="1"/>
          <w:numId w:val="154"/>
        </w:numPr>
        <w:tabs>
          <w:tab w:pos="1287" w:val="left" w:leader="none"/>
          <w:tab w:pos="1288" w:val="left" w:leader="none"/>
        </w:tabs>
        <w:spacing w:line="261" w:lineRule="exact" w:before="81" w:after="0"/>
        <w:ind w:left="1287" w:right="0" w:hanging="681"/>
        <w:jc w:val="left"/>
      </w:pPr>
      <w:r>
        <w:rPr>
          <w:w w:val="110"/>
        </w:rPr>
        <w:t>We</w:t>
      </w:r>
      <w:r>
        <w:rPr>
          <w:spacing w:val="-1"/>
          <w:w w:val="110"/>
        </w:rPr>
        <w:t> </w:t>
      </w:r>
      <w:r>
        <w:rPr>
          <w:w w:val="110"/>
        </w:rPr>
        <w:t>celebrate</w:t>
      </w:r>
    </w:p>
    <w:p>
      <w:pPr>
        <w:pStyle w:val="ListParagraph"/>
        <w:numPr>
          <w:ilvl w:val="2"/>
          <w:numId w:val="154"/>
        </w:numPr>
        <w:tabs>
          <w:tab w:pos="1287" w:val="left" w:leader="none"/>
          <w:tab w:pos="1288" w:val="left" w:leader="none"/>
        </w:tabs>
        <w:spacing w:line="235" w:lineRule="auto" w:before="0" w:after="0"/>
        <w:ind w:left="607" w:right="2017" w:firstLine="0"/>
        <w:jc w:val="left"/>
        <w:rPr>
          <w:sz w:val="20"/>
        </w:rPr>
      </w:pPr>
      <w:r>
        <w:rPr>
          <w:w w:val="120"/>
          <w:sz w:val="20"/>
        </w:rPr>
        <w:t>The </w:t>
      </w:r>
      <w:r>
        <w:rPr>
          <w:spacing w:val="2"/>
          <w:w w:val="120"/>
          <w:sz w:val="20"/>
        </w:rPr>
        <w:t>400 </w:t>
      </w:r>
      <w:r>
        <w:rPr>
          <w:w w:val="120"/>
          <w:sz w:val="20"/>
        </w:rPr>
        <w:t>Local Ecumenical Partnerships in which the URC is involved; the many Churches Together groups, Fresh Expressions of Church and pioneer initiatives in which Christians of many traditions work</w:t>
      </w:r>
      <w:r>
        <w:rPr>
          <w:spacing w:val="9"/>
          <w:w w:val="120"/>
          <w:sz w:val="20"/>
        </w:rPr>
        <w:t> </w:t>
      </w:r>
      <w:r>
        <w:rPr>
          <w:w w:val="120"/>
          <w:sz w:val="20"/>
        </w:rPr>
        <w:t>together.</w:t>
      </w:r>
    </w:p>
    <w:p>
      <w:pPr>
        <w:pStyle w:val="BodyText"/>
        <w:spacing w:before="5"/>
        <w:rPr>
          <w:sz w:val="19"/>
        </w:rPr>
      </w:pPr>
    </w:p>
    <w:p>
      <w:pPr>
        <w:pStyle w:val="ListParagraph"/>
        <w:numPr>
          <w:ilvl w:val="2"/>
          <w:numId w:val="154"/>
        </w:numPr>
        <w:tabs>
          <w:tab w:pos="1287" w:val="left" w:leader="none"/>
          <w:tab w:pos="1288" w:val="left" w:leader="none"/>
        </w:tabs>
        <w:spacing w:line="235" w:lineRule="auto" w:before="1" w:after="0"/>
        <w:ind w:left="607" w:right="2114" w:firstLine="0"/>
        <w:jc w:val="left"/>
        <w:rPr>
          <w:sz w:val="20"/>
        </w:rPr>
      </w:pPr>
      <w:r>
        <w:rPr>
          <w:w w:val="120"/>
          <w:sz w:val="20"/>
        </w:rPr>
        <w:t>The </w:t>
      </w:r>
      <w:r>
        <w:rPr>
          <w:spacing w:val="-3"/>
          <w:w w:val="120"/>
          <w:sz w:val="20"/>
        </w:rPr>
        <w:t>URC’s </w:t>
      </w:r>
      <w:r>
        <w:rPr>
          <w:w w:val="120"/>
          <w:sz w:val="20"/>
        </w:rPr>
        <w:t>participation in the national and international ecumenical bodies, from Churches Together in Britain and Ireland to the Community of Protestant Churches in Europe to the World Council of Churches. Our engagement in dialogues with the Church of England, the Roman Catholic Church in England and Wales and our role in the conversations just beginning between the Anglican Communion and the World Communion of Reformed</w:t>
      </w:r>
      <w:r>
        <w:rPr>
          <w:spacing w:val="10"/>
          <w:w w:val="120"/>
          <w:sz w:val="20"/>
        </w:rPr>
        <w:t> </w:t>
      </w:r>
      <w:r>
        <w:rPr>
          <w:w w:val="120"/>
          <w:sz w:val="20"/>
        </w:rPr>
        <w:t>Churches.</w:t>
      </w:r>
    </w:p>
    <w:p>
      <w:pPr>
        <w:pStyle w:val="BodyText"/>
      </w:pPr>
    </w:p>
    <w:p>
      <w:pPr>
        <w:pStyle w:val="ListParagraph"/>
        <w:numPr>
          <w:ilvl w:val="2"/>
          <w:numId w:val="154"/>
        </w:numPr>
        <w:tabs>
          <w:tab w:pos="1287" w:val="left" w:leader="none"/>
          <w:tab w:pos="1288" w:val="left" w:leader="none"/>
        </w:tabs>
        <w:spacing w:line="235" w:lineRule="auto" w:before="0" w:after="0"/>
        <w:ind w:left="607" w:right="2202" w:firstLine="0"/>
        <w:jc w:val="left"/>
        <w:rPr>
          <w:sz w:val="20"/>
        </w:rPr>
      </w:pPr>
      <w:r>
        <w:rPr>
          <w:w w:val="120"/>
          <w:sz w:val="20"/>
        </w:rPr>
        <w:t>The synod and URC-wide links with Churches across the world; from our longstanding covenant with the Church of the Palatinate in Germany, our links with the Waldensian Church in Italy to the memorandum of understanding recently signed between ourselves and the Presbyterian Church of</w:t>
      </w:r>
      <w:r>
        <w:rPr>
          <w:spacing w:val="14"/>
          <w:w w:val="120"/>
          <w:sz w:val="20"/>
        </w:rPr>
        <w:t> </w:t>
      </w:r>
      <w:r>
        <w:rPr>
          <w:w w:val="120"/>
          <w:sz w:val="20"/>
        </w:rPr>
        <w:t>Korea.</w:t>
      </w:r>
    </w:p>
    <w:p>
      <w:pPr>
        <w:pStyle w:val="BodyText"/>
        <w:spacing w:before="7"/>
        <w:rPr>
          <w:sz w:val="18"/>
        </w:rPr>
      </w:pPr>
    </w:p>
    <w:p>
      <w:pPr>
        <w:pStyle w:val="Heading7"/>
        <w:numPr>
          <w:ilvl w:val="1"/>
          <w:numId w:val="154"/>
        </w:numPr>
        <w:tabs>
          <w:tab w:pos="1287" w:val="left" w:leader="none"/>
          <w:tab w:pos="1288" w:val="left" w:leader="none"/>
        </w:tabs>
        <w:spacing w:line="261" w:lineRule="exact" w:before="0" w:after="0"/>
        <w:ind w:left="1287" w:right="0" w:hanging="681"/>
        <w:jc w:val="left"/>
      </w:pPr>
      <w:r>
        <w:rPr>
          <w:w w:val="110"/>
        </w:rPr>
        <w:t>New possibilities and</w:t>
      </w:r>
      <w:r>
        <w:rPr>
          <w:spacing w:val="-1"/>
          <w:w w:val="110"/>
        </w:rPr>
        <w:t> </w:t>
      </w:r>
      <w:r>
        <w:rPr>
          <w:w w:val="110"/>
        </w:rPr>
        <w:t>challenges</w:t>
      </w:r>
    </w:p>
    <w:p>
      <w:pPr>
        <w:pStyle w:val="ListParagraph"/>
        <w:numPr>
          <w:ilvl w:val="2"/>
          <w:numId w:val="154"/>
        </w:numPr>
        <w:tabs>
          <w:tab w:pos="1288" w:val="left" w:leader="none"/>
        </w:tabs>
        <w:spacing w:line="235" w:lineRule="auto" w:before="0" w:after="0"/>
        <w:ind w:left="607" w:right="2123" w:firstLine="0"/>
        <w:jc w:val="left"/>
        <w:rPr>
          <w:sz w:val="20"/>
        </w:rPr>
      </w:pPr>
      <w:r>
        <w:rPr>
          <w:spacing w:val="-3"/>
          <w:w w:val="120"/>
          <w:sz w:val="20"/>
        </w:rPr>
        <w:t>Taking </w:t>
      </w:r>
      <w:r>
        <w:rPr>
          <w:w w:val="120"/>
          <w:sz w:val="20"/>
        </w:rPr>
        <w:t>further the challenges in the World Council of Churches’ </w:t>
      </w:r>
      <w:r>
        <w:rPr>
          <w:spacing w:val="2"/>
          <w:w w:val="120"/>
          <w:sz w:val="20"/>
        </w:rPr>
        <w:t>report </w:t>
      </w:r>
      <w:r>
        <w:rPr>
          <w:w w:val="120"/>
          <w:sz w:val="20"/>
        </w:rPr>
        <w:t>The Church: </w:t>
      </w:r>
      <w:r>
        <w:rPr>
          <w:spacing w:val="-3"/>
          <w:w w:val="120"/>
          <w:sz w:val="20"/>
        </w:rPr>
        <w:t>Towards  </w:t>
      </w:r>
      <w:r>
        <w:rPr>
          <w:w w:val="120"/>
          <w:sz w:val="20"/>
        </w:rPr>
        <w:t>a common vision, with regard to ministry and authority, to see   where God might be yet leading us to call Churches to visible organic unity. The </w:t>
      </w:r>
      <w:r>
        <w:rPr>
          <w:spacing w:val="-3"/>
          <w:w w:val="120"/>
          <w:sz w:val="20"/>
        </w:rPr>
        <w:t>URC’s </w:t>
      </w:r>
      <w:r>
        <w:rPr>
          <w:w w:val="120"/>
          <w:sz w:val="20"/>
        </w:rPr>
        <w:t>response to this </w:t>
      </w:r>
      <w:r>
        <w:rPr>
          <w:spacing w:val="2"/>
          <w:w w:val="120"/>
          <w:sz w:val="20"/>
        </w:rPr>
        <w:t>report </w:t>
      </w:r>
      <w:r>
        <w:rPr>
          <w:w w:val="120"/>
          <w:sz w:val="20"/>
        </w:rPr>
        <w:t>will be presented to the </w:t>
      </w:r>
      <w:r>
        <w:rPr>
          <w:spacing w:val="-7"/>
          <w:w w:val="120"/>
          <w:sz w:val="20"/>
        </w:rPr>
        <w:t>2016 </w:t>
      </w:r>
      <w:r>
        <w:rPr>
          <w:w w:val="120"/>
          <w:sz w:val="20"/>
        </w:rPr>
        <w:t>General</w:t>
      </w:r>
      <w:r>
        <w:rPr>
          <w:spacing w:val="32"/>
          <w:w w:val="120"/>
          <w:sz w:val="20"/>
        </w:rPr>
        <w:t> </w:t>
      </w:r>
      <w:r>
        <w:rPr>
          <w:w w:val="120"/>
          <w:sz w:val="20"/>
        </w:rPr>
        <w:t>Assembly.</w:t>
      </w:r>
    </w:p>
    <w:p>
      <w:pPr>
        <w:pStyle w:val="BodyText"/>
        <w:spacing w:before="6"/>
        <w:rPr>
          <w:sz w:val="19"/>
        </w:rPr>
      </w:pPr>
    </w:p>
    <w:p>
      <w:pPr>
        <w:pStyle w:val="ListParagraph"/>
        <w:numPr>
          <w:ilvl w:val="2"/>
          <w:numId w:val="154"/>
        </w:numPr>
        <w:tabs>
          <w:tab w:pos="1288" w:val="left" w:leader="none"/>
        </w:tabs>
        <w:spacing w:line="235" w:lineRule="auto" w:before="0" w:after="0"/>
        <w:ind w:left="607" w:right="2089" w:firstLine="0"/>
        <w:jc w:val="left"/>
        <w:rPr>
          <w:sz w:val="20"/>
        </w:rPr>
      </w:pPr>
      <w:r>
        <w:rPr>
          <w:w w:val="120"/>
          <w:sz w:val="20"/>
        </w:rPr>
        <w:t>Looking at the rich opportunities offered by ‘Receptive </w:t>
      </w:r>
      <w:r>
        <w:rPr>
          <w:spacing w:val="-3"/>
          <w:w w:val="120"/>
          <w:sz w:val="20"/>
        </w:rPr>
        <w:t>Ecumenism’, </w:t>
      </w:r>
      <w:r>
        <w:rPr>
          <w:w w:val="120"/>
          <w:sz w:val="20"/>
        </w:rPr>
        <w:t>a theme initiated by theology staff at Durham University </w:t>
      </w:r>
      <w:r>
        <w:rPr>
          <w:spacing w:val="-4"/>
          <w:w w:val="120"/>
          <w:sz w:val="20"/>
        </w:rPr>
        <w:t>(see </w:t>
      </w:r>
      <w:r>
        <w:rPr>
          <w:w w:val="120"/>
          <w:sz w:val="20"/>
        </w:rPr>
        <w:t>their website for further </w:t>
      </w:r>
      <w:r>
        <w:rPr>
          <w:spacing w:val="-3"/>
          <w:w w:val="120"/>
          <w:sz w:val="20"/>
        </w:rPr>
        <w:t>details) </w:t>
      </w:r>
      <w:r>
        <w:rPr>
          <w:w w:val="120"/>
          <w:sz w:val="20"/>
        </w:rPr>
        <w:t>to look at what Churches can positively receive from each</w:t>
      </w:r>
      <w:r>
        <w:rPr>
          <w:spacing w:val="19"/>
          <w:w w:val="120"/>
          <w:sz w:val="20"/>
        </w:rPr>
        <w:t> </w:t>
      </w:r>
      <w:r>
        <w:rPr>
          <w:spacing w:val="-3"/>
          <w:w w:val="120"/>
          <w:sz w:val="20"/>
        </w:rPr>
        <w:t>other.</w:t>
      </w:r>
    </w:p>
    <w:p>
      <w:pPr>
        <w:spacing w:after="0" w:line="235" w:lineRule="auto"/>
        <w:jc w:val="left"/>
        <w:rPr>
          <w:sz w:val="20"/>
        </w:rPr>
        <w:sectPr>
          <w:headerReference w:type="even" r:id="rId353"/>
          <w:pgSz w:w="11910" w:h="16840"/>
          <w:pgMar w:header="0" w:footer="647" w:top="0" w:bottom="840" w:left="640" w:right="0"/>
        </w:sectPr>
      </w:pPr>
    </w:p>
    <w:p>
      <w:pPr>
        <w:pStyle w:val="BodyText"/>
      </w:pPr>
      <w:r>
        <w:rPr/>
        <w:drawing>
          <wp:anchor distT="0" distB="0" distL="0" distR="0" allowOverlap="1" layoutInCell="1" locked="0" behindDoc="0" simplePos="0" relativeHeight="251986944">
            <wp:simplePos x="0" y="0"/>
            <wp:positionH relativeFrom="page">
              <wp:posOffset>6974928</wp:posOffset>
            </wp:positionH>
            <wp:positionV relativeFrom="page">
              <wp:posOffset>0</wp:posOffset>
            </wp:positionV>
            <wp:extent cx="585063" cy="10692003"/>
            <wp:effectExtent l="0" t="0" r="0" b="0"/>
            <wp:wrapNone/>
            <wp:docPr id="237" name="image54.png"/>
            <wp:cNvGraphicFramePr>
              <a:graphicFrameLocks noChangeAspect="1"/>
            </wp:cNvGraphicFramePr>
            <a:graphic>
              <a:graphicData uri="http://schemas.openxmlformats.org/drawingml/2006/picture">
                <pic:pic>
                  <pic:nvPicPr>
                    <pic:cNvPr id="238" name="image54.png"/>
                    <pic:cNvPicPr/>
                  </pic:nvPicPr>
                  <pic:blipFill>
                    <a:blip r:embed="rId169" cstate="print"/>
                    <a:stretch>
                      <a:fillRect/>
                    </a:stretch>
                  </pic:blipFill>
                  <pic:spPr>
                    <a:xfrm>
                      <a:off x="0" y="0"/>
                      <a:ext cx="585063" cy="10692003"/>
                    </a:xfrm>
                    <a:prstGeom prst="rect">
                      <a:avLst/>
                    </a:prstGeom>
                  </pic:spPr>
                </pic:pic>
              </a:graphicData>
            </a:graphic>
          </wp:anchor>
        </w:drawing>
      </w:r>
    </w:p>
    <w:p>
      <w:pPr>
        <w:pStyle w:val="BodyText"/>
        <w:spacing w:before="7"/>
        <w:rPr>
          <w:sz w:val="21"/>
        </w:rPr>
      </w:pPr>
    </w:p>
    <w:p>
      <w:pPr>
        <w:spacing w:before="106"/>
        <w:ind w:left="0" w:right="1245" w:firstLine="0"/>
        <w:jc w:val="right"/>
        <w:rPr>
          <w:sz w:val="26"/>
        </w:rPr>
      </w:pPr>
      <w:r>
        <w:rPr/>
        <w:pict>
          <v:shape style="position:absolute;margin-left:554.141174pt;margin-top:22.593945pt;width:25.9pt;height:717.2pt;mso-position-horizontal-relative:page;mso-position-vertical-relative:paragraph;z-index:251987968" type="#_x0000_t202" filled="false" stroked="false">
            <v:textbox inset="0,0,0,0" style="layout-flow:vertical">
              <w:txbxContent>
                <w:p>
                  <w:pPr>
                    <w:spacing w:before="27"/>
                    <w:ind w:left="20" w:right="0" w:firstLine="0"/>
                    <w:jc w:val="left"/>
                    <w:rPr>
                      <w:sz w:val="39"/>
                    </w:rPr>
                  </w:pPr>
                  <w:r>
                    <w:rPr>
                      <w:color w:val="FFFFFF"/>
                      <w:w w:val="125"/>
                      <w:sz w:val="39"/>
                    </w:rPr>
                    <w:t>Faith and order – </w:t>
                  </w:r>
                  <w:r>
                    <w:rPr>
                      <w:w w:val="125"/>
                      <w:sz w:val="39"/>
                    </w:rPr>
                    <w:t>What is the Spirit saying to the Churches </w:t>
                  </w:r>
                  <w:r>
                    <w:rPr>
                      <w:color w:val="FFFFFF"/>
                      <w:w w:val="125"/>
                      <w:sz w:val="39"/>
                    </w:rPr>
                    <w:t>– </w:t>
                  </w:r>
                  <w:r>
                    <w:rPr>
                      <w:w w:val="125"/>
                      <w:sz w:val="39"/>
                    </w:rPr>
                    <w:t>Appendix</w:t>
                  </w:r>
                </w:p>
              </w:txbxContent>
            </v:textbox>
            <w10:wrap type="none"/>
          </v:shape>
        </w:pict>
      </w:r>
      <w:r>
        <w:rPr>
          <w:color w:val="7EAABF"/>
          <w:w w:val="115"/>
          <w:sz w:val="26"/>
        </w:rPr>
        <w:t>Faith and order</w:t>
      </w:r>
    </w:p>
    <w:p>
      <w:pPr>
        <w:pStyle w:val="ListParagraph"/>
        <w:numPr>
          <w:ilvl w:val="2"/>
          <w:numId w:val="154"/>
        </w:numPr>
        <w:tabs>
          <w:tab w:pos="2025" w:val="left" w:leader="none"/>
        </w:tabs>
        <w:spacing w:line="235" w:lineRule="auto" w:before="222" w:after="0"/>
        <w:ind w:left="1344" w:right="1770" w:firstLine="0"/>
        <w:jc w:val="left"/>
        <w:rPr>
          <w:sz w:val="20"/>
        </w:rPr>
      </w:pPr>
      <w:r>
        <w:rPr>
          <w:w w:val="120"/>
          <w:sz w:val="20"/>
        </w:rPr>
        <w:t>Maintaining a balance between our commitment to unity, especially in local ecumenical partnerships, and our particular characteristics as a Reformed</w:t>
      </w:r>
      <w:r>
        <w:rPr>
          <w:spacing w:val="40"/>
          <w:w w:val="120"/>
          <w:sz w:val="20"/>
        </w:rPr>
        <w:t> </w:t>
      </w:r>
      <w:r>
        <w:rPr>
          <w:w w:val="120"/>
          <w:sz w:val="20"/>
        </w:rPr>
        <w:t>Church.</w:t>
      </w:r>
    </w:p>
    <w:p>
      <w:pPr>
        <w:pStyle w:val="BodyText"/>
        <w:spacing w:before="9"/>
        <w:rPr>
          <w:sz w:val="19"/>
        </w:rPr>
      </w:pPr>
    </w:p>
    <w:p>
      <w:pPr>
        <w:pStyle w:val="ListParagraph"/>
        <w:numPr>
          <w:ilvl w:val="2"/>
          <w:numId w:val="154"/>
        </w:numPr>
        <w:tabs>
          <w:tab w:pos="2025" w:val="left" w:leader="none"/>
        </w:tabs>
        <w:spacing w:line="235" w:lineRule="auto" w:before="0" w:after="0"/>
        <w:ind w:left="1344" w:right="1759" w:firstLine="0"/>
        <w:jc w:val="left"/>
        <w:rPr>
          <w:sz w:val="20"/>
        </w:rPr>
      </w:pPr>
      <w:r>
        <w:rPr>
          <w:w w:val="120"/>
          <w:sz w:val="20"/>
        </w:rPr>
        <w:t>Renewing the </w:t>
      </w:r>
      <w:r>
        <w:rPr>
          <w:spacing w:val="-3"/>
          <w:w w:val="120"/>
          <w:sz w:val="20"/>
        </w:rPr>
        <w:t>URC’s </w:t>
      </w:r>
      <w:r>
        <w:rPr>
          <w:w w:val="120"/>
          <w:sz w:val="20"/>
        </w:rPr>
        <w:t>bold commitment to call the Churches to unity, in each place, and across the nations, despite the difficulties along the</w:t>
      </w:r>
      <w:r>
        <w:rPr>
          <w:spacing w:val="20"/>
          <w:w w:val="120"/>
          <w:sz w:val="20"/>
        </w:rPr>
        <w:t> </w:t>
      </w:r>
      <w:r>
        <w:rPr>
          <w:spacing w:val="-4"/>
          <w:w w:val="120"/>
          <w:sz w:val="20"/>
        </w:rPr>
        <w:t>way.</w:t>
      </w:r>
    </w:p>
    <w:p>
      <w:pPr>
        <w:pStyle w:val="BodyText"/>
        <w:spacing w:before="9"/>
        <w:rPr>
          <w:sz w:val="19"/>
        </w:rPr>
      </w:pPr>
    </w:p>
    <w:p>
      <w:pPr>
        <w:pStyle w:val="ListParagraph"/>
        <w:numPr>
          <w:ilvl w:val="2"/>
          <w:numId w:val="154"/>
        </w:numPr>
        <w:tabs>
          <w:tab w:pos="2025" w:val="left" w:leader="none"/>
        </w:tabs>
        <w:spacing w:line="235" w:lineRule="auto" w:before="1" w:after="0"/>
        <w:ind w:left="1344" w:right="1507" w:firstLine="0"/>
        <w:jc w:val="left"/>
        <w:rPr>
          <w:sz w:val="20"/>
        </w:rPr>
      </w:pPr>
      <w:r>
        <w:rPr>
          <w:w w:val="120"/>
          <w:sz w:val="20"/>
        </w:rPr>
        <w:t>Work on ‘The New Frameworks for Local </w:t>
      </w:r>
      <w:r>
        <w:rPr>
          <w:spacing w:val="-3"/>
          <w:w w:val="120"/>
          <w:sz w:val="20"/>
        </w:rPr>
        <w:t>Ecumenism’, </w:t>
      </w:r>
      <w:r>
        <w:rPr>
          <w:w w:val="120"/>
          <w:sz w:val="20"/>
        </w:rPr>
        <w:t>currently being undertaken in England, offers an opportunity to look at new ways at local ecumenical engagement with new as well as traditional</w:t>
      </w:r>
      <w:r>
        <w:rPr>
          <w:spacing w:val="16"/>
          <w:w w:val="120"/>
          <w:sz w:val="20"/>
        </w:rPr>
        <w:t> </w:t>
      </w:r>
      <w:r>
        <w:rPr>
          <w:w w:val="120"/>
          <w:sz w:val="20"/>
        </w:rPr>
        <w:t>partners.</w:t>
      </w:r>
    </w:p>
    <w:p>
      <w:pPr>
        <w:spacing w:after="0" w:line="235" w:lineRule="auto"/>
        <w:jc w:val="left"/>
        <w:rPr>
          <w:sz w:val="20"/>
        </w:rPr>
        <w:sectPr>
          <w:headerReference w:type="default" r:id="rId354"/>
          <w:footerReference w:type="default" r:id="rId355"/>
          <w:pgSz w:w="11910" w:h="16840"/>
          <w:pgMar w:header="0" w:footer="647" w:top="0" w:bottom="840" w:left="640" w:right="0"/>
          <w:pgNumType w:start="127"/>
        </w:sectPr>
      </w:pPr>
    </w:p>
    <w:p>
      <w:pPr>
        <w:pStyle w:val="BodyText"/>
      </w:pPr>
      <w:r>
        <w:rPr/>
        <w:pict>
          <v:rect style="position:absolute;margin-left:46.777pt;margin-top:.000015pt;width:548.498pt;height:841.89pt;mso-position-horizontal-relative:page;mso-position-vertical-relative:page;z-index:-267781120" filled="true" fillcolor="#d4e9f7" stroked="false">
            <v:fill type="solid"/>
            <w10:wrap type="none"/>
          </v:rect>
        </w:pict>
      </w:r>
      <w:r>
        <w:rPr/>
        <w:drawing>
          <wp:anchor distT="0" distB="0" distL="0" distR="0" allowOverlap="1" layoutInCell="1" locked="0" behindDoc="1" simplePos="0" relativeHeight="235536384">
            <wp:simplePos x="0" y="0"/>
            <wp:positionH relativeFrom="page">
              <wp:posOffset>0</wp:posOffset>
            </wp:positionH>
            <wp:positionV relativeFrom="page">
              <wp:posOffset>0</wp:posOffset>
            </wp:positionV>
            <wp:extent cx="594067" cy="10692003"/>
            <wp:effectExtent l="0" t="0" r="0" b="0"/>
            <wp:wrapNone/>
            <wp:docPr id="239" name="image67.png"/>
            <wp:cNvGraphicFramePr>
              <a:graphicFrameLocks noChangeAspect="1"/>
            </wp:cNvGraphicFramePr>
            <a:graphic>
              <a:graphicData uri="http://schemas.openxmlformats.org/drawingml/2006/picture">
                <pic:pic>
                  <pic:nvPicPr>
                    <pic:cNvPr id="240" name="image67.png"/>
                    <pic:cNvPicPr/>
                  </pic:nvPicPr>
                  <pic:blipFill>
                    <a:blip r:embed="rId184" cstate="print"/>
                    <a:stretch>
                      <a:fillRect/>
                    </a:stretch>
                  </pic:blipFill>
                  <pic:spPr>
                    <a:xfrm>
                      <a:off x="0" y="0"/>
                      <a:ext cx="594067" cy="10692003"/>
                    </a:xfrm>
                    <a:prstGeom prst="rect">
                      <a:avLst/>
                    </a:prstGeom>
                  </pic:spPr>
                </pic:pic>
              </a:graphicData>
            </a:graphic>
          </wp:anchor>
        </w:drawing>
      </w:r>
      <w:r>
        <w:rPr/>
        <w:pict>
          <v:shape style="position:absolute;margin-left:20.519100pt;margin-top:48.890015pt;width:25.9pt;height:336.25pt;mso-position-horizontal-relative:page;mso-position-vertical-relative:page;z-index:-267779072" type="#_x0000_t202" filled="false" stroked="false">
            <v:textbox inset="0,0,0,0" style="layout-flow:vertical">
              <w:txbxContent>
                <w:p>
                  <w:pPr>
                    <w:spacing w:before="27"/>
                    <w:ind w:left="20" w:right="0" w:firstLine="0"/>
                    <w:jc w:val="left"/>
                    <w:rPr>
                      <w:sz w:val="39"/>
                    </w:rPr>
                  </w:pPr>
                  <w:r>
                    <w:rPr>
                      <w:color w:val="FFFFFF"/>
                      <w:spacing w:val="6"/>
                      <w:w w:val="120"/>
                      <w:sz w:val="39"/>
                    </w:rPr>
                    <w:t>Faith </w:t>
                  </w:r>
                  <w:r>
                    <w:rPr>
                      <w:color w:val="FFFFFF"/>
                      <w:spacing w:val="7"/>
                      <w:w w:val="120"/>
                      <w:sz w:val="39"/>
                    </w:rPr>
                    <w:t>and order </w:t>
                  </w:r>
                  <w:r>
                    <w:rPr>
                      <w:color w:val="FFFFFF"/>
                      <w:w w:val="120"/>
                      <w:sz w:val="39"/>
                    </w:rPr>
                    <w:t>– </w:t>
                  </w:r>
                  <w:r>
                    <w:rPr>
                      <w:spacing w:val="7"/>
                      <w:w w:val="120"/>
                      <w:sz w:val="39"/>
                    </w:rPr>
                    <w:t>The </w:t>
                  </w:r>
                  <w:r>
                    <w:rPr>
                      <w:spacing w:val="8"/>
                      <w:w w:val="120"/>
                      <w:sz w:val="39"/>
                    </w:rPr>
                    <w:t>Wider</w:t>
                  </w:r>
                  <w:r>
                    <w:rPr>
                      <w:spacing w:val="84"/>
                      <w:w w:val="120"/>
                      <w:sz w:val="39"/>
                    </w:rPr>
                    <w:t> </w:t>
                  </w:r>
                  <w:r>
                    <w:rPr>
                      <w:spacing w:val="10"/>
                      <w:w w:val="120"/>
                      <w:sz w:val="39"/>
                    </w:rPr>
                    <w:t>Fold</w:t>
                  </w:r>
                </w:p>
              </w:txbxContent>
            </v:textbox>
            <w10:wrap type="none"/>
          </v:shape>
        </w:pict>
      </w:r>
    </w:p>
    <w:p>
      <w:pPr>
        <w:pStyle w:val="BodyText"/>
      </w:pPr>
    </w:p>
    <w:p>
      <w:pPr>
        <w:pStyle w:val="BodyText"/>
      </w:pPr>
    </w:p>
    <w:p>
      <w:pPr>
        <w:pStyle w:val="BodyText"/>
        <w:spacing w:before="5"/>
        <w:rPr>
          <w:sz w:val="28"/>
        </w:rPr>
      </w:pPr>
    </w:p>
    <w:p>
      <w:pPr>
        <w:spacing w:line="213" w:lineRule="auto" w:before="153"/>
        <w:ind w:left="607" w:right="2394" w:firstLine="0"/>
        <w:jc w:val="left"/>
        <w:rPr>
          <w:rFonts w:ascii="Stone Sans II ITC Std X Bd"/>
          <w:b/>
          <w:sz w:val="50"/>
        </w:rPr>
      </w:pPr>
      <w:r>
        <w:rPr>
          <w:rFonts w:ascii="Stone Sans II ITC Std X Bd"/>
          <w:b/>
          <w:color w:val="0090D4"/>
          <w:spacing w:val="-10"/>
          <w:w w:val="110"/>
          <w:sz w:val="50"/>
        </w:rPr>
        <w:t>Faith </w:t>
      </w:r>
      <w:r>
        <w:rPr>
          <w:rFonts w:ascii="Stone Sans II ITC Std X Bd"/>
          <w:b/>
          <w:color w:val="0090D4"/>
          <w:spacing w:val="-7"/>
          <w:w w:val="110"/>
          <w:sz w:val="50"/>
        </w:rPr>
        <w:t>and </w:t>
      </w:r>
      <w:r>
        <w:rPr>
          <w:rFonts w:ascii="Stone Sans II ITC Std X Bd"/>
          <w:b/>
          <w:color w:val="0090D4"/>
          <w:spacing w:val="-9"/>
          <w:w w:val="110"/>
          <w:sz w:val="50"/>
        </w:rPr>
        <w:t>order </w:t>
      </w:r>
      <w:r>
        <w:rPr>
          <w:rFonts w:ascii="Stone Sans II ITC Std X Bd"/>
          <w:b/>
          <w:color w:val="0090D4"/>
          <w:spacing w:val="-10"/>
          <w:w w:val="110"/>
          <w:sz w:val="50"/>
        </w:rPr>
        <w:t>committee: </w:t>
      </w:r>
      <w:r>
        <w:rPr>
          <w:rFonts w:ascii="Stone Sans II ITC Std X Bd"/>
          <w:b/>
          <w:spacing w:val="-6"/>
          <w:w w:val="110"/>
          <w:sz w:val="50"/>
        </w:rPr>
        <w:t>The </w:t>
      </w:r>
      <w:r>
        <w:rPr>
          <w:rFonts w:ascii="Stone Sans II ITC Std X Bd"/>
          <w:b/>
          <w:spacing w:val="-7"/>
          <w:w w:val="110"/>
          <w:sz w:val="50"/>
        </w:rPr>
        <w:t>Wider </w:t>
      </w:r>
      <w:r>
        <w:rPr>
          <w:rFonts w:ascii="Stone Sans II ITC Std X Bd"/>
          <w:b/>
          <w:spacing w:val="-6"/>
          <w:w w:val="110"/>
          <w:sz w:val="50"/>
        </w:rPr>
        <w:t>Fold</w:t>
      </w:r>
    </w:p>
    <w:p>
      <w:pPr>
        <w:pStyle w:val="Heading4"/>
        <w:spacing w:before="325"/>
      </w:pPr>
      <w:r>
        <w:rPr>
          <w:color w:val="7F7F7F"/>
        </w:rPr>
        <w:t>Basic Information</w:t>
      </w:r>
    </w:p>
    <w:tbl>
      <w:tblPr>
        <w:tblW w:w="0" w:type="auto"/>
        <w:jc w:val="left"/>
        <w:tblInd w:w="6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660"/>
        <w:gridCol w:w="6582"/>
      </w:tblGrid>
      <w:tr>
        <w:trPr>
          <w:trHeight w:val="680" w:hRule="atLeast"/>
        </w:trPr>
        <w:tc>
          <w:tcPr>
            <w:tcW w:w="2660" w:type="dxa"/>
            <w:shd w:val="clear" w:color="auto" w:fill="FFFFFF"/>
          </w:tcPr>
          <w:p>
            <w:pPr>
              <w:pStyle w:val="TableParagraph"/>
              <w:spacing w:line="213" w:lineRule="auto" w:before="151"/>
              <w:ind w:right="595"/>
              <w:rPr>
                <w:rFonts w:ascii="Stone Sans II ITC Std Bk"/>
                <w:b/>
                <w:sz w:val="20"/>
              </w:rPr>
            </w:pPr>
            <w:r>
              <w:rPr>
                <w:rFonts w:ascii="Stone Sans II ITC Std Bk"/>
                <w:b/>
                <w:w w:val="110"/>
                <w:sz w:val="20"/>
              </w:rPr>
              <w:t>Contact name and email address</w:t>
            </w:r>
          </w:p>
        </w:tc>
        <w:tc>
          <w:tcPr>
            <w:tcW w:w="6582" w:type="dxa"/>
            <w:shd w:val="clear" w:color="auto" w:fill="FFFFFF"/>
          </w:tcPr>
          <w:p>
            <w:pPr>
              <w:pStyle w:val="TableParagraph"/>
              <w:spacing w:line="235" w:lineRule="auto" w:before="145"/>
              <w:ind w:right="1537"/>
              <w:rPr>
                <w:sz w:val="20"/>
              </w:rPr>
            </w:pPr>
            <w:r>
              <w:rPr>
                <w:w w:val="120"/>
                <w:sz w:val="20"/>
              </w:rPr>
              <w:t>Stephen Orchard: </w:t>
            </w:r>
            <w:hyperlink r:id="rId358">
              <w:r>
                <w:rPr>
                  <w:color w:val="006AB3"/>
                  <w:w w:val="120"/>
                  <w:sz w:val="20"/>
                </w:rPr>
                <w:t>scorchard@btinternet.com</w:t>
              </w:r>
            </w:hyperlink>
            <w:r>
              <w:rPr>
                <w:color w:val="006AB3"/>
                <w:w w:val="120"/>
                <w:sz w:val="20"/>
              </w:rPr>
              <w:t> </w:t>
            </w:r>
            <w:r>
              <w:rPr>
                <w:w w:val="120"/>
                <w:sz w:val="20"/>
              </w:rPr>
              <w:t>Elizabeth Welch: </w:t>
            </w:r>
            <w:hyperlink r:id="rId279">
              <w:r>
                <w:rPr>
                  <w:color w:val="006AB3"/>
                  <w:w w:val="120"/>
                  <w:sz w:val="20"/>
                </w:rPr>
                <w:t>minister@theroundchapel.org.uk</w:t>
              </w:r>
            </w:hyperlink>
          </w:p>
        </w:tc>
      </w:tr>
      <w:tr>
        <w:trPr>
          <w:trHeight w:val="440" w:hRule="atLeast"/>
        </w:trPr>
        <w:tc>
          <w:tcPr>
            <w:tcW w:w="2660" w:type="dxa"/>
            <w:shd w:val="clear" w:color="auto" w:fill="FFFFFF"/>
          </w:tcPr>
          <w:p>
            <w:pPr>
              <w:pStyle w:val="TableParagraph"/>
              <w:spacing w:before="128"/>
              <w:rPr>
                <w:rFonts w:ascii="Stone Sans II ITC Std Bk"/>
                <w:b/>
                <w:sz w:val="20"/>
              </w:rPr>
            </w:pPr>
            <w:r>
              <w:rPr>
                <w:rFonts w:ascii="Stone Sans II ITC Std Bk"/>
                <w:b/>
                <w:w w:val="110"/>
                <w:sz w:val="20"/>
              </w:rPr>
              <w:t>Action required</w:t>
            </w:r>
          </w:p>
        </w:tc>
        <w:tc>
          <w:tcPr>
            <w:tcW w:w="6582" w:type="dxa"/>
            <w:shd w:val="clear" w:color="auto" w:fill="FFFFFF"/>
          </w:tcPr>
          <w:p>
            <w:pPr>
              <w:pStyle w:val="TableParagraph"/>
              <w:spacing w:before="141"/>
              <w:rPr>
                <w:sz w:val="20"/>
              </w:rPr>
            </w:pPr>
            <w:r>
              <w:rPr>
                <w:w w:val="120"/>
                <w:sz w:val="20"/>
              </w:rPr>
              <w:t>Decision</w:t>
            </w:r>
          </w:p>
        </w:tc>
      </w:tr>
      <w:tr>
        <w:trPr>
          <w:trHeight w:val="2360" w:hRule="atLeast"/>
        </w:trPr>
        <w:tc>
          <w:tcPr>
            <w:tcW w:w="2660" w:type="dxa"/>
            <w:shd w:val="clear" w:color="auto" w:fill="FFFFFF"/>
          </w:tcPr>
          <w:p>
            <w:pPr>
              <w:pStyle w:val="TableParagraph"/>
              <w:spacing w:before="128"/>
              <w:rPr>
                <w:rFonts w:ascii="Stone Sans II ITC Std Bk"/>
                <w:b/>
                <w:sz w:val="20"/>
              </w:rPr>
            </w:pPr>
            <w:r>
              <w:rPr>
                <w:rFonts w:ascii="Stone Sans II ITC Std Bk"/>
                <w:b/>
                <w:w w:val="110"/>
                <w:sz w:val="20"/>
              </w:rPr>
              <w:t>Draft resolution(s)</w:t>
            </w:r>
          </w:p>
        </w:tc>
        <w:tc>
          <w:tcPr>
            <w:tcW w:w="6582" w:type="dxa"/>
            <w:shd w:val="clear" w:color="auto" w:fill="FFFFFF"/>
          </w:tcPr>
          <w:p>
            <w:pPr>
              <w:pStyle w:val="TableParagraph"/>
              <w:tabs>
                <w:tab w:pos="760" w:val="left" w:leader="none"/>
              </w:tabs>
              <w:spacing w:line="255" w:lineRule="exact" w:before="128"/>
              <w:rPr>
                <w:rFonts w:ascii="Stone Sans II ITC Std Bk"/>
                <w:b/>
                <w:sz w:val="20"/>
              </w:rPr>
            </w:pPr>
            <w:r>
              <w:rPr>
                <w:rFonts w:ascii="Stone Sans II ITC Std Bk"/>
                <w:b/>
                <w:w w:val="110"/>
                <w:sz w:val="20"/>
              </w:rPr>
              <w:t>24.</w:t>
              <w:tab/>
              <w:t>General</w:t>
            </w:r>
            <w:r>
              <w:rPr>
                <w:rFonts w:ascii="Stone Sans II ITC Std Bk"/>
                <w:b/>
                <w:spacing w:val="-1"/>
                <w:w w:val="110"/>
                <w:sz w:val="20"/>
              </w:rPr>
              <w:t> </w:t>
            </w:r>
            <w:r>
              <w:rPr>
                <w:rFonts w:ascii="Stone Sans II ITC Std Bk"/>
                <w:b/>
                <w:w w:val="110"/>
                <w:sz w:val="20"/>
              </w:rPr>
              <w:t>Assembly:</w:t>
            </w:r>
          </w:p>
          <w:p>
            <w:pPr>
              <w:pStyle w:val="TableParagraph"/>
              <w:numPr>
                <w:ilvl w:val="0"/>
                <w:numId w:val="155"/>
              </w:numPr>
              <w:tabs>
                <w:tab w:pos="760" w:val="left" w:leader="none"/>
                <w:tab w:pos="761" w:val="left" w:leader="none"/>
              </w:tabs>
              <w:spacing w:line="213" w:lineRule="auto" w:before="8" w:after="0"/>
              <w:ind w:left="760" w:right="163" w:hanging="681"/>
              <w:jc w:val="left"/>
              <w:rPr>
                <w:rFonts w:ascii="Stone Sans II ITC Std Bk"/>
                <w:b/>
                <w:sz w:val="20"/>
              </w:rPr>
            </w:pPr>
            <w:r>
              <w:rPr>
                <w:rFonts w:ascii="Stone Sans II ITC Std Bk"/>
                <w:b/>
                <w:w w:val="110"/>
                <w:sz w:val="20"/>
              </w:rPr>
              <w:t>welcomes the principles embodied in the Wider Fold proposals;</w:t>
            </w:r>
          </w:p>
          <w:p>
            <w:pPr>
              <w:pStyle w:val="TableParagraph"/>
              <w:numPr>
                <w:ilvl w:val="0"/>
                <w:numId w:val="155"/>
              </w:numPr>
              <w:tabs>
                <w:tab w:pos="760" w:val="left" w:leader="none"/>
                <w:tab w:pos="761" w:val="left" w:leader="none"/>
              </w:tabs>
              <w:spacing w:line="213" w:lineRule="auto" w:before="0" w:after="0"/>
              <w:ind w:left="760" w:right="187" w:hanging="681"/>
              <w:jc w:val="left"/>
              <w:rPr>
                <w:rFonts w:ascii="Stone Sans II ITC Std Bk"/>
                <w:b/>
                <w:sz w:val="20"/>
              </w:rPr>
            </w:pPr>
            <w:r>
              <w:rPr>
                <w:rFonts w:ascii="Stone Sans II ITC Std Bk"/>
                <w:b/>
                <w:w w:val="110"/>
                <w:sz w:val="20"/>
              </w:rPr>
              <w:t>instructs the faith and order committee to prepare a plan to implement these principles, in consultation with the law and polity advisory</w:t>
            </w:r>
            <w:r>
              <w:rPr>
                <w:rFonts w:ascii="Stone Sans II ITC Std Bk"/>
                <w:b/>
                <w:spacing w:val="1"/>
                <w:w w:val="110"/>
                <w:sz w:val="20"/>
              </w:rPr>
              <w:t> </w:t>
            </w:r>
            <w:r>
              <w:rPr>
                <w:rFonts w:ascii="Stone Sans II ITC Std Bk"/>
                <w:b/>
                <w:w w:val="110"/>
                <w:sz w:val="20"/>
              </w:rPr>
              <w:t>group;</w:t>
            </w:r>
          </w:p>
          <w:p>
            <w:pPr>
              <w:pStyle w:val="TableParagraph"/>
              <w:numPr>
                <w:ilvl w:val="0"/>
                <w:numId w:val="155"/>
              </w:numPr>
              <w:tabs>
                <w:tab w:pos="760" w:val="left" w:leader="none"/>
                <w:tab w:pos="761" w:val="left" w:leader="none"/>
              </w:tabs>
              <w:spacing w:line="213" w:lineRule="auto" w:before="0" w:after="0"/>
              <w:ind w:left="760" w:right="362" w:hanging="681"/>
              <w:jc w:val="left"/>
              <w:rPr>
                <w:rFonts w:ascii="Stone Sans II ITC Std Bk"/>
                <w:b/>
                <w:sz w:val="20"/>
              </w:rPr>
            </w:pPr>
            <w:r>
              <w:rPr>
                <w:rFonts w:ascii="Stone Sans II ITC Std Bk"/>
                <w:b/>
                <w:w w:val="110"/>
                <w:sz w:val="20"/>
              </w:rPr>
              <w:t>instructs the faith and order committee to bring proposals for such a plan to the meeting of Mission Council in May</w:t>
            </w:r>
            <w:r>
              <w:rPr>
                <w:rFonts w:ascii="Stone Sans II ITC Std Bk"/>
                <w:b/>
                <w:spacing w:val="-1"/>
                <w:w w:val="110"/>
                <w:sz w:val="20"/>
              </w:rPr>
              <w:t> </w:t>
            </w:r>
            <w:r>
              <w:rPr>
                <w:rFonts w:ascii="Stone Sans II ITC Std Bk"/>
                <w:b/>
                <w:spacing w:val="-11"/>
                <w:w w:val="110"/>
                <w:sz w:val="20"/>
              </w:rPr>
              <w:t>2017.</w:t>
            </w:r>
          </w:p>
        </w:tc>
      </w:tr>
    </w:tbl>
    <w:p>
      <w:pPr>
        <w:pStyle w:val="BodyText"/>
        <w:spacing w:before="3"/>
        <w:rPr>
          <w:rFonts w:ascii="Stone Sans II ITC Std Bk"/>
          <w:b/>
          <w:sz w:val="29"/>
        </w:rPr>
      </w:pPr>
    </w:p>
    <w:p>
      <w:pPr>
        <w:pStyle w:val="Heading4"/>
        <w:spacing w:before="1"/>
      </w:pPr>
      <w:r>
        <w:rPr>
          <w:color w:val="7F7F7F"/>
        </w:rPr>
        <w:t>Summary of Content</w:t>
      </w:r>
    </w:p>
    <w:tbl>
      <w:tblPr>
        <w:tblW w:w="0" w:type="auto"/>
        <w:jc w:val="left"/>
        <w:tblInd w:w="6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660"/>
        <w:gridCol w:w="6582"/>
      </w:tblGrid>
      <w:tr>
        <w:trPr>
          <w:trHeight w:val="680" w:hRule="atLeast"/>
        </w:trPr>
        <w:tc>
          <w:tcPr>
            <w:tcW w:w="2660" w:type="dxa"/>
            <w:shd w:val="clear" w:color="auto" w:fill="FFFFFF"/>
          </w:tcPr>
          <w:p>
            <w:pPr>
              <w:pStyle w:val="TableParagraph"/>
              <w:spacing w:before="128"/>
              <w:rPr>
                <w:rFonts w:ascii="Stone Sans II ITC Std Bk"/>
                <w:b/>
                <w:sz w:val="20"/>
              </w:rPr>
            </w:pPr>
            <w:r>
              <w:rPr>
                <w:rFonts w:ascii="Stone Sans II ITC Std Bk"/>
                <w:b/>
                <w:w w:val="110"/>
                <w:sz w:val="20"/>
              </w:rPr>
              <w:t>Subject and aim(s)</w:t>
            </w:r>
          </w:p>
        </w:tc>
        <w:tc>
          <w:tcPr>
            <w:tcW w:w="6582" w:type="dxa"/>
            <w:shd w:val="clear" w:color="auto" w:fill="FFFFFF"/>
          </w:tcPr>
          <w:p>
            <w:pPr>
              <w:pStyle w:val="TableParagraph"/>
              <w:spacing w:line="235" w:lineRule="auto" w:before="145"/>
              <w:ind w:right="182"/>
              <w:rPr>
                <w:sz w:val="20"/>
              </w:rPr>
            </w:pPr>
            <w:r>
              <w:rPr>
                <w:w w:val="120"/>
                <w:sz w:val="20"/>
              </w:rPr>
              <w:t>Church membership for those not within reach of a local church or otherwise in transit</w:t>
            </w:r>
          </w:p>
        </w:tc>
      </w:tr>
      <w:tr>
        <w:trPr>
          <w:trHeight w:val="440" w:hRule="atLeast"/>
        </w:trPr>
        <w:tc>
          <w:tcPr>
            <w:tcW w:w="2660" w:type="dxa"/>
            <w:shd w:val="clear" w:color="auto" w:fill="FFFFFF"/>
          </w:tcPr>
          <w:p>
            <w:pPr>
              <w:pStyle w:val="TableParagraph"/>
              <w:spacing w:before="128"/>
              <w:rPr>
                <w:rFonts w:ascii="Stone Sans II ITC Std Bk"/>
                <w:b/>
                <w:sz w:val="20"/>
              </w:rPr>
            </w:pPr>
            <w:r>
              <w:rPr>
                <w:rFonts w:ascii="Stone Sans II ITC Std Bk"/>
                <w:b/>
                <w:w w:val="110"/>
                <w:sz w:val="20"/>
              </w:rPr>
              <w:t>Main points</w:t>
            </w:r>
          </w:p>
        </w:tc>
        <w:tc>
          <w:tcPr>
            <w:tcW w:w="6582" w:type="dxa"/>
            <w:shd w:val="clear" w:color="auto" w:fill="FFFFFF"/>
          </w:tcPr>
          <w:p>
            <w:pPr>
              <w:pStyle w:val="TableParagraph"/>
              <w:spacing w:before="141"/>
              <w:rPr>
                <w:sz w:val="20"/>
              </w:rPr>
            </w:pPr>
            <w:r>
              <w:rPr>
                <w:w w:val="120"/>
                <w:sz w:val="20"/>
              </w:rPr>
              <w:t>Creation of a holding system for previous church membership</w:t>
            </w:r>
          </w:p>
        </w:tc>
      </w:tr>
      <w:tr>
        <w:trPr>
          <w:trHeight w:val="1160" w:hRule="atLeast"/>
        </w:trPr>
        <w:tc>
          <w:tcPr>
            <w:tcW w:w="2660" w:type="dxa"/>
            <w:shd w:val="clear" w:color="auto" w:fill="FFFFFF"/>
          </w:tcPr>
          <w:p>
            <w:pPr>
              <w:pStyle w:val="TableParagraph"/>
              <w:spacing w:line="213" w:lineRule="auto" w:before="151"/>
              <w:ind w:right="701"/>
              <w:rPr>
                <w:rFonts w:ascii="Stone Sans II ITC Std Bk"/>
                <w:b/>
                <w:sz w:val="20"/>
              </w:rPr>
            </w:pPr>
            <w:r>
              <w:rPr>
                <w:rFonts w:ascii="Stone Sans II ITC Std Bk"/>
                <w:b/>
                <w:w w:val="110"/>
                <w:sz w:val="20"/>
              </w:rPr>
              <w:t>Previous relevant documents</w:t>
            </w:r>
          </w:p>
        </w:tc>
        <w:tc>
          <w:tcPr>
            <w:tcW w:w="6582" w:type="dxa"/>
            <w:shd w:val="clear" w:color="auto" w:fill="FFFFFF"/>
          </w:tcPr>
          <w:p>
            <w:pPr>
              <w:pStyle w:val="TableParagraph"/>
              <w:spacing w:line="235" w:lineRule="auto" w:before="145"/>
              <w:ind w:right="104"/>
              <w:rPr>
                <w:sz w:val="20"/>
              </w:rPr>
            </w:pPr>
            <w:r>
              <w:rPr>
                <w:w w:val="120"/>
                <w:sz w:val="20"/>
              </w:rPr>
              <w:t>The ‘What Is the Spirit Saying to the Churches?’ report to the 2014 Assembly led to discussions at Mission Council out of which emerged the work of the task group on membership and the Wider Fold concept.</w:t>
            </w:r>
          </w:p>
        </w:tc>
      </w:tr>
      <w:tr>
        <w:trPr>
          <w:trHeight w:val="680" w:hRule="atLeast"/>
        </w:trPr>
        <w:tc>
          <w:tcPr>
            <w:tcW w:w="2660" w:type="dxa"/>
            <w:shd w:val="clear" w:color="auto" w:fill="FFFFFF"/>
          </w:tcPr>
          <w:p>
            <w:pPr>
              <w:pStyle w:val="TableParagraph"/>
              <w:spacing w:line="213" w:lineRule="auto" w:before="151"/>
              <w:ind w:right="576"/>
              <w:rPr>
                <w:rFonts w:ascii="Stone Sans II ITC Std Bk"/>
                <w:b/>
                <w:sz w:val="20"/>
              </w:rPr>
            </w:pPr>
            <w:r>
              <w:rPr>
                <w:rFonts w:ascii="Stone Sans II ITC Std Bk"/>
                <w:b/>
                <w:w w:val="110"/>
                <w:sz w:val="20"/>
              </w:rPr>
              <w:t>Consultation has taken place with...</w:t>
            </w:r>
          </w:p>
        </w:tc>
        <w:tc>
          <w:tcPr>
            <w:tcW w:w="6582" w:type="dxa"/>
            <w:shd w:val="clear" w:color="auto" w:fill="FFFFFF"/>
          </w:tcPr>
          <w:p>
            <w:pPr>
              <w:pStyle w:val="TableParagraph"/>
              <w:spacing w:before="141"/>
              <w:rPr>
                <w:sz w:val="20"/>
              </w:rPr>
            </w:pPr>
            <w:r>
              <w:rPr>
                <w:w w:val="120"/>
                <w:sz w:val="20"/>
              </w:rPr>
              <w:t>Law and polity advisory group</w:t>
            </w:r>
          </w:p>
        </w:tc>
      </w:tr>
    </w:tbl>
    <w:p>
      <w:pPr>
        <w:pStyle w:val="BodyText"/>
        <w:spacing w:before="3"/>
        <w:rPr>
          <w:rFonts w:ascii="Stone Sans II ITC Std Bk"/>
          <w:b/>
          <w:sz w:val="29"/>
        </w:rPr>
      </w:pPr>
    </w:p>
    <w:p>
      <w:pPr>
        <w:pStyle w:val="Heading4"/>
      </w:pPr>
      <w:r>
        <w:rPr>
          <w:color w:val="7F7F7F"/>
        </w:rPr>
        <w:t>Summary of Impact</w:t>
      </w:r>
    </w:p>
    <w:tbl>
      <w:tblPr>
        <w:tblW w:w="0" w:type="auto"/>
        <w:jc w:val="left"/>
        <w:tblInd w:w="6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660"/>
        <w:gridCol w:w="6582"/>
      </w:tblGrid>
      <w:tr>
        <w:trPr>
          <w:trHeight w:val="440" w:hRule="atLeast"/>
        </w:trPr>
        <w:tc>
          <w:tcPr>
            <w:tcW w:w="2660" w:type="dxa"/>
            <w:shd w:val="clear" w:color="auto" w:fill="FFFFFF"/>
          </w:tcPr>
          <w:p>
            <w:pPr>
              <w:pStyle w:val="TableParagraph"/>
              <w:spacing w:before="128"/>
              <w:rPr>
                <w:rFonts w:ascii="Stone Sans II ITC Std Bk"/>
                <w:b/>
                <w:sz w:val="20"/>
              </w:rPr>
            </w:pPr>
            <w:r>
              <w:rPr>
                <w:rFonts w:ascii="Stone Sans II ITC Std Bk"/>
                <w:b/>
                <w:w w:val="110"/>
                <w:sz w:val="20"/>
              </w:rPr>
              <w:t>Financial</w:t>
            </w:r>
          </w:p>
        </w:tc>
        <w:tc>
          <w:tcPr>
            <w:tcW w:w="6582" w:type="dxa"/>
            <w:shd w:val="clear" w:color="auto" w:fill="FFFFFF"/>
          </w:tcPr>
          <w:p>
            <w:pPr>
              <w:pStyle w:val="TableParagraph"/>
              <w:spacing w:before="141"/>
              <w:rPr>
                <w:sz w:val="20"/>
              </w:rPr>
            </w:pPr>
            <w:r>
              <w:rPr>
                <w:w w:val="120"/>
                <w:sz w:val="20"/>
              </w:rPr>
              <w:t>Minimal in the first instance</w:t>
            </w:r>
          </w:p>
        </w:tc>
      </w:tr>
      <w:tr>
        <w:trPr>
          <w:trHeight w:val="680" w:hRule="atLeast"/>
        </w:trPr>
        <w:tc>
          <w:tcPr>
            <w:tcW w:w="2660" w:type="dxa"/>
            <w:shd w:val="clear" w:color="auto" w:fill="FFFFFF"/>
          </w:tcPr>
          <w:p>
            <w:pPr>
              <w:pStyle w:val="TableParagraph"/>
              <w:spacing w:line="255" w:lineRule="exact" w:before="128"/>
              <w:rPr>
                <w:rFonts w:ascii="Stone Sans II ITC Std Bk"/>
                <w:b/>
                <w:sz w:val="20"/>
              </w:rPr>
            </w:pPr>
            <w:r>
              <w:rPr>
                <w:rFonts w:ascii="Stone Sans II ITC Std Bk"/>
                <w:b/>
                <w:w w:val="110"/>
                <w:sz w:val="20"/>
              </w:rPr>
              <w:t>External</w:t>
            </w:r>
          </w:p>
          <w:p>
            <w:pPr>
              <w:pStyle w:val="TableParagraph"/>
              <w:spacing w:line="255" w:lineRule="exact"/>
              <w:rPr>
                <w:rFonts w:ascii="Stone Sans II ITC Std Bk"/>
                <w:b/>
                <w:sz w:val="20"/>
              </w:rPr>
            </w:pPr>
            <w:r>
              <w:rPr>
                <w:rFonts w:ascii="Stone Sans II ITC Std Bk"/>
                <w:b/>
                <w:w w:val="110"/>
                <w:sz w:val="20"/>
              </w:rPr>
              <w:t>(e.g. ecumenical)</w:t>
            </w:r>
          </w:p>
        </w:tc>
        <w:tc>
          <w:tcPr>
            <w:tcW w:w="6582" w:type="dxa"/>
            <w:shd w:val="clear" w:color="auto" w:fill="FFFFFF"/>
          </w:tcPr>
          <w:p>
            <w:pPr>
              <w:pStyle w:val="TableParagraph"/>
              <w:spacing w:before="141"/>
              <w:rPr>
                <w:sz w:val="20"/>
              </w:rPr>
            </w:pPr>
            <w:r>
              <w:rPr>
                <w:w w:val="120"/>
                <w:sz w:val="20"/>
              </w:rPr>
              <w:t>Signs that it would be helpful in some ecumenical situations.</w:t>
            </w:r>
          </w:p>
        </w:tc>
      </w:tr>
    </w:tbl>
    <w:p>
      <w:pPr>
        <w:pStyle w:val="BodyText"/>
        <w:rPr>
          <w:rFonts w:ascii="Stone Sans II ITC Std Bk"/>
          <w:b/>
          <w:sz w:val="30"/>
        </w:rPr>
      </w:pPr>
    </w:p>
    <w:p>
      <w:pPr>
        <w:pStyle w:val="BodyText"/>
        <w:rPr>
          <w:rFonts w:ascii="Stone Sans II ITC Std Bk"/>
          <w:b/>
          <w:sz w:val="30"/>
        </w:rPr>
      </w:pPr>
    </w:p>
    <w:p>
      <w:pPr>
        <w:pStyle w:val="BodyText"/>
        <w:rPr>
          <w:rFonts w:ascii="Stone Sans II ITC Std Bk"/>
          <w:b/>
          <w:sz w:val="30"/>
        </w:rPr>
      </w:pPr>
    </w:p>
    <w:p>
      <w:pPr>
        <w:pStyle w:val="BodyText"/>
        <w:rPr>
          <w:rFonts w:ascii="Stone Sans II ITC Std Bk"/>
          <w:b/>
          <w:sz w:val="30"/>
        </w:rPr>
      </w:pPr>
    </w:p>
    <w:p>
      <w:pPr>
        <w:pStyle w:val="BodyText"/>
        <w:rPr>
          <w:rFonts w:ascii="Stone Sans II ITC Std Bk"/>
          <w:b/>
          <w:sz w:val="30"/>
        </w:rPr>
      </w:pPr>
    </w:p>
    <w:p>
      <w:pPr>
        <w:pStyle w:val="BodyText"/>
        <w:rPr>
          <w:rFonts w:ascii="Stone Sans II ITC Std Bk"/>
          <w:b/>
          <w:sz w:val="30"/>
        </w:rPr>
      </w:pPr>
    </w:p>
    <w:p>
      <w:pPr>
        <w:pStyle w:val="BodyText"/>
        <w:rPr>
          <w:rFonts w:ascii="Stone Sans II ITC Std Bk"/>
          <w:b/>
          <w:sz w:val="30"/>
        </w:rPr>
      </w:pPr>
    </w:p>
    <w:p>
      <w:pPr>
        <w:pStyle w:val="BodyText"/>
        <w:rPr>
          <w:rFonts w:ascii="Stone Sans II ITC Std Bk"/>
          <w:b/>
          <w:sz w:val="30"/>
        </w:rPr>
      </w:pPr>
    </w:p>
    <w:p>
      <w:pPr>
        <w:pStyle w:val="BodyText"/>
        <w:spacing w:before="5"/>
        <w:rPr>
          <w:rFonts w:ascii="Stone Sans II ITC Std Bk"/>
          <w:b/>
          <w:sz w:val="38"/>
        </w:rPr>
      </w:pPr>
    </w:p>
    <w:p>
      <w:pPr>
        <w:pStyle w:val="Heading6"/>
        <w:spacing w:before="0"/>
        <w:ind w:left="607"/>
      </w:pPr>
      <w:r>
        <w:rPr>
          <w:rFonts w:ascii="Stone Sans II ITC Std X Bd" w:hAnsi="Stone Sans II ITC Std X Bd"/>
          <w:b/>
          <w:w w:val="110"/>
          <w:sz w:val="24"/>
        </w:rPr>
        <w:t>128 </w:t>
      </w:r>
      <w:r>
        <w:rPr>
          <w:rFonts w:ascii="Symbol" w:hAnsi="Symbol"/>
          <w:color w:val="7EAABF"/>
          <w:w w:val="110"/>
        </w:rPr>
        <w:t></w:t>
      </w:r>
      <w:r>
        <w:rPr>
          <w:rFonts w:ascii="Times New Roman" w:hAnsi="Times New Roman"/>
          <w:color w:val="7EAABF"/>
          <w:w w:val="110"/>
        </w:rPr>
        <w:t> </w:t>
      </w:r>
      <w:r>
        <w:rPr>
          <w:color w:val="7EAABF"/>
          <w:w w:val="110"/>
        </w:rPr>
        <w:t>United Reformed Church </w:t>
      </w:r>
      <w:r>
        <w:rPr>
          <w:rFonts w:ascii="Symbol" w:hAnsi="Symbol"/>
          <w:color w:val="7EAABF"/>
          <w:w w:val="110"/>
        </w:rPr>
        <w:t></w:t>
      </w:r>
      <w:r>
        <w:rPr>
          <w:rFonts w:ascii="Times New Roman" w:hAnsi="Times New Roman"/>
          <w:color w:val="7EAABF"/>
          <w:w w:val="110"/>
        </w:rPr>
        <w:t> </w:t>
      </w:r>
      <w:r>
        <w:rPr>
          <w:color w:val="7EAABF"/>
          <w:w w:val="110"/>
        </w:rPr>
        <w:t>General Assembly 2016</w:t>
      </w:r>
    </w:p>
    <w:p>
      <w:pPr>
        <w:spacing w:after="0"/>
        <w:sectPr>
          <w:headerReference w:type="even" r:id="rId356"/>
          <w:footerReference w:type="even" r:id="rId357"/>
          <w:pgSz w:w="11910" w:h="16840"/>
          <w:pgMar w:header="0" w:footer="0" w:top="0" w:bottom="0" w:left="640" w:right="0"/>
        </w:sectPr>
      </w:pPr>
    </w:p>
    <w:p>
      <w:pPr>
        <w:pStyle w:val="BodyText"/>
      </w:pPr>
      <w:r>
        <w:rPr/>
        <w:drawing>
          <wp:anchor distT="0" distB="0" distL="0" distR="0" allowOverlap="1" layoutInCell="1" locked="0" behindDoc="0" simplePos="0" relativeHeight="251992064">
            <wp:simplePos x="0" y="0"/>
            <wp:positionH relativeFrom="page">
              <wp:posOffset>6974928</wp:posOffset>
            </wp:positionH>
            <wp:positionV relativeFrom="page">
              <wp:posOffset>0</wp:posOffset>
            </wp:positionV>
            <wp:extent cx="585063" cy="10692003"/>
            <wp:effectExtent l="0" t="0" r="0" b="0"/>
            <wp:wrapNone/>
            <wp:docPr id="241" name="image54.png"/>
            <wp:cNvGraphicFramePr>
              <a:graphicFrameLocks noChangeAspect="1"/>
            </wp:cNvGraphicFramePr>
            <a:graphic>
              <a:graphicData uri="http://schemas.openxmlformats.org/drawingml/2006/picture">
                <pic:pic>
                  <pic:nvPicPr>
                    <pic:cNvPr id="242" name="image54.png"/>
                    <pic:cNvPicPr/>
                  </pic:nvPicPr>
                  <pic:blipFill>
                    <a:blip r:embed="rId169" cstate="print"/>
                    <a:stretch>
                      <a:fillRect/>
                    </a:stretch>
                  </pic:blipFill>
                  <pic:spPr>
                    <a:xfrm>
                      <a:off x="0" y="0"/>
                      <a:ext cx="585063" cy="10692003"/>
                    </a:xfrm>
                    <a:prstGeom prst="rect">
                      <a:avLst/>
                    </a:prstGeom>
                  </pic:spPr>
                </pic:pic>
              </a:graphicData>
            </a:graphic>
          </wp:anchor>
        </w:drawing>
      </w:r>
    </w:p>
    <w:p>
      <w:pPr>
        <w:pStyle w:val="BodyText"/>
      </w:pPr>
    </w:p>
    <w:p>
      <w:pPr>
        <w:pStyle w:val="BodyText"/>
      </w:pPr>
    </w:p>
    <w:p>
      <w:pPr>
        <w:pStyle w:val="BodyText"/>
        <w:spacing w:before="5"/>
        <w:rPr>
          <w:sz w:val="28"/>
        </w:rPr>
      </w:pPr>
    </w:p>
    <w:p>
      <w:pPr>
        <w:spacing w:before="97"/>
        <w:ind w:left="1344" w:right="0" w:firstLine="0"/>
        <w:jc w:val="left"/>
        <w:rPr>
          <w:rFonts w:ascii="Stone Sans II ITC Std X Bd"/>
          <w:b/>
          <w:sz w:val="50"/>
        </w:rPr>
      </w:pPr>
      <w:r>
        <w:rPr/>
        <w:pict>
          <v:shape style="position:absolute;margin-left:554.141174pt;margin-top:-5.998084pt;width:25.9pt;height:336.25pt;mso-position-horizontal-relative:page;mso-position-vertical-relative:paragraph;z-index:251993088" type="#_x0000_t202" filled="false" stroked="false">
            <v:textbox inset="0,0,0,0" style="layout-flow:vertical">
              <w:txbxContent>
                <w:p>
                  <w:pPr>
                    <w:spacing w:before="27"/>
                    <w:ind w:left="20" w:right="0" w:firstLine="0"/>
                    <w:jc w:val="left"/>
                    <w:rPr>
                      <w:sz w:val="39"/>
                    </w:rPr>
                  </w:pPr>
                  <w:r>
                    <w:rPr>
                      <w:color w:val="FFFFFF"/>
                      <w:spacing w:val="6"/>
                      <w:w w:val="120"/>
                      <w:sz w:val="39"/>
                    </w:rPr>
                    <w:t>Faith </w:t>
                  </w:r>
                  <w:r>
                    <w:rPr>
                      <w:color w:val="FFFFFF"/>
                      <w:spacing w:val="7"/>
                      <w:w w:val="120"/>
                      <w:sz w:val="39"/>
                    </w:rPr>
                    <w:t>and order </w:t>
                  </w:r>
                  <w:r>
                    <w:rPr>
                      <w:color w:val="FFFFFF"/>
                      <w:w w:val="120"/>
                      <w:sz w:val="39"/>
                    </w:rPr>
                    <w:t>– </w:t>
                  </w:r>
                  <w:r>
                    <w:rPr>
                      <w:spacing w:val="7"/>
                      <w:w w:val="120"/>
                      <w:sz w:val="39"/>
                    </w:rPr>
                    <w:t>The </w:t>
                  </w:r>
                  <w:r>
                    <w:rPr>
                      <w:spacing w:val="8"/>
                      <w:w w:val="120"/>
                      <w:sz w:val="39"/>
                    </w:rPr>
                    <w:t>Wider</w:t>
                  </w:r>
                  <w:r>
                    <w:rPr>
                      <w:spacing w:val="84"/>
                      <w:w w:val="120"/>
                      <w:sz w:val="39"/>
                    </w:rPr>
                    <w:t> </w:t>
                  </w:r>
                  <w:r>
                    <w:rPr>
                      <w:spacing w:val="10"/>
                      <w:w w:val="120"/>
                      <w:sz w:val="39"/>
                    </w:rPr>
                    <w:t>Fold</w:t>
                  </w:r>
                </w:p>
              </w:txbxContent>
            </v:textbox>
            <w10:wrap type="none"/>
          </v:shape>
        </w:pict>
      </w:r>
      <w:r>
        <w:rPr>
          <w:rFonts w:ascii="Stone Sans II ITC Std X Bd"/>
          <w:b/>
          <w:w w:val="110"/>
          <w:sz w:val="50"/>
        </w:rPr>
        <w:t>The Wider Fold</w:t>
      </w:r>
    </w:p>
    <w:p>
      <w:pPr>
        <w:pStyle w:val="ListParagraph"/>
        <w:numPr>
          <w:ilvl w:val="0"/>
          <w:numId w:val="156"/>
        </w:numPr>
        <w:tabs>
          <w:tab w:pos="2024" w:val="left" w:leader="none"/>
          <w:tab w:pos="2025" w:val="left" w:leader="none"/>
        </w:tabs>
        <w:spacing w:line="240" w:lineRule="auto" w:before="394" w:after="0"/>
        <w:ind w:left="2024" w:right="0" w:hanging="681"/>
        <w:jc w:val="left"/>
        <w:rPr>
          <w:rFonts w:ascii="Stone Sans II ITC Std Bk"/>
          <w:b/>
          <w:sz w:val="29"/>
        </w:rPr>
      </w:pPr>
      <w:r>
        <w:rPr>
          <w:rFonts w:ascii="Stone Sans II ITC Std Bk"/>
          <w:b/>
          <w:spacing w:val="4"/>
          <w:w w:val="110"/>
          <w:sz w:val="29"/>
        </w:rPr>
        <w:t>The</w:t>
      </w:r>
      <w:r>
        <w:rPr>
          <w:rFonts w:ascii="Stone Sans II ITC Std Bk"/>
          <w:b/>
          <w:spacing w:val="12"/>
          <w:w w:val="110"/>
          <w:sz w:val="29"/>
        </w:rPr>
        <w:t> </w:t>
      </w:r>
      <w:r>
        <w:rPr>
          <w:rFonts w:ascii="Stone Sans II ITC Std Bk"/>
          <w:b/>
          <w:spacing w:val="4"/>
          <w:w w:val="110"/>
          <w:sz w:val="29"/>
        </w:rPr>
        <w:t>principles</w:t>
      </w:r>
    </w:p>
    <w:p>
      <w:pPr>
        <w:pStyle w:val="ListParagraph"/>
        <w:numPr>
          <w:ilvl w:val="1"/>
          <w:numId w:val="156"/>
        </w:numPr>
        <w:tabs>
          <w:tab w:pos="2024" w:val="left" w:leader="none"/>
          <w:tab w:pos="2025" w:val="left" w:leader="none"/>
        </w:tabs>
        <w:spacing w:line="235" w:lineRule="auto" w:before="69" w:after="0"/>
        <w:ind w:left="1344" w:right="1303" w:firstLine="0"/>
        <w:jc w:val="left"/>
        <w:rPr>
          <w:sz w:val="20"/>
        </w:rPr>
      </w:pPr>
      <w:r>
        <w:rPr>
          <w:spacing w:val="2"/>
          <w:w w:val="120"/>
          <w:sz w:val="20"/>
        </w:rPr>
        <w:t>Membership </w:t>
      </w:r>
      <w:r>
        <w:rPr>
          <w:w w:val="120"/>
          <w:sz w:val="20"/>
        </w:rPr>
        <w:t>in the United </w:t>
      </w:r>
      <w:r>
        <w:rPr>
          <w:spacing w:val="2"/>
          <w:w w:val="120"/>
          <w:sz w:val="20"/>
        </w:rPr>
        <w:t>Reformed </w:t>
      </w:r>
      <w:r>
        <w:rPr>
          <w:w w:val="120"/>
          <w:sz w:val="20"/>
        </w:rPr>
        <w:t>Church is an </w:t>
      </w:r>
      <w:r>
        <w:rPr>
          <w:spacing w:val="3"/>
          <w:w w:val="120"/>
          <w:sz w:val="20"/>
        </w:rPr>
        <w:t>important </w:t>
      </w:r>
      <w:r>
        <w:rPr>
          <w:w w:val="120"/>
          <w:sz w:val="20"/>
        </w:rPr>
        <w:t>concept. It </w:t>
      </w:r>
      <w:r>
        <w:rPr>
          <w:spacing w:val="2"/>
          <w:w w:val="120"/>
          <w:sz w:val="20"/>
        </w:rPr>
        <w:t>represents </w:t>
      </w:r>
      <w:r>
        <w:rPr>
          <w:w w:val="120"/>
          <w:sz w:val="20"/>
        </w:rPr>
        <w:t>a </w:t>
      </w:r>
      <w:r>
        <w:rPr>
          <w:spacing w:val="2"/>
          <w:w w:val="120"/>
          <w:sz w:val="20"/>
        </w:rPr>
        <w:t>degree </w:t>
      </w:r>
      <w:r>
        <w:rPr>
          <w:w w:val="120"/>
          <w:sz w:val="20"/>
        </w:rPr>
        <w:t>of commitment in </w:t>
      </w:r>
      <w:r>
        <w:rPr>
          <w:spacing w:val="2"/>
          <w:w w:val="120"/>
          <w:sz w:val="20"/>
        </w:rPr>
        <w:t>exchange </w:t>
      </w:r>
      <w:r>
        <w:rPr>
          <w:w w:val="120"/>
          <w:sz w:val="20"/>
        </w:rPr>
        <w:t>for the </w:t>
      </w:r>
      <w:r>
        <w:rPr>
          <w:spacing w:val="2"/>
          <w:w w:val="120"/>
          <w:sz w:val="20"/>
        </w:rPr>
        <w:t>right </w:t>
      </w:r>
      <w:r>
        <w:rPr>
          <w:w w:val="120"/>
          <w:sz w:val="20"/>
        </w:rPr>
        <w:t>to share in decisions for the </w:t>
      </w:r>
      <w:r>
        <w:rPr>
          <w:spacing w:val="2"/>
          <w:w w:val="120"/>
          <w:sz w:val="20"/>
        </w:rPr>
        <w:t>denomination. </w:t>
      </w:r>
      <w:r>
        <w:rPr>
          <w:w w:val="120"/>
          <w:sz w:val="20"/>
        </w:rPr>
        <w:t>However </w:t>
      </w:r>
      <w:r>
        <w:rPr>
          <w:spacing w:val="2"/>
          <w:w w:val="120"/>
          <w:sz w:val="20"/>
        </w:rPr>
        <w:t>there </w:t>
      </w:r>
      <w:r>
        <w:rPr>
          <w:w w:val="120"/>
          <w:sz w:val="20"/>
        </w:rPr>
        <w:t>are </w:t>
      </w:r>
      <w:r>
        <w:rPr>
          <w:spacing w:val="2"/>
          <w:w w:val="120"/>
          <w:sz w:val="20"/>
        </w:rPr>
        <w:t>people </w:t>
      </w:r>
      <w:r>
        <w:rPr>
          <w:w w:val="120"/>
          <w:sz w:val="20"/>
        </w:rPr>
        <w:t>who have </w:t>
      </w:r>
      <w:r>
        <w:rPr>
          <w:spacing w:val="2"/>
          <w:w w:val="120"/>
          <w:sz w:val="20"/>
        </w:rPr>
        <w:t>been </w:t>
      </w:r>
      <w:r>
        <w:rPr>
          <w:w w:val="120"/>
          <w:sz w:val="20"/>
        </w:rPr>
        <w:t>received as </w:t>
      </w:r>
      <w:r>
        <w:rPr>
          <w:spacing w:val="2"/>
          <w:w w:val="120"/>
          <w:sz w:val="20"/>
        </w:rPr>
        <w:t>members </w:t>
      </w:r>
      <w:r>
        <w:rPr>
          <w:w w:val="120"/>
          <w:sz w:val="20"/>
        </w:rPr>
        <w:t>of  a </w:t>
      </w:r>
      <w:r>
        <w:rPr>
          <w:spacing w:val="2"/>
          <w:w w:val="120"/>
          <w:sz w:val="20"/>
        </w:rPr>
        <w:t>local </w:t>
      </w:r>
      <w:r>
        <w:rPr>
          <w:w w:val="120"/>
          <w:sz w:val="20"/>
        </w:rPr>
        <w:t>church and who retain a commitment to the URC but now live too </w:t>
      </w:r>
      <w:r>
        <w:rPr>
          <w:spacing w:val="2"/>
          <w:w w:val="120"/>
          <w:sz w:val="20"/>
        </w:rPr>
        <w:t>far </w:t>
      </w:r>
      <w:r>
        <w:rPr>
          <w:w w:val="120"/>
          <w:sz w:val="20"/>
        </w:rPr>
        <w:t>distant </w:t>
      </w:r>
      <w:r>
        <w:rPr>
          <w:spacing w:val="2"/>
          <w:w w:val="120"/>
          <w:sz w:val="20"/>
        </w:rPr>
        <w:t>from </w:t>
      </w:r>
      <w:r>
        <w:rPr>
          <w:w w:val="120"/>
          <w:sz w:val="20"/>
        </w:rPr>
        <w:t>a </w:t>
      </w:r>
      <w:r>
        <w:rPr>
          <w:spacing w:val="2"/>
          <w:w w:val="120"/>
          <w:sz w:val="20"/>
        </w:rPr>
        <w:t>local </w:t>
      </w:r>
      <w:r>
        <w:rPr>
          <w:w w:val="120"/>
          <w:sz w:val="20"/>
        </w:rPr>
        <w:t>church to worship </w:t>
      </w:r>
      <w:r>
        <w:rPr>
          <w:spacing w:val="2"/>
          <w:w w:val="120"/>
          <w:sz w:val="20"/>
        </w:rPr>
        <w:t>there </w:t>
      </w:r>
      <w:r>
        <w:rPr>
          <w:w w:val="120"/>
          <w:sz w:val="20"/>
        </w:rPr>
        <w:t>regularly. </w:t>
      </w:r>
      <w:r>
        <w:rPr>
          <w:spacing w:val="2"/>
          <w:w w:val="120"/>
          <w:sz w:val="20"/>
        </w:rPr>
        <w:t>There </w:t>
      </w:r>
      <w:r>
        <w:rPr>
          <w:w w:val="120"/>
          <w:sz w:val="20"/>
        </w:rPr>
        <w:t>are also </w:t>
      </w:r>
      <w:r>
        <w:rPr>
          <w:spacing w:val="2"/>
          <w:w w:val="120"/>
          <w:sz w:val="20"/>
        </w:rPr>
        <w:t>people </w:t>
      </w:r>
      <w:r>
        <w:rPr>
          <w:w w:val="120"/>
          <w:sz w:val="20"/>
        </w:rPr>
        <w:t>with a </w:t>
      </w:r>
      <w:r>
        <w:rPr>
          <w:spacing w:val="2"/>
          <w:w w:val="120"/>
          <w:sz w:val="20"/>
        </w:rPr>
        <w:t>transitory lifestyle, students </w:t>
      </w:r>
      <w:r>
        <w:rPr>
          <w:w w:val="120"/>
          <w:sz w:val="20"/>
        </w:rPr>
        <w:t>or </w:t>
      </w:r>
      <w:r>
        <w:rPr>
          <w:spacing w:val="2"/>
          <w:w w:val="120"/>
          <w:sz w:val="20"/>
        </w:rPr>
        <w:t>members </w:t>
      </w:r>
      <w:r>
        <w:rPr>
          <w:w w:val="120"/>
          <w:sz w:val="20"/>
        </w:rPr>
        <w:t>of the </w:t>
      </w:r>
      <w:r>
        <w:rPr>
          <w:spacing w:val="2"/>
          <w:w w:val="120"/>
          <w:sz w:val="20"/>
        </w:rPr>
        <w:t>armed </w:t>
      </w:r>
      <w:r>
        <w:rPr>
          <w:w w:val="120"/>
          <w:sz w:val="20"/>
        </w:rPr>
        <w:t>forces for instance, who wish to </w:t>
      </w:r>
      <w:r>
        <w:rPr>
          <w:spacing w:val="3"/>
          <w:w w:val="120"/>
          <w:sz w:val="20"/>
        </w:rPr>
        <w:t>identify </w:t>
      </w:r>
      <w:r>
        <w:rPr>
          <w:w w:val="120"/>
          <w:sz w:val="20"/>
        </w:rPr>
        <w:t>with</w:t>
      </w:r>
      <w:r>
        <w:rPr>
          <w:spacing w:val="9"/>
          <w:w w:val="120"/>
          <w:sz w:val="20"/>
        </w:rPr>
        <w:t> </w:t>
      </w:r>
      <w:r>
        <w:rPr>
          <w:w w:val="120"/>
          <w:sz w:val="20"/>
        </w:rPr>
        <w:t>the</w:t>
      </w:r>
      <w:r>
        <w:rPr>
          <w:spacing w:val="10"/>
          <w:w w:val="120"/>
          <w:sz w:val="20"/>
        </w:rPr>
        <w:t> </w:t>
      </w:r>
      <w:r>
        <w:rPr>
          <w:w w:val="120"/>
          <w:sz w:val="20"/>
        </w:rPr>
        <w:t>URC</w:t>
      </w:r>
      <w:r>
        <w:rPr>
          <w:spacing w:val="10"/>
          <w:w w:val="120"/>
          <w:sz w:val="20"/>
        </w:rPr>
        <w:t> </w:t>
      </w:r>
      <w:r>
        <w:rPr>
          <w:w w:val="120"/>
          <w:sz w:val="20"/>
        </w:rPr>
        <w:t>but</w:t>
      </w:r>
      <w:r>
        <w:rPr>
          <w:spacing w:val="9"/>
          <w:w w:val="120"/>
          <w:sz w:val="20"/>
        </w:rPr>
        <w:t> </w:t>
      </w:r>
      <w:r>
        <w:rPr>
          <w:w w:val="120"/>
          <w:sz w:val="20"/>
        </w:rPr>
        <w:t>do</w:t>
      </w:r>
      <w:r>
        <w:rPr>
          <w:spacing w:val="10"/>
          <w:w w:val="120"/>
          <w:sz w:val="20"/>
        </w:rPr>
        <w:t> </w:t>
      </w:r>
      <w:r>
        <w:rPr>
          <w:w w:val="120"/>
          <w:sz w:val="20"/>
        </w:rPr>
        <w:t>not</w:t>
      </w:r>
      <w:r>
        <w:rPr>
          <w:spacing w:val="10"/>
          <w:w w:val="120"/>
          <w:sz w:val="20"/>
        </w:rPr>
        <w:t> </w:t>
      </w:r>
      <w:r>
        <w:rPr>
          <w:w w:val="120"/>
          <w:sz w:val="20"/>
        </w:rPr>
        <w:t>fit</w:t>
      </w:r>
      <w:r>
        <w:rPr>
          <w:spacing w:val="9"/>
          <w:w w:val="120"/>
          <w:sz w:val="20"/>
        </w:rPr>
        <w:t> </w:t>
      </w:r>
      <w:r>
        <w:rPr>
          <w:w w:val="120"/>
          <w:sz w:val="20"/>
        </w:rPr>
        <w:t>into</w:t>
      </w:r>
      <w:r>
        <w:rPr>
          <w:spacing w:val="10"/>
          <w:w w:val="120"/>
          <w:sz w:val="20"/>
        </w:rPr>
        <w:t> </w:t>
      </w:r>
      <w:r>
        <w:rPr>
          <w:w w:val="120"/>
          <w:sz w:val="20"/>
        </w:rPr>
        <w:t>the</w:t>
      </w:r>
      <w:r>
        <w:rPr>
          <w:spacing w:val="10"/>
          <w:w w:val="120"/>
          <w:sz w:val="20"/>
        </w:rPr>
        <w:t> </w:t>
      </w:r>
      <w:r>
        <w:rPr>
          <w:spacing w:val="2"/>
          <w:w w:val="120"/>
          <w:sz w:val="20"/>
        </w:rPr>
        <w:t>traditional</w:t>
      </w:r>
      <w:r>
        <w:rPr>
          <w:spacing w:val="9"/>
          <w:w w:val="120"/>
          <w:sz w:val="20"/>
        </w:rPr>
        <w:t> </w:t>
      </w:r>
      <w:r>
        <w:rPr>
          <w:w w:val="120"/>
          <w:sz w:val="20"/>
        </w:rPr>
        <w:t>forms</w:t>
      </w:r>
      <w:r>
        <w:rPr>
          <w:spacing w:val="10"/>
          <w:w w:val="120"/>
          <w:sz w:val="20"/>
        </w:rPr>
        <w:t> </w:t>
      </w:r>
      <w:r>
        <w:rPr>
          <w:w w:val="120"/>
          <w:sz w:val="20"/>
        </w:rPr>
        <w:t>of</w:t>
      </w:r>
      <w:r>
        <w:rPr>
          <w:spacing w:val="10"/>
          <w:w w:val="120"/>
          <w:sz w:val="20"/>
        </w:rPr>
        <w:t> </w:t>
      </w:r>
      <w:r>
        <w:rPr>
          <w:w w:val="120"/>
          <w:sz w:val="20"/>
        </w:rPr>
        <w:t>membership.</w:t>
      </w:r>
      <w:r>
        <w:rPr>
          <w:spacing w:val="10"/>
          <w:w w:val="120"/>
          <w:sz w:val="20"/>
        </w:rPr>
        <w:t> </w:t>
      </w:r>
      <w:r>
        <w:rPr>
          <w:spacing w:val="2"/>
          <w:w w:val="120"/>
          <w:sz w:val="20"/>
        </w:rPr>
        <w:t>The</w:t>
      </w:r>
      <w:r>
        <w:rPr>
          <w:spacing w:val="9"/>
          <w:w w:val="120"/>
          <w:sz w:val="20"/>
        </w:rPr>
        <w:t> </w:t>
      </w:r>
      <w:r>
        <w:rPr>
          <w:spacing w:val="2"/>
          <w:w w:val="120"/>
          <w:sz w:val="20"/>
        </w:rPr>
        <w:t>Wider</w:t>
      </w:r>
    </w:p>
    <w:p>
      <w:pPr>
        <w:pStyle w:val="BodyText"/>
        <w:spacing w:line="235" w:lineRule="auto" w:before="6"/>
        <w:ind w:left="1344" w:right="1500"/>
      </w:pPr>
      <w:r>
        <w:rPr>
          <w:spacing w:val="2"/>
          <w:w w:val="120"/>
        </w:rPr>
        <w:t>Fold </w:t>
      </w:r>
      <w:r>
        <w:rPr>
          <w:w w:val="120"/>
        </w:rPr>
        <w:t>is intended to provide </w:t>
      </w:r>
      <w:r>
        <w:rPr>
          <w:spacing w:val="2"/>
          <w:w w:val="120"/>
        </w:rPr>
        <w:t>membership </w:t>
      </w:r>
      <w:r>
        <w:rPr>
          <w:w w:val="120"/>
        </w:rPr>
        <w:t>for those who find a </w:t>
      </w:r>
      <w:r>
        <w:rPr>
          <w:spacing w:val="2"/>
          <w:w w:val="120"/>
        </w:rPr>
        <w:t>meaningful </w:t>
      </w:r>
      <w:r>
        <w:rPr>
          <w:w w:val="120"/>
        </w:rPr>
        <w:t>link to a   </w:t>
      </w:r>
      <w:r>
        <w:rPr>
          <w:spacing w:val="2"/>
          <w:w w:val="120"/>
        </w:rPr>
        <w:t>local </w:t>
      </w:r>
      <w:r>
        <w:rPr>
          <w:w w:val="120"/>
        </w:rPr>
        <w:t>church </w:t>
      </w:r>
      <w:r>
        <w:rPr>
          <w:spacing w:val="2"/>
          <w:w w:val="120"/>
        </w:rPr>
        <w:t>impractical, </w:t>
      </w:r>
      <w:r>
        <w:rPr>
          <w:w w:val="120"/>
        </w:rPr>
        <w:t>even </w:t>
      </w:r>
      <w:r>
        <w:rPr>
          <w:spacing w:val="2"/>
          <w:w w:val="120"/>
        </w:rPr>
        <w:t>though </w:t>
      </w:r>
      <w:r>
        <w:rPr>
          <w:w w:val="120"/>
        </w:rPr>
        <w:t>it cannot offer the </w:t>
      </w:r>
      <w:r>
        <w:rPr>
          <w:spacing w:val="2"/>
          <w:w w:val="120"/>
        </w:rPr>
        <w:t>benefits </w:t>
      </w:r>
      <w:r>
        <w:rPr>
          <w:w w:val="120"/>
        </w:rPr>
        <w:t>of </w:t>
      </w:r>
      <w:r>
        <w:rPr>
          <w:spacing w:val="2"/>
          <w:w w:val="120"/>
        </w:rPr>
        <w:t>membership </w:t>
      </w:r>
      <w:r>
        <w:rPr>
          <w:w w:val="120"/>
        </w:rPr>
        <w:t>of a Church</w:t>
      </w:r>
      <w:r>
        <w:rPr>
          <w:spacing w:val="6"/>
          <w:w w:val="120"/>
        </w:rPr>
        <w:t> </w:t>
      </w:r>
      <w:r>
        <w:rPr>
          <w:spacing w:val="2"/>
          <w:w w:val="120"/>
        </w:rPr>
        <w:t>Meeting.</w:t>
      </w:r>
    </w:p>
    <w:p>
      <w:pPr>
        <w:pStyle w:val="BodyText"/>
        <w:spacing w:before="10"/>
        <w:rPr>
          <w:sz w:val="19"/>
        </w:rPr>
      </w:pPr>
    </w:p>
    <w:p>
      <w:pPr>
        <w:pStyle w:val="ListParagraph"/>
        <w:numPr>
          <w:ilvl w:val="1"/>
          <w:numId w:val="156"/>
        </w:numPr>
        <w:tabs>
          <w:tab w:pos="2024" w:val="left" w:leader="none"/>
          <w:tab w:pos="2025" w:val="left" w:leader="none"/>
        </w:tabs>
        <w:spacing w:line="235" w:lineRule="auto" w:before="0" w:after="0"/>
        <w:ind w:left="1344" w:right="1294" w:firstLine="0"/>
        <w:jc w:val="left"/>
        <w:rPr>
          <w:sz w:val="20"/>
        </w:rPr>
      </w:pPr>
      <w:r>
        <w:rPr>
          <w:w w:val="120"/>
          <w:sz w:val="20"/>
        </w:rPr>
        <w:t>The Wider Fold offers a non-geographical substitute for the local church, with all the limitations of a substitute. People would be admitted to it by transfer from a local church, and admitted to a local church by transfer from the Wider Fold. Only actual  local</w:t>
      </w:r>
      <w:r>
        <w:rPr>
          <w:spacing w:val="5"/>
          <w:w w:val="120"/>
          <w:sz w:val="20"/>
        </w:rPr>
        <w:t> </w:t>
      </w:r>
      <w:r>
        <w:rPr>
          <w:w w:val="120"/>
          <w:sz w:val="20"/>
        </w:rPr>
        <w:t>churches,</w:t>
      </w:r>
      <w:r>
        <w:rPr>
          <w:spacing w:val="5"/>
          <w:w w:val="120"/>
          <w:sz w:val="20"/>
        </w:rPr>
        <w:t> </w:t>
      </w:r>
      <w:r>
        <w:rPr>
          <w:w w:val="120"/>
          <w:sz w:val="20"/>
        </w:rPr>
        <w:t>however</w:t>
      </w:r>
      <w:r>
        <w:rPr>
          <w:spacing w:val="6"/>
          <w:w w:val="120"/>
          <w:sz w:val="20"/>
        </w:rPr>
        <w:t> </w:t>
      </w:r>
      <w:r>
        <w:rPr>
          <w:spacing w:val="-6"/>
          <w:w w:val="120"/>
          <w:sz w:val="20"/>
        </w:rPr>
        <w:t>(so</w:t>
      </w:r>
      <w:r>
        <w:rPr>
          <w:spacing w:val="5"/>
          <w:w w:val="120"/>
          <w:sz w:val="20"/>
        </w:rPr>
        <w:t> </w:t>
      </w:r>
      <w:r>
        <w:rPr>
          <w:w w:val="120"/>
          <w:sz w:val="20"/>
        </w:rPr>
        <w:t>not</w:t>
      </w:r>
      <w:r>
        <w:rPr>
          <w:spacing w:val="6"/>
          <w:w w:val="120"/>
          <w:sz w:val="20"/>
        </w:rPr>
        <w:t> </w:t>
      </w:r>
      <w:r>
        <w:rPr>
          <w:w w:val="120"/>
          <w:sz w:val="20"/>
        </w:rPr>
        <w:t>the</w:t>
      </w:r>
      <w:r>
        <w:rPr>
          <w:spacing w:val="5"/>
          <w:w w:val="120"/>
          <w:sz w:val="20"/>
        </w:rPr>
        <w:t> </w:t>
      </w:r>
      <w:r>
        <w:rPr>
          <w:w w:val="120"/>
          <w:sz w:val="20"/>
        </w:rPr>
        <w:t>Wider</w:t>
      </w:r>
      <w:r>
        <w:rPr>
          <w:spacing w:val="6"/>
          <w:w w:val="120"/>
          <w:sz w:val="20"/>
        </w:rPr>
        <w:t> </w:t>
      </w:r>
      <w:r>
        <w:rPr>
          <w:w w:val="120"/>
          <w:sz w:val="20"/>
        </w:rPr>
        <w:t>Fold)</w:t>
      </w:r>
      <w:r>
        <w:rPr>
          <w:spacing w:val="5"/>
          <w:w w:val="120"/>
          <w:sz w:val="20"/>
        </w:rPr>
        <w:t> </w:t>
      </w:r>
      <w:r>
        <w:rPr>
          <w:w w:val="120"/>
          <w:sz w:val="20"/>
        </w:rPr>
        <w:t>would</w:t>
      </w:r>
      <w:r>
        <w:rPr>
          <w:spacing w:val="5"/>
          <w:w w:val="120"/>
          <w:sz w:val="20"/>
        </w:rPr>
        <w:t> </w:t>
      </w:r>
      <w:r>
        <w:rPr>
          <w:w w:val="120"/>
          <w:sz w:val="20"/>
        </w:rPr>
        <w:t>be</w:t>
      </w:r>
      <w:r>
        <w:rPr>
          <w:spacing w:val="6"/>
          <w:w w:val="120"/>
          <w:sz w:val="20"/>
        </w:rPr>
        <w:t> </w:t>
      </w:r>
      <w:r>
        <w:rPr>
          <w:w w:val="120"/>
          <w:sz w:val="20"/>
        </w:rPr>
        <w:t>able</w:t>
      </w:r>
      <w:r>
        <w:rPr>
          <w:spacing w:val="5"/>
          <w:w w:val="120"/>
          <w:sz w:val="20"/>
        </w:rPr>
        <w:t> </w:t>
      </w:r>
      <w:r>
        <w:rPr>
          <w:w w:val="120"/>
          <w:sz w:val="20"/>
        </w:rPr>
        <w:t>to</w:t>
      </w:r>
      <w:r>
        <w:rPr>
          <w:spacing w:val="6"/>
          <w:w w:val="120"/>
          <w:sz w:val="20"/>
        </w:rPr>
        <w:t> </w:t>
      </w:r>
      <w:r>
        <w:rPr>
          <w:w w:val="120"/>
          <w:sz w:val="20"/>
        </w:rPr>
        <w:t>admit</w:t>
      </w:r>
      <w:r>
        <w:rPr>
          <w:spacing w:val="5"/>
          <w:w w:val="120"/>
          <w:sz w:val="20"/>
        </w:rPr>
        <w:t> </w:t>
      </w:r>
      <w:r>
        <w:rPr>
          <w:w w:val="120"/>
          <w:sz w:val="20"/>
        </w:rPr>
        <w:t>candidates</w:t>
      </w:r>
    </w:p>
    <w:p>
      <w:pPr>
        <w:pStyle w:val="BodyText"/>
        <w:spacing w:line="235" w:lineRule="auto" w:before="3"/>
        <w:ind w:left="1344" w:right="1360"/>
      </w:pPr>
      <w:r>
        <w:rPr>
          <w:w w:val="120"/>
        </w:rPr>
        <w:t>on profession of faith. This is because, in our long-standing practice, admission to membership involves not only a willingness to commit and a declaration during public worship, but also (for good reason) the decision of a council of the church, often made on the recommendation of another council, the elders’ meeting, which is satisfied</w:t>
      </w:r>
    </w:p>
    <w:p>
      <w:pPr>
        <w:pStyle w:val="BodyText"/>
        <w:spacing w:line="235" w:lineRule="auto" w:before="3"/>
        <w:ind w:left="1344" w:right="1478"/>
      </w:pPr>
      <w:r>
        <w:rPr>
          <w:w w:val="120"/>
        </w:rPr>
        <w:t>of the candidate’s preparation and sincerity. The Wider Fold would not have the resources to satisfy itself in this way, but could rely on the judgment of a local church commending candidates for transfer.</w:t>
      </w:r>
    </w:p>
    <w:p>
      <w:pPr>
        <w:pStyle w:val="BodyText"/>
        <w:spacing w:before="10"/>
        <w:rPr>
          <w:sz w:val="19"/>
        </w:rPr>
      </w:pPr>
    </w:p>
    <w:p>
      <w:pPr>
        <w:pStyle w:val="ListParagraph"/>
        <w:numPr>
          <w:ilvl w:val="1"/>
          <w:numId w:val="156"/>
        </w:numPr>
        <w:tabs>
          <w:tab w:pos="2024" w:val="left" w:leader="none"/>
          <w:tab w:pos="2025" w:val="left" w:leader="none"/>
        </w:tabs>
        <w:spacing w:line="235" w:lineRule="auto" w:before="0" w:after="0"/>
        <w:ind w:left="1344" w:right="1502" w:firstLine="0"/>
        <w:jc w:val="left"/>
        <w:rPr>
          <w:sz w:val="20"/>
        </w:rPr>
      </w:pPr>
      <w:r>
        <w:rPr>
          <w:w w:val="120"/>
          <w:sz w:val="20"/>
        </w:rPr>
        <w:t>The Wider Fold would not be open to everyone. It would exist to serve several ‘constituencies’ of people who have joined the URC in the regular way through the decision of a Church Meeting, who wish to continue to ‘belong’ and to maintain their commitment; but who are unable, for reasons of distance or mobility, to put down regular roots in an existing local church. The constituencies would</w:t>
      </w:r>
      <w:r>
        <w:rPr>
          <w:spacing w:val="38"/>
          <w:w w:val="120"/>
          <w:sz w:val="20"/>
        </w:rPr>
        <w:t> </w:t>
      </w:r>
      <w:r>
        <w:rPr>
          <w:w w:val="120"/>
          <w:sz w:val="20"/>
        </w:rPr>
        <w:t>be:</w:t>
      </w:r>
    </w:p>
    <w:p>
      <w:pPr>
        <w:pStyle w:val="ListParagraph"/>
        <w:numPr>
          <w:ilvl w:val="0"/>
          <w:numId w:val="157"/>
        </w:numPr>
        <w:tabs>
          <w:tab w:pos="2024" w:val="left" w:leader="none"/>
          <w:tab w:pos="2025" w:val="left" w:leader="none"/>
        </w:tabs>
        <w:spacing w:line="298" w:lineRule="exact" w:before="179" w:after="0"/>
        <w:ind w:left="2024" w:right="0" w:hanging="681"/>
        <w:jc w:val="left"/>
        <w:rPr>
          <w:sz w:val="20"/>
        </w:rPr>
      </w:pPr>
      <w:r>
        <w:rPr>
          <w:w w:val="120"/>
          <w:sz w:val="20"/>
        </w:rPr>
        <w:t>students and young people resident away from home for </w:t>
      </w:r>
      <w:r>
        <w:rPr>
          <w:spacing w:val="2"/>
          <w:w w:val="120"/>
          <w:sz w:val="20"/>
        </w:rPr>
        <w:t>part </w:t>
      </w:r>
      <w:r>
        <w:rPr>
          <w:w w:val="120"/>
          <w:sz w:val="20"/>
        </w:rPr>
        <w:t>of the</w:t>
      </w:r>
      <w:r>
        <w:rPr>
          <w:spacing w:val="23"/>
          <w:w w:val="120"/>
          <w:sz w:val="20"/>
        </w:rPr>
        <w:t> </w:t>
      </w:r>
      <w:r>
        <w:rPr>
          <w:w w:val="120"/>
          <w:sz w:val="20"/>
        </w:rPr>
        <w:t>year</w:t>
      </w:r>
    </w:p>
    <w:p>
      <w:pPr>
        <w:pStyle w:val="ListParagraph"/>
        <w:numPr>
          <w:ilvl w:val="0"/>
          <w:numId w:val="157"/>
        </w:numPr>
        <w:tabs>
          <w:tab w:pos="2024" w:val="left" w:leader="none"/>
          <w:tab w:pos="2025" w:val="left" w:leader="none"/>
        </w:tabs>
        <w:spacing w:line="196" w:lineRule="auto" w:before="0" w:after="0"/>
        <w:ind w:left="2024" w:right="1456" w:hanging="681"/>
        <w:jc w:val="left"/>
        <w:rPr>
          <w:sz w:val="20"/>
        </w:rPr>
      </w:pPr>
      <w:r>
        <w:rPr>
          <w:w w:val="120"/>
          <w:sz w:val="20"/>
        </w:rPr>
        <w:t>members of the armed forces and their households, many of whom receive the ministry of URC</w:t>
      </w:r>
      <w:r>
        <w:rPr>
          <w:spacing w:val="6"/>
          <w:w w:val="120"/>
          <w:sz w:val="20"/>
        </w:rPr>
        <w:t> </w:t>
      </w:r>
      <w:r>
        <w:rPr>
          <w:w w:val="120"/>
          <w:sz w:val="20"/>
        </w:rPr>
        <w:t>chaplains;</w:t>
      </w:r>
    </w:p>
    <w:p>
      <w:pPr>
        <w:pStyle w:val="ListParagraph"/>
        <w:numPr>
          <w:ilvl w:val="0"/>
          <w:numId w:val="157"/>
        </w:numPr>
        <w:tabs>
          <w:tab w:pos="2024" w:val="left" w:leader="none"/>
          <w:tab w:pos="2025" w:val="left" w:leader="none"/>
        </w:tabs>
        <w:spacing w:line="196" w:lineRule="auto" w:before="0" w:after="0"/>
        <w:ind w:left="2024" w:right="1521" w:hanging="681"/>
        <w:jc w:val="left"/>
        <w:rPr>
          <w:sz w:val="20"/>
        </w:rPr>
      </w:pPr>
      <w:r>
        <w:rPr>
          <w:w w:val="120"/>
          <w:sz w:val="20"/>
        </w:rPr>
        <w:t>members of the URC, including retired ministers and non-serving elders, who have moved away from any locality where regular attendance at a local</w:t>
      </w:r>
      <w:r>
        <w:rPr>
          <w:spacing w:val="11"/>
          <w:w w:val="120"/>
          <w:sz w:val="20"/>
        </w:rPr>
        <w:t> </w:t>
      </w:r>
      <w:r>
        <w:rPr>
          <w:w w:val="120"/>
          <w:sz w:val="20"/>
        </w:rPr>
        <w:t>United</w:t>
      </w:r>
    </w:p>
    <w:p>
      <w:pPr>
        <w:pStyle w:val="BodyText"/>
        <w:spacing w:line="212" w:lineRule="exact"/>
        <w:ind w:left="2024"/>
      </w:pPr>
      <w:r>
        <w:rPr>
          <w:w w:val="120"/>
        </w:rPr>
        <w:t>Reformed church is practical;</w:t>
      </w:r>
    </w:p>
    <w:p>
      <w:pPr>
        <w:pStyle w:val="ListParagraph"/>
        <w:numPr>
          <w:ilvl w:val="0"/>
          <w:numId w:val="157"/>
        </w:numPr>
        <w:tabs>
          <w:tab w:pos="2024" w:val="left" w:leader="none"/>
          <w:tab w:pos="2025" w:val="left" w:leader="none"/>
        </w:tabs>
        <w:spacing w:line="213" w:lineRule="auto" w:before="0" w:after="0"/>
        <w:ind w:left="2024" w:right="1494" w:hanging="681"/>
        <w:jc w:val="left"/>
        <w:rPr>
          <w:sz w:val="20"/>
        </w:rPr>
      </w:pPr>
      <w:r>
        <w:rPr>
          <w:w w:val="120"/>
          <w:sz w:val="20"/>
        </w:rPr>
        <w:t>URC members worshipping in a church of another denomination which had earlier been a local ecumenical partnership in which the URC was involved but from which it has</w:t>
      </w:r>
      <w:r>
        <w:rPr>
          <w:spacing w:val="8"/>
          <w:w w:val="120"/>
          <w:sz w:val="20"/>
        </w:rPr>
        <w:t> </w:t>
      </w:r>
      <w:r>
        <w:rPr>
          <w:w w:val="120"/>
          <w:sz w:val="20"/>
        </w:rPr>
        <w:t>withdrawn.</w:t>
      </w:r>
    </w:p>
    <w:p>
      <w:pPr>
        <w:pStyle w:val="BodyText"/>
        <w:spacing w:before="2"/>
        <w:rPr>
          <w:sz w:val="18"/>
        </w:rPr>
      </w:pPr>
    </w:p>
    <w:p>
      <w:pPr>
        <w:pStyle w:val="ListParagraph"/>
        <w:numPr>
          <w:ilvl w:val="1"/>
          <w:numId w:val="156"/>
        </w:numPr>
        <w:tabs>
          <w:tab w:pos="2024" w:val="left" w:leader="none"/>
          <w:tab w:pos="2025" w:val="left" w:leader="none"/>
        </w:tabs>
        <w:spacing w:line="235" w:lineRule="auto" w:before="0" w:after="0"/>
        <w:ind w:left="1344" w:right="1301" w:firstLine="0"/>
        <w:jc w:val="left"/>
        <w:rPr>
          <w:sz w:val="20"/>
        </w:rPr>
      </w:pPr>
      <w:r>
        <w:rPr>
          <w:w w:val="120"/>
          <w:sz w:val="20"/>
        </w:rPr>
        <w:t>Ministers, whether retired or in secular employment, may currently be in the anomalous situation of being on the Roll of Ministers but not on any membership roll. The Wider Fold membership roll would be a way to end that anomaly; but the corollary of this is that a certain minimum contact </w:t>
      </w:r>
      <w:r>
        <w:rPr>
          <w:spacing w:val="-3"/>
          <w:w w:val="120"/>
          <w:sz w:val="20"/>
        </w:rPr>
        <w:t>(the </w:t>
      </w:r>
      <w:r>
        <w:rPr>
          <w:w w:val="120"/>
          <w:sz w:val="20"/>
        </w:rPr>
        <w:t>same as required for a lay person to stay on</w:t>
      </w:r>
      <w:r>
        <w:rPr>
          <w:spacing w:val="5"/>
          <w:w w:val="120"/>
          <w:sz w:val="20"/>
        </w:rPr>
        <w:t> </w:t>
      </w:r>
      <w:r>
        <w:rPr>
          <w:w w:val="120"/>
          <w:sz w:val="20"/>
        </w:rPr>
        <w:t>the</w:t>
      </w:r>
      <w:r>
        <w:rPr>
          <w:spacing w:val="6"/>
          <w:w w:val="120"/>
          <w:sz w:val="20"/>
        </w:rPr>
        <w:t> </w:t>
      </w:r>
      <w:r>
        <w:rPr>
          <w:w w:val="120"/>
          <w:sz w:val="20"/>
        </w:rPr>
        <w:t>Wider</w:t>
      </w:r>
      <w:r>
        <w:rPr>
          <w:spacing w:val="5"/>
          <w:w w:val="120"/>
          <w:sz w:val="20"/>
        </w:rPr>
        <w:t> </w:t>
      </w:r>
      <w:r>
        <w:rPr>
          <w:w w:val="120"/>
          <w:sz w:val="20"/>
        </w:rPr>
        <w:t>Fold</w:t>
      </w:r>
      <w:r>
        <w:rPr>
          <w:spacing w:val="6"/>
          <w:w w:val="120"/>
          <w:sz w:val="20"/>
        </w:rPr>
        <w:t> </w:t>
      </w:r>
      <w:r>
        <w:rPr>
          <w:w w:val="120"/>
          <w:sz w:val="20"/>
        </w:rPr>
        <w:t>roll)</w:t>
      </w:r>
      <w:r>
        <w:rPr>
          <w:spacing w:val="5"/>
          <w:w w:val="120"/>
          <w:sz w:val="20"/>
        </w:rPr>
        <w:t> </w:t>
      </w:r>
      <w:r>
        <w:rPr>
          <w:w w:val="120"/>
          <w:sz w:val="20"/>
        </w:rPr>
        <w:t>might</w:t>
      </w:r>
      <w:r>
        <w:rPr>
          <w:spacing w:val="6"/>
          <w:w w:val="120"/>
          <w:sz w:val="20"/>
        </w:rPr>
        <w:t> </w:t>
      </w:r>
      <w:r>
        <w:rPr>
          <w:w w:val="120"/>
          <w:sz w:val="20"/>
        </w:rPr>
        <w:t>become</w:t>
      </w:r>
      <w:r>
        <w:rPr>
          <w:spacing w:val="5"/>
          <w:w w:val="120"/>
          <w:sz w:val="20"/>
        </w:rPr>
        <w:t> </w:t>
      </w:r>
      <w:r>
        <w:rPr>
          <w:w w:val="120"/>
          <w:sz w:val="20"/>
        </w:rPr>
        <w:t>a</w:t>
      </w:r>
      <w:r>
        <w:rPr>
          <w:spacing w:val="6"/>
          <w:w w:val="120"/>
          <w:sz w:val="20"/>
        </w:rPr>
        <w:t> </w:t>
      </w:r>
      <w:r>
        <w:rPr>
          <w:w w:val="120"/>
          <w:sz w:val="20"/>
        </w:rPr>
        <w:t>condition</w:t>
      </w:r>
      <w:r>
        <w:rPr>
          <w:spacing w:val="5"/>
          <w:w w:val="120"/>
          <w:sz w:val="20"/>
        </w:rPr>
        <w:t> </w:t>
      </w:r>
      <w:r>
        <w:rPr>
          <w:w w:val="120"/>
          <w:sz w:val="20"/>
        </w:rPr>
        <w:t>of</w:t>
      </w:r>
      <w:r>
        <w:rPr>
          <w:spacing w:val="6"/>
          <w:w w:val="120"/>
          <w:sz w:val="20"/>
        </w:rPr>
        <w:t> </w:t>
      </w:r>
      <w:r>
        <w:rPr>
          <w:w w:val="120"/>
          <w:sz w:val="20"/>
        </w:rPr>
        <w:t>remaining</w:t>
      </w:r>
      <w:r>
        <w:rPr>
          <w:spacing w:val="5"/>
          <w:w w:val="120"/>
          <w:sz w:val="20"/>
        </w:rPr>
        <w:t> </w:t>
      </w:r>
      <w:r>
        <w:rPr>
          <w:w w:val="120"/>
          <w:sz w:val="20"/>
        </w:rPr>
        <w:t>on</w:t>
      </w:r>
      <w:r>
        <w:rPr>
          <w:spacing w:val="6"/>
          <w:w w:val="120"/>
          <w:sz w:val="20"/>
        </w:rPr>
        <w:t> </w:t>
      </w:r>
      <w:r>
        <w:rPr>
          <w:w w:val="120"/>
          <w:sz w:val="20"/>
        </w:rPr>
        <w:t>the</w:t>
      </w:r>
      <w:r>
        <w:rPr>
          <w:spacing w:val="5"/>
          <w:w w:val="120"/>
          <w:sz w:val="20"/>
        </w:rPr>
        <w:t> </w:t>
      </w:r>
      <w:r>
        <w:rPr>
          <w:w w:val="120"/>
          <w:sz w:val="20"/>
        </w:rPr>
        <w:t>Roll</w:t>
      </w:r>
      <w:r>
        <w:rPr>
          <w:spacing w:val="6"/>
          <w:w w:val="120"/>
          <w:sz w:val="20"/>
        </w:rPr>
        <w:t> </w:t>
      </w:r>
      <w:r>
        <w:rPr>
          <w:w w:val="120"/>
          <w:sz w:val="20"/>
        </w:rPr>
        <w:t>of</w:t>
      </w:r>
      <w:r>
        <w:rPr>
          <w:spacing w:val="5"/>
          <w:w w:val="120"/>
          <w:sz w:val="20"/>
        </w:rPr>
        <w:t> </w:t>
      </w:r>
      <w:r>
        <w:rPr>
          <w:w w:val="120"/>
          <w:sz w:val="20"/>
        </w:rPr>
        <w:t>Ministers.</w:t>
      </w:r>
    </w:p>
    <w:p>
      <w:pPr>
        <w:pStyle w:val="BodyText"/>
        <w:spacing w:before="12"/>
        <w:rPr>
          <w:sz w:val="19"/>
        </w:rPr>
      </w:pPr>
    </w:p>
    <w:p>
      <w:pPr>
        <w:pStyle w:val="ListParagraph"/>
        <w:numPr>
          <w:ilvl w:val="1"/>
          <w:numId w:val="156"/>
        </w:numPr>
        <w:tabs>
          <w:tab w:pos="2024" w:val="left" w:leader="none"/>
          <w:tab w:pos="2025" w:val="left" w:leader="none"/>
        </w:tabs>
        <w:spacing w:line="235" w:lineRule="auto" w:before="0" w:after="0"/>
        <w:ind w:left="1344" w:right="1466" w:firstLine="0"/>
        <w:jc w:val="left"/>
        <w:rPr>
          <w:sz w:val="20"/>
        </w:rPr>
      </w:pPr>
      <w:r>
        <w:rPr>
          <w:w w:val="120"/>
          <w:sz w:val="20"/>
        </w:rPr>
        <w:t>Thought has been given to the suggestion that those who come to Christianity through Fresh Expressions of Church might also be potential members of the Wider Fold. It is up to each synod to decide whether a Fresh Expressions group is sufficiently settled to be recognised as a local church and to elect elders. If it is not, then we do not feel its attenders can yet be considered members of the URC and they would not, therefore, be eligible to join the Wider</w:t>
      </w:r>
      <w:r>
        <w:rPr>
          <w:spacing w:val="16"/>
          <w:w w:val="120"/>
          <w:sz w:val="20"/>
        </w:rPr>
        <w:t> </w:t>
      </w:r>
      <w:r>
        <w:rPr>
          <w:w w:val="120"/>
          <w:sz w:val="20"/>
        </w:rPr>
        <w:t>Fold.</w:t>
      </w:r>
    </w:p>
    <w:p>
      <w:pPr>
        <w:spacing w:after="0" w:line="235" w:lineRule="auto"/>
        <w:jc w:val="left"/>
        <w:rPr>
          <w:sz w:val="20"/>
        </w:rPr>
        <w:sectPr>
          <w:headerReference w:type="default" r:id="rId359"/>
          <w:footerReference w:type="default" r:id="rId360"/>
          <w:footerReference w:type="even" r:id="rId361"/>
          <w:pgSz w:w="11910" w:h="16840"/>
          <w:pgMar w:header="0" w:footer="647" w:top="0" w:bottom="840" w:left="640" w:right="0"/>
          <w:pgNumType w:start="129"/>
        </w:sectPr>
      </w:pPr>
    </w:p>
    <w:p>
      <w:pPr>
        <w:pStyle w:val="BodyText"/>
      </w:pPr>
      <w:r>
        <w:rPr/>
        <w:drawing>
          <wp:anchor distT="0" distB="0" distL="0" distR="0" allowOverlap="1" layoutInCell="1" locked="0" behindDoc="1" simplePos="0" relativeHeight="235540480">
            <wp:simplePos x="0" y="0"/>
            <wp:positionH relativeFrom="page">
              <wp:posOffset>0</wp:posOffset>
            </wp:positionH>
            <wp:positionV relativeFrom="page">
              <wp:posOffset>0</wp:posOffset>
            </wp:positionV>
            <wp:extent cx="594067" cy="10692003"/>
            <wp:effectExtent l="0" t="0" r="0" b="0"/>
            <wp:wrapNone/>
            <wp:docPr id="243" name="image67.png"/>
            <wp:cNvGraphicFramePr>
              <a:graphicFrameLocks noChangeAspect="1"/>
            </wp:cNvGraphicFramePr>
            <a:graphic>
              <a:graphicData uri="http://schemas.openxmlformats.org/drawingml/2006/picture">
                <pic:pic>
                  <pic:nvPicPr>
                    <pic:cNvPr id="244" name="image67.png"/>
                    <pic:cNvPicPr/>
                  </pic:nvPicPr>
                  <pic:blipFill>
                    <a:blip r:embed="rId184" cstate="print"/>
                    <a:stretch>
                      <a:fillRect/>
                    </a:stretch>
                  </pic:blipFill>
                  <pic:spPr>
                    <a:xfrm>
                      <a:off x="0" y="0"/>
                      <a:ext cx="594067" cy="10692003"/>
                    </a:xfrm>
                    <a:prstGeom prst="rect">
                      <a:avLst/>
                    </a:prstGeom>
                  </pic:spPr>
                </pic:pic>
              </a:graphicData>
            </a:graphic>
          </wp:anchor>
        </w:drawing>
      </w:r>
      <w:r>
        <w:rPr/>
        <w:pict>
          <v:shape style="position:absolute;margin-left:20.519100pt;margin-top:48.890015pt;width:25.9pt;height:336.25pt;mso-position-horizontal-relative:page;mso-position-vertical-relative:page;z-index:-267774976" type="#_x0000_t202" filled="false" stroked="false">
            <v:textbox inset="0,0,0,0" style="layout-flow:vertical">
              <w:txbxContent>
                <w:p>
                  <w:pPr>
                    <w:spacing w:before="27"/>
                    <w:ind w:left="20" w:right="0" w:firstLine="0"/>
                    <w:jc w:val="left"/>
                    <w:rPr>
                      <w:sz w:val="39"/>
                    </w:rPr>
                  </w:pPr>
                  <w:r>
                    <w:rPr>
                      <w:color w:val="FFFFFF"/>
                      <w:spacing w:val="6"/>
                      <w:w w:val="120"/>
                      <w:sz w:val="39"/>
                    </w:rPr>
                    <w:t>Faith </w:t>
                  </w:r>
                  <w:r>
                    <w:rPr>
                      <w:color w:val="FFFFFF"/>
                      <w:spacing w:val="7"/>
                      <w:w w:val="120"/>
                      <w:sz w:val="39"/>
                    </w:rPr>
                    <w:t>and order </w:t>
                  </w:r>
                  <w:r>
                    <w:rPr>
                      <w:color w:val="FFFFFF"/>
                      <w:w w:val="120"/>
                      <w:sz w:val="39"/>
                    </w:rPr>
                    <w:t>– </w:t>
                  </w:r>
                  <w:r>
                    <w:rPr>
                      <w:spacing w:val="7"/>
                      <w:w w:val="120"/>
                      <w:sz w:val="39"/>
                    </w:rPr>
                    <w:t>The </w:t>
                  </w:r>
                  <w:r>
                    <w:rPr>
                      <w:spacing w:val="8"/>
                      <w:w w:val="120"/>
                      <w:sz w:val="39"/>
                    </w:rPr>
                    <w:t>Wider</w:t>
                  </w:r>
                  <w:r>
                    <w:rPr>
                      <w:spacing w:val="84"/>
                      <w:w w:val="120"/>
                      <w:sz w:val="39"/>
                    </w:rPr>
                    <w:t> </w:t>
                  </w:r>
                  <w:r>
                    <w:rPr>
                      <w:spacing w:val="10"/>
                      <w:w w:val="120"/>
                      <w:sz w:val="39"/>
                    </w:rPr>
                    <w:t>Fold</w:t>
                  </w:r>
                </w:p>
              </w:txbxContent>
            </v:textbox>
            <w10:wrap type="none"/>
          </v:shape>
        </w:pict>
      </w:r>
    </w:p>
    <w:p>
      <w:pPr>
        <w:pStyle w:val="BodyText"/>
        <w:spacing w:before="7"/>
        <w:rPr>
          <w:sz w:val="21"/>
        </w:rPr>
      </w:pPr>
    </w:p>
    <w:p>
      <w:pPr>
        <w:spacing w:before="106"/>
        <w:ind w:left="607" w:right="0" w:firstLine="0"/>
        <w:jc w:val="left"/>
        <w:rPr>
          <w:sz w:val="26"/>
        </w:rPr>
      </w:pPr>
      <w:r>
        <w:rPr>
          <w:color w:val="7EAABF"/>
          <w:w w:val="115"/>
          <w:sz w:val="26"/>
        </w:rPr>
        <w:t>Faith and order</w:t>
      </w:r>
    </w:p>
    <w:p>
      <w:pPr>
        <w:pStyle w:val="ListParagraph"/>
        <w:numPr>
          <w:ilvl w:val="1"/>
          <w:numId w:val="156"/>
        </w:numPr>
        <w:tabs>
          <w:tab w:pos="1287" w:val="left" w:leader="none"/>
          <w:tab w:pos="1288" w:val="left" w:leader="none"/>
        </w:tabs>
        <w:spacing w:line="235" w:lineRule="auto" w:before="222" w:after="0"/>
        <w:ind w:left="607" w:right="2029" w:firstLine="0"/>
        <w:jc w:val="left"/>
        <w:rPr>
          <w:sz w:val="20"/>
        </w:rPr>
      </w:pPr>
      <w:r>
        <w:rPr>
          <w:w w:val="120"/>
          <w:sz w:val="20"/>
        </w:rPr>
        <w:t>The faith and order committee have given attention to the detail of how the Wider Fold might be administered and are ready to consult with the law and polity advisory group and the Clerk of Assembly to see what changes, if </w:t>
      </w:r>
      <w:r>
        <w:rPr>
          <w:spacing w:val="-5"/>
          <w:w w:val="120"/>
          <w:sz w:val="20"/>
        </w:rPr>
        <w:t>any, </w:t>
      </w:r>
      <w:r>
        <w:rPr>
          <w:w w:val="120"/>
          <w:sz w:val="20"/>
        </w:rPr>
        <w:t>need to be made to the Basis of Union and the guidance given to synods and local churches. If General Assembly is content that the principles of the Wider Fold are acceptable then detailed work will proceed but it was felt unwise to commit resources to planning something which proved unacceptable in principle. Addressing the questions raised at the last General Assembly about specific issues of membership has led the committee and Mission Council to realise that there are broader issues of membership which need to be addressed and work is already underway on a review of our current practices, which antedate the current ecumenical</w:t>
      </w:r>
      <w:r>
        <w:rPr>
          <w:spacing w:val="6"/>
          <w:w w:val="120"/>
          <w:sz w:val="20"/>
        </w:rPr>
        <w:t> </w:t>
      </w:r>
      <w:r>
        <w:rPr>
          <w:w w:val="120"/>
          <w:sz w:val="20"/>
        </w:rPr>
        <w:t>situation.</w:t>
      </w:r>
    </w:p>
    <w:p>
      <w:pPr>
        <w:pStyle w:val="BodyText"/>
      </w:pPr>
    </w:p>
    <w:p>
      <w:pPr>
        <w:pStyle w:val="ListParagraph"/>
        <w:numPr>
          <w:ilvl w:val="1"/>
          <w:numId w:val="156"/>
        </w:numPr>
        <w:tabs>
          <w:tab w:pos="1287" w:val="left" w:leader="none"/>
          <w:tab w:pos="1288" w:val="left" w:leader="none"/>
        </w:tabs>
        <w:spacing w:line="240" w:lineRule="auto" w:before="0" w:after="0"/>
        <w:ind w:left="1287" w:right="0" w:hanging="681"/>
        <w:jc w:val="left"/>
        <w:rPr>
          <w:sz w:val="20"/>
        </w:rPr>
      </w:pPr>
      <w:r>
        <w:rPr>
          <w:w w:val="120"/>
          <w:sz w:val="20"/>
        </w:rPr>
        <w:t>At the moment individuals normally join the URC by one of three</w:t>
      </w:r>
      <w:r>
        <w:rPr>
          <w:spacing w:val="26"/>
          <w:w w:val="120"/>
          <w:sz w:val="20"/>
        </w:rPr>
        <w:t> </w:t>
      </w:r>
      <w:r>
        <w:rPr>
          <w:w w:val="120"/>
          <w:sz w:val="20"/>
        </w:rPr>
        <w:t>routes:</w:t>
      </w:r>
    </w:p>
    <w:p>
      <w:pPr>
        <w:pStyle w:val="BodyText"/>
        <w:spacing w:before="7"/>
        <w:rPr>
          <w:sz w:val="19"/>
        </w:rPr>
      </w:pPr>
    </w:p>
    <w:p>
      <w:pPr>
        <w:pStyle w:val="BodyText"/>
        <w:spacing w:line="235" w:lineRule="auto" w:before="1"/>
        <w:ind w:left="1287" w:right="2045"/>
      </w:pPr>
      <w:r>
        <w:rPr>
          <w:w w:val="120"/>
        </w:rPr>
        <w:t>Baptism in infancy – preparation – Church Meeting approval – affirmations – admission to full privileges and responsibilities of membership;</w:t>
      </w:r>
    </w:p>
    <w:p>
      <w:pPr>
        <w:pStyle w:val="BodyText"/>
        <w:spacing w:before="5"/>
        <w:rPr>
          <w:sz w:val="19"/>
        </w:rPr>
      </w:pPr>
    </w:p>
    <w:p>
      <w:pPr>
        <w:pStyle w:val="BodyText"/>
        <w:ind w:left="1287"/>
      </w:pPr>
      <w:r>
        <w:rPr>
          <w:w w:val="125"/>
        </w:rPr>
        <w:t>OR</w:t>
      </w:r>
    </w:p>
    <w:p>
      <w:pPr>
        <w:pStyle w:val="BodyText"/>
        <w:spacing w:before="8"/>
        <w:rPr>
          <w:sz w:val="19"/>
        </w:rPr>
      </w:pPr>
    </w:p>
    <w:p>
      <w:pPr>
        <w:pStyle w:val="BodyText"/>
        <w:spacing w:line="235" w:lineRule="auto"/>
        <w:ind w:left="1287" w:right="2174"/>
      </w:pPr>
      <w:r>
        <w:rPr>
          <w:w w:val="120"/>
        </w:rPr>
        <w:t>Preparation – Church Meeting approval – affirmations and baptism – admission to full privileges and responsibilities of membership;</w:t>
      </w:r>
    </w:p>
    <w:p>
      <w:pPr>
        <w:pStyle w:val="BodyText"/>
        <w:spacing w:before="6"/>
        <w:rPr>
          <w:sz w:val="19"/>
        </w:rPr>
      </w:pPr>
    </w:p>
    <w:p>
      <w:pPr>
        <w:pStyle w:val="BodyText"/>
        <w:ind w:left="1287"/>
      </w:pPr>
      <w:r>
        <w:rPr>
          <w:w w:val="125"/>
        </w:rPr>
        <w:t>OR</w:t>
      </w:r>
    </w:p>
    <w:p>
      <w:pPr>
        <w:pStyle w:val="BodyText"/>
        <w:spacing w:before="7"/>
        <w:rPr>
          <w:sz w:val="19"/>
        </w:rPr>
      </w:pPr>
    </w:p>
    <w:p>
      <w:pPr>
        <w:pStyle w:val="BodyText"/>
        <w:spacing w:line="235" w:lineRule="auto"/>
        <w:ind w:left="1287" w:right="2231"/>
      </w:pPr>
      <w:r>
        <w:rPr>
          <w:w w:val="120"/>
        </w:rPr>
        <w:t>By transfer from another denomination – Church Meeting approval – affirmations (appropriately modified) – admission to full privileges and responsibilities of membership.</w:t>
      </w:r>
    </w:p>
    <w:p>
      <w:pPr>
        <w:pStyle w:val="BodyText"/>
        <w:spacing w:before="11"/>
        <w:rPr>
          <w:sz w:val="19"/>
        </w:rPr>
      </w:pPr>
    </w:p>
    <w:p>
      <w:pPr>
        <w:pStyle w:val="ListParagraph"/>
        <w:numPr>
          <w:ilvl w:val="1"/>
          <w:numId w:val="156"/>
        </w:numPr>
        <w:tabs>
          <w:tab w:pos="1287" w:val="left" w:leader="none"/>
          <w:tab w:pos="1288" w:val="left" w:leader="none"/>
        </w:tabs>
        <w:spacing w:line="235" w:lineRule="auto" w:before="0" w:after="0"/>
        <w:ind w:left="607" w:right="2027" w:firstLine="0"/>
        <w:jc w:val="left"/>
        <w:rPr>
          <w:sz w:val="20"/>
        </w:rPr>
      </w:pPr>
      <w:r>
        <w:rPr>
          <w:w w:val="120"/>
          <w:sz w:val="20"/>
        </w:rPr>
        <w:t>Our proposal is that having joined the URC, an individual in one of the constituencies listed at </w:t>
      </w:r>
      <w:r>
        <w:rPr>
          <w:spacing w:val="-6"/>
          <w:w w:val="120"/>
          <w:sz w:val="20"/>
        </w:rPr>
        <w:t>1.3 </w:t>
      </w:r>
      <w:r>
        <w:rPr>
          <w:w w:val="120"/>
          <w:sz w:val="20"/>
        </w:rPr>
        <w:t>above may ask his/her local church to transfer him/her to the Wider Fold. The Church Meeting </w:t>
      </w:r>
      <w:r>
        <w:rPr>
          <w:spacing w:val="-6"/>
          <w:w w:val="120"/>
          <w:sz w:val="20"/>
        </w:rPr>
        <w:t>(or  </w:t>
      </w:r>
      <w:r>
        <w:rPr>
          <w:w w:val="120"/>
          <w:sz w:val="20"/>
        </w:rPr>
        <w:t>by delegation the elders’ meeting) of that church,  if it considers the member to be in good standing, passes the name and contact details to the Wider Fold. The individual remains a nominal member of the local church until advised otherwise by the Wider Fold. Synods would not take such nominal members into account in processes of scoping or</w:t>
      </w:r>
      <w:r>
        <w:rPr>
          <w:spacing w:val="12"/>
          <w:w w:val="120"/>
          <w:sz w:val="20"/>
        </w:rPr>
        <w:t> </w:t>
      </w:r>
      <w:r>
        <w:rPr>
          <w:w w:val="120"/>
          <w:sz w:val="20"/>
        </w:rPr>
        <w:t>assessment.</w:t>
      </w:r>
    </w:p>
    <w:p>
      <w:pPr>
        <w:pStyle w:val="BodyText"/>
        <w:spacing w:before="1"/>
      </w:pPr>
    </w:p>
    <w:p>
      <w:pPr>
        <w:pStyle w:val="ListParagraph"/>
        <w:numPr>
          <w:ilvl w:val="1"/>
          <w:numId w:val="156"/>
        </w:numPr>
        <w:tabs>
          <w:tab w:pos="1287" w:val="left" w:leader="none"/>
          <w:tab w:pos="1288" w:val="left" w:leader="none"/>
        </w:tabs>
        <w:spacing w:line="235" w:lineRule="auto" w:before="0" w:after="0"/>
        <w:ind w:left="607" w:right="2121" w:firstLine="0"/>
        <w:jc w:val="left"/>
        <w:rPr>
          <w:sz w:val="20"/>
        </w:rPr>
      </w:pPr>
      <w:r>
        <w:rPr>
          <w:w w:val="120"/>
          <w:sz w:val="20"/>
        </w:rPr>
        <w:t>Within the Wider Fold there would be a sharing of information and opportunity to attend special events, as well as to be of service to synods and the whole URC. It would be possible for members to contribute financially. The Wider Fold would also hold reviews of membership on a regular basis and advise those local churches where nominal membership was held of any</w:t>
      </w:r>
      <w:r>
        <w:rPr>
          <w:spacing w:val="12"/>
          <w:w w:val="120"/>
          <w:sz w:val="20"/>
        </w:rPr>
        <w:t> </w:t>
      </w:r>
      <w:r>
        <w:rPr>
          <w:w w:val="120"/>
          <w:sz w:val="20"/>
        </w:rPr>
        <w:t>withdrawals.</w:t>
      </w:r>
    </w:p>
    <w:p>
      <w:pPr>
        <w:pStyle w:val="BodyText"/>
        <w:spacing w:before="4"/>
        <w:rPr>
          <w:sz w:val="22"/>
        </w:rPr>
      </w:pPr>
    </w:p>
    <w:p>
      <w:pPr>
        <w:pStyle w:val="ListParagraph"/>
        <w:numPr>
          <w:ilvl w:val="0"/>
          <w:numId w:val="156"/>
        </w:numPr>
        <w:tabs>
          <w:tab w:pos="1287" w:val="left" w:leader="none"/>
          <w:tab w:pos="1288" w:val="left" w:leader="none"/>
        </w:tabs>
        <w:spacing w:line="240" w:lineRule="auto" w:before="0" w:after="0"/>
        <w:ind w:left="1287" w:right="0" w:hanging="681"/>
        <w:jc w:val="left"/>
        <w:rPr>
          <w:rFonts w:ascii="Stone Sans II ITC Std Bk"/>
          <w:b/>
          <w:sz w:val="29"/>
        </w:rPr>
      </w:pPr>
      <w:r>
        <w:rPr>
          <w:rFonts w:ascii="Stone Sans II ITC Std Bk"/>
          <w:b/>
          <w:w w:val="110"/>
          <w:sz w:val="29"/>
        </w:rPr>
        <w:t>Transitional</w:t>
      </w:r>
      <w:r>
        <w:rPr>
          <w:rFonts w:ascii="Stone Sans II ITC Std Bk"/>
          <w:b/>
          <w:spacing w:val="13"/>
          <w:w w:val="110"/>
          <w:sz w:val="29"/>
        </w:rPr>
        <w:t> </w:t>
      </w:r>
      <w:r>
        <w:rPr>
          <w:rFonts w:ascii="Stone Sans II ITC Std Bk"/>
          <w:b/>
          <w:spacing w:val="4"/>
          <w:w w:val="110"/>
          <w:sz w:val="29"/>
        </w:rPr>
        <w:t>arrangements</w:t>
      </w:r>
    </w:p>
    <w:p>
      <w:pPr>
        <w:pStyle w:val="ListParagraph"/>
        <w:numPr>
          <w:ilvl w:val="1"/>
          <w:numId w:val="156"/>
        </w:numPr>
        <w:tabs>
          <w:tab w:pos="1287" w:val="left" w:leader="none"/>
          <w:tab w:pos="1288" w:val="left" w:leader="none"/>
        </w:tabs>
        <w:spacing w:line="235" w:lineRule="auto" w:before="69" w:after="0"/>
        <w:ind w:left="607" w:right="2011" w:firstLine="0"/>
        <w:jc w:val="left"/>
        <w:rPr>
          <w:sz w:val="20"/>
        </w:rPr>
      </w:pPr>
      <w:r>
        <w:rPr>
          <w:w w:val="120"/>
          <w:sz w:val="20"/>
        </w:rPr>
        <w:t>The principle of joining a local church first, and then transferring to the Wider Fold, may be workable in future, but would be more difficult to impose on the potential ‘founder members’ en bloc. It will therefore be necessary to liaise with local churches   at strategic points round the country and to ask them to act as ‘admitting churches’ simply to get the Wider Fold off the ground. This would ensure that no one becomes a member of the Wider Fold without personal contact with other church members and   an affirmation of faith within the context of the</w:t>
      </w:r>
      <w:r>
        <w:rPr>
          <w:spacing w:val="13"/>
          <w:w w:val="120"/>
          <w:sz w:val="20"/>
        </w:rPr>
        <w:t> </w:t>
      </w:r>
      <w:r>
        <w:rPr>
          <w:w w:val="120"/>
          <w:sz w:val="20"/>
        </w:rPr>
        <w:t>URC.</w:t>
      </w:r>
    </w:p>
    <w:p>
      <w:pPr>
        <w:spacing w:after="0" w:line="235" w:lineRule="auto"/>
        <w:jc w:val="left"/>
        <w:rPr>
          <w:sz w:val="20"/>
        </w:rPr>
        <w:sectPr>
          <w:headerReference w:type="even" r:id="rId362"/>
          <w:pgSz w:w="11910" w:h="16840"/>
          <w:pgMar w:header="0" w:footer="647" w:top="0" w:bottom="840" w:left="640" w:right="0"/>
        </w:sectPr>
      </w:pPr>
    </w:p>
    <w:p>
      <w:pPr>
        <w:pStyle w:val="BodyText"/>
      </w:pPr>
      <w:r>
        <w:rPr/>
        <w:drawing>
          <wp:anchor distT="0" distB="0" distL="0" distR="0" allowOverlap="1" layoutInCell="1" locked="0" behindDoc="0" simplePos="0" relativeHeight="251996160">
            <wp:simplePos x="0" y="0"/>
            <wp:positionH relativeFrom="page">
              <wp:posOffset>6974928</wp:posOffset>
            </wp:positionH>
            <wp:positionV relativeFrom="page">
              <wp:posOffset>0</wp:posOffset>
            </wp:positionV>
            <wp:extent cx="585063" cy="10692003"/>
            <wp:effectExtent l="0" t="0" r="0" b="0"/>
            <wp:wrapNone/>
            <wp:docPr id="245" name="image54.png"/>
            <wp:cNvGraphicFramePr>
              <a:graphicFrameLocks noChangeAspect="1"/>
            </wp:cNvGraphicFramePr>
            <a:graphic>
              <a:graphicData uri="http://schemas.openxmlformats.org/drawingml/2006/picture">
                <pic:pic>
                  <pic:nvPicPr>
                    <pic:cNvPr id="246" name="image54.png"/>
                    <pic:cNvPicPr/>
                  </pic:nvPicPr>
                  <pic:blipFill>
                    <a:blip r:embed="rId169" cstate="print"/>
                    <a:stretch>
                      <a:fillRect/>
                    </a:stretch>
                  </pic:blipFill>
                  <pic:spPr>
                    <a:xfrm>
                      <a:off x="0" y="0"/>
                      <a:ext cx="585063" cy="10692003"/>
                    </a:xfrm>
                    <a:prstGeom prst="rect">
                      <a:avLst/>
                    </a:prstGeom>
                  </pic:spPr>
                </pic:pic>
              </a:graphicData>
            </a:graphic>
          </wp:anchor>
        </w:drawing>
      </w:r>
    </w:p>
    <w:p>
      <w:pPr>
        <w:pStyle w:val="BodyText"/>
      </w:pPr>
    </w:p>
    <w:p>
      <w:pPr>
        <w:pStyle w:val="BodyText"/>
      </w:pPr>
    </w:p>
    <w:p>
      <w:pPr>
        <w:pStyle w:val="BodyText"/>
        <w:spacing w:before="5"/>
        <w:rPr>
          <w:sz w:val="28"/>
        </w:rPr>
      </w:pPr>
    </w:p>
    <w:p>
      <w:pPr>
        <w:spacing w:line="213" w:lineRule="auto" w:before="153"/>
        <w:ind w:left="1089" w:right="2045" w:firstLine="0"/>
        <w:jc w:val="left"/>
        <w:rPr>
          <w:rFonts w:ascii="Stone Sans II ITC Std X Bd"/>
          <w:b/>
          <w:sz w:val="50"/>
        </w:rPr>
      </w:pPr>
      <w:r>
        <w:rPr/>
        <w:pict>
          <v:shape style="position:absolute;margin-left:554.141174pt;margin-top:-5.989334pt;width:25.9pt;height:453.7pt;mso-position-horizontal-relative:page;mso-position-vertical-relative:paragraph;z-index:251999232" type="#_x0000_t202" filled="false" stroked="false">
            <v:textbox inset="0,0,0,0" style="layout-flow:vertical">
              <w:txbxContent>
                <w:p>
                  <w:pPr>
                    <w:spacing w:before="27"/>
                    <w:ind w:left="20" w:right="0" w:firstLine="0"/>
                    <w:jc w:val="left"/>
                    <w:rPr>
                      <w:sz w:val="39"/>
                    </w:rPr>
                  </w:pPr>
                  <w:r>
                    <w:rPr>
                      <w:color w:val="FFFFFF"/>
                      <w:spacing w:val="6"/>
                      <w:w w:val="120"/>
                      <w:sz w:val="39"/>
                    </w:rPr>
                    <w:t>Faith </w:t>
                  </w:r>
                  <w:r>
                    <w:rPr>
                      <w:color w:val="FFFFFF"/>
                      <w:spacing w:val="7"/>
                      <w:w w:val="120"/>
                      <w:sz w:val="39"/>
                    </w:rPr>
                    <w:t>and order </w:t>
                  </w:r>
                  <w:r>
                    <w:rPr>
                      <w:color w:val="FFFFFF"/>
                      <w:w w:val="120"/>
                      <w:sz w:val="39"/>
                    </w:rPr>
                    <w:t>– </w:t>
                  </w:r>
                  <w:r>
                    <w:rPr>
                      <w:spacing w:val="5"/>
                      <w:w w:val="120"/>
                      <w:sz w:val="39"/>
                    </w:rPr>
                    <w:t>Unity, </w:t>
                  </w:r>
                  <w:r>
                    <w:rPr>
                      <w:spacing w:val="9"/>
                      <w:w w:val="120"/>
                      <w:sz w:val="39"/>
                    </w:rPr>
                    <w:t>Identity </w:t>
                  </w:r>
                  <w:r>
                    <w:rPr>
                      <w:spacing w:val="7"/>
                      <w:w w:val="120"/>
                      <w:sz w:val="39"/>
                    </w:rPr>
                    <w:t>and</w:t>
                  </w:r>
                  <w:r>
                    <w:rPr>
                      <w:spacing w:val="104"/>
                      <w:w w:val="120"/>
                      <w:sz w:val="39"/>
                    </w:rPr>
                    <w:t> </w:t>
                  </w:r>
                  <w:r>
                    <w:rPr>
                      <w:spacing w:val="11"/>
                      <w:w w:val="120"/>
                      <w:sz w:val="39"/>
                    </w:rPr>
                    <w:t>Mission</w:t>
                  </w:r>
                </w:p>
              </w:txbxContent>
            </v:textbox>
            <w10:wrap type="none"/>
          </v:shape>
        </w:pict>
      </w:r>
      <w:r>
        <w:rPr>
          <w:rFonts w:ascii="Stone Sans II ITC Std X Bd"/>
          <w:b/>
          <w:color w:val="0090D4"/>
          <w:spacing w:val="-10"/>
          <w:w w:val="110"/>
          <w:sz w:val="50"/>
        </w:rPr>
        <w:t>Faith </w:t>
      </w:r>
      <w:r>
        <w:rPr>
          <w:rFonts w:ascii="Stone Sans II ITC Std X Bd"/>
          <w:b/>
          <w:color w:val="0090D4"/>
          <w:spacing w:val="-7"/>
          <w:w w:val="110"/>
          <w:sz w:val="50"/>
        </w:rPr>
        <w:t>and </w:t>
      </w:r>
      <w:r>
        <w:rPr>
          <w:rFonts w:ascii="Stone Sans II ITC Std X Bd"/>
          <w:b/>
          <w:color w:val="0090D4"/>
          <w:spacing w:val="-9"/>
          <w:w w:val="110"/>
          <w:sz w:val="50"/>
        </w:rPr>
        <w:t>order </w:t>
      </w:r>
      <w:r>
        <w:rPr>
          <w:rFonts w:ascii="Stone Sans II ITC Std X Bd"/>
          <w:b/>
          <w:color w:val="0090D4"/>
          <w:spacing w:val="-10"/>
          <w:w w:val="110"/>
          <w:sz w:val="50"/>
        </w:rPr>
        <w:t>committee: </w:t>
      </w:r>
      <w:r>
        <w:rPr>
          <w:rFonts w:ascii="Stone Sans II ITC Std X Bd"/>
          <w:b/>
          <w:spacing w:val="-13"/>
          <w:w w:val="110"/>
          <w:sz w:val="50"/>
        </w:rPr>
        <w:t>Unity, </w:t>
      </w:r>
      <w:r>
        <w:rPr>
          <w:rFonts w:ascii="Stone Sans II ITC Std X Bd"/>
          <w:b/>
          <w:spacing w:val="-8"/>
          <w:w w:val="110"/>
          <w:sz w:val="50"/>
        </w:rPr>
        <w:t>Identity </w:t>
      </w:r>
      <w:r>
        <w:rPr>
          <w:rFonts w:ascii="Stone Sans II ITC Std X Bd"/>
          <w:b/>
          <w:spacing w:val="-7"/>
          <w:w w:val="110"/>
          <w:sz w:val="50"/>
        </w:rPr>
        <w:t>and </w:t>
      </w:r>
      <w:r>
        <w:rPr>
          <w:rFonts w:ascii="Stone Sans II ITC Std X Bd"/>
          <w:b/>
          <w:spacing w:val="-10"/>
          <w:w w:val="110"/>
          <w:sz w:val="50"/>
        </w:rPr>
        <w:t>Mission:</w:t>
      </w:r>
    </w:p>
    <w:p>
      <w:pPr>
        <w:spacing w:line="287" w:lineRule="exact" w:before="0"/>
        <w:ind w:left="1089" w:right="0" w:firstLine="0"/>
        <w:jc w:val="left"/>
        <w:rPr>
          <w:rFonts w:ascii="Stone Sans II ITC Std Bk"/>
          <w:b/>
          <w:sz w:val="29"/>
        </w:rPr>
      </w:pPr>
      <w:r>
        <w:rPr>
          <w:rFonts w:ascii="Stone Sans II ITC Std Bk"/>
          <w:b/>
          <w:w w:val="110"/>
          <w:sz w:val="29"/>
        </w:rPr>
        <w:t>A </w:t>
      </w:r>
      <w:r>
        <w:rPr>
          <w:rFonts w:ascii="Stone Sans II ITC Std Bk"/>
          <w:b/>
          <w:spacing w:val="5"/>
          <w:w w:val="110"/>
          <w:sz w:val="29"/>
        </w:rPr>
        <w:t>report </w:t>
      </w:r>
      <w:r>
        <w:rPr>
          <w:rFonts w:ascii="Stone Sans II ITC Std Bk"/>
          <w:b/>
          <w:spacing w:val="2"/>
          <w:w w:val="110"/>
          <w:sz w:val="29"/>
        </w:rPr>
        <w:t>on </w:t>
      </w:r>
      <w:r>
        <w:rPr>
          <w:rFonts w:ascii="Stone Sans II ITC Std Bk"/>
          <w:b/>
          <w:spacing w:val="3"/>
          <w:w w:val="110"/>
          <w:sz w:val="29"/>
        </w:rPr>
        <w:t>conversations </w:t>
      </w:r>
      <w:r>
        <w:rPr>
          <w:rFonts w:ascii="Stone Sans II ITC Std Bk"/>
          <w:b/>
          <w:spacing w:val="4"/>
          <w:w w:val="110"/>
          <w:sz w:val="29"/>
        </w:rPr>
        <w:t>between </w:t>
      </w:r>
      <w:r>
        <w:rPr>
          <w:rFonts w:ascii="Stone Sans II ITC Std Bk"/>
          <w:b/>
          <w:spacing w:val="2"/>
          <w:w w:val="110"/>
          <w:sz w:val="29"/>
        </w:rPr>
        <w:t>the </w:t>
      </w:r>
      <w:r>
        <w:rPr>
          <w:rFonts w:ascii="Stone Sans II ITC Std Bk"/>
          <w:b/>
          <w:spacing w:val="3"/>
          <w:w w:val="110"/>
          <w:sz w:val="29"/>
        </w:rPr>
        <w:t>Church</w:t>
      </w:r>
      <w:r>
        <w:rPr>
          <w:rFonts w:ascii="Stone Sans II ITC Std Bk"/>
          <w:b/>
          <w:spacing w:val="79"/>
          <w:w w:val="110"/>
          <w:sz w:val="29"/>
        </w:rPr>
        <w:t> </w:t>
      </w:r>
      <w:r>
        <w:rPr>
          <w:rFonts w:ascii="Stone Sans II ITC Std Bk"/>
          <w:b/>
          <w:w w:val="110"/>
          <w:sz w:val="29"/>
        </w:rPr>
        <w:t>of</w:t>
      </w:r>
    </w:p>
    <w:p>
      <w:pPr>
        <w:spacing w:line="356" w:lineRule="exact" w:before="0"/>
        <w:ind w:left="1089" w:right="0" w:firstLine="0"/>
        <w:jc w:val="left"/>
        <w:rPr>
          <w:rFonts w:ascii="Stone Sans II ITC Std Bk"/>
          <w:b/>
          <w:sz w:val="29"/>
        </w:rPr>
      </w:pPr>
      <w:r>
        <w:rPr>
          <w:rFonts w:ascii="Stone Sans II ITC Std Bk"/>
          <w:b/>
          <w:spacing w:val="4"/>
          <w:w w:val="110"/>
          <w:sz w:val="29"/>
        </w:rPr>
        <w:t>England </w:t>
      </w:r>
      <w:r>
        <w:rPr>
          <w:rFonts w:ascii="Stone Sans II ITC Std Bk"/>
          <w:b/>
          <w:spacing w:val="3"/>
          <w:w w:val="110"/>
          <w:sz w:val="29"/>
        </w:rPr>
        <w:t>and </w:t>
      </w:r>
      <w:r>
        <w:rPr>
          <w:rFonts w:ascii="Stone Sans II ITC Std Bk"/>
          <w:b/>
          <w:spacing w:val="2"/>
          <w:w w:val="110"/>
          <w:sz w:val="29"/>
        </w:rPr>
        <w:t>the </w:t>
      </w:r>
      <w:r>
        <w:rPr>
          <w:rFonts w:ascii="Stone Sans II ITC Std Bk"/>
          <w:b/>
          <w:spacing w:val="3"/>
          <w:w w:val="110"/>
          <w:sz w:val="29"/>
        </w:rPr>
        <w:t>United </w:t>
      </w:r>
      <w:r>
        <w:rPr>
          <w:rFonts w:ascii="Stone Sans II ITC Std Bk"/>
          <w:b/>
          <w:spacing w:val="4"/>
          <w:w w:val="110"/>
          <w:sz w:val="29"/>
        </w:rPr>
        <w:t>Reformed </w:t>
      </w:r>
      <w:r>
        <w:rPr>
          <w:rFonts w:ascii="Stone Sans II ITC Std Bk"/>
          <w:b/>
          <w:spacing w:val="3"/>
          <w:w w:val="110"/>
          <w:sz w:val="29"/>
        </w:rPr>
        <w:t>Church</w:t>
      </w:r>
      <w:r>
        <w:rPr>
          <w:rFonts w:ascii="Stone Sans II ITC Std Bk"/>
          <w:b/>
          <w:spacing w:val="65"/>
          <w:w w:val="110"/>
          <w:sz w:val="29"/>
        </w:rPr>
        <w:t> </w:t>
      </w:r>
      <w:r>
        <w:rPr>
          <w:rFonts w:ascii="Stone Sans II ITC Std Bk"/>
          <w:b/>
          <w:spacing w:val="-8"/>
          <w:w w:val="110"/>
          <w:sz w:val="29"/>
        </w:rPr>
        <w:t>2013-16</w:t>
      </w:r>
    </w:p>
    <w:p>
      <w:pPr>
        <w:pStyle w:val="Heading4"/>
        <w:spacing w:before="132"/>
        <w:ind w:left="1089"/>
      </w:pPr>
      <w:r>
        <w:rPr/>
        <w:pict>
          <v:shape style="position:absolute;margin-left:86.707001pt;margin-top:23.029856pt;width:462.1pt;height:151.550pt;mso-position-horizontal-relative:page;mso-position-vertical-relative:paragraph;z-index:-267772928" coordorigin="1734,461" coordsize="9242,3031" path="m10976,461l4394,461,1734,461,1734,3491,4394,3491,10976,3491,10976,461e" filled="true" fillcolor="#ffffff" stroked="false">
            <v:path arrowok="t"/>
            <v:fill type="solid"/>
            <w10:wrap type="none"/>
          </v:shape>
        </w:pict>
      </w:r>
      <w:r>
        <w:rPr>
          <w:color w:val="7F7F7F"/>
        </w:rPr>
        <w:t>Basic Information</w:t>
      </w:r>
    </w:p>
    <w:tbl>
      <w:tblPr>
        <w:tblW w:w="0" w:type="auto"/>
        <w:jc w:val="left"/>
        <w:tblInd w:w="109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660"/>
        <w:gridCol w:w="6582"/>
      </w:tblGrid>
      <w:tr>
        <w:trPr>
          <w:trHeight w:val="680" w:hRule="atLeast"/>
        </w:trPr>
        <w:tc>
          <w:tcPr>
            <w:tcW w:w="2660" w:type="dxa"/>
          </w:tcPr>
          <w:p>
            <w:pPr>
              <w:pStyle w:val="TableParagraph"/>
              <w:spacing w:line="213" w:lineRule="auto" w:before="151"/>
              <w:ind w:right="595"/>
              <w:rPr>
                <w:rFonts w:ascii="Stone Sans II ITC Std Bk"/>
                <w:b/>
                <w:sz w:val="20"/>
              </w:rPr>
            </w:pPr>
            <w:r>
              <w:rPr>
                <w:rFonts w:ascii="Stone Sans II ITC Std Bk"/>
                <w:b/>
                <w:w w:val="110"/>
                <w:sz w:val="20"/>
              </w:rPr>
              <w:t>Contact name and email address</w:t>
            </w:r>
          </w:p>
        </w:tc>
        <w:tc>
          <w:tcPr>
            <w:tcW w:w="6582" w:type="dxa"/>
          </w:tcPr>
          <w:p>
            <w:pPr>
              <w:pStyle w:val="TableParagraph"/>
              <w:spacing w:line="235" w:lineRule="auto" w:before="145"/>
              <w:ind w:right="1310"/>
              <w:rPr>
                <w:sz w:val="20"/>
              </w:rPr>
            </w:pPr>
            <w:r>
              <w:rPr>
                <w:w w:val="120"/>
                <w:sz w:val="20"/>
              </w:rPr>
              <w:t>Nicola Furley-Smith: </w:t>
            </w:r>
            <w:hyperlink r:id="rId366">
              <w:r>
                <w:rPr>
                  <w:color w:val="006AB3"/>
                  <w:w w:val="120"/>
                  <w:sz w:val="20"/>
                </w:rPr>
                <w:t>moderator@urcsouthern.org.uk</w:t>
              </w:r>
            </w:hyperlink>
            <w:r>
              <w:rPr>
                <w:color w:val="006AB3"/>
                <w:w w:val="120"/>
                <w:sz w:val="20"/>
              </w:rPr>
              <w:t> </w:t>
            </w:r>
            <w:r>
              <w:rPr>
                <w:w w:val="120"/>
                <w:sz w:val="20"/>
              </w:rPr>
              <w:t>Elizabeth Welch: </w:t>
            </w:r>
            <w:hyperlink r:id="rId279">
              <w:r>
                <w:rPr>
                  <w:color w:val="006AB3"/>
                  <w:w w:val="120"/>
                  <w:sz w:val="20"/>
                </w:rPr>
                <w:t>minister@theroundchapel.org.uk</w:t>
              </w:r>
            </w:hyperlink>
          </w:p>
        </w:tc>
      </w:tr>
      <w:tr>
        <w:trPr>
          <w:trHeight w:val="680" w:hRule="atLeast"/>
        </w:trPr>
        <w:tc>
          <w:tcPr>
            <w:tcW w:w="2660" w:type="dxa"/>
          </w:tcPr>
          <w:p>
            <w:pPr>
              <w:pStyle w:val="TableParagraph"/>
              <w:spacing w:before="128"/>
              <w:rPr>
                <w:rFonts w:ascii="Stone Sans II ITC Std Bk"/>
                <w:b/>
                <w:sz w:val="20"/>
              </w:rPr>
            </w:pPr>
            <w:r>
              <w:rPr>
                <w:rFonts w:ascii="Stone Sans II ITC Std Bk"/>
                <w:b/>
                <w:w w:val="110"/>
                <w:sz w:val="20"/>
              </w:rPr>
              <w:t>Action required</w:t>
            </w:r>
          </w:p>
        </w:tc>
        <w:tc>
          <w:tcPr>
            <w:tcW w:w="6582" w:type="dxa"/>
          </w:tcPr>
          <w:p>
            <w:pPr>
              <w:pStyle w:val="TableParagraph"/>
              <w:spacing w:line="235" w:lineRule="auto" w:before="145"/>
              <w:rPr>
                <w:sz w:val="20"/>
              </w:rPr>
            </w:pPr>
            <w:r>
              <w:rPr>
                <w:w w:val="120"/>
                <w:sz w:val="20"/>
              </w:rPr>
              <w:t>Reception and agreement of resolution to accept recommendations</w:t>
            </w:r>
          </w:p>
        </w:tc>
      </w:tr>
      <w:tr>
        <w:trPr>
          <w:trHeight w:val="1640" w:hRule="atLeast"/>
        </w:trPr>
        <w:tc>
          <w:tcPr>
            <w:tcW w:w="2660" w:type="dxa"/>
          </w:tcPr>
          <w:p>
            <w:pPr>
              <w:pStyle w:val="TableParagraph"/>
              <w:spacing w:before="128"/>
              <w:rPr>
                <w:rFonts w:ascii="Stone Sans II ITC Std Bk"/>
                <w:b/>
                <w:sz w:val="20"/>
              </w:rPr>
            </w:pPr>
            <w:r>
              <w:rPr>
                <w:rFonts w:ascii="Stone Sans II ITC Std Bk"/>
                <w:b/>
                <w:w w:val="110"/>
                <w:sz w:val="20"/>
              </w:rPr>
              <w:t>Draft resolution(s)</w:t>
            </w:r>
          </w:p>
        </w:tc>
        <w:tc>
          <w:tcPr>
            <w:tcW w:w="6582" w:type="dxa"/>
          </w:tcPr>
          <w:p>
            <w:pPr>
              <w:pStyle w:val="TableParagraph"/>
              <w:tabs>
                <w:tab w:pos="760" w:val="left" w:leader="none"/>
              </w:tabs>
              <w:spacing w:line="213" w:lineRule="auto" w:before="151"/>
              <w:ind w:right="461"/>
              <w:rPr>
                <w:rFonts w:ascii="Stone Sans II ITC Std Bk"/>
                <w:b/>
                <w:sz w:val="20"/>
              </w:rPr>
            </w:pPr>
            <w:r>
              <w:rPr>
                <w:rFonts w:ascii="Stone Sans II ITC Std Bk"/>
                <w:b/>
                <w:w w:val="110"/>
                <w:sz w:val="20"/>
              </w:rPr>
              <w:t>25.</w:t>
              <w:tab/>
              <w:t>Assembly welcomes the </w:t>
            </w:r>
            <w:r>
              <w:rPr>
                <w:rFonts w:ascii="Stone Sans II ITC Std Bk"/>
                <w:b/>
                <w:spacing w:val="2"/>
                <w:w w:val="110"/>
                <w:sz w:val="20"/>
              </w:rPr>
              <w:t>report </w:t>
            </w:r>
            <w:r>
              <w:rPr>
                <w:rFonts w:ascii="Stone Sans II ITC Std Bk"/>
                <w:b/>
                <w:w w:val="110"/>
                <w:sz w:val="20"/>
              </w:rPr>
              <w:t>of the Church of England/United Reformed Church conversations, agrees the recommendations and instructs the nominations committee, having consulted with the faith and order committee and any other relevant parties, to nominate members for the proposed steering group.</w:t>
            </w:r>
          </w:p>
        </w:tc>
      </w:tr>
    </w:tbl>
    <w:p>
      <w:pPr>
        <w:pStyle w:val="Heading4"/>
        <w:spacing w:before="156"/>
        <w:ind w:left="1089"/>
      </w:pPr>
      <w:r>
        <w:rPr/>
        <w:pict>
          <v:shape style="position:absolute;margin-left:86.707001pt;margin-top:24.230185pt;width:462.1pt;height:429.05pt;mso-position-horizontal-relative:page;mso-position-vertical-relative:paragraph;z-index:-267771904" coordorigin="1734,485" coordsize="9242,8581" path="m10976,485l4394,485,1734,485,1734,9065,4394,9065,10976,9065,10976,485e" filled="true" fillcolor="#ffffff" stroked="false">
            <v:path arrowok="t"/>
            <v:fill type="solid"/>
            <w10:wrap type="none"/>
          </v:shape>
        </w:pict>
      </w:r>
      <w:r>
        <w:rPr>
          <w:color w:val="7F7F7F"/>
        </w:rPr>
        <w:t>Summary of Content</w:t>
      </w:r>
    </w:p>
    <w:tbl>
      <w:tblPr>
        <w:tblW w:w="0" w:type="auto"/>
        <w:jc w:val="left"/>
        <w:tblInd w:w="109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660"/>
        <w:gridCol w:w="6582"/>
      </w:tblGrid>
      <w:tr>
        <w:trPr>
          <w:trHeight w:val="1880" w:hRule="atLeast"/>
        </w:trPr>
        <w:tc>
          <w:tcPr>
            <w:tcW w:w="2660" w:type="dxa"/>
          </w:tcPr>
          <w:p>
            <w:pPr>
              <w:pStyle w:val="TableParagraph"/>
              <w:spacing w:before="128"/>
              <w:rPr>
                <w:rFonts w:ascii="Stone Sans II ITC Std Bk"/>
                <w:b/>
                <w:sz w:val="20"/>
              </w:rPr>
            </w:pPr>
            <w:r>
              <w:rPr>
                <w:rFonts w:ascii="Stone Sans II ITC Std Bk"/>
                <w:b/>
                <w:w w:val="110"/>
                <w:sz w:val="20"/>
              </w:rPr>
              <w:t>Subject and aim(s)</w:t>
            </w:r>
          </w:p>
        </w:tc>
        <w:tc>
          <w:tcPr>
            <w:tcW w:w="6582" w:type="dxa"/>
          </w:tcPr>
          <w:p>
            <w:pPr>
              <w:pStyle w:val="TableParagraph"/>
              <w:spacing w:line="235" w:lineRule="auto" w:before="145"/>
              <w:rPr>
                <w:sz w:val="20"/>
              </w:rPr>
            </w:pPr>
            <w:r>
              <w:rPr>
                <w:w w:val="120"/>
                <w:sz w:val="20"/>
              </w:rPr>
              <w:t>The content and conclusions of the discussions between the Church of England and the United Reformed Church</w:t>
            </w:r>
          </w:p>
          <w:p>
            <w:pPr>
              <w:pStyle w:val="TableParagraph"/>
              <w:spacing w:before="11"/>
              <w:ind w:left="0"/>
              <w:rPr>
                <w:rFonts w:ascii="Stone Sans II ITC Std Bk"/>
                <w:b/>
                <w:sz w:val="17"/>
              </w:rPr>
            </w:pPr>
          </w:p>
          <w:p>
            <w:pPr>
              <w:pStyle w:val="TableParagraph"/>
              <w:spacing w:line="235" w:lineRule="auto"/>
              <w:ind w:right="280"/>
              <w:rPr>
                <w:sz w:val="20"/>
              </w:rPr>
            </w:pPr>
            <w:r>
              <w:rPr>
                <w:w w:val="120"/>
                <w:sz w:val="20"/>
              </w:rPr>
              <w:t>Aims: To contribute to deepening understanding and co- operation between the two denominations and contributing to wider ecumenical relations</w:t>
            </w:r>
          </w:p>
          <w:p>
            <w:pPr>
              <w:pStyle w:val="TableParagraph"/>
              <w:spacing w:line="243" w:lineRule="exact"/>
              <w:rPr>
                <w:sz w:val="20"/>
              </w:rPr>
            </w:pPr>
            <w:r>
              <w:rPr>
                <w:w w:val="120"/>
                <w:sz w:val="20"/>
              </w:rPr>
              <w:t>The recommendations are listed below under main points.</w:t>
            </w:r>
          </w:p>
        </w:tc>
      </w:tr>
      <w:tr>
        <w:trPr>
          <w:trHeight w:val="6680" w:hRule="atLeast"/>
        </w:trPr>
        <w:tc>
          <w:tcPr>
            <w:tcW w:w="2660" w:type="dxa"/>
          </w:tcPr>
          <w:p>
            <w:pPr>
              <w:pStyle w:val="TableParagraph"/>
              <w:spacing w:before="128"/>
              <w:rPr>
                <w:rFonts w:ascii="Stone Sans II ITC Std Bk"/>
                <w:b/>
                <w:sz w:val="20"/>
              </w:rPr>
            </w:pPr>
            <w:r>
              <w:rPr>
                <w:rFonts w:ascii="Stone Sans II ITC Std Bk"/>
                <w:b/>
                <w:w w:val="110"/>
                <w:sz w:val="20"/>
              </w:rPr>
              <w:t>Main points</w:t>
            </w:r>
          </w:p>
        </w:tc>
        <w:tc>
          <w:tcPr>
            <w:tcW w:w="6582" w:type="dxa"/>
          </w:tcPr>
          <w:p>
            <w:pPr>
              <w:pStyle w:val="TableParagraph"/>
              <w:spacing w:line="242" w:lineRule="exact" w:before="141"/>
              <w:rPr>
                <w:sz w:val="20"/>
              </w:rPr>
            </w:pPr>
            <w:r>
              <w:rPr>
                <w:w w:val="120"/>
                <w:sz w:val="20"/>
              </w:rPr>
              <w:t>Recommendations emerging from the conversations are:</w:t>
            </w:r>
          </w:p>
          <w:p>
            <w:pPr>
              <w:pStyle w:val="TableParagraph"/>
              <w:numPr>
                <w:ilvl w:val="0"/>
                <w:numId w:val="158"/>
              </w:numPr>
              <w:tabs>
                <w:tab w:pos="760" w:val="left" w:leader="none"/>
                <w:tab w:pos="761" w:val="left" w:leader="none"/>
              </w:tabs>
              <w:spacing w:line="235" w:lineRule="auto" w:before="2" w:after="0"/>
              <w:ind w:left="80" w:right="305" w:firstLine="0"/>
              <w:jc w:val="left"/>
              <w:rPr>
                <w:sz w:val="20"/>
              </w:rPr>
            </w:pPr>
            <w:r>
              <w:rPr>
                <w:w w:val="120"/>
                <w:sz w:val="20"/>
              </w:rPr>
              <w:t>Urgent attention should be given by our </w:t>
            </w:r>
            <w:r>
              <w:rPr>
                <w:spacing w:val="-3"/>
                <w:w w:val="120"/>
                <w:sz w:val="20"/>
              </w:rPr>
              <w:t>churches </w:t>
            </w:r>
            <w:r>
              <w:rPr>
                <w:w w:val="120"/>
                <w:sz w:val="20"/>
              </w:rPr>
              <w:t>in </w:t>
            </w:r>
            <w:r>
              <w:rPr>
                <w:spacing w:val="-3"/>
                <w:w w:val="120"/>
                <w:sz w:val="20"/>
              </w:rPr>
              <w:t>consultation </w:t>
            </w:r>
            <w:r>
              <w:rPr>
                <w:w w:val="120"/>
                <w:sz w:val="20"/>
              </w:rPr>
              <w:t>with </w:t>
            </w:r>
            <w:r>
              <w:rPr>
                <w:spacing w:val="-3"/>
                <w:w w:val="120"/>
                <w:sz w:val="20"/>
              </w:rPr>
              <w:t>Churches </w:t>
            </w:r>
            <w:r>
              <w:rPr>
                <w:spacing w:val="-4"/>
                <w:w w:val="120"/>
                <w:sz w:val="20"/>
              </w:rPr>
              <w:t>Together </w:t>
            </w:r>
            <w:r>
              <w:rPr>
                <w:w w:val="120"/>
                <w:sz w:val="20"/>
              </w:rPr>
              <w:t>in England </w:t>
            </w:r>
            <w:r>
              <w:rPr>
                <w:spacing w:val="-3"/>
                <w:w w:val="120"/>
                <w:sz w:val="20"/>
              </w:rPr>
              <w:t>to </w:t>
            </w:r>
            <w:r>
              <w:rPr>
                <w:w w:val="120"/>
                <w:sz w:val="20"/>
              </w:rPr>
              <w:t>the question of identifying and enabling structures that can sustain shared </w:t>
            </w:r>
            <w:r>
              <w:rPr>
                <w:spacing w:val="-3"/>
                <w:w w:val="120"/>
                <w:sz w:val="20"/>
              </w:rPr>
              <w:t>commitment to mission, including </w:t>
            </w:r>
            <w:r>
              <w:rPr>
                <w:w w:val="120"/>
                <w:sz w:val="20"/>
              </w:rPr>
              <w:t>sharing of </w:t>
            </w:r>
            <w:r>
              <w:rPr>
                <w:spacing w:val="-3"/>
                <w:w w:val="120"/>
                <w:sz w:val="20"/>
              </w:rPr>
              <w:t>physical resources, </w:t>
            </w:r>
            <w:r>
              <w:rPr>
                <w:w w:val="120"/>
                <w:sz w:val="20"/>
              </w:rPr>
              <w:t>ministry </w:t>
            </w:r>
            <w:r>
              <w:rPr>
                <w:spacing w:val="-3"/>
                <w:w w:val="120"/>
                <w:sz w:val="20"/>
              </w:rPr>
              <w:t>resources, </w:t>
            </w:r>
            <w:r>
              <w:rPr>
                <w:w w:val="120"/>
                <w:sz w:val="20"/>
              </w:rPr>
              <w:t>financial </w:t>
            </w:r>
            <w:r>
              <w:rPr>
                <w:spacing w:val="-3"/>
                <w:w w:val="120"/>
                <w:sz w:val="20"/>
              </w:rPr>
              <w:t>resources </w:t>
            </w:r>
            <w:r>
              <w:rPr>
                <w:w w:val="120"/>
                <w:sz w:val="20"/>
              </w:rPr>
              <w:t>and strategic </w:t>
            </w:r>
            <w:r>
              <w:rPr>
                <w:spacing w:val="-3"/>
                <w:w w:val="120"/>
                <w:sz w:val="20"/>
              </w:rPr>
              <w:t>planning, </w:t>
            </w:r>
            <w:r>
              <w:rPr>
                <w:w w:val="120"/>
                <w:sz w:val="20"/>
              </w:rPr>
              <w:t>at local, regional and </w:t>
            </w:r>
            <w:r>
              <w:rPr>
                <w:spacing w:val="-3"/>
                <w:w w:val="120"/>
                <w:sz w:val="20"/>
              </w:rPr>
              <w:t>national</w:t>
            </w:r>
            <w:r>
              <w:rPr>
                <w:spacing w:val="-9"/>
                <w:w w:val="120"/>
                <w:sz w:val="20"/>
              </w:rPr>
              <w:t> </w:t>
            </w:r>
            <w:r>
              <w:rPr>
                <w:spacing w:val="-3"/>
                <w:w w:val="120"/>
                <w:sz w:val="20"/>
              </w:rPr>
              <w:t>levels</w:t>
            </w:r>
          </w:p>
          <w:p>
            <w:pPr>
              <w:pStyle w:val="TableParagraph"/>
              <w:numPr>
                <w:ilvl w:val="0"/>
                <w:numId w:val="158"/>
              </w:numPr>
              <w:tabs>
                <w:tab w:pos="760" w:val="left" w:leader="none"/>
                <w:tab w:pos="761" w:val="left" w:leader="none"/>
              </w:tabs>
              <w:spacing w:line="235" w:lineRule="auto" w:before="4" w:after="0"/>
              <w:ind w:left="80" w:right="152" w:firstLine="0"/>
              <w:jc w:val="left"/>
              <w:rPr>
                <w:sz w:val="20"/>
              </w:rPr>
            </w:pPr>
            <w:r>
              <w:rPr>
                <w:w w:val="120"/>
                <w:sz w:val="20"/>
              </w:rPr>
              <w:t>In the light of what </w:t>
            </w:r>
            <w:r>
              <w:rPr>
                <w:spacing w:val="-3"/>
                <w:w w:val="120"/>
                <w:sz w:val="20"/>
              </w:rPr>
              <w:t>occurs </w:t>
            </w:r>
            <w:r>
              <w:rPr>
                <w:w w:val="120"/>
                <w:sz w:val="20"/>
              </w:rPr>
              <w:t>between the </w:t>
            </w:r>
            <w:r>
              <w:rPr>
                <w:spacing w:val="-3"/>
                <w:w w:val="120"/>
                <w:sz w:val="20"/>
              </w:rPr>
              <w:t>Church </w:t>
            </w:r>
            <w:r>
              <w:rPr>
                <w:w w:val="120"/>
                <w:sz w:val="20"/>
              </w:rPr>
              <w:t>of England and the Methodist </w:t>
            </w:r>
            <w:r>
              <w:rPr>
                <w:spacing w:val="-3"/>
                <w:w w:val="120"/>
                <w:sz w:val="20"/>
              </w:rPr>
              <w:t>Church </w:t>
            </w:r>
            <w:r>
              <w:rPr>
                <w:w w:val="120"/>
                <w:sz w:val="20"/>
              </w:rPr>
              <w:t>with regard </w:t>
            </w:r>
            <w:r>
              <w:rPr>
                <w:spacing w:val="-3"/>
                <w:w w:val="120"/>
                <w:sz w:val="20"/>
              </w:rPr>
              <w:t>to</w:t>
            </w:r>
            <w:r>
              <w:rPr>
                <w:spacing w:val="7"/>
                <w:w w:val="120"/>
                <w:sz w:val="20"/>
              </w:rPr>
              <w:t> </w:t>
            </w:r>
            <w:r>
              <w:rPr>
                <w:spacing w:val="-3"/>
                <w:w w:val="120"/>
                <w:sz w:val="20"/>
              </w:rPr>
              <w:t>interchangeability</w:t>
            </w:r>
          </w:p>
          <w:p>
            <w:pPr>
              <w:pStyle w:val="TableParagraph"/>
              <w:spacing w:line="235" w:lineRule="auto" w:before="2"/>
              <w:ind w:right="458"/>
              <w:rPr>
                <w:sz w:val="20"/>
              </w:rPr>
            </w:pPr>
            <w:r>
              <w:rPr>
                <w:w w:val="120"/>
                <w:sz w:val="20"/>
              </w:rPr>
              <w:t>of ordained ministries </w:t>
            </w:r>
            <w:r>
              <w:rPr>
                <w:spacing w:val="-3"/>
                <w:w w:val="120"/>
                <w:sz w:val="20"/>
              </w:rPr>
              <w:t>within </w:t>
            </w:r>
            <w:r>
              <w:rPr>
                <w:w w:val="120"/>
                <w:sz w:val="20"/>
              </w:rPr>
              <w:t>the </w:t>
            </w:r>
            <w:r>
              <w:rPr>
                <w:spacing w:val="-4"/>
                <w:w w:val="120"/>
                <w:sz w:val="20"/>
              </w:rPr>
              <w:t>covenant </w:t>
            </w:r>
            <w:r>
              <w:rPr>
                <w:spacing w:val="-3"/>
                <w:w w:val="120"/>
                <w:sz w:val="20"/>
              </w:rPr>
              <w:t>relationship, </w:t>
            </w:r>
            <w:r>
              <w:rPr>
                <w:w w:val="120"/>
                <w:sz w:val="20"/>
              </w:rPr>
              <w:t>a review should be undertaken regarding understanding of the </w:t>
            </w:r>
            <w:r>
              <w:rPr>
                <w:spacing w:val="-3"/>
                <w:w w:val="120"/>
                <w:sz w:val="20"/>
              </w:rPr>
              <w:t>nature</w:t>
            </w:r>
            <w:r>
              <w:rPr>
                <w:spacing w:val="-7"/>
                <w:w w:val="120"/>
                <w:sz w:val="20"/>
              </w:rPr>
              <w:t> </w:t>
            </w:r>
            <w:r>
              <w:rPr>
                <w:w w:val="120"/>
                <w:sz w:val="20"/>
              </w:rPr>
              <w:t>of</w:t>
            </w:r>
            <w:r>
              <w:rPr>
                <w:spacing w:val="-7"/>
                <w:w w:val="120"/>
                <w:sz w:val="20"/>
              </w:rPr>
              <w:t> </w:t>
            </w:r>
            <w:r>
              <w:rPr>
                <w:w w:val="120"/>
                <w:sz w:val="20"/>
              </w:rPr>
              <w:t>ordained</w:t>
            </w:r>
            <w:r>
              <w:rPr>
                <w:spacing w:val="-6"/>
                <w:w w:val="120"/>
                <w:sz w:val="20"/>
              </w:rPr>
              <w:t> </w:t>
            </w:r>
            <w:r>
              <w:rPr>
                <w:w w:val="120"/>
                <w:sz w:val="20"/>
              </w:rPr>
              <w:t>ministry</w:t>
            </w:r>
            <w:r>
              <w:rPr>
                <w:spacing w:val="-7"/>
                <w:w w:val="120"/>
                <w:sz w:val="20"/>
              </w:rPr>
              <w:t> </w:t>
            </w:r>
            <w:r>
              <w:rPr>
                <w:w w:val="120"/>
                <w:sz w:val="20"/>
              </w:rPr>
              <w:t>and</w:t>
            </w:r>
            <w:r>
              <w:rPr>
                <w:spacing w:val="-7"/>
                <w:w w:val="120"/>
                <w:sz w:val="20"/>
              </w:rPr>
              <w:t> </w:t>
            </w:r>
            <w:r>
              <w:rPr>
                <w:spacing w:val="-3"/>
                <w:w w:val="120"/>
                <w:sz w:val="20"/>
              </w:rPr>
              <w:t>potential</w:t>
            </w:r>
            <w:r>
              <w:rPr>
                <w:spacing w:val="-6"/>
                <w:w w:val="120"/>
                <w:sz w:val="20"/>
              </w:rPr>
              <w:t> </w:t>
            </w:r>
            <w:r>
              <w:rPr>
                <w:w w:val="120"/>
                <w:sz w:val="20"/>
              </w:rPr>
              <w:t>for</w:t>
            </w:r>
            <w:r>
              <w:rPr>
                <w:spacing w:val="-7"/>
                <w:w w:val="120"/>
                <w:sz w:val="20"/>
              </w:rPr>
              <w:t> </w:t>
            </w:r>
            <w:r>
              <w:rPr>
                <w:w w:val="120"/>
                <w:sz w:val="20"/>
              </w:rPr>
              <w:t>progress</w:t>
            </w:r>
            <w:r>
              <w:rPr>
                <w:spacing w:val="-7"/>
                <w:w w:val="120"/>
                <w:sz w:val="20"/>
              </w:rPr>
              <w:t> </w:t>
            </w:r>
            <w:r>
              <w:rPr>
                <w:spacing w:val="-3"/>
                <w:w w:val="120"/>
                <w:sz w:val="20"/>
              </w:rPr>
              <w:t>towards reconciliation </w:t>
            </w:r>
            <w:r>
              <w:rPr>
                <w:w w:val="120"/>
                <w:sz w:val="20"/>
              </w:rPr>
              <w:t>and </w:t>
            </w:r>
            <w:r>
              <w:rPr>
                <w:spacing w:val="-3"/>
                <w:w w:val="120"/>
                <w:sz w:val="20"/>
              </w:rPr>
              <w:t>interchangeability  </w:t>
            </w:r>
            <w:r>
              <w:rPr>
                <w:w w:val="120"/>
                <w:sz w:val="20"/>
              </w:rPr>
              <w:t>of ministries between the </w:t>
            </w:r>
            <w:r>
              <w:rPr>
                <w:spacing w:val="-3"/>
                <w:w w:val="120"/>
                <w:sz w:val="20"/>
              </w:rPr>
              <w:t>Church </w:t>
            </w:r>
            <w:r>
              <w:rPr>
                <w:w w:val="120"/>
                <w:sz w:val="20"/>
              </w:rPr>
              <w:t>of England and the </w:t>
            </w:r>
            <w:r>
              <w:rPr>
                <w:spacing w:val="-3"/>
                <w:w w:val="120"/>
                <w:sz w:val="20"/>
              </w:rPr>
              <w:t>United </w:t>
            </w:r>
            <w:r>
              <w:rPr>
                <w:w w:val="120"/>
                <w:sz w:val="20"/>
              </w:rPr>
              <w:t>Reformed </w:t>
            </w:r>
            <w:r>
              <w:rPr>
                <w:spacing w:val="-3"/>
                <w:w w:val="120"/>
                <w:sz w:val="20"/>
              </w:rPr>
              <w:t>Church, </w:t>
            </w:r>
            <w:r>
              <w:rPr>
                <w:w w:val="120"/>
                <w:sz w:val="20"/>
              </w:rPr>
              <w:t>if appropriate </w:t>
            </w:r>
            <w:r>
              <w:rPr>
                <w:spacing w:val="-3"/>
                <w:w w:val="120"/>
                <w:sz w:val="20"/>
              </w:rPr>
              <w:t>involving </w:t>
            </w:r>
            <w:r>
              <w:rPr>
                <w:w w:val="120"/>
                <w:sz w:val="20"/>
              </w:rPr>
              <w:t>other </w:t>
            </w:r>
            <w:r>
              <w:rPr>
                <w:spacing w:val="-3"/>
                <w:w w:val="120"/>
                <w:sz w:val="20"/>
              </w:rPr>
              <w:t>churches also.</w:t>
            </w:r>
          </w:p>
          <w:p>
            <w:pPr>
              <w:pStyle w:val="TableParagraph"/>
              <w:numPr>
                <w:ilvl w:val="0"/>
                <w:numId w:val="158"/>
              </w:numPr>
              <w:tabs>
                <w:tab w:pos="760" w:val="left" w:leader="none"/>
                <w:tab w:pos="761" w:val="left" w:leader="none"/>
              </w:tabs>
              <w:spacing w:line="235" w:lineRule="auto" w:before="4" w:after="0"/>
              <w:ind w:left="80" w:right="466" w:firstLine="0"/>
              <w:jc w:val="left"/>
              <w:rPr>
                <w:sz w:val="20"/>
              </w:rPr>
            </w:pPr>
            <w:r>
              <w:rPr>
                <w:w w:val="120"/>
                <w:sz w:val="20"/>
              </w:rPr>
              <w:t>A process should be set up for exploration of the </w:t>
            </w:r>
            <w:r>
              <w:rPr>
                <w:spacing w:val="-3"/>
                <w:w w:val="120"/>
                <w:sz w:val="20"/>
              </w:rPr>
              <w:t>relationship </w:t>
            </w:r>
            <w:r>
              <w:rPr>
                <w:w w:val="120"/>
                <w:sz w:val="20"/>
              </w:rPr>
              <w:t>between elders and </w:t>
            </w:r>
            <w:r>
              <w:rPr>
                <w:spacing w:val="-3"/>
                <w:w w:val="120"/>
                <w:sz w:val="20"/>
              </w:rPr>
              <w:t>church related community </w:t>
            </w:r>
            <w:r>
              <w:rPr>
                <w:w w:val="120"/>
                <w:sz w:val="20"/>
              </w:rPr>
              <w:t>workers in the </w:t>
            </w:r>
            <w:r>
              <w:rPr>
                <w:spacing w:val="-3"/>
                <w:w w:val="120"/>
                <w:sz w:val="20"/>
              </w:rPr>
              <w:t>United </w:t>
            </w:r>
            <w:r>
              <w:rPr>
                <w:w w:val="120"/>
                <w:sz w:val="20"/>
              </w:rPr>
              <w:t>Reformed </w:t>
            </w:r>
            <w:r>
              <w:rPr>
                <w:spacing w:val="-3"/>
                <w:w w:val="120"/>
                <w:sz w:val="20"/>
              </w:rPr>
              <w:t>Church </w:t>
            </w:r>
            <w:r>
              <w:rPr>
                <w:w w:val="120"/>
                <w:sz w:val="20"/>
              </w:rPr>
              <w:t>on the one hand, and </w:t>
            </w:r>
            <w:r>
              <w:rPr>
                <w:spacing w:val="-3"/>
                <w:w w:val="120"/>
                <w:sz w:val="20"/>
              </w:rPr>
              <w:t>deacons </w:t>
            </w:r>
            <w:r>
              <w:rPr>
                <w:w w:val="120"/>
                <w:sz w:val="20"/>
              </w:rPr>
              <w:t>in the </w:t>
            </w:r>
            <w:r>
              <w:rPr>
                <w:spacing w:val="-3"/>
                <w:w w:val="120"/>
                <w:sz w:val="20"/>
              </w:rPr>
              <w:t>Church </w:t>
            </w:r>
            <w:r>
              <w:rPr>
                <w:w w:val="120"/>
                <w:sz w:val="20"/>
              </w:rPr>
              <w:t>of England and elsewhere on the</w:t>
            </w:r>
            <w:r>
              <w:rPr>
                <w:spacing w:val="-1"/>
                <w:w w:val="120"/>
                <w:sz w:val="20"/>
              </w:rPr>
              <w:t> </w:t>
            </w:r>
            <w:r>
              <w:rPr>
                <w:spacing w:val="-5"/>
                <w:w w:val="120"/>
                <w:sz w:val="20"/>
              </w:rPr>
              <w:t>other.</w:t>
            </w:r>
          </w:p>
          <w:p>
            <w:pPr>
              <w:pStyle w:val="TableParagraph"/>
              <w:numPr>
                <w:ilvl w:val="0"/>
                <w:numId w:val="158"/>
              </w:numPr>
              <w:tabs>
                <w:tab w:pos="760" w:val="left" w:leader="none"/>
                <w:tab w:pos="761" w:val="left" w:leader="none"/>
              </w:tabs>
              <w:spacing w:line="235" w:lineRule="auto" w:before="3" w:after="0"/>
              <w:ind w:left="80" w:right="694" w:firstLine="0"/>
              <w:jc w:val="left"/>
              <w:rPr>
                <w:sz w:val="20"/>
              </w:rPr>
            </w:pPr>
            <w:r>
              <w:rPr>
                <w:w w:val="120"/>
                <w:sz w:val="20"/>
              </w:rPr>
              <w:t>Attention should be given </w:t>
            </w:r>
            <w:r>
              <w:rPr>
                <w:spacing w:val="-3"/>
                <w:w w:val="120"/>
                <w:sz w:val="20"/>
              </w:rPr>
              <w:t>to </w:t>
            </w:r>
            <w:r>
              <w:rPr>
                <w:w w:val="120"/>
                <w:sz w:val="20"/>
              </w:rPr>
              <w:t>studying the </w:t>
            </w:r>
            <w:r>
              <w:rPr>
                <w:spacing w:val="-3"/>
                <w:w w:val="120"/>
                <w:sz w:val="20"/>
              </w:rPr>
              <w:t>scope </w:t>
            </w:r>
            <w:r>
              <w:rPr>
                <w:w w:val="120"/>
                <w:sz w:val="20"/>
              </w:rPr>
              <w:t>for </w:t>
            </w:r>
            <w:r>
              <w:rPr>
                <w:spacing w:val="-3"/>
                <w:w w:val="120"/>
                <w:sz w:val="20"/>
              </w:rPr>
              <w:t>receptive ecumenism </w:t>
            </w:r>
            <w:r>
              <w:rPr>
                <w:w w:val="120"/>
                <w:sz w:val="20"/>
              </w:rPr>
              <w:t>between our two </w:t>
            </w:r>
            <w:r>
              <w:rPr>
                <w:spacing w:val="-3"/>
                <w:w w:val="120"/>
                <w:sz w:val="20"/>
              </w:rPr>
              <w:t>churches </w:t>
            </w:r>
            <w:r>
              <w:rPr>
                <w:w w:val="120"/>
                <w:sz w:val="20"/>
              </w:rPr>
              <w:t>in the area of </w:t>
            </w:r>
            <w:r>
              <w:rPr>
                <w:spacing w:val="-3"/>
                <w:w w:val="120"/>
                <w:sz w:val="20"/>
              </w:rPr>
              <w:t>worship, </w:t>
            </w:r>
            <w:r>
              <w:rPr>
                <w:w w:val="120"/>
                <w:sz w:val="20"/>
              </w:rPr>
              <w:t>looking both at theology and practice, and the opportunities and challenges of worshipping</w:t>
            </w:r>
            <w:r>
              <w:rPr>
                <w:spacing w:val="-10"/>
                <w:w w:val="120"/>
                <w:sz w:val="20"/>
              </w:rPr>
              <w:t> </w:t>
            </w:r>
            <w:r>
              <w:rPr>
                <w:w w:val="120"/>
                <w:sz w:val="20"/>
              </w:rPr>
              <w:t>together</w:t>
            </w:r>
          </w:p>
          <w:p>
            <w:pPr>
              <w:pStyle w:val="TableParagraph"/>
              <w:numPr>
                <w:ilvl w:val="0"/>
                <w:numId w:val="158"/>
              </w:numPr>
              <w:tabs>
                <w:tab w:pos="760" w:val="left" w:leader="none"/>
                <w:tab w:pos="761" w:val="left" w:leader="none"/>
              </w:tabs>
              <w:spacing w:line="235" w:lineRule="auto" w:before="3" w:after="0"/>
              <w:ind w:left="80" w:right="168" w:firstLine="0"/>
              <w:jc w:val="left"/>
              <w:rPr>
                <w:sz w:val="20"/>
              </w:rPr>
            </w:pPr>
            <w:r>
              <w:rPr>
                <w:w w:val="120"/>
                <w:sz w:val="20"/>
              </w:rPr>
              <w:t>A steering group be set up for </w:t>
            </w:r>
            <w:r>
              <w:rPr>
                <w:spacing w:val="-3"/>
                <w:w w:val="120"/>
                <w:sz w:val="20"/>
              </w:rPr>
              <w:t>Church </w:t>
            </w:r>
            <w:r>
              <w:rPr>
                <w:w w:val="120"/>
                <w:sz w:val="20"/>
              </w:rPr>
              <w:t>of England – </w:t>
            </w:r>
            <w:r>
              <w:rPr>
                <w:spacing w:val="-3"/>
                <w:w w:val="120"/>
                <w:sz w:val="20"/>
              </w:rPr>
              <w:t>United </w:t>
            </w:r>
            <w:r>
              <w:rPr>
                <w:w w:val="120"/>
                <w:sz w:val="20"/>
              </w:rPr>
              <w:t>Reformed </w:t>
            </w:r>
            <w:r>
              <w:rPr>
                <w:spacing w:val="-3"/>
                <w:w w:val="120"/>
                <w:sz w:val="20"/>
              </w:rPr>
              <w:t>Church Relations </w:t>
            </w:r>
            <w:r>
              <w:rPr>
                <w:w w:val="120"/>
                <w:sz w:val="20"/>
              </w:rPr>
              <w:t>that can </w:t>
            </w:r>
            <w:r>
              <w:rPr>
                <w:spacing w:val="-3"/>
                <w:w w:val="120"/>
                <w:sz w:val="20"/>
              </w:rPr>
              <w:t>monitor </w:t>
            </w:r>
            <w:r>
              <w:rPr>
                <w:w w:val="120"/>
                <w:sz w:val="20"/>
              </w:rPr>
              <w:t>the implementation of the report’s first four </w:t>
            </w:r>
            <w:r>
              <w:rPr>
                <w:spacing w:val="-3"/>
                <w:w w:val="120"/>
                <w:sz w:val="20"/>
              </w:rPr>
              <w:t>recommendations, coordinate </w:t>
            </w:r>
            <w:r>
              <w:rPr>
                <w:w w:val="120"/>
                <w:sz w:val="20"/>
              </w:rPr>
              <w:t>different areas</w:t>
            </w:r>
            <w:r>
              <w:rPr>
                <w:spacing w:val="-5"/>
                <w:w w:val="120"/>
                <w:sz w:val="20"/>
              </w:rPr>
              <w:t> </w:t>
            </w:r>
            <w:r>
              <w:rPr>
                <w:w w:val="120"/>
                <w:sz w:val="20"/>
              </w:rPr>
              <w:t>of</w:t>
            </w:r>
            <w:r>
              <w:rPr>
                <w:spacing w:val="-4"/>
                <w:w w:val="120"/>
                <w:sz w:val="20"/>
              </w:rPr>
              <w:t> </w:t>
            </w:r>
            <w:r>
              <w:rPr>
                <w:w w:val="120"/>
                <w:sz w:val="20"/>
              </w:rPr>
              <w:t>activity</w:t>
            </w:r>
            <w:r>
              <w:rPr>
                <w:spacing w:val="-5"/>
                <w:w w:val="120"/>
                <w:sz w:val="20"/>
              </w:rPr>
              <w:t> </w:t>
            </w:r>
            <w:r>
              <w:rPr>
                <w:w w:val="120"/>
                <w:sz w:val="20"/>
              </w:rPr>
              <w:t>and</w:t>
            </w:r>
            <w:r>
              <w:rPr>
                <w:spacing w:val="-4"/>
                <w:w w:val="120"/>
                <w:sz w:val="20"/>
              </w:rPr>
              <w:t> </w:t>
            </w:r>
            <w:r>
              <w:rPr>
                <w:spacing w:val="-3"/>
                <w:w w:val="120"/>
                <w:sz w:val="20"/>
              </w:rPr>
              <w:t>promote</w:t>
            </w:r>
            <w:r>
              <w:rPr>
                <w:spacing w:val="-5"/>
                <w:w w:val="120"/>
                <w:sz w:val="20"/>
              </w:rPr>
              <w:t> </w:t>
            </w:r>
            <w:r>
              <w:rPr>
                <w:w w:val="120"/>
                <w:sz w:val="20"/>
              </w:rPr>
              <w:t>further</w:t>
            </w:r>
            <w:r>
              <w:rPr>
                <w:spacing w:val="-4"/>
                <w:w w:val="120"/>
                <w:sz w:val="20"/>
              </w:rPr>
              <w:t> </w:t>
            </w:r>
            <w:r>
              <w:rPr>
                <w:w w:val="120"/>
                <w:sz w:val="20"/>
              </w:rPr>
              <w:t>growth</w:t>
            </w:r>
            <w:r>
              <w:rPr>
                <w:spacing w:val="-5"/>
                <w:w w:val="120"/>
                <w:sz w:val="20"/>
              </w:rPr>
              <w:t> </w:t>
            </w:r>
            <w:r>
              <w:rPr>
                <w:w w:val="120"/>
                <w:sz w:val="20"/>
              </w:rPr>
              <w:t>in</w:t>
            </w:r>
            <w:r>
              <w:rPr>
                <w:spacing w:val="-4"/>
                <w:w w:val="120"/>
                <w:sz w:val="20"/>
              </w:rPr>
              <w:t> </w:t>
            </w:r>
            <w:r>
              <w:rPr>
                <w:w w:val="120"/>
                <w:sz w:val="20"/>
              </w:rPr>
              <w:t>unity</w:t>
            </w:r>
            <w:r>
              <w:rPr>
                <w:spacing w:val="-5"/>
                <w:w w:val="120"/>
                <w:sz w:val="20"/>
              </w:rPr>
              <w:t> </w:t>
            </w:r>
            <w:r>
              <w:rPr>
                <w:w w:val="120"/>
                <w:sz w:val="20"/>
              </w:rPr>
              <w:t>in</w:t>
            </w:r>
            <w:r>
              <w:rPr>
                <w:spacing w:val="-4"/>
                <w:w w:val="120"/>
                <w:sz w:val="20"/>
              </w:rPr>
              <w:t> </w:t>
            </w:r>
            <w:r>
              <w:rPr>
                <w:spacing w:val="-3"/>
                <w:w w:val="120"/>
                <w:sz w:val="20"/>
              </w:rPr>
              <w:t>mission</w:t>
            </w:r>
          </w:p>
        </w:tc>
      </w:tr>
    </w:tbl>
    <w:p>
      <w:pPr>
        <w:spacing w:after="0" w:line="235" w:lineRule="auto"/>
        <w:jc w:val="left"/>
        <w:rPr>
          <w:sz w:val="20"/>
        </w:rPr>
        <w:sectPr>
          <w:headerReference w:type="default" r:id="rId363"/>
          <w:footerReference w:type="default" r:id="rId364"/>
          <w:footerReference w:type="even" r:id="rId365"/>
          <w:pgSz w:w="11910" w:h="16840"/>
          <w:pgMar w:header="0" w:footer="647" w:top="0" w:bottom="840" w:left="640" w:right="0"/>
        </w:sectPr>
      </w:pPr>
    </w:p>
    <w:tbl>
      <w:tblPr>
        <w:tblW w:w="0" w:type="auto"/>
        <w:jc w:val="left"/>
        <w:tblInd w:w="6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660"/>
        <w:gridCol w:w="6582"/>
      </w:tblGrid>
      <w:tr>
        <w:trPr>
          <w:trHeight w:val="1160" w:hRule="atLeast"/>
        </w:trPr>
        <w:tc>
          <w:tcPr>
            <w:tcW w:w="2660" w:type="dxa"/>
            <w:shd w:val="clear" w:color="auto" w:fill="FFFFFF"/>
          </w:tcPr>
          <w:p>
            <w:pPr>
              <w:pStyle w:val="TableParagraph"/>
              <w:spacing w:line="213" w:lineRule="auto" w:before="147"/>
              <w:ind w:right="701"/>
              <w:rPr>
                <w:rFonts w:ascii="Stone Sans II ITC Std Bk"/>
                <w:b/>
                <w:sz w:val="20"/>
              </w:rPr>
            </w:pPr>
            <w:r>
              <w:rPr>
                <w:rFonts w:ascii="Stone Sans II ITC Std Bk"/>
                <w:b/>
                <w:w w:val="110"/>
                <w:sz w:val="20"/>
              </w:rPr>
              <w:t>Previous relevant documents</w:t>
            </w:r>
          </w:p>
        </w:tc>
        <w:tc>
          <w:tcPr>
            <w:tcW w:w="6582" w:type="dxa"/>
            <w:shd w:val="clear" w:color="auto" w:fill="FFFFFF"/>
          </w:tcPr>
          <w:p>
            <w:pPr>
              <w:pStyle w:val="TableParagraph"/>
              <w:spacing w:line="235" w:lineRule="auto" w:before="141"/>
              <w:ind w:right="104"/>
              <w:rPr>
                <w:sz w:val="20"/>
              </w:rPr>
            </w:pPr>
            <w:r>
              <w:rPr>
                <w:w w:val="120"/>
                <w:sz w:val="20"/>
              </w:rPr>
              <w:t>‘Healing the Past – Building the Future’ the report of the first round of conversations leading to the service of reconciliation at Westminster Abbey on 7 February 2012. See also appendix 3 of the report for other historical references</w:t>
            </w:r>
          </w:p>
        </w:tc>
      </w:tr>
      <w:tr>
        <w:trPr>
          <w:trHeight w:val="680" w:hRule="atLeast"/>
        </w:trPr>
        <w:tc>
          <w:tcPr>
            <w:tcW w:w="2660" w:type="dxa"/>
            <w:shd w:val="clear" w:color="auto" w:fill="FFFFFF"/>
          </w:tcPr>
          <w:p>
            <w:pPr>
              <w:pStyle w:val="TableParagraph"/>
              <w:spacing w:line="213" w:lineRule="auto" w:before="147"/>
              <w:ind w:right="576"/>
              <w:rPr>
                <w:rFonts w:ascii="Stone Sans II ITC Std Bk"/>
                <w:b/>
                <w:sz w:val="20"/>
              </w:rPr>
            </w:pPr>
            <w:r>
              <w:rPr>
                <w:rFonts w:ascii="Stone Sans II ITC Std Bk"/>
                <w:b/>
                <w:w w:val="110"/>
                <w:sz w:val="20"/>
              </w:rPr>
              <w:t>Consultation has taken place with...</w:t>
            </w:r>
          </w:p>
        </w:tc>
        <w:tc>
          <w:tcPr>
            <w:tcW w:w="6582" w:type="dxa"/>
            <w:shd w:val="clear" w:color="auto" w:fill="FFFFFF"/>
          </w:tcPr>
          <w:p>
            <w:pPr>
              <w:pStyle w:val="TableParagraph"/>
              <w:spacing w:before="137"/>
              <w:rPr>
                <w:sz w:val="20"/>
              </w:rPr>
            </w:pPr>
            <w:r>
              <w:rPr>
                <w:w w:val="120"/>
                <w:sz w:val="20"/>
              </w:rPr>
              <w:t>The faith and order committee</w:t>
            </w:r>
          </w:p>
        </w:tc>
      </w:tr>
    </w:tbl>
    <w:p>
      <w:pPr>
        <w:pStyle w:val="BodyText"/>
        <w:spacing w:before="1"/>
        <w:rPr>
          <w:rFonts w:ascii="Stone Sans II ITC Std Bk"/>
          <w:b/>
          <w:sz w:val="22"/>
        </w:rPr>
      </w:pPr>
      <w:r>
        <w:rPr/>
        <w:pict>
          <v:group style="position:absolute;margin-left:0pt;margin-top:.000015pt;width:595.3pt;height:841.9pt;mso-position-horizontal-relative:page;mso-position-vertical-relative:page;z-index:-267769856" coordorigin="0,0" coordsize="11906,16838">
            <v:rect style="position:absolute;left:935;top:0;width:10970;height:5415" filled="true" fillcolor="#d4e9f7" stroked="false">
              <v:fill type="solid"/>
            </v:rect>
            <v:shape style="position:absolute;left:0;top:0;width:936;height:16838" type="#_x0000_t75" stroked="false">
              <v:imagedata r:id="rId184" o:title=""/>
            </v:shape>
            <w10:wrap type="none"/>
          </v:group>
        </w:pict>
      </w:r>
      <w:r>
        <w:rPr/>
        <w:pict>
          <v:shape style="position:absolute;margin-left:20.519100pt;margin-top:48.890015pt;width:25.9pt;height:453.7pt;mso-position-horizontal-relative:page;mso-position-vertical-relative:page;z-index:-267768832" type="#_x0000_t202" filled="false" stroked="false">
            <v:textbox inset="0,0,0,0" style="layout-flow:vertical">
              <w:txbxContent>
                <w:p>
                  <w:pPr>
                    <w:spacing w:before="27"/>
                    <w:ind w:left="20" w:right="0" w:firstLine="0"/>
                    <w:jc w:val="left"/>
                    <w:rPr>
                      <w:sz w:val="39"/>
                    </w:rPr>
                  </w:pPr>
                  <w:r>
                    <w:rPr>
                      <w:color w:val="FFFFFF"/>
                      <w:spacing w:val="6"/>
                      <w:w w:val="120"/>
                      <w:sz w:val="39"/>
                    </w:rPr>
                    <w:t>Faith </w:t>
                  </w:r>
                  <w:r>
                    <w:rPr>
                      <w:color w:val="FFFFFF"/>
                      <w:spacing w:val="7"/>
                      <w:w w:val="120"/>
                      <w:sz w:val="39"/>
                    </w:rPr>
                    <w:t>and order </w:t>
                  </w:r>
                  <w:r>
                    <w:rPr>
                      <w:color w:val="FFFFFF"/>
                      <w:w w:val="120"/>
                      <w:sz w:val="39"/>
                    </w:rPr>
                    <w:t>– </w:t>
                  </w:r>
                  <w:r>
                    <w:rPr>
                      <w:spacing w:val="5"/>
                      <w:w w:val="120"/>
                      <w:sz w:val="39"/>
                    </w:rPr>
                    <w:t>Unity, </w:t>
                  </w:r>
                  <w:r>
                    <w:rPr>
                      <w:spacing w:val="9"/>
                      <w:w w:val="120"/>
                      <w:sz w:val="39"/>
                    </w:rPr>
                    <w:t>Identity </w:t>
                  </w:r>
                  <w:r>
                    <w:rPr>
                      <w:spacing w:val="7"/>
                      <w:w w:val="120"/>
                      <w:sz w:val="39"/>
                    </w:rPr>
                    <w:t>and</w:t>
                  </w:r>
                  <w:r>
                    <w:rPr>
                      <w:spacing w:val="104"/>
                      <w:w w:val="120"/>
                      <w:sz w:val="39"/>
                    </w:rPr>
                    <w:t> </w:t>
                  </w:r>
                  <w:r>
                    <w:rPr>
                      <w:spacing w:val="11"/>
                      <w:w w:val="120"/>
                      <w:sz w:val="39"/>
                    </w:rPr>
                    <w:t>Mission</w:t>
                  </w:r>
                </w:p>
              </w:txbxContent>
            </v:textbox>
            <w10:wrap type="none"/>
          </v:shape>
        </w:pict>
      </w:r>
    </w:p>
    <w:p>
      <w:pPr>
        <w:pStyle w:val="Heading4"/>
        <w:spacing w:before="94"/>
      </w:pPr>
      <w:r>
        <w:rPr>
          <w:color w:val="7F7F7F"/>
        </w:rPr>
        <w:t>Summary of Impact</w:t>
      </w:r>
    </w:p>
    <w:tbl>
      <w:tblPr>
        <w:tblW w:w="0" w:type="auto"/>
        <w:jc w:val="left"/>
        <w:tblInd w:w="6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660"/>
        <w:gridCol w:w="6582"/>
      </w:tblGrid>
      <w:tr>
        <w:trPr>
          <w:trHeight w:val="440" w:hRule="atLeast"/>
        </w:trPr>
        <w:tc>
          <w:tcPr>
            <w:tcW w:w="2660" w:type="dxa"/>
            <w:shd w:val="clear" w:color="auto" w:fill="FFFFFF"/>
          </w:tcPr>
          <w:p>
            <w:pPr>
              <w:pStyle w:val="TableParagraph"/>
              <w:spacing w:before="128"/>
              <w:rPr>
                <w:rFonts w:ascii="Stone Sans II ITC Std Bk"/>
                <w:b/>
                <w:sz w:val="20"/>
              </w:rPr>
            </w:pPr>
            <w:r>
              <w:rPr>
                <w:rFonts w:ascii="Stone Sans II ITC Std Bk"/>
                <w:b/>
                <w:w w:val="110"/>
                <w:sz w:val="20"/>
              </w:rPr>
              <w:t>Financial</w:t>
            </w:r>
          </w:p>
        </w:tc>
        <w:tc>
          <w:tcPr>
            <w:tcW w:w="6582" w:type="dxa"/>
            <w:shd w:val="clear" w:color="auto" w:fill="FFFFFF"/>
          </w:tcPr>
          <w:p>
            <w:pPr>
              <w:pStyle w:val="TableParagraph"/>
              <w:spacing w:before="141"/>
              <w:rPr>
                <w:sz w:val="20"/>
              </w:rPr>
            </w:pPr>
            <w:r>
              <w:rPr>
                <w:w w:val="120"/>
                <w:sz w:val="20"/>
              </w:rPr>
              <w:t>None at present</w:t>
            </w:r>
          </w:p>
        </w:tc>
      </w:tr>
      <w:tr>
        <w:trPr>
          <w:trHeight w:val="920" w:hRule="atLeast"/>
        </w:trPr>
        <w:tc>
          <w:tcPr>
            <w:tcW w:w="2660" w:type="dxa"/>
            <w:shd w:val="clear" w:color="auto" w:fill="FFFFFF"/>
          </w:tcPr>
          <w:p>
            <w:pPr>
              <w:pStyle w:val="TableParagraph"/>
              <w:spacing w:line="255" w:lineRule="exact" w:before="128"/>
              <w:rPr>
                <w:rFonts w:ascii="Stone Sans II ITC Std Bk"/>
                <w:b/>
                <w:sz w:val="20"/>
              </w:rPr>
            </w:pPr>
            <w:r>
              <w:rPr>
                <w:rFonts w:ascii="Stone Sans II ITC Std Bk"/>
                <w:b/>
                <w:w w:val="110"/>
                <w:sz w:val="20"/>
              </w:rPr>
              <w:t>External</w:t>
            </w:r>
          </w:p>
          <w:p>
            <w:pPr>
              <w:pStyle w:val="TableParagraph"/>
              <w:spacing w:line="255" w:lineRule="exact"/>
              <w:rPr>
                <w:rFonts w:ascii="Stone Sans II ITC Std Bk"/>
                <w:b/>
                <w:sz w:val="20"/>
              </w:rPr>
            </w:pPr>
            <w:r>
              <w:rPr>
                <w:rFonts w:ascii="Stone Sans II ITC Std Bk"/>
                <w:b/>
                <w:w w:val="110"/>
                <w:sz w:val="20"/>
              </w:rPr>
              <w:t>(e.g. ecumenical)</w:t>
            </w:r>
          </w:p>
        </w:tc>
        <w:tc>
          <w:tcPr>
            <w:tcW w:w="6582" w:type="dxa"/>
            <w:shd w:val="clear" w:color="auto" w:fill="FFFFFF"/>
          </w:tcPr>
          <w:p>
            <w:pPr>
              <w:pStyle w:val="TableParagraph"/>
              <w:spacing w:line="235" w:lineRule="auto" w:before="145"/>
              <w:ind w:right="116"/>
              <w:jc w:val="both"/>
              <w:rPr>
                <w:sz w:val="20"/>
              </w:rPr>
            </w:pPr>
            <w:r>
              <w:rPr>
                <w:w w:val="120"/>
                <w:sz w:val="20"/>
              </w:rPr>
              <w:t>Encouragement of other similar dialogues and to the world wide conversations between the Anglican Communion and the World Communion of Reformed Churches.</w:t>
            </w:r>
          </w:p>
        </w:tc>
      </w:tr>
    </w:tbl>
    <w:p>
      <w:pPr>
        <w:pStyle w:val="BodyText"/>
        <w:rPr>
          <w:rFonts w:ascii="Stone Sans II ITC Std Bk"/>
          <w:b/>
          <w:sz w:val="30"/>
        </w:rPr>
      </w:pPr>
    </w:p>
    <w:p>
      <w:pPr>
        <w:pStyle w:val="BodyText"/>
        <w:rPr>
          <w:rFonts w:ascii="Stone Sans II ITC Std Bk"/>
          <w:b/>
          <w:sz w:val="30"/>
        </w:rPr>
      </w:pPr>
    </w:p>
    <w:p>
      <w:pPr>
        <w:pStyle w:val="BodyText"/>
        <w:rPr>
          <w:rFonts w:ascii="Stone Sans II ITC Std Bk"/>
          <w:b/>
          <w:sz w:val="30"/>
        </w:rPr>
      </w:pPr>
    </w:p>
    <w:p>
      <w:pPr>
        <w:pStyle w:val="BodyText"/>
        <w:spacing w:before="5"/>
        <w:rPr>
          <w:rFonts w:ascii="Stone Sans II ITC Std Bk"/>
          <w:b/>
          <w:sz w:val="30"/>
        </w:rPr>
      </w:pPr>
    </w:p>
    <w:p>
      <w:pPr>
        <w:spacing w:line="213" w:lineRule="auto" w:before="0"/>
        <w:ind w:left="607" w:right="2045" w:firstLine="0"/>
        <w:jc w:val="left"/>
        <w:rPr>
          <w:rFonts w:ascii="Stone Sans II ITC Std X Bd"/>
          <w:b/>
          <w:sz w:val="50"/>
        </w:rPr>
      </w:pPr>
      <w:r>
        <w:rPr>
          <w:rFonts w:ascii="Stone Sans II ITC Std X Bd"/>
          <w:b/>
          <w:spacing w:val="-13"/>
          <w:w w:val="110"/>
          <w:sz w:val="50"/>
        </w:rPr>
        <w:t>Unity, </w:t>
      </w:r>
      <w:r>
        <w:rPr>
          <w:rFonts w:ascii="Stone Sans II ITC Std X Bd"/>
          <w:b/>
          <w:spacing w:val="-8"/>
          <w:w w:val="110"/>
          <w:sz w:val="50"/>
        </w:rPr>
        <w:t>Identity </w:t>
      </w:r>
      <w:r>
        <w:rPr>
          <w:rFonts w:ascii="Stone Sans II ITC Std X Bd"/>
          <w:b/>
          <w:spacing w:val="-7"/>
          <w:w w:val="110"/>
          <w:sz w:val="50"/>
        </w:rPr>
        <w:t>and </w:t>
      </w:r>
      <w:r>
        <w:rPr>
          <w:rFonts w:ascii="Stone Sans II ITC Std X Bd"/>
          <w:b/>
          <w:spacing w:val="-10"/>
          <w:w w:val="110"/>
          <w:sz w:val="50"/>
        </w:rPr>
        <w:t>Mission: locating </w:t>
      </w:r>
      <w:r>
        <w:rPr>
          <w:rFonts w:ascii="Stone Sans II ITC Std X Bd"/>
          <w:b/>
          <w:spacing w:val="-8"/>
          <w:w w:val="110"/>
          <w:sz w:val="50"/>
        </w:rPr>
        <w:t>the </w:t>
      </w:r>
      <w:r>
        <w:rPr>
          <w:rFonts w:ascii="Stone Sans II ITC Std X Bd"/>
          <w:b/>
          <w:spacing w:val="-7"/>
          <w:w w:val="110"/>
          <w:sz w:val="50"/>
        </w:rPr>
        <w:t>full </w:t>
      </w:r>
      <w:r>
        <w:rPr>
          <w:rFonts w:ascii="Stone Sans II ITC Std X Bd"/>
          <w:b/>
          <w:spacing w:val="-6"/>
          <w:w w:val="110"/>
          <w:sz w:val="50"/>
        </w:rPr>
        <w:t>report</w:t>
      </w:r>
    </w:p>
    <w:p>
      <w:pPr>
        <w:pStyle w:val="BodyText"/>
        <w:spacing w:line="235" w:lineRule="auto" w:before="382"/>
        <w:ind w:left="607" w:right="2565"/>
      </w:pPr>
      <w:r>
        <w:rPr>
          <w:w w:val="120"/>
        </w:rPr>
        <w:t>This very long </w:t>
      </w:r>
      <w:r>
        <w:rPr>
          <w:spacing w:val="2"/>
          <w:w w:val="120"/>
        </w:rPr>
        <w:t>report </w:t>
      </w:r>
      <w:r>
        <w:rPr>
          <w:w w:val="120"/>
        </w:rPr>
        <w:t>would fill more than 50 pages of the </w:t>
      </w:r>
      <w:r>
        <w:rPr>
          <w:i/>
          <w:w w:val="120"/>
        </w:rPr>
        <w:t>Book of Reports</w:t>
      </w:r>
      <w:r>
        <w:rPr>
          <w:w w:val="120"/>
        </w:rPr>
        <w:t>, with </w:t>
      </w:r>
      <w:r>
        <w:rPr>
          <w:spacing w:val="-7"/>
          <w:w w:val="120"/>
        </w:rPr>
        <w:t>101 </w:t>
      </w:r>
      <w:r>
        <w:rPr>
          <w:w w:val="120"/>
        </w:rPr>
        <w:t>paragraphs of careful exposition, along with a wealth of historical material and resources for study and discussion. It deserves to be bound distinctively, so that it can be used</w:t>
      </w:r>
      <w:r>
        <w:rPr>
          <w:spacing w:val="6"/>
          <w:w w:val="120"/>
        </w:rPr>
        <w:t> </w:t>
      </w:r>
      <w:r>
        <w:rPr>
          <w:w w:val="120"/>
        </w:rPr>
        <w:t>widely.</w:t>
      </w:r>
    </w:p>
    <w:p>
      <w:pPr>
        <w:pStyle w:val="BodyText"/>
        <w:spacing w:before="10"/>
        <w:rPr>
          <w:sz w:val="19"/>
        </w:rPr>
      </w:pPr>
    </w:p>
    <w:p>
      <w:pPr>
        <w:pStyle w:val="BodyText"/>
        <w:spacing w:line="235" w:lineRule="auto" w:before="1"/>
        <w:ind w:left="607" w:right="2709"/>
      </w:pPr>
      <w:r>
        <w:rPr>
          <w:w w:val="120"/>
        </w:rPr>
        <w:t>Below are the final seven paragraphs, which summarise the recommendations of the report.</w:t>
      </w:r>
    </w:p>
    <w:p>
      <w:pPr>
        <w:pStyle w:val="BodyText"/>
        <w:spacing w:before="9"/>
        <w:rPr>
          <w:sz w:val="19"/>
        </w:rPr>
      </w:pPr>
    </w:p>
    <w:p>
      <w:pPr>
        <w:pStyle w:val="BodyText"/>
        <w:spacing w:line="235" w:lineRule="auto"/>
        <w:ind w:left="607" w:right="2045"/>
      </w:pPr>
      <w:r>
        <w:rPr>
          <w:w w:val="120"/>
        </w:rPr>
        <w:t>Assembly members may access the full report in one of two ways, either as an online copy via the Assembly section of the URC website, or by writing in for a hard copy.</w:t>
      </w:r>
    </w:p>
    <w:p>
      <w:pPr>
        <w:pStyle w:val="BodyText"/>
        <w:spacing w:before="6"/>
        <w:rPr>
          <w:sz w:val="19"/>
        </w:rPr>
      </w:pPr>
    </w:p>
    <w:p>
      <w:pPr>
        <w:pStyle w:val="BodyText"/>
        <w:spacing w:line="242" w:lineRule="exact"/>
        <w:ind w:left="607"/>
      </w:pPr>
      <w:r>
        <w:rPr>
          <w:w w:val="120"/>
        </w:rPr>
        <w:t>Members who write for a hard copy, should do so by 8 June to:</w:t>
      </w:r>
    </w:p>
    <w:p>
      <w:pPr>
        <w:pStyle w:val="BodyText"/>
        <w:spacing w:line="240" w:lineRule="exact"/>
        <w:ind w:left="607"/>
      </w:pPr>
      <w:r>
        <w:rPr>
          <w:w w:val="120"/>
        </w:rPr>
        <w:t>Mr Greg Baldock, United Reformed Church, 86 Tavistock Place, London. WC1H 9RT</w:t>
      </w:r>
    </w:p>
    <w:p>
      <w:pPr>
        <w:pStyle w:val="BodyText"/>
        <w:spacing w:line="235" w:lineRule="auto" w:before="2"/>
        <w:ind w:left="607" w:right="2045"/>
      </w:pPr>
      <w:r>
        <w:rPr>
          <w:w w:val="120"/>
        </w:rPr>
        <w:t>or by email to: </w:t>
      </w:r>
      <w:hyperlink r:id="rId368">
        <w:r>
          <w:rPr>
            <w:color w:val="006AB3"/>
            <w:w w:val="120"/>
          </w:rPr>
          <w:t>print@urc.org.uk</w:t>
        </w:r>
      </w:hyperlink>
      <w:r>
        <w:rPr>
          <w:w w:val="120"/>
        </w:rPr>
        <w:t>, with the words ‘Unity, Identity and Mission full report’ in the subject field.</w:t>
      </w:r>
    </w:p>
    <w:p>
      <w:pPr>
        <w:spacing w:line="256" w:lineRule="exact" w:before="0"/>
        <w:ind w:left="607" w:right="0" w:firstLine="0"/>
        <w:jc w:val="left"/>
        <w:rPr>
          <w:sz w:val="20"/>
        </w:rPr>
      </w:pPr>
      <w:r>
        <w:rPr>
          <w:w w:val="120"/>
          <w:sz w:val="20"/>
        </w:rPr>
        <w:t>Please include </w:t>
      </w:r>
      <w:r>
        <w:rPr>
          <w:rFonts w:ascii="Stone Sans II ITC Std Bk"/>
          <w:b/>
          <w:w w:val="120"/>
          <w:sz w:val="20"/>
        </w:rPr>
        <w:t>your full postal address </w:t>
      </w:r>
      <w:r>
        <w:rPr>
          <w:w w:val="120"/>
          <w:sz w:val="20"/>
        </w:rPr>
        <w:t>with your request; there will be no charge.</w:t>
      </w:r>
    </w:p>
    <w:p>
      <w:pPr>
        <w:pStyle w:val="BodyText"/>
        <w:spacing w:before="6"/>
        <w:rPr>
          <w:sz w:val="18"/>
        </w:rPr>
      </w:pPr>
    </w:p>
    <w:p>
      <w:pPr>
        <w:pStyle w:val="BodyText"/>
        <w:spacing w:line="235" w:lineRule="auto"/>
        <w:ind w:left="607" w:right="2045"/>
      </w:pPr>
      <w:r>
        <w:rPr>
          <w:w w:val="120"/>
        </w:rPr>
        <w:t>After Assembly it will be possible to purchase copies, which local churches or local Churches Together groups may wish to use for reflection and discussion.</w:t>
      </w:r>
    </w:p>
    <w:p>
      <w:pPr>
        <w:spacing w:after="0" w:line="235" w:lineRule="auto"/>
        <w:sectPr>
          <w:headerReference w:type="even" r:id="rId367"/>
          <w:pgSz w:w="11910" w:h="16840"/>
          <w:pgMar w:header="0" w:footer="647" w:top="1120" w:bottom="840" w:left="640" w:right="0"/>
        </w:sectPr>
      </w:pPr>
    </w:p>
    <w:p>
      <w:pPr>
        <w:pStyle w:val="BodyText"/>
      </w:pPr>
      <w:r>
        <w:rPr/>
        <w:pict>
          <v:shape style="position:absolute;margin-left:0pt;margin-top:.000315pt;width:.1pt;height:270.75pt;mso-position-horizontal-relative:page;mso-position-vertical-relative:page;z-index:252002304" coordorigin="0,0" coordsize="0,5415" path="m0,0l0,5414m0,0l0,5414e" filled="false" stroked="true" strokeweight="0pt" strokecolor="#d4e9f7">
            <v:path arrowok="t"/>
            <v:stroke dashstyle="solid"/>
            <w10:wrap type="none"/>
          </v:shape>
        </w:pict>
      </w:r>
      <w:r>
        <w:rPr/>
        <w:drawing>
          <wp:anchor distT="0" distB="0" distL="0" distR="0" allowOverlap="1" layoutInCell="1" locked="0" behindDoc="0" simplePos="0" relativeHeight="252003328">
            <wp:simplePos x="0" y="0"/>
            <wp:positionH relativeFrom="page">
              <wp:posOffset>6974928</wp:posOffset>
            </wp:positionH>
            <wp:positionV relativeFrom="page">
              <wp:posOffset>0</wp:posOffset>
            </wp:positionV>
            <wp:extent cx="585063" cy="10692003"/>
            <wp:effectExtent l="0" t="0" r="0" b="0"/>
            <wp:wrapNone/>
            <wp:docPr id="247" name="image54.png"/>
            <wp:cNvGraphicFramePr>
              <a:graphicFrameLocks noChangeAspect="1"/>
            </wp:cNvGraphicFramePr>
            <a:graphic>
              <a:graphicData uri="http://schemas.openxmlformats.org/drawingml/2006/picture">
                <pic:pic>
                  <pic:nvPicPr>
                    <pic:cNvPr id="248" name="image54.png"/>
                    <pic:cNvPicPr/>
                  </pic:nvPicPr>
                  <pic:blipFill>
                    <a:blip r:embed="rId169" cstate="print"/>
                    <a:stretch>
                      <a:fillRect/>
                    </a:stretch>
                  </pic:blipFill>
                  <pic:spPr>
                    <a:xfrm>
                      <a:off x="0" y="0"/>
                      <a:ext cx="585063" cy="10692003"/>
                    </a:xfrm>
                    <a:prstGeom prst="rect">
                      <a:avLst/>
                    </a:prstGeom>
                  </pic:spPr>
                </pic:pic>
              </a:graphicData>
            </a:graphic>
          </wp:anchor>
        </w:drawing>
      </w:r>
    </w:p>
    <w:p>
      <w:pPr>
        <w:pStyle w:val="BodyText"/>
      </w:pPr>
    </w:p>
    <w:p>
      <w:pPr>
        <w:pStyle w:val="BodyText"/>
      </w:pPr>
    </w:p>
    <w:p>
      <w:pPr>
        <w:pStyle w:val="BodyText"/>
        <w:spacing w:before="5"/>
        <w:rPr>
          <w:sz w:val="28"/>
        </w:rPr>
      </w:pPr>
    </w:p>
    <w:p>
      <w:pPr>
        <w:spacing w:line="633" w:lineRule="exact" w:before="97"/>
        <w:ind w:left="1344" w:right="0" w:firstLine="0"/>
        <w:jc w:val="left"/>
        <w:rPr>
          <w:rFonts w:ascii="Stone Sans II ITC Std X Bd"/>
          <w:b/>
          <w:sz w:val="50"/>
        </w:rPr>
      </w:pPr>
      <w:r>
        <w:rPr/>
        <w:pict>
          <v:shape style="position:absolute;margin-left:554.141174pt;margin-top:-5.998084pt;width:25.9pt;height:453.7pt;mso-position-horizontal-relative:page;mso-position-vertical-relative:paragraph;z-index:252004352" type="#_x0000_t202" filled="false" stroked="false">
            <v:textbox inset="0,0,0,0" style="layout-flow:vertical">
              <w:txbxContent>
                <w:p>
                  <w:pPr>
                    <w:spacing w:before="27"/>
                    <w:ind w:left="20" w:right="0" w:firstLine="0"/>
                    <w:jc w:val="left"/>
                    <w:rPr>
                      <w:sz w:val="39"/>
                    </w:rPr>
                  </w:pPr>
                  <w:r>
                    <w:rPr>
                      <w:color w:val="FFFFFF"/>
                      <w:spacing w:val="6"/>
                      <w:w w:val="120"/>
                      <w:sz w:val="39"/>
                    </w:rPr>
                    <w:t>Faith </w:t>
                  </w:r>
                  <w:r>
                    <w:rPr>
                      <w:color w:val="FFFFFF"/>
                      <w:spacing w:val="7"/>
                      <w:w w:val="120"/>
                      <w:sz w:val="39"/>
                    </w:rPr>
                    <w:t>and order </w:t>
                  </w:r>
                  <w:r>
                    <w:rPr>
                      <w:color w:val="FFFFFF"/>
                      <w:w w:val="120"/>
                      <w:sz w:val="39"/>
                    </w:rPr>
                    <w:t>– </w:t>
                  </w:r>
                  <w:r>
                    <w:rPr>
                      <w:spacing w:val="5"/>
                      <w:w w:val="120"/>
                      <w:sz w:val="39"/>
                    </w:rPr>
                    <w:t>Unity, </w:t>
                  </w:r>
                  <w:r>
                    <w:rPr>
                      <w:spacing w:val="9"/>
                      <w:w w:val="120"/>
                      <w:sz w:val="39"/>
                    </w:rPr>
                    <w:t>Identity </w:t>
                  </w:r>
                  <w:r>
                    <w:rPr>
                      <w:spacing w:val="7"/>
                      <w:w w:val="120"/>
                      <w:sz w:val="39"/>
                    </w:rPr>
                    <w:t>and</w:t>
                  </w:r>
                  <w:r>
                    <w:rPr>
                      <w:spacing w:val="104"/>
                      <w:w w:val="120"/>
                      <w:sz w:val="39"/>
                    </w:rPr>
                    <w:t> </w:t>
                  </w:r>
                  <w:r>
                    <w:rPr>
                      <w:spacing w:val="11"/>
                      <w:w w:val="120"/>
                      <w:sz w:val="39"/>
                    </w:rPr>
                    <w:t>Mission</w:t>
                  </w:r>
                </w:p>
              </w:txbxContent>
            </v:textbox>
            <w10:wrap type="none"/>
          </v:shape>
        </w:pict>
      </w:r>
      <w:r>
        <w:rPr>
          <w:rFonts w:ascii="Stone Sans II ITC Std X Bd"/>
          <w:b/>
          <w:w w:val="110"/>
          <w:sz w:val="50"/>
        </w:rPr>
        <w:t>Unity, Identity and Mission:</w:t>
      </w:r>
    </w:p>
    <w:p>
      <w:pPr>
        <w:spacing w:line="196" w:lineRule="auto" w:before="10"/>
        <w:ind w:left="1344" w:right="1335" w:firstLine="0"/>
        <w:jc w:val="left"/>
        <w:rPr>
          <w:rFonts w:ascii="Stone Sans II ITC Std Bk"/>
          <w:b/>
          <w:sz w:val="29"/>
        </w:rPr>
      </w:pPr>
      <w:r>
        <w:rPr>
          <w:rFonts w:ascii="Stone Sans II ITC Std Bk"/>
          <w:b/>
          <w:w w:val="110"/>
          <w:sz w:val="29"/>
        </w:rPr>
        <w:t>Report on </w:t>
      </w:r>
      <w:r>
        <w:rPr>
          <w:rFonts w:ascii="Stone Sans II ITC Std Bk"/>
          <w:b/>
          <w:spacing w:val="-3"/>
          <w:w w:val="110"/>
          <w:sz w:val="29"/>
        </w:rPr>
        <w:t>conversations </w:t>
      </w:r>
      <w:r>
        <w:rPr>
          <w:rFonts w:ascii="Stone Sans II ITC Std Bk"/>
          <w:b/>
          <w:w w:val="110"/>
          <w:sz w:val="29"/>
        </w:rPr>
        <w:t>between the </w:t>
      </w:r>
      <w:r>
        <w:rPr>
          <w:rFonts w:ascii="Stone Sans II ITC Std Bk"/>
          <w:b/>
          <w:spacing w:val="-3"/>
          <w:w w:val="110"/>
          <w:sz w:val="29"/>
        </w:rPr>
        <w:t>Church </w:t>
      </w:r>
      <w:r>
        <w:rPr>
          <w:rFonts w:ascii="Stone Sans II ITC Std Bk"/>
          <w:b/>
          <w:w w:val="110"/>
          <w:sz w:val="29"/>
        </w:rPr>
        <w:t>of England and the </w:t>
      </w:r>
      <w:r>
        <w:rPr>
          <w:rFonts w:ascii="Stone Sans II ITC Std Bk"/>
          <w:b/>
          <w:spacing w:val="-3"/>
          <w:w w:val="110"/>
          <w:sz w:val="29"/>
        </w:rPr>
        <w:t>United </w:t>
      </w:r>
      <w:r>
        <w:rPr>
          <w:rFonts w:ascii="Stone Sans II ITC Std Bk"/>
          <w:b/>
          <w:w w:val="110"/>
          <w:sz w:val="29"/>
        </w:rPr>
        <w:t>Reformed </w:t>
      </w:r>
      <w:r>
        <w:rPr>
          <w:rFonts w:ascii="Stone Sans II ITC Std Bk"/>
          <w:b/>
          <w:spacing w:val="-3"/>
          <w:w w:val="110"/>
          <w:sz w:val="29"/>
        </w:rPr>
        <w:t>Church </w:t>
      </w:r>
      <w:r>
        <w:rPr>
          <w:rFonts w:ascii="Stone Sans II ITC Std Bk"/>
          <w:b/>
          <w:spacing w:val="-12"/>
          <w:w w:val="110"/>
          <w:sz w:val="29"/>
        </w:rPr>
        <w:t>2013 </w:t>
      </w:r>
      <w:r>
        <w:rPr>
          <w:rFonts w:ascii="Stone Sans II ITC Std Bk"/>
          <w:b/>
          <w:spacing w:val="-4"/>
          <w:w w:val="110"/>
          <w:sz w:val="29"/>
        </w:rPr>
        <w:t>to</w:t>
      </w:r>
      <w:r>
        <w:rPr>
          <w:rFonts w:ascii="Stone Sans II ITC Std Bk"/>
          <w:b/>
          <w:spacing w:val="24"/>
          <w:w w:val="110"/>
          <w:sz w:val="29"/>
        </w:rPr>
        <w:t> </w:t>
      </w:r>
      <w:r>
        <w:rPr>
          <w:rFonts w:ascii="Stone Sans II ITC Std Bk"/>
          <w:b/>
          <w:spacing w:val="-11"/>
          <w:w w:val="110"/>
          <w:sz w:val="29"/>
        </w:rPr>
        <w:t>2016</w:t>
      </w:r>
    </w:p>
    <w:p>
      <w:pPr>
        <w:pStyle w:val="BodyText"/>
        <w:spacing w:before="13"/>
        <w:rPr>
          <w:rFonts w:ascii="Stone Sans II ITC Std Bk"/>
          <w:b/>
          <w:sz w:val="43"/>
        </w:rPr>
      </w:pPr>
    </w:p>
    <w:p>
      <w:pPr>
        <w:spacing w:before="0"/>
        <w:ind w:left="1344" w:right="0" w:firstLine="0"/>
        <w:jc w:val="left"/>
        <w:rPr>
          <w:rFonts w:ascii="Stone Sans II ITC Std Bk"/>
          <w:b/>
          <w:sz w:val="29"/>
        </w:rPr>
      </w:pPr>
      <w:r>
        <w:rPr>
          <w:rFonts w:ascii="Stone Sans II ITC Std Bk"/>
          <w:b/>
          <w:w w:val="110"/>
          <w:sz w:val="29"/>
        </w:rPr>
        <w:t>Summary of recommendations</w:t>
      </w:r>
    </w:p>
    <w:p>
      <w:pPr>
        <w:pStyle w:val="ListParagraph"/>
        <w:numPr>
          <w:ilvl w:val="0"/>
          <w:numId w:val="159"/>
        </w:numPr>
        <w:tabs>
          <w:tab w:pos="2024" w:val="left" w:leader="none"/>
          <w:tab w:pos="2025" w:val="left" w:leader="none"/>
        </w:tabs>
        <w:spacing w:line="235" w:lineRule="auto" w:before="69" w:after="0"/>
        <w:ind w:left="1344" w:right="1553" w:firstLine="0"/>
        <w:jc w:val="left"/>
        <w:rPr>
          <w:sz w:val="20"/>
        </w:rPr>
      </w:pPr>
      <w:r>
        <w:rPr>
          <w:w w:val="120"/>
          <w:sz w:val="20"/>
        </w:rPr>
        <w:t>Four main recommendations have emerged from the preceding chapters: one about structures for ecumenical partnership, two about ministry and oversight, and one about worship. From these, a </w:t>
      </w:r>
      <w:r>
        <w:rPr>
          <w:spacing w:val="2"/>
          <w:w w:val="120"/>
          <w:sz w:val="20"/>
        </w:rPr>
        <w:t>fifth </w:t>
      </w:r>
      <w:r>
        <w:rPr>
          <w:w w:val="120"/>
          <w:sz w:val="20"/>
        </w:rPr>
        <w:t>and final recommendation is made regarding how these might best be</w:t>
      </w:r>
      <w:r>
        <w:rPr>
          <w:spacing w:val="11"/>
          <w:w w:val="120"/>
          <w:sz w:val="20"/>
        </w:rPr>
        <w:t> </w:t>
      </w:r>
      <w:r>
        <w:rPr>
          <w:w w:val="120"/>
          <w:sz w:val="20"/>
        </w:rPr>
        <w:t>addressed.</w:t>
      </w:r>
    </w:p>
    <w:p>
      <w:pPr>
        <w:pStyle w:val="BodyText"/>
        <w:spacing w:before="7"/>
        <w:rPr>
          <w:sz w:val="19"/>
        </w:rPr>
      </w:pPr>
    </w:p>
    <w:p>
      <w:pPr>
        <w:pStyle w:val="ListParagraph"/>
        <w:numPr>
          <w:ilvl w:val="0"/>
          <w:numId w:val="159"/>
        </w:numPr>
        <w:tabs>
          <w:tab w:pos="2024" w:val="left" w:leader="none"/>
          <w:tab w:pos="2025" w:val="left" w:leader="none"/>
        </w:tabs>
        <w:spacing w:line="236" w:lineRule="exact" w:before="0" w:after="0"/>
        <w:ind w:left="2024" w:right="0" w:hanging="681"/>
        <w:jc w:val="left"/>
        <w:rPr>
          <w:sz w:val="20"/>
        </w:rPr>
      </w:pPr>
      <w:r>
        <w:rPr>
          <w:w w:val="120"/>
          <w:sz w:val="20"/>
        </w:rPr>
        <w:t>With regard to structures for ecumenical partnership, we recommended</w:t>
      </w:r>
      <w:r>
        <w:rPr>
          <w:spacing w:val="21"/>
          <w:w w:val="120"/>
          <w:sz w:val="20"/>
        </w:rPr>
        <w:t> </w:t>
      </w:r>
      <w:r>
        <w:rPr>
          <w:w w:val="120"/>
          <w:sz w:val="20"/>
        </w:rPr>
        <w:t>that</w:t>
      </w:r>
    </w:p>
    <w:p>
      <w:pPr>
        <w:pStyle w:val="Heading7"/>
        <w:spacing w:line="213" w:lineRule="auto" w:before="14"/>
        <w:ind w:left="1344" w:right="1661"/>
      </w:pPr>
      <w:r>
        <w:rPr>
          <w:w w:val="110"/>
        </w:rPr>
        <w:t>(1) urgent attention should be given by our churches in consultation with Churches Together in England to the question of identifying and enabling structures that can sustain shared commitment to mission, including sharing of physical resources, ministry resources, financial resources and strategic</w:t>
      </w:r>
    </w:p>
    <w:p>
      <w:pPr>
        <w:spacing w:line="237" w:lineRule="exact" w:before="0"/>
        <w:ind w:left="1344" w:right="0" w:firstLine="0"/>
        <w:jc w:val="left"/>
        <w:rPr>
          <w:sz w:val="20"/>
        </w:rPr>
      </w:pPr>
      <w:r>
        <w:rPr>
          <w:rFonts w:ascii="Stone Sans II ITC Std Bk"/>
          <w:b/>
          <w:w w:val="115"/>
          <w:sz w:val="20"/>
        </w:rPr>
        <w:t>planning, at local, regional and national levels. </w:t>
      </w:r>
      <w:r>
        <w:rPr>
          <w:w w:val="115"/>
          <w:sz w:val="20"/>
        </w:rPr>
        <w:t>There are significant opportunities</w:t>
      </w:r>
    </w:p>
    <w:p>
      <w:pPr>
        <w:pStyle w:val="BodyText"/>
        <w:spacing w:line="235" w:lineRule="auto"/>
        <w:ind w:left="1344" w:right="1478"/>
      </w:pPr>
      <w:r>
        <w:rPr>
          <w:w w:val="120"/>
        </w:rPr>
        <w:t>here in the Simplification work stream of the Church of England’s Programme for Reform and Renewal, as well as in the review being undertaken by Churches Together in England of Local Ecumenical Partnerships (LEPs). While there is undoubtedly significant scope for development with LEPs, some form of LEP will not always be the right model for churches wanting to share together in common mission, so thinking also needs to extend beyond this.</w:t>
      </w:r>
    </w:p>
    <w:p>
      <w:pPr>
        <w:pStyle w:val="BodyText"/>
        <w:spacing w:before="8"/>
        <w:rPr>
          <w:sz w:val="19"/>
        </w:rPr>
      </w:pPr>
    </w:p>
    <w:p>
      <w:pPr>
        <w:pStyle w:val="ListParagraph"/>
        <w:numPr>
          <w:ilvl w:val="0"/>
          <w:numId w:val="159"/>
        </w:numPr>
        <w:tabs>
          <w:tab w:pos="2024" w:val="left" w:leader="none"/>
          <w:tab w:pos="2025" w:val="left" w:leader="none"/>
        </w:tabs>
        <w:spacing w:line="235" w:lineRule="auto" w:before="0" w:after="0"/>
        <w:ind w:left="1344" w:right="1345" w:firstLine="0"/>
        <w:jc w:val="left"/>
        <w:rPr>
          <w:sz w:val="20"/>
        </w:rPr>
      </w:pPr>
      <w:r>
        <w:rPr>
          <w:w w:val="120"/>
          <w:sz w:val="20"/>
        </w:rPr>
        <w:t>Moreover, the Cumbria model described in chapter 2 shows how a real commitment to unity at regional level can release opportunities and energy for sharing in mission at local level. The conversation about local unity, therefore, has to attend to regional and national dimensions, particularly where the churches involved – like the Church of England and the United Reformed Church – also have regional and national structures. The right shared structures at regional and national levels should have the effect of lifting from local churches the burden of needing constantly to reinvent the ecumenical wheel. It may be that expertise in organisational development needs</w:t>
      </w:r>
      <w:r>
        <w:rPr>
          <w:spacing w:val="37"/>
          <w:w w:val="120"/>
          <w:sz w:val="20"/>
        </w:rPr>
        <w:t> </w:t>
      </w:r>
      <w:r>
        <w:rPr>
          <w:w w:val="120"/>
          <w:sz w:val="20"/>
        </w:rPr>
        <w:t>to</w:t>
      </w:r>
    </w:p>
    <w:p>
      <w:pPr>
        <w:pStyle w:val="BodyText"/>
        <w:spacing w:line="235" w:lineRule="auto" w:before="6"/>
        <w:ind w:left="1344" w:right="1478"/>
      </w:pPr>
      <w:r>
        <w:rPr>
          <w:w w:val="120"/>
        </w:rPr>
        <w:t>be brought into fresh dialogue here with the accumulated experience of those deeply involved in ecumenism for many years.</w:t>
      </w:r>
    </w:p>
    <w:p>
      <w:pPr>
        <w:pStyle w:val="BodyText"/>
        <w:spacing w:before="3"/>
      </w:pPr>
    </w:p>
    <w:p>
      <w:pPr>
        <w:pStyle w:val="Heading7"/>
        <w:numPr>
          <w:ilvl w:val="0"/>
          <w:numId w:val="159"/>
        </w:numPr>
        <w:tabs>
          <w:tab w:pos="2024" w:val="left" w:leader="none"/>
          <w:tab w:pos="2025" w:val="left" w:leader="none"/>
        </w:tabs>
        <w:spacing w:line="213" w:lineRule="auto" w:before="0" w:after="0"/>
        <w:ind w:left="1344" w:right="1484" w:firstLine="0"/>
        <w:jc w:val="left"/>
        <w:rPr>
          <w:rFonts w:ascii="Calibri"/>
          <w:b w:val="0"/>
        </w:rPr>
      </w:pPr>
      <w:r>
        <w:rPr>
          <w:rFonts w:ascii="Calibri"/>
          <w:b w:val="0"/>
          <w:w w:val="110"/>
        </w:rPr>
        <w:t>With regard to ministry and oversight, we recommended, first, that  </w:t>
      </w:r>
      <w:r>
        <w:rPr>
          <w:spacing w:val="-7"/>
          <w:w w:val="110"/>
        </w:rPr>
        <w:t>(2)  </w:t>
      </w:r>
      <w:r>
        <w:rPr>
          <w:w w:val="110"/>
        </w:rPr>
        <w:t>in  the light of what occurs between the Church of England and the Methodist Church with regard to interchangeability of ordained ministries within the Covenant relationship, a review should be undertaken regarding understanding of the nature of ordained ministry and potential for progress towards reconciliation and interchangeability of ministries between the Church of England and the United Reformed Church, if appropriate involving other churches also.</w:t>
      </w:r>
      <w:r>
        <w:rPr>
          <w:spacing w:val="33"/>
          <w:w w:val="110"/>
        </w:rPr>
        <w:t> </w:t>
      </w:r>
      <w:r>
        <w:rPr>
          <w:rFonts w:ascii="Calibri"/>
          <w:b w:val="0"/>
          <w:w w:val="110"/>
        </w:rPr>
        <w:t>There</w:t>
      </w:r>
    </w:p>
    <w:p>
      <w:pPr>
        <w:pStyle w:val="BodyText"/>
        <w:spacing w:line="235" w:lineRule="auto"/>
        <w:ind w:left="1344" w:right="1765"/>
      </w:pPr>
      <w:r>
        <w:rPr>
          <w:w w:val="120"/>
        </w:rPr>
        <w:t>is no naïve assumption here that proposals developed for the specific relationship between the Methodist Church and the Church of England can simply be adapted    to include the United Reformed Church. The point is rather that such proposals are likely to hinge on </w:t>
      </w:r>
      <w:r>
        <w:rPr>
          <w:spacing w:val="-11"/>
          <w:w w:val="120"/>
        </w:rPr>
        <w:t>(a)  </w:t>
      </w:r>
      <w:r>
        <w:rPr>
          <w:w w:val="120"/>
        </w:rPr>
        <w:t>a ‘reimagining’ and ‘re-receiving’ of the historic episcopate to  fit the history and culture of a church shaped – in </w:t>
      </w:r>
      <w:r>
        <w:rPr>
          <w:spacing w:val="2"/>
          <w:w w:val="120"/>
        </w:rPr>
        <w:t>part </w:t>
      </w:r>
      <w:r>
        <w:rPr>
          <w:w w:val="120"/>
        </w:rPr>
        <w:t>– by the nonconformist traditions of English Christianity, and </w:t>
      </w:r>
      <w:r>
        <w:rPr>
          <w:spacing w:val="-7"/>
          <w:w w:val="120"/>
        </w:rPr>
        <w:t>(b) </w:t>
      </w:r>
      <w:r>
        <w:rPr>
          <w:w w:val="120"/>
        </w:rPr>
        <w:t>a commitment by the Church of England to authorising licensed ministry – for a limited period of time – from those</w:t>
      </w:r>
      <w:r>
        <w:rPr>
          <w:spacing w:val="49"/>
          <w:w w:val="120"/>
        </w:rPr>
        <w:t> </w:t>
      </w:r>
      <w:r>
        <w:rPr>
          <w:w w:val="120"/>
        </w:rPr>
        <w:t>previously</w:t>
      </w:r>
    </w:p>
    <w:p>
      <w:pPr>
        <w:pStyle w:val="BodyText"/>
        <w:spacing w:line="235" w:lineRule="auto"/>
        <w:ind w:left="1344" w:right="1245"/>
        <w:jc w:val="both"/>
      </w:pPr>
      <w:r>
        <w:rPr>
          <w:w w:val="120"/>
        </w:rPr>
        <w:t>ordained outside the historic episcopate. Both of these would constitute very significant developments that could allow long-standing and divisive issues, associated with events in 1660-62 that scarred relationships profoundly, to be approached in</w:t>
      </w:r>
    </w:p>
    <w:p>
      <w:pPr>
        <w:pStyle w:val="BodyText"/>
        <w:spacing w:line="243" w:lineRule="exact"/>
        <w:ind w:left="1344"/>
        <w:jc w:val="both"/>
      </w:pPr>
      <w:r>
        <w:rPr>
          <w:w w:val="120"/>
        </w:rPr>
        <w:t>fresh perspective.</w:t>
      </w:r>
    </w:p>
    <w:p>
      <w:pPr>
        <w:spacing w:after="0" w:line="243" w:lineRule="exact"/>
        <w:jc w:val="both"/>
        <w:sectPr>
          <w:headerReference w:type="default" r:id="rId369"/>
          <w:footerReference w:type="default" r:id="rId370"/>
          <w:footerReference w:type="even" r:id="rId371"/>
          <w:pgSz w:w="11910" w:h="16840"/>
          <w:pgMar w:header="0" w:footer="647" w:top="0" w:bottom="840" w:left="640" w:right="0"/>
          <w:pgNumType w:start="133"/>
        </w:sectPr>
      </w:pPr>
    </w:p>
    <w:p>
      <w:pPr>
        <w:pStyle w:val="BodyText"/>
      </w:pPr>
      <w:r>
        <w:rPr/>
        <w:drawing>
          <wp:anchor distT="0" distB="0" distL="0" distR="0" allowOverlap="1" layoutInCell="1" locked="0" behindDoc="1" simplePos="0" relativeHeight="235551744">
            <wp:simplePos x="0" y="0"/>
            <wp:positionH relativeFrom="page">
              <wp:posOffset>0</wp:posOffset>
            </wp:positionH>
            <wp:positionV relativeFrom="page">
              <wp:posOffset>0</wp:posOffset>
            </wp:positionV>
            <wp:extent cx="594067" cy="10692003"/>
            <wp:effectExtent l="0" t="0" r="0" b="0"/>
            <wp:wrapNone/>
            <wp:docPr id="249" name="image67.png"/>
            <wp:cNvGraphicFramePr>
              <a:graphicFrameLocks noChangeAspect="1"/>
            </wp:cNvGraphicFramePr>
            <a:graphic>
              <a:graphicData uri="http://schemas.openxmlformats.org/drawingml/2006/picture">
                <pic:pic>
                  <pic:nvPicPr>
                    <pic:cNvPr id="250" name="image67.png"/>
                    <pic:cNvPicPr/>
                  </pic:nvPicPr>
                  <pic:blipFill>
                    <a:blip r:embed="rId184" cstate="print"/>
                    <a:stretch>
                      <a:fillRect/>
                    </a:stretch>
                  </pic:blipFill>
                  <pic:spPr>
                    <a:xfrm>
                      <a:off x="0" y="0"/>
                      <a:ext cx="594067" cy="10692003"/>
                    </a:xfrm>
                    <a:prstGeom prst="rect">
                      <a:avLst/>
                    </a:prstGeom>
                  </pic:spPr>
                </pic:pic>
              </a:graphicData>
            </a:graphic>
          </wp:anchor>
        </w:drawing>
      </w:r>
      <w:r>
        <w:rPr/>
        <w:pict>
          <v:shape style="position:absolute;margin-left:20.519100pt;margin-top:48.890015pt;width:25.9pt;height:453.7pt;mso-position-horizontal-relative:page;mso-position-vertical-relative:page;z-index:-267763712" type="#_x0000_t202" filled="false" stroked="false">
            <v:textbox inset="0,0,0,0" style="layout-flow:vertical">
              <w:txbxContent>
                <w:p>
                  <w:pPr>
                    <w:spacing w:before="27"/>
                    <w:ind w:left="20" w:right="0" w:firstLine="0"/>
                    <w:jc w:val="left"/>
                    <w:rPr>
                      <w:sz w:val="39"/>
                    </w:rPr>
                  </w:pPr>
                  <w:r>
                    <w:rPr>
                      <w:color w:val="FFFFFF"/>
                      <w:spacing w:val="6"/>
                      <w:w w:val="120"/>
                      <w:sz w:val="39"/>
                    </w:rPr>
                    <w:t>Faith </w:t>
                  </w:r>
                  <w:r>
                    <w:rPr>
                      <w:color w:val="FFFFFF"/>
                      <w:spacing w:val="7"/>
                      <w:w w:val="120"/>
                      <w:sz w:val="39"/>
                    </w:rPr>
                    <w:t>and order </w:t>
                  </w:r>
                  <w:r>
                    <w:rPr>
                      <w:color w:val="FFFFFF"/>
                      <w:w w:val="120"/>
                      <w:sz w:val="39"/>
                    </w:rPr>
                    <w:t>– </w:t>
                  </w:r>
                  <w:r>
                    <w:rPr>
                      <w:spacing w:val="5"/>
                      <w:w w:val="120"/>
                      <w:sz w:val="39"/>
                    </w:rPr>
                    <w:t>Unity, </w:t>
                  </w:r>
                  <w:r>
                    <w:rPr>
                      <w:spacing w:val="9"/>
                      <w:w w:val="120"/>
                      <w:sz w:val="39"/>
                    </w:rPr>
                    <w:t>Identity </w:t>
                  </w:r>
                  <w:r>
                    <w:rPr>
                      <w:spacing w:val="7"/>
                      <w:w w:val="120"/>
                      <w:sz w:val="39"/>
                    </w:rPr>
                    <w:t>and</w:t>
                  </w:r>
                  <w:r>
                    <w:rPr>
                      <w:spacing w:val="104"/>
                      <w:w w:val="120"/>
                      <w:sz w:val="39"/>
                    </w:rPr>
                    <w:t> </w:t>
                  </w:r>
                  <w:r>
                    <w:rPr>
                      <w:spacing w:val="11"/>
                      <w:w w:val="120"/>
                      <w:sz w:val="39"/>
                    </w:rPr>
                    <w:t>Mission</w:t>
                  </w:r>
                </w:p>
              </w:txbxContent>
            </v:textbox>
            <w10:wrap type="none"/>
          </v:shape>
        </w:pict>
      </w:r>
    </w:p>
    <w:p>
      <w:pPr>
        <w:pStyle w:val="BodyText"/>
        <w:spacing w:before="7"/>
        <w:rPr>
          <w:sz w:val="21"/>
        </w:rPr>
      </w:pPr>
    </w:p>
    <w:p>
      <w:pPr>
        <w:spacing w:before="106"/>
        <w:ind w:left="607" w:right="0" w:firstLine="0"/>
        <w:jc w:val="left"/>
        <w:rPr>
          <w:sz w:val="26"/>
        </w:rPr>
      </w:pPr>
      <w:r>
        <w:rPr>
          <w:color w:val="7EAABF"/>
          <w:w w:val="115"/>
          <w:sz w:val="26"/>
        </w:rPr>
        <w:t>Faith and order</w:t>
      </w:r>
    </w:p>
    <w:p>
      <w:pPr>
        <w:pStyle w:val="ListParagraph"/>
        <w:numPr>
          <w:ilvl w:val="0"/>
          <w:numId w:val="159"/>
        </w:numPr>
        <w:tabs>
          <w:tab w:pos="1287" w:val="left" w:leader="none"/>
          <w:tab w:pos="1288" w:val="left" w:leader="none"/>
        </w:tabs>
        <w:spacing w:line="236" w:lineRule="exact" w:before="218" w:after="0"/>
        <w:ind w:left="1287" w:right="0" w:hanging="681"/>
        <w:jc w:val="left"/>
        <w:rPr>
          <w:sz w:val="20"/>
        </w:rPr>
      </w:pPr>
      <w:r>
        <w:rPr>
          <w:w w:val="120"/>
          <w:sz w:val="20"/>
        </w:rPr>
        <w:t>The second recommendation around ministry and oversight was</w:t>
      </w:r>
      <w:r>
        <w:rPr>
          <w:spacing w:val="20"/>
          <w:w w:val="120"/>
          <w:sz w:val="20"/>
        </w:rPr>
        <w:t> </w:t>
      </w:r>
      <w:r>
        <w:rPr>
          <w:w w:val="120"/>
          <w:sz w:val="20"/>
        </w:rPr>
        <w:t>that</w:t>
      </w:r>
    </w:p>
    <w:p>
      <w:pPr>
        <w:pStyle w:val="ListParagraph"/>
        <w:numPr>
          <w:ilvl w:val="0"/>
          <w:numId w:val="160"/>
        </w:numPr>
        <w:tabs>
          <w:tab w:pos="989" w:val="left" w:leader="none"/>
        </w:tabs>
        <w:spacing w:line="216" w:lineRule="auto" w:before="12" w:after="0"/>
        <w:ind w:left="607" w:right="2099" w:firstLine="0"/>
        <w:jc w:val="left"/>
        <w:rPr>
          <w:sz w:val="20"/>
        </w:rPr>
      </w:pPr>
      <w:r>
        <w:rPr>
          <w:rFonts w:ascii="Stone Sans II ITC Std Bk"/>
          <w:b/>
          <w:w w:val="115"/>
          <w:sz w:val="20"/>
        </w:rPr>
        <w:t>a process should be set up for exploration of the relationship between elders</w:t>
      </w:r>
      <w:r>
        <w:rPr>
          <w:rFonts w:ascii="Stone Sans II ITC Std Bk"/>
          <w:b/>
          <w:spacing w:val="-27"/>
          <w:w w:val="115"/>
          <w:sz w:val="20"/>
        </w:rPr>
        <w:t> </w:t>
      </w:r>
      <w:r>
        <w:rPr>
          <w:rFonts w:ascii="Stone Sans II ITC Std Bk"/>
          <w:b/>
          <w:w w:val="115"/>
          <w:sz w:val="20"/>
        </w:rPr>
        <w:t>and</w:t>
      </w:r>
      <w:r>
        <w:rPr>
          <w:rFonts w:ascii="Stone Sans II ITC Std Bk"/>
          <w:b/>
          <w:spacing w:val="-27"/>
          <w:w w:val="115"/>
          <w:sz w:val="20"/>
        </w:rPr>
        <w:t> </w:t>
      </w:r>
      <w:r>
        <w:rPr>
          <w:rFonts w:ascii="Stone Sans II ITC Std Bk"/>
          <w:b/>
          <w:w w:val="115"/>
          <w:sz w:val="20"/>
        </w:rPr>
        <w:t>church</w:t>
      </w:r>
      <w:r>
        <w:rPr>
          <w:rFonts w:ascii="Stone Sans II ITC Std Bk"/>
          <w:b/>
          <w:spacing w:val="-26"/>
          <w:w w:val="115"/>
          <w:sz w:val="20"/>
        </w:rPr>
        <w:t> </w:t>
      </w:r>
      <w:r>
        <w:rPr>
          <w:rFonts w:ascii="Stone Sans II ITC Std Bk"/>
          <w:b/>
          <w:w w:val="115"/>
          <w:sz w:val="20"/>
        </w:rPr>
        <w:t>related</w:t>
      </w:r>
      <w:r>
        <w:rPr>
          <w:rFonts w:ascii="Stone Sans II ITC Std Bk"/>
          <w:b/>
          <w:spacing w:val="-27"/>
          <w:w w:val="115"/>
          <w:sz w:val="20"/>
        </w:rPr>
        <w:t> </w:t>
      </w:r>
      <w:r>
        <w:rPr>
          <w:rFonts w:ascii="Stone Sans II ITC Std Bk"/>
          <w:b/>
          <w:w w:val="115"/>
          <w:sz w:val="20"/>
        </w:rPr>
        <w:t>community</w:t>
      </w:r>
      <w:r>
        <w:rPr>
          <w:rFonts w:ascii="Stone Sans II ITC Std Bk"/>
          <w:b/>
          <w:spacing w:val="-27"/>
          <w:w w:val="115"/>
          <w:sz w:val="20"/>
        </w:rPr>
        <w:t> </w:t>
      </w:r>
      <w:r>
        <w:rPr>
          <w:rFonts w:ascii="Stone Sans II ITC Std Bk"/>
          <w:b/>
          <w:w w:val="115"/>
          <w:sz w:val="20"/>
        </w:rPr>
        <w:t>workers</w:t>
      </w:r>
      <w:r>
        <w:rPr>
          <w:rFonts w:ascii="Stone Sans II ITC Std Bk"/>
          <w:b/>
          <w:spacing w:val="-26"/>
          <w:w w:val="115"/>
          <w:sz w:val="20"/>
        </w:rPr>
        <w:t> </w:t>
      </w:r>
      <w:r>
        <w:rPr>
          <w:rFonts w:ascii="Stone Sans II ITC Std Bk"/>
          <w:b/>
          <w:w w:val="115"/>
          <w:sz w:val="20"/>
        </w:rPr>
        <w:t>in</w:t>
      </w:r>
      <w:r>
        <w:rPr>
          <w:rFonts w:ascii="Stone Sans II ITC Std Bk"/>
          <w:b/>
          <w:spacing w:val="-27"/>
          <w:w w:val="115"/>
          <w:sz w:val="20"/>
        </w:rPr>
        <w:t> </w:t>
      </w:r>
      <w:r>
        <w:rPr>
          <w:rFonts w:ascii="Stone Sans II ITC Std Bk"/>
          <w:b/>
          <w:w w:val="115"/>
          <w:sz w:val="20"/>
        </w:rPr>
        <w:t>the</w:t>
      </w:r>
      <w:r>
        <w:rPr>
          <w:rFonts w:ascii="Stone Sans II ITC Std Bk"/>
          <w:b/>
          <w:spacing w:val="-26"/>
          <w:w w:val="115"/>
          <w:sz w:val="20"/>
        </w:rPr>
        <w:t> </w:t>
      </w:r>
      <w:r>
        <w:rPr>
          <w:rFonts w:ascii="Stone Sans II ITC Std Bk"/>
          <w:b/>
          <w:w w:val="115"/>
          <w:sz w:val="20"/>
        </w:rPr>
        <w:t>United</w:t>
      </w:r>
      <w:r>
        <w:rPr>
          <w:rFonts w:ascii="Stone Sans II ITC Std Bk"/>
          <w:b/>
          <w:spacing w:val="-27"/>
          <w:w w:val="115"/>
          <w:sz w:val="20"/>
        </w:rPr>
        <w:t> </w:t>
      </w:r>
      <w:r>
        <w:rPr>
          <w:rFonts w:ascii="Stone Sans II ITC Std Bk"/>
          <w:b/>
          <w:w w:val="115"/>
          <w:sz w:val="20"/>
        </w:rPr>
        <w:t>Reformed</w:t>
      </w:r>
      <w:r>
        <w:rPr>
          <w:rFonts w:ascii="Stone Sans II ITC Std Bk"/>
          <w:b/>
          <w:spacing w:val="-27"/>
          <w:w w:val="115"/>
          <w:sz w:val="20"/>
        </w:rPr>
        <w:t> </w:t>
      </w:r>
      <w:r>
        <w:rPr>
          <w:rFonts w:ascii="Stone Sans II ITC Std Bk"/>
          <w:b/>
          <w:w w:val="115"/>
          <w:sz w:val="20"/>
        </w:rPr>
        <w:t>Church on</w:t>
      </w:r>
      <w:r>
        <w:rPr>
          <w:rFonts w:ascii="Stone Sans II ITC Std Bk"/>
          <w:b/>
          <w:spacing w:val="-21"/>
          <w:w w:val="115"/>
          <w:sz w:val="20"/>
        </w:rPr>
        <w:t> </w:t>
      </w:r>
      <w:r>
        <w:rPr>
          <w:rFonts w:ascii="Stone Sans II ITC Std Bk"/>
          <w:b/>
          <w:w w:val="115"/>
          <w:sz w:val="20"/>
        </w:rPr>
        <w:t>the</w:t>
      </w:r>
      <w:r>
        <w:rPr>
          <w:rFonts w:ascii="Stone Sans II ITC Std Bk"/>
          <w:b/>
          <w:spacing w:val="-20"/>
          <w:w w:val="115"/>
          <w:sz w:val="20"/>
        </w:rPr>
        <w:t> </w:t>
      </w:r>
      <w:r>
        <w:rPr>
          <w:rFonts w:ascii="Stone Sans II ITC Std Bk"/>
          <w:b/>
          <w:w w:val="115"/>
          <w:sz w:val="20"/>
        </w:rPr>
        <w:t>one</w:t>
      </w:r>
      <w:r>
        <w:rPr>
          <w:rFonts w:ascii="Stone Sans II ITC Std Bk"/>
          <w:b/>
          <w:spacing w:val="-20"/>
          <w:w w:val="115"/>
          <w:sz w:val="20"/>
        </w:rPr>
        <w:t> </w:t>
      </w:r>
      <w:r>
        <w:rPr>
          <w:rFonts w:ascii="Stone Sans II ITC Std Bk"/>
          <w:b/>
          <w:w w:val="115"/>
          <w:sz w:val="20"/>
        </w:rPr>
        <w:t>hand,</w:t>
      </w:r>
      <w:r>
        <w:rPr>
          <w:rFonts w:ascii="Stone Sans II ITC Std Bk"/>
          <w:b/>
          <w:spacing w:val="-20"/>
          <w:w w:val="115"/>
          <w:sz w:val="20"/>
        </w:rPr>
        <w:t> </w:t>
      </w:r>
      <w:r>
        <w:rPr>
          <w:rFonts w:ascii="Stone Sans II ITC Std Bk"/>
          <w:b/>
          <w:w w:val="115"/>
          <w:sz w:val="20"/>
        </w:rPr>
        <w:t>and</w:t>
      </w:r>
      <w:r>
        <w:rPr>
          <w:rFonts w:ascii="Stone Sans II ITC Std Bk"/>
          <w:b/>
          <w:spacing w:val="-20"/>
          <w:w w:val="115"/>
          <w:sz w:val="20"/>
        </w:rPr>
        <w:t> </w:t>
      </w:r>
      <w:r>
        <w:rPr>
          <w:rFonts w:ascii="Stone Sans II ITC Std Bk"/>
          <w:b/>
          <w:w w:val="115"/>
          <w:sz w:val="20"/>
        </w:rPr>
        <w:t>deacons</w:t>
      </w:r>
      <w:r>
        <w:rPr>
          <w:rFonts w:ascii="Stone Sans II ITC Std Bk"/>
          <w:b/>
          <w:spacing w:val="-20"/>
          <w:w w:val="115"/>
          <w:sz w:val="20"/>
        </w:rPr>
        <w:t> </w:t>
      </w:r>
      <w:r>
        <w:rPr>
          <w:rFonts w:ascii="Stone Sans II ITC Std Bk"/>
          <w:b/>
          <w:w w:val="115"/>
          <w:sz w:val="20"/>
        </w:rPr>
        <w:t>in</w:t>
      </w:r>
      <w:r>
        <w:rPr>
          <w:rFonts w:ascii="Stone Sans II ITC Std Bk"/>
          <w:b/>
          <w:spacing w:val="-20"/>
          <w:w w:val="115"/>
          <w:sz w:val="20"/>
        </w:rPr>
        <w:t> </w:t>
      </w:r>
      <w:r>
        <w:rPr>
          <w:rFonts w:ascii="Stone Sans II ITC Std Bk"/>
          <w:b/>
          <w:w w:val="115"/>
          <w:sz w:val="20"/>
        </w:rPr>
        <w:t>the</w:t>
      </w:r>
      <w:r>
        <w:rPr>
          <w:rFonts w:ascii="Stone Sans II ITC Std Bk"/>
          <w:b/>
          <w:spacing w:val="-20"/>
          <w:w w:val="115"/>
          <w:sz w:val="20"/>
        </w:rPr>
        <w:t> </w:t>
      </w:r>
      <w:r>
        <w:rPr>
          <w:rFonts w:ascii="Stone Sans II ITC Std Bk"/>
          <w:b/>
          <w:w w:val="115"/>
          <w:sz w:val="20"/>
        </w:rPr>
        <w:t>Church</w:t>
      </w:r>
      <w:r>
        <w:rPr>
          <w:rFonts w:ascii="Stone Sans II ITC Std Bk"/>
          <w:b/>
          <w:spacing w:val="-20"/>
          <w:w w:val="115"/>
          <w:sz w:val="20"/>
        </w:rPr>
        <w:t> </w:t>
      </w:r>
      <w:r>
        <w:rPr>
          <w:rFonts w:ascii="Stone Sans II ITC Std Bk"/>
          <w:b/>
          <w:w w:val="115"/>
          <w:sz w:val="20"/>
        </w:rPr>
        <w:t>of</w:t>
      </w:r>
      <w:r>
        <w:rPr>
          <w:rFonts w:ascii="Stone Sans II ITC Std Bk"/>
          <w:b/>
          <w:spacing w:val="-20"/>
          <w:w w:val="115"/>
          <w:sz w:val="20"/>
        </w:rPr>
        <w:t> </w:t>
      </w:r>
      <w:r>
        <w:rPr>
          <w:rFonts w:ascii="Stone Sans II ITC Std Bk"/>
          <w:b/>
          <w:w w:val="115"/>
          <w:sz w:val="20"/>
        </w:rPr>
        <w:t>England</w:t>
      </w:r>
      <w:r>
        <w:rPr>
          <w:rFonts w:ascii="Stone Sans II ITC Std Bk"/>
          <w:b/>
          <w:spacing w:val="-20"/>
          <w:w w:val="115"/>
          <w:sz w:val="20"/>
        </w:rPr>
        <w:t> </w:t>
      </w:r>
      <w:r>
        <w:rPr>
          <w:rFonts w:ascii="Stone Sans II ITC Std Bk"/>
          <w:b/>
          <w:w w:val="115"/>
          <w:sz w:val="20"/>
        </w:rPr>
        <w:t>and</w:t>
      </w:r>
      <w:r>
        <w:rPr>
          <w:rFonts w:ascii="Stone Sans II ITC Std Bk"/>
          <w:b/>
          <w:spacing w:val="-20"/>
          <w:w w:val="115"/>
          <w:sz w:val="20"/>
        </w:rPr>
        <w:t> </w:t>
      </w:r>
      <w:r>
        <w:rPr>
          <w:rFonts w:ascii="Stone Sans II ITC Std Bk"/>
          <w:b/>
          <w:w w:val="115"/>
          <w:sz w:val="20"/>
        </w:rPr>
        <w:t>elsewhere</w:t>
      </w:r>
      <w:r>
        <w:rPr>
          <w:rFonts w:ascii="Stone Sans II ITC Std Bk"/>
          <w:b/>
          <w:spacing w:val="-20"/>
          <w:w w:val="115"/>
          <w:sz w:val="20"/>
        </w:rPr>
        <w:t> </w:t>
      </w:r>
      <w:r>
        <w:rPr>
          <w:rFonts w:ascii="Stone Sans II ITC Std Bk"/>
          <w:b/>
          <w:w w:val="115"/>
          <w:sz w:val="20"/>
        </w:rPr>
        <w:t>on</w:t>
      </w:r>
      <w:r>
        <w:rPr>
          <w:rFonts w:ascii="Stone Sans II ITC Std Bk"/>
          <w:b/>
          <w:spacing w:val="-20"/>
          <w:w w:val="115"/>
          <w:sz w:val="20"/>
        </w:rPr>
        <w:t> </w:t>
      </w:r>
      <w:r>
        <w:rPr>
          <w:rFonts w:ascii="Stone Sans II ITC Std Bk"/>
          <w:b/>
          <w:w w:val="115"/>
          <w:sz w:val="20"/>
        </w:rPr>
        <w:t>the </w:t>
      </w:r>
      <w:r>
        <w:rPr>
          <w:rFonts w:ascii="Stone Sans II ITC Std Bk"/>
          <w:b/>
          <w:spacing w:val="-3"/>
          <w:w w:val="115"/>
          <w:sz w:val="20"/>
        </w:rPr>
        <w:t>other. </w:t>
      </w:r>
      <w:r>
        <w:rPr>
          <w:w w:val="115"/>
          <w:sz w:val="20"/>
        </w:rPr>
        <w:t>Study of this relationship could have real benefits for both churches in clarifying their</w:t>
      </w:r>
      <w:r>
        <w:rPr>
          <w:spacing w:val="25"/>
          <w:w w:val="115"/>
          <w:sz w:val="20"/>
        </w:rPr>
        <w:t> </w:t>
      </w:r>
      <w:r>
        <w:rPr>
          <w:w w:val="115"/>
          <w:sz w:val="20"/>
        </w:rPr>
        <w:t>self-understanding</w:t>
      </w:r>
      <w:r>
        <w:rPr>
          <w:spacing w:val="25"/>
          <w:w w:val="115"/>
          <w:sz w:val="20"/>
        </w:rPr>
        <w:t> </w:t>
      </w:r>
      <w:r>
        <w:rPr>
          <w:w w:val="115"/>
          <w:sz w:val="20"/>
        </w:rPr>
        <w:t>and</w:t>
      </w:r>
      <w:r>
        <w:rPr>
          <w:spacing w:val="25"/>
          <w:w w:val="115"/>
          <w:sz w:val="20"/>
        </w:rPr>
        <w:t> </w:t>
      </w:r>
      <w:r>
        <w:rPr>
          <w:w w:val="115"/>
          <w:sz w:val="20"/>
        </w:rPr>
        <w:t>evaluating</w:t>
      </w:r>
      <w:r>
        <w:rPr>
          <w:spacing w:val="25"/>
          <w:w w:val="115"/>
          <w:sz w:val="20"/>
        </w:rPr>
        <w:t> </w:t>
      </w:r>
      <w:r>
        <w:rPr>
          <w:w w:val="115"/>
          <w:sz w:val="20"/>
        </w:rPr>
        <w:t>current</w:t>
      </w:r>
      <w:r>
        <w:rPr>
          <w:spacing w:val="25"/>
          <w:w w:val="115"/>
          <w:sz w:val="20"/>
        </w:rPr>
        <w:t> </w:t>
      </w:r>
      <w:r>
        <w:rPr>
          <w:w w:val="115"/>
          <w:sz w:val="20"/>
        </w:rPr>
        <w:t>developments</w:t>
      </w:r>
      <w:r>
        <w:rPr>
          <w:spacing w:val="25"/>
          <w:w w:val="115"/>
          <w:sz w:val="20"/>
        </w:rPr>
        <w:t> </w:t>
      </w:r>
      <w:r>
        <w:rPr>
          <w:w w:val="115"/>
          <w:sz w:val="20"/>
        </w:rPr>
        <w:t>in</w:t>
      </w:r>
      <w:r>
        <w:rPr>
          <w:spacing w:val="25"/>
          <w:w w:val="115"/>
          <w:sz w:val="20"/>
        </w:rPr>
        <w:t> </w:t>
      </w:r>
      <w:r>
        <w:rPr>
          <w:w w:val="115"/>
          <w:sz w:val="20"/>
        </w:rPr>
        <w:t>their</w:t>
      </w:r>
      <w:r>
        <w:rPr>
          <w:spacing w:val="25"/>
          <w:w w:val="115"/>
          <w:sz w:val="20"/>
        </w:rPr>
        <w:t> </w:t>
      </w:r>
      <w:r>
        <w:rPr>
          <w:w w:val="115"/>
          <w:sz w:val="20"/>
        </w:rPr>
        <w:t>own</w:t>
      </w:r>
      <w:r>
        <w:rPr>
          <w:spacing w:val="25"/>
          <w:w w:val="115"/>
          <w:sz w:val="20"/>
        </w:rPr>
        <w:t> </w:t>
      </w:r>
      <w:r>
        <w:rPr>
          <w:w w:val="115"/>
          <w:sz w:val="20"/>
        </w:rPr>
        <w:t>lives,</w:t>
      </w:r>
      <w:r>
        <w:rPr>
          <w:spacing w:val="25"/>
          <w:w w:val="115"/>
          <w:sz w:val="20"/>
        </w:rPr>
        <w:t> </w:t>
      </w:r>
      <w:r>
        <w:rPr>
          <w:w w:val="115"/>
          <w:sz w:val="20"/>
        </w:rPr>
        <w:t>as</w:t>
      </w:r>
    </w:p>
    <w:p>
      <w:pPr>
        <w:pStyle w:val="BodyText"/>
        <w:spacing w:line="235" w:lineRule="auto" w:before="3"/>
        <w:ind w:left="607" w:right="2055"/>
      </w:pPr>
      <w:r>
        <w:rPr>
          <w:w w:val="120"/>
        </w:rPr>
        <w:t>well as opening up new areas for receptive ecumenism. Eldership and the diaconate are both areas where the polities of the two churches appear to have no obvious </w:t>
      </w:r>
      <w:r>
        <w:rPr>
          <w:spacing w:val="-4"/>
          <w:w w:val="120"/>
        </w:rPr>
        <w:t>‘match’: </w:t>
      </w:r>
      <w:r>
        <w:rPr>
          <w:w w:val="120"/>
        </w:rPr>
        <w:t>could they have parallels that have not yet been explored, and, if so, might there provide a way for imagining how the office of elder in the reformed tradition more generally might be received in LEPs and even, ultimately, in the context of a future relationship of visible unity in the Church of</w:t>
      </w:r>
      <w:r>
        <w:rPr>
          <w:spacing w:val="20"/>
          <w:w w:val="120"/>
        </w:rPr>
        <w:t> </w:t>
      </w:r>
      <w:r>
        <w:rPr>
          <w:w w:val="120"/>
        </w:rPr>
        <w:t>England?</w:t>
      </w:r>
    </w:p>
    <w:p>
      <w:pPr>
        <w:pStyle w:val="BodyText"/>
        <w:spacing w:before="8"/>
        <w:rPr>
          <w:sz w:val="19"/>
        </w:rPr>
      </w:pPr>
    </w:p>
    <w:p>
      <w:pPr>
        <w:pStyle w:val="ListParagraph"/>
        <w:numPr>
          <w:ilvl w:val="0"/>
          <w:numId w:val="159"/>
        </w:numPr>
        <w:tabs>
          <w:tab w:pos="1287" w:val="left" w:leader="none"/>
          <w:tab w:pos="1288" w:val="left" w:leader="none"/>
        </w:tabs>
        <w:spacing w:line="236" w:lineRule="exact" w:before="0" w:after="0"/>
        <w:ind w:left="1287" w:right="0" w:hanging="681"/>
        <w:jc w:val="left"/>
        <w:rPr>
          <w:sz w:val="20"/>
        </w:rPr>
      </w:pPr>
      <w:r>
        <w:rPr>
          <w:w w:val="120"/>
          <w:sz w:val="20"/>
        </w:rPr>
        <w:t>In the final </w:t>
      </w:r>
      <w:r>
        <w:rPr>
          <w:spacing w:val="-3"/>
          <w:w w:val="120"/>
          <w:sz w:val="20"/>
        </w:rPr>
        <w:t>chapter, </w:t>
      </w:r>
      <w:r>
        <w:rPr>
          <w:w w:val="120"/>
          <w:sz w:val="20"/>
        </w:rPr>
        <w:t>with regard to worship, we recommended</w:t>
      </w:r>
      <w:r>
        <w:rPr>
          <w:spacing w:val="27"/>
          <w:w w:val="120"/>
          <w:sz w:val="20"/>
        </w:rPr>
        <w:t> </w:t>
      </w:r>
      <w:r>
        <w:rPr>
          <w:w w:val="120"/>
          <w:sz w:val="20"/>
        </w:rPr>
        <w:t>that</w:t>
      </w:r>
    </w:p>
    <w:p>
      <w:pPr>
        <w:pStyle w:val="ListParagraph"/>
        <w:numPr>
          <w:ilvl w:val="0"/>
          <w:numId w:val="160"/>
        </w:numPr>
        <w:tabs>
          <w:tab w:pos="980" w:val="left" w:leader="none"/>
        </w:tabs>
        <w:spacing w:line="220" w:lineRule="auto" w:before="8" w:after="0"/>
        <w:ind w:left="607" w:right="2374" w:firstLine="0"/>
        <w:jc w:val="left"/>
        <w:rPr>
          <w:sz w:val="20"/>
        </w:rPr>
      </w:pPr>
      <w:r>
        <w:rPr>
          <w:rFonts w:ascii="Stone Sans II ITC Std Bk" w:hAnsi="Stone Sans II ITC Std Bk"/>
          <w:b/>
          <w:w w:val="115"/>
          <w:sz w:val="20"/>
        </w:rPr>
        <w:t>attention</w:t>
      </w:r>
      <w:r>
        <w:rPr>
          <w:rFonts w:ascii="Stone Sans II ITC Std Bk" w:hAnsi="Stone Sans II ITC Std Bk"/>
          <w:b/>
          <w:spacing w:val="-29"/>
          <w:w w:val="115"/>
          <w:sz w:val="20"/>
        </w:rPr>
        <w:t> </w:t>
      </w:r>
      <w:r>
        <w:rPr>
          <w:rFonts w:ascii="Stone Sans II ITC Std Bk" w:hAnsi="Stone Sans II ITC Std Bk"/>
          <w:b/>
          <w:w w:val="115"/>
          <w:sz w:val="20"/>
        </w:rPr>
        <w:t>should</w:t>
      </w:r>
      <w:r>
        <w:rPr>
          <w:rFonts w:ascii="Stone Sans II ITC Std Bk" w:hAnsi="Stone Sans II ITC Std Bk"/>
          <w:b/>
          <w:spacing w:val="-29"/>
          <w:w w:val="115"/>
          <w:sz w:val="20"/>
        </w:rPr>
        <w:t> </w:t>
      </w:r>
      <w:r>
        <w:rPr>
          <w:rFonts w:ascii="Stone Sans II ITC Std Bk" w:hAnsi="Stone Sans II ITC Std Bk"/>
          <w:b/>
          <w:w w:val="115"/>
          <w:sz w:val="20"/>
        </w:rPr>
        <w:t>be</w:t>
      </w:r>
      <w:r>
        <w:rPr>
          <w:rFonts w:ascii="Stone Sans II ITC Std Bk" w:hAnsi="Stone Sans II ITC Std Bk"/>
          <w:b/>
          <w:spacing w:val="-29"/>
          <w:w w:val="115"/>
          <w:sz w:val="20"/>
        </w:rPr>
        <w:t> </w:t>
      </w:r>
      <w:r>
        <w:rPr>
          <w:rFonts w:ascii="Stone Sans II ITC Std Bk" w:hAnsi="Stone Sans II ITC Std Bk"/>
          <w:b/>
          <w:w w:val="115"/>
          <w:sz w:val="20"/>
        </w:rPr>
        <w:t>given</w:t>
      </w:r>
      <w:r>
        <w:rPr>
          <w:rFonts w:ascii="Stone Sans II ITC Std Bk" w:hAnsi="Stone Sans II ITC Std Bk"/>
          <w:b/>
          <w:spacing w:val="-29"/>
          <w:w w:val="115"/>
          <w:sz w:val="20"/>
        </w:rPr>
        <w:t> </w:t>
      </w:r>
      <w:r>
        <w:rPr>
          <w:rFonts w:ascii="Stone Sans II ITC Std Bk" w:hAnsi="Stone Sans II ITC Std Bk"/>
          <w:b/>
          <w:w w:val="115"/>
          <w:sz w:val="20"/>
        </w:rPr>
        <w:t>to</w:t>
      </w:r>
      <w:r>
        <w:rPr>
          <w:rFonts w:ascii="Stone Sans II ITC Std Bk" w:hAnsi="Stone Sans II ITC Std Bk"/>
          <w:b/>
          <w:spacing w:val="-29"/>
          <w:w w:val="115"/>
          <w:sz w:val="20"/>
        </w:rPr>
        <w:t> </w:t>
      </w:r>
      <w:r>
        <w:rPr>
          <w:rFonts w:ascii="Stone Sans II ITC Std Bk" w:hAnsi="Stone Sans II ITC Std Bk"/>
          <w:b/>
          <w:w w:val="115"/>
          <w:sz w:val="20"/>
        </w:rPr>
        <w:t>studying</w:t>
      </w:r>
      <w:r>
        <w:rPr>
          <w:rFonts w:ascii="Stone Sans II ITC Std Bk" w:hAnsi="Stone Sans II ITC Std Bk"/>
          <w:b/>
          <w:spacing w:val="-29"/>
          <w:w w:val="115"/>
          <w:sz w:val="20"/>
        </w:rPr>
        <w:t> </w:t>
      </w:r>
      <w:r>
        <w:rPr>
          <w:rFonts w:ascii="Stone Sans II ITC Std Bk" w:hAnsi="Stone Sans II ITC Std Bk"/>
          <w:b/>
          <w:w w:val="115"/>
          <w:sz w:val="20"/>
        </w:rPr>
        <w:t>the</w:t>
      </w:r>
      <w:r>
        <w:rPr>
          <w:rFonts w:ascii="Stone Sans II ITC Std Bk" w:hAnsi="Stone Sans II ITC Std Bk"/>
          <w:b/>
          <w:spacing w:val="-29"/>
          <w:w w:val="115"/>
          <w:sz w:val="20"/>
        </w:rPr>
        <w:t> </w:t>
      </w:r>
      <w:r>
        <w:rPr>
          <w:rFonts w:ascii="Stone Sans II ITC Std Bk" w:hAnsi="Stone Sans II ITC Std Bk"/>
          <w:b/>
          <w:w w:val="115"/>
          <w:sz w:val="20"/>
        </w:rPr>
        <w:t>scope</w:t>
      </w:r>
      <w:r>
        <w:rPr>
          <w:rFonts w:ascii="Stone Sans II ITC Std Bk" w:hAnsi="Stone Sans II ITC Std Bk"/>
          <w:b/>
          <w:spacing w:val="-29"/>
          <w:w w:val="115"/>
          <w:sz w:val="20"/>
        </w:rPr>
        <w:t> </w:t>
      </w:r>
      <w:r>
        <w:rPr>
          <w:rFonts w:ascii="Stone Sans II ITC Std Bk" w:hAnsi="Stone Sans II ITC Std Bk"/>
          <w:b/>
          <w:w w:val="115"/>
          <w:sz w:val="20"/>
        </w:rPr>
        <w:t>for</w:t>
      </w:r>
      <w:r>
        <w:rPr>
          <w:rFonts w:ascii="Stone Sans II ITC Std Bk" w:hAnsi="Stone Sans II ITC Std Bk"/>
          <w:b/>
          <w:spacing w:val="-29"/>
          <w:w w:val="115"/>
          <w:sz w:val="20"/>
        </w:rPr>
        <w:t> </w:t>
      </w:r>
      <w:r>
        <w:rPr>
          <w:rFonts w:ascii="Stone Sans II ITC Std Bk" w:hAnsi="Stone Sans II ITC Std Bk"/>
          <w:b/>
          <w:w w:val="115"/>
          <w:sz w:val="20"/>
        </w:rPr>
        <w:t>receptive</w:t>
      </w:r>
      <w:r>
        <w:rPr>
          <w:rFonts w:ascii="Stone Sans II ITC Std Bk" w:hAnsi="Stone Sans II ITC Std Bk"/>
          <w:b/>
          <w:spacing w:val="-29"/>
          <w:w w:val="115"/>
          <w:sz w:val="20"/>
        </w:rPr>
        <w:t> </w:t>
      </w:r>
      <w:r>
        <w:rPr>
          <w:rFonts w:ascii="Stone Sans II ITC Std Bk" w:hAnsi="Stone Sans II ITC Std Bk"/>
          <w:b/>
          <w:w w:val="115"/>
          <w:sz w:val="20"/>
        </w:rPr>
        <w:t>ecumenism between</w:t>
      </w:r>
      <w:r>
        <w:rPr>
          <w:rFonts w:ascii="Stone Sans II ITC Std Bk" w:hAnsi="Stone Sans II ITC Std Bk"/>
          <w:b/>
          <w:spacing w:val="-22"/>
          <w:w w:val="115"/>
          <w:sz w:val="20"/>
        </w:rPr>
        <w:t> </w:t>
      </w:r>
      <w:r>
        <w:rPr>
          <w:rFonts w:ascii="Stone Sans II ITC Std Bk" w:hAnsi="Stone Sans II ITC Std Bk"/>
          <w:b/>
          <w:w w:val="115"/>
          <w:sz w:val="20"/>
        </w:rPr>
        <w:t>our</w:t>
      </w:r>
      <w:r>
        <w:rPr>
          <w:rFonts w:ascii="Stone Sans II ITC Std Bk" w:hAnsi="Stone Sans II ITC Std Bk"/>
          <w:b/>
          <w:spacing w:val="-22"/>
          <w:w w:val="115"/>
          <w:sz w:val="20"/>
        </w:rPr>
        <w:t> </w:t>
      </w:r>
      <w:r>
        <w:rPr>
          <w:rFonts w:ascii="Stone Sans II ITC Std Bk" w:hAnsi="Stone Sans II ITC Std Bk"/>
          <w:b/>
          <w:w w:val="115"/>
          <w:sz w:val="20"/>
        </w:rPr>
        <w:t>two</w:t>
      </w:r>
      <w:r>
        <w:rPr>
          <w:rFonts w:ascii="Stone Sans II ITC Std Bk" w:hAnsi="Stone Sans II ITC Std Bk"/>
          <w:b/>
          <w:spacing w:val="-22"/>
          <w:w w:val="115"/>
          <w:sz w:val="20"/>
        </w:rPr>
        <w:t> </w:t>
      </w:r>
      <w:r>
        <w:rPr>
          <w:rFonts w:ascii="Stone Sans II ITC Std Bk" w:hAnsi="Stone Sans II ITC Std Bk"/>
          <w:b/>
          <w:w w:val="115"/>
          <w:sz w:val="20"/>
        </w:rPr>
        <w:t>churches</w:t>
      </w:r>
      <w:r>
        <w:rPr>
          <w:rFonts w:ascii="Stone Sans II ITC Std Bk" w:hAnsi="Stone Sans II ITC Std Bk"/>
          <w:b/>
          <w:spacing w:val="-21"/>
          <w:w w:val="115"/>
          <w:sz w:val="20"/>
        </w:rPr>
        <w:t> </w:t>
      </w:r>
      <w:r>
        <w:rPr>
          <w:rFonts w:ascii="Stone Sans II ITC Std Bk" w:hAnsi="Stone Sans II ITC Std Bk"/>
          <w:b/>
          <w:w w:val="115"/>
          <w:sz w:val="20"/>
        </w:rPr>
        <w:t>in</w:t>
      </w:r>
      <w:r>
        <w:rPr>
          <w:rFonts w:ascii="Stone Sans II ITC Std Bk" w:hAnsi="Stone Sans II ITC Std Bk"/>
          <w:b/>
          <w:spacing w:val="-22"/>
          <w:w w:val="115"/>
          <w:sz w:val="20"/>
        </w:rPr>
        <w:t> </w:t>
      </w:r>
      <w:r>
        <w:rPr>
          <w:rFonts w:ascii="Stone Sans II ITC Std Bk" w:hAnsi="Stone Sans II ITC Std Bk"/>
          <w:b/>
          <w:w w:val="115"/>
          <w:sz w:val="20"/>
        </w:rPr>
        <w:t>the</w:t>
      </w:r>
      <w:r>
        <w:rPr>
          <w:rFonts w:ascii="Stone Sans II ITC Std Bk" w:hAnsi="Stone Sans II ITC Std Bk"/>
          <w:b/>
          <w:spacing w:val="-22"/>
          <w:w w:val="115"/>
          <w:sz w:val="20"/>
        </w:rPr>
        <w:t> </w:t>
      </w:r>
      <w:r>
        <w:rPr>
          <w:rFonts w:ascii="Stone Sans II ITC Std Bk" w:hAnsi="Stone Sans II ITC Std Bk"/>
          <w:b/>
          <w:w w:val="115"/>
          <w:sz w:val="20"/>
        </w:rPr>
        <w:t>area</w:t>
      </w:r>
      <w:r>
        <w:rPr>
          <w:rFonts w:ascii="Stone Sans II ITC Std Bk" w:hAnsi="Stone Sans II ITC Std Bk"/>
          <w:b/>
          <w:spacing w:val="-22"/>
          <w:w w:val="115"/>
          <w:sz w:val="20"/>
        </w:rPr>
        <w:t> </w:t>
      </w:r>
      <w:r>
        <w:rPr>
          <w:rFonts w:ascii="Stone Sans II ITC Std Bk" w:hAnsi="Stone Sans II ITC Std Bk"/>
          <w:b/>
          <w:w w:val="115"/>
          <w:sz w:val="20"/>
        </w:rPr>
        <w:t>of</w:t>
      </w:r>
      <w:r>
        <w:rPr>
          <w:rFonts w:ascii="Stone Sans II ITC Std Bk" w:hAnsi="Stone Sans II ITC Std Bk"/>
          <w:b/>
          <w:spacing w:val="-21"/>
          <w:w w:val="115"/>
          <w:sz w:val="20"/>
        </w:rPr>
        <w:t> </w:t>
      </w:r>
      <w:r>
        <w:rPr>
          <w:rFonts w:ascii="Stone Sans II ITC Std Bk" w:hAnsi="Stone Sans II ITC Std Bk"/>
          <w:b/>
          <w:w w:val="115"/>
          <w:sz w:val="20"/>
        </w:rPr>
        <w:t>worship,</w:t>
      </w:r>
      <w:r>
        <w:rPr>
          <w:rFonts w:ascii="Stone Sans II ITC Std Bk" w:hAnsi="Stone Sans II ITC Std Bk"/>
          <w:b/>
          <w:spacing w:val="-22"/>
          <w:w w:val="115"/>
          <w:sz w:val="20"/>
        </w:rPr>
        <w:t> </w:t>
      </w:r>
      <w:r>
        <w:rPr>
          <w:rFonts w:ascii="Stone Sans II ITC Std Bk" w:hAnsi="Stone Sans II ITC Std Bk"/>
          <w:b/>
          <w:w w:val="115"/>
          <w:sz w:val="20"/>
        </w:rPr>
        <w:t>looking</w:t>
      </w:r>
      <w:r>
        <w:rPr>
          <w:rFonts w:ascii="Stone Sans II ITC Std Bk" w:hAnsi="Stone Sans II ITC Std Bk"/>
          <w:b/>
          <w:spacing w:val="-22"/>
          <w:w w:val="115"/>
          <w:sz w:val="20"/>
        </w:rPr>
        <w:t> </w:t>
      </w:r>
      <w:r>
        <w:rPr>
          <w:rFonts w:ascii="Stone Sans II ITC Std Bk" w:hAnsi="Stone Sans II ITC Std Bk"/>
          <w:b/>
          <w:w w:val="115"/>
          <w:sz w:val="20"/>
        </w:rPr>
        <w:t>both</w:t>
      </w:r>
      <w:r>
        <w:rPr>
          <w:rFonts w:ascii="Stone Sans II ITC Std Bk" w:hAnsi="Stone Sans II ITC Std Bk"/>
          <w:b/>
          <w:spacing w:val="-21"/>
          <w:w w:val="115"/>
          <w:sz w:val="20"/>
        </w:rPr>
        <w:t> </w:t>
      </w:r>
      <w:r>
        <w:rPr>
          <w:rFonts w:ascii="Stone Sans II ITC Std Bk" w:hAnsi="Stone Sans II ITC Std Bk"/>
          <w:b/>
          <w:w w:val="115"/>
          <w:sz w:val="20"/>
        </w:rPr>
        <w:t>at</w:t>
      </w:r>
      <w:r>
        <w:rPr>
          <w:rFonts w:ascii="Stone Sans II ITC Std Bk" w:hAnsi="Stone Sans II ITC Std Bk"/>
          <w:b/>
          <w:spacing w:val="-22"/>
          <w:w w:val="115"/>
          <w:sz w:val="20"/>
        </w:rPr>
        <w:t> </w:t>
      </w:r>
      <w:r>
        <w:rPr>
          <w:rFonts w:ascii="Stone Sans II ITC Std Bk" w:hAnsi="Stone Sans II ITC Std Bk"/>
          <w:b/>
          <w:w w:val="115"/>
          <w:sz w:val="20"/>
        </w:rPr>
        <w:t>theology and</w:t>
      </w:r>
      <w:r>
        <w:rPr>
          <w:rFonts w:ascii="Stone Sans II ITC Std Bk" w:hAnsi="Stone Sans II ITC Std Bk"/>
          <w:b/>
          <w:spacing w:val="-35"/>
          <w:w w:val="115"/>
          <w:sz w:val="20"/>
        </w:rPr>
        <w:t> </w:t>
      </w:r>
      <w:r>
        <w:rPr>
          <w:rFonts w:ascii="Stone Sans II ITC Std Bk" w:hAnsi="Stone Sans II ITC Std Bk"/>
          <w:b/>
          <w:w w:val="115"/>
          <w:sz w:val="20"/>
        </w:rPr>
        <w:t>practice,</w:t>
      </w:r>
      <w:r>
        <w:rPr>
          <w:rFonts w:ascii="Stone Sans II ITC Std Bk" w:hAnsi="Stone Sans II ITC Std Bk"/>
          <w:b/>
          <w:spacing w:val="-35"/>
          <w:w w:val="115"/>
          <w:sz w:val="20"/>
        </w:rPr>
        <w:t> </w:t>
      </w:r>
      <w:r>
        <w:rPr>
          <w:rFonts w:ascii="Stone Sans II ITC Std Bk" w:hAnsi="Stone Sans II ITC Std Bk"/>
          <w:b/>
          <w:w w:val="115"/>
          <w:sz w:val="20"/>
        </w:rPr>
        <w:t>and</w:t>
      </w:r>
      <w:r>
        <w:rPr>
          <w:rFonts w:ascii="Stone Sans II ITC Std Bk" w:hAnsi="Stone Sans II ITC Std Bk"/>
          <w:b/>
          <w:spacing w:val="-34"/>
          <w:w w:val="115"/>
          <w:sz w:val="20"/>
        </w:rPr>
        <w:t> </w:t>
      </w:r>
      <w:r>
        <w:rPr>
          <w:rFonts w:ascii="Stone Sans II ITC Std Bk" w:hAnsi="Stone Sans II ITC Std Bk"/>
          <w:b/>
          <w:w w:val="115"/>
          <w:sz w:val="20"/>
        </w:rPr>
        <w:t>the</w:t>
      </w:r>
      <w:r>
        <w:rPr>
          <w:rFonts w:ascii="Stone Sans II ITC Std Bk" w:hAnsi="Stone Sans II ITC Std Bk"/>
          <w:b/>
          <w:spacing w:val="-35"/>
          <w:w w:val="115"/>
          <w:sz w:val="20"/>
        </w:rPr>
        <w:t> </w:t>
      </w:r>
      <w:r>
        <w:rPr>
          <w:rFonts w:ascii="Stone Sans II ITC Std Bk" w:hAnsi="Stone Sans II ITC Std Bk"/>
          <w:b/>
          <w:w w:val="115"/>
          <w:sz w:val="20"/>
        </w:rPr>
        <w:t>opportunities</w:t>
      </w:r>
      <w:r>
        <w:rPr>
          <w:rFonts w:ascii="Stone Sans II ITC Std Bk" w:hAnsi="Stone Sans II ITC Std Bk"/>
          <w:b/>
          <w:spacing w:val="-34"/>
          <w:w w:val="115"/>
          <w:sz w:val="20"/>
        </w:rPr>
        <w:t> </w:t>
      </w:r>
      <w:r>
        <w:rPr>
          <w:rFonts w:ascii="Stone Sans II ITC Std Bk" w:hAnsi="Stone Sans II ITC Std Bk"/>
          <w:b/>
          <w:w w:val="115"/>
          <w:sz w:val="20"/>
        </w:rPr>
        <w:t>and</w:t>
      </w:r>
      <w:r>
        <w:rPr>
          <w:rFonts w:ascii="Stone Sans II ITC Std Bk" w:hAnsi="Stone Sans II ITC Std Bk"/>
          <w:b/>
          <w:spacing w:val="-35"/>
          <w:w w:val="115"/>
          <w:sz w:val="20"/>
        </w:rPr>
        <w:t> </w:t>
      </w:r>
      <w:r>
        <w:rPr>
          <w:rFonts w:ascii="Stone Sans II ITC Std Bk" w:hAnsi="Stone Sans II ITC Std Bk"/>
          <w:b/>
          <w:w w:val="115"/>
          <w:sz w:val="20"/>
        </w:rPr>
        <w:t>challenges</w:t>
      </w:r>
      <w:r>
        <w:rPr>
          <w:rFonts w:ascii="Stone Sans II ITC Std Bk" w:hAnsi="Stone Sans II ITC Std Bk"/>
          <w:b/>
          <w:spacing w:val="-34"/>
          <w:w w:val="115"/>
          <w:sz w:val="20"/>
        </w:rPr>
        <w:t> </w:t>
      </w:r>
      <w:r>
        <w:rPr>
          <w:rFonts w:ascii="Stone Sans II ITC Std Bk" w:hAnsi="Stone Sans II ITC Std Bk"/>
          <w:b/>
          <w:w w:val="115"/>
          <w:sz w:val="20"/>
        </w:rPr>
        <w:t>of</w:t>
      </w:r>
      <w:r>
        <w:rPr>
          <w:rFonts w:ascii="Stone Sans II ITC Std Bk" w:hAnsi="Stone Sans II ITC Std Bk"/>
          <w:b/>
          <w:spacing w:val="-35"/>
          <w:w w:val="115"/>
          <w:sz w:val="20"/>
        </w:rPr>
        <w:t> </w:t>
      </w:r>
      <w:r>
        <w:rPr>
          <w:rFonts w:ascii="Stone Sans II ITC Std Bk" w:hAnsi="Stone Sans II ITC Std Bk"/>
          <w:b/>
          <w:w w:val="115"/>
          <w:sz w:val="20"/>
        </w:rPr>
        <w:t>worshipping</w:t>
      </w:r>
      <w:r>
        <w:rPr>
          <w:rFonts w:ascii="Stone Sans II ITC Std Bk" w:hAnsi="Stone Sans II ITC Std Bk"/>
          <w:b/>
          <w:spacing w:val="-34"/>
          <w:w w:val="115"/>
          <w:sz w:val="20"/>
        </w:rPr>
        <w:t> </w:t>
      </w:r>
      <w:r>
        <w:rPr>
          <w:rFonts w:ascii="Stone Sans II ITC Std Bk" w:hAnsi="Stone Sans II ITC Std Bk"/>
          <w:b/>
          <w:w w:val="115"/>
          <w:sz w:val="20"/>
        </w:rPr>
        <w:t>together. </w:t>
      </w:r>
      <w:r>
        <w:rPr>
          <w:w w:val="115"/>
          <w:sz w:val="20"/>
        </w:rPr>
        <w:t>By ‘worshipping together’ we mean to include the experience of ministers from one church</w:t>
      </w:r>
      <w:r>
        <w:rPr>
          <w:spacing w:val="22"/>
          <w:w w:val="115"/>
          <w:sz w:val="20"/>
        </w:rPr>
        <w:t> </w:t>
      </w:r>
      <w:r>
        <w:rPr>
          <w:w w:val="115"/>
          <w:sz w:val="20"/>
        </w:rPr>
        <w:t>leading</w:t>
      </w:r>
      <w:r>
        <w:rPr>
          <w:spacing w:val="23"/>
          <w:w w:val="115"/>
          <w:sz w:val="20"/>
        </w:rPr>
        <w:t> </w:t>
      </w:r>
      <w:r>
        <w:rPr>
          <w:w w:val="115"/>
          <w:sz w:val="20"/>
        </w:rPr>
        <w:t>worship</w:t>
      </w:r>
      <w:r>
        <w:rPr>
          <w:spacing w:val="23"/>
          <w:w w:val="115"/>
          <w:sz w:val="20"/>
        </w:rPr>
        <w:t> </w:t>
      </w:r>
      <w:r>
        <w:rPr>
          <w:w w:val="115"/>
          <w:sz w:val="20"/>
        </w:rPr>
        <w:t>in</w:t>
      </w:r>
      <w:r>
        <w:rPr>
          <w:spacing w:val="23"/>
          <w:w w:val="115"/>
          <w:sz w:val="20"/>
        </w:rPr>
        <w:t> </w:t>
      </w:r>
      <w:r>
        <w:rPr>
          <w:w w:val="115"/>
          <w:sz w:val="20"/>
        </w:rPr>
        <w:t>the</w:t>
      </w:r>
      <w:r>
        <w:rPr>
          <w:spacing w:val="23"/>
          <w:w w:val="115"/>
          <w:sz w:val="20"/>
        </w:rPr>
        <w:t> </w:t>
      </w:r>
      <w:r>
        <w:rPr>
          <w:spacing w:val="-3"/>
          <w:w w:val="115"/>
          <w:sz w:val="20"/>
        </w:rPr>
        <w:t>other,</w:t>
      </w:r>
      <w:r>
        <w:rPr>
          <w:spacing w:val="23"/>
          <w:w w:val="115"/>
          <w:sz w:val="20"/>
        </w:rPr>
        <w:t> </w:t>
      </w:r>
      <w:r>
        <w:rPr>
          <w:w w:val="115"/>
          <w:sz w:val="20"/>
        </w:rPr>
        <w:t>as</w:t>
      </w:r>
      <w:r>
        <w:rPr>
          <w:spacing w:val="23"/>
          <w:w w:val="115"/>
          <w:sz w:val="20"/>
        </w:rPr>
        <w:t> </w:t>
      </w:r>
      <w:r>
        <w:rPr>
          <w:w w:val="115"/>
          <w:sz w:val="20"/>
        </w:rPr>
        <w:t>well</w:t>
      </w:r>
      <w:r>
        <w:rPr>
          <w:spacing w:val="23"/>
          <w:w w:val="115"/>
          <w:sz w:val="20"/>
        </w:rPr>
        <w:t> </w:t>
      </w:r>
      <w:r>
        <w:rPr>
          <w:w w:val="115"/>
          <w:sz w:val="20"/>
        </w:rPr>
        <w:t>as</w:t>
      </w:r>
      <w:r>
        <w:rPr>
          <w:spacing w:val="23"/>
          <w:w w:val="115"/>
          <w:sz w:val="20"/>
        </w:rPr>
        <w:t> </w:t>
      </w:r>
      <w:r>
        <w:rPr>
          <w:w w:val="115"/>
          <w:sz w:val="20"/>
        </w:rPr>
        <w:t>joint</w:t>
      </w:r>
      <w:r>
        <w:rPr>
          <w:spacing w:val="23"/>
          <w:w w:val="115"/>
          <w:sz w:val="20"/>
        </w:rPr>
        <w:t> </w:t>
      </w:r>
      <w:r>
        <w:rPr>
          <w:w w:val="115"/>
          <w:sz w:val="20"/>
        </w:rPr>
        <w:t>congregations</w:t>
      </w:r>
      <w:r>
        <w:rPr>
          <w:spacing w:val="23"/>
          <w:w w:val="115"/>
          <w:sz w:val="20"/>
        </w:rPr>
        <w:t> </w:t>
      </w:r>
      <w:r>
        <w:rPr>
          <w:w w:val="115"/>
          <w:sz w:val="20"/>
        </w:rPr>
        <w:t>in</w:t>
      </w:r>
      <w:r>
        <w:rPr>
          <w:spacing w:val="23"/>
          <w:w w:val="115"/>
          <w:sz w:val="20"/>
        </w:rPr>
        <w:t> </w:t>
      </w:r>
      <w:r>
        <w:rPr>
          <w:w w:val="115"/>
          <w:sz w:val="20"/>
        </w:rPr>
        <w:t>the</w:t>
      </w:r>
      <w:r>
        <w:rPr>
          <w:spacing w:val="23"/>
          <w:w w:val="115"/>
          <w:sz w:val="20"/>
        </w:rPr>
        <w:t> </w:t>
      </w:r>
      <w:r>
        <w:rPr>
          <w:w w:val="115"/>
          <w:sz w:val="20"/>
        </w:rPr>
        <w:t>context</w:t>
      </w:r>
    </w:p>
    <w:p>
      <w:pPr>
        <w:pStyle w:val="BodyText"/>
        <w:spacing w:line="235" w:lineRule="auto" w:before="5"/>
        <w:ind w:left="607" w:right="2045"/>
      </w:pPr>
      <w:r>
        <w:rPr>
          <w:w w:val="120"/>
        </w:rPr>
        <w:t>of LEPs and churches who might share worship together from time to time. For any church, ways of worshipping are a crucial </w:t>
      </w:r>
      <w:r>
        <w:rPr>
          <w:spacing w:val="2"/>
          <w:w w:val="120"/>
        </w:rPr>
        <w:t>part </w:t>
      </w:r>
      <w:r>
        <w:rPr>
          <w:w w:val="120"/>
        </w:rPr>
        <w:t>of identity – Christian, ecclesial and denominational – so that growing in our ability to be one in worship is a critical dimension of growing in our ability to be one so that the world may believe. Worship of one God, in the name of one Lord, confessing one faith and one hope in the power of the one Spirit, is where the ecumenical journey begins and</w:t>
      </w:r>
      <w:r>
        <w:rPr>
          <w:spacing w:val="31"/>
          <w:w w:val="120"/>
        </w:rPr>
        <w:t> </w:t>
      </w:r>
      <w:r>
        <w:rPr>
          <w:w w:val="120"/>
        </w:rPr>
        <w:t>ends.</w:t>
      </w:r>
    </w:p>
    <w:p>
      <w:pPr>
        <w:pStyle w:val="BodyText"/>
      </w:pPr>
    </w:p>
    <w:p>
      <w:pPr>
        <w:pStyle w:val="ListParagraph"/>
        <w:numPr>
          <w:ilvl w:val="0"/>
          <w:numId w:val="159"/>
        </w:numPr>
        <w:tabs>
          <w:tab w:pos="1287" w:val="left" w:leader="none"/>
          <w:tab w:pos="1288" w:val="left" w:leader="none"/>
        </w:tabs>
        <w:spacing w:line="235" w:lineRule="auto" w:before="0" w:after="0"/>
        <w:ind w:left="607" w:right="2672" w:firstLine="0"/>
        <w:jc w:val="left"/>
        <w:rPr>
          <w:sz w:val="20"/>
        </w:rPr>
      </w:pPr>
      <w:r>
        <w:rPr>
          <w:w w:val="120"/>
          <w:sz w:val="20"/>
        </w:rPr>
        <w:t>Finally, we believe that serious thought needs to be given to establishing   a suitable body that can monitor the implementation of these</w:t>
      </w:r>
      <w:r>
        <w:rPr>
          <w:spacing w:val="26"/>
          <w:w w:val="120"/>
          <w:sz w:val="20"/>
        </w:rPr>
        <w:t> </w:t>
      </w:r>
      <w:r>
        <w:rPr>
          <w:w w:val="120"/>
          <w:sz w:val="20"/>
        </w:rPr>
        <w:t>recommendations,</w:t>
      </w:r>
    </w:p>
    <w:p>
      <w:pPr>
        <w:spacing w:line="225" w:lineRule="auto" w:before="9"/>
        <w:ind w:left="607" w:right="2120" w:firstLine="0"/>
        <w:jc w:val="left"/>
        <w:rPr>
          <w:rFonts w:ascii="Stone Sans II ITC Std Bk" w:hAnsi="Stone Sans II ITC Std Bk"/>
          <w:b/>
          <w:sz w:val="20"/>
        </w:rPr>
      </w:pPr>
      <w:r>
        <w:rPr>
          <w:w w:val="115"/>
          <w:sz w:val="20"/>
        </w:rPr>
        <w:t>coordinate different  initiatives  and  have  responsibility  for  continuing  to  seek  growth in relations between our  two  churches,  identifying  both  challenges  and  opportunities. It would coordinate work done by others rather than aiming  to  fulfil  major  tasks  by itself. It would not need to meet frequently or have a large membership,  and  would </w:t>
      </w:r>
      <w:r>
        <w:rPr>
          <w:spacing w:val="2"/>
          <w:w w:val="115"/>
          <w:sz w:val="20"/>
        </w:rPr>
        <w:t>report </w:t>
      </w:r>
      <w:r>
        <w:rPr>
          <w:w w:val="115"/>
          <w:sz w:val="20"/>
        </w:rPr>
        <w:t>to the appropriate church body, i.e. at the time of writing for the  Church  of England the Council for Christian Unity and for the United Reformed Church the faith      and order committee. We therefore recommend that </w:t>
      </w:r>
      <w:r>
        <w:rPr>
          <w:rFonts w:ascii="Stone Sans II ITC Std Bk" w:hAnsi="Stone Sans II ITC Std Bk"/>
          <w:b/>
          <w:spacing w:val="-7"/>
          <w:w w:val="115"/>
          <w:sz w:val="20"/>
        </w:rPr>
        <w:t>(5) </w:t>
      </w:r>
      <w:r>
        <w:rPr>
          <w:rFonts w:ascii="Stone Sans II ITC Std Bk" w:hAnsi="Stone Sans II ITC Std Bk"/>
          <w:b/>
          <w:w w:val="115"/>
          <w:sz w:val="20"/>
        </w:rPr>
        <w:t>a steering group be set up for Church of England – United Reformed Church Relations that can monitor the implementation of the report’s first four recommendations, coordinate different</w:t>
      </w:r>
      <w:r>
        <w:rPr>
          <w:rFonts w:ascii="Stone Sans II ITC Std Bk" w:hAnsi="Stone Sans II ITC Std Bk"/>
          <w:b/>
          <w:spacing w:val="-17"/>
          <w:w w:val="115"/>
          <w:sz w:val="20"/>
        </w:rPr>
        <w:t> </w:t>
      </w:r>
      <w:r>
        <w:rPr>
          <w:rFonts w:ascii="Stone Sans II ITC Std Bk" w:hAnsi="Stone Sans II ITC Std Bk"/>
          <w:b/>
          <w:w w:val="115"/>
          <w:sz w:val="20"/>
        </w:rPr>
        <w:t>areas</w:t>
      </w:r>
      <w:r>
        <w:rPr>
          <w:rFonts w:ascii="Stone Sans II ITC Std Bk" w:hAnsi="Stone Sans II ITC Std Bk"/>
          <w:b/>
          <w:spacing w:val="-16"/>
          <w:w w:val="115"/>
          <w:sz w:val="20"/>
        </w:rPr>
        <w:t> </w:t>
      </w:r>
      <w:r>
        <w:rPr>
          <w:rFonts w:ascii="Stone Sans II ITC Std Bk" w:hAnsi="Stone Sans II ITC Std Bk"/>
          <w:b/>
          <w:w w:val="115"/>
          <w:sz w:val="20"/>
        </w:rPr>
        <w:t>of</w:t>
      </w:r>
      <w:r>
        <w:rPr>
          <w:rFonts w:ascii="Stone Sans II ITC Std Bk" w:hAnsi="Stone Sans II ITC Std Bk"/>
          <w:b/>
          <w:spacing w:val="-16"/>
          <w:w w:val="115"/>
          <w:sz w:val="20"/>
        </w:rPr>
        <w:t> </w:t>
      </w:r>
      <w:r>
        <w:rPr>
          <w:rFonts w:ascii="Stone Sans II ITC Std Bk" w:hAnsi="Stone Sans II ITC Std Bk"/>
          <w:b/>
          <w:w w:val="115"/>
          <w:sz w:val="20"/>
        </w:rPr>
        <w:t>activity</w:t>
      </w:r>
      <w:r>
        <w:rPr>
          <w:rFonts w:ascii="Stone Sans II ITC Std Bk" w:hAnsi="Stone Sans II ITC Std Bk"/>
          <w:b/>
          <w:spacing w:val="-16"/>
          <w:w w:val="115"/>
          <w:sz w:val="20"/>
        </w:rPr>
        <w:t> </w:t>
      </w:r>
      <w:r>
        <w:rPr>
          <w:rFonts w:ascii="Stone Sans II ITC Std Bk" w:hAnsi="Stone Sans II ITC Std Bk"/>
          <w:b/>
          <w:w w:val="115"/>
          <w:sz w:val="20"/>
        </w:rPr>
        <w:t>and</w:t>
      </w:r>
      <w:r>
        <w:rPr>
          <w:rFonts w:ascii="Stone Sans II ITC Std Bk" w:hAnsi="Stone Sans II ITC Std Bk"/>
          <w:b/>
          <w:spacing w:val="-16"/>
          <w:w w:val="115"/>
          <w:sz w:val="20"/>
        </w:rPr>
        <w:t> </w:t>
      </w:r>
      <w:r>
        <w:rPr>
          <w:rFonts w:ascii="Stone Sans II ITC Std Bk" w:hAnsi="Stone Sans II ITC Std Bk"/>
          <w:b/>
          <w:w w:val="115"/>
          <w:sz w:val="20"/>
        </w:rPr>
        <w:t>promote</w:t>
      </w:r>
      <w:r>
        <w:rPr>
          <w:rFonts w:ascii="Stone Sans II ITC Std Bk" w:hAnsi="Stone Sans II ITC Std Bk"/>
          <w:b/>
          <w:spacing w:val="-16"/>
          <w:w w:val="115"/>
          <w:sz w:val="20"/>
        </w:rPr>
        <w:t> </w:t>
      </w:r>
      <w:r>
        <w:rPr>
          <w:rFonts w:ascii="Stone Sans II ITC Std Bk" w:hAnsi="Stone Sans II ITC Std Bk"/>
          <w:b/>
          <w:w w:val="115"/>
          <w:sz w:val="20"/>
        </w:rPr>
        <w:t>further</w:t>
      </w:r>
      <w:r>
        <w:rPr>
          <w:rFonts w:ascii="Stone Sans II ITC Std Bk" w:hAnsi="Stone Sans II ITC Std Bk"/>
          <w:b/>
          <w:spacing w:val="-16"/>
          <w:w w:val="115"/>
          <w:sz w:val="20"/>
        </w:rPr>
        <w:t> </w:t>
      </w:r>
      <w:r>
        <w:rPr>
          <w:rFonts w:ascii="Stone Sans II ITC Std Bk" w:hAnsi="Stone Sans II ITC Std Bk"/>
          <w:b/>
          <w:w w:val="115"/>
          <w:sz w:val="20"/>
        </w:rPr>
        <w:t>growth</w:t>
      </w:r>
      <w:r>
        <w:rPr>
          <w:rFonts w:ascii="Stone Sans II ITC Std Bk" w:hAnsi="Stone Sans II ITC Std Bk"/>
          <w:b/>
          <w:spacing w:val="-16"/>
          <w:w w:val="115"/>
          <w:sz w:val="20"/>
        </w:rPr>
        <w:t> </w:t>
      </w:r>
      <w:r>
        <w:rPr>
          <w:rFonts w:ascii="Stone Sans II ITC Std Bk" w:hAnsi="Stone Sans II ITC Std Bk"/>
          <w:b/>
          <w:w w:val="115"/>
          <w:sz w:val="20"/>
        </w:rPr>
        <w:t>in</w:t>
      </w:r>
      <w:r>
        <w:rPr>
          <w:rFonts w:ascii="Stone Sans II ITC Std Bk" w:hAnsi="Stone Sans II ITC Std Bk"/>
          <w:b/>
          <w:spacing w:val="-16"/>
          <w:w w:val="115"/>
          <w:sz w:val="20"/>
        </w:rPr>
        <w:t> </w:t>
      </w:r>
      <w:r>
        <w:rPr>
          <w:rFonts w:ascii="Stone Sans II ITC Std Bk" w:hAnsi="Stone Sans II ITC Std Bk"/>
          <w:b/>
          <w:w w:val="115"/>
          <w:sz w:val="20"/>
        </w:rPr>
        <w:t>unity</w:t>
      </w:r>
      <w:r>
        <w:rPr>
          <w:rFonts w:ascii="Stone Sans II ITC Std Bk" w:hAnsi="Stone Sans II ITC Std Bk"/>
          <w:b/>
          <w:spacing w:val="-16"/>
          <w:w w:val="115"/>
          <w:sz w:val="20"/>
        </w:rPr>
        <w:t> </w:t>
      </w:r>
      <w:r>
        <w:rPr>
          <w:rFonts w:ascii="Stone Sans II ITC Std Bk" w:hAnsi="Stone Sans II ITC Std Bk"/>
          <w:b/>
          <w:w w:val="115"/>
          <w:sz w:val="20"/>
        </w:rPr>
        <w:t>in</w:t>
      </w:r>
      <w:r>
        <w:rPr>
          <w:rFonts w:ascii="Stone Sans II ITC Std Bk" w:hAnsi="Stone Sans II ITC Std Bk"/>
          <w:b/>
          <w:spacing w:val="-16"/>
          <w:w w:val="115"/>
          <w:sz w:val="20"/>
        </w:rPr>
        <w:t> </w:t>
      </w:r>
      <w:r>
        <w:rPr>
          <w:rFonts w:ascii="Stone Sans II ITC Std Bk" w:hAnsi="Stone Sans II ITC Std Bk"/>
          <w:b/>
          <w:w w:val="115"/>
          <w:sz w:val="20"/>
        </w:rPr>
        <w:t>mission.</w:t>
      </w:r>
    </w:p>
    <w:p>
      <w:pPr>
        <w:spacing w:after="0" w:line="225" w:lineRule="auto"/>
        <w:jc w:val="left"/>
        <w:rPr>
          <w:rFonts w:ascii="Stone Sans II ITC Std Bk" w:hAnsi="Stone Sans II ITC Std Bk"/>
          <w:sz w:val="20"/>
        </w:rPr>
        <w:sectPr>
          <w:headerReference w:type="even" r:id="rId372"/>
          <w:pgSz w:w="11910" w:h="16840"/>
          <w:pgMar w:header="0" w:footer="647" w:top="0" w:bottom="840" w:left="640" w:right="0"/>
        </w:sectPr>
      </w:pPr>
    </w:p>
    <w:p>
      <w:pPr>
        <w:pStyle w:val="BodyText"/>
        <w:rPr>
          <w:rFonts w:ascii="Stone Sans II ITC Std Bk"/>
          <w:b/>
        </w:rPr>
      </w:pPr>
      <w:r>
        <w:rPr/>
        <w:drawing>
          <wp:anchor distT="0" distB="0" distL="0" distR="0" allowOverlap="1" layoutInCell="1" locked="0" behindDoc="0" simplePos="0" relativeHeight="252007424">
            <wp:simplePos x="0" y="0"/>
            <wp:positionH relativeFrom="page">
              <wp:posOffset>6974928</wp:posOffset>
            </wp:positionH>
            <wp:positionV relativeFrom="page">
              <wp:posOffset>0</wp:posOffset>
            </wp:positionV>
            <wp:extent cx="585063" cy="10692003"/>
            <wp:effectExtent l="0" t="0" r="0" b="0"/>
            <wp:wrapNone/>
            <wp:docPr id="251" name="image54.png"/>
            <wp:cNvGraphicFramePr>
              <a:graphicFrameLocks noChangeAspect="1"/>
            </wp:cNvGraphicFramePr>
            <a:graphic>
              <a:graphicData uri="http://schemas.openxmlformats.org/drawingml/2006/picture">
                <pic:pic>
                  <pic:nvPicPr>
                    <pic:cNvPr id="252" name="image54.png"/>
                    <pic:cNvPicPr/>
                  </pic:nvPicPr>
                  <pic:blipFill>
                    <a:blip r:embed="rId169" cstate="print"/>
                    <a:stretch>
                      <a:fillRect/>
                    </a:stretch>
                  </pic:blipFill>
                  <pic:spPr>
                    <a:xfrm>
                      <a:off x="0" y="0"/>
                      <a:ext cx="585063" cy="10692003"/>
                    </a:xfrm>
                    <a:prstGeom prst="rect">
                      <a:avLst/>
                    </a:prstGeom>
                  </pic:spPr>
                </pic:pic>
              </a:graphicData>
            </a:graphic>
          </wp:anchor>
        </w:drawing>
      </w:r>
    </w:p>
    <w:p>
      <w:pPr>
        <w:pStyle w:val="BodyText"/>
        <w:rPr>
          <w:rFonts w:ascii="Stone Sans II ITC Std Bk"/>
          <w:b/>
        </w:rPr>
      </w:pPr>
    </w:p>
    <w:p>
      <w:pPr>
        <w:pStyle w:val="BodyText"/>
        <w:rPr>
          <w:rFonts w:ascii="Stone Sans II ITC Std Bk"/>
          <w:b/>
        </w:rPr>
      </w:pPr>
    </w:p>
    <w:p>
      <w:pPr>
        <w:pStyle w:val="BodyText"/>
        <w:spacing w:before="11"/>
        <w:rPr>
          <w:rFonts w:ascii="Stone Sans II ITC Std Bk"/>
          <w:b/>
          <w:sz w:val="19"/>
        </w:rPr>
      </w:pPr>
    </w:p>
    <w:p>
      <w:pPr>
        <w:spacing w:line="638" w:lineRule="exact" w:before="98"/>
        <w:ind w:left="1103" w:right="0" w:firstLine="0"/>
        <w:jc w:val="left"/>
        <w:rPr>
          <w:rFonts w:ascii="Stone Sans II ITC Std X Bd"/>
          <w:b/>
          <w:sz w:val="50"/>
        </w:rPr>
      </w:pPr>
      <w:r>
        <w:rPr/>
        <w:pict>
          <v:shape style="position:absolute;margin-left:554.141174pt;margin-top:-5.948083pt;width:25.9pt;height:79.1pt;mso-position-horizontal-relative:page;mso-position-vertical-relative:paragraph;z-index:252011520" type="#_x0000_t202" filled="false" stroked="false">
            <v:textbox inset="0,0,0,0" style="layout-flow:vertical">
              <w:txbxContent>
                <w:p>
                  <w:pPr>
                    <w:spacing w:before="27"/>
                    <w:ind w:left="20" w:right="0" w:firstLine="0"/>
                    <w:jc w:val="left"/>
                    <w:rPr>
                      <w:sz w:val="39"/>
                    </w:rPr>
                  </w:pPr>
                  <w:r>
                    <w:rPr>
                      <w:color w:val="FFFFFF"/>
                      <w:w w:val="120"/>
                      <w:sz w:val="39"/>
                    </w:rPr>
                    <w:t>Finance</w:t>
                  </w:r>
                </w:p>
              </w:txbxContent>
            </v:textbox>
            <w10:wrap type="none"/>
          </v:shape>
        </w:pict>
      </w:r>
      <w:r>
        <w:rPr>
          <w:rFonts w:ascii="Stone Sans II ITC Std X Bd"/>
          <w:b/>
          <w:color w:val="0090D4"/>
          <w:w w:val="110"/>
          <w:sz w:val="50"/>
        </w:rPr>
        <w:t>Finance committee:</w:t>
      </w:r>
    </w:p>
    <w:p>
      <w:pPr>
        <w:spacing w:line="638" w:lineRule="exact" w:before="0"/>
        <w:ind w:left="1103" w:right="0" w:firstLine="0"/>
        <w:jc w:val="left"/>
        <w:rPr>
          <w:rFonts w:ascii="Stone Sans II ITC Std X Bd"/>
          <w:b/>
          <w:sz w:val="50"/>
        </w:rPr>
      </w:pPr>
      <w:r>
        <w:rPr>
          <w:rFonts w:ascii="Stone Sans II ITC Std X Bd"/>
          <w:b/>
          <w:spacing w:val="-9"/>
          <w:w w:val="110"/>
          <w:sz w:val="50"/>
        </w:rPr>
        <w:t>General </w:t>
      </w:r>
      <w:r>
        <w:rPr>
          <w:rFonts w:ascii="Stone Sans II ITC Std X Bd"/>
          <w:b/>
          <w:spacing w:val="-6"/>
          <w:w w:val="110"/>
          <w:sz w:val="50"/>
        </w:rPr>
        <w:t>Report </w:t>
      </w:r>
      <w:r>
        <w:rPr>
          <w:rFonts w:ascii="Stone Sans II ITC Std X Bd"/>
          <w:b/>
          <w:spacing w:val="-24"/>
          <w:w w:val="110"/>
          <w:sz w:val="50"/>
        </w:rPr>
        <w:t>2014 </w:t>
      </w:r>
      <w:r>
        <w:rPr>
          <w:rFonts w:ascii="Stone Sans II ITC Std X Bd"/>
          <w:b/>
          <w:spacing w:val="-10"/>
          <w:w w:val="110"/>
          <w:sz w:val="50"/>
        </w:rPr>
        <w:t>to </w:t>
      </w:r>
      <w:r>
        <w:rPr>
          <w:rFonts w:ascii="Stone Sans II ITC Std X Bd"/>
          <w:b/>
          <w:spacing w:val="-22"/>
          <w:w w:val="110"/>
          <w:sz w:val="50"/>
        </w:rPr>
        <w:t>2016</w:t>
      </w:r>
    </w:p>
    <w:p>
      <w:pPr>
        <w:pStyle w:val="Heading4"/>
        <w:spacing w:before="307"/>
        <w:ind w:left="1103"/>
      </w:pPr>
      <w:r>
        <w:rPr/>
        <w:pict>
          <v:shape style="position:absolute;margin-left:87.415001pt;margin-top:31.779884pt;width:462.1pt;height:83.95pt;mso-position-horizontal-relative:page;mso-position-vertical-relative:paragraph;z-index:-267761664" coordorigin="1748,636" coordsize="9242,1679" path="m10990,636l4408,636,1748,636,1748,2314,4408,2314,10990,2314,10990,636e" filled="true" fillcolor="#ffffff" stroked="false">
            <v:path arrowok="t"/>
            <v:fill type="solid"/>
            <w10:wrap type="none"/>
          </v:shape>
        </w:pict>
      </w:r>
      <w:r>
        <w:rPr>
          <w:color w:val="7F7F7F"/>
        </w:rPr>
        <w:t>Basic Information</w:t>
      </w:r>
    </w:p>
    <w:tbl>
      <w:tblPr>
        <w:tblW w:w="0" w:type="auto"/>
        <w:jc w:val="left"/>
        <w:tblInd w:w="111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660"/>
        <w:gridCol w:w="6582"/>
      </w:tblGrid>
      <w:tr>
        <w:trPr>
          <w:trHeight w:val="680" w:hRule="atLeast"/>
        </w:trPr>
        <w:tc>
          <w:tcPr>
            <w:tcW w:w="2660" w:type="dxa"/>
          </w:tcPr>
          <w:p>
            <w:pPr>
              <w:pStyle w:val="TableParagraph"/>
              <w:spacing w:line="213" w:lineRule="auto" w:before="151"/>
              <w:ind w:right="595"/>
              <w:rPr>
                <w:rFonts w:ascii="Stone Sans II ITC Std Bk"/>
                <w:b/>
                <w:sz w:val="20"/>
              </w:rPr>
            </w:pPr>
            <w:r>
              <w:rPr>
                <w:rFonts w:ascii="Stone Sans II ITC Std Bk"/>
                <w:b/>
                <w:w w:val="110"/>
                <w:sz w:val="20"/>
              </w:rPr>
              <w:t>Contact name and email address</w:t>
            </w:r>
          </w:p>
        </w:tc>
        <w:tc>
          <w:tcPr>
            <w:tcW w:w="6582" w:type="dxa"/>
          </w:tcPr>
          <w:p>
            <w:pPr>
              <w:pStyle w:val="TableParagraph"/>
              <w:spacing w:before="141"/>
              <w:rPr>
                <w:sz w:val="20"/>
              </w:rPr>
            </w:pPr>
            <w:r>
              <w:rPr>
                <w:w w:val="120"/>
                <w:sz w:val="20"/>
              </w:rPr>
              <w:t>John Ellis, Treasurer: </w:t>
            </w:r>
            <w:hyperlink r:id="rId376">
              <w:r>
                <w:rPr>
                  <w:color w:val="006AB3"/>
                  <w:w w:val="120"/>
                  <w:sz w:val="20"/>
                </w:rPr>
                <w:t>john.ellis@urc.org.uk</w:t>
              </w:r>
            </w:hyperlink>
          </w:p>
        </w:tc>
      </w:tr>
      <w:tr>
        <w:trPr>
          <w:trHeight w:val="440" w:hRule="atLeast"/>
        </w:trPr>
        <w:tc>
          <w:tcPr>
            <w:tcW w:w="2660" w:type="dxa"/>
          </w:tcPr>
          <w:p>
            <w:pPr>
              <w:pStyle w:val="TableParagraph"/>
              <w:spacing w:before="128"/>
              <w:rPr>
                <w:rFonts w:ascii="Stone Sans II ITC Std Bk"/>
                <w:b/>
                <w:sz w:val="20"/>
              </w:rPr>
            </w:pPr>
            <w:r>
              <w:rPr>
                <w:rFonts w:ascii="Stone Sans II ITC Std Bk"/>
                <w:b/>
                <w:w w:val="110"/>
                <w:sz w:val="20"/>
              </w:rPr>
              <w:t>Action required</w:t>
            </w:r>
          </w:p>
        </w:tc>
        <w:tc>
          <w:tcPr>
            <w:tcW w:w="6582" w:type="dxa"/>
          </w:tcPr>
          <w:p>
            <w:pPr>
              <w:pStyle w:val="TableParagraph"/>
              <w:spacing w:before="141"/>
              <w:rPr>
                <w:sz w:val="20"/>
              </w:rPr>
            </w:pPr>
            <w:r>
              <w:rPr>
                <w:w w:val="115"/>
                <w:sz w:val="20"/>
              </w:rPr>
              <w:t>For information</w:t>
            </w:r>
          </w:p>
        </w:tc>
      </w:tr>
      <w:tr>
        <w:trPr>
          <w:trHeight w:val="528" w:hRule="atLeast"/>
        </w:trPr>
        <w:tc>
          <w:tcPr>
            <w:tcW w:w="2660" w:type="dxa"/>
          </w:tcPr>
          <w:p>
            <w:pPr>
              <w:pStyle w:val="TableParagraph"/>
              <w:spacing w:before="128"/>
              <w:rPr>
                <w:rFonts w:ascii="Stone Sans II ITC Std Bk"/>
                <w:b/>
                <w:sz w:val="20"/>
              </w:rPr>
            </w:pPr>
            <w:r>
              <w:rPr>
                <w:rFonts w:ascii="Stone Sans II ITC Std Bk"/>
                <w:b/>
                <w:w w:val="110"/>
                <w:sz w:val="20"/>
              </w:rPr>
              <w:t>Draft resolution(s)</w:t>
            </w:r>
          </w:p>
        </w:tc>
        <w:tc>
          <w:tcPr>
            <w:tcW w:w="6582" w:type="dxa"/>
          </w:tcPr>
          <w:p>
            <w:pPr>
              <w:pStyle w:val="TableParagraph"/>
              <w:spacing w:before="128"/>
              <w:rPr>
                <w:rFonts w:ascii="Stone Sans II ITC Std Bk"/>
                <w:b/>
                <w:sz w:val="20"/>
              </w:rPr>
            </w:pPr>
            <w:r>
              <w:rPr>
                <w:rFonts w:ascii="Stone Sans II ITC Std Bk"/>
                <w:b/>
                <w:w w:val="110"/>
                <w:sz w:val="20"/>
              </w:rPr>
              <w:t>None</w:t>
            </w:r>
          </w:p>
        </w:tc>
      </w:tr>
    </w:tbl>
    <w:p>
      <w:pPr>
        <w:pStyle w:val="BodyText"/>
        <w:spacing w:before="4"/>
        <w:rPr>
          <w:rFonts w:ascii="Stone Sans II ITC Std Bk"/>
          <w:b/>
          <w:sz w:val="29"/>
        </w:rPr>
      </w:pPr>
    </w:p>
    <w:p>
      <w:pPr>
        <w:pStyle w:val="Heading4"/>
        <w:ind w:left="1103"/>
      </w:pPr>
      <w:r>
        <w:rPr/>
        <w:pict>
          <v:shape style="position:absolute;margin-left:87.415001pt;margin-top:16.430155pt;width:462.1pt;height:174.05pt;mso-position-horizontal-relative:page;mso-position-vertical-relative:paragraph;z-index:-267760640" coordorigin="1748,329" coordsize="9242,3481" path="m10990,329l4408,329,1748,329,1748,3809,4408,3809,10990,3809,10990,329e" filled="true" fillcolor="#ffffff" stroked="false">
            <v:path arrowok="t"/>
            <v:fill type="solid"/>
            <w10:wrap type="none"/>
          </v:shape>
        </w:pict>
      </w:r>
      <w:r>
        <w:rPr>
          <w:color w:val="7F7F7F"/>
        </w:rPr>
        <w:t>Summary of Content</w:t>
      </w:r>
    </w:p>
    <w:tbl>
      <w:tblPr>
        <w:tblW w:w="0" w:type="auto"/>
        <w:jc w:val="left"/>
        <w:tblInd w:w="111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660"/>
        <w:gridCol w:w="6582"/>
      </w:tblGrid>
      <w:tr>
        <w:trPr>
          <w:trHeight w:val="680" w:hRule="atLeast"/>
        </w:trPr>
        <w:tc>
          <w:tcPr>
            <w:tcW w:w="2660" w:type="dxa"/>
          </w:tcPr>
          <w:p>
            <w:pPr>
              <w:pStyle w:val="TableParagraph"/>
              <w:spacing w:before="128"/>
              <w:rPr>
                <w:rFonts w:ascii="Stone Sans II ITC Std Bk"/>
                <w:b/>
                <w:sz w:val="20"/>
              </w:rPr>
            </w:pPr>
            <w:r>
              <w:rPr>
                <w:rFonts w:ascii="Stone Sans II ITC Std Bk"/>
                <w:b/>
                <w:w w:val="110"/>
                <w:sz w:val="20"/>
              </w:rPr>
              <w:t>Subject and aim(s)</w:t>
            </w:r>
          </w:p>
        </w:tc>
        <w:tc>
          <w:tcPr>
            <w:tcW w:w="6582" w:type="dxa"/>
          </w:tcPr>
          <w:p>
            <w:pPr>
              <w:pStyle w:val="TableParagraph"/>
              <w:spacing w:line="235" w:lineRule="auto" w:before="145"/>
              <w:rPr>
                <w:sz w:val="20"/>
              </w:rPr>
            </w:pPr>
            <w:r>
              <w:rPr>
                <w:w w:val="120"/>
                <w:sz w:val="20"/>
              </w:rPr>
              <w:t>To report on the central budgets and other major areas of work over the last two years</w:t>
            </w:r>
          </w:p>
        </w:tc>
      </w:tr>
      <w:tr>
        <w:trPr>
          <w:trHeight w:val="1400" w:hRule="atLeast"/>
        </w:trPr>
        <w:tc>
          <w:tcPr>
            <w:tcW w:w="2660" w:type="dxa"/>
          </w:tcPr>
          <w:p>
            <w:pPr>
              <w:pStyle w:val="TableParagraph"/>
              <w:spacing w:before="128"/>
              <w:rPr>
                <w:rFonts w:ascii="Stone Sans II ITC Std Bk"/>
                <w:b/>
                <w:sz w:val="20"/>
              </w:rPr>
            </w:pPr>
            <w:r>
              <w:rPr>
                <w:rFonts w:ascii="Stone Sans II ITC Std Bk"/>
                <w:b/>
                <w:w w:val="110"/>
                <w:sz w:val="20"/>
              </w:rPr>
              <w:t>Main points</w:t>
            </w:r>
          </w:p>
        </w:tc>
        <w:tc>
          <w:tcPr>
            <w:tcW w:w="6582" w:type="dxa"/>
          </w:tcPr>
          <w:p>
            <w:pPr>
              <w:pStyle w:val="TableParagraph"/>
              <w:numPr>
                <w:ilvl w:val="0"/>
                <w:numId w:val="161"/>
              </w:numPr>
              <w:tabs>
                <w:tab w:pos="533" w:val="left" w:leader="none"/>
                <w:tab w:pos="534" w:val="left" w:leader="none"/>
              </w:tabs>
              <w:spacing w:line="235" w:lineRule="auto" w:before="145" w:after="0"/>
              <w:ind w:left="533" w:right="141" w:hanging="454"/>
              <w:jc w:val="left"/>
              <w:rPr>
                <w:sz w:val="20"/>
              </w:rPr>
            </w:pPr>
            <w:r>
              <w:rPr>
                <w:w w:val="120"/>
                <w:sz w:val="20"/>
              </w:rPr>
              <w:t>There were modest surpluses on the central budget in </w:t>
            </w:r>
            <w:r>
              <w:rPr>
                <w:spacing w:val="-7"/>
                <w:w w:val="120"/>
                <w:sz w:val="20"/>
              </w:rPr>
              <w:t>2014 </w:t>
            </w:r>
            <w:r>
              <w:rPr>
                <w:w w:val="120"/>
                <w:sz w:val="20"/>
              </w:rPr>
              <w:t>and</w:t>
            </w:r>
            <w:r>
              <w:rPr>
                <w:spacing w:val="2"/>
                <w:w w:val="120"/>
                <w:sz w:val="20"/>
              </w:rPr>
              <w:t> </w:t>
            </w:r>
            <w:r>
              <w:rPr>
                <w:spacing w:val="-11"/>
                <w:w w:val="120"/>
                <w:sz w:val="20"/>
              </w:rPr>
              <w:t>2015</w:t>
            </w:r>
          </w:p>
          <w:p>
            <w:pPr>
              <w:pStyle w:val="TableParagraph"/>
              <w:numPr>
                <w:ilvl w:val="0"/>
                <w:numId w:val="161"/>
              </w:numPr>
              <w:tabs>
                <w:tab w:pos="533" w:val="left" w:leader="none"/>
                <w:tab w:pos="534" w:val="left" w:leader="none"/>
              </w:tabs>
              <w:spacing w:line="240" w:lineRule="exact" w:before="0" w:after="0"/>
              <w:ind w:left="533" w:right="0" w:hanging="454"/>
              <w:jc w:val="left"/>
              <w:rPr>
                <w:sz w:val="20"/>
              </w:rPr>
            </w:pPr>
            <w:r>
              <w:rPr>
                <w:w w:val="120"/>
                <w:sz w:val="20"/>
              </w:rPr>
              <w:t>Ministry and Mission Fund giving is relatively</w:t>
            </w:r>
            <w:r>
              <w:rPr>
                <w:spacing w:val="20"/>
                <w:w w:val="120"/>
                <w:sz w:val="20"/>
              </w:rPr>
              <w:t> </w:t>
            </w:r>
            <w:r>
              <w:rPr>
                <w:w w:val="120"/>
                <w:sz w:val="20"/>
              </w:rPr>
              <w:t>stable</w:t>
            </w:r>
          </w:p>
          <w:p>
            <w:pPr>
              <w:pStyle w:val="TableParagraph"/>
              <w:numPr>
                <w:ilvl w:val="0"/>
                <w:numId w:val="161"/>
              </w:numPr>
              <w:tabs>
                <w:tab w:pos="533" w:val="left" w:leader="none"/>
                <w:tab w:pos="534" w:val="left" w:leader="none"/>
              </w:tabs>
              <w:spacing w:line="235" w:lineRule="auto" w:before="2" w:after="0"/>
              <w:ind w:left="533" w:right="161" w:hanging="454"/>
              <w:jc w:val="left"/>
              <w:rPr>
                <w:sz w:val="20"/>
              </w:rPr>
            </w:pPr>
            <w:r>
              <w:rPr>
                <w:w w:val="120"/>
                <w:sz w:val="20"/>
              </w:rPr>
              <w:t>The latest valuation of the Ministers’ Pension Fund did not require any significant increase in the </w:t>
            </w:r>
            <w:r>
              <w:rPr>
                <w:spacing w:val="-3"/>
                <w:w w:val="120"/>
                <w:sz w:val="20"/>
              </w:rPr>
              <w:t>Church’s</w:t>
            </w:r>
            <w:r>
              <w:rPr>
                <w:spacing w:val="5"/>
                <w:w w:val="120"/>
                <w:sz w:val="20"/>
              </w:rPr>
              <w:t> </w:t>
            </w:r>
            <w:r>
              <w:rPr>
                <w:w w:val="120"/>
                <w:sz w:val="20"/>
              </w:rPr>
              <w:t>contribution</w:t>
            </w:r>
          </w:p>
        </w:tc>
      </w:tr>
      <w:tr>
        <w:trPr>
          <w:trHeight w:val="680" w:hRule="atLeast"/>
        </w:trPr>
        <w:tc>
          <w:tcPr>
            <w:tcW w:w="2660" w:type="dxa"/>
          </w:tcPr>
          <w:p>
            <w:pPr>
              <w:pStyle w:val="TableParagraph"/>
              <w:spacing w:line="213" w:lineRule="auto" w:before="151"/>
              <w:ind w:right="701"/>
              <w:rPr>
                <w:rFonts w:ascii="Stone Sans II ITC Std Bk"/>
                <w:b/>
                <w:sz w:val="20"/>
              </w:rPr>
            </w:pPr>
            <w:r>
              <w:rPr>
                <w:rFonts w:ascii="Stone Sans II ITC Std Bk"/>
                <w:b/>
                <w:w w:val="110"/>
                <w:sz w:val="20"/>
              </w:rPr>
              <w:t>Previous relevant documents</w:t>
            </w:r>
          </w:p>
        </w:tc>
        <w:tc>
          <w:tcPr>
            <w:tcW w:w="6582" w:type="dxa"/>
          </w:tcPr>
          <w:p>
            <w:pPr>
              <w:pStyle w:val="TableParagraph"/>
              <w:spacing w:before="141"/>
              <w:rPr>
                <w:sz w:val="20"/>
              </w:rPr>
            </w:pPr>
            <w:r>
              <w:rPr>
                <w:w w:val="120"/>
                <w:sz w:val="20"/>
              </w:rPr>
              <w:t>Resolution 28 of the 2014 Assembly</w:t>
            </w:r>
          </w:p>
        </w:tc>
      </w:tr>
      <w:tr>
        <w:trPr>
          <w:trHeight w:val="680" w:hRule="atLeast"/>
        </w:trPr>
        <w:tc>
          <w:tcPr>
            <w:tcW w:w="2660" w:type="dxa"/>
          </w:tcPr>
          <w:p>
            <w:pPr>
              <w:pStyle w:val="TableParagraph"/>
              <w:spacing w:line="213" w:lineRule="auto" w:before="151"/>
              <w:ind w:right="576"/>
              <w:rPr>
                <w:rFonts w:ascii="Stone Sans II ITC Std Bk"/>
                <w:b/>
                <w:sz w:val="20"/>
              </w:rPr>
            </w:pPr>
            <w:r>
              <w:rPr>
                <w:rFonts w:ascii="Stone Sans II ITC Std Bk"/>
                <w:b/>
                <w:w w:val="110"/>
                <w:sz w:val="20"/>
              </w:rPr>
              <w:t>Consultation has taken place with...</w:t>
            </w:r>
          </w:p>
        </w:tc>
        <w:tc>
          <w:tcPr>
            <w:tcW w:w="6582" w:type="dxa"/>
          </w:tcPr>
          <w:p>
            <w:pPr>
              <w:pStyle w:val="TableParagraph"/>
              <w:spacing w:before="141"/>
              <w:rPr>
                <w:sz w:val="20"/>
              </w:rPr>
            </w:pPr>
            <w:r>
              <w:rPr>
                <w:w w:val="120"/>
                <w:sz w:val="20"/>
              </w:rPr>
              <w:t>N/A</w:t>
            </w:r>
          </w:p>
        </w:tc>
      </w:tr>
    </w:tbl>
    <w:p>
      <w:pPr>
        <w:pStyle w:val="BodyText"/>
        <w:spacing w:before="3"/>
        <w:rPr>
          <w:rFonts w:ascii="Stone Sans II ITC Std Bk"/>
          <w:b/>
          <w:sz w:val="29"/>
        </w:rPr>
      </w:pPr>
    </w:p>
    <w:p>
      <w:pPr>
        <w:pStyle w:val="Heading4"/>
        <w:ind w:left="1103"/>
      </w:pPr>
      <w:r>
        <w:rPr/>
        <w:pict>
          <v:shape style="position:absolute;margin-left:87.415001pt;margin-top:16.429884pt;width:462.1pt;height:57.05pt;mso-position-horizontal-relative:page;mso-position-vertical-relative:paragraph;z-index:-267759616" coordorigin="1748,329" coordsize="9242,1141" path="m10990,329l4408,329,1748,329,1748,1469,4408,1469,10990,1469,10990,329e" filled="true" fillcolor="#ffffff" stroked="false">
            <v:path arrowok="t"/>
            <v:fill type="solid"/>
            <w10:wrap type="none"/>
          </v:shape>
        </w:pict>
      </w:r>
      <w:r>
        <w:rPr>
          <w:color w:val="7F7F7F"/>
        </w:rPr>
        <w:t>Summary of Impact</w:t>
      </w:r>
    </w:p>
    <w:tbl>
      <w:tblPr>
        <w:tblW w:w="0" w:type="auto"/>
        <w:jc w:val="left"/>
        <w:tblInd w:w="111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660"/>
        <w:gridCol w:w="6582"/>
      </w:tblGrid>
      <w:tr>
        <w:trPr>
          <w:trHeight w:val="440" w:hRule="atLeast"/>
        </w:trPr>
        <w:tc>
          <w:tcPr>
            <w:tcW w:w="2660" w:type="dxa"/>
          </w:tcPr>
          <w:p>
            <w:pPr>
              <w:pStyle w:val="TableParagraph"/>
              <w:spacing w:before="128"/>
              <w:rPr>
                <w:rFonts w:ascii="Stone Sans II ITC Std Bk"/>
                <w:b/>
                <w:sz w:val="20"/>
              </w:rPr>
            </w:pPr>
            <w:r>
              <w:rPr>
                <w:rFonts w:ascii="Stone Sans II ITC Std Bk"/>
                <w:b/>
                <w:w w:val="110"/>
                <w:sz w:val="20"/>
              </w:rPr>
              <w:t>Financial</w:t>
            </w:r>
          </w:p>
        </w:tc>
        <w:tc>
          <w:tcPr>
            <w:tcW w:w="6582" w:type="dxa"/>
          </w:tcPr>
          <w:p>
            <w:pPr>
              <w:pStyle w:val="TableParagraph"/>
              <w:spacing w:before="141"/>
              <w:rPr>
                <w:sz w:val="20"/>
              </w:rPr>
            </w:pPr>
            <w:r>
              <w:rPr>
                <w:w w:val="120"/>
                <w:sz w:val="20"/>
              </w:rPr>
              <w:t>Nothing new in the report itself</w:t>
            </w:r>
          </w:p>
        </w:tc>
      </w:tr>
      <w:tr>
        <w:trPr>
          <w:trHeight w:val="680" w:hRule="atLeast"/>
        </w:trPr>
        <w:tc>
          <w:tcPr>
            <w:tcW w:w="2660" w:type="dxa"/>
          </w:tcPr>
          <w:p>
            <w:pPr>
              <w:pStyle w:val="TableParagraph"/>
              <w:spacing w:line="255" w:lineRule="exact" w:before="128"/>
              <w:rPr>
                <w:rFonts w:ascii="Stone Sans II ITC Std Bk"/>
                <w:b/>
                <w:sz w:val="20"/>
              </w:rPr>
            </w:pPr>
            <w:r>
              <w:rPr>
                <w:rFonts w:ascii="Stone Sans II ITC Std Bk"/>
                <w:b/>
                <w:w w:val="110"/>
                <w:sz w:val="20"/>
              </w:rPr>
              <w:t>External</w:t>
            </w:r>
          </w:p>
          <w:p>
            <w:pPr>
              <w:pStyle w:val="TableParagraph"/>
              <w:spacing w:line="255" w:lineRule="exact"/>
              <w:rPr>
                <w:rFonts w:ascii="Stone Sans II ITC Std Bk"/>
                <w:b/>
                <w:sz w:val="20"/>
              </w:rPr>
            </w:pPr>
            <w:r>
              <w:rPr>
                <w:rFonts w:ascii="Stone Sans II ITC Std Bk"/>
                <w:b/>
                <w:w w:val="110"/>
                <w:sz w:val="20"/>
              </w:rPr>
              <w:t>(e.g. ecumenical)</w:t>
            </w:r>
          </w:p>
        </w:tc>
        <w:tc>
          <w:tcPr>
            <w:tcW w:w="6582" w:type="dxa"/>
          </w:tcPr>
          <w:p>
            <w:pPr>
              <w:pStyle w:val="TableParagraph"/>
              <w:spacing w:before="141"/>
              <w:rPr>
                <w:sz w:val="20"/>
              </w:rPr>
            </w:pPr>
            <w:r>
              <w:rPr>
                <w:w w:val="120"/>
                <w:sz w:val="20"/>
              </w:rPr>
              <w:t>Contributions to government consultations (para 11).</w:t>
            </w:r>
          </w:p>
        </w:tc>
      </w:tr>
    </w:tbl>
    <w:p>
      <w:pPr>
        <w:spacing w:after="0"/>
        <w:rPr>
          <w:sz w:val="20"/>
        </w:rPr>
        <w:sectPr>
          <w:headerReference w:type="default" r:id="rId373"/>
          <w:footerReference w:type="default" r:id="rId374"/>
          <w:footerReference w:type="even" r:id="rId375"/>
          <w:pgSz w:w="11910" w:h="16840"/>
          <w:pgMar w:header="0" w:footer="647" w:top="0" w:bottom="840" w:left="640" w:right="0"/>
          <w:pgNumType w:start="135"/>
        </w:sectPr>
      </w:pPr>
    </w:p>
    <w:p>
      <w:pPr>
        <w:pStyle w:val="BodyText"/>
        <w:rPr>
          <w:rFonts w:ascii="Stone Sans II ITC Std Bk"/>
          <w:b/>
        </w:rPr>
      </w:pPr>
      <w:r>
        <w:rPr/>
        <w:drawing>
          <wp:anchor distT="0" distB="0" distL="0" distR="0" allowOverlap="1" layoutInCell="1" locked="0" behindDoc="1" simplePos="0" relativeHeight="235558912">
            <wp:simplePos x="0" y="0"/>
            <wp:positionH relativeFrom="page">
              <wp:posOffset>0</wp:posOffset>
            </wp:positionH>
            <wp:positionV relativeFrom="page">
              <wp:posOffset>0</wp:posOffset>
            </wp:positionV>
            <wp:extent cx="594067" cy="10692003"/>
            <wp:effectExtent l="0" t="0" r="0" b="0"/>
            <wp:wrapNone/>
            <wp:docPr id="253" name="image67.png"/>
            <wp:cNvGraphicFramePr>
              <a:graphicFrameLocks noChangeAspect="1"/>
            </wp:cNvGraphicFramePr>
            <a:graphic>
              <a:graphicData uri="http://schemas.openxmlformats.org/drawingml/2006/picture">
                <pic:pic>
                  <pic:nvPicPr>
                    <pic:cNvPr id="254" name="image67.png"/>
                    <pic:cNvPicPr/>
                  </pic:nvPicPr>
                  <pic:blipFill>
                    <a:blip r:embed="rId184" cstate="print"/>
                    <a:stretch>
                      <a:fillRect/>
                    </a:stretch>
                  </pic:blipFill>
                  <pic:spPr>
                    <a:xfrm>
                      <a:off x="0" y="0"/>
                      <a:ext cx="594067" cy="10692003"/>
                    </a:xfrm>
                    <a:prstGeom prst="rect">
                      <a:avLst/>
                    </a:prstGeom>
                  </pic:spPr>
                </pic:pic>
              </a:graphicData>
            </a:graphic>
          </wp:anchor>
        </w:drawing>
      </w:r>
      <w:r>
        <w:rPr/>
        <w:pict>
          <v:shape style="position:absolute;margin-left:20.519100pt;margin-top:48.890015pt;width:25.9pt;height:79.1pt;mso-position-horizontal-relative:page;mso-position-vertical-relative:page;z-index:-267756544" type="#_x0000_t202" filled="false" stroked="false">
            <v:textbox inset="0,0,0,0" style="layout-flow:vertical">
              <w:txbxContent>
                <w:p>
                  <w:pPr>
                    <w:spacing w:before="27"/>
                    <w:ind w:left="20" w:right="0" w:firstLine="0"/>
                    <w:jc w:val="left"/>
                    <w:rPr>
                      <w:sz w:val="39"/>
                    </w:rPr>
                  </w:pPr>
                  <w:r>
                    <w:rPr>
                      <w:color w:val="FFFFFF"/>
                      <w:w w:val="120"/>
                      <w:sz w:val="39"/>
                    </w:rPr>
                    <w:t>Finance</w:t>
                  </w:r>
                </w:p>
              </w:txbxContent>
            </v:textbox>
            <w10:wrap type="none"/>
          </v:shape>
        </w:pict>
      </w:r>
    </w:p>
    <w:p>
      <w:pPr>
        <w:pStyle w:val="BodyText"/>
        <w:rPr>
          <w:rFonts w:ascii="Stone Sans II ITC Std Bk"/>
          <w:b/>
        </w:rPr>
      </w:pPr>
    </w:p>
    <w:p>
      <w:pPr>
        <w:pStyle w:val="BodyText"/>
        <w:rPr>
          <w:rFonts w:ascii="Stone Sans II ITC Std Bk"/>
          <w:b/>
        </w:rPr>
      </w:pPr>
    </w:p>
    <w:p>
      <w:pPr>
        <w:pStyle w:val="BodyText"/>
        <w:spacing w:before="11"/>
        <w:rPr>
          <w:rFonts w:ascii="Stone Sans II ITC Std Bk"/>
          <w:b/>
          <w:sz w:val="19"/>
        </w:rPr>
      </w:pPr>
    </w:p>
    <w:p>
      <w:pPr>
        <w:spacing w:before="98"/>
        <w:ind w:left="607" w:right="0" w:firstLine="0"/>
        <w:jc w:val="left"/>
        <w:rPr>
          <w:rFonts w:ascii="Stone Sans II ITC Std X Bd"/>
          <w:b/>
          <w:sz w:val="50"/>
        </w:rPr>
      </w:pPr>
      <w:r>
        <w:rPr>
          <w:rFonts w:ascii="Stone Sans II ITC Std X Bd"/>
          <w:b/>
          <w:w w:val="110"/>
          <w:sz w:val="50"/>
        </w:rPr>
        <w:t>General Report 2014 to 2016</w:t>
      </w:r>
    </w:p>
    <w:p>
      <w:pPr>
        <w:spacing w:before="393"/>
        <w:ind w:left="607" w:right="0" w:firstLine="0"/>
        <w:jc w:val="left"/>
        <w:rPr>
          <w:rFonts w:ascii="Stone Sans II ITC Std Bk"/>
          <w:b/>
          <w:sz w:val="29"/>
        </w:rPr>
      </w:pPr>
      <w:r>
        <w:rPr>
          <w:rFonts w:ascii="Stone Sans II ITC Std Bk"/>
          <w:b/>
          <w:w w:val="110"/>
          <w:sz w:val="29"/>
        </w:rPr>
        <w:t>Budget results</w:t>
      </w:r>
    </w:p>
    <w:p>
      <w:pPr>
        <w:pStyle w:val="ListParagraph"/>
        <w:numPr>
          <w:ilvl w:val="0"/>
          <w:numId w:val="162"/>
        </w:numPr>
        <w:tabs>
          <w:tab w:pos="1287" w:val="left" w:leader="none"/>
          <w:tab w:pos="1288" w:val="left" w:leader="none"/>
        </w:tabs>
        <w:spacing w:line="235" w:lineRule="auto" w:before="69" w:after="0"/>
        <w:ind w:left="607" w:right="2068" w:firstLine="0"/>
        <w:jc w:val="left"/>
        <w:rPr>
          <w:sz w:val="20"/>
        </w:rPr>
      </w:pPr>
      <w:r>
        <w:rPr>
          <w:w w:val="120"/>
          <w:sz w:val="20"/>
        </w:rPr>
        <w:t>The </w:t>
      </w:r>
      <w:r>
        <w:rPr>
          <w:spacing w:val="-3"/>
          <w:w w:val="120"/>
          <w:sz w:val="20"/>
        </w:rPr>
        <w:t>Church’s </w:t>
      </w:r>
      <w:r>
        <w:rPr>
          <w:w w:val="120"/>
          <w:sz w:val="20"/>
        </w:rPr>
        <w:t>central budget relies on giving to the Ministry and Mission </w:t>
      </w:r>
      <w:r>
        <w:rPr>
          <w:spacing w:val="-3"/>
          <w:w w:val="120"/>
          <w:sz w:val="20"/>
        </w:rPr>
        <w:t>(M&amp;M) </w:t>
      </w:r>
      <w:r>
        <w:rPr>
          <w:w w:val="120"/>
          <w:sz w:val="20"/>
        </w:rPr>
        <w:t>Fund for over 90% of its income. Three-quarters of its expenditure is to pay the  stipends and related costs of ministers working in local settings; the rest pays for the programmes and central staff that the Assembly has</w:t>
      </w:r>
      <w:r>
        <w:rPr>
          <w:spacing w:val="12"/>
          <w:w w:val="120"/>
          <w:sz w:val="20"/>
        </w:rPr>
        <w:t> </w:t>
      </w:r>
      <w:r>
        <w:rPr>
          <w:w w:val="120"/>
          <w:sz w:val="20"/>
        </w:rPr>
        <w:t>requested.</w:t>
      </w:r>
    </w:p>
    <w:p>
      <w:pPr>
        <w:pStyle w:val="BodyText"/>
        <w:spacing w:before="11"/>
        <w:rPr>
          <w:sz w:val="19"/>
        </w:rPr>
      </w:pPr>
    </w:p>
    <w:p>
      <w:pPr>
        <w:pStyle w:val="ListParagraph"/>
        <w:numPr>
          <w:ilvl w:val="0"/>
          <w:numId w:val="162"/>
        </w:numPr>
        <w:tabs>
          <w:tab w:pos="1287" w:val="left" w:leader="none"/>
          <w:tab w:pos="1288" w:val="left" w:leader="none"/>
        </w:tabs>
        <w:spacing w:line="235" w:lineRule="auto" w:before="0" w:after="0"/>
        <w:ind w:left="607" w:right="1989" w:firstLine="0"/>
        <w:jc w:val="both"/>
        <w:rPr>
          <w:sz w:val="20"/>
        </w:rPr>
      </w:pPr>
      <w:r>
        <w:rPr>
          <w:w w:val="120"/>
          <w:sz w:val="20"/>
        </w:rPr>
        <w:t>In </w:t>
      </w:r>
      <w:r>
        <w:rPr>
          <w:spacing w:val="-7"/>
          <w:w w:val="120"/>
          <w:sz w:val="20"/>
        </w:rPr>
        <w:t>2014 </w:t>
      </w:r>
      <w:r>
        <w:rPr>
          <w:w w:val="120"/>
          <w:sz w:val="20"/>
        </w:rPr>
        <w:t>and </w:t>
      </w:r>
      <w:r>
        <w:rPr>
          <w:spacing w:val="-7"/>
          <w:w w:val="120"/>
          <w:sz w:val="20"/>
        </w:rPr>
        <w:t>2015 </w:t>
      </w:r>
      <w:r>
        <w:rPr>
          <w:w w:val="120"/>
          <w:sz w:val="20"/>
        </w:rPr>
        <w:t>we sought broadly balanced budgets. In </w:t>
      </w:r>
      <w:r>
        <w:rPr>
          <w:spacing w:val="-7"/>
          <w:w w:val="120"/>
          <w:sz w:val="20"/>
        </w:rPr>
        <w:t>2014  </w:t>
      </w:r>
      <w:r>
        <w:rPr>
          <w:w w:val="120"/>
          <w:sz w:val="20"/>
        </w:rPr>
        <w:t>actual expenditure</w:t>
      </w:r>
      <w:r>
        <w:rPr>
          <w:spacing w:val="10"/>
          <w:w w:val="120"/>
          <w:sz w:val="20"/>
        </w:rPr>
        <w:t> </w:t>
      </w:r>
      <w:r>
        <w:rPr>
          <w:w w:val="120"/>
          <w:sz w:val="20"/>
        </w:rPr>
        <w:t>of</w:t>
      </w:r>
      <w:r>
        <w:rPr>
          <w:spacing w:val="10"/>
          <w:w w:val="120"/>
          <w:sz w:val="20"/>
        </w:rPr>
        <w:t> </w:t>
      </w:r>
      <w:r>
        <w:rPr>
          <w:w w:val="120"/>
          <w:sz w:val="20"/>
        </w:rPr>
        <w:t>£20.5m</w:t>
      </w:r>
      <w:r>
        <w:rPr>
          <w:spacing w:val="10"/>
          <w:w w:val="120"/>
          <w:sz w:val="20"/>
        </w:rPr>
        <w:t> </w:t>
      </w:r>
      <w:r>
        <w:rPr>
          <w:w w:val="120"/>
          <w:sz w:val="20"/>
        </w:rPr>
        <w:t>consumed</w:t>
      </w:r>
      <w:r>
        <w:rPr>
          <w:spacing w:val="10"/>
          <w:w w:val="120"/>
          <w:sz w:val="20"/>
        </w:rPr>
        <w:t> </w:t>
      </w:r>
      <w:r>
        <w:rPr>
          <w:w w:val="120"/>
          <w:sz w:val="20"/>
        </w:rPr>
        <w:t>98%</w:t>
      </w:r>
      <w:r>
        <w:rPr>
          <w:spacing w:val="10"/>
          <w:w w:val="120"/>
          <w:sz w:val="20"/>
        </w:rPr>
        <w:t> </w:t>
      </w:r>
      <w:r>
        <w:rPr>
          <w:w w:val="120"/>
          <w:sz w:val="20"/>
        </w:rPr>
        <w:t>of</w:t>
      </w:r>
      <w:r>
        <w:rPr>
          <w:spacing w:val="10"/>
          <w:w w:val="120"/>
          <w:sz w:val="20"/>
        </w:rPr>
        <w:t> </w:t>
      </w:r>
      <w:r>
        <w:rPr>
          <w:w w:val="120"/>
          <w:sz w:val="20"/>
        </w:rPr>
        <w:t>our</w:t>
      </w:r>
      <w:r>
        <w:rPr>
          <w:spacing w:val="10"/>
          <w:w w:val="120"/>
          <w:sz w:val="20"/>
        </w:rPr>
        <w:t> </w:t>
      </w:r>
      <w:r>
        <w:rPr>
          <w:w w:val="120"/>
          <w:sz w:val="20"/>
        </w:rPr>
        <w:t>income</w:t>
      </w:r>
      <w:r>
        <w:rPr>
          <w:spacing w:val="10"/>
          <w:w w:val="120"/>
          <w:sz w:val="20"/>
        </w:rPr>
        <w:t> </w:t>
      </w:r>
      <w:r>
        <w:rPr>
          <w:w w:val="120"/>
          <w:sz w:val="20"/>
        </w:rPr>
        <w:t>and</w:t>
      </w:r>
      <w:r>
        <w:rPr>
          <w:spacing w:val="11"/>
          <w:w w:val="120"/>
          <w:sz w:val="20"/>
        </w:rPr>
        <w:t> </w:t>
      </w:r>
      <w:r>
        <w:rPr>
          <w:w w:val="120"/>
          <w:sz w:val="20"/>
        </w:rPr>
        <w:t>in</w:t>
      </w:r>
      <w:r>
        <w:rPr>
          <w:spacing w:val="10"/>
          <w:w w:val="120"/>
          <w:sz w:val="20"/>
        </w:rPr>
        <w:t> </w:t>
      </w:r>
      <w:r>
        <w:rPr>
          <w:spacing w:val="-7"/>
          <w:w w:val="120"/>
          <w:sz w:val="20"/>
        </w:rPr>
        <w:t>2015</w:t>
      </w:r>
      <w:r>
        <w:rPr>
          <w:spacing w:val="10"/>
          <w:w w:val="120"/>
          <w:sz w:val="20"/>
        </w:rPr>
        <w:t> </w:t>
      </w:r>
      <w:r>
        <w:rPr>
          <w:w w:val="120"/>
          <w:sz w:val="20"/>
        </w:rPr>
        <w:t>actual</w:t>
      </w:r>
      <w:r>
        <w:rPr>
          <w:spacing w:val="10"/>
          <w:w w:val="120"/>
          <w:sz w:val="20"/>
        </w:rPr>
        <w:t> </w:t>
      </w:r>
      <w:r>
        <w:rPr>
          <w:w w:val="120"/>
          <w:sz w:val="20"/>
        </w:rPr>
        <w:t>expenditure</w:t>
      </w:r>
      <w:r>
        <w:rPr>
          <w:spacing w:val="10"/>
          <w:w w:val="120"/>
          <w:sz w:val="20"/>
        </w:rPr>
        <w:t> </w:t>
      </w:r>
      <w:r>
        <w:rPr>
          <w:w w:val="120"/>
          <w:sz w:val="20"/>
        </w:rPr>
        <w:t>of</w:t>
      </w:r>
    </w:p>
    <w:p>
      <w:pPr>
        <w:pStyle w:val="BodyText"/>
        <w:spacing w:line="235" w:lineRule="auto" w:before="2"/>
        <w:ind w:left="607" w:right="2031"/>
        <w:jc w:val="both"/>
      </w:pPr>
      <w:r>
        <w:rPr>
          <w:w w:val="120"/>
        </w:rPr>
        <w:t>£20.8m represented 99% of our income. Overall therefore a small surplus was achieved in each year. More detailed figures are provided to Mission Council and are available on the URC website.</w:t>
      </w:r>
    </w:p>
    <w:p>
      <w:pPr>
        <w:pStyle w:val="BodyText"/>
        <w:spacing w:before="6"/>
        <w:rPr>
          <w:sz w:val="19"/>
        </w:rPr>
      </w:pPr>
    </w:p>
    <w:p>
      <w:pPr>
        <w:pStyle w:val="ListParagraph"/>
        <w:numPr>
          <w:ilvl w:val="0"/>
          <w:numId w:val="162"/>
        </w:numPr>
        <w:tabs>
          <w:tab w:pos="1287" w:val="left" w:leader="none"/>
          <w:tab w:pos="1288" w:val="left" w:leader="none"/>
        </w:tabs>
        <w:spacing w:line="242" w:lineRule="exact" w:before="0" w:after="0"/>
        <w:ind w:left="1287" w:right="0" w:hanging="681"/>
        <w:jc w:val="left"/>
        <w:rPr>
          <w:sz w:val="20"/>
        </w:rPr>
      </w:pPr>
      <w:r>
        <w:rPr>
          <w:w w:val="120"/>
          <w:sz w:val="20"/>
        </w:rPr>
        <w:t>The </w:t>
      </w:r>
      <w:r>
        <w:rPr>
          <w:spacing w:val="-7"/>
          <w:w w:val="120"/>
          <w:sz w:val="20"/>
        </w:rPr>
        <w:t>2016 </w:t>
      </w:r>
      <w:r>
        <w:rPr>
          <w:w w:val="120"/>
          <w:sz w:val="20"/>
        </w:rPr>
        <w:t>budget is based on income and expenditure both being</w:t>
      </w:r>
      <w:r>
        <w:rPr>
          <w:spacing w:val="2"/>
          <w:w w:val="120"/>
          <w:sz w:val="20"/>
        </w:rPr>
        <w:t> </w:t>
      </w:r>
      <w:r>
        <w:rPr>
          <w:w w:val="120"/>
          <w:sz w:val="20"/>
        </w:rPr>
        <w:t>around</w:t>
      </w:r>
    </w:p>
    <w:p>
      <w:pPr>
        <w:pStyle w:val="BodyText"/>
        <w:spacing w:line="235" w:lineRule="auto" w:before="2"/>
        <w:ind w:left="607" w:right="2045"/>
      </w:pPr>
      <w:r>
        <w:rPr>
          <w:w w:val="120"/>
        </w:rPr>
        <w:t>£20.5m. Projections for 2017 and 2018 do not suggest any major challenges to continuing existing expenditure patterns.</w:t>
      </w:r>
    </w:p>
    <w:p>
      <w:pPr>
        <w:pStyle w:val="BodyText"/>
        <w:spacing w:before="2"/>
        <w:rPr>
          <w:sz w:val="22"/>
        </w:rPr>
      </w:pPr>
    </w:p>
    <w:p>
      <w:pPr>
        <w:spacing w:before="0"/>
        <w:ind w:left="607" w:right="0" w:firstLine="0"/>
        <w:jc w:val="left"/>
        <w:rPr>
          <w:rFonts w:ascii="Stone Sans II ITC Std Bk"/>
          <w:b/>
          <w:sz w:val="29"/>
        </w:rPr>
      </w:pPr>
      <w:r>
        <w:rPr>
          <w:rFonts w:ascii="Stone Sans II ITC Std Bk"/>
          <w:b/>
          <w:w w:val="110"/>
          <w:sz w:val="29"/>
        </w:rPr>
        <w:t>M&amp;M giving</w:t>
      </w:r>
    </w:p>
    <w:p>
      <w:pPr>
        <w:pStyle w:val="ListParagraph"/>
        <w:numPr>
          <w:ilvl w:val="0"/>
          <w:numId w:val="162"/>
        </w:numPr>
        <w:tabs>
          <w:tab w:pos="1287" w:val="left" w:leader="none"/>
          <w:tab w:pos="1288" w:val="left" w:leader="none"/>
        </w:tabs>
        <w:spacing w:line="235" w:lineRule="auto" w:before="69" w:after="0"/>
        <w:ind w:left="607" w:right="2091" w:firstLine="0"/>
        <w:jc w:val="left"/>
        <w:rPr>
          <w:sz w:val="20"/>
        </w:rPr>
      </w:pPr>
      <w:r>
        <w:rPr>
          <w:w w:val="120"/>
          <w:sz w:val="20"/>
        </w:rPr>
        <w:t>Noting the steady decline in total </w:t>
      </w:r>
      <w:r>
        <w:rPr>
          <w:spacing w:val="-2"/>
          <w:w w:val="120"/>
          <w:sz w:val="20"/>
        </w:rPr>
        <w:t>M&amp;M </w:t>
      </w:r>
      <w:r>
        <w:rPr>
          <w:w w:val="120"/>
          <w:sz w:val="20"/>
        </w:rPr>
        <w:t>giving, the </w:t>
      </w:r>
      <w:r>
        <w:rPr>
          <w:spacing w:val="-7"/>
          <w:w w:val="120"/>
          <w:sz w:val="20"/>
        </w:rPr>
        <w:t>2014  </w:t>
      </w:r>
      <w:r>
        <w:rPr>
          <w:w w:val="120"/>
          <w:sz w:val="20"/>
        </w:rPr>
        <w:t>Assembly challenged  all local churches to increase their giving to the Ministry and Mission Fund by at least  an additional </w:t>
      </w:r>
      <w:r>
        <w:rPr>
          <w:spacing w:val="-7"/>
          <w:w w:val="120"/>
          <w:sz w:val="20"/>
        </w:rPr>
        <w:t>1% </w:t>
      </w:r>
      <w:r>
        <w:rPr>
          <w:w w:val="120"/>
          <w:sz w:val="20"/>
        </w:rPr>
        <w:t>per annum (Resolution 28 of </w:t>
      </w:r>
      <w:r>
        <w:rPr>
          <w:spacing w:val="-7"/>
          <w:w w:val="120"/>
          <w:sz w:val="20"/>
        </w:rPr>
        <w:t>2014). </w:t>
      </w:r>
      <w:r>
        <w:rPr>
          <w:w w:val="120"/>
          <w:sz w:val="20"/>
        </w:rPr>
        <w:t>The impact of this resolution is hard to disentangle from other influences on </w:t>
      </w:r>
      <w:r>
        <w:rPr>
          <w:spacing w:val="-2"/>
          <w:w w:val="120"/>
          <w:sz w:val="20"/>
        </w:rPr>
        <w:t>M&amp;M </w:t>
      </w:r>
      <w:r>
        <w:rPr>
          <w:w w:val="120"/>
          <w:sz w:val="20"/>
        </w:rPr>
        <w:t>giving, especially in synods which were already in the process of reorganising their </w:t>
      </w:r>
      <w:r>
        <w:rPr>
          <w:spacing w:val="-2"/>
          <w:w w:val="120"/>
          <w:sz w:val="20"/>
        </w:rPr>
        <w:t>M&amp;M </w:t>
      </w:r>
      <w:r>
        <w:rPr>
          <w:w w:val="120"/>
          <w:sz w:val="20"/>
        </w:rPr>
        <w:t>policies. However it is clear that at least £50,000 in additional </w:t>
      </w:r>
      <w:r>
        <w:rPr>
          <w:spacing w:val="-2"/>
          <w:w w:val="120"/>
          <w:sz w:val="20"/>
        </w:rPr>
        <w:t>M&amp;M </w:t>
      </w:r>
      <w:r>
        <w:rPr>
          <w:w w:val="120"/>
          <w:sz w:val="20"/>
        </w:rPr>
        <w:t>giving came as a direct result of this challenge, for which we can be</w:t>
      </w:r>
      <w:r>
        <w:rPr>
          <w:spacing w:val="8"/>
          <w:w w:val="120"/>
          <w:sz w:val="20"/>
        </w:rPr>
        <w:t> </w:t>
      </w:r>
      <w:r>
        <w:rPr>
          <w:w w:val="120"/>
          <w:sz w:val="20"/>
        </w:rPr>
        <w:t>grateful.</w:t>
      </w:r>
    </w:p>
    <w:p>
      <w:pPr>
        <w:pStyle w:val="BodyText"/>
        <w:spacing w:before="1"/>
      </w:pPr>
    </w:p>
    <w:p>
      <w:pPr>
        <w:pStyle w:val="ListParagraph"/>
        <w:numPr>
          <w:ilvl w:val="0"/>
          <w:numId w:val="162"/>
        </w:numPr>
        <w:tabs>
          <w:tab w:pos="1287" w:val="left" w:leader="none"/>
          <w:tab w:pos="1288" w:val="left" w:leader="none"/>
        </w:tabs>
        <w:spacing w:line="235" w:lineRule="auto" w:before="0" w:after="0"/>
        <w:ind w:left="607" w:right="2502" w:firstLine="0"/>
        <w:jc w:val="left"/>
        <w:rPr>
          <w:sz w:val="20"/>
        </w:rPr>
      </w:pPr>
      <w:r>
        <w:rPr>
          <w:w w:val="120"/>
          <w:sz w:val="20"/>
        </w:rPr>
        <w:t>Partly because of this, total </w:t>
      </w:r>
      <w:r>
        <w:rPr>
          <w:spacing w:val="-2"/>
          <w:w w:val="120"/>
          <w:sz w:val="20"/>
        </w:rPr>
        <w:t>M&amp;M </w:t>
      </w:r>
      <w:r>
        <w:rPr>
          <w:w w:val="120"/>
          <w:sz w:val="20"/>
        </w:rPr>
        <w:t>giving in </w:t>
      </w:r>
      <w:r>
        <w:rPr>
          <w:spacing w:val="-7"/>
          <w:w w:val="120"/>
          <w:sz w:val="20"/>
        </w:rPr>
        <w:t>2015 </w:t>
      </w:r>
      <w:r>
        <w:rPr>
          <w:w w:val="120"/>
          <w:sz w:val="20"/>
        </w:rPr>
        <w:t>was above budget but still below giving in </w:t>
      </w:r>
      <w:r>
        <w:rPr>
          <w:spacing w:val="-6"/>
          <w:w w:val="120"/>
          <w:sz w:val="20"/>
        </w:rPr>
        <w:t>2014. </w:t>
      </w:r>
      <w:r>
        <w:rPr>
          <w:w w:val="120"/>
          <w:sz w:val="20"/>
        </w:rPr>
        <w:t>Indications from synods are that there will be a further slight decline in</w:t>
      </w:r>
      <w:r>
        <w:rPr>
          <w:spacing w:val="4"/>
          <w:w w:val="120"/>
          <w:sz w:val="20"/>
        </w:rPr>
        <w:t> </w:t>
      </w:r>
      <w:r>
        <w:rPr>
          <w:spacing w:val="-6"/>
          <w:w w:val="120"/>
          <w:sz w:val="20"/>
        </w:rPr>
        <w:t>2016.</w:t>
      </w:r>
    </w:p>
    <w:p>
      <w:pPr>
        <w:pStyle w:val="BodyText"/>
        <w:spacing w:before="10"/>
        <w:rPr>
          <w:sz w:val="19"/>
        </w:rPr>
      </w:pPr>
    </w:p>
    <w:p>
      <w:pPr>
        <w:pStyle w:val="ListParagraph"/>
        <w:numPr>
          <w:ilvl w:val="0"/>
          <w:numId w:val="162"/>
        </w:numPr>
        <w:tabs>
          <w:tab w:pos="1287" w:val="left" w:leader="none"/>
          <w:tab w:pos="1288" w:val="left" w:leader="none"/>
        </w:tabs>
        <w:spacing w:line="235" w:lineRule="auto" w:before="0" w:after="0"/>
        <w:ind w:left="607" w:right="2603" w:firstLine="0"/>
        <w:jc w:val="left"/>
        <w:rPr>
          <w:sz w:val="20"/>
        </w:rPr>
      </w:pPr>
      <w:r>
        <w:rPr>
          <w:w w:val="120"/>
          <w:sz w:val="20"/>
        </w:rPr>
        <w:t>The overall picture remains that average </w:t>
      </w:r>
      <w:r>
        <w:rPr>
          <w:spacing w:val="-2"/>
          <w:w w:val="120"/>
          <w:sz w:val="20"/>
        </w:rPr>
        <w:t>M&amp;M </w:t>
      </w:r>
      <w:r>
        <w:rPr>
          <w:w w:val="120"/>
          <w:sz w:val="20"/>
        </w:rPr>
        <w:t>giving per member is rising each year but the fall in the number of members still results in less money in total. What money Assembly can spend ultimately rests on what </w:t>
      </w:r>
      <w:r>
        <w:rPr>
          <w:spacing w:val="-2"/>
          <w:w w:val="120"/>
          <w:sz w:val="20"/>
        </w:rPr>
        <w:t>M&amp;M </w:t>
      </w:r>
      <w:r>
        <w:rPr>
          <w:w w:val="120"/>
          <w:sz w:val="20"/>
        </w:rPr>
        <w:t>giving local churches</w:t>
      </w:r>
      <w:r>
        <w:rPr>
          <w:spacing w:val="2"/>
          <w:w w:val="120"/>
          <w:sz w:val="20"/>
        </w:rPr>
        <w:t> </w:t>
      </w:r>
      <w:r>
        <w:rPr>
          <w:w w:val="120"/>
          <w:sz w:val="20"/>
        </w:rPr>
        <w:t>provide.</w:t>
      </w:r>
    </w:p>
    <w:p>
      <w:pPr>
        <w:pStyle w:val="BodyText"/>
        <w:spacing w:before="4"/>
        <w:rPr>
          <w:sz w:val="22"/>
        </w:rPr>
      </w:pPr>
    </w:p>
    <w:p>
      <w:pPr>
        <w:spacing w:before="0"/>
        <w:ind w:left="607" w:right="0" w:firstLine="0"/>
        <w:jc w:val="left"/>
        <w:rPr>
          <w:rFonts w:ascii="Stone Sans II ITC Std Bk"/>
          <w:b/>
          <w:sz w:val="29"/>
        </w:rPr>
      </w:pPr>
      <w:r>
        <w:rPr>
          <w:rFonts w:ascii="Stone Sans II ITC Std Bk"/>
          <w:b/>
          <w:w w:val="110"/>
          <w:sz w:val="29"/>
        </w:rPr>
        <w:t>Pensions stability</w:t>
      </w:r>
    </w:p>
    <w:p>
      <w:pPr>
        <w:pStyle w:val="ListParagraph"/>
        <w:numPr>
          <w:ilvl w:val="0"/>
          <w:numId w:val="162"/>
        </w:numPr>
        <w:tabs>
          <w:tab w:pos="1287" w:val="left" w:leader="none"/>
          <w:tab w:pos="1288" w:val="left" w:leader="none"/>
        </w:tabs>
        <w:spacing w:line="235" w:lineRule="auto" w:before="69" w:after="0"/>
        <w:ind w:left="607" w:right="2199" w:firstLine="0"/>
        <w:jc w:val="left"/>
        <w:rPr>
          <w:sz w:val="20"/>
        </w:rPr>
      </w:pPr>
      <w:r>
        <w:rPr>
          <w:w w:val="120"/>
          <w:sz w:val="20"/>
        </w:rPr>
        <w:t>The </w:t>
      </w:r>
      <w:r>
        <w:rPr>
          <w:spacing w:val="-7"/>
          <w:w w:val="120"/>
          <w:sz w:val="20"/>
        </w:rPr>
        <w:t>2015 </w:t>
      </w:r>
      <w:r>
        <w:rPr>
          <w:w w:val="120"/>
          <w:sz w:val="20"/>
        </w:rPr>
        <w:t>valuation of the Ministers’ pension fund showed that the actuarial deficit had declined since the previous valuation in </w:t>
      </w:r>
      <w:r>
        <w:rPr>
          <w:spacing w:val="-7"/>
          <w:w w:val="120"/>
          <w:sz w:val="20"/>
        </w:rPr>
        <w:t>2012 </w:t>
      </w:r>
      <w:r>
        <w:rPr>
          <w:w w:val="120"/>
          <w:sz w:val="20"/>
        </w:rPr>
        <w:t>and no significant increase in the </w:t>
      </w:r>
      <w:r>
        <w:rPr>
          <w:spacing w:val="-3"/>
          <w:w w:val="120"/>
          <w:sz w:val="20"/>
        </w:rPr>
        <w:t>Church’s </w:t>
      </w:r>
      <w:r>
        <w:rPr>
          <w:w w:val="120"/>
          <w:sz w:val="20"/>
        </w:rPr>
        <w:t>annual contribution to the fund was</w:t>
      </w:r>
      <w:r>
        <w:rPr>
          <w:spacing w:val="22"/>
          <w:w w:val="120"/>
          <w:sz w:val="20"/>
        </w:rPr>
        <w:t> </w:t>
      </w:r>
      <w:r>
        <w:rPr>
          <w:w w:val="120"/>
          <w:sz w:val="20"/>
        </w:rPr>
        <w:t>necessary.</w:t>
      </w:r>
    </w:p>
    <w:p>
      <w:pPr>
        <w:pStyle w:val="BodyText"/>
        <w:spacing w:before="10"/>
        <w:rPr>
          <w:sz w:val="19"/>
        </w:rPr>
      </w:pPr>
    </w:p>
    <w:p>
      <w:pPr>
        <w:pStyle w:val="ListParagraph"/>
        <w:numPr>
          <w:ilvl w:val="0"/>
          <w:numId w:val="162"/>
        </w:numPr>
        <w:tabs>
          <w:tab w:pos="1287" w:val="left" w:leader="none"/>
          <w:tab w:pos="1288" w:val="left" w:leader="none"/>
        </w:tabs>
        <w:spacing w:line="235" w:lineRule="auto" w:before="0" w:after="0"/>
        <w:ind w:left="607" w:right="2132" w:firstLine="0"/>
        <w:jc w:val="left"/>
        <w:rPr>
          <w:sz w:val="20"/>
        </w:rPr>
      </w:pPr>
      <w:r>
        <w:rPr>
          <w:w w:val="120"/>
          <w:sz w:val="20"/>
        </w:rPr>
        <w:t>During the difficult years </w:t>
      </w:r>
      <w:r>
        <w:rPr>
          <w:spacing w:val="-6"/>
          <w:w w:val="120"/>
          <w:sz w:val="20"/>
        </w:rPr>
        <w:t>2010-15, </w:t>
      </w:r>
      <w:r>
        <w:rPr>
          <w:w w:val="120"/>
          <w:sz w:val="20"/>
        </w:rPr>
        <w:t>every synod responded to the request to provide additional money for the fund over and above the money taken from M&amp;M. The need for this is now past, but the total of over </w:t>
      </w:r>
      <w:r>
        <w:rPr>
          <w:spacing w:val="-3"/>
          <w:w w:val="120"/>
          <w:sz w:val="20"/>
        </w:rPr>
        <w:t>£4m </w:t>
      </w:r>
      <w:r>
        <w:rPr>
          <w:w w:val="120"/>
          <w:sz w:val="20"/>
        </w:rPr>
        <w:t>found by the synods should be recognised</w:t>
      </w:r>
      <w:r>
        <w:rPr>
          <w:spacing w:val="5"/>
          <w:w w:val="120"/>
          <w:sz w:val="20"/>
        </w:rPr>
        <w:t> </w:t>
      </w:r>
      <w:r>
        <w:rPr>
          <w:w w:val="120"/>
          <w:sz w:val="20"/>
        </w:rPr>
        <w:t>as</w:t>
      </w:r>
      <w:r>
        <w:rPr>
          <w:spacing w:val="5"/>
          <w:w w:val="120"/>
          <w:sz w:val="20"/>
        </w:rPr>
        <w:t> </w:t>
      </w:r>
      <w:r>
        <w:rPr>
          <w:w w:val="120"/>
          <w:sz w:val="20"/>
        </w:rPr>
        <w:t>a</w:t>
      </w:r>
      <w:r>
        <w:rPr>
          <w:spacing w:val="5"/>
          <w:w w:val="120"/>
          <w:sz w:val="20"/>
        </w:rPr>
        <w:t> </w:t>
      </w:r>
      <w:r>
        <w:rPr>
          <w:w w:val="120"/>
          <w:sz w:val="20"/>
        </w:rPr>
        <w:t>sign</w:t>
      </w:r>
      <w:r>
        <w:rPr>
          <w:spacing w:val="6"/>
          <w:w w:val="120"/>
          <w:sz w:val="20"/>
        </w:rPr>
        <w:t> </w:t>
      </w:r>
      <w:r>
        <w:rPr>
          <w:w w:val="120"/>
          <w:sz w:val="20"/>
        </w:rPr>
        <w:t>of</w:t>
      </w:r>
      <w:r>
        <w:rPr>
          <w:spacing w:val="5"/>
          <w:w w:val="120"/>
          <w:sz w:val="20"/>
        </w:rPr>
        <w:t> </w:t>
      </w:r>
      <w:r>
        <w:rPr>
          <w:w w:val="120"/>
          <w:sz w:val="20"/>
        </w:rPr>
        <w:t>the</w:t>
      </w:r>
      <w:r>
        <w:rPr>
          <w:spacing w:val="5"/>
          <w:w w:val="120"/>
          <w:sz w:val="20"/>
        </w:rPr>
        <w:t> </w:t>
      </w:r>
      <w:r>
        <w:rPr>
          <w:w w:val="120"/>
          <w:sz w:val="20"/>
        </w:rPr>
        <w:t>priority</w:t>
      </w:r>
      <w:r>
        <w:rPr>
          <w:spacing w:val="5"/>
          <w:w w:val="120"/>
          <w:sz w:val="20"/>
        </w:rPr>
        <w:t> </w:t>
      </w:r>
      <w:r>
        <w:rPr>
          <w:w w:val="120"/>
          <w:sz w:val="20"/>
        </w:rPr>
        <w:t>the</w:t>
      </w:r>
      <w:r>
        <w:rPr>
          <w:spacing w:val="6"/>
          <w:w w:val="120"/>
          <w:sz w:val="20"/>
        </w:rPr>
        <w:t> </w:t>
      </w:r>
      <w:r>
        <w:rPr>
          <w:w w:val="120"/>
          <w:sz w:val="20"/>
        </w:rPr>
        <w:t>Church</w:t>
      </w:r>
      <w:r>
        <w:rPr>
          <w:spacing w:val="5"/>
          <w:w w:val="120"/>
          <w:sz w:val="20"/>
        </w:rPr>
        <w:t> </w:t>
      </w:r>
      <w:r>
        <w:rPr>
          <w:w w:val="120"/>
          <w:sz w:val="20"/>
        </w:rPr>
        <w:t>gives</w:t>
      </w:r>
      <w:r>
        <w:rPr>
          <w:spacing w:val="5"/>
          <w:w w:val="120"/>
          <w:sz w:val="20"/>
        </w:rPr>
        <w:t> </w:t>
      </w:r>
      <w:r>
        <w:rPr>
          <w:w w:val="120"/>
          <w:sz w:val="20"/>
        </w:rPr>
        <w:t>to</w:t>
      </w:r>
      <w:r>
        <w:rPr>
          <w:spacing w:val="6"/>
          <w:w w:val="120"/>
          <w:sz w:val="20"/>
        </w:rPr>
        <w:t> </w:t>
      </w:r>
      <w:r>
        <w:rPr>
          <w:w w:val="120"/>
          <w:sz w:val="20"/>
        </w:rPr>
        <w:t>the</w:t>
      </w:r>
      <w:r>
        <w:rPr>
          <w:spacing w:val="5"/>
          <w:w w:val="120"/>
          <w:sz w:val="20"/>
        </w:rPr>
        <w:t> </w:t>
      </w:r>
      <w:r>
        <w:rPr>
          <w:w w:val="120"/>
          <w:sz w:val="20"/>
        </w:rPr>
        <w:t>proper</w:t>
      </w:r>
      <w:r>
        <w:rPr>
          <w:spacing w:val="5"/>
          <w:w w:val="120"/>
          <w:sz w:val="20"/>
        </w:rPr>
        <w:t> </w:t>
      </w:r>
      <w:r>
        <w:rPr>
          <w:w w:val="120"/>
          <w:sz w:val="20"/>
        </w:rPr>
        <w:t>care</w:t>
      </w:r>
      <w:r>
        <w:rPr>
          <w:spacing w:val="5"/>
          <w:w w:val="120"/>
          <w:sz w:val="20"/>
        </w:rPr>
        <w:t> </w:t>
      </w:r>
      <w:r>
        <w:rPr>
          <w:w w:val="120"/>
          <w:sz w:val="20"/>
        </w:rPr>
        <w:t>of</w:t>
      </w:r>
      <w:r>
        <w:rPr>
          <w:spacing w:val="6"/>
          <w:w w:val="120"/>
          <w:sz w:val="20"/>
        </w:rPr>
        <w:t> </w:t>
      </w:r>
      <w:r>
        <w:rPr>
          <w:w w:val="120"/>
          <w:sz w:val="20"/>
        </w:rPr>
        <w:t>its</w:t>
      </w:r>
      <w:r>
        <w:rPr>
          <w:spacing w:val="5"/>
          <w:w w:val="120"/>
          <w:sz w:val="20"/>
        </w:rPr>
        <w:t> </w:t>
      </w:r>
      <w:r>
        <w:rPr>
          <w:w w:val="120"/>
          <w:sz w:val="20"/>
        </w:rPr>
        <w:t>ministers.</w:t>
      </w:r>
    </w:p>
    <w:p>
      <w:pPr>
        <w:pStyle w:val="BodyText"/>
        <w:spacing w:before="3"/>
        <w:rPr>
          <w:sz w:val="22"/>
        </w:rPr>
      </w:pPr>
    </w:p>
    <w:p>
      <w:pPr>
        <w:spacing w:before="1"/>
        <w:ind w:left="607" w:right="0" w:firstLine="0"/>
        <w:jc w:val="left"/>
        <w:rPr>
          <w:rFonts w:ascii="Stone Sans II ITC Std Bk"/>
          <w:b/>
          <w:sz w:val="29"/>
        </w:rPr>
      </w:pPr>
      <w:r>
        <w:rPr>
          <w:rFonts w:ascii="Stone Sans II ITC Std Bk"/>
          <w:b/>
          <w:w w:val="110"/>
          <w:sz w:val="29"/>
        </w:rPr>
        <w:t>Living legacies</w:t>
      </w:r>
    </w:p>
    <w:p>
      <w:pPr>
        <w:pStyle w:val="ListParagraph"/>
        <w:numPr>
          <w:ilvl w:val="0"/>
          <w:numId w:val="162"/>
        </w:numPr>
        <w:tabs>
          <w:tab w:pos="1287" w:val="left" w:leader="none"/>
          <w:tab w:pos="1288" w:val="left" w:leader="none"/>
        </w:tabs>
        <w:spacing w:line="235" w:lineRule="auto" w:before="69" w:after="0"/>
        <w:ind w:left="607" w:right="2086" w:firstLine="0"/>
        <w:jc w:val="left"/>
        <w:rPr>
          <w:sz w:val="20"/>
        </w:rPr>
      </w:pPr>
      <w:r>
        <w:rPr>
          <w:w w:val="120"/>
          <w:sz w:val="20"/>
        </w:rPr>
        <w:t>When some people move beyond the pensions stage their influence on the </w:t>
      </w:r>
      <w:r>
        <w:rPr>
          <w:spacing w:val="-3"/>
          <w:w w:val="120"/>
          <w:sz w:val="20"/>
        </w:rPr>
        <w:t>Church’s </w:t>
      </w:r>
      <w:r>
        <w:rPr>
          <w:w w:val="120"/>
          <w:sz w:val="20"/>
        </w:rPr>
        <w:t>mission continues through a legacy. Bequests to the United Reformed Church that are not specifically earmarked for other purposes are placed in the Legacy Fund, which is currently able to give away £200,000 a year in grants to support innovative mission</w:t>
      </w:r>
      <w:r>
        <w:rPr>
          <w:spacing w:val="2"/>
          <w:w w:val="120"/>
          <w:sz w:val="20"/>
        </w:rPr>
        <w:t> </w:t>
      </w:r>
      <w:r>
        <w:rPr>
          <w:w w:val="120"/>
          <w:sz w:val="20"/>
        </w:rPr>
        <w:t>projects.</w:t>
      </w:r>
    </w:p>
    <w:p>
      <w:pPr>
        <w:spacing w:after="0" w:line="235" w:lineRule="auto"/>
        <w:jc w:val="left"/>
        <w:rPr>
          <w:sz w:val="20"/>
        </w:rPr>
        <w:sectPr>
          <w:headerReference w:type="even" r:id="rId377"/>
          <w:pgSz w:w="11910" w:h="16840"/>
          <w:pgMar w:header="0" w:footer="647" w:top="0" w:bottom="840" w:left="640" w:right="0"/>
        </w:sectPr>
      </w:pPr>
    </w:p>
    <w:p>
      <w:pPr>
        <w:pStyle w:val="BodyText"/>
      </w:pPr>
      <w:r>
        <w:rPr/>
        <w:drawing>
          <wp:anchor distT="0" distB="0" distL="0" distR="0" allowOverlap="1" layoutInCell="1" locked="0" behindDoc="0" simplePos="0" relativeHeight="252014592">
            <wp:simplePos x="0" y="0"/>
            <wp:positionH relativeFrom="page">
              <wp:posOffset>6974928</wp:posOffset>
            </wp:positionH>
            <wp:positionV relativeFrom="page">
              <wp:posOffset>0</wp:posOffset>
            </wp:positionV>
            <wp:extent cx="585063" cy="10692003"/>
            <wp:effectExtent l="0" t="0" r="0" b="0"/>
            <wp:wrapNone/>
            <wp:docPr id="255" name="image54.png"/>
            <wp:cNvGraphicFramePr>
              <a:graphicFrameLocks noChangeAspect="1"/>
            </wp:cNvGraphicFramePr>
            <a:graphic>
              <a:graphicData uri="http://schemas.openxmlformats.org/drawingml/2006/picture">
                <pic:pic>
                  <pic:nvPicPr>
                    <pic:cNvPr id="256" name="image54.png"/>
                    <pic:cNvPicPr/>
                  </pic:nvPicPr>
                  <pic:blipFill>
                    <a:blip r:embed="rId169" cstate="print"/>
                    <a:stretch>
                      <a:fillRect/>
                    </a:stretch>
                  </pic:blipFill>
                  <pic:spPr>
                    <a:xfrm>
                      <a:off x="0" y="0"/>
                      <a:ext cx="585063" cy="10692003"/>
                    </a:xfrm>
                    <a:prstGeom prst="rect">
                      <a:avLst/>
                    </a:prstGeom>
                  </pic:spPr>
                </pic:pic>
              </a:graphicData>
            </a:graphic>
          </wp:anchor>
        </w:drawing>
      </w:r>
    </w:p>
    <w:p>
      <w:pPr>
        <w:pStyle w:val="BodyText"/>
        <w:spacing w:before="7"/>
        <w:rPr>
          <w:sz w:val="21"/>
        </w:rPr>
      </w:pPr>
    </w:p>
    <w:p>
      <w:pPr>
        <w:pStyle w:val="Heading1"/>
        <w:ind w:left="0" w:right="1245"/>
        <w:jc w:val="right"/>
      </w:pPr>
      <w:r>
        <w:rPr/>
        <w:pict>
          <v:shape style="position:absolute;margin-left:554.141174pt;margin-top:22.593945pt;width:25.9pt;height:79.1pt;mso-position-horizontal-relative:page;mso-position-vertical-relative:paragraph;z-index:252015616" type="#_x0000_t202" filled="false" stroked="false">
            <v:textbox inset="0,0,0,0" style="layout-flow:vertical">
              <w:txbxContent>
                <w:p>
                  <w:pPr>
                    <w:spacing w:before="27"/>
                    <w:ind w:left="20" w:right="0" w:firstLine="0"/>
                    <w:jc w:val="left"/>
                    <w:rPr>
                      <w:sz w:val="39"/>
                    </w:rPr>
                  </w:pPr>
                  <w:r>
                    <w:rPr>
                      <w:color w:val="FFFFFF"/>
                      <w:w w:val="120"/>
                      <w:sz w:val="39"/>
                    </w:rPr>
                    <w:t>Finance</w:t>
                  </w:r>
                </w:p>
              </w:txbxContent>
            </v:textbox>
            <w10:wrap type="none"/>
          </v:shape>
        </w:pict>
      </w:r>
      <w:bookmarkStart w:name="_TOC_250006" w:id="15"/>
      <w:bookmarkEnd w:id="15"/>
      <w:r>
        <w:rPr>
          <w:color w:val="7EAABF"/>
          <w:w w:val="115"/>
        </w:rPr>
        <w:t>Finance</w:t>
      </w:r>
    </w:p>
    <w:p>
      <w:pPr>
        <w:pStyle w:val="ListParagraph"/>
        <w:numPr>
          <w:ilvl w:val="0"/>
          <w:numId w:val="162"/>
        </w:numPr>
        <w:tabs>
          <w:tab w:pos="2024" w:val="left" w:leader="none"/>
          <w:tab w:pos="2025" w:val="left" w:leader="none"/>
        </w:tabs>
        <w:spacing w:line="235" w:lineRule="auto" w:before="222" w:after="0"/>
        <w:ind w:left="1344" w:right="1316" w:firstLine="0"/>
        <w:jc w:val="left"/>
        <w:rPr>
          <w:sz w:val="20"/>
        </w:rPr>
      </w:pPr>
      <w:r>
        <w:rPr>
          <w:w w:val="120"/>
          <w:sz w:val="20"/>
        </w:rPr>
        <w:t>During the past two years, projects supported have included the transformation of URC premises in </w:t>
      </w:r>
      <w:r>
        <w:rPr>
          <w:spacing w:val="2"/>
          <w:w w:val="120"/>
          <w:sz w:val="20"/>
        </w:rPr>
        <w:t>North </w:t>
      </w:r>
      <w:r>
        <w:rPr>
          <w:w w:val="120"/>
          <w:sz w:val="20"/>
        </w:rPr>
        <w:t>Wales, agricultural scholarships in Malawi, a Christian-Muslim Forum in Britain and the work of roving Evangelism and Renewal advocates. Details of how to apply for grants are on the URC</w:t>
      </w:r>
      <w:r>
        <w:rPr>
          <w:spacing w:val="20"/>
          <w:w w:val="120"/>
          <w:sz w:val="20"/>
        </w:rPr>
        <w:t> </w:t>
      </w:r>
      <w:r>
        <w:rPr>
          <w:w w:val="120"/>
          <w:sz w:val="20"/>
        </w:rPr>
        <w:t>website.</w:t>
      </w:r>
    </w:p>
    <w:p>
      <w:pPr>
        <w:pStyle w:val="BodyText"/>
        <w:spacing w:before="3"/>
        <w:rPr>
          <w:sz w:val="22"/>
        </w:rPr>
      </w:pPr>
    </w:p>
    <w:p>
      <w:pPr>
        <w:spacing w:before="0"/>
        <w:ind w:left="1344" w:right="0" w:firstLine="0"/>
        <w:jc w:val="left"/>
        <w:rPr>
          <w:rFonts w:ascii="Stone Sans II ITC Std Bk"/>
          <w:b/>
          <w:sz w:val="29"/>
        </w:rPr>
      </w:pPr>
      <w:r>
        <w:rPr>
          <w:rFonts w:ascii="Stone Sans II ITC Std Bk"/>
          <w:b/>
          <w:w w:val="110"/>
          <w:sz w:val="29"/>
        </w:rPr>
        <w:t>Educating government</w:t>
      </w:r>
    </w:p>
    <w:p>
      <w:pPr>
        <w:pStyle w:val="ListParagraph"/>
        <w:numPr>
          <w:ilvl w:val="0"/>
          <w:numId w:val="162"/>
        </w:numPr>
        <w:tabs>
          <w:tab w:pos="2024" w:val="left" w:leader="none"/>
          <w:tab w:pos="2025" w:val="left" w:leader="none"/>
        </w:tabs>
        <w:spacing w:line="235" w:lineRule="auto" w:before="69" w:after="0"/>
        <w:ind w:left="1344" w:right="1262" w:firstLine="0"/>
        <w:jc w:val="left"/>
        <w:rPr>
          <w:sz w:val="20"/>
        </w:rPr>
      </w:pPr>
      <w:r>
        <w:rPr>
          <w:w w:val="120"/>
          <w:sz w:val="20"/>
        </w:rPr>
        <w:t>In an age when legislators and civil servants do not always understand Churches, a growing strand of work has been to ensure government is aware of how</w:t>
      </w:r>
      <w:r>
        <w:rPr>
          <w:spacing w:val="46"/>
          <w:w w:val="120"/>
          <w:sz w:val="20"/>
        </w:rPr>
        <w:t> </w:t>
      </w:r>
      <w:r>
        <w:rPr>
          <w:w w:val="120"/>
          <w:sz w:val="20"/>
        </w:rPr>
        <w:t>policies</w:t>
      </w:r>
    </w:p>
    <w:p>
      <w:pPr>
        <w:pStyle w:val="BodyText"/>
        <w:spacing w:line="235" w:lineRule="auto" w:before="1"/>
        <w:ind w:left="1344" w:right="1217"/>
      </w:pPr>
      <w:r>
        <w:rPr>
          <w:w w:val="120"/>
        </w:rPr>
        <w:t>do or could impact on church life. The finance committee has responded to a formal consultation on the Gift Aid scheme and, in conjunction with ministries committee, has responded to a request from HM Revenue and Customs to clarify the importance for churches and the communities they serve of the current tax arrangements for manses.</w:t>
      </w:r>
    </w:p>
    <w:p>
      <w:pPr>
        <w:pStyle w:val="BodyText"/>
        <w:spacing w:before="4"/>
        <w:rPr>
          <w:sz w:val="22"/>
        </w:rPr>
      </w:pPr>
    </w:p>
    <w:p>
      <w:pPr>
        <w:spacing w:before="0"/>
        <w:ind w:left="1344" w:right="0" w:firstLine="0"/>
        <w:jc w:val="left"/>
        <w:rPr>
          <w:rFonts w:ascii="Stone Sans II ITC Std Bk"/>
          <w:b/>
          <w:sz w:val="29"/>
        </w:rPr>
      </w:pPr>
      <w:r>
        <w:rPr>
          <w:rFonts w:ascii="Stone Sans II ITC Std Bk"/>
          <w:b/>
          <w:w w:val="110"/>
          <w:sz w:val="29"/>
        </w:rPr>
        <w:t>Grateful farewells</w:t>
      </w:r>
    </w:p>
    <w:p>
      <w:pPr>
        <w:pStyle w:val="ListParagraph"/>
        <w:numPr>
          <w:ilvl w:val="0"/>
          <w:numId w:val="162"/>
        </w:numPr>
        <w:tabs>
          <w:tab w:pos="2024" w:val="left" w:leader="none"/>
          <w:tab w:pos="2025" w:val="left" w:leader="none"/>
        </w:tabs>
        <w:spacing w:line="235" w:lineRule="auto" w:before="69" w:after="0"/>
        <w:ind w:left="1344" w:right="1261" w:firstLine="0"/>
        <w:jc w:val="left"/>
        <w:rPr>
          <w:sz w:val="20"/>
        </w:rPr>
      </w:pPr>
      <w:r>
        <w:rPr>
          <w:w w:val="120"/>
          <w:sz w:val="20"/>
        </w:rPr>
        <w:t>At this Assembly the Revd Dick Gray ends his term as Deputy </w:t>
      </w:r>
      <w:r>
        <w:rPr>
          <w:spacing w:val="-3"/>
          <w:w w:val="120"/>
          <w:sz w:val="20"/>
        </w:rPr>
        <w:t>Treasurer, </w:t>
      </w:r>
      <w:r>
        <w:rPr>
          <w:w w:val="120"/>
          <w:sz w:val="20"/>
        </w:rPr>
        <w:t>having provided valued and flexible cover for the three years when the Treasurer was also a Moderator of the General Assembly. Mr Andrew Grimwade retires this Summer after more than a decade of exceptional service as the Chief Finance Officer in Church House. The Church is indebted to them</w:t>
      </w:r>
      <w:r>
        <w:rPr>
          <w:spacing w:val="15"/>
          <w:w w:val="120"/>
          <w:sz w:val="20"/>
        </w:rPr>
        <w:t> </w:t>
      </w:r>
      <w:r>
        <w:rPr>
          <w:w w:val="120"/>
          <w:sz w:val="20"/>
        </w:rPr>
        <w:t>both.</w:t>
      </w:r>
    </w:p>
    <w:p>
      <w:pPr>
        <w:spacing w:after="0" w:line="235" w:lineRule="auto"/>
        <w:jc w:val="left"/>
        <w:rPr>
          <w:sz w:val="20"/>
        </w:rPr>
        <w:sectPr>
          <w:headerReference w:type="default" r:id="rId378"/>
          <w:footerReference w:type="default" r:id="rId379"/>
          <w:pgSz w:w="11910" w:h="16840"/>
          <w:pgMar w:header="0" w:footer="647" w:top="0" w:bottom="840" w:left="640" w:right="0"/>
          <w:pgNumType w:start="137"/>
        </w:sectPr>
      </w:pPr>
    </w:p>
    <w:p>
      <w:pPr>
        <w:pStyle w:val="BodyText"/>
      </w:pPr>
      <w:r>
        <w:rPr/>
        <w:pict>
          <v:rect style="position:absolute;margin-left:46.777pt;margin-top:.000015pt;width:548.498pt;height:841.89pt;mso-position-horizontal-relative:page;mso-position-vertical-relative:page;z-index:-267753472" filled="true" fillcolor="#d4e9f7" stroked="false">
            <v:fill type="solid"/>
            <w10:wrap type="none"/>
          </v:rect>
        </w:pict>
      </w:r>
      <w:r>
        <w:rPr/>
        <w:drawing>
          <wp:anchor distT="0" distB="0" distL="0" distR="0" allowOverlap="1" layoutInCell="1" locked="0" behindDoc="1" simplePos="0" relativeHeight="235564032">
            <wp:simplePos x="0" y="0"/>
            <wp:positionH relativeFrom="page">
              <wp:posOffset>0</wp:posOffset>
            </wp:positionH>
            <wp:positionV relativeFrom="page">
              <wp:posOffset>0</wp:posOffset>
            </wp:positionV>
            <wp:extent cx="594067" cy="10692003"/>
            <wp:effectExtent l="0" t="0" r="0" b="0"/>
            <wp:wrapNone/>
            <wp:docPr id="257" name="image67.png"/>
            <wp:cNvGraphicFramePr>
              <a:graphicFrameLocks noChangeAspect="1"/>
            </wp:cNvGraphicFramePr>
            <a:graphic>
              <a:graphicData uri="http://schemas.openxmlformats.org/drawingml/2006/picture">
                <pic:pic>
                  <pic:nvPicPr>
                    <pic:cNvPr id="258" name="image67.png"/>
                    <pic:cNvPicPr/>
                  </pic:nvPicPr>
                  <pic:blipFill>
                    <a:blip r:embed="rId184" cstate="print"/>
                    <a:stretch>
                      <a:fillRect/>
                    </a:stretch>
                  </pic:blipFill>
                  <pic:spPr>
                    <a:xfrm>
                      <a:off x="0" y="0"/>
                      <a:ext cx="594067" cy="10692003"/>
                    </a:xfrm>
                    <a:prstGeom prst="rect">
                      <a:avLst/>
                    </a:prstGeom>
                  </pic:spPr>
                </pic:pic>
              </a:graphicData>
            </a:graphic>
          </wp:anchor>
        </w:drawing>
      </w:r>
      <w:r>
        <w:rPr/>
        <w:pict>
          <v:shape style="position:absolute;margin-left:20.519100pt;margin-top:48.890015pt;width:25.9pt;height:421.3pt;mso-position-horizontal-relative:page;mso-position-vertical-relative:page;z-index:-267751424" type="#_x0000_t202" filled="false" stroked="false">
            <v:textbox inset="0,0,0,0" style="layout-flow:vertical">
              <w:txbxContent>
                <w:p>
                  <w:pPr>
                    <w:spacing w:before="27"/>
                    <w:ind w:left="20" w:right="0" w:firstLine="0"/>
                    <w:jc w:val="left"/>
                    <w:rPr>
                      <w:sz w:val="39"/>
                    </w:rPr>
                  </w:pPr>
                  <w:r>
                    <w:rPr>
                      <w:color w:val="FFFFFF"/>
                      <w:spacing w:val="8"/>
                      <w:w w:val="125"/>
                      <w:sz w:val="39"/>
                    </w:rPr>
                    <w:t>Finance </w:t>
                  </w:r>
                  <w:r>
                    <w:rPr>
                      <w:color w:val="FFFFFF"/>
                      <w:w w:val="125"/>
                      <w:sz w:val="39"/>
                    </w:rPr>
                    <w:t>– </w:t>
                  </w:r>
                  <w:r>
                    <w:rPr>
                      <w:spacing w:val="8"/>
                      <w:w w:val="125"/>
                      <w:sz w:val="39"/>
                    </w:rPr>
                    <w:t>Churches’ </w:t>
                  </w:r>
                  <w:r>
                    <w:rPr>
                      <w:spacing w:val="9"/>
                      <w:w w:val="125"/>
                      <w:sz w:val="39"/>
                    </w:rPr>
                    <w:t>Mutual </w:t>
                  </w:r>
                  <w:r>
                    <w:rPr>
                      <w:spacing w:val="8"/>
                      <w:w w:val="125"/>
                      <w:sz w:val="39"/>
                    </w:rPr>
                    <w:t>Credit</w:t>
                  </w:r>
                  <w:r>
                    <w:rPr>
                      <w:spacing w:val="-45"/>
                      <w:w w:val="125"/>
                      <w:sz w:val="39"/>
                    </w:rPr>
                    <w:t> </w:t>
                  </w:r>
                  <w:r>
                    <w:rPr>
                      <w:spacing w:val="11"/>
                      <w:w w:val="125"/>
                      <w:sz w:val="39"/>
                    </w:rPr>
                    <w:t>Union</w:t>
                  </w:r>
                </w:p>
              </w:txbxContent>
            </v:textbox>
            <w10:wrap type="none"/>
          </v:shape>
        </w:pict>
      </w:r>
    </w:p>
    <w:p>
      <w:pPr>
        <w:pStyle w:val="BodyText"/>
      </w:pPr>
    </w:p>
    <w:p>
      <w:pPr>
        <w:pStyle w:val="BodyText"/>
      </w:pPr>
    </w:p>
    <w:p>
      <w:pPr>
        <w:pStyle w:val="BodyText"/>
        <w:spacing w:before="5"/>
        <w:rPr>
          <w:sz w:val="28"/>
        </w:rPr>
      </w:pPr>
    </w:p>
    <w:p>
      <w:pPr>
        <w:spacing w:line="638" w:lineRule="exact" w:before="97"/>
        <w:ind w:left="607" w:right="0" w:firstLine="0"/>
        <w:jc w:val="left"/>
        <w:rPr>
          <w:rFonts w:ascii="Stone Sans II ITC Std X Bd"/>
          <w:b/>
          <w:sz w:val="50"/>
        </w:rPr>
      </w:pPr>
      <w:r>
        <w:rPr>
          <w:rFonts w:ascii="Stone Sans II ITC Std X Bd"/>
          <w:b/>
          <w:color w:val="0090D4"/>
          <w:w w:val="110"/>
          <w:sz w:val="50"/>
        </w:rPr>
        <w:t>Finance committee:</w:t>
      </w:r>
    </w:p>
    <w:p>
      <w:pPr>
        <w:spacing w:line="638" w:lineRule="exact" w:before="0"/>
        <w:ind w:left="607" w:right="0" w:firstLine="0"/>
        <w:jc w:val="left"/>
        <w:rPr>
          <w:rFonts w:ascii="Stone Sans II ITC Std X Bd" w:hAnsi="Stone Sans II ITC Std X Bd"/>
          <w:b/>
          <w:sz w:val="50"/>
        </w:rPr>
      </w:pPr>
      <w:r>
        <w:rPr>
          <w:rFonts w:ascii="Stone Sans II ITC Std X Bd" w:hAnsi="Stone Sans II ITC Std X Bd"/>
          <w:b/>
          <w:w w:val="110"/>
          <w:sz w:val="50"/>
        </w:rPr>
        <w:t>Churches’ Mutual Credit Union</w:t>
      </w:r>
    </w:p>
    <w:p>
      <w:pPr>
        <w:pStyle w:val="Heading4"/>
        <w:spacing w:before="308"/>
      </w:pPr>
      <w:r>
        <w:rPr>
          <w:color w:val="7F7F7F"/>
        </w:rPr>
        <w:t>Basic Information</w:t>
      </w:r>
    </w:p>
    <w:tbl>
      <w:tblPr>
        <w:tblW w:w="0" w:type="auto"/>
        <w:jc w:val="left"/>
        <w:tblInd w:w="6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660"/>
        <w:gridCol w:w="6582"/>
      </w:tblGrid>
      <w:tr>
        <w:trPr>
          <w:trHeight w:val="680" w:hRule="atLeast"/>
        </w:trPr>
        <w:tc>
          <w:tcPr>
            <w:tcW w:w="2660" w:type="dxa"/>
            <w:shd w:val="clear" w:color="auto" w:fill="FFFFFF"/>
          </w:tcPr>
          <w:p>
            <w:pPr>
              <w:pStyle w:val="TableParagraph"/>
              <w:spacing w:line="213" w:lineRule="auto" w:before="151"/>
              <w:ind w:right="595"/>
              <w:rPr>
                <w:rFonts w:ascii="Stone Sans II ITC Std Bk"/>
                <w:b/>
                <w:sz w:val="20"/>
              </w:rPr>
            </w:pPr>
            <w:r>
              <w:rPr>
                <w:rFonts w:ascii="Stone Sans II ITC Std Bk"/>
                <w:b/>
                <w:w w:val="110"/>
                <w:sz w:val="20"/>
              </w:rPr>
              <w:t>Contact name and email address</w:t>
            </w:r>
          </w:p>
        </w:tc>
        <w:tc>
          <w:tcPr>
            <w:tcW w:w="6582" w:type="dxa"/>
            <w:shd w:val="clear" w:color="auto" w:fill="FFFFFF"/>
          </w:tcPr>
          <w:p>
            <w:pPr>
              <w:pStyle w:val="TableParagraph"/>
              <w:spacing w:before="141"/>
              <w:rPr>
                <w:sz w:val="20"/>
              </w:rPr>
            </w:pPr>
            <w:r>
              <w:rPr>
                <w:w w:val="120"/>
                <w:sz w:val="20"/>
              </w:rPr>
              <w:t>John Ellis, Treasurer: </w:t>
            </w:r>
            <w:hyperlink r:id="rId376">
              <w:r>
                <w:rPr>
                  <w:color w:val="006AB3"/>
                  <w:w w:val="120"/>
                  <w:sz w:val="20"/>
                </w:rPr>
                <w:t>john.ellis@urc.org.uk</w:t>
              </w:r>
            </w:hyperlink>
          </w:p>
        </w:tc>
      </w:tr>
      <w:tr>
        <w:trPr>
          <w:trHeight w:val="440" w:hRule="atLeast"/>
        </w:trPr>
        <w:tc>
          <w:tcPr>
            <w:tcW w:w="2660" w:type="dxa"/>
            <w:shd w:val="clear" w:color="auto" w:fill="FFFFFF"/>
          </w:tcPr>
          <w:p>
            <w:pPr>
              <w:pStyle w:val="TableParagraph"/>
              <w:spacing w:before="128"/>
              <w:rPr>
                <w:rFonts w:ascii="Stone Sans II ITC Std Bk"/>
                <w:b/>
                <w:sz w:val="20"/>
              </w:rPr>
            </w:pPr>
            <w:r>
              <w:rPr>
                <w:rFonts w:ascii="Stone Sans II ITC Std Bk"/>
                <w:b/>
                <w:w w:val="110"/>
                <w:sz w:val="20"/>
              </w:rPr>
              <w:t>Action required</w:t>
            </w:r>
          </w:p>
        </w:tc>
        <w:tc>
          <w:tcPr>
            <w:tcW w:w="6582" w:type="dxa"/>
            <w:shd w:val="clear" w:color="auto" w:fill="FFFFFF"/>
          </w:tcPr>
          <w:p>
            <w:pPr>
              <w:pStyle w:val="TableParagraph"/>
              <w:spacing w:before="141"/>
              <w:rPr>
                <w:sz w:val="20"/>
              </w:rPr>
            </w:pPr>
            <w:r>
              <w:rPr>
                <w:w w:val="120"/>
                <w:sz w:val="20"/>
              </w:rPr>
              <w:t>Decision</w:t>
            </w:r>
          </w:p>
        </w:tc>
      </w:tr>
      <w:tr>
        <w:trPr>
          <w:trHeight w:val="920" w:hRule="atLeast"/>
        </w:trPr>
        <w:tc>
          <w:tcPr>
            <w:tcW w:w="2660" w:type="dxa"/>
            <w:shd w:val="clear" w:color="auto" w:fill="FFFFFF"/>
          </w:tcPr>
          <w:p>
            <w:pPr>
              <w:pStyle w:val="TableParagraph"/>
              <w:spacing w:before="128"/>
              <w:rPr>
                <w:rFonts w:ascii="Stone Sans II ITC Std Bk"/>
                <w:b/>
                <w:sz w:val="20"/>
              </w:rPr>
            </w:pPr>
            <w:r>
              <w:rPr>
                <w:rFonts w:ascii="Stone Sans II ITC Std Bk"/>
                <w:b/>
                <w:w w:val="110"/>
                <w:sz w:val="20"/>
              </w:rPr>
              <w:t>Draft resolution(s)</w:t>
            </w:r>
          </w:p>
        </w:tc>
        <w:tc>
          <w:tcPr>
            <w:tcW w:w="6582" w:type="dxa"/>
            <w:shd w:val="clear" w:color="auto" w:fill="FFFFFF"/>
          </w:tcPr>
          <w:p>
            <w:pPr>
              <w:pStyle w:val="TableParagraph"/>
              <w:tabs>
                <w:tab w:pos="760" w:val="left" w:leader="none"/>
              </w:tabs>
              <w:spacing w:line="213" w:lineRule="auto" w:before="151"/>
              <w:ind w:right="643"/>
              <w:rPr>
                <w:rFonts w:ascii="Stone Sans II ITC Std Bk" w:hAnsi="Stone Sans II ITC Std Bk"/>
                <w:b/>
                <w:sz w:val="20"/>
              </w:rPr>
            </w:pPr>
            <w:r>
              <w:rPr>
                <w:rFonts w:ascii="Stone Sans II ITC Std Bk" w:hAnsi="Stone Sans II ITC Std Bk"/>
                <w:b/>
                <w:w w:val="110"/>
                <w:sz w:val="20"/>
              </w:rPr>
              <w:t>26.</w:t>
              <w:tab/>
              <w:t>General Assembly welcomes the participation of the United Reformed Church in the Churches’ Mutual Credit</w:t>
            </w:r>
            <w:r>
              <w:rPr>
                <w:rFonts w:ascii="Stone Sans II ITC Std Bk" w:hAnsi="Stone Sans II ITC Std Bk"/>
                <w:b/>
                <w:spacing w:val="-1"/>
                <w:w w:val="110"/>
                <w:sz w:val="20"/>
              </w:rPr>
              <w:t> </w:t>
            </w:r>
            <w:r>
              <w:rPr>
                <w:rFonts w:ascii="Stone Sans II ITC Std Bk" w:hAnsi="Stone Sans II ITC Std Bk"/>
                <w:b/>
                <w:w w:val="110"/>
                <w:sz w:val="20"/>
              </w:rPr>
              <w:t>Union.</w:t>
            </w:r>
          </w:p>
        </w:tc>
      </w:tr>
    </w:tbl>
    <w:p>
      <w:pPr>
        <w:pStyle w:val="BodyText"/>
        <w:spacing w:before="4"/>
        <w:rPr>
          <w:rFonts w:ascii="Stone Sans II ITC Std Bk"/>
          <w:b/>
          <w:sz w:val="29"/>
        </w:rPr>
      </w:pPr>
    </w:p>
    <w:p>
      <w:pPr>
        <w:pStyle w:val="Heading4"/>
      </w:pPr>
      <w:r>
        <w:rPr>
          <w:color w:val="7F7F7F"/>
        </w:rPr>
        <w:t>Summary of Content</w:t>
      </w:r>
    </w:p>
    <w:tbl>
      <w:tblPr>
        <w:tblW w:w="0" w:type="auto"/>
        <w:jc w:val="left"/>
        <w:tblInd w:w="6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660"/>
        <w:gridCol w:w="6582"/>
      </w:tblGrid>
      <w:tr>
        <w:trPr>
          <w:trHeight w:val="680" w:hRule="atLeast"/>
        </w:trPr>
        <w:tc>
          <w:tcPr>
            <w:tcW w:w="2660" w:type="dxa"/>
            <w:shd w:val="clear" w:color="auto" w:fill="FFFFFF"/>
          </w:tcPr>
          <w:p>
            <w:pPr>
              <w:pStyle w:val="TableParagraph"/>
              <w:spacing w:before="128"/>
              <w:rPr>
                <w:rFonts w:ascii="Stone Sans II ITC Std Bk"/>
                <w:b/>
                <w:sz w:val="20"/>
              </w:rPr>
            </w:pPr>
            <w:r>
              <w:rPr>
                <w:rFonts w:ascii="Stone Sans II ITC Std Bk"/>
                <w:b/>
                <w:w w:val="110"/>
                <w:sz w:val="20"/>
              </w:rPr>
              <w:t>Subject and aim(s)</w:t>
            </w:r>
          </w:p>
        </w:tc>
        <w:tc>
          <w:tcPr>
            <w:tcW w:w="6582" w:type="dxa"/>
            <w:shd w:val="clear" w:color="auto" w:fill="FFFFFF"/>
          </w:tcPr>
          <w:p>
            <w:pPr>
              <w:pStyle w:val="TableParagraph"/>
              <w:spacing w:line="235" w:lineRule="auto" w:before="145"/>
              <w:rPr>
                <w:sz w:val="20"/>
              </w:rPr>
            </w:pPr>
            <w:r>
              <w:rPr>
                <w:w w:val="120"/>
                <w:sz w:val="20"/>
              </w:rPr>
              <w:t>To introduce the Churches’ Mutual Credit Union (CMCU) and encourage URC participation in it</w:t>
            </w:r>
          </w:p>
        </w:tc>
      </w:tr>
      <w:tr>
        <w:trPr>
          <w:trHeight w:val="1161" w:hRule="atLeast"/>
        </w:trPr>
        <w:tc>
          <w:tcPr>
            <w:tcW w:w="2660" w:type="dxa"/>
            <w:shd w:val="clear" w:color="auto" w:fill="FFFFFF"/>
          </w:tcPr>
          <w:p>
            <w:pPr>
              <w:pStyle w:val="TableParagraph"/>
              <w:spacing w:before="128"/>
              <w:rPr>
                <w:rFonts w:ascii="Stone Sans II ITC Std Bk"/>
                <w:b/>
                <w:sz w:val="20"/>
              </w:rPr>
            </w:pPr>
            <w:r>
              <w:rPr>
                <w:rFonts w:ascii="Stone Sans II ITC Std Bk"/>
                <w:b/>
                <w:w w:val="110"/>
                <w:sz w:val="20"/>
              </w:rPr>
              <w:t>Main points</w:t>
            </w:r>
          </w:p>
        </w:tc>
        <w:tc>
          <w:tcPr>
            <w:tcW w:w="6582" w:type="dxa"/>
            <w:shd w:val="clear" w:color="auto" w:fill="FFFFFF"/>
          </w:tcPr>
          <w:p>
            <w:pPr>
              <w:pStyle w:val="TableParagraph"/>
              <w:numPr>
                <w:ilvl w:val="0"/>
                <w:numId w:val="163"/>
              </w:numPr>
              <w:tabs>
                <w:tab w:pos="760" w:val="left" w:leader="none"/>
                <w:tab w:pos="761" w:val="left" w:leader="none"/>
              </w:tabs>
              <w:spacing w:line="298" w:lineRule="exact" w:before="81" w:after="0"/>
              <w:ind w:left="760" w:right="0" w:hanging="681"/>
              <w:jc w:val="left"/>
              <w:rPr>
                <w:sz w:val="20"/>
              </w:rPr>
            </w:pPr>
            <w:r>
              <w:rPr>
                <w:w w:val="120"/>
                <w:sz w:val="20"/>
              </w:rPr>
              <w:t>Background to CMCU and its</w:t>
            </w:r>
            <w:r>
              <w:rPr>
                <w:spacing w:val="14"/>
                <w:w w:val="120"/>
                <w:sz w:val="20"/>
              </w:rPr>
              <w:t> </w:t>
            </w:r>
            <w:r>
              <w:rPr>
                <w:w w:val="120"/>
                <w:sz w:val="20"/>
              </w:rPr>
              <w:t>aims</w:t>
            </w:r>
          </w:p>
          <w:p>
            <w:pPr>
              <w:pStyle w:val="TableParagraph"/>
              <w:numPr>
                <w:ilvl w:val="0"/>
                <w:numId w:val="163"/>
              </w:numPr>
              <w:tabs>
                <w:tab w:pos="760" w:val="left" w:leader="none"/>
                <w:tab w:pos="761" w:val="left" w:leader="none"/>
              </w:tabs>
              <w:spacing w:line="240" w:lineRule="exact" w:before="0" w:after="0"/>
              <w:ind w:left="760" w:right="0" w:hanging="681"/>
              <w:jc w:val="left"/>
              <w:rPr>
                <w:sz w:val="20"/>
              </w:rPr>
            </w:pPr>
            <w:r>
              <w:rPr>
                <w:w w:val="125"/>
                <w:sz w:val="20"/>
              </w:rPr>
              <w:t>Extending the CMCU to include the</w:t>
            </w:r>
            <w:r>
              <w:rPr>
                <w:spacing w:val="-10"/>
                <w:w w:val="125"/>
                <w:sz w:val="20"/>
              </w:rPr>
              <w:t> </w:t>
            </w:r>
            <w:r>
              <w:rPr>
                <w:w w:val="125"/>
                <w:sz w:val="20"/>
              </w:rPr>
              <w:t>URC</w:t>
            </w:r>
          </w:p>
          <w:p>
            <w:pPr>
              <w:pStyle w:val="TableParagraph"/>
              <w:numPr>
                <w:ilvl w:val="0"/>
                <w:numId w:val="163"/>
              </w:numPr>
              <w:tabs>
                <w:tab w:pos="760" w:val="left" w:leader="none"/>
                <w:tab w:pos="761" w:val="left" w:leader="none"/>
              </w:tabs>
              <w:spacing w:line="240" w:lineRule="exact" w:before="0" w:after="0"/>
              <w:ind w:left="760" w:right="0" w:hanging="681"/>
              <w:jc w:val="left"/>
              <w:rPr>
                <w:sz w:val="20"/>
              </w:rPr>
            </w:pPr>
            <w:r>
              <w:rPr>
                <w:w w:val="120"/>
                <w:sz w:val="20"/>
              </w:rPr>
              <w:t>URC financial</w:t>
            </w:r>
            <w:r>
              <w:rPr>
                <w:spacing w:val="4"/>
                <w:w w:val="120"/>
                <w:sz w:val="20"/>
              </w:rPr>
              <w:t> </w:t>
            </w:r>
            <w:r>
              <w:rPr>
                <w:w w:val="120"/>
                <w:sz w:val="20"/>
              </w:rPr>
              <w:t>commitment</w:t>
            </w:r>
          </w:p>
          <w:p>
            <w:pPr>
              <w:pStyle w:val="TableParagraph"/>
              <w:numPr>
                <w:ilvl w:val="0"/>
                <w:numId w:val="163"/>
              </w:numPr>
              <w:tabs>
                <w:tab w:pos="760" w:val="left" w:leader="none"/>
                <w:tab w:pos="761" w:val="left" w:leader="none"/>
              </w:tabs>
              <w:spacing w:line="282" w:lineRule="exact" w:before="0" w:after="0"/>
              <w:ind w:left="760" w:right="0" w:hanging="681"/>
              <w:jc w:val="left"/>
              <w:rPr>
                <w:sz w:val="20"/>
              </w:rPr>
            </w:pPr>
            <w:r>
              <w:rPr>
                <w:w w:val="120"/>
                <w:sz w:val="20"/>
              </w:rPr>
              <w:t>Need for</w:t>
            </w:r>
            <w:r>
              <w:rPr>
                <w:spacing w:val="4"/>
                <w:w w:val="120"/>
                <w:sz w:val="20"/>
              </w:rPr>
              <w:t> </w:t>
            </w:r>
            <w:r>
              <w:rPr>
                <w:w w:val="120"/>
                <w:sz w:val="20"/>
              </w:rPr>
              <w:t>advocacy</w:t>
            </w:r>
          </w:p>
        </w:tc>
      </w:tr>
      <w:tr>
        <w:trPr>
          <w:trHeight w:val="680" w:hRule="atLeast"/>
        </w:trPr>
        <w:tc>
          <w:tcPr>
            <w:tcW w:w="2660" w:type="dxa"/>
            <w:shd w:val="clear" w:color="auto" w:fill="FFFFFF"/>
          </w:tcPr>
          <w:p>
            <w:pPr>
              <w:pStyle w:val="TableParagraph"/>
              <w:spacing w:line="213" w:lineRule="auto" w:before="151"/>
              <w:ind w:right="701"/>
              <w:rPr>
                <w:rFonts w:ascii="Stone Sans II ITC Std Bk"/>
                <w:b/>
                <w:sz w:val="20"/>
              </w:rPr>
            </w:pPr>
            <w:r>
              <w:rPr>
                <w:rFonts w:ascii="Stone Sans II ITC Std Bk"/>
                <w:b/>
                <w:w w:val="110"/>
                <w:sz w:val="20"/>
              </w:rPr>
              <w:t>Previous relevant documents</w:t>
            </w:r>
          </w:p>
        </w:tc>
        <w:tc>
          <w:tcPr>
            <w:tcW w:w="6582" w:type="dxa"/>
            <w:shd w:val="clear" w:color="auto" w:fill="FFFFFF"/>
          </w:tcPr>
          <w:p>
            <w:pPr>
              <w:pStyle w:val="TableParagraph"/>
              <w:spacing w:before="141"/>
              <w:rPr>
                <w:sz w:val="20"/>
              </w:rPr>
            </w:pPr>
            <w:r>
              <w:rPr>
                <w:w w:val="120"/>
                <w:sz w:val="20"/>
              </w:rPr>
              <w:t>None</w:t>
            </w:r>
          </w:p>
        </w:tc>
      </w:tr>
      <w:tr>
        <w:trPr>
          <w:trHeight w:val="680" w:hRule="atLeast"/>
        </w:trPr>
        <w:tc>
          <w:tcPr>
            <w:tcW w:w="2660" w:type="dxa"/>
            <w:shd w:val="clear" w:color="auto" w:fill="FFFFFF"/>
          </w:tcPr>
          <w:p>
            <w:pPr>
              <w:pStyle w:val="TableParagraph"/>
              <w:spacing w:line="213" w:lineRule="auto" w:before="151"/>
              <w:ind w:right="576"/>
              <w:rPr>
                <w:rFonts w:ascii="Stone Sans II ITC Std Bk"/>
                <w:b/>
                <w:sz w:val="20"/>
              </w:rPr>
            </w:pPr>
            <w:r>
              <w:rPr>
                <w:rFonts w:ascii="Stone Sans II ITC Std Bk"/>
                <w:b/>
                <w:w w:val="110"/>
                <w:sz w:val="20"/>
              </w:rPr>
              <w:t>Consultation has taken place with...</w:t>
            </w:r>
          </w:p>
        </w:tc>
        <w:tc>
          <w:tcPr>
            <w:tcW w:w="6582" w:type="dxa"/>
            <w:shd w:val="clear" w:color="auto" w:fill="FFFFFF"/>
          </w:tcPr>
          <w:p>
            <w:pPr>
              <w:pStyle w:val="TableParagraph"/>
              <w:spacing w:before="141"/>
              <w:rPr>
                <w:sz w:val="20"/>
              </w:rPr>
            </w:pPr>
            <w:r>
              <w:rPr>
                <w:w w:val="125"/>
                <w:sz w:val="20"/>
              </w:rPr>
              <w:t>CMCU; URC Trust</w:t>
            </w:r>
          </w:p>
        </w:tc>
      </w:tr>
    </w:tbl>
    <w:p>
      <w:pPr>
        <w:pStyle w:val="BodyText"/>
        <w:spacing w:before="3"/>
        <w:rPr>
          <w:rFonts w:ascii="Stone Sans II ITC Std Bk"/>
          <w:b/>
          <w:sz w:val="29"/>
        </w:rPr>
      </w:pPr>
    </w:p>
    <w:p>
      <w:pPr>
        <w:pStyle w:val="Heading4"/>
      </w:pPr>
      <w:r>
        <w:rPr>
          <w:color w:val="7F7F7F"/>
        </w:rPr>
        <w:t>Summary of Impact</w:t>
      </w:r>
    </w:p>
    <w:tbl>
      <w:tblPr>
        <w:tblW w:w="0" w:type="auto"/>
        <w:jc w:val="left"/>
        <w:tblInd w:w="6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660"/>
        <w:gridCol w:w="6582"/>
      </w:tblGrid>
      <w:tr>
        <w:trPr>
          <w:trHeight w:val="680" w:hRule="atLeast"/>
        </w:trPr>
        <w:tc>
          <w:tcPr>
            <w:tcW w:w="2660" w:type="dxa"/>
            <w:shd w:val="clear" w:color="auto" w:fill="FFFFFF"/>
          </w:tcPr>
          <w:p>
            <w:pPr>
              <w:pStyle w:val="TableParagraph"/>
              <w:spacing w:before="128"/>
              <w:rPr>
                <w:rFonts w:ascii="Stone Sans II ITC Std Bk"/>
                <w:b/>
                <w:sz w:val="20"/>
              </w:rPr>
            </w:pPr>
            <w:r>
              <w:rPr>
                <w:rFonts w:ascii="Stone Sans II ITC Std Bk"/>
                <w:b/>
                <w:w w:val="110"/>
                <w:sz w:val="20"/>
              </w:rPr>
              <w:t>Financial</w:t>
            </w:r>
          </w:p>
        </w:tc>
        <w:tc>
          <w:tcPr>
            <w:tcW w:w="6582" w:type="dxa"/>
            <w:shd w:val="clear" w:color="auto" w:fill="FFFFFF"/>
          </w:tcPr>
          <w:p>
            <w:pPr>
              <w:pStyle w:val="TableParagraph"/>
              <w:spacing w:line="235" w:lineRule="auto" w:before="145"/>
              <w:ind w:right="804"/>
              <w:rPr>
                <w:sz w:val="20"/>
              </w:rPr>
            </w:pPr>
            <w:r>
              <w:rPr>
                <w:w w:val="120"/>
                <w:sz w:val="20"/>
              </w:rPr>
              <w:t>An investment of £30,000 in CMCU shares and a £10,000 grant is proposed</w:t>
            </w:r>
          </w:p>
        </w:tc>
      </w:tr>
      <w:tr>
        <w:trPr>
          <w:trHeight w:val="920" w:hRule="atLeast"/>
        </w:trPr>
        <w:tc>
          <w:tcPr>
            <w:tcW w:w="2660" w:type="dxa"/>
            <w:shd w:val="clear" w:color="auto" w:fill="FFFFFF"/>
          </w:tcPr>
          <w:p>
            <w:pPr>
              <w:pStyle w:val="TableParagraph"/>
              <w:spacing w:line="255" w:lineRule="exact" w:before="128"/>
              <w:rPr>
                <w:rFonts w:ascii="Stone Sans II ITC Std Bk"/>
                <w:b/>
                <w:sz w:val="20"/>
              </w:rPr>
            </w:pPr>
            <w:r>
              <w:rPr>
                <w:rFonts w:ascii="Stone Sans II ITC Std Bk"/>
                <w:b/>
                <w:w w:val="110"/>
                <w:sz w:val="20"/>
              </w:rPr>
              <w:t>External</w:t>
            </w:r>
          </w:p>
          <w:p>
            <w:pPr>
              <w:pStyle w:val="TableParagraph"/>
              <w:spacing w:line="255" w:lineRule="exact"/>
              <w:rPr>
                <w:rFonts w:ascii="Stone Sans II ITC Std Bk"/>
                <w:b/>
                <w:sz w:val="20"/>
              </w:rPr>
            </w:pPr>
            <w:r>
              <w:rPr>
                <w:rFonts w:ascii="Stone Sans II ITC Std Bk"/>
                <w:b/>
                <w:w w:val="110"/>
                <w:sz w:val="20"/>
              </w:rPr>
              <w:t>(e.g. ecumenical)</w:t>
            </w:r>
          </w:p>
        </w:tc>
        <w:tc>
          <w:tcPr>
            <w:tcW w:w="6582" w:type="dxa"/>
            <w:shd w:val="clear" w:color="auto" w:fill="FFFFFF"/>
          </w:tcPr>
          <w:p>
            <w:pPr>
              <w:pStyle w:val="TableParagraph"/>
              <w:spacing w:line="235" w:lineRule="auto" w:before="145"/>
              <w:rPr>
                <w:sz w:val="20"/>
              </w:rPr>
            </w:pPr>
            <w:r>
              <w:rPr>
                <w:w w:val="120"/>
                <w:sz w:val="20"/>
              </w:rPr>
              <w:t>The URC would become part of a growing ecumenical initiative which provides practical help to individuals and a principled challenge to unjust financial structures.</w:t>
            </w:r>
          </w:p>
        </w:tc>
      </w:tr>
    </w:tbl>
    <w:p>
      <w:pPr>
        <w:pStyle w:val="BodyText"/>
        <w:rPr>
          <w:rFonts w:ascii="Stone Sans II ITC Std Bk"/>
          <w:b/>
          <w:sz w:val="30"/>
        </w:rPr>
      </w:pPr>
    </w:p>
    <w:p>
      <w:pPr>
        <w:pStyle w:val="BodyText"/>
        <w:rPr>
          <w:rFonts w:ascii="Stone Sans II ITC Std Bk"/>
          <w:b/>
          <w:sz w:val="30"/>
        </w:rPr>
      </w:pPr>
    </w:p>
    <w:p>
      <w:pPr>
        <w:pStyle w:val="BodyText"/>
        <w:rPr>
          <w:rFonts w:ascii="Stone Sans II ITC Std Bk"/>
          <w:b/>
          <w:sz w:val="30"/>
        </w:rPr>
      </w:pPr>
    </w:p>
    <w:p>
      <w:pPr>
        <w:pStyle w:val="BodyText"/>
        <w:rPr>
          <w:rFonts w:ascii="Stone Sans II ITC Std Bk"/>
          <w:b/>
          <w:sz w:val="30"/>
        </w:rPr>
      </w:pPr>
    </w:p>
    <w:p>
      <w:pPr>
        <w:pStyle w:val="BodyText"/>
        <w:rPr>
          <w:rFonts w:ascii="Stone Sans II ITC Std Bk"/>
          <w:b/>
          <w:sz w:val="30"/>
        </w:rPr>
      </w:pPr>
    </w:p>
    <w:p>
      <w:pPr>
        <w:pStyle w:val="BodyText"/>
        <w:rPr>
          <w:rFonts w:ascii="Stone Sans II ITC Std Bk"/>
          <w:b/>
          <w:sz w:val="30"/>
        </w:rPr>
      </w:pPr>
    </w:p>
    <w:p>
      <w:pPr>
        <w:pStyle w:val="BodyText"/>
        <w:rPr>
          <w:rFonts w:ascii="Stone Sans II ITC Std Bk"/>
          <w:b/>
          <w:sz w:val="30"/>
        </w:rPr>
      </w:pPr>
    </w:p>
    <w:p>
      <w:pPr>
        <w:pStyle w:val="BodyText"/>
        <w:rPr>
          <w:rFonts w:ascii="Stone Sans II ITC Std Bk"/>
          <w:b/>
          <w:sz w:val="30"/>
        </w:rPr>
      </w:pPr>
    </w:p>
    <w:p>
      <w:pPr>
        <w:pStyle w:val="BodyText"/>
        <w:rPr>
          <w:rFonts w:ascii="Stone Sans II ITC Std Bk"/>
          <w:b/>
          <w:sz w:val="30"/>
        </w:rPr>
      </w:pPr>
    </w:p>
    <w:p>
      <w:pPr>
        <w:pStyle w:val="BodyText"/>
        <w:rPr>
          <w:rFonts w:ascii="Stone Sans II ITC Std Bk"/>
          <w:b/>
          <w:sz w:val="30"/>
        </w:rPr>
      </w:pPr>
    </w:p>
    <w:p>
      <w:pPr>
        <w:pStyle w:val="BodyText"/>
        <w:spacing w:before="7"/>
        <w:rPr>
          <w:rFonts w:ascii="Stone Sans II ITC Std Bk"/>
          <w:b/>
          <w:sz w:val="31"/>
        </w:rPr>
      </w:pPr>
    </w:p>
    <w:p>
      <w:pPr>
        <w:pStyle w:val="Heading6"/>
        <w:spacing w:before="1"/>
        <w:ind w:left="607"/>
      </w:pPr>
      <w:r>
        <w:rPr>
          <w:rFonts w:ascii="Stone Sans II ITC Std X Bd" w:hAnsi="Stone Sans II ITC Std X Bd"/>
          <w:b/>
          <w:w w:val="110"/>
          <w:sz w:val="24"/>
        </w:rPr>
        <w:t>138 </w:t>
      </w:r>
      <w:r>
        <w:rPr>
          <w:rFonts w:ascii="Symbol" w:hAnsi="Symbol"/>
          <w:color w:val="7EAABF"/>
          <w:w w:val="110"/>
        </w:rPr>
        <w:t></w:t>
      </w:r>
      <w:r>
        <w:rPr>
          <w:rFonts w:ascii="Times New Roman" w:hAnsi="Times New Roman"/>
          <w:color w:val="7EAABF"/>
          <w:w w:val="110"/>
        </w:rPr>
        <w:t> </w:t>
      </w:r>
      <w:r>
        <w:rPr>
          <w:color w:val="7EAABF"/>
          <w:w w:val="110"/>
        </w:rPr>
        <w:t>United Reformed Church </w:t>
      </w:r>
      <w:r>
        <w:rPr>
          <w:rFonts w:ascii="Symbol" w:hAnsi="Symbol"/>
          <w:color w:val="7EAABF"/>
          <w:w w:val="110"/>
        </w:rPr>
        <w:t></w:t>
      </w:r>
      <w:r>
        <w:rPr>
          <w:rFonts w:ascii="Times New Roman" w:hAnsi="Times New Roman"/>
          <w:color w:val="7EAABF"/>
          <w:w w:val="110"/>
        </w:rPr>
        <w:t> </w:t>
      </w:r>
      <w:r>
        <w:rPr>
          <w:color w:val="7EAABF"/>
          <w:w w:val="110"/>
        </w:rPr>
        <w:t>General Assembly 2016</w:t>
      </w:r>
    </w:p>
    <w:p>
      <w:pPr>
        <w:spacing w:after="0"/>
        <w:sectPr>
          <w:headerReference w:type="even" r:id="rId380"/>
          <w:footerReference w:type="even" r:id="rId381"/>
          <w:pgSz w:w="11910" w:h="16840"/>
          <w:pgMar w:header="0" w:footer="0" w:top="0" w:bottom="0" w:left="640" w:right="0"/>
        </w:sectPr>
      </w:pPr>
    </w:p>
    <w:p>
      <w:pPr>
        <w:pStyle w:val="BodyText"/>
      </w:pPr>
      <w:r>
        <w:rPr/>
        <w:drawing>
          <wp:anchor distT="0" distB="0" distL="0" distR="0" allowOverlap="1" layoutInCell="1" locked="0" behindDoc="0" simplePos="0" relativeHeight="252019712">
            <wp:simplePos x="0" y="0"/>
            <wp:positionH relativeFrom="page">
              <wp:posOffset>6974928</wp:posOffset>
            </wp:positionH>
            <wp:positionV relativeFrom="page">
              <wp:posOffset>0</wp:posOffset>
            </wp:positionV>
            <wp:extent cx="585063" cy="10692003"/>
            <wp:effectExtent l="0" t="0" r="0" b="0"/>
            <wp:wrapNone/>
            <wp:docPr id="259" name="image54.png"/>
            <wp:cNvGraphicFramePr>
              <a:graphicFrameLocks noChangeAspect="1"/>
            </wp:cNvGraphicFramePr>
            <a:graphic>
              <a:graphicData uri="http://schemas.openxmlformats.org/drawingml/2006/picture">
                <pic:pic>
                  <pic:nvPicPr>
                    <pic:cNvPr id="260" name="image54.png"/>
                    <pic:cNvPicPr/>
                  </pic:nvPicPr>
                  <pic:blipFill>
                    <a:blip r:embed="rId169" cstate="print"/>
                    <a:stretch>
                      <a:fillRect/>
                    </a:stretch>
                  </pic:blipFill>
                  <pic:spPr>
                    <a:xfrm>
                      <a:off x="0" y="0"/>
                      <a:ext cx="585063" cy="10692003"/>
                    </a:xfrm>
                    <a:prstGeom prst="rect">
                      <a:avLst/>
                    </a:prstGeom>
                  </pic:spPr>
                </pic:pic>
              </a:graphicData>
            </a:graphic>
          </wp:anchor>
        </w:drawing>
      </w:r>
    </w:p>
    <w:p>
      <w:pPr>
        <w:pStyle w:val="BodyText"/>
      </w:pPr>
    </w:p>
    <w:p>
      <w:pPr>
        <w:pStyle w:val="BodyText"/>
      </w:pPr>
    </w:p>
    <w:p>
      <w:pPr>
        <w:pStyle w:val="BodyText"/>
        <w:spacing w:before="5"/>
        <w:rPr>
          <w:sz w:val="28"/>
        </w:rPr>
      </w:pPr>
    </w:p>
    <w:p>
      <w:pPr>
        <w:spacing w:before="97"/>
        <w:ind w:left="1344" w:right="0" w:firstLine="0"/>
        <w:jc w:val="left"/>
        <w:rPr>
          <w:rFonts w:ascii="Stone Sans II ITC Std X Bd" w:hAnsi="Stone Sans II ITC Std X Bd"/>
          <w:b/>
          <w:sz w:val="50"/>
        </w:rPr>
      </w:pPr>
      <w:r>
        <w:rPr/>
        <w:pict>
          <v:shape style="position:absolute;margin-left:554.141174pt;margin-top:-5.998084pt;width:25.9pt;height:421.3pt;mso-position-horizontal-relative:page;mso-position-vertical-relative:paragraph;z-index:252020736" type="#_x0000_t202" filled="false" stroked="false">
            <v:textbox inset="0,0,0,0" style="layout-flow:vertical">
              <w:txbxContent>
                <w:p>
                  <w:pPr>
                    <w:spacing w:before="27"/>
                    <w:ind w:left="20" w:right="0" w:firstLine="0"/>
                    <w:jc w:val="left"/>
                    <w:rPr>
                      <w:sz w:val="39"/>
                    </w:rPr>
                  </w:pPr>
                  <w:r>
                    <w:rPr>
                      <w:color w:val="FFFFFF"/>
                      <w:spacing w:val="8"/>
                      <w:w w:val="125"/>
                      <w:sz w:val="39"/>
                    </w:rPr>
                    <w:t>Finance </w:t>
                  </w:r>
                  <w:r>
                    <w:rPr>
                      <w:color w:val="FFFFFF"/>
                      <w:w w:val="125"/>
                      <w:sz w:val="39"/>
                    </w:rPr>
                    <w:t>– </w:t>
                  </w:r>
                  <w:r>
                    <w:rPr>
                      <w:spacing w:val="8"/>
                      <w:w w:val="125"/>
                      <w:sz w:val="39"/>
                    </w:rPr>
                    <w:t>Churches’ </w:t>
                  </w:r>
                  <w:r>
                    <w:rPr>
                      <w:spacing w:val="9"/>
                      <w:w w:val="125"/>
                      <w:sz w:val="39"/>
                    </w:rPr>
                    <w:t>Mutual </w:t>
                  </w:r>
                  <w:r>
                    <w:rPr>
                      <w:spacing w:val="8"/>
                      <w:w w:val="125"/>
                      <w:sz w:val="39"/>
                    </w:rPr>
                    <w:t>Credit</w:t>
                  </w:r>
                  <w:r>
                    <w:rPr>
                      <w:spacing w:val="-45"/>
                      <w:w w:val="125"/>
                      <w:sz w:val="39"/>
                    </w:rPr>
                    <w:t> </w:t>
                  </w:r>
                  <w:r>
                    <w:rPr>
                      <w:spacing w:val="11"/>
                      <w:w w:val="125"/>
                      <w:sz w:val="39"/>
                    </w:rPr>
                    <w:t>Union</w:t>
                  </w:r>
                </w:p>
              </w:txbxContent>
            </v:textbox>
            <w10:wrap type="none"/>
          </v:shape>
        </w:pict>
      </w:r>
      <w:r>
        <w:rPr>
          <w:rFonts w:ascii="Stone Sans II ITC Std X Bd" w:hAnsi="Stone Sans II ITC Std X Bd"/>
          <w:b/>
          <w:w w:val="110"/>
          <w:sz w:val="50"/>
        </w:rPr>
        <w:t>Churches’ Mutual Credit Union</w:t>
      </w:r>
    </w:p>
    <w:p>
      <w:pPr>
        <w:pStyle w:val="BodyText"/>
        <w:spacing w:before="10"/>
        <w:rPr>
          <w:rFonts w:ascii="Stone Sans II ITC Std X Bd"/>
          <w:b/>
          <w:sz w:val="44"/>
        </w:rPr>
      </w:pPr>
    </w:p>
    <w:p>
      <w:pPr>
        <w:pStyle w:val="ListParagraph"/>
        <w:numPr>
          <w:ilvl w:val="0"/>
          <w:numId w:val="164"/>
        </w:numPr>
        <w:tabs>
          <w:tab w:pos="2024" w:val="left" w:leader="none"/>
          <w:tab w:pos="2025" w:val="left" w:leader="none"/>
        </w:tabs>
        <w:spacing w:line="235" w:lineRule="auto" w:before="0" w:after="0"/>
        <w:ind w:left="1344" w:right="1264" w:firstLine="0"/>
        <w:jc w:val="left"/>
        <w:rPr>
          <w:sz w:val="20"/>
        </w:rPr>
      </w:pPr>
      <w:r>
        <w:rPr>
          <w:w w:val="120"/>
          <w:sz w:val="20"/>
        </w:rPr>
        <w:t>The United Reformed Church has a new opportunity to point to the values of the Kingdom of God amidst current financial</w:t>
      </w:r>
      <w:r>
        <w:rPr>
          <w:spacing w:val="16"/>
          <w:w w:val="120"/>
          <w:sz w:val="20"/>
        </w:rPr>
        <w:t> </w:t>
      </w:r>
      <w:r>
        <w:rPr>
          <w:w w:val="120"/>
          <w:sz w:val="20"/>
        </w:rPr>
        <w:t>structures.</w:t>
      </w:r>
    </w:p>
    <w:p>
      <w:pPr>
        <w:pStyle w:val="BodyText"/>
        <w:spacing w:before="2"/>
        <w:rPr>
          <w:sz w:val="22"/>
        </w:rPr>
      </w:pPr>
    </w:p>
    <w:p>
      <w:pPr>
        <w:spacing w:before="0"/>
        <w:ind w:left="1344" w:right="0" w:firstLine="0"/>
        <w:jc w:val="left"/>
        <w:rPr>
          <w:rFonts w:ascii="Stone Sans II ITC Std Bk"/>
          <w:b/>
          <w:sz w:val="29"/>
        </w:rPr>
      </w:pPr>
      <w:r>
        <w:rPr>
          <w:rFonts w:ascii="Stone Sans II ITC Std Bk"/>
          <w:b/>
          <w:w w:val="110"/>
          <w:sz w:val="29"/>
        </w:rPr>
        <w:t>Background to the CMCU</w:t>
      </w:r>
    </w:p>
    <w:p>
      <w:pPr>
        <w:pStyle w:val="ListParagraph"/>
        <w:numPr>
          <w:ilvl w:val="0"/>
          <w:numId w:val="164"/>
        </w:numPr>
        <w:tabs>
          <w:tab w:pos="2024" w:val="left" w:leader="none"/>
          <w:tab w:pos="2025" w:val="left" w:leader="none"/>
        </w:tabs>
        <w:spacing w:line="235" w:lineRule="auto" w:before="69" w:after="0"/>
        <w:ind w:left="1344" w:right="1543" w:firstLine="0"/>
        <w:jc w:val="left"/>
        <w:rPr>
          <w:sz w:val="20"/>
        </w:rPr>
      </w:pPr>
      <w:r>
        <w:rPr>
          <w:w w:val="120"/>
          <w:sz w:val="20"/>
        </w:rPr>
        <w:t>Following the banking collapses of 2008-9, internal and regulatory pressures on</w:t>
      </w:r>
      <w:r>
        <w:rPr>
          <w:spacing w:val="6"/>
          <w:w w:val="120"/>
          <w:sz w:val="20"/>
        </w:rPr>
        <w:t> </w:t>
      </w:r>
      <w:r>
        <w:rPr>
          <w:w w:val="120"/>
          <w:sz w:val="20"/>
        </w:rPr>
        <w:t>the</w:t>
      </w:r>
      <w:r>
        <w:rPr>
          <w:spacing w:val="6"/>
          <w:w w:val="120"/>
          <w:sz w:val="20"/>
        </w:rPr>
        <w:t> </w:t>
      </w:r>
      <w:r>
        <w:rPr>
          <w:w w:val="120"/>
          <w:sz w:val="20"/>
        </w:rPr>
        <w:t>banks</w:t>
      </w:r>
      <w:r>
        <w:rPr>
          <w:spacing w:val="6"/>
          <w:w w:val="120"/>
          <w:sz w:val="20"/>
        </w:rPr>
        <w:t> </w:t>
      </w:r>
      <w:r>
        <w:rPr>
          <w:w w:val="120"/>
          <w:sz w:val="20"/>
        </w:rPr>
        <w:t>made</w:t>
      </w:r>
      <w:r>
        <w:rPr>
          <w:spacing w:val="7"/>
          <w:w w:val="120"/>
          <w:sz w:val="20"/>
        </w:rPr>
        <w:t> </w:t>
      </w:r>
      <w:r>
        <w:rPr>
          <w:w w:val="120"/>
          <w:sz w:val="20"/>
        </w:rPr>
        <w:t>them</w:t>
      </w:r>
      <w:r>
        <w:rPr>
          <w:spacing w:val="6"/>
          <w:w w:val="120"/>
          <w:sz w:val="20"/>
        </w:rPr>
        <w:t> </w:t>
      </w:r>
      <w:r>
        <w:rPr>
          <w:w w:val="120"/>
          <w:sz w:val="20"/>
        </w:rPr>
        <w:t>much</w:t>
      </w:r>
      <w:r>
        <w:rPr>
          <w:spacing w:val="6"/>
          <w:w w:val="120"/>
          <w:sz w:val="20"/>
        </w:rPr>
        <w:t> </w:t>
      </w:r>
      <w:r>
        <w:rPr>
          <w:w w:val="120"/>
          <w:sz w:val="20"/>
        </w:rPr>
        <w:t>more</w:t>
      </w:r>
      <w:r>
        <w:rPr>
          <w:spacing w:val="7"/>
          <w:w w:val="120"/>
          <w:sz w:val="20"/>
        </w:rPr>
        <w:t> </w:t>
      </w:r>
      <w:r>
        <w:rPr>
          <w:w w:val="120"/>
          <w:sz w:val="20"/>
        </w:rPr>
        <w:t>restrictive</w:t>
      </w:r>
      <w:r>
        <w:rPr>
          <w:spacing w:val="6"/>
          <w:w w:val="120"/>
          <w:sz w:val="20"/>
        </w:rPr>
        <w:t> </w:t>
      </w:r>
      <w:r>
        <w:rPr>
          <w:w w:val="120"/>
          <w:sz w:val="20"/>
        </w:rPr>
        <w:t>in</w:t>
      </w:r>
      <w:r>
        <w:rPr>
          <w:spacing w:val="6"/>
          <w:w w:val="120"/>
          <w:sz w:val="20"/>
        </w:rPr>
        <w:t> </w:t>
      </w:r>
      <w:r>
        <w:rPr>
          <w:w w:val="120"/>
          <w:sz w:val="20"/>
        </w:rPr>
        <w:t>extending</w:t>
      </w:r>
      <w:r>
        <w:rPr>
          <w:spacing w:val="6"/>
          <w:w w:val="120"/>
          <w:sz w:val="20"/>
        </w:rPr>
        <w:t> </w:t>
      </w:r>
      <w:r>
        <w:rPr>
          <w:w w:val="120"/>
          <w:sz w:val="20"/>
        </w:rPr>
        <w:t>credit</w:t>
      </w:r>
      <w:r>
        <w:rPr>
          <w:spacing w:val="7"/>
          <w:w w:val="120"/>
          <w:sz w:val="20"/>
        </w:rPr>
        <w:t> </w:t>
      </w:r>
      <w:r>
        <w:rPr>
          <w:w w:val="120"/>
          <w:sz w:val="20"/>
        </w:rPr>
        <w:t>to</w:t>
      </w:r>
      <w:r>
        <w:rPr>
          <w:spacing w:val="6"/>
          <w:w w:val="120"/>
          <w:sz w:val="20"/>
        </w:rPr>
        <w:t> </w:t>
      </w:r>
      <w:r>
        <w:rPr>
          <w:w w:val="120"/>
          <w:sz w:val="20"/>
        </w:rPr>
        <w:t>relatively</w:t>
      </w:r>
      <w:r>
        <w:rPr>
          <w:spacing w:val="6"/>
          <w:w w:val="120"/>
          <w:sz w:val="20"/>
        </w:rPr>
        <w:t> </w:t>
      </w:r>
      <w:r>
        <w:rPr>
          <w:w w:val="120"/>
          <w:sz w:val="20"/>
        </w:rPr>
        <w:t>poor</w:t>
      </w:r>
    </w:p>
    <w:p>
      <w:pPr>
        <w:pStyle w:val="BodyText"/>
        <w:spacing w:line="235" w:lineRule="auto" w:before="2"/>
        <w:ind w:left="1344" w:right="1217"/>
      </w:pPr>
      <w:r>
        <w:rPr>
          <w:w w:val="120"/>
        </w:rPr>
        <w:t>risks. This led to widespread difficulties for lower income households in securing credit even for emergency purchases, except by resorting to high interest lenders. One URC response to this was to add the usury clause to our ethical investment policy in</w:t>
      </w:r>
      <w:r>
        <w:rPr>
          <w:spacing w:val="45"/>
          <w:w w:val="120"/>
        </w:rPr>
        <w:t> </w:t>
      </w:r>
      <w:r>
        <w:rPr>
          <w:spacing w:val="-7"/>
          <w:w w:val="120"/>
        </w:rPr>
        <w:t>2013.</w:t>
      </w:r>
    </w:p>
    <w:p>
      <w:pPr>
        <w:pStyle w:val="BodyText"/>
        <w:spacing w:before="10"/>
        <w:rPr>
          <w:sz w:val="19"/>
        </w:rPr>
      </w:pPr>
    </w:p>
    <w:p>
      <w:pPr>
        <w:pStyle w:val="ListParagraph"/>
        <w:numPr>
          <w:ilvl w:val="0"/>
          <w:numId w:val="164"/>
        </w:numPr>
        <w:tabs>
          <w:tab w:pos="2251" w:val="left" w:leader="none"/>
          <w:tab w:pos="2252" w:val="left" w:leader="none"/>
        </w:tabs>
        <w:spacing w:line="235" w:lineRule="auto" w:before="0" w:after="0"/>
        <w:ind w:left="1344" w:right="1823" w:firstLine="0"/>
        <w:jc w:val="left"/>
        <w:rPr>
          <w:sz w:val="20"/>
        </w:rPr>
      </w:pPr>
      <w:r>
        <w:rPr>
          <w:w w:val="120"/>
          <w:sz w:val="20"/>
        </w:rPr>
        <w:t>Meanwhile Justin </w:t>
      </w:r>
      <w:r>
        <w:rPr>
          <w:spacing w:val="-4"/>
          <w:w w:val="120"/>
          <w:sz w:val="20"/>
        </w:rPr>
        <w:t>Welby, </w:t>
      </w:r>
      <w:r>
        <w:rPr>
          <w:w w:val="120"/>
          <w:sz w:val="20"/>
        </w:rPr>
        <w:t>as Bishop of Durham and then Archbishop of Canterbury, used his role on the House of Lords review committee on the banking system to challenge the ethics of the high interest lenders, such as Wonga. He announced he would like to compete them out of</w:t>
      </w:r>
      <w:r>
        <w:rPr>
          <w:spacing w:val="20"/>
          <w:w w:val="120"/>
          <w:sz w:val="20"/>
        </w:rPr>
        <w:t> </w:t>
      </w:r>
      <w:r>
        <w:rPr>
          <w:w w:val="120"/>
          <w:sz w:val="20"/>
        </w:rPr>
        <w:t>existence.</w:t>
      </w:r>
    </w:p>
    <w:p>
      <w:pPr>
        <w:pStyle w:val="BodyText"/>
        <w:spacing w:before="11"/>
        <w:rPr>
          <w:sz w:val="19"/>
        </w:rPr>
      </w:pPr>
    </w:p>
    <w:p>
      <w:pPr>
        <w:pStyle w:val="ListParagraph"/>
        <w:numPr>
          <w:ilvl w:val="0"/>
          <w:numId w:val="164"/>
        </w:numPr>
        <w:tabs>
          <w:tab w:pos="2024" w:val="left" w:leader="none"/>
          <w:tab w:pos="2025" w:val="left" w:leader="none"/>
        </w:tabs>
        <w:spacing w:line="235" w:lineRule="auto" w:before="0" w:after="0"/>
        <w:ind w:left="1344" w:right="1454" w:firstLine="0"/>
        <w:jc w:val="left"/>
        <w:rPr>
          <w:sz w:val="20"/>
        </w:rPr>
      </w:pPr>
      <w:r>
        <w:rPr>
          <w:w w:val="120"/>
          <w:sz w:val="20"/>
        </w:rPr>
        <w:t>One dimension of this was to revive the idea of a credit union, set up and run by the Churches. This could help fill the gap </w:t>
      </w:r>
      <w:r>
        <w:rPr>
          <w:spacing w:val="2"/>
          <w:w w:val="120"/>
          <w:sz w:val="20"/>
        </w:rPr>
        <w:t>left </w:t>
      </w:r>
      <w:r>
        <w:rPr>
          <w:w w:val="120"/>
          <w:sz w:val="20"/>
        </w:rPr>
        <w:t>by the banks’ tighter policies without resorting to the ethics or economics of the high interest lenders. Much detailed work on finding a structure that the regulatory authorities would accept</w:t>
      </w:r>
      <w:r>
        <w:rPr>
          <w:spacing w:val="39"/>
          <w:w w:val="120"/>
          <w:sz w:val="20"/>
        </w:rPr>
        <w:t> </w:t>
      </w:r>
      <w:r>
        <w:rPr>
          <w:w w:val="120"/>
          <w:sz w:val="20"/>
        </w:rPr>
        <w:t>began.</w:t>
      </w:r>
    </w:p>
    <w:p>
      <w:pPr>
        <w:pStyle w:val="BodyText"/>
        <w:spacing w:before="11"/>
        <w:rPr>
          <w:sz w:val="19"/>
        </w:rPr>
      </w:pPr>
    </w:p>
    <w:p>
      <w:pPr>
        <w:pStyle w:val="ListParagraph"/>
        <w:numPr>
          <w:ilvl w:val="0"/>
          <w:numId w:val="164"/>
        </w:numPr>
        <w:tabs>
          <w:tab w:pos="2024" w:val="left" w:leader="none"/>
          <w:tab w:pos="2025" w:val="left" w:leader="none"/>
        </w:tabs>
        <w:spacing w:line="235" w:lineRule="auto" w:before="0" w:after="0"/>
        <w:ind w:left="1344" w:right="1361" w:firstLine="0"/>
        <w:jc w:val="left"/>
        <w:rPr>
          <w:sz w:val="20"/>
        </w:rPr>
      </w:pPr>
      <w:r>
        <w:rPr>
          <w:w w:val="120"/>
          <w:sz w:val="20"/>
        </w:rPr>
        <w:t>Eventually the Churches’ Mutual Credit Union was launched in </w:t>
      </w:r>
      <w:r>
        <w:rPr>
          <w:spacing w:val="2"/>
          <w:w w:val="120"/>
          <w:sz w:val="20"/>
        </w:rPr>
        <w:t>February </w:t>
      </w:r>
      <w:r>
        <w:rPr>
          <w:spacing w:val="-7"/>
          <w:w w:val="120"/>
          <w:sz w:val="20"/>
        </w:rPr>
        <w:t>2015, </w:t>
      </w:r>
      <w:r>
        <w:rPr>
          <w:w w:val="120"/>
          <w:sz w:val="20"/>
        </w:rPr>
        <w:t>embracing the Anglican Churches in Britain, the Church of Scotland and the Methodist Church. For various reasons it was not possible for the URC to be a founding partner but a Moderator of the General Assembly was invited to attend the launch and the </w:t>
      </w:r>
      <w:r>
        <w:rPr>
          <w:spacing w:val="-3"/>
          <w:w w:val="120"/>
          <w:sz w:val="20"/>
        </w:rPr>
        <w:t>URC’s </w:t>
      </w:r>
      <w:r>
        <w:rPr>
          <w:w w:val="120"/>
          <w:sz w:val="20"/>
        </w:rPr>
        <w:t>interest was explicitly</w:t>
      </w:r>
      <w:r>
        <w:rPr>
          <w:spacing w:val="12"/>
          <w:w w:val="120"/>
          <w:sz w:val="20"/>
        </w:rPr>
        <w:t> </w:t>
      </w:r>
      <w:r>
        <w:rPr>
          <w:w w:val="120"/>
          <w:sz w:val="20"/>
        </w:rPr>
        <w:t>recognised.</w:t>
      </w:r>
    </w:p>
    <w:p>
      <w:pPr>
        <w:pStyle w:val="BodyText"/>
        <w:spacing w:before="4"/>
        <w:rPr>
          <w:sz w:val="22"/>
        </w:rPr>
      </w:pPr>
    </w:p>
    <w:p>
      <w:pPr>
        <w:spacing w:before="0"/>
        <w:ind w:left="1344" w:right="0" w:firstLine="0"/>
        <w:jc w:val="left"/>
        <w:rPr>
          <w:rFonts w:ascii="Stone Sans II ITC Std Bk"/>
          <w:b/>
          <w:sz w:val="29"/>
        </w:rPr>
      </w:pPr>
      <w:r>
        <w:rPr>
          <w:rFonts w:ascii="Stone Sans II ITC Std Bk"/>
          <w:b/>
          <w:spacing w:val="3"/>
          <w:w w:val="110"/>
          <w:sz w:val="29"/>
        </w:rPr>
        <w:t>Aims and </w:t>
      </w:r>
      <w:r>
        <w:rPr>
          <w:rFonts w:ascii="Stone Sans II ITC Std Bk"/>
          <w:b/>
          <w:spacing w:val="4"/>
          <w:w w:val="110"/>
          <w:sz w:val="29"/>
        </w:rPr>
        <w:t>activities </w:t>
      </w:r>
      <w:r>
        <w:rPr>
          <w:rFonts w:ascii="Stone Sans II ITC Std Bk"/>
          <w:b/>
          <w:w w:val="110"/>
          <w:sz w:val="29"/>
        </w:rPr>
        <w:t>of </w:t>
      </w:r>
      <w:r>
        <w:rPr>
          <w:rFonts w:ascii="Stone Sans II ITC Std Bk"/>
          <w:b/>
          <w:spacing w:val="2"/>
          <w:w w:val="110"/>
          <w:sz w:val="29"/>
        </w:rPr>
        <w:t>the</w:t>
      </w:r>
      <w:r>
        <w:rPr>
          <w:rFonts w:ascii="Stone Sans II ITC Std Bk"/>
          <w:b/>
          <w:spacing w:val="53"/>
          <w:w w:val="110"/>
          <w:sz w:val="29"/>
        </w:rPr>
        <w:t> </w:t>
      </w:r>
      <w:r>
        <w:rPr>
          <w:rFonts w:ascii="Stone Sans II ITC Std Bk"/>
          <w:b/>
          <w:spacing w:val="4"/>
          <w:w w:val="110"/>
          <w:sz w:val="29"/>
        </w:rPr>
        <w:t>CMCU</w:t>
      </w:r>
    </w:p>
    <w:p>
      <w:pPr>
        <w:pStyle w:val="ListParagraph"/>
        <w:numPr>
          <w:ilvl w:val="0"/>
          <w:numId w:val="164"/>
        </w:numPr>
        <w:tabs>
          <w:tab w:pos="2024" w:val="left" w:leader="none"/>
          <w:tab w:pos="2025" w:val="left" w:leader="none"/>
        </w:tabs>
        <w:spacing w:line="235" w:lineRule="auto" w:before="69" w:after="0"/>
        <w:ind w:left="1344" w:right="1244" w:firstLine="0"/>
        <w:jc w:val="left"/>
        <w:rPr>
          <w:sz w:val="20"/>
        </w:rPr>
      </w:pPr>
      <w:r>
        <w:rPr>
          <w:w w:val="120"/>
          <w:sz w:val="20"/>
        </w:rPr>
        <w:t>The President of CMCU is the Archdeacon of Dorset, the Venerable Antony MacRow-Wood, who is also a past President of the British Association of Credit Unions. He is very familiar with the field and is committed to ensuring the CMCU is in every possible way a model. He has been invited to attend General Assembly for this</w:t>
      </w:r>
      <w:r>
        <w:rPr>
          <w:spacing w:val="46"/>
          <w:w w:val="120"/>
          <w:sz w:val="20"/>
        </w:rPr>
        <w:t> </w:t>
      </w:r>
      <w:r>
        <w:rPr>
          <w:w w:val="120"/>
          <w:sz w:val="20"/>
        </w:rPr>
        <w:t>business.</w:t>
      </w:r>
    </w:p>
    <w:p>
      <w:pPr>
        <w:pStyle w:val="BodyText"/>
        <w:spacing w:before="11"/>
        <w:rPr>
          <w:sz w:val="19"/>
        </w:rPr>
      </w:pPr>
    </w:p>
    <w:p>
      <w:pPr>
        <w:pStyle w:val="ListParagraph"/>
        <w:numPr>
          <w:ilvl w:val="0"/>
          <w:numId w:val="164"/>
        </w:numPr>
        <w:tabs>
          <w:tab w:pos="2024" w:val="left" w:leader="none"/>
          <w:tab w:pos="2025" w:val="left" w:leader="none"/>
        </w:tabs>
        <w:spacing w:line="235" w:lineRule="auto" w:before="0" w:after="0"/>
        <w:ind w:left="1344" w:right="1482" w:firstLine="0"/>
        <w:jc w:val="left"/>
        <w:rPr>
          <w:sz w:val="20"/>
        </w:rPr>
      </w:pPr>
      <w:r>
        <w:rPr>
          <w:w w:val="120"/>
          <w:sz w:val="20"/>
        </w:rPr>
        <w:t>Initially the CMCU only seeks to offer the most basic savings and loan products but hopes in due course to expand its operations, including by providing loans to churches for mission projects. Its facilities can be studied on its website</w:t>
      </w:r>
      <w:hyperlink r:id="rId384">
        <w:r>
          <w:rPr>
            <w:color w:val="006AB3"/>
            <w:w w:val="120"/>
            <w:sz w:val="20"/>
          </w:rPr>
          <w:t> www.cmcu.org.uk</w:t>
        </w:r>
      </w:hyperlink>
      <w:r>
        <w:rPr>
          <w:w w:val="120"/>
          <w:sz w:val="20"/>
        </w:rPr>
        <w:t>.</w:t>
      </w:r>
    </w:p>
    <w:p>
      <w:pPr>
        <w:pStyle w:val="BodyText"/>
        <w:spacing w:before="11"/>
        <w:rPr>
          <w:sz w:val="19"/>
        </w:rPr>
      </w:pPr>
    </w:p>
    <w:p>
      <w:pPr>
        <w:pStyle w:val="ListParagraph"/>
        <w:numPr>
          <w:ilvl w:val="0"/>
          <w:numId w:val="164"/>
        </w:numPr>
        <w:tabs>
          <w:tab w:pos="2024" w:val="left" w:leader="none"/>
          <w:tab w:pos="2025" w:val="left" w:leader="none"/>
        </w:tabs>
        <w:spacing w:line="235" w:lineRule="auto" w:before="0" w:after="0"/>
        <w:ind w:left="1344" w:right="1288" w:firstLine="0"/>
        <w:jc w:val="left"/>
        <w:rPr>
          <w:sz w:val="20"/>
        </w:rPr>
      </w:pPr>
      <w:r>
        <w:rPr>
          <w:spacing w:val="3"/>
          <w:w w:val="120"/>
          <w:sz w:val="20"/>
        </w:rPr>
        <w:t>As </w:t>
      </w:r>
      <w:r>
        <w:rPr>
          <w:w w:val="120"/>
          <w:sz w:val="20"/>
        </w:rPr>
        <w:t>with any credit union, fundamental to its structure is the ‘common bond’ which links all its members, whether borrowers or savers. Initially this is limited to those with a formal link with one of the founding Churches as ministers, elders, employees or trustees. The longer term ambition is to extend the common bond to all members of participating denominations. It is intended to complement and not replace the many local credit unions that churches and individual Christians have set up and support around the</w:t>
      </w:r>
      <w:r>
        <w:rPr>
          <w:spacing w:val="4"/>
          <w:w w:val="120"/>
          <w:sz w:val="20"/>
        </w:rPr>
        <w:t> </w:t>
      </w:r>
      <w:r>
        <w:rPr>
          <w:w w:val="120"/>
          <w:sz w:val="20"/>
        </w:rPr>
        <w:t>country.</w:t>
      </w:r>
    </w:p>
    <w:p>
      <w:pPr>
        <w:pStyle w:val="BodyText"/>
        <w:spacing w:before="6"/>
        <w:rPr>
          <w:sz w:val="22"/>
        </w:rPr>
      </w:pPr>
    </w:p>
    <w:p>
      <w:pPr>
        <w:spacing w:before="0"/>
        <w:ind w:left="1344" w:right="0" w:firstLine="0"/>
        <w:jc w:val="left"/>
        <w:rPr>
          <w:rFonts w:ascii="Stone Sans II ITC Std Bk"/>
          <w:b/>
          <w:sz w:val="29"/>
        </w:rPr>
      </w:pPr>
      <w:r>
        <w:rPr>
          <w:rFonts w:ascii="Stone Sans II ITC Std Bk"/>
          <w:b/>
          <w:w w:val="110"/>
          <w:sz w:val="29"/>
        </w:rPr>
        <w:t>URC participation</w:t>
      </w:r>
    </w:p>
    <w:p>
      <w:pPr>
        <w:pStyle w:val="ListParagraph"/>
        <w:numPr>
          <w:ilvl w:val="0"/>
          <w:numId w:val="164"/>
        </w:numPr>
        <w:tabs>
          <w:tab w:pos="2024" w:val="left" w:leader="none"/>
          <w:tab w:pos="2025" w:val="left" w:leader="none"/>
        </w:tabs>
        <w:spacing w:line="235" w:lineRule="auto" w:before="69" w:after="0"/>
        <w:ind w:left="1344" w:right="1390" w:firstLine="0"/>
        <w:jc w:val="left"/>
        <w:rPr>
          <w:sz w:val="20"/>
        </w:rPr>
      </w:pPr>
      <w:r>
        <w:rPr>
          <w:w w:val="120"/>
          <w:sz w:val="20"/>
        </w:rPr>
        <w:t>The progress of the CMCU has been </w:t>
      </w:r>
      <w:r>
        <w:rPr>
          <w:spacing w:val="-3"/>
          <w:w w:val="120"/>
          <w:sz w:val="20"/>
        </w:rPr>
        <w:t>watched </w:t>
      </w:r>
      <w:r>
        <w:rPr>
          <w:w w:val="120"/>
          <w:sz w:val="20"/>
        </w:rPr>
        <w:t>by both the finance </w:t>
      </w:r>
      <w:r>
        <w:rPr>
          <w:spacing w:val="-3"/>
          <w:w w:val="120"/>
          <w:sz w:val="20"/>
        </w:rPr>
        <w:t>committee </w:t>
      </w:r>
      <w:r>
        <w:rPr>
          <w:w w:val="120"/>
          <w:sz w:val="20"/>
        </w:rPr>
        <w:t>and the URC </w:t>
      </w:r>
      <w:r>
        <w:rPr>
          <w:spacing w:val="-4"/>
          <w:w w:val="120"/>
          <w:sz w:val="20"/>
        </w:rPr>
        <w:t>Trust. </w:t>
      </w:r>
      <w:r>
        <w:rPr>
          <w:w w:val="120"/>
          <w:sz w:val="20"/>
        </w:rPr>
        <w:t>The </w:t>
      </w:r>
      <w:r>
        <w:rPr>
          <w:spacing w:val="-4"/>
          <w:w w:val="120"/>
          <w:sz w:val="20"/>
        </w:rPr>
        <w:t>CMCU’s </w:t>
      </w:r>
      <w:r>
        <w:rPr>
          <w:w w:val="120"/>
          <w:sz w:val="20"/>
        </w:rPr>
        <w:t>first AGM in January </w:t>
      </w:r>
      <w:r>
        <w:rPr>
          <w:spacing w:val="-8"/>
          <w:w w:val="120"/>
          <w:sz w:val="20"/>
        </w:rPr>
        <w:t>2016 </w:t>
      </w:r>
      <w:r>
        <w:rPr>
          <w:w w:val="120"/>
          <w:sz w:val="20"/>
        </w:rPr>
        <w:t>passed </w:t>
      </w:r>
      <w:r>
        <w:rPr>
          <w:spacing w:val="-3"/>
          <w:w w:val="120"/>
          <w:sz w:val="20"/>
        </w:rPr>
        <w:t>unanimously </w:t>
      </w:r>
      <w:r>
        <w:rPr>
          <w:w w:val="120"/>
          <w:sz w:val="20"/>
        </w:rPr>
        <w:t>a resolution </w:t>
      </w:r>
      <w:r>
        <w:rPr>
          <w:spacing w:val="-3"/>
          <w:w w:val="120"/>
          <w:sz w:val="20"/>
        </w:rPr>
        <w:t>to </w:t>
      </w:r>
      <w:r>
        <w:rPr>
          <w:w w:val="120"/>
          <w:sz w:val="20"/>
        </w:rPr>
        <w:t>extend the participating </w:t>
      </w:r>
      <w:r>
        <w:rPr>
          <w:spacing w:val="-3"/>
          <w:w w:val="120"/>
          <w:sz w:val="20"/>
        </w:rPr>
        <w:t>Churches to include </w:t>
      </w:r>
      <w:r>
        <w:rPr>
          <w:w w:val="120"/>
          <w:sz w:val="20"/>
        </w:rPr>
        <w:t>the </w:t>
      </w:r>
      <w:r>
        <w:rPr>
          <w:spacing w:val="-3"/>
          <w:w w:val="120"/>
          <w:sz w:val="20"/>
        </w:rPr>
        <w:t>United </w:t>
      </w:r>
      <w:r>
        <w:rPr>
          <w:w w:val="120"/>
          <w:sz w:val="20"/>
        </w:rPr>
        <w:t>Reformed </w:t>
      </w:r>
      <w:r>
        <w:rPr>
          <w:spacing w:val="-3"/>
          <w:w w:val="120"/>
          <w:sz w:val="20"/>
        </w:rPr>
        <w:t>Church </w:t>
      </w:r>
      <w:r>
        <w:rPr>
          <w:w w:val="120"/>
          <w:sz w:val="20"/>
        </w:rPr>
        <w:t>as soon</w:t>
      </w:r>
      <w:r>
        <w:rPr>
          <w:spacing w:val="32"/>
          <w:w w:val="120"/>
          <w:sz w:val="20"/>
        </w:rPr>
        <w:t> </w:t>
      </w:r>
      <w:r>
        <w:rPr>
          <w:w w:val="120"/>
          <w:sz w:val="20"/>
        </w:rPr>
        <w:t>as</w:t>
      </w:r>
    </w:p>
    <w:p>
      <w:pPr>
        <w:pStyle w:val="BodyText"/>
        <w:spacing w:line="235" w:lineRule="auto" w:before="2"/>
        <w:ind w:left="1344" w:right="780"/>
      </w:pPr>
      <w:r>
        <w:rPr>
          <w:w w:val="120"/>
        </w:rPr>
        <w:t>possible. It is hoped that the wording of a revised common bond to embrace the URC will have been agreed with the regulators by the time Assembly meets. The URC participants should be able to include all ministers and elders, whether serving or not.</w:t>
      </w:r>
    </w:p>
    <w:p>
      <w:pPr>
        <w:spacing w:after="0" w:line="235" w:lineRule="auto"/>
        <w:sectPr>
          <w:headerReference w:type="default" r:id="rId382"/>
          <w:footerReference w:type="default" r:id="rId383"/>
          <w:pgSz w:w="11910" w:h="16840"/>
          <w:pgMar w:header="0" w:footer="647" w:top="0" w:bottom="840" w:left="640" w:right="0"/>
          <w:pgNumType w:start="139"/>
        </w:sectPr>
      </w:pPr>
    </w:p>
    <w:p>
      <w:pPr>
        <w:pStyle w:val="BodyText"/>
      </w:pPr>
      <w:r>
        <w:rPr/>
        <w:drawing>
          <wp:anchor distT="0" distB="0" distL="0" distR="0" allowOverlap="1" layoutInCell="1" locked="0" behindDoc="1" simplePos="0" relativeHeight="235568128">
            <wp:simplePos x="0" y="0"/>
            <wp:positionH relativeFrom="page">
              <wp:posOffset>0</wp:posOffset>
            </wp:positionH>
            <wp:positionV relativeFrom="page">
              <wp:posOffset>0</wp:posOffset>
            </wp:positionV>
            <wp:extent cx="594067" cy="10692003"/>
            <wp:effectExtent l="0" t="0" r="0" b="0"/>
            <wp:wrapNone/>
            <wp:docPr id="261" name="image67.png"/>
            <wp:cNvGraphicFramePr>
              <a:graphicFrameLocks noChangeAspect="1"/>
            </wp:cNvGraphicFramePr>
            <a:graphic>
              <a:graphicData uri="http://schemas.openxmlformats.org/drawingml/2006/picture">
                <pic:pic>
                  <pic:nvPicPr>
                    <pic:cNvPr id="262" name="image67.png"/>
                    <pic:cNvPicPr/>
                  </pic:nvPicPr>
                  <pic:blipFill>
                    <a:blip r:embed="rId184" cstate="print"/>
                    <a:stretch>
                      <a:fillRect/>
                    </a:stretch>
                  </pic:blipFill>
                  <pic:spPr>
                    <a:xfrm>
                      <a:off x="0" y="0"/>
                      <a:ext cx="594067" cy="10692003"/>
                    </a:xfrm>
                    <a:prstGeom prst="rect">
                      <a:avLst/>
                    </a:prstGeom>
                  </pic:spPr>
                </pic:pic>
              </a:graphicData>
            </a:graphic>
          </wp:anchor>
        </w:drawing>
      </w:r>
      <w:r>
        <w:rPr/>
        <w:pict>
          <v:shape style="position:absolute;margin-left:20.519100pt;margin-top:48.890015pt;width:25.9pt;height:421.3pt;mso-position-horizontal-relative:page;mso-position-vertical-relative:page;z-index:-267747328" type="#_x0000_t202" filled="false" stroked="false">
            <v:textbox inset="0,0,0,0" style="layout-flow:vertical">
              <w:txbxContent>
                <w:p>
                  <w:pPr>
                    <w:spacing w:before="27"/>
                    <w:ind w:left="20" w:right="0" w:firstLine="0"/>
                    <w:jc w:val="left"/>
                    <w:rPr>
                      <w:sz w:val="39"/>
                    </w:rPr>
                  </w:pPr>
                  <w:r>
                    <w:rPr>
                      <w:color w:val="FFFFFF"/>
                      <w:spacing w:val="8"/>
                      <w:w w:val="125"/>
                      <w:sz w:val="39"/>
                    </w:rPr>
                    <w:t>Finance </w:t>
                  </w:r>
                  <w:r>
                    <w:rPr>
                      <w:color w:val="FFFFFF"/>
                      <w:w w:val="125"/>
                      <w:sz w:val="39"/>
                    </w:rPr>
                    <w:t>– </w:t>
                  </w:r>
                  <w:r>
                    <w:rPr>
                      <w:spacing w:val="8"/>
                      <w:w w:val="125"/>
                      <w:sz w:val="39"/>
                    </w:rPr>
                    <w:t>Churches’ </w:t>
                  </w:r>
                  <w:r>
                    <w:rPr>
                      <w:spacing w:val="9"/>
                      <w:w w:val="125"/>
                      <w:sz w:val="39"/>
                    </w:rPr>
                    <w:t>Mutual </w:t>
                  </w:r>
                  <w:r>
                    <w:rPr>
                      <w:spacing w:val="8"/>
                      <w:w w:val="125"/>
                      <w:sz w:val="39"/>
                    </w:rPr>
                    <w:t>Credit</w:t>
                  </w:r>
                  <w:r>
                    <w:rPr>
                      <w:spacing w:val="-45"/>
                      <w:w w:val="125"/>
                      <w:sz w:val="39"/>
                    </w:rPr>
                    <w:t> </w:t>
                  </w:r>
                  <w:r>
                    <w:rPr>
                      <w:spacing w:val="11"/>
                      <w:w w:val="125"/>
                      <w:sz w:val="39"/>
                    </w:rPr>
                    <w:t>Union</w:t>
                  </w:r>
                </w:p>
              </w:txbxContent>
            </v:textbox>
            <w10:wrap type="none"/>
          </v:shape>
        </w:pict>
      </w:r>
    </w:p>
    <w:p>
      <w:pPr>
        <w:pStyle w:val="BodyText"/>
        <w:spacing w:before="7"/>
        <w:rPr>
          <w:sz w:val="21"/>
        </w:rPr>
      </w:pPr>
    </w:p>
    <w:p>
      <w:pPr>
        <w:spacing w:before="106"/>
        <w:ind w:left="607" w:right="0" w:firstLine="0"/>
        <w:jc w:val="left"/>
        <w:rPr>
          <w:sz w:val="26"/>
        </w:rPr>
      </w:pPr>
      <w:r>
        <w:rPr>
          <w:color w:val="7EAABF"/>
          <w:w w:val="115"/>
          <w:sz w:val="26"/>
        </w:rPr>
        <w:t>Finance</w:t>
      </w:r>
    </w:p>
    <w:p>
      <w:pPr>
        <w:pStyle w:val="ListParagraph"/>
        <w:numPr>
          <w:ilvl w:val="0"/>
          <w:numId w:val="164"/>
        </w:numPr>
        <w:tabs>
          <w:tab w:pos="1287" w:val="left" w:leader="none"/>
          <w:tab w:pos="1288" w:val="left" w:leader="none"/>
        </w:tabs>
        <w:spacing w:line="235" w:lineRule="auto" w:before="222" w:after="0"/>
        <w:ind w:left="607" w:right="2053" w:firstLine="0"/>
        <w:jc w:val="left"/>
        <w:rPr>
          <w:sz w:val="20"/>
        </w:rPr>
      </w:pPr>
      <w:r>
        <w:rPr>
          <w:w w:val="120"/>
          <w:sz w:val="20"/>
        </w:rPr>
        <w:t>If Assembly endorses URC participation, we would be expected to join the other denominations in purchasing CMCU shares, which provide a secure capital base and  pay a dividend, and in providing a grant to assist with the </w:t>
      </w:r>
      <w:r>
        <w:rPr>
          <w:spacing w:val="2"/>
          <w:w w:val="120"/>
          <w:sz w:val="20"/>
        </w:rPr>
        <w:t>extra </w:t>
      </w:r>
      <w:r>
        <w:rPr>
          <w:w w:val="120"/>
          <w:sz w:val="20"/>
        </w:rPr>
        <w:t>costs of the start-up period. The finance committee would find £30,000 for shares from the </w:t>
      </w:r>
      <w:r>
        <w:rPr>
          <w:spacing w:val="2"/>
          <w:w w:val="120"/>
          <w:sz w:val="20"/>
        </w:rPr>
        <w:t>part </w:t>
      </w:r>
      <w:r>
        <w:rPr>
          <w:w w:val="120"/>
          <w:sz w:val="20"/>
        </w:rPr>
        <w:t>of the URC </w:t>
      </w:r>
      <w:r>
        <w:rPr>
          <w:spacing w:val="-3"/>
          <w:w w:val="120"/>
          <w:sz w:val="20"/>
        </w:rPr>
        <w:t>Trust’s </w:t>
      </w:r>
      <w:r>
        <w:rPr>
          <w:w w:val="120"/>
          <w:sz w:val="20"/>
        </w:rPr>
        <w:t>investments which is reserved for socially desirable investments which will not necessarily maximise purely financial returns. The committee would add a £10,000 grant from the Legacy</w:t>
      </w:r>
      <w:r>
        <w:rPr>
          <w:spacing w:val="9"/>
          <w:w w:val="120"/>
          <w:sz w:val="20"/>
        </w:rPr>
        <w:t> </w:t>
      </w:r>
      <w:r>
        <w:rPr>
          <w:w w:val="120"/>
          <w:sz w:val="20"/>
        </w:rPr>
        <w:t>Fund.</w:t>
      </w:r>
    </w:p>
    <w:p>
      <w:pPr>
        <w:pStyle w:val="BodyText"/>
      </w:pPr>
    </w:p>
    <w:p>
      <w:pPr>
        <w:pStyle w:val="ListParagraph"/>
        <w:numPr>
          <w:ilvl w:val="0"/>
          <w:numId w:val="164"/>
        </w:numPr>
        <w:tabs>
          <w:tab w:pos="1287" w:val="left" w:leader="none"/>
          <w:tab w:pos="1288" w:val="left" w:leader="none"/>
        </w:tabs>
        <w:spacing w:line="235" w:lineRule="auto" w:before="1" w:after="0"/>
        <w:ind w:left="607" w:right="2318" w:firstLine="0"/>
        <w:jc w:val="left"/>
        <w:rPr>
          <w:sz w:val="20"/>
        </w:rPr>
      </w:pPr>
      <w:r>
        <w:rPr>
          <w:w w:val="120"/>
          <w:sz w:val="20"/>
        </w:rPr>
        <w:t>The finance committee and the URC Trust encourage the Assembly to show enthusiastic support for this venture and help it grow beyond its embryonic form. In its first </w:t>
      </w:r>
      <w:r>
        <w:rPr>
          <w:spacing w:val="-4"/>
          <w:w w:val="120"/>
          <w:sz w:val="20"/>
        </w:rPr>
        <w:t>year, </w:t>
      </w:r>
      <w:r>
        <w:rPr>
          <w:w w:val="120"/>
          <w:sz w:val="20"/>
        </w:rPr>
        <w:t>the CMCU had achieved over </w:t>
      </w:r>
      <w:r>
        <w:rPr>
          <w:spacing w:val="2"/>
          <w:w w:val="120"/>
          <w:sz w:val="20"/>
        </w:rPr>
        <w:t>600 </w:t>
      </w:r>
      <w:r>
        <w:rPr>
          <w:w w:val="120"/>
          <w:sz w:val="20"/>
        </w:rPr>
        <w:t>members and assets of over </w:t>
      </w:r>
      <w:r>
        <w:rPr>
          <w:spacing w:val="-4"/>
          <w:w w:val="120"/>
          <w:sz w:val="20"/>
        </w:rPr>
        <w:t>£1.3m. </w:t>
      </w:r>
      <w:r>
        <w:rPr>
          <w:w w:val="120"/>
          <w:sz w:val="20"/>
        </w:rPr>
        <w:t>It had been able to extend its first 100 affordable loans, mostly of between £4,000</w:t>
      </w:r>
      <w:r>
        <w:rPr>
          <w:spacing w:val="8"/>
          <w:w w:val="120"/>
          <w:sz w:val="20"/>
        </w:rPr>
        <w:t> </w:t>
      </w:r>
      <w:r>
        <w:rPr>
          <w:w w:val="120"/>
          <w:sz w:val="20"/>
        </w:rPr>
        <w:t>and</w:t>
      </w:r>
    </w:p>
    <w:p>
      <w:pPr>
        <w:pStyle w:val="BodyText"/>
        <w:spacing w:line="243" w:lineRule="exact"/>
        <w:ind w:left="607"/>
      </w:pPr>
      <w:r>
        <w:rPr>
          <w:w w:val="120"/>
        </w:rPr>
        <w:t>£8,000. There were no loan defaults.</w:t>
      </w:r>
    </w:p>
    <w:p>
      <w:pPr>
        <w:pStyle w:val="BodyText"/>
        <w:rPr>
          <w:sz w:val="22"/>
        </w:rPr>
      </w:pPr>
    </w:p>
    <w:p>
      <w:pPr>
        <w:spacing w:before="0"/>
        <w:ind w:left="607" w:right="0" w:firstLine="0"/>
        <w:jc w:val="left"/>
        <w:rPr>
          <w:rFonts w:ascii="Stone Sans II ITC Std Bk"/>
          <w:b/>
          <w:sz w:val="29"/>
        </w:rPr>
      </w:pPr>
      <w:r>
        <w:rPr>
          <w:rFonts w:ascii="Stone Sans II ITC Std Bk"/>
          <w:b/>
          <w:w w:val="110"/>
          <w:sz w:val="29"/>
        </w:rPr>
        <w:t>Looking ahead</w:t>
      </w:r>
    </w:p>
    <w:p>
      <w:pPr>
        <w:pStyle w:val="ListParagraph"/>
        <w:numPr>
          <w:ilvl w:val="0"/>
          <w:numId w:val="164"/>
        </w:numPr>
        <w:tabs>
          <w:tab w:pos="1287" w:val="left" w:leader="none"/>
          <w:tab w:pos="1288" w:val="left" w:leader="none"/>
        </w:tabs>
        <w:spacing w:line="235" w:lineRule="auto" w:before="69" w:after="0"/>
        <w:ind w:left="607" w:right="2095" w:firstLine="0"/>
        <w:jc w:val="left"/>
        <w:rPr>
          <w:sz w:val="20"/>
        </w:rPr>
      </w:pPr>
      <w:r>
        <w:rPr>
          <w:w w:val="120"/>
          <w:sz w:val="20"/>
        </w:rPr>
        <w:t>How much impact the CMCU can make largely depends on establishing a track record that persuades the regulators to allow it to widen the scope of its activities. This in turn depends on growing as rapidly as is prudently possible its membership, both depositors and</w:t>
      </w:r>
      <w:r>
        <w:rPr>
          <w:spacing w:val="4"/>
          <w:w w:val="120"/>
          <w:sz w:val="20"/>
        </w:rPr>
        <w:t> </w:t>
      </w:r>
      <w:r>
        <w:rPr>
          <w:w w:val="120"/>
          <w:sz w:val="20"/>
        </w:rPr>
        <w:t>borrowers.</w:t>
      </w:r>
    </w:p>
    <w:p>
      <w:pPr>
        <w:pStyle w:val="BodyText"/>
        <w:spacing w:before="11"/>
        <w:rPr>
          <w:sz w:val="19"/>
        </w:rPr>
      </w:pPr>
    </w:p>
    <w:p>
      <w:pPr>
        <w:pStyle w:val="ListParagraph"/>
        <w:numPr>
          <w:ilvl w:val="0"/>
          <w:numId w:val="164"/>
        </w:numPr>
        <w:tabs>
          <w:tab w:pos="1288" w:val="left" w:leader="none"/>
        </w:tabs>
        <w:spacing w:line="235" w:lineRule="auto" w:before="0" w:after="0"/>
        <w:ind w:left="607" w:right="2155" w:firstLine="0"/>
        <w:jc w:val="both"/>
        <w:rPr>
          <w:sz w:val="20"/>
        </w:rPr>
      </w:pPr>
      <w:r>
        <w:rPr>
          <w:w w:val="120"/>
          <w:sz w:val="20"/>
        </w:rPr>
        <w:t>If Assembly supports URC participation, every member of Assembly is urged to become an advocate for CMCU and ensure their own church community knows of this opportunity to do something practical in the interests of economic</w:t>
      </w:r>
      <w:r>
        <w:rPr>
          <w:spacing w:val="40"/>
          <w:w w:val="120"/>
          <w:sz w:val="20"/>
        </w:rPr>
        <w:t> </w:t>
      </w:r>
      <w:r>
        <w:rPr>
          <w:w w:val="120"/>
          <w:sz w:val="20"/>
        </w:rPr>
        <w:t>justice.</w:t>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Heading6"/>
        <w:spacing w:before="260"/>
        <w:ind w:left="607"/>
      </w:pPr>
      <w:r>
        <w:rPr>
          <w:rFonts w:ascii="Stone Sans II ITC Std X Bd" w:hAnsi="Stone Sans II ITC Std X Bd"/>
          <w:b/>
          <w:w w:val="110"/>
          <w:sz w:val="24"/>
        </w:rPr>
        <w:t>140 </w:t>
      </w:r>
      <w:r>
        <w:rPr>
          <w:rFonts w:ascii="Symbol" w:hAnsi="Symbol"/>
          <w:color w:val="7EAABF"/>
          <w:w w:val="110"/>
        </w:rPr>
        <w:t></w:t>
      </w:r>
      <w:r>
        <w:rPr>
          <w:rFonts w:ascii="Times New Roman" w:hAnsi="Times New Roman"/>
          <w:color w:val="7EAABF"/>
          <w:w w:val="110"/>
        </w:rPr>
        <w:t> </w:t>
      </w:r>
      <w:r>
        <w:rPr>
          <w:color w:val="7EAABF"/>
          <w:w w:val="110"/>
        </w:rPr>
        <w:t>United Reformed Church </w:t>
      </w:r>
      <w:r>
        <w:rPr>
          <w:rFonts w:ascii="Symbol" w:hAnsi="Symbol"/>
          <w:color w:val="7EAABF"/>
          <w:w w:val="110"/>
        </w:rPr>
        <w:t></w:t>
      </w:r>
      <w:r>
        <w:rPr>
          <w:rFonts w:ascii="Times New Roman" w:hAnsi="Times New Roman"/>
          <w:color w:val="7EAABF"/>
          <w:w w:val="110"/>
        </w:rPr>
        <w:t> </w:t>
      </w:r>
      <w:r>
        <w:rPr>
          <w:color w:val="7EAABF"/>
          <w:w w:val="110"/>
        </w:rPr>
        <w:t>General Assembly 2016</w:t>
      </w:r>
    </w:p>
    <w:p>
      <w:pPr>
        <w:spacing w:after="0"/>
        <w:sectPr>
          <w:headerReference w:type="even" r:id="rId385"/>
          <w:footerReference w:type="even" r:id="rId386"/>
          <w:pgSz w:w="11910" w:h="16840"/>
          <w:pgMar w:header="0" w:footer="0" w:top="0" w:bottom="0" w:left="640" w:right="0"/>
        </w:sectPr>
      </w:pPr>
    </w:p>
    <w:p>
      <w:pPr>
        <w:pStyle w:val="BodyText"/>
      </w:pPr>
      <w:r>
        <w:rPr/>
        <w:pict>
          <v:rect style="position:absolute;margin-left:0pt;margin-top:.000015pt;width:549.207pt;height:841.89pt;mso-position-horizontal-relative:page;mso-position-vertical-relative:page;z-index:-267746304" filled="true" fillcolor="#d4e9f7" stroked="false">
            <v:fill type="solid"/>
            <w10:wrap type="none"/>
          </v:rect>
        </w:pict>
      </w:r>
      <w:r>
        <w:rPr/>
        <w:drawing>
          <wp:anchor distT="0" distB="0" distL="0" distR="0" allowOverlap="1" layoutInCell="1" locked="0" behindDoc="0" simplePos="0" relativeHeight="252024832">
            <wp:simplePos x="0" y="0"/>
            <wp:positionH relativeFrom="page">
              <wp:posOffset>6974928</wp:posOffset>
            </wp:positionH>
            <wp:positionV relativeFrom="page">
              <wp:posOffset>0</wp:posOffset>
            </wp:positionV>
            <wp:extent cx="585063" cy="10692003"/>
            <wp:effectExtent l="0" t="0" r="0" b="0"/>
            <wp:wrapNone/>
            <wp:docPr id="263" name="image54.png"/>
            <wp:cNvGraphicFramePr>
              <a:graphicFrameLocks noChangeAspect="1"/>
            </wp:cNvGraphicFramePr>
            <a:graphic>
              <a:graphicData uri="http://schemas.openxmlformats.org/drawingml/2006/picture">
                <pic:pic>
                  <pic:nvPicPr>
                    <pic:cNvPr id="264" name="image54.png"/>
                    <pic:cNvPicPr/>
                  </pic:nvPicPr>
                  <pic:blipFill>
                    <a:blip r:embed="rId169" cstate="print"/>
                    <a:stretch>
                      <a:fillRect/>
                    </a:stretch>
                  </pic:blipFill>
                  <pic:spPr>
                    <a:xfrm>
                      <a:off x="0" y="0"/>
                      <a:ext cx="585063" cy="10692003"/>
                    </a:xfrm>
                    <a:prstGeom prst="rect">
                      <a:avLst/>
                    </a:prstGeom>
                  </pic:spPr>
                </pic:pic>
              </a:graphicData>
            </a:graphic>
          </wp:anchor>
        </w:drawing>
      </w:r>
    </w:p>
    <w:p>
      <w:pPr>
        <w:pStyle w:val="BodyText"/>
      </w:pPr>
    </w:p>
    <w:p>
      <w:pPr>
        <w:pStyle w:val="BodyText"/>
      </w:pPr>
    </w:p>
    <w:p>
      <w:pPr>
        <w:pStyle w:val="BodyText"/>
        <w:spacing w:before="5"/>
        <w:rPr>
          <w:sz w:val="28"/>
        </w:rPr>
      </w:pPr>
    </w:p>
    <w:p>
      <w:pPr>
        <w:spacing w:line="213" w:lineRule="auto" w:before="153"/>
        <w:ind w:left="1103" w:right="4709" w:firstLine="0"/>
        <w:jc w:val="left"/>
        <w:rPr>
          <w:rFonts w:ascii="Stone Sans II ITC Std X Bd"/>
          <w:b/>
          <w:sz w:val="50"/>
        </w:rPr>
      </w:pPr>
      <w:r>
        <w:rPr/>
        <w:pict>
          <v:shape style="position:absolute;margin-left:554.141174pt;margin-top:-5.989334pt;width:25.9pt;height:271.5pt;mso-position-horizontal-relative:page;mso-position-vertical-relative:paragraph;z-index:252025856" type="#_x0000_t202" filled="false" stroked="false">
            <v:textbox inset="0,0,0,0" style="layout-flow:vertical">
              <w:txbxContent>
                <w:p>
                  <w:pPr>
                    <w:spacing w:before="27"/>
                    <w:ind w:left="20" w:right="0" w:firstLine="0"/>
                    <w:jc w:val="left"/>
                    <w:rPr>
                      <w:sz w:val="39"/>
                    </w:rPr>
                  </w:pPr>
                  <w:r>
                    <w:rPr>
                      <w:color w:val="FFFFFF"/>
                      <w:w w:val="120"/>
                      <w:sz w:val="39"/>
                    </w:rPr>
                    <w:t>Finance – </w:t>
                  </w:r>
                  <w:r>
                    <w:rPr>
                      <w:w w:val="120"/>
                      <w:sz w:val="39"/>
                    </w:rPr>
                    <w:t>Annual accounts</w:t>
                  </w:r>
                </w:p>
              </w:txbxContent>
            </v:textbox>
            <w10:wrap type="none"/>
          </v:shape>
        </w:pict>
      </w:r>
      <w:r>
        <w:rPr>
          <w:rFonts w:ascii="Stone Sans II ITC Std X Bd"/>
          <w:b/>
          <w:color w:val="0090D4"/>
          <w:w w:val="110"/>
          <w:sz w:val="50"/>
        </w:rPr>
        <w:t>Finance committee: </w:t>
      </w:r>
      <w:r>
        <w:rPr>
          <w:rFonts w:ascii="Stone Sans II ITC Std X Bd"/>
          <w:b/>
          <w:w w:val="110"/>
          <w:sz w:val="50"/>
        </w:rPr>
        <w:t>Annual accounts</w:t>
      </w:r>
    </w:p>
    <w:p>
      <w:pPr>
        <w:pStyle w:val="Heading4"/>
        <w:spacing w:before="325"/>
        <w:ind w:left="1103"/>
      </w:pPr>
      <w:r>
        <w:rPr>
          <w:color w:val="7F7F7F"/>
        </w:rPr>
        <w:t>Basic Information</w:t>
      </w:r>
    </w:p>
    <w:tbl>
      <w:tblPr>
        <w:tblW w:w="0" w:type="auto"/>
        <w:jc w:val="left"/>
        <w:tblInd w:w="111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660"/>
        <w:gridCol w:w="6582"/>
      </w:tblGrid>
      <w:tr>
        <w:trPr>
          <w:trHeight w:val="680" w:hRule="atLeast"/>
        </w:trPr>
        <w:tc>
          <w:tcPr>
            <w:tcW w:w="2660" w:type="dxa"/>
            <w:shd w:val="clear" w:color="auto" w:fill="FFFFFF"/>
          </w:tcPr>
          <w:p>
            <w:pPr>
              <w:pStyle w:val="TableParagraph"/>
              <w:spacing w:line="213" w:lineRule="auto" w:before="151"/>
              <w:ind w:right="595"/>
              <w:rPr>
                <w:rFonts w:ascii="Stone Sans II ITC Std Bk"/>
                <w:b/>
                <w:sz w:val="20"/>
              </w:rPr>
            </w:pPr>
            <w:r>
              <w:rPr>
                <w:rFonts w:ascii="Stone Sans II ITC Std Bk"/>
                <w:b/>
                <w:w w:val="110"/>
                <w:sz w:val="20"/>
              </w:rPr>
              <w:t>Contact name and email address</w:t>
            </w:r>
          </w:p>
        </w:tc>
        <w:tc>
          <w:tcPr>
            <w:tcW w:w="6582" w:type="dxa"/>
            <w:shd w:val="clear" w:color="auto" w:fill="FFFFFF"/>
          </w:tcPr>
          <w:p>
            <w:pPr>
              <w:pStyle w:val="TableParagraph"/>
              <w:spacing w:before="141"/>
              <w:rPr>
                <w:sz w:val="20"/>
              </w:rPr>
            </w:pPr>
            <w:r>
              <w:rPr>
                <w:w w:val="120"/>
                <w:sz w:val="20"/>
              </w:rPr>
              <w:t>John Ellis, Treasurer: </w:t>
            </w:r>
            <w:hyperlink r:id="rId376">
              <w:r>
                <w:rPr>
                  <w:color w:val="006AB3"/>
                  <w:w w:val="120"/>
                  <w:sz w:val="20"/>
                </w:rPr>
                <w:t>john.ellis@urc.org.uk</w:t>
              </w:r>
            </w:hyperlink>
          </w:p>
        </w:tc>
      </w:tr>
      <w:tr>
        <w:trPr>
          <w:trHeight w:val="440" w:hRule="atLeast"/>
        </w:trPr>
        <w:tc>
          <w:tcPr>
            <w:tcW w:w="2660" w:type="dxa"/>
            <w:shd w:val="clear" w:color="auto" w:fill="FFFFFF"/>
          </w:tcPr>
          <w:p>
            <w:pPr>
              <w:pStyle w:val="TableParagraph"/>
              <w:spacing w:before="128"/>
              <w:ind w:left="79"/>
              <w:rPr>
                <w:rFonts w:ascii="Stone Sans II ITC Std Bk"/>
                <w:b/>
                <w:sz w:val="20"/>
              </w:rPr>
            </w:pPr>
            <w:r>
              <w:rPr>
                <w:rFonts w:ascii="Stone Sans II ITC Std Bk"/>
                <w:b/>
                <w:w w:val="110"/>
                <w:sz w:val="20"/>
              </w:rPr>
              <w:t>Action required</w:t>
            </w:r>
          </w:p>
        </w:tc>
        <w:tc>
          <w:tcPr>
            <w:tcW w:w="6582" w:type="dxa"/>
            <w:shd w:val="clear" w:color="auto" w:fill="FFFFFF"/>
          </w:tcPr>
          <w:p>
            <w:pPr>
              <w:pStyle w:val="TableParagraph"/>
              <w:spacing w:before="141"/>
              <w:ind w:left="79"/>
              <w:rPr>
                <w:sz w:val="20"/>
              </w:rPr>
            </w:pPr>
            <w:r>
              <w:rPr>
                <w:w w:val="120"/>
                <w:sz w:val="20"/>
              </w:rPr>
              <w:t>Decision</w:t>
            </w:r>
          </w:p>
        </w:tc>
      </w:tr>
      <w:tr>
        <w:trPr>
          <w:trHeight w:val="821" w:hRule="atLeast"/>
        </w:trPr>
        <w:tc>
          <w:tcPr>
            <w:tcW w:w="2660" w:type="dxa"/>
            <w:shd w:val="clear" w:color="auto" w:fill="FFFFFF"/>
          </w:tcPr>
          <w:p>
            <w:pPr>
              <w:pStyle w:val="TableParagraph"/>
              <w:spacing w:before="128"/>
              <w:ind w:left="79"/>
              <w:rPr>
                <w:rFonts w:ascii="Stone Sans II ITC Std Bk"/>
                <w:b/>
                <w:sz w:val="20"/>
              </w:rPr>
            </w:pPr>
            <w:r>
              <w:rPr>
                <w:rFonts w:ascii="Stone Sans II ITC Std Bk"/>
                <w:b/>
                <w:w w:val="110"/>
                <w:sz w:val="20"/>
              </w:rPr>
              <w:t>Draft resolution(s)</w:t>
            </w:r>
          </w:p>
        </w:tc>
        <w:tc>
          <w:tcPr>
            <w:tcW w:w="6582" w:type="dxa"/>
            <w:shd w:val="clear" w:color="auto" w:fill="FFFFFF"/>
          </w:tcPr>
          <w:p>
            <w:pPr>
              <w:pStyle w:val="TableParagraph"/>
              <w:tabs>
                <w:tab w:pos="760" w:val="left" w:leader="none"/>
              </w:tabs>
              <w:spacing w:line="213" w:lineRule="auto" w:before="151"/>
              <w:ind w:left="79" w:right="140"/>
              <w:rPr>
                <w:rFonts w:ascii="Stone Sans II ITC Std Bk" w:hAnsi="Stone Sans II ITC Std Bk"/>
                <w:b/>
                <w:sz w:val="20"/>
              </w:rPr>
            </w:pPr>
            <w:r>
              <w:rPr>
                <w:rFonts w:ascii="Stone Sans II ITC Std Bk" w:hAnsi="Stone Sans II ITC Std Bk"/>
                <w:b/>
                <w:spacing w:val="-11"/>
                <w:w w:val="110"/>
                <w:sz w:val="20"/>
              </w:rPr>
              <w:t>27.</w:t>
              <w:tab/>
            </w:r>
            <w:r>
              <w:rPr>
                <w:rFonts w:ascii="Stone Sans II ITC Std Bk" w:hAnsi="Stone Sans II ITC Std Bk"/>
                <w:b/>
                <w:w w:val="110"/>
                <w:sz w:val="20"/>
              </w:rPr>
              <w:t>General Assembly notes the trustees’ </w:t>
            </w:r>
            <w:r>
              <w:rPr>
                <w:rFonts w:ascii="Stone Sans II ITC Std Bk" w:hAnsi="Stone Sans II ITC Std Bk"/>
                <w:b/>
                <w:spacing w:val="2"/>
                <w:w w:val="110"/>
                <w:sz w:val="20"/>
              </w:rPr>
              <w:t>report </w:t>
            </w:r>
            <w:r>
              <w:rPr>
                <w:rFonts w:ascii="Stone Sans II ITC Std Bk" w:hAnsi="Stone Sans II ITC Std Bk"/>
                <w:b/>
                <w:w w:val="110"/>
                <w:sz w:val="20"/>
              </w:rPr>
              <w:t>and financial statements for the year ended </w:t>
            </w:r>
            <w:r>
              <w:rPr>
                <w:rFonts w:ascii="Stone Sans II ITC Std Bk" w:hAnsi="Stone Sans II ITC Std Bk"/>
                <w:b/>
                <w:spacing w:val="-7"/>
                <w:w w:val="110"/>
                <w:sz w:val="20"/>
              </w:rPr>
              <w:t>31 </w:t>
            </w:r>
            <w:r>
              <w:rPr>
                <w:rFonts w:ascii="Stone Sans II ITC Std Bk" w:hAnsi="Stone Sans II ITC Std Bk"/>
                <w:b/>
                <w:w w:val="110"/>
                <w:sz w:val="20"/>
              </w:rPr>
              <w:t>December</w:t>
            </w:r>
            <w:r>
              <w:rPr>
                <w:rFonts w:ascii="Stone Sans II ITC Std Bk" w:hAnsi="Stone Sans II ITC Std Bk"/>
                <w:b/>
                <w:spacing w:val="23"/>
                <w:w w:val="110"/>
                <w:sz w:val="20"/>
              </w:rPr>
              <w:t> </w:t>
            </w:r>
            <w:r>
              <w:rPr>
                <w:rFonts w:ascii="Stone Sans II ITC Std Bk" w:hAnsi="Stone Sans II ITC Std Bk"/>
                <w:b/>
                <w:spacing w:val="-6"/>
                <w:w w:val="110"/>
                <w:sz w:val="20"/>
              </w:rPr>
              <w:t>2015.</w:t>
            </w:r>
          </w:p>
        </w:tc>
      </w:tr>
    </w:tbl>
    <w:p>
      <w:pPr>
        <w:pStyle w:val="BodyText"/>
        <w:spacing w:before="3"/>
        <w:rPr>
          <w:rFonts w:ascii="Stone Sans II ITC Std Bk"/>
          <w:b/>
          <w:sz w:val="29"/>
        </w:rPr>
      </w:pPr>
    </w:p>
    <w:p>
      <w:pPr>
        <w:pStyle w:val="Heading4"/>
        <w:spacing w:before="1"/>
        <w:ind w:left="1103"/>
      </w:pPr>
      <w:r>
        <w:rPr>
          <w:color w:val="7F7F7F"/>
        </w:rPr>
        <w:t>Summary of Content</w:t>
      </w:r>
    </w:p>
    <w:tbl>
      <w:tblPr>
        <w:tblW w:w="0" w:type="auto"/>
        <w:jc w:val="left"/>
        <w:tblInd w:w="111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660"/>
        <w:gridCol w:w="6582"/>
      </w:tblGrid>
      <w:tr>
        <w:trPr>
          <w:trHeight w:val="440" w:hRule="atLeast"/>
        </w:trPr>
        <w:tc>
          <w:tcPr>
            <w:tcW w:w="2660" w:type="dxa"/>
            <w:shd w:val="clear" w:color="auto" w:fill="FFFFFF"/>
          </w:tcPr>
          <w:p>
            <w:pPr>
              <w:pStyle w:val="TableParagraph"/>
              <w:spacing w:before="128"/>
              <w:rPr>
                <w:rFonts w:ascii="Stone Sans II ITC Std Bk"/>
                <w:b/>
                <w:sz w:val="20"/>
              </w:rPr>
            </w:pPr>
            <w:r>
              <w:rPr>
                <w:rFonts w:ascii="Stone Sans II ITC Std Bk"/>
                <w:b/>
                <w:w w:val="110"/>
                <w:sz w:val="20"/>
              </w:rPr>
              <w:t>Subject and aim(s)</w:t>
            </w:r>
          </w:p>
        </w:tc>
        <w:tc>
          <w:tcPr>
            <w:tcW w:w="6582" w:type="dxa"/>
            <w:shd w:val="clear" w:color="auto" w:fill="FFFFFF"/>
          </w:tcPr>
          <w:p>
            <w:pPr>
              <w:pStyle w:val="TableParagraph"/>
              <w:spacing w:before="141"/>
              <w:rPr>
                <w:sz w:val="20"/>
              </w:rPr>
            </w:pPr>
            <w:r>
              <w:rPr>
                <w:w w:val="120"/>
                <w:sz w:val="20"/>
              </w:rPr>
              <w:t>To notify General Assembly of the audited accounts for 2015</w:t>
            </w:r>
          </w:p>
        </w:tc>
      </w:tr>
      <w:tr>
        <w:trPr>
          <w:trHeight w:val="1160" w:hRule="atLeast"/>
        </w:trPr>
        <w:tc>
          <w:tcPr>
            <w:tcW w:w="2660" w:type="dxa"/>
            <w:shd w:val="clear" w:color="auto" w:fill="FFFFFF"/>
          </w:tcPr>
          <w:p>
            <w:pPr>
              <w:pStyle w:val="TableParagraph"/>
              <w:spacing w:before="128"/>
              <w:rPr>
                <w:rFonts w:ascii="Stone Sans II ITC Std Bk"/>
                <w:b/>
                <w:sz w:val="20"/>
              </w:rPr>
            </w:pPr>
            <w:r>
              <w:rPr>
                <w:rFonts w:ascii="Stone Sans II ITC Std Bk"/>
                <w:b/>
                <w:w w:val="110"/>
                <w:sz w:val="20"/>
              </w:rPr>
              <w:t>Main points</w:t>
            </w:r>
          </w:p>
        </w:tc>
        <w:tc>
          <w:tcPr>
            <w:tcW w:w="6582" w:type="dxa"/>
            <w:shd w:val="clear" w:color="auto" w:fill="FFFFFF"/>
          </w:tcPr>
          <w:p>
            <w:pPr>
              <w:pStyle w:val="TableParagraph"/>
              <w:spacing w:line="235" w:lineRule="auto" w:before="145"/>
              <w:ind w:right="175"/>
              <w:rPr>
                <w:sz w:val="20"/>
              </w:rPr>
            </w:pPr>
            <w:r>
              <w:rPr>
                <w:w w:val="120"/>
                <w:sz w:val="20"/>
              </w:rPr>
              <w:t>The accounts for the United Reformed </w:t>
            </w:r>
            <w:r>
              <w:rPr>
                <w:spacing w:val="-3"/>
                <w:w w:val="120"/>
                <w:sz w:val="20"/>
              </w:rPr>
              <w:t>Church’s </w:t>
            </w:r>
            <w:r>
              <w:rPr>
                <w:w w:val="120"/>
                <w:sz w:val="20"/>
              </w:rPr>
              <w:t>central activities are legally in the name of the URC Trust. Copies of the audited accounts for </w:t>
            </w:r>
            <w:r>
              <w:rPr>
                <w:spacing w:val="-7"/>
                <w:w w:val="120"/>
                <w:sz w:val="20"/>
              </w:rPr>
              <w:t>2015 </w:t>
            </w:r>
            <w:r>
              <w:rPr>
                <w:w w:val="120"/>
                <w:sz w:val="20"/>
              </w:rPr>
              <w:t>are now available on the URC website and hard copies will be made available at</w:t>
            </w:r>
            <w:r>
              <w:rPr>
                <w:spacing w:val="16"/>
                <w:w w:val="120"/>
                <w:sz w:val="20"/>
              </w:rPr>
              <w:t> </w:t>
            </w:r>
            <w:r>
              <w:rPr>
                <w:w w:val="120"/>
                <w:sz w:val="20"/>
              </w:rPr>
              <w:t>Assembly</w:t>
            </w:r>
          </w:p>
        </w:tc>
      </w:tr>
      <w:tr>
        <w:trPr>
          <w:trHeight w:val="680" w:hRule="atLeast"/>
        </w:trPr>
        <w:tc>
          <w:tcPr>
            <w:tcW w:w="2660" w:type="dxa"/>
            <w:shd w:val="clear" w:color="auto" w:fill="FFFFFF"/>
          </w:tcPr>
          <w:p>
            <w:pPr>
              <w:pStyle w:val="TableParagraph"/>
              <w:spacing w:line="213" w:lineRule="auto" w:before="151"/>
              <w:ind w:right="701"/>
              <w:rPr>
                <w:rFonts w:ascii="Stone Sans II ITC Std Bk"/>
                <w:b/>
                <w:sz w:val="20"/>
              </w:rPr>
            </w:pPr>
            <w:r>
              <w:rPr>
                <w:rFonts w:ascii="Stone Sans II ITC Std Bk"/>
                <w:b/>
                <w:w w:val="110"/>
                <w:sz w:val="20"/>
              </w:rPr>
              <w:t>Previous relevant documents</w:t>
            </w:r>
          </w:p>
        </w:tc>
        <w:tc>
          <w:tcPr>
            <w:tcW w:w="6582" w:type="dxa"/>
            <w:shd w:val="clear" w:color="auto" w:fill="FFFFFF"/>
          </w:tcPr>
          <w:p>
            <w:pPr>
              <w:pStyle w:val="TableParagraph"/>
              <w:spacing w:before="141"/>
              <w:rPr>
                <w:sz w:val="20"/>
              </w:rPr>
            </w:pPr>
            <w:r>
              <w:rPr>
                <w:w w:val="120"/>
                <w:sz w:val="20"/>
              </w:rPr>
              <w:t>Accounts for 2014 are available on the website</w:t>
            </w:r>
          </w:p>
        </w:tc>
      </w:tr>
      <w:tr>
        <w:trPr>
          <w:trHeight w:val="680" w:hRule="atLeast"/>
        </w:trPr>
        <w:tc>
          <w:tcPr>
            <w:tcW w:w="2660" w:type="dxa"/>
            <w:shd w:val="clear" w:color="auto" w:fill="FFFFFF"/>
          </w:tcPr>
          <w:p>
            <w:pPr>
              <w:pStyle w:val="TableParagraph"/>
              <w:spacing w:line="213" w:lineRule="auto" w:before="151"/>
              <w:ind w:right="576"/>
              <w:rPr>
                <w:rFonts w:ascii="Stone Sans II ITC Std Bk"/>
                <w:b/>
                <w:sz w:val="20"/>
              </w:rPr>
            </w:pPr>
            <w:r>
              <w:rPr>
                <w:rFonts w:ascii="Stone Sans II ITC Std Bk"/>
                <w:b/>
                <w:w w:val="110"/>
                <w:sz w:val="20"/>
              </w:rPr>
              <w:t>Consultation has taken place with...</w:t>
            </w:r>
          </w:p>
        </w:tc>
        <w:tc>
          <w:tcPr>
            <w:tcW w:w="6582" w:type="dxa"/>
            <w:shd w:val="clear" w:color="auto" w:fill="FFFFFF"/>
          </w:tcPr>
          <w:p>
            <w:pPr>
              <w:pStyle w:val="TableParagraph"/>
              <w:spacing w:before="141"/>
              <w:rPr>
                <w:sz w:val="20"/>
              </w:rPr>
            </w:pPr>
            <w:r>
              <w:rPr>
                <w:w w:val="120"/>
                <w:sz w:val="20"/>
              </w:rPr>
              <w:t>The URC Trust</w:t>
            </w:r>
          </w:p>
        </w:tc>
      </w:tr>
    </w:tbl>
    <w:p>
      <w:pPr>
        <w:pStyle w:val="BodyText"/>
        <w:spacing w:before="3"/>
        <w:rPr>
          <w:rFonts w:ascii="Stone Sans II ITC Std Bk"/>
          <w:b/>
          <w:sz w:val="29"/>
        </w:rPr>
      </w:pPr>
    </w:p>
    <w:p>
      <w:pPr>
        <w:pStyle w:val="Heading4"/>
        <w:ind w:left="1103"/>
      </w:pPr>
      <w:r>
        <w:rPr>
          <w:color w:val="7F7F7F"/>
        </w:rPr>
        <w:t>Summary of Impact</w:t>
      </w:r>
    </w:p>
    <w:tbl>
      <w:tblPr>
        <w:tblW w:w="0" w:type="auto"/>
        <w:jc w:val="left"/>
        <w:tblInd w:w="111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660"/>
        <w:gridCol w:w="6582"/>
      </w:tblGrid>
      <w:tr>
        <w:trPr>
          <w:trHeight w:val="440" w:hRule="atLeast"/>
        </w:trPr>
        <w:tc>
          <w:tcPr>
            <w:tcW w:w="2660" w:type="dxa"/>
            <w:shd w:val="clear" w:color="auto" w:fill="FFFFFF"/>
          </w:tcPr>
          <w:p>
            <w:pPr>
              <w:pStyle w:val="TableParagraph"/>
              <w:spacing w:before="128"/>
              <w:rPr>
                <w:rFonts w:ascii="Stone Sans II ITC Std Bk"/>
                <w:b/>
                <w:sz w:val="20"/>
              </w:rPr>
            </w:pPr>
            <w:r>
              <w:rPr>
                <w:rFonts w:ascii="Stone Sans II ITC Std Bk"/>
                <w:b/>
                <w:w w:val="110"/>
                <w:sz w:val="20"/>
              </w:rPr>
              <w:t>Financial</w:t>
            </w:r>
          </w:p>
        </w:tc>
        <w:tc>
          <w:tcPr>
            <w:tcW w:w="6582" w:type="dxa"/>
            <w:shd w:val="clear" w:color="auto" w:fill="FFFFFF"/>
          </w:tcPr>
          <w:p>
            <w:pPr>
              <w:pStyle w:val="TableParagraph"/>
              <w:spacing w:before="141"/>
              <w:rPr>
                <w:sz w:val="20"/>
              </w:rPr>
            </w:pPr>
            <w:r>
              <w:rPr>
                <w:w w:val="120"/>
                <w:sz w:val="20"/>
              </w:rPr>
              <w:t>N/A</w:t>
            </w:r>
          </w:p>
        </w:tc>
      </w:tr>
      <w:tr>
        <w:trPr>
          <w:trHeight w:val="680" w:hRule="atLeast"/>
        </w:trPr>
        <w:tc>
          <w:tcPr>
            <w:tcW w:w="2660" w:type="dxa"/>
            <w:shd w:val="clear" w:color="auto" w:fill="FFFFFF"/>
          </w:tcPr>
          <w:p>
            <w:pPr>
              <w:pStyle w:val="TableParagraph"/>
              <w:spacing w:line="255" w:lineRule="exact" w:before="128"/>
              <w:rPr>
                <w:rFonts w:ascii="Stone Sans II ITC Std Bk"/>
                <w:b/>
                <w:sz w:val="20"/>
              </w:rPr>
            </w:pPr>
            <w:r>
              <w:rPr>
                <w:rFonts w:ascii="Stone Sans II ITC Std Bk"/>
                <w:b/>
                <w:w w:val="110"/>
                <w:sz w:val="20"/>
              </w:rPr>
              <w:t>External</w:t>
            </w:r>
          </w:p>
          <w:p>
            <w:pPr>
              <w:pStyle w:val="TableParagraph"/>
              <w:spacing w:line="255" w:lineRule="exact"/>
              <w:rPr>
                <w:rFonts w:ascii="Stone Sans II ITC Std Bk"/>
                <w:b/>
                <w:sz w:val="20"/>
              </w:rPr>
            </w:pPr>
            <w:r>
              <w:rPr>
                <w:rFonts w:ascii="Stone Sans II ITC Std Bk"/>
                <w:b/>
                <w:w w:val="110"/>
                <w:sz w:val="20"/>
              </w:rPr>
              <w:t>(e.g. ecumenical)</w:t>
            </w:r>
          </w:p>
        </w:tc>
        <w:tc>
          <w:tcPr>
            <w:tcW w:w="6582" w:type="dxa"/>
            <w:shd w:val="clear" w:color="auto" w:fill="FFFFFF"/>
          </w:tcPr>
          <w:p>
            <w:pPr>
              <w:pStyle w:val="TableParagraph"/>
              <w:spacing w:line="235" w:lineRule="auto" w:before="145"/>
              <w:ind w:right="804"/>
              <w:rPr>
                <w:sz w:val="20"/>
              </w:rPr>
            </w:pPr>
            <w:r>
              <w:rPr>
                <w:w w:val="120"/>
                <w:sz w:val="20"/>
              </w:rPr>
              <w:t>The report provides a publically available summary of the Church’s activities.</w:t>
            </w:r>
          </w:p>
        </w:tc>
      </w:tr>
    </w:tbl>
    <w:p>
      <w:pPr>
        <w:pStyle w:val="BodyText"/>
        <w:rPr>
          <w:rFonts w:ascii="Stone Sans II ITC Std Bk"/>
          <w:b/>
          <w:sz w:val="30"/>
        </w:rPr>
      </w:pPr>
    </w:p>
    <w:p>
      <w:pPr>
        <w:pStyle w:val="BodyText"/>
        <w:rPr>
          <w:rFonts w:ascii="Stone Sans II ITC Std Bk"/>
          <w:b/>
          <w:sz w:val="30"/>
        </w:rPr>
      </w:pPr>
    </w:p>
    <w:p>
      <w:pPr>
        <w:pStyle w:val="BodyText"/>
        <w:rPr>
          <w:rFonts w:ascii="Stone Sans II ITC Std Bk"/>
          <w:b/>
          <w:sz w:val="30"/>
        </w:rPr>
      </w:pPr>
    </w:p>
    <w:p>
      <w:pPr>
        <w:pStyle w:val="BodyText"/>
        <w:rPr>
          <w:rFonts w:ascii="Stone Sans II ITC Std Bk"/>
          <w:b/>
          <w:sz w:val="30"/>
        </w:rPr>
      </w:pPr>
    </w:p>
    <w:p>
      <w:pPr>
        <w:pStyle w:val="BodyText"/>
        <w:rPr>
          <w:rFonts w:ascii="Stone Sans II ITC Std Bk"/>
          <w:b/>
          <w:sz w:val="30"/>
        </w:rPr>
      </w:pPr>
    </w:p>
    <w:p>
      <w:pPr>
        <w:pStyle w:val="BodyText"/>
        <w:rPr>
          <w:rFonts w:ascii="Stone Sans II ITC Std Bk"/>
          <w:b/>
          <w:sz w:val="30"/>
        </w:rPr>
      </w:pPr>
    </w:p>
    <w:p>
      <w:pPr>
        <w:pStyle w:val="BodyText"/>
        <w:rPr>
          <w:rFonts w:ascii="Stone Sans II ITC Std Bk"/>
          <w:b/>
          <w:sz w:val="30"/>
        </w:rPr>
      </w:pPr>
    </w:p>
    <w:p>
      <w:pPr>
        <w:pStyle w:val="BodyText"/>
        <w:rPr>
          <w:rFonts w:ascii="Stone Sans II ITC Std Bk"/>
          <w:b/>
          <w:sz w:val="30"/>
        </w:rPr>
      </w:pPr>
    </w:p>
    <w:p>
      <w:pPr>
        <w:pStyle w:val="BodyText"/>
        <w:rPr>
          <w:rFonts w:ascii="Stone Sans II ITC Std Bk"/>
          <w:b/>
          <w:sz w:val="30"/>
        </w:rPr>
      </w:pPr>
    </w:p>
    <w:p>
      <w:pPr>
        <w:pStyle w:val="BodyText"/>
        <w:rPr>
          <w:rFonts w:ascii="Stone Sans II ITC Std Bk"/>
          <w:b/>
          <w:sz w:val="30"/>
        </w:rPr>
      </w:pPr>
    </w:p>
    <w:p>
      <w:pPr>
        <w:pStyle w:val="BodyText"/>
        <w:rPr>
          <w:rFonts w:ascii="Stone Sans II ITC Std Bk"/>
          <w:b/>
          <w:sz w:val="30"/>
        </w:rPr>
      </w:pPr>
    </w:p>
    <w:p>
      <w:pPr>
        <w:pStyle w:val="BodyText"/>
        <w:rPr>
          <w:rFonts w:ascii="Stone Sans II ITC Std Bk"/>
          <w:b/>
          <w:sz w:val="30"/>
        </w:rPr>
      </w:pPr>
    </w:p>
    <w:p>
      <w:pPr>
        <w:pStyle w:val="BodyText"/>
        <w:spacing w:before="3"/>
        <w:rPr>
          <w:rFonts w:ascii="Stone Sans II ITC Std Bk"/>
          <w:b/>
          <w:sz w:val="32"/>
        </w:rPr>
      </w:pPr>
    </w:p>
    <w:p>
      <w:pPr>
        <w:pStyle w:val="Heading6"/>
        <w:spacing w:before="0"/>
        <w:ind w:left="3718"/>
        <w:rPr>
          <w:rFonts w:ascii="Stone Sans II ITC Std X Bd" w:hAnsi="Stone Sans II ITC Std X Bd"/>
          <w:b/>
          <w:sz w:val="24"/>
        </w:rPr>
      </w:pPr>
      <w:r>
        <w:rPr>
          <w:color w:val="7EAABF"/>
          <w:w w:val="110"/>
        </w:rPr>
        <w:t>United Reformed Church </w:t>
      </w:r>
      <w:r>
        <w:rPr>
          <w:rFonts w:ascii="Symbol" w:hAnsi="Symbol"/>
          <w:color w:val="7EAABF"/>
          <w:w w:val="110"/>
        </w:rPr>
        <w:t></w:t>
      </w:r>
      <w:r>
        <w:rPr>
          <w:rFonts w:ascii="Times New Roman" w:hAnsi="Times New Roman"/>
          <w:color w:val="7EAABF"/>
          <w:w w:val="110"/>
        </w:rPr>
        <w:t> </w:t>
      </w:r>
      <w:r>
        <w:rPr>
          <w:color w:val="7EAABF"/>
          <w:w w:val="110"/>
        </w:rPr>
        <w:t>General Assembly 2016 </w:t>
      </w:r>
      <w:r>
        <w:rPr>
          <w:rFonts w:ascii="Symbol" w:hAnsi="Symbol"/>
          <w:color w:val="7EAABF"/>
          <w:w w:val="110"/>
        </w:rPr>
        <w:t></w:t>
      </w:r>
      <w:r>
        <w:rPr>
          <w:rFonts w:ascii="Times New Roman" w:hAnsi="Times New Roman"/>
          <w:color w:val="7EAABF"/>
          <w:w w:val="110"/>
        </w:rPr>
        <w:t> </w:t>
      </w:r>
      <w:r>
        <w:rPr>
          <w:rFonts w:ascii="Stone Sans II ITC Std X Bd" w:hAnsi="Stone Sans II ITC Std X Bd"/>
          <w:b/>
          <w:w w:val="110"/>
          <w:sz w:val="24"/>
        </w:rPr>
        <w:t>141</w:t>
      </w:r>
    </w:p>
    <w:p>
      <w:pPr>
        <w:spacing w:after="0"/>
        <w:rPr>
          <w:rFonts w:ascii="Stone Sans II ITC Std X Bd" w:hAnsi="Stone Sans II ITC Std X Bd"/>
          <w:sz w:val="24"/>
        </w:rPr>
        <w:sectPr>
          <w:headerReference w:type="default" r:id="rId387"/>
          <w:footerReference w:type="default" r:id="rId388"/>
          <w:pgSz w:w="11910" w:h="16840"/>
          <w:pgMar w:header="0" w:footer="0" w:top="0" w:bottom="0" w:left="640" w:right="0"/>
        </w:sectPr>
      </w:pPr>
    </w:p>
    <w:p>
      <w:pPr>
        <w:pStyle w:val="BodyText"/>
        <w:rPr>
          <w:rFonts w:ascii="Stone Sans II ITC Std X Bd"/>
          <w:b/>
        </w:rPr>
      </w:pPr>
      <w:r>
        <w:rPr/>
        <w:pict>
          <v:rect style="position:absolute;margin-left:46.777pt;margin-top:.000015pt;width:548.498pt;height:841.89pt;mso-position-horizontal-relative:page;mso-position-vertical-relative:page;z-index:-267743232" filled="true" fillcolor="#d4e9f7" stroked="false">
            <v:fill type="solid"/>
            <w10:wrap type="none"/>
          </v:rect>
        </w:pict>
      </w:r>
      <w:r>
        <w:rPr/>
        <w:drawing>
          <wp:anchor distT="0" distB="0" distL="0" distR="0" allowOverlap="1" layoutInCell="1" locked="0" behindDoc="1" simplePos="0" relativeHeight="235574272">
            <wp:simplePos x="0" y="0"/>
            <wp:positionH relativeFrom="page">
              <wp:posOffset>0</wp:posOffset>
            </wp:positionH>
            <wp:positionV relativeFrom="page">
              <wp:posOffset>0</wp:posOffset>
            </wp:positionV>
            <wp:extent cx="594067" cy="10692003"/>
            <wp:effectExtent l="0" t="0" r="0" b="0"/>
            <wp:wrapNone/>
            <wp:docPr id="265" name="image67.png"/>
            <wp:cNvGraphicFramePr>
              <a:graphicFrameLocks noChangeAspect="1"/>
            </wp:cNvGraphicFramePr>
            <a:graphic>
              <a:graphicData uri="http://schemas.openxmlformats.org/drawingml/2006/picture">
                <pic:pic>
                  <pic:nvPicPr>
                    <pic:cNvPr id="266" name="image67.png"/>
                    <pic:cNvPicPr/>
                  </pic:nvPicPr>
                  <pic:blipFill>
                    <a:blip r:embed="rId184" cstate="print"/>
                    <a:stretch>
                      <a:fillRect/>
                    </a:stretch>
                  </pic:blipFill>
                  <pic:spPr>
                    <a:xfrm>
                      <a:off x="0" y="0"/>
                      <a:ext cx="594067" cy="10692003"/>
                    </a:xfrm>
                    <a:prstGeom prst="rect">
                      <a:avLst/>
                    </a:prstGeom>
                  </pic:spPr>
                </pic:pic>
              </a:graphicData>
            </a:graphic>
          </wp:anchor>
        </w:drawing>
      </w:r>
      <w:r>
        <w:rPr/>
        <w:pict>
          <v:shape style="position:absolute;margin-left:20.519100pt;margin-top:48.890015pt;width:25.9pt;height:100pt;mso-position-horizontal-relative:page;mso-position-vertical-relative:page;z-index:-267741184" type="#_x0000_t202" filled="false" stroked="false">
            <v:textbox inset="0,0,0,0" style="layout-flow:vertical">
              <w:txbxContent>
                <w:p>
                  <w:pPr>
                    <w:spacing w:before="27"/>
                    <w:ind w:left="20" w:right="0" w:firstLine="0"/>
                    <w:jc w:val="left"/>
                    <w:rPr>
                      <w:sz w:val="39"/>
                    </w:rPr>
                  </w:pPr>
                  <w:r>
                    <w:rPr>
                      <w:color w:val="FFFFFF"/>
                      <w:w w:val="115"/>
                      <w:sz w:val="39"/>
                    </w:rPr>
                    <w:t>Ministries</w:t>
                  </w:r>
                </w:p>
              </w:txbxContent>
            </v:textbox>
            <w10:wrap type="none"/>
          </v:shape>
        </w:pict>
      </w:r>
    </w:p>
    <w:p>
      <w:pPr>
        <w:pStyle w:val="BodyText"/>
        <w:rPr>
          <w:rFonts w:ascii="Stone Sans II ITC Std X Bd"/>
          <w:b/>
        </w:rPr>
      </w:pPr>
    </w:p>
    <w:p>
      <w:pPr>
        <w:pStyle w:val="BodyText"/>
        <w:rPr>
          <w:rFonts w:ascii="Stone Sans II ITC Std X Bd"/>
          <w:b/>
        </w:rPr>
      </w:pPr>
    </w:p>
    <w:p>
      <w:pPr>
        <w:pStyle w:val="BodyText"/>
        <w:spacing w:before="11"/>
        <w:rPr>
          <w:rFonts w:ascii="Stone Sans II ITC Std X Bd"/>
          <w:b/>
          <w:sz w:val="19"/>
        </w:rPr>
      </w:pPr>
    </w:p>
    <w:p>
      <w:pPr>
        <w:spacing w:line="213" w:lineRule="auto" w:before="153"/>
        <w:ind w:left="607" w:right="2966" w:firstLine="0"/>
        <w:jc w:val="left"/>
        <w:rPr>
          <w:rFonts w:ascii="Stone Sans II ITC Std X Bd"/>
          <w:b/>
          <w:sz w:val="50"/>
        </w:rPr>
      </w:pPr>
      <w:r>
        <w:rPr>
          <w:rFonts w:ascii="Stone Sans II ITC Std X Bd"/>
          <w:b/>
          <w:color w:val="0090D4"/>
          <w:w w:val="110"/>
          <w:sz w:val="50"/>
        </w:rPr>
        <w:t>Ministries committee: </w:t>
      </w:r>
      <w:r>
        <w:rPr>
          <w:rFonts w:ascii="Stone Sans II ITC Std X Bd"/>
          <w:b/>
          <w:w w:val="110"/>
          <w:sz w:val="50"/>
        </w:rPr>
        <w:t>Report to General Assembly 2016</w:t>
      </w:r>
    </w:p>
    <w:p>
      <w:pPr>
        <w:pStyle w:val="Heading4"/>
        <w:spacing w:before="324"/>
      </w:pPr>
      <w:r>
        <w:rPr>
          <w:color w:val="7F7F7F"/>
        </w:rPr>
        <w:t>Basic Information</w:t>
      </w:r>
    </w:p>
    <w:tbl>
      <w:tblPr>
        <w:tblW w:w="0" w:type="auto"/>
        <w:jc w:val="left"/>
        <w:tblInd w:w="6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660"/>
        <w:gridCol w:w="6582"/>
      </w:tblGrid>
      <w:tr>
        <w:trPr>
          <w:trHeight w:val="680" w:hRule="atLeast"/>
        </w:trPr>
        <w:tc>
          <w:tcPr>
            <w:tcW w:w="2660" w:type="dxa"/>
            <w:shd w:val="clear" w:color="auto" w:fill="FFFFFF"/>
          </w:tcPr>
          <w:p>
            <w:pPr>
              <w:pStyle w:val="TableParagraph"/>
              <w:spacing w:line="213" w:lineRule="auto" w:before="151"/>
              <w:ind w:right="595"/>
              <w:rPr>
                <w:rFonts w:ascii="Stone Sans II ITC Std Bk"/>
                <w:b/>
                <w:sz w:val="20"/>
              </w:rPr>
            </w:pPr>
            <w:r>
              <w:rPr>
                <w:rFonts w:ascii="Stone Sans II ITC Std Bk"/>
                <w:b/>
                <w:w w:val="110"/>
                <w:sz w:val="20"/>
              </w:rPr>
              <w:t>Contact name and email address</w:t>
            </w:r>
          </w:p>
        </w:tc>
        <w:tc>
          <w:tcPr>
            <w:tcW w:w="6582" w:type="dxa"/>
            <w:shd w:val="clear" w:color="auto" w:fill="FFFFFF"/>
          </w:tcPr>
          <w:p>
            <w:pPr>
              <w:pStyle w:val="TableParagraph"/>
              <w:spacing w:before="141"/>
              <w:rPr>
                <w:sz w:val="20"/>
              </w:rPr>
            </w:pPr>
            <w:r>
              <w:rPr>
                <w:w w:val="120"/>
                <w:sz w:val="20"/>
              </w:rPr>
              <w:t>Craig Bowman: </w:t>
            </w:r>
            <w:hyperlink r:id="rId391">
              <w:r>
                <w:rPr>
                  <w:color w:val="006AB3"/>
                  <w:w w:val="120"/>
                  <w:sz w:val="20"/>
                </w:rPr>
                <w:t>ministries@urc.org.uk</w:t>
              </w:r>
            </w:hyperlink>
          </w:p>
        </w:tc>
      </w:tr>
      <w:tr>
        <w:trPr>
          <w:trHeight w:val="440" w:hRule="atLeast"/>
        </w:trPr>
        <w:tc>
          <w:tcPr>
            <w:tcW w:w="2660" w:type="dxa"/>
            <w:shd w:val="clear" w:color="auto" w:fill="FFFFFF"/>
          </w:tcPr>
          <w:p>
            <w:pPr>
              <w:pStyle w:val="TableParagraph"/>
              <w:spacing w:before="128"/>
              <w:rPr>
                <w:rFonts w:ascii="Stone Sans II ITC Std Bk"/>
                <w:b/>
                <w:sz w:val="20"/>
              </w:rPr>
            </w:pPr>
            <w:r>
              <w:rPr>
                <w:rFonts w:ascii="Stone Sans II ITC Std Bk"/>
                <w:b/>
                <w:w w:val="110"/>
                <w:sz w:val="20"/>
              </w:rPr>
              <w:t>Action required</w:t>
            </w:r>
          </w:p>
        </w:tc>
        <w:tc>
          <w:tcPr>
            <w:tcW w:w="6582" w:type="dxa"/>
            <w:shd w:val="clear" w:color="auto" w:fill="FFFFFF"/>
          </w:tcPr>
          <w:p>
            <w:pPr>
              <w:pStyle w:val="TableParagraph"/>
              <w:spacing w:before="141"/>
              <w:rPr>
                <w:sz w:val="20"/>
              </w:rPr>
            </w:pPr>
            <w:r>
              <w:rPr>
                <w:w w:val="115"/>
                <w:sz w:val="20"/>
              </w:rPr>
              <w:t>For information</w:t>
            </w:r>
          </w:p>
        </w:tc>
      </w:tr>
      <w:tr>
        <w:trPr>
          <w:trHeight w:val="523" w:hRule="atLeast"/>
        </w:trPr>
        <w:tc>
          <w:tcPr>
            <w:tcW w:w="2660" w:type="dxa"/>
            <w:shd w:val="clear" w:color="auto" w:fill="FFFFFF"/>
          </w:tcPr>
          <w:p>
            <w:pPr>
              <w:pStyle w:val="TableParagraph"/>
              <w:spacing w:before="128"/>
              <w:rPr>
                <w:rFonts w:ascii="Stone Sans II ITC Std Bk"/>
                <w:b/>
                <w:sz w:val="20"/>
              </w:rPr>
            </w:pPr>
            <w:r>
              <w:rPr>
                <w:rFonts w:ascii="Stone Sans II ITC Std Bk"/>
                <w:b/>
                <w:w w:val="110"/>
                <w:sz w:val="20"/>
              </w:rPr>
              <w:t>Draft resolution(s)</w:t>
            </w:r>
          </w:p>
        </w:tc>
        <w:tc>
          <w:tcPr>
            <w:tcW w:w="6582" w:type="dxa"/>
            <w:shd w:val="clear" w:color="auto" w:fill="FFFFFF"/>
          </w:tcPr>
          <w:p>
            <w:pPr>
              <w:pStyle w:val="TableParagraph"/>
              <w:spacing w:before="128"/>
              <w:rPr>
                <w:rFonts w:ascii="Stone Sans II ITC Std Bk"/>
                <w:b/>
                <w:sz w:val="20"/>
              </w:rPr>
            </w:pPr>
            <w:r>
              <w:rPr>
                <w:rFonts w:ascii="Stone Sans II ITC Std Bk"/>
                <w:b/>
                <w:w w:val="110"/>
                <w:sz w:val="20"/>
              </w:rPr>
              <w:t>None</w:t>
            </w:r>
          </w:p>
        </w:tc>
      </w:tr>
    </w:tbl>
    <w:p>
      <w:pPr>
        <w:pStyle w:val="BodyText"/>
        <w:spacing w:before="3"/>
        <w:rPr>
          <w:rFonts w:ascii="Stone Sans II ITC Std Bk"/>
          <w:b/>
          <w:sz w:val="29"/>
        </w:rPr>
      </w:pPr>
    </w:p>
    <w:p>
      <w:pPr>
        <w:pStyle w:val="Heading4"/>
      </w:pPr>
      <w:r>
        <w:rPr>
          <w:color w:val="7F7F7F"/>
        </w:rPr>
        <w:t>Summary of Content</w:t>
      </w:r>
    </w:p>
    <w:tbl>
      <w:tblPr>
        <w:tblW w:w="0" w:type="auto"/>
        <w:jc w:val="left"/>
        <w:tblInd w:w="6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660"/>
        <w:gridCol w:w="6582"/>
      </w:tblGrid>
      <w:tr>
        <w:trPr>
          <w:trHeight w:val="680" w:hRule="atLeast"/>
        </w:trPr>
        <w:tc>
          <w:tcPr>
            <w:tcW w:w="2660" w:type="dxa"/>
            <w:shd w:val="clear" w:color="auto" w:fill="FFFFFF"/>
          </w:tcPr>
          <w:p>
            <w:pPr>
              <w:pStyle w:val="TableParagraph"/>
              <w:spacing w:before="128"/>
              <w:rPr>
                <w:rFonts w:ascii="Stone Sans II ITC Std Bk"/>
                <w:b/>
                <w:sz w:val="20"/>
              </w:rPr>
            </w:pPr>
            <w:r>
              <w:rPr>
                <w:rFonts w:ascii="Stone Sans II ITC Std Bk"/>
                <w:b/>
                <w:w w:val="110"/>
                <w:sz w:val="20"/>
              </w:rPr>
              <w:t>Subject and aim(s)</w:t>
            </w:r>
          </w:p>
        </w:tc>
        <w:tc>
          <w:tcPr>
            <w:tcW w:w="6582" w:type="dxa"/>
            <w:shd w:val="clear" w:color="auto" w:fill="FFFFFF"/>
          </w:tcPr>
          <w:p>
            <w:pPr>
              <w:pStyle w:val="TableParagraph"/>
              <w:spacing w:line="235" w:lineRule="auto" w:before="145"/>
              <w:ind w:right="1241"/>
              <w:rPr>
                <w:sz w:val="20"/>
              </w:rPr>
            </w:pPr>
            <w:r>
              <w:rPr>
                <w:w w:val="120"/>
                <w:sz w:val="20"/>
              </w:rPr>
              <w:t>Main areas of focus since General Assembly 2014 and subcommittee reports</w:t>
            </w:r>
          </w:p>
        </w:tc>
      </w:tr>
      <w:tr>
        <w:trPr>
          <w:trHeight w:val="440" w:hRule="atLeast"/>
        </w:trPr>
        <w:tc>
          <w:tcPr>
            <w:tcW w:w="2660" w:type="dxa"/>
            <w:shd w:val="clear" w:color="auto" w:fill="FFFFFF"/>
          </w:tcPr>
          <w:p>
            <w:pPr>
              <w:pStyle w:val="TableParagraph"/>
              <w:spacing w:before="128"/>
              <w:rPr>
                <w:rFonts w:ascii="Stone Sans II ITC Std Bk"/>
                <w:b/>
                <w:sz w:val="20"/>
              </w:rPr>
            </w:pPr>
            <w:r>
              <w:rPr>
                <w:rFonts w:ascii="Stone Sans II ITC Std Bk"/>
                <w:b/>
                <w:w w:val="110"/>
                <w:sz w:val="20"/>
              </w:rPr>
              <w:t>Main points</w:t>
            </w:r>
          </w:p>
        </w:tc>
        <w:tc>
          <w:tcPr>
            <w:tcW w:w="6582" w:type="dxa"/>
            <w:shd w:val="clear" w:color="auto" w:fill="FFFFFF"/>
          </w:tcPr>
          <w:p>
            <w:pPr>
              <w:pStyle w:val="TableParagraph"/>
              <w:spacing w:before="141"/>
              <w:rPr>
                <w:sz w:val="20"/>
              </w:rPr>
            </w:pPr>
            <w:r>
              <w:rPr>
                <w:w w:val="120"/>
                <w:sz w:val="20"/>
              </w:rPr>
              <w:t>Non-stipendiary ministry, minister numbers</w:t>
            </w:r>
          </w:p>
        </w:tc>
      </w:tr>
      <w:tr>
        <w:trPr>
          <w:trHeight w:val="680" w:hRule="atLeast"/>
        </w:trPr>
        <w:tc>
          <w:tcPr>
            <w:tcW w:w="2660" w:type="dxa"/>
            <w:shd w:val="clear" w:color="auto" w:fill="FFFFFF"/>
          </w:tcPr>
          <w:p>
            <w:pPr>
              <w:pStyle w:val="TableParagraph"/>
              <w:spacing w:line="213" w:lineRule="auto" w:before="151"/>
              <w:ind w:right="701"/>
              <w:rPr>
                <w:rFonts w:ascii="Stone Sans II ITC Std Bk"/>
                <w:b/>
                <w:sz w:val="20"/>
              </w:rPr>
            </w:pPr>
            <w:r>
              <w:rPr>
                <w:rFonts w:ascii="Stone Sans II ITC Std Bk"/>
                <w:b/>
                <w:w w:val="110"/>
                <w:sz w:val="20"/>
              </w:rPr>
              <w:t>Previous relevant documents</w:t>
            </w:r>
          </w:p>
        </w:tc>
        <w:tc>
          <w:tcPr>
            <w:tcW w:w="6582" w:type="dxa"/>
            <w:shd w:val="clear" w:color="auto" w:fill="FFFFFF"/>
          </w:tcPr>
          <w:p>
            <w:pPr>
              <w:pStyle w:val="TableParagraph"/>
              <w:spacing w:before="141"/>
              <w:rPr>
                <w:sz w:val="20"/>
              </w:rPr>
            </w:pPr>
            <w:r>
              <w:rPr>
                <w:w w:val="120"/>
                <w:sz w:val="20"/>
              </w:rPr>
              <w:t>Ministries report to General Assembly 2014</w:t>
            </w:r>
          </w:p>
        </w:tc>
      </w:tr>
      <w:tr>
        <w:trPr>
          <w:trHeight w:val="680" w:hRule="atLeast"/>
        </w:trPr>
        <w:tc>
          <w:tcPr>
            <w:tcW w:w="2660" w:type="dxa"/>
            <w:shd w:val="clear" w:color="auto" w:fill="FFFFFF"/>
          </w:tcPr>
          <w:p>
            <w:pPr>
              <w:pStyle w:val="TableParagraph"/>
              <w:spacing w:line="213" w:lineRule="auto" w:before="151"/>
              <w:ind w:right="576"/>
              <w:rPr>
                <w:rFonts w:ascii="Stone Sans II ITC Std Bk"/>
                <w:b/>
                <w:sz w:val="20"/>
              </w:rPr>
            </w:pPr>
            <w:r>
              <w:rPr>
                <w:rFonts w:ascii="Stone Sans II ITC Std Bk"/>
                <w:b/>
                <w:w w:val="110"/>
                <w:sz w:val="20"/>
              </w:rPr>
              <w:t>Consultation has taken place with...</w:t>
            </w:r>
          </w:p>
        </w:tc>
        <w:tc>
          <w:tcPr>
            <w:tcW w:w="6582" w:type="dxa"/>
            <w:shd w:val="clear" w:color="auto" w:fill="FFFFFF"/>
          </w:tcPr>
          <w:p>
            <w:pPr>
              <w:pStyle w:val="TableParagraph"/>
              <w:spacing w:before="141"/>
              <w:rPr>
                <w:sz w:val="20"/>
              </w:rPr>
            </w:pPr>
            <w:r>
              <w:rPr>
                <w:w w:val="120"/>
                <w:sz w:val="20"/>
              </w:rPr>
              <w:t>Ongoing consultation across the denomination</w:t>
            </w:r>
          </w:p>
        </w:tc>
      </w:tr>
    </w:tbl>
    <w:p>
      <w:pPr>
        <w:pStyle w:val="BodyText"/>
        <w:spacing w:before="3"/>
        <w:rPr>
          <w:rFonts w:ascii="Stone Sans II ITC Std Bk"/>
          <w:b/>
          <w:sz w:val="29"/>
        </w:rPr>
      </w:pPr>
    </w:p>
    <w:p>
      <w:pPr>
        <w:pStyle w:val="Heading4"/>
      </w:pPr>
      <w:r>
        <w:rPr>
          <w:color w:val="7F7F7F"/>
        </w:rPr>
        <w:t>Summary of Impact</w:t>
      </w:r>
    </w:p>
    <w:tbl>
      <w:tblPr>
        <w:tblW w:w="0" w:type="auto"/>
        <w:jc w:val="left"/>
        <w:tblInd w:w="6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660"/>
        <w:gridCol w:w="6582"/>
      </w:tblGrid>
      <w:tr>
        <w:trPr>
          <w:trHeight w:val="440" w:hRule="atLeast"/>
        </w:trPr>
        <w:tc>
          <w:tcPr>
            <w:tcW w:w="2660" w:type="dxa"/>
            <w:shd w:val="clear" w:color="auto" w:fill="FFFFFF"/>
          </w:tcPr>
          <w:p>
            <w:pPr>
              <w:pStyle w:val="TableParagraph"/>
              <w:spacing w:before="128"/>
              <w:rPr>
                <w:rFonts w:ascii="Stone Sans II ITC Std Bk"/>
                <w:b/>
                <w:sz w:val="20"/>
              </w:rPr>
            </w:pPr>
            <w:r>
              <w:rPr>
                <w:rFonts w:ascii="Stone Sans II ITC Std Bk"/>
                <w:b/>
                <w:w w:val="110"/>
                <w:sz w:val="20"/>
              </w:rPr>
              <w:t>Financial</w:t>
            </w:r>
          </w:p>
        </w:tc>
        <w:tc>
          <w:tcPr>
            <w:tcW w:w="6582" w:type="dxa"/>
            <w:shd w:val="clear" w:color="auto" w:fill="FFFFFF"/>
          </w:tcPr>
          <w:p>
            <w:pPr>
              <w:pStyle w:val="TableParagraph"/>
              <w:spacing w:before="141"/>
              <w:rPr>
                <w:sz w:val="20"/>
              </w:rPr>
            </w:pPr>
            <w:r>
              <w:rPr>
                <w:w w:val="120"/>
                <w:sz w:val="20"/>
              </w:rPr>
              <w:t>None outside regular budget</w:t>
            </w:r>
          </w:p>
        </w:tc>
      </w:tr>
      <w:tr>
        <w:trPr>
          <w:trHeight w:val="680" w:hRule="atLeast"/>
        </w:trPr>
        <w:tc>
          <w:tcPr>
            <w:tcW w:w="2660" w:type="dxa"/>
            <w:shd w:val="clear" w:color="auto" w:fill="FFFFFF"/>
          </w:tcPr>
          <w:p>
            <w:pPr>
              <w:pStyle w:val="TableParagraph"/>
              <w:spacing w:line="255" w:lineRule="exact" w:before="128"/>
              <w:rPr>
                <w:rFonts w:ascii="Stone Sans II ITC Std Bk"/>
                <w:b/>
                <w:sz w:val="20"/>
              </w:rPr>
            </w:pPr>
            <w:r>
              <w:rPr>
                <w:rFonts w:ascii="Stone Sans II ITC Std Bk"/>
                <w:b/>
                <w:w w:val="110"/>
                <w:sz w:val="20"/>
              </w:rPr>
              <w:t>External</w:t>
            </w:r>
          </w:p>
          <w:p>
            <w:pPr>
              <w:pStyle w:val="TableParagraph"/>
              <w:spacing w:line="255" w:lineRule="exact"/>
              <w:rPr>
                <w:rFonts w:ascii="Stone Sans II ITC Std Bk"/>
                <w:b/>
                <w:sz w:val="20"/>
              </w:rPr>
            </w:pPr>
            <w:r>
              <w:rPr>
                <w:rFonts w:ascii="Stone Sans II ITC Std Bk"/>
                <w:b/>
                <w:w w:val="110"/>
                <w:sz w:val="20"/>
              </w:rPr>
              <w:t>(e.g. ecumenical)</w:t>
            </w:r>
          </w:p>
        </w:tc>
        <w:tc>
          <w:tcPr>
            <w:tcW w:w="6582" w:type="dxa"/>
            <w:shd w:val="clear" w:color="auto" w:fill="FFFFFF"/>
          </w:tcPr>
          <w:p>
            <w:pPr>
              <w:pStyle w:val="TableParagraph"/>
              <w:spacing w:before="141"/>
              <w:rPr>
                <w:sz w:val="20"/>
              </w:rPr>
            </w:pPr>
            <w:r>
              <w:rPr>
                <w:w w:val="125"/>
                <w:sz w:val="20"/>
              </w:rPr>
              <w:t>None.</w:t>
            </w:r>
          </w:p>
        </w:tc>
      </w:tr>
    </w:tbl>
    <w:p>
      <w:pPr>
        <w:pStyle w:val="BodyText"/>
        <w:rPr>
          <w:rFonts w:ascii="Stone Sans II ITC Std Bk"/>
          <w:b/>
          <w:sz w:val="30"/>
        </w:rPr>
      </w:pPr>
    </w:p>
    <w:p>
      <w:pPr>
        <w:pStyle w:val="BodyText"/>
        <w:rPr>
          <w:rFonts w:ascii="Stone Sans II ITC Std Bk"/>
          <w:b/>
          <w:sz w:val="30"/>
        </w:rPr>
      </w:pPr>
    </w:p>
    <w:p>
      <w:pPr>
        <w:pStyle w:val="BodyText"/>
        <w:rPr>
          <w:rFonts w:ascii="Stone Sans II ITC Std Bk"/>
          <w:b/>
          <w:sz w:val="30"/>
        </w:rPr>
      </w:pPr>
    </w:p>
    <w:p>
      <w:pPr>
        <w:pStyle w:val="BodyText"/>
        <w:rPr>
          <w:rFonts w:ascii="Stone Sans II ITC Std Bk"/>
          <w:b/>
          <w:sz w:val="30"/>
        </w:rPr>
      </w:pPr>
    </w:p>
    <w:p>
      <w:pPr>
        <w:pStyle w:val="BodyText"/>
        <w:rPr>
          <w:rFonts w:ascii="Stone Sans II ITC Std Bk"/>
          <w:b/>
          <w:sz w:val="30"/>
        </w:rPr>
      </w:pPr>
    </w:p>
    <w:p>
      <w:pPr>
        <w:pStyle w:val="BodyText"/>
        <w:rPr>
          <w:rFonts w:ascii="Stone Sans II ITC Std Bk"/>
          <w:b/>
          <w:sz w:val="30"/>
        </w:rPr>
      </w:pPr>
    </w:p>
    <w:p>
      <w:pPr>
        <w:pStyle w:val="BodyText"/>
        <w:rPr>
          <w:rFonts w:ascii="Stone Sans II ITC Std Bk"/>
          <w:b/>
          <w:sz w:val="30"/>
        </w:rPr>
      </w:pPr>
    </w:p>
    <w:p>
      <w:pPr>
        <w:pStyle w:val="BodyText"/>
        <w:rPr>
          <w:rFonts w:ascii="Stone Sans II ITC Std Bk"/>
          <w:b/>
          <w:sz w:val="30"/>
        </w:rPr>
      </w:pPr>
    </w:p>
    <w:p>
      <w:pPr>
        <w:pStyle w:val="BodyText"/>
        <w:rPr>
          <w:rFonts w:ascii="Stone Sans II ITC Std Bk"/>
          <w:b/>
          <w:sz w:val="30"/>
        </w:rPr>
      </w:pPr>
    </w:p>
    <w:p>
      <w:pPr>
        <w:pStyle w:val="BodyText"/>
        <w:rPr>
          <w:rFonts w:ascii="Stone Sans II ITC Std Bk"/>
          <w:b/>
          <w:sz w:val="30"/>
        </w:rPr>
      </w:pPr>
    </w:p>
    <w:p>
      <w:pPr>
        <w:pStyle w:val="BodyText"/>
        <w:rPr>
          <w:rFonts w:ascii="Stone Sans II ITC Std Bk"/>
          <w:b/>
          <w:sz w:val="30"/>
        </w:rPr>
      </w:pPr>
    </w:p>
    <w:p>
      <w:pPr>
        <w:pStyle w:val="BodyText"/>
        <w:rPr>
          <w:rFonts w:ascii="Stone Sans II ITC Std Bk"/>
          <w:b/>
          <w:sz w:val="30"/>
        </w:rPr>
      </w:pPr>
    </w:p>
    <w:p>
      <w:pPr>
        <w:pStyle w:val="BodyText"/>
        <w:rPr>
          <w:rFonts w:ascii="Stone Sans II ITC Std Bk"/>
          <w:b/>
          <w:sz w:val="30"/>
        </w:rPr>
      </w:pPr>
    </w:p>
    <w:p>
      <w:pPr>
        <w:pStyle w:val="Heading6"/>
        <w:spacing w:before="208"/>
        <w:ind w:left="607"/>
      </w:pPr>
      <w:r>
        <w:rPr>
          <w:rFonts w:ascii="Stone Sans II ITC Std X Bd" w:hAnsi="Stone Sans II ITC Std X Bd"/>
          <w:b/>
          <w:w w:val="110"/>
          <w:sz w:val="24"/>
        </w:rPr>
        <w:t>142 </w:t>
      </w:r>
      <w:r>
        <w:rPr>
          <w:rFonts w:ascii="Symbol" w:hAnsi="Symbol"/>
          <w:color w:val="7EAABF"/>
          <w:w w:val="110"/>
        </w:rPr>
        <w:t></w:t>
      </w:r>
      <w:r>
        <w:rPr>
          <w:rFonts w:ascii="Times New Roman" w:hAnsi="Times New Roman"/>
          <w:color w:val="7EAABF"/>
          <w:w w:val="110"/>
        </w:rPr>
        <w:t> </w:t>
      </w:r>
      <w:r>
        <w:rPr>
          <w:color w:val="7EAABF"/>
          <w:w w:val="110"/>
        </w:rPr>
        <w:t>United Reformed Church </w:t>
      </w:r>
      <w:r>
        <w:rPr>
          <w:rFonts w:ascii="Symbol" w:hAnsi="Symbol"/>
          <w:color w:val="7EAABF"/>
          <w:w w:val="110"/>
        </w:rPr>
        <w:t></w:t>
      </w:r>
      <w:r>
        <w:rPr>
          <w:rFonts w:ascii="Times New Roman" w:hAnsi="Times New Roman"/>
          <w:color w:val="7EAABF"/>
          <w:w w:val="110"/>
        </w:rPr>
        <w:t> </w:t>
      </w:r>
      <w:r>
        <w:rPr>
          <w:color w:val="7EAABF"/>
          <w:w w:val="110"/>
        </w:rPr>
        <w:t>General Assembly 2016</w:t>
      </w:r>
    </w:p>
    <w:p>
      <w:pPr>
        <w:spacing w:after="0"/>
        <w:sectPr>
          <w:headerReference w:type="even" r:id="rId389"/>
          <w:footerReference w:type="even" r:id="rId390"/>
          <w:pgSz w:w="11910" w:h="16840"/>
          <w:pgMar w:header="0" w:footer="0" w:top="0" w:bottom="0" w:left="640" w:right="0"/>
        </w:sectPr>
      </w:pPr>
    </w:p>
    <w:p>
      <w:pPr>
        <w:pStyle w:val="BodyText"/>
      </w:pPr>
      <w:r>
        <w:rPr/>
        <w:drawing>
          <wp:anchor distT="0" distB="0" distL="0" distR="0" allowOverlap="1" layoutInCell="1" locked="0" behindDoc="0" simplePos="0" relativeHeight="252029952">
            <wp:simplePos x="0" y="0"/>
            <wp:positionH relativeFrom="page">
              <wp:posOffset>6974928</wp:posOffset>
            </wp:positionH>
            <wp:positionV relativeFrom="page">
              <wp:posOffset>0</wp:posOffset>
            </wp:positionV>
            <wp:extent cx="585063" cy="10692003"/>
            <wp:effectExtent l="0" t="0" r="0" b="0"/>
            <wp:wrapNone/>
            <wp:docPr id="267" name="image54.png"/>
            <wp:cNvGraphicFramePr>
              <a:graphicFrameLocks noChangeAspect="1"/>
            </wp:cNvGraphicFramePr>
            <a:graphic>
              <a:graphicData uri="http://schemas.openxmlformats.org/drawingml/2006/picture">
                <pic:pic>
                  <pic:nvPicPr>
                    <pic:cNvPr id="268" name="image54.png"/>
                    <pic:cNvPicPr/>
                  </pic:nvPicPr>
                  <pic:blipFill>
                    <a:blip r:embed="rId169" cstate="print"/>
                    <a:stretch>
                      <a:fillRect/>
                    </a:stretch>
                  </pic:blipFill>
                  <pic:spPr>
                    <a:xfrm>
                      <a:off x="0" y="0"/>
                      <a:ext cx="585063" cy="10692003"/>
                    </a:xfrm>
                    <a:prstGeom prst="rect">
                      <a:avLst/>
                    </a:prstGeom>
                  </pic:spPr>
                </pic:pic>
              </a:graphicData>
            </a:graphic>
          </wp:anchor>
        </w:drawing>
      </w:r>
    </w:p>
    <w:p>
      <w:pPr>
        <w:pStyle w:val="BodyText"/>
      </w:pPr>
    </w:p>
    <w:p>
      <w:pPr>
        <w:pStyle w:val="BodyText"/>
      </w:pPr>
    </w:p>
    <w:p>
      <w:pPr>
        <w:pStyle w:val="BodyText"/>
        <w:spacing w:before="5"/>
        <w:rPr>
          <w:sz w:val="28"/>
        </w:rPr>
      </w:pPr>
    </w:p>
    <w:p>
      <w:pPr>
        <w:spacing w:before="97"/>
        <w:ind w:left="1344" w:right="0" w:firstLine="0"/>
        <w:jc w:val="left"/>
        <w:rPr>
          <w:rFonts w:ascii="Stone Sans II ITC Std X Bd"/>
          <w:b/>
          <w:sz w:val="50"/>
        </w:rPr>
      </w:pPr>
      <w:r>
        <w:rPr/>
        <w:pict>
          <v:shape style="position:absolute;margin-left:554.141174pt;margin-top:-5.998084pt;width:25.9pt;height:100pt;mso-position-horizontal-relative:page;mso-position-vertical-relative:paragraph;z-index:252032000" type="#_x0000_t202" filled="false" stroked="false">
            <v:textbox inset="0,0,0,0" style="layout-flow:vertical">
              <w:txbxContent>
                <w:p>
                  <w:pPr>
                    <w:spacing w:before="27"/>
                    <w:ind w:left="20" w:right="0" w:firstLine="0"/>
                    <w:jc w:val="left"/>
                    <w:rPr>
                      <w:sz w:val="39"/>
                    </w:rPr>
                  </w:pPr>
                  <w:r>
                    <w:rPr>
                      <w:color w:val="FFFFFF"/>
                      <w:w w:val="115"/>
                      <w:sz w:val="39"/>
                    </w:rPr>
                    <w:t>Ministries</w:t>
                  </w:r>
                </w:p>
              </w:txbxContent>
            </v:textbox>
            <w10:wrap type="none"/>
          </v:shape>
        </w:pict>
      </w:r>
      <w:r>
        <w:rPr>
          <w:rFonts w:ascii="Stone Sans II ITC Std X Bd"/>
          <w:b/>
          <w:w w:val="110"/>
          <w:sz w:val="50"/>
        </w:rPr>
        <w:t>Ministries committee</w:t>
      </w:r>
    </w:p>
    <w:p>
      <w:pPr>
        <w:spacing w:line="261" w:lineRule="auto" w:before="141"/>
        <w:ind w:left="1571" w:right="1478" w:firstLine="0"/>
        <w:jc w:val="left"/>
        <w:rPr>
          <w:sz w:val="18"/>
        </w:rPr>
      </w:pPr>
      <w:r>
        <w:rPr/>
        <w:pict>
          <v:line style="position:absolute;mso-position-horizontal-relative:page;mso-position-vertical-relative:paragraph;z-index:252030976" from="99.212601pt,9.263453pt" to="99.212601pt,207.687453pt" stroked="true" strokeweight="2pt" strokecolor="#0090d4">
            <v:stroke dashstyle="solid"/>
            <w10:wrap type="none"/>
          </v:line>
        </w:pict>
      </w:r>
      <w:r>
        <w:rPr>
          <w:color w:val="707172"/>
          <w:w w:val="120"/>
          <w:sz w:val="18"/>
        </w:rPr>
        <w:t>The committee is responsible for the ministry of Word and Sacraments, church related community work, lay preaching and eldership. It is concerned  with  central  care  and conditions of service, chaplaincies in industry, higher and </w:t>
      </w:r>
      <w:r>
        <w:rPr>
          <w:color w:val="707172"/>
          <w:spacing w:val="2"/>
          <w:w w:val="120"/>
          <w:sz w:val="18"/>
        </w:rPr>
        <w:t>further </w:t>
      </w:r>
      <w:r>
        <w:rPr>
          <w:color w:val="707172"/>
          <w:w w:val="120"/>
          <w:sz w:val="18"/>
        </w:rPr>
        <w:t>education and in the armed forces and ‘special category’ ministry. It has concern for the pastoral support of ministers, church</w:t>
      </w:r>
      <w:r>
        <w:rPr>
          <w:color w:val="707172"/>
          <w:spacing w:val="10"/>
          <w:w w:val="120"/>
          <w:sz w:val="18"/>
        </w:rPr>
        <w:t> </w:t>
      </w:r>
      <w:r>
        <w:rPr>
          <w:color w:val="707172"/>
          <w:w w:val="120"/>
          <w:sz w:val="18"/>
        </w:rPr>
        <w:t>related</w:t>
      </w:r>
      <w:r>
        <w:rPr>
          <w:color w:val="707172"/>
          <w:spacing w:val="10"/>
          <w:w w:val="120"/>
          <w:sz w:val="18"/>
        </w:rPr>
        <w:t> </w:t>
      </w:r>
      <w:r>
        <w:rPr>
          <w:color w:val="707172"/>
          <w:w w:val="120"/>
          <w:sz w:val="18"/>
        </w:rPr>
        <w:t>community</w:t>
      </w:r>
      <w:r>
        <w:rPr>
          <w:color w:val="707172"/>
          <w:spacing w:val="10"/>
          <w:w w:val="120"/>
          <w:sz w:val="18"/>
        </w:rPr>
        <w:t> </w:t>
      </w:r>
      <w:r>
        <w:rPr>
          <w:color w:val="707172"/>
          <w:w w:val="120"/>
          <w:sz w:val="18"/>
        </w:rPr>
        <w:t>workers</w:t>
      </w:r>
      <w:r>
        <w:rPr>
          <w:color w:val="707172"/>
          <w:spacing w:val="10"/>
          <w:w w:val="120"/>
          <w:sz w:val="18"/>
        </w:rPr>
        <w:t> </w:t>
      </w:r>
      <w:r>
        <w:rPr>
          <w:color w:val="707172"/>
          <w:w w:val="120"/>
          <w:sz w:val="18"/>
        </w:rPr>
        <w:t>and</w:t>
      </w:r>
      <w:r>
        <w:rPr>
          <w:color w:val="707172"/>
          <w:spacing w:val="11"/>
          <w:w w:val="120"/>
          <w:sz w:val="18"/>
        </w:rPr>
        <w:t> </w:t>
      </w:r>
      <w:r>
        <w:rPr>
          <w:color w:val="707172"/>
          <w:w w:val="120"/>
          <w:sz w:val="18"/>
        </w:rPr>
        <w:t>lay</w:t>
      </w:r>
      <w:r>
        <w:rPr>
          <w:color w:val="707172"/>
          <w:spacing w:val="10"/>
          <w:w w:val="120"/>
          <w:sz w:val="18"/>
        </w:rPr>
        <w:t> </w:t>
      </w:r>
      <w:r>
        <w:rPr>
          <w:color w:val="707172"/>
          <w:w w:val="120"/>
          <w:sz w:val="18"/>
        </w:rPr>
        <w:t>preachers,</w:t>
      </w:r>
      <w:r>
        <w:rPr>
          <w:color w:val="707172"/>
          <w:spacing w:val="10"/>
          <w:w w:val="120"/>
          <w:sz w:val="18"/>
        </w:rPr>
        <w:t> </w:t>
      </w:r>
      <w:r>
        <w:rPr>
          <w:color w:val="707172"/>
          <w:w w:val="120"/>
          <w:sz w:val="18"/>
        </w:rPr>
        <w:t>including</w:t>
      </w:r>
      <w:r>
        <w:rPr>
          <w:color w:val="707172"/>
          <w:spacing w:val="10"/>
          <w:w w:val="120"/>
          <w:sz w:val="18"/>
        </w:rPr>
        <w:t> </w:t>
      </w:r>
      <w:r>
        <w:rPr>
          <w:color w:val="707172"/>
          <w:w w:val="120"/>
          <w:sz w:val="18"/>
        </w:rPr>
        <w:t>supervision,</w:t>
      </w:r>
      <w:r>
        <w:rPr>
          <w:color w:val="707172"/>
          <w:spacing w:val="10"/>
          <w:w w:val="120"/>
          <w:sz w:val="18"/>
        </w:rPr>
        <w:t> </w:t>
      </w:r>
      <w:r>
        <w:rPr>
          <w:color w:val="707172"/>
          <w:w w:val="120"/>
          <w:sz w:val="18"/>
        </w:rPr>
        <w:t>appraisal,</w:t>
      </w:r>
    </w:p>
    <w:p>
      <w:pPr>
        <w:spacing w:line="261" w:lineRule="auto" w:before="2"/>
        <w:ind w:left="1571" w:right="1478" w:firstLine="0"/>
        <w:jc w:val="left"/>
        <w:rPr>
          <w:sz w:val="18"/>
        </w:rPr>
      </w:pPr>
      <w:r>
        <w:rPr>
          <w:color w:val="707172"/>
          <w:w w:val="120"/>
          <w:sz w:val="18"/>
        </w:rPr>
        <w:t>self-evaluation and counselling. It oversees the work of the assessment board and is assisted by four subcommittees.</w:t>
      </w:r>
    </w:p>
    <w:p>
      <w:pPr>
        <w:pStyle w:val="BodyText"/>
        <w:spacing w:before="10"/>
        <w:rPr>
          <w:sz w:val="18"/>
        </w:rPr>
      </w:pPr>
    </w:p>
    <w:p>
      <w:pPr>
        <w:tabs>
          <w:tab w:pos="2784" w:val="left" w:leader="none"/>
        </w:tabs>
        <w:spacing w:line="242" w:lineRule="exact" w:before="0"/>
        <w:ind w:left="1571" w:right="0" w:firstLine="0"/>
        <w:jc w:val="left"/>
        <w:rPr>
          <w:sz w:val="18"/>
        </w:rPr>
      </w:pPr>
      <w:r>
        <w:rPr>
          <w:rFonts w:ascii="Stone Sans II ITC Std Bk"/>
          <w:b/>
          <w:color w:val="707172"/>
          <w:w w:val="120"/>
          <w:sz w:val="18"/>
        </w:rPr>
        <w:t>Convenor:</w:t>
        <w:tab/>
      </w:r>
      <w:r>
        <w:rPr>
          <w:color w:val="707172"/>
          <w:w w:val="120"/>
          <w:sz w:val="18"/>
        </w:rPr>
        <w:t>Gethin Rhys </w:t>
      </w:r>
      <w:r>
        <w:rPr>
          <w:color w:val="707172"/>
          <w:spacing w:val="-3"/>
          <w:w w:val="120"/>
          <w:sz w:val="18"/>
        </w:rPr>
        <w:t>(until </w:t>
      </w:r>
      <w:r>
        <w:rPr>
          <w:color w:val="707172"/>
          <w:w w:val="120"/>
          <w:sz w:val="18"/>
        </w:rPr>
        <w:t>March</w:t>
      </w:r>
      <w:r>
        <w:rPr>
          <w:color w:val="707172"/>
          <w:spacing w:val="13"/>
          <w:w w:val="120"/>
          <w:sz w:val="18"/>
        </w:rPr>
        <w:t> </w:t>
      </w:r>
      <w:r>
        <w:rPr>
          <w:color w:val="707172"/>
          <w:spacing w:val="-5"/>
          <w:w w:val="120"/>
          <w:sz w:val="18"/>
        </w:rPr>
        <w:t>2016)</w:t>
      </w:r>
    </w:p>
    <w:p>
      <w:pPr>
        <w:tabs>
          <w:tab w:pos="2784" w:val="left" w:leader="none"/>
        </w:tabs>
        <w:spacing w:line="240" w:lineRule="exact" w:before="0"/>
        <w:ind w:left="1571" w:right="0" w:firstLine="0"/>
        <w:jc w:val="left"/>
        <w:rPr>
          <w:sz w:val="18"/>
        </w:rPr>
      </w:pPr>
      <w:r>
        <w:rPr>
          <w:rFonts w:ascii="Stone Sans II ITC Std Bk"/>
          <w:b/>
          <w:color w:val="707172"/>
          <w:w w:val="120"/>
          <w:sz w:val="18"/>
        </w:rPr>
        <w:t>Secretary:</w:t>
        <w:tab/>
      </w:r>
      <w:r>
        <w:rPr>
          <w:color w:val="707172"/>
          <w:w w:val="120"/>
          <w:sz w:val="18"/>
        </w:rPr>
        <w:t>Craig</w:t>
      </w:r>
      <w:r>
        <w:rPr>
          <w:color w:val="707172"/>
          <w:spacing w:val="2"/>
          <w:w w:val="120"/>
          <w:sz w:val="18"/>
        </w:rPr>
        <w:t> </w:t>
      </w:r>
      <w:r>
        <w:rPr>
          <w:color w:val="707172"/>
          <w:w w:val="120"/>
          <w:sz w:val="18"/>
        </w:rPr>
        <w:t>Bowman</w:t>
      </w:r>
    </w:p>
    <w:p>
      <w:pPr>
        <w:tabs>
          <w:tab w:pos="2784" w:val="left" w:leader="none"/>
        </w:tabs>
        <w:spacing w:line="256" w:lineRule="auto" w:before="0"/>
        <w:ind w:left="1571" w:right="1661" w:firstLine="0"/>
        <w:jc w:val="left"/>
        <w:rPr>
          <w:sz w:val="18"/>
        </w:rPr>
      </w:pPr>
      <w:r>
        <w:rPr>
          <w:rFonts w:ascii="Stone Sans II ITC Std Bk" w:hAnsi="Stone Sans II ITC Std Bk"/>
          <w:b/>
          <w:color w:val="707172"/>
          <w:w w:val="120"/>
          <w:sz w:val="18"/>
        </w:rPr>
        <w:t>Members:</w:t>
        <w:tab/>
      </w:r>
      <w:r>
        <w:rPr>
          <w:color w:val="707172"/>
          <w:spacing w:val="2"/>
          <w:w w:val="120"/>
          <w:sz w:val="18"/>
        </w:rPr>
        <w:t>Martin </w:t>
      </w:r>
      <w:r>
        <w:rPr>
          <w:color w:val="707172"/>
          <w:w w:val="120"/>
          <w:sz w:val="18"/>
        </w:rPr>
        <w:t>Camroux (from </w:t>
      </w:r>
      <w:r>
        <w:rPr>
          <w:color w:val="707172"/>
          <w:spacing w:val="-6"/>
          <w:w w:val="120"/>
          <w:sz w:val="18"/>
        </w:rPr>
        <w:t>2015), </w:t>
      </w:r>
      <w:r>
        <w:rPr>
          <w:color w:val="707172"/>
          <w:w w:val="120"/>
          <w:sz w:val="18"/>
        </w:rPr>
        <w:t>James Coleman, Stuart Dew, Heather Pencavel </w:t>
      </w:r>
      <w:r>
        <w:rPr>
          <w:color w:val="707172"/>
          <w:spacing w:val="-3"/>
          <w:w w:val="120"/>
          <w:sz w:val="18"/>
        </w:rPr>
        <w:t>(until </w:t>
      </w:r>
      <w:r>
        <w:rPr>
          <w:color w:val="707172"/>
          <w:spacing w:val="-6"/>
          <w:w w:val="120"/>
          <w:sz w:val="18"/>
        </w:rPr>
        <w:t>2015), </w:t>
      </w:r>
      <w:r>
        <w:rPr>
          <w:color w:val="707172"/>
          <w:w w:val="120"/>
          <w:sz w:val="18"/>
        </w:rPr>
        <w:t>Jane Woods-Scawen, Peter Meek (synod moderator), David Bedford (convenor  of the retired ministers’ housing subcommittee), Ewen Harley (convenor of the assessment board) Pamela Ward (convenor of the maintenance of the ministry</w:t>
      </w:r>
      <w:r>
        <w:rPr>
          <w:color w:val="707172"/>
          <w:spacing w:val="2"/>
          <w:w w:val="120"/>
          <w:sz w:val="18"/>
        </w:rPr>
        <w:t> </w:t>
      </w:r>
      <w:r>
        <w:rPr>
          <w:color w:val="707172"/>
          <w:w w:val="120"/>
          <w:sz w:val="18"/>
        </w:rPr>
        <w:t>subcommittee),</w:t>
      </w:r>
    </w:p>
    <w:p>
      <w:pPr>
        <w:spacing w:line="261" w:lineRule="auto" w:before="4"/>
        <w:ind w:left="1571" w:right="1524" w:firstLine="0"/>
        <w:jc w:val="both"/>
        <w:rPr>
          <w:sz w:val="18"/>
        </w:rPr>
      </w:pPr>
      <w:r>
        <w:rPr>
          <w:color w:val="707172"/>
          <w:w w:val="125"/>
          <w:sz w:val="18"/>
        </w:rPr>
        <w:t>Frances</w:t>
      </w:r>
      <w:r>
        <w:rPr>
          <w:color w:val="707172"/>
          <w:spacing w:val="-21"/>
          <w:w w:val="125"/>
          <w:sz w:val="18"/>
        </w:rPr>
        <w:t> </w:t>
      </w:r>
      <w:r>
        <w:rPr>
          <w:color w:val="707172"/>
          <w:w w:val="125"/>
          <w:sz w:val="18"/>
        </w:rPr>
        <w:t>Ruthven</w:t>
      </w:r>
      <w:r>
        <w:rPr>
          <w:color w:val="707172"/>
          <w:spacing w:val="-21"/>
          <w:w w:val="125"/>
          <w:sz w:val="18"/>
        </w:rPr>
        <w:t> </w:t>
      </w:r>
      <w:r>
        <w:rPr>
          <w:color w:val="707172"/>
          <w:w w:val="125"/>
          <w:sz w:val="18"/>
        </w:rPr>
        <w:t>(convenor</w:t>
      </w:r>
      <w:r>
        <w:rPr>
          <w:color w:val="707172"/>
          <w:spacing w:val="-21"/>
          <w:w w:val="125"/>
          <w:sz w:val="18"/>
        </w:rPr>
        <w:t> </w:t>
      </w:r>
      <w:r>
        <w:rPr>
          <w:color w:val="707172"/>
          <w:w w:val="125"/>
          <w:sz w:val="18"/>
        </w:rPr>
        <w:t>of</w:t>
      </w:r>
      <w:r>
        <w:rPr>
          <w:color w:val="707172"/>
          <w:spacing w:val="-20"/>
          <w:w w:val="125"/>
          <w:sz w:val="18"/>
        </w:rPr>
        <w:t> </w:t>
      </w:r>
      <w:r>
        <w:rPr>
          <w:color w:val="707172"/>
          <w:w w:val="125"/>
          <w:sz w:val="18"/>
        </w:rPr>
        <w:t>the</w:t>
      </w:r>
      <w:r>
        <w:rPr>
          <w:color w:val="707172"/>
          <w:spacing w:val="-21"/>
          <w:w w:val="125"/>
          <w:sz w:val="18"/>
        </w:rPr>
        <w:t> </w:t>
      </w:r>
      <w:r>
        <w:rPr>
          <w:color w:val="707172"/>
          <w:w w:val="125"/>
          <w:sz w:val="18"/>
        </w:rPr>
        <w:t>accreditation</w:t>
      </w:r>
      <w:r>
        <w:rPr>
          <w:color w:val="707172"/>
          <w:spacing w:val="-21"/>
          <w:w w:val="125"/>
          <w:sz w:val="18"/>
        </w:rPr>
        <w:t> </w:t>
      </w:r>
      <w:r>
        <w:rPr>
          <w:color w:val="707172"/>
          <w:w w:val="125"/>
          <w:sz w:val="18"/>
        </w:rPr>
        <w:t>subcommittee),</w:t>
      </w:r>
      <w:r>
        <w:rPr>
          <w:color w:val="707172"/>
          <w:spacing w:val="-21"/>
          <w:w w:val="125"/>
          <w:sz w:val="18"/>
        </w:rPr>
        <w:t> </w:t>
      </w:r>
      <w:r>
        <w:rPr>
          <w:color w:val="707172"/>
          <w:w w:val="125"/>
          <w:sz w:val="18"/>
        </w:rPr>
        <w:t>Jacky</w:t>
      </w:r>
      <w:r>
        <w:rPr>
          <w:color w:val="707172"/>
          <w:spacing w:val="-20"/>
          <w:w w:val="125"/>
          <w:sz w:val="18"/>
        </w:rPr>
        <w:t> </w:t>
      </w:r>
      <w:r>
        <w:rPr>
          <w:color w:val="707172"/>
          <w:w w:val="125"/>
          <w:sz w:val="18"/>
        </w:rPr>
        <w:t>Embrey</w:t>
      </w:r>
      <w:r>
        <w:rPr>
          <w:color w:val="707172"/>
          <w:spacing w:val="-21"/>
          <w:w w:val="125"/>
          <w:sz w:val="18"/>
        </w:rPr>
        <w:t> </w:t>
      </w:r>
      <w:r>
        <w:rPr>
          <w:color w:val="707172"/>
          <w:w w:val="125"/>
          <w:sz w:val="18"/>
        </w:rPr>
        <w:t>(convenor</w:t>
      </w:r>
      <w:r>
        <w:rPr>
          <w:color w:val="707172"/>
          <w:spacing w:val="-21"/>
          <w:w w:val="125"/>
          <w:sz w:val="18"/>
        </w:rPr>
        <w:t> </w:t>
      </w:r>
      <w:r>
        <w:rPr>
          <w:color w:val="707172"/>
          <w:w w:val="125"/>
          <w:sz w:val="18"/>
        </w:rPr>
        <w:t>of the</w:t>
      </w:r>
      <w:r>
        <w:rPr>
          <w:color w:val="707172"/>
          <w:spacing w:val="-10"/>
          <w:w w:val="125"/>
          <w:sz w:val="18"/>
        </w:rPr>
        <w:t> </w:t>
      </w:r>
      <w:r>
        <w:rPr>
          <w:color w:val="707172"/>
          <w:w w:val="125"/>
          <w:sz w:val="18"/>
        </w:rPr>
        <w:t>CRCW</w:t>
      </w:r>
      <w:r>
        <w:rPr>
          <w:color w:val="707172"/>
          <w:spacing w:val="-10"/>
          <w:w w:val="125"/>
          <w:sz w:val="18"/>
        </w:rPr>
        <w:t> </w:t>
      </w:r>
      <w:r>
        <w:rPr>
          <w:color w:val="707172"/>
          <w:w w:val="125"/>
          <w:sz w:val="18"/>
        </w:rPr>
        <w:t>programme</w:t>
      </w:r>
      <w:r>
        <w:rPr>
          <w:color w:val="707172"/>
          <w:spacing w:val="-9"/>
          <w:w w:val="125"/>
          <w:sz w:val="18"/>
        </w:rPr>
        <w:t> </w:t>
      </w:r>
      <w:r>
        <w:rPr>
          <w:color w:val="707172"/>
          <w:w w:val="125"/>
          <w:sz w:val="18"/>
        </w:rPr>
        <w:t>subcommittee),</w:t>
      </w:r>
      <w:r>
        <w:rPr>
          <w:color w:val="707172"/>
          <w:spacing w:val="-10"/>
          <w:w w:val="125"/>
          <w:sz w:val="18"/>
        </w:rPr>
        <w:t> </w:t>
      </w:r>
      <w:r>
        <w:rPr>
          <w:color w:val="707172"/>
          <w:w w:val="125"/>
          <w:sz w:val="18"/>
        </w:rPr>
        <w:t>Andy</w:t>
      </w:r>
      <w:r>
        <w:rPr>
          <w:color w:val="707172"/>
          <w:spacing w:val="-10"/>
          <w:w w:val="125"/>
          <w:sz w:val="18"/>
        </w:rPr>
        <w:t> </w:t>
      </w:r>
      <w:r>
        <w:rPr>
          <w:color w:val="707172"/>
          <w:w w:val="125"/>
          <w:sz w:val="18"/>
        </w:rPr>
        <w:t>Buxton</w:t>
      </w:r>
      <w:r>
        <w:rPr>
          <w:color w:val="707172"/>
          <w:spacing w:val="-9"/>
          <w:w w:val="125"/>
          <w:sz w:val="18"/>
        </w:rPr>
        <w:t> </w:t>
      </w:r>
      <w:r>
        <w:rPr>
          <w:color w:val="707172"/>
          <w:w w:val="125"/>
          <w:sz w:val="18"/>
        </w:rPr>
        <w:t>(leadership</w:t>
      </w:r>
      <w:r>
        <w:rPr>
          <w:color w:val="707172"/>
          <w:spacing w:val="-10"/>
          <w:w w:val="125"/>
          <w:sz w:val="18"/>
        </w:rPr>
        <w:t> </w:t>
      </w:r>
      <w:r>
        <w:rPr>
          <w:color w:val="707172"/>
          <w:w w:val="125"/>
          <w:sz w:val="18"/>
        </w:rPr>
        <w:t>in</w:t>
      </w:r>
      <w:r>
        <w:rPr>
          <w:color w:val="707172"/>
          <w:spacing w:val="-9"/>
          <w:w w:val="125"/>
          <w:sz w:val="18"/>
        </w:rPr>
        <w:t> </w:t>
      </w:r>
      <w:r>
        <w:rPr>
          <w:color w:val="707172"/>
          <w:w w:val="125"/>
          <w:sz w:val="18"/>
        </w:rPr>
        <w:t>worship</w:t>
      </w:r>
      <w:r>
        <w:rPr>
          <w:color w:val="707172"/>
          <w:spacing w:val="-10"/>
          <w:w w:val="125"/>
          <w:sz w:val="18"/>
        </w:rPr>
        <w:t> </w:t>
      </w:r>
      <w:r>
        <w:rPr>
          <w:color w:val="707172"/>
          <w:w w:val="125"/>
          <w:sz w:val="18"/>
        </w:rPr>
        <w:t>advocate</w:t>
      </w:r>
      <w:r>
        <w:rPr>
          <w:color w:val="707172"/>
          <w:spacing w:val="-10"/>
          <w:w w:val="125"/>
          <w:sz w:val="18"/>
        </w:rPr>
        <w:t> </w:t>
      </w:r>
      <w:r>
        <w:rPr>
          <w:color w:val="707172"/>
          <w:w w:val="125"/>
          <w:sz w:val="18"/>
        </w:rPr>
        <w:t>from </w:t>
      </w:r>
      <w:r>
        <w:rPr>
          <w:color w:val="707172"/>
          <w:spacing w:val="-6"/>
          <w:w w:val="125"/>
          <w:sz w:val="18"/>
        </w:rPr>
        <w:t>2015) </w:t>
      </w:r>
      <w:r>
        <w:rPr>
          <w:color w:val="707172"/>
          <w:w w:val="125"/>
          <w:sz w:val="18"/>
        </w:rPr>
        <w:t>and Judith Johnson (leadership in worship advocate until</w:t>
      </w:r>
      <w:r>
        <w:rPr>
          <w:color w:val="707172"/>
          <w:spacing w:val="-8"/>
          <w:w w:val="125"/>
          <w:sz w:val="18"/>
        </w:rPr>
        <w:t> </w:t>
      </w:r>
      <w:r>
        <w:rPr>
          <w:color w:val="707172"/>
          <w:spacing w:val="-5"/>
          <w:w w:val="125"/>
          <w:sz w:val="18"/>
        </w:rPr>
        <w:t>2015).</w:t>
      </w:r>
    </w:p>
    <w:p>
      <w:pPr>
        <w:pStyle w:val="BodyText"/>
        <w:rPr>
          <w:sz w:val="22"/>
        </w:rPr>
      </w:pPr>
    </w:p>
    <w:p>
      <w:pPr>
        <w:pStyle w:val="BodyText"/>
        <w:spacing w:before="7"/>
        <w:rPr>
          <w:sz w:val="18"/>
        </w:rPr>
      </w:pPr>
    </w:p>
    <w:p>
      <w:pPr>
        <w:spacing w:before="0"/>
        <w:ind w:left="1344" w:right="0" w:firstLine="0"/>
        <w:jc w:val="left"/>
        <w:rPr>
          <w:rFonts w:ascii="Stone Sans II ITC Std Bk"/>
          <w:b/>
          <w:sz w:val="29"/>
        </w:rPr>
      </w:pPr>
      <w:r>
        <w:rPr>
          <w:rFonts w:ascii="Stone Sans II ITC Std Bk"/>
          <w:b/>
          <w:w w:val="110"/>
          <w:sz w:val="29"/>
        </w:rPr>
        <w:t>Discipleship</w:t>
      </w:r>
    </w:p>
    <w:p>
      <w:pPr>
        <w:pStyle w:val="ListParagraph"/>
        <w:numPr>
          <w:ilvl w:val="0"/>
          <w:numId w:val="165"/>
        </w:numPr>
        <w:tabs>
          <w:tab w:pos="2024" w:val="left" w:leader="none"/>
          <w:tab w:pos="2025" w:val="left" w:leader="none"/>
        </w:tabs>
        <w:spacing w:line="235" w:lineRule="auto" w:before="69" w:after="0"/>
        <w:ind w:left="1344" w:right="1332" w:firstLine="0"/>
        <w:jc w:val="left"/>
        <w:rPr>
          <w:sz w:val="20"/>
        </w:rPr>
      </w:pPr>
      <w:r>
        <w:rPr>
          <w:w w:val="120"/>
          <w:sz w:val="20"/>
        </w:rPr>
        <w:t>The committee continues to do its work as </w:t>
      </w:r>
      <w:r>
        <w:rPr>
          <w:spacing w:val="2"/>
          <w:w w:val="120"/>
          <w:sz w:val="20"/>
        </w:rPr>
        <w:t>part </w:t>
      </w:r>
      <w:r>
        <w:rPr>
          <w:w w:val="120"/>
          <w:sz w:val="20"/>
        </w:rPr>
        <w:t>of the discipleship department  at Church House which fits well with our understanding that we are seeking to support those who provide leadership in local churches and other mission settings. We believe that this leadership, which includes ordained and commissioned ministry as well as lay preachers and elders, is key in fostering a culture of discipleship across the Church and we look forward to working closely with the other committees in the department as well as with colleagues from the mission department in developing discipleship in the coming</w:t>
      </w:r>
      <w:r>
        <w:rPr>
          <w:spacing w:val="2"/>
          <w:w w:val="120"/>
          <w:sz w:val="20"/>
        </w:rPr>
        <w:t> </w:t>
      </w:r>
      <w:r>
        <w:rPr>
          <w:w w:val="120"/>
          <w:sz w:val="20"/>
        </w:rPr>
        <w:t>years.</w:t>
      </w:r>
    </w:p>
    <w:p>
      <w:pPr>
        <w:pStyle w:val="BodyText"/>
        <w:spacing w:before="6"/>
        <w:rPr>
          <w:sz w:val="22"/>
        </w:rPr>
      </w:pPr>
    </w:p>
    <w:p>
      <w:pPr>
        <w:spacing w:before="0"/>
        <w:ind w:left="1344" w:right="0" w:firstLine="0"/>
        <w:jc w:val="left"/>
        <w:rPr>
          <w:rFonts w:ascii="Stone Sans II ITC Std Bk"/>
          <w:b/>
          <w:sz w:val="29"/>
        </w:rPr>
      </w:pPr>
      <w:r>
        <w:rPr>
          <w:rFonts w:ascii="Stone Sans II ITC Std Bk"/>
          <w:b/>
          <w:w w:val="110"/>
          <w:sz w:val="29"/>
        </w:rPr>
        <w:t>Non-stipendiary ministry</w:t>
      </w:r>
    </w:p>
    <w:p>
      <w:pPr>
        <w:pStyle w:val="ListParagraph"/>
        <w:numPr>
          <w:ilvl w:val="1"/>
          <w:numId w:val="166"/>
        </w:numPr>
        <w:tabs>
          <w:tab w:pos="2024" w:val="left" w:leader="none"/>
          <w:tab w:pos="2025" w:val="left" w:leader="none"/>
        </w:tabs>
        <w:spacing w:line="235" w:lineRule="auto" w:before="69" w:after="0"/>
        <w:ind w:left="1344" w:right="1555" w:firstLine="0"/>
        <w:jc w:val="left"/>
        <w:rPr>
          <w:sz w:val="20"/>
        </w:rPr>
      </w:pPr>
      <w:r>
        <w:rPr>
          <w:w w:val="120"/>
          <w:sz w:val="20"/>
        </w:rPr>
        <w:t>Following a residential consultation with non-stipendiary ministers </w:t>
      </w:r>
      <w:r>
        <w:rPr>
          <w:spacing w:val="-4"/>
          <w:w w:val="120"/>
          <w:sz w:val="20"/>
        </w:rPr>
        <w:t>(NSMs) </w:t>
      </w:r>
      <w:r>
        <w:rPr>
          <w:w w:val="120"/>
          <w:sz w:val="20"/>
        </w:rPr>
        <w:t>in the United Reformed Church held in </w:t>
      </w:r>
      <w:r>
        <w:rPr>
          <w:spacing w:val="-7"/>
          <w:w w:val="120"/>
          <w:sz w:val="20"/>
        </w:rPr>
        <w:t>2013, </w:t>
      </w:r>
      <w:r>
        <w:rPr>
          <w:w w:val="120"/>
          <w:sz w:val="20"/>
        </w:rPr>
        <w:t>ministries established a working </w:t>
      </w:r>
      <w:r>
        <w:rPr>
          <w:spacing w:val="2"/>
          <w:w w:val="120"/>
          <w:sz w:val="20"/>
        </w:rPr>
        <w:t>party </w:t>
      </w:r>
      <w:r>
        <w:rPr>
          <w:w w:val="120"/>
          <w:sz w:val="20"/>
        </w:rPr>
        <w:t>to consider some of the concerns that had been raised. NSMs held a further self-funded residential consultation in </w:t>
      </w:r>
      <w:r>
        <w:rPr>
          <w:spacing w:val="-7"/>
          <w:w w:val="120"/>
          <w:sz w:val="20"/>
        </w:rPr>
        <w:t>2015, </w:t>
      </w:r>
      <w:r>
        <w:rPr>
          <w:w w:val="120"/>
          <w:sz w:val="20"/>
        </w:rPr>
        <w:t>and one of the attendees, the Revd Sue </w:t>
      </w:r>
      <w:r>
        <w:rPr>
          <w:spacing w:val="-3"/>
          <w:w w:val="120"/>
          <w:sz w:val="20"/>
        </w:rPr>
        <w:t>Cossey, </w:t>
      </w:r>
      <w:r>
        <w:rPr>
          <w:w w:val="120"/>
          <w:sz w:val="20"/>
        </w:rPr>
        <w:t>is a member of the working party, together with the Revds Heather Pencavel </w:t>
      </w:r>
      <w:r>
        <w:rPr>
          <w:spacing w:val="-4"/>
          <w:w w:val="120"/>
          <w:sz w:val="20"/>
        </w:rPr>
        <w:t>(convenor), </w:t>
      </w:r>
      <w:r>
        <w:rPr>
          <w:w w:val="120"/>
          <w:sz w:val="20"/>
        </w:rPr>
        <w:t>Nicola Furley-Smith and Gethin Rhys </w:t>
      </w:r>
      <w:r>
        <w:rPr>
          <w:spacing w:val="-4"/>
          <w:w w:val="120"/>
          <w:sz w:val="20"/>
        </w:rPr>
        <w:t>(until </w:t>
      </w:r>
      <w:r>
        <w:rPr>
          <w:w w:val="120"/>
          <w:sz w:val="20"/>
        </w:rPr>
        <w:t>March </w:t>
      </w:r>
      <w:r>
        <w:rPr>
          <w:spacing w:val="-6"/>
          <w:w w:val="120"/>
          <w:sz w:val="20"/>
        </w:rPr>
        <w:t>2016) </w:t>
      </w:r>
      <w:r>
        <w:rPr>
          <w:w w:val="120"/>
          <w:sz w:val="20"/>
        </w:rPr>
        <w:t>and Mrs Irene</w:t>
      </w:r>
      <w:r>
        <w:rPr>
          <w:spacing w:val="40"/>
          <w:w w:val="120"/>
          <w:sz w:val="20"/>
        </w:rPr>
        <w:t> </w:t>
      </w:r>
      <w:r>
        <w:rPr>
          <w:w w:val="120"/>
          <w:sz w:val="20"/>
        </w:rPr>
        <w:t>Wren.</w:t>
      </w:r>
    </w:p>
    <w:p>
      <w:pPr>
        <w:pStyle w:val="BodyText"/>
        <w:spacing w:before="9"/>
        <w:rPr>
          <w:sz w:val="19"/>
        </w:rPr>
      </w:pPr>
    </w:p>
    <w:p>
      <w:pPr>
        <w:pStyle w:val="ListParagraph"/>
        <w:numPr>
          <w:ilvl w:val="1"/>
          <w:numId w:val="166"/>
        </w:numPr>
        <w:tabs>
          <w:tab w:pos="2024" w:val="left" w:leader="none"/>
          <w:tab w:pos="2025" w:val="left" w:leader="none"/>
        </w:tabs>
        <w:spacing w:line="242" w:lineRule="exact" w:before="0" w:after="0"/>
        <w:ind w:left="2024" w:right="0" w:hanging="681"/>
        <w:jc w:val="left"/>
        <w:rPr>
          <w:sz w:val="20"/>
        </w:rPr>
      </w:pPr>
      <w:r>
        <w:rPr>
          <w:w w:val="115"/>
          <w:sz w:val="20"/>
        </w:rPr>
        <w:t>The terms of reference of the working </w:t>
      </w:r>
      <w:r>
        <w:rPr>
          <w:spacing w:val="2"/>
          <w:w w:val="115"/>
          <w:sz w:val="20"/>
        </w:rPr>
        <w:t>party</w:t>
      </w:r>
      <w:r>
        <w:rPr>
          <w:spacing w:val="47"/>
          <w:w w:val="115"/>
          <w:sz w:val="20"/>
        </w:rPr>
        <w:t> </w:t>
      </w:r>
      <w:r>
        <w:rPr>
          <w:w w:val="115"/>
          <w:sz w:val="20"/>
        </w:rPr>
        <w:t>are:</w:t>
      </w:r>
    </w:p>
    <w:p>
      <w:pPr>
        <w:pStyle w:val="ListParagraph"/>
        <w:numPr>
          <w:ilvl w:val="2"/>
          <w:numId w:val="166"/>
        </w:numPr>
        <w:tabs>
          <w:tab w:pos="2704" w:val="left" w:leader="none"/>
          <w:tab w:pos="2705" w:val="left" w:leader="none"/>
        </w:tabs>
        <w:spacing w:line="235" w:lineRule="auto" w:before="2" w:after="0"/>
        <w:ind w:left="2704" w:right="1337" w:hanging="681"/>
        <w:jc w:val="left"/>
        <w:rPr>
          <w:sz w:val="20"/>
        </w:rPr>
      </w:pPr>
      <w:r>
        <w:rPr>
          <w:spacing w:val="-7"/>
          <w:w w:val="120"/>
          <w:sz w:val="20"/>
        </w:rPr>
        <w:t>To </w:t>
      </w:r>
      <w:r>
        <w:rPr>
          <w:w w:val="120"/>
          <w:sz w:val="20"/>
        </w:rPr>
        <w:t>canvas the synods in order to understand current practice with regard to the appointment and review of ministers in non-stipendiary</w:t>
      </w:r>
      <w:r>
        <w:rPr>
          <w:spacing w:val="31"/>
          <w:w w:val="120"/>
          <w:sz w:val="20"/>
        </w:rPr>
        <w:t> </w:t>
      </w:r>
      <w:r>
        <w:rPr>
          <w:w w:val="120"/>
          <w:sz w:val="20"/>
        </w:rPr>
        <w:t>service.</w:t>
      </w:r>
    </w:p>
    <w:p>
      <w:pPr>
        <w:pStyle w:val="ListParagraph"/>
        <w:numPr>
          <w:ilvl w:val="2"/>
          <w:numId w:val="166"/>
        </w:numPr>
        <w:tabs>
          <w:tab w:pos="2704" w:val="left" w:leader="none"/>
          <w:tab w:pos="2705" w:val="left" w:leader="none"/>
        </w:tabs>
        <w:spacing w:line="235" w:lineRule="auto" w:before="1" w:after="0"/>
        <w:ind w:left="2704" w:right="1283" w:hanging="681"/>
        <w:jc w:val="left"/>
        <w:rPr>
          <w:sz w:val="20"/>
        </w:rPr>
      </w:pPr>
      <w:r>
        <w:rPr>
          <w:spacing w:val="-7"/>
          <w:w w:val="120"/>
          <w:sz w:val="20"/>
        </w:rPr>
        <w:t>To </w:t>
      </w:r>
      <w:r>
        <w:rPr>
          <w:w w:val="120"/>
          <w:sz w:val="20"/>
        </w:rPr>
        <w:t>canvas the synods with regard to any retirement practice and planning that is currently in place, and to seek contributions from retired ministers who served in a non-stipendiary capacity indicating what was, or what might have been,</w:t>
      </w:r>
      <w:r>
        <w:rPr>
          <w:spacing w:val="6"/>
          <w:w w:val="120"/>
          <w:sz w:val="20"/>
        </w:rPr>
        <w:t> </w:t>
      </w:r>
      <w:r>
        <w:rPr>
          <w:w w:val="120"/>
          <w:sz w:val="20"/>
        </w:rPr>
        <w:t>helpful.</w:t>
      </w:r>
    </w:p>
    <w:p>
      <w:pPr>
        <w:pStyle w:val="ListParagraph"/>
        <w:numPr>
          <w:ilvl w:val="2"/>
          <w:numId w:val="166"/>
        </w:numPr>
        <w:tabs>
          <w:tab w:pos="2705" w:val="left" w:leader="none"/>
        </w:tabs>
        <w:spacing w:line="235" w:lineRule="auto" w:before="3" w:after="0"/>
        <w:ind w:left="2704" w:right="1769" w:hanging="681"/>
        <w:jc w:val="both"/>
        <w:rPr>
          <w:sz w:val="20"/>
        </w:rPr>
      </w:pPr>
      <w:r>
        <w:rPr>
          <w:spacing w:val="-7"/>
          <w:w w:val="120"/>
          <w:sz w:val="20"/>
        </w:rPr>
        <w:t>To </w:t>
      </w:r>
      <w:r>
        <w:rPr>
          <w:w w:val="120"/>
          <w:sz w:val="20"/>
        </w:rPr>
        <w:t>reflect on the established three models of non-stipendiary service and advise on their usefulness or otherwise, and to consider whether alternative models might better serve the Church and the</w:t>
      </w:r>
      <w:r>
        <w:rPr>
          <w:spacing w:val="31"/>
          <w:w w:val="120"/>
          <w:sz w:val="20"/>
        </w:rPr>
        <w:t> </w:t>
      </w:r>
      <w:r>
        <w:rPr>
          <w:w w:val="120"/>
          <w:sz w:val="20"/>
        </w:rPr>
        <w:t>ministry.</w:t>
      </w:r>
    </w:p>
    <w:p>
      <w:pPr>
        <w:pStyle w:val="ListParagraph"/>
        <w:numPr>
          <w:ilvl w:val="2"/>
          <w:numId w:val="166"/>
        </w:numPr>
        <w:tabs>
          <w:tab w:pos="2704" w:val="left" w:leader="none"/>
          <w:tab w:pos="2705" w:val="left" w:leader="none"/>
        </w:tabs>
        <w:spacing w:line="235" w:lineRule="auto" w:before="2" w:after="0"/>
        <w:ind w:left="2704" w:right="1357" w:hanging="681"/>
        <w:jc w:val="left"/>
        <w:rPr>
          <w:sz w:val="20"/>
        </w:rPr>
      </w:pPr>
      <w:r>
        <w:rPr>
          <w:spacing w:val="-7"/>
          <w:w w:val="120"/>
          <w:sz w:val="20"/>
        </w:rPr>
        <w:t>To </w:t>
      </w:r>
      <w:r>
        <w:rPr>
          <w:w w:val="120"/>
          <w:sz w:val="20"/>
        </w:rPr>
        <w:t>identify best practice with regard to the appointment, review and retirement of ministers in non-stipendiary service, in order that the ministries committee can encourage the support and use of this</w:t>
      </w:r>
      <w:r>
        <w:rPr>
          <w:spacing w:val="27"/>
          <w:w w:val="120"/>
          <w:sz w:val="20"/>
        </w:rPr>
        <w:t> </w:t>
      </w:r>
      <w:r>
        <w:rPr>
          <w:w w:val="120"/>
          <w:sz w:val="20"/>
        </w:rPr>
        <w:t>ministry.</w:t>
      </w:r>
    </w:p>
    <w:p>
      <w:pPr>
        <w:pStyle w:val="ListParagraph"/>
        <w:numPr>
          <w:ilvl w:val="2"/>
          <w:numId w:val="166"/>
        </w:numPr>
        <w:tabs>
          <w:tab w:pos="2704" w:val="left" w:leader="none"/>
          <w:tab w:pos="2705" w:val="left" w:leader="none"/>
        </w:tabs>
        <w:spacing w:line="235" w:lineRule="auto" w:before="3" w:after="0"/>
        <w:ind w:left="2704" w:right="1880" w:hanging="681"/>
        <w:jc w:val="left"/>
        <w:rPr>
          <w:sz w:val="20"/>
        </w:rPr>
      </w:pPr>
      <w:r>
        <w:rPr>
          <w:spacing w:val="-7"/>
          <w:w w:val="120"/>
          <w:sz w:val="20"/>
        </w:rPr>
        <w:t>To </w:t>
      </w:r>
      <w:r>
        <w:rPr>
          <w:w w:val="120"/>
          <w:sz w:val="20"/>
        </w:rPr>
        <w:t>consider whether there should be an age limit for candidating or ordination and if so what that age or ages should</w:t>
      </w:r>
      <w:r>
        <w:rPr>
          <w:spacing w:val="27"/>
          <w:w w:val="120"/>
          <w:sz w:val="20"/>
        </w:rPr>
        <w:t> </w:t>
      </w:r>
      <w:r>
        <w:rPr>
          <w:w w:val="120"/>
          <w:sz w:val="20"/>
        </w:rPr>
        <w:t>be.</w:t>
      </w:r>
    </w:p>
    <w:p>
      <w:pPr>
        <w:pStyle w:val="ListParagraph"/>
        <w:numPr>
          <w:ilvl w:val="2"/>
          <w:numId w:val="166"/>
        </w:numPr>
        <w:tabs>
          <w:tab w:pos="2704" w:val="left" w:leader="none"/>
          <w:tab w:pos="2705" w:val="left" w:leader="none"/>
        </w:tabs>
        <w:spacing w:line="235" w:lineRule="auto" w:before="1" w:after="0"/>
        <w:ind w:left="2704" w:right="1551" w:hanging="681"/>
        <w:jc w:val="left"/>
        <w:rPr>
          <w:sz w:val="20"/>
        </w:rPr>
      </w:pPr>
      <w:r>
        <w:rPr>
          <w:spacing w:val="-7"/>
          <w:w w:val="120"/>
          <w:sz w:val="20"/>
        </w:rPr>
        <w:t>To </w:t>
      </w:r>
      <w:r>
        <w:rPr>
          <w:w w:val="120"/>
          <w:sz w:val="20"/>
        </w:rPr>
        <w:t>consider any other matters that affect the support and utilisation of ministers in non-stipendiary service and make recommendations to the ministries committee for any</w:t>
      </w:r>
      <w:r>
        <w:rPr>
          <w:spacing w:val="6"/>
          <w:w w:val="120"/>
          <w:sz w:val="20"/>
        </w:rPr>
        <w:t> </w:t>
      </w:r>
      <w:r>
        <w:rPr>
          <w:w w:val="120"/>
          <w:sz w:val="20"/>
        </w:rPr>
        <w:t>improvements.</w:t>
      </w:r>
    </w:p>
    <w:p>
      <w:pPr>
        <w:spacing w:after="0" w:line="235" w:lineRule="auto"/>
        <w:jc w:val="left"/>
        <w:rPr>
          <w:sz w:val="20"/>
        </w:rPr>
        <w:sectPr>
          <w:headerReference w:type="default" r:id="rId392"/>
          <w:footerReference w:type="default" r:id="rId393"/>
          <w:footerReference w:type="even" r:id="rId394"/>
          <w:pgSz w:w="11910" w:h="16840"/>
          <w:pgMar w:header="0" w:footer="647" w:top="0" w:bottom="840" w:left="640" w:right="0"/>
          <w:pgNumType w:start="143"/>
        </w:sectPr>
      </w:pPr>
    </w:p>
    <w:p>
      <w:pPr>
        <w:pStyle w:val="BodyText"/>
      </w:pPr>
      <w:r>
        <w:rPr/>
        <w:drawing>
          <wp:anchor distT="0" distB="0" distL="0" distR="0" allowOverlap="1" layoutInCell="1" locked="0" behindDoc="1" simplePos="0" relativeHeight="235579392">
            <wp:simplePos x="0" y="0"/>
            <wp:positionH relativeFrom="page">
              <wp:posOffset>0</wp:posOffset>
            </wp:positionH>
            <wp:positionV relativeFrom="page">
              <wp:posOffset>0</wp:posOffset>
            </wp:positionV>
            <wp:extent cx="594067" cy="10692003"/>
            <wp:effectExtent l="0" t="0" r="0" b="0"/>
            <wp:wrapNone/>
            <wp:docPr id="269" name="image67.png"/>
            <wp:cNvGraphicFramePr>
              <a:graphicFrameLocks noChangeAspect="1"/>
            </wp:cNvGraphicFramePr>
            <a:graphic>
              <a:graphicData uri="http://schemas.openxmlformats.org/drawingml/2006/picture">
                <pic:pic>
                  <pic:nvPicPr>
                    <pic:cNvPr id="270" name="image67.png"/>
                    <pic:cNvPicPr/>
                  </pic:nvPicPr>
                  <pic:blipFill>
                    <a:blip r:embed="rId184" cstate="print"/>
                    <a:stretch>
                      <a:fillRect/>
                    </a:stretch>
                  </pic:blipFill>
                  <pic:spPr>
                    <a:xfrm>
                      <a:off x="0" y="0"/>
                      <a:ext cx="594067" cy="10692003"/>
                    </a:xfrm>
                    <a:prstGeom prst="rect">
                      <a:avLst/>
                    </a:prstGeom>
                  </pic:spPr>
                </pic:pic>
              </a:graphicData>
            </a:graphic>
          </wp:anchor>
        </w:drawing>
      </w:r>
      <w:r>
        <w:rPr/>
        <w:pict>
          <v:shape style="position:absolute;margin-left:20.519100pt;margin-top:48.890015pt;width:25.9pt;height:100pt;mso-position-horizontal-relative:page;mso-position-vertical-relative:page;z-index:-267736064" type="#_x0000_t202" filled="false" stroked="false">
            <v:textbox inset="0,0,0,0" style="layout-flow:vertical">
              <w:txbxContent>
                <w:p>
                  <w:pPr>
                    <w:spacing w:before="27"/>
                    <w:ind w:left="20" w:right="0" w:firstLine="0"/>
                    <w:jc w:val="left"/>
                    <w:rPr>
                      <w:sz w:val="39"/>
                    </w:rPr>
                  </w:pPr>
                  <w:r>
                    <w:rPr>
                      <w:color w:val="FFFFFF"/>
                      <w:w w:val="115"/>
                      <w:sz w:val="39"/>
                    </w:rPr>
                    <w:t>Ministries</w:t>
                  </w:r>
                </w:p>
              </w:txbxContent>
            </v:textbox>
            <w10:wrap type="none"/>
          </v:shape>
        </w:pict>
      </w:r>
    </w:p>
    <w:p>
      <w:pPr>
        <w:pStyle w:val="BodyText"/>
        <w:spacing w:before="7"/>
        <w:rPr>
          <w:sz w:val="21"/>
        </w:rPr>
      </w:pPr>
    </w:p>
    <w:p>
      <w:pPr>
        <w:pStyle w:val="Heading1"/>
      </w:pPr>
      <w:bookmarkStart w:name="_TOC_250005" w:id="16"/>
      <w:bookmarkEnd w:id="16"/>
      <w:r>
        <w:rPr>
          <w:color w:val="7EAABF"/>
          <w:w w:val="110"/>
        </w:rPr>
        <w:t>Ministries</w:t>
      </w:r>
    </w:p>
    <w:p>
      <w:pPr>
        <w:pStyle w:val="ListParagraph"/>
        <w:numPr>
          <w:ilvl w:val="1"/>
          <w:numId w:val="166"/>
        </w:numPr>
        <w:tabs>
          <w:tab w:pos="1287" w:val="left" w:leader="none"/>
          <w:tab w:pos="1288" w:val="left" w:leader="none"/>
        </w:tabs>
        <w:spacing w:line="235" w:lineRule="auto" w:before="222" w:after="0"/>
        <w:ind w:left="607" w:right="2322" w:firstLine="0"/>
        <w:jc w:val="left"/>
        <w:rPr>
          <w:sz w:val="20"/>
        </w:rPr>
      </w:pPr>
      <w:r>
        <w:rPr>
          <w:w w:val="120"/>
          <w:sz w:val="20"/>
        </w:rPr>
        <w:t>Item </w:t>
      </w:r>
      <w:r>
        <w:rPr>
          <w:spacing w:val="-9"/>
          <w:w w:val="120"/>
          <w:sz w:val="20"/>
        </w:rPr>
        <w:t>(v) </w:t>
      </w:r>
      <w:r>
        <w:rPr>
          <w:w w:val="120"/>
          <w:sz w:val="20"/>
        </w:rPr>
        <w:t>has been completed, following the acceptance by Mission Council in November </w:t>
      </w:r>
      <w:r>
        <w:rPr>
          <w:spacing w:val="-7"/>
          <w:w w:val="120"/>
          <w:sz w:val="20"/>
        </w:rPr>
        <w:t>2015 </w:t>
      </w:r>
      <w:r>
        <w:rPr>
          <w:w w:val="120"/>
          <w:sz w:val="20"/>
        </w:rPr>
        <w:t>of a resolution presented by the West Midlands Synod to Assembly </w:t>
      </w:r>
      <w:r>
        <w:rPr>
          <w:spacing w:val="-7"/>
          <w:w w:val="120"/>
          <w:sz w:val="20"/>
        </w:rPr>
        <w:t>2014 </w:t>
      </w:r>
      <w:r>
        <w:rPr>
          <w:w w:val="120"/>
          <w:sz w:val="20"/>
        </w:rPr>
        <w:t>removing the upper age limit for candidating for non-stipendiary ministry. This decision has been implemented</w:t>
      </w:r>
      <w:r>
        <w:rPr>
          <w:spacing w:val="8"/>
          <w:w w:val="120"/>
          <w:sz w:val="20"/>
        </w:rPr>
        <w:t> </w:t>
      </w:r>
      <w:r>
        <w:rPr>
          <w:w w:val="120"/>
          <w:sz w:val="20"/>
        </w:rPr>
        <w:t>immediately.</w:t>
      </w:r>
    </w:p>
    <w:p>
      <w:pPr>
        <w:pStyle w:val="BodyText"/>
        <w:spacing w:before="10"/>
        <w:rPr>
          <w:sz w:val="19"/>
        </w:rPr>
      </w:pPr>
    </w:p>
    <w:p>
      <w:pPr>
        <w:pStyle w:val="ListParagraph"/>
        <w:numPr>
          <w:ilvl w:val="1"/>
          <w:numId w:val="166"/>
        </w:numPr>
        <w:tabs>
          <w:tab w:pos="1287" w:val="left" w:leader="none"/>
          <w:tab w:pos="1288" w:val="left" w:leader="none"/>
        </w:tabs>
        <w:spacing w:line="235" w:lineRule="auto" w:before="1" w:after="0"/>
        <w:ind w:left="607" w:right="2022" w:firstLine="0"/>
        <w:jc w:val="left"/>
        <w:rPr>
          <w:sz w:val="20"/>
        </w:rPr>
      </w:pPr>
      <w:r>
        <w:rPr>
          <w:w w:val="120"/>
          <w:sz w:val="20"/>
        </w:rPr>
        <w:t>The working </w:t>
      </w:r>
      <w:r>
        <w:rPr>
          <w:spacing w:val="2"/>
          <w:w w:val="120"/>
          <w:sz w:val="20"/>
        </w:rPr>
        <w:t>party </w:t>
      </w:r>
      <w:r>
        <w:rPr>
          <w:w w:val="120"/>
          <w:sz w:val="20"/>
        </w:rPr>
        <w:t>has consulted with the CRCW programme subcommittee, the education and learning and faith and order committees, one of the resource</w:t>
      </w:r>
      <w:r>
        <w:rPr>
          <w:spacing w:val="29"/>
          <w:w w:val="120"/>
          <w:sz w:val="20"/>
        </w:rPr>
        <w:t> </w:t>
      </w:r>
      <w:r>
        <w:rPr>
          <w:w w:val="120"/>
          <w:sz w:val="20"/>
        </w:rPr>
        <w:t>centres</w:t>
      </w:r>
    </w:p>
    <w:p>
      <w:pPr>
        <w:pStyle w:val="BodyText"/>
        <w:spacing w:line="235" w:lineRule="auto" w:before="1"/>
        <w:ind w:left="607" w:right="2078"/>
      </w:pPr>
      <w:r>
        <w:rPr>
          <w:w w:val="120"/>
        </w:rPr>
        <w:t>for learning and the synods. The working party will undertake work following the 2016 Assembly’s response to the recommendations by faith and order regarding ‘Model 1’ non-stipendiary ministry (ordination to local teams).</w:t>
      </w:r>
    </w:p>
    <w:p>
      <w:pPr>
        <w:pStyle w:val="BodyText"/>
        <w:spacing w:before="10"/>
        <w:rPr>
          <w:sz w:val="19"/>
        </w:rPr>
      </w:pPr>
    </w:p>
    <w:p>
      <w:pPr>
        <w:pStyle w:val="ListParagraph"/>
        <w:numPr>
          <w:ilvl w:val="1"/>
          <w:numId w:val="166"/>
        </w:numPr>
        <w:tabs>
          <w:tab w:pos="1287" w:val="left" w:leader="none"/>
          <w:tab w:pos="1288" w:val="left" w:leader="none"/>
        </w:tabs>
        <w:spacing w:line="235" w:lineRule="auto" w:before="0" w:after="0"/>
        <w:ind w:left="607" w:right="2005" w:firstLine="0"/>
        <w:jc w:val="left"/>
        <w:rPr>
          <w:sz w:val="20"/>
        </w:rPr>
      </w:pPr>
      <w:r>
        <w:rPr>
          <w:w w:val="120"/>
          <w:sz w:val="20"/>
        </w:rPr>
        <w:t>It is hoped to produce a </w:t>
      </w:r>
      <w:r>
        <w:rPr>
          <w:spacing w:val="2"/>
          <w:w w:val="120"/>
          <w:sz w:val="20"/>
        </w:rPr>
        <w:t>report </w:t>
      </w:r>
      <w:r>
        <w:rPr>
          <w:w w:val="120"/>
          <w:sz w:val="20"/>
        </w:rPr>
        <w:t>with recommendations for consideration by Mission Council during </w:t>
      </w:r>
      <w:r>
        <w:rPr>
          <w:spacing w:val="-12"/>
          <w:w w:val="120"/>
          <w:sz w:val="20"/>
        </w:rPr>
        <w:t>2017, </w:t>
      </w:r>
      <w:r>
        <w:rPr>
          <w:w w:val="120"/>
          <w:sz w:val="20"/>
        </w:rPr>
        <w:t>with any proposals for change to come to Assembly </w:t>
      </w:r>
      <w:r>
        <w:rPr>
          <w:spacing w:val="-5"/>
          <w:w w:val="120"/>
          <w:sz w:val="20"/>
        </w:rPr>
        <w:t>2018. </w:t>
      </w:r>
      <w:r>
        <w:rPr>
          <w:w w:val="120"/>
          <w:sz w:val="20"/>
        </w:rPr>
        <w:t>The working </w:t>
      </w:r>
      <w:r>
        <w:rPr>
          <w:spacing w:val="2"/>
          <w:w w:val="120"/>
          <w:sz w:val="20"/>
        </w:rPr>
        <w:t>party </w:t>
      </w:r>
      <w:r>
        <w:rPr>
          <w:w w:val="120"/>
          <w:sz w:val="20"/>
        </w:rPr>
        <w:t>will welcome any submissions that members of Assembly might wish to</w:t>
      </w:r>
      <w:r>
        <w:rPr>
          <w:spacing w:val="1"/>
          <w:w w:val="120"/>
          <w:sz w:val="20"/>
        </w:rPr>
        <w:t> </w:t>
      </w:r>
      <w:r>
        <w:rPr>
          <w:w w:val="120"/>
          <w:sz w:val="20"/>
        </w:rPr>
        <w:t>make.</w:t>
      </w:r>
    </w:p>
    <w:p>
      <w:pPr>
        <w:pStyle w:val="BodyText"/>
        <w:spacing w:before="4"/>
        <w:rPr>
          <w:sz w:val="22"/>
        </w:rPr>
      </w:pPr>
    </w:p>
    <w:p>
      <w:pPr>
        <w:spacing w:before="0"/>
        <w:ind w:left="607" w:right="0" w:firstLine="0"/>
        <w:jc w:val="left"/>
        <w:rPr>
          <w:rFonts w:ascii="Stone Sans II ITC Std Bk"/>
          <w:b/>
          <w:sz w:val="29"/>
        </w:rPr>
      </w:pPr>
      <w:r>
        <w:rPr>
          <w:rFonts w:ascii="Stone Sans II ITC Std Bk"/>
          <w:b/>
          <w:w w:val="110"/>
          <w:sz w:val="29"/>
        </w:rPr>
        <w:t>Minister numbers</w:t>
      </w:r>
    </w:p>
    <w:p>
      <w:pPr>
        <w:pStyle w:val="ListParagraph"/>
        <w:numPr>
          <w:ilvl w:val="1"/>
          <w:numId w:val="167"/>
        </w:numPr>
        <w:tabs>
          <w:tab w:pos="1287" w:val="left" w:leader="none"/>
          <w:tab w:pos="1288" w:val="left" w:leader="none"/>
        </w:tabs>
        <w:spacing w:line="235" w:lineRule="auto" w:before="69" w:after="0"/>
        <w:ind w:left="607" w:right="2330" w:firstLine="0"/>
        <w:jc w:val="left"/>
        <w:rPr>
          <w:sz w:val="20"/>
        </w:rPr>
      </w:pPr>
      <w:r>
        <w:rPr>
          <w:w w:val="120"/>
          <w:sz w:val="20"/>
        </w:rPr>
        <w:t>The belief that the URC doesn’t have enough ministers is regularly voiced   and yet the number of members per stipendiary minister is lower than </w:t>
      </w:r>
      <w:r>
        <w:rPr>
          <w:spacing w:val="-4"/>
          <w:w w:val="120"/>
          <w:sz w:val="20"/>
        </w:rPr>
        <w:t>ever. </w:t>
      </w:r>
      <w:r>
        <w:rPr>
          <w:w w:val="120"/>
          <w:sz w:val="20"/>
        </w:rPr>
        <w:t>The </w:t>
      </w:r>
      <w:r>
        <w:rPr>
          <w:spacing w:val="2"/>
          <w:w w:val="120"/>
          <w:sz w:val="20"/>
        </w:rPr>
        <w:t>fact </w:t>
      </w:r>
      <w:r>
        <w:rPr>
          <w:w w:val="120"/>
          <w:sz w:val="20"/>
        </w:rPr>
        <w:t>that in most cases those members are spread across several congregations makes it feel very uncomfortable when the prevailing expectation is of a style of ministry that was common several decades ago. This, combined with the effect of the Assembly resolution in </w:t>
      </w:r>
      <w:r>
        <w:rPr>
          <w:spacing w:val="-7"/>
          <w:w w:val="120"/>
          <w:sz w:val="20"/>
        </w:rPr>
        <w:t>2012, </w:t>
      </w:r>
      <w:r>
        <w:rPr>
          <w:w w:val="120"/>
          <w:sz w:val="20"/>
        </w:rPr>
        <w:t>to match the cost of stipendiary ministry to the membership of the Church, really does force us to consider how we use ministers and what other leadership is available to the</w:t>
      </w:r>
      <w:r>
        <w:rPr>
          <w:spacing w:val="10"/>
          <w:w w:val="120"/>
          <w:sz w:val="20"/>
        </w:rPr>
        <w:t> </w:t>
      </w:r>
      <w:r>
        <w:rPr>
          <w:w w:val="120"/>
          <w:sz w:val="20"/>
        </w:rPr>
        <w:t>Church.</w:t>
      </w:r>
    </w:p>
    <w:p>
      <w:pPr>
        <w:pStyle w:val="BodyText"/>
        <w:spacing w:before="1"/>
      </w:pPr>
    </w:p>
    <w:p>
      <w:pPr>
        <w:pStyle w:val="ListParagraph"/>
        <w:numPr>
          <w:ilvl w:val="1"/>
          <w:numId w:val="167"/>
        </w:numPr>
        <w:tabs>
          <w:tab w:pos="1287" w:val="left" w:leader="none"/>
          <w:tab w:pos="1288" w:val="left" w:leader="none"/>
        </w:tabs>
        <w:spacing w:line="235" w:lineRule="auto" w:before="1" w:after="0"/>
        <w:ind w:left="607" w:right="2211" w:firstLine="0"/>
        <w:jc w:val="left"/>
        <w:rPr>
          <w:sz w:val="20"/>
        </w:rPr>
      </w:pPr>
      <w:r>
        <w:rPr>
          <w:w w:val="120"/>
          <w:sz w:val="20"/>
        </w:rPr>
        <w:t>It may be that the removal of the upper age limit for candidacy for non- stipendiary ministry, along with any proposals that arise from the NSM working party, see an increase in the recognition of vocations to this model of ministerial</w:t>
      </w:r>
      <w:r>
        <w:rPr>
          <w:spacing w:val="14"/>
          <w:w w:val="120"/>
          <w:sz w:val="20"/>
        </w:rPr>
        <w:t> </w:t>
      </w:r>
      <w:r>
        <w:rPr>
          <w:w w:val="120"/>
          <w:sz w:val="20"/>
        </w:rPr>
        <w:t>service.</w:t>
      </w:r>
    </w:p>
    <w:p>
      <w:pPr>
        <w:pStyle w:val="BodyText"/>
        <w:spacing w:before="2"/>
        <w:rPr>
          <w:sz w:val="22"/>
        </w:rPr>
      </w:pPr>
    </w:p>
    <w:p>
      <w:pPr>
        <w:spacing w:before="0"/>
        <w:ind w:left="607" w:right="0" w:firstLine="0"/>
        <w:jc w:val="left"/>
        <w:rPr>
          <w:rFonts w:ascii="Stone Sans II ITC Std Bk"/>
          <w:b/>
          <w:sz w:val="29"/>
        </w:rPr>
      </w:pPr>
      <w:r>
        <w:rPr>
          <w:rFonts w:ascii="Stone Sans II ITC Std Bk"/>
          <w:b/>
          <w:w w:val="110"/>
          <w:sz w:val="29"/>
        </w:rPr>
        <w:t>Managing ministry pressure better</w:t>
      </w:r>
    </w:p>
    <w:p>
      <w:pPr>
        <w:pStyle w:val="ListParagraph"/>
        <w:numPr>
          <w:ilvl w:val="1"/>
          <w:numId w:val="168"/>
        </w:numPr>
        <w:tabs>
          <w:tab w:pos="1287" w:val="left" w:leader="none"/>
          <w:tab w:pos="1288" w:val="left" w:leader="none"/>
        </w:tabs>
        <w:spacing w:line="235" w:lineRule="auto" w:before="69" w:after="0"/>
        <w:ind w:left="607" w:right="2126" w:firstLine="0"/>
        <w:jc w:val="left"/>
        <w:rPr>
          <w:sz w:val="20"/>
        </w:rPr>
      </w:pPr>
      <w:r>
        <w:rPr>
          <w:w w:val="120"/>
          <w:sz w:val="20"/>
        </w:rPr>
        <w:t>In </w:t>
      </w:r>
      <w:r>
        <w:rPr>
          <w:spacing w:val="-9"/>
          <w:w w:val="120"/>
          <w:sz w:val="20"/>
        </w:rPr>
        <w:t>2015 </w:t>
      </w:r>
      <w:r>
        <w:rPr>
          <w:w w:val="120"/>
          <w:sz w:val="20"/>
        </w:rPr>
        <w:t>the ministries </w:t>
      </w:r>
      <w:r>
        <w:rPr>
          <w:spacing w:val="-3"/>
          <w:w w:val="120"/>
          <w:sz w:val="20"/>
        </w:rPr>
        <w:t>committee commissioned </w:t>
      </w:r>
      <w:r>
        <w:rPr>
          <w:w w:val="120"/>
          <w:sz w:val="20"/>
        </w:rPr>
        <w:t>a survey of all URC </w:t>
      </w:r>
      <w:r>
        <w:rPr>
          <w:spacing w:val="-3"/>
          <w:w w:val="120"/>
          <w:sz w:val="20"/>
        </w:rPr>
        <w:t>ministers to </w:t>
      </w:r>
      <w:r>
        <w:rPr>
          <w:w w:val="120"/>
          <w:sz w:val="20"/>
        </w:rPr>
        <w:t>seek</w:t>
      </w:r>
      <w:r>
        <w:rPr>
          <w:spacing w:val="-9"/>
          <w:w w:val="120"/>
          <w:sz w:val="20"/>
        </w:rPr>
        <w:t> </w:t>
      </w:r>
      <w:r>
        <w:rPr>
          <w:w w:val="120"/>
          <w:sz w:val="20"/>
        </w:rPr>
        <w:t>a</w:t>
      </w:r>
      <w:r>
        <w:rPr>
          <w:spacing w:val="-9"/>
          <w:w w:val="120"/>
          <w:sz w:val="20"/>
        </w:rPr>
        <w:t> </w:t>
      </w:r>
      <w:r>
        <w:rPr>
          <w:w w:val="120"/>
          <w:sz w:val="20"/>
        </w:rPr>
        <w:t>better</w:t>
      </w:r>
      <w:r>
        <w:rPr>
          <w:spacing w:val="-8"/>
          <w:w w:val="120"/>
          <w:sz w:val="20"/>
        </w:rPr>
        <w:t> </w:t>
      </w:r>
      <w:r>
        <w:rPr>
          <w:w w:val="120"/>
          <w:sz w:val="20"/>
        </w:rPr>
        <w:t>understanding</w:t>
      </w:r>
      <w:r>
        <w:rPr>
          <w:spacing w:val="-9"/>
          <w:w w:val="120"/>
          <w:sz w:val="20"/>
        </w:rPr>
        <w:t> </w:t>
      </w:r>
      <w:r>
        <w:rPr>
          <w:w w:val="120"/>
          <w:sz w:val="20"/>
        </w:rPr>
        <w:t>of</w:t>
      </w:r>
      <w:r>
        <w:rPr>
          <w:spacing w:val="-8"/>
          <w:w w:val="120"/>
          <w:sz w:val="20"/>
        </w:rPr>
        <w:t> </w:t>
      </w:r>
      <w:r>
        <w:rPr>
          <w:w w:val="120"/>
          <w:sz w:val="20"/>
        </w:rPr>
        <w:t>the</w:t>
      </w:r>
      <w:r>
        <w:rPr>
          <w:spacing w:val="-9"/>
          <w:w w:val="120"/>
          <w:sz w:val="20"/>
        </w:rPr>
        <w:t> </w:t>
      </w:r>
      <w:r>
        <w:rPr>
          <w:w w:val="120"/>
          <w:sz w:val="20"/>
        </w:rPr>
        <w:t>pressure</w:t>
      </w:r>
      <w:r>
        <w:rPr>
          <w:spacing w:val="-8"/>
          <w:w w:val="120"/>
          <w:sz w:val="20"/>
        </w:rPr>
        <w:t> </w:t>
      </w:r>
      <w:r>
        <w:rPr>
          <w:w w:val="120"/>
          <w:sz w:val="20"/>
        </w:rPr>
        <w:t>and</w:t>
      </w:r>
      <w:r>
        <w:rPr>
          <w:spacing w:val="-9"/>
          <w:w w:val="120"/>
          <w:sz w:val="20"/>
        </w:rPr>
        <w:t> </w:t>
      </w:r>
      <w:r>
        <w:rPr>
          <w:w w:val="120"/>
          <w:sz w:val="20"/>
        </w:rPr>
        <w:t>stress</w:t>
      </w:r>
      <w:r>
        <w:rPr>
          <w:spacing w:val="-8"/>
          <w:w w:val="120"/>
          <w:sz w:val="20"/>
        </w:rPr>
        <w:t> </w:t>
      </w:r>
      <w:r>
        <w:rPr>
          <w:w w:val="120"/>
          <w:sz w:val="20"/>
        </w:rPr>
        <w:t>experienced</w:t>
      </w:r>
      <w:r>
        <w:rPr>
          <w:spacing w:val="-9"/>
          <w:w w:val="120"/>
          <w:sz w:val="20"/>
        </w:rPr>
        <w:t> </w:t>
      </w:r>
      <w:r>
        <w:rPr>
          <w:w w:val="120"/>
          <w:sz w:val="20"/>
        </w:rPr>
        <w:t>by</w:t>
      </w:r>
      <w:r>
        <w:rPr>
          <w:spacing w:val="-8"/>
          <w:w w:val="120"/>
          <w:sz w:val="20"/>
        </w:rPr>
        <w:t> </w:t>
      </w:r>
      <w:r>
        <w:rPr>
          <w:w w:val="120"/>
          <w:sz w:val="20"/>
        </w:rPr>
        <w:t>serving</w:t>
      </w:r>
      <w:r>
        <w:rPr>
          <w:spacing w:val="-9"/>
          <w:w w:val="120"/>
          <w:sz w:val="20"/>
        </w:rPr>
        <w:t> </w:t>
      </w:r>
      <w:r>
        <w:rPr>
          <w:spacing w:val="-3"/>
          <w:w w:val="120"/>
          <w:sz w:val="20"/>
        </w:rPr>
        <w:t>ministers.</w:t>
      </w:r>
    </w:p>
    <w:p>
      <w:pPr>
        <w:pStyle w:val="BodyText"/>
        <w:spacing w:before="10"/>
        <w:rPr>
          <w:sz w:val="19"/>
        </w:rPr>
      </w:pPr>
    </w:p>
    <w:p>
      <w:pPr>
        <w:pStyle w:val="ListParagraph"/>
        <w:numPr>
          <w:ilvl w:val="1"/>
          <w:numId w:val="168"/>
        </w:numPr>
        <w:tabs>
          <w:tab w:pos="1287" w:val="left" w:leader="none"/>
          <w:tab w:pos="1288" w:val="left" w:leader="none"/>
        </w:tabs>
        <w:spacing w:line="235" w:lineRule="auto" w:before="0" w:after="0"/>
        <w:ind w:left="607" w:right="2349" w:firstLine="0"/>
        <w:jc w:val="left"/>
        <w:rPr>
          <w:sz w:val="20"/>
        </w:rPr>
      </w:pPr>
      <w:r>
        <w:rPr>
          <w:w w:val="120"/>
          <w:sz w:val="20"/>
        </w:rPr>
        <w:t>An invitation to participate in the survey was sent to all ministers who had an identifiable role, whether they were in stipendiary or non-stipendiary service, and whether or not their ministry was exercised under the direct oversight of the URC or for another body, e.g. chaplaincy. Approximately 625 invitations were sent out and 62%</w:t>
      </w:r>
      <w:r>
        <w:rPr>
          <w:spacing w:val="2"/>
          <w:w w:val="120"/>
          <w:sz w:val="20"/>
        </w:rPr>
        <w:t> </w:t>
      </w:r>
      <w:r>
        <w:rPr>
          <w:w w:val="120"/>
          <w:sz w:val="20"/>
        </w:rPr>
        <w:t>responded.</w:t>
      </w:r>
    </w:p>
    <w:p>
      <w:pPr>
        <w:pStyle w:val="BodyText"/>
        <w:spacing w:before="11"/>
        <w:rPr>
          <w:sz w:val="19"/>
        </w:rPr>
      </w:pPr>
    </w:p>
    <w:p>
      <w:pPr>
        <w:pStyle w:val="ListParagraph"/>
        <w:numPr>
          <w:ilvl w:val="1"/>
          <w:numId w:val="168"/>
        </w:numPr>
        <w:tabs>
          <w:tab w:pos="1287" w:val="left" w:leader="none"/>
          <w:tab w:pos="1288" w:val="left" w:leader="none"/>
        </w:tabs>
        <w:spacing w:line="235" w:lineRule="auto" w:before="1" w:after="0"/>
        <w:ind w:left="607" w:right="2108" w:firstLine="0"/>
        <w:jc w:val="left"/>
        <w:rPr>
          <w:sz w:val="20"/>
        </w:rPr>
      </w:pPr>
      <w:r>
        <w:rPr>
          <w:w w:val="120"/>
          <w:sz w:val="20"/>
        </w:rPr>
        <w:t>The survey and analysis was conducted by Dr </w:t>
      </w:r>
      <w:r>
        <w:rPr>
          <w:spacing w:val="2"/>
          <w:w w:val="120"/>
          <w:sz w:val="20"/>
        </w:rPr>
        <w:t>Robert </w:t>
      </w:r>
      <w:r>
        <w:rPr>
          <w:w w:val="120"/>
          <w:sz w:val="20"/>
        </w:rPr>
        <w:t>Wilcox and colleagues at InterHealth and was undertaken during the month of February. The data was collected and examined in a manner which maintained the anonymity of the participants and a presentation of the statistically significant results was made to synod moderators and a number of General Assembly appointed staff in May</w:t>
      </w:r>
      <w:r>
        <w:rPr>
          <w:spacing w:val="18"/>
          <w:w w:val="120"/>
          <w:sz w:val="20"/>
        </w:rPr>
        <w:t> </w:t>
      </w:r>
      <w:r>
        <w:rPr>
          <w:spacing w:val="-7"/>
          <w:w w:val="120"/>
          <w:sz w:val="20"/>
        </w:rPr>
        <w:t>2015.</w:t>
      </w:r>
    </w:p>
    <w:p>
      <w:pPr>
        <w:pStyle w:val="BodyText"/>
        <w:spacing w:before="7"/>
        <w:rPr>
          <w:sz w:val="19"/>
        </w:rPr>
      </w:pPr>
    </w:p>
    <w:p>
      <w:pPr>
        <w:pStyle w:val="ListParagraph"/>
        <w:numPr>
          <w:ilvl w:val="1"/>
          <w:numId w:val="168"/>
        </w:numPr>
        <w:tabs>
          <w:tab w:pos="1287" w:val="left" w:leader="none"/>
          <w:tab w:pos="1288" w:val="left" w:leader="none"/>
        </w:tabs>
        <w:spacing w:line="212" w:lineRule="exact" w:before="1" w:after="0"/>
        <w:ind w:left="1287" w:right="0" w:hanging="681"/>
        <w:jc w:val="left"/>
        <w:rPr>
          <w:sz w:val="20"/>
        </w:rPr>
      </w:pPr>
      <w:r>
        <w:rPr>
          <w:w w:val="120"/>
          <w:sz w:val="20"/>
        </w:rPr>
        <w:t>Some of the highlights</w:t>
      </w:r>
      <w:r>
        <w:rPr>
          <w:spacing w:val="8"/>
          <w:w w:val="120"/>
          <w:sz w:val="20"/>
        </w:rPr>
        <w:t> </w:t>
      </w:r>
      <w:r>
        <w:rPr>
          <w:w w:val="120"/>
          <w:sz w:val="20"/>
        </w:rPr>
        <w:t>were:</w:t>
      </w:r>
    </w:p>
    <w:p>
      <w:pPr>
        <w:pStyle w:val="ListParagraph"/>
        <w:numPr>
          <w:ilvl w:val="0"/>
          <w:numId w:val="126"/>
        </w:numPr>
        <w:tabs>
          <w:tab w:pos="1287" w:val="left" w:leader="none"/>
          <w:tab w:pos="1288" w:val="left" w:leader="none"/>
        </w:tabs>
        <w:spacing w:line="196" w:lineRule="auto" w:before="12" w:after="0"/>
        <w:ind w:left="1287" w:right="2332" w:hanging="681"/>
        <w:jc w:val="left"/>
        <w:rPr>
          <w:sz w:val="20"/>
        </w:rPr>
      </w:pPr>
      <w:r>
        <w:rPr>
          <w:w w:val="120"/>
          <w:sz w:val="20"/>
        </w:rPr>
        <w:t>The demands of the work (volume and speed, including the correspondence) produce the most</w:t>
      </w:r>
      <w:r>
        <w:rPr>
          <w:spacing w:val="5"/>
          <w:w w:val="120"/>
          <w:sz w:val="20"/>
        </w:rPr>
        <w:t> </w:t>
      </w:r>
      <w:r>
        <w:rPr>
          <w:w w:val="120"/>
          <w:sz w:val="20"/>
        </w:rPr>
        <w:t>pressure;</w:t>
      </w:r>
    </w:p>
    <w:p>
      <w:pPr>
        <w:pStyle w:val="ListParagraph"/>
        <w:numPr>
          <w:ilvl w:val="0"/>
          <w:numId w:val="126"/>
        </w:numPr>
        <w:tabs>
          <w:tab w:pos="1287" w:val="left" w:leader="none"/>
          <w:tab w:pos="1288" w:val="left" w:leader="none"/>
        </w:tabs>
        <w:spacing w:line="241" w:lineRule="exact" w:before="0" w:after="0"/>
        <w:ind w:left="1287" w:right="0" w:hanging="681"/>
        <w:jc w:val="left"/>
        <w:rPr>
          <w:sz w:val="20"/>
        </w:rPr>
      </w:pPr>
      <w:r>
        <w:rPr>
          <w:w w:val="120"/>
          <w:sz w:val="20"/>
        </w:rPr>
        <w:t>Relationships and support are particularly</w:t>
      </w:r>
      <w:r>
        <w:rPr>
          <w:spacing w:val="11"/>
          <w:w w:val="120"/>
          <w:sz w:val="20"/>
        </w:rPr>
        <w:t> </w:t>
      </w:r>
      <w:r>
        <w:rPr>
          <w:w w:val="120"/>
          <w:sz w:val="20"/>
        </w:rPr>
        <w:t>good;</w:t>
      </w:r>
    </w:p>
    <w:p>
      <w:pPr>
        <w:pStyle w:val="ListParagraph"/>
        <w:numPr>
          <w:ilvl w:val="0"/>
          <w:numId w:val="126"/>
        </w:numPr>
        <w:tabs>
          <w:tab w:pos="1287" w:val="left" w:leader="none"/>
          <w:tab w:pos="1288" w:val="left" w:leader="none"/>
        </w:tabs>
        <w:spacing w:line="240" w:lineRule="exact" w:before="0" w:after="0"/>
        <w:ind w:left="1287" w:right="0" w:hanging="681"/>
        <w:jc w:val="left"/>
        <w:rPr>
          <w:sz w:val="20"/>
        </w:rPr>
      </w:pPr>
      <w:r>
        <w:rPr>
          <w:w w:val="120"/>
          <w:sz w:val="20"/>
        </w:rPr>
        <w:t>Church finance, as opposed to personal finance, is a source of</w:t>
      </w:r>
      <w:r>
        <w:rPr>
          <w:spacing w:val="18"/>
          <w:w w:val="120"/>
          <w:sz w:val="20"/>
        </w:rPr>
        <w:t> </w:t>
      </w:r>
      <w:r>
        <w:rPr>
          <w:w w:val="120"/>
          <w:sz w:val="20"/>
        </w:rPr>
        <w:t>pressure;</w:t>
      </w:r>
    </w:p>
    <w:p>
      <w:pPr>
        <w:pStyle w:val="ListParagraph"/>
        <w:numPr>
          <w:ilvl w:val="0"/>
          <w:numId w:val="126"/>
        </w:numPr>
        <w:tabs>
          <w:tab w:pos="1287" w:val="left" w:leader="none"/>
          <w:tab w:pos="1288" w:val="left" w:leader="none"/>
        </w:tabs>
        <w:spacing w:line="240" w:lineRule="exact" w:before="0" w:after="0"/>
        <w:ind w:left="1287" w:right="0" w:hanging="681"/>
        <w:jc w:val="left"/>
        <w:rPr>
          <w:sz w:val="20"/>
        </w:rPr>
      </w:pPr>
      <w:r>
        <w:rPr>
          <w:w w:val="120"/>
          <w:sz w:val="20"/>
        </w:rPr>
        <w:t>The most pressured are the</w:t>
      </w:r>
      <w:r>
        <w:rPr>
          <w:spacing w:val="10"/>
          <w:w w:val="120"/>
          <w:sz w:val="20"/>
        </w:rPr>
        <w:t> </w:t>
      </w:r>
      <w:r>
        <w:rPr>
          <w:w w:val="120"/>
          <w:sz w:val="20"/>
        </w:rPr>
        <w:t>40-49-year-olds;</w:t>
      </w:r>
    </w:p>
    <w:p>
      <w:pPr>
        <w:pStyle w:val="ListParagraph"/>
        <w:numPr>
          <w:ilvl w:val="0"/>
          <w:numId w:val="126"/>
        </w:numPr>
        <w:tabs>
          <w:tab w:pos="1287" w:val="left" w:leader="none"/>
          <w:tab w:pos="1288" w:val="left" w:leader="none"/>
        </w:tabs>
        <w:spacing w:line="240" w:lineRule="exact" w:before="0" w:after="0"/>
        <w:ind w:left="1287" w:right="0" w:hanging="681"/>
        <w:jc w:val="left"/>
        <w:rPr>
          <w:sz w:val="20"/>
        </w:rPr>
      </w:pPr>
      <w:r>
        <w:rPr>
          <w:w w:val="120"/>
          <w:sz w:val="20"/>
        </w:rPr>
        <w:t>Those in rural ministry are relatively less</w:t>
      </w:r>
      <w:r>
        <w:rPr>
          <w:spacing w:val="11"/>
          <w:w w:val="120"/>
          <w:sz w:val="20"/>
        </w:rPr>
        <w:t> </w:t>
      </w:r>
      <w:r>
        <w:rPr>
          <w:w w:val="120"/>
          <w:sz w:val="20"/>
        </w:rPr>
        <w:t>pressured;</w:t>
      </w:r>
    </w:p>
    <w:p>
      <w:pPr>
        <w:pStyle w:val="ListParagraph"/>
        <w:numPr>
          <w:ilvl w:val="0"/>
          <w:numId w:val="126"/>
        </w:numPr>
        <w:tabs>
          <w:tab w:pos="1287" w:val="left" w:leader="none"/>
          <w:tab w:pos="1288" w:val="left" w:leader="none"/>
        </w:tabs>
        <w:spacing w:line="240" w:lineRule="exact" w:before="0" w:after="0"/>
        <w:ind w:left="1287" w:right="0" w:hanging="681"/>
        <w:jc w:val="left"/>
        <w:rPr>
          <w:sz w:val="20"/>
        </w:rPr>
      </w:pPr>
      <w:r>
        <w:rPr>
          <w:w w:val="120"/>
          <w:sz w:val="20"/>
        </w:rPr>
        <w:t>The full-timers are more pressured than the</w:t>
      </w:r>
      <w:r>
        <w:rPr>
          <w:spacing w:val="10"/>
          <w:w w:val="120"/>
          <w:sz w:val="20"/>
        </w:rPr>
        <w:t> </w:t>
      </w:r>
      <w:r>
        <w:rPr>
          <w:w w:val="120"/>
          <w:sz w:val="20"/>
        </w:rPr>
        <w:t>part-timers;</w:t>
      </w:r>
    </w:p>
    <w:p>
      <w:pPr>
        <w:pStyle w:val="ListParagraph"/>
        <w:numPr>
          <w:ilvl w:val="0"/>
          <w:numId w:val="126"/>
        </w:numPr>
        <w:tabs>
          <w:tab w:pos="1287" w:val="left" w:leader="none"/>
          <w:tab w:pos="1288" w:val="left" w:leader="none"/>
        </w:tabs>
        <w:spacing w:line="298" w:lineRule="exact" w:before="0" w:after="0"/>
        <w:ind w:left="1287" w:right="0" w:hanging="681"/>
        <w:jc w:val="left"/>
        <w:rPr>
          <w:sz w:val="20"/>
        </w:rPr>
      </w:pPr>
      <w:r>
        <w:rPr>
          <w:w w:val="120"/>
          <w:sz w:val="20"/>
        </w:rPr>
        <w:t>Overall, the pressure levels compare favourably to secular</w:t>
      </w:r>
      <w:r>
        <w:rPr>
          <w:spacing w:val="15"/>
          <w:w w:val="120"/>
          <w:sz w:val="20"/>
        </w:rPr>
        <w:t> </w:t>
      </w:r>
      <w:r>
        <w:rPr>
          <w:w w:val="120"/>
          <w:sz w:val="20"/>
        </w:rPr>
        <w:t>employment.</w:t>
      </w:r>
    </w:p>
    <w:p>
      <w:pPr>
        <w:pStyle w:val="ListParagraph"/>
        <w:numPr>
          <w:ilvl w:val="1"/>
          <w:numId w:val="168"/>
        </w:numPr>
        <w:tabs>
          <w:tab w:pos="1287" w:val="left" w:leader="none"/>
          <w:tab w:pos="1288" w:val="left" w:leader="none"/>
        </w:tabs>
        <w:spacing w:line="235" w:lineRule="auto" w:before="190" w:after="0"/>
        <w:ind w:left="607" w:right="2137" w:firstLine="0"/>
        <w:jc w:val="left"/>
        <w:rPr>
          <w:sz w:val="20"/>
        </w:rPr>
      </w:pPr>
      <w:r>
        <w:rPr>
          <w:w w:val="120"/>
          <w:sz w:val="20"/>
        </w:rPr>
        <w:t>More detail can be found on the URC website:</w:t>
      </w:r>
      <w:hyperlink r:id="rId396">
        <w:r>
          <w:rPr>
            <w:color w:val="006AB3"/>
            <w:w w:val="120"/>
            <w:sz w:val="20"/>
          </w:rPr>
          <w:t> www.urc.org.uk/discipleship/ministries-commitee-home/managing-ministry-pressure-</w:t>
        </w:r>
      </w:hyperlink>
      <w:hyperlink r:id="rId396">
        <w:r>
          <w:rPr>
            <w:color w:val="006AB3"/>
            <w:w w:val="120"/>
            <w:sz w:val="20"/>
          </w:rPr>
          <w:t> better.html</w:t>
        </w:r>
      </w:hyperlink>
    </w:p>
    <w:p>
      <w:pPr>
        <w:spacing w:after="0" w:line="235" w:lineRule="auto"/>
        <w:jc w:val="left"/>
        <w:rPr>
          <w:sz w:val="20"/>
        </w:rPr>
        <w:sectPr>
          <w:headerReference w:type="even" r:id="rId395"/>
          <w:pgSz w:w="11910" w:h="16840"/>
          <w:pgMar w:header="0" w:footer="647" w:top="0" w:bottom="840" w:left="640" w:right="0"/>
        </w:sectPr>
      </w:pPr>
    </w:p>
    <w:p>
      <w:pPr>
        <w:pStyle w:val="BodyText"/>
      </w:pPr>
      <w:r>
        <w:rPr/>
        <w:drawing>
          <wp:anchor distT="0" distB="0" distL="0" distR="0" allowOverlap="1" layoutInCell="1" locked="0" behindDoc="0" simplePos="0" relativeHeight="252035072">
            <wp:simplePos x="0" y="0"/>
            <wp:positionH relativeFrom="page">
              <wp:posOffset>6974928</wp:posOffset>
            </wp:positionH>
            <wp:positionV relativeFrom="page">
              <wp:posOffset>0</wp:posOffset>
            </wp:positionV>
            <wp:extent cx="585063" cy="10692003"/>
            <wp:effectExtent l="0" t="0" r="0" b="0"/>
            <wp:wrapNone/>
            <wp:docPr id="271" name="image54.png"/>
            <wp:cNvGraphicFramePr>
              <a:graphicFrameLocks noChangeAspect="1"/>
            </wp:cNvGraphicFramePr>
            <a:graphic>
              <a:graphicData uri="http://schemas.openxmlformats.org/drawingml/2006/picture">
                <pic:pic>
                  <pic:nvPicPr>
                    <pic:cNvPr id="272" name="image54.png"/>
                    <pic:cNvPicPr/>
                  </pic:nvPicPr>
                  <pic:blipFill>
                    <a:blip r:embed="rId169" cstate="print"/>
                    <a:stretch>
                      <a:fillRect/>
                    </a:stretch>
                  </pic:blipFill>
                  <pic:spPr>
                    <a:xfrm>
                      <a:off x="0" y="0"/>
                      <a:ext cx="585063" cy="10692003"/>
                    </a:xfrm>
                    <a:prstGeom prst="rect">
                      <a:avLst/>
                    </a:prstGeom>
                  </pic:spPr>
                </pic:pic>
              </a:graphicData>
            </a:graphic>
          </wp:anchor>
        </w:drawing>
      </w:r>
    </w:p>
    <w:p>
      <w:pPr>
        <w:pStyle w:val="BodyText"/>
        <w:spacing w:before="7"/>
        <w:rPr>
          <w:sz w:val="21"/>
        </w:rPr>
      </w:pPr>
    </w:p>
    <w:p>
      <w:pPr>
        <w:spacing w:before="106"/>
        <w:ind w:left="0" w:right="1245" w:firstLine="0"/>
        <w:jc w:val="right"/>
        <w:rPr>
          <w:sz w:val="26"/>
        </w:rPr>
      </w:pPr>
      <w:r>
        <w:rPr/>
        <w:pict>
          <v:shape style="position:absolute;margin-left:554.141174pt;margin-top:22.593945pt;width:25.9pt;height:138.15pt;mso-position-horizontal-relative:page;mso-position-vertical-relative:paragraph;z-index:252037120" type="#_x0000_t202" filled="false" stroked="false">
            <v:textbox inset="0,0,0,0" style="layout-flow:vertical">
              <w:txbxContent>
                <w:p>
                  <w:pPr>
                    <w:spacing w:before="27"/>
                    <w:ind w:left="20" w:right="0" w:firstLine="0"/>
                    <w:jc w:val="left"/>
                    <w:rPr>
                      <w:sz w:val="39"/>
                    </w:rPr>
                  </w:pPr>
                  <w:r>
                    <w:rPr>
                      <w:color w:val="FFFFFF"/>
                      <w:w w:val="120"/>
                      <w:sz w:val="39"/>
                    </w:rPr>
                    <w:t>Accreditation</w:t>
                  </w:r>
                </w:p>
              </w:txbxContent>
            </v:textbox>
            <w10:wrap type="none"/>
          </v:shape>
        </w:pict>
      </w:r>
      <w:r>
        <w:rPr>
          <w:color w:val="7EAABF"/>
          <w:w w:val="110"/>
          <w:sz w:val="26"/>
        </w:rPr>
        <w:t>Ministries</w:t>
      </w:r>
    </w:p>
    <w:p>
      <w:pPr>
        <w:spacing w:before="104"/>
        <w:ind w:left="1344" w:right="0" w:firstLine="0"/>
        <w:jc w:val="left"/>
        <w:rPr>
          <w:rFonts w:ascii="Stone Sans II ITC Std X Bd"/>
          <w:b/>
          <w:sz w:val="50"/>
        </w:rPr>
      </w:pPr>
      <w:r>
        <w:rPr>
          <w:rFonts w:ascii="Stone Sans II ITC Std X Bd"/>
          <w:b/>
          <w:w w:val="110"/>
          <w:sz w:val="50"/>
        </w:rPr>
        <w:t>Accreditation subcommittee</w:t>
      </w:r>
    </w:p>
    <w:p>
      <w:pPr>
        <w:spacing w:line="261" w:lineRule="auto" w:before="140"/>
        <w:ind w:left="1571" w:right="1625" w:firstLine="0"/>
        <w:jc w:val="both"/>
        <w:rPr>
          <w:sz w:val="18"/>
        </w:rPr>
      </w:pPr>
      <w:r>
        <w:rPr/>
        <w:pict>
          <v:line style="position:absolute;mso-position-horizontal-relative:page;mso-position-vertical-relative:paragraph;z-index:252036096" from="99.212601pt,7.796161pt" to="99.212601pt,111.968161pt" stroked="true" strokeweight="2pt" strokecolor="#0090d4">
            <v:stroke dashstyle="solid"/>
            <w10:wrap type="none"/>
          </v:line>
        </w:pict>
      </w:r>
      <w:r>
        <w:rPr>
          <w:color w:val="707172"/>
          <w:w w:val="120"/>
          <w:sz w:val="18"/>
        </w:rPr>
        <w:t>Maintaining the roll of ministers, this subcommittee accredits those applying for inclusion after training and those coming from other denominations. It is concerned with numbers and recruitment. It also deals with applications for special category ministries.</w:t>
      </w:r>
    </w:p>
    <w:p>
      <w:pPr>
        <w:pStyle w:val="BodyText"/>
        <w:spacing w:before="10"/>
        <w:rPr>
          <w:sz w:val="18"/>
        </w:rPr>
      </w:pPr>
    </w:p>
    <w:p>
      <w:pPr>
        <w:tabs>
          <w:tab w:pos="2784" w:val="left" w:leader="none"/>
        </w:tabs>
        <w:spacing w:line="242" w:lineRule="exact" w:before="1"/>
        <w:ind w:left="1571" w:right="0" w:firstLine="0"/>
        <w:jc w:val="left"/>
        <w:rPr>
          <w:sz w:val="18"/>
        </w:rPr>
      </w:pPr>
      <w:r>
        <w:rPr>
          <w:rFonts w:ascii="Stone Sans II ITC Std Bk"/>
          <w:b/>
          <w:color w:val="707172"/>
          <w:w w:val="115"/>
          <w:sz w:val="18"/>
        </w:rPr>
        <w:t>Convenor:</w:t>
        <w:tab/>
      </w:r>
      <w:r>
        <w:rPr>
          <w:color w:val="707172"/>
          <w:w w:val="115"/>
          <w:sz w:val="18"/>
        </w:rPr>
        <w:t>Fran</w:t>
      </w:r>
      <w:r>
        <w:rPr>
          <w:color w:val="707172"/>
          <w:spacing w:val="4"/>
          <w:w w:val="115"/>
          <w:sz w:val="18"/>
        </w:rPr>
        <w:t> </w:t>
      </w:r>
      <w:r>
        <w:rPr>
          <w:color w:val="707172"/>
          <w:w w:val="115"/>
          <w:sz w:val="18"/>
        </w:rPr>
        <w:t>Ruthven</w:t>
      </w:r>
    </w:p>
    <w:p>
      <w:pPr>
        <w:tabs>
          <w:tab w:pos="2784" w:val="left" w:leader="none"/>
        </w:tabs>
        <w:spacing w:line="240" w:lineRule="exact" w:before="0"/>
        <w:ind w:left="1571" w:right="0" w:firstLine="0"/>
        <w:jc w:val="left"/>
        <w:rPr>
          <w:sz w:val="18"/>
        </w:rPr>
      </w:pPr>
      <w:r>
        <w:rPr>
          <w:rFonts w:ascii="Stone Sans II ITC Std Bk"/>
          <w:b/>
          <w:color w:val="707172"/>
          <w:w w:val="120"/>
          <w:sz w:val="18"/>
        </w:rPr>
        <w:t>Secretary:</w:t>
        <w:tab/>
      </w:r>
      <w:r>
        <w:rPr>
          <w:color w:val="707172"/>
          <w:w w:val="120"/>
          <w:sz w:val="18"/>
        </w:rPr>
        <w:t>Craig</w:t>
      </w:r>
      <w:r>
        <w:rPr>
          <w:color w:val="707172"/>
          <w:spacing w:val="2"/>
          <w:w w:val="120"/>
          <w:sz w:val="18"/>
        </w:rPr>
        <w:t> </w:t>
      </w:r>
      <w:r>
        <w:rPr>
          <w:color w:val="707172"/>
          <w:w w:val="120"/>
          <w:sz w:val="18"/>
        </w:rPr>
        <w:t>Bowman</w:t>
      </w:r>
    </w:p>
    <w:p>
      <w:pPr>
        <w:tabs>
          <w:tab w:pos="2784" w:val="left" w:leader="none"/>
        </w:tabs>
        <w:spacing w:line="254" w:lineRule="auto" w:before="0"/>
        <w:ind w:left="1571" w:right="1339" w:firstLine="0"/>
        <w:jc w:val="left"/>
        <w:rPr>
          <w:sz w:val="18"/>
        </w:rPr>
      </w:pPr>
      <w:r>
        <w:rPr>
          <w:rFonts w:ascii="Stone Sans II ITC Std Bk"/>
          <w:b/>
          <w:color w:val="707172"/>
          <w:w w:val="120"/>
          <w:sz w:val="18"/>
        </w:rPr>
        <w:t>Members:</w:t>
        <w:tab/>
      </w:r>
      <w:r>
        <w:rPr>
          <w:color w:val="707172"/>
          <w:w w:val="120"/>
          <w:sz w:val="18"/>
        </w:rPr>
        <w:t>Bridget Banks, Ewen Harley (convenor of the assessment board), Richard Church, Helga Cornell </w:t>
      </w:r>
      <w:r>
        <w:rPr>
          <w:color w:val="707172"/>
          <w:spacing w:val="-3"/>
          <w:w w:val="120"/>
          <w:sz w:val="18"/>
        </w:rPr>
        <w:t>(until </w:t>
      </w:r>
      <w:r>
        <w:rPr>
          <w:color w:val="707172"/>
          <w:spacing w:val="-6"/>
          <w:w w:val="120"/>
          <w:sz w:val="18"/>
        </w:rPr>
        <w:t>2015), </w:t>
      </w:r>
      <w:r>
        <w:rPr>
          <w:color w:val="707172"/>
          <w:w w:val="120"/>
          <w:sz w:val="18"/>
        </w:rPr>
        <w:t>Russell Furley-Smith (from </w:t>
      </w:r>
      <w:r>
        <w:rPr>
          <w:color w:val="707172"/>
          <w:spacing w:val="-6"/>
          <w:w w:val="120"/>
          <w:sz w:val="18"/>
        </w:rPr>
        <w:t>2015), </w:t>
      </w:r>
      <w:r>
        <w:rPr>
          <w:color w:val="707172"/>
          <w:w w:val="120"/>
          <w:sz w:val="18"/>
        </w:rPr>
        <w:t>Naison Hove, Liz Mullen (from </w:t>
      </w:r>
      <w:r>
        <w:rPr>
          <w:color w:val="707172"/>
          <w:spacing w:val="-6"/>
          <w:w w:val="120"/>
          <w:sz w:val="18"/>
        </w:rPr>
        <w:t>2015) </w:t>
      </w:r>
      <w:r>
        <w:rPr>
          <w:color w:val="707172"/>
          <w:w w:val="120"/>
          <w:sz w:val="18"/>
        </w:rPr>
        <w:t>and Gethin Rhys (convenor of the ministries committee until</w:t>
      </w:r>
      <w:r>
        <w:rPr>
          <w:color w:val="707172"/>
          <w:spacing w:val="27"/>
          <w:w w:val="120"/>
          <w:sz w:val="18"/>
        </w:rPr>
        <w:t> </w:t>
      </w:r>
      <w:r>
        <w:rPr>
          <w:color w:val="707172"/>
          <w:spacing w:val="-5"/>
          <w:w w:val="120"/>
          <w:sz w:val="18"/>
        </w:rPr>
        <w:t>2016).</w:t>
      </w:r>
    </w:p>
    <w:p>
      <w:pPr>
        <w:pStyle w:val="BodyText"/>
        <w:rPr>
          <w:sz w:val="22"/>
        </w:rPr>
      </w:pPr>
    </w:p>
    <w:p>
      <w:pPr>
        <w:pStyle w:val="BodyText"/>
        <w:spacing w:before="11"/>
        <w:rPr>
          <w:sz w:val="18"/>
        </w:rPr>
      </w:pPr>
    </w:p>
    <w:p>
      <w:pPr>
        <w:spacing w:before="0"/>
        <w:ind w:left="1344" w:right="0" w:firstLine="0"/>
        <w:jc w:val="left"/>
        <w:rPr>
          <w:rFonts w:ascii="Stone Sans II ITC Std Bk"/>
          <w:b/>
          <w:sz w:val="29"/>
        </w:rPr>
      </w:pPr>
      <w:r>
        <w:rPr>
          <w:rFonts w:ascii="Stone Sans II ITC Std Bk"/>
          <w:b/>
          <w:w w:val="110"/>
          <w:sz w:val="29"/>
        </w:rPr>
        <w:t>Special category ministry posts</w:t>
      </w:r>
    </w:p>
    <w:p>
      <w:pPr>
        <w:pStyle w:val="ListParagraph"/>
        <w:numPr>
          <w:ilvl w:val="1"/>
          <w:numId w:val="169"/>
        </w:numPr>
        <w:tabs>
          <w:tab w:pos="2024" w:val="left" w:leader="none"/>
          <w:tab w:pos="2025" w:val="left" w:leader="none"/>
        </w:tabs>
        <w:spacing w:line="235" w:lineRule="auto" w:before="69" w:after="0"/>
        <w:ind w:left="1344" w:right="1361" w:firstLine="0"/>
        <w:jc w:val="left"/>
        <w:rPr>
          <w:sz w:val="20"/>
        </w:rPr>
      </w:pPr>
      <w:r>
        <w:rPr>
          <w:w w:val="120"/>
          <w:sz w:val="20"/>
        </w:rPr>
        <w:t>The number of special category ministry </w:t>
      </w:r>
      <w:r>
        <w:rPr>
          <w:spacing w:val="-4"/>
          <w:w w:val="120"/>
          <w:sz w:val="20"/>
        </w:rPr>
        <w:t>(SCM) </w:t>
      </w:r>
      <w:r>
        <w:rPr>
          <w:w w:val="120"/>
          <w:sz w:val="20"/>
        </w:rPr>
        <w:t>posts currently stands at </w:t>
      </w:r>
      <w:r>
        <w:rPr>
          <w:spacing w:val="-3"/>
          <w:w w:val="120"/>
          <w:sz w:val="20"/>
        </w:rPr>
        <w:t>24.5 </w:t>
      </w:r>
      <w:r>
        <w:rPr>
          <w:w w:val="120"/>
          <w:sz w:val="20"/>
        </w:rPr>
        <w:t>with only one post as yet unfilled. This is considerably less than the number allowed   by General Assembly and there is concern over the number and quality of applications received over the past two years. Since </w:t>
      </w:r>
      <w:r>
        <w:rPr>
          <w:spacing w:val="2"/>
          <w:w w:val="120"/>
          <w:sz w:val="20"/>
        </w:rPr>
        <w:t>February </w:t>
      </w:r>
      <w:r>
        <w:rPr>
          <w:spacing w:val="-7"/>
          <w:w w:val="120"/>
          <w:sz w:val="20"/>
        </w:rPr>
        <w:t>2014 </w:t>
      </w:r>
      <w:r>
        <w:rPr>
          <w:w w:val="120"/>
          <w:sz w:val="20"/>
        </w:rPr>
        <w:t>we have had six applications. Four have been accepted and two rejected. The following posts have ended: Liverpool City, London Metropolitan Universities, Aston University, Nottingham University, Bracknell, Brecon Rural and Morningside. We recognise that synods are under pressure regarding deployment, which may have resulted in some applications not meeting the SCM criteria and thus being</w:t>
      </w:r>
      <w:r>
        <w:rPr>
          <w:spacing w:val="12"/>
          <w:w w:val="120"/>
          <w:sz w:val="20"/>
        </w:rPr>
        <w:t> </w:t>
      </w:r>
      <w:r>
        <w:rPr>
          <w:w w:val="120"/>
          <w:sz w:val="20"/>
        </w:rPr>
        <w:t>rejected.</w:t>
      </w:r>
    </w:p>
    <w:p>
      <w:pPr>
        <w:pStyle w:val="ListParagraph"/>
        <w:numPr>
          <w:ilvl w:val="1"/>
          <w:numId w:val="169"/>
        </w:numPr>
        <w:tabs>
          <w:tab w:pos="2024" w:val="left" w:leader="none"/>
          <w:tab w:pos="2025" w:val="left" w:leader="none"/>
        </w:tabs>
        <w:spacing w:line="235" w:lineRule="auto" w:before="177" w:after="0"/>
        <w:ind w:left="1344" w:right="1314" w:firstLine="0"/>
        <w:jc w:val="left"/>
        <w:rPr>
          <w:sz w:val="20"/>
        </w:rPr>
      </w:pPr>
      <w:r>
        <w:rPr>
          <w:w w:val="120"/>
          <w:sz w:val="20"/>
        </w:rPr>
        <w:t>Since the last General Assembly, the subcommittee has revised its applications process and instituted a system of reviews of the posts that will help identify any difficulties early in the postholder’s tenure. We are now having an informal review with the postholder at six months, a formal review at one year and then a review at 3.5 years as the post comes up for</w:t>
      </w:r>
      <w:r>
        <w:rPr>
          <w:spacing w:val="11"/>
          <w:w w:val="120"/>
          <w:sz w:val="20"/>
        </w:rPr>
        <w:t> </w:t>
      </w:r>
      <w:r>
        <w:rPr>
          <w:w w:val="120"/>
          <w:sz w:val="20"/>
        </w:rPr>
        <w:t>renewal.</w:t>
      </w:r>
    </w:p>
    <w:p>
      <w:pPr>
        <w:pStyle w:val="ListParagraph"/>
        <w:numPr>
          <w:ilvl w:val="1"/>
          <w:numId w:val="169"/>
        </w:numPr>
        <w:tabs>
          <w:tab w:pos="2024" w:val="left" w:leader="none"/>
          <w:tab w:pos="2025" w:val="left" w:leader="none"/>
        </w:tabs>
        <w:spacing w:line="235" w:lineRule="auto" w:before="174" w:after="0"/>
        <w:ind w:left="1344" w:right="1277" w:firstLine="0"/>
        <w:jc w:val="left"/>
        <w:rPr>
          <w:sz w:val="20"/>
        </w:rPr>
      </w:pPr>
      <w:r>
        <w:rPr>
          <w:w w:val="120"/>
          <w:sz w:val="20"/>
        </w:rPr>
        <w:t>We continue to be challenged by posts that involve ecumenical partners, but have become more robust in our insistence of firm commitments from partners that will be sustained for the duration of the</w:t>
      </w:r>
      <w:r>
        <w:rPr>
          <w:spacing w:val="13"/>
          <w:w w:val="120"/>
          <w:sz w:val="20"/>
        </w:rPr>
        <w:t> </w:t>
      </w:r>
      <w:r>
        <w:rPr>
          <w:w w:val="120"/>
          <w:sz w:val="20"/>
        </w:rPr>
        <w:t>post.</w:t>
      </w:r>
    </w:p>
    <w:p>
      <w:pPr>
        <w:pStyle w:val="ListParagraph"/>
        <w:numPr>
          <w:ilvl w:val="1"/>
          <w:numId w:val="169"/>
        </w:numPr>
        <w:tabs>
          <w:tab w:pos="1700" w:val="left" w:leader="none"/>
        </w:tabs>
        <w:spacing w:line="235" w:lineRule="auto" w:before="172" w:after="0"/>
        <w:ind w:left="1344" w:right="1364" w:firstLine="0"/>
        <w:jc w:val="left"/>
        <w:rPr>
          <w:sz w:val="20"/>
        </w:rPr>
      </w:pPr>
      <w:r>
        <w:rPr>
          <w:w w:val="120"/>
          <w:sz w:val="20"/>
        </w:rPr>
        <w:t>The subcommittee is in the early stages of developing a process by which we could determine which posts have made the most impact and what we can learn from the data/information</w:t>
      </w:r>
      <w:r>
        <w:rPr>
          <w:spacing w:val="1"/>
          <w:w w:val="120"/>
          <w:sz w:val="20"/>
        </w:rPr>
        <w:t> </w:t>
      </w:r>
      <w:r>
        <w:rPr>
          <w:w w:val="120"/>
          <w:sz w:val="20"/>
        </w:rPr>
        <w:t>gathered.</w:t>
      </w:r>
    </w:p>
    <w:p>
      <w:pPr>
        <w:pStyle w:val="BodyText"/>
        <w:spacing w:before="1"/>
        <w:rPr>
          <w:sz w:val="21"/>
        </w:rPr>
      </w:pPr>
    </w:p>
    <w:p>
      <w:pPr>
        <w:spacing w:before="0"/>
        <w:ind w:left="1344" w:right="0" w:firstLine="0"/>
        <w:jc w:val="left"/>
        <w:rPr>
          <w:rFonts w:ascii="Stone Sans II ITC Std Bk"/>
          <w:b/>
          <w:sz w:val="29"/>
        </w:rPr>
      </w:pPr>
      <w:r>
        <w:rPr>
          <w:rFonts w:ascii="Stone Sans II ITC Std Bk"/>
          <w:b/>
          <w:w w:val="110"/>
          <w:sz w:val="29"/>
        </w:rPr>
        <w:t>Certificates of eligibility</w:t>
      </w:r>
    </w:p>
    <w:p>
      <w:pPr>
        <w:pStyle w:val="ListParagraph"/>
        <w:numPr>
          <w:ilvl w:val="1"/>
          <w:numId w:val="170"/>
        </w:numPr>
        <w:tabs>
          <w:tab w:pos="2024" w:val="left" w:leader="none"/>
          <w:tab w:pos="2025" w:val="left" w:leader="none"/>
        </w:tabs>
        <w:spacing w:line="235" w:lineRule="auto" w:before="69" w:after="0"/>
        <w:ind w:left="1344" w:right="1249" w:firstLine="0"/>
        <w:jc w:val="left"/>
        <w:rPr>
          <w:sz w:val="20"/>
        </w:rPr>
      </w:pPr>
      <w:r>
        <w:rPr>
          <w:w w:val="120"/>
          <w:sz w:val="20"/>
        </w:rPr>
        <w:t>The ministries committee is responsible to General Assembly for oversight of the projected number of ministers for future years and for deciding each </w:t>
      </w:r>
      <w:r>
        <w:rPr>
          <w:spacing w:val="-4"/>
          <w:w w:val="120"/>
          <w:sz w:val="20"/>
        </w:rPr>
        <w:t>year, </w:t>
      </w:r>
      <w:r>
        <w:rPr>
          <w:w w:val="120"/>
          <w:sz w:val="20"/>
        </w:rPr>
        <w:t>on the basis of these projections, whether certificates of eligibility for stipendiary service may be issued to ministers of other denominations. Such a certificate grants eligibility to receive a call to serve in a pastorate or</w:t>
      </w:r>
      <w:r>
        <w:rPr>
          <w:spacing w:val="13"/>
          <w:w w:val="120"/>
          <w:sz w:val="20"/>
        </w:rPr>
        <w:t> </w:t>
      </w:r>
      <w:r>
        <w:rPr>
          <w:w w:val="120"/>
          <w:sz w:val="20"/>
        </w:rPr>
        <w:t>post.</w:t>
      </w:r>
    </w:p>
    <w:p>
      <w:pPr>
        <w:pStyle w:val="ListParagraph"/>
        <w:numPr>
          <w:ilvl w:val="1"/>
          <w:numId w:val="170"/>
        </w:numPr>
        <w:tabs>
          <w:tab w:pos="2024" w:val="left" w:leader="none"/>
          <w:tab w:pos="2025" w:val="left" w:leader="none"/>
        </w:tabs>
        <w:spacing w:line="240" w:lineRule="auto" w:before="170" w:after="0"/>
        <w:ind w:left="2024" w:right="0" w:hanging="681"/>
        <w:jc w:val="left"/>
        <w:rPr>
          <w:sz w:val="20"/>
        </w:rPr>
      </w:pPr>
      <w:r>
        <w:rPr>
          <w:w w:val="120"/>
          <w:sz w:val="20"/>
        </w:rPr>
        <w:t>No certificates of eligibility for stipendiary service have been granted since</w:t>
      </w:r>
      <w:r>
        <w:rPr>
          <w:spacing w:val="43"/>
          <w:w w:val="120"/>
          <w:sz w:val="20"/>
        </w:rPr>
        <w:t> </w:t>
      </w:r>
      <w:r>
        <w:rPr>
          <w:spacing w:val="-9"/>
          <w:w w:val="120"/>
          <w:sz w:val="20"/>
        </w:rPr>
        <w:t>2011.</w:t>
      </w:r>
    </w:p>
    <w:p>
      <w:pPr>
        <w:pStyle w:val="BodyText"/>
        <w:spacing w:before="12"/>
      </w:pPr>
    </w:p>
    <w:p>
      <w:pPr>
        <w:spacing w:before="0"/>
        <w:ind w:left="1344" w:right="0" w:firstLine="0"/>
        <w:jc w:val="left"/>
        <w:rPr>
          <w:rFonts w:ascii="Stone Sans II ITC Std Bk"/>
          <w:b/>
          <w:sz w:val="29"/>
        </w:rPr>
      </w:pPr>
      <w:r>
        <w:rPr>
          <w:rFonts w:ascii="Stone Sans II ITC Std Bk"/>
          <w:b/>
          <w:w w:val="110"/>
          <w:sz w:val="29"/>
        </w:rPr>
        <w:t>Certificates of limited service</w:t>
      </w:r>
    </w:p>
    <w:p>
      <w:pPr>
        <w:pStyle w:val="ListParagraph"/>
        <w:numPr>
          <w:ilvl w:val="1"/>
          <w:numId w:val="171"/>
        </w:numPr>
        <w:tabs>
          <w:tab w:pos="2081" w:val="left" w:leader="none"/>
          <w:tab w:pos="2082" w:val="left" w:leader="none"/>
        </w:tabs>
        <w:spacing w:line="235" w:lineRule="auto" w:before="69" w:after="0"/>
        <w:ind w:left="1344" w:right="1390" w:firstLine="0"/>
        <w:jc w:val="left"/>
        <w:rPr>
          <w:sz w:val="20"/>
        </w:rPr>
      </w:pPr>
      <w:r>
        <w:rPr>
          <w:w w:val="120"/>
          <w:sz w:val="20"/>
        </w:rPr>
        <w:t>Certificates of limited service provide a flexible way of responding to particular local ministry needs and opportunities. A certificate of limited service allows a minister or community worker of another denomination to serve in, and be paid by the URC in one specified post only and for a limited period of time. One was issued in </w:t>
      </w:r>
      <w:r>
        <w:rPr>
          <w:spacing w:val="-7"/>
          <w:w w:val="120"/>
          <w:sz w:val="20"/>
        </w:rPr>
        <w:t>2014 </w:t>
      </w:r>
      <w:r>
        <w:rPr>
          <w:w w:val="120"/>
          <w:sz w:val="20"/>
        </w:rPr>
        <w:t>and three in</w:t>
      </w:r>
      <w:r>
        <w:rPr>
          <w:spacing w:val="4"/>
          <w:w w:val="120"/>
          <w:sz w:val="20"/>
        </w:rPr>
        <w:t> </w:t>
      </w:r>
      <w:r>
        <w:rPr>
          <w:spacing w:val="-7"/>
          <w:w w:val="120"/>
          <w:sz w:val="20"/>
        </w:rPr>
        <w:t>2015.</w:t>
      </w:r>
    </w:p>
    <w:p>
      <w:pPr>
        <w:pStyle w:val="BodyText"/>
        <w:spacing w:before="10"/>
        <w:rPr>
          <w:sz w:val="18"/>
        </w:rPr>
      </w:pPr>
    </w:p>
    <w:p>
      <w:pPr>
        <w:pStyle w:val="ListParagraph"/>
        <w:numPr>
          <w:ilvl w:val="1"/>
          <w:numId w:val="171"/>
        </w:numPr>
        <w:tabs>
          <w:tab w:pos="2024" w:val="left" w:leader="none"/>
          <w:tab w:pos="2025" w:val="left" w:leader="none"/>
        </w:tabs>
        <w:spacing w:line="235" w:lineRule="auto" w:before="1" w:after="0"/>
        <w:ind w:left="1344" w:right="1455" w:firstLine="0"/>
        <w:jc w:val="left"/>
        <w:rPr>
          <w:sz w:val="20"/>
        </w:rPr>
      </w:pPr>
      <w:r>
        <w:rPr>
          <w:w w:val="120"/>
          <w:sz w:val="20"/>
        </w:rPr>
        <w:t>The issuing of certificates of eligibility and certificates of limited service may appear to be a bureaucratic annoyance, yet we see it, not only as one of our functions to administer the roll of ministers, but also of significant pastoral import in supporting congregations and individuals and ensuring suitable</w:t>
      </w:r>
      <w:r>
        <w:rPr>
          <w:spacing w:val="23"/>
          <w:w w:val="120"/>
          <w:sz w:val="20"/>
        </w:rPr>
        <w:t> </w:t>
      </w:r>
      <w:r>
        <w:rPr>
          <w:w w:val="120"/>
          <w:sz w:val="20"/>
        </w:rPr>
        <w:t>accountability.</w:t>
      </w:r>
    </w:p>
    <w:p>
      <w:pPr>
        <w:spacing w:after="0" w:line="235" w:lineRule="auto"/>
        <w:jc w:val="left"/>
        <w:rPr>
          <w:sz w:val="20"/>
        </w:rPr>
        <w:sectPr>
          <w:headerReference w:type="default" r:id="rId397"/>
          <w:footerReference w:type="default" r:id="rId398"/>
          <w:footerReference w:type="even" r:id="rId399"/>
          <w:pgSz w:w="11910" w:h="16840"/>
          <w:pgMar w:header="0" w:footer="647" w:top="0" w:bottom="840" w:left="640" w:right="0"/>
          <w:pgNumType w:start="145"/>
        </w:sectPr>
      </w:pPr>
    </w:p>
    <w:p>
      <w:pPr>
        <w:pStyle w:val="BodyText"/>
      </w:pPr>
      <w:r>
        <w:rPr/>
        <w:drawing>
          <wp:anchor distT="0" distB="0" distL="0" distR="0" allowOverlap="1" layoutInCell="1" locked="0" behindDoc="1" simplePos="0" relativeHeight="235584512">
            <wp:simplePos x="0" y="0"/>
            <wp:positionH relativeFrom="page">
              <wp:posOffset>0</wp:posOffset>
            </wp:positionH>
            <wp:positionV relativeFrom="page">
              <wp:posOffset>0</wp:posOffset>
            </wp:positionV>
            <wp:extent cx="594067" cy="10692003"/>
            <wp:effectExtent l="0" t="0" r="0" b="0"/>
            <wp:wrapNone/>
            <wp:docPr id="273" name="image67.png"/>
            <wp:cNvGraphicFramePr>
              <a:graphicFrameLocks noChangeAspect="1"/>
            </wp:cNvGraphicFramePr>
            <a:graphic>
              <a:graphicData uri="http://schemas.openxmlformats.org/drawingml/2006/picture">
                <pic:pic>
                  <pic:nvPicPr>
                    <pic:cNvPr id="274" name="image67.png"/>
                    <pic:cNvPicPr/>
                  </pic:nvPicPr>
                  <pic:blipFill>
                    <a:blip r:embed="rId184" cstate="print"/>
                    <a:stretch>
                      <a:fillRect/>
                    </a:stretch>
                  </pic:blipFill>
                  <pic:spPr>
                    <a:xfrm>
                      <a:off x="0" y="0"/>
                      <a:ext cx="594067" cy="10692003"/>
                    </a:xfrm>
                    <a:prstGeom prst="rect">
                      <a:avLst/>
                    </a:prstGeom>
                  </pic:spPr>
                </pic:pic>
              </a:graphicData>
            </a:graphic>
          </wp:anchor>
        </w:drawing>
      </w:r>
      <w:r>
        <w:rPr/>
        <w:pict>
          <v:shape style="position:absolute;margin-left:20.519100pt;margin-top:48.890015pt;width:25.9pt;height:138.15pt;mso-position-horizontal-relative:page;mso-position-vertical-relative:page;z-index:252039168" type="#_x0000_t202" filled="false" stroked="false">
            <v:textbox inset="0,0,0,0" style="layout-flow:vertical">
              <w:txbxContent>
                <w:p>
                  <w:pPr>
                    <w:spacing w:before="27"/>
                    <w:ind w:left="20" w:right="0" w:firstLine="0"/>
                    <w:jc w:val="left"/>
                    <w:rPr>
                      <w:sz w:val="39"/>
                    </w:rPr>
                  </w:pPr>
                  <w:r>
                    <w:rPr>
                      <w:color w:val="FFFFFF"/>
                      <w:w w:val="120"/>
                      <w:sz w:val="39"/>
                    </w:rPr>
                    <w:t>Accreditation</w:t>
                  </w:r>
                </w:p>
              </w:txbxContent>
            </v:textbox>
            <w10:wrap type="none"/>
          </v:shape>
        </w:pict>
      </w:r>
    </w:p>
    <w:p>
      <w:pPr>
        <w:pStyle w:val="BodyText"/>
        <w:spacing w:before="7"/>
        <w:rPr>
          <w:sz w:val="21"/>
        </w:rPr>
      </w:pPr>
    </w:p>
    <w:p>
      <w:pPr>
        <w:spacing w:before="106"/>
        <w:ind w:left="607" w:right="0" w:firstLine="0"/>
        <w:jc w:val="left"/>
        <w:rPr>
          <w:sz w:val="26"/>
        </w:rPr>
      </w:pPr>
      <w:r>
        <w:rPr>
          <w:color w:val="7EAABF"/>
          <w:w w:val="110"/>
          <w:sz w:val="26"/>
        </w:rPr>
        <w:t>Ministries</w:t>
      </w:r>
    </w:p>
    <w:p>
      <w:pPr>
        <w:spacing w:before="215"/>
        <w:ind w:left="607" w:right="0" w:firstLine="0"/>
        <w:jc w:val="left"/>
        <w:rPr>
          <w:rFonts w:ascii="Stone Sans II ITC Std Bk"/>
          <w:b/>
          <w:sz w:val="29"/>
        </w:rPr>
      </w:pPr>
      <w:r>
        <w:rPr>
          <w:rFonts w:ascii="Stone Sans II ITC Std Bk"/>
          <w:b/>
          <w:w w:val="110"/>
          <w:sz w:val="29"/>
        </w:rPr>
        <w:t>The roll of ministers</w:t>
      </w:r>
    </w:p>
    <w:p>
      <w:pPr>
        <w:spacing w:before="53"/>
        <w:ind w:left="1287" w:right="0" w:firstLine="0"/>
        <w:jc w:val="left"/>
        <w:rPr>
          <w:sz w:val="20"/>
        </w:rPr>
      </w:pPr>
      <w:r>
        <w:rPr>
          <w:rFonts w:ascii="Stone Sans II ITC Std Bk"/>
          <w:b/>
          <w:w w:val="115"/>
          <w:sz w:val="20"/>
        </w:rPr>
        <w:t>Admissions to the roll of ministers </w:t>
      </w:r>
      <w:r>
        <w:rPr>
          <w:w w:val="115"/>
          <w:sz w:val="20"/>
        </w:rPr>
        <w:t>(from 1 February 2014 to 31 January 2016)</w:t>
      </w:r>
    </w:p>
    <w:p>
      <w:pPr>
        <w:pStyle w:val="ListParagraph"/>
        <w:numPr>
          <w:ilvl w:val="1"/>
          <w:numId w:val="172"/>
        </w:numPr>
        <w:tabs>
          <w:tab w:pos="1287" w:val="left" w:leader="none"/>
          <w:tab w:pos="1288" w:val="left" w:leader="none"/>
        </w:tabs>
        <w:spacing w:line="242" w:lineRule="exact" w:before="209" w:after="0"/>
        <w:ind w:left="1287" w:right="0" w:hanging="681"/>
        <w:jc w:val="left"/>
        <w:rPr>
          <w:sz w:val="20"/>
        </w:rPr>
      </w:pPr>
      <w:r>
        <w:rPr>
          <w:w w:val="120"/>
          <w:sz w:val="20"/>
        </w:rPr>
        <w:t>By ordination and</w:t>
      </w:r>
      <w:r>
        <w:rPr>
          <w:spacing w:val="6"/>
          <w:w w:val="120"/>
          <w:sz w:val="20"/>
        </w:rPr>
        <w:t> </w:t>
      </w:r>
      <w:r>
        <w:rPr>
          <w:w w:val="120"/>
          <w:sz w:val="20"/>
        </w:rPr>
        <w:t>induction:</w:t>
      </w:r>
    </w:p>
    <w:p>
      <w:pPr>
        <w:pStyle w:val="BodyText"/>
        <w:spacing w:line="235" w:lineRule="auto" w:before="2"/>
        <w:ind w:left="1967" w:right="2394"/>
      </w:pPr>
      <w:r>
        <w:rPr>
          <w:w w:val="120"/>
        </w:rPr>
        <w:t>Samantha Aspinall, Janine Atkinson, Martin Belgrove, Bruno Boldrini, Elaine Colechin, Chris Dowd, Trevor Hahn, Elaine Hutchinson, Bachelard Kaze Yemtsa, Angela Jane Lawson, Catherine Lewis-Smith,</w:t>
      </w:r>
    </w:p>
    <w:p>
      <w:pPr>
        <w:pStyle w:val="BodyText"/>
        <w:spacing w:line="235" w:lineRule="auto" w:before="2"/>
        <w:ind w:left="1967" w:right="1982"/>
      </w:pPr>
      <w:r>
        <w:rPr>
          <w:w w:val="120"/>
        </w:rPr>
        <w:t>Catherine</w:t>
      </w:r>
      <w:r>
        <w:rPr>
          <w:spacing w:val="-15"/>
          <w:w w:val="120"/>
        </w:rPr>
        <w:t> </w:t>
      </w:r>
      <w:r>
        <w:rPr>
          <w:w w:val="120"/>
        </w:rPr>
        <w:t>McFie,</w:t>
      </w:r>
      <w:r>
        <w:rPr>
          <w:spacing w:val="-14"/>
          <w:w w:val="120"/>
        </w:rPr>
        <w:t> </w:t>
      </w:r>
      <w:r>
        <w:rPr>
          <w:spacing w:val="-3"/>
          <w:w w:val="120"/>
        </w:rPr>
        <w:t>Joshua</w:t>
      </w:r>
      <w:r>
        <w:rPr>
          <w:spacing w:val="-14"/>
          <w:w w:val="120"/>
        </w:rPr>
        <w:t> </w:t>
      </w:r>
      <w:r>
        <w:rPr>
          <w:w w:val="120"/>
        </w:rPr>
        <w:t>Norris,</w:t>
      </w:r>
      <w:r>
        <w:rPr>
          <w:spacing w:val="-15"/>
          <w:w w:val="120"/>
        </w:rPr>
        <w:t> </w:t>
      </w:r>
      <w:r>
        <w:rPr>
          <w:w w:val="120"/>
        </w:rPr>
        <w:t>Zaidie</w:t>
      </w:r>
      <w:r>
        <w:rPr>
          <w:spacing w:val="-14"/>
          <w:w w:val="120"/>
        </w:rPr>
        <w:t> </w:t>
      </w:r>
      <w:r>
        <w:rPr>
          <w:spacing w:val="-4"/>
          <w:w w:val="120"/>
        </w:rPr>
        <w:t>Orr,</w:t>
      </w:r>
      <w:r>
        <w:rPr>
          <w:spacing w:val="-14"/>
          <w:w w:val="120"/>
        </w:rPr>
        <w:t> </w:t>
      </w:r>
      <w:r>
        <w:rPr>
          <w:w w:val="120"/>
        </w:rPr>
        <w:t>Matthew</w:t>
      </w:r>
      <w:r>
        <w:rPr>
          <w:spacing w:val="-15"/>
          <w:w w:val="120"/>
        </w:rPr>
        <w:t> </w:t>
      </w:r>
      <w:r>
        <w:rPr>
          <w:w w:val="120"/>
        </w:rPr>
        <w:t>Prevett,</w:t>
      </w:r>
      <w:r>
        <w:rPr>
          <w:spacing w:val="-14"/>
          <w:w w:val="120"/>
        </w:rPr>
        <w:t> </w:t>
      </w:r>
      <w:r>
        <w:rPr>
          <w:w w:val="120"/>
        </w:rPr>
        <w:t>Branwen</w:t>
      </w:r>
      <w:r>
        <w:rPr>
          <w:spacing w:val="-14"/>
          <w:w w:val="120"/>
        </w:rPr>
        <w:t> </w:t>
      </w:r>
      <w:r>
        <w:rPr>
          <w:w w:val="120"/>
        </w:rPr>
        <w:t>Rees, </w:t>
      </w:r>
      <w:r>
        <w:rPr>
          <w:spacing w:val="3"/>
          <w:w w:val="120"/>
        </w:rPr>
        <w:t>Bryn </w:t>
      </w:r>
      <w:r>
        <w:rPr>
          <w:w w:val="120"/>
        </w:rPr>
        <w:t>Rickards, Nadene Snyman, Richard Stein, Jake </w:t>
      </w:r>
      <w:r>
        <w:rPr>
          <w:spacing w:val="-3"/>
          <w:w w:val="120"/>
        </w:rPr>
        <w:t>Tatton, </w:t>
      </w:r>
      <w:r>
        <w:rPr>
          <w:w w:val="120"/>
        </w:rPr>
        <w:t>Phil Wall, Henriette Wentink, Jim Williams and Ruth</w:t>
      </w:r>
      <w:r>
        <w:rPr>
          <w:spacing w:val="5"/>
          <w:w w:val="120"/>
        </w:rPr>
        <w:t> </w:t>
      </w:r>
      <w:r>
        <w:rPr>
          <w:w w:val="120"/>
        </w:rPr>
        <w:t>Wilson.</w:t>
      </w:r>
    </w:p>
    <w:p>
      <w:pPr>
        <w:pStyle w:val="BodyText"/>
        <w:spacing w:before="6"/>
        <w:rPr>
          <w:sz w:val="19"/>
        </w:rPr>
      </w:pPr>
    </w:p>
    <w:p>
      <w:pPr>
        <w:pStyle w:val="ListParagraph"/>
        <w:numPr>
          <w:ilvl w:val="1"/>
          <w:numId w:val="172"/>
        </w:numPr>
        <w:tabs>
          <w:tab w:pos="1287" w:val="left" w:leader="none"/>
          <w:tab w:pos="1288" w:val="left" w:leader="none"/>
        </w:tabs>
        <w:spacing w:line="242" w:lineRule="exact" w:before="0" w:after="0"/>
        <w:ind w:left="1287" w:right="0" w:hanging="681"/>
        <w:jc w:val="left"/>
        <w:rPr>
          <w:sz w:val="20"/>
        </w:rPr>
      </w:pPr>
      <w:r>
        <w:rPr>
          <w:w w:val="115"/>
          <w:sz w:val="20"/>
        </w:rPr>
        <w:t>By transfer from other</w:t>
      </w:r>
      <w:r>
        <w:rPr>
          <w:spacing w:val="19"/>
          <w:w w:val="115"/>
          <w:sz w:val="20"/>
        </w:rPr>
        <w:t> </w:t>
      </w:r>
      <w:r>
        <w:rPr>
          <w:w w:val="115"/>
          <w:sz w:val="20"/>
        </w:rPr>
        <w:t>churches:</w:t>
      </w:r>
    </w:p>
    <w:p>
      <w:pPr>
        <w:pStyle w:val="BodyText"/>
        <w:spacing w:line="242" w:lineRule="exact"/>
        <w:ind w:left="1967"/>
      </w:pPr>
      <w:r>
        <w:rPr>
          <w:w w:val="120"/>
        </w:rPr>
        <w:t>Pamela Anne Noonan and Daniel Yoo.</w:t>
      </w:r>
    </w:p>
    <w:p>
      <w:pPr>
        <w:pStyle w:val="BodyText"/>
        <w:spacing w:before="4"/>
        <w:rPr>
          <w:sz w:val="19"/>
        </w:rPr>
      </w:pPr>
    </w:p>
    <w:p>
      <w:pPr>
        <w:pStyle w:val="ListParagraph"/>
        <w:numPr>
          <w:ilvl w:val="1"/>
          <w:numId w:val="172"/>
        </w:numPr>
        <w:tabs>
          <w:tab w:pos="1287" w:val="left" w:leader="none"/>
          <w:tab w:pos="1288" w:val="left" w:leader="none"/>
        </w:tabs>
        <w:spacing w:line="240" w:lineRule="auto" w:before="0" w:after="0"/>
        <w:ind w:left="1287" w:right="0" w:hanging="681"/>
        <w:jc w:val="left"/>
        <w:rPr>
          <w:sz w:val="20"/>
        </w:rPr>
      </w:pPr>
      <w:r>
        <w:rPr>
          <w:w w:val="120"/>
          <w:sz w:val="20"/>
        </w:rPr>
        <w:t>By changes within the roll of ministers:</w:t>
      </w:r>
      <w:r>
        <w:rPr>
          <w:spacing w:val="13"/>
          <w:w w:val="120"/>
          <w:sz w:val="20"/>
        </w:rPr>
        <w:t> </w:t>
      </w:r>
      <w:r>
        <w:rPr>
          <w:w w:val="120"/>
          <w:sz w:val="20"/>
        </w:rPr>
        <w:t>none</w:t>
      </w:r>
    </w:p>
    <w:p>
      <w:pPr>
        <w:pStyle w:val="BodyText"/>
        <w:spacing w:before="8"/>
        <w:rPr>
          <w:sz w:val="19"/>
        </w:rPr>
      </w:pPr>
    </w:p>
    <w:p>
      <w:pPr>
        <w:pStyle w:val="ListParagraph"/>
        <w:numPr>
          <w:ilvl w:val="1"/>
          <w:numId w:val="172"/>
        </w:numPr>
        <w:tabs>
          <w:tab w:pos="1287" w:val="left" w:leader="none"/>
          <w:tab w:pos="1288" w:val="left" w:leader="none"/>
        </w:tabs>
        <w:spacing w:line="235" w:lineRule="auto" w:before="0" w:after="0"/>
        <w:ind w:left="607" w:right="2481" w:firstLine="0"/>
        <w:jc w:val="left"/>
        <w:rPr>
          <w:sz w:val="20"/>
        </w:rPr>
      </w:pPr>
      <w:r>
        <w:rPr>
          <w:w w:val="120"/>
          <w:sz w:val="20"/>
        </w:rPr>
        <w:t>Deletions from the roll of ministers by resignation and/or transfer to another denomination or by the disciplinary</w:t>
      </w:r>
      <w:r>
        <w:rPr>
          <w:spacing w:val="12"/>
          <w:w w:val="120"/>
          <w:sz w:val="20"/>
        </w:rPr>
        <w:t> </w:t>
      </w:r>
      <w:r>
        <w:rPr>
          <w:w w:val="120"/>
          <w:sz w:val="20"/>
        </w:rPr>
        <w:t>process</w:t>
      </w:r>
    </w:p>
    <w:p>
      <w:pPr>
        <w:pStyle w:val="BodyText"/>
        <w:spacing w:line="235" w:lineRule="auto" w:before="2"/>
        <w:ind w:left="1967" w:right="1704"/>
      </w:pPr>
      <w:r>
        <w:rPr>
          <w:w w:val="125"/>
        </w:rPr>
        <w:t>Philip Baiden (Evangelical Presbyterian Church in England and </w:t>
      </w:r>
      <w:r>
        <w:rPr>
          <w:spacing w:val="-4"/>
          <w:w w:val="125"/>
        </w:rPr>
        <w:t>Wales), </w:t>
      </w:r>
      <w:r>
        <w:rPr>
          <w:w w:val="125"/>
        </w:rPr>
        <w:t>Angela Cotton </w:t>
      </w:r>
      <w:r>
        <w:rPr>
          <w:spacing w:val="-3"/>
          <w:w w:val="125"/>
        </w:rPr>
        <w:t>(resigned), </w:t>
      </w:r>
      <w:r>
        <w:rPr>
          <w:w w:val="125"/>
        </w:rPr>
        <w:t>Neil Eldridge, Lance Stone </w:t>
      </w:r>
      <w:r>
        <w:rPr>
          <w:spacing w:val="-3"/>
          <w:w w:val="125"/>
        </w:rPr>
        <w:t>(Church </w:t>
      </w:r>
      <w:r>
        <w:rPr>
          <w:w w:val="125"/>
        </w:rPr>
        <w:t>of Scotland) and Ian Wiseman </w:t>
      </w:r>
      <w:r>
        <w:rPr>
          <w:spacing w:val="-3"/>
          <w:w w:val="125"/>
        </w:rPr>
        <w:t>(Church </w:t>
      </w:r>
      <w:r>
        <w:rPr>
          <w:w w:val="125"/>
        </w:rPr>
        <w:t>of Scotland).</w:t>
      </w:r>
    </w:p>
    <w:p>
      <w:pPr>
        <w:pStyle w:val="BodyText"/>
        <w:spacing w:before="2"/>
        <w:rPr>
          <w:sz w:val="22"/>
        </w:rPr>
      </w:pPr>
    </w:p>
    <w:p>
      <w:pPr>
        <w:spacing w:before="0"/>
        <w:ind w:left="607" w:right="0" w:firstLine="0"/>
        <w:jc w:val="left"/>
        <w:rPr>
          <w:rFonts w:ascii="Stone Sans II ITC Std Bk"/>
          <w:b/>
          <w:sz w:val="29"/>
        </w:rPr>
      </w:pPr>
      <w:r>
        <w:rPr>
          <w:rFonts w:ascii="Stone Sans II ITC Std Bk"/>
          <w:b/>
          <w:w w:val="110"/>
          <w:sz w:val="29"/>
        </w:rPr>
        <w:t>Church related community workers</w:t>
      </w:r>
    </w:p>
    <w:p>
      <w:pPr>
        <w:spacing w:line="223" w:lineRule="auto" w:before="67"/>
        <w:ind w:left="1287" w:right="1704" w:firstLine="0"/>
        <w:jc w:val="left"/>
        <w:rPr>
          <w:sz w:val="20"/>
        </w:rPr>
      </w:pPr>
      <w:r>
        <w:rPr>
          <w:rFonts w:ascii="Stone Sans II ITC Std Bk"/>
          <w:b/>
          <w:w w:val="115"/>
          <w:sz w:val="20"/>
        </w:rPr>
        <w:t>Admission</w:t>
      </w:r>
      <w:r>
        <w:rPr>
          <w:rFonts w:ascii="Stone Sans II ITC Std Bk"/>
          <w:b/>
          <w:spacing w:val="-21"/>
          <w:w w:val="115"/>
          <w:sz w:val="20"/>
        </w:rPr>
        <w:t> </w:t>
      </w:r>
      <w:r>
        <w:rPr>
          <w:rFonts w:ascii="Stone Sans II ITC Std Bk"/>
          <w:b/>
          <w:w w:val="115"/>
          <w:sz w:val="20"/>
        </w:rPr>
        <w:t>to</w:t>
      </w:r>
      <w:r>
        <w:rPr>
          <w:rFonts w:ascii="Stone Sans II ITC Std Bk"/>
          <w:b/>
          <w:spacing w:val="-21"/>
          <w:w w:val="115"/>
          <w:sz w:val="20"/>
        </w:rPr>
        <w:t> </w:t>
      </w:r>
      <w:r>
        <w:rPr>
          <w:rFonts w:ascii="Stone Sans II ITC Std Bk"/>
          <w:b/>
          <w:w w:val="115"/>
          <w:sz w:val="20"/>
        </w:rPr>
        <w:t>the</w:t>
      </w:r>
      <w:r>
        <w:rPr>
          <w:rFonts w:ascii="Stone Sans II ITC Std Bk"/>
          <w:b/>
          <w:spacing w:val="-20"/>
          <w:w w:val="115"/>
          <w:sz w:val="20"/>
        </w:rPr>
        <w:t> </w:t>
      </w:r>
      <w:r>
        <w:rPr>
          <w:rFonts w:ascii="Stone Sans II ITC Std Bk"/>
          <w:b/>
          <w:w w:val="115"/>
          <w:sz w:val="20"/>
        </w:rPr>
        <w:t>roll</w:t>
      </w:r>
      <w:r>
        <w:rPr>
          <w:rFonts w:ascii="Stone Sans II ITC Std Bk"/>
          <w:b/>
          <w:spacing w:val="-21"/>
          <w:w w:val="115"/>
          <w:sz w:val="20"/>
        </w:rPr>
        <w:t> </w:t>
      </w:r>
      <w:r>
        <w:rPr>
          <w:rFonts w:ascii="Stone Sans II ITC Std Bk"/>
          <w:b/>
          <w:w w:val="115"/>
          <w:sz w:val="20"/>
        </w:rPr>
        <w:t>of</w:t>
      </w:r>
      <w:r>
        <w:rPr>
          <w:rFonts w:ascii="Stone Sans II ITC Std Bk"/>
          <w:b/>
          <w:spacing w:val="-20"/>
          <w:w w:val="115"/>
          <w:sz w:val="20"/>
        </w:rPr>
        <w:t> </w:t>
      </w:r>
      <w:r>
        <w:rPr>
          <w:rFonts w:ascii="Stone Sans II ITC Std Bk"/>
          <w:b/>
          <w:w w:val="115"/>
          <w:sz w:val="20"/>
        </w:rPr>
        <w:t>church</w:t>
      </w:r>
      <w:r>
        <w:rPr>
          <w:rFonts w:ascii="Stone Sans II ITC Std Bk"/>
          <w:b/>
          <w:spacing w:val="-21"/>
          <w:w w:val="115"/>
          <w:sz w:val="20"/>
        </w:rPr>
        <w:t> </w:t>
      </w:r>
      <w:r>
        <w:rPr>
          <w:rFonts w:ascii="Stone Sans II ITC Std Bk"/>
          <w:b/>
          <w:w w:val="115"/>
          <w:sz w:val="20"/>
        </w:rPr>
        <w:t>related</w:t>
      </w:r>
      <w:r>
        <w:rPr>
          <w:rFonts w:ascii="Stone Sans II ITC Std Bk"/>
          <w:b/>
          <w:spacing w:val="-21"/>
          <w:w w:val="115"/>
          <w:sz w:val="20"/>
        </w:rPr>
        <w:t> </w:t>
      </w:r>
      <w:r>
        <w:rPr>
          <w:rFonts w:ascii="Stone Sans II ITC Std Bk"/>
          <w:b/>
          <w:w w:val="115"/>
          <w:sz w:val="20"/>
        </w:rPr>
        <w:t>community</w:t>
      </w:r>
      <w:r>
        <w:rPr>
          <w:rFonts w:ascii="Stone Sans II ITC Std Bk"/>
          <w:b/>
          <w:spacing w:val="-20"/>
          <w:w w:val="115"/>
          <w:sz w:val="20"/>
        </w:rPr>
        <w:t> </w:t>
      </w:r>
      <w:r>
        <w:rPr>
          <w:rFonts w:ascii="Stone Sans II ITC Std Bk"/>
          <w:b/>
          <w:w w:val="115"/>
          <w:sz w:val="20"/>
        </w:rPr>
        <w:t>workers</w:t>
      </w:r>
      <w:r>
        <w:rPr>
          <w:rFonts w:ascii="Stone Sans II ITC Std Bk"/>
          <w:b/>
          <w:spacing w:val="-22"/>
          <w:w w:val="115"/>
          <w:sz w:val="20"/>
        </w:rPr>
        <w:t> </w:t>
      </w:r>
      <w:r>
        <w:rPr>
          <w:w w:val="115"/>
          <w:sz w:val="20"/>
        </w:rPr>
        <w:t>(from</w:t>
      </w:r>
      <w:r>
        <w:rPr>
          <w:spacing w:val="-13"/>
          <w:w w:val="115"/>
          <w:sz w:val="20"/>
        </w:rPr>
        <w:t> </w:t>
      </w:r>
      <w:r>
        <w:rPr>
          <w:w w:val="115"/>
          <w:sz w:val="20"/>
        </w:rPr>
        <w:t>1</w:t>
      </w:r>
      <w:r>
        <w:rPr>
          <w:spacing w:val="-13"/>
          <w:w w:val="115"/>
          <w:sz w:val="20"/>
        </w:rPr>
        <w:t> </w:t>
      </w:r>
      <w:r>
        <w:rPr>
          <w:spacing w:val="2"/>
          <w:w w:val="115"/>
          <w:sz w:val="20"/>
        </w:rPr>
        <w:t>February </w:t>
      </w:r>
      <w:r>
        <w:rPr>
          <w:spacing w:val="-7"/>
          <w:w w:val="115"/>
          <w:sz w:val="20"/>
        </w:rPr>
        <w:t>2014 </w:t>
      </w:r>
      <w:r>
        <w:rPr>
          <w:w w:val="115"/>
          <w:sz w:val="20"/>
        </w:rPr>
        <w:t>to </w:t>
      </w:r>
      <w:r>
        <w:rPr>
          <w:spacing w:val="-7"/>
          <w:w w:val="115"/>
          <w:sz w:val="20"/>
        </w:rPr>
        <w:t>31 </w:t>
      </w:r>
      <w:r>
        <w:rPr>
          <w:w w:val="115"/>
          <w:sz w:val="20"/>
        </w:rPr>
        <w:t>January</w:t>
      </w:r>
      <w:r>
        <w:rPr>
          <w:spacing w:val="36"/>
          <w:w w:val="115"/>
          <w:sz w:val="20"/>
        </w:rPr>
        <w:t> </w:t>
      </w:r>
      <w:r>
        <w:rPr>
          <w:spacing w:val="-6"/>
          <w:w w:val="115"/>
          <w:sz w:val="20"/>
        </w:rPr>
        <w:t>2016)</w:t>
      </w:r>
    </w:p>
    <w:p>
      <w:pPr>
        <w:pStyle w:val="BodyText"/>
        <w:spacing w:before="8"/>
        <w:rPr>
          <w:sz w:val="19"/>
        </w:rPr>
      </w:pPr>
    </w:p>
    <w:p>
      <w:pPr>
        <w:pStyle w:val="BodyText"/>
        <w:tabs>
          <w:tab w:pos="1287" w:val="left" w:leader="none"/>
        </w:tabs>
        <w:spacing w:line="242" w:lineRule="exact"/>
        <w:ind w:left="607"/>
      </w:pPr>
      <w:r>
        <w:rPr>
          <w:spacing w:val="-3"/>
          <w:w w:val="120"/>
        </w:rPr>
        <w:t>5.</w:t>
        <w:tab/>
      </w:r>
      <w:r>
        <w:rPr>
          <w:w w:val="120"/>
        </w:rPr>
        <w:t>By</w:t>
      </w:r>
      <w:r>
        <w:rPr>
          <w:spacing w:val="2"/>
          <w:w w:val="120"/>
        </w:rPr>
        <w:t> </w:t>
      </w:r>
      <w:r>
        <w:rPr>
          <w:w w:val="120"/>
        </w:rPr>
        <w:t>commissioning:</w:t>
      </w:r>
    </w:p>
    <w:p>
      <w:pPr>
        <w:pStyle w:val="BodyText"/>
        <w:spacing w:line="242" w:lineRule="exact"/>
        <w:ind w:left="1967"/>
      </w:pPr>
      <w:r>
        <w:rPr>
          <w:w w:val="120"/>
        </w:rPr>
        <w:t>Kirsty Mabbott.</w:t>
      </w:r>
    </w:p>
    <w:p>
      <w:pPr>
        <w:pStyle w:val="BodyText"/>
        <w:rPr>
          <w:sz w:val="22"/>
        </w:rPr>
      </w:pPr>
    </w:p>
    <w:p>
      <w:pPr>
        <w:spacing w:before="0"/>
        <w:ind w:left="607" w:right="0" w:firstLine="0"/>
        <w:jc w:val="left"/>
        <w:rPr>
          <w:rFonts w:ascii="Stone Sans II ITC Std Bk"/>
          <w:b/>
          <w:sz w:val="29"/>
        </w:rPr>
      </w:pPr>
      <w:r>
        <w:rPr>
          <w:rFonts w:ascii="Stone Sans II ITC Std Bk"/>
          <w:b/>
          <w:w w:val="110"/>
          <w:sz w:val="29"/>
        </w:rPr>
        <w:t>Assembly-accredited lay preachers</w:t>
      </w:r>
    </w:p>
    <w:p>
      <w:pPr>
        <w:pStyle w:val="ListParagraph"/>
        <w:numPr>
          <w:ilvl w:val="1"/>
          <w:numId w:val="173"/>
        </w:numPr>
        <w:tabs>
          <w:tab w:pos="1287" w:val="left" w:leader="none"/>
          <w:tab w:pos="1288" w:val="left" w:leader="none"/>
        </w:tabs>
        <w:spacing w:line="235" w:lineRule="auto" w:before="69" w:after="0"/>
        <w:ind w:left="607" w:right="2001" w:firstLine="0"/>
        <w:jc w:val="left"/>
        <w:rPr>
          <w:sz w:val="20"/>
        </w:rPr>
      </w:pPr>
      <w:r>
        <w:rPr>
          <w:w w:val="120"/>
          <w:sz w:val="20"/>
        </w:rPr>
        <w:t>The following have received Assembly accreditation between 1 </w:t>
      </w:r>
      <w:r>
        <w:rPr>
          <w:spacing w:val="2"/>
          <w:w w:val="120"/>
          <w:sz w:val="20"/>
        </w:rPr>
        <w:t>February </w:t>
      </w:r>
      <w:r>
        <w:rPr>
          <w:spacing w:val="-7"/>
          <w:w w:val="120"/>
          <w:sz w:val="20"/>
        </w:rPr>
        <w:t>2014 </w:t>
      </w:r>
      <w:r>
        <w:rPr>
          <w:w w:val="120"/>
          <w:sz w:val="20"/>
        </w:rPr>
        <w:t>to </w:t>
      </w:r>
      <w:r>
        <w:rPr>
          <w:spacing w:val="-7"/>
          <w:w w:val="120"/>
          <w:sz w:val="20"/>
        </w:rPr>
        <w:t>31 </w:t>
      </w:r>
      <w:r>
        <w:rPr>
          <w:w w:val="120"/>
          <w:sz w:val="20"/>
        </w:rPr>
        <w:t>January </w:t>
      </w:r>
      <w:r>
        <w:rPr>
          <w:spacing w:val="-7"/>
          <w:w w:val="120"/>
          <w:sz w:val="20"/>
        </w:rPr>
        <w:t>2016 </w:t>
      </w:r>
      <w:r>
        <w:rPr>
          <w:w w:val="120"/>
          <w:sz w:val="20"/>
        </w:rPr>
        <w:t>as a result of having completed a URC course of study or having prior accreditation from another</w:t>
      </w:r>
      <w:r>
        <w:rPr>
          <w:spacing w:val="5"/>
          <w:w w:val="120"/>
          <w:sz w:val="20"/>
        </w:rPr>
        <w:t> </w:t>
      </w:r>
      <w:r>
        <w:rPr>
          <w:w w:val="120"/>
          <w:sz w:val="20"/>
        </w:rPr>
        <w:t>denomination.</w:t>
      </w:r>
    </w:p>
    <w:p>
      <w:pPr>
        <w:pStyle w:val="BodyText"/>
        <w:spacing w:before="6"/>
        <w:rPr>
          <w:sz w:val="19"/>
        </w:rPr>
      </w:pPr>
    </w:p>
    <w:p>
      <w:pPr>
        <w:pStyle w:val="BodyText"/>
        <w:tabs>
          <w:tab w:pos="3487" w:val="left" w:leader="none"/>
        </w:tabs>
        <w:spacing w:line="242" w:lineRule="exact" w:before="1"/>
        <w:ind w:left="1287"/>
      </w:pPr>
      <w:r>
        <w:rPr>
          <w:w w:val="120"/>
        </w:rPr>
        <w:t>Northern:</w:t>
        <w:tab/>
        <w:t>Ann</w:t>
      </w:r>
      <w:r>
        <w:rPr>
          <w:spacing w:val="1"/>
          <w:w w:val="120"/>
        </w:rPr>
        <w:t> </w:t>
      </w:r>
      <w:r>
        <w:rPr>
          <w:w w:val="120"/>
        </w:rPr>
        <w:t>Sinclair</w:t>
      </w:r>
    </w:p>
    <w:p>
      <w:pPr>
        <w:pStyle w:val="BodyText"/>
        <w:tabs>
          <w:tab w:pos="3487" w:val="left" w:leader="none"/>
        </w:tabs>
        <w:spacing w:line="240" w:lineRule="exact"/>
        <w:ind w:left="1287"/>
      </w:pPr>
      <w:r>
        <w:rPr>
          <w:w w:val="120"/>
        </w:rPr>
        <w:t>Mersey:</w:t>
        <w:tab/>
        <w:t>Marje</w:t>
      </w:r>
      <w:r>
        <w:rPr>
          <w:spacing w:val="1"/>
          <w:w w:val="120"/>
        </w:rPr>
        <w:t> </w:t>
      </w:r>
      <w:r>
        <w:rPr>
          <w:w w:val="120"/>
        </w:rPr>
        <w:t>Robinson</w:t>
      </w:r>
    </w:p>
    <w:p>
      <w:pPr>
        <w:pStyle w:val="BodyText"/>
        <w:tabs>
          <w:tab w:pos="3487" w:val="left" w:leader="none"/>
        </w:tabs>
        <w:spacing w:line="240" w:lineRule="exact"/>
        <w:ind w:left="1287"/>
      </w:pPr>
      <w:r>
        <w:rPr>
          <w:w w:val="120"/>
        </w:rPr>
        <w:t>East</w:t>
      </w:r>
      <w:r>
        <w:rPr>
          <w:spacing w:val="-3"/>
          <w:w w:val="120"/>
        </w:rPr>
        <w:t> </w:t>
      </w:r>
      <w:r>
        <w:rPr>
          <w:w w:val="120"/>
        </w:rPr>
        <w:t>Midlands:</w:t>
        <w:tab/>
        <w:t>John McLean, Magnus Ramage and Valerie</w:t>
      </w:r>
      <w:r>
        <w:rPr>
          <w:spacing w:val="11"/>
          <w:w w:val="120"/>
        </w:rPr>
        <w:t> </w:t>
      </w:r>
      <w:r>
        <w:rPr>
          <w:w w:val="120"/>
        </w:rPr>
        <w:t>Smith</w:t>
      </w:r>
    </w:p>
    <w:p>
      <w:pPr>
        <w:pStyle w:val="BodyText"/>
        <w:tabs>
          <w:tab w:pos="3487" w:val="left" w:leader="none"/>
        </w:tabs>
        <w:spacing w:line="235" w:lineRule="auto" w:before="1"/>
        <w:ind w:left="1287" w:right="2208"/>
      </w:pPr>
      <w:r>
        <w:rPr>
          <w:w w:val="120"/>
        </w:rPr>
        <w:t>West</w:t>
      </w:r>
      <w:r>
        <w:rPr>
          <w:spacing w:val="-6"/>
          <w:w w:val="120"/>
        </w:rPr>
        <w:t> </w:t>
      </w:r>
      <w:r>
        <w:rPr>
          <w:w w:val="120"/>
        </w:rPr>
        <w:t>Midlands:</w:t>
        <w:tab/>
        <w:t>Barbara McDowell, Dave </w:t>
      </w:r>
      <w:r>
        <w:rPr>
          <w:spacing w:val="-3"/>
          <w:w w:val="120"/>
        </w:rPr>
        <w:t>Treweeke </w:t>
      </w:r>
      <w:r>
        <w:rPr>
          <w:w w:val="120"/>
        </w:rPr>
        <w:t>and Christopher Wall Eastern:</w:t>
        <w:tab/>
        <w:t>Moira Baptie, Denise Beckley, </w:t>
      </w:r>
      <w:r>
        <w:rPr>
          <w:spacing w:val="2"/>
          <w:w w:val="120"/>
        </w:rPr>
        <w:t>Robert </w:t>
      </w:r>
      <w:r>
        <w:rPr>
          <w:w w:val="120"/>
        </w:rPr>
        <w:t>Dart</w:t>
      </w:r>
      <w:r>
        <w:rPr>
          <w:spacing w:val="7"/>
          <w:w w:val="120"/>
        </w:rPr>
        <w:t> </w:t>
      </w:r>
      <w:r>
        <w:rPr>
          <w:w w:val="120"/>
        </w:rPr>
        <w:t>and</w:t>
      </w:r>
    </w:p>
    <w:p>
      <w:pPr>
        <w:pStyle w:val="BodyText"/>
        <w:spacing w:line="240" w:lineRule="exact"/>
        <w:ind w:left="3487"/>
      </w:pPr>
      <w:r>
        <w:rPr>
          <w:w w:val="120"/>
        </w:rPr>
        <w:t>Heather Smethurst</w:t>
      </w:r>
    </w:p>
    <w:p>
      <w:pPr>
        <w:pStyle w:val="BodyText"/>
        <w:tabs>
          <w:tab w:pos="3487" w:val="left" w:leader="none"/>
        </w:tabs>
        <w:spacing w:line="235" w:lineRule="auto" w:before="2"/>
        <w:ind w:left="1287" w:right="4033"/>
      </w:pPr>
      <w:r>
        <w:rPr>
          <w:w w:val="120"/>
        </w:rPr>
        <w:t>South</w:t>
      </w:r>
      <w:r>
        <w:rPr>
          <w:spacing w:val="-5"/>
          <w:w w:val="120"/>
        </w:rPr>
        <w:t> </w:t>
      </w:r>
      <w:r>
        <w:rPr>
          <w:w w:val="120"/>
        </w:rPr>
        <w:t>Western:</w:t>
        <w:tab/>
        <w:t>Thérèse Bourcier-Mayo and Pat Clarke Wessex:</w:t>
        <w:tab/>
        <w:t>Helen Everard and Louise</w:t>
      </w:r>
      <w:r>
        <w:rPr>
          <w:spacing w:val="19"/>
          <w:w w:val="120"/>
        </w:rPr>
        <w:t> </w:t>
      </w:r>
      <w:r>
        <w:rPr>
          <w:w w:val="120"/>
        </w:rPr>
        <w:t>Shrubsole</w:t>
      </w:r>
    </w:p>
    <w:p>
      <w:pPr>
        <w:pStyle w:val="BodyText"/>
        <w:tabs>
          <w:tab w:pos="3487" w:val="left" w:leader="none"/>
        </w:tabs>
        <w:spacing w:line="235" w:lineRule="auto" w:before="1"/>
        <w:ind w:left="3487" w:right="1907" w:hanging="2200"/>
      </w:pPr>
      <w:r>
        <w:rPr>
          <w:w w:val="120"/>
        </w:rPr>
        <w:t>Thames</w:t>
      </w:r>
      <w:r>
        <w:rPr>
          <w:spacing w:val="5"/>
          <w:w w:val="120"/>
        </w:rPr>
        <w:t> </w:t>
      </w:r>
      <w:r>
        <w:rPr>
          <w:w w:val="120"/>
        </w:rPr>
        <w:t>North:</w:t>
        <w:tab/>
        <w:t>Geneva Adjei, Margaret Colville, Elisa Hoeschl de Gusmão Reuben</w:t>
      </w:r>
      <w:r>
        <w:rPr>
          <w:spacing w:val="-10"/>
          <w:w w:val="120"/>
        </w:rPr>
        <w:t> </w:t>
      </w:r>
      <w:r>
        <w:rPr>
          <w:w w:val="120"/>
        </w:rPr>
        <w:t>John,</w:t>
      </w:r>
      <w:r>
        <w:rPr>
          <w:spacing w:val="-9"/>
          <w:w w:val="120"/>
        </w:rPr>
        <w:t> </w:t>
      </w:r>
      <w:r>
        <w:rPr>
          <w:w w:val="120"/>
        </w:rPr>
        <w:t>Laura</w:t>
      </w:r>
      <w:r>
        <w:rPr>
          <w:spacing w:val="-9"/>
          <w:w w:val="120"/>
        </w:rPr>
        <w:t> </w:t>
      </w:r>
      <w:r>
        <w:rPr>
          <w:spacing w:val="-3"/>
          <w:w w:val="120"/>
        </w:rPr>
        <w:t>Marlow,</w:t>
      </w:r>
      <w:r>
        <w:rPr>
          <w:spacing w:val="-9"/>
          <w:w w:val="120"/>
        </w:rPr>
        <w:t> </w:t>
      </w:r>
      <w:r>
        <w:rPr>
          <w:w w:val="120"/>
        </w:rPr>
        <w:t>Rachel</w:t>
      </w:r>
      <w:r>
        <w:rPr>
          <w:spacing w:val="-9"/>
          <w:w w:val="120"/>
        </w:rPr>
        <w:t> </w:t>
      </w:r>
      <w:r>
        <w:rPr>
          <w:spacing w:val="-3"/>
          <w:w w:val="120"/>
        </w:rPr>
        <w:t>St</w:t>
      </w:r>
      <w:r>
        <w:rPr>
          <w:spacing w:val="-9"/>
          <w:w w:val="120"/>
        </w:rPr>
        <w:t> </w:t>
      </w:r>
      <w:r>
        <w:rPr>
          <w:w w:val="120"/>
        </w:rPr>
        <w:t>Clair</w:t>
      </w:r>
      <w:r>
        <w:rPr>
          <w:spacing w:val="-9"/>
          <w:w w:val="120"/>
        </w:rPr>
        <w:t> </w:t>
      </w:r>
      <w:r>
        <w:rPr>
          <w:w w:val="120"/>
        </w:rPr>
        <w:t>and</w:t>
      </w:r>
      <w:r>
        <w:rPr>
          <w:spacing w:val="-9"/>
          <w:w w:val="120"/>
        </w:rPr>
        <w:t> </w:t>
      </w:r>
      <w:r>
        <w:rPr>
          <w:w w:val="120"/>
        </w:rPr>
        <w:t>Anne</w:t>
      </w:r>
      <w:r>
        <w:rPr>
          <w:spacing w:val="-9"/>
          <w:w w:val="120"/>
        </w:rPr>
        <w:t> </w:t>
      </w:r>
      <w:r>
        <w:rPr>
          <w:spacing w:val="-3"/>
          <w:w w:val="120"/>
        </w:rPr>
        <w:t>Walton</w:t>
      </w:r>
    </w:p>
    <w:p>
      <w:pPr>
        <w:pStyle w:val="BodyText"/>
        <w:tabs>
          <w:tab w:pos="3487" w:val="left" w:leader="none"/>
        </w:tabs>
        <w:spacing w:line="235" w:lineRule="auto" w:before="2"/>
        <w:ind w:left="1287" w:right="2709"/>
      </w:pPr>
      <w:r>
        <w:rPr>
          <w:w w:val="120"/>
        </w:rPr>
        <w:t>Southern:</w:t>
        <w:tab/>
        <w:t>Hamish Cook, Lynne Le Masonry and Heather Ward Wales:</w:t>
        <w:tab/>
        <w:t>Verena</w:t>
      </w:r>
      <w:r>
        <w:rPr>
          <w:spacing w:val="1"/>
          <w:w w:val="120"/>
        </w:rPr>
        <w:t> </w:t>
      </w:r>
      <w:r>
        <w:rPr>
          <w:w w:val="120"/>
        </w:rPr>
        <w:t>Walder</w:t>
      </w:r>
    </w:p>
    <w:p>
      <w:pPr>
        <w:pStyle w:val="BodyText"/>
        <w:tabs>
          <w:tab w:pos="3487" w:val="left" w:leader="none"/>
        </w:tabs>
        <w:spacing w:line="242" w:lineRule="exact"/>
        <w:ind w:left="1287"/>
      </w:pPr>
      <w:r>
        <w:rPr>
          <w:w w:val="120"/>
        </w:rPr>
        <w:t>Scotland:</w:t>
        <w:tab/>
        <w:t>John</w:t>
      </w:r>
      <w:r>
        <w:rPr>
          <w:spacing w:val="2"/>
          <w:w w:val="120"/>
        </w:rPr>
        <w:t> </w:t>
      </w:r>
      <w:r>
        <w:rPr>
          <w:w w:val="120"/>
        </w:rPr>
        <w:t>Collings</w:t>
      </w:r>
    </w:p>
    <w:p>
      <w:pPr>
        <w:pStyle w:val="BodyText"/>
        <w:spacing w:before="8"/>
        <w:rPr>
          <w:sz w:val="19"/>
        </w:rPr>
      </w:pPr>
    </w:p>
    <w:p>
      <w:pPr>
        <w:pStyle w:val="ListParagraph"/>
        <w:numPr>
          <w:ilvl w:val="1"/>
          <w:numId w:val="173"/>
        </w:numPr>
        <w:tabs>
          <w:tab w:pos="1287" w:val="left" w:leader="none"/>
          <w:tab w:pos="1288" w:val="left" w:leader="none"/>
        </w:tabs>
        <w:spacing w:line="235" w:lineRule="auto" w:before="0" w:after="0"/>
        <w:ind w:left="607" w:right="1974" w:firstLine="0"/>
        <w:jc w:val="left"/>
        <w:rPr>
          <w:sz w:val="20"/>
        </w:rPr>
      </w:pPr>
      <w:r>
        <w:rPr>
          <w:w w:val="120"/>
          <w:sz w:val="20"/>
        </w:rPr>
        <w:t>Twenty-three of these lay preachers had successfully studied through Training for Learning and</w:t>
      </w:r>
      <w:r>
        <w:rPr>
          <w:spacing w:val="4"/>
          <w:w w:val="120"/>
          <w:sz w:val="20"/>
        </w:rPr>
        <w:t> </w:t>
      </w:r>
      <w:r>
        <w:rPr>
          <w:w w:val="120"/>
          <w:sz w:val="20"/>
        </w:rPr>
        <w:t>Serving.</w:t>
      </w:r>
    </w:p>
    <w:p>
      <w:pPr>
        <w:pStyle w:val="BodyText"/>
        <w:spacing w:before="1"/>
        <w:rPr>
          <w:sz w:val="22"/>
        </w:rPr>
      </w:pPr>
    </w:p>
    <w:p>
      <w:pPr>
        <w:spacing w:before="1"/>
        <w:ind w:left="607" w:right="0" w:firstLine="0"/>
        <w:jc w:val="left"/>
        <w:rPr>
          <w:rFonts w:ascii="Stone Sans II ITC Std Bk"/>
          <w:b/>
          <w:sz w:val="29"/>
        </w:rPr>
      </w:pPr>
      <w:r>
        <w:rPr>
          <w:rFonts w:ascii="Stone Sans II ITC Std Bk"/>
          <w:b/>
          <w:w w:val="110"/>
          <w:sz w:val="29"/>
        </w:rPr>
        <w:t>Merging accreditation and CRCW subcommittees</w:t>
      </w:r>
    </w:p>
    <w:p>
      <w:pPr>
        <w:pStyle w:val="ListParagraph"/>
        <w:numPr>
          <w:ilvl w:val="0"/>
          <w:numId w:val="174"/>
        </w:numPr>
        <w:tabs>
          <w:tab w:pos="1287" w:val="left" w:leader="none"/>
          <w:tab w:pos="1288" w:val="left" w:leader="none"/>
        </w:tabs>
        <w:spacing w:line="235" w:lineRule="auto" w:before="69" w:after="0"/>
        <w:ind w:left="607" w:right="2097" w:firstLine="0"/>
        <w:jc w:val="left"/>
        <w:rPr>
          <w:sz w:val="20"/>
        </w:rPr>
      </w:pPr>
      <w:r>
        <w:rPr>
          <w:w w:val="120"/>
          <w:sz w:val="20"/>
        </w:rPr>
        <w:t>In response to the Mission Council paper ‘Hearing God More Clearly’, the accreditation and CRCW subcommittees met in January </w:t>
      </w:r>
      <w:r>
        <w:rPr>
          <w:spacing w:val="-7"/>
          <w:w w:val="120"/>
          <w:sz w:val="20"/>
        </w:rPr>
        <w:t>2016 </w:t>
      </w:r>
      <w:r>
        <w:rPr>
          <w:w w:val="120"/>
          <w:sz w:val="20"/>
        </w:rPr>
        <w:t>to begin a conversation about how we might work together with the possibility of eventually merging into one smaller subcommittee. The meeting was fruitful and the conversation</w:t>
      </w:r>
      <w:r>
        <w:rPr>
          <w:spacing w:val="20"/>
          <w:w w:val="120"/>
          <w:sz w:val="20"/>
        </w:rPr>
        <w:t> </w:t>
      </w:r>
      <w:r>
        <w:rPr>
          <w:w w:val="120"/>
          <w:sz w:val="20"/>
        </w:rPr>
        <w:t>continues.</w:t>
      </w:r>
    </w:p>
    <w:p>
      <w:pPr>
        <w:spacing w:after="0" w:line="235" w:lineRule="auto"/>
        <w:jc w:val="left"/>
        <w:rPr>
          <w:sz w:val="20"/>
        </w:rPr>
        <w:sectPr>
          <w:headerReference w:type="even" r:id="rId400"/>
          <w:pgSz w:w="11910" w:h="16840"/>
          <w:pgMar w:header="0" w:footer="647" w:top="0" w:bottom="840" w:left="640" w:right="0"/>
        </w:sectPr>
      </w:pPr>
    </w:p>
    <w:p>
      <w:pPr>
        <w:pStyle w:val="BodyText"/>
      </w:pPr>
      <w:r>
        <w:rPr/>
        <w:drawing>
          <wp:anchor distT="0" distB="0" distL="0" distR="0" allowOverlap="1" layoutInCell="1" locked="0" behindDoc="0" simplePos="0" relativeHeight="252040192">
            <wp:simplePos x="0" y="0"/>
            <wp:positionH relativeFrom="page">
              <wp:posOffset>6974928</wp:posOffset>
            </wp:positionH>
            <wp:positionV relativeFrom="page">
              <wp:posOffset>0</wp:posOffset>
            </wp:positionV>
            <wp:extent cx="585063" cy="10692003"/>
            <wp:effectExtent l="0" t="0" r="0" b="0"/>
            <wp:wrapNone/>
            <wp:docPr id="275" name="image54.png"/>
            <wp:cNvGraphicFramePr>
              <a:graphicFrameLocks noChangeAspect="1"/>
            </wp:cNvGraphicFramePr>
            <a:graphic>
              <a:graphicData uri="http://schemas.openxmlformats.org/drawingml/2006/picture">
                <pic:pic>
                  <pic:nvPicPr>
                    <pic:cNvPr id="276" name="image54.png"/>
                    <pic:cNvPicPr/>
                  </pic:nvPicPr>
                  <pic:blipFill>
                    <a:blip r:embed="rId169" cstate="print"/>
                    <a:stretch>
                      <a:fillRect/>
                    </a:stretch>
                  </pic:blipFill>
                  <pic:spPr>
                    <a:xfrm>
                      <a:off x="0" y="0"/>
                      <a:ext cx="585063" cy="10692003"/>
                    </a:xfrm>
                    <a:prstGeom prst="rect">
                      <a:avLst/>
                    </a:prstGeom>
                  </pic:spPr>
                </pic:pic>
              </a:graphicData>
            </a:graphic>
          </wp:anchor>
        </w:drawing>
      </w:r>
    </w:p>
    <w:p>
      <w:pPr>
        <w:pStyle w:val="BodyText"/>
        <w:spacing w:before="7"/>
        <w:rPr>
          <w:sz w:val="21"/>
        </w:rPr>
      </w:pPr>
    </w:p>
    <w:p>
      <w:pPr>
        <w:spacing w:before="106"/>
        <w:ind w:left="0" w:right="1245" w:firstLine="0"/>
        <w:jc w:val="right"/>
        <w:rPr>
          <w:sz w:val="26"/>
        </w:rPr>
      </w:pPr>
      <w:r>
        <w:rPr/>
        <w:pict>
          <v:shape style="position:absolute;margin-left:554.141174pt;margin-top:22.593945pt;width:25.9pt;height:183.85pt;mso-position-horizontal-relative:page;mso-position-vertical-relative:paragraph;z-index:252042240" type="#_x0000_t202" filled="false" stroked="false">
            <v:textbox inset="0,0,0,0" style="layout-flow:vertical">
              <w:txbxContent>
                <w:p>
                  <w:pPr>
                    <w:spacing w:before="27"/>
                    <w:ind w:left="20" w:right="0" w:firstLine="0"/>
                    <w:jc w:val="left"/>
                    <w:rPr>
                      <w:sz w:val="39"/>
                    </w:rPr>
                  </w:pPr>
                  <w:r>
                    <w:rPr>
                      <w:color w:val="FFFFFF"/>
                      <w:w w:val="120"/>
                      <w:sz w:val="39"/>
                    </w:rPr>
                    <w:t>Assessment board</w:t>
                  </w:r>
                </w:p>
              </w:txbxContent>
            </v:textbox>
            <w10:wrap type="none"/>
          </v:shape>
        </w:pict>
      </w:r>
      <w:r>
        <w:rPr>
          <w:color w:val="7EAABF"/>
          <w:w w:val="110"/>
          <w:sz w:val="26"/>
        </w:rPr>
        <w:t>Ministries</w:t>
      </w:r>
    </w:p>
    <w:p>
      <w:pPr>
        <w:spacing w:before="246"/>
        <w:ind w:left="1344" w:right="0" w:firstLine="0"/>
        <w:jc w:val="left"/>
        <w:rPr>
          <w:rFonts w:ascii="Stone Sans II ITC Std X Bd"/>
          <w:b/>
          <w:sz w:val="50"/>
        </w:rPr>
      </w:pPr>
      <w:r>
        <w:rPr>
          <w:rFonts w:ascii="Stone Sans II ITC Std X Bd"/>
          <w:b/>
          <w:w w:val="110"/>
          <w:sz w:val="50"/>
        </w:rPr>
        <w:t>Assessment board</w:t>
      </w:r>
    </w:p>
    <w:p>
      <w:pPr>
        <w:tabs>
          <w:tab w:pos="2784" w:val="left" w:leader="none"/>
        </w:tabs>
        <w:spacing w:line="242" w:lineRule="exact" w:before="129"/>
        <w:ind w:left="1571" w:right="0" w:firstLine="0"/>
        <w:jc w:val="left"/>
        <w:rPr>
          <w:sz w:val="18"/>
        </w:rPr>
      </w:pPr>
      <w:r>
        <w:rPr/>
        <w:pict>
          <v:line style="position:absolute;mso-position-horizontal-relative:page;mso-position-vertical-relative:paragraph;z-index:252041216" from="99.212601pt,8.520117pt" to="99.212601pt,76.551117pt" stroked="true" strokeweight="2pt" strokecolor="#0090d4">
            <v:stroke dashstyle="solid"/>
            <w10:wrap type="none"/>
          </v:line>
        </w:pict>
      </w:r>
      <w:r>
        <w:rPr>
          <w:rFonts w:ascii="Stone Sans II ITC Std Bk"/>
          <w:b/>
          <w:color w:val="707172"/>
          <w:w w:val="115"/>
          <w:sz w:val="18"/>
        </w:rPr>
        <w:t>Convenor:</w:t>
        <w:tab/>
      </w:r>
      <w:r>
        <w:rPr>
          <w:color w:val="707172"/>
          <w:w w:val="115"/>
          <w:sz w:val="18"/>
        </w:rPr>
        <w:t>Ewen</w:t>
      </w:r>
      <w:r>
        <w:rPr>
          <w:color w:val="707172"/>
          <w:spacing w:val="4"/>
          <w:w w:val="115"/>
          <w:sz w:val="18"/>
        </w:rPr>
        <w:t> </w:t>
      </w:r>
      <w:r>
        <w:rPr>
          <w:color w:val="707172"/>
          <w:w w:val="115"/>
          <w:sz w:val="18"/>
        </w:rPr>
        <w:t>Harley</w:t>
      </w:r>
    </w:p>
    <w:p>
      <w:pPr>
        <w:tabs>
          <w:tab w:pos="2784" w:val="left" w:leader="none"/>
        </w:tabs>
        <w:spacing w:line="242" w:lineRule="exact" w:before="0"/>
        <w:ind w:left="1571" w:right="0" w:firstLine="0"/>
        <w:jc w:val="left"/>
        <w:rPr>
          <w:sz w:val="18"/>
        </w:rPr>
      </w:pPr>
      <w:r>
        <w:rPr>
          <w:rFonts w:ascii="Stone Sans II ITC Std Bk"/>
          <w:b/>
          <w:color w:val="707172"/>
          <w:w w:val="120"/>
          <w:sz w:val="18"/>
        </w:rPr>
        <w:t>Secretary:</w:t>
        <w:tab/>
      </w:r>
      <w:r>
        <w:rPr>
          <w:color w:val="707172"/>
          <w:w w:val="120"/>
          <w:sz w:val="18"/>
        </w:rPr>
        <w:t>Craig</w:t>
      </w:r>
      <w:r>
        <w:rPr>
          <w:color w:val="707172"/>
          <w:spacing w:val="2"/>
          <w:w w:val="120"/>
          <w:sz w:val="18"/>
        </w:rPr>
        <w:t> </w:t>
      </w:r>
      <w:r>
        <w:rPr>
          <w:color w:val="707172"/>
          <w:w w:val="120"/>
          <w:sz w:val="18"/>
        </w:rPr>
        <w:t>Bowman</w:t>
      </w:r>
    </w:p>
    <w:p>
      <w:pPr>
        <w:tabs>
          <w:tab w:pos="2784" w:val="left" w:leader="none"/>
        </w:tabs>
        <w:spacing w:line="256" w:lineRule="auto" w:before="0"/>
        <w:ind w:left="1571" w:right="1383" w:firstLine="0"/>
        <w:jc w:val="left"/>
        <w:rPr>
          <w:sz w:val="18"/>
        </w:rPr>
      </w:pPr>
      <w:r>
        <w:rPr>
          <w:rFonts w:ascii="Stone Sans II ITC Std Bk"/>
          <w:b/>
          <w:color w:val="707172"/>
          <w:w w:val="120"/>
          <w:sz w:val="18"/>
        </w:rPr>
        <w:t>Members:</w:t>
        <w:tab/>
      </w:r>
      <w:r>
        <w:rPr>
          <w:color w:val="707172"/>
          <w:w w:val="120"/>
          <w:sz w:val="18"/>
        </w:rPr>
        <w:t>Ruth Allen, Alex Bediako, Maureen Campbell </w:t>
      </w:r>
      <w:r>
        <w:rPr>
          <w:color w:val="707172"/>
          <w:spacing w:val="-3"/>
          <w:w w:val="120"/>
          <w:sz w:val="18"/>
        </w:rPr>
        <w:t>(until </w:t>
      </w:r>
      <w:r>
        <w:rPr>
          <w:color w:val="707172"/>
          <w:spacing w:val="-6"/>
          <w:w w:val="120"/>
          <w:sz w:val="18"/>
        </w:rPr>
        <w:t>2015), </w:t>
      </w:r>
      <w:r>
        <w:rPr>
          <w:color w:val="707172"/>
          <w:w w:val="120"/>
          <w:sz w:val="18"/>
        </w:rPr>
        <w:t>Lesley Charlton, Sohail Ejaz, Judith Garthwaite </w:t>
      </w:r>
      <w:r>
        <w:rPr>
          <w:color w:val="707172"/>
          <w:spacing w:val="-3"/>
          <w:w w:val="120"/>
          <w:sz w:val="18"/>
        </w:rPr>
        <w:t>(until </w:t>
      </w:r>
      <w:r>
        <w:rPr>
          <w:color w:val="707172"/>
          <w:spacing w:val="-6"/>
          <w:w w:val="120"/>
          <w:sz w:val="18"/>
        </w:rPr>
        <w:t>2015), </w:t>
      </w:r>
      <w:r>
        <w:rPr>
          <w:color w:val="707172"/>
          <w:w w:val="120"/>
          <w:sz w:val="18"/>
        </w:rPr>
        <w:t>Bill Gould, Peter Henderson, Franziska Herring, Shahbaz Javed, Sue Kirkbride, Rod Morrison </w:t>
      </w:r>
      <w:r>
        <w:rPr>
          <w:color w:val="707172"/>
          <w:spacing w:val="-3"/>
          <w:w w:val="120"/>
          <w:sz w:val="18"/>
        </w:rPr>
        <w:t>(until </w:t>
      </w:r>
      <w:r>
        <w:rPr>
          <w:color w:val="707172"/>
          <w:spacing w:val="-6"/>
          <w:w w:val="120"/>
          <w:sz w:val="18"/>
        </w:rPr>
        <w:t>2015), </w:t>
      </w:r>
      <w:r>
        <w:rPr>
          <w:color w:val="707172"/>
          <w:w w:val="120"/>
          <w:sz w:val="18"/>
        </w:rPr>
        <w:t>Mercy Nimako </w:t>
      </w:r>
      <w:r>
        <w:rPr>
          <w:color w:val="707172"/>
          <w:spacing w:val="-3"/>
          <w:w w:val="120"/>
          <w:sz w:val="18"/>
        </w:rPr>
        <w:t>(until </w:t>
      </w:r>
      <w:r>
        <w:rPr>
          <w:color w:val="707172"/>
          <w:spacing w:val="-6"/>
          <w:w w:val="120"/>
          <w:sz w:val="18"/>
        </w:rPr>
        <w:t>2015), </w:t>
      </w:r>
      <w:r>
        <w:rPr>
          <w:color w:val="707172"/>
          <w:w w:val="120"/>
          <w:sz w:val="18"/>
        </w:rPr>
        <w:t>Kim Plumpton, Adella Pritchard </w:t>
      </w:r>
      <w:r>
        <w:rPr>
          <w:color w:val="707172"/>
          <w:spacing w:val="-3"/>
          <w:w w:val="120"/>
          <w:sz w:val="18"/>
        </w:rPr>
        <w:t>(until </w:t>
      </w:r>
      <w:r>
        <w:rPr>
          <w:color w:val="707172"/>
          <w:spacing w:val="-6"/>
          <w:w w:val="120"/>
          <w:sz w:val="18"/>
        </w:rPr>
        <w:t>2015), </w:t>
      </w:r>
      <w:r>
        <w:rPr>
          <w:color w:val="707172"/>
          <w:w w:val="120"/>
          <w:sz w:val="18"/>
        </w:rPr>
        <w:t>Stuart Radcliffe, Peter Rand, Jill Shelton and </w:t>
      </w:r>
      <w:r>
        <w:rPr>
          <w:color w:val="707172"/>
          <w:spacing w:val="3"/>
          <w:w w:val="120"/>
          <w:sz w:val="18"/>
        </w:rPr>
        <w:t>Mary</w:t>
      </w:r>
      <w:r>
        <w:rPr>
          <w:color w:val="707172"/>
          <w:spacing w:val="-7"/>
          <w:w w:val="120"/>
          <w:sz w:val="18"/>
        </w:rPr>
        <w:t> </w:t>
      </w:r>
      <w:r>
        <w:rPr>
          <w:color w:val="707172"/>
          <w:w w:val="120"/>
          <w:sz w:val="18"/>
        </w:rPr>
        <w:t>Thomas.</w:t>
      </w:r>
    </w:p>
    <w:p>
      <w:pPr>
        <w:pStyle w:val="BodyText"/>
        <w:rPr>
          <w:sz w:val="22"/>
        </w:rPr>
      </w:pPr>
    </w:p>
    <w:p>
      <w:pPr>
        <w:pStyle w:val="BodyText"/>
        <w:spacing w:before="7"/>
        <w:rPr>
          <w:sz w:val="18"/>
        </w:rPr>
      </w:pPr>
    </w:p>
    <w:p>
      <w:pPr>
        <w:spacing w:before="0"/>
        <w:ind w:left="1344" w:right="0" w:firstLine="0"/>
        <w:jc w:val="left"/>
        <w:rPr>
          <w:rFonts w:ascii="Stone Sans II ITC Std Bk"/>
          <w:b/>
          <w:sz w:val="29"/>
        </w:rPr>
      </w:pPr>
      <w:r>
        <w:rPr>
          <w:rFonts w:ascii="Stone Sans II ITC Std Bk"/>
          <w:b/>
          <w:w w:val="110"/>
          <w:sz w:val="29"/>
        </w:rPr>
        <w:t>Commitment</w:t>
      </w:r>
    </w:p>
    <w:p>
      <w:pPr>
        <w:pStyle w:val="ListParagraph"/>
        <w:numPr>
          <w:ilvl w:val="1"/>
          <w:numId w:val="174"/>
        </w:numPr>
        <w:tabs>
          <w:tab w:pos="2024" w:val="left" w:leader="none"/>
          <w:tab w:pos="2025" w:val="left" w:leader="none"/>
        </w:tabs>
        <w:spacing w:line="235" w:lineRule="auto" w:before="69" w:after="0"/>
        <w:ind w:left="1344" w:right="1568" w:firstLine="0"/>
        <w:jc w:val="left"/>
        <w:rPr>
          <w:sz w:val="20"/>
        </w:rPr>
      </w:pPr>
      <w:r>
        <w:rPr>
          <w:w w:val="120"/>
          <w:sz w:val="20"/>
        </w:rPr>
        <w:t>The </w:t>
      </w:r>
      <w:r>
        <w:rPr>
          <w:spacing w:val="-3"/>
          <w:w w:val="120"/>
          <w:sz w:val="20"/>
        </w:rPr>
        <w:t>commitment </w:t>
      </w:r>
      <w:r>
        <w:rPr>
          <w:w w:val="120"/>
          <w:sz w:val="20"/>
        </w:rPr>
        <w:t>of </w:t>
      </w:r>
      <w:r>
        <w:rPr>
          <w:spacing w:val="-3"/>
          <w:w w:val="120"/>
          <w:sz w:val="20"/>
        </w:rPr>
        <w:t>those </w:t>
      </w:r>
      <w:r>
        <w:rPr>
          <w:w w:val="120"/>
          <w:sz w:val="20"/>
        </w:rPr>
        <w:t>who serve on the board is much appreciated and grateful</w:t>
      </w:r>
      <w:r>
        <w:rPr>
          <w:spacing w:val="-5"/>
          <w:w w:val="120"/>
          <w:sz w:val="20"/>
        </w:rPr>
        <w:t> </w:t>
      </w:r>
      <w:r>
        <w:rPr>
          <w:w w:val="120"/>
          <w:sz w:val="20"/>
        </w:rPr>
        <w:t>thanks</w:t>
      </w:r>
      <w:r>
        <w:rPr>
          <w:spacing w:val="-4"/>
          <w:w w:val="120"/>
          <w:sz w:val="20"/>
        </w:rPr>
        <w:t> </w:t>
      </w:r>
      <w:r>
        <w:rPr>
          <w:w w:val="120"/>
          <w:sz w:val="20"/>
        </w:rPr>
        <w:t>are</w:t>
      </w:r>
      <w:r>
        <w:rPr>
          <w:spacing w:val="-4"/>
          <w:w w:val="120"/>
          <w:sz w:val="20"/>
        </w:rPr>
        <w:t> </w:t>
      </w:r>
      <w:r>
        <w:rPr>
          <w:w w:val="120"/>
          <w:sz w:val="20"/>
        </w:rPr>
        <w:t>expressed</w:t>
      </w:r>
      <w:r>
        <w:rPr>
          <w:spacing w:val="-4"/>
          <w:w w:val="120"/>
          <w:sz w:val="20"/>
        </w:rPr>
        <w:t> </w:t>
      </w:r>
      <w:r>
        <w:rPr>
          <w:spacing w:val="-3"/>
          <w:w w:val="120"/>
          <w:sz w:val="20"/>
        </w:rPr>
        <w:t>to</w:t>
      </w:r>
      <w:r>
        <w:rPr>
          <w:spacing w:val="-4"/>
          <w:w w:val="120"/>
          <w:sz w:val="20"/>
        </w:rPr>
        <w:t> </w:t>
      </w:r>
      <w:r>
        <w:rPr>
          <w:w w:val="120"/>
          <w:sz w:val="20"/>
        </w:rPr>
        <w:t>all</w:t>
      </w:r>
      <w:r>
        <w:rPr>
          <w:spacing w:val="-4"/>
          <w:w w:val="120"/>
          <w:sz w:val="20"/>
        </w:rPr>
        <w:t> </w:t>
      </w:r>
      <w:r>
        <w:rPr>
          <w:w w:val="120"/>
          <w:sz w:val="20"/>
        </w:rPr>
        <w:t>who</w:t>
      </w:r>
      <w:r>
        <w:rPr>
          <w:spacing w:val="-4"/>
          <w:w w:val="120"/>
          <w:sz w:val="20"/>
        </w:rPr>
        <w:t> </w:t>
      </w:r>
      <w:r>
        <w:rPr>
          <w:w w:val="120"/>
          <w:sz w:val="20"/>
        </w:rPr>
        <w:t>are</w:t>
      </w:r>
      <w:r>
        <w:rPr>
          <w:spacing w:val="-4"/>
          <w:w w:val="120"/>
          <w:sz w:val="20"/>
        </w:rPr>
        <w:t> </w:t>
      </w:r>
      <w:r>
        <w:rPr>
          <w:spacing w:val="-3"/>
          <w:w w:val="120"/>
          <w:sz w:val="20"/>
        </w:rPr>
        <w:t>willing</w:t>
      </w:r>
      <w:r>
        <w:rPr>
          <w:spacing w:val="-4"/>
          <w:w w:val="120"/>
          <w:sz w:val="20"/>
        </w:rPr>
        <w:t> </w:t>
      </w:r>
      <w:r>
        <w:rPr>
          <w:spacing w:val="-3"/>
          <w:w w:val="120"/>
          <w:sz w:val="20"/>
        </w:rPr>
        <w:t>to</w:t>
      </w:r>
      <w:r>
        <w:rPr>
          <w:spacing w:val="-4"/>
          <w:w w:val="120"/>
          <w:sz w:val="20"/>
        </w:rPr>
        <w:t> </w:t>
      </w:r>
      <w:r>
        <w:rPr>
          <w:w w:val="120"/>
          <w:sz w:val="20"/>
        </w:rPr>
        <w:t>give</w:t>
      </w:r>
      <w:r>
        <w:rPr>
          <w:spacing w:val="-4"/>
          <w:w w:val="120"/>
          <w:sz w:val="20"/>
        </w:rPr>
        <w:t> </w:t>
      </w:r>
      <w:r>
        <w:rPr>
          <w:w w:val="120"/>
          <w:sz w:val="20"/>
        </w:rPr>
        <w:t>significant</w:t>
      </w:r>
      <w:r>
        <w:rPr>
          <w:spacing w:val="-4"/>
          <w:w w:val="120"/>
          <w:sz w:val="20"/>
        </w:rPr>
        <w:t> </w:t>
      </w:r>
      <w:r>
        <w:rPr>
          <w:spacing w:val="-3"/>
          <w:w w:val="120"/>
          <w:sz w:val="20"/>
        </w:rPr>
        <w:t>time,</w:t>
      </w:r>
      <w:r>
        <w:rPr>
          <w:spacing w:val="-4"/>
          <w:w w:val="120"/>
          <w:sz w:val="20"/>
        </w:rPr>
        <w:t> </w:t>
      </w:r>
      <w:r>
        <w:rPr>
          <w:w w:val="120"/>
          <w:sz w:val="20"/>
        </w:rPr>
        <w:t>energy</w:t>
      </w:r>
      <w:r>
        <w:rPr>
          <w:spacing w:val="-4"/>
          <w:w w:val="120"/>
          <w:sz w:val="20"/>
        </w:rPr>
        <w:t> </w:t>
      </w:r>
      <w:r>
        <w:rPr>
          <w:w w:val="120"/>
          <w:sz w:val="20"/>
        </w:rPr>
        <w:t>and </w:t>
      </w:r>
      <w:r>
        <w:rPr>
          <w:spacing w:val="-3"/>
          <w:w w:val="120"/>
          <w:sz w:val="20"/>
        </w:rPr>
        <w:t>focus to this </w:t>
      </w:r>
      <w:r>
        <w:rPr>
          <w:w w:val="120"/>
          <w:sz w:val="20"/>
        </w:rPr>
        <w:t>work, particularly </w:t>
      </w:r>
      <w:r>
        <w:rPr>
          <w:spacing w:val="-3"/>
          <w:w w:val="120"/>
          <w:sz w:val="20"/>
        </w:rPr>
        <w:t>to those </w:t>
      </w:r>
      <w:r>
        <w:rPr>
          <w:w w:val="120"/>
          <w:sz w:val="20"/>
        </w:rPr>
        <w:t>who </w:t>
      </w:r>
      <w:r>
        <w:rPr>
          <w:spacing w:val="-3"/>
          <w:w w:val="120"/>
          <w:sz w:val="20"/>
        </w:rPr>
        <w:t>have </w:t>
      </w:r>
      <w:r>
        <w:rPr>
          <w:w w:val="120"/>
          <w:sz w:val="20"/>
        </w:rPr>
        <w:t>retired from the board in the last two</w:t>
      </w:r>
      <w:r>
        <w:rPr>
          <w:spacing w:val="-11"/>
          <w:w w:val="120"/>
          <w:sz w:val="20"/>
        </w:rPr>
        <w:t> </w:t>
      </w:r>
      <w:r>
        <w:rPr>
          <w:w w:val="120"/>
          <w:sz w:val="20"/>
        </w:rPr>
        <w:t>years.</w:t>
      </w:r>
      <w:r>
        <w:rPr>
          <w:spacing w:val="-11"/>
          <w:w w:val="120"/>
          <w:sz w:val="20"/>
        </w:rPr>
        <w:t> </w:t>
      </w:r>
      <w:r>
        <w:rPr>
          <w:w w:val="120"/>
          <w:sz w:val="20"/>
        </w:rPr>
        <w:t>Some</w:t>
      </w:r>
      <w:r>
        <w:rPr>
          <w:spacing w:val="-10"/>
          <w:w w:val="120"/>
          <w:sz w:val="20"/>
        </w:rPr>
        <w:t> </w:t>
      </w:r>
      <w:r>
        <w:rPr>
          <w:w w:val="120"/>
          <w:sz w:val="20"/>
        </w:rPr>
        <w:t>members</w:t>
      </w:r>
      <w:r>
        <w:rPr>
          <w:spacing w:val="-11"/>
          <w:w w:val="120"/>
          <w:sz w:val="20"/>
        </w:rPr>
        <w:t> </w:t>
      </w:r>
      <w:r>
        <w:rPr>
          <w:w w:val="120"/>
          <w:sz w:val="20"/>
        </w:rPr>
        <w:t>of</w:t>
      </w:r>
      <w:r>
        <w:rPr>
          <w:spacing w:val="-11"/>
          <w:w w:val="120"/>
          <w:sz w:val="20"/>
        </w:rPr>
        <w:t> </w:t>
      </w:r>
      <w:r>
        <w:rPr>
          <w:w w:val="120"/>
          <w:sz w:val="20"/>
        </w:rPr>
        <w:t>the</w:t>
      </w:r>
      <w:r>
        <w:rPr>
          <w:spacing w:val="-10"/>
          <w:w w:val="120"/>
          <w:sz w:val="20"/>
        </w:rPr>
        <w:t> </w:t>
      </w:r>
      <w:r>
        <w:rPr>
          <w:w w:val="120"/>
          <w:sz w:val="20"/>
        </w:rPr>
        <w:t>assessment</w:t>
      </w:r>
      <w:r>
        <w:rPr>
          <w:spacing w:val="-11"/>
          <w:w w:val="120"/>
          <w:sz w:val="20"/>
        </w:rPr>
        <w:t> </w:t>
      </w:r>
      <w:r>
        <w:rPr>
          <w:w w:val="120"/>
          <w:sz w:val="20"/>
        </w:rPr>
        <w:t>board</w:t>
      </w:r>
      <w:r>
        <w:rPr>
          <w:spacing w:val="-10"/>
          <w:w w:val="120"/>
          <w:sz w:val="20"/>
        </w:rPr>
        <w:t> </w:t>
      </w:r>
      <w:r>
        <w:rPr>
          <w:w w:val="120"/>
          <w:sz w:val="20"/>
        </w:rPr>
        <w:t>are</w:t>
      </w:r>
      <w:r>
        <w:rPr>
          <w:spacing w:val="-11"/>
          <w:w w:val="120"/>
          <w:sz w:val="20"/>
        </w:rPr>
        <w:t> </w:t>
      </w:r>
      <w:r>
        <w:rPr>
          <w:w w:val="120"/>
          <w:sz w:val="20"/>
        </w:rPr>
        <w:t>called</w:t>
      </w:r>
      <w:r>
        <w:rPr>
          <w:spacing w:val="-11"/>
          <w:w w:val="120"/>
          <w:sz w:val="20"/>
        </w:rPr>
        <w:t> </w:t>
      </w:r>
      <w:r>
        <w:rPr>
          <w:w w:val="120"/>
          <w:sz w:val="20"/>
        </w:rPr>
        <w:t>infrequently</w:t>
      </w:r>
      <w:r>
        <w:rPr>
          <w:spacing w:val="-10"/>
          <w:w w:val="120"/>
          <w:sz w:val="20"/>
        </w:rPr>
        <w:t> </w:t>
      </w:r>
      <w:r>
        <w:rPr>
          <w:spacing w:val="-3"/>
          <w:w w:val="120"/>
          <w:sz w:val="20"/>
        </w:rPr>
        <w:t>to</w:t>
      </w:r>
      <w:r>
        <w:rPr>
          <w:spacing w:val="-11"/>
          <w:w w:val="120"/>
          <w:sz w:val="20"/>
        </w:rPr>
        <w:t> </w:t>
      </w:r>
      <w:r>
        <w:rPr>
          <w:w w:val="120"/>
          <w:sz w:val="20"/>
        </w:rPr>
        <w:t>attend</w:t>
      </w:r>
    </w:p>
    <w:p>
      <w:pPr>
        <w:pStyle w:val="BodyText"/>
        <w:spacing w:line="235" w:lineRule="auto" w:before="3"/>
        <w:ind w:left="1344" w:right="1217"/>
      </w:pPr>
      <w:r>
        <w:rPr>
          <w:spacing w:val="-3"/>
          <w:w w:val="120"/>
        </w:rPr>
        <w:t>conferences </w:t>
      </w:r>
      <w:r>
        <w:rPr>
          <w:w w:val="120"/>
        </w:rPr>
        <w:t>as a </w:t>
      </w:r>
      <w:r>
        <w:rPr>
          <w:spacing w:val="-3"/>
          <w:w w:val="120"/>
        </w:rPr>
        <w:t>result </w:t>
      </w:r>
      <w:r>
        <w:rPr>
          <w:w w:val="120"/>
        </w:rPr>
        <w:t>of the need </w:t>
      </w:r>
      <w:r>
        <w:rPr>
          <w:spacing w:val="-3"/>
          <w:w w:val="120"/>
        </w:rPr>
        <w:t>to have </w:t>
      </w:r>
      <w:r>
        <w:rPr>
          <w:w w:val="120"/>
        </w:rPr>
        <w:t>a </w:t>
      </w:r>
      <w:r>
        <w:rPr>
          <w:spacing w:val="-3"/>
          <w:w w:val="120"/>
        </w:rPr>
        <w:t>balance </w:t>
      </w:r>
      <w:r>
        <w:rPr>
          <w:w w:val="120"/>
        </w:rPr>
        <w:t>between male and </w:t>
      </w:r>
      <w:r>
        <w:rPr>
          <w:spacing w:val="-3"/>
          <w:w w:val="120"/>
        </w:rPr>
        <w:t>female, </w:t>
      </w:r>
      <w:r>
        <w:rPr>
          <w:w w:val="120"/>
        </w:rPr>
        <w:t>ordained and </w:t>
      </w:r>
      <w:r>
        <w:rPr>
          <w:spacing w:val="-2"/>
          <w:w w:val="120"/>
        </w:rPr>
        <w:t>lay </w:t>
      </w:r>
      <w:r>
        <w:rPr>
          <w:w w:val="120"/>
        </w:rPr>
        <w:t>members at each </w:t>
      </w:r>
      <w:r>
        <w:rPr>
          <w:spacing w:val="-3"/>
          <w:w w:val="120"/>
        </w:rPr>
        <w:t>conference </w:t>
      </w:r>
      <w:r>
        <w:rPr>
          <w:w w:val="120"/>
        </w:rPr>
        <w:t>and taking </w:t>
      </w:r>
      <w:r>
        <w:rPr>
          <w:spacing w:val="-3"/>
          <w:w w:val="120"/>
        </w:rPr>
        <w:t>into </w:t>
      </w:r>
      <w:r>
        <w:rPr>
          <w:spacing w:val="-4"/>
          <w:w w:val="120"/>
        </w:rPr>
        <w:t>account </w:t>
      </w:r>
      <w:r>
        <w:rPr>
          <w:w w:val="120"/>
        </w:rPr>
        <w:t>the synods from which </w:t>
      </w:r>
      <w:r>
        <w:rPr>
          <w:spacing w:val="-3"/>
          <w:w w:val="120"/>
        </w:rPr>
        <w:t>candidates have come. However </w:t>
      </w:r>
      <w:r>
        <w:rPr>
          <w:w w:val="120"/>
        </w:rPr>
        <w:t>the willingness of board members </w:t>
      </w:r>
      <w:r>
        <w:rPr>
          <w:spacing w:val="-3"/>
          <w:w w:val="120"/>
        </w:rPr>
        <w:t>to make themselves available even </w:t>
      </w:r>
      <w:r>
        <w:rPr>
          <w:w w:val="120"/>
        </w:rPr>
        <w:t>when they are </w:t>
      </w:r>
      <w:r>
        <w:rPr>
          <w:spacing w:val="-2"/>
          <w:w w:val="120"/>
        </w:rPr>
        <w:t>not </w:t>
      </w:r>
      <w:r>
        <w:rPr>
          <w:spacing w:val="-3"/>
          <w:w w:val="120"/>
        </w:rPr>
        <w:t>always </w:t>
      </w:r>
      <w:r>
        <w:rPr>
          <w:w w:val="120"/>
        </w:rPr>
        <w:t>used is </w:t>
      </w:r>
      <w:r>
        <w:rPr>
          <w:spacing w:val="-3"/>
          <w:w w:val="120"/>
        </w:rPr>
        <w:t>recognized </w:t>
      </w:r>
      <w:r>
        <w:rPr>
          <w:w w:val="120"/>
        </w:rPr>
        <w:t>and </w:t>
      </w:r>
      <w:r>
        <w:rPr>
          <w:spacing w:val="-3"/>
          <w:w w:val="120"/>
        </w:rPr>
        <w:t>appreciated.</w:t>
      </w:r>
    </w:p>
    <w:p>
      <w:pPr>
        <w:pStyle w:val="BodyText"/>
        <w:spacing w:before="3"/>
        <w:rPr>
          <w:sz w:val="22"/>
        </w:rPr>
      </w:pPr>
    </w:p>
    <w:p>
      <w:pPr>
        <w:spacing w:before="1"/>
        <w:ind w:left="1344" w:right="0" w:firstLine="0"/>
        <w:jc w:val="left"/>
        <w:rPr>
          <w:rFonts w:ascii="Stone Sans II ITC Std Bk"/>
          <w:b/>
          <w:sz w:val="29"/>
        </w:rPr>
      </w:pPr>
      <w:r>
        <w:rPr>
          <w:rFonts w:ascii="Stone Sans II ITC Std Bk"/>
          <w:b/>
          <w:w w:val="110"/>
          <w:sz w:val="29"/>
        </w:rPr>
        <w:t>The work</w:t>
      </w:r>
    </w:p>
    <w:p>
      <w:pPr>
        <w:pStyle w:val="ListParagraph"/>
        <w:numPr>
          <w:ilvl w:val="1"/>
          <w:numId w:val="175"/>
        </w:numPr>
        <w:tabs>
          <w:tab w:pos="2024" w:val="left" w:leader="none"/>
          <w:tab w:pos="2025" w:val="left" w:leader="none"/>
        </w:tabs>
        <w:spacing w:line="235" w:lineRule="auto" w:before="69" w:after="0"/>
        <w:ind w:left="1344" w:right="1308" w:firstLine="0"/>
        <w:jc w:val="left"/>
        <w:rPr>
          <w:sz w:val="20"/>
        </w:rPr>
      </w:pPr>
      <w:r>
        <w:rPr>
          <w:w w:val="120"/>
          <w:sz w:val="20"/>
        </w:rPr>
        <w:t>The board meets </w:t>
      </w:r>
      <w:r>
        <w:rPr>
          <w:spacing w:val="-3"/>
          <w:w w:val="120"/>
          <w:sz w:val="20"/>
        </w:rPr>
        <w:t>annually </w:t>
      </w:r>
      <w:r>
        <w:rPr>
          <w:w w:val="120"/>
          <w:sz w:val="20"/>
        </w:rPr>
        <w:t>in September and </w:t>
      </w:r>
      <w:r>
        <w:rPr>
          <w:spacing w:val="-3"/>
          <w:w w:val="120"/>
          <w:sz w:val="20"/>
        </w:rPr>
        <w:t>reviews continually </w:t>
      </w:r>
      <w:r>
        <w:rPr>
          <w:w w:val="120"/>
          <w:sz w:val="20"/>
        </w:rPr>
        <w:t>the processes </w:t>
      </w:r>
      <w:r>
        <w:rPr>
          <w:spacing w:val="-3"/>
          <w:w w:val="120"/>
          <w:sz w:val="20"/>
        </w:rPr>
        <w:t>involved </w:t>
      </w:r>
      <w:r>
        <w:rPr>
          <w:w w:val="120"/>
          <w:sz w:val="20"/>
        </w:rPr>
        <w:t>in the selection of </w:t>
      </w:r>
      <w:r>
        <w:rPr>
          <w:spacing w:val="-3"/>
          <w:w w:val="120"/>
          <w:sz w:val="20"/>
        </w:rPr>
        <w:t>candidates </w:t>
      </w:r>
      <w:r>
        <w:rPr>
          <w:w w:val="120"/>
          <w:sz w:val="20"/>
        </w:rPr>
        <w:t>for training for the ministry of </w:t>
      </w:r>
      <w:r>
        <w:rPr>
          <w:spacing w:val="-3"/>
          <w:w w:val="120"/>
          <w:sz w:val="20"/>
        </w:rPr>
        <w:t>Word </w:t>
      </w:r>
      <w:r>
        <w:rPr>
          <w:w w:val="120"/>
          <w:sz w:val="20"/>
        </w:rPr>
        <w:t>and Sacraments and </w:t>
      </w:r>
      <w:r>
        <w:rPr>
          <w:spacing w:val="-3"/>
          <w:w w:val="120"/>
          <w:sz w:val="20"/>
        </w:rPr>
        <w:t>church related community </w:t>
      </w:r>
      <w:r>
        <w:rPr>
          <w:w w:val="120"/>
          <w:sz w:val="20"/>
        </w:rPr>
        <w:t>work. Each </w:t>
      </w:r>
      <w:r>
        <w:rPr>
          <w:spacing w:val="-3"/>
          <w:w w:val="120"/>
          <w:sz w:val="20"/>
        </w:rPr>
        <w:t>year </w:t>
      </w:r>
      <w:r>
        <w:rPr>
          <w:w w:val="120"/>
          <w:sz w:val="20"/>
        </w:rPr>
        <w:t>the board reflects on the manner in which the </w:t>
      </w:r>
      <w:r>
        <w:rPr>
          <w:spacing w:val="-3"/>
          <w:w w:val="120"/>
          <w:sz w:val="20"/>
        </w:rPr>
        <w:t>decision, </w:t>
      </w:r>
      <w:r>
        <w:rPr>
          <w:w w:val="120"/>
          <w:sz w:val="20"/>
        </w:rPr>
        <w:t>whether </w:t>
      </w:r>
      <w:r>
        <w:rPr>
          <w:spacing w:val="-3"/>
          <w:w w:val="120"/>
          <w:sz w:val="20"/>
        </w:rPr>
        <w:t>positive </w:t>
      </w:r>
      <w:r>
        <w:rPr>
          <w:w w:val="120"/>
          <w:sz w:val="20"/>
        </w:rPr>
        <w:t>or </w:t>
      </w:r>
      <w:r>
        <w:rPr>
          <w:spacing w:val="-3"/>
          <w:w w:val="120"/>
          <w:sz w:val="20"/>
        </w:rPr>
        <w:t>negative, </w:t>
      </w:r>
      <w:r>
        <w:rPr>
          <w:w w:val="120"/>
          <w:sz w:val="20"/>
        </w:rPr>
        <w:t>is </w:t>
      </w:r>
      <w:r>
        <w:rPr>
          <w:spacing w:val="-4"/>
          <w:w w:val="120"/>
          <w:sz w:val="20"/>
        </w:rPr>
        <w:t>conveyed </w:t>
      </w:r>
      <w:r>
        <w:rPr>
          <w:spacing w:val="-3"/>
          <w:w w:val="120"/>
          <w:sz w:val="20"/>
        </w:rPr>
        <w:t>to </w:t>
      </w:r>
      <w:r>
        <w:rPr>
          <w:w w:val="120"/>
          <w:sz w:val="20"/>
        </w:rPr>
        <w:t>the </w:t>
      </w:r>
      <w:r>
        <w:rPr>
          <w:spacing w:val="-3"/>
          <w:w w:val="120"/>
          <w:sz w:val="20"/>
        </w:rPr>
        <w:t>candidate </w:t>
      </w:r>
      <w:r>
        <w:rPr>
          <w:w w:val="120"/>
          <w:sz w:val="20"/>
        </w:rPr>
        <w:t>by the board, </w:t>
      </w:r>
      <w:r>
        <w:rPr>
          <w:spacing w:val="-3"/>
          <w:w w:val="120"/>
          <w:sz w:val="20"/>
        </w:rPr>
        <w:t>recognising </w:t>
      </w:r>
      <w:r>
        <w:rPr>
          <w:w w:val="120"/>
          <w:sz w:val="20"/>
        </w:rPr>
        <w:t>the need for a </w:t>
      </w:r>
      <w:r>
        <w:rPr>
          <w:spacing w:val="-3"/>
          <w:w w:val="120"/>
          <w:sz w:val="20"/>
        </w:rPr>
        <w:t>balance </w:t>
      </w:r>
      <w:r>
        <w:rPr>
          <w:w w:val="120"/>
          <w:sz w:val="20"/>
        </w:rPr>
        <w:t>between speed </w:t>
      </w:r>
      <w:r>
        <w:rPr>
          <w:spacing w:val="-3"/>
          <w:w w:val="120"/>
          <w:sz w:val="20"/>
        </w:rPr>
        <w:t>(perhaps involving insensitivity) </w:t>
      </w:r>
      <w:r>
        <w:rPr>
          <w:w w:val="120"/>
          <w:sz w:val="20"/>
        </w:rPr>
        <w:t>and delay </w:t>
      </w:r>
      <w:r>
        <w:rPr>
          <w:spacing w:val="-3"/>
          <w:w w:val="120"/>
          <w:sz w:val="20"/>
        </w:rPr>
        <w:t>(perhaps causing </w:t>
      </w:r>
      <w:r>
        <w:rPr>
          <w:w w:val="120"/>
          <w:sz w:val="20"/>
        </w:rPr>
        <w:t>unnecessary anxiety </w:t>
      </w:r>
      <w:r>
        <w:rPr>
          <w:spacing w:val="-3"/>
          <w:w w:val="120"/>
          <w:sz w:val="20"/>
        </w:rPr>
        <w:t>to </w:t>
      </w:r>
      <w:r>
        <w:rPr>
          <w:w w:val="120"/>
          <w:sz w:val="20"/>
        </w:rPr>
        <w:t>the </w:t>
      </w:r>
      <w:r>
        <w:rPr>
          <w:spacing w:val="-5"/>
          <w:w w:val="120"/>
          <w:sz w:val="20"/>
        </w:rPr>
        <w:t>candidate). </w:t>
      </w:r>
      <w:r>
        <w:rPr>
          <w:w w:val="120"/>
          <w:sz w:val="20"/>
        </w:rPr>
        <w:t>Whilst the current practice of giving the </w:t>
      </w:r>
      <w:r>
        <w:rPr>
          <w:spacing w:val="-3"/>
          <w:w w:val="120"/>
          <w:sz w:val="20"/>
        </w:rPr>
        <w:t>decision </w:t>
      </w:r>
      <w:r>
        <w:rPr>
          <w:w w:val="120"/>
          <w:sz w:val="20"/>
        </w:rPr>
        <w:t>in person </w:t>
      </w:r>
      <w:r>
        <w:rPr>
          <w:spacing w:val="-3"/>
          <w:w w:val="120"/>
          <w:sz w:val="20"/>
        </w:rPr>
        <w:t>to </w:t>
      </w:r>
      <w:r>
        <w:rPr>
          <w:w w:val="120"/>
          <w:sz w:val="20"/>
        </w:rPr>
        <w:t>the </w:t>
      </w:r>
      <w:r>
        <w:rPr>
          <w:spacing w:val="-3"/>
          <w:w w:val="120"/>
          <w:sz w:val="20"/>
        </w:rPr>
        <w:t>candidate, usually </w:t>
      </w:r>
      <w:r>
        <w:rPr>
          <w:w w:val="120"/>
          <w:sz w:val="20"/>
        </w:rPr>
        <w:t>in their synod with synod people present, is </w:t>
      </w:r>
      <w:r>
        <w:rPr>
          <w:spacing w:val="-2"/>
          <w:w w:val="120"/>
          <w:sz w:val="20"/>
        </w:rPr>
        <w:t>not </w:t>
      </w:r>
      <w:r>
        <w:rPr>
          <w:w w:val="120"/>
          <w:sz w:val="20"/>
        </w:rPr>
        <w:t>the preferred </w:t>
      </w:r>
      <w:r>
        <w:rPr>
          <w:spacing w:val="-3"/>
          <w:w w:val="120"/>
          <w:sz w:val="20"/>
        </w:rPr>
        <w:t>choice </w:t>
      </w:r>
      <w:r>
        <w:rPr>
          <w:w w:val="120"/>
          <w:sz w:val="20"/>
        </w:rPr>
        <w:t>for some, the board still believes it is the best </w:t>
      </w:r>
      <w:r>
        <w:rPr>
          <w:spacing w:val="-2"/>
          <w:w w:val="120"/>
          <w:sz w:val="20"/>
        </w:rPr>
        <w:t>way </w:t>
      </w:r>
      <w:r>
        <w:rPr>
          <w:w w:val="120"/>
          <w:sz w:val="20"/>
        </w:rPr>
        <w:t>of meeting the </w:t>
      </w:r>
      <w:r>
        <w:rPr>
          <w:spacing w:val="-3"/>
          <w:w w:val="120"/>
          <w:sz w:val="20"/>
        </w:rPr>
        <w:t>balance </w:t>
      </w:r>
      <w:r>
        <w:rPr>
          <w:w w:val="120"/>
          <w:sz w:val="20"/>
        </w:rPr>
        <w:t>mentioned</w:t>
      </w:r>
      <w:r>
        <w:rPr>
          <w:spacing w:val="-24"/>
          <w:w w:val="120"/>
          <w:sz w:val="20"/>
        </w:rPr>
        <w:t> </w:t>
      </w:r>
      <w:r>
        <w:rPr>
          <w:spacing w:val="-3"/>
          <w:w w:val="120"/>
          <w:sz w:val="20"/>
        </w:rPr>
        <w:t>above.</w:t>
      </w:r>
    </w:p>
    <w:p>
      <w:pPr>
        <w:pStyle w:val="BodyText"/>
        <w:spacing w:before="5"/>
        <w:rPr>
          <w:sz w:val="21"/>
        </w:rPr>
      </w:pPr>
    </w:p>
    <w:p>
      <w:pPr>
        <w:pStyle w:val="ListParagraph"/>
        <w:numPr>
          <w:ilvl w:val="1"/>
          <w:numId w:val="175"/>
        </w:numPr>
        <w:tabs>
          <w:tab w:pos="2024" w:val="left" w:leader="none"/>
          <w:tab w:pos="2025" w:val="left" w:leader="none"/>
        </w:tabs>
        <w:spacing w:line="235" w:lineRule="auto" w:before="0" w:after="0"/>
        <w:ind w:left="1344" w:right="1457" w:firstLine="0"/>
        <w:jc w:val="left"/>
        <w:rPr>
          <w:sz w:val="20"/>
        </w:rPr>
      </w:pPr>
      <w:r>
        <w:rPr>
          <w:w w:val="120"/>
          <w:sz w:val="20"/>
        </w:rPr>
        <w:t>In </w:t>
      </w:r>
      <w:r>
        <w:rPr>
          <w:spacing w:val="-3"/>
          <w:w w:val="120"/>
          <w:sz w:val="20"/>
        </w:rPr>
        <w:t>recent </w:t>
      </w:r>
      <w:r>
        <w:rPr>
          <w:w w:val="120"/>
          <w:sz w:val="20"/>
        </w:rPr>
        <w:t>years it has been our practice </w:t>
      </w:r>
      <w:r>
        <w:rPr>
          <w:spacing w:val="-3"/>
          <w:w w:val="120"/>
          <w:sz w:val="20"/>
        </w:rPr>
        <w:t>to invite </w:t>
      </w:r>
      <w:r>
        <w:rPr>
          <w:w w:val="120"/>
          <w:sz w:val="20"/>
        </w:rPr>
        <w:t>a member of staff representing the</w:t>
      </w:r>
      <w:r>
        <w:rPr>
          <w:spacing w:val="-6"/>
          <w:w w:val="120"/>
          <w:sz w:val="20"/>
        </w:rPr>
        <w:t> </w:t>
      </w:r>
      <w:r>
        <w:rPr>
          <w:spacing w:val="-3"/>
          <w:w w:val="120"/>
          <w:sz w:val="20"/>
        </w:rPr>
        <w:t>resource</w:t>
      </w:r>
      <w:r>
        <w:rPr>
          <w:spacing w:val="-6"/>
          <w:w w:val="120"/>
          <w:sz w:val="20"/>
        </w:rPr>
        <w:t> </w:t>
      </w:r>
      <w:r>
        <w:rPr>
          <w:spacing w:val="-3"/>
          <w:w w:val="120"/>
          <w:sz w:val="20"/>
        </w:rPr>
        <w:t>centres</w:t>
      </w:r>
      <w:r>
        <w:rPr>
          <w:spacing w:val="-6"/>
          <w:w w:val="120"/>
          <w:sz w:val="20"/>
        </w:rPr>
        <w:t> </w:t>
      </w:r>
      <w:r>
        <w:rPr>
          <w:w w:val="120"/>
          <w:sz w:val="20"/>
        </w:rPr>
        <w:t>for</w:t>
      </w:r>
      <w:r>
        <w:rPr>
          <w:spacing w:val="-6"/>
          <w:w w:val="120"/>
          <w:sz w:val="20"/>
        </w:rPr>
        <w:t> </w:t>
      </w:r>
      <w:r>
        <w:rPr>
          <w:w w:val="120"/>
          <w:sz w:val="20"/>
        </w:rPr>
        <w:t>learning</w:t>
      </w:r>
      <w:r>
        <w:rPr>
          <w:spacing w:val="-5"/>
          <w:w w:val="120"/>
          <w:sz w:val="20"/>
        </w:rPr>
        <w:t> (RCLs)</w:t>
      </w:r>
      <w:r>
        <w:rPr>
          <w:spacing w:val="-6"/>
          <w:w w:val="120"/>
          <w:sz w:val="20"/>
        </w:rPr>
        <w:t> </w:t>
      </w:r>
      <w:r>
        <w:rPr>
          <w:spacing w:val="-3"/>
          <w:w w:val="120"/>
          <w:sz w:val="20"/>
        </w:rPr>
        <w:t>to</w:t>
      </w:r>
      <w:r>
        <w:rPr>
          <w:spacing w:val="-6"/>
          <w:w w:val="120"/>
          <w:sz w:val="20"/>
        </w:rPr>
        <w:t> </w:t>
      </w:r>
      <w:r>
        <w:rPr>
          <w:w w:val="120"/>
          <w:sz w:val="20"/>
        </w:rPr>
        <w:t>attend</w:t>
      </w:r>
      <w:r>
        <w:rPr>
          <w:spacing w:val="-6"/>
          <w:w w:val="120"/>
          <w:sz w:val="20"/>
        </w:rPr>
        <w:t> </w:t>
      </w:r>
      <w:r>
        <w:rPr>
          <w:w w:val="120"/>
          <w:sz w:val="20"/>
        </w:rPr>
        <w:t>the</w:t>
      </w:r>
      <w:r>
        <w:rPr>
          <w:spacing w:val="-5"/>
          <w:w w:val="120"/>
          <w:sz w:val="20"/>
        </w:rPr>
        <w:t> </w:t>
      </w:r>
      <w:r>
        <w:rPr>
          <w:spacing w:val="-3"/>
          <w:w w:val="120"/>
          <w:sz w:val="20"/>
        </w:rPr>
        <w:t>annual</w:t>
      </w:r>
      <w:r>
        <w:rPr>
          <w:spacing w:val="-6"/>
          <w:w w:val="120"/>
          <w:sz w:val="20"/>
        </w:rPr>
        <w:t> </w:t>
      </w:r>
      <w:r>
        <w:rPr>
          <w:w w:val="120"/>
          <w:sz w:val="20"/>
        </w:rPr>
        <w:t>meeting</w:t>
      </w:r>
      <w:r>
        <w:rPr>
          <w:spacing w:val="-6"/>
          <w:w w:val="120"/>
          <w:sz w:val="20"/>
        </w:rPr>
        <w:t> </w:t>
      </w:r>
      <w:r>
        <w:rPr>
          <w:w w:val="120"/>
          <w:sz w:val="20"/>
        </w:rPr>
        <w:t>of</w:t>
      </w:r>
      <w:r>
        <w:rPr>
          <w:spacing w:val="-6"/>
          <w:w w:val="120"/>
          <w:sz w:val="20"/>
        </w:rPr>
        <w:t> </w:t>
      </w:r>
      <w:r>
        <w:rPr>
          <w:w w:val="120"/>
          <w:sz w:val="20"/>
        </w:rPr>
        <w:t>the</w:t>
      </w:r>
      <w:r>
        <w:rPr>
          <w:spacing w:val="-6"/>
          <w:w w:val="120"/>
          <w:sz w:val="20"/>
        </w:rPr>
        <w:t> </w:t>
      </w:r>
      <w:r>
        <w:rPr>
          <w:w w:val="120"/>
          <w:sz w:val="20"/>
        </w:rPr>
        <w:t>assessment board</w:t>
      </w:r>
      <w:r>
        <w:rPr>
          <w:spacing w:val="-7"/>
          <w:w w:val="120"/>
          <w:sz w:val="20"/>
        </w:rPr>
        <w:t> </w:t>
      </w:r>
      <w:r>
        <w:rPr>
          <w:w w:val="120"/>
          <w:sz w:val="20"/>
        </w:rPr>
        <w:t>in</w:t>
      </w:r>
      <w:r>
        <w:rPr>
          <w:spacing w:val="-6"/>
          <w:w w:val="120"/>
          <w:sz w:val="20"/>
        </w:rPr>
        <w:t> </w:t>
      </w:r>
      <w:r>
        <w:rPr>
          <w:w w:val="120"/>
          <w:sz w:val="20"/>
        </w:rPr>
        <w:t>September</w:t>
      </w:r>
      <w:r>
        <w:rPr>
          <w:spacing w:val="-7"/>
          <w:w w:val="120"/>
          <w:sz w:val="20"/>
        </w:rPr>
        <w:t> </w:t>
      </w:r>
      <w:r>
        <w:rPr>
          <w:spacing w:val="-3"/>
          <w:w w:val="120"/>
          <w:sz w:val="20"/>
        </w:rPr>
        <w:t>to</w:t>
      </w:r>
      <w:r>
        <w:rPr>
          <w:spacing w:val="-6"/>
          <w:w w:val="120"/>
          <w:sz w:val="20"/>
        </w:rPr>
        <w:t> </w:t>
      </w:r>
      <w:r>
        <w:rPr>
          <w:w w:val="120"/>
          <w:sz w:val="20"/>
        </w:rPr>
        <w:t>help</w:t>
      </w:r>
      <w:r>
        <w:rPr>
          <w:spacing w:val="-6"/>
          <w:w w:val="120"/>
          <w:sz w:val="20"/>
        </w:rPr>
        <w:t> </w:t>
      </w:r>
      <w:r>
        <w:rPr>
          <w:w w:val="120"/>
          <w:sz w:val="20"/>
        </w:rPr>
        <w:t>the</w:t>
      </w:r>
      <w:r>
        <w:rPr>
          <w:spacing w:val="-7"/>
          <w:w w:val="120"/>
          <w:sz w:val="20"/>
        </w:rPr>
        <w:t> </w:t>
      </w:r>
      <w:r>
        <w:rPr>
          <w:w w:val="120"/>
          <w:sz w:val="20"/>
        </w:rPr>
        <w:t>members</w:t>
      </w:r>
      <w:r>
        <w:rPr>
          <w:spacing w:val="-6"/>
          <w:w w:val="120"/>
          <w:sz w:val="20"/>
        </w:rPr>
        <w:t> </w:t>
      </w:r>
      <w:r>
        <w:rPr>
          <w:w w:val="120"/>
          <w:sz w:val="20"/>
        </w:rPr>
        <w:t>of</w:t>
      </w:r>
      <w:r>
        <w:rPr>
          <w:spacing w:val="-7"/>
          <w:w w:val="120"/>
          <w:sz w:val="20"/>
        </w:rPr>
        <w:t> </w:t>
      </w:r>
      <w:r>
        <w:rPr>
          <w:w w:val="120"/>
          <w:sz w:val="20"/>
        </w:rPr>
        <w:t>the</w:t>
      </w:r>
      <w:r>
        <w:rPr>
          <w:spacing w:val="-6"/>
          <w:w w:val="120"/>
          <w:sz w:val="20"/>
        </w:rPr>
        <w:t> </w:t>
      </w:r>
      <w:r>
        <w:rPr>
          <w:w w:val="120"/>
          <w:sz w:val="20"/>
        </w:rPr>
        <w:t>board</w:t>
      </w:r>
      <w:r>
        <w:rPr>
          <w:spacing w:val="-6"/>
          <w:w w:val="120"/>
          <w:sz w:val="20"/>
        </w:rPr>
        <w:t> </w:t>
      </w:r>
      <w:r>
        <w:rPr>
          <w:spacing w:val="-3"/>
          <w:w w:val="120"/>
          <w:sz w:val="20"/>
        </w:rPr>
        <w:t>have</w:t>
      </w:r>
      <w:r>
        <w:rPr>
          <w:spacing w:val="-7"/>
          <w:w w:val="120"/>
          <w:sz w:val="20"/>
        </w:rPr>
        <w:t> </w:t>
      </w:r>
      <w:r>
        <w:rPr>
          <w:w w:val="120"/>
          <w:sz w:val="20"/>
        </w:rPr>
        <w:t>a</w:t>
      </w:r>
      <w:r>
        <w:rPr>
          <w:spacing w:val="-6"/>
          <w:w w:val="120"/>
          <w:sz w:val="20"/>
        </w:rPr>
        <w:t> </w:t>
      </w:r>
      <w:r>
        <w:rPr>
          <w:w w:val="120"/>
          <w:sz w:val="20"/>
        </w:rPr>
        <w:t>realistic</w:t>
      </w:r>
      <w:r>
        <w:rPr>
          <w:spacing w:val="-7"/>
          <w:w w:val="120"/>
          <w:sz w:val="20"/>
        </w:rPr>
        <w:t> </w:t>
      </w:r>
      <w:r>
        <w:rPr>
          <w:w w:val="120"/>
          <w:sz w:val="20"/>
        </w:rPr>
        <w:t>understanding</w:t>
      </w:r>
      <w:r>
        <w:rPr>
          <w:spacing w:val="-6"/>
          <w:w w:val="120"/>
          <w:sz w:val="20"/>
        </w:rPr>
        <w:t> </w:t>
      </w:r>
      <w:r>
        <w:rPr>
          <w:w w:val="120"/>
          <w:sz w:val="20"/>
        </w:rPr>
        <w:t>of</w:t>
      </w:r>
    </w:p>
    <w:p>
      <w:pPr>
        <w:pStyle w:val="BodyText"/>
        <w:spacing w:line="243" w:lineRule="exact"/>
        <w:ind w:left="1344"/>
      </w:pPr>
      <w:r>
        <w:rPr>
          <w:w w:val="120"/>
        </w:rPr>
        <w:t>the demands of ministerial training and for the RCLs to raise particular matters of concern.</w:t>
      </w:r>
    </w:p>
    <w:p>
      <w:pPr>
        <w:pStyle w:val="BodyText"/>
        <w:spacing w:before="11"/>
      </w:pPr>
    </w:p>
    <w:p>
      <w:pPr>
        <w:pStyle w:val="ListParagraph"/>
        <w:numPr>
          <w:ilvl w:val="1"/>
          <w:numId w:val="175"/>
        </w:numPr>
        <w:tabs>
          <w:tab w:pos="2024" w:val="left" w:leader="none"/>
          <w:tab w:pos="2025" w:val="left" w:leader="none"/>
        </w:tabs>
        <w:spacing w:line="235" w:lineRule="auto" w:before="0" w:after="0"/>
        <w:ind w:left="1344" w:right="1424" w:firstLine="0"/>
        <w:jc w:val="left"/>
        <w:rPr>
          <w:sz w:val="20"/>
        </w:rPr>
      </w:pPr>
      <w:r>
        <w:rPr>
          <w:w w:val="120"/>
          <w:sz w:val="20"/>
        </w:rPr>
        <w:t>We have continued to plan for two assessment conferences each </w:t>
      </w:r>
      <w:r>
        <w:rPr>
          <w:spacing w:val="-4"/>
          <w:w w:val="120"/>
          <w:sz w:val="20"/>
        </w:rPr>
        <w:t>year. </w:t>
      </w:r>
      <w:r>
        <w:rPr>
          <w:w w:val="120"/>
          <w:sz w:val="20"/>
        </w:rPr>
        <w:t>However the conference planned for November </w:t>
      </w:r>
      <w:r>
        <w:rPr>
          <w:spacing w:val="-7"/>
          <w:w w:val="120"/>
          <w:sz w:val="20"/>
        </w:rPr>
        <w:t>2015 </w:t>
      </w:r>
      <w:r>
        <w:rPr>
          <w:w w:val="120"/>
          <w:sz w:val="20"/>
        </w:rPr>
        <w:t>was cancelled due to very low candidate numbers. Although this may have been disappointing for the candidates, the strange nature of a conference with such low numbers and the </w:t>
      </w:r>
      <w:r>
        <w:rPr>
          <w:spacing w:val="2"/>
          <w:w w:val="120"/>
          <w:sz w:val="20"/>
        </w:rPr>
        <w:t>fact </w:t>
      </w:r>
      <w:r>
        <w:rPr>
          <w:w w:val="120"/>
          <w:sz w:val="20"/>
        </w:rPr>
        <w:t>that by attending the April </w:t>
      </w:r>
      <w:r>
        <w:rPr>
          <w:spacing w:val="-7"/>
          <w:w w:val="120"/>
          <w:sz w:val="20"/>
        </w:rPr>
        <w:t>2016 </w:t>
      </w:r>
      <w:r>
        <w:rPr>
          <w:w w:val="120"/>
          <w:sz w:val="20"/>
        </w:rPr>
        <w:t>conference the potential </w:t>
      </w:r>
      <w:r>
        <w:rPr>
          <w:spacing w:val="2"/>
          <w:w w:val="120"/>
          <w:sz w:val="20"/>
        </w:rPr>
        <w:t>start </w:t>
      </w:r>
      <w:r>
        <w:rPr>
          <w:w w:val="120"/>
          <w:sz w:val="20"/>
        </w:rPr>
        <w:t>date for ministerial training would not be affected, the decision to cancel was reluctantly</w:t>
      </w:r>
      <w:r>
        <w:rPr>
          <w:spacing w:val="11"/>
          <w:w w:val="120"/>
          <w:sz w:val="20"/>
        </w:rPr>
        <w:t> </w:t>
      </w:r>
      <w:r>
        <w:rPr>
          <w:w w:val="120"/>
          <w:sz w:val="20"/>
        </w:rPr>
        <w:t>taken.</w:t>
      </w:r>
    </w:p>
    <w:p>
      <w:pPr>
        <w:pStyle w:val="BodyText"/>
        <w:spacing w:before="7"/>
        <w:rPr>
          <w:sz w:val="23"/>
        </w:rPr>
      </w:pPr>
    </w:p>
    <w:p>
      <w:pPr>
        <w:spacing w:before="1"/>
        <w:ind w:left="1344" w:right="0" w:firstLine="0"/>
        <w:jc w:val="left"/>
        <w:rPr>
          <w:rFonts w:ascii="Stone Sans II ITC Std Bk"/>
          <w:b/>
          <w:sz w:val="29"/>
        </w:rPr>
      </w:pPr>
      <w:r>
        <w:rPr>
          <w:rFonts w:ascii="Stone Sans II ITC Std Bk"/>
          <w:b/>
          <w:w w:val="110"/>
          <w:sz w:val="29"/>
        </w:rPr>
        <w:t>Number of candidates</w:t>
      </w:r>
    </w:p>
    <w:p>
      <w:pPr>
        <w:pStyle w:val="ListParagraph"/>
        <w:numPr>
          <w:ilvl w:val="0"/>
          <w:numId w:val="176"/>
        </w:numPr>
        <w:tabs>
          <w:tab w:pos="2024" w:val="left" w:leader="none"/>
          <w:tab w:pos="2025" w:val="left" w:leader="none"/>
        </w:tabs>
        <w:spacing w:line="235" w:lineRule="auto" w:before="69" w:after="0"/>
        <w:ind w:left="1344" w:right="1549" w:firstLine="0"/>
        <w:jc w:val="left"/>
        <w:rPr>
          <w:sz w:val="20"/>
        </w:rPr>
      </w:pPr>
      <w:r>
        <w:rPr>
          <w:w w:val="120"/>
          <w:sz w:val="20"/>
        </w:rPr>
        <w:t>Twenty-eight candidates attended the three assessment conferences between January </w:t>
      </w:r>
      <w:r>
        <w:rPr>
          <w:spacing w:val="-7"/>
          <w:w w:val="120"/>
          <w:sz w:val="20"/>
        </w:rPr>
        <w:t>2014 </w:t>
      </w:r>
      <w:r>
        <w:rPr>
          <w:w w:val="120"/>
          <w:sz w:val="20"/>
        </w:rPr>
        <w:t>and January</w:t>
      </w:r>
      <w:r>
        <w:rPr>
          <w:spacing w:val="15"/>
          <w:w w:val="120"/>
          <w:sz w:val="20"/>
        </w:rPr>
        <w:t> </w:t>
      </w:r>
      <w:r>
        <w:rPr>
          <w:spacing w:val="-6"/>
          <w:w w:val="120"/>
          <w:sz w:val="20"/>
        </w:rPr>
        <w:t>2016.</w:t>
      </w:r>
    </w:p>
    <w:p>
      <w:pPr>
        <w:pStyle w:val="ListParagraph"/>
        <w:numPr>
          <w:ilvl w:val="0"/>
          <w:numId w:val="177"/>
        </w:numPr>
        <w:tabs>
          <w:tab w:pos="2024" w:val="left" w:leader="none"/>
          <w:tab w:pos="2025" w:val="left" w:leader="none"/>
        </w:tabs>
        <w:spacing w:line="234" w:lineRule="exact" w:before="0" w:after="0"/>
        <w:ind w:left="2024" w:right="0" w:hanging="681"/>
        <w:jc w:val="left"/>
        <w:rPr>
          <w:sz w:val="20"/>
        </w:rPr>
      </w:pPr>
      <w:r>
        <w:rPr>
          <w:w w:val="120"/>
          <w:sz w:val="20"/>
        </w:rPr>
        <w:t>Nineteen candidates for stipendiary service </w:t>
      </w:r>
      <w:r>
        <w:rPr>
          <w:spacing w:val="-9"/>
          <w:w w:val="120"/>
          <w:sz w:val="20"/>
        </w:rPr>
        <w:t>(18 </w:t>
      </w:r>
      <w:r>
        <w:rPr>
          <w:w w:val="120"/>
          <w:sz w:val="20"/>
        </w:rPr>
        <w:t>accepted for</w:t>
      </w:r>
      <w:r>
        <w:rPr>
          <w:spacing w:val="34"/>
          <w:w w:val="120"/>
          <w:sz w:val="20"/>
        </w:rPr>
        <w:t> </w:t>
      </w:r>
      <w:r>
        <w:rPr>
          <w:w w:val="120"/>
          <w:sz w:val="20"/>
        </w:rPr>
        <w:t>training)</w:t>
      </w:r>
    </w:p>
    <w:p>
      <w:pPr>
        <w:pStyle w:val="ListParagraph"/>
        <w:numPr>
          <w:ilvl w:val="0"/>
          <w:numId w:val="177"/>
        </w:numPr>
        <w:tabs>
          <w:tab w:pos="2024" w:val="left" w:leader="none"/>
          <w:tab w:pos="2025" w:val="left" w:leader="none"/>
        </w:tabs>
        <w:spacing w:line="240" w:lineRule="exact" w:before="0" w:after="0"/>
        <w:ind w:left="2024" w:right="0" w:hanging="681"/>
        <w:jc w:val="left"/>
        <w:rPr>
          <w:sz w:val="20"/>
        </w:rPr>
      </w:pPr>
      <w:r>
        <w:rPr>
          <w:w w:val="120"/>
          <w:sz w:val="20"/>
        </w:rPr>
        <w:t>Four candidates for non-stipendiary service (three accepted for</w:t>
      </w:r>
      <w:r>
        <w:rPr>
          <w:spacing w:val="21"/>
          <w:w w:val="120"/>
          <w:sz w:val="20"/>
        </w:rPr>
        <w:t> </w:t>
      </w:r>
      <w:r>
        <w:rPr>
          <w:w w:val="120"/>
          <w:sz w:val="20"/>
        </w:rPr>
        <w:t>training)</w:t>
      </w:r>
    </w:p>
    <w:p>
      <w:pPr>
        <w:pStyle w:val="ListParagraph"/>
        <w:numPr>
          <w:ilvl w:val="0"/>
          <w:numId w:val="177"/>
        </w:numPr>
        <w:tabs>
          <w:tab w:pos="2024" w:val="left" w:leader="none"/>
          <w:tab w:pos="2025" w:val="left" w:leader="none"/>
        </w:tabs>
        <w:spacing w:line="240" w:lineRule="exact" w:before="0" w:after="0"/>
        <w:ind w:left="2024" w:right="0" w:hanging="681"/>
        <w:jc w:val="left"/>
        <w:rPr>
          <w:sz w:val="20"/>
        </w:rPr>
      </w:pPr>
      <w:r>
        <w:rPr>
          <w:w w:val="120"/>
          <w:sz w:val="20"/>
        </w:rPr>
        <w:t>Three</w:t>
      </w:r>
      <w:r>
        <w:rPr>
          <w:spacing w:val="8"/>
          <w:w w:val="120"/>
          <w:sz w:val="20"/>
        </w:rPr>
        <w:t> </w:t>
      </w:r>
      <w:r>
        <w:rPr>
          <w:w w:val="120"/>
          <w:sz w:val="20"/>
        </w:rPr>
        <w:t>candidates</w:t>
      </w:r>
      <w:r>
        <w:rPr>
          <w:spacing w:val="8"/>
          <w:w w:val="120"/>
          <w:sz w:val="20"/>
        </w:rPr>
        <w:t> </w:t>
      </w:r>
      <w:r>
        <w:rPr>
          <w:w w:val="120"/>
          <w:sz w:val="20"/>
        </w:rPr>
        <w:t>for</w:t>
      </w:r>
      <w:r>
        <w:rPr>
          <w:spacing w:val="9"/>
          <w:w w:val="120"/>
          <w:sz w:val="20"/>
        </w:rPr>
        <w:t> </w:t>
      </w:r>
      <w:r>
        <w:rPr>
          <w:w w:val="120"/>
          <w:sz w:val="20"/>
        </w:rPr>
        <w:t>CRCW</w:t>
      </w:r>
      <w:r>
        <w:rPr>
          <w:spacing w:val="8"/>
          <w:w w:val="120"/>
          <w:sz w:val="20"/>
        </w:rPr>
        <w:t> </w:t>
      </w:r>
      <w:r>
        <w:rPr>
          <w:w w:val="120"/>
          <w:sz w:val="20"/>
        </w:rPr>
        <w:t>in</w:t>
      </w:r>
      <w:r>
        <w:rPr>
          <w:spacing w:val="9"/>
          <w:w w:val="120"/>
          <w:sz w:val="20"/>
        </w:rPr>
        <w:t> </w:t>
      </w:r>
      <w:r>
        <w:rPr>
          <w:w w:val="120"/>
          <w:sz w:val="20"/>
        </w:rPr>
        <w:t>stipendiary</w:t>
      </w:r>
      <w:r>
        <w:rPr>
          <w:spacing w:val="8"/>
          <w:w w:val="120"/>
          <w:sz w:val="20"/>
        </w:rPr>
        <w:t> </w:t>
      </w:r>
      <w:r>
        <w:rPr>
          <w:w w:val="120"/>
          <w:sz w:val="20"/>
        </w:rPr>
        <w:t>service</w:t>
      </w:r>
      <w:r>
        <w:rPr>
          <w:spacing w:val="9"/>
          <w:w w:val="120"/>
          <w:sz w:val="20"/>
        </w:rPr>
        <w:t> </w:t>
      </w:r>
      <w:r>
        <w:rPr>
          <w:w w:val="120"/>
          <w:sz w:val="20"/>
        </w:rPr>
        <w:t>(three</w:t>
      </w:r>
      <w:r>
        <w:rPr>
          <w:spacing w:val="8"/>
          <w:w w:val="120"/>
          <w:sz w:val="20"/>
        </w:rPr>
        <w:t> </w:t>
      </w:r>
      <w:r>
        <w:rPr>
          <w:w w:val="120"/>
          <w:sz w:val="20"/>
        </w:rPr>
        <w:t>accepted</w:t>
      </w:r>
      <w:r>
        <w:rPr>
          <w:spacing w:val="9"/>
          <w:w w:val="120"/>
          <w:sz w:val="20"/>
        </w:rPr>
        <w:t> </w:t>
      </w:r>
      <w:r>
        <w:rPr>
          <w:w w:val="120"/>
          <w:sz w:val="20"/>
        </w:rPr>
        <w:t>for</w:t>
      </w:r>
      <w:r>
        <w:rPr>
          <w:spacing w:val="8"/>
          <w:w w:val="120"/>
          <w:sz w:val="20"/>
        </w:rPr>
        <w:t> </w:t>
      </w:r>
      <w:r>
        <w:rPr>
          <w:w w:val="120"/>
          <w:sz w:val="20"/>
        </w:rPr>
        <w:t>training)</w:t>
      </w:r>
    </w:p>
    <w:p>
      <w:pPr>
        <w:pStyle w:val="ListParagraph"/>
        <w:numPr>
          <w:ilvl w:val="0"/>
          <w:numId w:val="177"/>
        </w:numPr>
        <w:tabs>
          <w:tab w:pos="2024" w:val="left" w:leader="none"/>
          <w:tab w:pos="2025" w:val="left" w:leader="none"/>
        </w:tabs>
        <w:spacing w:line="240" w:lineRule="exact" w:before="0" w:after="0"/>
        <w:ind w:left="2024" w:right="0" w:hanging="681"/>
        <w:jc w:val="left"/>
        <w:rPr>
          <w:sz w:val="20"/>
        </w:rPr>
      </w:pPr>
      <w:r>
        <w:rPr>
          <w:w w:val="120"/>
          <w:sz w:val="20"/>
        </w:rPr>
        <w:t>One</w:t>
      </w:r>
      <w:r>
        <w:rPr>
          <w:spacing w:val="13"/>
          <w:w w:val="120"/>
          <w:sz w:val="20"/>
        </w:rPr>
        <w:t> </w:t>
      </w:r>
      <w:r>
        <w:rPr>
          <w:w w:val="120"/>
          <w:sz w:val="20"/>
        </w:rPr>
        <w:t>candidate</w:t>
      </w:r>
      <w:r>
        <w:rPr>
          <w:spacing w:val="14"/>
          <w:w w:val="120"/>
          <w:sz w:val="20"/>
        </w:rPr>
        <w:t> </w:t>
      </w:r>
      <w:r>
        <w:rPr>
          <w:w w:val="120"/>
          <w:sz w:val="20"/>
        </w:rPr>
        <w:t>for</w:t>
      </w:r>
      <w:r>
        <w:rPr>
          <w:spacing w:val="14"/>
          <w:w w:val="120"/>
          <w:sz w:val="20"/>
        </w:rPr>
        <w:t> </w:t>
      </w:r>
      <w:r>
        <w:rPr>
          <w:w w:val="120"/>
          <w:sz w:val="20"/>
        </w:rPr>
        <w:t>CRCW</w:t>
      </w:r>
      <w:r>
        <w:rPr>
          <w:spacing w:val="14"/>
          <w:w w:val="120"/>
          <w:sz w:val="20"/>
        </w:rPr>
        <w:t> </w:t>
      </w:r>
      <w:r>
        <w:rPr>
          <w:w w:val="120"/>
          <w:sz w:val="20"/>
        </w:rPr>
        <w:t>in</w:t>
      </w:r>
      <w:r>
        <w:rPr>
          <w:spacing w:val="13"/>
          <w:w w:val="120"/>
          <w:sz w:val="20"/>
        </w:rPr>
        <w:t> </w:t>
      </w:r>
      <w:r>
        <w:rPr>
          <w:w w:val="120"/>
          <w:sz w:val="20"/>
        </w:rPr>
        <w:t>non-stipendiary</w:t>
      </w:r>
      <w:r>
        <w:rPr>
          <w:spacing w:val="14"/>
          <w:w w:val="120"/>
          <w:sz w:val="20"/>
        </w:rPr>
        <w:t> </w:t>
      </w:r>
      <w:r>
        <w:rPr>
          <w:w w:val="120"/>
          <w:sz w:val="20"/>
        </w:rPr>
        <w:t>service</w:t>
      </w:r>
      <w:r>
        <w:rPr>
          <w:spacing w:val="14"/>
          <w:w w:val="120"/>
          <w:sz w:val="20"/>
        </w:rPr>
        <w:t> </w:t>
      </w:r>
      <w:r>
        <w:rPr>
          <w:spacing w:val="-5"/>
          <w:w w:val="120"/>
          <w:sz w:val="20"/>
        </w:rPr>
        <w:t>(not</w:t>
      </w:r>
      <w:r>
        <w:rPr>
          <w:spacing w:val="14"/>
          <w:w w:val="120"/>
          <w:sz w:val="20"/>
        </w:rPr>
        <w:t> </w:t>
      </w:r>
      <w:r>
        <w:rPr>
          <w:w w:val="120"/>
          <w:sz w:val="20"/>
        </w:rPr>
        <w:t>accepted</w:t>
      </w:r>
      <w:r>
        <w:rPr>
          <w:spacing w:val="14"/>
          <w:w w:val="120"/>
          <w:sz w:val="20"/>
        </w:rPr>
        <w:t> </w:t>
      </w:r>
      <w:r>
        <w:rPr>
          <w:w w:val="120"/>
          <w:sz w:val="20"/>
        </w:rPr>
        <w:t>for</w:t>
      </w:r>
      <w:r>
        <w:rPr>
          <w:spacing w:val="13"/>
          <w:w w:val="120"/>
          <w:sz w:val="20"/>
        </w:rPr>
        <w:t> </w:t>
      </w:r>
      <w:r>
        <w:rPr>
          <w:w w:val="120"/>
          <w:sz w:val="20"/>
        </w:rPr>
        <w:t>training)</w:t>
      </w:r>
    </w:p>
    <w:p>
      <w:pPr>
        <w:pStyle w:val="ListParagraph"/>
        <w:numPr>
          <w:ilvl w:val="0"/>
          <w:numId w:val="177"/>
        </w:numPr>
        <w:tabs>
          <w:tab w:pos="2024" w:val="left" w:leader="none"/>
          <w:tab w:pos="2025" w:val="left" w:leader="none"/>
        </w:tabs>
        <w:spacing w:line="298" w:lineRule="exact" w:before="0" w:after="0"/>
        <w:ind w:left="2024" w:right="0" w:hanging="681"/>
        <w:jc w:val="left"/>
        <w:rPr>
          <w:sz w:val="20"/>
        </w:rPr>
      </w:pPr>
      <w:r>
        <w:rPr>
          <w:w w:val="120"/>
          <w:sz w:val="20"/>
        </w:rPr>
        <w:t>One for transfer from non-stipendiary to stipendiary service </w:t>
      </w:r>
      <w:r>
        <w:rPr>
          <w:spacing w:val="-5"/>
          <w:w w:val="120"/>
          <w:sz w:val="20"/>
        </w:rPr>
        <w:t>(not</w:t>
      </w:r>
      <w:r>
        <w:rPr>
          <w:spacing w:val="29"/>
          <w:w w:val="120"/>
          <w:sz w:val="20"/>
        </w:rPr>
        <w:t> </w:t>
      </w:r>
      <w:r>
        <w:rPr>
          <w:w w:val="120"/>
          <w:sz w:val="20"/>
        </w:rPr>
        <w:t>accepted)</w:t>
      </w:r>
    </w:p>
    <w:p>
      <w:pPr>
        <w:spacing w:after="0" w:line="298" w:lineRule="exact"/>
        <w:jc w:val="left"/>
        <w:rPr>
          <w:sz w:val="20"/>
        </w:rPr>
        <w:sectPr>
          <w:headerReference w:type="default" r:id="rId401"/>
          <w:footerReference w:type="default" r:id="rId402"/>
          <w:footerReference w:type="even" r:id="rId403"/>
          <w:pgSz w:w="11910" w:h="16840"/>
          <w:pgMar w:header="0" w:footer="647" w:top="0" w:bottom="840" w:left="640" w:right="0"/>
          <w:pgNumType w:start="147"/>
        </w:sectPr>
      </w:pPr>
    </w:p>
    <w:p>
      <w:pPr>
        <w:pStyle w:val="BodyText"/>
      </w:pPr>
      <w:r>
        <w:rPr/>
        <w:drawing>
          <wp:anchor distT="0" distB="0" distL="0" distR="0" allowOverlap="1" layoutInCell="1" locked="0" behindDoc="1" simplePos="0" relativeHeight="235589632">
            <wp:simplePos x="0" y="0"/>
            <wp:positionH relativeFrom="page">
              <wp:posOffset>0</wp:posOffset>
            </wp:positionH>
            <wp:positionV relativeFrom="page">
              <wp:posOffset>0</wp:posOffset>
            </wp:positionV>
            <wp:extent cx="594067" cy="10692003"/>
            <wp:effectExtent l="0" t="0" r="0" b="0"/>
            <wp:wrapNone/>
            <wp:docPr id="277" name="image67.png"/>
            <wp:cNvGraphicFramePr>
              <a:graphicFrameLocks noChangeAspect="1"/>
            </wp:cNvGraphicFramePr>
            <a:graphic>
              <a:graphicData uri="http://schemas.openxmlformats.org/drawingml/2006/picture">
                <pic:pic>
                  <pic:nvPicPr>
                    <pic:cNvPr id="278" name="image67.png"/>
                    <pic:cNvPicPr/>
                  </pic:nvPicPr>
                  <pic:blipFill>
                    <a:blip r:embed="rId184" cstate="print"/>
                    <a:stretch>
                      <a:fillRect/>
                    </a:stretch>
                  </pic:blipFill>
                  <pic:spPr>
                    <a:xfrm>
                      <a:off x="0" y="0"/>
                      <a:ext cx="594067" cy="10692003"/>
                    </a:xfrm>
                    <a:prstGeom prst="rect">
                      <a:avLst/>
                    </a:prstGeom>
                  </pic:spPr>
                </pic:pic>
              </a:graphicData>
            </a:graphic>
          </wp:anchor>
        </w:drawing>
      </w:r>
      <w:r>
        <w:rPr/>
        <w:pict>
          <v:shape style="position:absolute;margin-left:20.519100pt;margin-top:48.890015pt;width:25.9pt;height:183.85pt;mso-position-horizontal-relative:page;mso-position-vertical-relative:page;z-index:252044288" type="#_x0000_t202" filled="false" stroked="false">
            <v:textbox inset="0,0,0,0" style="layout-flow:vertical">
              <w:txbxContent>
                <w:p>
                  <w:pPr>
                    <w:spacing w:before="27"/>
                    <w:ind w:left="20" w:right="0" w:firstLine="0"/>
                    <w:jc w:val="left"/>
                    <w:rPr>
                      <w:sz w:val="39"/>
                    </w:rPr>
                  </w:pPr>
                  <w:r>
                    <w:rPr>
                      <w:color w:val="FFFFFF"/>
                      <w:w w:val="120"/>
                      <w:sz w:val="39"/>
                    </w:rPr>
                    <w:t>Assessment board</w:t>
                  </w:r>
                </w:p>
              </w:txbxContent>
            </v:textbox>
            <w10:wrap type="none"/>
          </v:shape>
        </w:pict>
      </w:r>
    </w:p>
    <w:p>
      <w:pPr>
        <w:pStyle w:val="BodyText"/>
        <w:spacing w:before="7"/>
        <w:rPr>
          <w:sz w:val="21"/>
        </w:rPr>
      </w:pPr>
    </w:p>
    <w:p>
      <w:pPr>
        <w:spacing w:before="106"/>
        <w:ind w:left="607" w:right="0" w:firstLine="0"/>
        <w:jc w:val="left"/>
        <w:rPr>
          <w:sz w:val="26"/>
        </w:rPr>
      </w:pPr>
      <w:r>
        <w:rPr>
          <w:color w:val="7EAABF"/>
          <w:w w:val="110"/>
          <w:sz w:val="26"/>
        </w:rPr>
        <w:t>Ministries</w:t>
      </w:r>
    </w:p>
    <w:p>
      <w:pPr>
        <w:spacing w:before="215"/>
        <w:ind w:left="607" w:right="0" w:firstLine="0"/>
        <w:jc w:val="left"/>
        <w:rPr>
          <w:rFonts w:ascii="Stone Sans II ITC Std Bk"/>
          <w:b/>
          <w:sz w:val="29"/>
        </w:rPr>
      </w:pPr>
      <w:r>
        <w:rPr>
          <w:rFonts w:ascii="Stone Sans II ITC Std Bk"/>
          <w:b/>
          <w:w w:val="110"/>
          <w:sz w:val="29"/>
        </w:rPr>
        <w:t>Windermere consultation</w:t>
      </w:r>
    </w:p>
    <w:p>
      <w:pPr>
        <w:pStyle w:val="ListParagraph"/>
        <w:numPr>
          <w:ilvl w:val="0"/>
          <w:numId w:val="176"/>
        </w:numPr>
        <w:tabs>
          <w:tab w:pos="1287" w:val="left" w:leader="none"/>
          <w:tab w:pos="1288" w:val="left" w:leader="none"/>
        </w:tabs>
        <w:spacing w:line="235" w:lineRule="auto" w:before="69" w:after="0"/>
        <w:ind w:left="607" w:right="2013" w:firstLine="0"/>
        <w:jc w:val="left"/>
        <w:rPr>
          <w:sz w:val="20"/>
        </w:rPr>
      </w:pPr>
      <w:r>
        <w:rPr>
          <w:w w:val="120"/>
          <w:sz w:val="20"/>
        </w:rPr>
        <w:t>The annual consultation at Windermere in November continues to provide training both for assessment board members and for those in synods involved with interviews of candidates. It also provides a valuable point of contact between the board and synods. For several years this event was led by Sian Collins and Jamie Kissack but in </w:t>
      </w:r>
      <w:r>
        <w:rPr>
          <w:spacing w:val="-7"/>
          <w:w w:val="120"/>
          <w:sz w:val="20"/>
        </w:rPr>
        <w:t>2015 </w:t>
      </w:r>
      <w:r>
        <w:rPr>
          <w:w w:val="120"/>
          <w:sz w:val="20"/>
        </w:rPr>
        <w:t>it was handed over to Peter Henderson and </w:t>
      </w:r>
      <w:r>
        <w:rPr>
          <w:spacing w:val="2"/>
          <w:w w:val="120"/>
          <w:sz w:val="20"/>
        </w:rPr>
        <w:t>Mary </w:t>
      </w:r>
      <w:r>
        <w:rPr>
          <w:w w:val="120"/>
          <w:sz w:val="20"/>
        </w:rPr>
        <w:t>Thomas. We are grateful to all four of them for their</w:t>
      </w:r>
      <w:r>
        <w:rPr>
          <w:spacing w:val="8"/>
          <w:w w:val="120"/>
          <w:sz w:val="20"/>
        </w:rPr>
        <w:t> </w:t>
      </w:r>
      <w:r>
        <w:rPr>
          <w:w w:val="120"/>
          <w:sz w:val="20"/>
        </w:rPr>
        <w:t>work.</w:t>
      </w:r>
    </w:p>
    <w:p>
      <w:pPr>
        <w:spacing w:after="0" w:line="235" w:lineRule="auto"/>
        <w:jc w:val="left"/>
        <w:rPr>
          <w:sz w:val="20"/>
        </w:rPr>
        <w:sectPr>
          <w:headerReference w:type="even" r:id="rId404"/>
          <w:pgSz w:w="11910" w:h="16840"/>
          <w:pgMar w:header="0" w:footer="647" w:top="0" w:bottom="840" w:left="640" w:right="0"/>
        </w:sectPr>
      </w:pPr>
    </w:p>
    <w:p>
      <w:pPr>
        <w:pStyle w:val="BodyText"/>
      </w:pPr>
      <w:r>
        <w:rPr/>
        <w:drawing>
          <wp:anchor distT="0" distB="0" distL="0" distR="0" allowOverlap="1" layoutInCell="1" locked="0" behindDoc="0" simplePos="0" relativeHeight="252045312">
            <wp:simplePos x="0" y="0"/>
            <wp:positionH relativeFrom="page">
              <wp:posOffset>6974928</wp:posOffset>
            </wp:positionH>
            <wp:positionV relativeFrom="page">
              <wp:posOffset>0</wp:posOffset>
            </wp:positionV>
            <wp:extent cx="585063" cy="10692003"/>
            <wp:effectExtent l="0" t="0" r="0" b="0"/>
            <wp:wrapNone/>
            <wp:docPr id="279" name="image54.png"/>
            <wp:cNvGraphicFramePr>
              <a:graphicFrameLocks noChangeAspect="1"/>
            </wp:cNvGraphicFramePr>
            <a:graphic>
              <a:graphicData uri="http://schemas.openxmlformats.org/drawingml/2006/picture">
                <pic:pic>
                  <pic:nvPicPr>
                    <pic:cNvPr id="280" name="image54.png"/>
                    <pic:cNvPicPr/>
                  </pic:nvPicPr>
                  <pic:blipFill>
                    <a:blip r:embed="rId169" cstate="print"/>
                    <a:stretch>
                      <a:fillRect/>
                    </a:stretch>
                  </pic:blipFill>
                  <pic:spPr>
                    <a:xfrm>
                      <a:off x="0" y="0"/>
                      <a:ext cx="585063" cy="10692003"/>
                    </a:xfrm>
                    <a:prstGeom prst="rect">
                      <a:avLst/>
                    </a:prstGeom>
                  </pic:spPr>
                </pic:pic>
              </a:graphicData>
            </a:graphic>
          </wp:anchor>
        </w:drawing>
      </w:r>
    </w:p>
    <w:p>
      <w:pPr>
        <w:pStyle w:val="BodyText"/>
        <w:spacing w:before="7"/>
        <w:rPr>
          <w:sz w:val="21"/>
        </w:rPr>
      </w:pPr>
    </w:p>
    <w:p>
      <w:pPr>
        <w:spacing w:before="106"/>
        <w:ind w:left="0" w:right="1245" w:firstLine="0"/>
        <w:jc w:val="right"/>
        <w:rPr>
          <w:sz w:val="26"/>
        </w:rPr>
      </w:pPr>
      <w:r>
        <w:rPr/>
        <w:pict>
          <v:shape style="position:absolute;margin-left:554.141174pt;margin-top:22.593945pt;width:25.9pt;height:456.25pt;mso-position-horizontal-relative:page;mso-position-vertical-relative:paragraph;z-index:252047360" type="#_x0000_t202" filled="false" stroked="false">
            <v:textbox inset="0,0,0,0" style="layout-flow:vertical">
              <w:txbxContent>
                <w:p>
                  <w:pPr>
                    <w:spacing w:before="27"/>
                    <w:ind w:left="20" w:right="0" w:firstLine="0"/>
                    <w:jc w:val="left"/>
                    <w:rPr>
                      <w:sz w:val="39"/>
                    </w:rPr>
                  </w:pPr>
                  <w:r>
                    <w:rPr>
                      <w:color w:val="FFFFFF"/>
                      <w:spacing w:val="8"/>
                      <w:w w:val="120"/>
                      <w:sz w:val="39"/>
                    </w:rPr>
                    <w:t>Church</w:t>
                  </w:r>
                  <w:r>
                    <w:rPr>
                      <w:color w:val="FFFFFF"/>
                      <w:spacing w:val="67"/>
                      <w:w w:val="120"/>
                      <w:sz w:val="39"/>
                    </w:rPr>
                    <w:t> </w:t>
                  </w:r>
                  <w:r>
                    <w:rPr>
                      <w:color w:val="FFFFFF"/>
                      <w:spacing w:val="8"/>
                      <w:w w:val="120"/>
                      <w:sz w:val="39"/>
                    </w:rPr>
                    <w:t>related</w:t>
                  </w:r>
                  <w:r>
                    <w:rPr>
                      <w:color w:val="FFFFFF"/>
                      <w:spacing w:val="68"/>
                      <w:w w:val="120"/>
                      <w:sz w:val="39"/>
                    </w:rPr>
                    <w:t> </w:t>
                  </w:r>
                  <w:r>
                    <w:rPr>
                      <w:color w:val="FFFFFF"/>
                      <w:spacing w:val="9"/>
                      <w:w w:val="120"/>
                      <w:sz w:val="39"/>
                    </w:rPr>
                    <w:t>community</w:t>
                  </w:r>
                  <w:r>
                    <w:rPr>
                      <w:color w:val="FFFFFF"/>
                      <w:spacing w:val="67"/>
                      <w:w w:val="120"/>
                      <w:sz w:val="39"/>
                    </w:rPr>
                    <w:t> </w:t>
                  </w:r>
                  <w:r>
                    <w:rPr>
                      <w:color w:val="FFFFFF"/>
                      <w:spacing w:val="7"/>
                      <w:w w:val="120"/>
                      <w:sz w:val="39"/>
                    </w:rPr>
                    <w:t>work</w:t>
                  </w:r>
                  <w:r>
                    <w:rPr>
                      <w:color w:val="FFFFFF"/>
                      <w:spacing w:val="68"/>
                      <w:w w:val="120"/>
                      <w:sz w:val="39"/>
                    </w:rPr>
                    <w:t> </w:t>
                  </w:r>
                  <w:r>
                    <w:rPr>
                      <w:color w:val="FFFFFF"/>
                      <w:spacing w:val="10"/>
                      <w:w w:val="120"/>
                      <w:sz w:val="39"/>
                    </w:rPr>
                    <w:t>programme</w:t>
                  </w:r>
                </w:p>
              </w:txbxContent>
            </v:textbox>
            <w10:wrap type="none"/>
          </v:shape>
        </w:pict>
      </w:r>
      <w:r>
        <w:rPr>
          <w:color w:val="7EAABF"/>
          <w:w w:val="110"/>
          <w:sz w:val="26"/>
        </w:rPr>
        <w:t>Ministries</w:t>
      </w:r>
    </w:p>
    <w:p>
      <w:pPr>
        <w:pStyle w:val="BodyText"/>
        <w:spacing w:before="8"/>
        <w:rPr>
          <w:sz w:val="24"/>
        </w:rPr>
      </w:pPr>
    </w:p>
    <w:p>
      <w:pPr>
        <w:spacing w:line="213" w:lineRule="auto" w:before="1"/>
        <w:ind w:left="1344" w:right="2045" w:firstLine="0"/>
        <w:jc w:val="left"/>
        <w:rPr>
          <w:rFonts w:ascii="Stone Sans II ITC Std X Bd"/>
          <w:b/>
          <w:sz w:val="50"/>
        </w:rPr>
      </w:pPr>
      <w:r>
        <w:rPr>
          <w:rFonts w:ascii="Stone Sans II ITC Std X Bd"/>
          <w:b/>
          <w:spacing w:val="-10"/>
          <w:w w:val="110"/>
          <w:sz w:val="50"/>
        </w:rPr>
        <w:t>Church </w:t>
      </w:r>
      <w:r>
        <w:rPr>
          <w:rFonts w:ascii="Stone Sans II ITC Std X Bd"/>
          <w:b/>
          <w:spacing w:val="-11"/>
          <w:w w:val="110"/>
          <w:sz w:val="50"/>
        </w:rPr>
        <w:t>related </w:t>
      </w:r>
      <w:r>
        <w:rPr>
          <w:rFonts w:ascii="Stone Sans II ITC Std X Bd"/>
          <w:b/>
          <w:spacing w:val="-9"/>
          <w:w w:val="110"/>
          <w:sz w:val="50"/>
        </w:rPr>
        <w:t>community </w:t>
      </w:r>
      <w:r>
        <w:rPr>
          <w:rFonts w:ascii="Stone Sans II ITC Std X Bd"/>
          <w:b/>
          <w:spacing w:val="-10"/>
          <w:w w:val="110"/>
          <w:sz w:val="50"/>
        </w:rPr>
        <w:t>work </w:t>
      </w:r>
      <w:r>
        <w:rPr>
          <w:rFonts w:ascii="Stone Sans II ITC Std X Bd"/>
          <w:b/>
          <w:spacing w:val="-11"/>
          <w:w w:val="110"/>
          <w:sz w:val="50"/>
        </w:rPr>
        <w:t>programme </w:t>
      </w:r>
      <w:r>
        <w:rPr>
          <w:rFonts w:ascii="Stone Sans II ITC Std X Bd"/>
          <w:b/>
          <w:spacing w:val="-10"/>
          <w:w w:val="110"/>
          <w:sz w:val="50"/>
        </w:rPr>
        <w:t>subcommittee</w:t>
      </w:r>
    </w:p>
    <w:p>
      <w:pPr>
        <w:pStyle w:val="BodyText"/>
        <w:spacing w:before="7"/>
        <w:rPr>
          <w:rFonts w:ascii="Stone Sans II ITC Std X Bd"/>
          <w:b/>
          <w:sz w:val="7"/>
        </w:rPr>
      </w:pPr>
    </w:p>
    <w:p>
      <w:pPr>
        <w:spacing w:line="261" w:lineRule="auto" w:before="101"/>
        <w:ind w:left="1571" w:right="1704" w:firstLine="0"/>
        <w:jc w:val="left"/>
        <w:rPr>
          <w:sz w:val="18"/>
        </w:rPr>
      </w:pPr>
      <w:r>
        <w:rPr/>
        <w:pict>
          <v:line style="position:absolute;mso-position-horizontal-relative:page;mso-position-vertical-relative:paragraph;z-index:252046336" from="99.212601pt,6.515728pt" to="99.212601pt,109.980728pt" stroked="true" strokeweight="2pt" strokecolor="#0090d4">
            <v:stroke dashstyle="solid"/>
            <w10:wrap type="none"/>
          </v:line>
        </w:pict>
      </w:r>
      <w:r>
        <w:rPr>
          <w:color w:val="707172"/>
          <w:w w:val="120"/>
          <w:sz w:val="18"/>
        </w:rPr>
        <w:t>It is responsible for supporting the church related community work (CRCW) ministry and programme under the terms agreed in the CRCW covenant. This includes the accreditation  of</w:t>
      </w:r>
      <w:r>
        <w:rPr>
          <w:color w:val="707172"/>
          <w:spacing w:val="2"/>
          <w:w w:val="120"/>
          <w:sz w:val="18"/>
        </w:rPr>
        <w:t> </w:t>
      </w:r>
      <w:r>
        <w:rPr>
          <w:color w:val="707172"/>
          <w:w w:val="120"/>
          <w:sz w:val="18"/>
        </w:rPr>
        <w:t>churches-in-community.</w:t>
      </w:r>
    </w:p>
    <w:p>
      <w:pPr>
        <w:pStyle w:val="BodyText"/>
        <w:spacing w:before="11"/>
        <w:rPr>
          <w:sz w:val="18"/>
        </w:rPr>
      </w:pPr>
    </w:p>
    <w:p>
      <w:pPr>
        <w:spacing w:line="242" w:lineRule="exact" w:before="0"/>
        <w:ind w:left="1571" w:right="0" w:firstLine="0"/>
        <w:jc w:val="left"/>
        <w:rPr>
          <w:sz w:val="18"/>
        </w:rPr>
      </w:pPr>
      <w:r>
        <w:rPr>
          <w:rFonts w:ascii="Stone Sans II ITC Std Bk"/>
          <w:b/>
          <w:color w:val="707172"/>
          <w:w w:val="115"/>
          <w:sz w:val="18"/>
        </w:rPr>
        <w:t>Convenor: </w:t>
      </w:r>
      <w:r>
        <w:rPr>
          <w:color w:val="707172"/>
          <w:w w:val="115"/>
          <w:sz w:val="18"/>
        </w:rPr>
        <w:t>Jacky Embrey</w:t>
      </w:r>
    </w:p>
    <w:p>
      <w:pPr>
        <w:spacing w:line="240" w:lineRule="exact" w:before="0"/>
        <w:ind w:left="1571" w:right="0" w:firstLine="0"/>
        <w:jc w:val="left"/>
        <w:rPr>
          <w:sz w:val="18"/>
        </w:rPr>
      </w:pPr>
      <w:r>
        <w:rPr>
          <w:rFonts w:ascii="Stone Sans II ITC Std Bk"/>
          <w:b/>
          <w:color w:val="707172"/>
          <w:w w:val="120"/>
          <w:sz w:val="18"/>
        </w:rPr>
        <w:t>Secretaries: </w:t>
      </w:r>
      <w:r>
        <w:rPr>
          <w:color w:val="707172"/>
          <w:w w:val="120"/>
          <w:sz w:val="18"/>
        </w:rPr>
        <w:t>Suzanne Adofo (until 2014), Steve Summers</w:t>
      </w:r>
    </w:p>
    <w:p>
      <w:pPr>
        <w:spacing w:line="254" w:lineRule="auto" w:before="0"/>
        <w:ind w:left="1571" w:right="1456" w:firstLine="0"/>
        <w:jc w:val="left"/>
        <w:rPr>
          <w:sz w:val="18"/>
        </w:rPr>
      </w:pPr>
      <w:r>
        <w:rPr>
          <w:rFonts w:ascii="Stone Sans II ITC Std Bk"/>
          <w:b/>
          <w:color w:val="707172"/>
          <w:w w:val="125"/>
          <w:sz w:val="18"/>
        </w:rPr>
        <w:t>Members: </w:t>
      </w:r>
      <w:r>
        <w:rPr>
          <w:color w:val="707172"/>
          <w:w w:val="125"/>
          <w:sz w:val="18"/>
        </w:rPr>
        <w:t>Rosie Buxton, John Campbell </w:t>
      </w:r>
      <w:r>
        <w:rPr>
          <w:color w:val="707172"/>
          <w:spacing w:val="-3"/>
          <w:w w:val="125"/>
          <w:sz w:val="18"/>
        </w:rPr>
        <w:t>(until </w:t>
      </w:r>
      <w:r>
        <w:rPr>
          <w:color w:val="707172"/>
          <w:spacing w:val="-6"/>
          <w:w w:val="125"/>
          <w:sz w:val="18"/>
        </w:rPr>
        <w:t>2015), </w:t>
      </w:r>
      <w:r>
        <w:rPr>
          <w:color w:val="707172"/>
          <w:w w:val="125"/>
          <w:sz w:val="18"/>
        </w:rPr>
        <w:t>Derek Estill (from </w:t>
      </w:r>
      <w:r>
        <w:rPr>
          <w:color w:val="707172"/>
          <w:spacing w:val="-6"/>
          <w:w w:val="125"/>
          <w:sz w:val="18"/>
        </w:rPr>
        <w:t>2015), </w:t>
      </w:r>
      <w:r>
        <w:rPr>
          <w:color w:val="707172"/>
          <w:w w:val="125"/>
          <w:sz w:val="18"/>
        </w:rPr>
        <w:t>Graham Ghaleb </w:t>
      </w:r>
      <w:r>
        <w:rPr>
          <w:color w:val="707172"/>
          <w:spacing w:val="-3"/>
          <w:w w:val="125"/>
          <w:sz w:val="18"/>
        </w:rPr>
        <w:t>(until </w:t>
      </w:r>
      <w:r>
        <w:rPr>
          <w:color w:val="707172"/>
          <w:spacing w:val="-6"/>
          <w:w w:val="125"/>
          <w:sz w:val="18"/>
        </w:rPr>
        <w:t>2015), </w:t>
      </w:r>
      <w:r>
        <w:rPr>
          <w:color w:val="707172"/>
          <w:w w:val="125"/>
          <w:sz w:val="18"/>
        </w:rPr>
        <w:t>Simon Loveitt (convenor-elect from </w:t>
      </w:r>
      <w:r>
        <w:rPr>
          <w:color w:val="707172"/>
          <w:spacing w:val="-6"/>
          <w:w w:val="125"/>
          <w:sz w:val="18"/>
        </w:rPr>
        <w:t>2015) </w:t>
      </w:r>
      <w:r>
        <w:rPr>
          <w:color w:val="707172"/>
          <w:w w:val="125"/>
          <w:sz w:val="18"/>
        </w:rPr>
        <w:t>Keith Morrison, Caro Smyth, Helen Stephenson (from </w:t>
      </w:r>
      <w:r>
        <w:rPr>
          <w:color w:val="707172"/>
          <w:spacing w:val="-6"/>
          <w:w w:val="125"/>
          <w:sz w:val="18"/>
        </w:rPr>
        <w:t>2015), </w:t>
      </w:r>
      <w:r>
        <w:rPr>
          <w:color w:val="707172"/>
          <w:w w:val="125"/>
          <w:sz w:val="18"/>
        </w:rPr>
        <w:t>Simon Walkling and David Williams (from </w:t>
      </w:r>
      <w:r>
        <w:rPr>
          <w:color w:val="707172"/>
          <w:spacing w:val="-5"/>
          <w:w w:val="125"/>
          <w:sz w:val="18"/>
        </w:rPr>
        <w:t>2015).</w:t>
      </w:r>
    </w:p>
    <w:p>
      <w:pPr>
        <w:pStyle w:val="BodyText"/>
        <w:rPr>
          <w:sz w:val="22"/>
        </w:rPr>
      </w:pPr>
    </w:p>
    <w:p>
      <w:pPr>
        <w:pStyle w:val="BodyText"/>
        <w:spacing w:before="11"/>
        <w:rPr>
          <w:sz w:val="18"/>
        </w:rPr>
      </w:pPr>
    </w:p>
    <w:p>
      <w:pPr>
        <w:spacing w:before="0"/>
        <w:ind w:left="1344" w:right="0" w:firstLine="0"/>
        <w:jc w:val="left"/>
        <w:rPr>
          <w:rFonts w:ascii="Stone Sans II ITC Std Bk"/>
          <w:b/>
          <w:sz w:val="29"/>
        </w:rPr>
      </w:pPr>
      <w:r>
        <w:rPr>
          <w:rFonts w:ascii="Stone Sans II ITC Std Bk"/>
          <w:b/>
          <w:w w:val="110"/>
          <w:sz w:val="29"/>
        </w:rPr>
        <w:t>The ministry</w:t>
      </w:r>
    </w:p>
    <w:p>
      <w:pPr>
        <w:pStyle w:val="ListParagraph"/>
        <w:numPr>
          <w:ilvl w:val="1"/>
          <w:numId w:val="176"/>
        </w:numPr>
        <w:tabs>
          <w:tab w:pos="2024" w:val="left" w:leader="none"/>
          <w:tab w:pos="2025" w:val="left" w:leader="none"/>
        </w:tabs>
        <w:spacing w:line="235" w:lineRule="auto" w:before="69" w:after="0"/>
        <w:ind w:left="1344" w:right="1246" w:firstLine="0"/>
        <w:jc w:val="left"/>
        <w:rPr>
          <w:sz w:val="20"/>
        </w:rPr>
      </w:pPr>
      <w:r>
        <w:rPr>
          <w:spacing w:val="-3"/>
          <w:w w:val="120"/>
          <w:sz w:val="20"/>
        </w:rPr>
        <w:t>Churches </w:t>
      </w:r>
      <w:r>
        <w:rPr>
          <w:w w:val="120"/>
          <w:sz w:val="20"/>
        </w:rPr>
        <w:t>participate in CRCW ministry because they believe that the process of </w:t>
      </w:r>
      <w:r>
        <w:rPr>
          <w:spacing w:val="-3"/>
          <w:w w:val="120"/>
          <w:sz w:val="20"/>
        </w:rPr>
        <w:t>community </w:t>
      </w:r>
      <w:r>
        <w:rPr>
          <w:w w:val="120"/>
          <w:sz w:val="20"/>
        </w:rPr>
        <w:t>development is an empowering and enabling </w:t>
      </w:r>
      <w:r>
        <w:rPr>
          <w:spacing w:val="-2"/>
          <w:w w:val="120"/>
          <w:sz w:val="20"/>
        </w:rPr>
        <w:t>way </w:t>
      </w:r>
      <w:r>
        <w:rPr>
          <w:spacing w:val="-3"/>
          <w:w w:val="120"/>
          <w:sz w:val="20"/>
        </w:rPr>
        <w:t>to </w:t>
      </w:r>
      <w:r>
        <w:rPr>
          <w:w w:val="120"/>
          <w:sz w:val="20"/>
        </w:rPr>
        <w:t>express their beliefs in action. They do so with the knowledge that engaging in </w:t>
      </w:r>
      <w:r>
        <w:rPr>
          <w:spacing w:val="-3"/>
          <w:w w:val="120"/>
          <w:sz w:val="20"/>
        </w:rPr>
        <w:t>this </w:t>
      </w:r>
      <w:r>
        <w:rPr>
          <w:w w:val="120"/>
          <w:sz w:val="20"/>
        </w:rPr>
        <w:t>ministry will change </w:t>
      </w:r>
      <w:r>
        <w:rPr>
          <w:spacing w:val="-2"/>
          <w:w w:val="120"/>
          <w:sz w:val="20"/>
        </w:rPr>
        <w:t>not </w:t>
      </w:r>
      <w:r>
        <w:rPr>
          <w:w w:val="120"/>
          <w:sz w:val="20"/>
        </w:rPr>
        <w:t>only the </w:t>
      </w:r>
      <w:r>
        <w:rPr>
          <w:spacing w:val="-3"/>
          <w:w w:val="120"/>
          <w:sz w:val="20"/>
        </w:rPr>
        <w:t>community </w:t>
      </w:r>
      <w:r>
        <w:rPr>
          <w:w w:val="120"/>
          <w:sz w:val="20"/>
        </w:rPr>
        <w:t>but also the </w:t>
      </w:r>
      <w:r>
        <w:rPr>
          <w:spacing w:val="-3"/>
          <w:w w:val="120"/>
          <w:sz w:val="20"/>
        </w:rPr>
        <w:t>congregation. </w:t>
      </w:r>
      <w:r>
        <w:rPr>
          <w:w w:val="120"/>
          <w:sz w:val="20"/>
        </w:rPr>
        <w:t>They also understand that </w:t>
      </w:r>
      <w:r>
        <w:rPr>
          <w:spacing w:val="-3"/>
          <w:w w:val="120"/>
          <w:sz w:val="20"/>
        </w:rPr>
        <w:t>this </w:t>
      </w:r>
      <w:r>
        <w:rPr>
          <w:w w:val="120"/>
          <w:sz w:val="20"/>
        </w:rPr>
        <w:t>journey is </w:t>
      </w:r>
      <w:r>
        <w:rPr>
          <w:spacing w:val="-2"/>
          <w:w w:val="120"/>
          <w:sz w:val="20"/>
        </w:rPr>
        <w:t>not </w:t>
      </w:r>
      <w:r>
        <w:rPr>
          <w:w w:val="120"/>
          <w:sz w:val="20"/>
        </w:rPr>
        <w:t>one</w:t>
      </w:r>
      <w:r>
        <w:rPr>
          <w:spacing w:val="-4"/>
          <w:w w:val="120"/>
          <w:sz w:val="20"/>
        </w:rPr>
        <w:t> </w:t>
      </w:r>
      <w:r>
        <w:rPr>
          <w:w w:val="120"/>
          <w:sz w:val="20"/>
        </w:rPr>
        <w:t>that</w:t>
      </w:r>
      <w:r>
        <w:rPr>
          <w:spacing w:val="-4"/>
          <w:w w:val="120"/>
          <w:sz w:val="20"/>
        </w:rPr>
        <w:t> </w:t>
      </w:r>
      <w:r>
        <w:rPr>
          <w:w w:val="120"/>
          <w:sz w:val="20"/>
        </w:rPr>
        <w:t>can</w:t>
      </w:r>
      <w:r>
        <w:rPr>
          <w:spacing w:val="-4"/>
          <w:w w:val="120"/>
          <w:sz w:val="20"/>
        </w:rPr>
        <w:t> </w:t>
      </w:r>
      <w:r>
        <w:rPr>
          <w:w w:val="120"/>
          <w:sz w:val="20"/>
        </w:rPr>
        <w:t>be</w:t>
      </w:r>
      <w:r>
        <w:rPr>
          <w:spacing w:val="-4"/>
          <w:w w:val="120"/>
          <w:sz w:val="20"/>
        </w:rPr>
        <w:t> </w:t>
      </w:r>
      <w:r>
        <w:rPr>
          <w:w w:val="120"/>
          <w:sz w:val="20"/>
        </w:rPr>
        <w:t>neatly</w:t>
      </w:r>
      <w:r>
        <w:rPr>
          <w:spacing w:val="-4"/>
          <w:w w:val="120"/>
          <w:sz w:val="20"/>
        </w:rPr>
        <w:t> </w:t>
      </w:r>
      <w:r>
        <w:rPr>
          <w:w w:val="120"/>
          <w:sz w:val="20"/>
        </w:rPr>
        <w:t>pre-planned</w:t>
      </w:r>
      <w:r>
        <w:rPr>
          <w:spacing w:val="-4"/>
          <w:w w:val="120"/>
          <w:sz w:val="20"/>
        </w:rPr>
        <w:t> </w:t>
      </w:r>
      <w:r>
        <w:rPr>
          <w:w w:val="120"/>
          <w:sz w:val="20"/>
        </w:rPr>
        <w:t>but</w:t>
      </w:r>
      <w:r>
        <w:rPr>
          <w:spacing w:val="-4"/>
          <w:w w:val="120"/>
          <w:sz w:val="20"/>
        </w:rPr>
        <w:t> </w:t>
      </w:r>
      <w:r>
        <w:rPr>
          <w:w w:val="120"/>
          <w:sz w:val="20"/>
        </w:rPr>
        <w:t>that</w:t>
      </w:r>
      <w:r>
        <w:rPr>
          <w:spacing w:val="-4"/>
          <w:w w:val="120"/>
          <w:sz w:val="20"/>
        </w:rPr>
        <w:t> </w:t>
      </w:r>
      <w:r>
        <w:rPr>
          <w:w w:val="120"/>
          <w:sz w:val="20"/>
        </w:rPr>
        <w:t>it</w:t>
      </w:r>
      <w:r>
        <w:rPr>
          <w:spacing w:val="-4"/>
          <w:w w:val="120"/>
          <w:sz w:val="20"/>
        </w:rPr>
        <w:t> </w:t>
      </w:r>
      <w:r>
        <w:rPr>
          <w:w w:val="120"/>
          <w:sz w:val="20"/>
        </w:rPr>
        <w:t>will</w:t>
      </w:r>
      <w:r>
        <w:rPr>
          <w:spacing w:val="-4"/>
          <w:w w:val="120"/>
          <w:sz w:val="20"/>
        </w:rPr>
        <w:t> </w:t>
      </w:r>
      <w:r>
        <w:rPr>
          <w:w w:val="120"/>
          <w:sz w:val="20"/>
        </w:rPr>
        <w:t>certainly</w:t>
      </w:r>
      <w:r>
        <w:rPr>
          <w:spacing w:val="-4"/>
          <w:w w:val="120"/>
          <w:sz w:val="20"/>
        </w:rPr>
        <w:t> </w:t>
      </w:r>
      <w:r>
        <w:rPr>
          <w:w w:val="120"/>
          <w:sz w:val="20"/>
        </w:rPr>
        <w:t>be</w:t>
      </w:r>
      <w:r>
        <w:rPr>
          <w:spacing w:val="-4"/>
          <w:w w:val="120"/>
          <w:sz w:val="20"/>
        </w:rPr>
        <w:t> </w:t>
      </w:r>
      <w:r>
        <w:rPr>
          <w:w w:val="120"/>
          <w:sz w:val="20"/>
        </w:rPr>
        <w:t>Spirit-filled</w:t>
      </w:r>
      <w:r>
        <w:rPr>
          <w:spacing w:val="-4"/>
          <w:w w:val="120"/>
          <w:sz w:val="20"/>
        </w:rPr>
        <w:t> </w:t>
      </w:r>
      <w:r>
        <w:rPr>
          <w:w w:val="120"/>
          <w:sz w:val="20"/>
        </w:rPr>
        <w:t>and</w:t>
      </w:r>
      <w:r>
        <w:rPr>
          <w:spacing w:val="-4"/>
          <w:w w:val="120"/>
          <w:sz w:val="20"/>
        </w:rPr>
        <w:t> </w:t>
      </w:r>
      <w:r>
        <w:rPr>
          <w:spacing w:val="-3"/>
          <w:w w:val="120"/>
          <w:sz w:val="20"/>
        </w:rPr>
        <w:t>exciting.</w:t>
      </w:r>
    </w:p>
    <w:p>
      <w:pPr>
        <w:pStyle w:val="BodyText"/>
        <w:spacing w:before="4"/>
        <w:rPr>
          <w:sz w:val="22"/>
        </w:rPr>
      </w:pPr>
    </w:p>
    <w:p>
      <w:pPr>
        <w:spacing w:before="0"/>
        <w:ind w:left="1344" w:right="0" w:firstLine="0"/>
        <w:jc w:val="left"/>
        <w:rPr>
          <w:rFonts w:ascii="Stone Sans II ITC Std Bk"/>
          <w:b/>
          <w:sz w:val="29"/>
        </w:rPr>
      </w:pPr>
      <w:r>
        <w:rPr>
          <w:rFonts w:ascii="Stone Sans II ITC Std Bk"/>
          <w:b/>
          <w:w w:val="110"/>
          <w:sz w:val="29"/>
        </w:rPr>
        <w:t>Numbers</w:t>
      </w:r>
    </w:p>
    <w:p>
      <w:pPr>
        <w:pStyle w:val="ListParagraph"/>
        <w:numPr>
          <w:ilvl w:val="1"/>
          <w:numId w:val="178"/>
        </w:numPr>
        <w:tabs>
          <w:tab w:pos="2024" w:val="left" w:leader="none"/>
          <w:tab w:pos="2025" w:val="left" w:leader="none"/>
        </w:tabs>
        <w:spacing w:line="235" w:lineRule="auto" w:before="69" w:after="0"/>
        <w:ind w:left="1344" w:right="1296" w:firstLine="0"/>
        <w:jc w:val="left"/>
        <w:rPr>
          <w:sz w:val="20"/>
        </w:rPr>
      </w:pPr>
      <w:r>
        <w:rPr>
          <w:w w:val="120"/>
          <w:sz w:val="20"/>
        </w:rPr>
        <w:t>General Assembly has set a target of at least </w:t>
      </w:r>
      <w:r>
        <w:rPr>
          <w:spacing w:val="-3"/>
          <w:w w:val="120"/>
          <w:sz w:val="20"/>
        </w:rPr>
        <w:t>26 </w:t>
      </w:r>
      <w:r>
        <w:rPr>
          <w:w w:val="120"/>
          <w:sz w:val="20"/>
        </w:rPr>
        <w:t>CRCW projects across the denomination. We currently have </w:t>
      </w:r>
      <w:r>
        <w:rPr>
          <w:spacing w:val="-8"/>
          <w:w w:val="120"/>
          <w:sz w:val="20"/>
        </w:rPr>
        <w:t>14 </w:t>
      </w:r>
      <w:r>
        <w:rPr>
          <w:w w:val="120"/>
          <w:sz w:val="20"/>
        </w:rPr>
        <w:t>accredited projects with commissioned ministry in place and four vacant, with a further seven at various stages of the application process. Since ministry is provided for five years in the first instance, with a possible second five years available as a maximum, we are constantly looking for new</w:t>
      </w:r>
      <w:r>
        <w:rPr>
          <w:spacing w:val="19"/>
          <w:w w:val="120"/>
          <w:sz w:val="20"/>
        </w:rPr>
        <w:t> </w:t>
      </w:r>
      <w:r>
        <w:rPr>
          <w:w w:val="120"/>
          <w:sz w:val="20"/>
        </w:rPr>
        <w:t>projects.</w:t>
      </w:r>
    </w:p>
    <w:p>
      <w:pPr>
        <w:pStyle w:val="BodyText"/>
      </w:pPr>
    </w:p>
    <w:p>
      <w:pPr>
        <w:pStyle w:val="ListParagraph"/>
        <w:numPr>
          <w:ilvl w:val="1"/>
          <w:numId w:val="178"/>
        </w:numPr>
        <w:tabs>
          <w:tab w:pos="2024" w:val="left" w:leader="none"/>
          <w:tab w:pos="2025" w:val="left" w:leader="none"/>
        </w:tabs>
        <w:spacing w:line="235" w:lineRule="auto" w:before="0" w:after="0"/>
        <w:ind w:left="1344" w:right="1343" w:firstLine="0"/>
        <w:jc w:val="left"/>
        <w:rPr>
          <w:sz w:val="20"/>
        </w:rPr>
      </w:pPr>
      <w:r>
        <w:rPr>
          <w:w w:val="120"/>
          <w:sz w:val="20"/>
        </w:rPr>
        <w:t>We are also always on the lookout for new people who are interested in exploring this exciting ministry. We are pleased that we currently have five candidates in training, nevertheless we are continually working on raising awareness of the</w:t>
      </w:r>
      <w:bookmarkStart w:name="_GoBack" w:id="17"/>
      <w:bookmarkEnd w:id="17"/>
      <w:r>
        <w:rPr>
          <w:w w:val="120"/>
          <w:sz w:val="20"/>
        </w:rPr>
      </w:r>
      <w:r>
        <w:rPr>
          <w:w w:val="120"/>
          <w:sz w:val="20"/>
        </w:rPr>
        <w:t> opportunities that this ministry offers to individuals and to local churches and groups  of churches. Please see </w:t>
      </w:r>
      <w:hyperlink r:id="rId408">
        <w:r>
          <w:rPr>
            <w:color w:val="006AB3"/>
            <w:w w:val="120"/>
            <w:sz w:val="20"/>
          </w:rPr>
          <w:t>http://www.urc.org.uk/discipleship/church-related-community-</w:t>
        </w:r>
      </w:hyperlink>
      <w:hyperlink r:id="rId408">
        <w:r>
          <w:rPr>
            <w:color w:val="006AB3"/>
            <w:w w:val="120"/>
            <w:sz w:val="20"/>
          </w:rPr>
          <w:t> work </w:t>
        </w:r>
      </w:hyperlink>
      <w:r>
        <w:rPr>
          <w:w w:val="120"/>
          <w:sz w:val="20"/>
        </w:rPr>
        <w:t>for more</w:t>
      </w:r>
      <w:r>
        <w:rPr>
          <w:spacing w:val="5"/>
          <w:w w:val="120"/>
          <w:sz w:val="20"/>
        </w:rPr>
        <w:t> </w:t>
      </w:r>
      <w:r>
        <w:rPr>
          <w:w w:val="120"/>
          <w:sz w:val="20"/>
        </w:rPr>
        <w:t>information.</w:t>
      </w:r>
    </w:p>
    <w:p>
      <w:pPr>
        <w:pStyle w:val="BodyText"/>
        <w:spacing w:before="5"/>
        <w:rPr>
          <w:sz w:val="22"/>
        </w:rPr>
      </w:pPr>
    </w:p>
    <w:p>
      <w:pPr>
        <w:spacing w:before="0"/>
        <w:ind w:left="1344" w:right="0" w:firstLine="0"/>
        <w:jc w:val="left"/>
        <w:rPr>
          <w:rFonts w:ascii="Stone Sans II ITC Std Bk"/>
          <w:b/>
          <w:sz w:val="29"/>
        </w:rPr>
      </w:pPr>
      <w:r>
        <w:rPr>
          <w:rFonts w:ascii="Stone Sans II ITC Std Bk"/>
          <w:b/>
          <w:w w:val="110"/>
          <w:sz w:val="29"/>
        </w:rPr>
        <w:t>Training</w:t>
      </w:r>
    </w:p>
    <w:p>
      <w:pPr>
        <w:pStyle w:val="ListParagraph"/>
        <w:numPr>
          <w:ilvl w:val="0"/>
          <w:numId w:val="179"/>
        </w:numPr>
        <w:tabs>
          <w:tab w:pos="2024" w:val="left" w:leader="none"/>
          <w:tab w:pos="2025" w:val="left" w:leader="none"/>
        </w:tabs>
        <w:spacing w:line="235" w:lineRule="auto" w:before="69" w:after="0"/>
        <w:ind w:left="1344" w:right="1280" w:firstLine="0"/>
        <w:jc w:val="left"/>
        <w:rPr>
          <w:sz w:val="20"/>
        </w:rPr>
      </w:pPr>
      <w:r>
        <w:rPr>
          <w:w w:val="120"/>
          <w:sz w:val="20"/>
        </w:rPr>
        <w:t>We are delighted by the number of people who have been engaging with the ‘Developing Community Experiences’ year of the Training for Learning and Serving programme over the last three or four years. These have included folk who are already working in their local communities, alongside their congregations, and those interested in doing so. Others are candidates discerning whether or not they are called to</w:t>
      </w:r>
      <w:r>
        <w:rPr>
          <w:spacing w:val="4"/>
          <w:w w:val="120"/>
          <w:sz w:val="20"/>
        </w:rPr>
        <w:t> </w:t>
      </w:r>
      <w:r>
        <w:rPr>
          <w:w w:val="120"/>
          <w:sz w:val="20"/>
        </w:rPr>
        <w:t>the</w:t>
      </w:r>
    </w:p>
    <w:p>
      <w:pPr>
        <w:pStyle w:val="BodyText"/>
        <w:spacing w:line="235" w:lineRule="auto" w:before="3"/>
        <w:ind w:left="1344" w:right="1478"/>
      </w:pPr>
      <w:r>
        <w:rPr>
          <w:w w:val="120"/>
        </w:rPr>
        <w:t>full-time ministry of CRCW. This enriching course will continue to be available, whilst the next generation of discipleship tools are being developed. In addition, modules at Northern College can be audited (attended but not examined) by anyone who wishes to do so. Of particular interest is the ‘toolkit’ for community work, which covers areas such as community audits and fundraising.</w:t>
      </w:r>
    </w:p>
    <w:p>
      <w:pPr>
        <w:spacing w:after="0" w:line="235" w:lineRule="auto"/>
        <w:sectPr>
          <w:headerReference w:type="default" r:id="rId405"/>
          <w:footerReference w:type="default" r:id="rId406"/>
          <w:footerReference w:type="even" r:id="rId407"/>
          <w:pgSz w:w="11910" w:h="16840"/>
          <w:pgMar w:header="0" w:footer="647" w:top="0" w:bottom="840" w:left="640" w:right="0"/>
          <w:pgNumType w:start="149"/>
        </w:sectPr>
      </w:pPr>
    </w:p>
    <w:p>
      <w:pPr>
        <w:pStyle w:val="BodyText"/>
      </w:pPr>
      <w:r>
        <w:rPr/>
        <w:drawing>
          <wp:anchor distT="0" distB="0" distL="0" distR="0" allowOverlap="1" layoutInCell="1" locked="0" behindDoc="1" simplePos="0" relativeHeight="235594752">
            <wp:simplePos x="0" y="0"/>
            <wp:positionH relativeFrom="page">
              <wp:posOffset>0</wp:posOffset>
            </wp:positionH>
            <wp:positionV relativeFrom="page">
              <wp:posOffset>0</wp:posOffset>
            </wp:positionV>
            <wp:extent cx="594067" cy="10692003"/>
            <wp:effectExtent l="0" t="0" r="0" b="0"/>
            <wp:wrapNone/>
            <wp:docPr id="281" name="image67.png"/>
            <wp:cNvGraphicFramePr>
              <a:graphicFrameLocks noChangeAspect="1"/>
            </wp:cNvGraphicFramePr>
            <a:graphic>
              <a:graphicData uri="http://schemas.openxmlformats.org/drawingml/2006/picture">
                <pic:pic>
                  <pic:nvPicPr>
                    <pic:cNvPr id="282" name="image67.png"/>
                    <pic:cNvPicPr/>
                  </pic:nvPicPr>
                  <pic:blipFill>
                    <a:blip r:embed="rId184" cstate="print"/>
                    <a:stretch>
                      <a:fillRect/>
                    </a:stretch>
                  </pic:blipFill>
                  <pic:spPr>
                    <a:xfrm>
                      <a:off x="0" y="0"/>
                      <a:ext cx="594067" cy="10692003"/>
                    </a:xfrm>
                    <a:prstGeom prst="rect">
                      <a:avLst/>
                    </a:prstGeom>
                  </pic:spPr>
                </pic:pic>
              </a:graphicData>
            </a:graphic>
          </wp:anchor>
        </w:drawing>
      </w:r>
      <w:r>
        <w:rPr/>
        <w:pict>
          <v:shape style="position:absolute;margin-left:20.519100pt;margin-top:48.890015pt;width:25.9pt;height:456.25pt;mso-position-horizontal-relative:page;mso-position-vertical-relative:page;z-index:252049408" type="#_x0000_t202" filled="false" stroked="false">
            <v:textbox inset="0,0,0,0" style="layout-flow:vertical">
              <w:txbxContent>
                <w:p>
                  <w:pPr>
                    <w:spacing w:before="27"/>
                    <w:ind w:left="20" w:right="0" w:firstLine="0"/>
                    <w:jc w:val="left"/>
                    <w:rPr>
                      <w:sz w:val="39"/>
                    </w:rPr>
                  </w:pPr>
                  <w:r>
                    <w:rPr>
                      <w:color w:val="FFFFFF"/>
                      <w:spacing w:val="8"/>
                      <w:w w:val="120"/>
                      <w:sz w:val="39"/>
                    </w:rPr>
                    <w:t>Church</w:t>
                  </w:r>
                  <w:r>
                    <w:rPr>
                      <w:color w:val="FFFFFF"/>
                      <w:spacing w:val="67"/>
                      <w:w w:val="120"/>
                      <w:sz w:val="39"/>
                    </w:rPr>
                    <w:t> </w:t>
                  </w:r>
                  <w:r>
                    <w:rPr>
                      <w:color w:val="FFFFFF"/>
                      <w:spacing w:val="8"/>
                      <w:w w:val="120"/>
                      <w:sz w:val="39"/>
                    </w:rPr>
                    <w:t>related</w:t>
                  </w:r>
                  <w:r>
                    <w:rPr>
                      <w:color w:val="FFFFFF"/>
                      <w:spacing w:val="68"/>
                      <w:w w:val="120"/>
                      <w:sz w:val="39"/>
                    </w:rPr>
                    <w:t> </w:t>
                  </w:r>
                  <w:r>
                    <w:rPr>
                      <w:color w:val="FFFFFF"/>
                      <w:spacing w:val="9"/>
                      <w:w w:val="120"/>
                      <w:sz w:val="39"/>
                    </w:rPr>
                    <w:t>community</w:t>
                  </w:r>
                  <w:r>
                    <w:rPr>
                      <w:color w:val="FFFFFF"/>
                      <w:spacing w:val="67"/>
                      <w:w w:val="120"/>
                      <w:sz w:val="39"/>
                    </w:rPr>
                    <w:t> </w:t>
                  </w:r>
                  <w:r>
                    <w:rPr>
                      <w:color w:val="FFFFFF"/>
                      <w:spacing w:val="7"/>
                      <w:w w:val="120"/>
                      <w:sz w:val="39"/>
                    </w:rPr>
                    <w:t>work</w:t>
                  </w:r>
                  <w:r>
                    <w:rPr>
                      <w:color w:val="FFFFFF"/>
                      <w:spacing w:val="68"/>
                      <w:w w:val="120"/>
                      <w:sz w:val="39"/>
                    </w:rPr>
                    <w:t> </w:t>
                  </w:r>
                  <w:r>
                    <w:rPr>
                      <w:color w:val="FFFFFF"/>
                      <w:spacing w:val="10"/>
                      <w:w w:val="120"/>
                      <w:sz w:val="39"/>
                    </w:rPr>
                    <w:t>programme</w:t>
                  </w:r>
                </w:p>
              </w:txbxContent>
            </v:textbox>
            <w10:wrap type="none"/>
          </v:shape>
        </w:pict>
      </w:r>
    </w:p>
    <w:p>
      <w:pPr>
        <w:pStyle w:val="BodyText"/>
        <w:spacing w:before="7"/>
        <w:rPr>
          <w:sz w:val="21"/>
        </w:rPr>
      </w:pPr>
    </w:p>
    <w:p>
      <w:pPr>
        <w:spacing w:before="106"/>
        <w:ind w:left="607" w:right="0" w:firstLine="0"/>
        <w:jc w:val="left"/>
        <w:rPr>
          <w:sz w:val="26"/>
        </w:rPr>
      </w:pPr>
      <w:r>
        <w:rPr>
          <w:color w:val="7EAABF"/>
          <w:w w:val="110"/>
          <w:sz w:val="26"/>
        </w:rPr>
        <w:t>Ministries</w:t>
      </w:r>
    </w:p>
    <w:p>
      <w:pPr>
        <w:spacing w:before="215"/>
        <w:ind w:left="607" w:right="0" w:firstLine="0"/>
        <w:jc w:val="left"/>
        <w:rPr>
          <w:rFonts w:ascii="Stone Sans II ITC Std Bk"/>
          <w:b/>
          <w:sz w:val="29"/>
        </w:rPr>
      </w:pPr>
      <w:r>
        <w:rPr>
          <w:rFonts w:ascii="Stone Sans II ITC Std Bk"/>
          <w:b/>
          <w:w w:val="110"/>
          <w:sz w:val="29"/>
        </w:rPr>
        <w:t>Moving Forward</w:t>
      </w:r>
    </w:p>
    <w:p>
      <w:pPr>
        <w:pStyle w:val="ListParagraph"/>
        <w:numPr>
          <w:ilvl w:val="0"/>
          <w:numId w:val="179"/>
        </w:numPr>
        <w:tabs>
          <w:tab w:pos="1287" w:val="left" w:leader="none"/>
          <w:tab w:pos="1288" w:val="left" w:leader="none"/>
        </w:tabs>
        <w:spacing w:line="235" w:lineRule="auto" w:before="69" w:after="0"/>
        <w:ind w:left="607" w:right="2708" w:firstLine="0"/>
        <w:jc w:val="left"/>
        <w:rPr>
          <w:sz w:val="20"/>
        </w:rPr>
      </w:pPr>
      <w:r>
        <w:rPr>
          <w:w w:val="120"/>
          <w:sz w:val="20"/>
        </w:rPr>
        <w:t>The subcommittee is working with the accreditation subcommittee to see how CRCW ministry and special category ministry can learn from one another. Joint roadshows or visits to churches may help individuals and congregations to discern how best to move forwards in their particular situation and we can</w:t>
      </w:r>
      <w:r>
        <w:rPr>
          <w:spacing w:val="28"/>
          <w:w w:val="120"/>
          <w:sz w:val="20"/>
        </w:rPr>
        <w:t> </w:t>
      </w:r>
      <w:r>
        <w:rPr>
          <w:w w:val="120"/>
          <w:sz w:val="20"/>
        </w:rPr>
        <w:t>each</w:t>
      </w:r>
    </w:p>
    <w:p>
      <w:pPr>
        <w:pStyle w:val="BodyText"/>
        <w:spacing w:line="235" w:lineRule="auto" w:before="3"/>
        <w:ind w:left="607" w:right="2231"/>
      </w:pPr>
      <w:r>
        <w:rPr>
          <w:w w:val="120"/>
        </w:rPr>
        <w:t>learn from the different emphases in our processes. The subcommittee is also looking at new ways of sharing the valuable resources of the CRCW ministry more widely, including encouraging elements of synod-wide operations within posts and working towards setting up non-stipendiary posts.</w:t>
      </w:r>
    </w:p>
    <w:p>
      <w:pPr>
        <w:spacing w:after="0" w:line="235" w:lineRule="auto"/>
        <w:sectPr>
          <w:headerReference w:type="even" r:id="rId409"/>
          <w:pgSz w:w="11910" w:h="16840"/>
          <w:pgMar w:header="0" w:footer="647" w:top="0" w:bottom="840" w:left="640" w:right="0"/>
        </w:sectPr>
      </w:pPr>
    </w:p>
    <w:p>
      <w:pPr>
        <w:pStyle w:val="BodyText"/>
      </w:pPr>
      <w:r>
        <w:rPr/>
        <w:drawing>
          <wp:anchor distT="0" distB="0" distL="0" distR="0" allowOverlap="1" layoutInCell="1" locked="0" behindDoc="0" simplePos="0" relativeHeight="252050432">
            <wp:simplePos x="0" y="0"/>
            <wp:positionH relativeFrom="page">
              <wp:posOffset>6974928</wp:posOffset>
            </wp:positionH>
            <wp:positionV relativeFrom="page">
              <wp:posOffset>0</wp:posOffset>
            </wp:positionV>
            <wp:extent cx="585063" cy="10692003"/>
            <wp:effectExtent l="0" t="0" r="0" b="0"/>
            <wp:wrapNone/>
            <wp:docPr id="283" name="image54.png"/>
            <wp:cNvGraphicFramePr>
              <a:graphicFrameLocks noChangeAspect="1"/>
            </wp:cNvGraphicFramePr>
            <a:graphic>
              <a:graphicData uri="http://schemas.openxmlformats.org/drawingml/2006/picture">
                <pic:pic>
                  <pic:nvPicPr>
                    <pic:cNvPr id="284" name="image54.png"/>
                    <pic:cNvPicPr/>
                  </pic:nvPicPr>
                  <pic:blipFill>
                    <a:blip r:embed="rId169" cstate="print"/>
                    <a:stretch>
                      <a:fillRect/>
                    </a:stretch>
                  </pic:blipFill>
                  <pic:spPr>
                    <a:xfrm>
                      <a:off x="0" y="0"/>
                      <a:ext cx="585063" cy="10692003"/>
                    </a:xfrm>
                    <a:prstGeom prst="rect">
                      <a:avLst/>
                    </a:prstGeom>
                  </pic:spPr>
                </pic:pic>
              </a:graphicData>
            </a:graphic>
          </wp:anchor>
        </w:drawing>
      </w:r>
    </w:p>
    <w:p>
      <w:pPr>
        <w:pStyle w:val="BodyText"/>
        <w:spacing w:before="7"/>
        <w:rPr>
          <w:sz w:val="21"/>
        </w:rPr>
      </w:pPr>
    </w:p>
    <w:p>
      <w:pPr>
        <w:spacing w:before="106"/>
        <w:ind w:left="0" w:right="1245" w:firstLine="0"/>
        <w:jc w:val="right"/>
        <w:rPr>
          <w:sz w:val="26"/>
        </w:rPr>
      </w:pPr>
      <w:r>
        <w:rPr/>
        <w:pict>
          <v:shape style="position:absolute;margin-left:554.141174pt;margin-top:22.593945pt;width:25.9pt;height:286.650pt;mso-position-horizontal-relative:page;mso-position-vertical-relative:paragraph;z-index:252052480" type="#_x0000_t202" filled="false" stroked="false">
            <v:textbox inset="0,0,0,0" style="layout-flow:vertical">
              <w:txbxContent>
                <w:p>
                  <w:pPr>
                    <w:spacing w:before="27"/>
                    <w:ind w:left="20" w:right="0" w:firstLine="0"/>
                    <w:jc w:val="left"/>
                    <w:rPr>
                      <w:sz w:val="39"/>
                    </w:rPr>
                  </w:pPr>
                  <w:r>
                    <w:rPr>
                      <w:color w:val="FFFFFF"/>
                      <w:w w:val="120"/>
                      <w:sz w:val="39"/>
                    </w:rPr>
                    <w:t>Maintenance of the ministry</w:t>
                  </w:r>
                </w:p>
              </w:txbxContent>
            </v:textbox>
            <w10:wrap type="none"/>
          </v:shape>
        </w:pict>
      </w:r>
      <w:r>
        <w:rPr>
          <w:color w:val="7EAABF"/>
          <w:w w:val="110"/>
          <w:sz w:val="26"/>
        </w:rPr>
        <w:t>Ministries</w:t>
      </w:r>
    </w:p>
    <w:p>
      <w:pPr>
        <w:pStyle w:val="BodyText"/>
        <w:spacing w:before="8"/>
        <w:rPr>
          <w:sz w:val="24"/>
        </w:rPr>
      </w:pPr>
    </w:p>
    <w:p>
      <w:pPr>
        <w:spacing w:line="213" w:lineRule="auto" w:before="1"/>
        <w:ind w:left="1344" w:right="0" w:firstLine="0"/>
        <w:jc w:val="left"/>
        <w:rPr>
          <w:rFonts w:ascii="Stone Sans II ITC Std X Bd"/>
          <w:b/>
          <w:sz w:val="50"/>
        </w:rPr>
      </w:pPr>
      <w:r>
        <w:rPr>
          <w:rFonts w:ascii="Stone Sans II ITC Std X Bd"/>
          <w:b/>
          <w:spacing w:val="-12"/>
          <w:w w:val="110"/>
          <w:sz w:val="50"/>
        </w:rPr>
        <w:t>Maintenance </w:t>
      </w:r>
      <w:r>
        <w:rPr>
          <w:rFonts w:ascii="Stone Sans II ITC Std X Bd"/>
          <w:b/>
          <w:spacing w:val="-5"/>
          <w:w w:val="110"/>
          <w:sz w:val="50"/>
        </w:rPr>
        <w:t>of </w:t>
      </w:r>
      <w:r>
        <w:rPr>
          <w:rFonts w:ascii="Stone Sans II ITC Std X Bd"/>
          <w:b/>
          <w:spacing w:val="-8"/>
          <w:w w:val="110"/>
          <w:sz w:val="50"/>
        </w:rPr>
        <w:t>the ministry </w:t>
      </w:r>
      <w:r>
        <w:rPr>
          <w:rFonts w:ascii="Stone Sans II ITC Std X Bd"/>
          <w:b/>
          <w:spacing w:val="-10"/>
          <w:w w:val="110"/>
          <w:sz w:val="50"/>
        </w:rPr>
        <w:t>subcommittee</w:t>
      </w:r>
    </w:p>
    <w:p>
      <w:pPr>
        <w:spacing w:line="261" w:lineRule="auto" w:before="205"/>
        <w:ind w:left="1571" w:right="1478" w:firstLine="0"/>
        <w:jc w:val="left"/>
        <w:rPr>
          <w:sz w:val="18"/>
        </w:rPr>
      </w:pPr>
      <w:r>
        <w:rPr/>
        <w:pict>
          <v:line style="position:absolute;mso-position-horizontal-relative:page;mso-position-vertical-relative:paragraph;z-index:252051456" from="99.212601pt,11.243128pt" to="99.212601pt,105.495128pt" stroked="true" strokeweight="2pt" strokecolor="#0090d4">
            <v:stroke dashstyle="solid"/>
            <w10:wrap type="none"/>
          </v:line>
        </w:pict>
      </w:r>
      <w:r>
        <w:rPr>
          <w:color w:val="707172"/>
          <w:w w:val="120"/>
          <w:sz w:val="18"/>
        </w:rPr>
        <w:t>Advises on the level of stipend and ministers’ conditions of service through the ‘Plan for Partnership’. It is also concerned for pensions through its associated pensions executive.</w:t>
      </w:r>
    </w:p>
    <w:p>
      <w:pPr>
        <w:pStyle w:val="BodyText"/>
        <w:spacing w:before="9"/>
        <w:rPr>
          <w:sz w:val="18"/>
        </w:rPr>
      </w:pPr>
    </w:p>
    <w:p>
      <w:pPr>
        <w:spacing w:line="242" w:lineRule="exact" w:before="1"/>
        <w:ind w:left="1571" w:right="0" w:firstLine="0"/>
        <w:jc w:val="left"/>
        <w:rPr>
          <w:sz w:val="18"/>
        </w:rPr>
      </w:pPr>
      <w:r>
        <w:rPr>
          <w:rFonts w:ascii="Stone Sans II ITC Std Bk"/>
          <w:b/>
          <w:color w:val="707172"/>
          <w:w w:val="115"/>
          <w:sz w:val="18"/>
        </w:rPr>
        <w:t>Convenor: </w:t>
      </w:r>
      <w:r>
        <w:rPr>
          <w:color w:val="707172"/>
          <w:w w:val="115"/>
          <w:sz w:val="18"/>
        </w:rPr>
        <w:t>Pamela Ward</w:t>
      </w:r>
    </w:p>
    <w:p>
      <w:pPr>
        <w:spacing w:line="240" w:lineRule="exact" w:before="0"/>
        <w:ind w:left="1571" w:right="0" w:firstLine="0"/>
        <w:jc w:val="left"/>
        <w:rPr>
          <w:sz w:val="18"/>
        </w:rPr>
      </w:pPr>
      <w:r>
        <w:rPr>
          <w:rFonts w:ascii="Stone Sans II ITC Std Bk"/>
          <w:b/>
          <w:color w:val="707172"/>
          <w:w w:val="120"/>
          <w:sz w:val="18"/>
        </w:rPr>
        <w:t>Secretary: </w:t>
      </w:r>
      <w:r>
        <w:rPr>
          <w:color w:val="707172"/>
          <w:w w:val="120"/>
          <w:sz w:val="18"/>
        </w:rPr>
        <w:t>Craig Bowman</w:t>
      </w:r>
    </w:p>
    <w:p>
      <w:pPr>
        <w:spacing w:line="242" w:lineRule="exact" w:before="0"/>
        <w:ind w:left="1571" w:right="0" w:firstLine="0"/>
        <w:jc w:val="left"/>
        <w:rPr>
          <w:sz w:val="18"/>
        </w:rPr>
      </w:pPr>
      <w:r>
        <w:rPr>
          <w:rFonts w:ascii="Stone Sans II ITC Std Bk"/>
          <w:b/>
          <w:color w:val="707172"/>
          <w:w w:val="125"/>
          <w:sz w:val="18"/>
        </w:rPr>
        <w:t>Members: </w:t>
      </w:r>
      <w:r>
        <w:rPr>
          <w:color w:val="707172"/>
          <w:w w:val="125"/>
          <w:sz w:val="18"/>
        </w:rPr>
        <w:t>Keith Berry, David Black, Chris Evans (convenor of the pensions executive),</w:t>
      </w:r>
    </w:p>
    <w:p>
      <w:pPr>
        <w:spacing w:line="261" w:lineRule="auto" w:before="8"/>
        <w:ind w:left="1571" w:right="1217" w:firstLine="0"/>
        <w:jc w:val="left"/>
        <w:rPr>
          <w:sz w:val="18"/>
        </w:rPr>
      </w:pPr>
      <w:r>
        <w:rPr>
          <w:color w:val="707172"/>
          <w:w w:val="125"/>
          <w:sz w:val="18"/>
        </w:rPr>
        <w:t>Sue</w:t>
      </w:r>
      <w:r>
        <w:rPr>
          <w:color w:val="707172"/>
          <w:spacing w:val="-13"/>
          <w:w w:val="125"/>
          <w:sz w:val="18"/>
        </w:rPr>
        <w:t> </w:t>
      </w:r>
      <w:r>
        <w:rPr>
          <w:color w:val="707172"/>
          <w:w w:val="125"/>
          <w:sz w:val="18"/>
        </w:rPr>
        <w:t>Kirkbride,</w:t>
      </w:r>
      <w:r>
        <w:rPr>
          <w:color w:val="707172"/>
          <w:spacing w:val="-13"/>
          <w:w w:val="125"/>
          <w:sz w:val="18"/>
        </w:rPr>
        <w:t> </w:t>
      </w:r>
      <w:r>
        <w:rPr>
          <w:color w:val="707172"/>
          <w:w w:val="125"/>
          <w:sz w:val="18"/>
        </w:rPr>
        <w:t>Gethin</w:t>
      </w:r>
      <w:r>
        <w:rPr>
          <w:color w:val="707172"/>
          <w:spacing w:val="-13"/>
          <w:w w:val="125"/>
          <w:sz w:val="18"/>
        </w:rPr>
        <w:t> </w:t>
      </w:r>
      <w:r>
        <w:rPr>
          <w:color w:val="707172"/>
          <w:w w:val="125"/>
          <w:sz w:val="18"/>
        </w:rPr>
        <w:t>Rhys</w:t>
      </w:r>
      <w:r>
        <w:rPr>
          <w:color w:val="707172"/>
          <w:spacing w:val="-13"/>
          <w:w w:val="125"/>
          <w:sz w:val="18"/>
        </w:rPr>
        <w:t> </w:t>
      </w:r>
      <w:r>
        <w:rPr>
          <w:color w:val="707172"/>
          <w:w w:val="125"/>
          <w:sz w:val="18"/>
        </w:rPr>
        <w:t>(convenor</w:t>
      </w:r>
      <w:r>
        <w:rPr>
          <w:color w:val="707172"/>
          <w:spacing w:val="-13"/>
          <w:w w:val="125"/>
          <w:sz w:val="18"/>
        </w:rPr>
        <w:t> </w:t>
      </w:r>
      <w:r>
        <w:rPr>
          <w:color w:val="707172"/>
          <w:w w:val="125"/>
          <w:sz w:val="18"/>
        </w:rPr>
        <w:t>of</w:t>
      </w:r>
      <w:r>
        <w:rPr>
          <w:color w:val="707172"/>
          <w:spacing w:val="-12"/>
          <w:w w:val="125"/>
          <w:sz w:val="18"/>
        </w:rPr>
        <w:t> </w:t>
      </w:r>
      <w:r>
        <w:rPr>
          <w:color w:val="707172"/>
          <w:w w:val="125"/>
          <w:sz w:val="18"/>
        </w:rPr>
        <w:t>ministries</w:t>
      </w:r>
      <w:r>
        <w:rPr>
          <w:color w:val="707172"/>
          <w:spacing w:val="-13"/>
          <w:w w:val="125"/>
          <w:sz w:val="18"/>
        </w:rPr>
        <w:t> </w:t>
      </w:r>
      <w:r>
        <w:rPr>
          <w:color w:val="707172"/>
          <w:w w:val="125"/>
          <w:sz w:val="18"/>
        </w:rPr>
        <w:t>committee</w:t>
      </w:r>
      <w:r>
        <w:rPr>
          <w:color w:val="707172"/>
          <w:spacing w:val="-13"/>
          <w:w w:val="125"/>
          <w:sz w:val="18"/>
        </w:rPr>
        <w:t> </w:t>
      </w:r>
      <w:r>
        <w:rPr>
          <w:color w:val="707172"/>
          <w:w w:val="125"/>
          <w:sz w:val="18"/>
        </w:rPr>
        <w:t>to</w:t>
      </w:r>
      <w:r>
        <w:rPr>
          <w:color w:val="707172"/>
          <w:spacing w:val="-13"/>
          <w:w w:val="125"/>
          <w:sz w:val="18"/>
        </w:rPr>
        <w:t> </w:t>
      </w:r>
      <w:r>
        <w:rPr>
          <w:color w:val="707172"/>
          <w:w w:val="125"/>
          <w:sz w:val="18"/>
        </w:rPr>
        <w:t>March</w:t>
      </w:r>
      <w:r>
        <w:rPr>
          <w:color w:val="707172"/>
          <w:spacing w:val="-13"/>
          <w:w w:val="125"/>
          <w:sz w:val="18"/>
        </w:rPr>
        <w:t> </w:t>
      </w:r>
      <w:r>
        <w:rPr>
          <w:color w:val="707172"/>
          <w:spacing w:val="-5"/>
          <w:w w:val="125"/>
          <w:sz w:val="18"/>
        </w:rPr>
        <w:t>2016),</w:t>
      </w:r>
      <w:r>
        <w:rPr>
          <w:color w:val="707172"/>
          <w:spacing w:val="-13"/>
          <w:w w:val="125"/>
          <w:sz w:val="18"/>
        </w:rPr>
        <w:t> </w:t>
      </w:r>
      <w:r>
        <w:rPr>
          <w:color w:val="707172"/>
          <w:w w:val="125"/>
          <w:sz w:val="18"/>
        </w:rPr>
        <w:t>Peter</w:t>
      </w:r>
      <w:r>
        <w:rPr>
          <w:color w:val="707172"/>
          <w:spacing w:val="-12"/>
          <w:w w:val="125"/>
          <w:sz w:val="18"/>
        </w:rPr>
        <w:t> </w:t>
      </w:r>
      <w:r>
        <w:rPr>
          <w:color w:val="707172"/>
          <w:w w:val="125"/>
          <w:sz w:val="18"/>
        </w:rPr>
        <w:t>Rippon, Richard Turnbull and Eilidh</w:t>
      </w:r>
      <w:r>
        <w:rPr>
          <w:color w:val="707172"/>
          <w:spacing w:val="-2"/>
          <w:w w:val="125"/>
          <w:sz w:val="18"/>
        </w:rPr>
        <w:t> </w:t>
      </w:r>
      <w:r>
        <w:rPr>
          <w:color w:val="707172"/>
          <w:w w:val="125"/>
          <w:sz w:val="18"/>
        </w:rPr>
        <w:t>Young.</w:t>
      </w:r>
    </w:p>
    <w:p>
      <w:pPr>
        <w:pStyle w:val="BodyText"/>
        <w:rPr>
          <w:sz w:val="22"/>
        </w:rPr>
      </w:pPr>
    </w:p>
    <w:p>
      <w:pPr>
        <w:pStyle w:val="ListParagraph"/>
        <w:numPr>
          <w:ilvl w:val="1"/>
          <w:numId w:val="179"/>
        </w:numPr>
        <w:tabs>
          <w:tab w:pos="2024" w:val="left" w:leader="none"/>
          <w:tab w:pos="2025" w:val="left" w:leader="none"/>
        </w:tabs>
        <w:spacing w:line="235" w:lineRule="auto" w:before="197" w:after="0"/>
        <w:ind w:left="1344" w:right="1337" w:firstLine="0"/>
        <w:jc w:val="left"/>
        <w:rPr>
          <w:sz w:val="20"/>
        </w:rPr>
      </w:pPr>
      <w:r>
        <w:rPr>
          <w:w w:val="120"/>
          <w:sz w:val="20"/>
        </w:rPr>
        <w:t>The maintenance of the ministry (MOM) subcommittee meets twice a </w:t>
      </w:r>
      <w:r>
        <w:rPr>
          <w:spacing w:val="-4"/>
          <w:w w:val="120"/>
          <w:sz w:val="20"/>
        </w:rPr>
        <w:t>year, </w:t>
      </w:r>
      <w:r>
        <w:rPr>
          <w:w w:val="120"/>
          <w:sz w:val="20"/>
        </w:rPr>
        <w:t>but conducts much of its business by email, as and when a decision is called for concerning stipends or allowances for individual</w:t>
      </w:r>
      <w:r>
        <w:rPr>
          <w:spacing w:val="9"/>
          <w:w w:val="120"/>
          <w:sz w:val="20"/>
        </w:rPr>
        <w:t> </w:t>
      </w:r>
      <w:r>
        <w:rPr>
          <w:w w:val="120"/>
          <w:sz w:val="20"/>
        </w:rPr>
        <w:t>ministers.</w:t>
      </w:r>
    </w:p>
    <w:p>
      <w:pPr>
        <w:pStyle w:val="BodyText"/>
        <w:spacing w:before="2"/>
        <w:rPr>
          <w:sz w:val="22"/>
        </w:rPr>
      </w:pPr>
    </w:p>
    <w:p>
      <w:pPr>
        <w:spacing w:before="0"/>
        <w:ind w:left="1344" w:right="0" w:firstLine="0"/>
        <w:jc w:val="left"/>
        <w:rPr>
          <w:rFonts w:ascii="Stone Sans II ITC Std Bk"/>
          <w:b/>
          <w:sz w:val="29"/>
        </w:rPr>
      </w:pPr>
      <w:r>
        <w:rPr>
          <w:rFonts w:ascii="Stone Sans II ITC Std Bk"/>
          <w:b/>
          <w:w w:val="110"/>
          <w:sz w:val="29"/>
        </w:rPr>
        <w:t>Stipend increase</w:t>
      </w:r>
    </w:p>
    <w:p>
      <w:pPr>
        <w:pStyle w:val="ListParagraph"/>
        <w:numPr>
          <w:ilvl w:val="1"/>
          <w:numId w:val="179"/>
        </w:numPr>
        <w:tabs>
          <w:tab w:pos="2024" w:val="left" w:leader="none"/>
          <w:tab w:pos="2025" w:val="left" w:leader="none"/>
        </w:tabs>
        <w:spacing w:line="235" w:lineRule="auto" w:before="69" w:after="0"/>
        <w:ind w:left="1344" w:right="1445" w:firstLine="0"/>
        <w:jc w:val="left"/>
        <w:rPr>
          <w:sz w:val="20"/>
        </w:rPr>
      </w:pPr>
      <w:r>
        <w:rPr>
          <w:w w:val="120"/>
          <w:sz w:val="20"/>
        </w:rPr>
        <w:t>Our proposal for the stipend increase each year is based on a formula using the consumer price index </w:t>
      </w:r>
      <w:r>
        <w:rPr>
          <w:spacing w:val="-5"/>
          <w:w w:val="120"/>
          <w:sz w:val="20"/>
        </w:rPr>
        <w:t>(CPI). </w:t>
      </w:r>
      <w:r>
        <w:rPr>
          <w:w w:val="120"/>
          <w:sz w:val="20"/>
        </w:rPr>
        <w:t>When the formula was applied in </w:t>
      </w:r>
      <w:r>
        <w:rPr>
          <w:spacing w:val="-7"/>
          <w:w w:val="120"/>
          <w:sz w:val="20"/>
        </w:rPr>
        <w:t>2015, </w:t>
      </w:r>
      <w:r>
        <w:rPr>
          <w:w w:val="120"/>
          <w:sz w:val="20"/>
        </w:rPr>
        <w:t>the CPI increase was 0%, producing a stipend increase of </w:t>
      </w:r>
      <w:r>
        <w:rPr>
          <w:spacing w:val="-4"/>
          <w:w w:val="120"/>
          <w:sz w:val="20"/>
        </w:rPr>
        <w:t>1%. </w:t>
      </w:r>
      <w:r>
        <w:rPr>
          <w:w w:val="120"/>
          <w:sz w:val="20"/>
        </w:rPr>
        <w:t>This is regrettably </w:t>
      </w:r>
      <w:r>
        <w:rPr>
          <w:spacing w:val="-3"/>
          <w:w w:val="120"/>
          <w:sz w:val="20"/>
        </w:rPr>
        <w:t>low, </w:t>
      </w:r>
      <w:r>
        <w:rPr>
          <w:w w:val="120"/>
          <w:sz w:val="20"/>
        </w:rPr>
        <w:t>lower than it has been for some time. It is, </w:t>
      </w:r>
      <w:r>
        <w:rPr>
          <w:spacing w:val="-3"/>
          <w:w w:val="120"/>
          <w:sz w:val="20"/>
        </w:rPr>
        <w:t>however, </w:t>
      </w:r>
      <w:r>
        <w:rPr>
          <w:w w:val="120"/>
          <w:sz w:val="20"/>
        </w:rPr>
        <w:t>in line with public sector</w:t>
      </w:r>
      <w:r>
        <w:rPr>
          <w:spacing w:val="32"/>
          <w:w w:val="120"/>
          <w:sz w:val="20"/>
        </w:rPr>
        <w:t> </w:t>
      </w:r>
      <w:r>
        <w:rPr>
          <w:w w:val="120"/>
          <w:sz w:val="20"/>
        </w:rPr>
        <w:t>increases.</w:t>
      </w:r>
    </w:p>
    <w:p>
      <w:pPr>
        <w:pStyle w:val="BodyText"/>
        <w:spacing w:before="4"/>
        <w:rPr>
          <w:sz w:val="22"/>
        </w:rPr>
      </w:pPr>
    </w:p>
    <w:p>
      <w:pPr>
        <w:spacing w:before="0"/>
        <w:ind w:left="1344" w:right="0" w:firstLine="0"/>
        <w:jc w:val="left"/>
        <w:rPr>
          <w:rFonts w:ascii="Stone Sans II ITC Std Bk"/>
          <w:b/>
          <w:sz w:val="29"/>
        </w:rPr>
      </w:pPr>
      <w:r>
        <w:rPr>
          <w:rFonts w:ascii="Stone Sans II ITC Std Bk"/>
          <w:b/>
          <w:spacing w:val="3"/>
          <w:w w:val="110"/>
          <w:sz w:val="29"/>
        </w:rPr>
        <w:t>Changes </w:t>
      </w:r>
      <w:r>
        <w:rPr>
          <w:rFonts w:ascii="Stone Sans II ITC Std Bk"/>
          <w:b/>
          <w:w w:val="110"/>
          <w:sz w:val="29"/>
        </w:rPr>
        <w:t>to </w:t>
      </w:r>
      <w:r>
        <w:rPr>
          <w:rFonts w:ascii="Stone Sans II ITC Std Bk"/>
          <w:b/>
          <w:spacing w:val="2"/>
          <w:w w:val="110"/>
          <w:sz w:val="29"/>
        </w:rPr>
        <w:t>the Plan </w:t>
      </w:r>
      <w:r>
        <w:rPr>
          <w:rFonts w:ascii="Stone Sans II ITC Std Bk"/>
          <w:b/>
          <w:spacing w:val="3"/>
          <w:w w:val="110"/>
          <w:sz w:val="29"/>
        </w:rPr>
        <w:t>for</w:t>
      </w:r>
      <w:r>
        <w:rPr>
          <w:rFonts w:ascii="Stone Sans II ITC Std Bk"/>
          <w:b/>
          <w:spacing w:val="58"/>
          <w:w w:val="110"/>
          <w:sz w:val="29"/>
        </w:rPr>
        <w:t> </w:t>
      </w:r>
      <w:r>
        <w:rPr>
          <w:rFonts w:ascii="Stone Sans II ITC Std Bk"/>
          <w:b/>
          <w:spacing w:val="4"/>
          <w:w w:val="110"/>
          <w:sz w:val="29"/>
        </w:rPr>
        <w:t>Partnership</w:t>
      </w:r>
    </w:p>
    <w:p>
      <w:pPr>
        <w:pStyle w:val="ListParagraph"/>
        <w:numPr>
          <w:ilvl w:val="1"/>
          <w:numId w:val="180"/>
        </w:numPr>
        <w:tabs>
          <w:tab w:pos="2024" w:val="left" w:leader="none"/>
          <w:tab w:pos="2025" w:val="left" w:leader="none"/>
        </w:tabs>
        <w:spacing w:line="235" w:lineRule="auto" w:before="69" w:after="0"/>
        <w:ind w:left="1344" w:right="1287" w:firstLine="0"/>
        <w:jc w:val="left"/>
        <w:rPr>
          <w:sz w:val="20"/>
        </w:rPr>
      </w:pPr>
      <w:r>
        <w:rPr>
          <w:w w:val="120"/>
          <w:sz w:val="20"/>
        </w:rPr>
        <w:t>Maternity leave: It was brought to our notice that the wording of the Plan could lead to an unfair situation, in that a minister who took half her leave before the birth could have six months leave on full stipend, whereas a minister who worked until immediately before the birth, while entitled to the same amount of leave, only received full stipend for three months of it. This clearly needed to be changed; so now total maternity leave on full pay is up to six months, whether or not some of it is taken before the birth (providing it </w:t>
      </w:r>
      <w:r>
        <w:rPr>
          <w:spacing w:val="3"/>
          <w:w w:val="120"/>
          <w:sz w:val="20"/>
        </w:rPr>
        <w:t>starts </w:t>
      </w:r>
      <w:r>
        <w:rPr>
          <w:w w:val="120"/>
          <w:sz w:val="20"/>
        </w:rPr>
        <w:t>no more than </w:t>
      </w:r>
      <w:r>
        <w:rPr>
          <w:spacing w:val="-11"/>
          <w:w w:val="120"/>
          <w:sz w:val="20"/>
        </w:rPr>
        <w:t>11 </w:t>
      </w:r>
      <w:r>
        <w:rPr>
          <w:w w:val="120"/>
          <w:sz w:val="20"/>
        </w:rPr>
        <w:t>weeks before the due</w:t>
      </w:r>
      <w:r>
        <w:rPr>
          <w:spacing w:val="14"/>
          <w:w w:val="120"/>
          <w:sz w:val="20"/>
        </w:rPr>
        <w:t> </w:t>
      </w:r>
      <w:r>
        <w:rPr>
          <w:spacing w:val="-5"/>
          <w:w w:val="120"/>
          <w:sz w:val="20"/>
        </w:rPr>
        <w:t>date).</w:t>
      </w:r>
    </w:p>
    <w:p>
      <w:pPr>
        <w:pStyle w:val="BodyText"/>
        <w:spacing w:before="1"/>
      </w:pPr>
    </w:p>
    <w:p>
      <w:pPr>
        <w:pStyle w:val="ListParagraph"/>
        <w:numPr>
          <w:ilvl w:val="1"/>
          <w:numId w:val="180"/>
        </w:numPr>
        <w:tabs>
          <w:tab w:pos="2024" w:val="left" w:leader="none"/>
          <w:tab w:pos="2025" w:val="left" w:leader="none"/>
        </w:tabs>
        <w:spacing w:line="235" w:lineRule="auto" w:before="0" w:after="0"/>
        <w:ind w:left="1344" w:right="1258" w:firstLine="0"/>
        <w:jc w:val="left"/>
        <w:rPr>
          <w:sz w:val="20"/>
        </w:rPr>
      </w:pPr>
      <w:r>
        <w:rPr>
          <w:w w:val="120"/>
          <w:sz w:val="20"/>
        </w:rPr>
        <w:t>Shared parental pay and leave: This new government policy replaces additional paternity pay and leave. While it does not strictly apply to ministers, as officeholders, the United Reformed Church chooses to treat ministers as if they were employees in this instance. Full details are available from the MOM</w:t>
      </w:r>
      <w:r>
        <w:rPr>
          <w:spacing w:val="8"/>
          <w:w w:val="120"/>
          <w:sz w:val="20"/>
        </w:rPr>
        <w:t> </w:t>
      </w:r>
      <w:r>
        <w:rPr>
          <w:w w:val="120"/>
          <w:sz w:val="20"/>
        </w:rPr>
        <w:t>office.</w:t>
      </w:r>
    </w:p>
    <w:p>
      <w:pPr>
        <w:pStyle w:val="BodyText"/>
        <w:spacing w:before="3"/>
        <w:rPr>
          <w:sz w:val="22"/>
        </w:rPr>
      </w:pPr>
    </w:p>
    <w:p>
      <w:pPr>
        <w:spacing w:before="0"/>
        <w:ind w:left="1344" w:right="0" w:firstLine="0"/>
        <w:jc w:val="left"/>
        <w:rPr>
          <w:rFonts w:ascii="Stone Sans II ITC Std Bk"/>
          <w:b/>
          <w:sz w:val="29"/>
        </w:rPr>
      </w:pPr>
      <w:r>
        <w:rPr>
          <w:rFonts w:ascii="Stone Sans II ITC Std Bk"/>
          <w:b/>
          <w:w w:val="110"/>
          <w:sz w:val="29"/>
        </w:rPr>
        <w:t>Ministers from overseas</w:t>
      </w:r>
    </w:p>
    <w:p>
      <w:pPr>
        <w:pStyle w:val="ListParagraph"/>
        <w:numPr>
          <w:ilvl w:val="0"/>
          <w:numId w:val="181"/>
        </w:numPr>
        <w:tabs>
          <w:tab w:pos="2024" w:val="left" w:leader="none"/>
          <w:tab w:pos="2025" w:val="left" w:leader="none"/>
        </w:tabs>
        <w:spacing w:line="235" w:lineRule="auto" w:before="69" w:after="0"/>
        <w:ind w:left="1344" w:right="1329" w:firstLine="0"/>
        <w:jc w:val="left"/>
        <w:rPr>
          <w:sz w:val="20"/>
        </w:rPr>
      </w:pPr>
      <w:r>
        <w:rPr>
          <w:w w:val="120"/>
          <w:sz w:val="20"/>
        </w:rPr>
        <w:t>The government has introduced an immigration health surcharge: anyone entering the country on a visa, or renewing a visa, must now pay an </w:t>
      </w:r>
      <w:r>
        <w:rPr>
          <w:spacing w:val="2"/>
          <w:w w:val="120"/>
          <w:sz w:val="20"/>
        </w:rPr>
        <w:t>extra £200 </w:t>
      </w:r>
      <w:r>
        <w:rPr>
          <w:w w:val="120"/>
          <w:sz w:val="20"/>
        </w:rPr>
        <w:t>a year per person. Ministers coming from overseas to serve in the URC pay for their own visas, but we felt that this </w:t>
      </w:r>
      <w:r>
        <w:rPr>
          <w:spacing w:val="2"/>
          <w:w w:val="120"/>
          <w:sz w:val="20"/>
        </w:rPr>
        <w:t>extra </w:t>
      </w:r>
      <w:r>
        <w:rPr>
          <w:w w:val="120"/>
          <w:sz w:val="20"/>
        </w:rPr>
        <w:t>charge, particularly for a minister arriving with a family, was too much of a burden. It will therefore be reimbursed from MOM</w:t>
      </w:r>
      <w:r>
        <w:rPr>
          <w:spacing w:val="27"/>
          <w:w w:val="120"/>
          <w:sz w:val="20"/>
        </w:rPr>
        <w:t> </w:t>
      </w:r>
      <w:r>
        <w:rPr>
          <w:w w:val="120"/>
          <w:sz w:val="20"/>
        </w:rPr>
        <w:t>funds.</w:t>
      </w:r>
    </w:p>
    <w:p>
      <w:pPr>
        <w:pStyle w:val="BodyText"/>
        <w:spacing w:before="4"/>
        <w:rPr>
          <w:sz w:val="22"/>
        </w:rPr>
      </w:pPr>
    </w:p>
    <w:p>
      <w:pPr>
        <w:spacing w:before="0"/>
        <w:ind w:left="1344" w:right="0" w:firstLine="0"/>
        <w:jc w:val="left"/>
        <w:rPr>
          <w:rFonts w:ascii="Stone Sans II ITC Std Bk"/>
          <w:b/>
          <w:sz w:val="29"/>
        </w:rPr>
      </w:pPr>
      <w:r>
        <w:rPr>
          <w:rFonts w:ascii="Stone Sans II ITC Std Bk"/>
          <w:b/>
          <w:w w:val="110"/>
          <w:sz w:val="29"/>
        </w:rPr>
        <w:t>Longterm sickness absence</w:t>
      </w:r>
    </w:p>
    <w:p>
      <w:pPr>
        <w:pStyle w:val="ListParagraph"/>
        <w:numPr>
          <w:ilvl w:val="0"/>
          <w:numId w:val="181"/>
        </w:numPr>
        <w:tabs>
          <w:tab w:pos="2024" w:val="left" w:leader="none"/>
          <w:tab w:pos="2025" w:val="left" w:leader="none"/>
        </w:tabs>
        <w:spacing w:line="235" w:lineRule="auto" w:before="69" w:after="0"/>
        <w:ind w:left="1344" w:right="1601" w:firstLine="0"/>
        <w:jc w:val="left"/>
        <w:rPr>
          <w:sz w:val="20"/>
        </w:rPr>
      </w:pPr>
      <w:r>
        <w:rPr>
          <w:w w:val="120"/>
          <w:sz w:val="20"/>
        </w:rPr>
        <w:t>We continue to monitor and improve our care for ministers who, having been on sick leave for six months, come to the end of their entitlement to full</w:t>
      </w:r>
      <w:r>
        <w:rPr>
          <w:spacing w:val="14"/>
          <w:w w:val="120"/>
          <w:sz w:val="20"/>
        </w:rPr>
        <w:t> </w:t>
      </w:r>
      <w:r>
        <w:rPr>
          <w:w w:val="120"/>
          <w:sz w:val="20"/>
        </w:rPr>
        <w:t>stipend.</w:t>
      </w:r>
    </w:p>
    <w:p>
      <w:pPr>
        <w:pStyle w:val="BodyText"/>
        <w:spacing w:line="235" w:lineRule="auto" w:before="2"/>
        <w:ind w:left="1344" w:right="1478"/>
      </w:pPr>
      <w:r>
        <w:rPr>
          <w:w w:val="120"/>
        </w:rPr>
        <w:t>We sometimes have painful decisions to make and we strive to bring wisdom and compassion to the judgments that are entrusted to us. We are very grateful for the work of Mary Steele in the MOM office, who pays the stipends, tells us when we need to make a decision, organises medical and moderator reports, and deals with all the correspondence.</w:t>
      </w:r>
    </w:p>
    <w:p>
      <w:pPr>
        <w:spacing w:after="0" w:line="235" w:lineRule="auto"/>
        <w:sectPr>
          <w:headerReference w:type="default" r:id="rId410"/>
          <w:footerReference w:type="default" r:id="rId411"/>
          <w:footerReference w:type="even" r:id="rId412"/>
          <w:pgSz w:w="11910" w:h="16840"/>
          <w:pgMar w:header="0" w:footer="647" w:top="0" w:bottom="840" w:left="640" w:right="0"/>
        </w:sectPr>
      </w:pPr>
    </w:p>
    <w:p>
      <w:pPr>
        <w:pStyle w:val="BodyText"/>
      </w:pPr>
      <w:r>
        <w:rPr/>
        <w:drawing>
          <wp:anchor distT="0" distB="0" distL="0" distR="0" allowOverlap="1" layoutInCell="1" locked="0" behindDoc="1" simplePos="0" relativeHeight="235599872">
            <wp:simplePos x="0" y="0"/>
            <wp:positionH relativeFrom="page">
              <wp:posOffset>0</wp:posOffset>
            </wp:positionH>
            <wp:positionV relativeFrom="page">
              <wp:posOffset>0</wp:posOffset>
            </wp:positionV>
            <wp:extent cx="594067" cy="10692003"/>
            <wp:effectExtent l="0" t="0" r="0" b="0"/>
            <wp:wrapNone/>
            <wp:docPr id="285" name="image67.png"/>
            <wp:cNvGraphicFramePr>
              <a:graphicFrameLocks noChangeAspect="1"/>
            </wp:cNvGraphicFramePr>
            <a:graphic>
              <a:graphicData uri="http://schemas.openxmlformats.org/drawingml/2006/picture">
                <pic:pic>
                  <pic:nvPicPr>
                    <pic:cNvPr id="286" name="image67.png"/>
                    <pic:cNvPicPr/>
                  </pic:nvPicPr>
                  <pic:blipFill>
                    <a:blip r:embed="rId184" cstate="print"/>
                    <a:stretch>
                      <a:fillRect/>
                    </a:stretch>
                  </pic:blipFill>
                  <pic:spPr>
                    <a:xfrm>
                      <a:off x="0" y="0"/>
                      <a:ext cx="594067" cy="10692003"/>
                    </a:xfrm>
                    <a:prstGeom prst="rect">
                      <a:avLst/>
                    </a:prstGeom>
                  </pic:spPr>
                </pic:pic>
              </a:graphicData>
            </a:graphic>
          </wp:anchor>
        </w:drawing>
      </w:r>
      <w:r>
        <w:rPr/>
        <w:pict>
          <v:shape style="position:absolute;margin-left:20.519100pt;margin-top:48.890015pt;width:25.9pt;height:343.4pt;mso-position-horizontal-relative:page;mso-position-vertical-relative:page;z-index:-267714560" type="#_x0000_t202" filled="false" stroked="false">
            <v:textbox inset="0,0,0,0" style="layout-flow:vertical">
              <w:txbxContent>
                <w:p>
                  <w:pPr>
                    <w:spacing w:before="27"/>
                    <w:ind w:left="20" w:right="0" w:firstLine="0"/>
                    <w:jc w:val="left"/>
                    <w:rPr>
                      <w:sz w:val="39"/>
                    </w:rPr>
                  </w:pPr>
                  <w:r>
                    <w:rPr>
                      <w:color w:val="FFFFFF"/>
                      <w:spacing w:val="7"/>
                      <w:w w:val="120"/>
                      <w:sz w:val="39"/>
                    </w:rPr>
                    <w:t>Retired </w:t>
                  </w:r>
                  <w:r>
                    <w:rPr>
                      <w:color w:val="FFFFFF"/>
                      <w:spacing w:val="9"/>
                      <w:w w:val="120"/>
                      <w:sz w:val="39"/>
                    </w:rPr>
                    <w:t>ministers’ housing</w:t>
                  </w:r>
                  <w:r>
                    <w:rPr>
                      <w:color w:val="FFFFFF"/>
                      <w:spacing w:val="116"/>
                      <w:w w:val="120"/>
                      <w:sz w:val="39"/>
                    </w:rPr>
                    <w:t> </w:t>
                  </w:r>
                  <w:r>
                    <w:rPr>
                      <w:color w:val="FFFFFF"/>
                      <w:spacing w:val="10"/>
                      <w:w w:val="120"/>
                      <w:sz w:val="39"/>
                    </w:rPr>
                    <w:t>society</w:t>
                  </w:r>
                </w:p>
              </w:txbxContent>
            </v:textbox>
            <w10:wrap type="none"/>
          </v:shape>
        </w:pict>
      </w:r>
    </w:p>
    <w:p>
      <w:pPr>
        <w:pStyle w:val="BodyText"/>
        <w:spacing w:before="7"/>
        <w:rPr>
          <w:sz w:val="21"/>
        </w:rPr>
      </w:pPr>
    </w:p>
    <w:p>
      <w:pPr>
        <w:spacing w:before="106"/>
        <w:ind w:left="607" w:right="0" w:firstLine="0"/>
        <w:jc w:val="left"/>
        <w:rPr>
          <w:sz w:val="26"/>
        </w:rPr>
      </w:pPr>
      <w:r>
        <w:rPr>
          <w:color w:val="7EAABF"/>
          <w:w w:val="110"/>
          <w:sz w:val="26"/>
        </w:rPr>
        <w:t>Ministries</w:t>
      </w:r>
    </w:p>
    <w:p>
      <w:pPr>
        <w:pStyle w:val="BodyText"/>
        <w:spacing w:before="8"/>
        <w:rPr>
          <w:sz w:val="24"/>
        </w:rPr>
      </w:pPr>
    </w:p>
    <w:p>
      <w:pPr>
        <w:spacing w:line="213" w:lineRule="auto" w:before="1"/>
        <w:ind w:left="607" w:right="2045" w:firstLine="0"/>
        <w:jc w:val="left"/>
        <w:rPr>
          <w:rFonts w:ascii="Stone Sans II ITC Std X Bd" w:hAnsi="Stone Sans II ITC Std X Bd"/>
          <w:b/>
          <w:sz w:val="50"/>
        </w:rPr>
      </w:pPr>
      <w:r>
        <w:rPr>
          <w:rFonts w:ascii="Stone Sans II ITC Std X Bd" w:hAnsi="Stone Sans II ITC Std X Bd"/>
          <w:b/>
          <w:spacing w:val="-10"/>
          <w:w w:val="110"/>
          <w:sz w:val="50"/>
        </w:rPr>
        <w:t>Retired </w:t>
      </w:r>
      <w:r>
        <w:rPr>
          <w:rFonts w:ascii="Stone Sans II ITC Std X Bd" w:hAnsi="Stone Sans II ITC Std X Bd"/>
          <w:b/>
          <w:spacing w:val="-11"/>
          <w:w w:val="110"/>
          <w:sz w:val="50"/>
        </w:rPr>
        <w:t>ministers’ </w:t>
      </w:r>
      <w:r>
        <w:rPr>
          <w:rFonts w:ascii="Stone Sans II ITC Std X Bd" w:hAnsi="Stone Sans II ITC Std X Bd"/>
          <w:b/>
          <w:spacing w:val="-9"/>
          <w:w w:val="110"/>
          <w:sz w:val="50"/>
        </w:rPr>
        <w:t>housing </w:t>
      </w:r>
      <w:r>
        <w:rPr>
          <w:rFonts w:ascii="Stone Sans II ITC Std X Bd" w:hAnsi="Stone Sans II ITC Std X Bd"/>
          <w:b/>
          <w:spacing w:val="-8"/>
          <w:w w:val="110"/>
          <w:sz w:val="50"/>
        </w:rPr>
        <w:t>society </w:t>
      </w:r>
      <w:r>
        <w:rPr>
          <w:rFonts w:ascii="Stone Sans II ITC Std X Bd" w:hAnsi="Stone Sans II ITC Std X Bd"/>
          <w:b/>
          <w:spacing w:val="-10"/>
          <w:w w:val="110"/>
          <w:sz w:val="50"/>
        </w:rPr>
        <w:t>subcommittee</w:t>
      </w:r>
    </w:p>
    <w:p>
      <w:pPr>
        <w:spacing w:line="261" w:lineRule="auto" w:before="205"/>
        <w:ind w:left="834" w:right="2860" w:firstLine="0"/>
        <w:jc w:val="left"/>
        <w:rPr>
          <w:sz w:val="18"/>
        </w:rPr>
      </w:pPr>
      <w:r>
        <w:rPr/>
        <w:pict>
          <v:line style="position:absolute;mso-position-horizontal-relative:page;mso-position-vertical-relative:paragraph;z-index:252054528" from="62.362202pt,11.952128pt" to="62.362202pt,116.124128pt" stroked="true" strokeweight="2pt" strokecolor="#0090d4">
            <v:stroke dashstyle="solid"/>
            <w10:wrap type="none"/>
          </v:line>
        </w:pict>
      </w:r>
      <w:r>
        <w:rPr>
          <w:color w:val="707172"/>
          <w:w w:val="120"/>
          <w:sz w:val="18"/>
        </w:rPr>
        <w:t>This subcommittee continues to be responsible for policy in matters of the provision of</w:t>
      </w:r>
      <w:r>
        <w:rPr>
          <w:color w:val="707172"/>
          <w:spacing w:val="9"/>
          <w:w w:val="120"/>
          <w:sz w:val="18"/>
        </w:rPr>
        <w:t> </w:t>
      </w:r>
      <w:r>
        <w:rPr>
          <w:color w:val="707172"/>
          <w:w w:val="120"/>
          <w:sz w:val="18"/>
        </w:rPr>
        <w:t>retirement</w:t>
      </w:r>
      <w:r>
        <w:rPr>
          <w:color w:val="707172"/>
          <w:spacing w:val="10"/>
          <w:w w:val="120"/>
          <w:sz w:val="18"/>
        </w:rPr>
        <w:t> </w:t>
      </w:r>
      <w:r>
        <w:rPr>
          <w:color w:val="707172"/>
          <w:w w:val="120"/>
          <w:sz w:val="18"/>
        </w:rPr>
        <w:t>housing</w:t>
      </w:r>
      <w:r>
        <w:rPr>
          <w:color w:val="707172"/>
          <w:spacing w:val="9"/>
          <w:w w:val="120"/>
          <w:sz w:val="18"/>
        </w:rPr>
        <w:t> </w:t>
      </w:r>
      <w:r>
        <w:rPr>
          <w:color w:val="707172"/>
          <w:w w:val="120"/>
          <w:sz w:val="18"/>
        </w:rPr>
        <w:t>for</w:t>
      </w:r>
      <w:r>
        <w:rPr>
          <w:color w:val="707172"/>
          <w:spacing w:val="10"/>
          <w:w w:val="120"/>
          <w:sz w:val="18"/>
        </w:rPr>
        <w:t> </w:t>
      </w:r>
      <w:r>
        <w:rPr>
          <w:color w:val="707172"/>
          <w:w w:val="120"/>
          <w:sz w:val="18"/>
        </w:rPr>
        <w:t>ministers,</w:t>
      </w:r>
      <w:r>
        <w:rPr>
          <w:color w:val="707172"/>
          <w:spacing w:val="9"/>
          <w:w w:val="120"/>
          <w:sz w:val="18"/>
        </w:rPr>
        <w:t> </w:t>
      </w:r>
      <w:r>
        <w:rPr>
          <w:color w:val="707172"/>
          <w:w w:val="120"/>
          <w:sz w:val="18"/>
        </w:rPr>
        <w:t>their</w:t>
      </w:r>
      <w:r>
        <w:rPr>
          <w:color w:val="707172"/>
          <w:spacing w:val="10"/>
          <w:w w:val="120"/>
          <w:sz w:val="18"/>
        </w:rPr>
        <w:t> </w:t>
      </w:r>
      <w:r>
        <w:rPr>
          <w:color w:val="707172"/>
          <w:w w:val="120"/>
          <w:sz w:val="18"/>
        </w:rPr>
        <w:t>spouses,</w:t>
      </w:r>
      <w:r>
        <w:rPr>
          <w:color w:val="707172"/>
          <w:spacing w:val="10"/>
          <w:w w:val="120"/>
          <w:sz w:val="18"/>
        </w:rPr>
        <w:t> </w:t>
      </w:r>
      <w:r>
        <w:rPr>
          <w:color w:val="707172"/>
          <w:w w:val="120"/>
          <w:sz w:val="18"/>
        </w:rPr>
        <w:t>widows</w:t>
      </w:r>
      <w:r>
        <w:rPr>
          <w:color w:val="707172"/>
          <w:spacing w:val="9"/>
          <w:w w:val="120"/>
          <w:sz w:val="18"/>
        </w:rPr>
        <w:t> </w:t>
      </w:r>
      <w:r>
        <w:rPr>
          <w:color w:val="707172"/>
          <w:w w:val="120"/>
          <w:sz w:val="18"/>
        </w:rPr>
        <w:t>and</w:t>
      </w:r>
      <w:r>
        <w:rPr>
          <w:color w:val="707172"/>
          <w:spacing w:val="10"/>
          <w:w w:val="120"/>
          <w:sz w:val="18"/>
        </w:rPr>
        <w:t> </w:t>
      </w:r>
      <w:r>
        <w:rPr>
          <w:color w:val="707172"/>
          <w:w w:val="120"/>
          <w:sz w:val="18"/>
        </w:rPr>
        <w:t>widowers.</w:t>
      </w:r>
      <w:r>
        <w:rPr>
          <w:color w:val="707172"/>
          <w:spacing w:val="9"/>
          <w:w w:val="120"/>
          <w:sz w:val="18"/>
        </w:rPr>
        <w:t> </w:t>
      </w:r>
      <w:r>
        <w:rPr>
          <w:color w:val="707172"/>
          <w:w w:val="120"/>
          <w:sz w:val="18"/>
        </w:rPr>
        <w:t>It</w:t>
      </w:r>
      <w:r>
        <w:rPr>
          <w:color w:val="707172"/>
          <w:spacing w:val="10"/>
          <w:w w:val="120"/>
          <w:sz w:val="18"/>
        </w:rPr>
        <w:t> </w:t>
      </w:r>
      <w:r>
        <w:rPr>
          <w:color w:val="707172"/>
          <w:w w:val="120"/>
          <w:sz w:val="18"/>
        </w:rPr>
        <w:t>uses</w:t>
      </w:r>
      <w:r>
        <w:rPr>
          <w:color w:val="707172"/>
          <w:spacing w:val="10"/>
          <w:w w:val="120"/>
          <w:sz w:val="18"/>
        </w:rPr>
        <w:t> </w:t>
      </w:r>
      <w:r>
        <w:rPr>
          <w:color w:val="707172"/>
          <w:w w:val="120"/>
          <w:sz w:val="18"/>
        </w:rPr>
        <w:t>the</w:t>
      </w:r>
    </w:p>
    <w:p>
      <w:pPr>
        <w:spacing w:line="261" w:lineRule="auto" w:before="1"/>
        <w:ind w:left="834" w:right="2045" w:firstLine="0"/>
        <w:jc w:val="left"/>
        <w:rPr>
          <w:sz w:val="18"/>
        </w:rPr>
      </w:pPr>
      <w:r>
        <w:rPr>
          <w:color w:val="707172"/>
          <w:w w:val="120"/>
          <w:sz w:val="18"/>
        </w:rPr>
        <w:t>United Reformed Church Retired Ministers’ Housing Society Limited as its agent for the implementation of policy and the practical steps associated with the provision of housing.</w:t>
      </w:r>
    </w:p>
    <w:p>
      <w:pPr>
        <w:pStyle w:val="BodyText"/>
        <w:spacing w:before="9"/>
        <w:rPr>
          <w:sz w:val="18"/>
        </w:rPr>
      </w:pPr>
    </w:p>
    <w:p>
      <w:pPr>
        <w:tabs>
          <w:tab w:pos="2047" w:val="left" w:leader="none"/>
        </w:tabs>
        <w:spacing w:line="242" w:lineRule="exact" w:before="1"/>
        <w:ind w:left="834" w:right="0" w:firstLine="0"/>
        <w:jc w:val="left"/>
        <w:rPr>
          <w:sz w:val="18"/>
        </w:rPr>
      </w:pPr>
      <w:r>
        <w:rPr>
          <w:rFonts w:ascii="Stone Sans II ITC Std Bk"/>
          <w:b/>
          <w:color w:val="707172"/>
          <w:w w:val="115"/>
          <w:sz w:val="18"/>
        </w:rPr>
        <w:t>Convenor:</w:t>
        <w:tab/>
      </w:r>
      <w:r>
        <w:rPr>
          <w:color w:val="707172"/>
          <w:w w:val="115"/>
          <w:sz w:val="18"/>
        </w:rPr>
        <w:t>David</w:t>
      </w:r>
      <w:r>
        <w:rPr>
          <w:color w:val="707172"/>
          <w:spacing w:val="4"/>
          <w:w w:val="115"/>
          <w:sz w:val="18"/>
        </w:rPr>
        <w:t> </w:t>
      </w:r>
      <w:r>
        <w:rPr>
          <w:color w:val="707172"/>
          <w:w w:val="115"/>
          <w:sz w:val="18"/>
        </w:rPr>
        <w:t>Bedford</w:t>
      </w:r>
    </w:p>
    <w:p>
      <w:pPr>
        <w:tabs>
          <w:tab w:pos="2047" w:val="left" w:leader="none"/>
        </w:tabs>
        <w:spacing w:line="240" w:lineRule="exact" w:before="0"/>
        <w:ind w:left="834" w:right="0" w:firstLine="0"/>
        <w:jc w:val="left"/>
        <w:rPr>
          <w:sz w:val="18"/>
        </w:rPr>
      </w:pPr>
      <w:r>
        <w:rPr>
          <w:rFonts w:ascii="Stone Sans II ITC Std Bk"/>
          <w:b/>
          <w:color w:val="707172"/>
          <w:w w:val="115"/>
          <w:sz w:val="18"/>
        </w:rPr>
        <w:t>Secretary:</w:t>
        <w:tab/>
      </w:r>
      <w:r>
        <w:rPr>
          <w:color w:val="707172"/>
          <w:w w:val="115"/>
          <w:sz w:val="18"/>
        </w:rPr>
        <w:t>Andy</w:t>
      </w:r>
      <w:r>
        <w:rPr>
          <w:color w:val="707172"/>
          <w:spacing w:val="4"/>
          <w:w w:val="115"/>
          <w:sz w:val="18"/>
        </w:rPr>
        <w:t> </w:t>
      </w:r>
      <w:r>
        <w:rPr>
          <w:color w:val="707172"/>
          <w:w w:val="115"/>
          <w:sz w:val="18"/>
        </w:rPr>
        <w:t>Bottomley</w:t>
      </w:r>
    </w:p>
    <w:p>
      <w:pPr>
        <w:tabs>
          <w:tab w:pos="2047" w:val="left" w:leader="none"/>
        </w:tabs>
        <w:spacing w:line="247" w:lineRule="auto" w:before="0"/>
        <w:ind w:left="834" w:right="2966" w:firstLine="0"/>
        <w:jc w:val="left"/>
        <w:rPr>
          <w:sz w:val="18"/>
        </w:rPr>
      </w:pPr>
      <w:r>
        <w:rPr>
          <w:rFonts w:ascii="Stone Sans II ITC Std Bk"/>
          <w:b/>
          <w:color w:val="707172"/>
          <w:w w:val="115"/>
          <w:sz w:val="18"/>
        </w:rPr>
        <w:t>Members:</w:t>
        <w:tab/>
      </w:r>
      <w:r>
        <w:rPr>
          <w:color w:val="707172"/>
          <w:w w:val="115"/>
          <w:sz w:val="18"/>
        </w:rPr>
        <w:t>Anne Bedford (convenor-elect), Nicola Furley-Smith, Malcolm Lindo and Peter</w:t>
      </w:r>
      <w:r>
        <w:rPr>
          <w:color w:val="707172"/>
          <w:spacing w:val="3"/>
          <w:w w:val="115"/>
          <w:sz w:val="18"/>
        </w:rPr>
        <w:t> </w:t>
      </w:r>
      <w:r>
        <w:rPr>
          <w:color w:val="707172"/>
          <w:w w:val="115"/>
          <w:sz w:val="18"/>
        </w:rPr>
        <w:t>West.</w:t>
      </w:r>
    </w:p>
    <w:p>
      <w:pPr>
        <w:pStyle w:val="BodyText"/>
        <w:rPr>
          <w:sz w:val="22"/>
        </w:rPr>
      </w:pPr>
    </w:p>
    <w:p>
      <w:pPr>
        <w:pStyle w:val="BodyText"/>
        <w:spacing w:before="5"/>
        <w:rPr>
          <w:sz w:val="19"/>
        </w:rPr>
      </w:pPr>
    </w:p>
    <w:p>
      <w:pPr>
        <w:spacing w:before="1"/>
        <w:ind w:left="607" w:right="0" w:firstLine="0"/>
        <w:jc w:val="left"/>
        <w:rPr>
          <w:rFonts w:ascii="Stone Sans II ITC Std Bk"/>
          <w:b/>
          <w:sz w:val="29"/>
        </w:rPr>
      </w:pPr>
      <w:r>
        <w:rPr>
          <w:rFonts w:ascii="Stone Sans II ITC Std Bk"/>
          <w:b/>
          <w:w w:val="110"/>
          <w:sz w:val="29"/>
        </w:rPr>
        <w:t>The immediate challenge</w:t>
      </w:r>
    </w:p>
    <w:p>
      <w:pPr>
        <w:pStyle w:val="ListParagraph"/>
        <w:numPr>
          <w:ilvl w:val="1"/>
          <w:numId w:val="182"/>
        </w:numPr>
        <w:tabs>
          <w:tab w:pos="1288" w:val="left" w:leader="none"/>
        </w:tabs>
        <w:spacing w:line="240" w:lineRule="auto" w:before="65" w:after="0"/>
        <w:ind w:left="1287" w:right="0" w:hanging="681"/>
        <w:jc w:val="both"/>
        <w:rPr>
          <w:sz w:val="20"/>
        </w:rPr>
      </w:pPr>
      <w:r>
        <w:rPr>
          <w:w w:val="120"/>
          <w:sz w:val="20"/>
        </w:rPr>
        <w:t>The past two years have once again seen change, challenge and</w:t>
      </w:r>
      <w:r>
        <w:rPr>
          <w:spacing w:val="34"/>
          <w:w w:val="120"/>
          <w:sz w:val="20"/>
        </w:rPr>
        <w:t> </w:t>
      </w:r>
      <w:r>
        <w:rPr>
          <w:w w:val="120"/>
          <w:sz w:val="20"/>
        </w:rPr>
        <w:t>progress.</w:t>
      </w:r>
    </w:p>
    <w:p>
      <w:pPr>
        <w:pStyle w:val="BodyText"/>
        <w:spacing w:before="7"/>
        <w:rPr>
          <w:sz w:val="19"/>
        </w:rPr>
      </w:pPr>
    </w:p>
    <w:p>
      <w:pPr>
        <w:pStyle w:val="ListParagraph"/>
        <w:numPr>
          <w:ilvl w:val="1"/>
          <w:numId w:val="182"/>
        </w:numPr>
        <w:tabs>
          <w:tab w:pos="1288" w:val="left" w:leader="none"/>
        </w:tabs>
        <w:spacing w:line="235" w:lineRule="auto" w:before="0" w:after="0"/>
        <w:ind w:left="607" w:right="2777" w:firstLine="0"/>
        <w:jc w:val="both"/>
        <w:rPr>
          <w:sz w:val="20"/>
        </w:rPr>
      </w:pPr>
      <w:r>
        <w:rPr>
          <w:w w:val="120"/>
          <w:sz w:val="20"/>
        </w:rPr>
        <w:t>Changes include the recruitment of an administration assistant – which has</w:t>
      </w:r>
      <w:r>
        <w:rPr>
          <w:spacing w:val="5"/>
          <w:w w:val="120"/>
          <w:sz w:val="20"/>
        </w:rPr>
        <w:t> </w:t>
      </w:r>
      <w:r>
        <w:rPr>
          <w:w w:val="120"/>
          <w:sz w:val="20"/>
        </w:rPr>
        <w:t>enabled</w:t>
      </w:r>
      <w:r>
        <w:rPr>
          <w:spacing w:val="5"/>
          <w:w w:val="120"/>
          <w:sz w:val="20"/>
        </w:rPr>
        <w:t> </w:t>
      </w:r>
      <w:r>
        <w:rPr>
          <w:w w:val="120"/>
          <w:sz w:val="20"/>
        </w:rPr>
        <w:t>the</w:t>
      </w:r>
      <w:r>
        <w:rPr>
          <w:spacing w:val="6"/>
          <w:w w:val="120"/>
          <w:sz w:val="20"/>
        </w:rPr>
        <w:t> </w:t>
      </w:r>
      <w:r>
        <w:rPr>
          <w:w w:val="120"/>
          <w:sz w:val="20"/>
        </w:rPr>
        <w:t>society</w:t>
      </w:r>
      <w:r>
        <w:rPr>
          <w:spacing w:val="5"/>
          <w:w w:val="120"/>
          <w:sz w:val="20"/>
        </w:rPr>
        <w:t> </w:t>
      </w:r>
      <w:r>
        <w:rPr>
          <w:w w:val="120"/>
          <w:sz w:val="20"/>
        </w:rPr>
        <w:t>to</w:t>
      </w:r>
      <w:r>
        <w:rPr>
          <w:spacing w:val="6"/>
          <w:w w:val="120"/>
          <w:sz w:val="20"/>
        </w:rPr>
        <w:t> </w:t>
      </w:r>
      <w:r>
        <w:rPr>
          <w:w w:val="120"/>
          <w:sz w:val="20"/>
        </w:rPr>
        <w:t>overcome</w:t>
      </w:r>
      <w:r>
        <w:rPr>
          <w:spacing w:val="5"/>
          <w:w w:val="120"/>
          <w:sz w:val="20"/>
        </w:rPr>
        <w:t> </w:t>
      </w:r>
      <w:r>
        <w:rPr>
          <w:w w:val="120"/>
          <w:sz w:val="20"/>
        </w:rPr>
        <w:t>the</w:t>
      </w:r>
      <w:r>
        <w:rPr>
          <w:spacing w:val="6"/>
          <w:w w:val="120"/>
          <w:sz w:val="20"/>
        </w:rPr>
        <w:t> </w:t>
      </w:r>
      <w:r>
        <w:rPr>
          <w:w w:val="120"/>
          <w:sz w:val="20"/>
        </w:rPr>
        <w:t>backlog</w:t>
      </w:r>
      <w:r>
        <w:rPr>
          <w:spacing w:val="5"/>
          <w:w w:val="120"/>
          <w:sz w:val="20"/>
        </w:rPr>
        <w:t> </w:t>
      </w:r>
      <w:r>
        <w:rPr>
          <w:w w:val="120"/>
          <w:sz w:val="20"/>
        </w:rPr>
        <w:t>of</w:t>
      </w:r>
      <w:r>
        <w:rPr>
          <w:spacing w:val="5"/>
          <w:w w:val="120"/>
          <w:sz w:val="20"/>
        </w:rPr>
        <w:t> </w:t>
      </w:r>
      <w:r>
        <w:rPr>
          <w:w w:val="120"/>
          <w:sz w:val="20"/>
        </w:rPr>
        <w:t>compliance</w:t>
      </w:r>
      <w:r>
        <w:rPr>
          <w:spacing w:val="6"/>
          <w:w w:val="120"/>
          <w:sz w:val="20"/>
        </w:rPr>
        <w:t> </w:t>
      </w:r>
      <w:r>
        <w:rPr>
          <w:w w:val="120"/>
          <w:sz w:val="20"/>
        </w:rPr>
        <w:t>checks</w:t>
      </w:r>
      <w:r>
        <w:rPr>
          <w:spacing w:val="5"/>
          <w:w w:val="120"/>
          <w:sz w:val="20"/>
        </w:rPr>
        <w:t> </w:t>
      </w:r>
      <w:r>
        <w:rPr>
          <w:w w:val="120"/>
          <w:sz w:val="20"/>
        </w:rPr>
        <w:t>that</w:t>
      </w:r>
      <w:r>
        <w:rPr>
          <w:spacing w:val="6"/>
          <w:w w:val="120"/>
          <w:sz w:val="20"/>
        </w:rPr>
        <w:t> </w:t>
      </w:r>
      <w:r>
        <w:rPr>
          <w:w w:val="120"/>
          <w:sz w:val="20"/>
        </w:rPr>
        <w:t>had</w:t>
      </w:r>
    </w:p>
    <w:p>
      <w:pPr>
        <w:pStyle w:val="BodyText"/>
        <w:spacing w:line="235" w:lineRule="auto" w:before="2"/>
        <w:ind w:left="607" w:right="2480"/>
        <w:jc w:val="both"/>
      </w:pPr>
      <w:r>
        <w:rPr>
          <w:w w:val="120"/>
        </w:rPr>
        <w:t>accumulated and has also enabled the society to be more proactive in its approach to maintenance, which was an objective detailed in the society’s previous report to General Assembly.</w:t>
      </w:r>
    </w:p>
    <w:p>
      <w:pPr>
        <w:pStyle w:val="BodyText"/>
        <w:spacing w:before="10"/>
        <w:rPr>
          <w:sz w:val="19"/>
        </w:rPr>
      </w:pPr>
    </w:p>
    <w:p>
      <w:pPr>
        <w:pStyle w:val="ListParagraph"/>
        <w:numPr>
          <w:ilvl w:val="1"/>
          <w:numId w:val="182"/>
        </w:numPr>
        <w:tabs>
          <w:tab w:pos="1287" w:val="left" w:leader="none"/>
          <w:tab w:pos="1288" w:val="left" w:leader="none"/>
        </w:tabs>
        <w:spacing w:line="235" w:lineRule="auto" w:before="0" w:after="0"/>
        <w:ind w:left="607" w:right="2333" w:firstLine="0"/>
        <w:jc w:val="left"/>
        <w:rPr>
          <w:sz w:val="20"/>
        </w:rPr>
      </w:pPr>
      <w:r>
        <w:rPr>
          <w:w w:val="120"/>
          <w:sz w:val="20"/>
        </w:rPr>
        <w:t>The committee charged the staff to take a more pastoral role in the oversight of its tenants through increased visits. This is ongoing and continues to develop as the society seeks to recruit the first of two regional managers whose role it will be to develop a programme of pastoral and </w:t>
      </w:r>
      <w:r>
        <w:rPr>
          <w:spacing w:val="2"/>
          <w:w w:val="120"/>
          <w:sz w:val="20"/>
        </w:rPr>
        <w:t>property </w:t>
      </w:r>
      <w:r>
        <w:rPr>
          <w:w w:val="120"/>
          <w:sz w:val="20"/>
        </w:rPr>
        <w:t>check</w:t>
      </w:r>
      <w:r>
        <w:rPr>
          <w:spacing w:val="21"/>
          <w:w w:val="120"/>
          <w:sz w:val="20"/>
        </w:rPr>
        <w:t> </w:t>
      </w:r>
      <w:r>
        <w:rPr>
          <w:w w:val="120"/>
          <w:sz w:val="20"/>
        </w:rPr>
        <w:t>visits.</w:t>
      </w:r>
    </w:p>
    <w:p>
      <w:pPr>
        <w:pStyle w:val="BodyText"/>
        <w:spacing w:before="11"/>
        <w:rPr>
          <w:sz w:val="19"/>
        </w:rPr>
      </w:pPr>
    </w:p>
    <w:p>
      <w:pPr>
        <w:pStyle w:val="ListParagraph"/>
        <w:numPr>
          <w:ilvl w:val="1"/>
          <w:numId w:val="182"/>
        </w:numPr>
        <w:tabs>
          <w:tab w:pos="1287" w:val="left" w:leader="none"/>
          <w:tab w:pos="1288" w:val="left" w:leader="none"/>
        </w:tabs>
        <w:spacing w:line="235" w:lineRule="auto" w:before="0" w:after="0"/>
        <w:ind w:left="607" w:right="2154" w:firstLine="0"/>
        <w:jc w:val="left"/>
        <w:rPr>
          <w:sz w:val="20"/>
        </w:rPr>
      </w:pPr>
      <w:r>
        <w:rPr>
          <w:spacing w:val="3"/>
          <w:w w:val="120"/>
          <w:sz w:val="20"/>
        </w:rPr>
        <w:t>As </w:t>
      </w:r>
      <w:r>
        <w:rPr>
          <w:w w:val="120"/>
          <w:sz w:val="20"/>
        </w:rPr>
        <w:t>reported previously, there is for every retired minister a </w:t>
      </w:r>
      <w:r>
        <w:rPr>
          <w:spacing w:val="2"/>
          <w:w w:val="120"/>
          <w:sz w:val="20"/>
        </w:rPr>
        <w:t>story </w:t>
      </w:r>
      <w:r>
        <w:rPr>
          <w:w w:val="120"/>
          <w:sz w:val="20"/>
        </w:rPr>
        <w:t>of life, and, as </w:t>
      </w:r>
      <w:r>
        <w:rPr>
          <w:spacing w:val="2"/>
          <w:w w:val="120"/>
          <w:sz w:val="20"/>
        </w:rPr>
        <w:t>part </w:t>
      </w:r>
      <w:r>
        <w:rPr>
          <w:w w:val="120"/>
          <w:sz w:val="20"/>
        </w:rPr>
        <w:t>of that life and that living, there are inevitably stories of those who we have got  to know who have passed </w:t>
      </w:r>
      <w:r>
        <w:rPr>
          <w:spacing w:val="-4"/>
          <w:w w:val="120"/>
          <w:sz w:val="20"/>
        </w:rPr>
        <w:t>away. </w:t>
      </w:r>
      <w:r>
        <w:rPr>
          <w:w w:val="120"/>
          <w:sz w:val="20"/>
        </w:rPr>
        <w:t>This is the work that the society is involved in: it is</w:t>
      </w:r>
      <w:r>
        <w:rPr>
          <w:spacing w:val="26"/>
          <w:w w:val="120"/>
          <w:sz w:val="20"/>
        </w:rPr>
        <w:t> </w:t>
      </w:r>
      <w:r>
        <w:rPr>
          <w:w w:val="120"/>
          <w:sz w:val="20"/>
        </w:rPr>
        <w:t>not</w:t>
      </w:r>
    </w:p>
    <w:p>
      <w:pPr>
        <w:pStyle w:val="BodyText"/>
        <w:spacing w:line="235" w:lineRule="auto" w:before="3"/>
        <w:ind w:left="607" w:right="2045"/>
      </w:pPr>
      <w:r>
        <w:rPr>
          <w:w w:val="120"/>
        </w:rPr>
        <w:t>just about bricks and mortar, it is about people; it’s about providing the best worry-free accommodation the denomination can with the resources it has.</w:t>
      </w:r>
    </w:p>
    <w:p>
      <w:pPr>
        <w:pStyle w:val="BodyText"/>
        <w:spacing w:before="9"/>
        <w:rPr>
          <w:sz w:val="19"/>
        </w:rPr>
      </w:pPr>
    </w:p>
    <w:p>
      <w:pPr>
        <w:pStyle w:val="ListParagraph"/>
        <w:numPr>
          <w:ilvl w:val="1"/>
          <w:numId w:val="182"/>
        </w:numPr>
        <w:tabs>
          <w:tab w:pos="1287" w:val="left" w:leader="none"/>
          <w:tab w:pos="1288" w:val="left" w:leader="none"/>
        </w:tabs>
        <w:spacing w:line="235" w:lineRule="auto" w:before="0" w:after="0"/>
        <w:ind w:left="607" w:right="2462" w:firstLine="0"/>
        <w:jc w:val="left"/>
        <w:rPr>
          <w:sz w:val="20"/>
        </w:rPr>
      </w:pPr>
      <w:r>
        <w:rPr>
          <w:w w:val="120"/>
          <w:sz w:val="20"/>
        </w:rPr>
        <w:t>The society is therefore continuing to look to new ways of being proactive   in its awareness of the situations and it will continue to develop and inform synod moderators of pastoral issues that arise. The appointment of the regional managers</w:t>
      </w:r>
    </w:p>
    <w:p>
      <w:pPr>
        <w:pStyle w:val="BodyText"/>
        <w:spacing w:line="235" w:lineRule="auto" w:before="2"/>
        <w:ind w:left="607" w:right="2045"/>
      </w:pPr>
      <w:r>
        <w:rPr>
          <w:w w:val="120"/>
        </w:rPr>
        <w:t>will develop this further but in the meantime the society, acknowledges the input and support of the moderators in this positive development.</w:t>
      </w:r>
    </w:p>
    <w:p>
      <w:pPr>
        <w:pStyle w:val="BodyText"/>
        <w:spacing w:before="2"/>
        <w:rPr>
          <w:sz w:val="22"/>
        </w:rPr>
      </w:pPr>
    </w:p>
    <w:p>
      <w:pPr>
        <w:spacing w:before="0"/>
        <w:ind w:left="607" w:right="0" w:firstLine="0"/>
        <w:jc w:val="both"/>
        <w:rPr>
          <w:rFonts w:ascii="Stone Sans II ITC Std Bk"/>
          <w:b/>
          <w:sz w:val="29"/>
        </w:rPr>
      </w:pPr>
      <w:r>
        <w:rPr>
          <w:rFonts w:ascii="Stone Sans II ITC Std Bk"/>
          <w:b/>
          <w:w w:val="110"/>
          <w:sz w:val="29"/>
        </w:rPr>
        <w:t>Grateful for generosity</w:t>
      </w:r>
    </w:p>
    <w:p>
      <w:pPr>
        <w:pStyle w:val="ListParagraph"/>
        <w:numPr>
          <w:ilvl w:val="1"/>
          <w:numId w:val="183"/>
        </w:numPr>
        <w:tabs>
          <w:tab w:pos="1287" w:val="left" w:leader="none"/>
          <w:tab w:pos="1288" w:val="left" w:leader="none"/>
        </w:tabs>
        <w:spacing w:line="235" w:lineRule="auto" w:before="69" w:after="0"/>
        <w:ind w:left="607" w:right="2046" w:firstLine="0"/>
        <w:jc w:val="left"/>
        <w:rPr>
          <w:sz w:val="20"/>
        </w:rPr>
      </w:pPr>
      <w:r>
        <w:rPr>
          <w:w w:val="120"/>
          <w:sz w:val="20"/>
        </w:rPr>
        <w:t>The society has continued to receive donations and legacies and was grateful to receive the proceeds from the sale of two properties that were bequeathed to it during </w:t>
      </w:r>
      <w:r>
        <w:rPr>
          <w:spacing w:val="-7"/>
          <w:w w:val="120"/>
          <w:sz w:val="20"/>
        </w:rPr>
        <w:t>2015. </w:t>
      </w:r>
      <w:r>
        <w:rPr>
          <w:w w:val="120"/>
          <w:sz w:val="20"/>
        </w:rPr>
        <w:t>Many churches, synods and individuals have responded to our ongoing appeal which in recognition of its 10th anniversary will be re-launched again at this General Assembly.</w:t>
      </w:r>
    </w:p>
    <w:p>
      <w:pPr>
        <w:pStyle w:val="BodyText"/>
      </w:pPr>
    </w:p>
    <w:p>
      <w:pPr>
        <w:pStyle w:val="ListParagraph"/>
        <w:numPr>
          <w:ilvl w:val="1"/>
          <w:numId w:val="183"/>
        </w:numPr>
        <w:tabs>
          <w:tab w:pos="1287" w:val="left" w:leader="none"/>
          <w:tab w:pos="1288" w:val="left" w:leader="none"/>
        </w:tabs>
        <w:spacing w:line="235" w:lineRule="auto" w:before="0" w:after="0"/>
        <w:ind w:left="607" w:right="2595" w:firstLine="0"/>
        <w:jc w:val="left"/>
        <w:rPr>
          <w:sz w:val="20"/>
        </w:rPr>
      </w:pPr>
      <w:r>
        <w:rPr>
          <w:w w:val="120"/>
          <w:sz w:val="20"/>
        </w:rPr>
        <w:t>In </w:t>
      </w:r>
      <w:r>
        <w:rPr>
          <w:spacing w:val="-6"/>
          <w:w w:val="120"/>
          <w:sz w:val="20"/>
        </w:rPr>
        <w:t>2007, </w:t>
      </w:r>
      <w:r>
        <w:rPr>
          <w:w w:val="120"/>
          <w:sz w:val="20"/>
        </w:rPr>
        <w:t>General Assembly approved a resolution recommending that </w:t>
      </w:r>
      <w:r>
        <w:rPr>
          <w:spacing w:val="-3"/>
          <w:w w:val="120"/>
          <w:sz w:val="20"/>
        </w:rPr>
        <w:t>10% </w:t>
      </w:r>
      <w:r>
        <w:rPr>
          <w:w w:val="120"/>
          <w:sz w:val="20"/>
        </w:rPr>
        <w:t>of funds raised from the sale of redundant churches be contributed to the</w:t>
      </w:r>
      <w:r>
        <w:rPr>
          <w:spacing w:val="19"/>
          <w:w w:val="120"/>
          <w:sz w:val="20"/>
        </w:rPr>
        <w:t> </w:t>
      </w:r>
      <w:r>
        <w:rPr>
          <w:w w:val="120"/>
          <w:sz w:val="20"/>
        </w:rPr>
        <w:t>society.</w:t>
      </w:r>
    </w:p>
    <w:p>
      <w:pPr>
        <w:pStyle w:val="BodyText"/>
        <w:spacing w:line="235" w:lineRule="auto" w:before="1"/>
        <w:ind w:left="607" w:right="2231"/>
      </w:pPr>
      <w:r>
        <w:rPr>
          <w:w w:val="120"/>
        </w:rPr>
        <w:t>Encouragingly, many synods have agreed to this course of action; others have offered to help in different ways.</w:t>
      </w:r>
    </w:p>
    <w:p>
      <w:pPr>
        <w:spacing w:after="0" w:line="235" w:lineRule="auto"/>
        <w:sectPr>
          <w:headerReference w:type="even" r:id="rId413"/>
          <w:pgSz w:w="11910" w:h="16840"/>
          <w:pgMar w:header="0" w:footer="647" w:top="0" w:bottom="840" w:left="640" w:right="0"/>
        </w:sectPr>
      </w:pPr>
    </w:p>
    <w:p>
      <w:pPr>
        <w:pStyle w:val="BodyText"/>
      </w:pPr>
    </w:p>
    <w:p>
      <w:pPr>
        <w:pStyle w:val="BodyText"/>
        <w:spacing w:before="7"/>
        <w:rPr>
          <w:sz w:val="21"/>
        </w:rPr>
      </w:pPr>
    </w:p>
    <w:p>
      <w:pPr>
        <w:spacing w:after="0"/>
        <w:rPr>
          <w:sz w:val="21"/>
        </w:rPr>
        <w:sectPr>
          <w:headerReference w:type="default" r:id="rId414"/>
          <w:footerReference w:type="default" r:id="rId415"/>
          <w:pgSz w:w="11910" w:h="16840"/>
          <w:pgMar w:header="0" w:footer="647" w:top="0" w:bottom="840" w:left="640" w:right="0"/>
        </w:sectPr>
      </w:pPr>
    </w:p>
    <w:p>
      <w:pPr>
        <w:pStyle w:val="BodyText"/>
        <w:spacing w:before="4"/>
        <w:rPr>
          <w:sz w:val="52"/>
        </w:rPr>
      </w:pPr>
    </w:p>
    <w:p>
      <w:pPr>
        <w:spacing w:before="0"/>
        <w:ind w:left="1344" w:right="0" w:firstLine="0"/>
        <w:jc w:val="left"/>
        <w:rPr>
          <w:rFonts w:ascii="Stone Sans II ITC Std Bk"/>
          <w:b/>
          <w:sz w:val="29"/>
        </w:rPr>
      </w:pPr>
      <w:r>
        <w:rPr>
          <w:rFonts w:ascii="Stone Sans II ITC Std Bk"/>
          <w:b/>
          <w:w w:val="110"/>
          <w:sz w:val="29"/>
        </w:rPr>
        <w:t>Our ongoing work</w:t>
      </w:r>
    </w:p>
    <w:p>
      <w:pPr>
        <w:spacing w:before="106"/>
        <w:ind w:left="1344" w:right="0" w:firstLine="0"/>
        <w:jc w:val="left"/>
        <w:rPr>
          <w:sz w:val="26"/>
        </w:rPr>
      </w:pPr>
      <w:r>
        <w:rPr/>
        <w:br w:type="column"/>
      </w:r>
      <w:r>
        <w:rPr>
          <w:color w:val="7EAABF"/>
          <w:w w:val="110"/>
          <w:sz w:val="26"/>
        </w:rPr>
        <w:t>Ministries</w:t>
      </w:r>
    </w:p>
    <w:p>
      <w:pPr>
        <w:spacing w:after="0"/>
        <w:jc w:val="left"/>
        <w:rPr>
          <w:sz w:val="26"/>
        </w:rPr>
        <w:sectPr>
          <w:type w:val="continuous"/>
          <w:pgSz w:w="11910" w:h="16840"/>
          <w:pgMar w:top="1580" w:bottom="280" w:left="640" w:right="0"/>
          <w:cols w:num="2" w:equalWidth="0">
            <w:col w:w="4324" w:space="3173"/>
            <w:col w:w="3773"/>
          </w:cols>
        </w:sectPr>
      </w:pPr>
    </w:p>
    <w:p>
      <w:pPr>
        <w:pStyle w:val="ListParagraph"/>
        <w:numPr>
          <w:ilvl w:val="0"/>
          <w:numId w:val="184"/>
        </w:numPr>
        <w:tabs>
          <w:tab w:pos="2024" w:val="left" w:leader="none"/>
          <w:tab w:pos="2025" w:val="left" w:leader="none"/>
        </w:tabs>
        <w:spacing w:line="235" w:lineRule="auto" w:before="69" w:after="0"/>
        <w:ind w:left="1344" w:right="1254" w:firstLine="0"/>
        <w:jc w:val="left"/>
        <w:rPr>
          <w:sz w:val="20"/>
        </w:rPr>
      </w:pPr>
      <w:r>
        <w:rPr/>
        <w:drawing>
          <wp:anchor distT="0" distB="0" distL="0" distR="0" allowOverlap="1" layoutInCell="1" locked="0" behindDoc="0" simplePos="0" relativeHeight="252056576">
            <wp:simplePos x="0" y="0"/>
            <wp:positionH relativeFrom="page">
              <wp:posOffset>6974928</wp:posOffset>
            </wp:positionH>
            <wp:positionV relativeFrom="page">
              <wp:posOffset>0</wp:posOffset>
            </wp:positionV>
            <wp:extent cx="585063" cy="10692003"/>
            <wp:effectExtent l="0" t="0" r="0" b="0"/>
            <wp:wrapNone/>
            <wp:docPr id="287" name="image54.png"/>
            <wp:cNvGraphicFramePr>
              <a:graphicFrameLocks noChangeAspect="1"/>
            </wp:cNvGraphicFramePr>
            <a:graphic>
              <a:graphicData uri="http://schemas.openxmlformats.org/drawingml/2006/picture">
                <pic:pic>
                  <pic:nvPicPr>
                    <pic:cNvPr id="288" name="image54.png"/>
                    <pic:cNvPicPr/>
                  </pic:nvPicPr>
                  <pic:blipFill>
                    <a:blip r:embed="rId169" cstate="print"/>
                    <a:stretch>
                      <a:fillRect/>
                    </a:stretch>
                  </pic:blipFill>
                  <pic:spPr>
                    <a:xfrm>
                      <a:off x="0" y="0"/>
                      <a:ext cx="585063" cy="10692003"/>
                    </a:xfrm>
                    <a:prstGeom prst="rect">
                      <a:avLst/>
                    </a:prstGeom>
                  </pic:spPr>
                </pic:pic>
              </a:graphicData>
            </a:graphic>
          </wp:anchor>
        </w:drawing>
      </w:r>
      <w:r>
        <w:rPr/>
        <w:pict>
          <v:shape style="position:absolute;margin-left:554.141174pt;margin-top:-28.931347pt;width:25.9pt;height:343.4pt;mso-position-horizontal-relative:page;mso-position-vertical-relative:paragraph;z-index:252057600" type="#_x0000_t202" filled="false" stroked="false">
            <v:textbox inset="0,0,0,0" style="layout-flow:vertical">
              <w:txbxContent>
                <w:p>
                  <w:pPr>
                    <w:spacing w:before="27"/>
                    <w:ind w:left="20" w:right="0" w:firstLine="0"/>
                    <w:jc w:val="left"/>
                    <w:rPr>
                      <w:sz w:val="39"/>
                    </w:rPr>
                  </w:pPr>
                  <w:r>
                    <w:rPr>
                      <w:color w:val="FFFFFF"/>
                      <w:spacing w:val="7"/>
                      <w:w w:val="120"/>
                      <w:sz w:val="39"/>
                    </w:rPr>
                    <w:t>Retired </w:t>
                  </w:r>
                  <w:r>
                    <w:rPr>
                      <w:color w:val="FFFFFF"/>
                      <w:spacing w:val="9"/>
                      <w:w w:val="120"/>
                      <w:sz w:val="39"/>
                    </w:rPr>
                    <w:t>ministers’ housing</w:t>
                  </w:r>
                  <w:r>
                    <w:rPr>
                      <w:color w:val="FFFFFF"/>
                      <w:spacing w:val="116"/>
                      <w:w w:val="120"/>
                      <w:sz w:val="39"/>
                    </w:rPr>
                    <w:t> </w:t>
                  </w:r>
                  <w:r>
                    <w:rPr>
                      <w:color w:val="FFFFFF"/>
                      <w:spacing w:val="10"/>
                      <w:w w:val="120"/>
                      <w:sz w:val="39"/>
                    </w:rPr>
                    <w:t>society</w:t>
                  </w:r>
                </w:p>
              </w:txbxContent>
            </v:textbox>
            <w10:wrap type="none"/>
          </v:shape>
        </w:pict>
      </w:r>
      <w:r>
        <w:rPr>
          <w:w w:val="120"/>
          <w:sz w:val="20"/>
        </w:rPr>
        <w:t>The society continues to be a </w:t>
      </w:r>
      <w:r>
        <w:rPr>
          <w:spacing w:val="2"/>
          <w:w w:val="120"/>
          <w:sz w:val="20"/>
        </w:rPr>
        <w:t>part </w:t>
      </w:r>
      <w:r>
        <w:rPr>
          <w:w w:val="120"/>
          <w:sz w:val="20"/>
        </w:rPr>
        <w:t>of the finance department and is grateful to Andrew Grimwade and his team for the support, financial information and advice they provide. The society continues to contribute to the ministries pre-retirement courses  run at the Windermere Centre. These sessions are constantly being reviewed so as to be of benefit to all, regardless of whether or not assistance with housing will be</w:t>
      </w:r>
      <w:r>
        <w:rPr>
          <w:spacing w:val="41"/>
          <w:w w:val="120"/>
          <w:sz w:val="20"/>
        </w:rPr>
        <w:t> </w:t>
      </w:r>
      <w:r>
        <w:rPr>
          <w:w w:val="120"/>
          <w:sz w:val="20"/>
        </w:rPr>
        <w:t>needed.</w:t>
      </w:r>
    </w:p>
    <w:p>
      <w:pPr>
        <w:pStyle w:val="BodyText"/>
        <w:spacing w:before="4"/>
        <w:rPr>
          <w:sz w:val="22"/>
        </w:rPr>
      </w:pPr>
    </w:p>
    <w:p>
      <w:pPr>
        <w:spacing w:before="0"/>
        <w:ind w:left="1344" w:right="0" w:firstLine="0"/>
        <w:jc w:val="left"/>
        <w:rPr>
          <w:rFonts w:ascii="Stone Sans II ITC Std Bk"/>
          <w:b/>
          <w:sz w:val="29"/>
        </w:rPr>
      </w:pPr>
      <w:r>
        <w:rPr>
          <w:rFonts w:ascii="Stone Sans II ITC Std Bk"/>
          <w:b/>
          <w:w w:val="110"/>
          <w:sz w:val="29"/>
        </w:rPr>
        <w:t>The future</w:t>
      </w:r>
    </w:p>
    <w:p>
      <w:pPr>
        <w:pStyle w:val="ListParagraph"/>
        <w:numPr>
          <w:ilvl w:val="0"/>
          <w:numId w:val="184"/>
        </w:numPr>
        <w:tabs>
          <w:tab w:pos="2024" w:val="left" w:leader="none"/>
          <w:tab w:pos="2025" w:val="left" w:leader="none"/>
        </w:tabs>
        <w:spacing w:line="235" w:lineRule="auto" w:before="69" w:after="0"/>
        <w:ind w:left="1344" w:right="1364" w:firstLine="0"/>
        <w:jc w:val="left"/>
        <w:rPr>
          <w:sz w:val="20"/>
        </w:rPr>
      </w:pPr>
      <w:r>
        <w:rPr>
          <w:w w:val="120"/>
          <w:sz w:val="20"/>
        </w:rPr>
        <w:t>The future of the society is exciting, and it is a privilege to be serving those who for all their lives have served others. It is a unique ministry with both challenges and rewards, which operates, hopefully, with a light touch but far reaching consequences through the network and support of local churches, moderators and the wider fellowship of the</w:t>
      </w:r>
      <w:r>
        <w:rPr>
          <w:spacing w:val="6"/>
          <w:w w:val="120"/>
          <w:sz w:val="20"/>
        </w:rPr>
        <w:t> </w:t>
      </w:r>
      <w:r>
        <w:rPr>
          <w:w w:val="120"/>
          <w:sz w:val="20"/>
        </w:rPr>
        <w:t>URC.</w:t>
      </w:r>
    </w:p>
    <w:p>
      <w:pPr>
        <w:spacing w:after="0" w:line="235" w:lineRule="auto"/>
        <w:jc w:val="left"/>
        <w:rPr>
          <w:sz w:val="20"/>
        </w:rPr>
        <w:sectPr>
          <w:type w:val="continuous"/>
          <w:pgSz w:w="11910" w:h="16840"/>
          <w:pgMar w:top="1580" w:bottom="280" w:left="640" w:right="0"/>
        </w:sectPr>
      </w:pPr>
    </w:p>
    <w:p>
      <w:pPr>
        <w:pStyle w:val="BodyText"/>
      </w:pPr>
      <w:r>
        <w:rPr/>
        <w:pict>
          <v:rect style="position:absolute;margin-left:46.777pt;margin-top:.000015pt;width:548.498pt;height:841.89pt;mso-position-horizontal-relative:page;mso-position-vertical-relative:page;z-index:-267711488" filled="true" fillcolor="#d4e9f7" stroked="false">
            <v:fill type="solid"/>
            <w10:wrap type="none"/>
          </v:rect>
        </w:pict>
      </w:r>
      <w:r>
        <w:rPr/>
        <w:drawing>
          <wp:anchor distT="0" distB="0" distL="0" distR="0" allowOverlap="1" layoutInCell="1" locked="0" behindDoc="1" simplePos="0" relativeHeight="235606016">
            <wp:simplePos x="0" y="0"/>
            <wp:positionH relativeFrom="page">
              <wp:posOffset>0</wp:posOffset>
            </wp:positionH>
            <wp:positionV relativeFrom="page">
              <wp:posOffset>0</wp:posOffset>
            </wp:positionV>
            <wp:extent cx="594067" cy="10692003"/>
            <wp:effectExtent l="0" t="0" r="0" b="0"/>
            <wp:wrapNone/>
            <wp:docPr id="289" name="image67.png"/>
            <wp:cNvGraphicFramePr>
              <a:graphicFrameLocks noChangeAspect="1"/>
            </wp:cNvGraphicFramePr>
            <a:graphic>
              <a:graphicData uri="http://schemas.openxmlformats.org/drawingml/2006/picture">
                <pic:pic>
                  <pic:nvPicPr>
                    <pic:cNvPr id="290" name="image67.png"/>
                    <pic:cNvPicPr/>
                  </pic:nvPicPr>
                  <pic:blipFill>
                    <a:blip r:embed="rId184" cstate="print"/>
                    <a:stretch>
                      <a:fillRect/>
                    </a:stretch>
                  </pic:blipFill>
                  <pic:spPr>
                    <a:xfrm>
                      <a:off x="0" y="0"/>
                      <a:ext cx="594067" cy="10692003"/>
                    </a:xfrm>
                    <a:prstGeom prst="rect">
                      <a:avLst/>
                    </a:prstGeom>
                  </pic:spPr>
                </pic:pic>
              </a:graphicData>
            </a:graphic>
          </wp:anchor>
        </w:drawing>
      </w:r>
      <w:r>
        <w:rPr/>
        <w:pict>
          <v:shape style="position:absolute;margin-left:20.519100pt;margin-top:48.890015pt;width:25.9pt;height:598.450pt;mso-position-horizontal-relative:page;mso-position-vertical-relative:page;z-index:-267709440" type="#_x0000_t202" filled="false" stroked="false">
            <v:textbox inset="0,0,0,0" style="layout-flow:vertical">
              <w:txbxContent>
                <w:p>
                  <w:pPr>
                    <w:spacing w:before="27"/>
                    <w:ind w:left="20" w:right="0" w:firstLine="0"/>
                    <w:jc w:val="left"/>
                    <w:rPr>
                      <w:sz w:val="39"/>
                    </w:rPr>
                  </w:pPr>
                  <w:r>
                    <w:rPr>
                      <w:color w:val="FFFFFF"/>
                      <w:spacing w:val="10"/>
                      <w:w w:val="120"/>
                      <w:sz w:val="39"/>
                    </w:rPr>
                    <w:t>Ministries </w:t>
                  </w:r>
                  <w:r>
                    <w:rPr>
                      <w:color w:val="FFFFFF"/>
                      <w:w w:val="120"/>
                      <w:sz w:val="39"/>
                    </w:rPr>
                    <w:t>– </w:t>
                  </w:r>
                  <w:r>
                    <w:rPr>
                      <w:spacing w:val="11"/>
                      <w:w w:val="120"/>
                      <w:sz w:val="39"/>
                    </w:rPr>
                    <w:t>Stipendiary </w:t>
                  </w:r>
                  <w:r>
                    <w:rPr>
                      <w:spacing w:val="9"/>
                      <w:w w:val="120"/>
                      <w:sz w:val="39"/>
                    </w:rPr>
                    <w:t>minister numbers </w:t>
                  </w:r>
                  <w:r>
                    <w:rPr>
                      <w:spacing w:val="7"/>
                      <w:w w:val="120"/>
                      <w:sz w:val="39"/>
                    </w:rPr>
                    <w:t>and</w:t>
                  </w:r>
                  <w:r>
                    <w:rPr>
                      <w:spacing w:val="106"/>
                      <w:w w:val="120"/>
                      <w:sz w:val="39"/>
                    </w:rPr>
                    <w:t> </w:t>
                  </w:r>
                  <w:r>
                    <w:rPr>
                      <w:spacing w:val="10"/>
                      <w:w w:val="120"/>
                      <w:sz w:val="39"/>
                    </w:rPr>
                    <w:t>deployment</w:t>
                  </w:r>
                </w:p>
              </w:txbxContent>
            </v:textbox>
            <w10:wrap type="none"/>
          </v:shape>
        </w:pict>
      </w:r>
    </w:p>
    <w:p>
      <w:pPr>
        <w:pStyle w:val="BodyText"/>
      </w:pPr>
    </w:p>
    <w:p>
      <w:pPr>
        <w:pStyle w:val="BodyText"/>
      </w:pPr>
    </w:p>
    <w:p>
      <w:pPr>
        <w:pStyle w:val="BodyText"/>
        <w:spacing w:before="5"/>
        <w:rPr>
          <w:sz w:val="28"/>
        </w:rPr>
      </w:pPr>
    </w:p>
    <w:p>
      <w:pPr>
        <w:spacing w:line="213" w:lineRule="auto" w:before="153"/>
        <w:ind w:left="607" w:right="2045" w:firstLine="0"/>
        <w:jc w:val="left"/>
        <w:rPr>
          <w:rFonts w:ascii="Stone Sans II ITC Std X Bd"/>
          <w:b/>
          <w:sz w:val="50"/>
        </w:rPr>
      </w:pPr>
      <w:r>
        <w:rPr>
          <w:rFonts w:ascii="Stone Sans II ITC Std X Bd"/>
          <w:b/>
          <w:color w:val="0090D4"/>
          <w:spacing w:val="-10"/>
          <w:w w:val="110"/>
          <w:sz w:val="50"/>
        </w:rPr>
        <w:t>Ministries committee: </w:t>
      </w:r>
      <w:r>
        <w:rPr>
          <w:rFonts w:ascii="Stone Sans II ITC Std X Bd"/>
          <w:b/>
          <w:spacing w:val="-9"/>
          <w:w w:val="110"/>
          <w:sz w:val="50"/>
        </w:rPr>
        <w:t>Stipendiary </w:t>
      </w:r>
      <w:r>
        <w:rPr>
          <w:rFonts w:ascii="Stone Sans II ITC Std X Bd"/>
          <w:b/>
          <w:spacing w:val="-11"/>
          <w:w w:val="110"/>
          <w:sz w:val="50"/>
        </w:rPr>
        <w:t>minister </w:t>
      </w:r>
      <w:r>
        <w:rPr>
          <w:rFonts w:ascii="Stone Sans II ITC Std X Bd"/>
          <w:b/>
          <w:spacing w:val="-9"/>
          <w:w w:val="110"/>
          <w:sz w:val="50"/>
        </w:rPr>
        <w:t>numbers </w:t>
      </w:r>
      <w:r>
        <w:rPr>
          <w:rFonts w:ascii="Stone Sans II ITC Std X Bd"/>
          <w:b/>
          <w:spacing w:val="-7"/>
          <w:w w:val="110"/>
          <w:sz w:val="50"/>
        </w:rPr>
        <w:t>and </w:t>
      </w:r>
      <w:r>
        <w:rPr>
          <w:rFonts w:ascii="Stone Sans II ITC Std X Bd"/>
          <w:b/>
          <w:spacing w:val="-10"/>
          <w:w w:val="110"/>
          <w:sz w:val="50"/>
        </w:rPr>
        <w:t>deployment</w:t>
      </w:r>
    </w:p>
    <w:p>
      <w:pPr>
        <w:pStyle w:val="Heading4"/>
        <w:spacing w:before="323"/>
      </w:pPr>
      <w:r>
        <w:rPr>
          <w:color w:val="7F7F7F"/>
        </w:rPr>
        <w:t>Basic Information</w:t>
      </w:r>
    </w:p>
    <w:tbl>
      <w:tblPr>
        <w:tblW w:w="0" w:type="auto"/>
        <w:jc w:val="left"/>
        <w:tblInd w:w="6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660"/>
        <w:gridCol w:w="6582"/>
      </w:tblGrid>
      <w:tr>
        <w:trPr>
          <w:trHeight w:val="680" w:hRule="atLeast"/>
        </w:trPr>
        <w:tc>
          <w:tcPr>
            <w:tcW w:w="2660" w:type="dxa"/>
            <w:shd w:val="clear" w:color="auto" w:fill="FFFFFF"/>
          </w:tcPr>
          <w:p>
            <w:pPr>
              <w:pStyle w:val="TableParagraph"/>
              <w:spacing w:line="213" w:lineRule="auto" w:before="151"/>
              <w:ind w:right="595"/>
              <w:rPr>
                <w:rFonts w:ascii="Stone Sans II ITC Std Bk"/>
                <w:b/>
                <w:sz w:val="20"/>
              </w:rPr>
            </w:pPr>
            <w:r>
              <w:rPr>
                <w:rFonts w:ascii="Stone Sans II ITC Std Bk"/>
                <w:b/>
                <w:w w:val="110"/>
                <w:sz w:val="20"/>
              </w:rPr>
              <w:t>Contact name and email address</w:t>
            </w:r>
          </w:p>
        </w:tc>
        <w:tc>
          <w:tcPr>
            <w:tcW w:w="6582" w:type="dxa"/>
            <w:shd w:val="clear" w:color="auto" w:fill="FFFFFF"/>
          </w:tcPr>
          <w:p>
            <w:pPr>
              <w:pStyle w:val="TableParagraph"/>
              <w:spacing w:before="141"/>
              <w:rPr>
                <w:sz w:val="20"/>
              </w:rPr>
            </w:pPr>
            <w:r>
              <w:rPr>
                <w:w w:val="120"/>
                <w:sz w:val="20"/>
              </w:rPr>
              <w:t>Craig Bowman: </w:t>
            </w:r>
            <w:hyperlink r:id="rId391">
              <w:r>
                <w:rPr>
                  <w:color w:val="006AB3"/>
                  <w:w w:val="120"/>
                  <w:sz w:val="20"/>
                </w:rPr>
                <w:t>ministries@urc.org.uk</w:t>
              </w:r>
            </w:hyperlink>
          </w:p>
        </w:tc>
      </w:tr>
      <w:tr>
        <w:trPr>
          <w:trHeight w:val="440" w:hRule="atLeast"/>
        </w:trPr>
        <w:tc>
          <w:tcPr>
            <w:tcW w:w="2660" w:type="dxa"/>
            <w:shd w:val="clear" w:color="auto" w:fill="FFFFFF"/>
          </w:tcPr>
          <w:p>
            <w:pPr>
              <w:pStyle w:val="TableParagraph"/>
              <w:spacing w:before="128"/>
              <w:rPr>
                <w:rFonts w:ascii="Stone Sans II ITC Std Bk"/>
                <w:b/>
                <w:sz w:val="20"/>
              </w:rPr>
            </w:pPr>
            <w:r>
              <w:rPr>
                <w:rFonts w:ascii="Stone Sans II ITC Std Bk"/>
                <w:b/>
                <w:w w:val="110"/>
                <w:sz w:val="20"/>
              </w:rPr>
              <w:t>Action required</w:t>
            </w:r>
          </w:p>
        </w:tc>
        <w:tc>
          <w:tcPr>
            <w:tcW w:w="6582" w:type="dxa"/>
            <w:shd w:val="clear" w:color="auto" w:fill="FFFFFF"/>
          </w:tcPr>
          <w:p>
            <w:pPr>
              <w:pStyle w:val="TableParagraph"/>
              <w:spacing w:before="141"/>
              <w:rPr>
                <w:sz w:val="20"/>
              </w:rPr>
            </w:pPr>
            <w:r>
              <w:rPr>
                <w:w w:val="120"/>
                <w:sz w:val="20"/>
              </w:rPr>
              <w:t>Decision</w:t>
            </w:r>
          </w:p>
        </w:tc>
      </w:tr>
      <w:tr>
        <w:trPr>
          <w:trHeight w:val="9080" w:hRule="atLeast"/>
        </w:trPr>
        <w:tc>
          <w:tcPr>
            <w:tcW w:w="2660" w:type="dxa"/>
            <w:shd w:val="clear" w:color="auto" w:fill="FFFFFF"/>
          </w:tcPr>
          <w:p>
            <w:pPr>
              <w:pStyle w:val="TableParagraph"/>
              <w:spacing w:before="128"/>
              <w:rPr>
                <w:rFonts w:ascii="Stone Sans II ITC Std Bk"/>
                <w:b/>
                <w:sz w:val="20"/>
              </w:rPr>
            </w:pPr>
            <w:r>
              <w:rPr>
                <w:rFonts w:ascii="Stone Sans II ITC Std Bk"/>
                <w:b/>
                <w:w w:val="110"/>
                <w:sz w:val="20"/>
              </w:rPr>
              <w:t>Draft resolution(s)</w:t>
            </w:r>
          </w:p>
        </w:tc>
        <w:tc>
          <w:tcPr>
            <w:tcW w:w="6582" w:type="dxa"/>
            <w:shd w:val="clear" w:color="auto" w:fill="FFFFFF"/>
          </w:tcPr>
          <w:p>
            <w:pPr>
              <w:pStyle w:val="TableParagraph"/>
              <w:numPr>
                <w:ilvl w:val="0"/>
                <w:numId w:val="185"/>
              </w:numPr>
              <w:tabs>
                <w:tab w:pos="760" w:val="left" w:leader="none"/>
                <w:tab w:pos="761" w:val="left" w:leader="none"/>
              </w:tabs>
              <w:spacing w:line="213" w:lineRule="auto" w:before="151" w:after="0"/>
              <w:ind w:left="80" w:right="284" w:firstLine="0"/>
              <w:jc w:val="left"/>
              <w:rPr>
                <w:rFonts w:ascii="Stone Sans II ITC Std Bk" w:hAnsi="Stone Sans II ITC Std Bk"/>
                <w:b/>
                <w:sz w:val="20"/>
              </w:rPr>
            </w:pPr>
            <w:r>
              <w:rPr>
                <w:rFonts w:ascii="Stone Sans II ITC Std Bk" w:hAnsi="Stone Sans II ITC Std Bk"/>
                <w:b/>
                <w:w w:val="110"/>
                <w:sz w:val="20"/>
              </w:rPr>
              <w:t>General Assembly notes the projections for numbers of stipendiary ministers likely to be available and stipendiary posts likely to be fundable through the Ministry and Mission Fund until 2025, and urges synods to use the principles outlined in ‘Challenge to the Church’ in deploying the stipendiary posts allocated to them, alongside non-stipendiary ministers, elders, local church leaders and other lay</w:t>
            </w:r>
            <w:r>
              <w:rPr>
                <w:rFonts w:ascii="Stone Sans II ITC Std Bk" w:hAnsi="Stone Sans II ITC Std Bk"/>
                <w:b/>
                <w:spacing w:val="-1"/>
                <w:w w:val="110"/>
                <w:sz w:val="20"/>
              </w:rPr>
              <w:t> </w:t>
            </w:r>
            <w:r>
              <w:rPr>
                <w:rFonts w:ascii="Stone Sans II ITC Std Bk" w:hAnsi="Stone Sans II ITC Std Bk"/>
                <w:b/>
                <w:w w:val="110"/>
                <w:sz w:val="20"/>
              </w:rPr>
              <w:t>ministries.</w:t>
            </w:r>
          </w:p>
          <w:p>
            <w:pPr>
              <w:pStyle w:val="TableParagraph"/>
              <w:spacing w:before="4"/>
              <w:ind w:left="0"/>
              <w:rPr>
                <w:rFonts w:ascii="Stone Sans II ITC Std Bk"/>
                <w:b/>
                <w:sz w:val="17"/>
              </w:rPr>
            </w:pPr>
          </w:p>
          <w:p>
            <w:pPr>
              <w:pStyle w:val="TableParagraph"/>
              <w:numPr>
                <w:ilvl w:val="0"/>
                <w:numId w:val="185"/>
              </w:numPr>
              <w:tabs>
                <w:tab w:pos="760" w:val="left" w:leader="none"/>
                <w:tab w:pos="761" w:val="left" w:leader="none"/>
              </w:tabs>
              <w:spacing w:line="213" w:lineRule="auto" w:before="1" w:after="0"/>
              <w:ind w:left="80" w:right="157" w:firstLine="0"/>
              <w:jc w:val="left"/>
              <w:rPr>
                <w:rFonts w:ascii="Stone Sans II ITC Std Bk"/>
                <w:b/>
                <w:sz w:val="20"/>
              </w:rPr>
            </w:pPr>
            <w:r>
              <w:rPr>
                <w:rFonts w:ascii="Stone Sans II ITC Std Bk"/>
                <w:b/>
                <w:w w:val="110"/>
                <w:sz w:val="20"/>
              </w:rPr>
              <w:t>General Assembly instructs the ministries committee to apply the following formula for the allocation of stipendiary ministry posts to synods from January</w:t>
            </w:r>
            <w:r>
              <w:rPr>
                <w:rFonts w:ascii="Stone Sans II ITC Std Bk"/>
                <w:b/>
                <w:spacing w:val="19"/>
                <w:w w:val="110"/>
                <w:sz w:val="20"/>
              </w:rPr>
              <w:t> </w:t>
            </w:r>
            <w:r>
              <w:rPr>
                <w:rFonts w:ascii="Stone Sans II ITC Std Bk"/>
                <w:b/>
                <w:spacing w:val="-8"/>
                <w:w w:val="110"/>
                <w:sz w:val="20"/>
              </w:rPr>
              <w:t>2017:</w:t>
            </w:r>
          </w:p>
          <w:p>
            <w:pPr>
              <w:pStyle w:val="TableParagraph"/>
              <w:numPr>
                <w:ilvl w:val="0"/>
                <w:numId w:val="186"/>
              </w:numPr>
              <w:tabs>
                <w:tab w:pos="533" w:val="left" w:leader="none"/>
                <w:tab w:pos="534" w:val="left" w:leader="none"/>
              </w:tabs>
              <w:spacing w:line="213" w:lineRule="auto" w:before="0" w:after="0"/>
              <w:ind w:left="533" w:right="67" w:hanging="454"/>
              <w:jc w:val="left"/>
              <w:rPr>
                <w:rFonts w:ascii="Stone Sans II ITC Std Bk"/>
                <w:b/>
                <w:sz w:val="20"/>
              </w:rPr>
            </w:pPr>
            <w:r>
              <w:rPr>
                <w:rFonts w:ascii="Stone Sans II ITC Std Bk"/>
                <w:b/>
                <w:w w:val="110"/>
                <w:sz w:val="20"/>
              </w:rPr>
              <w:t>Assembly reaffirms its aim of funding at least 26 stipendiary CRCWs across the URC with a minimum of two CRCWs per synod. While the total number of </w:t>
            </w:r>
            <w:r>
              <w:rPr>
                <w:rFonts w:ascii="Stone Sans II ITC Std Bk"/>
                <w:b/>
                <w:spacing w:val="2"/>
                <w:w w:val="110"/>
                <w:sz w:val="20"/>
              </w:rPr>
              <w:t>CRCW </w:t>
            </w:r>
            <w:r>
              <w:rPr>
                <w:rFonts w:ascii="Stone Sans II ITC Std Bk"/>
                <w:b/>
                <w:w w:val="110"/>
                <w:sz w:val="20"/>
              </w:rPr>
              <w:t>stipends paid remains below 26, synods may have three stipendiary CRCWs in their synod for a limited period without it affecting their overall deployment numbers or number of stipends allocated for the</w:t>
            </w:r>
            <w:r>
              <w:rPr>
                <w:rFonts w:ascii="Stone Sans II ITC Std Bk"/>
                <w:b/>
                <w:spacing w:val="4"/>
                <w:w w:val="110"/>
                <w:sz w:val="20"/>
              </w:rPr>
              <w:t> </w:t>
            </w:r>
            <w:r>
              <w:rPr>
                <w:rFonts w:ascii="Stone Sans II ITC Std Bk"/>
                <w:b/>
                <w:w w:val="110"/>
                <w:sz w:val="20"/>
              </w:rPr>
              <w:t>ministry</w:t>
            </w:r>
          </w:p>
          <w:p>
            <w:pPr>
              <w:pStyle w:val="TableParagraph"/>
              <w:spacing w:line="213" w:lineRule="auto"/>
              <w:ind w:left="533" w:right="280"/>
              <w:rPr>
                <w:rFonts w:ascii="Stone Sans II ITC Std Bk"/>
                <w:b/>
                <w:sz w:val="20"/>
              </w:rPr>
            </w:pPr>
            <w:r>
              <w:rPr>
                <w:rFonts w:ascii="Stone Sans II ITC Std Bk"/>
                <w:b/>
                <w:w w:val="110"/>
                <w:sz w:val="20"/>
              </w:rPr>
              <w:t>of Word and Sacraments. Each CRCW post shall require approval by the church related community work programme subcommittee on the basis of an application by the relevant synod.</w:t>
            </w:r>
          </w:p>
          <w:p>
            <w:pPr>
              <w:pStyle w:val="TableParagraph"/>
              <w:numPr>
                <w:ilvl w:val="0"/>
                <w:numId w:val="186"/>
              </w:numPr>
              <w:tabs>
                <w:tab w:pos="533" w:val="left" w:leader="none"/>
                <w:tab w:pos="534" w:val="left" w:leader="none"/>
              </w:tabs>
              <w:spacing w:line="213" w:lineRule="auto" w:before="0" w:after="0"/>
              <w:ind w:left="533" w:right="444" w:hanging="454"/>
              <w:jc w:val="left"/>
              <w:rPr>
                <w:rFonts w:ascii="Stone Sans II ITC Std Bk"/>
                <w:b/>
                <w:sz w:val="20"/>
              </w:rPr>
            </w:pPr>
            <w:r>
              <w:rPr>
                <w:rFonts w:ascii="Stone Sans II ITC Std Bk"/>
                <w:b/>
                <w:w w:val="110"/>
                <w:sz w:val="20"/>
              </w:rPr>
              <w:t>Up to 8% of the available stipendiary posts for ministers of Word and Sacraments shall be allocated as special category ministry posts, each post to be approved by the accreditation subcommittee on the basis of an application by the relevant</w:t>
            </w:r>
            <w:r>
              <w:rPr>
                <w:rFonts w:ascii="Stone Sans II ITC Std Bk"/>
                <w:b/>
                <w:spacing w:val="-1"/>
                <w:w w:val="110"/>
                <w:sz w:val="20"/>
              </w:rPr>
              <w:t> </w:t>
            </w:r>
            <w:r>
              <w:rPr>
                <w:rFonts w:ascii="Stone Sans II ITC Std Bk"/>
                <w:b/>
                <w:w w:val="110"/>
                <w:sz w:val="20"/>
              </w:rPr>
              <w:t>synod.</w:t>
            </w:r>
          </w:p>
          <w:p>
            <w:pPr>
              <w:pStyle w:val="TableParagraph"/>
              <w:numPr>
                <w:ilvl w:val="0"/>
                <w:numId w:val="186"/>
              </w:numPr>
              <w:tabs>
                <w:tab w:pos="533" w:val="left" w:leader="none"/>
                <w:tab w:pos="534" w:val="left" w:leader="none"/>
              </w:tabs>
              <w:spacing w:line="213" w:lineRule="auto" w:before="0" w:after="0"/>
              <w:ind w:left="533" w:right="81" w:hanging="454"/>
              <w:jc w:val="left"/>
              <w:rPr>
                <w:rFonts w:ascii="Stone Sans II ITC Std Bk"/>
                <w:b/>
                <w:sz w:val="20"/>
              </w:rPr>
            </w:pPr>
            <w:r>
              <w:rPr>
                <w:rFonts w:ascii="Stone Sans II ITC Std Bk"/>
                <w:b/>
                <w:w w:val="110"/>
                <w:sz w:val="20"/>
              </w:rPr>
              <w:t>All remaining stipendiary posts for both ministries shall be allocated to synods on the basis of a formula with a weighting of 60% for the number of members in each synod and 40% for the number of congregations in each synod. This formula shall be reapplied annually on the basis of the latest information</w:t>
            </w:r>
            <w:r>
              <w:rPr>
                <w:rFonts w:ascii="Stone Sans II ITC Std Bk"/>
                <w:b/>
                <w:spacing w:val="-2"/>
                <w:w w:val="110"/>
                <w:sz w:val="20"/>
              </w:rPr>
              <w:t> </w:t>
            </w:r>
            <w:r>
              <w:rPr>
                <w:rFonts w:ascii="Stone Sans II ITC Std Bk"/>
                <w:b/>
                <w:w w:val="110"/>
                <w:sz w:val="20"/>
              </w:rPr>
              <w:t>available.</w:t>
            </w:r>
          </w:p>
          <w:p>
            <w:pPr>
              <w:pStyle w:val="TableParagraph"/>
              <w:numPr>
                <w:ilvl w:val="0"/>
                <w:numId w:val="186"/>
              </w:numPr>
              <w:tabs>
                <w:tab w:pos="533" w:val="left" w:leader="none"/>
                <w:tab w:pos="534" w:val="left" w:leader="none"/>
              </w:tabs>
              <w:spacing w:line="213" w:lineRule="auto" w:before="0" w:after="0"/>
              <w:ind w:left="533" w:right="107" w:hanging="454"/>
              <w:jc w:val="left"/>
              <w:rPr>
                <w:rFonts w:ascii="Stone Sans II ITC Std Bk"/>
                <w:b/>
                <w:sz w:val="20"/>
              </w:rPr>
            </w:pPr>
            <w:r>
              <w:rPr>
                <w:rFonts w:ascii="Stone Sans II ITC Std Bk"/>
                <w:b/>
                <w:w w:val="110"/>
                <w:sz w:val="20"/>
              </w:rPr>
              <w:t>Each synod shall remain responsible for making its own allocation of stipendiary posts across the</w:t>
            </w:r>
            <w:r>
              <w:rPr>
                <w:rFonts w:ascii="Stone Sans II ITC Std Bk"/>
                <w:b/>
                <w:spacing w:val="5"/>
                <w:w w:val="110"/>
                <w:sz w:val="20"/>
              </w:rPr>
              <w:t> </w:t>
            </w:r>
            <w:r>
              <w:rPr>
                <w:rFonts w:ascii="Stone Sans II ITC Std Bk"/>
                <w:b/>
                <w:w w:val="110"/>
                <w:sz w:val="20"/>
              </w:rPr>
              <w:t>synod.</w:t>
            </w:r>
          </w:p>
        </w:tc>
      </w:tr>
    </w:tbl>
    <w:p>
      <w:pPr>
        <w:pStyle w:val="BodyText"/>
        <w:rPr>
          <w:rFonts w:ascii="Stone Sans II ITC Std Bk"/>
          <w:b/>
          <w:sz w:val="30"/>
        </w:rPr>
      </w:pPr>
    </w:p>
    <w:p>
      <w:pPr>
        <w:pStyle w:val="BodyText"/>
        <w:rPr>
          <w:rFonts w:ascii="Stone Sans II ITC Std Bk"/>
          <w:b/>
          <w:sz w:val="30"/>
        </w:rPr>
      </w:pPr>
    </w:p>
    <w:p>
      <w:pPr>
        <w:pStyle w:val="BodyText"/>
        <w:rPr>
          <w:rFonts w:ascii="Stone Sans II ITC Std Bk"/>
          <w:b/>
          <w:sz w:val="30"/>
        </w:rPr>
      </w:pPr>
    </w:p>
    <w:p>
      <w:pPr>
        <w:pStyle w:val="BodyText"/>
        <w:rPr>
          <w:rFonts w:ascii="Stone Sans II ITC Std Bk"/>
          <w:b/>
          <w:sz w:val="30"/>
        </w:rPr>
      </w:pPr>
    </w:p>
    <w:p>
      <w:pPr>
        <w:pStyle w:val="BodyText"/>
        <w:spacing w:before="3"/>
        <w:rPr>
          <w:rFonts w:ascii="Stone Sans II ITC Std Bk"/>
          <w:b/>
          <w:sz w:val="31"/>
        </w:rPr>
      </w:pPr>
    </w:p>
    <w:p>
      <w:pPr>
        <w:pStyle w:val="Heading6"/>
        <w:spacing w:before="0"/>
        <w:ind w:left="607"/>
      </w:pPr>
      <w:r>
        <w:rPr>
          <w:rFonts w:ascii="Stone Sans II ITC Std X Bd" w:hAnsi="Stone Sans II ITC Std X Bd"/>
          <w:b/>
          <w:w w:val="110"/>
          <w:sz w:val="24"/>
        </w:rPr>
        <w:t>154 </w:t>
      </w:r>
      <w:r>
        <w:rPr>
          <w:rFonts w:ascii="Symbol" w:hAnsi="Symbol"/>
          <w:color w:val="7EAABF"/>
          <w:w w:val="110"/>
        </w:rPr>
        <w:t></w:t>
      </w:r>
      <w:r>
        <w:rPr>
          <w:rFonts w:ascii="Times New Roman" w:hAnsi="Times New Roman"/>
          <w:color w:val="7EAABF"/>
          <w:w w:val="110"/>
        </w:rPr>
        <w:t> </w:t>
      </w:r>
      <w:r>
        <w:rPr>
          <w:color w:val="7EAABF"/>
          <w:w w:val="110"/>
        </w:rPr>
        <w:t>United Reformed Church </w:t>
      </w:r>
      <w:r>
        <w:rPr>
          <w:rFonts w:ascii="Symbol" w:hAnsi="Symbol"/>
          <w:color w:val="7EAABF"/>
          <w:w w:val="110"/>
        </w:rPr>
        <w:t></w:t>
      </w:r>
      <w:r>
        <w:rPr>
          <w:rFonts w:ascii="Times New Roman" w:hAnsi="Times New Roman"/>
          <w:color w:val="7EAABF"/>
          <w:w w:val="110"/>
        </w:rPr>
        <w:t> </w:t>
      </w:r>
      <w:r>
        <w:rPr>
          <w:color w:val="7EAABF"/>
          <w:w w:val="110"/>
        </w:rPr>
        <w:t>General Assembly 2016</w:t>
      </w:r>
    </w:p>
    <w:p>
      <w:pPr>
        <w:spacing w:after="0"/>
        <w:sectPr>
          <w:headerReference w:type="even" r:id="rId416"/>
          <w:footerReference w:type="even" r:id="rId417"/>
          <w:pgSz w:w="11910" w:h="16840"/>
          <w:pgMar w:header="0" w:footer="0" w:top="0" w:bottom="0" w:left="640" w:right="0"/>
        </w:sectPr>
      </w:pPr>
    </w:p>
    <w:p>
      <w:pPr>
        <w:pStyle w:val="BodyText"/>
      </w:pPr>
      <w:r>
        <w:rPr/>
        <w:pict>
          <v:rect style="position:absolute;margin-left:1.417pt;margin-top:.000015pt;width:547.79pt;height:841.89pt;mso-position-horizontal-relative:page;mso-position-vertical-relative:page;z-index:-267708416" filled="true" fillcolor="#d4e9f7" stroked="false">
            <v:fill type="solid"/>
            <w10:wrap type="none"/>
          </v:rect>
        </w:pict>
      </w:r>
      <w:r>
        <w:rPr/>
        <w:drawing>
          <wp:anchor distT="0" distB="0" distL="0" distR="0" allowOverlap="1" layoutInCell="1" locked="0" behindDoc="0" simplePos="0" relativeHeight="252062720">
            <wp:simplePos x="0" y="0"/>
            <wp:positionH relativeFrom="page">
              <wp:posOffset>6974928</wp:posOffset>
            </wp:positionH>
            <wp:positionV relativeFrom="page">
              <wp:posOffset>0</wp:posOffset>
            </wp:positionV>
            <wp:extent cx="585063" cy="10692003"/>
            <wp:effectExtent l="0" t="0" r="0" b="0"/>
            <wp:wrapNone/>
            <wp:docPr id="291" name="image54.png"/>
            <wp:cNvGraphicFramePr>
              <a:graphicFrameLocks noChangeAspect="1"/>
            </wp:cNvGraphicFramePr>
            <a:graphic>
              <a:graphicData uri="http://schemas.openxmlformats.org/drawingml/2006/picture">
                <pic:pic>
                  <pic:nvPicPr>
                    <pic:cNvPr id="292" name="image54.png"/>
                    <pic:cNvPicPr/>
                  </pic:nvPicPr>
                  <pic:blipFill>
                    <a:blip r:embed="rId169" cstate="print"/>
                    <a:stretch>
                      <a:fillRect/>
                    </a:stretch>
                  </pic:blipFill>
                  <pic:spPr>
                    <a:xfrm>
                      <a:off x="0" y="0"/>
                      <a:ext cx="585063" cy="10692003"/>
                    </a:xfrm>
                    <a:prstGeom prst="rect">
                      <a:avLst/>
                    </a:prstGeom>
                  </pic:spPr>
                </pic:pic>
              </a:graphicData>
            </a:graphic>
          </wp:anchor>
        </w:drawing>
      </w:r>
    </w:p>
    <w:p>
      <w:pPr>
        <w:pStyle w:val="BodyText"/>
      </w:pPr>
    </w:p>
    <w:p>
      <w:pPr>
        <w:pStyle w:val="BodyText"/>
      </w:pPr>
    </w:p>
    <w:p>
      <w:pPr>
        <w:pStyle w:val="BodyText"/>
        <w:spacing w:before="9"/>
        <w:rPr>
          <w:sz w:val="23"/>
        </w:rPr>
      </w:pPr>
    </w:p>
    <w:p>
      <w:pPr>
        <w:pStyle w:val="Heading4"/>
        <w:spacing w:before="94"/>
        <w:ind w:left="1089"/>
      </w:pPr>
      <w:r>
        <w:rPr/>
        <w:pict>
          <v:shape style="position:absolute;margin-left:554.141174pt;margin-top:-3.103093pt;width:25.9pt;height:598.450pt;mso-position-horizontal-relative:page;mso-position-vertical-relative:paragraph;z-index:252063744" type="#_x0000_t202" filled="false" stroked="false">
            <v:textbox inset="0,0,0,0" style="layout-flow:vertical">
              <w:txbxContent>
                <w:p>
                  <w:pPr>
                    <w:spacing w:before="27"/>
                    <w:ind w:left="20" w:right="0" w:firstLine="0"/>
                    <w:jc w:val="left"/>
                    <w:rPr>
                      <w:sz w:val="39"/>
                    </w:rPr>
                  </w:pPr>
                  <w:r>
                    <w:rPr>
                      <w:color w:val="FFFFFF"/>
                      <w:spacing w:val="10"/>
                      <w:w w:val="120"/>
                      <w:sz w:val="39"/>
                    </w:rPr>
                    <w:t>Ministries </w:t>
                  </w:r>
                  <w:r>
                    <w:rPr>
                      <w:color w:val="FFFFFF"/>
                      <w:w w:val="120"/>
                      <w:sz w:val="39"/>
                    </w:rPr>
                    <w:t>– </w:t>
                  </w:r>
                  <w:r>
                    <w:rPr>
                      <w:spacing w:val="11"/>
                      <w:w w:val="120"/>
                      <w:sz w:val="39"/>
                    </w:rPr>
                    <w:t>Stipendiary </w:t>
                  </w:r>
                  <w:r>
                    <w:rPr>
                      <w:spacing w:val="9"/>
                      <w:w w:val="120"/>
                      <w:sz w:val="39"/>
                    </w:rPr>
                    <w:t>minister numbers </w:t>
                  </w:r>
                  <w:r>
                    <w:rPr>
                      <w:spacing w:val="7"/>
                      <w:w w:val="120"/>
                      <w:sz w:val="39"/>
                    </w:rPr>
                    <w:t>and</w:t>
                  </w:r>
                  <w:r>
                    <w:rPr>
                      <w:spacing w:val="106"/>
                      <w:w w:val="120"/>
                      <w:sz w:val="39"/>
                    </w:rPr>
                    <w:t> </w:t>
                  </w:r>
                  <w:r>
                    <w:rPr>
                      <w:spacing w:val="10"/>
                      <w:w w:val="120"/>
                      <w:sz w:val="39"/>
                    </w:rPr>
                    <w:t>deployment</w:t>
                  </w:r>
                </w:p>
              </w:txbxContent>
            </v:textbox>
            <w10:wrap type="none"/>
          </v:shape>
        </w:pict>
      </w:r>
      <w:r>
        <w:rPr>
          <w:color w:val="7F7F7F"/>
        </w:rPr>
        <w:t>Summary of Content</w:t>
      </w:r>
    </w:p>
    <w:tbl>
      <w:tblPr>
        <w:tblW w:w="0" w:type="auto"/>
        <w:jc w:val="left"/>
        <w:tblInd w:w="109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660"/>
        <w:gridCol w:w="6582"/>
      </w:tblGrid>
      <w:tr>
        <w:trPr>
          <w:trHeight w:val="1640" w:hRule="atLeast"/>
        </w:trPr>
        <w:tc>
          <w:tcPr>
            <w:tcW w:w="2660" w:type="dxa"/>
            <w:shd w:val="clear" w:color="auto" w:fill="FFFFFF"/>
          </w:tcPr>
          <w:p>
            <w:pPr>
              <w:pStyle w:val="TableParagraph"/>
              <w:spacing w:before="128"/>
              <w:rPr>
                <w:rFonts w:ascii="Stone Sans II ITC Std Bk"/>
                <w:b/>
                <w:sz w:val="20"/>
              </w:rPr>
            </w:pPr>
            <w:r>
              <w:rPr>
                <w:rFonts w:ascii="Stone Sans II ITC Std Bk"/>
                <w:b/>
                <w:w w:val="110"/>
                <w:sz w:val="20"/>
              </w:rPr>
              <w:t>Subject and aim(s)</w:t>
            </w:r>
          </w:p>
        </w:tc>
        <w:tc>
          <w:tcPr>
            <w:tcW w:w="6582" w:type="dxa"/>
            <w:shd w:val="clear" w:color="auto" w:fill="FFFFFF"/>
          </w:tcPr>
          <w:p>
            <w:pPr>
              <w:pStyle w:val="TableParagraph"/>
              <w:spacing w:line="235" w:lineRule="auto" w:before="145"/>
              <w:ind w:right="121"/>
              <w:rPr>
                <w:sz w:val="20"/>
              </w:rPr>
            </w:pPr>
            <w:r>
              <w:rPr>
                <w:spacing w:val="-7"/>
                <w:w w:val="120"/>
                <w:sz w:val="20"/>
              </w:rPr>
              <w:t>To </w:t>
            </w:r>
            <w:r>
              <w:rPr>
                <w:w w:val="120"/>
                <w:sz w:val="20"/>
              </w:rPr>
              <w:t>draw wide attention to the number of stipendiary Ministers of Word and Sacraments available to the Church and to continue to encourage those responsible for their deployment to seek ways of using these ministers in supporting the mission of the Church. </w:t>
            </w:r>
            <w:r>
              <w:rPr>
                <w:spacing w:val="-7"/>
                <w:w w:val="120"/>
                <w:sz w:val="20"/>
              </w:rPr>
              <w:t>To </w:t>
            </w:r>
            <w:r>
              <w:rPr>
                <w:w w:val="120"/>
                <w:sz w:val="20"/>
              </w:rPr>
              <w:t>adjust the current formula used for deployment to remove  the tether to now inaccurate</w:t>
            </w:r>
            <w:r>
              <w:rPr>
                <w:spacing w:val="7"/>
                <w:w w:val="120"/>
                <w:sz w:val="20"/>
              </w:rPr>
              <w:t> </w:t>
            </w:r>
            <w:r>
              <w:rPr>
                <w:w w:val="120"/>
                <w:sz w:val="20"/>
              </w:rPr>
              <w:t>data</w:t>
            </w:r>
          </w:p>
        </w:tc>
      </w:tr>
      <w:tr>
        <w:trPr>
          <w:trHeight w:val="3080" w:hRule="atLeast"/>
        </w:trPr>
        <w:tc>
          <w:tcPr>
            <w:tcW w:w="2660" w:type="dxa"/>
            <w:shd w:val="clear" w:color="auto" w:fill="FFFFFF"/>
          </w:tcPr>
          <w:p>
            <w:pPr>
              <w:pStyle w:val="TableParagraph"/>
              <w:spacing w:before="128"/>
              <w:rPr>
                <w:rFonts w:ascii="Stone Sans II ITC Std Bk"/>
                <w:b/>
                <w:sz w:val="20"/>
              </w:rPr>
            </w:pPr>
            <w:r>
              <w:rPr>
                <w:rFonts w:ascii="Stone Sans II ITC Std Bk"/>
                <w:b/>
                <w:w w:val="110"/>
                <w:sz w:val="20"/>
              </w:rPr>
              <w:t>Main points</w:t>
            </w:r>
          </w:p>
        </w:tc>
        <w:tc>
          <w:tcPr>
            <w:tcW w:w="6582" w:type="dxa"/>
            <w:shd w:val="clear" w:color="auto" w:fill="FFFFFF"/>
          </w:tcPr>
          <w:p>
            <w:pPr>
              <w:pStyle w:val="TableParagraph"/>
              <w:spacing w:line="235" w:lineRule="auto" w:before="145"/>
              <w:ind w:right="280"/>
              <w:rPr>
                <w:sz w:val="20"/>
              </w:rPr>
            </w:pPr>
            <w:r>
              <w:rPr>
                <w:w w:val="120"/>
                <w:sz w:val="20"/>
              </w:rPr>
              <w:t>Detail of the affect of a previous Assembly decision on the number of stipendiary Ministers of Word and Sacraments the church can afford</w:t>
            </w:r>
          </w:p>
          <w:p>
            <w:pPr>
              <w:pStyle w:val="TableParagraph"/>
              <w:spacing w:before="12"/>
              <w:ind w:left="0"/>
              <w:rPr>
                <w:rFonts w:ascii="Stone Sans II ITC Std Bk"/>
                <w:b/>
                <w:sz w:val="17"/>
              </w:rPr>
            </w:pPr>
          </w:p>
          <w:p>
            <w:pPr>
              <w:pStyle w:val="TableParagraph"/>
              <w:spacing w:line="235" w:lineRule="auto"/>
              <w:ind w:right="280"/>
              <w:rPr>
                <w:sz w:val="20"/>
              </w:rPr>
            </w:pPr>
            <w:r>
              <w:rPr>
                <w:w w:val="120"/>
                <w:sz w:val="20"/>
              </w:rPr>
              <w:t>Projection regarding the number of stipendiary ministers likely to be available to the church over the next ten years</w:t>
            </w:r>
          </w:p>
          <w:p>
            <w:pPr>
              <w:pStyle w:val="TableParagraph"/>
              <w:spacing w:before="12"/>
              <w:ind w:left="0"/>
              <w:rPr>
                <w:rFonts w:ascii="Stone Sans II ITC Std Bk"/>
                <w:b/>
                <w:sz w:val="17"/>
              </w:rPr>
            </w:pPr>
          </w:p>
          <w:p>
            <w:pPr>
              <w:pStyle w:val="TableParagraph"/>
              <w:spacing w:line="235" w:lineRule="auto"/>
              <w:rPr>
                <w:sz w:val="20"/>
              </w:rPr>
            </w:pPr>
            <w:r>
              <w:rPr>
                <w:w w:val="120"/>
                <w:sz w:val="20"/>
              </w:rPr>
              <w:t>Encouragement to synods to continue to explore the best way of deploying stipendiary ministers</w:t>
            </w:r>
          </w:p>
          <w:p>
            <w:pPr>
              <w:pStyle w:val="TableParagraph"/>
              <w:spacing w:before="11"/>
              <w:ind w:left="0"/>
              <w:rPr>
                <w:rFonts w:ascii="Stone Sans II ITC Std Bk"/>
                <w:b/>
                <w:sz w:val="17"/>
              </w:rPr>
            </w:pPr>
          </w:p>
          <w:p>
            <w:pPr>
              <w:pStyle w:val="TableParagraph"/>
              <w:spacing w:line="235" w:lineRule="auto"/>
              <w:rPr>
                <w:sz w:val="20"/>
              </w:rPr>
            </w:pPr>
            <w:r>
              <w:rPr>
                <w:w w:val="120"/>
                <w:sz w:val="20"/>
              </w:rPr>
              <w:t>Removing the population figure from the equation used to calculate synod deployment targets</w:t>
            </w:r>
          </w:p>
        </w:tc>
      </w:tr>
      <w:tr>
        <w:trPr>
          <w:trHeight w:val="680" w:hRule="atLeast"/>
        </w:trPr>
        <w:tc>
          <w:tcPr>
            <w:tcW w:w="2660" w:type="dxa"/>
            <w:shd w:val="clear" w:color="auto" w:fill="FFFFFF"/>
          </w:tcPr>
          <w:p>
            <w:pPr>
              <w:pStyle w:val="TableParagraph"/>
              <w:spacing w:line="213" w:lineRule="auto" w:before="151"/>
              <w:ind w:right="701"/>
              <w:rPr>
                <w:rFonts w:ascii="Stone Sans II ITC Std Bk"/>
                <w:b/>
                <w:sz w:val="20"/>
              </w:rPr>
            </w:pPr>
            <w:r>
              <w:rPr>
                <w:rFonts w:ascii="Stone Sans II ITC Std Bk"/>
                <w:b/>
                <w:w w:val="110"/>
                <w:sz w:val="20"/>
              </w:rPr>
              <w:t>Previous relevant documents</w:t>
            </w:r>
          </w:p>
        </w:tc>
        <w:tc>
          <w:tcPr>
            <w:tcW w:w="6582" w:type="dxa"/>
            <w:shd w:val="clear" w:color="auto" w:fill="FFFFFF"/>
          </w:tcPr>
          <w:p>
            <w:pPr>
              <w:pStyle w:val="TableParagraph"/>
              <w:spacing w:line="235" w:lineRule="auto" w:before="145"/>
              <w:rPr>
                <w:sz w:val="20"/>
              </w:rPr>
            </w:pPr>
            <w:r>
              <w:rPr>
                <w:w w:val="120"/>
                <w:sz w:val="20"/>
              </w:rPr>
              <w:t>‘Challenge to the Church’ 2008, ‘Equipping the Saints’ 2005, Resolution 19 of General Assembly 2012</w:t>
            </w:r>
          </w:p>
        </w:tc>
      </w:tr>
      <w:tr>
        <w:trPr>
          <w:trHeight w:val="680" w:hRule="atLeast"/>
        </w:trPr>
        <w:tc>
          <w:tcPr>
            <w:tcW w:w="2660" w:type="dxa"/>
            <w:shd w:val="clear" w:color="auto" w:fill="FFFFFF"/>
          </w:tcPr>
          <w:p>
            <w:pPr>
              <w:pStyle w:val="TableParagraph"/>
              <w:spacing w:line="213" w:lineRule="auto" w:before="151"/>
              <w:ind w:right="576"/>
              <w:rPr>
                <w:rFonts w:ascii="Stone Sans II ITC Std Bk"/>
                <w:b/>
                <w:sz w:val="20"/>
              </w:rPr>
            </w:pPr>
            <w:r>
              <w:rPr>
                <w:rFonts w:ascii="Stone Sans II ITC Std Bk"/>
                <w:b/>
                <w:w w:val="110"/>
                <w:sz w:val="20"/>
              </w:rPr>
              <w:t>Consultation has taken place with...</w:t>
            </w:r>
          </w:p>
        </w:tc>
        <w:tc>
          <w:tcPr>
            <w:tcW w:w="6582" w:type="dxa"/>
            <w:shd w:val="clear" w:color="auto" w:fill="FFFFFF"/>
          </w:tcPr>
          <w:p>
            <w:pPr>
              <w:pStyle w:val="TableParagraph"/>
              <w:spacing w:line="235" w:lineRule="auto" w:before="145"/>
              <w:ind w:right="280"/>
              <w:rPr>
                <w:sz w:val="20"/>
              </w:rPr>
            </w:pPr>
            <w:r>
              <w:rPr>
                <w:w w:val="120"/>
                <w:sz w:val="20"/>
              </w:rPr>
              <w:t>The United Reformed Church Treasurer, Chief Finance Officer and synod moderators</w:t>
            </w:r>
          </w:p>
        </w:tc>
      </w:tr>
    </w:tbl>
    <w:p>
      <w:pPr>
        <w:pStyle w:val="BodyText"/>
        <w:spacing w:before="3"/>
        <w:rPr>
          <w:rFonts w:ascii="Stone Sans II ITC Std Bk"/>
          <w:b/>
          <w:sz w:val="29"/>
        </w:rPr>
      </w:pPr>
    </w:p>
    <w:p>
      <w:pPr>
        <w:pStyle w:val="Heading4"/>
        <w:ind w:left="1089"/>
      </w:pPr>
      <w:r>
        <w:rPr>
          <w:color w:val="7F7F7F"/>
        </w:rPr>
        <w:t>Summary of Impact</w:t>
      </w:r>
    </w:p>
    <w:tbl>
      <w:tblPr>
        <w:tblW w:w="0" w:type="auto"/>
        <w:jc w:val="left"/>
        <w:tblInd w:w="109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660"/>
        <w:gridCol w:w="6582"/>
      </w:tblGrid>
      <w:tr>
        <w:trPr>
          <w:trHeight w:val="440" w:hRule="atLeast"/>
        </w:trPr>
        <w:tc>
          <w:tcPr>
            <w:tcW w:w="2660" w:type="dxa"/>
            <w:shd w:val="clear" w:color="auto" w:fill="FFFFFF"/>
          </w:tcPr>
          <w:p>
            <w:pPr>
              <w:pStyle w:val="TableParagraph"/>
              <w:spacing w:before="128"/>
              <w:rPr>
                <w:rFonts w:ascii="Stone Sans II ITC Std Bk"/>
                <w:b/>
                <w:sz w:val="20"/>
              </w:rPr>
            </w:pPr>
            <w:r>
              <w:rPr>
                <w:rFonts w:ascii="Stone Sans II ITC Std Bk"/>
                <w:b/>
                <w:w w:val="110"/>
                <w:sz w:val="20"/>
              </w:rPr>
              <w:t>Financial</w:t>
            </w:r>
          </w:p>
        </w:tc>
        <w:tc>
          <w:tcPr>
            <w:tcW w:w="6582" w:type="dxa"/>
            <w:shd w:val="clear" w:color="auto" w:fill="FFFFFF"/>
          </w:tcPr>
          <w:p>
            <w:pPr>
              <w:pStyle w:val="TableParagraph"/>
              <w:spacing w:before="141"/>
              <w:rPr>
                <w:sz w:val="20"/>
              </w:rPr>
            </w:pPr>
            <w:r>
              <w:rPr>
                <w:w w:val="120"/>
                <w:sz w:val="20"/>
              </w:rPr>
              <w:t>There is no additional financial implication</w:t>
            </w:r>
          </w:p>
        </w:tc>
      </w:tr>
      <w:tr>
        <w:trPr>
          <w:trHeight w:val="680" w:hRule="atLeast"/>
        </w:trPr>
        <w:tc>
          <w:tcPr>
            <w:tcW w:w="2660" w:type="dxa"/>
            <w:shd w:val="clear" w:color="auto" w:fill="FFFFFF"/>
          </w:tcPr>
          <w:p>
            <w:pPr>
              <w:pStyle w:val="TableParagraph"/>
              <w:spacing w:line="255" w:lineRule="exact" w:before="128"/>
              <w:rPr>
                <w:rFonts w:ascii="Stone Sans II ITC Std Bk"/>
                <w:b/>
                <w:sz w:val="20"/>
              </w:rPr>
            </w:pPr>
            <w:r>
              <w:rPr>
                <w:rFonts w:ascii="Stone Sans II ITC Std Bk"/>
                <w:b/>
                <w:w w:val="110"/>
                <w:sz w:val="20"/>
              </w:rPr>
              <w:t>External</w:t>
            </w:r>
          </w:p>
          <w:p>
            <w:pPr>
              <w:pStyle w:val="TableParagraph"/>
              <w:spacing w:line="255" w:lineRule="exact"/>
              <w:rPr>
                <w:rFonts w:ascii="Stone Sans II ITC Std Bk"/>
                <w:b/>
                <w:sz w:val="20"/>
              </w:rPr>
            </w:pPr>
            <w:r>
              <w:rPr>
                <w:rFonts w:ascii="Stone Sans II ITC Std Bk"/>
                <w:b/>
                <w:w w:val="110"/>
                <w:sz w:val="20"/>
              </w:rPr>
              <w:t>(e.g. ecumenical)</w:t>
            </w:r>
          </w:p>
        </w:tc>
        <w:tc>
          <w:tcPr>
            <w:tcW w:w="6582" w:type="dxa"/>
            <w:shd w:val="clear" w:color="auto" w:fill="FFFFFF"/>
          </w:tcPr>
          <w:p>
            <w:pPr>
              <w:pStyle w:val="TableParagraph"/>
              <w:spacing w:line="235" w:lineRule="auto" w:before="145"/>
              <w:rPr>
                <w:sz w:val="20"/>
              </w:rPr>
            </w:pPr>
            <w:r>
              <w:rPr>
                <w:w w:val="120"/>
                <w:sz w:val="20"/>
              </w:rPr>
              <w:t>Reinforces the encouragement to consider ecumenical opportunities for sharing ministry and leadership.</w:t>
            </w:r>
          </w:p>
        </w:tc>
      </w:tr>
    </w:tbl>
    <w:p>
      <w:pPr>
        <w:pStyle w:val="BodyText"/>
        <w:rPr>
          <w:rFonts w:ascii="Stone Sans II ITC Std Bk"/>
          <w:b/>
          <w:sz w:val="30"/>
        </w:rPr>
      </w:pPr>
    </w:p>
    <w:p>
      <w:pPr>
        <w:pStyle w:val="BodyText"/>
        <w:rPr>
          <w:rFonts w:ascii="Stone Sans II ITC Std Bk"/>
          <w:b/>
          <w:sz w:val="30"/>
        </w:rPr>
      </w:pPr>
    </w:p>
    <w:p>
      <w:pPr>
        <w:pStyle w:val="BodyText"/>
        <w:rPr>
          <w:rFonts w:ascii="Stone Sans II ITC Std Bk"/>
          <w:b/>
          <w:sz w:val="30"/>
        </w:rPr>
      </w:pPr>
    </w:p>
    <w:p>
      <w:pPr>
        <w:pStyle w:val="BodyText"/>
        <w:rPr>
          <w:rFonts w:ascii="Stone Sans II ITC Std Bk"/>
          <w:b/>
          <w:sz w:val="30"/>
        </w:rPr>
      </w:pPr>
    </w:p>
    <w:p>
      <w:pPr>
        <w:pStyle w:val="BodyText"/>
        <w:rPr>
          <w:rFonts w:ascii="Stone Sans II ITC Std Bk"/>
          <w:b/>
          <w:sz w:val="30"/>
        </w:rPr>
      </w:pPr>
    </w:p>
    <w:p>
      <w:pPr>
        <w:pStyle w:val="BodyText"/>
        <w:rPr>
          <w:rFonts w:ascii="Stone Sans II ITC Std Bk"/>
          <w:b/>
          <w:sz w:val="30"/>
        </w:rPr>
      </w:pPr>
    </w:p>
    <w:p>
      <w:pPr>
        <w:pStyle w:val="BodyText"/>
        <w:rPr>
          <w:rFonts w:ascii="Stone Sans II ITC Std Bk"/>
          <w:b/>
          <w:sz w:val="30"/>
        </w:rPr>
      </w:pPr>
    </w:p>
    <w:p>
      <w:pPr>
        <w:pStyle w:val="BodyText"/>
        <w:rPr>
          <w:rFonts w:ascii="Stone Sans II ITC Std Bk"/>
          <w:b/>
          <w:sz w:val="30"/>
        </w:rPr>
      </w:pPr>
    </w:p>
    <w:p>
      <w:pPr>
        <w:pStyle w:val="BodyText"/>
        <w:rPr>
          <w:rFonts w:ascii="Stone Sans II ITC Std Bk"/>
          <w:b/>
          <w:sz w:val="30"/>
        </w:rPr>
      </w:pPr>
    </w:p>
    <w:p>
      <w:pPr>
        <w:pStyle w:val="BodyText"/>
        <w:rPr>
          <w:rFonts w:ascii="Stone Sans II ITC Std Bk"/>
          <w:b/>
          <w:sz w:val="30"/>
        </w:rPr>
      </w:pPr>
    </w:p>
    <w:p>
      <w:pPr>
        <w:pStyle w:val="BodyText"/>
        <w:rPr>
          <w:rFonts w:ascii="Stone Sans II ITC Std Bk"/>
          <w:b/>
          <w:sz w:val="30"/>
        </w:rPr>
      </w:pPr>
    </w:p>
    <w:p>
      <w:pPr>
        <w:pStyle w:val="BodyText"/>
        <w:rPr>
          <w:rFonts w:ascii="Stone Sans II ITC Std Bk"/>
          <w:b/>
          <w:sz w:val="30"/>
        </w:rPr>
      </w:pPr>
    </w:p>
    <w:p>
      <w:pPr>
        <w:pStyle w:val="BodyText"/>
        <w:rPr>
          <w:rFonts w:ascii="Stone Sans II ITC Std Bk"/>
          <w:b/>
          <w:sz w:val="30"/>
        </w:rPr>
      </w:pPr>
    </w:p>
    <w:p>
      <w:pPr>
        <w:pStyle w:val="BodyText"/>
        <w:rPr>
          <w:rFonts w:ascii="Stone Sans II ITC Std Bk"/>
          <w:b/>
          <w:sz w:val="30"/>
        </w:rPr>
      </w:pPr>
    </w:p>
    <w:p>
      <w:pPr>
        <w:pStyle w:val="BodyText"/>
        <w:rPr>
          <w:rFonts w:ascii="Stone Sans II ITC Std Bk"/>
          <w:b/>
          <w:sz w:val="30"/>
        </w:rPr>
      </w:pPr>
    </w:p>
    <w:p>
      <w:pPr>
        <w:pStyle w:val="BodyText"/>
        <w:spacing w:before="12"/>
        <w:rPr>
          <w:rFonts w:ascii="Stone Sans II ITC Std Bk"/>
          <w:b/>
          <w:sz w:val="32"/>
        </w:rPr>
      </w:pPr>
    </w:p>
    <w:p>
      <w:pPr>
        <w:pStyle w:val="Heading6"/>
        <w:spacing w:before="0"/>
        <w:ind w:left="3718"/>
        <w:rPr>
          <w:rFonts w:ascii="Stone Sans II ITC Std X Bd" w:hAnsi="Stone Sans II ITC Std X Bd"/>
          <w:b/>
          <w:sz w:val="24"/>
        </w:rPr>
      </w:pPr>
      <w:r>
        <w:rPr>
          <w:color w:val="7EAABF"/>
          <w:w w:val="110"/>
        </w:rPr>
        <w:t>United Reformed Church </w:t>
      </w:r>
      <w:r>
        <w:rPr>
          <w:rFonts w:ascii="Symbol" w:hAnsi="Symbol"/>
          <w:color w:val="7EAABF"/>
          <w:w w:val="110"/>
        </w:rPr>
        <w:t></w:t>
      </w:r>
      <w:r>
        <w:rPr>
          <w:rFonts w:ascii="Times New Roman" w:hAnsi="Times New Roman"/>
          <w:color w:val="7EAABF"/>
          <w:w w:val="110"/>
        </w:rPr>
        <w:t> </w:t>
      </w:r>
      <w:r>
        <w:rPr>
          <w:color w:val="7EAABF"/>
          <w:w w:val="110"/>
        </w:rPr>
        <w:t>General Assembly 2016 </w:t>
      </w:r>
      <w:r>
        <w:rPr>
          <w:rFonts w:ascii="Symbol" w:hAnsi="Symbol"/>
          <w:color w:val="7EAABF"/>
          <w:w w:val="110"/>
        </w:rPr>
        <w:t></w:t>
      </w:r>
      <w:r>
        <w:rPr>
          <w:rFonts w:ascii="Times New Roman" w:hAnsi="Times New Roman"/>
          <w:color w:val="7EAABF"/>
          <w:w w:val="110"/>
        </w:rPr>
        <w:t> </w:t>
      </w:r>
      <w:r>
        <w:rPr>
          <w:rFonts w:ascii="Stone Sans II ITC Std X Bd" w:hAnsi="Stone Sans II ITC Std X Bd"/>
          <w:b/>
          <w:w w:val="110"/>
          <w:sz w:val="24"/>
        </w:rPr>
        <w:t>155</w:t>
      </w:r>
    </w:p>
    <w:p>
      <w:pPr>
        <w:spacing w:after="0"/>
        <w:rPr>
          <w:rFonts w:ascii="Stone Sans II ITC Std X Bd" w:hAnsi="Stone Sans II ITC Std X Bd"/>
          <w:sz w:val="24"/>
        </w:rPr>
        <w:sectPr>
          <w:headerReference w:type="default" r:id="rId418"/>
          <w:footerReference w:type="default" r:id="rId419"/>
          <w:pgSz w:w="11910" w:h="16840"/>
          <w:pgMar w:header="0" w:footer="0" w:top="0" w:bottom="0" w:left="640" w:right="0"/>
        </w:sectPr>
      </w:pPr>
    </w:p>
    <w:p>
      <w:pPr>
        <w:pStyle w:val="BodyText"/>
        <w:rPr>
          <w:rFonts w:ascii="Stone Sans II ITC Std X Bd"/>
          <w:b/>
        </w:rPr>
      </w:pPr>
      <w:r>
        <w:rPr/>
        <w:drawing>
          <wp:anchor distT="0" distB="0" distL="0" distR="0" allowOverlap="1" layoutInCell="1" locked="0" behindDoc="1" simplePos="0" relativeHeight="235611136">
            <wp:simplePos x="0" y="0"/>
            <wp:positionH relativeFrom="page">
              <wp:posOffset>0</wp:posOffset>
            </wp:positionH>
            <wp:positionV relativeFrom="page">
              <wp:posOffset>0</wp:posOffset>
            </wp:positionV>
            <wp:extent cx="594067" cy="10692003"/>
            <wp:effectExtent l="0" t="0" r="0" b="0"/>
            <wp:wrapNone/>
            <wp:docPr id="293" name="image67.png"/>
            <wp:cNvGraphicFramePr>
              <a:graphicFrameLocks noChangeAspect="1"/>
            </wp:cNvGraphicFramePr>
            <a:graphic>
              <a:graphicData uri="http://schemas.openxmlformats.org/drawingml/2006/picture">
                <pic:pic>
                  <pic:nvPicPr>
                    <pic:cNvPr id="294" name="image67.png"/>
                    <pic:cNvPicPr/>
                  </pic:nvPicPr>
                  <pic:blipFill>
                    <a:blip r:embed="rId184" cstate="print"/>
                    <a:stretch>
                      <a:fillRect/>
                    </a:stretch>
                  </pic:blipFill>
                  <pic:spPr>
                    <a:xfrm>
                      <a:off x="0" y="0"/>
                      <a:ext cx="594067" cy="10692003"/>
                    </a:xfrm>
                    <a:prstGeom prst="rect">
                      <a:avLst/>
                    </a:prstGeom>
                  </pic:spPr>
                </pic:pic>
              </a:graphicData>
            </a:graphic>
          </wp:anchor>
        </w:drawing>
      </w:r>
      <w:r>
        <w:rPr/>
        <w:pict>
          <v:shape style="position:absolute;margin-left:20.519100pt;margin-top:48.890015pt;width:25.9pt;height:598.450pt;mso-position-horizontal-relative:page;mso-position-vertical-relative:page;z-index:-267704320" type="#_x0000_t202" filled="false" stroked="false">
            <v:textbox inset="0,0,0,0" style="layout-flow:vertical">
              <w:txbxContent>
                <w:p>
                  <w:pPr>
                    <w:spacing w:before="27"/>
                    <w:ind w:left="20" w:right="0" w:firstLine="0"/>
                    <w:jc w:val="left"/>
                    <w:rPr>
                      <w:sz w:val="39"/>
                    </w:rPr>
                  </w:pPr>
                  <w:r>
                    <w:rPr>
                      <w:color w:val="FFFFFF"/>
                      <w:spacing w:val="10"/>
                      <w:w w:val="120"/>
                      <w:sz w:val="39"/>
                    </w:rPr>
                    <w:t>Ministries </w:t>
                  </w:r>
                  <w:r>
                    <w:rPr>
                      <w:color w:val="FFFFFF"/>
                      <w:w w:val="120"/>
                      <w:sz w:val="39"/>
                    </w:rPr>
                    <w:t>– </w:t>
                  </w:r>
                  <w:r>
                    <w:rPr>
                      <w:spacing w:val="11"/>
                      <w:w w:val="120"/>
                      <w:sz w:val="39"/>
                    </w:rPr>
                    <w:t>Stipendiary </w:t>
                  </w:r>
                  <w:r>
                    <w:rPr>
                      <w:spacing w:val="9"/>
                      <w:w w:val="120"/>
                      <w:sz w:val="39"/>
                    </w:rPr>
                    <w:t>minister numbers </w:t>
                  </w:r>
                  <w:r>
                    <w:rPr>
                      <w:spacing w:val="7"/>
                      <w:w w:val="120"/>
                      <w:sz w:val="39"/>
                    </w:rPr>
                    <w:t>and</w:t>
                  </w:r>
                  <w:r>
                    <w:rPr>
                      <w:spacing w:val="106"/>
                      <w:w w:val="120"/>
                      <w:sz w:val="39"/>
                    </w:rPr>
                    <w:t> </w:t>
                  </w:r>
                  <w:r>
                    <w:rPr>
                      <w:spacing w:val="10"/>
                      <w:w w:val="120"/>
                      <w:sz w:val="39"/>
                    </w:rPr>
                    <w:t>deployment</w:t>
                  </w:r>
                </w:p>
              </w:txbxContent>
            </v:textbox>
            <w10:wrap type="none"/>
          </v:shape>
        </w:pict>
      </w:r>
    </w:p>
    <w:p>
      <w:pPr>
        <w:pStyle w:val="BodyText"/>
        <w:rPr>
          <w:rFonts w:ascii="Stone Sans II ITC Std X Bd"/>
          <w:b/>
        </w:rPr>
      </w:pPr>
    </w:p>
    <w:p>
      <w:pPr>
        <w:pStyle w:val="BodyText"/>
        <w:rPr>
          <w:rFonts w:ascii="Stone Sans II ITC Std X Bd"/>
          <w:b/>
        </w:rPr>
      </w:pPr>
    </w:p>
    <w:p>
      <w:pPr>
        <w:pStyle w:val="BodyText"/>
        <w:spacing w:before="11"/>
        <w:rPr>
          <w:rFonts w:ascii="Stone Sans II ITC Std X Bd"/>
          <w:b/>
          <w:sz w:val="19"/>
        </w:rPr>
      </w:pPr>
    </w:p>
    <w:p>
      <w:pPr>
        <w:spacing w:line="213" w:lineRule="auto" w:before="153"/>
        <w:ind w:left="607" w:right="2045" w:firstLine="0"/>
        <w:jc w:val="left"/>
        <w:rPr>
          <w:rFonts w:ascii="Stone Sans II ITC Std X Bd"/>
          <w:b/>
          <w:sz w:val="50"/>
        </w:rPr>
      </w:pPr>
      <w:r>
        <w:rPr>
          <w:rFonts w:ascii="Stone Sans II ITC Std X Bd"/>
          <w:b/>
          <w:spacing w:val="-9"/>
          <w:w w:val="110"/>
          <w:sz w:val="50"/>
        </w:rPr>
        <w:t>Stipendiary </w:t>
      </w:r>
      <w:r>
        <w:rPr>
          <w:rFonts w:ascii="Stone Sans II ITC Std X Bd"/>
          <w:b/>
          <w:spacing w:val="-11"/>
          <w:w w:val="110"/>
          <w:sz w:val="50"/>
        </w:rPr>
        <w:t>minister </w:t>
      </w:r>
      <w:r>
        <w:rPr>
          <w:rFonts w:ascii="Stone Sans II ITC Std X Bd"/>
          <w:b/>
          <w:spacing w:val="-9"/>
          <w:w w:val="110"/>
          <w:sz w:val="50"/>
        </w:rPr>
        <w:t>numbers </w:t>
      </w:r>
      <w:r>
        <w:rPr>
          <w:rFonts w:ascii="Stone Sans II ITC Std X Bd"/>
          <w:b/>
          <w:spacing w:val="-7"/>
          <w:w w:val="110"/>
          <w:sz w:val="50"/>
        </w:rPr>
        <w:t>and </w:t>
      </w:r>
      <w:r>
        <w:rPr>
          <w:rFonts w:ascii="Stone Sans II ITC Std X Bd"/>
          <w:b/>
          <w:spacing w:val="-10"/>
          <w:w w:val="110"/>
          <w:sz w:val="50"/>
        </w:rPr>
        <w:t>deployment</w:t>
      </w:r>
    </w:p>
    <w:p>
      <w:pPr>
        <w:spacing w:before="411"/>
        <w:ind w:left="607" w:right="0" w:firstLine="0"/>
        <w:jc w:val="left"/>
        <w:rPr>
          <w:rFonts w:ascii="Stone Sans II ITC Std Bk"/>
          <w:b/>
          <w:sz w:val="29"/>
        </w:rPr>
      </w:pPr>
      <w:r>
        <w:rPr>
          <w:rFonts w:ascii="Stone Sans II ITC Std Bk"/>
          <w:b/>
          <w:w w:val="110"/>
          <w:sz w:val="29"/>
        </w:rPr>
        <w:t>Stipendiary minister numbers</w:t>
      </w:r>
    </w:p>
    <w:p>
      <w:pPr>
        <w:pStyle w:val="ListParagraph"/>
        <w:numPr>
          <w:ilvl w:val="0"/>
          <w:numId w:val="187"/>
        </w:numPr>
        <w:tabs>
          <w:tab w:pos="1287" w:val="left" w:leader="none"/>
          <w:tab w:pos="1288" w:val="left" w:leader="none"/>
        </w:tabs>
        <w:spacing w:line="235" w:lineRule="auto" w:before="69" w:after="0"/>
        <w:ind w:left="607" w:right="2504" w:firstLine="0"/>
        <w:jc w:val="left"/>
        <w:rPr>
          <w:sz w:val="20"/>
        </w:rPr>
      </w:pPr>
      <w:r>
        <w:rPr>
          <w:w w:val="120"/>
          <w:sz w:val="20"/>
        </w:rPr>
        <w:t>The first resolution relates to stipendiary Ministers of Word and Sacraments. It does not include CRCWs or self-supporting ministers and recognises that synod moderators and other centrally-appointed ministers are not </w:t>
      </w:r>
      <w:r>
        <w:rPr>
          <w:spacing w:val="2"/>
          <w:w w:val="120"/>
          <w:sz w:val="20"/>
        </w:rPr>
        <w:t>part </w:t>
      </w:r>
      <w:r>
        <w:rPr>
          <w:w w:val="120"/>
          <w:sz w:val="20"/>
        </w:rPr>
        <w:t>of deployment as normally</w:t>
      </w:r>
      <w:r>
        <w:rPr>
          <w:spacing w:val="2"/>
          <w:w w:val="120"/>
          <w:sz w:val="20"/>
        </w:rPr>
        <w:t> </w:t>
      </w:r>
      <w:r>
        <w:rPr>
          <w:w w:val="120"/>
          <w:sz w:val="20"/>
        </w:rPr>
        <w:t>understood.</w:t>
      </w:r>
    </w:p>
    <w:p>
      <w:pPr>
        <w:pStyle w:val="BodyText"/>
        <w:spacing w:before="11"/>
        <w:rPr>
          <w:sz w:val="19"/>
        </w:rPr>
      </w:pPr>
    </w:p>
    <w:p>
      <w:pPr>
        <w:pStyle w:val="ListParagraph"/>
        <w:numPr>
          <w:ilvl w:val="0"/>
          <w:numId w:val="187"/>
        </w:numPr>
        <w:tabs>
          <w:tab w:pos="1287" w:val="left" w:leader="none"/>
          <w:tab w:pos="1288" w:val="left" w:leader="none"/>
        </w:tabs>
        <w:spacing w:line="235" w:lineRule="auto" w:before="0" w:after="0"/>
        <w:ind w:left="607" w:right="1982" w:firstLine="0"/>
        <w:jc w:val="left"/>
        <w:rPr>
          <w:sz w:val="20"/>
        </w:rPr>
      </w:pPr>
      <w:r>
        <w:rPr>
          <w:w w:val="120"/>
          <w:sz w:val="20"/>
        </w:rPr>
        <w:t>The following paragraphs summarise the best estimates we can produce about trends in the two key numbers mentioned in this resolution. First there is the number of ministers likely to be available, based on such matters as the age profile of our</w:t>
      </w:r>
      <w:r>
        <w:rPr>
          <w:spacing w:val="-12"/>
          <w:w w:val="120"/>
          <w:sz w:val="20"/>
        </w:rPr>
        <w:t> </w:t>
      </w:r>
      <w:r>
        <w:rPr>
          <w:w w:val="120"/>
          <w:sz w:val="20"/>
        </w:rPr>
        <w:t>ministers.</w:t>
      </w:r>
    </w:p>
    <w:p>
      <w:pPr>
        <w:pStyle w:val="BodyText"/>
        <w:spacing w:line="235" w:lineRule="auto" w:before="2"/>
        <w:ind w:left="607" w:right="2323"/>
      </w:pPr>
      <w:r>
        <w:rPr>
          <w:w w:val="120"/>
        </w:rPr>
        <w:t>The second set of estimates are the total number of ministers we are likely to be able to fund if we adhere to the existing Assembly guideline linking minister numbers to membership.</w:t>
      </w:r>
    </w:p>
    <w:p>
      <w:pPr>
        <w:pStyle w:val="BodyText"/>
        <w:spacing w:before="3"/>
        <w:rPr>
          <w:sz w:val="22"/>
        </w:rPr>
      </w:pPr>
    </w:p>
    <w:p>
      <w:pPr>
        <w:spacing w:before="0"/>
        <w:ind w:left="607" w:right="0" w:firstLine="0"/>
        <w:jc w:val="left"/>
        <w:rPr>
          <w:rFonts w:ascii="Stone Sans II ITC Std Bk"/>
          <w:b/>
          <w:sz w:val="29"/>
        </w:rPr>
      </w:pPr>
      <w:r>
        <w:rPr>
          <w:rFonts w:ascii="Stone Sans II ITC Std Bk"/>
          <w:b/>
          <w:w w:val="110"/>
          <w:sz w:val="29"/>
        </w:rPr>
        <w:t>Future numbers of available ministers</w:t>
      </w:r>
    </w:p>
    <w:p>
      <w:pPr>
        <w:pStyle w:val="ListParagraph"/>
        <w:numPr>
          <w:ilvl w:val="1"/>
          <w:numId w:val="188"/>
        </w:numPr>
        <w:tabs>
          <w:tab w:pos="1287" w:val="left" w:leader="none"/>
          <w:tab w:pos="1288" w:val="left" w:leader="none"/>
        </w:tabs>
        <w:spacing w:line="235" w:lineRule="auto" w:before="69" w:after="0"/>
        <w:ind w:left="607" w:right="2207" w:firstLine="0"/>
        <w:jc w:val="left"/>
        <w:rPr>
          <w:sz w:val="20"/>
        </w:rPr>
      </w:pPr>
      <w:r>
        <w:rPr>
          <w:w w:val="120"/>
          <w:sz w:val="20"/>
        </w:rPr>
        <w:t>The prediction of the number of ministers likely to be available for deployment in future</w:t>
      </w:r>
      <w:r>
        <w:rPr>
          <w:spacing w:val="3"/>
          <w:w w:val="120"/>
          <w:sz w:val="20"/>
        </w:rPr>
        <w:t> </w:t>
      </w:r>
      <w:r>
        <w:rPr>
          <w:w w:val="120"/>
          <w:sz w:val="20"/>
        </w:rPr>
        <w:t>assumes:</w:t>
      </w:r>
    </w:p>
    <w:p>
      <w:pPr>
        <w:pStyle w:val="ListParagraph"/>
        <w:numPr>
          <w:ilvl w:val="0"/>
          <w:numId w:val="189"/>
        </w:numPr>
        <w:tabs>
          <w:tab w:pos="1287" w:val="left" w:leader="none"/>
          <w:tab w:pos="1288" w:val="left" w:leader="none"/>
        </w:tabs>
        <w:spacing w:line="235" w:lineRule="auto" w:before="2" w:after="0"/>
        <w:ind w:left="1287" w:right="2708" w:hanging="681"/>
        <w:jc w:val="left"/>
        <w:rPr>
          <w:sz w:val="20"/>
        </w:rPr>
      </w:pPr>
      <w:r>
        <w:rPr>
          <w:w w:val="120"/>
          <w:sz w:val="20"/>
        </w:rPr>
        <w:t>there is no significant change in the pattern of deaths in service and other similarly unpredictable</w:t>
      </w:r>
      <w:r>
        <w:rPr>
          <w:spacing w:val="4"/>
          <w:w w:val="120"/>
          <w:sz w:val="20"/>
        </w:rPr>
        <w:t> </w:t>
      </w:r>
      <w:r>
        <w:rPr>
          <w:w w:val="120"/>
          <w:sz w:val="20"/>
        </w:rPr>
        <w:t>changes;</w:t>
      </w:r>
    </w:p>
    <w:p>
      <w:pPr>
        <w:pStyle w:val="ListParagraph"/>
        <w:numPr>
          <w:ilvl w:val="0"/>
          <w:numId w:val="189"/>
        </w:numPr>
        <w:tabs>
          <w:tab w:pos="1287" w:val="left" w:leader="none"/>
          <w:tab w:pos="1288" w:val="left" w:leader="none"/>
        </w:tabs>
        <w:spacing w:line="235" w:lineRule="auto" w:before="1" w:after="0"/>
        <w:ind w:left="1287" w:right="2138" w:hanging="681"/>
        <w:jc w:val="left"/>
        <w:rPr>
          <w:sz w:val="20"/>
        </w:rPr>
      </w:pPr>
      <w:r>
        <w:rPr>
          <w:w w:val="120"/>
          <w:sz w:val="20"/>
        </w:rPr>
        <w:t>the number of ordinations is correlated with existing student numbers on initial training until </w:t>
      </w:r>
      <w:r>
        <w:rPr>
          <w:spacing w:val="-6"/>
          <w:w w:val="120"/>
          <w:sz w:val="20"/>
        </w:rPr>
        <w:t>2018 </w:t>
      </w:r>
      <w:r>
        <w:rPr>
          <w:w w:val="120"/>
          <w:sz w:val="20"/>
        </w:rPr>
        <w:t>and thereafter averages eight per</w:t>
      </w:r>
      <w:r>
        <w:rPr>
          <w:spacing w:val="28"/>
          <w:w w:val="120"/>
          <w:sz w:val="20"/>
        </w:rPr>
        <w:t> </w:t>
      </w:r>
      <w:r>
        <w:rPr>
          <w:w w:val="120"/>
          <w:sz w:val="20"/>
        </w:rPr>
        <w:t>annum;</w:t>
      </w:r>
    </w:p>
    <w:p>
      <w:pPr>
        <w:pStyle w:val="ListParagraph"/>
        <w:numPr>
          <w:ilvl w:val="0"/>
          <w:numId w:val="189"/>
        </w:numPr>
        <w:tabs>
          <w:tab w:pos="1287" w:val="left" w:leader="none"/>
          <w:tab w:pos="1288" w:val="left" w:leader="none"/>
        </w:tabs>
        <w:spacing w:line="235" w:lineRule="auto" w:before="2" w:after="0"/>
        <w:ind w:left="1287" w:right="2100" w:hanging="681"/>
        <w:jc w:val="left"/>
        <w:rPr>
          <w:sz w:val="20"/>
        </w:rPr>
      </w:pPr>
      <w:r>
        <w:rPr>
          <w:w w:val="120"/>
          <w:sz w:val="20"/>
        </w:rPr>
        <w:t>the number of special category ministries remains at the lower of the current 25 full-time equivalents </w:t>
      </w:r>
      <w:r>
        <w:rPr>
          <w:spacing w:val="-5"/>
          <w:w w:val="120"/>
          <w:sz w:val="20"/>
        </w:rPr>
        <w:t>(fte) </w:t>
      </w:r>
      <w:r>
        <w:rPr>
          <w:w w:val="120"/>
          <w:sz w:val="20"/>
        </w:rPr>
        <w:t>and the ceiling of 8% of deployable</w:t>
      </w:r>
      <w:r>
        <w:rPr>
          <w:spacing w:val="51"/>
          <w:w w:val="120"/>
          <w:sz w:val="20"/>
        </w:rPr>
        <w:t> </w:t>
      </w:r>
      <w:r>
        <w:rPr>
          <w:w w:val="120"/>
          <w:sz w:val="20"/>
        </w:rPr>
        <w:t>ministers;</w:t>
      </w:r>
    </w:p>
    <w:p>
      <w:pPr>
        <w:pStyle w:val="ListParagraph"/>
        <w:numPr>
          <w:ilvl w:val="0"/>
          <w:numId w:val="189"/>
        </w:numPr>
        <w:tabs>
          <w:tab w:pos="1287" w:val="left" w:leader="none"/>
          <w:tab w:pos="1288" w:val="left" w:leader="none"/>
        </w:tabs>
        <w:spacing w:line="235" w:lineRule="auto" w:before="1" w:after="0"/>
        <w:ind w:left="1287" w:right="2049" w:hanging="681"/>
        <w:jc w:val="left"/>
        <w:rPr>
          <w:sz w:val="20"/>
        </w:rPr>
      </w:pPr>
      <w:r>
        <w:rPr>
          <w:w w:val="120"/>
          <w:sz w:val="20"/>
        </w:rPr>
        <w:t>from the total number of stipendiary ministers, there continue to be </w:t>
      </w:r>
      <w:r>
        <w:rPr>
          <w:spacing w:val="-11"/>
          <w:w w:val="120"/>
          <w:sz w:val="20"/>
        </w:rPr>
        <w:t>13 </w:t>
      </w:r>
      <w:r>
        <w:rPr>
          <w:w w:val="120"/>
          <w:sz w:val="20"/>
        </w:rPr>
        <w:t>synod moderators and an average of </w:t>
      </w:r>
      <w:r>
        <w:rPr>
          <w:spacing w:val="-6"/>
          <w:w w:val="120"/>
          <w:sz w:val="20"/>
        </w:rPr>
        <w:t>10 </w:t>
      </w:r>
      <w:r>
        <w:rPr>
          <w:w w:val="120"/>
          <w:sz w:val="20"/>
        </w:rPr>
        <w:t>other Assembly postholders (including college </w:t>
      </w:r>
      <w:r>
        <w:rPr>
          <w:spacing w:val="2"/>
          <w:w w:val="120"/>
          <w:sz w:val="20"/>
        </w:rPr>
        <w:t>staff) </w:t>
      </w:r>
      <w:r>
        <w:rPr>
          <w:w w:val="120"/>
          <w:sz w:val="20"/>
        </w:rPr>
        <w:t>not available for deployment;</w:t>
      </w:r>
      <w:r>
        <w:rPr>
          <w:spacing w:val="7"/>
          <w:w w:val="120"/>
          <w:sz w:val="20"/>
        </w:rPr>
        <w:t> </w:t>
      </w:r>
      <w:r>
        <w:rPr>
          <w:w w:val="120"/>
          <w:sz w:val="20"/>
        </w:rPr>
        <w:t>and</w:t>
      </w:r>
    </w:p>
    <w:p>
      <w:pPr>
        <w:pStyle w:val="ListParagraph"/>
        <w:numPr>
          <w:ilvl w:val="0"/>
          <w:numId w:val="189"/>
        </w:numPr>
        <w:tabs>
          <w:tab w:pos="1287" w:val="left" w:leader="none"/>
          <w:tab w:pos="1288" w:val="left" w:leader="none"/>
        </w:tabs>
        <w:spacing w:line="235" w:lineRule="auto" w:before="2" w:after="0"/>
        <w:ind w:left="1287" w:right="1989" w:hanging="681"/>
        <w:jc w:val="left"/>
        <w:rPr>
          <w:sz w:val="20"/>
        </w:rPr>
      </w:pPr>
      <w:r>
        <w:rPr>
          <w:w w:val="120"/>
          <w:sz w:val="20"/>
        </w:rPr>
        <w:t>the practice of not granting certificates of eligibility to ministers from outside the URC were to</w:t>
      </w:r>
      <w:r>
        <w:rPr>
          <w:spacing w:val="6"/>
          <w:w w:val="120"/>
          <w:sz w:val="20"/>
        </w:rPr>
        <w:t> </w:t>
      </w:r>
      <w:r>
        <w:rPr>
          <w:w w:val="120"/>
          <w:sz w:val="20"/>
        </w:rPr>
        <w:t>continue.</w:t>
      </w:r>
    </w:p>
    <w:p>
      <w:pPr>
        <w:pStyle w:val="BodyText"/>
        <w:spacing w:before="6"/>
        <w:rPr>
          <w:sz w:val="19"/>
        </w:rPr>
      </w:pPr>
    </w:p>
    <w:p>
      <w:pPr>
        <w:pStyle w:val="ListParagraph"/>
        <w:numPr>
          <w:ilvl w:val="1"/>
          <w:numId w:val="188"/>
        </w:numPr>
        <w:tabs>
          <w:tab w:pos="1287" w:val="left" w:leader="none"/>
          <w:tab w:pos="1288" w:val="left" w:leader="none"/>
        </w:tabs>
        <w:spacing w:line="240" w:lineRule="auto" w:before="0" w:after="0"/>
        <w:ind w:left="1287" w:right="0" w:hanging="681"/>
        <w:jc w:val="left"/>
        <w:rPr>
          <w:sz w:val="20"/>
        </w:rPr>
      </w:pPr>
      <w:r>
        <w:rPr>
          <w:w w:val="120"/>
          <w:sz w:val="20"/>
        </w:rPr>
        <w:t>The estimates these assumptions produce are set out in </w:t>
      </w:r>
      <w:r>
        <w:rPr>
          <w:spacing w:val="-3"/>
          <w:w w:val="120"/>
          <w:sz w:val="20"/>
        </w:rPr>
        <w:t>Table </w:t>
      </w:r>
      <w:r>
        <w:rPr>
          <w:w w:val="120"/>
          <w:sz w:val="20"/>
        </w:rPr>
        <w:t>1</w:t>
      </w:r>
      <w:r>
        <w:rPr>
          <w:spacing w:val="22"/>
          <w:w w:val="120"/>
          <w:sz w:val="20"/>
        </w:rPr>
        <w:t> </w:t>
      </w:r>
      <w:r>
        <w:rPr>
          <w:w w:val="120"/>
          <w:sz w:val="20"/>
        </w:rPr>
        <w:t>below.</w:t>
      </w:r>
    </w:p>
    <w:p>
      <w:pPr>
        <w:pStyle w:val="BodyText"/>
        <w:rPr>
          <w:sz w:val="22"/>
        </w:rPr>
      </w:pPr>
    </w:p>
    <w:p>
      <w:pPr>
        <w:spacing w:before="0"/>
        <w:ind w:left="607" w:right="0" w:firstLine="0"/>
        <w:jc w:val="left"/>
        <w:rPr>
          <w:rFonts w:ascii="Stone Sans II ITC Std Bk"/>
          <w:b/>
          <w:sz w:val="29"/>
        </w:rPr>
      </w:pPr>
      <w:r>
        <w:rPr>
          <w:rFonts w:ascii="Stone Sans II ITC Std Bk"/>
          <w:b/>
          <w:w w:val="110"/>
          <w:sz w:val="29"/>
        </w:rPr>
        <w:t>Target numbers of ministers</w:t>
      </w:r>
    </w:p>
    <w:p>
      <w:pPr>
        <w:pStyle w:val="ListParagraph"/>
        <w:numPr>
          <w:ilvl w:val="1"/>
          <w:numId w:val="190"/>
        </w:numPr>
        <w:tabs>
          <w:tab w:pos="1287" w:val="left" w:leader="none"/>
          <w:tab w:pos="1288" w:val="left" w:leader="none"/>
        </w:tabs>
        <w:spacing w:line="213" w:lineRule="auto" w:before="75" w:after="0"/>
        <w:ind w:left="607" w:right="2024" w:firstLine="0"/>
        <w:jc w:val="left"/>
        <w:rPr>
          <w:rFonts w:ascii="Stone Sans II ITC Std Bk"/>
          <w:b/>
          <w:sz w:val="20"/>
        </w:rPr>
      </w:pPr>
      <w:r>
        <w:rPr>
          <w:spacing w:val="2"/>
          <w:w w:val="110"/>
          <w:sz w:val="20"/>
        </w:rPr>
        <w:t>Resolution </w:t>
      </w:r>
      <w:r>
        <w:rPr>
          <w:spacing w:val="-7"/>
          <w:w w:val="110"/>
          <w:sz w:val="20"/>
        </w:rPr>
        <w:t>19 </w:t>
      </w:r>
      <w:r>
        <w:rPr>
          <w:w w:val="110"/>
          <w:sz w:val="20"/>
        </w:rPr>
        <w:t>of </w:t>
      </w:r>
      <w:r>
        <w:rPr>
          <w:spacing w:val="2"/>
          <w:w w:val="110"/>
          <w:sz w:val="20"/>
        </w:rPr>
        <w:t>Assembly </w:t>
      </w:r>
      <w:r>
        <w:rPr>
          <w:spacing w:val="-6"/>
          <w:w w:val="110"/>
          <w:sz w:val="20"/>
        </w:rPr>
        <w:t>2012 </w:t>
      </w:r>
      <w:r>
        <w:rPr>
          <w:w w:val="110"/>
          <w:sz w:val="20"/>
        </w:rPr>
        <w:t>said </w:t>
      </w:r>
      <w:r>
        <w:rPr>
          <w:rFonts w:ascii="Stone Sans II ITC Std Bk"/>
          <w:b/>
          <w:spacing w:val="2"/>
          <w:w w:val="110"/>
          <w:sz w:val="20"/>
        </w:rPr>
        <w:t>General Assembly </w:t>
      </w:r>
      <w:r>
        <w:rPr>
          <w:rFonts w:ascii="Stone Sans II ITC Std Bk"/>
          <w:b/>
          <w:spacing w:val="3"/>
          <w:w w:val="110"/>
          <w:sz w:val="20"/>
        </w:rPr>
        <w:t>directs </w:t>
      </w:r>
      <w:r>
        <w:rPr>
          <w:rFonts w:ascii="Stone Sans II ITC Std Bk"/>
          <w:b/>
          <w:w w:val="110"/>
          <w:sz w:val="20"/>
        </w:rPr>
        <w:t>that for </w:t>
      </w:r>
      <w:r>
        <w:rPr>
          <w:rFonts w:ascii="Stone Sans II ITC Std Bk"/>
          <w:b/>
          <w:spacing w:val="-5"/>
          <w:w w:val="110"/>
          <w:sz w:val="20"/>
        </w:rPr>
        <w:t>2013  </w:t>
      </w:r>
      <w:r>
        <w:rPr>
          <w:rFonts w:ascii="Stone Sans II ITC Std Bk"/>
          <w:b/>
          <w:w w:val="110"/>
          <w:sz w:val="20"/>
        </w:rPr>
        <w:t>and until </w:t>
      </w:r>
      <w:r>
        <w:rPr>
          <w:rFonts w:ascii="Stone Sans II ITC Std Bk"/>
          <w:b/>
          <w:spacing w:val="3"/>
          <w:w w:val="110"/>
          <w:sz w:val="20"/>
        </w:rPr>
        <w:t>further </w:t>
      </w:r>
      <w:r>
        <w:rPr>
          <w:rFonts w:ascii="Stone Sans II ITC Std Bk"/>
          <w:b/>
          <w:w w:val="110"/>
          <w:sz w:val="20"/>
        </w:rPr>
        <w:t>notice, the </w:t>
      </w:r>
      <w:r>
        <w:rPr>
          <w:rFonts w:ascii="Stone Sans II ITC Std Bk"/>
          <w:b/>
          <w:spacing w:val="2"/>
          <w:w w:val="110"/>
          <w:sz w:val="20"/>
        </w:rPr>
        <w:t>target number </w:t>
      </w:r>
      <w:r>
        <w:rPr>
          <w:rFonts w:ascii="Stone Sans II ITC Std Bk"/>
          <w:b/>
          <w:w w:val="110"/>
          <w:sz w:val="20"/>
        </w:rPr>
        <w:t>of </w:t>
      </w:r>
      <w:r>
        <w:rPr>
          <w:rFonts w:ascii="Stone Sans II ITC Std Bk"/>
          <w:b/>
          <w:spacing w:val="3"/>
          <w:w w:val="110"/>
          <w:sz w:val="20"/>
        </w:rPr>
        <w:t>stipendiary </w:t>
      </w:r>
      <w:r>
        <w:rPr>
          <w:rFonts w:ascii="Stone Sans II ITC Std Bk"/>
          <w:b/>
          <w:w w:val="110"/>
          <w:sz w:val="20"/>
        </w:rPr>
        <w:t>ministers</w:t>
      </w:r>
      <w:r>
        <w:rPr>
          <w:rFonts w:ascii="Stone Sans II ITC Std Bk"/>
          <w:b/>
          <w:spacing w:val="57"/>
          <w:w w:val="110"/>
          <w:sz w:val="20"/>
        </w:rPr>
        <w:t> </w:t>
      </w:r>
      <w:r>
        <w:rPr>
          <w:rFonts w:ascii="Stone Sans II ITC Std Bk"/>
          <w:b/>
          <w:spacing w:val="2"/>
          <w:w w:val="110"/>
          <w:sz w:val="20"/>
        </w:rPr>
        <w:t>should</w:t>
      </w:r>
    </w:p>
    <w:p>
      <w:pPr>
        <w:spacing w:line="220" w:lineRule="auto" w:before="0"/>
        <w:ind w:left="607" w:right="2033" w:firstLine="0"/>
        <w:jc w:val="left"/>
        <w:rPr>
          <w:sz w:val="20"/>
        </w:rPr>
      </w:pPr>
      <w:r>
        <w:rPr>
          <w:rFonts w:ascii="Stone Sans II ITC Std Bk"/>
          <w:b/>
          <w:w w:val="115"/>
          <w:sz w:val="20"/>
        </w:rPr>
        <w:t>be set so that the </w:t>
      </w:r>
      <w:r>
        <w:rPr>
          <w:rFonts w:ascii="Stone Sans II ITC Std Bk"/>
          <w:b/>
          <w:spacing w:val="2"/>
          <w:w w:val="115"/>
          <w:sz w:val="20"/>
        </w:rPr>
        <w:t>direct </w:t>
      </w:r>
      <w:r>
        <w:rPr>
          <w:rFonts w:ascii="Stone Sans II ITC Std Bk"/>
          <w:b/>
          <w:w w:val="115"/>
          <w:sz w:val="20"/>
        </w:rPr>
        <w:t>cost of </w:t>
      </w:r>
      <w:r>
        <w:rPr>
          <w:rFonts w:ascii="Stone Sans II ITC Std Bk"/>
          <w:b/>
          <w:spacing w:val="3"/>
          <w:w w:val="115"/>
          <w:sz w:val="20"/>
        </w:rPr>
        <w:t>supporting </w:t>
      </w:r>
      <w:r>
        <w:rPr>
          <w:rFonts w:ascii="Stone Sans II ITC Std Bk"/>
          <w:b/>
          <w:w w:val="115"/>
          <w:sz w:val="20"/>
        </w:rPr>
        <w:t>the </w:t>
      </w:r>
      <w:r>
        <w:rPr>
          <w:rFonts w:ascii="Stone Sans II ITC Std Bk"/>
          <w:b/>
          <w:spacing w:val="3"/>
          <w:w w:val="115"/>
          <w:sz w:val="20"/>
        </w:rPr>
        <w:t>ministry </w:t>
      </w:r>
      <w:r>
        <w:rPr>
          <w:rFonts w:ascii="Stone Sans II ITC Std Bk"/>
          <w:b/>
          <w:w w:val="115"/>
          <w:sz w:val="20"/>
        </w:rPr>
        <w:t>from the </w:t>
      </w:r>
      <w:r>
        <w:rPr>
          <w:rFonts w:ascii="Stone Sans II ITC Std Bk"/>
          <w:b/>
          <w:spacing w:val="2"/>
          <w:w w:val="115"/>
          <w:sz w:val="20"/>
        </w:rPr>
        <w:t>Assembly </w:t>
      </w:r>
      <w:r>
        <w:rPr>
          <w:rFonts w:ascii="Stone Sans II ITC Std Bk"/>
          <w:b/>
          <w:spacing w:val="3"/>
          <w:w w:val="115"/>
          <w:sz w:val="20"/>
        </w:rPr>
        <w:t>budget</w:t>
      </w:r>
      <w:r>
        <w:rPr>
          <w:rFonts w:ascii="Stone Sans II ITC Std Bk"/>
          <w:b/>
          <w:spacing w:val="-22"/>
          <w:w w:val="115"/>
          <w:sz w:val="20"/>
        </w:rPr>
        <w:t> </w:t>
      </w:r>
      <w:r>
        <w:rPr>
          <w:rFonts w:ascii="Stone Sans II ITC Std Bk"/>
          <w:b/>
          <w:w w:val="115"/>
          <w:sz w:val="20"/>
        </w:rPr>
        <w:t>moves</w:t>
      </w:r>
      <w:r>
        <w:rPr>
          <w:rFonts w:ascii="Stone Sans II ITC Std Bk"/>
          <w:b/>
          <w:spacing w:val="-21"/>
          <w:w w:val="115"/>
          <w:sz w:val="20"/>
        </w:rPr>
        <w:t> </w:t>
      </w:r>
      <w:r>
        <w:rPr>
          <w:rFonts w:ascii="Stone Sans II ITC Std Bk"/>
          <w:b/>
          <w:w w:val="115"/>
          <w:sz w:val="20"/>
        </w:rPr>
        <w:t>in</w:t>
      </w:r>
      <w:r>
        <w:rPr>
          <w:rFonts w:ascii="Stone Sans II ITC Std Bk"/>
          <w:b/>
          <w:spacing w:val="-21"/>
          <w:w w:val="115"/>
          <w:sz w:val="20"/>
        </w:rPr>
        <w:t> </w:t>
      </w:r>
      <w:r>
        <w:rPr>
          <w:rFonts w:ascii="Stone Sans II ITC Std Bk"/>
          <w:b/>
          <w:w w:val="115"/>
          <w:sz w:val="20"/>
        </w:rPr>
        <w:t>line</w:t>
      </w:r>
      <w:r>
        <w:rPr>
          <w:rFonts w:ascii="Stone Sans II ITC Std Bk"/>
          <w:b/>
          <w:spacing w:val="-21"/>
          <w:w w:val="115"/>
          <w:sz w:val="20"/>
        </w:rPr>
        <w:t> </w:t>
      </w:r>
      <w:r>
        <w:rPr>
          <w:rFonts w:ascii="Stone Sans II ITC Std Bk"/>
          <w:b/>
          <w:w w:val="115"/>
          <w:sz w:val="20"/>
        </w:rPr>
        <w:t>with</w:t>
      </w:r>
      <w:r>
        <w:rPr>
          <w:rFonts w:ascii="Stone Sans II ITC Std Bk"/>
          <w:b/>
          <w:spacing w:val="-21"/>
          <w:w w:val="115"/>
          <w:sz w:val="20"/>
        </w:rPr>
        <w:t> </w:t>
      </w:r>
      <w:r>
        <w:rPr>
          <w:rFonts w:ascii="Stone Sans II ITC Std Bk"/>
          <w:b/>
          <w:w w:val="115"/>
          <w:sz w:val="20"/>
        </w:rPr>
        <w:t>the</w:t>
      </w:r>
      <w:r>
        <w:rPr>
          <w:rFonts w:ascii="Stone Sans II ITC Std Bk"/>
          <w:b/>
          <w:spacing w:val="-21"/>
          <w:w w:val="115"/>
          <w:sz w:val="20"/>
        </w:rPr>
        <w:t> </w:t>
      </w:r>
      <w:r>
        <w:rPr>
          <w:rFonts w:ascii="Stone Sans II ITC Std Bk"/>
          <w:b/>
          <w:w w:val="115"/>
          <w:sz w:val="20"/>
        </w:rPr>
        <w:t>trend</w:t>
      </w:r>
      <w:r>
        <w:rPr>
          <w:rFonts w:ascii="Stone Sans II ITC Std Bk"/>
          <w:b/>
          <w:spacing w:val="-21"/>
          <w:w w:val="115"/>
          <w:sz w:val="20"/>
        </w:rPr>
        <w:t> </w:t>
      </w:r>
      <w:r>
        <w:rPr>
          <w:rFonts w:ascii="Stone Sans II ITC Std Bk"/>
          <w:b/>
          <w:w w:val="115"/>
          <w:sz w:val="20"/>
        </w:rPr>
        <w:t>in</w:t>
      </w:r>
      <w:r>
        <w:rPr>
          <w:rFonts w:ascii="Stone Sans II ITC Std Bk"/>
          <w:b/>
          <w:spacing w:val="-22"/>
          <w:w w:val="115"/>
          <w:sz w:val="20"/>
        </w:rPr>
        <w:t> </w:t>
      </w:r>
      <w:r>
        <w:rPr>
          <w:rFonts w:ascii="Stone Sans II ITC Std Bk"/>
          <w:b/>
          <w:w w:val="115"/>
          <w:sz w:val="20"/>
        </w:rPr>
        <w:t>overall</w:t>
      </w:r>
      <w:r>
        <w:rPr>
          <w:rFonts w:ascii="Stone Sans II ITC Std Bk"/>
          <w:b/>
          <w:spacing w:val="-21"/>
          <w:w w:val="115"/>
          <w:sz w:val="20"/>
        </w:rPr>
        <w:t> </w:t>
      </w:r>
      <w:r>
        <w:rPr>
          <w:rFonts w:ascii="Stone Sans II ITC Std Bk"/>
          <w:b/>
          <w:spacing w:val="2"/>
          <w:w w:val="115"/>
          <w:sz w:val="20"/>
        </w:rPr>
        <w:t>membership</w:t>
      </w:r>
      <w:r>
        <w:rPr>
          <w:rFonts w:ascii="Stone Sans II ITC Std Bk"/>
          <w:b/>
          <w:spacing w:val="-21"/>
          <w:w w:val="115"/>
          <w:sz w:val="20"/>
        </w:rPr>
        <w:t> </w:t>
      </w:r>
      <w:r>
        <w:rPr>
          <w:rFonts w:ascii="Stone Sans II ITC Std Bk"/>
          <w:b/>
          <w:spacing w:val="2"/>
          <w:w w:val="115"/>
          <w:sz w:val="20"/>
        </w:rPr>
        <w:t>numbers</w:t>
      </w:r>
      <w:r>
        <w:rPr>
          <w:rFonts w:ascii="Stone Sans II ITC Std Bk"/>
          <w:b/>
          <w:spacing w:val="-21"/>
          <w:w w:val="115"/>
          <w:sz w:val="20"/>
        </w:rPr>
        <w:t> </w:t>
      </w:r>
      <w:r>
        <w:rPr>
          <w:rFonts w:ascii="Stone Sans II ITC Std Bk"/>
          <w:b/>
          <w:w w:val="115"/>
          <w:sz w:val="20"/>
        </w:rPr>
        <w:t>across</w:t>
      </w:r>
      <w:r>
        <w:rPr>
          <w:rFonts w:ascii="Stone Sans II ITC Std Bk"/>
          <w:b/>
          <w:spacing w:val="-21"/>
          <w:w w:val="115"/>
          <w:sz w:val="20"/>
        </w:rPr>
        <w:t> </w:t>
      </w:r>
      <w:r>
        <w:rPr>
          <w:rFonts w:ascii="Stone Sans II ITC Std Bk"/>
          <w:b/>
          <w:w w:val="115"/>
          <w:sz w:val="20"/>
        </w:rPr>
        <w:t>the Church. </w:t>
      </w:r>
      <w:r>
        <w:rPr>
          <w:spacing w:val="2"/>
          <w:w w:val="115"/>
          <w:sz w:val="20"/>
        </w:rPr>
        <w:t>The </w:t>
      </w:r>
      <w:r>
        <w:rPr>
          <w:w w:val="115"/>
          <w:sz w:val="20"/>
        </w:rPr>
        <w:t>main </w:t>
      </w:r>
      <w:r>
        <w:rPr>
          <w:spacing w:val="2"/>
          <w:w w:val="115"/>
          <w:sz w:val="20"/>
        </w:rPr>
        <w:t>factor </w:t>
      </w:r>
      <w:r>
        <w:rPr>
          <w:w w:val="115"/>
          <w:sz w:val="20"/>
        </w:rPr>
        <w:t>behind the </w:t>
      </w:r>
      <w:r>
        <w:rPr>
          <w:spacing w:val="2"/>
          <w:w w:val="115"/>
          <w:sz w:val="20"/>
        </w:rPr>
        <w:t>maximum </w:t>
      </w:r>
      <w:r>
        <w:rPr>
          <w:w w:val="115"/>
          <w:sz w:val="20"/>
        </w:rPr>
        <w:t>number of ministers we can pay for is </w:t>
      </w:r>
      <w:r>
        <w:rPr>
          <w:spacing w:val="2"/>
          <w:w w:val="115"/>
          <w:sz w:val="20"/>
        </w:rPr>
        <w:t>therefore </w:t>
      </w:r>
      <w:r>
        <w:rPr>
          <w:w w:val="115"/>
          <w:sz w:val="20"/>
        </w:rPr>
        <w:t>our </w:t>
      </w:r>
      <w:r>
        <w:rPr>
          <w:spacing w:val="2"/>
          <w:w w:val="115"/>
          <w:sz w:val="20"/>
        </w:rPr>
        <w:t>membership </w:t>
      </w:r>
      <w:r>
        <w:rPr>
          <w:w w:val="115"/>
          <w:sz w:val="20"/>
        </w:rPr>
        <w:t>trends. </w:t>
      </w:r>
      <w:r>
        <w:rPr>
          <w:spacing w:val="2"/>
          <w:w w:val="115"/>
          <w:sz w:val="20"/>
        </w:rPr>
        <w:t>If </w:t>
      </w:r>
      <w:r>
        <w:rPr>
          <w:w w:val="115"/>
          <w:sz w:val="20"/>
        </w:rPr>
        <w:t>overall </w:t>
      </w:r>
      <w:r>
        <w:rPr>
          <w:spacing w:val="2"/>
          <w:w w:val="115"/>
          <w:sz w:val="20"/>
        </w:rPr>
        <w:t>membership </w:t>
      </w:r>
      <w:r>
        <w:rPr>
          <w:w w:val="115"/>
          <w:sz w:val="20"/>
        </w:rPr>
        <w:t>were to grow, so would the money available to </w:t>
      </w:r>
      <w:r>
        <w:rPr>
          <w:spacing w:val="2"/>
          <w:w w:val="115"/>
          <w:sz w:val="20"/>
        </w:rPr>
        <w:t>fund </w:t>
      </w:r>
      <w:r>
        <w:rPr>
          <w:spacing w:val="3"/>
          <w:w w:val="115"/>
          <w:sz w:val="20"/>
        </w:rPr>
        <w:t>stipendiary</w:t>
      </w:r>
      <w:r>
        <w:rPr>
          <w:spacing w:val="54"/>
          <w:w w:val="115"/>
          <w:sz w:val="20"/>
        </w:rPr>
        <w:t> </w:t>
      </w:r>
      <w:r>
        <w:rPr>
          <w:w w:val="115"/>
          <w:sz w:val="20"/>
        </w:rPr>
        <w:t>ministry.</w:t>
      </w:r>
    </w:p>
    <w:p>
      <w:pPr>
        <w:pStyle w:val="BodyText"/>
        <w:spacing w:before="5"/>
        <w:rPr>
          <w:sz w:val="19"/>
        </w:rPr>
      </w:pPr>
    </w:p>
    <w:p>
      <w:pPr>
        <w:pStyle w:val="ListParagraph"/>
        <w:numPr>
          <w:ilvl w:val="1"/>
          <w:numId w:val="190"/>
        </w:numPr>
        <w:tabs>
          <w:tab w:pos="1287" w:val="left" w:leader="none"/>
          <w:tab w:pos="1288" w:val="left" w:leader="none"/>
        </w:tabs>
        <w:spacing w:line="235" w:lineRule="auto" w:before="0" w:after="0"/>
        <w:ind w:left="607" w:right="2098" w:firstLine="0"/>
        <w:jc w:val="left"/>
        <w:rPr>
          <w:sz w:val="20"/>
        </w:rPr>
      </w:pPr>
      <w:r>
        <w:rPr>
          <w:w w:val="120"/>
          <w:sz w:val="20"/>
        </w:rPr>
        <w:t>In applying the </w:t>
      </w:r>
      <w:r>
        <w:rPr>
          <w:spacing w:val="-7"/>
          <w:w w:val="120"/>
          <w:sz w:val="20"/>
        </w:rPr>
        <w:t>2012 </w:t>
      </w:r>
      <w:r>
        <w:rPr>
          <w:w w:val="120"/>
          <w:sz w:val="20"/>
        </w:rPr>
        <w:t>policy, “the direct costs of supporting the ministry” means not just stipends but the linked costs of pension provision and national insurance contributions. This does not include the substantial but indirect costs of ministerial training. More detail on the calculation is given in the appendix to this</w:t>
      </w:r>
      <w:r>
        <w:rPr>
          <w:spacing w:val="54"/>
          <w:w w:val="120"/>
          <w:sz w:val="20"/>
        </w:rPr>
        <w:t> </w:t>
      </w:r>
      <w:r>
        <w:rPr>
          <w:w w:val="120"/>
          <w:sz w:val="20"/>
        </w:rPr>
        <w:t>report.</w:t>
      </w:r>
    </w:p>
    <w:p>
      <w:pPr>
        <w:pStyle w:val="BodyText"/>
        <w:spacing w:before="11"/>
        <w:rPr>
          <w:sz w:val="19"/>
        </w:rPr>
      </w:pPr>
    </w:p>
    <w:p>
      <w:pPr>
        <w:pStyle w:val="ListParagraph"/>
        <w:numPr>
          <w:ilvl w:val="1"/>
          <w:numId w:val="190"/>
        </w:numPr>
        <w:tabs>
          <w:tab w:pos="1287" w:val="left" w:leader="none"/>
          <w:tab w:pos="1288" w:val="left" w:leader="none"/>
        </w:tabs>
        <w:spacing w:line="235" w:lineRule="auto" w:before="0" w:after="0"/>
        <w:ind w:left="607" w:right="1983" w:firstLine="0"/>
        <w:jc w:val="left"/>
        <w:rPr>
          <w:sz w:val="20"/>
        </w:rPr>
      </w:pPr>
      <w:r>
        <w:rPr>
          <w:spacing w:val="-3"/>
          <w:w w:val="120"/>
          <w:sz w:val="20"/>
        </w:rPr>
        <w:t>Taking </w:t>
      </w:r>
      <w:r>
        <w:rPr>
          <w:spacing w:val="-7"/>
          <w:w w:val="120"/>
          <w:sz w:val="20"/>
        </w:rPr>
        <w:t>2012 </w:t>
      </w:r>
      <w:r>
        <w:rPr>
          <w:w w:val="120"/>
          <w:sz w:val="20"/>
        </w:rPr>
        <w:t>as the starting point, this Assembly policy gives a target spend in  </w:t>
      </w:r>
      <w:r>
        <w:rPr>
          <w:spacing w:val="-7"/>
          <w:w w:val="120"/>
          <w:sz w:val="20"/>
        </w:rPr>
        <w:t>2015 </w:t>
      </w:r>
      <w:r>
        <w:rPr>
          <w:w w:val="120"/>
          <w:sz w:val="20"/>
        </w:rPr>
        <w:t>of </w:t>
      </w:r>
      <w:r>
        <w:rPr>
          <w:spacing w:val="-3"/>
          <w:w w:val="120"/>
          <w:sz w:val="20"/>
        </w:rPr>
        <w:t>£14.50m, </w:t>
      </w:r>
      <w:r>
        <w:rPr>
          <w:w w:val="120"/>
          <w:sz w:val="20"/>
        </w:rPr>
        <w:t>which would represent </w:t>
      </w:r>
      <w:r>
        <w:rPr>
          <w:spacing w:val="-6"/>
          <w:w w:val="120"/>
          <w:sz w:val="20"/>
        </w:rPr>
        <w:t>397 </w:t>
      </w:r>
      <w:r>
        <w:rPr>
          <w:w w:val="120"/>
          <w:sz w:val="20"/>
        </w:rPr>
        <w:t>ministers available for deployment. Actual minister numbers at the end of </w:t>
      </w:r>
      <w:r>
        <w:rPr>
          <w:spacing w:val="-7"/>
          <w:w w:val="120"/>
          <w:sz w:val="20"/>
        </w:rPr>
        <w:t>2015 </w:t>
      </w:r>
      <w:r>
        <w:rPr>
          <w:w w:val="120"/>
          <w:sz w:val="20"/>
        </w:rPr>
        <w:t>were </w:t>
      </w:r>
      <w:r>
        <w:rPr>
          <w:spacing w:val="-5"/>
          <w:w w:val="120"/>
          <w:sz w:val="20"/>
        </w:rPr>
        <w:t>393, </w:t>
      </w:r>
      <w:r>
        <w:rPr>
          <w:w w:val="120"/>
          <w:sz w:val="20"/>
        </w:rPr>
        <w:t>so current numbers are very close to the Assembly</w:t>
      </w:r>
      <w:r>
        <w:rPr>
          <w:spacing w:val="2"/>
          <w:w w:val="120"/>
          <w:sz w:val="20"/>
        </w:rPr>
        <w:t> </w:t>
      </w:r>
      <w:r>
        <w:rPr>
          <w:w w:val="120"/>
          <w:sz w:val="20"/>
        </w:rPr>
        <w:t>guideline.</w:t>
      </w:r>
    </w:p>
    <w:p>
      <w:pPr>
        <w:spacing w:after="0" w:line="235" w:lineRule="auto"/>
        <w:jc w:val="left"/>
        <w:rPr>
          <w:sz w:val="20"/>
        </w:rPr>
        <w:sectPr>
          <w:headerReference w:type="even" r:id="rId420"/>
          <w:footerReference w:type="even" r:id="rId421"/>
          <w:footerReference w:type="default" r:id="rId422"/>
          <w:pgSz w:w="11910" w:h="16840"/>
          <w:pgMar w:header="0" w:footer="647" w:top="0" w:bottom="840" w:left="640" w:right="0"/>
          <w:pgNumType w:start="156"/>
        </w:sectPr>
      </w:pPr>
    </w:p>
    <w:p>
      <w:pPr>
        <w:pStyle w:val="BodyText"/>
      </w:pPr>
      <w:r>
        <w:rPr/>
        <w:drawing>
          <wp:anchor distT="0" distB="0" distL="0" distR="0" allowOverlap="1" layoutInCell="1" locked="0" behindDoc="0" simplePos="0" relativeHeight="252066816">
            <wp:simplePos x="0" y="0"/>
            <wp:positionH relativeFrom="page">
              <wp:posOffset>6974928</wp:posOffset>
            </wp:positionH>
            <wp:positionV relativeFrom="page">
              <wp:posOffset>0</wp:posOffset>
            </wp:positionV>
            <wp:extent cx="585063" cy="10692003"/>
            <wp:effectExtent l="0" t="0" r="0" b="0"/>
            <wp:wrapNone/>
            <wp:docPr id="295" name="image54.png"/>
            <wp:cNvGraphicFramePr>
              <a:graphicFrameLocks noChangeAspect="1"/>
            </wp:cNvGraphicFramePr>
            <a:graphic>
              <a:graphicData uri="http://schemas.openxmlformats.org/drawingml/2006/picture">
                <pic:pic>
                  <pic:nvPicPr>
                    <pic:cNvPr id="296" name="image54.png"/>
                    <pic:cNvPicPr/>
                  </pic:nvPicPr>
                  <pic:blipFill>
                    <a:blip r:embed="rId169" cstate="print"/>
                    <a:stretch>
                      <a:fillRect/>
                    </a:stretch>
                  </pic:blipFill>
                  <pic:spPr>
                    <a:xfrm>
                      <a:off x="0" y="0"/>
                      <a:ext cx="585063" cy="10692003"/>
                    </a:xfrm>
                    <a:prstGeom prst="rect">
                      <a:avLst/>
                    </a:prstGeom>
                  </pic:spPr>
                </pic:pic>
              </a:graphicData>
            </a:graphic>
          </wp:anchor>
        </w:drawing>
      </w:r>
    </w:p>
    <w:p>
      <w:pPr>
        <w:pStyle w:val="BodyText"/>
        <w:spacing w:before="7"/>
        <w:rPr>
          <w:sz w:val="21"/>
        </w:rPr>
      </w:pPr>
    </w:p>
    <w:p>
      <w:pPr>
        <w:spacing w:before="106"/>
        <w:ind w:left="0" w:right="1245" w:firstLine="0"/>
        <w:jc w:val="right"/>
        <w:rPr>
          <w:sz w:val="26"/>
        </w:rPr>
      </w:pPr>
      <w:r>
        <w:rPr/>
        <w:pict>
          <v:shape style="position:absolute;margin-left:554.141174pt;margin-top:22.593945pt;width:25.9pt;height:598.450pt;mso-position-horizontal-relative:page;mso-position-vertical-relative:paragraph;z-index:252067840" type="#_x0000_t202" filled="false" stroked="false">
            <v:textbox inset="0,0,0,0" style="layout-flow:vertical">
              <w:txbxContent>
                <w:p>
                  <w:pPr>
                    <w:spacing w:before="27"/>
                    <w:ind w:left="20" w:right="0" w:firstLine="0"/>
                    <w:jc w:val="left"/>
                    <w:rPr>
                      <w:sz w:val="39"/>
                    </w:rPr>
                  </w:pPr>
                  <w:r>
                    <w:rPr>
                      <w:color w:val="FFFFFF"/>
                      <w:spacing w:val="10"/>
                      <w:w w:val="120"/>
                      <w:sz w:val="39"/>
                    </w:rPr>
                    <w:t>Ministries </w:t>
                  </w:r>
                  <w:r>
                    <w:rPr>
                      <w:color w:val="FFFFFF"/>
                      <w:w w:val="120"/>
                      <w:sz w:val="39"/>
                    </w:rPr>
                    <w:t>– </w:t>
                  </w:r>
                  <w:r>
                    <w:rPr>
                      <w:spacing w:val="11"/>
                      <w:w w:val="120"/>
                      <w:sz w:val="39"/>
                    </w:rPr>
                    <w:t>Stipendiary </w:t>
                  </w:r>
                  <w:r>
                    <w:rPr>
                      <w:spacing w:val="9"/>
                      <w:w w:val="120"/>
                      <w:sz w:val="39"/>
                    </w:rPr>
                    <w:t>minister numbers </w:t>
                  </w:r>
                  <w:r>
                    <w:rPr>
                      <w:spacing w:val="7"/>
                      <w:w w:val="120"/>
                      <w:sz w:val="39"/>
                    </w:rPr>
                    <w:t>and</w:t>
                  </w:r>
                  <w:r>
                    <w:rPr>
                      <w:spacing w:val="106"/>
                      <w:w w:val="120"/>
                      <w:sz w:val="39"/>
                    </w:rPr>
                    <w:t> </w:t>
                  </w:r>
                  <w:r>
                    <w:rPr>
                      <w:spacing w:val="10"/>
                      <w:w w:val="120"/>
                      <w:sz w:val="39"/>
                    </w:rPr>
                    <w:t>deployment</w:t>
                  </w:r>
                </w:p>
              </w:txbxContent>
            </v:textbox>
            <w10:wrap type="none"/>
          </v:shape>
        </w:pict>
      </w:r>
      <w:r>
        <w:rPr>
          <w:color w:val="7EAABF"/>
          <w:w w:val="110"/>
          <w:sz w:val="26"/>
        </w:rPr>
        <w:t>Ministries</w:t>
      </w:r>
    </w:p>
    <w:p>
      <w:pPr>
        <w:pStyle w:val="ListParagraph"/>
        <w:numPr>
          <w:ilvl w:val="1"/>
          <w:numId w:val="190"/>
        </w:numPr>
        <w:tabs>
          <w:tab w:pos="2024" w:val="left" w:leader="none"/>
          <w:tab w:pos="2025" w:val="left" w:leader="none"/>
        </w:tabs>
        <w:spacing w:line="235" w:lineRule="auto" w:before="222" w:after="0"/>
        <w:ind w:left="1344" w:right="1801" w:firstLine="0"/>
        <w:jc w:val="left"/>
        <w:rPr>
          <w:sz w:val="20"/>
        </w:rPr>
      </w:pPr>
      <w:r>
        <w:rPr>
          <w:w w:val="120"/>
          <w:sz w:val="20"/>
        </w:rPr>
        <w:t>The </w:t>
      </w:r>
      <w:r>
        <w:rPr>
          <w:spacing w:val="-7"/>
          <w:w w:val="120"/>
          <w:sz w:val="20"/>
        </w:rPr>
        <w:t>2012 </w:t>
      </w:r>
      <w:r>
        <w:rPr>
          <w:w w:val="120"/>
          <w:sz w:val="20"/>
        </w:rPr>
        <w:t>policy assumes that, on average, individual ministry and mission </w:t>
      </w:r>
      <w:r>
        <w:rPr>
          <w:spacing w:val="-3"/>
          <w:w w:val="120"/>
          <w:sz w:val="20"/>
        </w:rPr>
        <w:t>(M&amp;M) </w:t>
      </w:r>
      <w:r>
        <w:rPr>
          <w:w w:val="120"/>
          <w:sz w:val="20"/>
        </w:rPr>
        <w:t>giving by United Reformed Church members will rise in line with inflation. This remains a reasonable assumption in the light of recent experience, although if anything it could be slightly</w:t>
      </w:r>
      <w:r>
        <w:rPr>
          <w:spacing w:val="13"/>
          <w:w w:val="120"/>
          <w:sz w:val="20"/>
        </w:rPr>
        <w:t> </w:t>
      </w:r>
      <w:r>
        <w:rPr>
          <w:w w:val="120"/>
          <w:sz w:val="20"/>
        </w:rPr>
        <w:t>pessimistic.</w:t>
      </w:r>
    </w:p>
    <w:p>
      <w:pPr>
        <w:pStyle w:val="BodyText"/>
        <w:spacing w:before="7"/>
        <w:rPr>
          <w:sz w:val="19"/>
        </w:rPr>
      </w:pPr>
    </w:p>
    <w:p>
      <w:pPr>
        <w:pStyle w:val="ListParagraph"/>
        <w:numPr>
          <w:ilvl w:val="1"/>
          <w:numId w:val="190"/>
        </w:numPr>
        <w:tabs>
          <w:tab w:pos="2024" w:val="left" w:leader="none"/>
          <w:tab w:pos="2025" w:val="left" w:leader="none"/>
        </w:tabs>
        <w:spacing w:line="242" w:lineRule="exact" w:before="0" w:after="0"/>
        <w:ind w:left="2024" w:right="0" w:hanging="681"/>
        <w:jc w:val="left"/>
        <w:rPr>
          <w:sz w:val="20"/>
        </w:rPr>
      </w:pPr>
      <w:r>
        <w:rPr>
          <w:w w:val="120"/>
          <w:sz w:val="20"/>
        </w:rPr>
        <w:t>The financial predictions used to calculate the deployment targets</w:t>
      </w:r>
      <w:r>
        <w:rPr>
          <w:spacing w:val="20"/>
          <w:w w:val="120"/>
          <w:sz w:val="20"/>
        </w:rPr>
        <w:t> </w:t>
      </w:r>
      <w:r>
        <w:rPr>
          <w:w w:val="120"/>
          <w:sz w:val="20"/>
        </w:rPr>
        <w:t>assume:</w:t>
      </w:r>
    </w:p>
    <w:p>
      <w:pPr>
        <w:pStyle w:val="ListParagraph"/>
        <w:numPr>
          <w:ilvl w:val="0"/>
          <w:numId w:val="191"/>
        </w:numPr>
        <w:tabs>
          <w:tab w:pos="2024" w:val="left" w:leader="none"/>
          <w:tab w:pos="2025" w:val="left" w:leader="none"/>
        </w:tabs>
        <w:spacing w:line="235" w:lineRule="auto" w:before="2" w:after="0"/>
        <w:ind w:left="2024" w:right="1434" w:hanging="681"/>
        <w:jc w:val="left"/>
        <w:rPr>
          <w:sz w:val="20"/>
        </w:rPr>
      </w:pPr>
      <w:r>
        <w:rPr>
          <w:w w:val="120"/>
          <w:sz w:val="20"/>
        </w:rPr>
        <w:t>URC membership continues to fall at the average of 3.2% pa seen over the past five</w:t>
      </w:r>
      <w:r>
        <w:rPr>
          <w:spacing w:val="1"/>
          <w:w w:val="120"/>
          <w:sz w:val="20"/>
        </w:rPr>
        <w:t> </w:t>
      </w:r>
      <w:r>
        <w:rPr>
          <w:w w:val="120"/>
          <w:sz w:val="20"/>
        </w:rPr>
        <w:t>years;</w:t>
      </w:r>
    </w:p>
    <w:p>
      <w:pPr>
        <w:pStyle w:val="ListParagraph"/>
        <w:numPr>
          <w:ilvl w:val="0"/>
          <w:numId w:val="191"/>
        </w:numPr>
        <w:tabs>
          <w:tab w:pos="2024" w:val="left" w:leader="none"/>
          <w:tab w:pos="2025" w:val="left" w:leader="none"/>
        </w:tabs>
        <w:spacing w:line="235" w:lineRule="auto" w:before="1" w:after="0"/>
        <w:ind w:left="2024" w:right="1862" w:hanging="681"/>
        <w:jc w:val="left"/>
        <w:rPr>
          <w:sz w:val="20"/>
        </w:rPr>
      </w:pPr>
      <w:r>
        <w:rPr>
          <w:w w:val="120"/>
          <w:sz w:val="20"/>
        </w:rPr>
        <w:t>the rate of inflation as measured by the consumer prices index </w:t>
      </w:r>
      <w:r>
        <w:rPr>
          <w:spacing w:val="-4"/>
          <w:w w:val="120"/>
          <w:sz w:val="20"/>
        </w:rPr>
        <w:t>(CPI) </w:t>
      </w:r>
      <w:r>
        <w:rPr>
          <w:w w:val="120"/>
          <w:sz w:val="20"/>
        </w:rPr>
        <w:t>will on average match the Bank of England target of</w:t>
      </w:r>
      <w:r>
        <w:rPr>
          <w:spacing w:val="21"/>
          <w:w w:val="120"/>
          <w:sz w:val="20"/>
        </w:rPr>
        <w:t> </w:t>
      </w:r>
      <w:r>
        <w:rPr>
          <w:w w:val="120"/>
          <w:sz w:val="20"/>
        </w:rPr>
        <w:t>2%;</w:t>
      </w:r>
    </w:p>
    <w:p>
      <w:pPr>
        <w:pStyle w:val="ListParagraph"/>
        <w:numPr>
          <w:ilvl w:val="0"/>
          <w:numId w:val="191"/>
        </w:numPr>
        <w:tabs>
          <w:tab w:pos="2024" w:val="left" w:leader="none"/>
          <w:tab w:pos="2025" w:val="left" w:leader="none"/>
        </w:tabs>
        <w:spacing w:line="240" w:lineRule="exact" w:before="0" w:after="0"/>
        <w:ind w:left="2024" w:right="0" w:hanging="681"/>
        <w:jc w:val="left"/>
        <w:rPr>
          <w:sz w:val="20"/>
        </w:rPr>
      </w:pPr>
      <w:r>
        <w:rPr>
          <w:w w:val="120"/>
          <w:sz w:val="20"/>
        </w:rPr>
        <w:t>there is no substantial change in pensions legislation;</w:t>
      </w:r>
      <w:r>
        <w:rPr>
          <w:spacing w:val="17"/>
          <w:w w:val="120"/>
          <w:sz w:val="20"/>
        </w:rPr>
        <w:t> </w:t>
      </w:r>
      <w:r>
        <w:rPr>
          <w:w w:val="120"/>
          <w:sz w:val="20"/>
        </w:rPr>
        <w:t>and</w:t>
      </w:r>
    </w:p>
    <w:p>
      <w:pPr>
        <w:pStyle w:val="ListParagraph"/>
        <w:numPr>
          <w:ilvl w:val="0"/>
          <w:numId w:val="191"/>
        </w:numPr>
        <w:tabs>
          <w:tab w:pos="2024" w:val="left" w:leader="none"/>
          <w:tab w:pos="2025" w:val="left" w:leader="none"/>
        </w:tabs>
        <w:spacing w:line="242" w:lineRule="exact" w:before="0" w:after="0"/>
        <w:ind w:left="2024" w:right="0" w:hanging="681"/>
        <w:jc w:val="left"/>
        <w:rPr>
          <w:sz w:val="20"/>
        </w:rPr>
      </w:pPr>
      <w:r>
        <w:rPr>
          <w:w w:val="120"/>
          <w:sz w:val="20"/>
        </w:rPr>
        <w:t>the URC retains the existing Ministers’ Pension</w:t>
      </w:r>
      <w:r>
        <w:rPr>
          <w:spacing w:val="12"/>
          <w:w w:val="120"/>
          <w:sz w:val="20"/>
        </w:rPr>
        <w:t> </w:t>
      </w:r>
      <w:r>
        <w:rPr>
          <w:w w:val="120"/>
          <w:sz w:val="20"/>
        </w:rPr>
        <w:t>Fund.</w:t>
      </w:r>
    </w:p>
    <w:p>
      <w:pPr>
        <w:pStyle w:val="BodyText"/>
        <w:spacing w:before="8"/>
        <w:rPr>
          <w:sz w:val="19"/>
        </w:rPr>
      </w:pPr>
    </w:p>
    <w:p>
      <w:pPr>
        <w:pStyle w:val="ListParagraph"/>
        <w:numPr>
          <w:ilvl w:val="1"/>
          <w:numId w:val="190"/>
        </w:numPr>
        <w:tabs>
          <w:tab w:pos="2024" w:val="left" w:leader="none"/>
          <w:tab w:pos="2025" w:val="left" w:leader="none"/>
        </w:tabs>
        <w:spacing w:line="235" w:lineRule="auto" w:before="0" w:after="0"/>
        <w:ind w:left="1344" w:right="1290" w:firstLine="0"/>
        <w:jc w:val="left"/>
        <w:rPr>
          <w:sz w:val="20"/>
        </w:rPr>
      </w:pPr>
      <w:r>
        <w:rPr>
          <w:w w:val="120"/>
          <w:sz w:val="20"/>
        </w:rPr>
        <w:t>Given that the Assembly policy defines the amount of money that is available to spend on direct ministry costs, the target number of ministers at any time depends on the average cost of supporting a minister. This is peculiarly difficult to predict in current circumstances but some plausible estimates have been made and more detail is in the appendix to this</w:t>
      </w:r>
      <w:r>
        <w:rPr>
          <w:spacing w:val="6"/>
          <w:w w:val="120"/>
          <w:sz w:val="20"/>
        </w:rPr>
        <w:t> </w:t>
      </w:r>
      <w:r>
        <w:rPr>
          <w:w w:val="120"/>
          <w:sz w:val="20"/>
        </w:rPr>
        <w:t>report.</w:t>
      </w:r>
    </w:p>
    <w:p>
      <w:pPr>
        <w:pStyle w:val="BodyText"/>
        <w:spacing w:before="4"/>
        <w:rPr>
          <w:sz w:val="22"/>
        </w:rPr>
      </w:pPr>
    </w:p>
    <w:p>
      <w:pPr>
        <w:spacing w:before="0"/>
        <w:ind w:left="1344" w:right="0" w:firstLine="0"/>
        <w:jc w:val="left"/>
        <w:rPr>
          <w:rFonts w:ascii="Stone Sans II ITC Std Bk"/>
          <w:b/>
          <w:sz w:val="29"/>
        </w:rPr>
      </w:pPr>
      <w:r>
        <w:rPr>
          <w:rFonts w:ascii="Stone Sans II ITC Std Bk"/>
          <w:b/>
          <w:w w:val="110"/>
          <w:sz w:val="29"/>
        </w:rPr>
        <w:t>The overall picture</w:t>
      </w:r>
    </w:p>
    <w:p>
      <w:pPr>
        <w:pStyle w:val="ListParagraph"/>
        <w:numPr>
          <w:ilvl w:val="1"/>
          <w:numId w:val="192"/>
        </w:numPr>
        <w:tabs>
          <w:tab w:pos="2024" w:val="left" w:leader="none"/>
          <w:tab w:pos="2025" w:val="left" w:leader="none"/>
        </w:tabs>
        <w:spacing w:line="235" w:lineRule="auto" w:before="69" w:after="0"/>
        <w:ind w:left="1344" w:right="1705" w:firstLine="0"/>
        <w:jc w:val="left"/>
        <w:rPr>
          <w:sz w:val="20"/>
        </w:rPr>
      </w:pPr>
      <w:r>
        <w:rPr>
          <w:w w:val="120"/>
          <w:sz w:val="20"/>
        </w:rPr>
        <w:t>Applying these calculations gives the results shown in </w:t>
      </w:r>
      <w:r>
        <w:rPr>
          <w:spacing w:val="-3"/>
          <w:w w:val="120"/>
          <w:sz w:val="20"/>
        </w:rPr>
        <w:t>Table </w:t>
      </w:r>
      <w:r>
        <w:rPr>
          <w:spacing w:val="-7"/>
          <w:w w:val="120"/>
          <w:sz w:val="20"/>
        </w:rPr>
        <w:t>1. </w:t>
      </w:r>
      <w:r>
        <w:rPr>
          <w:w w:val="120"/>
          <w:sz w:val="20"/>
        </w:rPr>
        <w:t>Inevitably the numbers for the most imminent years are the ones offered with greater</w:t>
      </w:r>
      <w:r>
        <w:rPr>
          <w:spacing w:val="-14"/>
          <w:w w:val="120"/>
          <w:sz w:val="20"/>
        </w:rPr>
        <w:t> </w:t>
      </w:r>
      <w:r>
        <w:rPr>
          <w:w w:val="120"/>
          <w:sz w:val="20"/>
        </w:rPr>
        <w:t>confidence.</w:t>
      </w:r>
    </w:p>
    <w:p>
      <w:pPr>
        <w:pStyle w:val="BodyText"/>
        <w:spacing w:before="5"/>
        <w:rPr>
          <w:sz w:val="19"/>
        </w:rPr>
      </w:pPr>
    </w:p>
    <w:p>
      <w:pPr>
        <w:pStyle w:val="BodyText"/>
        <w:spacing w:before="1"/>
        <w:ind w:left="1344"/>
      </w:pPr>
      <w:r>
        <w:rPr>
          <w:w w:val="120"/>
        </w:rPr>
        <w:t>Table 1: Predictions for number of deployable ministers 2015-25</w:t>
      </w:r>
    </w:p>
    <w:p>
      <w:pPr>
        <w:pStyle w:val="BodyText"/>
        <w:spacing w:after="1"/>
        <w:rPr>
          <w:sz w:val="9"/>
        </w:rPr>
      </w:pPr>
    </w:p>
    <w:tbl>
      <w:tblPr>
        <w:tblW w:w="0" w:type="auto"/>
        <w:jc w:val="left"/>
        <w:tblInd w:w="204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304"/>
        <w:gridCol w:w="2464"/>
        <w:gridCol w:w="1768"/>
        <w:gridCol w:w="1673"/>
      </w:tblGrid>
      <w:tr>
        <w:trPr>
          <w:trHeight w:val="654" w:hRule="atLeast"/>
        </w:trPr>
        <w:tc>
          <w:tcPr>
            <w:tcW w:w="1304" w:type="dxa"/>
          </w:tcPr>
          <w:p>
            <w:pPr>
              <w:pStyle w:val="TableParagraph"/>
              <w:spacing w:line="213" w:lineRule="auto" w:before="65"/>
              <w:ind w:left="166" w:right="560" w:hanging="117"/>
              <w:rPr>
                <w:rFonts w:ascii="Stone Sans II ITC Std Bk"/>
                <w:b/>
                <w:sz w:val="20"/>
              </w:rPr>
            </w:pPr>
            <w:r>
              <w:rPr>
                <w:rFonts w:ascii="Stone Sans II ITC Std Bk"/>
                <w:b/>
                <w:w w:val="110"/>
                <w:sz w:val="20"/>
              </w:rPr>
              <w:t>End of year</w:t>
            </w:r>
          </w:p>
        </w:tc>
        <w:tc>
          <w:tcPr>
            <w:tcW w:w="2464" w:type="dxa"/>
          </w:tcPr>
          <w:p>
            <w:pPr>
              <w:pStyle w:val="TableParagraph"/>
              <w:spacing w:line="213" w:lineRule="auto" w:before="65"/>
              <w:ind w:left="748" w:right="316" w:hanging="175"/>
              <w:rPr>
                <w:rFonts w:ascii="Stone Sans II ITC Std Bk" w:hAnsi="Stone Sans II ITC Std Bk"/>
                <w:b/>
                <w:sz w:val="20"/>
              </w:rPr>
            </w:pPr>
            <w:r>
              <w:rPr>
                <w:rFonts w:ascii="Stone Sans II ITC Std Bk" w:hAnsi="Stone Sans II ITC Std Bk"/>
                <w:b/>
                <w:w w:val="110"/>
                <w:sz w:val="20"/>
              </w:rPr>
              <w:t>Available from M&amp;M (£m)</w:t>
            </w:r>
          </w:p>
        </w:tc>
        <w:tc>
          <w:tcPr>
            <w:tcW w:w="1768" w:type="dxa"/>
          </w:tcPr>
          <w:p>
            <w:pPr>
              <w:pStyle w:val="TableParagraph"/>
              <w:spacing w:line="213" w:lineRule="auto" w:before="65"/>
              <w:ind w:left="328" w:right="567" w:firstLine="40"/>
              <w:rPr>
                <w:rFonts w:ascii="Stone Sans II ITC Std Bk"/>
                <w:b/>
                <w:sz w:val="20"/>
              </w:rPr>
            </w:pPr>
            <w:r>
              <w:rPr>
                <w:rFonts w:ascii="Stone Sans II ITC Std Bk"/>
                <w:b/>
                <w:w w:val="110"/>
                <w:sz w:val="20"/>
              </w:rPr>
              <w:t>Target number</w:t>
            </w:r>
          </w:p>
        </w:tc>
        <w:tc>
          <w:tcPr>
            <w:tcW w:w="1673" w:type="dxa"/>
          </w:tcPr>
          <w:p>
            <w:pPr>
              <w:pStyle w:val="TableParagraph"/>
              <w:spacing w:line="213" w:lineRule="auto" w:before="65"/>
              <w:ind w:left="697" w:right="40" w:hanging="116"/>
              <w:rPr>
                <w:rFonts w:ascii="Stone Sans II ITC Std Bk"/>
                <w:b/>
                <w:sz w:val="20"/>
              </w:rPr>
            </w:pPr>
            <w:r>
              <w:rPr>
                <w:rFonts w:ascii="Stone Sans II ITC Std Bk"/>
                <w:b/>
                <w:w w:val="110"/>
                <w:sz w:val="20"/>
              </w:rPr>
              <w:t>Predicted number</w:t>
            </w:r>
          </w:p>
        </w:tc>
      </w:tr>
      <w:tr>
        <w:trPr>
          <w:trHeight w:val="440" w:hRule="atLeast"/>
        </w:trPr>
        <w:tc>
          <w:tcPr>
            <w:tcW w:w="1304" w:type="dxa"/>
          </w:tcPr>
          <w:p>
            <w:pPr>
              <w:pStyle w:val="TableParagraph"/>
              <w:spacing w:before="120"/>
              <w:ind w:left="218"/>
              <w:rPr>
                <w:i/>
                <w:sz w:val="20"/>
              </w:rPr>
            </w:pPr>
            <w:r>
              <w:rPr>
                <w:i/>
                <w:w w:val="115"/>
                <w:sz w:val="20"/>
              </w:rPr>
              <w:t>2015</w:t>
            </w:r>
          </w:p>
        </w:tc>
        <w:tc>
          <w:tcPr>
            <w:tcW w:w="2464" w:type="dxa"/>
          </w:tcPr>
          <w:p>
            <w:pPr>
              <w:pStyle w:val="TableParagraph"/>
              <w:spacing w:before="120"/>
              <w:ind w:left="887"/>
              <w:rPr>
                <w:sz w:val="20"/>
              </w:rPr>
            </w:pPr>
            <w:r>
              <w:rPr>
                <w:w w:val="125"/>
                <w:sz w:val="20"/>
              </w:rPr>
              <w:t>14.50</w:t>
            </w:r>
          </w:p>
        </w:tc>
        <w:tc>
          <w:tcPr>
            <w:tcW w:w="1768" w:type="dxa"/>
          </w:tcPr>
          <w:p>
            <w:pPr>
              <w:pStyle w:val="TableParagraph"/>
              <w:spacing w:before="120"/>
              <w:ind w:left="583"/>
              <w:rPr>
                <w:sz w:val="20"/>
              </w:rPr>
            </w:pPr>
            <w:r>
              <w:rPr>
                <w:w w:val="125"/>
                <w:sz w:val="20"/>
              </w:rPr>
              <w:t>397</w:t>
            </w:r>
          </w:p>
        </w:tc>
        <w:tc>
          <w:tcPr>
            <w:tcW w:w="1673" w:type="dxa"/>
          </w:tcPr>
          <w:p>
            <w:pPr>
              <w:pStyle w:val="TableParagraph"/>
              <w:spacing w:before="120"/>
              <w:ind w:left="0" w:right="338"/>
              <w:jc w:val="right"/>
              <w:rPr>
                <w:sz w:val="20"/>
              </w:rPr>
            </w:pPr>
            <w:r>
              <w:rPr>
                <w:w w:val="125"/>
                <w:sz w:val="20"/>
              </w:rPr>
              <w:t>393</w:t>
            </w:r>
          </w:p>
        </w:tc>
      </w:tr>
      <w:tr>
        <w:trPr>
          <w:trHeight w:val="320" w:hRule="atLeast"/>
        </w:trPr>
        <w:tc>
          <w:tcPr>
            <w:tcW w:w="1304" w:type="dxa"/>
          </w:tcPr>
          <w:p>
            <w:pPr>
              <w:pStyle w:val="TableParagraph"/>
              <w:spacing w:line="220" w:lineRule="exact" w:before="80"/>
              <w:ind w:left="218"/>
              <w:rPr>
                <w:i/>
                <w:sz w:val="20"/>
              </w:rPr>
            </w:pPr>
            <w:r>
              <w:rPr>
                <w:i/>
                <w:w w:val="115"/>
                <w:sz w:val="20"/>
              </w:rPr>
              <w:t>2016</w:t>
            </w:r>
          </w:p>
        </w:tc>
        <w:tc>
          <w:tcPr>
            <w:tcW w:w="2464" w:type="dxa"/>
          </w:tcPr>
          <w:p>
            <w:pPr>
              <w:pStyle w:val="TableParagraph"/>
              <w:spacing w:line="220" w:lineRule="exact" w:before="80"/>
              <w:ind w:left="887"/>
              <w:rPr>
                <w:sz w:val="20"/>
              </w:rPr>
            </w:pPr>
            <w:r>
              <w:rPr>
                <w:w w:val="125"/>
                <w:sz w:val="20"/>
              </w:rPr>
              <w:t>14.32</w:t>
            </w:r>
          </w:p>
        </w:tc>
        <w:tc>
          <w:tcPr>
            <w:tcW w:w="1768" w:type="dxa"/>
          </w:tcPr>
          <w:p>
            <w:pPr>
              <w:pStyle w:val="TableParagraph"/>
              <w:spacing w:line="220" w:lineRule="exact" w:before="80"/>
              <w:ind w:left="583"/>
              <w:rPr>
                <w:sz w:val="20"/>
              </w:rPr>
            </w:pPr>
            <w:r>
              <w:rPr>
                <w:w w:val="125"/>
                <w:sz w:val="20"/>
              </w:rPr>
              <w:t>383</w:t>
            </w:r>
          </w:p>
        </w:tc>
        <w:tc>
          <w:tcPr>
            <w:tcW w:w="1673" w:type="dxa"/>
          </w:tcPr>
          <w:p>
            <w:pPr>
              <w:pStyle w:val="TableParagraph"/>
              <w:spacing w:line="220" w:lineRule="exact" w:before="80"/>
              <w:ind w:left="0" w:right="330"/>
              <w:jc w:val="right"/>
              <w:rPr>
                <w:sz w:val="20"/>
              </w:rPr>
            </w:pPr>
            <w:r>
              <w:rPr>
                <w:w w:val="125"/>
                <w:sz w:val="20"/>
              </w:rPr>
              <w:t>372</w:t>
            </w:r>
          </w:p>
        </w:tc>
      </w:tr>
      <w:tr>
        <w:trPr>
          <w:trHeight w:val="240" w:hRule="atLeast"/>
        </w:trPr>
        <w:tc>
          <w:tcPr>
            <w:tcW w:w="1304" w:type="dxa"/>
          </w:tcPr>
          <w:p>
            <w:pPr>
              <w:pStyle w:val="TableParagraph"/>
              <w:spacing w:line="220" w:lineRule="exact"/>
              <w:ind w:left="218"/>
              <w:rPr>
                <w:i/>
                <w:sz w:val="20"/>
              </w:rPr>
            </w:pPr>
            <w:r>
              <w:rPr>
                <w:i/>
                <w:w w:val="115"/>
                <w:sz w:val="20"/>
              </w:rPr>
              <w:t>2017</w:t>
            </w:r>
          </w:p>
        </w:tc>
        <w:tc>
          <w:tcPr>
            <w:tcW w:w="2464" w:type="dxa"/>
          </w:tcPr>
          <w:p>
            <w:pPr>
              <w:pStyle w:val="TableParagraph"/>
              <w:spacing w:line="220" w:lineRule="exact"/>
              <w:ind w:left="887"/>
              <w:rPr>
                <w:sz w:val="20"/>
              </w:rPr>
            </w:pPr>
            <w:r>
              <w:rPr>
                <w:w w:val="125"/>
                <w:sz w:val="20"/>
              </w:rPr>
              <w:t>14.14</w:t>
            </w:r>
          </w:p>
        </w:tc>
        <w:tc>
          <w:tcPr>
            <w:tcW w:w="1768" w:type="dxa"/>
          </w:tcPr>
          <w:p>
            <w:pPr>
              <w:pStyle w:val="TableParagraph"/>
              <w:spacing w:line="220" w:lineRule="exact"/>
              <w:ind w:left="583"/>
              <w:rPr>
                <w:sz w:val="20"/>
              </w:rPr>
            </w:pPr>
            <w:r>
              <w:rPr>
                <w:w w:val="125"/>
                <w:sz w:val="20"/>
              </w:rPr>
              <w:t>369</w:t>
            </w:r>
          </w:p>
        </w:tc>
        <w:tc>
          <w:tcPr>
            <w:tcW w:w="1673" w:type="dxa"/>
          </w:tcPr>
          <w:p>
            <w:pPr>
              <w:pStyle w:val="TableParagraph"/>
              <w:spacing w:line="220" w:lineRule="exact"/>
              <w:ind w:left="0" w:right="331"/>
              <w:jc w:val="right"/>
              <w:rPr>
                <w:sz w:val="20"/>
              </w:rPr>
            </w:pPr>
            <w:r>
              <w:rPr>
                <w:w w:val="125"/>
                <w:sz w:val="20"/>
              </w:rPr>
              <w:t>351</w:t>
            </w:r>
          </w:p>
        </w:tc>
      </w:tr>
      <w:tr>
        <w:trPr>
          <w:trHeight w:val="240" w:hRule="atLeast"/>
        </w:trPr>
        <w:tc>
          <w:tcPr>
            <w:tcW w:w="1304" w:type="dxa"/>
          </w:tcPr>
          <w:p>
            <w:pPr>
              <w:pStyle w:val="TableParagraph"/>
              <w:spacing w:line="220" w:lineRule="exact"/>
              <w:ind w:left="218"/>
              <w:rPr>
                <w:i/>
                <w:sz w:val="20"/>
              </w:rPr>
            </w:pPr>
            <w:r>
              <w:rPr>
                <w:i/>
                <w:w w:val="115"/>
                <w:sz w:val="20"/>
              </w:rPr>
              <w:t>2018</w:t>
            </w:r>
          </w:p>
        </w:tc>
        <w:tc>
          <w:tcPr>
            <w:tcW w:w="2464" w:type="dxa"/>
          </w:tcPr>
          <w:p>
            <w:pPr>
              <w:pStyle w:val="TableParagraph"/>
              <w:spacing w:line="220" w:lineRule="exact"/>
              <w:ind w:left="887"/>
              <w:rPr>
                <w:sz w:val="20"/>
              </w:rPr>
            </w:pPr>
            <w:r>
              <w:rPr>
                <w:w w:val="125"/>
                <w:sz w:val="20"/>
              </w:rPr>
              <w:t>13.96</w:t>
            </w:r>
          </w:p>
        </w:tc>
        <w:tc>
          <w:tcPr>
            <w:tcW w:w="1768" w:type="dxa"/>
          </w:tcPr>
          <w:p>
            <w:pPr>
              <w:pStyle w:val="TableParagraph"/>
              <w:spacing w:line="220" w:lineRule="exact"/>
              <w:ind w:left="583"/>
              <w:rPr>
                <w:sz w:val="20"/>
              </w:rPr>
            </w:pPr>
            <w:r>
              <w:rPr>
                <w:w w:val="125"/>
                <w:sz w:val="20"/>
              </w:rPr>
              <w:t>354</w:t>
            </w:r>
          </w:p>
        </w:tc>
        <w:tc>
          <w:tcPr>
            <w:tcW w:w="1673" w:type="dxa"/>
          </w:tcPr>
          <w:p>
            <w:pPr>
              <w:pStyle w:val="TableParagraph"/>
              <w:spacing w:line="220" w:lineRule="exact"/>
              <w:ind w:left="0" w:right="312"/>
              <w:jc w:val="right"/>
              <w:rPr>
                <w:sz w:val="20"/>
              </w:rPr>
            </w:pPr>
            <w:r>
              <w:rPr>
                <w:w w:val="125"/>
                <w:sz w:val="20"/>
              </w:rPr>
              <w:t>340</w:t>
            </w:r>
          </w:p>
        </w:tc>
      </w:tr>
      <w:tr>
        <w:trPr>
          <w:trHeight w:val="240" w:hRule="atLeast"/>
        </w:trPr>
        <w:tc>
          <w:tcPr>
            <w:tcW w:w="1304" w:type="dxa"/>
          </w:tcPr>
          <w:p>
            <w:pPr>
              <w:pStyle w:val="TableParagraph"/>
              <w:spacing w:line="220" w:lineRule="exact"/>
              <w:ind w:left="218"/>
              <w:rPr>
                <w:i/>
                <w:sz w:val="20"/>
              </w:rPr>
            </w:pPr>
            <w:r>
              <w:rPr>
                <w:i/>
                <w:w w:val="115"/>
                <w:sz w:val="20"/>
              </w:rPr>
              <w:t>2019</w:t>
            </w:r>
          </w:p>
        </w:tc>
        <w:tc>
          <w:tcPr>
            <w:tcW w:w="2464" w:type="dxa"/>
          </w:tcPr>
          <w:p>
            <w:pPr>
              <w:pStyle w:val="TableParagraph"/>
              <w:spacing w:line="220" w:lineRule="exact"/>
              <w:ind w:left="887"/>
              <w:rPr>
                <w:sz w:val="20"/>
              </w:rPr>
            </w:pPr>
            <w:r>
              <w:rPr>
                <w:w w:val="125"/>
                <w:sz w:val="20"/>
              </w:rPr>
              <w:t>13.78</w:t>
            </w:r>
          </w:p>
        </w:tc>
        <w:tc>
          <w:tcPr>
            <w:tcW w:w="1768" w:type="dxa"/>
          </w:tcPr>
          <w:p>
            <w:pPr>
              <w:pStyle w:val="TableParagraph"/>
              <w:spacing w:line="220" w:lineRule="exact"/>
              <w:ind w:left="583"/>
              <w:rPr>
                <w:sz w:val="20"/>
              </w:rPr>
            </w:pPr>
            <w:r>
              <w:rPr>
                <w:w w:val="125"/>
                <w:sz w:val="20"/>
              </w:rPr>
              <w:t>340</w:t>
            </w:r>
          </w:p>
        </w:tc>
        <w:tc>
          <w:tcPr>
            <w:tcW w:w="1673" w:type="dxa"/>
          </w:tcPr>
          <w:p>
            <w:pPr>
              <w:pStyle w:val="TableParagraph"/>
              <w:spacing w:line="220" w:lineRule="exact"/>
              <w:ind w:left="0" w:right="325"/>
              <w:jc w:val="right"/>
              <w:rPr>
                <w:sz w:val="20"/>
              </w:rPr>
            </w:pPr>
            <w:r>
              <w:rPr>
                <w:w w:val="125"/>
                <w:sz w:val="20"/>
              </w:rPr>
              <w:t>330</w:t>
            </w:r>
          </w:p>
        </w:tc>
      </w:tr>
      <w:tr>
        <w:trPr>
          <w:trHeight w:val="330" w:hRule="atLeast"/>
        </w:trPr>
        <w:tc>
          <w:tcPr>
            <w:tcW w:w="1304" w:type="dxa"/>
          </w:tcPr>
          <w:p>
            <w:pPr>
              <w:pStyle w:val="TableParagraph"/>
              <w:ind w:left="218"/>
              <w:rPr>
                <w:i/>
                <w:sz w:val="20"/>
              </w:rPr>
            </w:pPr>
            <w:r>
              <w:rPr>
                <w:i/>
                <w:w w:val="115"/>
                <w:sz w:val="20"/>
              </w:rPr>
              <w:t>2020</w:t>
            </w:r>
          </w:p>
        </w:tc>
        <w:tc>
          <w:tcPr>
            <w:tcW w:w="2464" w:type="dxa"/>
          </w:tcPr>
          <w:p>
            <w:pPr>
              <w:pStyle w:val="TableParagraph"/>
              <w:ind w:left="887"/>
              <w:rPr>
                <w:sz w:val="20"/>
              </w:rPr>
            </w:pPr>
            <w:r>
              <w:rPr>
                <w:w w:val="125"/>
                <w:sz w:val="20"/>
              </w:rPr>
              <w:t>13.61</w:t>
            </w:r>
          </w:p>
        </w:tc>
        <w:tc>
          <w:tcPr>
            <w:tcW w:w="1768" w:type="dxa"/>
          </w:tcPr>
          <w:p>
            <w:pPr>
              <w:pStyle w:val="TableParagraph"/>
              <w:ind w:left="583"/>
              <w:rPr>
                <w:sz w:val="20"/>
              </w:rPr>
            </w:pPr>
            <w:r>
              <w:rPr>
                <w:w w:val="125"/>
                <w:sz w:val="20"/>
              </w:rPr>
              <w:t>326</w:t>
            </w:r>
          </w:p>
        </w:tc>
        <w:tc>
          <w:tcPr>
            <w:tcW w:w="1673" w:type="dxa"/>
          </w:tcPr>
          <w:p>
            <w:pPr>
              <w:pStyle w:val="TableParagraph"/>
              <w:ind w:left="0" w:right="368"/>
              <w:jc w:val="right"/>
              <w:rPr>
                <w:sz w:val="20"/>
              </w:rPr>
            </w:pPr>
            <w:r>
              <w:rPr>
                <w:w w:val="125"/>
                <w:sz w:val="20"/>
              </w:rPr>
              <w:t>313</w:t>
            </w:r>
          </w:p>
        </w:tc>
      </w:tr>
      <w:tr>
        <w:trPr>
          <w:trHeight w:val="330" w:hRule="atLeast"/>
        </w:trPr>
        <w:tc>
          <w:tcPr>
            <w:tcW w:w="1304" w:type="dxa"/>
          </w:tcPr>
          <w:p>
            <w:pPr>
              <w:pStyle w:val="TableParagraph"/>
              <w:spacing w:line="220" w:lineRule="exact" w:before="90"/>
              <w:ind w:left="218"/>
              <w:rPr>
                <w:i/>
                <w:sz w:val="20"/>
              </w:rPr>
            </w:pPr>
            <w:r>
              <w:rPr>
                <w:i/>
                <w:w w:val="115"/>
                <w:sz w:val="20"/>
              </w:rPr>
              <w:t>2021</w:t>
            </w:r>
          </w:p>
        </w:tc>
        <w:tc>
          <w:tcPr>
            <w:tcW w:w="2464" w:type="dxa"/>
          </w:tcPr>
          <w:p>
            <w:pPr>
              <w:pStyle w:val="TableParagraph"/>
              <w:spacing w:line="220" w:lineRule="exact" w:before="90"/>
              <w:ind w:left="887"/>
              <w:rPr>
                <w:sz w:val="20"/>
              </w:rPr>
            </w:pPr>
            <w:r>
              <w:rPr>
                <w:w w:val="125"/>
                <w:sz w:val="20"/>
              </w:rPr>
              <w:t>13.44</w:t>
            </w:r>
          </w:p>
        </w:tc>
        <w:tc>
          <w:tcPr>
            <w:tcW w:w="1768" w:type="dxa"/>
          </w:tcPr>
          <w:p>
            <w:pPr>
              <w:pStyle w:val="TableParagraph"/>
              <w:spacing w:line="220" w:lineRule="exact" w:before="90"/>
              <w:ind w:left="583"/>
              <w:rPr>
                <w:sz w:val="20"/>
              </w:rPr>
            </w:pPr>
            <w:r>
              <w:rPr>
                <w:w w:val="125"/>
                <w:sz w:val="20"/>
              </w:rPr>
              <w:t>314</w:t>
            </w:r>
          </w:p>
        </w:tc>
        <w:tc>
          <w:tcPr>
            <w:tcW w:w="1673" w:type="dxa"/>
          </w:tcPr>
          <w:p>
            <w:pPr>
              <w:pStyle w:val="TableParagraph"/>
              <w:spacing w:line="220" w:lineRule="exact" w:before="90"/>
              <w:ind w:left="0" w:right="323"/>
              <w:jc w:val="right"/>
              <w:rPr>
                <w:sz w:val="20"/>
              </w:rPr>
            </w:pPr>
            <w:r>
              <w:rPr>
                <w:w w:val="125"/>
                <w:sz w:val="20"/>
              </w:rPr>
              <w:t>301</w:t>
            </w:r>
          </w:p>
        </w:tc>
      </w:tr>
      <w:tr>
        <w:trPr>
          <w:trHeight w:val="240" w:hRule="atLeast"/>
        </w:trPr>
        <w:tc>
          <w:tcPr>
            <w:tcW w:w="1304" w:type="dxa"/>
          </w:tcPr>
          <w:p>
            <w:pPr>
              <w:pStyle w:val="TableParagraph"/>
              <w:spacing w:line="220" w:lineRule="exact"/>
              <w:ind w:left="218"/>
              <w:rPr>
                <w:i/>
                <w:sz w:val="20"/>
              </w:rPr>
            </w:pPr>
            <w:r>
              <w:rPr>
                <w:i/>
                <w:w w:val="115"/>
                <w:sz w:val="20"/>
              </w:rPr>
              <w:t>2022</w:t>
            </w:r>
          </w:p>
        </w:tc>
        <w:tc>
          <w:tcPr>
            <w:tcW w:w="2464" w:type="dxa"/>
          </w:tcPr>
          <w:p>
            <w:pPr>
              <w:pStyle w:val="TableParagraph"/>
              <w:spacing w:line="220" w:lineRule="exact"/>
              <w:ind w:left="887"/>
              <w:rPr>
                <w:sz w:val="20"/>
              </w:rPr>
            </w:pPr>
            <w:r>
              <w:rPr>
                <w:w w:val="125"/>
                <w:sz w:val="20"/>
              </w:rPr>
              <w:t>13.27</w:t>
            </w:r>
          </w:p>
        </w:tc>
        <w:tc>
          <w:tcPr>
            <w:tcW w:w="1768" w:type="dxa"/>
          </w:tcPr>
          <w:p>
            <w:pPr>
              <w:pStyle w:val="TableParagraph"/>
              <w:spacing w:line="220" w:lineRule="exact"/>
              <w:ind w:left="583"/>
              <w:rPr>
                <w:sz w:val="20"/>
              </w:rPr>
            </w:pPr>
            <w:r>
              <w:rPr>
                <w:w w:val="125"/>
                <w:sz w:val="20"/>
              </w:rPr>
              <w:t>302</w:t>
            </w:r>
          </w:p>
        </w:tc>
        <w:tc>
          <w:tcPr>
            <w:tcW w:w="1673" w:type="dxa"/>
          </w:tcPr>
          <w:p>
            <w:pPr>
              <w:pStyle w:val="TableParagraph"/>
              <w:spacing w:line="220" w:lineRule="exact"/>
              <w:ind w:left="0" w:right="315"/>
              <w:jc w:val="right"/>
              <w:rPr>
                <w:sz w:val="20"/>
              </w:rPr>
            </w:pPr>
            <w:r>
              <w:rPr>
                <w:w w:val="125"/>
                <w:sz w:val="20"/>
              </w:rPr>
              <w:t>280</w:t>
            </w:r>
          </w:p>
        </w:tc>
      </w:tr>
      <w:tr>
        <w:trPr>
          <w:trHeight w:val="240" w:hRule="atLeast"/>
        </w:trPr>
        <w:tc>
          <w:tcPr>
            <w:tcW w:w="1304" w:type="dxa"/>
          </w:tcPr>
          <w:p>
            <w:pPr>
              <w:pStyle w:val="TableParagraph"/>
              <w:spacing w:line="220" w:lineRule="exact"/>
              <w:ind w:left="218"/>
              <w:rPr>
                <w:i/>
                <w:sz w:val="20"/>
              </w:rPr>
            </w:pPr>
            <w:r>
              <w:rPr>
                <w:i/>
                <w:w w:val="115"/>
                <w:sz w:val="20"/>
              </w:rPr>
              <w:t>2023</w:t>
            </w:r>
          </w:p>
        </w:tc>
        <w:tc>
          <w:tcPr>
            <w:tcW w:w="2464" w:type="dxa"/>
          </w:tcPr>
          <w:p>
            <w:pPr>
              <w:pStyle w:val="TableParagraph"/>
              <w:spacing w:line="220" w:lineRule="exact"/>
              <w:ind w:left="887"/>
              <w:rPr>
                <w:sz w:val="20"/>
              </w:rPr>
            </w:pPr>
            <w:r>
              <w:rPr>
                <w:w w:val="125"/>
                <w:sz w:val="20"/>
              </w:rPr>
              <w:t>13.10</w:t>
            </w:r>
          </w:p>
        </w:tc>
        <w:tc>
          <w:tcPr>
            <w:tcW w:w="1768" w:type="dxa"/>
          </w:tcPr>
          <w:p>
            <w:pPr>
              <w:pStyle w:val="TableParagraph"/>
              <w:spacing w:line="220" w:lineRule="exact"/>
              <w:ind w:left="583"/>
              <w:rPr>
                <w:sz w:val="20"/>
              </w:rPr>
            </w:pPr>
            <w:r>
              <w:rPr>
                <w:w w:val="125"/>
                <w:sz w:val="20"/>
              </w:rPr>
              <w:t>290</w:t>
            </w:r>
          </w:p>
        </w:tc>
        <w:tc>
          <w:tcPr>
            <w:tcW w:w="1673" w:type="dxa"/>
          </w:tcPr>
          <w:p>
            <w:pPr>
              <w:pStyle w:val="TableParagraph"/>
              <w:spacing w:line="220" w:lineRule="exact"/>
              <w:ind w:left="0" w:right="324"/>
              <w:jc w:val="right"/>
              <w:rPr>
                <w:sz w:val="20"/>
              </w:rPr>
            </w:pPr>
            <w:r>
              <w:rPr>
                <w:w w:val="125"/>
                <w:sz w:val="20"/>
              </w:rPr>
              <w:t>262</w:t>
            </w:r>
          </w:p>
        </w:tc>
      </w:tr>
      <w:tr>
        <w:trPr>
          <w:trHeight w:val="240" w:hRule="atLeast"/>
        </w:trPr>
        <w:tc>
          <w:tcPr>
            <w:tcW w:w="1304" w:type="dxa"/>
          </w:tcPr>
          <w:p>
            <w:pPr>
              <w:pStyle w:val="TableParagraph"/>
              <w:spacing w:line="220" w:lineRule="exact"/>
              <w:ind w:left="218"/>
              <w:rPr>
                <w:i/>
                <w:sz w:val="20"/>
              </w:rPr>
            </w:pPr>
            <w:r>
              <w:rPr>
                <w:i/>
                <w:w w:val="115"/>
                <w:sz w:val="20"/>
              </w:rPr>
              <w:t>2024</w:t>
            </w:r>
          </w:p>
        </w:tc>
        <w:tc>
          <w:tcPr>
            <w:tcW w:w="2464" w:type="dxa"/>
          </w:tcPr>
          <w:p>
            <w:pPr>
              <w:pStyle w:val="TableParagraph"/>
              <w:spacing w:line="220" w:lineRule="exact"/>
              <w:ind w:left="887"/>
              <w:rPr>
                <w:sz w:val="20"/>
              </w:rPr>
            </w:pPr>
            <w:r>
              <w:rPr>
                <w:w w:val="125"/>
                <w:sz w:val="20"/>
              </w:rPr>
              <w:t>12.94</w:t>
            </w:r>
          </w:p>
        </w:tc>
        <w:tc>
          <w:tcPr>
            <w:tcW w:w="1768" w:type="dxa"/>
          </w:tcPr>
          <w:p>
            <w:pPr>
              <w:pStyle w:val="TableParagraph"/>
              <w:spacing w:line="220" w:lineRule="exact"/>
              <w:ind w:left="583"/>
              <w:rPr>
                <w:sz w:val="20"/>
              </w:rPr>
            </w:pPr>
            <w:r>
              <w:rPr>
                <w:w w:val="125"/>
                <w:sz w:val="20"/>
              </w:rPr>
              <w:t>278</w:t>
            </w:r>
          </w:p>
        </w:tc>
        <w:tc>
          <w:tcPr>
            <w:tcW w:w="1673" w:type="dxa"/>
          </w:tcPr>
          <w:p>
            <w:pPr>
              <w:pStyle w:val="TableParagraph"/>
              <w:spacing w:line="220" w:lineRule="exact"/>
              <w:ind w:left="0" w:right="325"/>
              <w:jc w:val="right"/>
              <w:rPr>
                <w:sz w:val="20"/>
              </w:rPr>
            </w:pPr>
            <w:r>
              <w:rPr>
                <w:w w:val="125"/>
                <w:sz w:val="20"/>
              </w:rPr>
              <w:t>251</w:t>
            </w:r>
          </w:p>
        </w:tc>
      </w:tr>
      <w:tr>
        <w:trPr>
          <w:trHeight w:val="290" w:hRule="atLeast"/>
        </w:trPr>
        <w:tc>
          <w:tcPr>
            <w:tcW w:w="1304" w:type="dxa"/>
          </w:tcPr>
          <w:p>
            <w:pPr>
              <w:pStyle w:val="TableParagraph"/>
              <w:spacing w:line="241" w:lineRule="exact"/>
              <w:ind w:left="218"/>
              <w:rPr>
                <w:i/>
                <w:sz w:val="20"/>
              </w:rPr>
            </w:pPr>
            <w:r>
              <w:rPr>
                <w:i/>
                <w:w w:val="115"/>
                <w:sz w:val="20"/>
              </w:rPr>
              <w:t>2025</w:t>
            </w:r>
          </w:p>
        </w:tc>
        <w:tc>
          <w:tcPr>
            <w:tcW w:w="2464" w:type="dxa"/>
          </w:tcPr>
          <w:p>
            <w:pPr>
              <w:pStyle w:val="TableParagraph"/>
              <w:spacing w:line="241" w:lineRule="exact"/>
              <w:ind w:left="887"/>
              <w:rPr>
                <w:sz w:val="20"/>
              </w:rPr>
            </w:pPr>
            <w:r>
              <w:rPr>
                <w:w w:val="125"/>
                <w:sz w:val="20"/>
              </w:rPr>
              <w:t>12.77</w:t>
            </w:r>
          </w:p>
        </w:tc>
        <w:tc>
          <w:tcPr>
            <w:tcW w:w="1768" w:type="dxa"/>
          </w:tcPr>
          <w:p>
            <w:pPr>
              <w:pStyle w:val="TableParagraph"/>
              <w:spacing w:line="241" w:lineRule="exact"/>
              <w:ind w:left="583"/>
              <w:rPr>
                <w:sz w:val="20"/>
              </w:rPr>
            </w:pPr>
            <w:r>
              <w:rPr>
                <w:w w:val="125"/>
                <w:sz w:val="20"/>
              </w:rPr>
              <w:t>266</w:t>
            </w:r>
          </w:p>
        </w:tc>
        <w:tc>
          <w:tcPr>
            <w:tcW w:w="1673" w:type="dxa"/>
          </w:tcPr>
          <w:p>
            <w:pPr>
              <w:pStyle w:val="TableParagraph"/>
              <w:spacing w:line="241" w:lineRule="exact"/>
              <w:ind w:left="0" w:right="323"/>
              <w:jc w:val="right"/>
              <w:rPr>
                <w:sz w:val="20"/>
              </w:rPr>
            </w:pPr>
            <w:r>
              <w:rPr>
                <w:w w:val="125"/>
                <w:sz w:val="20"/>
              </w:rPr>
              <w:t>235</w:t>
            </w:r>
          </w:p>
        </w:tc>
      </w:tr>
    </w:tbl>
    <w:p>
      <w:pPr>
        <w:pStyle w:val="ListParagraph"/>
        <w:numPr>
          <w:ilvl w:val="1"/>
          <w:numId w:val="192"/>
        </w:numPr>
        <w:tabs>
          <w:tab w:pos="2024" w:val="left" w:leader="none"/>
          <w:tab w:pos="2025" w:val="left" w:leader="none"/>
        </w:tabs>
        <w:spacing w:line="235" w:lineRule="auto" w:before="193" w:after="0"/>
        <w:ind w:left="1344" w:right="1259" w:firstLine="0"/>
        <w:jc w:val="left"/>
        <w:rPr>
          <w:sz w:val="20"/>
        </w:rPr>
      </w:pPr>
      <w:r>
        <w:rPr>
          <w:w w:val="120"/>
          <w:sz w:val="20"/>
        </w:rPr>
        <w:t>All the numbers in </w:t>
      </w:r>
      <w:r>
        <w:rPr>
          <w:spacing w:val="-3"/>
          <w:w w:val="120"/>
          <w:sz w:val="20"/>
        </w:rPr>
        <w:t>Table </w:t>
      </w:r>
      <w:r>
        <w:rPr>
          <w:w w:val="120"/>
          <w:sz w:val="20"/>
        </w:rPr>
        <w:t>1 refer to the number of full-time equivalent stipendiary ministers who are available for deployment, thus excluding CRCWs, special category ministers, synod moderators, college staff and other Assembly</w:t>
      </w:r>
      <w:r>
        <w:rPr>
          <w:spacing w:val="23"/>
          <w:w w:val="120"/>
          <w:sz w:val="20"/>
        </w:rPr>
        <w:t> </w:t>
      </w:r>
      <w:r>
        <w:rPr>
          <w:w w:val="120"/>
          <w:sz w:val="20"/>
        </w:rPr>
        <w:t>postholders.</w:t>
      </w:r>
    </w:p>
    <w:p>
      <w:pPr>
        <w:pStyle w:val="BodyText"/>
        <w:spacing w:before="10"/>
        <w:rPr>
          <w:sz w:val="19"/>
        </w:rPr>
      </w:pPr>
    </w:p>
    <w:p>
      <w:pPr>
        <w:pStyle w:val="ListParagraph"/>
        <w:numPr>
          <w:ilvl w:val="1"/>
          <w:numId w:val="192"/>
        </w:numPr>
        <w:tabs>
          <w:tab w:pos="2024" w:val="left" w:leader="none"/>
          <w:tab w:pos="2025" w:val="left" w:leader="none"/>
        </w:tabs>
        <w:spacing w:line="235" w:lineRule="auto" w:before="0" w:after="0"/>
        <w:ind w:left="1344" w:right="1310" w:firstLine="0"/>
        <w:jc w:val="left"/>
        <w:rPr>
          <w:sz w:val="20"/>
        </w:rPr>
      </w:pPr>
      <w:r>
        <w:rPr>
          <w:w w:val="120"/>
          <w:sz w:val="20"/>
        </w:rPr>
        <w:t>By </w:t>
      </w:r>
      <w:r>
        <w:rPr>
          <w:spacing w:val="-3"/>
          <w:w w:val="120"/>
          <w:sz w:val="20"/>
        </w:rPr>
        <w:t>2020, </w:t>
      </w:r>
      <w:r>
        <w:rPr>
          <w:w w:val="120"/>
          <w:sz w:val="20"/>
        </w:rPr>
        <w:t>relative to </w:t>
      </w:r>
      <w:r>
        <w:rPr>
          <w:spacing w:val="-7"/>
          <w:w w:val="120"/>
          <w:sz w:val="20"/>
        </w:rPr>
        <w:t>2015,  </w:t>
      </w:r>
      <w:r>
        <w:rPr>
          <w:w w:val="120"/>
          <w:sz w:val="20"/>
        </w:rPr>
        <w:t>the Assembly policy would expect to see a reduction  in the target number of deployable ministers of around </w:t>
      </w:r>
      <w:r>
        <w:rPr>
          <w:spacing w:val="-3"/>
          <w:w w:val="120"/>
          <w:sz w:val="20"/>
        </w:rPr>
        <w:t>70, </w:t>
      </w:r>
      <w:r>
        <w:rPr>
          <w:w w:val="120"/>
          <w:sz w:val="20"/>
        </w:rPr>
        <w:t>or just under 20%. The final column of the table indicates that on best present estimates and unchanged policies, the reduction in actual minister numbers by 2020 will be around</w:t>
      </w:r>
      <w:r>
        <w:rPr>
          <w:spacing w:val="38"/>
          <w:w w:val="120"/>
          <w:sz w:val="20"/>
        </w:rPr>
        <w:t> </w:t>
      </w:r>
      <w:r>
        <w:rPr>
          <w:w w:val="120"/>
          <w:sz w:val="20"/>
        </w:rPr>
        <w:t>80.</w:t>
      </w:r>
    </w:p>
    <w:p>
      <w:pPr>
        <w:pStyle w:val="BodyText"/>
        <w:spacing w:before="11"/>
        <w:rPr>
          <w:sz w:val="19"/>
        </w:rPr>
      </w:pPr>
    </w:p>
    <w:p>
      <w:pPr>
        <w:pStyle w:val="ListParagraph"/>
        <w:numPr>
          <w:ilvl w:val="1"/>
          <w:numId w:val="192"/>
        </w:numPr>
        <w:tabs>
          <w:tab w:pos="2024" w:val="left" w:leader="none"/>
          <w:tab w:pos="2025" w:val="left" w:leader="none"/>
        </w:tabs>
        <w:spacing w:line="235" w:lineRule="auto" w:before="0" w:after="0"/>
        <w:ind w:left="1344" w:right="1516" w:firstLine="0"/>
        <w:jc w:val="left"/>
        <w:rPr>
          <w:sz w:val="20"/>
        </w:rPr>
      </w:pPr>
      <w:r>
        <w:rPr>
          <w:w w:val="120"/>
          <w:sz w:val="20"/>
        </w:rPr>
        <w:t>The difference between the target number of deployable ministers and the actual number of ministers could be partly addressed through the issuing of a limited number of certificates of eligibility to ministers outside of the URC, over a</w:t>
      </w:r>
      <w:r>
        <w:rPr>
          <w:spacing w:val="33"/>
          <w:w w:val="120"/>
          <w:sz w:val="20"/>
        </w:rPr>
        <w:t> </w:t>
      </w:r>
      <w:r>
        <w:rPr>
          <w:w w:val="120"/>
          <w:sz w:val="20"/>
        </w:rPr>
        <w:t>number</w:t>
      </w:r>
    </w:p>
    <w:p>
      <w:pPr>
        <w:pStyle w:val="BodyText"/>
        <w:spacing w:line="235" w:lineRule="auto" w:before="3"/>
        <w:ind w:left="1344" w:right="1478"/>
      </w:pPr>
      <w:r>
        <w:rPr>
          <w:w w:val="120"/>
        </w:rPr>
        <w:t>of years. Continued cooperation between the finance and ministries committees regarding certificates would ensure that the impact of such action falls within the requirements of Resolution 19 from 2012. It would be unwise to assume, however, that a widening gap between the target number of ministers and the actual number</w:t>
      </w:r>
    </w:p>
    <w:p>
      <w:pPr>
        <w:pStyle w:val="BodyText"/>
        <w:spacing w:line="235" w:lineRule="auto" w:before="3"/>
        <w:ind w:left="1344" w:right="1360"/>
      </w:pPr>
      <w:r>
        <w:rPr>
          <w:w w:val="120"/>
        </w:rPr>
        <w:t>produced by the URC can always be satisfactorily bridged by ministers with certificates of eligibility.</w:t>
      </w:r>
    </w:p>
    <w:p>
      <w:pPr>
        <w:spacing w:after="0" w:line="235" w:lineRule="auto"/>
        <w:sectPr>
          <w:headerReference w:type="default" r:id="rId423"/>
          <w:pgSz w:w="11910" w:h="16840"/>
          <w:pgMar w:header="0" w:footer="647" w:top="0" w:bottom="840" w:left="640" w:right="0"/>
        </w:sectPr>
      </w:pPr>
    </w:p>
    <w:p>
      <w:pPr>
        <w:pStyle w:val="BodyText"/>
      </w:pPr>
      <w:r>
        <w:rPr/>
        <w:drawing>
          <wp:anchor distT="0" distB="0" distL="0" distR="0" allowOverlap="1" layoutInCell="1" locked="0" behindDoc="1" simplePos="0" relativeHeight="235615232">
            <wp:simplePos x="0" y="0"/>
            <wp:positionH relativeFrom="page">
              <wp:posOffset>0</wp:posOffset>
            </wp:positionH>
            <wp:positionV relativeFrom="page">
              <wp:posOffset>0</wp:posOffset>
            </wp:positionV>
            <wp:extent cx="594067" cy="10692003"/>
            <wp:effectExtent l="0" t="0" r="0" b="0"/>
            <wp:wrapNone/>
            <wp:docPr id="297" name="image67.png"/>
            <wp:cNvGraphicFramePr>
              <a:graphicFrameLocks noChangeAspect="1"/>
            </wp:cNvGraphicFramePr>
            <a:graphic>
              <a:graphicData uri="http://schemas.openxmlformats.org/drawingml/2006/picture">
                <pic:pic>
                  <pic:nvPicPr>
                    <pic:cNvPr id="298" name="image67.png"/>
                    <pic:cNvPicPr/>
                  </pic:nvPicPr>
                  <pic:blipFill>
                    <a:blip r:embed="rId184" cstate="print"/>
                    <a:stretch>
                      <a:fillRect/>
                    </a:stretch>
                  </pic:blipFill>
                  <pic:spPr>
                    <a:xfrm>
                      <a:off x="0" y="0"/>
                      <a:ext cx="594067" cy="10692003"/>
                    </a:xfrm>
                    <a:prstGeom prst="rect">
                      <a:avLst/>
                    </a:prstGeom>
                  </pic:spPr>
                </pic:pic>
              </a:graphicData>
            </a:graphic>
          </wp:anchor>
        </w:drawing>
      </w:r>
      <w:r>
        <w:rPr/>
        <w:pict>
          <v:shape style="position:absolute;margin-left:20.519100pt;margin-top:48.890015pt;width:25.9pt;height:598.450pt;mso-position-horizontal-relative:page;mso-position-vertical-relative:page;z-index:-267700224" type="#_x0000_t202" filled="false" stroked="false">
            <v:textbox inset="0,0,0,0" style="layout-flow:vertical">
              <w:txbxContent>
                <w:p>
                  <w:pPr>
                    <w:spacing w:before="27"/>
                    <w:ind w:left="20" w:right="0" w:firstLine="0"/>
                    <w:jc w:val="left"/>
                    <w:rPr>
                      <w:sz w:val="39"/>
                    </w:rPr>
                  </w:pPr>
                  <w:r>
                    <w:rPr>
                      <w:color w:val="FFFFFF"/>
                      <w:spacing w:val="10"/>
                      <w:w w:val="120"/>
                      <w:sz w:val="39"/>
                    </w:rPr>
                    <w:t>Ministries </w:t>
                  </w:r>
                  <w:r>
                    <w:rPr>
                      <w:color w:val="FFFFFF"/>
                      <w:w w:val="120"/>
                      <w:sz w:val="39"/>
                    </w:rPr>
                    <w:t>– </w:t>
                  </w:r>
                  <w:r>
                    <w:rPr>
                      <w:spacing w:val="11"/>
                      <w:w w:val="120"/>
                      <w:sz w:val="39"/>
                    </w:rPr>
                    <w:t>Stipendiary </w:t>
                  </w:r>
                  <w:r>
                    <w:rPr>
                      <w:spacing w:val="9"/>
                      <w:w w:val="120"/>
                      <w:sz w:val="39"/>
                    </w:rPr>
                    <w:t>minister numbers </w:t>
                  </w:r>
                  <w:r>
                    <w:rPr>
                      <w:spacing w:val="7"/>
                      <w:w w:val="120"/>
                      <w:sz w:val="39"/>
                    </w:rPr>
                    <w:t>and</w:t>
                  </w:r>
                  <w:r>
                    <w:rPr>
                      <w:spacing w:val="106"/>
                      <w:w w:val="120"/>
                      <w:sz w:val="39"/>
                    </w:rPr>
                    <w:t> </w:t>
                  </w:r>
                  <w:r>
                    <w:rPr>
                      <w:spacing w:val="10"/>
                      <w:w w:val="120"/>
                      <w:sz w:val="39"/>
                    </w:rPr>
                    <w:t>deployment</w:t>
                  </w:r>
                </w:p>
              </w:txbxContent>
            </v:textbox>
            <w10:wrap type="none"/>
          </v:shape>
        </w:pict>
      </w:r>
    </w:p>
    <w:p>
      <w:pPr>
        <w:pStyle w:val="BodyText"/>
        <w:spacing w:before="7"/>
        <w:rPr>
          <w:sz w:val="21"/>
        </w:rPr>
      </w:pPr>
    </w:p>
    <w:p>
      <w:pPr>
        <w:spacing w:before="106"/>
        <w:ind w:left="607" w:right="0" w:firstLine="0"/>
        <w:jc w:val="left"/>
        <w:rPr>
          <w:sz w:val="26"/>
        </w:rPr>
      </w:pPr>
      <w:r>
        <w:rPr>
          <w:color w:val="7EAABF"/>
          <w:w w:val="110"/>
          <w:sz w:val="26"/>
        </w:rPr>
        <w:t>Ministries</w:t>
      </w:r>
    </w:p>
    <w:p>
      <w:pPr>
        <w:pStyle w:val="ListParagraph"/>
        <w:numPr>
          <w:ilvl w:val="1"/>
          <w:numId w:val="192"/>
        </w:numPr>
        <w:tabs>
          <w:tab w:pos="1287" w:val="left" w:leader="none"/>
          <w:tab w:pos="1288" w:val="left" w:leader="none"/>
        </w:tabs>
        <w:spacing w:line="235" w:lineRule="auto" w:before="222" w:after="0"/>
        <w:ind w:left="607" w:right="2228" w:firstLine="0"/>
        <w:jc w:val="left"/>
        <w:rPr>
          <w:sz w:val="20"/>
        </w:rPr>
      </w:pPr>
      <w:r>
        <w:rPr>
          <w:w w:val="120"/>
          <w:sz w:val="20"/>
        </w:rPr>
        <w:t>More tentatively, </w:t>
      </w:r>
      <w:r>
        <w:rPr>
          <w:spacing w:val="-3"/>
          <w:w w:val="120"/>
          <w:sz w:val="20"/>
        </w:rPr>
        <w:t>Table </w:t>
      </w:r>
      <w:r>
        <w:rPr>
          <w:w w:val="120"/>
          <w:sz w:val="20"/>
        </w:rPr>
        <w:t>1 suggests that by 2025 the target for deployable ministers might be about a third lower than it is </w:t>
      </w:r>
      <w:r>
        <w:rPr>
          <w:spacing w:val="-3"/>
          <w:w w:val="120"/>
          <w:sz w:val="20"/>
        </w:rPr>
        <w:t>today. </w:t>
      </w:r>
      <w:r>
        <w:rPr>
          <w:w w:val="120"/>
          <w:sz w:val="20"/>
        </w:rPr>
        <w:t>The best prediction of actual numbers on present policies hints at possibly a sharper reduction of around 40%. But any numbers ten years ahead must be treated with</w:t>
      </w:r>
      <w:r>
        <w:rPr>
          <w:spacing w:val="14"/>
          <w:w w:val="120"/>
          <w:sz w:val="20"/>
        </w:rPr>
        <w:t> </w:t>
      </w:r>
      <w:r>
        <w:rPr>
          <w:w w:val="120"/>
          <w:sz w:val="20"/>
        </w:rPr>
        <w:t>caution.</w:t>
      </w:r>
    </w:p>
    <w:p>
      <w:pPr>
        <w:pStyle w:val="BodyText"/>
        <w:spacing w:before="10"/>
        <w:rPr>
          <w:sz w:val="19"/>
        </w:rPr>
      </w:pPr>
    </w:p>
    <w:p>
      <w:pPr>
        <w:pStyle w:val="ListParagraph"/>
        <w:numPr>
          <w:ilvl w:val="1"/>
          <w:numId w:val="192"/>
        </w:numPr>
        <w:tabs>
          <w:tab w:pos="1287" w:val="left" w:leader="none"/>
          <w:tab w:pos="1288" w:val="left" w:leader="none"/>
        </w:tabs>
        <w:spacing w:line="235" w:lineRule="auto" w:before="1" w:after="0"/>
        <w:ind w:left="607" w:right="2056" w:firstLine="0"/>
        <w:jc w:val="left"/>
        <w:rPr>
          <w:sz w:val="20"/>
        </w:rPr>
      </w:pPr>
      <w:r>
        <w:rPr>
          <w:w w:val="120"/>
          <w:sz w:val="20"/>
        </w:rPr>
        <w:t>Although these numbers are presented to Assembly for the first time, the general trend is widely known and recognised across the Church. Ministries has for at least 20 years been urging synods to consider the deployment of a reducing number of stipendiary ministers alongside the other people resources available to the</w:t>
      </w:r>
      <w:r>
        <w:rPr>
          <w:spacing w:val="42"/>
          <w:w w:val="120"/>
          <w:sz w:val="20"/>
        </w:rPr>
        <w:t> </w:t>
      </w:r>
      <w:r>
        <w:rPr>
          <w:w w:val="120"/>
          <w:sz w:val="20"/>
        </w:rPr>
        <w:t>Church.</w:t>
      </w:r>
    </w:p>
    <w:p>
      <w:pPr>
        <w:pStyle w:val="BodyText"/>
        <w:spacing w:before="3"/>
        <w:rPr>
          <w:sz w:val="22"/>
        </w:rPr>
      </w:pPr>
    </w:p>
    <w:p>
      <w:pPr>
        <w:spacing w:before="0"/>
        <w:ind w:left="607" w:right="0" w:firstLine="0"/>
        <w:jc w:val="left"/>
        <w:rPr>
          <w:rFonts w:ascii="Stone Sans II ITC Std Bk"/>
          <w:b/>
          <w:sz w:val="29"/>
        </w:rPr>
      </w:pPr>
      <w:r>
        <w:rPr>
          <w:rFonts w:ascii="Stone Sans II ITC Std Bk"/>
          <w:b/>
          <w:w w:val="110"/>
          <w:sz w:val="29"/>
        </w:rPr>
        <w:t>Previous resolutions</w:t>
      </w:r>
    </w:p>
    <w:p>
      <w:pPr>
        <w:pStyle w:val="ListParagraph"/>
        <w:numPr>
          <w:ilvl w:val="1"/>
          <w:numId w:val="193"/>
        </w:numPr>
        <w:tabs>
          <w:tab w:pos="1287" w:val="left" w:leader="none"/>
          <w:tab w:pos="1288" w:val="left" w:leader="none"/>
        </w:tabs>
        <w:spacing w:line="235" w:lineRule="auto" w:before="69" w:after="0"/>
        <w:ind w:left="607" w:right="2315" w:firstLine="0"/>
        <w:jc w:val="left"/>
        <w:rPr>
          <w:sz w:val="20"/>
        </w:rPr>
      </w:pPr>
      <w:r>
        <w:rPr>
          <w:w w:val="120"/>
          <w:sz w:val="20"/>
        </w:rPr>
        <w:t>In 2005, Assembly received the </w:t>
      </w:r>
      <w:r>
        <w:rPr>
          <w:spacing w:val="2"/>
          <w:w w:val="120"/>
          <w:sz w:val="20"/>
        </w:rPr>
        <w:t>report </w:t>
      </w:r>
      <w:r>
        <w:rPr>
          <w:w w:val="120"/>
          <w:sz w:val="20"/>
        </w:rPr>
        <w:t>‘Equipping the </w:t>
      </w:r>
      <w:r>
        <w:rPr>
          <w:spacing w:val="-3"/>
          <w:w w:val="120"/>
          <w:sz w:val="20"/>
        </w:rPr>
        <w:t>Saints’, </w:t>
      </w:r>
      <w:r>
        <w:rPr>
          <w:w w:val="120"/>
          <w:sz w:val="20"/>
        </w:rPr>
        <w:t>and in response passed Resolution</w:t>
      </w:r>
      <w:r>
        <w:rPr>
          <w:spacing w:val="3"/>
          <w:w w:val="120"/>
          <w:sz w:val="20"/>
        </w:rPr>
        <w:t> </w:t>
      </w:r>
      <w:r>
        <w:rPr>
          <w:w w:val="120"/>
          <w:sz w:val="20"/>
        </w:rPr>
        <w:t>29:</w:t>
      </w:r>
    </w:p>
    <w:p>
      <w:pPr>
        <w:pStyle w:val="Heading7"/>
        <w:spacing w:line="213" w:lineRule="auto" w:before="7"/>
        <w:ind w:left="1287" w:right="2600"/>
      </w:pPr>
      <w:r>
        <w:rPr>
          <w:w w:val="110"/>
        </w:rPr>
        <w:t>General Assembly urges local churches and groups of churches to develop collaborative leadership patterns, and wherever possible to do so ecumenically.</w:t>
      </w:r>
    </w:p>
    <w:p>
      <w:pPr>
        <w:spacing w:line="218" w:lineRule="auto" w:before="6"/>
        <w:ind w:left="1287" w:right="2281" w:firstLine="0"/>
        <w:jc w:val="left"/>
        <w:rPr>
          <w:rFonts w:ascii="Stone Sans II ITC Std Bk"/>
          <w:b/>
          <w:sz w:val="20"/>
        </w:rPr>
      </w:pPr>
      <w:r>
        <w:rPr>
          <w:w w:val="115"/>
          <w:sz w:val="20"/>
        </w:rPr>
        <w:t>Resolution 30 acknowledged that the pattern of providing a proportion of the time of an ordained minister to each local church was no longer sustainable: </w:t>
      </w:r>
      <w:r>
        <w:rPr>
          <w:rFonts w:ascii="Stone Sans II ITC Std Bk"/>
          <w:b/>
          <w:w w:val="115"/>
          <w:sz w:val="20"/>
        </w:rPr>
        <w:t>General Assembly, recognising that the number of Ministers of the Word and Sacraments continues to fall much more rapidly than the number</w:t>
      </w:r>
      <w:r>
        <w:rPr>
          <w:rFonts w:ascii="Stone Sans II ITC Std Bk"/>
          <w:b/>
          <w:spacing w:val="-31"/>
          <w:w w:val="115"/>
          <w:sz w:val="20"/>
        </w:rPr>
        <w:t> </w:t>
      </w:r>
      <w:r>
        <w:rPr>
          <w:rFonts w:ascii="Stone Sans II ITC Std Bk"/>
          <w:b/>
          <w:w w:val="115"/>
          <w:sz w:val="20"/>
        </w:rPr>
        <w:t>of</w:t>
      </w:r>
      <w:r>
        <w:rPr>
          <w:rFonts w:ascii="Stone Sans II ITC Std Bk"/>
          <w:b/>
          <w:spacing w:val="-31"/>
          <w:w w:val="115"/>
          <w:sz w:val="20"/>
        </w:rPr>
        <w:t> </w:t>
      </w:r>
      <w:r>
        <w:rPr>
          <w:rFonts w:ascii="Stone Sans II ITC Std Bk"/>
          <w:b/>
          <w:w w:val="115"/>
          <w:sz w:val="20"/>
        </w:rPr>
        <w:t>congregations,</w:t>
      </w:r>
      <w:r>
        <w:rPr>
          <w:rFonts w:ascii="Stone Sans II ITC Std Bk"/>
          <w:b/>
          <w:spacing w:val="-31"/>
          <w:w w:val="115"/>
          <w:sz w:val="20"/>
        </w:rPr>
        <w:t> </w:t>
      </w:r>
      <w:r>
        <w:rPr>
          <w:rFonts w:ascii="Stone Sans II ITC Std Bk"/>
          <w:b/>
          <w:w w:val="115"/>
          <w:sz w:val="20"/>
        </w:rPr>
        <w:t>requests</w:t>
      </w:r>
      <w:r>
        <w:rPr>
          <w:rFonts w:ascii="Stone Sans II ITC Std Bk"/>
          <w:b/>
          <w:spacing w:val="-31"/>
          <w:w w:val="115"/>
          <w:sz w:val="20"/>
        </w:rPr>
        <w:t> </w:t>
      </w:r>
      <w:r>
        <w:rPr>
          <w:rFonts w:ascii="Stone Sans II ITC Std Bk"/>
          <w:b/>
          <w:w w:val="115"/>
          <w:sz w:val="20"/>
        </w:rPr>
        <w:t>synods,</w:t>
      </w:r>
      <w:r>
        <w:rPr>
          <w:rFonts w:ascii="Stone Sans II ITC Std Bk"/>
          <w:b/>
          <w:spacing w:val="-30"/>
          <w:w w:val="115"/>
          <w:sz w:val="20"/>
        </w:rPr>
        <w:t> </w:t>
      </w:r>
      <w:r>
        <w:rPr>
          <w:rFonts w:ascii="Stone Sans II ITC Std Bk"/>
          <w:b/>
          <w:w w:val="115"/>
          <w:sz w:val="20"/>
        </w:rPr>
        <w:t>district</w:t>
      </w:r>
      <w:r>
        <w:rPr>
          <w:rFonts w:ascii="Stone Sans II ITC Std Bk"/>
          <w:b/>
          <w:spacing w:val="-31"/>
          <w:w w:val="115"/>
          <w:sz w:val="20"/>
        </w:rPr>
        <w:t> </w:t>
      </w:r>
      <w:r>
        <w:rPr>
          <w:rFonts w:ascii="Stone Sans II ITC Std Bk"/>
          <w:b/>
          <w:w w:val="115"/>
          <w:sz w:val="20"/>
        </w:rPr>
        <w:t>and</w:t>
      </w:r>
      <w:r>
        <w:rPr>
          <w:rFonts w:ascii="Stone Sans II ITC Std Bk"/>
          <w:b/>
          <w:spacing w:val="-31"/>
          <w:w w:val="115"/>
          <w:sz w:val="20"/>
        </w:rPr>
        <w:t> </w:t>
      </w:r>
      <w:r>
        <w:rPr>
          <w:rFonts w:ascii="Stone Sans II ITC Std Bk"/>
          <w:b/>
          <w:w w:val="115"/>
          <w:sz w:val="20"/>
        </w:rPr>
        <w:t>area</w:t>
      </w:r>
      <w:r>
        <w:rPr>
          <w:rFonts w:ascii="Stone Sans II ITC Std Bk"/>
          <w:b/>
          <w:spacing w:val="-31"/>
          <w:w w:val="115"/>
          <w:sz w:val="20"/>
        </w:rPr>
        <w:t> </w:t>
      </w:r>
      <w:r>
        <w:rPr>
          <w:rFonts w:ascii="Stone Sans II ITC Std Bk"/>
          <w:b/>
          <w:w w:val="115"/>
          <w:sz w:val="20"/>
        </w:rPr>
        <w:t>councils</w:t>
      </w:r>
      <w:r>
        <w:rPr>
          <w:rFonts w:ascii="Stone Sans II ITC Std Bk"/>
          <w:b/>
          <w:spacing w:val="-30"/>
          <w:w w:val="115"/>
          <w:sz w:val="20"/>
        </w:rPr>
        <w:t> </w:t>
      </w:r>
      <w:r>
        <w:rPr>
          <w:rFonts w:ascii="Stone Sans II ITC Std Bk"/>
          <w:b/>
          <w:w w:val="115"/>
          <w:sz w:val="20"/>
        </w:rPr>
        <w:t>to deploy</w:t>
      </w:r>
      <w:r>
        <w:rPr>
          <w:rFonts w:ascii="Stone Sans II ITC Std Bk"/>
          <w:b/>
          <w:spacing w:val="-30"/>
          <w:w w:val="115"/>
          <w:sz w:val="20"/>
        </w:rPr>
        <w:t> </w:t>
      </w:r>
      <w:r>
        <w:rPr>
          <w:rFonts w:ascii="Stone Sans II ITC Std Bk"/>
          <w:b/>
          <w:w w:val="115"/>
          <w:sz w:val="20"/>
        </w:rPr>
        <w:t>ministers</w:t>
      </w:r>
      <w:r>
        <w:rPr>
          <w:rFonts w:ascii="Stone Sans II ITC Std Bk"/>
          <w:b/>
          <w:spacing w:val="-29"/>
          <w:w w:val="115"/>
          <w:sz w:val="20"/>
        </w:rPr>
        <w:t> </w:t>
      </w:r>
      <w:r>
        <w:rPr>
          <w:rFonts w:ascii="Stone Sans II ITC Std Bk"/>
          <w:b/>
          <w:w w:val="115"/>
          <w:sz w:val="20"/>
        </w:rPr>
        <w:t>in</w:t>
      </w:r>
      <w:r>
        <w:rPr>
          <w:rFonts w:ascii="Stone Sans II ITC Std Bk"/>
          <w:b/>
          <w:spacing w:val="-30"/>
          <w:w w:val="115"/>
          <w:sz w:val="20"/>
        </w:rPr>
        <w:t> </w:t>
      </w:r>
      <w:r>
        <w:rPr>
          <w:rFonts w:ascii="Stone Sans II ITC Std Bk"/>
          <w:b/>
          <w:w w:val="115"/>
          <w:sz w:val="20"/>
        </w:rPr>
        <w:t>ways</w:t>
      </w:r>
      <w:r>
        <w:rPr>
          <w:rFonts w:ascii="Stone Sans II ITC Std Bk"/>
          <w:b/>
          <w:spacing w:val="-29"/>
          <w:w w:val="115"/>
          <w:sz w:val="20"/>
        </w:rPr>
        <w:t> </w:t>
      </w:r>
      <w:r>
        <w:rPr>
          <w:rFonts w:ascii="Stone Sans II ITC Std Bk"/>
          <w:b/>
          <w:w w:val="115"/>
          <w:sz w:val="20"/>
        </w:rPr>
        <w:t>which</w:t>
      </w:r>
      <w:r>
        <w:rPr>
          <w:rFonts w:ascii="Stone Sans II ITC Std Bk"/>
          <w:b/>
          <w:spacing w:val="-29"/>
          <w:w w:val="115"/>
          <w:sz w:val="20"/>
        </w:rPr>
        <w:t> </w:t>
      </w:r>
      <w:r>
        <w:rPr>
          <w:rFonts w:ascii="Stone Sans II ITC Std Bk"/>
          <w:b/>
          <w:w w:val="115"/>
          <w:sz w:val="20"/>
        </w:rPr>
        <w:t>show</w:t>
      </w:r>
      <w:r>
        <w:rPr>
          <w:rFonts w:ascii="Stone Sans II ITC Std Bk"/>
          <w:b/>
          <w:spacing w:val="-30"/>
          <w:w w:val="115"/>
          <w:sz w:val="20"/>
        </w:rPr>
        <w:t> </w:t>
      </w:r>
      <w:r>
        <w:rPr>
          <w:rFonts w:ascii="Stone Sans II ITC Std Bk"/>
          <w:b/>
          <w:w w:val="115"/>
          <w:sz w:val="20"/>
        </w:rPr>
        <w:t>imagination</w:t>
      </w:r>
      <w:r>
        <w:rPr>
          <w:rFonts w:ascii="Stone Sans II ITC Std Bk"/>
          <w:b/>
          <w:spacing w:val="-29"/>
          <w:w w:val="115"/>
          <w:sz w:val="20"/>
        </w:rPr>
        <w:t> </w:t>
      </w:r>
      <w:r>
        <w:rPr>
          <w:rFonts w:ascii="Stone Sans II ITC Std Bk"/>
          <w:b/>
          <w:w w:val="115"/>
          <w:sz w:val="20"/>
        </w:rPr>
        <w:t>and</w:t>
      </w:r>
      <w:r>
        <w:rPr>
          <w:rFonts w:ascii="Stone Sans II ITC Std Bk"/>
          <w:b/>
          <w:spacing w:val="-29"/>
          <w:w w:val="115"/>
          <w:sz w:val="20"/>
        </w:rPr>
        <w:t> </w:t>
      </w:r>
      <w:r>
        <w:rPr>
          <w:rFonts w:ascii="Stone Sans II ITC Std Bk"/>
          <w:b/>
          <w:w w:val="115"/>
          <w:sz w:val="20"/>
        </w:rPr>
        <w:t>flexibility,</w:t>
      </w:r>
      <w:r>
        <w:rPr>
          <w:rFonts w:ascii="Stone Sans II ITC Std Bk"/>
          <w:b/>
          <w:spacing w:val="-30"/>
          <w:w w:val="115"/>
          <w:sz w:val="20"/>
        </w:rPr>
        <w:t> </w:t>
      </w:r>
      <w:r>
        <w:rPr>
          <w:rFonts w:ascii="Stone Sans II ITC Std Bk"/>
          <w:b/>
          <w:w w:val="115"/>
          <w:sz w:val="20"/>
        </w:rPr>
        <w:t>and</w:t>
      </w:r>
      <w:r>
        <w:rPr>
          <w:rFonts w:ascii="Stone Sans II ITC Std Bk"/>
          <w:b/>
          <w:spacing w:val="-29"/>
          <w:w w:val="115"/>
          <w:sz w:val="20"/>
        </w:rPr>
        <w:t> </w:t>
      </w:r>
      <w:r>
        <w:rPr>
          <w:rFonts w:ascii="Stone Sans II ITC Std Bk"/>
          <w:b/>
          <w:w w:val="115"/>
          <w:sz w:val="20"/>
        </w:rPr>
        <w:t>in particular:</w:t>
      </w:r>
    </w:p>
    <w:p>
      <w:pPr>
        <w:pStyle w:val="Heading7"/>
        <w:numPr>
          <w:ilvl w:val="2"/>
          <w:numId w:val="193"/>
        </w:numPr>
        <w:tabs>
          <w:tab w:pos="1967" w:val="left" w:leader="none"/>
          <w:tab w:pos="1968" w:val="left" w:leader="none"/>
        </w:tabs>
        <w:spacing w:line="231" w:lineRule="exact" w:before="0" w:after="0"/>
        <w:ind w:left="1967" w:right="0" w:hanging="681"/>
        <w:jc w:val="left"/>
      </w:pPr>
      <w:r>
        <w:rPr>
          <w:w w:val="110"/>
        </w:rPr>
        <w:t>to focus on present and future opportunities not historical patterns;</w:t>
      </w:r>
    </w:p>
    <w:p>
      <w:pPr>
        <w:pStyle w:val="Heading7"/>
        <w:numPr>
          <w:ilvl w:val="2"/>
          <w:numId w:val="193"/>
        </w:numPr>
        <w:tabs>
          <w:tab w:pos="1967" w:val="left" w:leader="none"/>
          <w:tab w:pos="1968" w:val="left" w:leader="none"/>
        </w:tabs>
        <w:spacing w:line="213" w:lineRule="auto" w:before="7" w:after="0"/>
        <w:ind w:left="1967" w:right="2333" w:hanging="681"/>
        <w:jc w:val="left"/>
      </w:pPr>
      <w:r>
        <w:rPr>
          <w:w w:val="110"/>
        </w:rPr>
        <w:t>to look at leadership needs and resources in each congregation, accepting that not every congregation has or will have a minister directly providing their day-to-day leadership;</w:t>
      </w:r>
    </w:p>
    <w:p>
      <w:pPr>
        <w:pStyle w:val="Heading7"/>
        <w:numPr>
          <w:ilvl w:val="2"/>
          <w:numId w:val="193"/>
        </w:numPr>
        <w:tabs>
          <w:tab w:pos="1967" w:val="left" w:leader="none"/>
          <w:tab w:pos="1968" w:val="left" w:leader="none"/>
        </w:tabs>
        <w:spacing w:line="231" w:lineRule="exact" w:before="0" w:after="0"/>
        <w:ind w:left="1967" w:right="0" w:hanging="681"/>
        <w:jc w:val="left"/>
      </w:pPr>
      <w:r>
        <w:rPr>
          <w:w w:val="110"/>
        </w:rPr>
        <w:t>to take account of the deployment plans of sister</w:t>
      </w:r>
      <w:r>
        <w:rPr>
          <w:spacing w:val="-3"/>
          <w:w w:val="110"/>
        </w:rPr>
        <w:t> </w:t>
      </w:r>
      <w:r>
        <w:rPr>
          <w:w w:val="110"/>
        </w:rPr>
        <w:t>denominations;</w:t>
      </w:r>
    </w:p>
    <w:p>
      <w:pPr>
        <w:pStyle w:val="Heading7"/>
        <w:numPr>
          <w:ilvl w:val="2"/>
          <w:numId w:val="193"/>
        </w:numPr>
        <w:tabs>
          <w:tab w:pos="1967" w:val="left" w:leader="none"/>
          <w:tab w:pos="1968" w:val="left" w:leader="none"/>
        </w:tabs>
        <w:spacing w:line="240" w:lineRule="exact" w:before="0" w:after="0"/>
        <w:ind w:left="1967" w:right="0" w:hanging="681"/>
        <w:jc w:val="left"/>
      </w:pPr>
      <w:r>
        <w:rPr>
          <w:w w:val="110"/>
        </w:rPr>
        <w:t>to take account of the service offered by self-supporting</w:t>
      </w:r>
      <w:r>
        <w:rPr>
          <w:spacing w:val="1"/>
          <w:w w:val="110"/>
        </w:rPr>
        <w:t> </w:t>
      </w:r>
      <w:r>
        <w:rPr>
          <w:w w:val="110"/>
        </w:rPr>
        <w:t>ministers;</w:t>
      </w:r>
    </w:p>
    <w:p>
      <w:pPr>
        <w:pStyle w:val="Heading7"/>
        <w:numPr>
          <w:ilvl w:val="2"/>
          <w:numId w:val="193"/>
        </w:numPr>
        <w:tabs>
          <w:tab w:pos="1967" w:val="left" w:leader="none"/>
          <w:tab w:pos="1968" w:val="left" w:leader="none"/>
        </w:tabs>
        <w:spacing w:line="213" w:lineRule="auto" w:before="7" w:after="0"/>
        <w:ind w:left="1967" w:right="2462" w:hanging="681"/>
        <w:jc w:val="left"/>
      </w:pPr>
      <w:r>
        <w:rPr>
          <w:w w:val="110"/>
        </w:rPr>
        <w:t>to take account of the Church’s policy on local church leaders as agreed at the </w:t>
      </w:r>
      <w:r>
        <w:rPr>
          <w:spacing w:val="-3"/>
          <w:w w:val="110"/>
        </w:rPr>
        <w:t>1998 </w:t>
      </w:r>
      <w:r>
        <w:rPr>
          <w:w w:val="110"/>
        </w:rPr>
        <w:t>meeting of the</w:t>
      </w:r>
      <w:r>
        <w:rPr>
          <w:spacing w:val="3"/>
          <w:w w:val="110"/>
        </w:rPr>
        <w:t> </w:t>
      </w:r>
      <w:r>
        <w:rPr>
          <w:w w:val="110"/>
        </w:rPr>
        <w:t>Assembly;</w:t>
      </w:r>
    </w:p>
    <w:p>
      <w:pPr>
        <w:pStyle w:val="Heading7"/>
        <w:numPr>
          <w:ilvl w:val="2"/>
          <w:numId w:val="193"/>
        </w:numPr>
        <w:tabs>
          <w:tab w:pos="1967" w:val="left" w:leader="none"/>
          <w:tab w:pos="1968" w:val="left" w:leader="none"/>
        </w:tabs>
        <w:spacing w:line="213" w:lineRule="auto" w:before="0" w:after="0"/>
        <w:ind w:left="1967" w:right="2604" w:hanging="681"/>
        <w:jc w:val="left"/>
      </w:pPr>
      <w:r>
        <w:rPr>
          <w:w w:val="110"/>
        </w:rPr>
        <w:t>to remember the possibilities provided by the special category ministry</w:t>
      </w:r>
      <w:r>
        <w:rPr>
          <w:spacing w:val="-1"/>
          <w:w w:val="110"/>
        </w:rPr>
        <w:t> </w:t>
      </w:r>
      <w:r>
        <w:rPr>
          <w:w w:val="110"/>
        </w:rPr>
        <w:t>scheme.</w:t>
      </w:r>
    </w:p>
    <w:p>
      <w:pPr>
        <w:pStyle w:val="BodyText"/>
        <w:spacing w:before="2"/>
        <w:rPr>
          <w:rFonts w:ascii="Stone Sans II ITC Std Bk"/>
          <w:b/>
          <w:sz w:val="17"/>
        </w:rPr>
      </w:pPr>
    </w:p>
    <w:p>
      <w:pPr>
        <w:pStyle w:val="ListParagraph"/>
        <w:numPr>
          <w:ilvl w:val="1"/>
          <w:numId w:val="193"/>
        </w:numPr>
        <w:tabs>
          <w:tab w:pos="1287" w:val="left" w:leader="none"/>
          <w:tab w:pos="1288" w:val="left" w:leader="none"/>
        </w:tabs>
        <w:spacing w:line="235" w:lineRule="auto" w:before="0" w:after="0"/>
        <w:ind w:left="607" w:right="2177" w:firstLine="0"/>
        <w:jc w:val="left"/>
        <w:rPr>
          <w:sz w:val="20"/>
        </w:rPr>
      </w:pPr>
      <w:r>
        <w:rPr>
          <w:w w:val="120"/>
          <w:sz w:val="20"/>
        </w:rPr>
        <w:t>In 2008, Assembly agreed a ‘Challenge to the </w:t>
      </w:r>
      <w:r>
        <w:rPr>
          <w:spacing w:val="-4"/>
          <w:w w:val="120"/>
          <w:sz w:val="20"/>
        </w:rPr>
        <w:t>Church’, </w:t>
      </w:r>
      <w:r>
        <w:rPr>
          <w:w w:val="120"/>
          <w:sz w:val="20"/>
        </w:rPr>
        <w:t>by consensus as Resolution </w:t>
      </w:r>
      <w:r>
        <w:rPr>
          <w:spacing w:val="-3"/>
          <w:w w:val="120"/>
          <w:sz w:val="20"/>
        </w:rPr>
        <w:t>23. </w:t>
      </w:r>
      <w:r>
        <w:rPr>
          <w:w w:val="120"/>
          <w:sz w:val="20"/>
        </w:rPr>
        <w:t>This Challenge developed the 2005 resolutions, and ministries believes that it is as relevant as </w:t>
      </w:r>
      <w:r>
        <w:rPr>
          <w:spacing w:val="-4"/>
          <w:w w:val="120"/>
          <w:sz w:val="20"/>
        </w:rPr>
        <w:t>ever. </w:t>
      </w:r>
      <w:r>
        <w:rPr>
          <w:w w:val="120"/>
          <w:sz w:val="20"/>
        </w:rPr>
        <w:t>We therefore invite Assembly to reaffirm it in</w:t>
      </w:r>
      <w:r>
        <w:rPr>
          <w:spacing w:val="-17"/>
          <w:w w:val="120"/>
          <w:sz w:val="20"/>
        </w:rPr>
        <w:t> </w:t>
      </w:r>
      <w:r>
        <w:rPr>
          <w:spacing w:val="-6"/>
          <w:w w:val="120"/>
          <w:sz w:val="20"/>
        </w:rPr>
        <w:t>2016.</w:t>
      </w:r>
    </w:p>
    <w:p>
      <w:pPr>
        <w:pStyle w:val="Heading7"/>
        <w:spacing w:line="241" w:lineRule="exact"/>
        <w:ind w:left="1287"/>
      </w:pPr>
      <w:r>
        <w:rPr>
          <w:w w:val="110"/>
        </w:rPr>
        <w:t>General Assembly:</w:t>
      </w:r>
    </w:p>
    <w:p>
      <w:pPr>
        <w:pStyle w:val="Heading7"/>
        <w:numPr>
          <w:ilvl w:val="0"/>
          <w:numId w:val="194"/>
        </w:numPr>
        <w:tabs>
          <w:tab w:pos="1967" w:val="left" w:leader="none"/>
          <w:tab w:pos="1968" w:val="left" w:leader="none"/>
        </w:tabs>
        <w:spacing w:line="213" w:lineRule="auto" w:before="7" w:after="0"/>
        <w:ind w:left="1967" w:right="2042" w:hanging="681"/>
        <w:jc w:val="left"/>
      </w:pPr>
      <w:r>
        <w:rPr>
          <w:w w:val="110"/>
        </w:rPr>
        <w:t>believes that each congregation and mission group has a need of its own local leader to work in partnership with the elders’ meeting to challenge, enable and equip the saints and be a focus of Christian presence in the local community;</w:t>
      </w:r>
      <w:r>
        <w:rPr>
          <w:spacing w:val="-1"/>
          <w:w w:val="110"/>
        </w:rPr>
        <w:t> </w:t>
      </w:r>
      <w:r>
        <w:rPr>
          <w:w w:val="110"/>
        </w:rPr>
        <w:t>and</w:t>
      </w:r>
    </w:p>
    <w:p>
      <w:pPr>
        <w:pStyle w:val="Heading7"/>
        <w:numPr>
          <w:ilvl w:val="0"/>
          <w:numId w:val="194"/>
        </w:numPr>
        <w:tabs>
          <w:tab w:pos="1967" w:val="left" w:leader="none"/>
          <w:tab w:pos="1968" w:val="left" w:leader="none"/>
        </w:tabs>
        <w:spacing w:line="213" w:lineRule="auto" w:before="0" w:after="0"/>
        <w:ind w:left="1967" w:right="2172" w:hanging="681"/>
        <w:jc w:val="left"/>
      </w:pPr>
      <w:r>
        <w:rPr>
          <w:w w:val="110"/>
        </w:rPr>
        <w:t>affirms the value of team pastorates in providing pastoral support, encouragement and training for those in local</w:t>
      </w:r>
      <w:r>
        <w:rPr>
          <w:spacing w:val="2"/>
          <w:w w:val="110"/>
        </w:rPr>
        <w:t> </w:t>
      </w:r>
      <w:r>
        <w:rPr>
          <w:w w:val="110"/>
        </w:rPr>
        <w:t>leadership;</w:t>
      </w:r>
    </w:p>
    <w:p>
      <w:pPr>
        <w:pStyle w:val="Heading7"/>
        <w:numPr>
          <w:ilvl w:val="0"/>
          <w:numId w:val="194"/>
        </w:numPr>
        <w:tabs>
          <w:tab w:pos="1967" w:val="left" w:leader="none"/>
          <w:tab w:pos="1968" w:val="left" w:leader="none"/>
        </w:tabs>
        <w:spacing w:line="213" w:lineRule="auto" w:before="0" w:after="0"/>
        <w:ind w:left="1967" w:right="2103" w:hanging="681"/>
        <w:jc w:val="left"/>
      </w:pPr>
      <w:r>
        <w:rPr>
          <w:w w:val="110"/>
        </w:rPr>
        <w:t>recognises that congregations and communities may sometimes be best served by ecumenical</w:t>
      </w:r>
      <w:r>
        <w:rPr>
          <w:spacing w:val="-1"/>
          <w:w w:val="110"/>
        </w:rPr>
        <w:t> </w:t>
      </w:r>
      <w:r>
        <w:rPr>
          <w:w w:val="110"/>
        </w:rPr>
        <w:t>teams;</w:t>
      </w:r>
    </w:p>
    <w:p>
      <w:pPr>
        <w:pStyle w:val="Heading7"/>
        <w:numPr>
          <w:ilvl w:val="0"/>
          <w:numId w:val="194"/>
        </w:numPr>
        <w:tabs>
          <w:tab w:pos="1967" w:val="left" w:leader="none"/>
          <w:tab w:pos="1968" w:val="left" w:leader="none"/>
        </w:tabs>
        <w:spacing w:line="232" w:lineRule="exact" w:before="0" w:after="0"/>
        <w:ind w:left="1967" w:right="0" w:hanging="681"/>
        <w:jc w:val="left"/>
      </w:pPr>
      <w:r>
        <w:rPr>
          <w:w w:val="110"/>
        </w:rPr>
        <w:t>theref</w:t>
      </w:r>
      <w:r>
        <w:rPr>
          <w:rFonts w:ascii="Calibri"/>
          <w:b w:val="0"/>
          <w:w w:val="110"/>
        </w:rPr>
        <w:t>o</w:t>
      </w:r>
      <w:r>
        <w:rPr>
          <w:w w:val="110"/>
        </w:rPr>
        <w:t>re requests synods</w:t>
      </w:r>
    </w:p>
    <w:p>
      <w:pPr>
        <w:pStyle w:val="Heading7"/>
        <w:numPr>
          <w:ilvl w:val="1"/>
          <w:numId w:val="194"/>
        </w:numPr>
        <w:tabs>
          <w:tab w:pos="2648" w:val="left" w:leader="none"/>
          <w:tab w:pos="2649" w:val="left" w:leader="none"/>
        </w:tabs>
        <w:spacing w:line="213" w:lineRule="auto" w:before="3" w:after="0"/>
        <w:ind w:left="2648" w:right="2387" w:hanging="681"/>
        <w:jc w:val="left"/>
      </w:pPr>
      <w:r>
        <w:rPr>
          <w:w w:val="110"/>
        </w:rPr>
        <w:t>to identify and quantify the leadership needs of each local situation,</w:t>
      </w:r>
    </w:p>
    <w:p>
      <w:pPr>
        <w:pStyle w:val="Heading7"/>
        <w:numPr>
          <w:ilvl w:val="1"/>
          <w:numId w:val="194"/>
        </w:numPr>
        <w:tabs>
          <w:tab w:pos="2648" w:val="left" w:leader="none"/>
          <w:tab w:pos="2649" w:val="left" w:leader="none"/>
        </w:tabs>
        <w:spacing w:line="213" w:lineRule="auto" w:before="0" w:after="0"/>
        <w:ind w:left="2648" w:right="2020" w:hanging="681"/>
        <w:jc w:val="left"/>
      </w:pPr>
      <w:r>
        <w:rPr>
          <w:w w:val="110"/>
        </w:rPr>
        <w:t>make arrangements for the recruitment, training, calling and support of local</w:t>
      </w:r>
      <w:r>
        <w:rPr>
          <w:spacing w:val="-1"/>
          <w:w w:val="110"/>
        </w:rPr>
        <w:t> </w:t>
      </w:r>
      <w:r>
        <w:rPr>
          <w:w w:val="110"/>
        </w:rPr>
        <w:t>leaders,</w:t>
      </w:r>
    </w:p>
    <w:p>
      <w:pPr>
        <w:pStyle w:val="Heading7"/>
        <w:numPr>
          <w:ilvl w:val="1"/>
          <w:numId w:val="194"/>
        </w:numPr>
        <w:tabs>
          <w:tab w:pos="2648" w:val="left" w:leader="none"/>
          <w:tab w:pos="2649" w:val="left" w:leader="none"/>
        </w:tabs>
        <w:spacing w:line="213" w:lineRule="auto" w:before="0" w:after="0"/>
        <w:ind w:left="2648" w:right="2098" w:hanging="681"/>
        <w:jc w:val="left"/>
      </w:pPr>
      <w:r>
        <w:rPr>
          <w:w w:val="110"/>
        </w:rPr>
        <w:t>to encourage the development of team pastorates to provide pastoral support, encouragement and training,</w:t>
      </w:r>
      <w:r>
        <w:rPr>
          <w:spacing w:val="3"/>
          <w:w w:val="110"/>
        </w:rPr>
        <w:t> </w:t>
      </w:r>
      <w:r>
        <w:rPr>
          <w:w w:val="110"/>
        </w:rPr>
        <w:t>and</w:t>
      </w:r>
    </w:p>
    <w:p>
      <w:pPr>
        <w:pStyle w:val="Heading7"/>
        <w:numPr>
          <w:ilvl w:val="1"/>
          <w:numId w:val="194"/>
        </w:numPr>
        <w:tabs>
          <w:tab w:pos="2648" w:val="left" w:leader="none"/>
          <w:tab w:pos="2649" w:val="left" w:leader="none"/>
        </w:tabs>
        <w:spacing w:line="213" w:lineRule="auto" w:before="0" w:after="0"/>
        <w:ind w:left="2648" w:right="2158" w:hanging="681"/>
        <w:jc w:val="left"/>
      </w:pPr>
      <w:r>
        <w:rPr>
          <w:w w:val="110"/>
        </w:rPr>
        <w:t>to explore ecumenical opportunities for sharing ministry and developing, where possible, cross-denominational team pastorates.</w:t>
      </w:r>
    </w:p>
    <w:p>
      <w:pPr>
        <w:spacing w:after="0" w:line="213" w:lineRule="auto"/>
        <w:jc w:val="left"/>
        <w:sectPr>
          <w:headerReference w:type="even" r:id="rId424"/>
          <w:footerReference w:type="even" r:id="rId425"/>
          <w:footerReference w:type="default" r:id="rId426"/>
          <w:pgSz w:w="11910" w:h="16840"/>
          <w:pgMar w:header="0" w:footer="647" w:top="0" w:bottom="840" w:left="640" w:right="0"/>
          <w:pgNumType w:start="158"/>
        </w:sectPr>
      </w:pPr>
    </w:p>
    <w:p>
      <w:pPr>
        <w:pStyle w:val="BodyText"/>
        <w:rPr>
          <w:rFonts w:ascii="Stone Sans II ITC Std Bk"/>
          <w:b/>
        </w:rPr>
      </w:pPr>
    </w:p>
    <w:p>
      <w:pPr>
        <w:pStyle w:val="BodyText"/>
        <w:spacing w:before="7"/>
        <w:rPr>
          <w:rFonts w:ascii="Stone Sans II ITC Std Bk"/>
          <w:b/>
          <w:sz w:val="17"/>
        </w:rPr>
      </w:pPr>
    </w:p>
    <w:p>
      <w:pPr>
        <w:spacing w:after="0"/>
        <w:rPr>
          <w:rFonts w:ascii="Stone Sans II ITC Std Bk"/>
          <w:sz w:val="17"/>
        </w:rPr>
        <w:sectPr>
          <w:headerReference w:type="default" r:id="rId427"/>
          <w:pgSz w:w="11910" w:h="16840"/>
          <w:pgMar w:header="0" w:footer="647" w:top="0" w:bottom="840" w:left="640" w:right="0"/>
        </w:sectPr>
      </w:pPr>
    </w:p>
    <w:p>
      <w:pPr>
        <w:pStyle w:val="BodyText"/>
        <w:spacing w:before="3"/>
        <w:rPr>
          <w:rFonts w:ascii="Stone Sans II ITC Std Bk"/>
          <w:b/>
          <w:sz w:val="47"/>
        </w:rPr>
      </w:pPr>
    </w:p>
    <w:p>
      <w:pPr>
        <w:spacing w:before="1"/>
        <w:ind w:left="1344" w:right="0" w:firstLine="0"/>
        <w:jc w:val="left"/>
        <w:rPr>
          <w:rFonts w:ascii="Stone Sans II ITC Std Bk"/>
          <w:b/>
          <w:sz w:val="29"/>
        </w:rPr>
      </w:pPr>
      <w:r>
        <w:rPr>
          <w:rFonts w:ascii="Stone Sans II ITC Std Bk"/>
          <w:b/>
          <w:w w:val="110"/>
          <w:sz w:val="29"/>
        </w:rPr>
        <w:t>Deployment</w:t>
      </w:r>
    </w:p>
    <w:p>
      <w:pPr>
        <w:spacing w:before="107"/>
        <w:ind w:left="1344" w:right="0" w:firstLine="0"/>
        <w:jc w:val="left"/>
        <w:rPr>
          <w:sz w:val="26"/>
        </w:rPr>
      </w:pPr>
      <w:r>
        <w:rPr/>
        <w:br w:type="column"/>
      </w:r>
      <w:r>
        <w:rPr>
          <w:color w:val="7EAABF"/>
          <w:w w:val="110"/>
          <w:sz w:val="26"/>
        </w:rPr>
        <w:t>Ministries</w:t>
      </w:r>
    </w:p>
    <w:p>
      <w:pPr>
        <w:spacing w:after="0"/>
        <w:jc w:val="left"/>
        <w:rPr>
          <w:sz w:val="26"/>
        </w:rPr>
        <w:sectPr>
          <w:type w:val="continuous"/>
          <w:pgSz w:w="11910" w:h="16840"/>
          <w:pgMar w:top="1580" w:bottom="280" w:left="640" w:right="0"/>
          <w:cols w:num="2" w:equalWidth="0">
            <w:col w:w="3338" w:space="4159"/>
            <w:col w:w="3773"/>
          </w:cols>
        </w:sectPr>
      </w:pPr>
    </w:p>
    <w:p>
      <w:pPr>
        <w:pStyle w:val="ListParagraph"/>
        <w:numPr>
          <w:ilvl w:val="1"/>
          <w:numId w:val="187"/>
        </w:numPr>
        <w:tabs>
          <w:tab w:pos="2024" w:val="left" w:leader="none"/>
          <w:tab w:pos="2025" w:val="left" w:leader="none"/>
        </w:tabs>
        <w:spacing w:line="235" w:lineRule="auto" w:before="69" w:after="0"/>
        <w:ind w:left="1344" w:right="1763" w:firstLine="0"/>
        <w:jc w:val="left"/>
        <w:rPr>
          <w:sz w:val="20"/>
        </w:rPr>
      </w:pPr>
      <w:r>
        <w:rPr/>
        <w:drawing>
          <wp:anchor distT="0" distB="0" distL="0" distR="0" allowOverlap="1" layoutInCell="1" locked="0" behindDoc="1" simplePos="0" relativeHeight="235619328">
            <wp:simplePos x="0" y="0"/>
            <wp:positionH relativeFrom="page">
              <wp:posOffset>6974928</wp:posOffset>
            </wp:positionH>
            <wp:positionV relativeFrom="page">
              <wp:posOffset>0</wp:posOffset>
            </wp:positionV>
            <wp:extent cx="585063" cy="10692003"/>
            <wp:effectExtent l="0" t="0" r="0" b="0"/>
            <wp:wrapNone/>
            <wp:docPr id="299" name="image54.png"/>
            <wp:cNvGraphicFramePr>
              <a:graphicFrameLocks noChangeAspect="1"/>
            </wp:cNvGraphicFramePr>
            <a:graphic>
              <a:graphicData uri="http://schemas.openxmlformats.org/drawingml/2006/picture">
                <pic:pic>
                  <pic:nvPicPr>
                    <pic:cNvPr id="300" name="image54.png"/>
                    <pic:cNvPicPr/>
                  </pic:nvPicPr>
                  <pic:blipFill>
                    <a:blip r:embed="rId169" cstate="print"/>
                    <a:stretch>
                      <a:fillRect/>
                    </a:stretch>
                  </pic:blipFill>
                  <pic:spPr>
                    <a:xfrm>
                      <a:off x="0" y="0"/>
                      <a:ext cx="585063" cy="10692003"/>
                    </a:xfrm>
                    <a:prstGeom prst="rect">
                      <a:avLst/>
                    </a:prstGeom>
                  </pic:spPr>
                </pic:pic>
              </a:graphicData>
            </a:graphic>
          </wp:anchor>
        </w:drawing>
      </w:r>
      <w:r>
        <w:rPr/>
        <w:pict>
          <v:shape style="position:absolute;margin-left:554.141174pt;margin-top:-28.931347pt;width:25.9pt;height:469.3pt;mso-position-horizontal-relative:page;mso-position-vertical-relative:paragraph;z-index:-267696128" type="#_x0000_t202" filled="false" stroked="false">
            <v:textbox inset="0,0,0,0" style="layout-flow:vertical">
              <w:txbxContent>
                <w:p>
                  <w:pPr>
                    <w:spacing w:before="27"/>
                    <w:ind w:left="20" w:right="0" w:firstLine="0"/>
                    <w:jc w:val="left"/>
                    <w:rPr>
                      <w:sz w:val="39"/>
                    </w:rPr>
                  </w:pPr>
                  <w:r>
                    <w:rPr>
                      <w:color w:val="FFFFFF"/>
                      <w:w w:val="120"/>
                      <w:sz w:val="39"/>
                    </w:rPr>
                    <w:t>Ministries – </w:t>
                  </w:r>
                  <w:r>
                    <w:rPr>
                      <w:w w:val="120"/>
                      <w:sz w:val="39"/>
                    </w:rPr>
                    <w:t>Stipendiary minister numbers and</w:t>
                  </w:r>
                </w:p>
              </w:txbxContent>
            </v:textbox>
            <w10:wrap type="none"/>
          </v:shape>
        </w:pict>
      </w:r>
      <w:r>
        <w:rPr>
          <w:w w:val="120"/>
          <w:sz w:val="20"/>
        </w:rPr>
        <w:t>In </w:t>
      </w:r>
      <w:r>
        <w:rPr>
          <w:spacing w:val="-9"/>
          <w:w w:val="120"/>
          <w:sz w:val="20"/>
        </w:rPr>
        <w:t>1979, </w:t>
      </w:r>
      <w:r>
        <w:rPr>
          <w:w w:val="120"/>
          <w:sz w:val="20"/>
        </w:rPr>
        <w:t>Assembly agreed that the number of stipendiary ministers available to the Church as a whole should be allocated to each of the synods according to a formula which was weighted in the ratios </w:t>
      </w:r>
      <w:r>
        <w:rPr>
          <w:spacing w:val="-7"/>
          <w:w w:val="120"/>
          <w:sz w:val="20"/>
        </w:rPr>
        <w:t>3:2:1  </w:t>
      </w:r>
      <w:r>
        <w:rPr>
          <w:w w:val="120"/>
          <w:sz w:val="20"/>
        </w:rPr>
        <w:t>for number of members: number  of churches: population. At the time, there were almost 850 stipendiary</w:t>
      </w:r>
      <w:r>
        <w:rPr>
          <w:spacing w:val="21"/>
          <w:w w:val="120"/>
          <w:sz w:val="20"/>
        </w:rPr>
        <w:t> </w:t>
      </w:r>
      <w:r>
        <w:rPr>
          <w:w w:val="120"/>
          <w:sz w:val="20"/>
        </w:rPr>
        <w:t>ministers</w:t>
      </w:r>
    </w:p>
    <w:p>
      <w:pPr>
        <w:pStyle w:val="BodyText"/>
        <w:spacing w:line="235" w:lineRule="auto" w:before="3"/>
        <w:ind w:left="1344" w:right="1478"/>
      </w:pPr>
      <w:r>
        <w:rPr>
          <w:w w:val="120"/>
        </w:rPr>
        <w:t>available for deployment, and the formula has in general served the Church well over the intervening years.</w:t>
      </w:r>
    </w:p>
    <w:p>
      <w:pPr>
        <w:pStyle w:val="BodyText"/>
        <w:spacing w:before="9"/>
        <w:rPr>
          <w:sz w:val="19"/>
        </w:rPr>
      </w:pPr>
    </w:p>
    <w:p>
      <w:pPr>
        <w:pStyle w:val="ListParagraph"/>
        <w:numPr>
          <w:ilvl w:val="1"/>
          <w:numId w:val="187"/>
        </w:numPr>
        <w:tabs>
          <w:tab w:pos="2024" w:val="left" w:leader="none"/>
          <w:tab w:pos="2025" w:val="left" w:leader="none"/>
        </w:tabs>
        <w:spacing w:line="235" w:lineRule="auto" w:before="0" w:after="0"/>
        <w:ind w:left="1344" w:right="1338" w:firstLine="0"/>
        <w:jc w:val="left"/>
        <w:rPr>
          <w:sz w:val="20"/>
        </w:rPr>
      </w:pPr>
      <w:r>
        <w:rPr>
          <w:w w:val="120"/>
          <w:sz w:val="20"/>
        </w:rPr>
        <w:t>However, the one-sixth population element has not been regularly updated and still uses </w:t>
      </w:r>
      <w:r>
        <w:rPr>
          <w:spacing w:val="-6"/>
          <w:w w:val="120"/>
          <w:sz w:val="20"/>
        </w:rPr>
        <w:t>1991 </w:t>
      </w:r>
      <w:r>
        <w:rPr>
          <w:w w:val="120"/>
          <w:sz w:val="20"/>
        </w:rPr>
        <w:t>census data. It would be possible to recalibrate using </w:t>
      </w:r>
      <w:r>
        <w:rPr>
          <w:spacing w:val="-8"/>
          <w:w w:val="120"/>
          <w:sz w:val="20"/>
        </w:rPr>
        <w:t>2011 </w:t>
      </w:r>
      <w:r>
        <w:rPr>
          <w:w w:val="120"/>
          <w:sz w:val="20"/>
        </w:rPr>
        <w:t>census data. </w:t>
      </w:r>
      <w:r>
        <w:rPr>
          <w:spacing w:val="3"/>
          <w:w w:val="120"/>
          <w:sz w:val="20"/>
        </w:rPr>
        <w:t>As </w:t>
      </w:r>
      <w:r>
        <w:rPr>
          <w:w w:val="120"/>
          <w:sz w:val="20"/>
        </w:rPr>
        <w:t>population </w:t>
      </w:r>
      <w:r>
        <w:rPr>
          <w:spacing w:val="2"/>
          <w:w w:val="120"/>
          <w:sz w:val="20"/>
        </w:rPr>
        <w:t>shifts </w:t>
      </w:r>
      <w:r>
        <w:rPr>
          <w:w w:val="120"/>
          <w:sz w:val="20"/>
        </w:rPr>
        <w:t>generally follow economic prosperity, the main effect of such a recalculation would be to shift resources from the poorer synods towards the synods that are already the wealthier</w:t>
      </w:r>
      <w:r>
        <w:rPr>
          <w:spacing w:val="7"/>
          <w:w w:val="120"/>
          <w:sz w:val="20"/>
        </w:rPr>
        <w:t> </w:t>
      </w:r>
      <w:r>
        <w:rPr>
          <w:w w:val="120"/>
          <w:sz w:val="20"/>
        </w:rPr>
        <w:t>ones.</w:t>
      </w:r>
    </w:p>
    <w:p>
      <w:pPr>
        <w:pStyle w:val="BodyText"/>
        <w:spacing w:before="12"/>
        <w:rPr>
          <w:sz w:val="19"/>
        </w:rPr>
      </w:pPr>
    </w:p>
    <w:p>
      <w:pPr>
        <w:pStyle w:val="ListParagraph"/>
        <w:numPr>
          <w:ilvl w:val="1"/>
          <w:numId w:val="187"/>
        </w:numPr>
        <w:tabs>
          <w:tab w:pos="2024" w:val="left" w:leader="none"/>
          <w:tab w:pos="2025" w:val="left" w:leader="none"/>
        </w:tabs>
        <w:spacing w:line="235" w:lineRule="auto" w:before="0" w:after="0"/>
        <w:ind w:left="1344" w:right="1360" w:firstLine="0"/>
        <w:jc w:val="left"/>
        <w:rPr>
          <w:sz w:val="20"/>
        </w:rPr>
      </w:pPr>
      <w:r>
        <w:rPr>
          <w:w w:val="120"/>
          <w:sz w:val="20"/>
        </w:rPr>
        <w:t>In </w:t>
      </w:r>
      <w:r>
        <w:rPr>
          <w:spacing w:val="-3"/>
          <w:w w:val="120"/>
          <w:sz w:val="20"/>
        </w:rPr>
        <w:t>addition, </w:t>
      </w:r>
      <w:r>
        <w:rPr>
          <w:w w:val="120"/>
          <w:sz w:val="20"/>
        </w:rPr>
        <w:t>as </w:t>
      </w:r>
      <w:r>
        <w:rPr>
          <w:spacing w:val="-3"/>
          <w:w w:val="120"/>
          <w:sz w:val="20"/>
        </w:rPr>
        <w:t>this </w:t>
      </w:r>
      <w:r>
        <w:rPr>
          <w:w w:val="120"/>
          <w:sz w:val="20"/>
        </w:rPr>
        <w:t>population element represents only one-sixth of the </w:t>
      </w:r>
      <w:r>
        <w:rPr>
          <w:spacing w:val="-3"/>
          <w:w w:val="120"/>
          <w:sz w:val="20"/>
        </w:rPr>
        <w:t>weighting </w:t>
      </w:r>
      <w:r>
        <w:rPr>
          <w:w w:val="120"/>
          <w:sz w:val="20"/>
        </w:rPr>
        <w:t>in the formula, and as the number of stipends </w:t>
      </w:r>
      <w:r>
        <w:rPr>
          <w:spacing w:val="-3"/>
          <w:w w:val="120"/>
          <w:sz w:val="20"/>
        </w:rPr>
        <w:t>available continues to </w:t>
      </w:r>
      <w:r>
        <w:rPr>
          <w:w w:val="120"/>
          <w:sz w:val="20"/>
        </w:rPr>
        <w:t>fall, the difference made </w:t>
      </w:r>
      <w:r>
        <w:rPr>
          <w:spacing w:val="-3"/>
          <w:w w:val="120"/>
          <w:sz w:val="20"/>
        </w:rPr>
        <w:t>to </w:t>
      </w:r>
      <w:r>
        <w:rPr>
          <w:w w:val="120"/>
          <w:sz w:val="20"/>
        </w:rPr>
        <w:t>the number of </w:t>
      </w:r>
      <w:r>
        <w:rPr>
          <w:spacing w:val="-3"/>
          <w:w w:val="120"/>
          <w:sz w:val="20"/>
        </w:rPr>
        <w:t>ministers available to any </w:t>
      </w:r>
      <w:r>
        <w:rPr>
          <w:w w:val="120"/>
          <w:sz w:val="20"/>
        </w:rPr>
        <w:t>given synod as a </w:t>
      </w:r>
      <w:r>
        <w:rPr>
          <w:spacing w:val="-3"/>
          <w:w w:val="120"/>
          <w:sz w:val="20"/>
        </w:rPr>
        <w:t>result </w:t>
      </w:r>
      <w:r>
        <w:rPr>
          <w:w w:val="120"/>
          <w:sz w:val="20"/>
        </w:rPr>
        <w:t>of </w:t>
      </w:r>
      <w:r>
        <w:rPr>
          <w:spacing w:val="-3"/>
          <w:w w:val="120"/>
          <w:sz w:val="20"/>
        </w:rPr>
        <w:t>inclusion </w:t>
      </w:r>
      <w:r>
        <w:rPr>
          <w:w w:val="120"/>
          <w:sz w:val="20"/>
        </w:rPr>
        <w:t>of </w:t>
      </w:r>
      <w:r>
        <w:rPr>
          <w:spacing w:val="-3"/>
          <w:w w:val="120"/>
          <w:sz w:val="20"/>
        </w:rPr>
        <w:t>this </w:t>
      </w:r>
      <w:r>
        <w:rPr>
          <w:w w:val="120"/>
          <w:sz w:val="20"/>
        </w:rPr>
        <w:t>element is less and less. Ministries is therefore </w:t>
      </w:r>
      <w:r>
        <w:rPr>
          <w:spacing w:val="-3"/>
          <w:w w:val="120"/>
          <w:sz w:val="20"/>
        </w:rPr>
        <w:t>recommending </w:t>
      </w:r>
      <w:r>
        <w:rPr>
          <w:w w:val="120"/>
          <w:sz w:val="20"/>
        </w:rPr>
        <w:t>that the allocation formula</w:t>
      </w:r>
      <w:r>
        <w:rPr>
          <w:spacing w:val="-5"/>
          <w:w w:val="120"/>
          <w:sz w:val="20"/>
        </w:rPr>
        <w:t> </w:t>
      </w:r>
      <w:r>
        <w:rPr>
          <w:w w:val="120"/>
          <w:sz w:val="20"/>
        </w:rPr>
        <w:t>is</w:t>
      </w:r>
      <w:r>
        <w:rPr>
          <w:spacing w:val="-4"/>
          <w:w w:val="120"/>
          <w:sz w:val="20"/>
        </w:rPr>
        <w:t> </w:t>
      </w:r>
      <w:r>
        <w:rPr>
          <w:spacing w:val="-2"/>
          <w:w w:val="120"/>
          <w:sz w:val="20"/>
        </w:rPr>
        <w:t>now</w:t>
      </w:r>
      <w:r>
        <w:rPr>
          <w:spacing w:val="-4"/>
          <w:w w:val="120"/>
          <w:sz w:val="20"/>
        </w:rPr>
        <w:t> </w:t>
      </w:r>
      <w:r>
        <w:rPr>
          <w:w w:val="120"/>
          <w:sz w:val="20"/>
        </w:rPr>
        <w:t>simplified</w:t>
      </w:r>
      <w:r>
        <w:rPr>
          <w:spacing w:val="-4"/>
          <w:w w:val="120"/>
          <w:sz w:val="20"/>
        </w:rPr>
        <w:t> </w:t>
      </w:r>
      <w:r>
        <w:rPr>
          <w:w w:val="120"/>
          <w:sz w:val="20"/>
        </w:rPr>
        <w:t>and</w:t>
      </w:r>
      <w:r>
        <w:rPr>
          <w:spacing w:val="-5"/>
          <w:w w:val="120"/>
          <w:sz w:val="20"/>
        </w:rPr>
        <w:t> </w:t>
      </w:r>
      <w:r>
        <w:rPr>
          <w:w w:val="120"/>
          <w:sz w:val="20"/>
        </w:rPr>
        <w:t>the</w:t>
      </w:r>
      <w:r>
        <w:rPr>
          <w:spacing w:val="-4"/>
          <w:w w:val="120"/>
          <w:sz w:val="20"/>
        </w:rPr>
        <w:t> </w:t>
      </w:r>
      <w:r>
        <w:rPr>
          <w:w w:val="120"/>
          <w:sz w:val="20"/>
        </w:rPr>
        <w:t>population</w:t>
      </w:r>
      <w:r>
        <w:rPr>
          <w:spacing w:val="-4"/>
          <w:w w:val="120"/>
          <w:sz w:val="20"/>
        </w:rPr>
        <w:t> </w:t>
      </w:r>
      <w:r>
        <w:rPr>
          <w:w w:val="120"/>
          <w:sz w:val="20"/>
        </w:rPr>
        <w:t>element</w:t>
      </w:r>
      <w:r>
        <w:rPr>
          <w:spacing w:val="-4"/>
          <w:w w:val="120"/>
          <w:sz w:val="20"/>
        </w:rPr>
        <w:t> </w:t>
      </w:r>
      <w:r>
        <w:rPr>
          <w:w w:val="120"/>
          <w:sz w:val="20"/>
        </w:rPr>
        <w:t>be</w:t>
      </w:r>
      <w:r>
        <w:rPr>
          <w:spacing w:val="-5"/>
          <w:w w:val="120"/>
          <w:sz w:val="20"/>
        </w:rPr>
        <w:t> </w:t>
      </w:r>
      <w:r>
        <w:rPr>
          <w:spacing w:val="-3"/>
          <w:w w:val="120"/>
          <w:sz w:val="20"/>
        </w:rPr>
        <w:t>removed</w:t>
      </w:r>
      <w:r>
        <w:rPr>
          <w:spacing w:val="-4"/>
          <w:w w:val="120"/>
          <w:sz w:val="20"/>
        </w:rPr>
        <w:t> </w:t>
      </w:r>
      <w:r>
        <w:rPr>
          <w:w w:val="120"/>
          <w:sz w:val="20"/>
        </w:rPr>
        <w:t>from</w:t>
      </w:r>
      <w:r>
        <w:rPr>
          <w:spacing w:val="-4"/>
          <w:w w:val="120"/>
          <w:sz w:val="20"/>
        </w:rPr>
        <w:t> </w:t>
      </w:r>
      <w:r>
        <w:rPr>
          <w:w w:val="120"/>
          <w:sz w:val="20"/>
        </w:rPr>
        <w:t>the</w:t>
      </w:r>
      <w:r>
        <w:rPr>
          <w:spacing w:val="-4"/>
          <w:w w:val="120"/>
          <w:sz w:val="20"/>
        </w:rPr>
        <w:t> </w:t>
      </w:r>
      <w:r>
        <w:rPr>
          <w:spacing w:val="-3"/>
          <w:w w:val="120"/>
          <w:sz w:val="20"/>
        </w:rPr>
        <w:t>calculation.</w:t>
      </w:r>
    </w:p>
    <w:p>
      <w:pPr>
        <w:pStyle w:val="BodyText"/>
        <w:spacing w:before="11"/>
        <w:rPr>
          <w:sz w:val="19"/>
        </w:rPr>
      </w:pPr>
    </w:p>
    <w:p>
      <w:pPr>
        <w:pStyle w:val="ListParagraph"/>
        <w:numPr>
          <w:ilvl w:val="1"/>
          <w:numId w:val="187"/>
        </w:numPr>
        <w:tabs>
          <w:tab w:pos="2024" w:val="left" w:leader="none"/>
          <w:tab w:pos="2025" w:val="left" w:leader="none"/>
        </w:tabs>
        <w:spacing w:line="235" w:lineRule="auto" w:before="1" w:after="0"/>
        <w:ind w:left="1344" w:right="1482" w:firstLine="0"/>
        <w:jc w:val="left"/>
        <w:rPr>
          <w:sz w:val="20"/>
        </w:rPr>
      </w:pPr>
      <w:r>
        <w:rPr>
          <w:spacing w:val="3"/>
          <w:w w:val="120"/>
          <w:sz w:val="20"/>
        </w:rPr>
        <w:t>As </w:t>
      </w:r>
      <w:r>
        <w:rPr>
          <w:w w:val="120"/>
          <w:sz w:val="20"/>
        </w:rPr>
        <w:t>a result of Assembly decisions since </w:t>
      </w:r>
      <w:r>
        <w:rPr>
          <w:spacing w:val="-9"/>
          <w:w w:val="120"/>
          <w:sz w:val="20"/>
        </w:rPr>
        <w:t>1979, </w:t>
      </w:r>
      <w:r>
        <w:rPr>
          <w:w w:val="120"/>
          <w:sz w:val="20"/>
        </w:rPr>
        <w:t>stipendiary ministers are available to synods outside the formula through the special category ministry programme and the church related community work programme. Both programmes have enabled synods and pastorates – many in deprived areas – to engage in Christian ministry and mission in new and exciting ways. These posts are applied for by synods on the basis of the mission needs of the area concerned, and approval is not dependent on</w:t>
      </w:r>
      <w:r>
        <w:rPr>
          <w:spacing w:val="43"/>
          <w:w w:val="120"/>
          <w:sz w:val="20"/>
        </w:rPr>
        <w:t> </w:t>
      </w:r>
      <w:r>
        <w:rPr>
          <w:w w:val="120"/>
          <w:sz w:val="20"/>
        </w:rPr>
        <w:t>the</w:t>
      </w:r>
    </w:p>
    <w:p>
      <w:pPr>
        <w:pStyle w:val="BodyText"/>
        <w:spacing w:line="235" w:lineRule="auto" w:before="4"/>
        <w:ind w:left="1344" w:right="1217"/>
      </w:pPr>
      <w:r>
        <w:rPr>
          <w:w w:val="120"/>
        </w:rPr>
        <w:t>membership or number of churches within a synod. No change is proposed in either of these arrangements.</w:t>
      </w:r>
    </w:p>
    <w:p>
      <w:pPr>
        <w:pStyle w:val="BodyText"/>
        <w:spacing w:before="9"/>
        <w:rPr>
          <w:sz w:val="19"/>
        </w:rPr>
      </w:pPr>
    </w:p>
    <w:p>
      <w:pPr>
        <w:pStyle w:val="ListParagraph"/>
        <w:numPr>
          <w:ilvl w:val="1"/>
          <w:numId w:val="187"/>
        </w:numPr>
        <w:tabs>
          <w:tab w:pos="2024" w:val="left" w:leader="none"/>
          <w:tab w:pos="2025" w:val="left" w:leader="none"/>
        </w:tabs>
        <w:spacing w:line="235" w:lineRule="auto" w:before="1" w:after="0"/>
        <w:ind w:left="1344" w:right="1270" w:firstLine="0"/>
        <w:jc w:val="left"/>
        <w:rPr>
          <w:sz w:val="20"/>
        </w:rPr>
      </w:pPr>
      <w:r>
        <w:rPr>
          <w:w w:val="120"/>
          <w:sz w:val="20"/>
        </w:rPr>
        <w:t>As the numbers of Ministers of </w:t>
      </w:r>
      <w:r>
        <w:rPr>
          <w:spacing w:val="-3"/>
          <w:w w:val="120"/>
          <w:sz w:val="20"/>
        </w:rPr>
        <w:t>Word </w:t>
      </w:r>
      <w:r>
        <w:rPr>
          <w:w w:val="120"/>
          <w:sz w:val="20"/>
        </w:rPr>
        <w:t>and Sacraments fall, the numbers of CRCW </w:t>
      </w:r>
      <w:r>
        <w:rPr>
          <w:spacing w:val="-3"/>
          <w:w w:val="120"/>
          <w:sz w:val="20"/>
        </w:rPr>
        <w:t>ministers </w:t>
      </w:r>
      <w:r>
        <w:rPr>
          <w:w w:val="120"/>
          <w:sz w:val="20"/>
        </w:rPr>
        <w:t>is holding </w:t>
      </w:r>
      <w:r>
        <w:rPr>
          <w:spacing w:val="-4"/>
          <w:w w:val="120"/>
          <w:sz w:val="20"/>
        </w:rPr>
        <w:t>steady, </w:t>
      </w:r>
      <w:r>
        <w:rPr>
          <w:w w:val="120"/>
          <w:sz w:val="20"/>
        </w:rPr>
        <w:t>with </w:t>
      </w:r>
      <w:r>
        <w:rPr>
          <w:spacing w:val="-9"/>
          <w:w w:val="120"/>
          <w:sz w:val="20"/>
        </w:rPr>
        <w:t>14 </w:t>
      </w:r>
      <w:r>
        <w:rPr>
          <w:w w:val="120"/>
          <w:sz w:val="20"/>
        </w:rPr>
        <w:t>currently active CRCW </w:t>
      </w:r>
      <w:r>
        <w:rPr>
          <w:spacing w:val="-3"/>
          <w:w w:val="120"/>
          <w:sz w:val="20"/>
        </w:rPr>
        <w:t>ministers </w:t>
      </w:r>
      <w:r>
        <w:rPr>
          <w:w w:val="120"/>
          <w:sz w:val="20"/>
        </w:rPr>
        <w:t>and a further five in training.</w:t>
      </w:r>
      <w:r>
        <w:rPr>
          <w:spacing w:val="-6"/>
          <w:w w:val="120"/>
          <w:sz w:val="20"/>
        </w:rPr>
        <w:t> </w:t>
      </w:r>
      <w:r>
        <w:rPr>
          <w:w w:val="120"/>
          <w:sz w:val="20"/>
        </w:rPr>
        <w:t>Interest</w:t>
      </w:r>
      <w:r>
        <w:rPr>
          <w:spacing w:val="-6"/>
          <w:w w:val="120"/>
          <w:sz w:val="20"/>
        </w:rPr>
        <w:t> </w:t>
      </w:r>
      <w:r>
        <w:rPr>
          <w:w w:val="120"/>
          <w:sz w:val="20"/>
        </w:rPr>
        <w:t>in</w:t>
      </w:r>
      <w:r>
        <w:rPr>
          <w:spacing w:val="-6"/>
          <w:w w:val="120"/>
          <w:sz w:val="20"/>
        </w:rPr>
        <w:t> </w:t>
      </w:r>
      <w:r>
        <w:rPr>
          <w:spacing w:val="-3"/>
          <w:w w:val="120"/>
          <w:sz w:val="20"/>
        </w:rPr>
        <w:t>this</w:t>
      </w:r>
      <w:r>
        <w:rPr>
          <w:spacing w:val="-6"/>
          <w:w w:val="120"/>
          <w:sz w:val="20"/>
        </w:rPr>
        <w:t> </w:t>
      </w:r>
      <w:r>
        <w:rPr>
          <w:w w:val="120"/>
          <w:sz w:val="20"/>
        </w:rPr>
        <w:t>ministry</w:t>
      </w:r>
      <w:r>
        <w:rPr>
          <w:spacing w:val="-5"/>
          <w:w w:val="120"/>
          <w:sz w:val="20"/>
        </w:rPr>
        <w:t> </w:t>
      </w:r>
      <w:r>
        <w:rPr>
          <w:w w:val="120"/>
          <w:sz w:val="20"/>
        </w:rPr>
        <w:t>is</w:t>
      </w:r>
      <w:r>
        <w:rPr>
          <w:spacing w:val="-6"/>
          <w:w w:val="120"/>
          <w:sz w:val="20"/>
        </w:rPr>
        <w:t> </w:t>
      </w:r>
      <w:r>
        <w:rPr>
          <w:w w:val="120"/>
          <w:sz w:val="20"/>
        </w:rPr>
        <w:t>growing</w:t>
      </w:r>
      <w:r>
        <w:rPr>
          <w:spacing w:val="-6"/>
          <w:w w:val="120"/>
          <w:sz w:val="20"/>
        </w:rPr>
        <w:t> </w:t>
      </w:r>
      <w:r>
        <w:rPr>
          <w:w w:val="120"/>
          <w:sz w:val="20"/>
        </w:rPr>
        <w:t>amongst</w:t>
      </w:r>
      <w:r>
        <w:rPr>
          <w:spacing w:val="-6"/>
          <w:w w:val="120"/>
          <w:sz w:val="20"/>
        </w:rPr>
        <w:t> </w:t>
      </w:r>
      <w:r>
        <w:rPr>
          <w:w w:val="120"/>
          <w:sz w:val="20"/>
        </w:rPr>
        <w:t>the</w:t>
      </w:r>
      <w:r>
        <w:rPr>
          <w:spacing w:val="-6"/>
          <w:w w:val="120"/>
          <w:sz w:val="20"/>
        </w:rPr>
        <w:t> </w:t>
      </w:r>
      <w:r>
        <w:rPr>
          <w:w w:val="120"/>
          <w:sz w:val="20"/>
        </w:rPr>
        <w:t>synods,</w:t>
      </w:r>
      <w:r>
        <w:rPr>
          <w:spacing w:val="-5"/>
          <w:w w:val="120"/>
          <w:sz w:val="20"/>
        </w:rPr>
        <w:t> </w:t>
      </w:r>
      <w:r>
        <w:rPr>
          <w:w w:val="120"/>
          <w:sz w:val="20"/>
        </w:rPr>
        <w:t>and</w:t>
      </w:r>
      <w:r>
        <w:rPr>
          <w:spacing w:val="-6"/>
          <w:w w:val="120"/>
          <w:sz w:val="20"/>
        </w:rPr>
        <w:t> </w:t>
      </w:r>
      <w:r>
        <w:rPr>
          <w:w w:val="120"/>
          <w:sz w:val="20"/>
        </w:rPr>
        <w:t>we</w:t>
      </w:r>
      <w:r>
        <w:rPr>
          <w:spacing w:val="-6"/>
          <w:w w:val="120"/>
          <w:sz w:val="20"/>
        </w:rPr>
        <w:t> </w:t>
      </w:r>
      <w:r>
        <w:rPr>
          <w:w w:val="120"/>
          <w:sz w:val="20"/>
        </w:rPr>
        <w:t>recommend</w:t>
      </w:r>
      <w:r>
        <w:rPr>
          <w:spacing w:val="-6"/>
          <w:w w:val="120"/>
          <w:sz w:val="20"/>
        </w:rPr>
        <w:t> </w:t>
      </w:r>
      <w:r>
        <w:rPr>
          <w:w w:val="120"/>
          <w:sz w:val="20"/>
        </w:rPr>
        <w:t>that Assembly retains the target of seeking </w:t>
      </w:r>
      <w:r>
        <w:rPr>
          <w:spacing w:val="-4"/>
          <w:w w:val="120"/>
          <w:sz w:val="20"/>
        </w:rPr>
        <w:t>26 </w:t>
      </w:r>
      <w:r>
        <w:rPr>
          <w:w w:val="120"/>
          <w:sz w:val="20"/>
        </w:rPr>
        <w:t>CRCW </w:t>
      </w:r>
      <w:r>
        <w:rPr>
          <w:spacing w:val="-3"/>
          <w:w w:val="120"/>
          <w:sz w:val="20"/>
        </w:rPr>
        <w:t>ministers, </w:t>
      </w:r>
      <w:r>
        <w:rPr>
          <w:spacing w:val="-2"/>
          <w:w w:val="120"/>
          <w:sz w:val="20"/>
        </w:rPr>
        <w:t>aiming </w:t>
      </w:r>
      <w:r>
        <w:rPr>
          <w:w w:val="120"/>
          <w:sz w:val="20"/>
        </w:rPr>
        <w:t>for two in each</w:t>
      </w:r>
      <w:r>
        <w:rPr>
          <w:spacing w:val="-38"/>
          <w:w w:val="120"/>
          <w:sz w:val="20"/>
        </w:rPr>
        <w:t> </w:t>
      </w:r>
      <w:r>
        <w:rPr>
          <w:w w:val="120"/>
          <w:sz w:val="20"/>
        </w:rPr>
        <w:t>synod.</w:t>
      </w:r>
    </w:p>
    <w:p>
      <w:pPr>
        <w:pStyle w:val="BodyText"/>
        <w:spacing w:before="10"/>
        <w:rPr>
          <w:sz w:val="19"/>
        </w:rPr>
      </w:pPr>
    </w:p>
    <w:p>
      <w:pPr>
        <w:pStyle w:val="ListParagraph"/>
        <w:numPr>
          <w:ilvl w:val="1"/>
          <w:numId w:val="187"/>
        </w:numPr>
        <w:tabs>
          <w:tab w:pos="2024" w:val="left" w:leader="none"/>
          <w:tab w:pos="2025" w:val="left" w:leader="none"/>
        </w:tabs>
        <w:spacing w:line="235" w:lineRule="auto" w:before="1" w:after="0"/>
        <w:ind w:left="1344" w:right="1363" w:firstLine="0"/>
        <w:jc w:val="left"/>
        <w:rPr>
          <w:sz w:val="20"/>
        </w:rPr>
      </w:pPr>
      <w:r>
        <w:rPr/>
        <w:pict>
          <v:shape style="position:absolute;margin-left:555.141174pt;margin-top:46.124866pt;width:23.9pt;height:59.2pt;mso-position-horizontal-relative:page;mso-position-vertical-relative:paragraph;z-index:-267699200" type="#_x0000_t202" filled="false" stroked="false">
            <v:textbox inset="0,0,0,0">
              <w:txbxContent>
                <w:p>
                  <w:pPr>
                    <w:spacing w:line="105" w:lineRule="exact" w:before="0"/>
                    <w:ind w:left="0" w:right="0" w:firstLine="0"/>
                    <w:jc w:val="left"/>
                    <w:rPr>
                      <w:sz w:val="39"/>
                    </w:rPr>
                  </w:pPr>
                  <w:r>
                    <w:rPr>
                      <w:spacing w:val="11"/>
                      <w:w w:val="125"/>
                      <w:sz w:val="39"/>
                    </w:rPr>
                    <w:t>deplo</w:t>
                  </w:r>
                </w:p>
              </w:txbxContent>
            </v:textbox>
            <w10:wrap type="none"/>
          </v:shape>
        </w:pict>
      </w:r>
      <w:r>
        <w:rPr/>
        <w:pict>
          <v:shape style="position:absolute;margin-left:555.141174pt;margin-top:104.864868pt;width:23.9pt;height:64.25pt;mso-position-horizontal-relative:page;mso-position-vertical-relative:paragraph;z-index:-267698176" type="#_x0000_t202" filled="false" stroked="false">
            <v:textbox inset="0,0,0,0">
              <w:txbxContent>
                <w:p>
                  <w:pPr>
                    <w:spacing w:line="105" w:lineRule="exact" w:before="0"/>
                    <w:ind w:left="0" w:right="0" w:firstLine="0"/>
                    <w:jc w:val="left"/>
                    <w:rPr>
                      <w:sz w:val="39"/>
                    </w:rPr>
                  </w:pPr>
                  <w:r>
                    <w:rPr>
                      <w:spacing w:val="11"/>
                      <w:w w:val="120"/>
                      <w:sz w:val="39"/>
                    </w:rPr>
                    <w:t>yment</w:t>
                  </w:r>
                </w:p>
              </w:txbxContent>
            </v:textbox>
            <w10:wrap type="none"/>
          </v:shape>
        </w:pict>
      </w:r>
      <w:r>
        <w:rPr>
          <w:w w:val="120"/>
          <w:sz w:val="20"/>
        </w:rPr>
        <w:t>The projected numbers of deployable Ministers of Word and Sacraments for the end of </w:t>
      </w:r>
      <w:r>
        <w:rPr>
          <w:spacing w:val="-7"/>
          <w:w w:val="120"/>
          <w:sz w:val="20"/>
        </w:rPr>
        <w:t>2016 </w:t>
      </w:r>
      <w:r>
        <w:rPr>
          <w:w w:val="120"/>
          <w:sz w:val="20"/>
        </w:rPr>
        <w:t>using the current and the proposed formulae are as</w:t>
      </w:r>
      <w:r>
        <w:rPr>
          <w:spacing w:val="38"/>
          <w:w w:val="120"/>
          <w:sz w:val="20"/>
        </w:rPr>
        <w:t> </w:t>
      </w:r>
      <w:r>
        <w:rPr>
          <w:w w:val="120"/>
          <w:sz w:val="20"/>
        </w:rPr>
        <w:t>follows:</w:t>
      </w:r>
    </w:p>
    <w:p>
      <w:pPr>
        <w:pStyle w:val="BodyText"/>
        <w:spacing w:before="4" w:after="1"/>
        <w:rPr>
          <w:sz w:val="15"/>
        </w:rPr>
      </w:pPr>
    </w:p>
    <w:tbl>
      <w:tblPr>
        <w:tblW w:w="0" w:type="auto"/>
        <w:jc w:val="left"/>
        <w:tblInd w:w="1359"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top w:w="0" w:type="dxa"/>
          <w:left w:w="0" w:type="dxa"/>
          <w:bottom w:w="0" w:type="dxa"/>
          <w:right w:w="0" w:type="dxa"/>
        </w:tblCellMar>
        <w:tblLook w:val="01E0"/>
      </w:tblPr>
      <w:tblGrid>
        <w:gridCol w:w="1760"/>
        <w:gridCol w:w="570"/>
        <w:gridCol w:w="538"/>
        <w:gridCol w:w="566"/>
        <w:gridCol w:w="568"/>
        <w:gridCol w:w="566"/>
        <w:gridCol w:w="535"/>
        <w:gridCol w:w="537"/>
        <w:gridCol w:w="537"/>
        <w:gridCol w:w="565"/>
        <w:gridCol w:w="565"/>
        <w:gridCol w:w="565"/>
        <w:gridCol w:w="565"/>
        <w:gridCol w:w="534"/>
        <w:gridCol w:w="716"/>
      </w:tblGrid>
      <w:tr>
        <w:trPr>
          <w:trHeight w:val="547" w:hRule="atLeast"/>
        </w:trPr>
        <w:tc>
          <w:tcPr>
            <w:tcW w:w="1760" w:type="dxa"/>
          </w:tcPr>
          <w:p>
            <w:pPr>
              <w:pStyle w:val="TableParagraph"/>
              <w:spacing w:before="1"/>
              <w:ind w:left="0"/>
              <w:rPr>
                <w:sz w:val="18"/>
              </w:rPr>
            </w:pPr>
          </w:p>
          <w:p>
            <w:pPr>
              <w:pStyle w:val="TableParagraph"/>
              <w:spacing w:before="1"/>
              <w:rPr>
                <w:sz w:val="14"/>
              </w:rPr>
            </w:pPr>
            <w:r>
              <w:rPr>
                <w:w w:val="130"/>
                <w:sz w:val="14"/>
              </w:rPr>
              <w:t>SYNOD</w:t>
            </w:r>
          </w:p>
        </w:tc>
        <w:tc>
          <w:tcPr>
            <w:tcW w:w="570" w:type="dxa"/>
            <w:tcBorders>
              <w:bottom w:val="single" w:sz="4" w:space="0" w:color="000000"/>
              <w:right w:val="single" w:sz="4" w:space="0" w:color="000000"/>
            </w:tcBorders>
          </w:tcPr>
          <w:p>
            <w:pPr>
              <w:pStyle w:val="TableParagraph"/>
              <w:spacing w:before="92"/>
              <w:ind w:left="0" w:right="64"/>
              <w:jc w:val="right"/>
              <w:rPr>
                <w:rFonts w:ascii="Stone Sans II ITC Std Sm"/>
                <w:b/>
                <w:sz w:val="14"/>
              </w:rPr>
            </w:pPr>
            <w:r>
              <w:rPr>
                <w:rFonts w:ascii="Stone Sans II ITC Std Sm"/>
                <w:b/>
                <w:w w:val="114"/>
                <w:sz w:val="14"/>
              </w:rPr>
              <w:t>1</w:t>
            </w:r>
          </w:p>
          <w:p>
            <w:pPr>
              <w:pStyle w:val="TableParagraph"/>
              <w:spacing w:before="51"/>
              <w:ind w:left="206"/>
              <w:rPr>
                <w:rFonts w:ascii="Stone Sans II ITC Std Sm"/>
                <w:b/>
                <w:sz w:val="14"/>
              </w:rPr>
            </w:pPr>
            <w:r>
              <w:rPr>
                <w:rFonts w:ascii="Stone Sans II ITC Std Sm"/>
                <w:b/>
                <w:w w:val="115"/>
                <w:sz w:val="14"/>
              </w:rPr>
              <w:t>Nth</w:t>
            </w:r>
          </w:p>
        </w:tc>
        <w:tc>
          <w:tcPr>
            <w:tcW w:w="538" w:type="dxa"/>
            <w:tcBorders>
              <w:left w:val="single" w:sz="4" w:space="0" w:color="000000"/>
              <w:bottom w:val="single" w:sz="4" w:space="0" w:color="000000"/>
              <w:right w:val="single" w:sz="4" w:space="0" w:color="000000"/>
            </w:tcBorders>
          </w:tcPr>
          <w:p>
            <w:pPr>
              <w:pStyle w:val="TableParagraph"/>
              <w:spacing w:before="92"/>
              <w:ind w:left="0" w:right="63"/>
              <w:jc w:val="right"/>
              <w:rPr>
                <w:rFonts w:ascii="Stone Sans II ITC Std Sm"/>
                <w:b/>
                <w:sz w:val="14"/>
              </w:rPr>
            </w:pPr>
            <w:r>
              <w:rPr>
                <w:rFonts w:ascii="Stone Sans II ITC Std Sm"/>
                <w:b/>
                <w:w w:val="114"/>
                <w:sz w:val="14"/>
              </w:rPr>
              <w:t>2</w:t>
            </w:r>
          </w:p>
          <w:p>
            <w:pPr>
              <w:pStyle w:val="TableParagraph"/>
              <w:spacing w:before="51"/>
              <w:ind w:left="183"/>
              <w:rPr>
                <w:rFonts w:ascii="Stone Sans II ITC Std Sm"/>
                <w:b/>
                <w:sz w:val="14"/>
              </w:rPr>
            </w:pPr>
            <w:r>
              <w:rPr>
                <w:rFonts w:ascii="Stone Sans II ITC Std Sm"/>
                <w:b/>
                <w:w w:val="115"/>
                <w:sz w:val="14"/>
              </w:rPr>
              <w:t>NW</w:t>
            </w:r>
          </w:p>
        </w:tc>
        <w:tc>
          <w:tcPr>
            <w:tcW w:w="566" w:type="dxa"/>
            <w:tcBorders>
              <w:left w:val="single" w:sz="4" w:space="0" w:color="000000"/>
              <w:bottom w:val="single" w:sz="4" w:space="0" w:color="000000"/>
              <w:right w:val="single" w:sz="4" w:space="0" w:color="000000"/>
            </w:tcBorders>
          </w:tcPr>
          <w:p>
            <w:pPr>
              <w:pStyle w:val="TableParagraph"/>
              <w:spacing w:before="92"/>
              <w:ind w:left="0" w:right="62"/>
              <w:jc w:val="right"/>
              <w:rPr>
                <w:rFonts w:ascii="Stone Sans II ITC Std Sm"/>
                <w:b/>
                <w:sz w:val="14"/>
              </w:rPr>
            </w:pPr>
            <w:r>
              <w:rPr>
                <w:rFonts w:ascii="Stone Sans II ITC Std Sm"/>
                <w:b/>
                <w:w w:val="114"/>
                <w:sz w:val="14"/>
              </w:rPr>
              <w:t>3</w:t>
            </w:r>
          </w:p>
          <w:p>
            <w:pPr>
              <w:pStyle w:val="TableParagraph"/>
              <w:spacing w:before="51"/>
              <w:ind w:left="188"/>
              <w:rPr>
                <w:rFonts w:ascii="Stone Sans II ITC Std Sm"/>
                <w:b/>
                <w:sz w:val="14"/>
              </w:rPr>
            </w:pPr>
            <w:r>
              <w:rPr>
                <w:rFonts w:ascii="Stone Sans II ITC Std Sm"/>
                <w:b/>
                <w:w w:val="115"/>
                <w:sz w:val="14"/>
              </w:rPr>
              <w:t>Mer</w:t>
            </w:r>
          </w:p>
        </w:tc>
        <w:tc>
          <w:tcPr>
            <w:tcW w:w="568" w:type="dxa"/>
            <w:tcBorders>
              <w:left w:val="single" w:sz="4" w:space="0" w:color="000000"/>
              <w:bottom w:val="single" w:sz="4" w:space="0" w:color="000000"/>
              <w:right w:val="single" w:sz="4" w:space="0" w:color="000000"/>
            </w:tcBorders>
          </w:tcPr>
          <w:p>
            <w:pPr>
              <w:pStyle w:val="TableParagraph"/>
              <w:spacing w:before="92"/>
              <w:ind w:left="0" w:right="61"/>
              <w:jc w:val="right"/>
              <w:rPr>
                <w:rFonts w:ascii="Stone Sans II ITC Std Sm"/>
                <w:b/>
                <w:sz w:val="14"/>
              </w:rPr>
            </w:pPr>
            <w:r>
              <w:rPr>
                <w:rFonts w:ascii="Stone Sans II ITC Std Sm"/>
                <w:b/>
                <w:w w:val="114"/>
                <w:sz w:val="14"/>
              </w:rPr>
              <w:t>4</w:t>
            </w:r>
          </w:p>
          <w:p>
            <w:pPr>
              <w:pStyle w:val="TableParagraph"/>
              <w:spacing w:before="51"/>
              <w:ind w:left="246"/>
              <w:rPr>
                <w:rFonts w:ascii="Stone Sans II ITC Std Sm"/>
                <w:b/>
                <w:sz w:val="14"/>
              </w:rPr>
            </w:pPr>
            <w:r>
              <w:rPr>
                <w:rFonts w:ascii="Stone Sans II ITC Std Sm"/>
                <w:b/>
                <w:w w:val="115"/>
                <w:sz w:val="14"/>
              </w:rPr>
              <w:t>Yor</w:t>
            </w:r>
          </w:p>
        </w:tc>
        <w:tc>
          <w:tcPr>
            <w:tcW w:w="566" w:type="dxa"/>
            <w:tcBorders>
              <w:left w:val="single" w:sz="4" w:space="0" w:color="000000"/>
              <w:bottom w:val="single" w:sz="4" w:space="0" w:color="000000"/>
              <w:right w:val="single" w:sz="4" w:space="0" w:color="000000"/>
            </w:tcBorders>
          </w:tcPr>
          <w:p>
            <w:pPr>
              <w:pStyle w:val="TableParagraph"/>
              <w:spacing w:before="92"/>
              <w:ind w:left="0" w:right="60"/>
              <w:jc w:val="right"/>
              <w:rPr>
                <w:rFonts w:ascii="Stone Sans II ITC Std Sm"/>
                <w:b/>
                <w:sz w:val="14"/>
              </w:rPr>
            </w:pPr>
            <w:r>
              <w:rPr>
                <w:rFonts w:ascii="Stone Sans II ITC Std Sm"/>
                <w:b/>
                <w:w w:val="114"/>
                <w:sz w:val="14"/>
              </w:rPr>
              <w:t>5</w:t>
            </w:r>
          </w:p>
          <w:p>
            <w:pPr>
              <w:pStyle w:val="TableParagraph"/>
              <w:spacing w:before="51"/>
              <w:ind w:left="259"/>
              <w:rPr>
                <w:rFonts w:ascii="Stone Sans II ITC Std Sm"/>
                <w:b/>
                <w:sz w:val="14"/>
              </w:rPr>
            </w:pPr>
            <w:r>
              <w:rPr>
                <w:rFonts w:ascii="Stone Sans II ITC Std Sm"/>
                <w:b/>
                <w:w w:val="115"/>
                <w:sz w:val="14"/>
              </w:rPr>
              <w:t>EM</w:t>
            </w:r>
          </w:p>
        </w:tc>
        <w:tc>
          <w:tcPr>
            <w:tcW w:w="535" w:type="dxa"/>
            <w:tcBorders>
              <w:left w:val="single" w:sz="4" w:space="0" w:color="000000"/>
              <w:bottom w:val="single" w:sz="4" w:space="0" w:color="000000"/>
              <w:right w:val="single" w:sz="4" w:space="0" w:color="000000"/>
            </w:tcBorders>
          </w:tcPr>
          <w:p>
            <w:pPr>
              <w:pStyle w:val="TableParagraph"/>
              <w:spacing w:before="92"/>
              <w:ind w:left="0" w:right="59"/>
              <w:jc w:val="right"/>
              <w:rPr>
                <w:rFonts w:ascii="Stone Sans II ITC Std Sm"/>
                <w:b/>
                <w:sz w:val="14"/>
              </w:rPr>
            </w:pPr>
            <w:r>
              <w:rPr>
                <w:rFonts w:ascii="Stone Sans II ITC Std Sm"/>
                <w:b/>
                <w:w w:val="114"/>
                <w:sz w:val="14"/>
              </w:rPr>
              <w:t>6</w:t>
            </w:r>
          </w:p>
          <w:p>
            <w:pPr>
              <w:pStyle w:val="TableParagraph"/>
              <w:spacing w:before="51"/>
              <w:ind w:left="159"/>
              <w:rPr>
                <w:rFonts w:ascii="Stone Sans II ITC Std Sm"/>
                <w:b/>
                <w:sz w:val="14"/>
              </w:rPr>
            </w:pPr>
            <w:r>
              <w:rPr>
                <w:rFonts w:ascii="Stone Sans II ITC Std Sm"/>
                <w:b/>
                <w:w w:val="115"/>
                <w:sz w:val="14"/>
              </w:rPr>
              <w:t>WM</w:t>
            </w:r>
          </w:p>
        </w:tc>
        <w:tc>
          <w:tcPr>
            <w:tcW w:w="537" w:type="dxa"/>
            <w:tcBorders>
              <w:left w:val="single" w:sz="4" w:space="0" w:color="000000"/>
              <w:bottom w:val="single" w:sz="4" w:space="0" w:color="000000"/>
              <w:right w:val="single" w:sz="4" w:space="0" w:color="000000"/>
            </w:tcBorders>
          </w:tcPr>
          <w:p>
            <w:pPr>
              <w:pStyle w:val="TableParagraph"/>
              <w:spacing w:before="92"/>
              <w:ind w:left="0" w:right="57"/>
              <w:jc w:val="right"/>
              <w:rPr>
                <w:rFonts w:ascii="Stone Sans II ITC Std Sm"/>
                <w:b/>
                <w:sz w:val="14"/>
              </w:rPr>
            </w:pPr>
            <w:r>
              <w:rPr>
                <w:rFonts w:ascii="Stone Sans II ITC Std Sm"/>
                <w:b/>
                <w:w w:val="114"/>
                <w:sz w:val="14"/>
              </w:rPr>
              <w:t>7</w:t>
            </w:r>
          </w:p>
          <w:p>
            <w:pPr>
              <w:pStyle w:val="TableParagraph"/>
              <w:spacing w:before="51"/>
              <w:ind w:left="0" w:right="57"/>
              <w:jc w:val="right"/>
              <w:rPr>
                <w:rFonts w:ascii="Stone Sans II ITC Std Sm"/>
                <w:b/>
                <w:sz w:val="14"/>
              </w:rPr>
            </w:pPr>
            <w:r>
              <w:rPr>
                <w:rFonts w:ascii="Stone Sans II ITC Std Sm"/>
                <w:b/>
                <w:w w:val="115"/>
                <w:sz w:val="14"/>
              </w:rPr>
              <w:t>East</w:t>
            </w:r>
          </w:p>
        </w:tc>
        <w:tc>
          <w:tcPr>
            <w:tcW w:w="537" w:type="dxa"/>
            <w:tcBorders>
              <w:left w:val="single" w:sz="4" w:space="0" w:color="000000"/>
              <w:bottom w:val="single" w:sz="4" w:space="0" w:color="000000"/>
              <w:right w:val="single" w:sz="4" w:space="0" w:color="000000"/>
            </w:tcBorders>
          </w:tcPr>
          <w:p>
            <w:pPr>
              <w:pStyle w:val="TableParagraph"/>
              <w:spacing w:before="92"/>
              <w:ind w:left="0" w:right="56"/>
              <w:jc w:val="right"/>
              <w:rPr>
                <w:rFonts w:ascii="Stone Sans II ITC Std Sm"/>
                <w:b/>
                <w:sz w:val="14"/>
              </w:rPr>
            </w:pPr>
            <w:r>
              <w:rPr>
                <w:rFonts w:ascii="Stone Sans II ITC Std Sm"/>
                <w:b/>
                <w:w w:val="114"/>
                <w:sz w:val="14"/>
              </w:rPr>
              <w:t>8</w:t>
            </w:r>
          </w:p>
          <w:p>
            <w:pPr>
              <w:pStyle w:val="TableParagraph"/>
              <w:spacing w:before="51"/>
              <w:ind w:left="224"/>
              <w:rPr>
                <w:rFonts w:ascii="Stone Sans II ITC Std Sm"/>
                <w:b/>
                <w:sz w:val="14"/>
              </w:rPr>
            </w:pPr>
            <w:r>
              <w:rPr>
                <w:rFonts w:ascii="Stone Sans II ITC Std Sm"/>
                <w:b/>
                <w:w w:val="115"/>
                <w:sz w:val="14"/>
              </w:rPr>
              <w:t>SW</w:t>
            </w:r>
          </w:p>
        </w:tc>
        <w:tc>
          <w:tcPr>
            <w:tcW w:w="565" w:type="dxa"/>
            <w:tcBorders>
              <w:left w:val="single" w:sz="4" w:space="0" w:color="000000"/>
              <w:bottom w:val="single" w:sz="4" w:space="0" w:color="000000"/>
              <w:right w:val="single" w:sz="4" w:space="0" w:color="000000"/>
            </w:tcBorders>
          </w:tcPr>
          <w:p>
            <w:pPr>
              <w:pStyle w:val="TableParagraph"/>
              <w:spacing w:before="92"/>
              <w:ind w:left="0" w:right="54"/>
              <w:jc w:val="right"/>
              <w:rPr>
                <w:rFonts w:ascii="Stone Sans II ITC Std Sm"/>
                <w:b/>
                <w:sz w:val="14"/>
              </w:rPr>
            </w:pPr>
            <w:r>
              <w:rPr>
                <w:rFonts w:ascii="Stone Sans II ITC Std Sm"/>
                <w:b/>
                <w:w w:val="114"/>
                <w:sz w:val="14"/>
              </w:rPr>
              <w:t>9</w:t>
            </w:r>
          </w:p>
          <w:p>
            <w:pPr>
              <w:pStyle w:val="TableParagraph"/>
              <w:spacing w:before="51"/>
              <w:ind w:left="0" w:right="54"/>
              <w:jc w:val="right"/>
              <w:rPr>
                <w:rFonts w:ascii="Stone Sans II ITC Std Sm"/>
                <w:b/>
                <w:sz w:val="14"/>
              </w:rPr>
            </w:pPr>
            <w:r>
              <w:rPr>
                <w:rFonts w:ascii="Stone Sans II ITC Std Sm"/>
                <w:b/>
                <w:w w:val="115"/>
                <w:sz w:val="14"/>
              </w:rPr>
              <w:t>Wess</w:t>
            </w:r>
          </w:p>
        </w:tc>
        <w:tc>
          <w:tcPr>
            <w:tcW w:w="565" w:type="dxa"/>
            <w:tcBorders>
              <w:left w:val="single" w:sz="4" w:space="0" w:color="000000"/>
              <w:bottom w:val="single" w:sz="4" w:space="0" w:color="000000"/>
              <w:right w:val="single" w:sz="4" w:space="0" w:color="000000"/>
            </w:tcBorders>
          </w:tcPr>
          <w:p>
            <w:pPr>
              <w:pStyle w:val="TableParagraph"/>
              <w:spacing w:before="92"/>
              <w:ind w:left="309"/>
              <w:rPr>
                <w:rFonts w:ascii="Stone Sans II ITC Std Sm"/>
                <w:b/>
                <w:sz w:val="14"/>
              </w:rPr>
            </w:pPr>
            <w:r>
              <w:rPr>
                <w:rFonts w:ascii="Stone Sans II ITC Std Sm"/>
                <w:b/>
                <w:spacing w:val="-5"/>
                <w:w w:val="115"/>
                <w:sz w:val="14"/>
              </w:rPr>
              <w:t>10</w:t>
            </w:r>
          </w:p>
          <w:p>
            <w:pPr>
              <w:pStyle w:val="TableParagraph"/>
              <w:spacing w:before="51"/>
              <w:ind w:left="285"/>
              <w:rPr>
                <w:rFonts w:ascii="Stone Sans II ITC Std Sm"/>
                <w:b/>
                <w:sz w:val="14"/>
              </w:rPr>
            </w:pPr>
            <w:r>
              <w:rPr>
                <w:rFonts w:ascii="Stone Sans II ITC Std Sm"/>
                <w:b/>
                <w:spacing w:val="4"/>
                <w:w w:val="115"/>
                <w:sz w:val="14"/>
              </w:rPr>
              <w:t>TN</w:t>
            </w:r>
          </w:p>
        </w:tc>
        <w:tc>
          <w:tcPr>
            <w:tcW w:w="565" w:type="dxa"/>
            <w:tcBorders>
              <w:left w:val="single" w:sz="4" w:space="0" w:color="000000"/>
              <w:bottom w:val="single" w:sz="4" w:space="0" w:color="000000"/>
              <w:right w:val="single" w:sz="4" w:space="0" w:color="000000"/>
            </w:tcBorders>
          </w:tcPr>
          <w:p>
            <w:pPr>
              <w:pStyle w:val="TableParagraph"/>
              <w:spacing w:before="92"/>
              <w:ind w:left="320"/>
              <w:rPr>
                <w:rFonts w:ascii="Stone Sans II ITC Std Sm"/>
                <w:b/>
                <w:sz w:val="14"/>
              </w:rPr>
            </w:pPr>
            <w:r>
              <w:rPr>
                <w:rFonts w:ascii="Stone Sans II ITC Std Sm"/>
                <w:b/>
                <w:spacing w:val="-7"/>
                <w:w w:val="115"/>
                <w:sz w:val="14"/>
              </w:rPr>
              <w:t>11</w:t>
            </w:r>
          </w:p>
          <w:p>
            <w:pPr>
              <w:pStyle w:val="TableParagraph"/>
              <w:spacing w:before="51"/>
              <w:ind w:left="256"/>
              <w:rPr>
                <w:rFonts w:ascii="Stone Sans II ITC Std Sm"/>
                <w:b/>
                <w:sz w:val="14"/>
              </w:rPr>
            </w:pPr>
            <w:r>
              <w:rPr>
                <w:rFonts w:ascii="Stone Sans II ITC Std Sm"/>
                <w:b/>
                <w:w w:val="115"/>
                <w:sz w:val="14"/>
              </w:rPr>
              <w:t>Sth</w:t>
            </w:r>
          </w:p>
        </w:tc>
        <w:tc>
          <w:tcPr>
            <w:tcW w:w="565" w:type="dxa"/>
            <w:tcBorders>
              <w:left w:val="single" w:sz="4" w:space="0" w:color="000000"/>
              <w:bottom w:val="single" w:sz="4" w:space="0" w:color="000000"/>
              <w:right w:val="single" w:sz="4" w:space="0" w:color="000000"/>
            </w:tcBorders>
          </w:tcPr>
          <w:p>
            <w:pPr>
              <w:pStyle w:val="TableParagraph"/>
              <w:spacing w:before="92"/>
              <w:ind w:left="318"/>
              <w:rPr>
                <w:rFonts w:ascii="Stone Sans II ITC Std Sm"/>
                <w:b/>
                <w:sz w:val="14"/>
              </w:rPr>
            </w:pPr>
            <w:r>
              <w:rPr>
                <w:rFonts w:ascii="Stone Sans II ITC Std Sm"/>
                <w:b/>
                <w:spacing w:val="-5"/>
                <w:w w:val="115"/>
                <w:sz w:val="14"/>
              </w:rPr>
              <w:t>12</w:t>
            </w:r>
          </w:p>
          <w:p>
            <w:pPr>
              <w:pStyle w:val="TableParagraph"/>
              <w:spacing w:before="51"/>
              <w:ind w:left="218"/>
              <w:rPr>
                <w:rFonts w:ascii="Stone Sans II ITC Std Sm"/>
                <w:b/>
                <w:sz w:val="14"/>
              </w:rPr>
            </w:pPr>
            <w:r>
              <w:rPr>
                <w:rFonts w:ascii="Stone Sans II ITC Std Sm"/>
                <w:b/>
                <w:w w:val="115"/>
                <w:sz w:val="14"/>
              </w:rPr>
              <w:t>Wal</w:t>
            </w:r>
          </w:p>
        </w:tc>
        <w:tc>
          <w:tcPr>
            <w:tcW w:w="534" w:type="dxa"/>
            <w:tcBorders>
              <w:left w:val="single" w:sz="4" w:space="0" w:color="000000"/>
              <w:bottom w:val="single" w:sz="4" w:space="0" w:color="000000"/>
              <w:right w:val="single" w:sz="4" w:space="0" w:color="000000"/>
            </w:tcBorders>
          </w:tcPr>
          <w:p>
            <w:pPr>
              <w:pStyle w:val="TableParagraph"/>
              <w:spacing w:before="92"/>
              <w:ind w:left="291"/>
              <w:rPr>
                <w:rFonts w:ascii="Stone Sans II ITC Std Sm"/>
                <w:b/>
                <w:sz w:val="14"/>
              </w:rPr>
            </w:pPr>
            <w:r>
              <w:rPr>
                <w:rFonts w:ascii="Stone Sans II ITC Std Sm"/>
                <w:b/>
                <w:spacing w:val="-12"/>
                <w:w w:val="115"/>
                <w:sz w:val="14"/>
              </w:rPr>
              <w:t>13</w:t>
            </w:r>
          </w:p>
          <w:p>
            <w:pPr>
              <w:pStyle w:val="TableParagraph"/>
              <w:spacing w:before="51"/>
              <w:ind w:left="213"/>
              <w:rPr>
                <w:rFonts w:ascii="Stone Sans II ITC Std Sm"/>
                <w:b/>
                <w:sz w:val="14"/>
              </w:rPr>
            </w:pPr>
            <w:r>
              <w:rPr>
                <w:rFonts w:ascii="Stone Sans II ITC Std Sm"/>
                <w:b/>
                <w:w w:val="115"/>
                <w:sz w:val="14"/>
              </w:rPr>
              <w:t>Sco</w:t>
            </w:r>
          </w:p>
        </w:tc>
        <w:tc>
          <w:tcPr>
            <w:tcW w:w="716" w:type="dxa"/>
            <w:tcBorders>
              <w:left w:val="single" w:sz="4" w:space="0" w:color="000000"/>
              <w:bottom w:val="single" w:sz="4" w:space="0" w:color="000000"/>
            </w:tcBorders>
            <w:shd w:val="clear" w:color="auto" w:fill="FFFFFF"/>
          </w:tcPr>
          <w:p>
            <w:pPr>
              <w:pStyle w:val="TableParagraph"/>
              <w:ind w:left="0"/>
              <w:rPr>
                <w:sz w:val="18"/>
              </w:rPr>
            </w:pPr>
          </w:p>
          <w:p>
            <w:pPr>
              <w:pStyle w:val="TableParagraph"/>
              <w:spacing w:before="113"/>
              <w:ind w:left="0" w:right="97"/>
              <w:jc w:val="right"/>
              <w:rPr>
                <w:rFonts w:ascii="Stone Sans II ITC Std Sm"/>
                <w:b/>
                <w:sz w:val="14"/>
              </w:rPr>
            </w:pPr>
            <w:r>
              <w:rPr>
                <w:rFonts w:ascii="Stone Sans II ITC Std Sm"/>
                <w:b/>
                <w:w w:val="115"/>
                <w:sz w:val="14"/>
              </w:rPr>
              <w:t>Totals</w:t>
            </w:r>
          </w:p>
        </w:tc>
      </w:tr>
      <w:tr>
        <w:trPr>
          <w:trHeight w:val="309" w:hRule="atLeast"/>
        </w:trPr>
        <w:tc>
          <w:tcPr>
            <w:tcW w:w="1760" w:type="dxa"/>
            <w:tcBorders>
              <w:bottom w:val="nil"/>
              <w:right w:val="single" w:sz="4" w:space="0" w:color="000000"/>
            </w:tcBorders>
          </w:tcPr>
          <w:p>
            <w:pPr>
              <w:pStyle w:val="TableParagraph"/>
              <w:spacing w:before="101"/>
              <w:rPr>
                <w:sz w:val="14"/>
              </w:rPr>
            </w:pPr>
            <w:r>
              <w:rPr>
                <w:w w:val="120"/>
                <w:sz w:val="14"/>
              </w:rPr>
              <w:t>MEMBERS – 2015</w:t>
            </w:r>
          </w:p>
        </w:tc>
        <w:tc>
          <w:tcPr>
            <w:tcW w:w="570" w:type="dxa"/>
            <w:tcBorders>
              <w:top w:val="single" w:sz="4" w:space="0" w:color="000000"/>
              <w:left w:val="single" w:sz="4" w:space="0" w:color="000000"/>
              <w:bottom w:val="single" w:sz="4" w:space="0" w:color="000000"/>
              <w:right w:val="single" w:sz="4" w:space="0" w:color="000000"/>
            </w:tcBorders>
          </w:tcPr>
          <w:p>
            <w:pPr>
              <w:pStyle w:val="TableParagraph"/>
              <w:spacing w:before="101"/>
              <w:ind w:left="0" w:right="68"/>
              <w:jc w:val="right"/>
              <w:rPr>
                <w:sz w:val="14"/>
              </w:rPr>
            </w:pPr>
            <w:r>
              <w:rPr>
                <w:w w:val="125"/>
                <w:sz w:val="14"/>
              </w:rPr>
              <w:t>2693</w:t>
            </w:r>
          </w:p>
        </w:tc>
        <w:tc>
          <w:tcPr>
            <w:tcW w:w="538" w:type="dxa"/>
            <w:tcBorders>
              <w:top w:val="single" w:sz="4" w:space="0" w:color="000000"/>
              <w:left w:val="single" w:sz="4" w:space="0" w:color="000000"/>
              <w:bottom w:val="single" w:sz="4" w:space="0" w:color="000000"/>
              <w:right w:val="single" w:sz="4" w:space="0" w:color="000000"/>
            </w:tcBorders>
          </w:tcPr>
          <w:p>
            <w:pPr>
              <w:pStyle w:val="TableParagraph"/>
              <w:spacing w:before="101"/>
              <w:ind w:left="75" w:right="38"/>
              <w:jc w:val="center"/>
              <w:rPr>
                <w:sz w:val="14"/>
              </w:rPr>
            </w:pPr>
            <w:r>
              <w:rPr>
                <w:w w:val="125"/>
                <w:sz w:val="14"/>
              </w:rPr>
              <w:t>5545</w:t>
            </w:r>
          </w:p>
        </w:tc>
        <w:tc>
          <w:tcPr>
            <w:tcW w:w="566" w:type="dxa"/>
            <w:tcBorders>
              <w:top w:val="single" w:sz="4" w:space="0" w:color="000000"/>
              <w:left w:val="single" w:sz="4" w:space="0" w:color="000000"/>
              <w:bottom w:val="single" w:sz="4" w:space="0" w:color="000000"/>
              <w:right w:val="single" w:sz="4" w:space="0" w:color="000000"/>
            </w:tcBorders>
          </w:tcPr>
          <w:p>
            <w:pPr>
              <w:pStyle w:val="TableParagraph"/>
              <w:spacing w:before="101"/>
              <w:ind w:left="0" w:right="62"/>
              <w:jc w:val="right"/>
              <w:rPr>
                <w:sz w:val="14"/>
              </w:rPr>
            </w:pPr>
            <w:r>
              <w:rPr>
                <w:w w:val="125"/>
                <w:sz w:val="14"/>
              </w:rPr>
              <w:t>3288</w:t>
            </w:r>
          </w:p>
        </w:tc>
        <w:tc>
          <w:tcPr>
            <w:tcW w:w="568" w:type="dxa"/>
            <w:tcBorders>
              <w:top w:val="single" w:sz="4" w:space="0" w:color="000000"/>
              <w:left w:val="single" w:sz="4" w:space="0" w:color="000000"/>
              <w:bottom w:val="single" w:sz="4" w:space="0" w:color="000000"/>
              <w:right w:val="single" w:sz="4" w:space="0" w:color="000000"/>
            </w:tcBorders>
          </w:tcPr>
          <w:p>
            <w:pPr>
              <w:pStyle w:val="TableParagraph"/>
              <w:spacing w:before="101"/>
              <w:ind w:left="0" w:right="64"/>
              <w:jc w:val="right"/>
              <w:rPr>
                <w:sz w:val="14"/>
              </w:rPr>
            </w:pPr>
            <w:r>
              <w:rPr>
                <w:w w:val="125"/>
                <w:sz w:val="14"/>
              </w:rPr>
              <w:t>3269</w:t>
            </w:r>
          </w:p>
        </w:tc>
        <w:tc>
          <w:tcPr>
            <w:tcW w:w="566" w:type="dxa"/>
            <w:tcBorders>
              <w:top w:val="single" w:sz="4" w:space="0" w:color="000000"/>
              <w:left w:val="single" w:sz="4" w:space="0" w:color="000000"/>
              <w:bottom w:val="single" w:sz="4" w:space="0" w:color="000000"/>
              <w:right w:val="single" w:sz="4" w:space="0" w:color="000000"/>
            </w:tcBorders>
          </w:tcPr>
          <w:p>
            <w:pPr>
              <w:pStyle w:val="TableParagraph"/>
              <w:spacing w:before="101"/>
              <w:ind w:left="0" w:right="60"/>
              <w:jc w:val="right"/>
              <w:rPr>
                <w:sz w:val="14"/>
              </w:rPr>
            </w:pPr>
            <w:r>
              <w:rPr>
                <w:w w:val="125"/>
                <w:sz w:val="14"/>
              </w:rPr>
              <w:t>3636</w:t>
            </w:r>
          </w:p>
        </w:tc>
        <w:tc>
          <w:tcPr>
            <w:tcW w:w="535" w:type="dxa"/>
            <w:tcBorders>
              <w:top w:val="single" w:sz="4" w:space="0" w:color="000000"/>
              <w:left w:val="single" w:sz="4" w:space="0" w:color="000000"/>
              <w:bottom w:val="single" w:sz="4" w:space="0" w:color="000000"/>
              <w:right w:val="single" w:sz="4" w:space="0" w:color="000000"/>
            </w:tcBorders>
          </w:tcPr>
          <w:p>
            <w:pPr>
              <w:pStyle w:val="TableParagraph"/>
              <w:spacing w:before="101"/>
              <w:ind w:left="0" w:right="59"/>
              <w:jc w:val="right"/>
              <w:rPr>
                <w:sz w:val="14"/>
              </w:rPr>
            </w:pPr>
            <w:r>
              <w:rPr>
                <w:w w:val="125"/>
                <w:sz w:val="14"/>
              </w:rPr>
              <w:t>4825</w:t>
            </w:r>
          </w:p>
        </w:tc>
        <w:tc>
          <w:tcPr>
            <w:tcW w:w="537" w:type="dxa"/>
            <w:tcBorders>
              <w:top w:val="single" w:sz="4" w:space="0" w:color="000000"/>
              <w:left w:val="single" w:sz="4" w:space="0" w:color="000000"/>
              <w:bottom w:val="single" w:sz="4" w:space="0" w:color="000000"/>
              <w:right w:val="single" w:sz="4" w:space="0" w:color="000000"/>
            </w:tcBorders>
          </w:tcPr>
          <w:p>
            <w:pPr>
              <w:pStyle w:val="TableParagraph"/>
              <w:spacing w:before="101"/>
              <w:ind w:left="0" w:right="58"/>
              <w:jc w:val="right"/>
              <w:rPr>
                <w:sz w:val="14"/>
              </w:rPr>
            </w:pPr>
            <w:r>
              <w:rPr>
                <w:w w:val="125"/>
                <w:sz w:val="14"/>
              </w:rPr>
              <w:t>4580</w:t>
            </w:r>
          </w:p>
        </w:tc>
        <w:tc>
          <w:tcPr>
            <w:tcW w:w="537" w:type="dxa"/>
            <w:tcBorders>
              <w:top w:val="single" w:sz="4" w:space="0" w:color="000000"/>
              <w:left w:val="single" w:sz="4" w:space="0" w:color="000000"/>
              <w:bottom w:val="single" w:sz="4" w:space="0" w:color="000000"/>
              <w:right w:val="single" w:sz="4" w:space="0" w:color="000000"/>
            </w:tcBorders>
          </w:tcPr>
          <w:p>
            <w:pPr>
              <w:pStyle w:val="TableParagraph"/>
              <w:spacing w:before="101"/>
              <w:ind w:left="0" w:right="56"/>
              <w:jc w:val="right"/>
              <w:rPr>
                <w:sz w:val="14"/>
              </w:rPr>
            </w:pPr>
            <w:r>
              <w:rPr>
                <w:w w:val="125"/>
                <w:sz w:val="14"/>
              </w:rPr>
              <w:t>3389</w:t>
            </w:r>
          </w:p>
        </w:tc>
        <w:tc>
          <w:tcPr>
            <w:tcW w:w="565" w:type="dxa"/>
            <w:tcBorders>
              <w:top w:val="single" w:sz="4" w:space="0" w:color="000000"/>
              <w:left w:val="single" w:sz="4" w:space="0" w:color="000000"/>
              <w:bottom w:val="single" w:sz="4" w:space="0" w:color="000000"/>
              <w:right w:val="single" w:sz="4" w:space="0" w:color="000000"/>
            </w:tcBorders>
          </w:tcPr>
          <w:p>
            <w:pPr>
              <w:pStyle w:val="TableParagraph"/>
              <w:spacing w:before="101"/>
              <w:ind w:left="0" w:right="56"/>
              <w:jc w:val="right"/>
              <w:rPr>
                <w:sz w:val="14"/>
              </w:rPr>
            </w:pPr>
            <w:r>
              <w:rPr>
                <w:w w:val="125"/>
                <w:sz w:val="14"/>
              </w:rPr>
              <w:t>5849</w:t>
            </w:r>
          </w:p>
        </w:tc>
        <w:tc>
          <w:tcPr>
            <w:tcW w:w="565" w:type="dxa"/>
            <w:tcBorders>
              <w:top w:val="single" w:sz="4" w:space="0" w:color="000000"/>
              <w:left w:val="single" w:sz="4" w:space="0" w:color="000000"/>
              <w:bottom w:val="single" w:sz="4" w:space="0" w:color="000000"/>
              <w:right w:val="single" w:sz="4" w:space="0" w:color="000000"/>
            </w:tcBorders>
          </w:tcPr>
          <w:p>
            <w:pPr>
              <w:pStyle w:val="TableParagraph"/>
              <w:spacing w:before="101"/>
              <w:ind w:left="0" w:right="52"/>
              <w:jc w:val="right"/>
              <w:rPr>
                <w:sz w:val="14"/>
              </w:rPr>
            </w:pPr>
            <w:r>
              <w:rPr>
                <w:w w:val="125"/>
                <w:sz w:val="14"/>
              </w:rPr>
              <w:t>5221</w:t>
            </w:r>
          </w:p>
        </w:tc>
        <w:tc>
          <w:tcPr>
            <w:tcW w:w="565" w:type="dxa"/>
            <w:tcBorders>
              <w:top w:val="single" w:sz="4" w:space="0" w:color="000000"/>
              <w:left w:val="single" w:sz="4" w:space="0" w:color="000000"/>
              <w:bottom w:val="single" w:sz="4" w:space="0" w:color="000000"/>
              <w:right w:val="single" w:sz="4" w:space="0" w:color="000000"/>
            </w:tcBorders>
          </w:tcPr>
          <w:p>
            <w:pPr>
              <w:pStyle w:val="TableParagraph"/>
              <w:spacing w:before="101"/>
              <w:ind w:left="0" w:right="50"/>
              <w:jc w:val="right"/>
              <w:rPr>
                <w:sz w:val="14"/>
              </w:rPr>
            </w:pPr>
            <w:r>
              <w:rPr>
                <w:w w:val="125"/>
                <w:sz w:val="14"/>
              </w:rPr>
              <w:t>7038</w:t>
            </w:r>
          </w:p>
        </w:tc>
        <w:tc>
          <w:tcPr>
            <w:tcW w:w="565" w:type="dxa"/>
            <w:tcBorders>
              <w:top w:val="single" w:sz="4" w:space="0" w:color="000000"/>
              <w:left w:val="single" w:sz="4" w:space="0" w:color="000000"/>
              <w:bottom w:val="single" w:sz="4" w:space="0" w:color="000000"/>
              <w:right w:val="single" w:sz="4" w:space="0" w:color="000000"/>
            </w:tcBorders>
          </w:tcPr>
          <w:p>
            <w:pPr>
              <w:pStyle w:val="TableParagraph"/>
              <w:spacing w:before="101"/>
              <w:ind w:left="0" w:right="48"/>
              <w:jc w:val="right"/>
              <w:rPr>
                <w:sz w:val="14"/>
              </w:rPr>
            </w:pPr>
            <w:r>
              <w:rPr>
                <w:w w:val="125"/>
                <w:sz w:val="14"/>
              </w:rPr>
              <w:t>2109</w:t>
            </w:r>
          </w:p>
        </w:tc>
        <w:tc>
          <w:tcPr>
            <w:tcW w:w="534" w:type="dxa"/>
            <w:tcBorders>
              <w:top w:val="single" w:sz="4" w:space="0" w:color="000000"/>
              <w:left w:val="single" w:sz="4" w:space="0" w:color="000000"/>
              <w:bottom w:val="single" w:sz="4" w:space="0" w:color="000000"/>
              <w:right w:val="single" w:sz="4" w:space="0" w:color="000000"/>
            </w:tcBorders>
          </w:tcPr>
          <w:p>
            <w:pPr>
              <w:pStyle w:val="TableParagraph"/>
              <w:spacing w:before="101"/>
              <w:ind w:left="0" w:right="47"/>
              <w:jc w:val="right"/>
              <w:rPr>
                <w:sz w:val="14"/>
              </w:rPr>
            </w:pPr>
            <w:r>
              <w:rPr>
                <w:w w:val="125"/>
                <w:sz w:val="14"/>
              </w:rPr>
              <w:t>2856</w:t>
            </w:r>
          </w:p>
        </w:tc>
        <w:tc>
          <w:tcPr>
            <w:tcW w:w="716" w:type="dxa"/>
            <w:tcBorders>
              <w:top w:val="single" w:sz="4" w:space="0" w:color="000000"/>
              <w:left w:val="single" w:sz="4" w:space="0" w:color="000000"/>
              <w:bottom w:val="single" w:sz="4" w:space="0" w:color="000000"/>
            </w:tcBorders>
            <w:shd w:val="clear" w:color="auto" w:fill="FFFFFF"/>
          </w:tcPr>
          <w:p>
            <w:pPr>
              <w:pStyle w:val="TableParagraph"/>
              <w:spacing w:before="92"/>
              <w:ind w:left="0" w:right="42"/>
              <w:jc w:val="right"/>
              <w:rPr>
                <w:rFonts w:ascii="Stone Sans II ITC Std Bk"/>
                <w:b/>
                <w:sz w:val="14"/>
              </w:rPr>
            </w:pPr>
            <w:r>
              <w:rPr>
                <w:rFonts w:ascii="Stone Sans II ITC Std Bk"/>
                <w:b/>
                <w:w w:val="110"/>
                <w:sz w:val="14"/>
              </w:rPr>
              <w:t>54298</w:t>
            </w:r>
          </w:p>
        </w:tc>
      </w:tr>
      <w:tr>
        <w:trPr>
          <w:trHeight w:val="312" w:hRule="atLeast"/>
        </w:trPr>
        <w:tc>
          <w:tcPr>
            <w:tcW w:w="1760" w:type="dxa"/>
            <w:tcBorders>
              <w:top w:val="nil"/>
              <w:bottom w:val="nil"/>
              <w:right w:val="single" w:sz="4" w:space="0" w:color="000000"/>
            </w:tcBorders>
          </w:tcPr>
          <w:p>
            <w:pPr>
              <w:pStyle w:val="TableParagraph"/>
              <w:spacing w:before="104"/>
              <w:rPr>
                <w:sz w:val="14"/>
              </w:rPr>
            </w:pPr>
            <w:r>
              <w:rPr>
                <w:w w:val="130"/>
                <w:sz w:val="14"/>
              </w:rPr>
              <w:t>CHURCHES – 2015</w:t>
            </w:r>
          </w:p>
        </w:tc>
        <w:tc>
          <w:tcPr>
            <w:tcW w:w="570" w:type="dxa"/>
            <w:tcBorders>
              <w:top w:val="single" w:sz="4" w:space="0" w:color="000000"/>
              <w:left w:val="single" w:sz="4" w:space="0" w:color="000000"/>
              <w:bottom w:val="single" w:sz="4" w:space="0" w:color="000000"/>
              <w:right w:val="single" w:sz="4" w:space="0" w:color="000000"/>
            </w:tcBorders>
          </w:tcPr>
          <w:p>
            <w:pPr>
              <w:pStyle w:val="TableParagraph"/>
              <w:spacing w:before="104"/>
              <w:ind w:left="0" w:right="64"/>
              <w:jc w:val="right"/>
              <w:rPr>
                <w:sz w:val="14"/>
              </w:rPr>
            </w:pPr>
            <w:r>
              <w:rPr>
                <w:w w:val="125"/>
                <w:sz w:val="14"/>
              </w:rPr>
              <w:t>71</w:t>
            </w:r>
          </w:p>
        </w:tc>
        <w:tc>
          <w:tcPr>
            <w:tcW w:w="538" w:type="dxa"/>
            <w:tcBorders>
              <w:top w:val="single" w:sz="4" w:space="0" w:color="000000"/>
              <w:left w:val="single" w:sz="4" w:space="0" w:color="000000"/>
              <w:bottom w:val="single" w:sz="4" w:space="0" w:color="000000"/>
              <w:right w:val="single" w:sz="4" w:space="0" w:color="000000"/>
            </w:tcBorders>
          </w:tcPr>
          <w:p>
            <w:pPr>
              <w:pStyle w:val="TableParagraph"/>
              <w:spacing w:before="104"/>
              <w:ind w:left="183" w:right="38"/>
              <w:jc w:val="center"/>
              <w:rPr>
                <w:sz w:val="14"/>
              </w:rPr>
            </w:pPr>
            <w:r>
              <w:rPr>
                <w:w w:val="125"/>
                <w:sz w:val="14"/>
              </w:rPr>
              <w:t>131</w:t>
            </w:r>
          </w:p>
        </w:tc>
        <w:tc>
          <w:tcPr>
            <w:tcW w:w="566" w:type="dxa"/>
            <w:tcBorders>
              <w:top w:val="single" w:sz="4" w:space="0" w:color="000000"/>
              <w:left w:val="single" w:sz="4" w:space="0" w:color="000000"/>
              <w:bottom w:val="single" w:sz="4" w:space="0" w:color="000000"/>
              <w:right w:val="single" w:sz="4" w:space="0" w:color="000000"/>
            </w:tcBorders>
          </w:tcPr>
          <w:p>
            <w:pPr>
              <w:pStyle w:val="TableParagraph"/>
              <w:spacing w:before="104"/>
              <w:ind w:left="0" w:right="63"/>
              <w:jc w:val="right"/>
              <w:rPr>
                <w:sz w:val="14"/>
              </w:rPr>
            </w:pPr>
            <w:r>
              <w:rPr>
                <w:w w:val="125"/>
                <w:sz w:val="14"/>
              </w:rPr>
              <w:t>82</w:t>
            </w:r>
          </w:p>
        </w:tc>
        <w:tc>
          <w:tcPr>
            <w:tcW w:w="568" w:type="dxa"/>
            <w:tcBorders>
              <w:top w:val="single" w:sz="4" w:space="0" w:color="000000"/>
              <w:left w:val="single" w:sz="4" w:space="0" w:color="000000"/>
              <w:bottom w:val="single" w:sz="4" w:space="0" w:color="000000"/>
              <w:right w:val="single" w:sz="4" w:space="0" w:color="000000"/>
            </w:tcBorders>
          </w:tcPr>
          <w:p>
            <w:pPr>
              <w:pStyle w:val="TableParagraph"/>
              <w:spacing w:before="104"/>
              <w:ind w:left="0" w:right="60"/>
              <w:jc w:val="right"/>
              <w:rPr>
                <w:sz w:val="14"/>
              </w:rPr>
            </w:pPr>
            <w:r>
              <w:rPr>
                <w:w w:val="125"/>
                <w:sz w:val="14"/>
              </w:rPr>
              <w:t>99</w:t>
            </w:r>
          </w:p>
        </w:tc>
        <w:tc>
          <w:tcPr>
            <w:tcW w:w="566" w:type="dxa"/>
            <w:tcBorders>
              <w:top w:val="single" w:sz="4" w:space="0" w:color="000000"/>
              <w:left w:val="single" w:sz="4" w:space="0" w:color="000000"/>
              <w:bottom w:val="single" w:sz="4" w:space="0" w:color="000000"/>
              <w:right w:val="single" w:sz="4" w:space="0" w:color="000000"/>
            </w:tcBorders>
          </w:tcPr>
          <w:p>
            <w:pPr>
              <w:pStyle w:val="TableParagraph"/>
              <w:spacing w:before="104"/>
              <w:ind w:left="0" w:right="60"/>
              <w:jc w:val="right"/>
              <w:rPr>
                <w:sz w:val="14"/>
              </w:rPr>
            </w:pPr>
            <w:r>
              <w:rPr>
                <w:w w:val="125"/>
                <w:sz w:val="14"/>
              </w:rPr>
              <w:t>132</w:t>
            </w:r>
          </w:p>
        </w:tc>
        <w:tc>
          <w:tcPr>
            <w:tcW w:w="535" w:type="dxa"/>
            <w:tcBorders>
              <w:top w:val="single" w:sz="4" w:space="0" w:color="000000"/>
              <w:left w:val="single" w:sz="4" w:space="0" w:color="000000"/>
              <w:bottom w:val="single" w:sz="4" w:space="0" w:color="000000"/>
              <w:right w:val="single" w:sz="4" w:space="0" w:color="000000"/>
            </w:tcBorders>
          </w:tcPr>
          <w:p>
            <w:pPr>
              <w:pStyle w:val="TableParagraph"/>
              <w:spacing w:before="104"/>
              <w:ind w:left="0" w:right="59"/>
              <w:jc w:val="right"/>
              <w:rPr>
                <w:sz w:val="14"/>
              </w:rPr>
            </w:pPr>
            <w:r>
              <w:rPr>
                <w:w w:val="125"/>
                <w:sz w:val="14"/>
              </w:rPr>
              <w:t>121</w:t>
            </w:r>
          </w:p>
        </w:tc>
        <w:tc>
          <w:tcPr>
            <w:tcW w:w="537" w:type="dxa"/>
            <w:tcBorders>
              <w:top w:val="single" w:sz="4" w:space="0" w:color="000000"/>
              <w:left w:val="single" w:sz="4" w:space="0" w:color="000000"/>
              <w:bottom w:val="single" w:sz="4" w:space="0" w:color="000000"/>
              <w:right w:val="single" w:sz="4" w:space="0" w:color="000000"/>
            </w:tcBorders>
          </w:tcPr>
          <w:p>
            <w:pPr>
              <w:pStyle w:val="TableParagraph"/>
              <w:spacing w:before="104"/>
              <w:ind w:left="0" w:right="57"/>
              <w:jc w:val="right"/>
              <w:rPr>
                <w:sz w:val="14"/>
              </w:rPr>
            </w:pPr>
            <w:r>
              <w:rPr>
                <w:w w:val="125"/>
                <w:sz w:val="14"/>
              </w:rPr>
              <w:t>135</w:t>
            </w:r>
          </w:p>
        </w:tc>
        <w:tc>
          <w:tcPr>
            <w:tcW w:w="537" w:type="dxa"/>
            <w:tcBorders>
              <w:top w:val="single" w:sz="4" w:space="0" w:color="000000"/>
              <w:left w:val="single" w:sz="4" w:space="0" w:color="000000"/>
              <w:bottom w:val="single" w:sz="4" w:space="0" w:color="000000"/>
              <w:right w:val="single" w:sz="4" w:space="0" w:color="000000"/>
            </w:tcBorders>
          </w:tcPr>
          <w:p>
            <w:pPr>
              <w:pStyle w:val="TableParagraph"/>
              <w:spacing w:before="104"/>
              <w:ind w:left="0" w:right="56"/>
              <w:jc w:val="right"/>
              <w:rPr>
                <w:sz w:val="14"/>
              </w:rPr>
            </w:pPr>
            <w:r>
              <w:rPr>
                <w:w w:val="125"/>
                <w:sz w:val="14"/>
              </w:rPr>
              <w:t>115</w:t>
            </w:r>
          </w:p>
        </w:tc>
        <w:tc>
          <w:tcPr>
            <w:tcW w:w="565" w:type="dxa"/>
            <w:tcBorders>
              <w:top w:val="single" w:sz="4" w:space="0" w:color="000000"/>
              <w:left w:val="single" w:sz="4" w:space="0" w:color="000000"/>
              <w:bottom w:val="single" w:sz="4" w:space="0" w:color="000000"/>
              <w:right w:val="single" w:sz="4" w:space="0" w:color="000000"/>
            </w:tcBorders>
          </w:tcPr>
          <w:p>
            <w:pPr>
              <w:pStyle w:val="TableParagraph"/>
              <w:spacing w:before="104"/>
              <w:ind w:left="0" w:right="54"/>
              <w:jc w:val="right"/>
              <w:rPr>
                <w:sz w:val="14"/>
              </w:rPr>
            </w:pPr>
            <w:r>
              <w:rPr>
                <w:w w:val="125"/>
                <w:sz w:val="14"/>
              </w:rPr>
              <w:t>134</w:t>
            </w:r>
          </w:p>
        </w:tc>
        <w:tc>
          <w:tcPr>
            <w:tcW w:w="565" w:type="dxa"/>
            <w:tcBorders>
              <w:top w:val="single" w:sz="4" w:space="0" w:color="000000"/>
              <w:left w:val="single" w:sz="4" w:space="0" w:color="000000"/>
              <w:bottom w:val="single" w:sz="4" w:space="0" w:color="000000"/>
              <w:right w:val="single" w:sz="4" w:space="0" w:color="000000"/>
            </w:tcBorders>
          </w:tcPr>
          <w:p>
            <w:pPr>
              <w:pStyle w:val="TableParagraph"/>
              <w:spacing w:before="104"/>
              <w:ind w:left="0" w:right="52"/>
              <w:jc w:val="right"/>
              <w:rPr>
                <w:sz w:val="14"/>
              </w:rPr>
            </w:pPr>
            <w:r>
              <w:rPr>
                <w:w w:val="125"/>
                <w:sz w:val="14"/>
              </w:rPr>
              <w:t>133</w:t>
            </w:r>
          </w:p>
        </w:tc>
        <w:tc>
          <w:tcPr>
            <w:tcW w:w="565" w:type="dxa"/>
            <w:tcBorders>
              <w:top w:val="single" w:sz="4" w:space="0" w:color="000000"/>
              <w:left w:val="single" w:sz="4" w:space="0" w:color="000000"/>
              <w:bottom w:val="single" w:sz="4" w:space="0" w:color="000000"/>
              <w:right w:val="single" w:sz="4" w:space="0" w:color="000000"/>
            </w:tcBorders>
          </w:tcPr>
          <w:p>
            <w:pPr>
              <w:pStyle w:val="TableParagraph"/>
              <w:spacing w:before="104"/>
              <w:ind w:left="0" w:right="50"/>
              <w:jc w:val="right"/>
              <w:rPr>
                <w:sz w:val="14"/>
              </w:rPr>
            </w:pPr>
            <w:r>
              <w:rPr>
                <w:w w:val="125"/>
                <w:sz w:val="14"/>
              </w:rPr>
              <w:t>149</w:t>
            </w:r>
          </w:p>
        </w:tc>
        <w:tc>
          <w:tcPr>
            <w:tcW w:w="565" w:type="dxa"/>
            <w:tcBorders>
              <w:top w:val="single" w:sz="4" w:space="0" w:color="000000"/>
              <w:left w:val="single" w:sz="4" w:space="0" w:color="000000"/>
              <w:bottom w:val="single" w:sz="4" w:space="0" w:color="000000"/>
              <w:right w:val="single" w:sz="4" w:space="0" w:color="000000"/>
            </w:tcBorders>
          </w:tcPr>
          <w:p>
            <w:pPr>
              <w:pStyle w:val="TableParagraph"/>
              <w:spacing w:before="104"/>
              <w:ind w:left="0" w:right="47"/>
              <w:jc w:val="right"/>
              <w:rPr>
                <w:sz w:val="14"/>
              </w:rPr>
            </w:pPr>
            <w:r>
              <w:rPr>
                <w:w w:val="125"/>
                <w:sz w:val="14"/>
              </w:rPr>
              <w:t>98</w:t>
            </w:r>
          </w:p>
        </w:tc>
        <w:tc>
          <w:tcPr>
            <w:tcW w:w="534" w:type="dxa"/>
            <w:tcBorders>
              <w:top w:val="single" w:sz="4" w:space="0" w:color="000000"/>
              <w:left w:val="single" w:sz="4" w:space="0" w:color="000000"/>
              <w:bottom w:val="single" w:sz="4" w:space="0" w:color="000000"/>
              <w:right w:val="single" w:sz="4" w:space="0" w:color="000000"/>
            </w:tcBorders>
          </w:tcPr>
          <w:p>
            <w:pPr>
              <w:pStyle w:val="TableParagraph"/>
              <w:spacing w:before="104"/>
              <w:ind w:left="0" w:right="54"/>
              <w:jc w:val="right"/>
              <w:rPr>
                <w:sz w:val="14"/>
              </w:rPr>
            </w:pPr>
            <w:r>
              <w:rPr>
                <w:w w:val="125"/>
                <w:sz w:val="14"/>
              </w:rPr>
              <w:t>47</w:t>
            </w:r>
          </w:p>
        </w:tc>
        <w:tc>
          <w:tcPr>
            <w:tcW w:w="716" w:type="dxa"/>
            <w:tcBorders>
              <w:top w:val="single" w:sz="4" w:space="0" w:color="000000"/>
              <w:left w:val="single" w:sz="4" w:space="0" w:color="000000"/>
              <w:bottom w:val="single" w:sz="4" w:space="0" w:color="000000"/>
            </w:tcBorders>
            <w:shd w:val="clear" w:color="auto" w:fill="FFFFFF"/>
          </w:tcPr>
          <w:p>
            <w:pPr>
              <w:pStyle w:val="TableParagraph"/>
              <w:spacing w:before="95"/>
              <w:ind w:left="0" w:right="42"/>
              <w:jc w:val="right"/>
              <w:rPr>
                <w:rFonts w:ascii="Stone Sans II ITC Std Bk"/>
                <w:b/>
                <w:sz w:val="14"/>
              </w:rPr>
            </w:pPr>
            <w:r>
              <w:rPr>
                <w:rFonts w:ascii="Stone Sans II ITC Std Bk"/>
                <w:b/>
                <w:w w:val="110"/>
                <w:sz w:val="14"/>
              </w:rPr>
              <w:t>1447</w:t>
            </w:r>
          </w:p>
        </w:tc>
      </w:tr>
      <w:tr>
        <w:trPr>
          <w:trHeight w:val="552" w:hRule="atLeast"/>
        </w:trPr>
        <w:tc>
          <w:tcPr>
            <w:tcW w:w="1760" w:type="dxa"/>
            <w:tcBorders>
              <w:top w:val="nil"/>
              <w:bottom w:val="single" w:sz="4" w:space="0" w:color="000000"/>
              <w:right w:val="single" w:sz="4" w:space="0" w:color="000000"/>
            </w:tcBorders>
          </w:tcPr>
          <w:p>
            <w:pPr>
              <w:pStyle w:val="TableParagraph"/>
              <w:spacing w:before="104"/>
              <w:rPr>
                <w:sz w:val="14"/>
              </w:rPr>
            </w:pPr>
            <w:r>
              <w:rPr>
                <w:w w:val="125"/>
                <w:sz w:val="14"/>
              </w:rPr>
              <w:t>1991 POPULATION</w:t>
            </w:r>
          </w:p>
          <w:p>
            <w:pPr>
              <w:pStyle w:val="TableParagraph"/>
              <w:spacing w:before="69"/>
              <w:rPr>
                <w:sz w:val="14"/>
              </w:rPr>
            </w:pPr>
            <w:r>
              <w:rPr>
                <w:w w:val="125"/>
                <w:sz w:val="14"/>
              </w:rPr>
              <w:t>(in thousands)</w:t>
            </w:r>
          </w:p>
        </w:tc>
        <w:tc>
          <w:tcPr>
            <w:tcW w:w="570" w:type="dxa"/>
            <w:tcBorders>
              <w:top w:val="single" w:sz="4" w:space="0" w:color="000000"/>
              <w:left w:val="single" w:sz="4" w:space="0" w:color="000000"/>
              <w:bottom w:val="single" w:sz="4" w:space="0" w:color="000000"/>
              <w:right w:val="single" w:sz="4" w:space="0" w:color="000000"/>
            </w:tcBorders>
          </w:tcPr>
          <w:p>
            <w:pPr>
              <w:pStyle w:val="TableParagraph"/>
              <w:ind w:left="0"/>
              <w:rPr>
                <w:sz w:val="16"/>
              </w:rPr>
            </w:pPr>
          </w:p>
          <w:p>
            <w:pPr>
              <w:pStyle w:val="TableParagraph"/>
              <w:spacing w:before="2"/>
              <w:ind w:left="0"/>
              <w:rPr>
                <w:sz w:val="12"/>
              </w:rPr>
            </w:pPr>
          </w:p>
          <w:p>
            <w:pPr>
              <w:pStyle w:val="TableParagraph"/>
              <w:ind w:left="0" w:right="70"/>
              <w:jc w:val="right"/>
              <w:rPr>
                <w:sz w:val="14"/>
              </w:rPr>
            </w:pPr>
            <w:r>
              <w:rPr>
                <w:w w:val="125"/>
                <w:sz w:val="14"/>
              </w:rPr>
              <w:t>3051</w:t>
            </w:r>
          </w:p>
        </w:tc>
        <w:tc>
          <w:tcPr>
            <w:tcW w:w="538" w:type="dxa"/>
            <w:tcBorders>
              <w:top w:val="single" w:sz="4" w:space="0" w:color="000000"/>
              <w:left w:val="single" w:sz="4" w:space="0" w:color="000000"/>
              <w:bottom w:val="single" w:sz="4" w:space="0" w:color="000000"/>
              <w:right w:val="single" w:sz="4" w:space="0" w:color="000000"/>
            </w:tcBorders>
          </w:tcPr>
          <w:p>
            <w:pPr>
              <w:pStyle w:val="TableParagraph"/>
              <w:ind w:left="0"/>
              <w:rPr>
                <w:sz w:val="16"/>
              </w:rPr>
            </w:pPr>
          </w:p>
          <w:p>
            <w:pPr>
              <w:pStyle w:val="TableParagraph"/>
              <w:spacing w:before="2"/>
              <w:ind w:left="0"/>
              <w:rPr>
                <w:sz w:val="12"/>
              </w:rPr>
            </w:pPr>
          </w:p>
          <w:p>
            <w:pPr>
              <w:pStyle w:val="TableParagraph"/>
              <w:ind w:right="38"/>
              <w:jc w:val="center"/>
              <w:rPr>
                <w:sz w:val="14"/>
              </w:rPr>
            </w:pPr>
            <w:r>
              <w:rPr>
                <w:w w:val="125"/>
                <w:sz w:val="14"/>
              </w:rPr>
              <w:t>3931</w:t>
            </w:r>
          </w:p>
        </w:tc>
        <w:tc>
          <w:tcPr>
            <w:tcW w:w="566" w:type="dxa"/>
            <w:tcBorders>
              <w:top w:val="single" w:sz="4" w:space="0" w:color="000000"/>
              <w:left w:val="single" w:sz="4" w:space="0" w:color="000000"/>
              <w:bottom w:val="single" w:sz="4" w:space="0" w:color="000000"/>
              <w:right w:val="single" w:sz="4" w:space="0" w:color="000000"/>
            </w:tcBorders>
          </w:tcPr>
          <w:p>
            <w:pPr>
              <w:pStyle w:val="TableParagraph"/>
              <w:ind w:left="0"/>
              <w:rPr>
                <w:sz w:val="16"/>
              </w:rPr>
            </w:pPr>
          </w:p>
          <w:p>
            <w:pPr>
              <w:pStyle w:val="TableParagraph"/>
              <w:spacing w:before="2"/>
              <w:ind w:left="0"/>
              <w:rPr>
                <w:sz w:val="12"/>
              </w:rPr>
            </w:pPr>
          </w:p>
          <w:p>
            <w:pPr>
              <w:pStyle w:val="TableParagraph"/>
              <w:ind w:left="0" w:right="68"/>
              <w:jc w:val="right"/>
              <w:rPr>
                <w:sz w:val="14"/>
              </w:rPr>
            </w:pPr>
            <w:r>
              <w:rPr>
                <w:w w:val="125"/>
                <w:sz w:val="14"/>
              </w:rPr>
              <w:t>2733</w:t>
            </w:r>
          </w:p>
        </w:tc>
        <w:tc>
          <w:tcPr>
            <w:tcW w:w="568" w:type="dxa"/>
            <w:tcBorders>
              <w:top w:val="single" w:sz="4" w:space="0" w:color="000000"/>
              <w:left w:val="single" w:sz="4" w:space="0" w:color="000000"/>
              <w:bottom w:val="single" w:sz="4" w:space="0" w:color="000000"/>
              <w:right w:val="single" w:sz="4" w:space="0" w:color="000000"/>
            </w:tcBorders>
          </w:tcPr>
          <w:p>
            <w:pPr>
              <w:pStyle w:val="TableParagraph"/>
              <w:ind w:left="0"/>
              <w:rPr>
                <w:sz w:val="16"/>
              </w:rPr>
            </w:pPr>
          </w:p>
          <w:p>
            <w:pPr>
              <w:pStyle w:val="TableParagraph"/>
              <w:spacing w:before="2"/>
              <w:ind w:left="0"/>
              <w:rPr>
                <w:sz w:val="12"/>
              </w:rPr>
            </w:pPr>
          </w:p>
          <w:p>
            <w:pPr>
              <w:pStyle w:val="TableParagraph"/>
              <w:ind w:left="0" w:right="61"/>
              <w:jc w:val="right"/>
              <w:rPr>
                <w:sz w:val="14"/>
              </w:rPr>
            </w:pPr>
            <w:r>
              <w:rPr>
                <w:w w:val="125"/>
                <w:sz w:val="14"/>
              </w:rPr>
              <w:t>4494</w:t>
            </w:r>
          </w:p>
        </w:tc>
        <w:tc>
          <w:tcPr>
            <w:tcW w:w="566" w:type="dxa"/>
            <w:tcBorders>
              <w:top w:val="single" w:sz="4" w:space="0" w:color="000000"/>
              <w:left w:val="single" w:sz="4" w:space="0" w:color="000000"/>
              <w:bottom w:val="single" w:sz="4" w:space="0" w:color="000000"/>
              <w:right w:val="single" w:sz="4" w:space="0" w:color="000000"/>
            </w:tcBorders>
          </w:tcPr>
          <w:p>
            <w:pPr>
              <w:pStyle w:val="TableParagraph"/>
              <w:ind w:left="0"/>
              <w:rPr>
                <w:sz w:val="16"/>
              </w:rPr>
            </w:pPr>
          </w:p>
          <w:p>
            <w:pPr>
              <w:pStyle w:val="TableParagraph"/>
              <w:spacing w:before="2"/>
              <w:ind w:left="0"/>
              <w:rPr>
                <w:sz w:val="12"/>
              </w:rPr>
            </w:pPr>
          </w:p>
          <w:p>
            <w:pPr>
              <w:pStyle w:val="TableParagraph"/>
              <w:ind w:left="0" w:right="60"/>
              <w:jc w:val="right"/>
              <w:rPr>
                <w:sz w:val="14"/>
              </w:rPr>
            </w:pPr>
            <w:r>
              <w:rPr>
                <w:w w:val="125"/>
                <w:sz w:val="14"/>
              </w:rPr>
              <w:t>4702</w:t>
            </w:r>
          </w:p>
        </w:tc>
        <w:tc>
          <w:tcPr>
            <w:tcW w:w="535" w:type="dxa"/>
            <w:tcBorders>
              <w:top w:val="single" w:sz="4" w:space="0" w:color="000000"/>
              <w:left w:val="single" w:sz="4" w:space="0" w:color="000000"/>
              <w:bottom w:val="single" w:sz="4" w:space="0" w:color="000000"/>
              <w:right w:val="single" w:sz="4" w:space="0" w:color="000000"/>
            </w:tcBorders>
          </w:tcPr>
          <w:p>
            <w:pPr>
              <w:pStyle w:val="TableParagraph"/>
              <w:ind w:left="0"/>
              <w:rPr>
                <w:sz w:val="16"/>
              </w:rPr>
            </w:pPr>
          </w:p>
          <w:p>
            <w:pPr>
              <w:pStyle w:val="TableParagraph"/>
              <w:spacing w:before="2"/>
              <w:ind w:left="0"/>
              <w:rPr>
                <w:sz w:val="12"/>
              </w:rPr>
            </w:pPr>
          </w:p>
          <w:p>
            <w:pPr>
              <w:pStyle w:val="TableParagraph"/>
              <w:ind w:left="0" w:right="59"/>
              <w:jc w:val="right"/>
              <w:rPr>
                <w:sz w:val="14"/>
              </w:rPr>
            </w:pPr>
            <w:r>
              <w:rPr>
                <w:w w:val="125"/>
                <w:sz w:val="14"/>
              </w:rPr>
              <w:t>5632</w:t>
            </w:r>
          </w:p>
        </w:tc>
        <w:tc>
          <w:tcPr>
            <w:tcW w:w="537" w:type="dxa"/>
            <w:tcBorders>
              <w:top w:val="single" w:sz="4" w:space="0" w:color="000000"/>
              <w:left w:val="single" w:sz="4" w:space="0" w:color="000000"/>
              <w:bottom w:val="single" w:sz="4" w:space="0" w:color="000000"/>
              <w:right w:val="single" w:sz="4" w:space="0" w:color="000000"/>
            </w:tcBorders>
          </w:tcPr>
          <w:p>
            <w:pPr>
              <w:pStyle w:val="TableParagraph"/>
              <w:ind w:left="0"/>
              <w:rPr>
                <w:sz w:val="16"/>
              </w:rPr>
            </w:pPr>
          </w:p>
          <w:p>
            <w:pPr>
              <w:pStyle w:val="TableParagraph"/>
              <w:spacing w:before="2"/>
              <w:ind w:left="0"/>
              <w:rPr>
                <w:sz w:val="12"/>
              </w:rPr>
            </w:pPr>
          </w:p>
          <w:p>
            <w:pPr>
              <w:pStyle w:val="TableParagraph"/>
              <w:ind w:left="0" w:right="57"/>
              <w:jc w:val="right"/>
              <w:rPr>
                <w:sz w:val="14"/>
              </w:rPr>
            </w:pPr>
            <w:r>
              <w:rPr>
                <w:w w:val="125"/>
                <w:sz w:val="14"/>
              </w:rPr>
              <w:t>3266</w:t>
            </w:r>
          </w:p>
        </w:tc>
        <w:tc>
          <w:tcPr>
            <w:tcW w:w="537" w:type="dxa"/>
            <w:tcBorders>
              <w:top w:val="single" w:sz="4" w:space="0" w:color="000000"/>
              <w:left w:val="single" w:sz="4" w:space="0" w:color="000000"/>
              <w:bottom w:val="single" w:sz="4" w:space="0" w:color="000000"/>
              <w:right w:val="single" w:sz="4" w:space="0" w:color="000000"/>
            </w:tcBorders>
          </w:tcPr>
          <w:p>
            <w:pPr>
              <w:pStyle w:val="TableParagraph"/>
              <w:ind w:left="0"/>
              <w:rPr>
                <w:sz w:val="16"/>
              </w:rPr>
            </w:pPr>
          </w:p>
          <w:p>
            <w:pPr>
              <w:pStyle w:val="TableParagraph"/>
              <w:spacing w:before="2"/>
              <w:ind w:left="0"/>
              <w:rPr>
                <w:sz w:val="12"/>
              </w:rPr>
            </w:pPr>
          </w:p>
          <w:p>
            <w:pPr>
              <w:pStyle w:val="TableParagraph"/>
              <w:ind w:left="0" w:right="56"/>
              <w:jc w:val="right"/>
              <w:rPr>
                <w:sz w:val="14"/>
              </w:rPr>
            </w:pPr>
            <w:r>
              <w:rPr>
                <w:w w:val="125"/>
                <w:sz w:val="14"/>
              </w:rPr>
              <w:t>3204</w:t>
            </w:r>
          </w:p>
        </w:tc>
        <w:tc>
          <w:tcPr>
            <w:tcW w:w="565" w:type="dxa"/>
            <w:tcBorders>
              <w:top w:val="single" w:sz="4" w:space="0" w:color="000000"/>
              <w:left w:val="single" w:sz="4" w:space="0" w:color="000000"/>
              <w:bottom w:val="single" w:sz="4" w:space="0" w:color="000000"/>
              <w:right w:val="single" w:sz="4" w:space="0" w:color="000000"/>
            </w:tcBorders>
          </w:tcPr>
          <w:p>
            <w:pPr>
              <w:pStyle w:val="TableParagraph"/>
              <w:ind w:left="0"/>
              <w:rPr>
                <w:sz w:val="16"/>
              </w:rPr>
            </w:pPr>
          </w:p>
          <w:p>
            <w:pPr>
              <w:pStyle w:val="TableParagraph"/>
              <w:spacing w:before="2"/>
              <w:ind w:left="0"/>
              <w:rPr>
                <w:sz w:val="12"/>
              </w:rPr>
            </w:pPr>
          </w:p>
          <w:p>
            <w:pPr>
              <w:pStyle w:val="TableParagraph"/>
              <w:ind w:left="0" w:right="54"/>
              <w:jc w:val="right"/>
              <w:rPr>
                <w:sz w:val="14"/>
              </w:rPr>
            </w:pPr>
            <w:r>
              <w:rPr>
                <w:w w:val="125"/>
                <w:sz w:val="14"/>
              </w:rPr>
              <w:t>4271</w:t>
            </w:r>
          </w:p>
        </w:tc>
        <w:tc>
          <w:tcPr>
            <w:tcW w:w="565" w:type="dxa"/>
            <w:tcBorders>
              <w:top w:val="single" w:sz="4" w:space="0" w:color="000000"/>
              <w:left w:val="single" w:sz="4" w:space="0" w:color="000000"/>
              <w:bottom w:val="single" w:sz="4" w:space="0" w:color="000000"/>
              <w:right w:val="single" w:sz="4" w:space="0" w:color="000000"/>
            </w:tcBorders>
          </w:tcPr>
          <w:p>
            <w:pPr>
              <w:pStyle w:val="TableParagraph"/>
              <w:ind w:left="0"/>
              <w:rPr>
                <w:sz w:val="16"/>
              </w:rPr>
            </w:pPr>
          </w:p>
          <w:p>
            <w:pPr>
              <w:pStyle w:val="TableParagraph"/>
              <w:spacing w:before="2"/>
              <w:ind w:left="0"/>
              <w:rPr>
                <w:sz w:val="12"/>
              </w:rPr>
            </w:pPr>
          </w:p>
          <w:p>
            <w:pPr>
              <w:pStyle w:val="TableParagraph"/>
              <w:ind w:left="0" w:right="52"/>
              <w:jc w:val="right"/>
              <w:rPr>
                <w:sz w:val="14"/>
              </w:rPr>
            </w:pPr>
            <w:r>
              <w:rPr>
                <w:w w:val="125"/>
                <w:sz w:val="14"/>
              </w:rPr>
              <w:t>5904</w:t>
            </w:r>
          </w:p>
        </w:tc>
        <w:tc>
          <w:tcPr>
            <w:tcW w:w="565" w:type="dxa"/>
            <w:tcBorders>
              <w:top w:val="single" w:sz="4" w:space="0" w:color="000000"/>
              <w:left w:val="single" w:sz="4" w:space="0" w:color="000000"/>
              <w:bottom w:val="single" w:sz="4" w:space="0" w:color="000000"/>
              <w:right w:val="single" w:sz="4" w:space="0" w:color="000000"/>
            </w:tcBorders>
          </w:tcPr>
          <w:p>
            <w:pPr>
              <w:pStyle w:val="TableParagraph"/>
              <w:ind w:left="0"/>
              <w:rPr>
                <w:sz w:val="16"/>
              </w:rPr>
            </w:pPr>
          </w:p>
          <w:p>
            <w:pPr>
              <w:pStyle w:val="TableParagraph"/>
              <w:spacing w:before="2"/>
              <w:ind w:left="0"/>
              <w:rPr>
                <w:sz w:val="12"/>
              </w:rPr>
            </w:pPr>
          </w:p>
          <w:p>
            <w:pPr>
              <w:pStyle w:val="TableParagraph"/>
              <w:ind w:left="0" w:right="57"/>
              <w:jc w:val="right"/>
              <w:rPr>
                <w:sz w:val="14"/>
              </w:rPr>
            </w:pPr>
            <w:r>
              <w:rPr>
                <w:w w:val="125"/>
                <w:sz w:val="14"/>
              </w:rPr>
              <w:t>5818</w:t>
            </w:r>
          </w:p>
        </w:tc>
        <w:tc>
          <w:tcPr>
            <w:tcW w:w="565" w:type="dxa"/>
            <w:tcBorders>
              <w:top w:val="single" w:sz="4" w:space="0" w:color="000000"/>
              <w:left w:val="single" w:sz="4" w:space="0" w:color="000000"/>
              <w:bottom w:val="single" w:sz="4" w:space="0" w:color="000000"/>
              <w:right w:val="single" w:sz="4" w:space="0" w:color="000000"/>
            </w:tcBorders>
          </w:tcPr>
          <w:p>
            <w:pPr>
              <w:pStyle w:val="TableParagraph"/>
              <w:ind w:left="0"/>
              <w:rPr>
                <w:sz w:val="16"/>
              </w:rPr>
            </w:pPr>
          </w:p>
          <w:p>
            <w:pPr>
              <w:pStyle w:val="TableParagraph"/>
              <w:spacing w:before="2"/>
              <w:ind w:left="0"/>
              <w:rPr>
                <w:sz w:val="12"/>
              </w:rPr>
            </w:pPr>
          </w:p>
          <w:p>
            <w:pPr>
              <w:pStyle w:val="TableParagraph"/>
              <w:ind w:left="0" w:right="48"/>
              <w:jc w:val="right"/>
              <w:rPr>
                <w:sz w:val="14"/>
              </w:rPr>
            </w:pPr>
            <w:r>
              <w:rPr>
                <w:w w:val="125"/>
                <w:sz w:val="14"/>
              </w:rPr>
              <w:t>2808</w:t>
            </w:r>
          </w:p>
        </w:tc>
        <w:tc>
          <w:tcPr>
            <w:tcW w:w="534" w:type="dxa"/>
            <w:tcBorders>
              <w:top w:val="single" w:sz="4" w:space="0" w:color="000000"/>
              <w:left w:val="single" w:sz="4" w:space="0" w:color="000000"/>
              <w:bottom w:val="single" w:sz="4" w:space="0" w:color="000000"/>
              <w:right w:val="single" w:sz="4" w:space="0" w:color="000000"/>
            </w:tcBorders>
          </w:tcPr>
          <w:p>
            <w:pPr>
              <w:pStyle w:val="TableParagraph"/>
              <w:ind w:left="0"/>
              <w:rPr>
                <w:sz w:val="16"/>
              </w:rPr>
            </w:pPr>
          </w:p>
          <w:p>
            <w:pPr>
              <w:pStyle w:val="TableParagraph"/>
              <w:spacing w:before="2"/>
              <w:ind w:left="0"/>
              <w:rPr>
                <w:sz w:val="12"/>
              </w:rPr>
            </w:pPr>
          </w:p>
          <w:p>
            <w:pPr>
              <w:pStyle w:val="TableParagraph"/>
              <w:ind w:left="0" w:right="39"/>
              <w:jc w:val="right"/>
              <w:rPr>
                <w:sz w:val="14"/>
              </w:rPr>
            </w:pPr>
            <w:r>
              <w:rPr>
                <w:w w:val="125"/>
                <w:sz w:val="14"/>
              </w:rPr>
              <w:t>5000</w:t>
            </w:r>
          </w:p>
        </w:tc>
        <w:tc>
          <w:tcPr>
            <w:tcW w:w="716" w:type="dxa"/>
            <w:tcBorders>
              <w:top w:val="single" w:sz="4" w:space="0" w:color="000000"/>
              <w:left w:val="single" w:sz="4" w:space="0" w:color="000000"/>
              <w:bottom w:val="single" w:sz="4" w:space="0" w:color="000000"/>
            </w:tcBorders>
            <w:shd w:val="clear" w:color="auto" w:fill="FFFFFF"/>
          </w:tcPr>
          <w:p>
            <w:pPr>
              <w:pStyle w:val="TableParagraph"/>
              <w:ind w:left="0"/>
              <w:rPr>
                <w:sz w:val="18"/>
              </w:rPr>
            </w:pPr>
          </w:p>
          <w:p>
            <w:pPr>
              <w:pStyle w:val="TableParagraph"/>
              <w:spacing w:before="115"/>
              <w:ind w:left="0" w:right="50"/>
              <w:jc w:val="right"/>
              <w:rPr>
                <w:rFonts w:ascii="Stone Sans II ITC Std Bk"/>
                <w:b/>
                <w:sz w:val="14"/>
              </w:rPr>
            </w:pPr>
            <w:r>
              <w:rPr>
                <w:rFonts w:ascii="Stone Sans II ITC Std Bk"/>
                <w:b/>
                <w:w w:val="110"/>
                <w:sz w:val="14"/>
              </w:rPr>
              <w:t>54814</w:t>
            </w:r>
          </w:p>
        </w:tc>
      </w:tr>
      <w:tr>
        <w:trPr>
          <w:trHeight w:val="552" w:hRule="atLeast"/>
        </w:trPr>
        <w:tc>
          <w:tcPr>
            <w:tcW w:w="1760" w:type="dxa"/>
            <w:tcBorders>
              <w:top w:val="single" w:sz="4" w:space="0" w:color="000000"/>
              <w:bottom w:val="single" w:sz="4" w:space="0" w:color="000000"/>
              <w:right w:val="single" w:sz="4" w:space="0" w:color="000000"/>
            </w:tcBorders>
            <w:shd w:val="clear" w:color="auto" w:fill="FDE9D9"/>
          </w:tcPr>
          <w:p>
            <w:pPr>
              <w:pStyle w:val="TableParagraph"/>
              <w:spacing w:line="240" w:lineRule="atLeast" w:before="44"/>
              <w:ind w:right="232"/>
              <w:rPr>
                <w:rFonts w:ascii="Stone Sans II ITC Std Bk"/>
                <w:b/>
                <w:sz w:val="14"/>
              </w:rPr>
            </w:pPr>
            <w:r>
              <w:rPr>
                <w:rFonts w:ascii="Stone Sans II ITC Std Bk"/>
                <w:b/>
                <w:w w:val="115"/>
                <w:sz w:val="14"/>
              </w:rPr>
              <w:t>Actual end of year figures 2015</w:t>
            </w:r>
          </w:p>
        </w:tc>
        <w:tc>
          <w:tcPr>
            <w:tcW w:w="570" w:type="dxa"/>
            <w:tcBorders>
              <w:top w:val="single" w:sz="4" w:space="0" w:color="000000"/>
              <w:left w:val="single" w:sz="4" w:space="0" w:color="000000"/>
              <w:bottom w:val="single" w:sz="4" w:space="0" w:color="000000"/>
              <w:right w:val="single" w:sz="4" w:space="0" w:color="000000"/>
            </w:tcBorders>
            <w:shd w:val="clear" w:color="auto" w:fill="FDE9D9"/>
          </w:tcPr>
          <w:p>
            <w:pPr>
              <w:pStyle w:val="TableParagraph"/>
              <w:ind w:left="0"/>
              <w:rPr>
                <w:sz w:val="16"/>
              </w:rPr>
            </w:pPr>
          </w:p>
          <w:p>
            <w:pPr>
              <w:pStyle w:val="TableParagraph"/>
              <w:spacing w:before="2"/>
              <w:ind w:left="0"/>
              <w:rPr>
                <w:sz w:val="12"/>
              </w:rPr>
            </w:pPr>
          </w:p>
          <w:p>
            <w:pPr>
              <w:pStyle w:val="TableParagraph"/>
              <w:ind w:left="0" w:right="67"/>
              <w:jc w:val="right"/>
              <w:rPr>
                <w:sz w:val="14"/>
              </w:rPr>
            </w:pPr>
            <w:r>
              <w:rPr>
                <w:w w:val="125"/>
                <w:sz w:val="14"/>
              </w:rPr>
              <w:t>21</w:t>
            </w:r>
          </w:p>
        </w:tc>
        <w:tc>
          <w:tcPr>
            <w:tcW w:w="538" w:type="dxa"/>
            <w:tcBorders>
              <w:top w:val="single" w:sz="4" w:space="0" w:color="000000"/>
              <w:left w:val="single" w:sz="4" w:space="0" w:color="000000"/>
              <w:bottom w:val="single" w:sz="4" w:space="0" w:color="000000"/>
              <w:right w:val="single" w:sz="4" w:space="0" w:color="000000"/>
            </w:tcBorders>
            <w:shd w:val="clear" w:color="auto" w:fill="FDE9D9"/>
          </w:tcPr>
          <w:p>
            <w:pPr>
              <w:pStyle w:val="TableParagraph"/>
              <w:ind w:left="0"/>
              <w:rPr>
                <w:sz w:val="16"/>
              </w:rPr>
            </w:pPr>
          </w:p>
          <w:p>
            <w:pPr>
              <w:pStyle w:val="TableParagraph"/>
              <w:spacing w:before="2"/>
              <w:ind w:left="0"/>
              <w:rPr>
                <w:sz w:val="12"/>
              </w:rPr>
            </w:pPr>
          </w:p>
          <w:p>
            <w:pPr>
              <w:pStyle w:val="TableParagraph"/>
              <w:ind w:left="254" w:right="38"/>
              <w:jc w:val="center"/>
              <w:rPr>
                <w:sz w:val="14"/>
              </w:rPr>
            </w:pPr>
            <w:r>
              <w:rPr>
                <w:w w:val="125"/>
                <w:sz w:val="14"/>
              </w:rPr>
              <w:t>41</w:t>
            </w:r>
          </w:p>
        </w:tc>
        <w:tc>
          <w:tcPr>
            <w:tcW w:w="566" w:type="dxa"/>
            <w:tcBorders>
              <w:top w:val="single" w:sz="4" w:space="0" w:color="000000"/>
              <w:left w:val="single" w:sz="4" w:space="0" w:color="000000"/>
              <w:bottom w:val="single" w:sz="4" w:space="0" w:color="000000"/>
              <w:right w:val="single" w:sz="4" w:space="0" w:color="000000"/>
            </w:tcBorders>
            <w:shd w:val="clear" w:color="auto" w:fill="FDE9D9"/>
          </w:tcPr>
          <w:p>
            <w:pPr>
              <w:pStyle w:val="TableParagraph"/>
              <w:ind w:left="0"/>
              <w:rPr>
                <w:sz w:val="16"/>
              </w:rPr>
            </w:pPr>
          </w:p>
          <w:p>
            <w:pPr>
              <w:pStyle w:val="TableParagraph"/>
              <w:spacing w:before="2"/>
              <w:ind w:left="0"/>
              <w:rPr>
                <w:sz w:val="12"/>
              </w:rPr>
            </w:pPr>
          </w:p>
          <w:p>
            <w:pPr>
              <w:pStyle w:val="TableParagraph"/>
              <w:ind w:left="0" w:right="62"/>
              <w:jc w:val="right"/>
              <w:rPr>
                <w:sz w:val="14"/>
              </w:rPr>
            </w:pPr>
            <w:r>
              <w:rPr>
                <w:w w:val="125"/>
                <w:sz w:val="14"/>
              </w:rPr>
              <w:t>20</w:t>
            </w:r>
          </w:p>
        </w:tc>
        <w:tc>
          <w:tcPr>
            <w:tcW w:w="568" w:type="dxa"/>
            <w:tcBorders>
              <w:top w:val="single" w:sz="4" w:space="0" w:color="000000"/>
              <w:left w:val="single" w:sz="4" w:space="0" w:color="000000"/>
              <w:bottom w:val="single" w:sz="4" w:space="0" w:color="000000"/>
              <w:right w:val="single" w:sz="4" w:space="0" w:color="000000"/>
            </w:tcBorders>
            <w:shd w:val="clear" w:color="auto" w:fill="FDE9D9"/>
          </w:tcPr>
          <w:p>
            <w:pPr>
              <w:pStyle w:val="TableParagraph"/>
              <w:ind w:left="0"/>
              <w:rPr>
                <w:sz w:val="16"/>
              </w:rPr>
            </w:pPr>
          </w:p>
          <w:p>
            <w:pPr>
              <w:pStyle w:val="TableParagraph"/>
              <w:spacing w:before="2"/>
              <w:ind w:left="0"/>
              <w:rPr>
                <w:sz w:val="12"/>
              </w:rPr>
            </w:pPr>
          </w:p>
          <w:p>
            <w:pPr>
              <w:pStyle w:val="TableParagraph"/>
              <w:ind w:left="0" w:right="59"/>
              <w:jc w:val="right"/>
              <w:rPr>
                <w:sz w:val="14"/>
              </w:rPr>
            </w:pPr>
            <w:r>
              <w:rPr>
                <w:w w:val="125"/>
                <w:sz w:val="14"/>
              </w:rPr>
              <w:t>25</w:t>
            </w:r>
          </w:p>
        </w:tc>
        <w:tc>
          <w:tcPr>
            <w:tcW w:w="566" w:type="dxa"/>
            <w:tcBorders>
              <w:top w:val="single" w:sz="4" w:space="0" w:color="000000"/>
              <w:left w:val="single" w:sz="4" w:space="0" w:color="000000"/>
              <w:bottom w:val="single" w:sz="4" w:space="0" w:color="000000"/>
              <w:right w:val="single" w:sz="4" w:space="0" w:color="000000"/>
            </w:tcBorders>
            <w:shd w:val="clear" w:color="auto" w:fill="FDE9D9"/>
          </w:tcPr>
          <w:p>
            <w:pPr>
              <w:pStyle w:val="TableParagraph"/>
              <w:ind w:left="0"/>
              <w:rPr>
                <w:sz w:val="16"/>
              </w:rPr>
            </w:pPr>
          </w:p>
          <w:p>
            <w:pPr>
              <w:pStyle w:val="TableParagraph"/>
              <w:spacing w:before="2"/>
              <w:ind w:left="0"/>
              <w:rPr>
                <w:sz w:val="12"/>
              </w:rPr>
            </w:pPr>
          </w:p>
          <w:p>
            <w:pPr>
              <w:pStyle w:val="TableParagraph"/>
              <w:ind w:left="0" w:right="67"/>
              <w:jc w:val="right"/>
              <w:rPr>
                <w:sz w:val="14"/>
              </w:rPr>
            </w:pPr>
            <w:r>
              <w:rPr>
                <w:w w:val="125"/>
                <w:sz w:val="14"/>
              </w:rPr>
              <w:t>31</w:t>
            </w:r>
          </w:p>
        </w:tc>
        <w:tc>
          <w:tcPr>
            <w:tcW w:w="535" w:type="dxa"/>
            <w:tcBorders>
              <w:top w:val="single" w:sz="4" w:space="0" w:color="000000"/>
              <w:left w:val="single" w:sz="4" w:space="0" w:color="000000"/>
              <w:bottom w:val="single" w:sz="4" w:space="0" w:color="000000"/>
              <w:right w:val="single" w:sz="4" w:space="0" w:color="000000"/>
            </w:tcBorders>
            <w:shd w:val="clear" w:color="auto" w:fill="FDE9D9"/>
          </w:tcPr>
          <w:p>
            <w:pPr>
              <w:pStyle w:val="TableParagraph"/>
              <w:ind w:left="0"/>
              <w:rPr>
                <w:sz w:val="16"/>
              </w:rPr>
            </w:pPr>
          </w:p>
          <w:p>
            <w:pPr>
              <w:pStyle w:val="TableParagraph"/>
              <w:spacing w:before="2"/>
              <w:ind w:left="0"/>
              <w:rPr>
                <w:sz w:val="12"/>
              </w:rPr>
            </w:pPr>
          </w:p>
          <w:p>
            <w:pPr>
              <w:pStyle w:val="TableParagraph"/>
              <w:ind w:left="0" w:right="57"/>
              <w:jc w:val="right"/>
              <w:rPr>
                <w:sz w:val="14"/>
              </w:rPr>
            </w:pPr>
            <w:r>
              <w:rPr>
                <w:w w:val="125"/>
                <w:sz w:val="14"/>
              </w:rPr>
              <w:t>34</w:t>
            </w:r>
          </w:p>
        </w:tc>
        <w:tc>
          <w:tcPr>
            <w:tcW w:w="537" w:type="dxa"/>
            <w:tcBorders>
              <w:top w:val="single" w:sz="4" w:space="0" w:color="000000"/>
              <w:left w:val="single" w:sz="4" w:space="0" w:color="000000"/>
              <w:bottom w:val="single" w:sz="4" w:space="0" w:color="000000"/>
              <w:right w:val="single" w:sz="4" w:space="0" w:color="000000"/>
            </w:tcBorders>
            <w:shd w:val="clear" w:color="auto" w:fill="FDE9D9"/>
          </w:tcPr>
          <w:p>
            <w:pPr>
              <w:pStyle w:val="TableParagraph"/>
              <w:ind w:left="0"/>
              <w:rPr>
                <w:sz w:val="16"/>
              </w:rPr>
            </w:pPr>
          </w:p>
          <w:p>
            <w:pPr>
              <w:pStyle w:val="TableParagraph"/>
              <w:spacing w:before="2"/>
              <w:ind w:left="0"/>
              <w:rPr>
                <w:sz w:val="12"/>
              </w:rPr>
            </w:pPr>
          </w:p>
          <w:p>
            <w:pPr>
              <w:pStyle w:val="TableParagraph"/>
              <w:ind w:left="0" w:right="65"/>
              <w:jc w:val="right"/>
              <w:rPr>
                <w:sz w:val="14"/>
              </w:rPr>
            </w:pPr>
            <w:r>
              <w:rPr>
                <w:w w:val="125"/>
                <w:sz w:val="14"/>
              </w:rPr>
              <w:t>41</w:t>
            </w:r>
          </w:p>
        </w:tc>
        <w:tc>
          <w:tcPr>
            <w:tcW w:w="537" w:type="dxa"/>
            <w:tcBorders>
              <w:top w:val="single" w:sz="4" w:space="0" w:color="000000"/>
              <w:left w:val="single" w:sz="4" w:space="0" w:color="000000"/>
              <w:bottom w:val="single" w:sz="4" w:space="0" w:color="000000"/>
              <w:right w:val="single" w:sz="4" w:space="0" w:color="000000"/>
            </w:tcBorders>
            <w:shd w:val="clear" w:color="auto" w:fill="FDE9D9"/>
          </w:tcPr>
          <w:p>
            <w:pPr>
              <w:pStyle w:val="TableParagraph"/>
              <w:ind w:left="0"/>
              <w:rPr>
                <w:sz w:val="16"/>
              </w:rPr>
            </w:pPr>
          </w:p>
          <w:p>
            <w:pPr>
              <w:pStyle w:val="TableParagraph"/>
              <w:spacing w:before="2"/>
              <w:ind w:left="0"/>
              <w:rPr>
                <w:sz w:val="12"/>
              </w:rPr>
            </w:pPr>
          </w:p>
          <w:p>
            <w:pPr>
              <w:pStyle w:val="TableParagraph"/>
              <w:ind w:left="0" w:right="56"/>
              <w:jc w:val="right"/>
              <w:rPr>
                <w:sz w:val="14"/>
              </w:rPr>
            </w:pPr>
            <w:r>
              <w:rPr>
                <w:w w:val="125"/>
                <w:sz w:val="14"/>
              </w:rPr>
              <w:t>28</w:t>
            </w:r>
          </w:p>
        </w:tc>
        <w:tc>
          <w:tcPr>
            <w:tcW w:w="565" w:type="dxa"/>
            <w:tcBorders>
              <w:top w:val="single" w:sz="4" w:space="0" w:color="000000"/>
              <w:left w:val="single" w:sz="4" w:space="0" w:color="000000"/>
              <w:bottom w:val="single" w:sz="4" w:space="0" w:color="000000"/>
              <w:right w:val="single" w:sz="4" w:space="0" w:color="000000"/>
            </w:tcBorders>
            <w:shd w:val="clear" w:color="auto" w:fill="FDE9D9"/>
          </w:tcPr>
          <w:p>
            <w:pPr>
              <w:pStyle w:val="TableParagraph"/>
              <w:ind w:left="0"/>
              <w:rPr>
                <w:sz w:val="16"/>
              </w:rPr>
            </w:pPr>
          </w:p>
          <w:p>
            <w:pPr>
              <w:pStyle w:val="TableParagraph"/>
              <w:spacing w:before="2"/>
              <w:ind w:left="0"/>
              <w:rPr>
                <w:sz w:val="12"/>
              </w:rPr>
            </w:pPr>
          </w:p>
          <w:p>
            <w:pPr>
              <w:pStyle w:val="TableParagraph"/>
              <w:ind w:left="0" w:right="56"/>
              <w:jc w:val="right"/>
              <w:rPr>
                <w:sz w:val="14"/>
              </w:rPr>
            </w:pPr>
            <w:r>
              <w:rPr>
                <w:w w:val="125"/>
                <w:sz w:val="14"/>
              </w:rPr>
              <w:t>39</w:t>
            </w:r>
          </w:p>
        </w:tc>
        <w:tc>
          <w:tcPr>
            <w:tcW w:w="565" w:type="dxa"/>
            <w:tcBorders>
              <w:top w:val="single" w:sz="4" w:space="0" w:color="000000"/>
              <w:left w:val="single" w:sz="4" w:space="0" w:color="000000"/>
              <w:bottom w:val="single" w:sz="4" w:space="0" w:color="000000"/>
              <w:right w:val="single" w:sz="4" w:space="0" w:color="000000"/>
            </w:tcBorders>
            <w:shd w:val="clear" w:color="auto" w:fill="FDE9D9"/>
          </w:tcPr>
          <w:p>
            <w:pPr>
              <w:pStyle w:val="TableParagraph"/>
              <w:ind w:left="0"/>
              <w:rPr>
                <w:sz w:val="16"/>
              </w:rPr>
            </w:pPr>
          </w:p>
          <w:p>
            <w:pPr>
              <w:pStyle w:val="TableParagraph"/>
              <w:spacing w:before="2"/>
              <w:ind w:left="0"/>
              <w:rPr>
                <w:sz w:val="12"/>
              </w:rPr>
            </w:pPr>
          </w:p>
          <w:p>
            <w:pPr>
              <w:pStyle w:val="TableParagraph"/>
              <w:ind w:left="0" w:right="52"/>
              <w:jc w:val="right"/>
              <w:rPr>
                <w:sz w:val="14"/>
              </w:rPr>
            </w:pPr>
            <w:r>
              <w:rPr>
                <w:w w:val="125"/>
                <w:sz w:val="14"/>
              </w:rPr>
              <w:t>32</w:t>
            </w:r>
          </w:p>
        </w:tc>
        <w:tc>
          <w:tcPr>
            <w:tcW w:w="565" w:type="dxa"/>
            <w:tcBorders>
              <w:top w:val="single" w:sz="4" w:space="0" w:color="000000"/>
              <w:left w:val="single" w:sz="4" w:space="0" w:color="000000"/>
              <w:bottom w:val="single" w:sz="4" w:space="0" w:color="000000"/>
              <w:right w:val="single" w:sz="4" w:space="0" w:color="000000"/>
            </w:tcBorders>
            <w:shd w:val="clear" w:color="auto" w:fill="FDE9D9"/>
          </w:tcPr>
          <w:p>
            <w:pPr>
              <w:pStyle w:val="TableParagraph"/>
              <w:ind w:left="0"/>
              <w:rPr>
                <w:sz w:val="16"/>
              </w:rPr>
            </w:pPr>
          </w:p>
          <w:p>
            <w:pPr>
              <w:pStyle w:val="TableParagraph"/>
              <w:spacing w:before="2"/>
              <w:ind w:left="0"/>
              <w:rPr>
                <w:sz w:val="12"/>
              </w:rPr>
            </w:pPr>
          </w:p>
          <w:p>
            <w:pPr>
              <w:pStyle w:val="TableParagraph"/>
              <w:ind w:left="0" w:right="52"/>
              <w:jc w:val="right"/>
              <w:rPr>
                <w:sz w:val="14"/>
              </w:rPr>
            </w:pPr>
            <w:r>
              <w:rPr>
                <w:w w:val="125"/>
                <w:sz w:val="14"/>
              </w:rPr>
              <w:t>49</w:t>
            </w:r>
          </w:p>
        </w:tc>
        <w:tc>
          <w:tcPr>
            <w:tcW w:w="565" w:type="dxa"/>
            <w:tcBorders>
              <w:top w:val="single" w:sz="4" w:space="0" w:color="000000"/>
              <w:left w:val="single" w:sz="4" w:space="0" w:color="000000"/>
              <w:bottom w:val="single" w:sz="4" w:space="0" w:color="000000"/>
              <w:right w:val="single" w:sz="4" w:space="0" w:color="000000"/>
            </w:tcBorders>
            <w:shd w:val="clear" w:color="auto" w:fill="FDE9D9"/>
          </w:tcPr>
          <w:p>
            <w:pPr>
              <w:pStyle w:val="TableParagraph"/>
              <w:ind w:left="0"/>
              <w:rPr>
                <w:sz w:val="16"/>
              </w:rPr>
            </w:pPr>
          </w:p>
          <w:p>
            <w:pPr>
              <w:pStyle w:val="TableParagraph"/>
              <w:spacing w:before="2"/>
              <w:ind w:left="0"/>
              <w:rPr>
                <w:sz w:val="12"/>
              </w:rPr>
            </w:pPr>
          </w:p>
          <w:p>
            <w:pPr>
              <w:pStyle w:val="TableParagraph"/>
              <w:ind w:left="0" w:right="57"/>
              <w:jc w:val="right"/>
              <w:rPr>
                <w:sz w:val="14"/>
              </w:rPr>
            </w:pPr>
            <w:r>
              <w:rPr>
                <w:w w:val="125"/>
                <w:sz w:val="14"/>
              </w:rPr>
              <w:t>15</w:t>
            </w:r>
          </w:p>
        </w:tc>
        <w:tc>
          <w:tcPr>
            <w:tcW w:w="534" w:type="dxa"/>
            <w:tcBorders>
              <w:top w:val="single" w:sz="4" w:space="0" w:color="000000"/>
              <w:left w:val="single" w:sz="4" w:space="0" w:color="000000"/>
              <w:bottom w:val="single" w:sz="4" w:space="0" w:color="000000"/>
              <w:right w:val="single" w:sz="4" w:space="0" w:color="000000"/>
            </w:tcBorders>
            <w:shd w:val="clear" w:color="auto" w:fill="FDE9D9"/>
          </w:tcPr>
          <w:p>
            <w:pPr>
              <w:pStyle w:val="TableParagraph"/>
              <w:ind w:left="0"/>
              <w:rPr>
                <w:sz w:val="16"/>
              </w:rPr>
            </w:pPr>
          </w:p>
          <w:p>
            <w:pPr>
              <w:pStyle w:val="TableParagraph"/>
              <w:spacing w:before="2"/>
              <w:ind w:left="0"/>
              <w:rPr>
                <w:sz w:val="12"/>
              </w:rPr>
            </w:pPr>
          </w:p>
          <w:p>
            <w:pPr>
              <w:pStyle w:val="TableParagraph"/>
              <w:ind w:left="0" w:right="46"/>
              <w:jc w:val="right"/>
              <w:rPr>
                <w:sz w:val="14"/>
              </w:rPr>
            </w:pPr>
            <w:r>
              <w:rPr>
                <w:w w:val="125"/>
                <w:sz w:val="14"/>
              </w:rPr>
              <w:t>20</w:t>
            </w:r>
          </w:p>
        </w:tc>
        <w:tc>
          <w:tcPr>
            <w:tcW w:w="716" w:type="dxa"/>
            <w:tcBorders>
              <w:top w:val="single" w:sz="4" w:space="0" w:color="000000"/>
              <w:left w:val="single" w:sz="4" w:space="0" w:color="000000"/>
              <w:bottom w:val="single" w:sz="4" w:space="0" w:color="000000"/>
            </w:tcBorders>
            <w:shd w:val="clear" w:color="auto" w:fill="FDE9D9"/>
          </w:tcPr>
          <w:p>
            <w:pPr>
              <w:pStyle w:val="TableParagraph"/>
              <w:ind w:left="0"/>
              <w:rPr>
                <w:sz w:val="18"/>
              </w:rPr>
            </w:pPr>
          </w:p>
          <w:p>
            <w:pPr>
              <w:pStyle w:val="TableParagraph"/>
              <w:spacing w:before="115"/>
              <w:ind w:left="0" w:right="45"/>
              <w:jc w:val="right"/>
              <w:rPr>
                <w:rFonts w:ascii="Stone Sans II ITC Std Bk"/>
                <w:b/>
                <w:sz w:val="14"/>
              </w:rPr>
            </w:pPr>
            <w:r>
              <w:rPr>
                <w:rFonts w:ascii="Stone Sans II ITC Std Bk"/>
                <w:b/>
                <w:w w:val="110"/>
                <w:sz w:val="14"/>
              </w:rPr>
              <w:t>393</w:t>
            </w:r>
          </w:p>
        </w:tc>
      </w:tr>
      <w:tr>
        <w:trPr>
          <w:trHeight w:val="1272" w:hRule="atLeast"/>
        </w:trPr>
        <w:tc>
          <w:tcPr>
            <w:tcW w:w="1760" w:type="dxa"/>
            <w:tcBorders>
              <w:top w:val="single" w:sz="4" w:space="0" w:color="000000"/>
              <w:bottom w:val="single" w:sz="4" w:space="0" w:color="000000"/>
              <w:right w:val="single" w:sz="4" w:space="0" w:color="000000"/>
            </w:tcBorders>
          </w:tcPr>
          <w:p>
            <w:pPr>
              <w:pStyle w:val="TableParagraph"/>
              <w:spacing w:line="336" w:lineRule="auto" w:before="104"/>
              <w:ind w:right="232"/>
              <w:rPr>
                <w:sz w:val="14"/>
              </w:rPr>
            </w:pPr>
            <w:r>
              <w:rPr>
                <w:w w:val="120"/>
                <w:sz w:val="14"/>
              </w:rPr>
              <w:t>FTE target, end of year</w:t>
            </w:r>
          </w:p>
          <w:p>
            <w:pPr>
              <w:pStyle w:val="TableParagraph"/>
              <w:spacing w:line="336" w:lineRule="auto" w:before="1"/>
              <w:ind w:right="232"/>
              <w:rPr>
                <w:sz w:val="14"/>
              </w:rPr>
            </w:pPr>
            <w:r>
              <w:rPr>
                <w:w w:val="125"/>
                <w:sz w:val="14"/>
              </w:rPr>
              <w:t>New formula Weighting M=60,</w:t>
            </w:r>
          </w:p>
          <w:p>
            <w:pPr>
              <w:pStyle w:val="TableParagraph"/>
              <w:spacing w:before="2"/>
              <w:rPr>
                <w:sz w:val="14"/>
              </w:rPr>
            </w:pPr>
            <w:r>
              <w:rPr>
                <w:w w:val="130"/>
                <w:sz w:val="14"/>
              </w:rPr>
              <w:t>C=40, P=0</w:t>
            </w:r>
          </w:p>
        </w:tc>
        <w:tc>
          <w:tcPr>
            <w:tcW w:w="570" w:type="dxa"/>
            <w:tcBorders>
              <w:top w:val="single" w:sz="4" w:space="0" w:color="000000"/>
              <w:left w:val="single" w:sz="4" w:space="0" w:color="000000"/>
              <w:bottom w:val="single" w:sz="4" w:space="0" w:color="000000"/>
              <w:right w:val="single" w:sz="4" w:space="0" w:color="000000"/>
            </w:tcBorders>
          </w:tcPr>
          <w:p>
            <w:pPr>
              <w:pStyle w:val="TableParagraph"/>
              <w:ind w:left="0"/>
              <w:rPr>
                <w:sz w:val="16"/>
              </w:rPr>
            </w:pPr>
          </w:p>
          <w:p>
            <w:pPr>
              <w:pStyle w:val="TableParagraph"/>
              <w:ind w:left="0"/>
              <w:rPr>
                <w:sz w:val="16"/>
              </w:rPr>
            </w:pPr>
          </w:p>
          <w:p>
            <w:pPr>
              <w:pStyle w:val="TableParagraph"/>
              <w:ind w:left="0"/>
              <w:rPr>
                <w:sz w:val="16"/>
              </w:rPr>
            </w:pPr>
          </w:p>
          <w:p>
            <w:pPr>
              <w:pStyle w:val="TableParagraph"/>
              <w:ind w:left="0"/>
              <w:rPr>
                <w:sz w:val="16"/>
              </w:rPr>
            </w:pPr>
          </w:p>
          <w:p>
            <w:pPr>
              <w:pStyle w:val="TableParagraph"/>
              <w:spacing w:before="2"/>
              <w:ind w:left="0"/>
              <w:rPr>
                <w:sz w:val="23"/>
              </w:rPr>
            </w:pPr>
          </w:p>
          <w:p>
            <w:pPr>
              <w:pStyle w:val="TableParagraph"/>
              <w:ind w:left="0" w:right="72"/>
              <w:jc w:val="right"/>
              <w:rPr>
                <w:sz w:val="14"/>
              </w:rPr>
            </w:pPr>
            <w:r>
              <w:rPr>
                <w:w w:val="125"/>
                <w:sz w:val="14"/>
              </w:rPr>
              <w:t>19</w:t>
            </w:r>
          </w:p>
        </w:tc>
        <w:tc>
          <w:tcPr>
            <w:tcW w:w="538" w:type="dxa"/>
            <w:tcBorders>
              <w:top w:val="single" w:sz="4" w:space="0" w:color="000000"/>
              <w:left w:val="single" w:sz="4" w:space="0" w:color="000000"/>
              <w:bottom w:val="single" w:sz="4" w:space="0" w:color="000000"/>
              <w:right w:val="single" w:sz="4" w:space="0" w:color="000000"/>
            </w:tcBorders>
          </w:tcPr>
          <w:p>
            <w:pPr>
              <w:pStyle w:val="TableParagraph"/>
              <w:ind w:left="0"/>
              <w:rPr>
                <w:sz w:val="16"/>
              </w:rPr>
            </w:pPr>
          </w:p>
          <w:p>
            <w:pPr>
              <w:pStyle w:val="TableParagraph"/>
              <w:ind w:left="0"/>
              <w:rPr>
                <w:sz w:val="16"/>
              </w:rPr>
            </w:pPr>
          </w:p>
          <w:p>
            <w:pPr>
              <w:pStyle w:val="TableParagraph"/>
              <w:ind w:left="0"/>
              <w:rPr>
                <w:sz w:val="16"/>
              </w:rPr>
            </w:pPr>
          </w:p>
          <w:p>
            <w:pPr>
              <w:pStyle w:val="TableParagraph"/>
              <w:ind w:left="0"/>
              <w:rPr>
                <w:sz w:val="16"/>
              </w:rPr>
            </w:pPr>
          </w:p>
          <w:p>
            <w:pPr>
              <w:pStyle w:val="TableParagraph"/>
              <w:spacing w:before="2"/>
              <w:ind w:left="0"/>
              <w:rPr>
                <w:sz w:val="23"/>
              </w:rPr>
            </w:pPr>
          </w:p>
          <w:p>
            <w:pPr>
              <w:pStyle w:val="TableParagraph"/>
              <w:ind w:left="254" w:right="38"/>
              <w:jc w:val="center"/>
              <w:rPr>
                <w:sz w:val="14"/>
              </w:rPr>
            </w:pPr>
            <w:r>
              <w:rPr>
                <w:w w:val="125"/>
                <w:sz w:val="14"/>
              </w:rPr>
              <w:t>37</w:t>
            </w:r>
          </w:p>
        </w:tc>
        <w:tc>
          <w:tcPr>
            <w:tcW w:w="566" w:type="dxa"/>
            <w:tcBorders>
              <w:top w:val="single" w:sz="4" w:space="0" w:color="000000"/>
              <w:left w:val="single" w:sz="4" w:space="0" w:color="000000"/>
              <w:bottom w:val="single" w:sz="4" w:space="0" w:color="000000"/>
              <w:right w:val="single" w:sz="4" w:space="0" w:color="000000"/>
            </w:tcBorders>
          </w:tcPr>
          <w:p>
            <w:pPr>
              <w:pStyle w:val="TableParagraph"/>
              <w:ind w:left="0"/>
              <w:rPr>
                <w:sz w:val="16"/>
              </w:rPr>
            </w:pPr>
          </w:p>
          <w:p>
            <w:pPr>
              <w:pStyle w:val="TableParagraph"/>
              <w:ind w:left="0"/>
              <w:rPr>
                <w:sz w:val="16"/>
              </w:rPr>
            </w:pPr>
          </w:p>
          <w:p>
            <w:pPr>
              <w:pStyle w:val="TableParagraph"/>
              <w:ind w:left="0"/>
              <w:rPr>
                <w:sz w:val="16"/>
              </w:rPr>
            </w:pPr>
          </w:p>
          <w:p>
            <w:pPr>
              <w:pStyle w:val="TableParagraph"/>
              <w:ind w:left="0"/>
              <w:rPr>
                <w:sz w:val="16"/>
              </w:rPr>
            </w:pPr>
          </w:p>
          <w:p>
            <w:pPr>
              <w:pStyle w:val="TableParagraph"/>
              <w:spacing w:before="2"/>
              <w:ind w:left="0"/>
              <w:rPr>
                <w:sz w:val="23"/>
              </w:rPr>
            </w:pPr>
          </w:p>
          <w:p>
            <w:pPr>
              <w:pStyle w:val="TableParagraph"/>
              <w:ind w:left="0" w:right="63"/>
              <w:jc w:val="right"/>
              <w:rPr>
                <w:sz w:val="14"/>
              </w:rPr>
            </w:pPr>
            <w:r>
              <w:rPr>
                <w:w w:val="125"/>
                <w:sz w:val="14"/>
              </w:rPr>
              <w:t>23</w:t>
            </w:r>
          </w:p>
        </w:tc>
        <w:tc>
          <w:tcPr>
            <w:tcW w:w="568" w:type="dxa"/>
            <w:tcBorders>
              <w:top w:val="single" w:sz="4" w:space="0" w:color="000000"/>
              <w:left w:val="single" w:sz="4" w:space="0" w:color="000000"/>
              <w:bottom w:val="single" w:sz="4" w:space="0" w:color="000000"/>
              <w:right w:val="single" w:sz="4" w:space="0" w:color="000000"/>
            </w:tcBorders>
          </w:tcPr>
          <w:p>
            <w:pPr>
              <w:pStyle w:val="TableParagraph"/>
              <w:ind w:left="0"/>
              <w:rPr>
                <w:sz w:val="16"/>
              </w:rPr>
            </w:pPr>
          </w:p>
          <w:p>
            <w:pPr>
              <w:pStyle w:val="TableParagraph"/>
              <w:ind w:left="0"/>
              <w:rPr>
                <w:sz w:val="16"/>
              </w:rPr>
            </w:pPr>
          </w:p>
          <w:p>
            <w:pPr>
              <w:pStyle w:val="TableParagraph"/>
              <w:ind w:left="0"/>
              <w:rPr>
                <w:sz w:val="16"/>
              </w:rPr>
            </w:pPr>
          </w:p>
          <w:p>
            <w:pPr>
              <w:pStyle w:val="TableParagraph"/>
              <w:ind w:left="0"/>
              <w:rPr>
                <w:sz w:val="16"/>
              </w:rPr>
            </w:pPr>
          </w:p>
          <w:p>
            <w:pPr>
              <w:pStyle w:val="TableParagraph"/>
              <w:spacing w:before="2"/>
              <w:ind w:left="0"/>
              <w:rPr>
                <w:sz w:val="23"/>
              </w:rPr>
            </w:pPr>
          </w:p>
          <w:p>
            <w:pPr>
              <w:pStyle w:val="TableParagraph"/>
              <w:ind w:left="0" w:right="67"/>
              <w:jc w:val="right"/>
              <w:rPr>
                <w:sz w:val="14"/>
              </w:rPr>
            </w:pPr>
            <w:r>
              <w:rPr>
                <w:w w:val="125"/>
                <w:sz w:val="14"/>
              </w:rPr>
              <w:t>24</w:t>
            </w:r>
          </w:p>
        </w:tc>
        <w:tc>
          <w:tcPr>
            <w:tcW w:w="566" w:type="dxa"/>
            <w:tcBorders>
              <w:top w:val="single" w:sz="4" w:space="0" w:color="000000"/>
              <w:left w:val="single" w:sz="4" w:space="0" w:color="000000"/>
              <w:bottom w:val="single" w:sz="4" w:space="0" w:color="000000"/>
              <w:right w:val="single" w:sz="4" w:space="0" w:color="000000"/>
            </w:tcBorders>
          </w:tcPr>
          <w:p>
            <w:pPr>
              <w:pStyle w:val="TableParagraph"/>
              <w:ind w:left="0"/>
              <w:rPr>
                <w:sz w:val="16"/>
              </w:rPr>
            </w:pPr>
          </w:p>
          <w:p>
            <w:pPr>
              <w:pStyle w:val="TableParagraph"/>
              <w:ind w:left="0"/>
              <w:rPr>
                <w:sz w:val="16"/>
              </w:rPr>
            </w:pPr>
          </w:p>
          <w:p>
            <w:pPr>
              <w:pStyle w:val="TableParagraph"/>
              <w:ind w:left="0"/>
              <w:rPr>
                <w:sz w:val="16"/>
              </w:rPr>
            </w:pPr>
          </w:p>
          <w:p>
            <w:pPr>
              <w:pStyle w:val="TableParagraph"/>
              <w:ind w:left="0"/>
              <w:rPr>
                <w:sz w:val="16"/>
              </w:rPr>
            </w:pPr>
          </w:p>
          <w:p>
            <w:pPr>
              <w:pStyle w:val="TableParagraph"/>
              <w:spacing w:before="2"/>
              <w:ind w:left="0"/>
              <w:rPr>
                <w:sz w:val="23"/>
              </w:rPr>
            </w:pPr>
          </w:p>
          <w:p>
            <w:pPr>
              <w:pStyle w:val="TableParagraph"/>
              <w:ind w:left="0" w:right="59"/>
              <w:jc w:val="right"/>
              <w:rPr>
                <w:sz w:val="14"/>
              </w:rPr>
            </w:pPr>
            <w:r>
              <w:rPr>
                <w:w w:val="125"/>
                <w:sz w:val="14"/>
              </w:rPr>
              <w:t>29</w:t>
            </w:r>
          </w:p>
        </w:tc>
        <w:tc>
          <w:tcPr>
            <w:tcW w:w="535" w:type="dxa"/>
            <w:tcBorders>
              <w:top w:val="single" w:sz="4" w:space="0" w:color="000000"/>
              <w:left w:val="single" w:sz="4" w:space="0" w:color="000000"/>
              <w:bottom w:val="single" w:sz="4" w:space="0" w:color="000000"/>
              <w:right w:val="single" w:sz="4" w:space="0" w:color="000000"/>
            </w:tcBorders>
          </w:tcPr>
          <w:p>
            <w:pPr>
              <w:pStyle w:val="TableParagraph"/>
              <w:ind w:left="0"/>
              <w:rPr>
                <w:sz w:val="16"/>
              </w:rPr>
            </w:pPr>
          </w:p>
          <w:p>
            <w:pPr>
              <w:pStyle w:val="TableParagraph"/>
              <w:ind w:left="0"/>
              <w:rPr>
                <w:sz w:val="16"/>
              </w:rPr>
            </w:pPr>
          </w:p>
          <w:p>
            <w:pPr>
              <w:pStyle w:val="TableParagraph"/>
              <w:ind w:left="0"/>
              <w:rPr>
                <w:sz w:val="16"/>
              </w:rPr>
            </w:pPr>
          </w:p>
          <w:p>
            <w:pPr>
              <w:pStyle w:val="TableParagraph"/>
              <w:ind w:left="0"/>
              <w:rPr>
                <w:sz w:val="16"/>
              </w:rPr>
            </w:pPr>
          </w:p>
          <w:p>
            <w:pPr>
              <w:pStyle w:val="TableParagraph"/>
              <w:spacing w:before="2"/>
              <w:ind w:left="0"/>
              <w:rPr>
                <w:sz w:val="23"/>
              </w:rPr>
            </w:pPr>
          </w:p>
          <w:p>
            <w:pPr>
              <w:pStyle w:val="TableParagraph"/>
              <w:ind w:left="0" w:right="64"/>
              <w:jc w:val="right"/>
              <w:rPr>
                <w:sz w:val="14"/>
              </w:rPr>
            </w:pPr>
            <w:r>
              <w:rPr>
                <w:w w:val="125"/>
                <w:sz w:val="14"/>
              </w:rPr>
              <w:t>33</w:t>
            </w:r>
          </w:p>
        </w:tc>
        <w:tc>
          <w:tcPr>
            <w:tcW w:w="537" w:type="dxa"/>
            <w:tcBorders>
              <w:top w:val="single" w:sz="4" w:space="0" w:color="000000"/>
              <w:left w:val="single" w:sz="4" w:space="0" w:color="000000"/>
              <w:bottom w:val="single" w:sz="4" w:space="0" w:color="000000"/>
              <w:right w:val="single" w:sz="4" w:space="0" w:color="000000"/>
            </w:tcBorders>
          </w:tcPr>
          <w:p>
            <w:pPr>
              <w:pStyle w:val="TableParagraph"/>
              <w:ind w:left="0"/>
              <w:rPr>
                <w:sz w:val="16"/>
              </w:rPr>
            </w:pPr>
          </w:p>
          <w:p>
            <w:pPr>
              <w:pStyle w:val="TableParagraph"/>
              <w:ind w:left="0"/>
              <w:rPr>
                <w:sz w:val="16"/>
              </w:rPr>
            </w:pPr>
          </w:p>
          <w:p>
            <w:pPr>
              <w:pStyle w:val="TableParagraph"/>
              <w:ind w:left="0"/>
              <w:rPr>
                <w:sz w:val="16"/>
              </w:rPr>
            </w:pPr>
          </w:p>
          <w:p>
            <w:pPr>
              <w:pStyle w:val="TableParagraph"/>
              <w:ind w:left="0"/>
              <w:rPr>
                <w:sz w:val="16"/>
              </w:rPr>
            </w:pPr>
          </w:p>
          <w:p>
            <w:pPr>
              <w:pStyle w:val="TableParagraph"/>
              <w:spacing w:before="2"/>
              <w:ind w:left="0"/>
              <w:rPr>
                <w:sz w:val="23"/>
              </w:rPr>
            </w:pPr>
          </w:p>
          <w:p>
            <w:pPr>
              <w:pStyle w:val="TableParagraph"/>
              <w:ind w:left="0" w:right="55"/>
              <w:jc w:val="right"/>
              <w:rPr>
                <w:sz w:val="14"/>
              </w:rPr>
            </w:pPr>
            <w:r>
              <w:rPr>
                <w:w w:val="125"/>
                <w:sz w:val="14"/>
              </w:rPr>
              <w:t>34</w:t>
            </w:r>
          </w:p>
        </w:tc>
        <w:tc>
          <w:tcPr>
            <w:tcW w:w="537" w:type="dxa"/>
            <w:tcBorders>
              <w:top w:val="single" w:sz="4" w:space="0" w:color="000000"/>
              <w:left w:val="single" w:sz="4" w:space="0" w:color="000000"/>
              <w:bottom w:val="single" w:sz="4" w:space="0" w:color="000000"/>
              <w:right w:val="single" w:sz="4" w:space="0" w:color="000000"/>
            </w:tcBorders>
          </w:tcPr>
          <w:p>
            <w:pPr>
              <w:pStyle w:val="TableParagraph"/>
              <w:ind w:left="0"/>
              <w:rPr>
                <w:sz w:val="16"/>
              </w:rPr>
            </w:pPr>
          </w:p>
          <w:p>
            <w:pPr>
              <w:pStyle w:val="TableParagraph"/>
              <w:ind w:left="0"/>
              <w:rPr>
                <w:sz w:val="16"/>
              </w:rPr>
            </w:pPr>
          </w:p>
          <w:p>
            <w:pPr>
              <w:pStyle w:val="TableParagraph"/>
              <w:ind w:left="0"/>
              <w:rPr>
                <w:sz w:val="16"/>
              </w:rPr>
            </w:pPr>
          </w:p>
          <w:p>
            <w:pPr>
              <w:pStyle w:val="TableParagraph"/>
              <w:ind w:left="0"/>
              <w:rPr>
                <w:sz w:val="16"/>
              </w:rPr>
            </w:pPr>
          </w:p>
          <w:p>
            <w:pPr>
              <w:pStyle w:val="TableParagraph"/>
              <w:spacing w:before="2"/>
              <w:ind w:left="0"/>
              <w:rPr>
                <w:sz w:val="23"/>
              </w:rPr>
            </w:pPr>
          </w:p>
          <w:p>
            <w:pPr>
              <w:pStyle w:val="TableParagraph"/>
              <w:ind w:left="0" w:right="59"/>
              <w:jc w:val="right"/>
              <w:rPr>
                <w:sz w:val="14"/>
              </w:rPr>
            </w:pPr>
            <w:r>
              <w:rPr>
                <w:w w:val="125"/>
                <w:sz w:val="14"/>
              </w:rPr>
              <w:t>27</w:t>
            </w:r>
          </w:p>
        </w:tc>
        <w:tc>
          <w:tcPr>
            <w:tcW w:w="565" w:type="dxa"/>
            <w:tcBorders>
              <w:top w:val="single" w:sz="4" w:space="0" w:color="000000"/>
              <w:left w:val="single" w:sz="4" w:space="0" w:color="000000"/>
              <w:bottom w:val="single" w:sz="4" w:space="0" w:color="000000"/>
              <w:right w:val="single" w:sz="4" w:space="0" w:color="000000"/>
            </w:tcBorders>
          </w:tcPr>
          <w:p>
            <w:pPr>
              <w:pStyle w:val="TableParagraph"/>
              <w:ind w:left="0"/>
              <w:rPr>
                <w:sz w:val="16"/>
              </w:rPr>
            </w:pPr>
          </w:p>
          <w:p>
            <w:pPr>
              <w:pStyle w:val="TableParagraph"/>
              <w:ind w:left="0"/>
              <w:rPr>
                <w:sz w:val="16"/>
              </w:rPr>
            </w:pPr>
          </w:p>
          <w:p>
            <w:pPr>
              <w:pStyle w:val="TableParagraph"/>
              <w:ind w:left="0"/>
              <w:rPr>
                <w:sz w:val="16"/>
              </w:rPr>
            </w:pPr>
          </w:p>
          <w:p>
            <w:pPr>
              <w:pStyle w:val="TableParagraph"/>
              <w:ind w:left="0"/>
              <w:rPr>
                <w:sz w:val="16"/>
              </w:rPr>
            </w:pPr>
          </w:p>
          <w:p>
            <w:pPr>
              <w:pStyle w:val="TableParagraph"/>
              <w:spacing w:before="2"/>
              <w:ind w:left="0"/>
              <w:rPr>
                <w:sz w:val="23"/>
              </w:rPr>
            </w:pPr>
          </w:p>
          <w:p>
            <w:pPr>
              <w:pStyle w:val="TableParagraph"/>
              <w:ind w:left="0" w:right="56"/>
              <w:jc w:val="right"/>
              <w:rPr>
                <w:sz w:val="14"/>
              </w:rPr>
            </w:pPr>
            <w:r>
              <w:rPr>
                <w:w w:val="125"/>
                <w:sz w:val="14"/>
              </w:rPr>
              <w:t>39</w:t>
            </w:r>
          </w:p>
        </w:tc>
        <w:tc>
          <w:tcPr>
            <w:tcW w:w="565" w:type="dxa"/>
            <w:tcBorders>
              <w:top w:val="single" w:sz="4" w:space="0" w:color="000000"/>
              <w:left w:val="single" w:sz="4" w:space="0" w:color="000000"/>
              <w:bottom w:val="single" w:sz="4" w:space="0" w:color="000000"/>
              <w:right w:val="single" w:sz="4" w:space="0" w:color="000000"/>
            </w:tcBorders>
          </w:tcPr>
          <w:p>
            <w:pPr>
              <w:pStyle w:val="TableParagraph"/>
              <w:ind w:left="0"/>
              <w:rPr>
                <w:sz w:val="16"/>
              </w:rPr>
            </w:pPr>
          </w:p>
          <w:p>
            <w:pPr>
              <w:pStyle w:val="TableParagraph"/>
              <w:ind w:left="0"/>
              <w:rPr>
                <w:sz w:val="16"/>
              </w:rPr>
            </w:pPr>
          </w:p>
          <w:p>
            <w:pPr>
              <w:pStyle w:val="TableParagraph"/>
              <w:ind w:left="0"/>
              <w:rPr>
                <w:sz w:val="16"/>
              </w:rPr>
            </w:pPr>
          </w:p>
          <w:p>
            <w:pPr>
              <w:pStyle w:val="TableParagraph"/>
              <w:ind w:left="0"/>
              <w:rPr>
                <w:sz w:val="16"/>
              </w:rPr>
            </w:pPr>
          </w:p>
          <w:p>
            <w:pPr>
              <w:pStyle w:val="TableParagraph"/>
              <w:spacing w:before="2"/>
              <w:ind w:left="0"/>
              <w:rPr>
                <w:sz w:val="23"/>
              </w:rPr>
            </w:pPr>
          </w:p>
          <w:p>
            <w:pPr>
              <w:pStyle w:val="TableParagraph"/>
              <w:ind w:left="0" w:right="52"/>
              <w:jc w:val="right"/>
              <w:rPr>
                <w:sz w:val="14"/>
              </w:rPr>
            </w:pPr>
            <w:r>
              <w:rPr>
                <w:w w:val="125"/>
                <w:sz w:val="14"/>
              </w:rPr>
              <w:t>36</w:t>
            </w:r>
          </w:p>
        </w:tc>
        <w:tc>
          <w:tcPr>
            <w:tcW w:w="565" w:type="dxa"/>
            <w:tcBorders>
              <w:top w:val="single" w:sz="4" w:space="0" w:color="000000"/>
              <w:left w:val="single" w:sz="4" w:space="0" w:color="000000"/>
              <w:bottom w:val="single" w:sz="4" w:space="0" w:color="000000"/>
              <w:right w:val="single" w:sz="4" w:space="0" w:color="000000"/>
            </w:tcBorders>
          </w:tcPr>
          <w:p>
            <w:pPr>
              <w:pStyle w:val="TableParagraph"/>
              <w:ind w:left="0"/>
              <w:rPr>
                <w:sz w:val="16"/>
              </w:rPr>
            </w:pPr>
          </w:p>
          <w:p>
            <w:pPr>
              <w:pStyle w:val="TableParagraph"/>
              <w:ind w:left="0"/>
              <w:rPr>
                <w:sz w:val="16"/>
              </w:rPr>
            </w:pPr>
          </w:p>
          <w:p>
            <w:pPr>
              <w:pStyle w:val="TableParagraph"/>
              <w:ind w:left="0"/>
              <w:rPr>
                <w:sz w:val="16"/>
              </w:rPr>
            </w:pPr>
          </w:p>
          <w:p>
            <w:pPr>
              <w:pStyle w:val="TableParagraph"/>
              <w:ind w:left="0"/>
              <w:rPr>
                <w:sz w:val="16"/>
              </w:rPr>
            </w:pPr>
          </w:p>
          <w:p>
            <w:pPr>
              <w:pStyle w:val="TableParagraph"/>
              <w:spacing w:before="2"/>
              <w:ind w:left="0"/>
              <w:rPr>
                <w:sz w:val="23"/>
              </w:rPr>
            </w:pPr>
          </w:p>
          <w:p>
            <w:pPr>
              <w:pStyle w:val="TableParagraph"/>
              <w:ind w:left="0" w:right="48"/>
              <w:jc w:val="right"/>
              <w:rPr>
                <w:sz w:val="14"/>
              </w:rPr>
            </w:pPr>
            <w:r>
              <w:rPr>
                <w:w w:val="125"/>
                <w:sz w:val="14"/>
              </w:rPr>
              <w:t>46</w:t>
            </w:r>
          </w:p>
        </w:tc>
        <w:tc>
          <w:tcPr>
            <w:tcW w:w="565" w:type="dxa"/>
            <w:tcBorders>
              <w:top w:val="single" w:sz="4" w:space="0" w:color="000000"/>
              <w:left w:val="single" w:sz="4" w:space="0" w:color="000000"/>
              <w:bottom w:val="single" w:sz="4" w:space="0" w:color="000000"/>
              <w:right w:val="single" w:sz="4" w:space="0" w:color="000000"/>
            </w:tcBorders>
          </w:tcPr>
          <w:p>
            <w:pPr>
              <w:pStyle w:val="TableParagraph"/>
              <w:ind w:left="0"/>
              <w:rPr>
                <w:sz w:val="16"/>
              </w:rPr>
            </w:pPr>
          </w:p>
          <w:p>
            <w:pPr>
              <w:pStyle w:val="TableParagraph"/>
              <w:ind w:left="0"/>
              <w:rPr>
                <w:sz w:val="16"/>
              </w:rPr>
            </w:pPr>
          </w:p>
          <w:p>
            <w:pPr>
              <w:pStyle w:val="TableParagraph"/>
              <w:ind w:left="0"/>
              <w:rPr>
                <w:sz w:val="16"/>
              </w:rPr>
            </w:pPr>
          </w:p>
          <w:p>
            <w:pPr>
              <w:pStyle w:val="TableParagraph"/>
              <w:ind w:left="0"/>
              <w:rPr>
                <w:sz w:val="16"/>
              </w:rPr>
            </w:pPr>
          </w:p>
          <w:p>
            <w:pPr>
              <w:pStyle w:val="TableParagraph"/>
              <w:spacing w:before="2"/>
              <w:ind w:left="0"/>
              <w:rPr>
                <w:sz w:val="23"/>
              </w:rPr>
            </w:pPr>
          </w:p>
          <w:p>
            <w:pPr>
              <w:pStyle w:val="TableParagraph"/>
              <w:ind w:left="0" w:right="56"/>
              <w:jc w:val="right"/>
              <w:rPr>
                <w:sz w:val="14"/>
              </w:rPr>
            </w:pPr>
            <w:r>
              <w:rPr>
                <w:w w:val="125"/>
                <w:sz w:val="14"/>
              </w:rPr>
              <w:t>19</w:t>
            </w:r>
          </w:p>
        </w:tc>
        <w:tc>
          <w:tcPr>
            <w:tcW w:w="534" w:type="dxa"/>
            <w:tcBorders>
              <w:top w:val="single" w:sz="4" w:space="0" w:color="000000"/>
              <w:left w:val="single" w:sz="4" w:space="0" w:color="000000"/>
              <w:bottom w:val="single" w:sz="4" w:space="0" w:color="000000"/>
              <w:right w:val="single" w:sz="4" w:space="0" w:color="000000"/>
            </w:tcBorders>
          </w:tcPr>
          <w:p>
            <w:pPr>
              <w:pStyle w:val="TableParagraph"/>
              <w:ind w:left="0"/>
              <w:rPr>
                <w:sz w:val="16"/>
              </w:rPr>
            </w:pPr>
          </w:p>
          <w:p>
            <w:pPr>
              <w:pStyle w:val="TableParagraph"/>
              <w:ind w:left="0"/>
              <w:rPr>
                <w:sz w:val="16"/>
              </w:rPr>
            </w:pPr>
          </w:p>
          <w:p>
            <w:pPr>
              <w:pStyle w:val="TableParagraph"/>
              <w:ind w:left="0"/>
              <w:rPr>
                <w:sz w:val="16"/>
              </w:rPr>
            </w:pPr>
          </w:p>
          <w:p>
            <w:pPr>
              <w:pStyle w:val="TableParagraph"/>
              <w:ind w:left="0"/>
              <w:rPr>
                <w:sz w:val="16"/>
              </w:rPr>
            </w:pPr>
          </w:p>
          <w:p>
            <w:pPr>
              <w:pStyle w:val="TableParagraph"/>
              <w:spacing w:before="2"/>
              <w:ind w:left="0"/>
              <w:rPr>
                <w:sz w:val="23"/>
              </w:rPr>
            </w:pPr>
          </w:p>
          <w:p>
            <w:pPr>
              <w:pStyle w:val="TableParagraph"/>
              <w:ind w:left="0" w:right="60"/>
              <w:jc w:val="right"/>
              <w:rPr>
                <w:sz w:val="14"/>
              </w:rPr>
            </w:pPr>
            <w:r>
              <w:rPr>
                <w:w w:val="125"/>
                <w:sz w:val="14"/>
              </w:rPr>
              <w:t>17</w:t>
            </w:r>
          </w:p>
        </w:tc>
        <w:tc>
          <w:tcPr>
            <w:tcW w:w="716" w:type="dxa"/>
            <w:tcBorders>
              <w:top w:val="single" w:sz="4" w:space="0" w:color="000000"/>
              <w:left w:val="single" w:sz="4" w:space="0" w:color="000000"/>
              <w:bottom w:val="single" w:sz="4" w:space="0" w:color="000000"/>
            </w:tcBorders>
            <w:shd w:val="clear" w:color="auto" w:fill="FFFFFF"/>
          </w:tcPr>
          <w:p>
            <w:pPr>
              <w:pStyle w:val="TableParagraph"/>
              <w:ind w:left="0"/>
              <w:rPr>
                <w:sz w:val="18"/>
              </w:rPr>
            </w:pPr>
          </w:p>
          <w:p>
            <w:pPr>
              <w:pStyle w:val="TableParagraph"/>
              <w:ind w:left="0"/>
              <w:rPr>
                <w:sz w:val="18"/>
              </w:rPr>
            </w:pPr>
          </w:p>
          <w:p>
            <w:pPr>
              <w:pStyle w:val="TableParagraph"/>
              <w:ind w:left="0"/>
              <w:rPr>
                <w:sz w:val="18"/>
              </w:rPr>
            </w:pPr>
          </w:p>
          <w:p>
            <w:pPr>
              <w:pStyle w:val="TableParagraph"/>
              <w:ind w:left="0"/>
              <w:rPr>
                <w:sz w:val="18"/>
              </w:rPr>
            </w:pPr>
          </w:p>
          <w:p>
            <w:pPr>
              <w:pStyle w:val="TableParagraph"/>
              <w:spacing w:before="5"/>
              <w:ind w:left="0"/>
              <w:rPr>
                <w:sz w:val="14"/>
              </w:rPr>
            </w:pPr>
          </w:p>
          <w:p>
            <w:pPr>
              <w:pStyle w:val="TableParagraph"/>
              <w:ind w:left="0" w:right="42"/>
              <w:jc w:val="right"/>
              <w:rPr>
                <w:rFonts w:ascii="Stone Sans II ITC Std Bk"/>
                <w:b/>
                <w:sz w:val="14"/>
              </w:rPr>
            </w:pPr>
            <w:r>
              <w:rPr>
                <w:rFonts w:ascii="Stone Sans II ITC Std Bk"/>
                <w:b/>
                <w:w w:val="110"/>
                <w:sz w:val="14"/>
              </w:rPr>
              <w:t>383</w:t>
            </w:r>
          </w:p>
        </w:tc>
      </w:tr>
      <w:tr>
        <w:trPr>
          <w:trHeight w:val="1029" w:hRule="atLeast"/>
        </w:trPr>
        <w:tc>
          <w:tcPr>
            <w:tcW w:w="1760" w:type="dxa"/>
            <w:tcBorders>
              <w:top w:val="single" w:sz="4" w:space="0" w:color="000000"/>
              <w:right w:val="single" w:sz="4" w:space="0" w:color="000000"/>
            </w:tcBorders>
          </w:tcPr>
          <w:p>
            <w:pPr>
              <w:pStyle w:val="TableParagraph"/>
              <w:spacing w:line="240" w:lineRule="atLeast" w:before="35"/>
              <w:ind w:right="83"/>
              <w:rPr>
                <w:sz w:val="14"/>
              </w:rPr>
            </w:pPr>
            <w:r>
              <w:rPr>
                <w:spacing w:val="2"/>
                <w:w w:val="125"/>
                <w:sz w:val="14"/>
              </w:rPr>
              <w:t>FTE</w:t>
            </w:r>
            <w:r>
              <w:rPr>
                <w:spacing w:val="-11"/>
                <w:w w:val="125"/>
                <w:sz w:val="14"/>
              </w:rPr>
              <w:t> </w:t>
            </w:r>
            <w:r>
              <w:rPr>
                <w:w w:val="125"/>
                <w:sz w:val="14"/>
              </w:rPr>
              <w:t>target,</w:t>
            </w:r>
            <w:r>
              <w:rPr>
                <w:spacing w:val="-11"/>
                <w:w w:val="125"/>
                <w:sz w:val="14"/>
              </w:rPr>
              <w:t> </w:t>
            </w:r>
            <w:r>
              <w:rPr>
                <w:w w:val="125"/>
                <w:sz w:val="14"/>
              </w:rPr>
              <w:t>end</w:t>
            </w:r>
            <w:r>
              <w:rPr>
                <w:spacing w:val="-10"/>
                <w:w w:val="125"/>
                <w:sz w:val="14"/>
              </w:rPr>
              <w:t> </w:t>
            </w:r>
            <w:r>
              <w:rPr>
                <w:w w:val="125"/>
                <w:sz w:val="14"/>
              </w:rPr>
              <w:t>of</w:t>
            </w:r>
            <w:r>
              <w:rPr>
                <w:spacing w:val="-11"/>
                <w:w w:val="125"/>
                <w:sz w:val="14"/>
              </w:rPr>
              <w:t> </w:t>
            </w:r>
            <w:r>
              <w:rPr>
                <w:w w:val="125"/>
                <w:sz w:val="14"/>
              </w:rPr>
              <w:t>year Old formula Weighting M=50, </w:t>
            </w:r>
            <w:r>
              <w:rPr>
                <w:spacing w:val="-4"/>
                <w:w w:val="125"/>
                <w:sz w:val="14"/>
              </w:rPr>
              <w:t>C=33,</w:t>
            </w:r>
            <w:r>
              <w:rPr>
                <w:spacing w:val="2"/>
                <w:w w:val="125"/>
                <w:sz w:val="14"/>
              </w:rPr>
              <w:t> </w:t>
            </w:r>
            <w:r>
              <w:rPr>
                <w:spacing w:val="-6"/>
                <w:w w:val="125"/>
                <w:sz w:val="14"/>
              </w:rPr>
              <w:t>P=17</w:t>
            </w:r>
          </w:p>
        </w:tc>
        <w:tc>
          <w:tcPr>
            <w:tcW w:w="570" w:type="dxa"/>
            <w:tcBorders>
              <w:top w:val="single" w:sz="4" w:space="0" w:color="000000"/>
              <w:left w:val="single" w:sz="4" w:space="0" w:color="000000"/>
              <w:right w:val="single" w:sz="4" w:space="0" w:color="000000"/>
            </w:tcBorders>
          </w:tcPr>
          <w:p>
            <w:pPr>
              <w:pStyle w:val="TableParagraph"/>
              <w:ind w:left="0"/>
              <w:rPr>
                <w:sz w:val="16"/>
              </w:rPr>
            </w:pPr>
          </w:p>
          <w:p>
            <w:pPr>
              <w:pStyle w:val="TableParagraph"/>
              <w:ind w:left="0"/>
              <w:rPr>
                <w:sz w:val="16"/>
              </w:rPr>
            </w:pPr>
          </w:p>
          <w:p>
            <w:pPr>
              <w:pStyle w:val="TableParagraph"/>
              <w:ind w:left="0"/>
              <w:rPr>
                <w:sz w:val="16"/>
              </w:rPr>
            </w:pPr>
          </w:p>
          <w:p>
            <w:pPr>
              <w:pStyle w:val="TableParagraph"/>
              <w:spacing w:before="6"/>
              <w:ind w:left="0"/>
              <w:rPr>
                <w:sz w:val="19"/>
              </w:rPr>
            </w:pPr>
          </w:p>
          <w:p>
            <w:pPr>
              <w:pStyle w:val="TableParagraph"/>
              <w:ind w:left="0" w:right="72"/>
              <w:jc w:val="right"/>
              <w:rPr>
                <w:sz w:val="14"/>
              </w:rPr>
            </w:pPr>
            <w:r>
              <w:rPr>
                <w:w w:val="125"/>
                <w:sz w:val="14"/>
              </w:rPr>
              <w:t>19</w:t>
            </w:r>
          </w:p>
        </w:tc>
        <w:tc>
          <w:tcPr>
            <w:tcW w:w="538" w:type="dxa"/>
            <w:tcBorders>
              <w:top w:val="single" w:sz="4" w:space="0" w:color="000000"/>
              <w:left w:val="single" w:sz="4" w:space="0" w:color="000000"/>
              <w:right w:val="single" w:sz="4" w:space="0" w:color="000000"/>
            </w:tcBorders>
          </w:tcPr>
          <w:p>
            <w:pPr>
              <w:pStyle w:val="TableParagraph"/>
              <w:ind w:left="0"/>
              <w:rPr>
                <w:sz w:val="16"/>
              </w:rPr>
            </w:pPr>
          </w:p>
          <w:p>
            <w:pPr>
              <w:pStyle w:val="TableParagraph"/>
              <w:ind w:left="0"/>
              <w:rPr>
                <w:sz w:val="16"/>
              </w:rPr>
            </w:pPr>
          </w:p>
          <w:p>
            <w:pPr>
              <w:pStyle w:val="TableParagraph"/>
              <w:ind w:left="0"/>
              <w:rPr>
                <w:sz w:val="16"/>
              </w:rPr>
            </w:pPr>
          </w:p>
          <w:p>
            <w:pPr>
              <w:pStyle w:val="TableParagraph"/>
              <w:spacing w:before="6"/>
              <w:ind w:left="0"/>
              <w:rPr>
                <w:sz w:val="19"/>
              </w:rPr>
            </w:pPr>
          </w:p>
          <w:p>
            <w:pPr>
              <w:pStyle w:val="TableParagraph"/>
              <w:ind w:left="254" w:right="38"/>
              <w:jc w:val="center"/>
              <w:rPr>
                <w:sz w:val="14"/>
              </w:rPr>
            </w:pPr>
            <w:r>
              <w:rPr>
                <w:w w:val="125"/>
                <w:sz w:val="14"/>
              </w:rPr>
              <w:t>36</w:t>
            </w:r>
          </w:p>
        </w:tc>
        <w:tc>
          <w:tcPr>
            <w:tcW w:w="566" w:type="dxa"/>
            <w:tcBorders>
              <w:top w:val="single" w:sz="4" w:space="0" w:color="000000"/>
              <w:left w:val="single" w:sz="4" w:space="0" w:color="000000"/>
              <w:right w:val="single" w:sz="4" w:space="0" w:color="000000"/>
            </w:tcBorders>
          </w:tcPr>
          <w:p>
            <w:pPr>
              <w:pStyle w:val="TableParagraph"/>
              <w:ind w:left="0"/>
              <w:rPr>
                <w:sz w:val="16"/>
              </w:rPr>
            </w:pPr>
          </w:p>
          <w:p>
            <w:pPr>
              <w:pStyle w:val="TableParagraph"/>
              <w:ind w:left="0"/>
              <w:rPr>
                <w:sz w:val="16"/>
              </w:rPr>
            </w:pPr>
          </w:p>
          <w:p>
            <w:pPr>
              <w:pStyle w:val="TableParagraph"/>
              <w:ind w:left="0"/>
              <w:rPr>
                <w:sz w:val="16"/>
              </w:rPr>
            </w:pPr>
          </w:p>
          <w:p>
            <w:pPr>
              <w:pStyle w:val="TableParagraph"/>
              <w:spacing w:before="6"/>
              <w:ind w:left="0"/>
              <w:rPr>
                <w:sz w:val="19"/>
              </w:rPr>
            </w:pPr>
          </w:p>
          <w:p>
            <w:pPr>
              <w:pStyle w:val="TableParagraph"/>
              <w:ind w:left="0" w:right="60"/>
              <w:jc w:val="right"/>
              <w:rPr>
                <w:sz w:val="14"/>
              </w:rPr>
            </w:pPr>
            <w:r>
              <w:rPr>
                <w:w w:val="125"/>
                <w:sz w:val="14"/>
              </w:rPr>
              <w:t>22</w:t>
            </w:r>
          </w:p>
        </w:tc>
        <w:tc>
          <w:tcPr>
            <w:tcW w:w="568" w:type="dxa"/>
            <w:tcBorders>
              <w:top w:val="single" w:sz="4" w:space="0" w:color="000000"/>
              <w:left w:val="single" w:sz="4" w:space="0" w:color="000000"/>
              <w:right w:val="single" w:sz="4" w:space="0" w:color="000000"/>
            </w:tcBorders>
          </w:tcPr>
          <w:p>
            <w:pPr>
              <w:pStyle w:val="TableParagraph"/>
              <w:ind w:left="0"/>
              <w:rPr>
                <w:sz w:val="16"/>
              </w:rPr>
            </w:pPr>
          </w:p>
          <w:p>
            <w:pPr>
              <w:pStyle w:val="TableParagraph"/>
              <w:ind w:left="0"/>
              <w:rPr>
                <w:sz w:val="16"/>
              </w:rPr>
            </w:pPr>
          </w:p>
          <w:p>
            <w:pPr>
              <w:pStyle w:val="TableParagraph"/>
              <w:ind w:left="0"/>
              <w:rPr>
                <w:sz w:val="16"/>
              </w:rPr>
            </w:pPr>
          </w:p>
          <w:p>
            <w:pPr>
              <w:pStyle w:val="TableParagraph"/>
              <w:spacing w:before="6"/>
              <w:ind w:left="0"/>
              <w:rPr>
                <w:sz w:val="19"/>
              </w:rPr>
            </w:pPr>
          </w:p>
          <w:p>
            <w:pPr>
              <w:pStyle w:val="TableParagraph"/>
              <w:ind w:left="0" w:right="63"/>
              <w:jc w:val="right"/>
              <w:rPr>
                <w:sz w:val="14"/>
              </w:rPr>
            </w:pPr>
            <w:r>
              <w:rPr>
                <w:w w:val="125"/>
                <w:sz w:val="14"/>
              </w:rPr>
              <w:t>26</w:t>
            </w:r>
          </w:p>
        </w:tc>
        <w:tc>
          <w:tcPr>
            <w:tcW w:w="566" w:type="dxa"/>
            <w:tcBorders>
              <w:top w:val="single" w:sz="4" w:space="0" w:color="000000"/>
              <w:left w:val="single" w:sz="4" w:space="0" w:color="000000"/>
              <w:right w:val="single" w:sz="4" w:space="0" w:color="000000"/>
            </w:tcBorders>
          </w:tcPr>
          <w:p>
            <w:pPr>
              <w:pStyle w:val="TableParagraph"/>
              <w:ind w:left="0"/>
              <w:rPr>
                <w:sz w:val="16"/>
              </w:rPr>
            </w:pPr>
          </w:p>
          <w:p>
            <w:pPr>
              <w:pStyle w:val="TableParagraph"/>
              <w:ind w:left="0"/>
              <w:rPr>
                <w:sz w:val="16"/>
              </w:rPr>
            </w:pPr>
          </w:p>
          <w:p>
            <w:pPr>
              <w:pStyle w:val="TableParagraph"/>
              <w:ind w:left="0"/>
              <w:rPr>
                <w:sz w:val="16"/>
              </w:rPr>
            </w:pPr>
          </w:p>
          <w:p>
            <w:pPr>
              <w:pStyle w:val="TableParagraph"/>
              <w:spacing w:before="6"/>
              <w:ind w:left="0"/>
              <w:rPr>
                <w:sz w:val="19"/>
              </w:rPr>
            </w:pPr>
          </w:p>
          <w:p>
            <w:pPr>
              <w:pStyle w:val="TableParagraph"/>
              <w:ind w:left="0" w:right="58"/>
              <w:jc w:val="right"/>
              <w:rPr>
                <w:sz w:val="14"/>
              </w:rPr>
            </w:pPr>
            <w:r>
              <w:rPr>
                <w:w w:val="125"/>
                <w:sz w:val="14"/>
              </w:rPr>
              <w:t>30</w:t>
            </w:r>
          </w:p>
        </w:tc>
        <w:tc>
          <w:tcPr>
            <w:tcW w:w="535" w:type="dxa"/>
            <w:tcBorders>
              <w:top w:val="single" w:sz="4" w:space="0" w:color="000000"/>
              <w:left w:val="single" w:sz="4" w:space="0" w:color="000000"/>
              <w:right w:val="single" w:sz="4" w:space="0" w:color="000000"/>
            </w:tcBorders>
          </w:tcPr>
          <w:p>
            <w:pPr>
              <w:pStyle w:val="TableParagraph"/>
              <w:ind w:left="0"/>
              <w:rPr>
                <w:sz w:val="16"/>
              </w:rPr>
            </w:pPr>
          </w:p>
          <w:p>
            <w:pPr>
              <w:pStyle w:val="TableParagraph"/>
              <w:ind w:left="0"/>
              <w:rPr>
                <w:sz w:val="16"/>
              </w:rPr>
            </w:pPr>
          </w:p>
          <w:p>
            <w:pPr>
              <w:pStyle w:val="TableParagraph"/>
              <w:ind w:left="0"/>
              <w:rPr>
                <w:sz w:val="16"/>
              </w:rPr>
            </w:pPr>
          </w:p>
          <w:p>
            <w:pPr>
              <w:pStyle w:val="TableParagraph"/>
              <w:spacing w:before="6"/>
              <w:ind w:left="0"/>
              <w:rPr>
                <w:sz w:val="19"/>
              </w:rPr>
            </w:pPr>
          </w:p>
          <w:p>
            <w:pPr>
              <w:pStyle w:val="TableParagraph"/>
              <w:ind w:left="0" w:right="57"/>
              <w:jc w:val="right"/>
              <w:rPr>
                <w:sz w:val="14"/>
              </w:rPr>
            </w:pPr>
            <w:r>
              <w:rPr>
                <w:w w:val="125"/>
                <w:sz w:val="14"/>
              </w:rPr>
              <w:t>34</w:t>
            </w:r>
          </w:p>
        </w:tc>
        <w:tc>
          <w:tcPr>
            <w:tcW w:w="537" w:type="dxa"/>
            <w:tcBorders>
              <w:top w:val="single" w:sz="4" w:space="0" w:color="000000"/>
              <w:left w:val="single" w:sz="4" w:space="0" w:color="000000"/>
              <w:right w:val="single" w:sz="4" w:space="0" w:color="000000"/>
            </w:tcBorders>
          </w:tcPr>
          <w:p>
            <w:pPr>
              <w:pStyle w:val="TableParagraph"/>
              <w:ind w:left="0"/>
              <w:rPr>
                <w:sz w:val="16"/>
              </w:rPr>
            </w:pPr>
          </w:p>
          <w:p>
            <w:pPr>
              <w:pStyle w:val="TableParagraph"/>
              <w:ind w:left="0"/>
              <w:rPr>
                <w:sz w:val="16"/>
              </w:rPr>
            </w:pPr>
          </w:p>
          <w:p>
            <w:pPr>
              <w:pStyle w:val="TableParagraph"/>
              <w:ind w:left="0"/>
              <w:rPr>
                <w:sz w:val="16"/>
              </w:rPr>
            </w:pPr>
          </w:p>
          <w:p>
            <w:pPr>
              <w:pStyle w:val="TableParagraph"/>
              <w:spacing w:before="6"/>
              <w:ind w:left="0"/>
              <w:rPr>
                <w:sz w:val="19"/>
              </w:rPr>
            </w:pPr>
          </w:p>
          <w:p>
            <w:pPr>
              <w:pStyle w:val="TableParagraph"/>
              <w:ind w:left="0" w:right="57"/>
              <w:jc w:val="right"/>
              <w:rPr>
                <w:sz w:val="14"/>
              </w:rPr>
            </w:pPr>
            <w:r>
              <w:rPr>
                <w:w w:val="125"/>
                <w:sz w:val="14"/>
              </w:rPr>
              <w:t>32</w:t>
            </w:r>
          </w:p>
        </w:tc>
        <w:tc>
          <w:tcPr>
            <w:tcW w:w="537" w:type="dxa"/>
            <w:tcBorders>
              <w:top w:val="single" w:sz="4" w:space="0" w:color="000000"/>
              <w:left w:val="single" w:sz="4" w:space="0" w:color="000000"/>
              <w:right w:val="single" w:sz="4" w:space="0" w:color="000000"/>
            </w:tcBorders>
          </w:tcPr>
          <w:p>
            <w:pPr>
              <w:pStyle w:val="TableParagraph"/>
              <w:ind w:left="0"/>
              <w:rPr>
                <w:sz w:val="16"/>
              </w:rPr>
            </w:pPr>
          </w:p>
          <w:p>
            <w:pPr>
              <w:pStyle w:val="TableParagraph"/>
              <w:ind w:left="0"/>
              <w:rPr>
                <w:sz w:val="16"/>
              </w:rPr>
            </w:pPr>
          </w:p>
          <w:p>
            <w:pPr>
              <w:pStyle w:val="TableParagraph"/>
              <w:ind w:left="0"/>
              <w:rPr>
                <w:sz w:val="16"/>
              </w:rPr>
            </w:pPr>
          </w:p>
          <w:p>
            <w:pPr>
              <w:pStyle w:val="TableParagraph"/>
              <w:spacing w:before="6"/>
              <w:ind w:left="0"/>
              <w:rPr>
                <w:sz w:val="19"/>
              </w:rPr>
            </w:pPr>
          </w:p>
          <w:p>
            <w:pPr>
              <w:pStyle w:val="TableParagraph"/>
              <w:ind w:left="0" w:right="58"/>
              <w:jc w:val="right"/>
              <w:rPr>
                <w:sz w:val="14"/>
              </w:rPr>
            </w:pPr>
            <w:r>
              <w:rPr>
                <w:w w:val="125"/>
                <w:sz w:val="14"/>
              </w:rPr>
              <w:t>26</w:t>
            </w:r>
          </w:p>
        </w:tc>
        <w:tc>
          <w:tcPr>
            <w:tcW w:w="565" w:type="dxa"/>
            <w:tcBorders>
              <w:top w:val="single" w:sz="4" w:space="0" w:color="000000"/>
              <w:left w:val="single" w:sz="4" w:space="0" w:color="000000"/>
              <w:right w:val="single" w:sz="4" w:space="0" w:color="000000"/>
            </w:tcBorders>
          </w:tcPr>
          <w:p>
            <w:pPr>
              <w:pStyle w:val="TableParagraph"/>
              <w:ind w:left="0"/>
              <w:rPr>
                <w:sz w:val="16"/>
              </w:rPr>
            </w:pPr>
          </w:p>
          <w:p>
            <w:pPr>
              <w:pStyle w:val="TableParagraph"/>
              <w:ind w:left="0"/>
              <w:rPr>
                <w:sz w:val="16"/>
              </w:rPr>
            </w:pPr>
          </w:p>
          <w:p>
            <w:pPr>
              <w:pStyle w:val="TableParagraph"/>
              <w:ind w:left="0"/>
              <w:rPr>
                <w:sz w:val="16"/>
              </w:rPr>
            </w:pPr>
          </w:p>
          <w:p>
            <w:pPr>
              <w:pStyle w:val="TableParagraph"/>
              <w:spacing w:before="6"/>
              <w:ind w:left="0"/>
              <w:rPr>
                <w:sz w:val="19"/>
              </w:rPr>
            </w:pPr>
          </w:p>
          <w:p>
            <w:pPr>
              <w:pStyle w:val="TableParagraph"/>
              <w:ind w:left="0" w:right="61"/>
              <w:jc w:val="right"/>
              <w:rPr>
                <w:sz w:val="14"/>
              </w:rPr>
            </w:pPr>
            <w:r>
              <w:rPr>
                <w:w w:val="125"/>
                <w:sz w:val="14"/>
              </w:rPr>
              <w:t>37</w:t>
            </w:r>
          </w:p>
        </w:tc>
        <w:tc>
          <w:tcPr>
            <w:tcW w:w="565" w:type="dxa"/>
            <w:tcBorders>
              <w:top w:val="single" w:sz="4" w:space="0" w:color="000000"/>
              <w:left w:val="single" w:sz="4" w:space="0" w:color="000000"/>
              <w:right w:val="single" w:sz="4" w:space="0" w:color="000000"/>
            </w:tcBorders>
          </w:tcPr>
          <w:p>
            <w:pPr>
              <w:pStyle w:val="TableParagraph"/>
              <w:ind w:left="0"/>
              <w:rPr>
                <w:sz w:val="16"/>
              </w:rPr>
            </w:pPr>
          </w:p>
          <w:p>
            <w:pPr>
              <w:pStyle w:val="TableParagraph"/>
              <w:ind w:left="0"/>
              <w:rPr>
                <w:sz w:val="16"/>
              </w:rPr>
            </w:pPr>
          </w:p>
          <w:p>
            <w:pPr>
              <w:pStyle w:val="TableParagraph"/>
              <w:ind w:left="0"/>
              <w:rPr>
                <w:sz w:val="16"/>
              </w:rPr>
            </w:pPr>
          </w:p>
          <w:p>
            <w:pPr>
              <w:pStyle w:val="TableParagraph"/>
              <w:spacing w:before="6"/>
              <w:ind w:left="0"/>
              <w:rPr>
                <w:sz w:val="19"/>
              </w:rPr>
            </w:pPr>
          </w:p>
          <w:p>
            <w:pPr>
              <w:pStyle w:val="TableParagraph"/>
              <w:ind w:left="0" w:right="59"/>
              <w:jc w:val="right"/>
              <w:rPr>
                <w:sz w:val="14"/>
              </w:rPr>
            </w:pPr>
            <w:r>
              <w:rPr>
                <w:w w:val="125"/>
                <w:sz w:val="14"/>
              </w:rPr>
              <w:t>37</w:t>
            </w:r>
          </w:p>
        </w:tc>
        <w:tc>
          <w:tcPr>
            <w:tcW w:w="565" w:type="dxa"/>
            <w:tcBorders>
              <w:top w:val="single" w:sz="4" w:space="0" w:color="000000"/>
              <w:left w:val="single" w:sz="4" w:space="0" w:color="000000"/>
              <w:right w:val="single" w:sz="4" w:space="0" w:color="000000"/>
            </w:tcBorders>
          </w:tcPr>
          <w:p>
            <w:pPr>
              <w:pStyle w:val="TableParagraph"/>
              <w:ind w:left="0"/>
              <w:rPr>
                <w:sz w:val="16"/>
              </w:rPr>
            </w:pPr>
          </w:p>
          <w:p>
            <w:pPr>
              <w:pStyle w:val="TableParagraph"/>
              <w:ind w:left="0"/>
              <w:rPr>
                <w:sz w:val="16"/>
              </w:rPr>
            </w:pPr>
          </w:p>
          <w:p>
            <w:pPr>
              <w:pStyle w:val="TableParagraph"/>
              <w:ind w:left="0"/>
              <w:rPr>
                <w:sz w:val="16"/>
              </w:rPr>
            </w:pPr>
          </w:p>
          <w:p>
            <w:pPr>
              <w:pStyle w:val="TableParagraph"/>
              <w:spacing w:before="6"/>
              <w:ind w:left="0"/>
              <w:rPr>
                <w:sz w:val="19"/>
              </w:rPr>
            </w:pPr>
          </w:p>
          <w:p>
            <w:pPr>
              <w:pStyle w:val="TableParagraph"/>
              <w:ind w:left="0" w:right="54"/>
              <w:jc w:val="right"/>
              <w:rPr>
                <w:sz w:val="14"/>
              </w:rPr>
            </w:pPr>
            <w:r>
              <w:rPr>
                <w:w w:val="125"/>
                <w:sz w:val="14"/>
              </w:rPr>
              <w:t>45</w:t>
            </w:r>
          </w:p>
        </w:tc>
        <w:tc>
          <w:tcPr>
            <w:tcW w:w="565" w:type="dxa"/>
            <w:tcBorders>
              <w:top w:val="single" w:sz="4" w:space="0" w:color="000000"/>
              <w:left w:val="single" w:sz="4" w:space="0" w:color="000000"/>
              <w:right w:val="single" w:sz="4" w:space="0" w:color="000000"/>
            </w:tcBorders>
          </w:tcPr>
          <w:p>
            <w:pPr>
              <w:pStyle w:val="TableParagraph"/>
              <w:ind w:left="0"/>
              <w:rPr>
                <w:sz w:val="16"/>
              </w:rPr>
            </w:pPr>
          </w:p>
          <w:p>
            <w:pPr>
              <w:pStyle w:val="TableParagraph"/>
              <w:ind w:left="0"/>
              <w:rPr>
                <w:sz w:val="16"/>
              </w:rPr>
            </w:pPr>
          </w:p>
          <w:p>
            <w:pPr>
              <w:pStyle w:val="TableParagraph"/>
              <w:ind w:left="0"/>
              <w:rPr>
                <w:sz w:val="16"/>
              </w:rPr>
            </w:pPr>
          </w:p>
          <w:p>
            <w:pPr>
              <w:pStyle w:val="TableParagraph"/>
              <w:spacing w:before="6"/>
              <w:ind w:left="0"/>
              <w:rPr>
                <w:sz w:val="19"/>
              </w:rPr>
            </w:pPr>
          </w:p>
          <w:p>
            <w:pPr>
              <w:pStyle w:val="TableParagraph"/>
              <w:ind w:left="0" w:right="56"/>
              <w:jc w:val="right"/>
              <w:rPr>
                <w:sz w:val="14"/>
              </w:rPr>
            </w:pPr>
            <w:r>
              <w:rPr>
                <w:w w:val="125"/>
                <w:sz w:val="14"/>
              </w:rPr>
              <w:t>19</w:t>
            </w:r>
          </w:p>
        </w:tc>
        <w:tc>
          <w:tcPr>
            <w:tcW w:w="534" w:type="dxa"/>
            <w:tcBorders>
              <w:top w:val="single" w:sz="4" w:space="0" w:color="000000"/>
              <w:left w:val="single" w:sz="4" w:space="0" w:color="000000"/>
              <w:right w:val="single" w:sz="4" w:space="0" w:color="000000"/>
            </w:tcBorders>
          </w:tcPr>
          <w:p>
            <w:pPr>
              <w:pStyle w:val="TableParagraph"/>
              <w:ind w:left="0"/>
              <w:rPr>
                <w:sz w:val="16"/>
              </w:rPr>
            </w:pPr>
          </w:p>
          <w:p>
            <w:pPr>
              <w:pStyle w:val="TableParagraph"/>
              <w:ind w:left="0"/>
              <w:rPr>
                <w:sz w:val="16"/>
              </w:rPr>
            </w:pPr>
          </w:p>
          <w:p>
            <w:pPr>
              <w:pStyle w:val="TableParagraph"/>
              <w:ind w:left="0"/>
              <w:rPr>
                <w:sz w:val="16"/>
              </w:rPr>
            </w:pPr>
          </w:p>
          <w:p>
            <w:pPr>
              <w:pStyle w:val="TableParagraph"/>
              <w:spacing w:before="6"/>
              <w:ind w:left="0"/>
              <w:rPr>
                <w:sz w:val="19"/>
              </w:rPr>
            </w:pPr>
          </w:p>
          <w:p>
            <w:pPr>
              <w:pStyle w:val="TableParagraph"/>
              <w:ind w:left="0" w:right="46"/>
              <w:jc w:val="right"/>
              <w:rPr>
                <w:sz w:val="14"/>
              </w:rPr>
            </w:pPr>
            <w:r>
              <w:rPr>
                <w:w w:val="125"/>
                <w:sz w:val="14"/>
              </w:rPr>
              <w:t>20</w:t>
            </w:r>
          </w:p>
        </w:tc>
        <w:tc>
          <w:tcPr>
            <w:tcW w:w="716" w:type="dxa"/>
            <w:tcBorders>
              <w:top w:val="single" w:sz="4" w:space="0" w:color="000000"/>
              <w:left w:val="single" w:sz="4" w:space="0" w:color="000000"/>
            </w:tcBorders>
            <w:shd w:val="clear" w:color="auto" w:fill="FFFFFF"/>
          </w:tcPr>
          <w:p>
            <w:pPr>
              <w:pStyle w:val="TableParagraph"/>
              <w:ind w:left="0"/>
              <w:rPr>
                <w:sz w:val="18"/>
              </w:rPr>
            </w:pPr>
          </w:p>
          <w:p>
            <w:pPr>
              <w:pStyle w:val="TableParagraph"/>
              <w:ind w:left="0"/>
              <w:rPr>
                <w:sz w:val="18"/>
              </w:rPr>
            </w:pPr>
          </w:p>
          <w:p>
            <w:pPr>
              <w:pStyle w:val="TableParagraph"/>
              <w:ind w:left="0"/>
              <w:rPr>
                <w:sz w:val="18"/>
              </w:rPr>
            </w:pPr>
          </w:p>
          <w:p>
            <w:pPr>
              <w:pStyle w:val="TableParagraph"/>
              <w:spacing w:before="156"/>
              <w:ind w:left="0" w:right="42"/>
              <w:jc w:val="right"/>
              <w:rPr>
                <w:rFonts w:ascii="Stone Sans II ITC Std Bk"/>
                <w:b/>
                <w:sz w:val="14"/>
              </w:rPr>
            </w:pPr>
            <w:r>
              <w:rPr>
                <w:rFonts w:ascii="Stone Sans II ITC Std Bk"/>
                <w:b/>
                <w:w w:val="110"/>
                <w:sz w:val="14"/>
              </w:rPr>
              <w:t>383</w:t>
            </w:r>
          </w:p>
        </w:tc>
      </w:tr>
    </w:tbl>
    <w:p>
      <w:pPr>
        <w:pStyle w:val="ListParagraph"/>
        <w:numPr>
          <w:ilvl w:val="1"/>
          <w:numId w:val="187"/>
        </w:numPr>
        <w:tabs>
          <w:tab w:pos="2024" w:val="left" w:leader="none"/>
          <w:tab w:pos="2025" w:val="left" w:leader="none"/>
        </w:tabs>
        <w:spacing w:line="235" w:lineRule="auto" w:before="213" w:after="0"/>
        <w:ind w:left="1344" w:right="1922" w:firstLine="0"/>
        <w:jc w:val="left"/>
        <w:rPr>
          <w:sz w:val="20"/>
        </w:rPr>
      </w:pPr>
      <w:r>
        <w:rPr>
          <w:w w:val="120"/>
          <w:sz w:val="20"/>
        </w:rPr>
        <w:t>Ministries recognises that synod four (Yorkshire) and synod </w:t>
      </w:r>
      <w:r>
        <w:rPr>
          <w:spacing w:val="-11"/>
          <w:w w:val="120"/>
          <w:sz w:val="20"/>
        </w:rPr>
        <w:t>13 </w:t>
      </w:r>
      <w:r>
        <w:rPr>
          <w:w w:val="120"/>
          <w:sz w:val="20"/>
        </w:rPr>
        <w:t>(Scotland) will be disproportionately affected by this change in the formula, and transitional arrangements will be made to assist these synods to</w:t>
      </w:r>
      <w:r>
        <w:rPr>
          <w:spacing w:val="16"/>
          <w:w w:val="120"/>
          <w:sz w:val="20"/>
        </w:rPr>
        <w:t> </w:t>
      </w:r>
      <w:r>
        <w:rPr>
          <w:w w:val="120"/>
          <w:sz w:val="20"/>
        </w:rPr>
        <w:t>adjust.</w:t>
      </w:r>
    </w:p>
    <w:p>
      <w:pPr>
        <w:spacing w:after="0" w:line="235" w:lineRule="auto"/>
        <w:jc w:val="left"/>
        <w:rPr>
          <w:sz w:val="20"/>
        </w:rPr>
        <w:sectPr>
          <w:type w:val="continuous"/>
          <w:pgSz w:w="11910" w:h="16840"/>
          <w:pgMar w:top="1580" w:bottom="280" w:left="640" w:right="0"/>
        </w:sectPr>
      </w:pPr>
    </w:p>
    <w:p>
      <w:pPr>
        <w:pStyle w:val="BodyText"/>
      </w:pPr>
    </w:p>
    <w:p>
      <w:pPr>
        <w:pStyle w:val="BodyText"/>
        <w:spacing w:before="7"/>
        <w:rPr>
          <w:sz w:val="21"/>
        </w:rPr>
      </w:pPr>
    </w:p>
    <w:p>
      <w:pPr>
        <w:spacing w:after="0"/>
        <w:rPr>
          <w:sz w:val="21"/>
        </w:rPr>
        <w:sectPr>
          <w:headerReference w:type="even" r:id="rId428"/>
          <w:footerReference w:type="even" r:id="rId429"/>
          <w:footerReference w:type="default" r:id="rId430"/>
          <w:pgSz w:w="11910" w:h="16840"/>
          <w:pgMar w:header="0" w:footer="647" w:top="0" w:bottom="840" w:left="640" w:right="0"/>
        </w:sectPr>
      </w:pPr>
    </w:p>
    <w:p>
      <w:pPr>
        <w:spacing w:before="106"/>
        <w:ind w:left="607" w:right="0" w:firstLine="0"/>
        <w:jc w:val="left"/>
        <w:rPr>
          <w:sz w:val="26"/>
        </w:rPr>
      </w:pPr>
      <w:r>
        <w:rPr>
          <w:color w:val="7EAABF"/>
          <w:w w:val="110"/>
          <w:sz w:val="26"/>
        </w:rPr>
        <w:t>Ministries</w:t>
      </w:r>
    </w:p>
    <w:p>
      <w:pPr>
        <w:pStyle w:val="BodyText"/>
        <w:spacing w:before="2"/>
        <w:rPr>
          <w:sz w:val="53"/>
        </w:rPr>
      </w:pPr>
      <w:r>
        <w:rPr/>
        <w:br w:type="column"/>
      </w:r>
      <w:r>
        <w:rPr>
          <w:sz w:val="53"/>
        </w:rPr>
      </w:r>
    </w:p>
    <w:p>
      <w:pPr>
        <w:tabs>
          <w:tab w:pos="473" w:val="left" w:leader="none"/>
          <w:tab w:pos="2834" w:val="left" w:leader="none"/>
        </w:tabs>
        <w:spacing w:before="0"/>
        <w:ind w:left="0" w:right="3227" w:firstLine="0"/>
        <w:jc w:val="center"/>
        <w:rPr>
          <w:rFonts w:ascii="Stone Sans II ITC Std Bk"/>
          <w:b/>
          <w:sz w:val="36"/>
        </w:rPr>
      </w:pPr>
      <w:r>
        <w:rPr>
          <w:rFonts w:ascii="Stone Sans II ITC Std Bk"/>
          <w:b/>
          <w:color w:val="0B72B5"/>
          <w:w w:val="111"/>
          <w:sz w:val="36"/>
          <w:shd w:fill="E0EEF9" w:color="auto" w:val="clear"/>
        </w:rPr>
        <w:t> </w:t>
      </w:r>
      <w:r>
        <w:rPr>
          <w:rFonts w:ascii="Stone Sans II ITC Std Bk"/>
          <w:b/>
          <w:color w:val="0B72B5"/>
          <w:sz w:val="36"/>
          <w:shd w:fill="E0EEF9" w:color="auto" w:val="clear"/>
        </w:rPr>
        <w:tab/>
      </w:r>
      <w:r>
        <w:rPr>
          <w:rFonts w:ascii="Stone Sans II ITC Std Bk"/>
          <w:b/>
          <w:color w:val="0B72B5"/>
          <w:spacing w:val="5"/>
          <w:w w:val="110"/>
          <w:sz w:val="36"/>
          <w:shd w:fill="E0EEF9" w:color="auto" w:val="clear"/>
        </w:rPr>
        <w:t>Appendix</w:t>
      </w:r>
      <w:r>
        <w:rPr>
          <w:rFonts w:ascii="Stone Sans II ITC Std Bk"/>
          <w:b/>
          <w:color w:val="0B72B5"/>
          <w:spacing w:val="5"/>
          <w:sz w:val="36"/>
          <w:shd w:fill="E0EEF9" w:color="auto" w:val="clear"/>
        </w:rPr>
        <w:tab/>
      </w:r>
    </w:p>
    <w:p>
      <w:pPr>
        <w:spacing w:line="196" w:lineRule="auto" w:before="174"/>
        <w:ind w:left="0" w:right="3201" w:firstLine="0"/>
        <w:jc w:val="center"/>
        <w:rPr>
          <w:rFonts w:ascii="Stone Sans II ITC Std Bk"/>
          <w:b/>
          <w:sz w:val="29"/>
        </w:rPr>
      </w:pPr>
      <w:r>
        <w:rPr>
          <w:rFonts w:ascii="Stone Sans II ITC Std Bk"/>
          <w:b/>
          <w:w w:val="110"/>
          <w:sz w:val="29"/>
        </w:rPr>
        <w:t>Additional information regarding the calculations of minister numbers</w:t>
      </w:r>
    </w:p>
    <w:p>
      <w:pPr>
        <w:spacing w:after="0" w:line="196" w:lineRule="auto"/>
        <w:jc w:val="center"/>
        <w:rPr>
          <w:rFonts w:ascii="Stone Sans II ITC Std Bk"/>
          <w:sz w:val="29"/>
        </w:rPr>
        <w:sectPr>
          <w:type w:val="continuous"/>
          <w:pgSz w:w="11910" w:h="16840"/>
          <w:pgMar w:top="1580" w:bottom="280" w:left="640" w:right="0"/>
          <w:cols w:num="2" w:equalWidth="0">
            <w:col w:w="1785" w:space="40"/>
            <w:col w:w="9445"/>
          </w:cols>
        </w:sectPr>
      </w:pPr>
    </w:p>
    <w:p>
      <w:pPr>
        <w:pStyle w:val="BodyText"/>
        <w:rPr>
          <w:rFonts w:ascii="Stone Sans II ITC Std Bk"/>
          <w:b/>
          <w:sz w:val="16"/>
        </w:rPr>
      </w:pPr>
      <w:r>
        <w:rPr/>
        <w:drawing>
          <wp:anchor distT="0" distB="0" distL="0" distR="0" allowOverlap="1" layoutInCell="1" locked="0" behindDoc="1" simplePos="0" relativeHeight="235621376">
            <wp:simplePos x="0" y="0"/>
            <wp:positionH relativeFrom="page">
              <wp:posOffset>0</wp:posOffset>
            </wp:positionH>
            <wp:positionV relativeFrom="page">
              <wp:posOffset>0</wp:posOffset>
            </wp:positionV>
            <wp:extent cx="594067" cy="10692003"/>
            <wp:effectExtent l="0" t="0" r="0" b="0"/>
            <wp:wrapNone/>
            <wp:docPr id="301" name="image67.png"/>
            <wp:cNvGraphicFramePr>
              <a:graphicFrameLocks noChangeAspect="1"/>
            </wp:cNvGraphicFramePr>
            <a:graphic>
              <a:graphicData uri="http://schemas.openxmlformats.org/drawingml/2006/picture">
                <pic:pic>
                  <pic:nvPicPr>
                    <pic:cNvPr id="302" name="image67.png"/>
                    <pic:cNvPicPr/>
                  </pic:nvPicPr>
                  <pic:blipFill>
                    <a:blip r:embed="rId184" cstate="print"/>
                    <a:stretch>
                      <a:fillRect/>
                    </a:stretch>
                  </pic:blipFill>
                  <pic:spPr>
                    <a:xfrm>
                      <a:off x="0" y="0"/>
                      <a:ext cx="594067" cy="10692003"/>
                    </a:xfrm>
                    <a:prstGeom prst="rect">
                      <a:avLst/>
                    </a:prstGeom>
                  </pic:spPr>
                </pic:pic>
              </a:graphicData>
            </a:graphic>
          </wp:anchor>
        </w:drawing>
      </w:r>
      <w:r>
        <w:rPr/>
        <w:pict>
          <v:shape style="position:absolute;margin-left:20.519100pt;margin-top:48.890015pt;width:25.9pt;height:721.45pt;mso-position-horizontal-relative:page;mso-position-vertical-relative:page;z-index:-267694080" type="#_x0000_t202" filled="false" stroked="false">
            <v:textbox inset="0,0,0,0" style="layout-flow:vertical">
              <w:txbxContent>
                <w:p>
                  <w:pPr>
                    <w:spacing w:before="27"/>
                    <w:ind w:left="20" w:right="0" w:firstLine="0"/>
                    <w:jc w:val="left"/>
                    <w:rPr>
                      <w:sz w:val="39"/>
                    </w:rPr>
                  </w:pPr>
                  <w:r>
                    <w:rPr>
                      <w:color w:val="FFFFFF"/>
                      <w:w w:val="125"/>
                      <w:sz w:val="39"/>
                    </w:rPr>
                    <w:t>Ministries – </w:t>
                  </w:r>
                  <w:r>
                    <w:rPr>
                      <w:w w:val="125"/>
                      <w:sz w:val="39"/>
                    </w:rPr>
                    <w:t>Stipendiary minister numbers and deployment </w:t>
                  </w:r>
                  <w:r>
                    <w:rPr>
                      <w:color w:val="FFFFFF"/>
                      <w:w w:val="125"/>
                      <w:sz w:val="39"/>
                    </w:rPr>
                    <w:t>– </w:t>
                  </w:r>
                  <w:r>
                    <w:rPr>
                      <w:w w:val="125"/>
                      <w:sz w:val="39"/>
                    </w:rPr>
                    <w:t>Appendix</w:t>
                  </w:r>
                </w:p>
              </w:txbxContent>
            </v:textbox>
            <w10:wrap type="none"/>
          </v:shape>
        </w:pict>
      </w:r>
    </w:p>
    <w:p>
      <w:pPr>
        <w:pStyle w:val="Heading7"/>
        <w:numPr>
          <w:ilvl w:val="0"/>
          <w:numId w:val="195"/>
        </w:numPr>
        <w:tabs>
          <w:tab w:pos="1287" w:val="left" w:leader="none"/>
          <w:tab w:pos="1288" w:val="left" w:leader="none"/>
        </w:tabs>
        <w:spacing w:line="261" w:lineRule="exact" w:before="92" w:after="0"/>
        <w:ind w:left="1287" w:right="0" w:hanging="681"/>
        <w:jc w:val="left"/>
      </w:pPr>
      <w:bookmarkStart w:name="_GoBack" w:id="18"/>
      <w:bookmarkEnd w:id="18"/>
      <w:r>
        <w:rPr>
          <w:b w:val="0"/>
        </w:rPr>
      </w:r>
      <w:bookmarkStart w:name="_GoBack" w:id="19"/>
      <w:bookmarkEnd w:id="19"/>
      <w:r>
        <w:rPr>
          <w:w w:val="110"/>
        </w:rPr>
        <w:t>Calcul</w:t>
      </w:r>
      <w:r>
        <w:rPr>
          <w:w w:val="110"/>
        </w:rPr>
        <w:t>ating the direct costs of ministry </w:t>
      </w:r>
      <w:r>
        <w:rPr>
          <w:spacing w:val="-4"/>
          <w:w w:val="110"/>
        </w:rPr>
        <w:t>(see </w:t>
      </w:r>
      <w:r>
        <w:rPr>
          <w:w w:val="110"/>
        </w:rPr>
        <w:t>paragraphs </w:t>
      </w:r>
      <w:r>
        <w:rPr>
          <w:spacing w:val="-3"/>
          <w:w w:val="110"/>
        </w:rPr>
        <w:t>4.1-4.2</w:t>
      </w:r>
      <w:r>
        <w:rPr>
          <w:spacing w:val="6"/>
          <w:w w:val="110"/>
        </w:rPr>
        <w:t> </w:t>
      </w:r>
      <w:r>
        <w:rPr>
          <w:spacing w:val="-3"/>
          <w:w w:val="110"/>
        </w:rPr>
        <w:t>above)</w:t>
      </w:r>
    </w:p>
    <w:p>
      <w:pPr>
        <w:pStyle w:val="ListParagraph"/>
        <w:numPr>
          <w:ilvl w:val="1"/>
          <w:numId w:val="195"/>
        </w:numPr>
        <w:tabs>
          <w:tab w:pos="1287" w:val="left" w:leader="none"/>
          <w:tab w:pos="1288" w:val="left" w:leader="none"/>
        </w:tabs>
        <w:spacing w:line="235" w:lineRule="auto" w:before="0" w:after="0"/>
        <w:ind w:left="607" w:right="2897" w:firstLine="0"/>
        <w:jc w:val="left"/>
        <w:rPr>
          <w:sz w:val="20"/>
        </w:rPr>
      </w:pPr>
      <w:r>
        <w:rPr>
          <w:w w:val="120"/>
          <w:sz w:val="20"/>
        </w:rPr>
        <w:t>The current Assembly deployment policy, established in </w:t>
      </w:r>
      <w:r>
        <w:rPr>
          <w:spacing w:val="-7"/>
          <w:w w:val="120"/>
          <w:sz w:val="20"/>
        </w:rPr>
        <w:t>2012,  </w:t>
      </w:r>
      <w:r>
        <w:rPr>
          <w:w w:val="120"/>
          <w:sz w:val="20"/>
        </w:rPr>
        <w:t>requires  a calculation of ‘the direct cost of supporting the ministry’. For the purposes</w:t>
      </w:r>
      <w:r>
        <w:rPr>
          <w:spacing w:val="53"/>
          <w:w w:val="120"/>
          <w:sz w:val="20"/>
        </w:rPr>
        <w:t> </w:t>
      </w:r>
      <w:r>
        <w:rPr>
          <w:w w:val="120"/>
          <w:sz w:val="20"/>
        </w:rPr>
        <w:t>of</w:t>
      </w:r>
    </w:p>
    <w:p>
      <w:pPr>
        <w:pStyle w:val="BodyText"/>
        <w:spacing w:line="235" w:lineRule="auto"/>
        <w:ind w:left="607" w:right="2045"/>
      </w:pPr>
      <w:r>
        <w:rPr>
          <w:w w:val="120"/>
        </w:rPr>
        <w:t>considering the deployment of stipendiary Ministers of Word and Sacraments, this is calculated as follows.</w:t>
      </w:r>
    </w:p>
    <w:p>
      <w:pPr>
        <w:pStyle w:val="BodyText"/>
        <w:spacing w:before="6"/>
        <w:rPr>
          <w:sz w:val="19"/>
        </w:rPr>
      </w:pPr>
    </w:p>
    <w:p>
      <w:pPr>
        <w:pStyle w:val="ListParagraph"/>
        <w:numPr>
          <w:ilvl w:val="1"/>
          <w:numId w:val="195"/>
        </w:numPr>
        <w:tabs>
          <w:tab w:pos="1287" w:val="left" w:leader="none"/>
          <w:tab w:pos="1288" w:val="left" w:leader="none"/>
        </w:tabs>
        <w:spacing w:line="235" w:lineRule="auto" w:before="0" w:after="0"/>
        <w:ind w:left="607" w:right="2143" w:firstLine="0"/>
        <w:jc w:val="left"/>
        <w:rPr>
          <w:sz w:val="20"/>
        </w:rPr>
      </w:pPr>
      <w:r>
        <w:rPr>
          <w:w w:val="120"/>
          <w:sz w:val="20"/>
        </w:rPr>
        <w:t>In</w:t>
      </w:r>
      <w:r>
        <w:rPr>
          <w:spacing w:val="-25"/>
          <w:w w:val="120"/>
          <w:sz w:val="20"/>
        </w:rPr>
        <w:t> </w:t>
      </w:r>
      <w:r>
        <w:rPr>
          <w:w w:val="120"/>
          <w:sz w:val="20"/>
        </w:rPr>
        <w:t>the</w:t>
      </w:r>
      <w:r>
        <w:rPr>
          <w:spacing w:val="-24"/>
          <w:w w:val="120"/>
          <w:sz w:val="20"/>
        </w:rPr>
        <w:t> </w:t>
      </w:r>
      <w:r>
        <w:rPr>
          <w:w w:val="120"/>
          <w:sz w:val="20"/>
        </w:rPr>
        <w:t>URC</w:t>
      </w:r>
      <w:r>
        <w:rPr>
          <w:spacing w:val="-24"/>
          <w:w w:val="120"/>
          <w:sz w:val="20"/>
        </w:rPr>
        <w:t> </w:t>
      </w:r>
      <w:r>
        <w:rPr>
          <w:spacing w:val="-5"/>
          <w:w w:val="120"/>
          <w:sz w:val="20"/>
        </w:rPr>
        <w:t>Trust’s</w:t>
      </w:r>
      <w:r>
        <w:rPr>
          <w:spacing w:val="-24"/>
          <w:w w:val="120"/>
          <w:sz w:val="20"/>
        </w:rPr>
        <w:t> </w:t>
      </w:r>
      <w:r>
        <w:rPr>
          <w:spacing w:val="-3"/>
          <w:w w:val="120"/>
          <w:sz w:val="20"/>
        </w:rPr>
        <w:t>annual</w:t>
      </w:r>
      <w:r>
        <w:rPr>
          <w:spacing w:val="-24"/>
          <w:w w:val="120"/>
          <w:sz w:val="20"/>
        </w:rPr>
        <w:t> </w:t>
      </w:r>
      <w:r>
        <w:rPr>
          <w:i/>
          <w:spacing w:val="-4"/>
          <w:w w:val="120"/>
          <w:sz w:val="20"/>
        </w:rPr>
        <w:t>Trustees’</w:t>
      </w:r>
      <w:r>
        <w:rPr>
          <w:i/>
          <w:spacing w:val="-26"/>
          <w:w w:val="120"/>
          <w:sz w:val="20"/>
        </w:rPr>
        <w:t> </w:t>
      </w:r>
      <w:r>
        <w:rPr>
          <w:i/>
          <w:w w:val="120"/>
          <w:sz w:val="20"/>
        </w:rPr>
        <w:t>Report</w:t>
      </w:r>
      <w:r>
        <w:rPr>
          <w:i/>
          <w:spacing w:val="-26"/>
          <w:w w:val="120"/>
          <w:sz w:val="20"/>
        </w:rPr>
        <w:t> </w:t>
      </w:r>
      <w:r>
        <w:rPr>
          <w:i/>
          <w:w w:val="120"/>
          <w:sz w:val="20"/>
        </w:rPr>
        <w:t>and</w:t>
      </w:r>
      <w:r>
        <w:rPr>
          <w:i/>
          <w:spacing w:val="-27"/>
          <w:w w:val="120"/>
          <w:sz w:val="20"/>
        </w:rPr>
        <w:t> </w:t>
      </w:r>
      <w:r>
        <w:rPr>
          <w:i/>
          <w:spacing w:val="-3"/>
          <w:w w:val="120"/>
          <w:sz w:val="20"/>
        </w:rPr>
        <w:t>Financial</w:t>
      </w:r>
      <w:r>
        <w:rPr>
          <w:i/>
          <w:spacing w:val="-26"/>
          <w:w w:val="120"/>
          <w:sz w:val="20"/>
        </w:rPr>
        <w:t> </w:t>
      </w:r>
      <w:r>
        <w:rPr>
          <w:i/>
          <w:spacing w:val="-3"/>
          <w:w w:val="120"/>
          <w:sz w:val="20"/>
        </w:rPr>
        <w:t>Statements</w:t>
      </w:r>
      <w:r>
        <w:rPr>
          <w:spacing w:val="-3"/>
          <w:w w:val="120"/>
          <w:sz w:val="20"/>
        </w:rPr>
        <w:t>,</w:t>
      </w:r>
      <w:r>
        <w:rPr>
          <w:spacing w:val="-24"/>
          <w:w w:val="120"/>
          <w:sz w:val="20"/>
        </w:rPr>
        <w:t> </w:t>
      </w:r>
      <w:r>
        <w:rPr>
          <w:w w:val="120"/>
          <w:sz w:val="20"/>
        </w:rPr>
        <w:t>made</w:t>
      </w:r>
      <w:r>
        <w:rPr>
          <w:spacing w:val="-24"/>
          <w:w w:val="120"/>
          <w:sz w:val="20"/>
        </w:rPr>
        <w:t> </w:t>
      </w:r>
      <w:r>
        <w:rPr>
          <w:spacing w:val="-3"/>
          <w:w w:val="120"/>
          <w:sz w:val="20"/>
        </w:rPr>
        <w:t>available to </w:t>
      </w:r>
      <w:r>
        <w:rPr>
          <w:w w:val="120"/>
          <w:sz w:val="20"/>
        </w:rPr>
        <w:t>Assembly members, there is a </w:t>
      </w:r>
      <w:r>
        <w:rPr>
          <w:spacing w:val="-3"/>
          <w:w w:val="120"/>
          <w:sz w:val="20"/>
        </w:rPr>
        <w:t>note </w:t>
      </w:r>
      <w:r>
        <w:rPr>
          <w:w w:val="120"/>
          <w:sz w:val="20"/>
        </w:rPr>
        <w:t>giving an </w:t>
      </w:r>
      <w:r>
        <w:rPr>
          <w:spacing w:val="-3"/>
          <w:w w:val="120"/>
          <w:sz w:val="20"/>
        </w:rPr>
        <w:t>analysis </w:t>
      </w:r>
      <w:r>
        <w:rPr>
          <w:w w:val="120"/>
          <w:sz w:val="20"/>
        </w:rPr>
        <w:t>of expenditure and</w:t>
      </w:r>
      <w:r>
        <w:rPr>
          <w:spacing w:val="-38"/>
          <w:w w:val="120"/>
          <w:sz w:val="20"/>
        </w:rPr>
        <w:t> </w:t>
      </w:r>
      <w:r>
        <w:rPr>
          <w:spacing w:val="-3"/>
          <w:w w:val="120"/>
          <w:sz w:val="20"/>
        </w:rPr>
        <w:t>this includes </w:t>
      </w:r>
      <w:r>
        <w:rPr>
          <w:w w:val="120"/>
          <w:sz w:val="20"/>
        </w:rPr>
        <w:t>a line called ‘Local and special ministries and </w:t>
      </w:r>
      <w:r>
        <w:rPr>
          <w:spacing w:val="-5"/>
          <w:w w:val="120"/>
          <w:sz w:val="20"/>
        </w:rPr>
        <w:t>CRCWs’. </w:t>
      </w:r>
      <w:r>
        <w:rPr>
          <w:w w:val="120"/>
          <w:sz w:val="20"/>
        </w:rPr>
        <w:t>This is the </w:t>
      </w:r>
      <w:r>
        <w:rPr>
          <w:spacing w:val="-3"/>
          <w:w w:val="120"/>
          <w:sz w:val="20"/>
        </w:rPr>
        <w:t>basis </w:t>
      </w:r>
      <w:r>
        <w:rPr>
          <w:w w:val="120"/>
          <w:sz w:val="20"/>
        </w:rPr>
        <w:t>for the </w:t>
      </w:r>
      <w:r>
        <w:rPr>
          <w:spacing w:val="-3"/>
          <w:w w:val="120"/>
          <w:sz w:val="20"/>
        </w:rPr>
        <w:t>calculation </w:t>
      </w:r>
      <w:r>
        <w:rPr>
          <w:w w:val="120"/>
          <w:sz w:val="20"/>
        </w:rPr>
        <w:t>and reflects a </w:t>
      </w:r>
      <w:r>
        <w:rPr>
          <w:spacing w:val="-3"/>
          <w:w w:val="120"/>
          <w:sz w:val="20"/>
        </w:rPr>
        <w:t>similar </w:t>
      </w:r>
      <w:r>
        <w:rPr>
          <w:w w:val="120"/>
          <w:sz w:val="20"/>
        </w:rPr>
        <w:t>line in the central budget agreed by Mission</w:t>
      </w:r>
      <w:r>
        <w:rPr>
          <w:spacing w:val="-23"/>
          <w:w w:val="120"/>
          <w:sz w:val="20"/>
        </w:rPr>
        <w:t> </w:t>
      </w:r>
      <w:r>
        <w:rPr>
          <w:spacing w:val="-3"/>
          <w:w w:val="120"/>
          <w:sz w:val="20"/>
        </w:rPr>
        <w:t>Council.</w:t>
      </w:r>
    </w:p>
    <w:p>
      <w:pPr>
        <w:pStyle w:val="BodyText"/>
        <w:spacing w:before="11"/>
        <w:rPr>
          <w:sz w:val="19"/>
        </w:rPr>
      </w:pPr>
    </w:p>
    <w:p>
      <w:pPr>
        <w:pStyle w:val="ListParagraph"/>
        <w:numPr>
          <w:ilvl w:val="1"/>
          <w:numId w:val="195"/>
        </w:numPr>
        <w:tabs>
          <w:tab w:pos="1287" w:val="left" w:leader="none"/>
          <w:tab w:pos="1288" w:val="left" w:leader="none"/>
        </w:tabs>
        <w:spacing w:line="235" w:lineRule="auto" w:before="0" w:after="0"/>
        <w:ind w:left="607" w:right="2146" w:firstLine="0"/>
        <w:jc w:val="left"/>
        <w:rPr>
          <w:sz w:val="20"/>
        </w:rPr>
      </w:pPr>
      <w:r>
        <w:rPr>
          <w:w w:val="120"/>
          <w:sz w:val="20"/>
        </w:rPr>
        <w:t>Behind </w:t>
      </w:r>
      <w:r>
        <w:rPr>
          <w:spacing w:val="-3"/>
          <w:w w:val="120"/>
          <w:sz w:val="20"/>
        </w:rPr>
        <w:t>this </w:t>
      </w:r>
      <w:r>
        <w:rPr>
          <w:w w:val="120"/>
          <w:sz w:val="20"/>
        </w:rPr>
        <w:t>line in the </w:t>
      </w:r>
      <w:r>
        <w:rPr>
          <w:spacing w:val="-3"/>
          <w:w w:val="120"/>
          <w:sz w:val="20"/>
        </w:rPr>
        <w:t>Note to </w:t>
      </w:r>
      <w:r>
        <w:rPr>
          <w:w w:val="120"/>
          <w:sz w:val="20"/>
        </w:rPr>
        <w:t>the URC </w:t>
      </w:r>
      <w:r>
        <w:rPr>
          <w:spacing w:val="-4"/>
          <w:w w:val="120"/>
          <w:sz w:val="20"/>
        </w:rPr>
        <w:t>Trust </w:t>
      </w:r>
      <w:r>
        <w:rPr>
          <w:spacing w:val="-3"/>
          <w:w w:val="120"/>
          <w:sz w:val="20"/>
        </w:rPr>
        <w:t>accounts </w:t>
      </w:r>
      <w:r>
        <w:rPr>
          <w:w w:val="120"/>
          <w:sz w:val="20"/>
        </w:rPr>
        <w:t>are more detailed management </w:t>
      </w:r>
      <w:r>
        <w:rPr>
          <w:spacing w:val="-3"/>
          <w:w w:val="120"/>
          <w:sz w:val="20"/>
        </w:rPr>
        <w:t>accounts </w:t>
      </w:r>
      <w:r>
        <w:rPr>
          <w:w w:val="120"/>
          <w:sz w:val="20"/>
        </w:rPr>
        <w:t>and from these the aggregate stipend figures for local </w:t>
      </w:r>
      <w:r>
        <w:rPr>
          <w:spacing w:val="-3"/>
          <w:w w:val="120"/>
          <w:sz w:val="20"/>
        </w:rPr>
        <w:t>ministers </w:t>
      </w:r>
      <w:r>
        <w:rPr>
          <w:w w:val="120"/>
          <w:sz w:val="20"/>
        </w:rPr>
        <w:t>of</w:t>
      </w:r>
      <w:r>
        <w:rPr>
          <w:spacing w:val="-11"/>
          <w:w w:val="120"/>
          <w:sz w:val="20"/>
        </w:rPr>
        <w:t> </w:t>
      </w:r>
      <w:r>
        <w:rPr>
          <w:spacing w:val="-3"/>
          <w:w w:val="120"/>
          <w:sz w:val="20"/>
        </w:rPr>
        <w:t>Word</w:t>
      </w:r>
      <w:r>
        <w:rPr>
          <w:spacing w:val="-10"/>
          <w:w w:val="120"/>
          <w:sz w:val="20"/>
        </w:rPr>
        <w:t> </w:t>
      </w:r>
      <w:r>
        <w:rPr>
          <w:w w:val="120"/>
          <w:sz w:val="20"/>
        </w:rPr>
        <w:t>and</w:t>
      </w:r>
      <w:r>
        <w:rPr>
          <w:spacing w:val="-10"/>
          <w:w w:val="120"/>
          <w:sz w:val="20"/>
        </w:rPr>
        <w:t> </w:t>
      </w:r>
      <w:r>
        <w:rPr>
          <w:w w:val="120"/>
          <w:sz w:val="20"/>
        </w:rPr>
        <w:t>Sacraments</w:t>
      </w:r>
      <w:r>
        <w:rPr>
          <w:spacing w:val="-10"/>
          <w:w w:val="120"/>
          <w:sz w:val="20"/>
        </w:rPr>
        <w:t> </w:t>
      </w:r>
      <w:r>
        <w:rPr>
          <w:w w:val="120"/>
          <w:sz w:val="20"/>
        </w:rPr>
        <w:t>are</w:t>
      </w:r>
      <w:r>
        <w:rPr>
          <w:spacing w:val="-10"/>
          <w:w w:val="120"/>
          <w:sz w:val="20"/>
        </w:rPr>
        <w:t> </w:t>
      </w:r>
      <w:r>
        <w:rPr>
          <w:w w:val="120"/>
          <w:sz w:val="20"/>
        </w:rPr>
        <w:t>taken</w:t>
      </w:r>
      <w:r>
        <w:rPr>
          <w:spacing w:val="-10"/>
          <w:w w:val="120"/>
          <w:sz w:val="20"/>
        </w:rPr>
        <w:t> </w:t>
      </w:r>
      <w:r>
        <w:rPr>
          <w:w w:val="120"/>
          <w:sz w:val="20"/>
        </w:rPr>
        <w:t>from</w:t>
      </w:r>
      <w:r>
        <w:rPr>
          <w:spacing w:val="-10"/>
          <w:w w:val="120"/>
          <w:sz w:val="20"/>
        </w:rPr>
        <w:t> </w:t>
      </w:r>
      <w:r>
        <w:rPr>
          <w:w w:val="120"/>
          <w:sz w:val="20"/>
        </w:rPr>
        <w:t>Section</w:t>
      </w:r>
      <w:r>
        <w:rPr>
          <w:spacing w:val="-10"/>
          <w:w w:val="120"/>
          <w:sz w:val="20"/>
        </w:rPr>
        <w:t> </w:t>
      </w:r>
      <w:r>
        <w:rPr>
          <w:spacing w:val="-9"/>
          <w:w w:val="120"/>
          <w:sz w:val="20"/>
        </w:rPr>
        <w:t>A1</w:t>
      </w:r>
      <w:r>
        <w:rPr>
          <w:spacing w:val="-11"/>
          <w:w w:val="120"/>
          <w:sz w:val="20"/>
        </w:rPr>
        <w:t> </w:t>
      </w:r>
      <w:r>
        <w:rPr>
          <w:spacing w:val="-3"/>
          <w:w w:val="120"/>
          <w:sz w:val="20"/>
        </w:rPr>
        <w:t>‘Maintenance</w:t>
      </w:r>
      <w:r>
        <w:rPr>
          <w:spacing w:val="-10"/>
          <w:w w:val="120"/>
          <w:sz w:val="20"/>
        </w:rPr>
        <w:t> </w:t>
      </w:r>
      <w:r>
        <w:rPr>
          <w:w w:val="120"/>
          <w:sz w:val="20"/>
        </w:rPr>
        <w:t>of</w:t>
      </w:r>
      <w:r>
        <w:rPr>
          <w:spacing w:val="-10"/>
          <w:w w:val="120"/>
          <w:sz w:val="20"/>
        </w:rPr>
        <w:t> </w:t>
      </w:r>
      <w:r>
        <w:rPr>
          <w:spacing w:val="-3"/>
          <w:w w:val="120"/>
          <w:sz w:val="20"/>
        </w:rPr>
        <w:t>Ministry’.</w:t>
      </w:r>
      <w:r>
        <w:rPr>
          <w:spacing w:val="-10"/>
          <w:w w:val="120"/>
          <w:sz w:val="20"/>
        </w:rPr>
        <w:t> </w:t>
      </w:r>
      <w:r>
        <w:rPr>
          <w:w w:val="120"/>
          <w:sz w:val="20"/>
        </w:rPr>
        <w:t>The</w:t>
      </w:r>
      <w:r>
        <w:rPr>
          <w:spacing w:val="-10"/>
          <w:w w:val="120"/>
          <w:sz w:val="20"/>
        </w:rPr>
        <w:t> </w:t>
      </w:r>
      <w:r>
        <w:rPr>
          <w:w w:val="120"/>
          <w:sz w:val="20"/>
        </w:rPr>
        <w:t>latter four </w:t>
      </w:r>
      <w:r>
        <w:rPr>
          <w:spacing w:val="-4"/>
          <w:w w:val="120"/>
          <w:sz w:val="20"/>
        </w:rPr>
        <w:t>account </w:t>
      </w:r>
      <w:r>
        <w:rPr>
          <w:w w:val="120"/>
          <w:sz w:val="20"/>
        </w:rPr>
        <w:t>lines in </w:t>
      </w:r>
      <w:r>
        <w:rPr>
          <w:spacing w:val="-3"/>
          <w:w w:val="120"/>
          <w:sz w:val="20"/>
        </w:rPr>
        <w:t>this </w:t>
      </w:r>
      <w:r>
        <w:rPr>
          <w:w w:val="120"/>
          <w:sz w:val="20"/>
        </w:rPr>
        <w:t>section, </w:t>
      </w:r>
      <w:r>
        <w:rPr>
          <w:spacing w:val="-3"/>
          <w:w w:val="120"/>
          <w:sz w:val="20"/>
        </w:rPr>
        <w:t>covering national insurance, </w:t>
      </w:r>
      <w:r>
        <w:rPr>
          <w:w w:val="120"/>
          <w:sz w:val="20"/>
        </w:rPr>
        <w:t>pension </w:t>
      </w:r>
      <w:r>
        <w:rPr>
          <w:spacing w:val="-3"/>
          <w:w w:val="120"/>
          <w:sz w:val="20"/>
        </w:rPr>
        <w:t>contributions </w:t>
      </w:r>
      <w:r>
        <w:rPr>
          <w:w w:val="120"/>
          <w:sz w:val="20"/>
        </w:rPr>
        <w:t>and </w:t>
      </w:r>
      <w:r>
        <w:rPr>
          <w:spacing w:val="-4"/>
          <w:w w:val="120"/>
          <w:sz w:val="20"/>
        </w:rPr>
        <w:t>‘other </w:t>
      </w:r>
      <w:r>
        <w:rPr>
          <w:spacing w:val="-3"/>
          <w:w w:val="120"/>
          <w:sz w:val="20"/>
        </w:rPr>
        <w:t>costs’ include </w:t>
      </w:r>
      <w:r>
        <w:rPr>
          <w:w w:val="120"/>
          <w:sz w:val="20"/>
        </w:rPr>
        <w:t>both </w:t>
      </w:r>
      <w:r>
        <w:rPr>
          <w:spacing w:val="-3"/>
          <w:w w:val="120"/>
          <w:sz w:val="20"/>
        </w:rPr>
        <w:t>ministerial </w:t>
      </w:r>
      <w:r>
        <w:rPr>
          <w:w w:val="120"/>
          <w:sz w:val="20"/>
        </w:rPr>
        <w:t>and CRCW costs, so these </w:t>
      </w:r>
      <w:r>
        <w:rPr>
          <w:spacing w:val="-3"/>
          <w:w w:val="120"/>
          <w:sz w:val="20"/>
        </w:rPr>
        <w:t>have </w:t>
      </w:r>
      <w:r>
        <w:rPr>
          <w:w w:val="120"/>
          <w:sz w:val="20"/>
        </w:rPr>
        <w:t>been apportioned in the same proportion as the </w:t>
      </w:r>
      <w:r>
        <w:rPr>
          <w:spacing w:val="-3"/>
          <w:w w:val="120"/>
          <w:sz w:val="20"/>
        </w:rPr>
        <w:t>split </w:t>
      </w:r>
      <w:r>
        <w:rPr>
          <w:w w:val="120"/>
          <w:sz w:val="20"/>
        </w:rPr>
        <w:t>of the stipend lines between </w:t>
      </w:r>
      <w:r>
        <w:rPr>
          <w:spacing w:val="-3"/>
          <w:w w:val="120"/>
          <w:sz w:val="20"/>
        </w:rPr>
        <w:t>ministers </w:t>
      </w:r>
      <w:r>
        <w:rPr>
          <w:w w:val="120"/>
          <w:sz w:val="20"/>
        </w:rPr>
        <w:t>and CRCWs for the same period. The stipend line for local </w:t>
      </w:r>
      <w:r>
        <w:rPr>
          <w:spacing w:val="-3"/>
          <w:w w:val="120"/>
          <w:sz w:val="20"/>
        </w:rPr>
        <w:t>ministers </w:t>
      </w:r>
      <w:r>
        <w:rPr>
          <w:w w:val="120"/>
          <w:sz w:val="20"/>
        </w:rPr>
        <w:t>has then been added </w:t>
      </w:r>
      <w:r>
        <w:rPr>
          <w:spacing w:val="-3"/>
          <w:w w:val="120"/>
          <w:sz w:val="20"/>
        </w:rPr>
        <w:t>to </w:t>
      </w:r>
      <w:r>
        <w:rPr>
          <w:w w:val="120"/>
          <w:sz w:val="20"/>
        </w:rPr>
        <w:t>the </w:t>
      </w:r>
      <w:r>
        <w:rPr>
          <w:spacing w:val="-3"/>
          <w:w w:val="120"/>
          <w:sz w:val="20"/>
        </w:rPr>
        <w:t>ministerial</w:t>
      </w:r>
      <w:r>
        <w:rPr>
          <w:spacing w:val="-5"/>
          <w:w w:val="120"/>
          <w:sz w:val="20"/>
        </w:rPr>
        <w:t> </w:t>
      </w:r>
      <w:r>
        <w:rPr>
          <w:w w:val="120"/>
          <w:sz w:val="20"/>
        </w:rPr>
        <w:t>portion</w:t>
      </w:r>
      <w:r>
        <w:rPr>
          <w:spacing w:val="-4"/>
          <w:w w:val="120"/>
          <w:sz w:val="20"/>
        </w:rPr>
        <w:t> </w:t>
      </w:r>
      <w:r>
        <w:rPr>
          <w:w w:val="120"/>
          <w:sz w:val="20"/>
        </w:rPr>
        <w:t>of</w:t>
      </w:r>
      <w:r>
        <w:rPr>
          <w:spacing w:val="-4"/>
          <w:w w:val="120"/>
          <w:sz w:val="20"/>
        </w:rPr>
        <w:t> </w:t>
      </w:r>
      <w:r>
        <w:rPr>
          <w:w w:val="120"/>
          <w:sz w:val="20"/>
        </w:rPr>
        <w:t>the</w:t>
      </w:r>
      <w:r>
        <w:rPr>
          <w:spacing w:val="-4"/>
          <w:w w:val="120"/>
          <w:sz w:val="20"/>
        </w:rPr>
        <w:t> </w:t>
      </w:r>
      <w:r>
        <w:rPr>
          <w:w w:val="120"/>
          <w:sz w:val="20"/>
        </w:rPr>
        <w:t>other</w:t>
      </w:r>
      <w:r>
        <w:rPr>
          <w:spacing w:val="-4"/>
          <w:w w:val="120"/>
          <w:sz w:val="20"/>
        </w:rPr>
        <w:t> </w:t>
      </w:r>
      <w:r>
        <w:rPr>
          <w:w w:val="120"/>
          <w:sz w:val="20"/>
        </w:rPr>
        <w:t>lines</w:t>
      </w:r>
      <w:r>
        <w:rPr>
          <w:spacing w:val="-4"/>
          <w:w w:val="120"/>
          <w:sz w:val="20"/>
        </w:rPr>
        <w:t> </w:t>
      </w:r>
      <w:r>
        <w:rPr>
          <w:spacing w:val="-3"/>
          <w:w w:val="120"/>
          <w:sz w:val="20"/>
        </w:rPr>
        <w:t>to</w:t>
      </w:r>
      <w:r>
        <w:rPr>
          <w:spacing w:val="-4"/>
          <w:w w:val="120"/>
          <w:sz w:val="20"/>
        </w:rPr>
        <w:t> </w:t>
      </w:r>
      <w:r>
        <w:rPr>
          <w:w w:val="120"/>
          <w:sz w:val="20"/>
        </w:rPr>
        <w:t>give</w:t>
      </w:r>
      <w:r>
        <w:rPr>
          <w:spacing w:val="-4"/>
          <w:w w:val="120"/>
          <w:sz w:val="20"/>
        </w:rPr>
        <w:t> </w:t>
      </w:r>
      <w:r>
        <w:rPr>
          <w:w w:val="120"/>
          <w:sz w:val="20"/>
        </w:rPr>
        <w:t>the</w:t>
      </w:r>
      <w:r>
        <w:rPr>
          <w:spacing w:val="-4"/>
          <w:w w:val="120"/>
          <w:sz w:val="20"/>
        </w:rPr>
        <w:t> </w:t>
      </w:r>
      <w:r>
        <w:rPr>
          <w:w w:val="120"/>
          <w:sz w:val="20"/>
        </w:rPr>
        <w:t>direct</w:t>
      </w:r>
      <w:r>
        <w:rPr>
          <w:spacing w:val="-4"/>
          <w:w w:val="120"/>
          <w:sz w:val="20"/>
        </w:rPr>
        <w:t> </w:t>
      </w:r>
      <w:r>
        <w:rPr>
          <w:w w:val="120"/>
          <w:sz w:val="20"/>
        </w:rPr>
        <w:t>costs</w:t>
      </w:r>
      <w:r>
        <w:rPr>
          <w:spacing w:val="-4"/>
          <w:w w:val="120"/>
          <w:sz w:val="20"/>
        </w:rPr>
        <w:t> </w:t>
      </w:r>
      <w:r>
        <w:rPr>
          <w:w w:val="120"/>
          <w:sz w:val="20"/>
        </w:rPr>
        <w:t>of</w:t>
      </w:r>
      <w:r>
        <w:rPr>
          <w:spacing w:val="-4"/>
          <w:w w:val="120"/>
          <w:sz w:val="20"/>
        </w:rPr>
        <w:t> </w:t>
      </w:r>
      <w:r>
        <w:rPr>
          <w:w w:val="120"/>
          <w:sz w:val="20"/>
        </w:rPr>
        <w:t>ministry</w:t>
      </w:r>
      <w:r>
        <w:rPr>
          <w:spacing w:val="-5"/>
          <w:w w:val="120"/>
          <w:sz w:val="20"/>
        </w:rPr>
        <w:t> </w:t>
      </w:r>
      <w:r>
        <w:rPr>
          <w:w w:val="120"/>
          <w:sz w:val="20"/>
        </w:rPr>
        <w:t>figure.</w:t>
      </w:r>
    </w:p>
    <w:p>
      <w:pPr>
        <w:pStyle w:val="BodyText"/>
        <w:spacing w:before="10"/>
        <w:rPr>
          <w:sz w:val="18"/>
        </w:rPr>
      </w:pPr>
    </w:p>
    <w:p>
      <w:pPr>
        <w:pStyle w:val="Heading7"/>
        <w:numPr>
          <w:ilvl w:val="0"/>
          <w:numId w:val="195"/>
        </w:numPr>
        <w:tabs>
          <w:tab w:pos="1287" w:val="left" w:leader="none"/>
          <w:tab w:pos="1288" w:val="left" w:leader="none"/>
        </w:tabs>
        <w:spacing w:line="261" w:lineRule="exact" w:before="0" w:after="0"/>
        <w:ind w:left="1287" w:right="0" w:hanging="681"/>
        <w:jc w:val="left"/>
      </w:pPr>
      <w:r>
        <w:rPr>
          <w:w w:val="110"/>
        </w:rPr>
        <w:t>Calculating the target number of ministers </w:t>
      </w:r>
      <w:r>
        <w:rPr>
          <w:spacing w:val="-4"/>
          <w:w w:val="110"/>
        </w:rPr>
        <w:t>(see </w:t>
      </w:r>
      <w:r>
        <w:rPr>
          <w:w w:val="110"/>
        </w:rPr>
        <w:t>paragraph 4.6</w:t>
      </w:r>
      <w:r>
        <w:rPr>
          <w:spacing w:val="3"/>
          <w:w w:val="110"/>
        </w:rPr>
        <w:t> </w:t>
      </w:r>
      <w:r>
        <w:rPr>
          <w:spacing w:val="-3"/>
          <w:w w:val="110"/>
        </w:rPr>
        <w:t>above)</w:t>
      </w:r>
    </w:p>
    <w:p>
      <w:pPr>
        <w:pStyle w:val="ListParagraph"/>
        <w:numPr>
          <w:ilvl w:val="1"/>
          <w:numId w:val="195"/>
        </w:numPr>
        <w:tabs>
          <w:tab w:pos="1287" w:val="left" w:leader="none"/>
          <w:tab w:pos="1288" w:val="left" w:leader="none"/>
        </w:tabs>
        <w:spacing w:line="235" w:lineRule="auto" w:before="0" w:after="0"/>
        <w:ind w:left="607" w:right="1983" w:firstLine="0"/>
        <w:jc w:val="left"/>
        <w:rPr>
          <w:sz w:val="20"/>
        </w:rPr>
      </w:pPr>
      <w:r>
        <w:rPr>
          <w:spacing w:val="3"/>
          <w:w w:val="120"/>
          <w:sz w:val="20"/>
        </w:rPr>
        <w:t>As </w:t>
      </w:r>
      <w:r>
        <w:rPr>
          <w:w w:val="120"/>
          <w:sz w:val="20"/>
        </w:rPr>
        <w:t>explained in paragraph </w:t>
      </w:r>
      <w:r>
        <w:rPr>
          <w:spacing w:val="-2"/>
          <w:w w:val="120"/>
          <w:sz w:val="20"/>
        </w:rPr>
        <w:t>4.6 </w:t>
      </w:r>
      <w:r>
        <w:rPr>
          <w:w w:val="120"/>
          <w:sz w:val="20"/>
        </w:rPr>
        <w:t>above, the current Assembly policy requires a calculation of the costs of a stipendiary minister to central funds in future years, so that the total available amount of money can be converted into a target number of ministers on the payroll. The following paragraphs describe how this has been done in producing the numbers in </w:t>
      </w:r>
      <w:r>
        <w:rPr>
          <w:spacing w:val="-3"/>
          <w:w w:val="120"/>
          <w:sz w:val="20"/>
        </w:rPr>
        <w:t>Table</w:t>
      </w:r>
      <w:r>
        <w:rPr>
          <w:spacing w:val="8"/>
          <w:w w:val="120"/>
          <w:sz w:val="20"/>
        </w:rPr>
        <w:t> </w:t>
      </w:r>
      <w:r>
        <w:rPr>
          <w:spacing w:val="-7"/>
          <w:w w:val="120"/>
          <w:sz w:val="20"/>
        </w:rPr>
        <w:t>1.</w:t>
      </w:r>
    </w:p>
    <w:p>
      <w:pPr>
        <w:pStyle w:val="BodyText"/>
        <w:spacing w:before="7"/>
        <w:rPr>
          <w:sz w:val="19"/>
        </w:rPr>
      </w:pPr>
    </w:p>
    <w:p>
      <w:pPr>
        <w:pStyle w:val="ListParagraph"/>
        <w:numPr>
          <w:ilvl w:val="1"/>
          <w:numId w:val="195"/>
        </w:numPr>
        <w:tabs>
          <w:tab w:pos="1287" w:val="left" w:leader="none"/>
          <w:tab w:pos="1288" w:val="left" w:leader="none"/>
        </w:tabs>
        <w:spacing w:line="235" w:lineRule="auto" w:before="0" w:after="0"/>
        <w:ind w:left="607" w:right="2442" w:firstLine="0"/>
        <w:jc w:val="left"/>
        <w:rPr>
          <w:sz w:val="20"/>
        </w:rPr>
      </w:pPr>
      <w:r>
        <w:rPr>
          <w:w w:val="120"/>
          <w:sz w:val="20"/>
        </w:rPr>
        <w:t>There are two main elements to be considered in predicting the total cost of supporting a stipendiary</w:t>
      </w:r>
      <w:r>
        <w:rPr>
          <w:spacing w:val="6"/>
          <w:w w:val="120"/>
          <w:sz w:val="20"/>
        </w:rPr>
        <w:t> </w:t>
      </w:r>
      <w:r>
        <w:rPr>
          <w:w w:val="120"/>
          <w:sz w:val="20"/>
        </w:rPr>
        <w:t>minister.</w:t>
      </w:r>
    </w:p>
    <w:p>
      <w:pPr>
        <w:pStyle w:val="BodyText"/>
        <w:spacing w:before="9"/>
        <w:rPr>
          <w:sz w:val="19"/>
        </w:rPr>
      </w:pPr>
    </w:p>
    <w:p>
      <w:pPr>
        <w:pStyle w:val="ListParagraph"/>
        <w:numPr>
          <w:ilvl w:val="1"/>
          <w:numId w:val="195"/>
        </w:numPr>
        <w:tabs>
          <w:tab w:pos="1287" w:val="left" w:leader="none"/>
          <w:tab w:pos="1288" w:val="left" w:leader="none"/>
        </w:tabs>
        <w:spacing w:line="235" w:lineRule="auto" w:before="0" w:after="0"/>
        <w:ind w:left="607" w:right="2371" w:firstLine="0"/>
        <w:jc w:val="left"/>
        <w:rPr>
          <w:sz w:val="20"/>
        </w:rPr>
      </w:pPr>
      <w:r>
        <w:rPr>
          <w:w w:val="120"/>
          <w:sz w:val="20"/>
        </w:rPr>
        <w:t>The first element is the rate of increase in stipends. In a typical </w:t>
      </w:r>
      <w:r>
        <w:rPr>
          <w:spacing w:val="-4"/>
          <w:w w:val="120"/>
          <w:sz w:val="20"/>
        </w:rPr>
        <w:t>year, </w:t>
      </w:r>
      <w:r>
        <w:rPr>
          <w:w w:val="120"/>
          <w:sz w:val="20"/>
        </w:rPr>
        <w:t>the URC starting point is to average the rate of inflation and the rate of wages growth in the wider </w:t>
      </w:r>
      <w:r>
        <w:rPr>
          <w:spacing w:val="-3"/>
          <w:w w:val="120"/>
          <w:sz w:val="20"/>
        </w:rPr>
        <w:t>economy. </w:t>
      </w:r>
      <w:r>
        <w:rPr>
          <w:w w:val="120"/>
          <w:sz w:val="20"/>
        </w:rPr>
        <w:t>The rate of inflation is assumed, as noted in the main paper, to be 2% for these calculations. For most of the period 1945-2008, wages in Britain grew on</w:t>
      </w:r>
      <w:r>
        <w:rPr>
          <w:spacing w:val="6"/>
          <w:w w:val="120"/>
          <w:sz w:val="20"/>
        </w:rPr>
        <w:t> </w:t>
      </w:r>
      <w:r>
        <w:rPr>
          <w:w w:val="120"/>
          <w:sz w:val="20"/>
        </w:rPr>
        <w:t>average</w:t>
      </w:r>
      <w:r>
        <w:rPr>
          <w:spacing w:val="7"/>
          <w:w w:val="120"/>
          <w:sz w:val="20"/>
        </w:rPr>
        <w:t> </w:t>
      </w:r>
      <w:r>
        <w:rPr>
          <w:w w:val="120"/>
          <w:sz w:val="20"/>
        </w:rPr>
        <w:t>at</w:t>
      </w:r>
      <w:r>
        <w:rPr>
          <w:spacing w:val="7"/>
          <w:w w:val="120"/>
          <w:sz w:val="20"/>
        </w:rPr>
        <w:t> </w:t>
      </w:r>
      <w:r>
        <w:rPr>
          <w:w w:val="120"/>
          <w:sz w:val="20"/>
        </w:rPr>
        <w:t>around</w:t>
      </w:r>
      <w:r>
        <w:rPr>
          <w:spacing w:val="7"/>
          <w:w w:val="120"/>
          <w:sz w:val="20"/>
        </w:rPr>
        <w:t> </w:t>
      </w:r>
      <w:r>
        <w:rPr>
          <w:spacing w:val="-5"/>
          <w:w w:val="120"/>
          <w:sz w:val="20"/>
        </w:rPr>
        <w:t>1.5%</w:t>
      </w:r>
      <w:r>
        <w:rPr>
          <w:spacing w:val="7"/>
          <w:w w:val="120"/>
          <w:sz w:val="20"/>
        </w:rPr>
        <w:t> </w:t>
      </w:r>
      <w:r>
        <w:rPr>
          <w:w w:val="120"/>
          <w:sz w:val="20"/>
        </w:rPr>
        <w:t>above</w:t>
      </w:r>
      <w:r>
        <w:rPr>
          <w:spacing w:val="6"/>
          <w:w w:val="120"/>
          <w:sz w:val="20"/>
        </w:rPr>
        <w:t> </w:t>
      </w:r>
      <w:r>
        <w:rPr>
          <w:w w:val="120"/>
          <w:sz w:val="20"/>
        </w:rPr>
        <w:t>inflation.</w:t>
      </w:r>
      <w:r>
        <w:rPr>
          <w:spacing w:val="7"/>
          <w:w w:val="120"/>
          <w:sz w:val="20"/>
        </w:rPr>
        <w:t> </w:t>
      </w:r>
      <w:r>
        <w:rPr>
          <w:w w:val="120"/>
          <w:sz w:val="20"/>
        </w:rPr>
        <w:t>Since</w:t>
      </w:r>
      <w:r>
        <w:rPr>
          <w:spacing w:val="7"/>
          <w:w w:val="120"/>
          <w:sz w:val="20"/>
        </w:rPr>
        <w:t> </w:t>
      </w:r>
      <w:r>
        <w:rPr>
          <w:w w:val="120"/>
          <w:sz w:val="20"/>
        </w:rPr>
        <w:t>the</w:t>
      </w:r>
      <w:r>
        <w:rPr>
          <w:spacing w:val="7"/>
          <w:w w:val="120"/>
          <w:sz w:val="20"/>
        </w:rPr>
        <w:t> </w:t>
      </w:r>
      <w:r>
        <w:rPr>
          <w:w w:val="120"/>
          <w:sz w:val="20"/>
        </w:rPr>
        <w:t>economic</w:t>
      </w:r>
      <w:r>
        <w:rPr>
          <w:spacing w:val="7"/>
          <w:w w:val="120"/>
          <w:sz w:val="20"/>
        </w:rPr>
        <w:t> </w:t>
      </w:r>
      <w:r>
        <w:rPr>
          <w:w w:val="120"/>
          <w:sz w:val="20"/>
        </w:rPr>
        <w:t>crash</w:t>
      </w:r>
      <w:r>
        <w:rPr>
          <w:spacing w:val="6"/>
          <w:w w:val="120"/>
          <w:sz w:val="20"/>
        </w:rPr>
        <w:t> </w:t>
      </w:r>
      <w:r>
        <w:rPr>
          <w:w w:val="120"/>
          <w:sz w:val="20"/>
        </w:rPr>
        <w:t>of</w:t>
      </w:r>
      <w:r>
        <w:rPr>
          <w:spacing w:val="7"/>
          <w:w w:val="120"/>
          <w:sz w:val="20"/>
        </w:rPr>
        <w:t> </w:t>
      </w:r>
      <w:r>
        <w:rPr>
          <w:w w:val="120"/>
          <w:sz w:val="20"/>
        </w:rPr>
        <w:t>2008-9,</w:t>
      </w:r>
      <w:r>
        <w:rPr>
          <w:spacing w:val="7"/>
          <w:w w:val="120"/>
          <w:sz w:val="20"/>
        </w:rPr>
        <w:t> </w:t>
      </w:r>
      <w:r>
        <w:rPr>
          <w:w w:val="120"/>
          <w:sz w:val="20"/>
        </w:rPr>
        <w:t>this</w:t>
      </w:r>
    </w:p>
    <w:p>
      <w:pPr>
        <w:pStyle w:val="BodyText"/>
        <w:spacing w:line="235" w:lineRule="auto" w:before="4"/>
        <w:ind w:left="607" w:right="2007"/>
      </w:pPr>
      <w:r>
        <w:rPr>
          <w:w w:val="120"/>
        </w:rPr>
        <w:t>relationship has entirely broken down. There have been extended periods when wages have grown much less than inflation while currently they are rising by much more than inflation. Therefore predicting whether stipends will grow faster or slower than inflation is problematic.</w:t>
      </w:r>
    </w:p>
    <w:p>
      <w:pPr>
        <w:pStyle w:val="BodyText"/>
        <w:spacing w:before="11"/>
        <w:rPr>
          <w:sz w:val="19"/>
        </w:rPr>
      </w:pPr>
    </w:p>
    <w:p>
      <w:pPr>
        <w:pStyle w:val="ListParagraph"/>
        <w:numPr>
          <w:ilvl w:val="1"/>
          <w:numId w:val="195"/>
        </w:numPr>
        <w:tabs>
          <w:tab w:pos="1287" w:val="left" w:leader="none"/>
          <w:tab w:pos="1288" w:val="left" w:leader="none"/>
        </w:tabs>
        <w:spacing w:line="235" w:lineRule="auto" w:before="0" w:after="0"/>
        <w:ind w:left="607" w:right="2011" w:firstLine="0"/>
        <w:jc w:val="left"/>
        <w:rPr>
          <w:sz w:val="20"/>
        </w:rPr>
      </w:pPr>
      <w:r>
        <w:rPr>
          <w:w w:val="120"/>
          <w:sz w:val="20"/>
        </w:rPr>
        <w:t>The second element is the cost of supporting the Ministers’ Pension Fund. With two-thirds of the fund’s members receiving pensions and only one-third still working and contributing into the fund, it is a perennial challenge to avoid the amount the Church needs to put into the fund from rising markedly. In other words, it is a challenge to stop the pension element of the per capita cost of supporting ministers</w:t>
      </w:r>
      <w:r>
        <w:rPr>
          <w:spacing w:val="32"/>
          <w:w w:val="120"/>
          <w:sz w:val="20"/>
        </w:rPr>
        <w:t> </w:t>
      </w:r>
      <w:r>
        <w:rPr>
          <w:w w:val="120"/>
          <w:sz w:val="20"/>
        </w:rPr>
        <w:t>from</w:t>
      </w:r>
    </w:p>
    <w:p>
      <w:pPr>
        <w:pStyle w:val="BodyText"/>
        <w:spacing w:line="235" w:lineRule="auto" w:before="4"/>
        <w:ind w:left="607" w:right="2045"/>
      </w:pPr>
      <w:r>
        <w:rPr>
          <w:w w:val="120"/>
        </w:rPr>
        <w:t>rising faster than inflation. However the 2015 actuarial valuation did manage to avoid increasing the Church’s contribution, so it is not inevitable that it will rise.</w:t>
      </w:r>
    </w:p>
    <w:p>
      <w:pPr>
        <w:pStyle w:val="BodyText"/>
        <w:spacing w:before="9"/>
        <w:rPr>
          <w:sz w:val="19"/>
        </w:rPr>
      </w:pPr>
    </w:p>
    <w:p>
      <w:pPr>
        <w:pStyle w:val="ListParagraph"/>
        <w:numPr>
          <w:ilvl w:val="1"/>
          <w:numId w:val="195"/>
        </w:numPr>
        <w:tabs>
          <w:tab w:pos="1287" w:val="left" w:leader="none"/>
          <w:tab w:pos="1288" w:val="left" w:leader="none"/>
        </w:tabs>
        <w:spacing w:line="235" w:lineRule="auto" w:before="0" w:after="0"/>
        <w:ind w:left="607" w:right="2213" w:firstLine="0"/>
        <w:jc w:val="left"/>
        <w:rPr>
          <w:sz w:val="20"/>
        </w:rPr>
      </w:pPr>
      <w:r>
        <w:rPr>
          <w:spacing w:val="-3"/>
          <w:w w:val="120"/>
          <w:sz w:val="20"/>
        </w:rPr>
        <w:t>Taking </w:t>
      </w:r>
      <w:r>
        <w:rPr>
          <w:w w:val="120"/>
          <w:sz w:val="20"/>
        </w:rPr>
        <w:t>both these elements of uncertainty into account, the numbers fundable have been calculated on two alternative bases. The higher cost trajectory assumes that the average stipend rise is </w:t>
      </w:r>
      <w:r>
        <w:rPr>
          <w:spacing w:val="-7"/>
          <w:w w:val="120"/>
          <w:sz w:val="20"/>
        </w:rPr>
        <w:t>1% </w:t>
      </w:r>
      <w:r>
        <w:rPr>
          <w:w w:val="120"/>
          <w:sz w:val="20"/>
        </w:rPr>
        <w:t>above inflation each year and that at each triennial valuation of the Ministers’ pension fund there is a further 2% rise in the cost</w:t>
      </w:r>
      <w:r>
        <w:rPr>
          <w:spacing w:val="13"/>
          <w:w w:val="120"/>
          <w:sz w:val="20"/>
        </w:rPr>
        <w:t> </w:t>
      </w:r>
      <w:r>
        <w:rPr>
          <w:w w:val="120"/>
          <w:sz w:val="20"/>
        </w:rPr>
        <w:t>of</w:t>
      </w:r>
    </w:p>
    <w:p>
      <w:pPr>
        <w:spacing w:after="0" w:line="235" w:lineRule="auto"/>
        <w:jc w:val="left"/>
        <w:rPr>
          <w:sz w:val="20"/>
        </w:rPr>
        <w:sectPr>
          <w:type w:val="continuous"/>
          <w:pgSz w:w="11910" w:h="16840"/>
          <w:pgMar w:top="1580" w:bottom="280" w:left="640" w:right="0"/>
        </w:sectPr>
      </w:pPr>
    </w:p>
    <w:p>
      <w:pPr>
        <w:pStyle w:val="BodyText"/>
      </w:pPr>
      <w:r>
        <w:rPr/>
        <w:drawing>
          <wp:anchor distT="0" distB="0" distL="0" distR="0" allowOverlap="1" layoutInCell="1" locked="0" behindDoc="0" simplePos="0" relativeHeight="252077056">
            <wp:simplePos x="0" y="0"/>
            <wp:positionH relativeFrom="page">
              <wp:posOffset>6974928</wp:posOffset>
            </wp:positionH>
            <wp:positionV relativeFrom="page">
              <wp:posOffset>0</wp:posOffset>
            </wp:positionV>
            <wp:extent cx="585063" cy="10692003"/>
            <wp:effectExtent l="0" t="0" r="0" b="0"/>
            <wp:wrapNone/>
            <wp:docPr id="303" name="image54.png"/>
            <wp:cNvGraphicFramePr>
              <a:graphicFrameLocks noChangeAspect="1"/>
            </wp:cNvGraphicFramePr>
            <a:graphic>
              <a:graphicData uri="http://schemas.openxmlformats.org/drawingml/2006/picture">
                <pic:pic>
                  <pic:nvPicPr>
                    <pic:cNvPr id="304" name="image54.png"/>
                    <pic:cNvPicPr/>
                  </pic:nvPicPr>
                  <pic:blipFill>
                    <a:blip r:embed="rId169" cstate="print"/>
                    <a:stretch>
                      <a:fillRect/>
                    </a:stretch>
                  </pic:blipFill>
                  <pic:spPr>
                    <a:xfrm>
                      <a:off x="0" y="0"/>
                      <a:ext cx="585063" cy="10692003"/>
                    </a:xfrm>
                    <a:prstGeom prst="rect">
                      <a:avLst/>
                    </a:prstGeom>
                  </pic:spPr>
                </pic:pic>
              </a:graphicData>
            </a:graphic>
          </wp:anchor>
        </w:drawing>
      </w:r>
      <w:r>
        <w:rPr/>
        <w:pict>
          <v:shape style="position:absolute;margin-left:554.141174pt;margin-top:48.890015pt;width:25.9pt;height:721.45pt;mso-position-horizontal-relative:page;mso-position-vertical-relative:page;z-index:252078080" type="#_x0000_t202" filled="false" stroked="false">
            <v:textbox inset="0,0,0,0" style="layout-flow:vertical">
              <w:txbxContent>
                <w:p>
                  <w:pPr>
                    <w:spacing w:before="27"/>
                    <w:ind w:left="20" w:right="0" w:firstLine="0"/>
                    <w:jc w:val="left"/>
                    <w:rPr>
                      <w:sz w:val="39"/>
                    </w:rPr>
                  </w:pPr>
                  <w:r>
                    <w:rPr>
                      <w:color w:val="FFFFFF"/>
                      <w:w w:val="125"/>
                      <w:sz w:val="39"/>
                    </w:rPr>
                    <w:t>Ministries – </w:t>
                  </w:r>
                  <w:r>
                    <w:rPr>
                      <w:w w:val="125"/>
                      <w:sz w:val="39"/>
                    </w:rPr>
                    <w:t>Stipendiary minister numbers and deployment </w:t>
                  </w:r>
                  <w:r>
                    <w:rPr>
                      <w:color w:val="FFFFFF"/>
                      <w:w w:val="125"/>
                      <w:sz w:val="39"/>
                    </w:rPr>
                    <w:t>– </w:t>
                  </w:r>
                  <w:r>
                    <w:rPr>
                      <w:w w:val="125"/>
                      <w:sz w:val="39"/>
                    </w:rPr>
                    <w:t>Appendix</w:t>
                  </w:r>
                </w:p>
              </w:txbxContent>
            </v:textbox>
            <w10:wrap type="none"/>
          </v:shape>
        </w:pict>
      </w:r>
    </w:p>
    <w:p>
      <w:pPr>
        <w:pStyle w:val="BodyText"/>
        <w:spacing w:before="7"/>
        <w:rPr>
          <w:sz w:val="21"/>
        </w:rPr>
      </w:pPr>
    </w:p>
    <w:p>
      <w:pPr>
        <w:spacing w:before="106"/>
        <w:ind w:left="0" w:right="1245" w:firstLine="0"/>
        <w:jc w:val="right"/>
        <w:rPr>
          <w:sz w:val="26"/>
        </w:rPr>
      </w:pPr>
      <w:r>
        <w:rPr>
          <w:color w:val="7EAABF"/>
          <w:w w:val="110"/>
          <w:sz w:val="26"/>
        </w:rPr>
        <w:t>Ministries</w:t>
      </w:r>
    </w:p>
    <w:p>
      <w:pPr>
        <w:pStyle w:val="BodyText"/>
        <w:spacing w:line="235" w:lineRule="auto" w:before="222"/>
        <w:ind w:left="1344" w:right="1478"/>
      </w:pPr>
      <w:r>
        <w:rPr>
          <w:w w:val="120"/>
        </w:rPr>
        <w:t>supporting the average minister. The lower cost trajectory assumes stipend and other direct ministry support costs rise each year in line with inflation but never faster than that. The majority of plausible outcomes lie somewhere between the higher cost and lower cost trajectories.</w:t>
      </w:r>
    </w:p>
    <w:p>
      <w:pPr>
        <w:pStyle w:val="BodyText"/>
        <w:spacing w:before="10"/>
        <w:rPr>
          <w:sz w:val="19"/>
        </w:rPr>
      </w:pPr>
    </w:p>
    <w:p>
      <w:pPr>
        <w:pStyle w:val="ListParagraph"/>
        <w:numPr>
          <w:ilvl w:val="1"/>
          <w:numId w:val="195"/>
        </w:numPr>
        <w:tabs>
          <w:tab w:pos="2024" w:val="left" w:leader="none"/>
          <w:tab w:pos="2025" w:val="left" w:leader="none"/>
        </w:tabs>
        <w:spacing w:line="235" w:lineRule="auto" w:before="1" w:after="0"/>
        <w:ind w:left="1344" w:right="1270" w:firstLine="0"/>
        <w:jc w:val="left"/>
        <w:rPr>
          <w:sz w:val="20"/>
        </w:rPr>
      </w:pPr>
      <w:r>
        <w:rPr>
          <w:w w:val="120"/>
          <w:sz w:val="20"/>
        </w:rPr>
        <w:t>For providing Assembly with figures to consider, it was agreed that it was not helpful to provide alternative sets of numbers. Therefore after the higher cost trajectory and lower cost trajectory estimates have been made, the average of the two for any given year has then been calculated as a central</w:t>
      </w:r>
      <w:r>
        <w:rPr>
          <w:spacing w:val="14"/>
          <w:w w:val="120"/>
          <w:sz w:val="20"/>
        </w:rPr>
        <w:t> </w:t>
      </w:r>
      <w:r>
        <w:rPr>
          <w:w w:val="120"/>
          <w:sz w:val="20"/>
        </w:rPr>
        <w:t>forecast.</w:t>
      </w:r>
    </w:p>
    <w:p>
      <w:pPr>
        <w:pStyle w:val="BodyText"/>
        <w:spacing w:before="10"/>
        <w:rPr>
          <w:sz w:val="19"/>
        </w:rPr>
      </w:pPr>
    </w:p>
    <w:p>
      <w:pPr>
        <w:pStyle w:val="ListParagraph"/>
        <w:numPr>
          <w:ilvl w:val="1"/>
          <w:numId w:val="195"/>
        </w:numPr>
        <w:tabs>
          <w:tab w:pos="2024" w:val="left" w:leader="none"/>
          <w:tab w:pos="2025" w:val="left" w:leader="none"/>
        </w:tabs>
        <w:spacing w:line="235" w:lineRule="auto" w:before="1" w:after="0"/>
        <w:ind w:left="1344" w:right="1292" w:firstLine="0"/>
        <w:jc w:val="left"/>
        <w:rPr>
          <w:sz w:val="20"/>
        </w:rPr>
      </w:pPr>
      <w:r>
        <w:rPr>
          <w:w w:val="120"/>
          <w:sz w:val="20"/>
        </w:rPr>
        <w:t>Furthermore, for planning purposes the trend in deployable numbers over a period of years is what is needed and so the annual numbers generated by the process described above have been adjusted so that the changes from one year to the next are as near to constant as possible. </w:t>
      </w:r>
      <w:r>
        <w:rPr>
          <w:spacing w:val="-7"/>
          <w:w w:val="120"/>
          <w:sz w:val="20"/>
        </w:rPr>
        <w:t>To </w:t>
      </w:r>
      <w:r>
        <w:rPr>
          <w:w w:val="120"/>
          <w:sz w:val="20"/>
        </w:rPr>
        <w:t>achieve this, the central forecast numbers have been smoothed over each half decade; by definition the numbers for </w:t>
      </w:r>
      <w:r>
        <w:rPr>
          <w:spacing w:val="-7"/>
          <w:w w:val="120"/>
          <w:sz w:val="20"/>
        </w:rPr>
        <w:t>2015, </w:t>
      </w:r>
      <w:r>
        <w:rPr>
          <w:w w:val="120"/>
          <w:sz w:val="20"/>
        </w:rPr>
        <w:t>2020 and 2025  are unchanged by this process. These smoothed annual numbers are the ones shown in </w:t>
      </w:r>
      <w:r>
        <w:rPr>
          <w:spacing w:val="-3"/>
          <w:w w:val="120"/>
          <w:sz w:val="20"/>
        </w:rPr>
        <w:t>Table </w:t>
      </w:r>
      <w:r>
        <w:rPr>
          <w:w w:val="120"/>
          <w:sz w:val="20"/>
        </w:rPr>
        <w:t>1 as ‘Target</w:t>
      </w:r>
      <w:r>
        <w:rPr>
          <w:spacing w:val="11"/>
          <w:w w:val="120"/>
          <w:sz w:val="20"/>
        </w:rPr>
        <w:t> </w:t>
      </w:r>
      <w:r>
        <w:rPr>
          <w:w w:val="120"/>
          <w:sz w:val="20"/>
        </w:rPr>
        <w:t>Number’.</w:t>
      </w:r>
    </w:p>
    <w:p>
      <w:pPr>
        <w:spacing w:after="0" w:line="235" w:lineRule="auto"/>
        <w:jc w:val="left"/>
        <w:rPr>
          <w:sz w:val="20"/>
        </w:rPr>
        <w:sectPr>
          <w:headerReference w:type="default" r:id="rId431"/>
          <w:pgSz w:w="11910" w:h="16840"/>
          <w:pgMar w:header="0" w:footer="647" w:top="0" w:bottom="840" w:left="640" w:right="0"/>
        </w:sectPr>
      </w:pPr>
    </w:p>
    <w:p>
      <w:pPr>
        <w:pStyle w:val="BodyText"/>
      </w:pPr>
      <w:r>
        <w:rPr/>
        <w:pict>
          <v:rect style="position:absolute;margin-left:46.777pt;margin-top:.000015pt;width:548.498pt;height:841.89pt;mso-position-horizontal-relative:page;mso-position-vertical-relative:page;z-index:-267691008" filled="true" fillcolor="#d4e9f7" stroked="false">
            <v:fill type="solid"/>
            <w10:wrap type="none"/>
          </v:rect>
        </w:pict>
      </w:r>
      <w:r>
        <w:rPr/>
        <w:drawing>
          <wp:anchor distT="0" distB="0" distL="0" distR="0" allowOverlap="1" layoutInCell="1" locked="0" behindDoc="1" simplePos="0" relativeHeight="235626496">
            <wp:simplePos x="0" y="0"/>
            <wp:positionH relativeFrom="page">
              <wp:posOffset>0</wp:posOffset>
            </wp:positionH>
            <wp:positionV relativeFrom="page">
              <wp:posOffset>0</wp:posOffset>
            </wp:positionV>
            <wp:extent cx="594067" cy="10692003"/>
            <wp:effectExtent l="0" t="0" r="0" b="0"/>
            <wp:wrapNone/>
            <wp:docPr id="305" name="image67.png"/>
            <wp:cNvGraphicFramePr>
              <a:graphicFrameLocks noChangeAspect="1"/>
            </wp:cNvGraphicFramePr>
            <a:graphic>
              <a:graphicData uri="http://schemas.openxmlformats.org/drawingml/2006/picture">
                <pic:pic>
                  <pic:nvPicPr>
                    <pic:cNvPr id="306" name="image67.png"/>
                    <pic:cNvPicPr/>
                  </pic:nvPicPr>
                  <pic:blipFill>
                    <a:blip r:embed="rId184" cstate="print"/>
                    <a:stretch>
                      <a:fillRect/>
                    </a:stretch>
                  </pic:blipFill>
                  <pic:spPr>
                    <a:xfrm>
                      <a:off x="0" y="0"/>
                      <a:ext cx="594067" cy="10692003"/>
                    </a:xfrm>
                    <a:prstGeom prst="rect">
                      <a:avLst/>
                    </a:prstGeom>
                  </pic:spPr>
                </pic:pic>
              </a:graphicData>
            </a:graphic>
          </wp:anchor>
        </w:drawing>
      </w:r>
      <w:r>
        <w:rPr/>
        <w:pict>
          <v:shape style="position:absolute;margin-left:20.519100pt;margin-top:48.890015pt;width:25.9pt;height:352.8pt;mso-position-horizontal-relative:page;mso-position-vertical-relative:page;z-index:-267688960" type="#_x0000_t202" filled="false" stroked="false">
            <v:textbox inset="0,0,0,0" style="layout-flow:vertical">
              <w:txbxContent>
                <w:p>
                  <w:pPr>
                    <w:spacing w:before="27"/>
                    <w:ind w:left="20" w:right="0" w:firstLine="0"/>
                    <w:jc w:val="left"/>
                    <w:rPr>
                      <w:sz w:val="39"/>
                    </w:rPr>
                  </w:pPr>
                  <w:r>
                    <w:rPr>
                      <w:color w:val="FFFFFF"/>
                      <w:spacing w:val="10"/>
                      <w:w w:val="120"/>
                      <w:sz w:val="39"/>
                    </w:rPr>
                    <w:t>Ministries </w:t>
                  </w:r>
                  <w:r>
                    <w:rPr>
                      <w:color w:val="FFFFFF"/>
                      <w:w w:val="120"/>
                      <w:sz w:val="39"/>
                    </w:rPr>
                    <w:t>– </w:t>
                  </w:r>
                  <w:r>
                    <w:rPr>
                      <w:spacing w:val="9"/>
                      <w:w w:val="120"/>
                      <w:sz w:val="39"/>
                    </w:rPr>
                    <w:t>Assessment</w:t>
                  </w:r>
                  <w:r>
                    <w:rPr>
                      <w:spacing w:val="81"/>
                      <w:w w:val="120"/>
                      <w:sz w:val="39"/>
                    </w:rPr>
                    <w:t> </w:t>
                  </w:r>
                  <w:r>
                    <w:rPr>
                      <w:spacing w:val="8"/>
                      <w:w w:val="120"/>
                      <w:sz w:val="39"/>
                    </w:rPr>
                    <w:t>procedure</w:t>
                  </w:r>
                </w:p>
              </w:txbxContent>
            </v:textbox>
            <w10:wrap type="none"/>
          </v:shape>
        </w:pict>
      </w:r>
    </w:p>
    <w:p>
      <w:pPr>
        <w:pStyle w:val="BodyText"/>
      </w:pPr>
    </w:p>
    <w:p>
      <w:pPr>
        <w:pStyle w:val="BodyText"/>
      </w:pPr>
    </w:p>
    <w:p>
      <w:pPr>
        <w:pStyle w:val="BodyText"/>
        <w:spacing w:before="5"/>
        <w:rPr>
          <w:sz w:val="28"/>
        </w:rPr>
      </w:pPr>
    </w:p>
    <w:p>
      <w:pPr>
        <w:spacing w:line="213" w:lineRule="auto" w:before="153"/>
        <w:ind w:left="607" w:right="2045" w:firstLine="0"/>
        <w:jc w:val="left"/>
        <w:rPr>
          <w:rFonts w:ascii="Stone Sans II ITC Std X Bd"/>
          <w:b/>
          <w:sz w:val="50"/>
        </w:rPr>
      </w:pPr>
      <w:r>
        <w:rPr>
          <w:rFonts w:ascii="Stone Sans II ITC Std X Bd"/>
          <w:b/>
          <w:color w:val="0090D4"/>
          <w:spacing w:val="-10"/>
          <w:w w:val="110"/>
          <w:sz w:val="50"/>
        </w:rPr>
        <w:t>Ministries committee: </w:t>
      </w:r>
      <w:r>
        <w:rPr>
          <w:rFonts w:ascii="Stone Sans II ITC Std X Bd"/>
          <w:b/>
          <w:spacing w:val="-9"/>
          <w:w w:val="110"/>
          <w:sz w:val="50"/>
        </w:rPr>
        <w:t>Assessment</w:t>
      </w:r>
      <w:r>
        <w:rPr>
          <w:rFonts w:ascii="Stone Sans II ITC Std X Bd"/>
          <w:b/>
          <w:spacing w:val="93"/>
          <w:w w:val="110"/>
          <w:sz w:val="50"/>
        </w:rPr>
        <w:t> </w:t>
      </w:r>
      <w:r>
        <w:rPr>
          <w:rFonts w:ascii="Stone Sans II ITC Std X Bd"/>
          <w:b/>
          <w:spacing w:val="-11"/>
          <w:w w:val="110"/>
          <w:sz w:val="50"/>
        </w:rPr>
        <w:t>procedure</w:t>
      </w:r>
    </w:p>
    <w:p>
      <w:pPr>
        <w:pStyle w:val="Heading4"/>
        <w:spacing w:before="325"/>
      </w:pPr>
      <w:r>
        <w:rPr>
          <w:color w:val="7F7F7F"/>
        </w:rPr>
        <w:t>Basic Information</w:t>
      </w:r>
    </w:p>
    <w:tbl>
      <w:tblPr>
        <w:tblW w:w="0" w:type="auto"/>
        <w:jc w:val="left"/>
        <w:tblInd w:w="6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660"/>
        <w:gridCol w:w="6582"/>
      </w:tblGrid>
      <w:tr>
        <w:trPr>
          <w:trHeight w:val="680" w:hRule="atLeast"/>
        </w:trPr>
        <w:tc>
          <w:tcPr>
            <w:tcW w:w="2660" w:type="dxa"/>
            <w:shd w:val="clear" w:color="auto" w:fill="FFFFFF"/>
          </w:tcPr>
          <w:p>
            <w:pPr>
              <w:pStyle w:val="TableParagraph"/>
              <w:spacing w:line="213" w:lineRule="auto" w:before="151"/>
              <w:ind w:right="595"/>
              <w:rPr>
                <w:rFonts w:ascii="Stone Sans II ITC Std Bk"/>
                <w:b/>
                <w:sz w:val="20"/>
              </w:rPr>
            </w:pPr>
            <w:r>
              <w:rPr>
                <w:rFonts w:ascii="Stone Sans II ITC Std Bk"/>
                <w:b/>
                <w:w w:val="110"/>
                <w:sz w:val="20"/>
              </w:rPr>
              <w:t>Contact name and email address</w:t>
            </w:r>
          </w:p>
        </w:tc>
        <w:tc>
          <w:tcPr>
            <w:tcW w:w="6582" w:type="dxa"/>
            <w:shd w:val="clear" w:color="auto" w:fill="FFFFFF"/>
          </w:tcPr>
          <w:p>
            <w:pPr>
              <w:pStyle w:val="TableParagraph"/>
              <w:spacing w:before="141"/>
              <w:rPr>
                <w:sz w:val="20"/>
              </w:rPr>
            </w:pPr>
            <w:r>
              <w:rPr>
                <w:w w:val="120"/>
                <w:sz w:val="20"/>
              </w:rPr>
              <w:t>Craig Bowman: </w:t>
            </w:r>
            <w:hyperlink r:id="rId391">
              <w:r>
                <w:rPr>
                  <w:color w:val="006AB3"/>
                  <w:w w:val="120"/>
                  <w:sz w:val="20"/>
                </w:rPr>
                <w:t>ministries@urc.org.uk</w:t>
              </w:r>
            </w:hyperlink>
          </w:p>
        </w:tc>
      </w:tr>
      <w:tr>
        <w:trPr>
          <w:trHeight w:val="440" w:hRule="atLeast"/>
        </w:trPr>
        <w:tc>
          <w:tcPr>
            <w:tcW w:w="2660" w:type="dxa"/>
            <w:shd w:val="clear" w:color="auto" w:fill="FFFFFF"/>
          </w:tcPr>
          <w:p>
            <w:pPr>
              <w:pStyle w:val="TableParagraph"/>
              <w:spacing w:before="128"/>
              <w:rPr>
                <w:rFonts w:ascii="Stone Sans II ITC Std Bk"/>
                <w:b/>
                <w:sz w:val="20"/>
              </w:rPr>
            </w:pPr>
            <w:r>
              <w:rPr>
                <w:rFonts w:ascii="Stone Sans II ITC Std Bk"/>
                <w:b/>
                <w:w w:val="110"/>
                <w:sz w:val="20"/>
              </w:rPr>
              <w:t>Action required</w:t>
            </w:r>
          </w:p>
        </w:tc>
        <w:tc>
          <w:tcPr>
            <w:tcW w:w="6582" w:type="dxa"/>
            <w:shd w:val="clear" w:color="auto" w:fill="FFFFFF"/>
          </w:tcPr>
          <w:p>
            <w:pPr>
              <w:pStyle w:val="TableParagraph"/>
              <w:spacing w:before="141"/>
              <w:rPr>
                <w:sz w:val="20"/>
              </w:rPr>
            </w:pPr>
            <w:r>
              <w:rPr>
                <w:w w:val="120"/>
                <w:sz w:val="20"/>
              </w:rPr>
              <w:t>For decision</w:t>
            </w:r>
          </w:p>
        </w:tc>
      </w:tr>
      <w:tr>
        <w:trPr>
          <w:trHeight w:val="2600" w:hRule="atLeast"/>
        </w:trPr>
        <w:tc>
          <w:tcPr>
            <w:tcW w:w="2660" w:type="dxa"/>
            <w:shd w:val="clear" w:color="auto" w:fill="FFFFFF"/>
          </w:tcPr>
          <w:p>
            <w:pPr>
              <w:pStyle w:val="TableParagraph"/>
              <w:spacing w:before="128"/>
              <w:rPr>
                <w:rFonts w:ascii="Stone Sans II ITC Std Bk"/>
                <w:b/>
                <w:sz w:val="20"/>
              </w:rPr>
            </w:pPr>
            <w:r>
              <w:rPr>
                <w:rFonts w:ascii="Stone Sans II ITC Std Bk"/>
                <w:b/>
                <w:w w:val="110"/>
                <w:sz w:val="20"/>
              </w:rPr>
              <w:t>Draft resolution(s)</w:t>
            </w:r>
          </w:p>
        </w:tc>
        <w:tc>
          <w:tcPr>
            <w:tcW w:w="6582" w:type="dxa"/>
            <w:shd w:val="clear" w:color="auto" w:fill="FFFFFF"/>
          </w:tcPr>
          <w:p>
            <w:pPr>
              <w:pStyle w:val="TableParagraph"/>
              <w:tabs>
                <w:tab w:pos="760" w:val="left" w:leader="none"/>
              </w:tabs>
              <w:spacing w:line="213" w:lineRule="auto" w:before="151"/>
              <w:ind w:right="175"/>
              <w:rPr>
                <w:rFonts w:ascii="Stone Sans II ITC Std Bk" w:hAnsi="Stone Sans II ITC Std Bk"/>
                <w:b/>
                <w:sz w:val="20"/>
              </w:rPr>
            </w:pPr>
            <w:r>
              <w:rPr>
                <w:rFonts w:ascii="Stone Sans II ITC Std Bk" w:hAnsi="Stone Sans II ITC Std Bk"/>
                <w:b/>
                <w:w w:val="110"/>
                <w:sz w:val="20"/>
              </w:rPr>
              <w:t>30.</w:t>
              <w:tab/>
              <w:t>General Assembly confirms the procedure shown on pages </w:t>
            </w:r>
            <w:r>
              <w:rPr>
                <w:rFonts w:ascii="Stone Sans II ITC Std Bk" w:hAnsi="Stone Sans II ITC Std Bk"/>
                <w:b/>
                <w:spacing w:val="-4"/>
                <w:w w:val="110"/>
                <w:sz w:val="20"/>
              </w:rPr>
              <w:t>164-166 </w:t>
            </w:r>
            <w:r>
              <w:rPr>
                <w:rFonts w:ascii="Stone Sans II ITC Std Bk" w:hAnsi="Stone Sans II ITC Std Bk"/>
                <w:b/>
                <w:w w:val="110"/>
                <w:sz w:val="20"/>
              </w:rPr>
              <w:t>of the </w:t>
            </w:r>
            <w:r>
              <w:rPr>
                <w:rFonts w:ascii="Stone Sans II ITC Std Bk" w:hAnsi="Stone Sans II ITC Std Bk"/>
                <w:b/>
                <w:i/>
                <w:w w:val="110"/>
                <w:sz w:val="20"/>
              </w:rPr>
              <w:t>Book of </w:t>
            </w:r>
            <w:r>
              <w:rPr>
                <w:rFonts w:ascii="Stone Sans II ITC Std Bk" w:hAnsi="Stone Sans II ITC Std Bk"/>
                <w:b/>
                <w:i/>
                <w:spacing w:val="2"/>
                <w:w w:val="110"/>
                <w:sz w:val="20"/>
              </w:rPr>
              <w:t>Reports </w:t>
            </w:r>
            <w:r>
              <w:rPr>
                <w:rFonts w:ascii="Stone Sans II ITC Std Bk" w:hAnsi="Stone Sans II ITC Std Bk"/>
                <w:b/>
                <w:w w:val="110"/>
                <w:sz w:val="20"/>
              </w:rPr>
              <w:t>to General Assembly </w:t>
            </w:r>
            <w:r>
              <w:rPr>
                <w:rFonts w:ascii="Stone Sans II ITC Std Bk" w:hAnsi="Stone Sans II ITC Std Bk"/>
                <w:b/>
                <w:spacing w:val="-5"/>
                <w:w w:val="110"/>
                <w:sz w:val="20"/>
              </w:rPr>
              <w:t>2016 </w:t>
            </w:r>
            <w:r>
              <w:rPr>
                <w:rFonts w:ascii="Stone Sans II ITC Std Bk" w:hAnsi="Stone Sans II ITC Std Bk"/>
                <w:b/>
                <w:w w:val="110"/>
                <w:sz w:val="20"/>
              </w:rPr>
              <w:t>for applications for candidacy for the ministry of Word and Sacraments and the ministry of church related community work within the United Reformed Church, and delegates to the ministries and education and learning committees’ authority to make such minor amendments to the administration of this procedure as may from time to time be required, while reserving the right to make major changes of</w:t>
            </w:r>
            <w:r>
              <w:rPr>
                <w:rFonts w:ascii="Stone Sans II ITC Std Bk" w:hAnsi="Stone Sans II ITC Std Bk"/>
                <w:b/>
                <w:spacing w:val="-1"/>
                <w:w w:val="110"/>
                <w:sz w:val="20"/>
              </w:rPr>
              <w:t> </w:t>
            </w:r>
            <w:r>
              <w:rPr>
                <w:rFonts w:ascii="Stone Sans II ITC Std Bk" w:hAnsi="Stone Sans II ITC Std Bk"/>
                <w:b/>
                <w:w w:val="110"/>
                <w:sz w:val="20"/>
              </w:rPr>
              <w:t>substance.</w:t>
            </w:r>
          </w:p>
        </w:tc>
      </w:tr>
    </w:tbl>
    <w:p>
      <w:pPr>
        <w:pStyle w:val="BodyText"/>
        <w:spacing w:before="3"/>
        <w:rPr>
          <w:rFonts w:ascii="Stone Sans II ITC Std Bk"/>
          <w:b/>
          <w:sz w:val="29"/>
        </w:rPr>
      </w:pPr>
    </w:p>
    <w:p>
      <w:pPr>
        <w:pStyle w:val="Heading4"/>
        <w:spacing w:before="1"/>
      </w:pPr>
      <w:r>
        <w:rPr>
          <w:color w:val="7F7F7F"/>
        </w:rPr>
        <w:t>Summary of Content</w:t>
      </w:r>
    </w:p>
    <w:tbl>
      <w:tblPr>
        <w:tblW w:w="0" w:type="auto"/>
        <w:jc w:val="left"/>
        <w:tblInd w:w="6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660"/>
        <w:gridCol w:w="6582"/>
      </w:tblGrid>
      <w:tr>
        <w:trPr>
          <w:trHeight w:val="680" w:hRule="atLeast"/>
        </w:trPr>
        <w:tc>
          <w:tcPr>
            <w:tcW w:w="2660" w:type="dxa"/>
            <w:shd w:val="clear" w:color="auto" w:fill="FFFFFF"/>
          </w:tcPr>
          <w:p>
            <w:pPr>
              <w:pStyle w:val="TableParagraph"/>
              <w:spacing w:before="128"/>
              <w:rPr>
                <w:rFonts w:ascii="Stone Sans II ITC Std Bk"/>
                <w:b/>
                <w:sz w:val="20"/>
              </w:rPr>
            </w:pPr>
            <w:r>
              <w:rPr>
                <w:rFonts w:ascii="Stone Sans II ITC Std Bk"/>
                <w:b/>
                <w:w w:val="110"/>
                <w:sz w:val="20"/>
              </w:rPr>
              <w:t>Subject and aim(s)</w:t>
            </w:r>
          </w:p>
        </w:tc>
        <w:tc>
          <w:tcPr>
            <w:tcW w:w="6582" w:type="dxa"/>
            <w:shd w:val="clear" w:color="auto" w:fill="FFFFFF"/>
          </w:tcPr>
          <w:p>
            <w:pPr>
              <w:pStyle w:val="TableParagraph"/>
              <w:spacing w:line="235" w:lineRule="auto" w:before="145"/>
              <w:ind w:right="212"/>
              <w:rPr>
                <w:sz w:val="20"/>
              </w:rPr>
            </w:pPr>
            <w:r>
              <w:rPr>
                <w:w w:val="120"/>
                <w:sz w:val="20"/>
              </w:rPr>
              <w:t>To confirm the current assessment procedure and enable future minor amendments to be made by Assembly committees</w:t>
            </w:r>
          </w:p>
        </w:tc>
      </w:tr>
      <w:tr>
        <w:trPr>
          <w:trHeight w:val="1400" w:hRule="atLeast"/>
        </w:trPr>
        <w:tc>
          <w:tcPr>
            <w:tcW w:w="2660" w:type="dxa"/>
            <w:shd w:val="clear" w:color="auto" w:fill="FFFFFF"/>
          </w:tcPr>
          <w:p>
            <w:pPr>
              <w:pStyle w:val="TableParagraph"/>
              <w:spacing w:before="128"/>
              <w:rPr>
                <w:rFonts w:ascii="Stone Sans II ITC Std Bk"/>
                <w:b/>
                <w:sz w:val="20"/>
              </w:rPr>
            </w:pPr>
            <w:r>
              <w:rPr>
                <w:rFonts w:ascii="Stone Sans II ITC Std Bk"/>
                <w:b/>
                <w:w w:val="110"/>
                <w:sz w:val="20"/>
              </w:rPr>
              <w:t>Main points</w:t>
            </w:r>
          </w:p>
        </w:tc>
        <w:tc>
          <w:tcPr>
            <w:tcW w:w="6582" w:type="dxa"/>
            <w:shd w:val="clear" w:color="auto" w:fill="FFFFFF"/>
          </w:tcPr>
          <w:p>
            <w:pPr>
              <w:pStyle w:val="TableParagraph"/>
              <w:spacing w:line="235" w:lineRule="auto" w:before="145"/>
              <w:ind w:right="199"/>
              <w:rPr>
                <w:sz w:val="20"/>
              </w:rPr>
            </w:pPr>
            <w:r>
              <w:rPr>
                <w:w w:val="120"/>
                <w:sz w:val="20"/>
              </w:rPr>
              <w:t>Confirm the current procedure, delegate authority to Assembly committees, indicate appeal rationale and clarify preassessment criteria following the decision of Mission Council in November 2015 to remove the upper age restriction for candidates for non-stipendiary ministry</w:t>
            </w:r>
          </w:p>
        </w:tc>
      </w:tr>
      <w:tr>
        <w:trPr>
          <w:trHeight w:val="680" w:hRule="atLeast"/>
        </w:trPr>
        <w:tc>
          <w:tcPr>
            <w:tcW w:w="2660" w:type="dxa"/>
            <w:shd w:val="clear" w:color="auto" w:fill="FFFFFF"/>
          </w:tcPr>
          <w:p>
            <w:pPr>
              <w:pStyle w:val="TableParagraph"/>
              <w:spacing w:line="213" w:lineRule="auto" w:before="151"/>
              <w:ind w:right="701"/>
              <w:rPr>
                <w:rFonts w:ascii="Stone Sans II ITC Std Bk"/>
                <w:b/>
                <w:sz w:val="20"/>
              </w:rPr>
            </w:pPr>
            <w:r>
              <w:rPr>
                <w:rFonts w:ascii="Stone Sans II ITC Std Bk"/>
                <w:b/>
                <w:w w:val="110"/>
                <w:sz w:val="20"/>
              </w:rPr>
              <w:t>Previous relevant documents</w:t>
            </w:r>
          </w:p>
        </w:tc>
        <w:tc>
          <w:tcPr>
            <w:tcW w:w="6582" w:type="dxa"/>
            <w:shd w:val="clear" w:color="auto" w:fill="FFFFFF"/>
          </w:tcPr>
          <w:p>
            <w:pPr>
              <w:pStyle w:val="TableParagraph"/>
              <w:spacing w:before="141"/>
              <w:rPr>
                <w:sz w:val="20"/>
              </w:rPr>
            </w:pPr>
            <w:r>
              <w:rPr>
                <w:w w:val="120"/>
                <w:sz w:val="20"/>
              </w:rPr>
              <w:t>General Assembly 2007 Resolution 40; Mission Council Paper H1</w:t>
            </w:r>
          </w:p>
        </w:tc>
      </w:tr>
      <w:tr>
        <w:trPr>
          <w:trHeight w:val="680" w:hRule="atLeast"/>
        </w:trPr>
        <w:tc>
          <w:tcPr>
            <w:tcW w:w="2660" w:type="dxa"/>
            <w:shd w:val="clear" w:color="auto" w:fill="FFFFFF"/>
          </w:tcPr>
          <w:p>
            <w:pPr>
              <w:pStyle w:val="TableParagraph"/>
              <w:spacing w:line="213" w:lineRule="auto" w:before="151"/>
              <w:ind w:right="576"/>
              <w:rPr>
                <w:rFonts w:ascii="Stone Sans II ITC Std Bk"/>
                <w:b/>
                <w:sz w:val="20"/>
              </w:rPr>
            </w:pPr>
            <w:r>
              <w:rPr>
                <w:rFonts w:ascii="Stone Sans II ITC Std Bk"/>
                <w:b/>
                <w:w w:val="110"/>
                <w:sz w:val="20"/>
              </w:rPr>
              <w:t>Consultation has taken place with...</w:t>
            </w:r>
          </w:p>
        </w:tc>
        <w:tc>
          <w:tcPr>
            <w:tcW w:w="6582" w:type="dxa"/>
            <w:shd w:val="clear" w:color="auto" w:fill="FFFFFF"/>
          </w:tcPr>
          <w:p>
            <w:pPr>
              <w:pStyle w:val="TableParagraph"/>
              <w:spacing w:line="235" w:lineRule="auto" w:before="145"/>
              <w:rPr>
                <w:sz w:val="20"/>
              </w:rPr>
            </w:pPr>
            <w:r>
              <w:rPr>
                <w:w w:val="120"/>
                <w:sz w:val="20"/>
              </w:rPr>
              <w:t>The Secretary for Education and Learning, representatives of the RCLs and synod candidating secretaries</w:t>
            </w:r>
          </w:p>
        </w:tc>
      </w:tr>
    </w:tbl>
    <w:p>
      <w:pPr>
        <w:pStyle w:val="BodyText"/>
        <w:spacing w:before="3"/>
        <w:rPr>
          <w:rFonts w:ascii="Stone Sans II ITC Std Bk"/>
          <w:b/>
          <w:sz w:val="29"/>
        </w:rPr>
      </w:pPr>
    </w:p>
    <w:p>
      <w:pPr>
        <w:pStyle w:val="Heading4"/>
      </w:pPr>
      <w:r>
        <w:rPr>
          <w:color w:val="7F7F7F"/>
        </w:rPr>
        <w:t>Summary of Impact</w:t>
      </w:r>
    </w:p>
    <w:tbl>
      <w:tblPr>
        <w:tblW w:w="0" w:type="auto"/>
        <w:jc w:val="left"/>
        <w:tblInd w:w="6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660"/>
        <w:gridCol w:w="6582"/>
      </w:tblGrid>
      <w:tr>
        <w:trPr>
          <w:trHeight w:val="440" w:hRule="atLeast"/>
        </w:trPr>
        <w:tc>
          <w:tcPr>
            <w:tcW w:w="2660" w:type="dxa"/>
            <w:shd w:val="clear" w:color="auto" w:fill="FFFFFF"/>
          </w:tcPr>
          <w:p>
            <w:pPr>
              <w:pStyle w:val="TableParagraph"/>
              <w:spacing w:before="128"/>
              <w:rPr>
                <w:rFonts w:ascii="Stone Sans II ITC Std Bk"/>
                <w:b/>
                <w:sz w:val="20"/>
              </w:rPr>
            </w:pPr>
            <w:r>
              <w:rPr>
                <w:rFonts w:ascii="Stone Sans II ITC Std Bk"/>
                <w:b/>
                <w:w w:val="110"/>
                <w:sz w:val="20"/>
              </w:rPr>
              <w:t>Financial</w:t>
            </w:r>
          </w:p>
        </w:tc>
        <w:tc>
          <w:tcPr>
            <w:tcW w:w="6582" w:type="dxa"/>
            <w:shd w:val="clear" w:color="auto" w:fill="FFFFFF"/>
          </w:tcPr>
          <w:p>
            <w:pPr>
              <w:pStyle w:val="TableParagraph"/>
              <w:spacing w:before="141"/>
              <w:rPr>
                <w:sz w:val="20"/>
              </w:rPr>
            </w:pPr>
            <w:r>
              <w:rPr>
                <w:w w:val="120"/>
                <w:sz w:val="20"/>
              </w:rPr>
              <w:t>No changed financial impact</w:t>
            </w:r>
          </w:p>
        </w:tc>
      </w:tr>
      <w:tr>
        <w:trPr>
          <w:trHeight w:val="680" w:hRule="atLeast"/>
        </w:trPr>
        <w:tc>
          <w:tcPr>
            <w:tcW w:w="2660" w:type="dxa"/>
            <w:shd w:val="clear" w:color="auto" w:fill="FFFFFF"/>
          </w:tcPr>
          <w:p>
            <w:pPr>
              <w:pStyle w:val="TableParagraph"/>
              <w:spacing w:line="255" w:lineRule="exact" w:before="128"/>
              <w:rPr>
                <w:rFonts w:ascii="Stone Sans II ITC Std Bk"/>
                <w:b/>
                <w:sz w:val="20"/>
              </w:rPr>
            </w:pPr>
            <w:r>
              <w:rPr>
                <w:rFonts w:ascii="Stone Sans II ITC Std Bk"/>
                <w:b/>
                <w:w w:val="110"/>
                <w:sz w:val="20"/>
              </w:rPr>
              <w:t>External</w:t>
            </w:r>
          </w:p>
          <w:p>
            <w:pPr>
              <w:pStyle w:val="TableParagraph"/>
              <w:spacing w:line="255" w:lineRule="exact"/>
              <w:rPr>
                <w:rFonts w:ascii="Stone Sans II ITC Std Bk"/>
                <w:b/>
                <w:sz w:val="20"/>
              </w:rPr>
            </w:pPr>
            <w:r>
              <w:rPr>
                <w:rFonts w:ascii="Stone Sans II ITC Std Bk"/>
                <w:b/>
                <w:w w:val="110"/>
                <w:sz w:val="20"/>
              </w:rPr>
              <w:t>(e.g. ecumenical)</w:t>
            </w:r>
          </w:p>
        </w:tc>
        <w:tc>
          <w:tcPr>
            <w:tcW w:w="6582" w:type="dxa"/>
            <w:shd w:val="clear" w:color="auto" w:fill="FFFFFF"/>
          </w:tcPr>
          <w:p>
            <w:pPr>
              <w:pStyle w:val="TableParagraph"/>
              <w:spacing w:before="141"/>
              <w:rPr>
                <w:sz w:val="20"/>
              </w:rPr>
            </w:pPr>
            <w:r>
              <w:rPr>
                <w:w w:val="120"/>
                <w:sz w:val="20"/>
              </w:rPr>
              <w:t>No external impact.</w:t>
            </w:r>
          </w:p>
        </w:tc>
      </w:tr>
    </w:tbl>
    <w:p>
      <w:pPr>
        <w:pStyle w:val="BodyText"/>
        <w:rPr>
          <w:rFonts w:ascii="Stone Sans II ITC Std Bk"/>
          <w:b/>
          <w:sz w:val="30"/>
        </w:rPr>
      </w:pPr>
    </w:p>
    <w:p>
      <w:pPr>
        <w:pStyle w:val="BodyText"/>
        <w:rPr>
          <w:rFonts w:ascii="Stone Sans II ITC Std Bk"/>
          <w:b/>
          <w:sz w:val="30"/>
        </w:rPr>
      </w:pPr>
    </w:p>
    <w:p>
      <w:pPr>
        <w:pStyle w:val="BodyText"/>
        <w:rPr>
          <w:rFonts w:ascii="Stone Sans II ITC Std Bk"/>
          <w:b/>
          <w:sz w:val="30"/>
        </w:rPr>
      </w:pPr>
    </w:p>
    <w:p>
      <w:pPr>
        <w:pStyle w:val="BodyText"/>
        <w:rPr>
          <w:rFonts w:ascii="Stone Sans II ITC Std Bk"/>
          <w:b/>
          <w:sz w:val="30"/>
        </w:rPr>
      </w:pPr>
    </w:p>
    <w:p>
      <w:pPr>
        <w:pStyle w:val="BodyText"/>
        <w:rPr>
          <w:rFonts w:ascii="Stone Sans II ITC Std Bk"/>
          <w:b/>
          <w:sz w:val="30"/>
        </w:rPr>
      </w:pPr>
    </w:p>
    <w:p>
      <w:pPr>
        <w:pStyle w:val="BodyText"/>
        <w:rPr>
          <w:rFonts w:ascii="Stone Sans II ITC Std Bk"/>
          <w:b/>
          <w:sz w:val="30"/>
        </w:rPr>
      </w:pPr>
    </w:p>
    <w:p>
      <w:pPr>
        <w:pStyle w:val="BodyText"/>
        <w:rPr>
          <w:rFonts w:ascii="Stone Sans II ITC Std Bk"/>
          <w:b/>
          <w:sz w:val="30"/>
        </w:rPr>
      </w:pPr>
    </w:p>
    <w:p>
      <w:pPr>
        <w:pStyle w:val="Heading6"/>
        <w:spacing w:before="204"/>
        <w:ind w:left="607"/>
      </w:pPr>
      <w:r>
        <w:rPr>
          <w:rFonts w:ascii="Stone Sans II ITC Std X Bd" w:hAnsi="Stone Sans II ITC Std X Bd"/>
          <w:b/>
          <w:w w:val="110"/>
          <w:sz w:val="24"/>
        </w:rPr>
        <w:t>162 </w:t>
      </w:r>
      <w:r>
        <w:rPr>
          <w:rFonts w:ascii="Symbol" w:hAnsi="Symbol"/>
          <w:color w:val="7EAABF"/>
          <w:w w:val="110"/>
        </w:rPr>
        <w:t></w:t>
      </w:r>
      <w:r>
        <w:rPr>
          <w:rFonts w:ascii="Times New Roman" w:hAnsi="Times New Roman"/>
          <w:color w:val="7EAABF"/>
          <w:w w:val="110"/>
        </w:rPr>
        <w:t> </w:t>
      </w:r>
      <w:r>
        <w:rPr>
          <w:color w:val="7EAABF"/>
          <w:w w:val="110"/>
        </w:rPr>
        <w:t>United Reformed Church </w:t>
      </w:r>
      <w:r>
        <w:rPr>
          <w:rFonts w:ascii="Symbol" w:hAnsi="Symbol"/>
          <w:color w:val="7EAABF"/>
          <w:w w:val="110"/>
        </w:rPr>
        <w:t></w:t>
      </w:r>
      <w:r>
        <w:rPr>
          <w:rFonts w:ascii="Times New Roman" w:hAnsi="Times New Roman"/>
          <w:color w:val="7EAABF"/>
          <w:w w:val="110"/>
        </w:rPr>
        <w:t> </w:t>
      </w:r>
      <w:r>
        <w:rPr>
          <w:color w:val="7EAABF"/>
          <w:w w:val="110"/>
        </w:rPr>
        <w:t>General Assembly 2016</w:t>
      </w:r>
    </w:p>
    <w:p>
      <w:pPr>
        <w:spacing w:after="0"/>
        <w:sectPr>
          <w:headerReference w:type="even" r:id="rId432"/>
          <w:footerReference w:type="even" r:id="rId433"/>
          <w:pgSz w:w="11910" w:h="16840"/>
          <w:pgMar w:header="0" w:footer="0" w:top="0" w:bottom="0" w:left="640" w:right="0"/>
        </w:sectPr>
      </w:pPr>
    </w:p>
    <w:p>
      <w:pPr>
        <w:pStyle w:val="BodyText"/>
      </w:pPr>
      <w:r>
        <w:rPr/>
        <w:pict>
          <v:line style="position:absolute;mso-position-horizontal-relative:page;mso-position-vertical-relative:page;z-index:252082176" from="0pt,.000315pt" to="0pt,841.890315pt" stroked="true" strokeweight="0pt" strokecolor="#d4e9f7">
            <v:stroke dashstyle="solid"/>
            <w10:wrap type="none"/>
          </v:line>
        </w:pict>
      </w:r>
      <w:r>
        <w:rPr/>
        <w:drawing>
          <wp:anchor distT="0" distB="0" distL="0" distR="0" allowOverlap="1" layoutInCell="1" locked="0" behindDoc="0" simplePos="0" relativeHeight="252083200">
            <wp:simplePos x="0" y="0"/>
            <wp:positionH relativeFrom="page">
              <wp:posOffset>6974928</wp:posOffset>
            </wp:positionH>
            <wp:positionV relativeFrom="page">
              <wp:posOffset>0</wp:posOffset>
            </wp:positionV>
            <wp:extent cx="585063" cy="10692003"/>
            <wp:effectExtent l="0" t="0" r="0" b="0"/>
            <wp:wrapNone/>
            <wp:docPr id="307" name="image54.png"/>
            <wp:cNvGraphicFramePr>
              <a:graphicFrameLocks noChangeAspect="1"/>
            </wp:cNvGraphicFramePr>
            <a:graphic>
              <a:graphicData uri="http://schemas.openxmlformats.org/drawingml/2006/picture">
                <pic:pic>
                  <pic:nvPicPr>
                    <pic:cNvPr id="308" name="image54.png"/>
                    <pic:cNvPicPr/>
                  </pic:nvPicPr>
                  <pic:blipFill>
                    <a:blip r:embed="rId169" cstate="print"/>
                    <a:stretch>
                      <a:fillRect/>
                    </a:stretch>
                  </pic:blipFill>
                  <pic:spPr>
                    <a:xfrm>
                      <a:off x="0" y="0"/>
                      <a:ext cx="585063" cy="10692003"/>
                    </a:xfrm>
                    <a:prstGeom prst="rect">
                      <a:avLst/>
                    </a:prstGeom>
                  </pic:spPr>
                </pic:pic>
              </a:graphicData>
            </a:graphic>
          </wp:anchor>
        </w:drawing>
      </w:r>
    </w:p>
    <w:p>
      <w:pPr>
        <w:pStyle w:val="BodyText"/>
      </w:pPr>
    </w:p>
    <w:p>
      <w:pPr>
        <w:pStyle w:val="BodyText"/>
      </w:pPr>
    </w:p>
    <w:p>
      <w:pPr>
        <w:pStyle w:val="BodyText"/>
        <w:spacing w:before="5"/>
        <w:rPr>
          <w:sz w:val="28"/>
        </w:rPr>
      </w:pPr>
    </w:p>
    <w:p>
      <w:pPr>
        <w:spacing w:line="213" w:lineRule="auto" w:before="153"/>
        <w:ind w:left="1344" w:right="0" w:firstLine="0"/>
        <w:jc w:val="left"/>
        <w:rPr>
          <w:rFonts w:ascii="Stone Sans II ITC Std X Bd"/>
          <w:b/>
          <w:sz w:val="50"/>
        </w:rPr>
      </w:pPr>
      <w:r>
        <w:rPr/>
        <w:pict>
          <v:shape style="position:absolute;margin-left:554.141174pt;margin-top:-5.989334pt;width:25.9pt;height:352.8pt;mso-position-horizontal-relative:page;mso-position-vertical-relative:paragraph;z-index:252084224" type="#_x0000_t202" filled="false" stroked="false">
            <v:textbox inset="0,0,0,0" style="layout-flow:vertical">
              <w:txbxContent>
                <w:p>
                  <w:pPr>
                    <w:spacing w:before="27"/>
                    <w:ind w:left="20" w:right="0" w:firstLine="0"/>
                    <w:jc w:val="left"/>
                    <w:rPr>
                      <w:sz w:val="39"/>
                    </w:rPr>
                  </w:pPr>
                  <w:r>
                    <w:rPr>
                      <w:color w:val="FFFFFF"/>
                      <w:spacing w:val="10"/>
                      <w:w w:val="120"/>
                      <w:sz w:val="39"/>
                    </w:rPr>
                    <w:t>Ministries </w:t>
                  </w:r>
                  <w:r>
                    <w:rPr>
                      <w:color w:val="FFFFFF"/>
                      <w:w w:val="120"/>
                      <w:sz w:val="39"/>
                    </w:rPr>
                    <w:t>– </w:t>
                  </w:r>
                  <w:r>
                    <w:rPr>
                      <w:spacing w:val="9"/>
                      <w:w w:val="120"/>
                      <w:sz w:val="39"/>
                    </w:rPr>
                    <w:t>Assessment</w:t>
                  </w:r>
                  <w:r>
                    <w:rPr>
                      <w:spacing w:val="81"/>
                      <w:w w:val="120"/>
                      <w:sz w:val="39"/>
                    </w:rPr>
                    <w:t> </w:t>
                  </w:r>
                  <w:r>
                    <w:rPr>
                      <w:spacing w:val="8"/>
                      <w:w w:val="120"/>
                      <w:sz w:val="39"/>
                    </w:rPr>
                    <w:t>procedure</w:t>
                  </w:r>
                </w:p>
              </w:txbxContent>
            </v:textbox>
            <w10:wrap type="none"/>
          </v:shape>
        </w:pict>
      </w:r>
      <w:r>
        <w:rPr>
          <w:rFonts w:ascii="Stone Sans II ITC Std X Bd"/>
          <w:b/>
          <w:spacing w:val="-11"/>
          <w:w w:val="110"/>
          <w:sz w:val="50"/>
        </w:rPr>
        <w:t>Procedure </w:t>
      </w:r>
      <w:r>
        <w:rPr>
          <w:rFonts w:ascii="Stone Sans II ITC Std X Bd"/>
          <w:b/>
          <w:spacing w:val="-5"/>
          <w:w w:val="110"/>
          <w:sz w:val="50"/>
        </w:rPr>
        <w:t>for </w:t>
      </w:r>
      <w:r>
        <w:rPr>
          <w:rFonts w:ascii="Stone Sans II ITC Std X Bd"/>
          <w:b/>
          <w:spacing w:val="-11"/>
          <w:w w:val="110"/>
          <w:sz w:val="50"/>
        </w:rPr>
        <w:t>applications </w:t>
      </w:r>
      <w:r>
        <w:rPr>
          <w:rFonts w:ascii="Stone Sans II ITC Std X Bd"/>
          <w:b/>
          <w:spacing w:val="-5"/>
          <w:w w:val="110"/>
          <w:sz w:val="50"/>
        </w:rPr>
        <w:t>for </w:t>
      </w:r>
      <w:r>
        <w:rPr>
          <w:rFonts w:ascii="Stone Sans II ITC Std X Bd"/>
          <w:b/>
          <w:spacing w:val="-9"/>
          <w:w w:val="110"/>
          <w:sz w:val="50"/>
        </w:rPr>
        <w:t>candidacy </w:t>
      </w:r>
      <w:r>
        <w:rPr>
          <w:rFonts w:ascii="Stone Sans II ITC Std X Bd"/>
          <w:b/>
          <w:spacing w:val="-5"/>
          <w:w w:val="110"/>
          <w:sz w:val="50"/>
        </w:rPr>
        <w:t>for </w:t>
      </w:r>
      <w:r>
        <w:rPr>
          <w:rFonts w:ascii="Stone Sans II ITC Std X Bd"/>
          <w:b/>
          <w:spacing w:val="-8"/>
          <w:w w:val="110"/>
          <w:sz w:val="50"/>
        </w:rPr>
        <w:t>ministry</w:t>
      </w:r>
    </w:p>
    <w:p>
      <w:pPr>
        <w:pStyle w:val="ListParagraph"/>
        <w:numPr>
          <w:ilvl w:val="0"/>
          <w:numId w:val="196"/>
        </w:numPr>
        <w:tabs>
          <w:tab w:pos="2024" w:val="left" w:leader="none"/>
          <w:tab w:pos="2025" w:val="left" w:leader="none"/>
        </w:tabs>
        <w:spacing w:line="235" w:lineRule="auto" w:before="382" w:after="0"/>
        <w:ind w:left="1344" w:right="1589" w:firstLine="0"/>
        <w:jc w:val="left"/>
        <w:rPr>
          <w:sz w:val="20"/>
        </w:rPr>
      </w:pPr>
      <w:r>
        <w:rPr>
          <w:w w:val="120"/>
          <w:sz w:val="20"/>
        </w:rPr>
        <w:t>In </w:t>
      </w:r>
      <w:r>
        <w:rPr>
          <w:spacing w:val="-6"/>
          <w:w w:val="120"/>
          <w:sz w:val="20"/>
        </w:rPr>
        <w:t>2007, </w:t>
      </w:r>
      <w:r>
        <w:rPr>
          <w:w w:val="120"/>
          <w:sz w:val="20"/>
        </w:rPr>
        <w:t>Assembly agreed a detailed procedure for the councils of the Church to consider applications for candidacy for ministry. This procedure has worked well  in the intervening nine years, but some minor changes have been made to the detail of the procedure in the light of experience. The complete current procedure is  shown in the Appendix</w:t>
      </w:r>
      <w:r>
        <w:rPr>
          <w:spacing w:val="8"/>
          <w:w w:val="120"/>
          <w:sz w:val="20"/>
        </w:rPr>
        <w:t> </w:t>
      </w:r>
      <w:r>
        <w:rPr>
          <w:w w:val="120"/>
          <w:sz w:val="20"/>
        </w:rPr>
        <w:t>overleaf.</w:t>
      </w:r>
    </w:p>
    <w:p>
      <w:pPr>
        <w:pStyle w:val="BodyText"/>
        <w:spacing w:before="12"/>
        <w:rPr>
          <w:sz w:val="19"/>
        </w:rPr>
      </w:pPr>
    </w:p>
    <w:p>
      <w:pPr>
        <w:pStyle w:val="ListParagraph"/>
        <w:numPr>
          <w:ilvl w:val="0"/>
          <w:numId w:val="196"/>
        </w:numPr>
        <w:tabs>
          <w:tab w:pos="2024" w:val="left" w:leader="none"/>
          <w:tab w:pos="2025" w:val="left" w:leader="none"/>
        </w:tabs>
        <w:spacing w:line="235" w:lineRule="auto" w:before="0" w:after="0"/>
        <w:ind w:left="1344" w:right="1695" w:firstLine="0"/>
        <w:jc w:val="left"/>
        <w:rPr>
          <w:sz w:val="20"/>
        </w:rPr>
      </w:pPr>
      <w:r>
        <w:rPr>
          <w:w w:val="120"/>
          <w:sz w:val="20"/>
        </w:rPr>
        <w:t>In 2008, ministries reported to Assembly that a revised appeals procedure had been introduced for use by applicants whom the assessment board decides   not to send for training. However, it is now the view of the ministries committee that it is not possible to appeal the prayerful discernment that is carried out at an assessment conference, as that is quite different in nature from decisions taken in the more usual style of meeting, and cannot be replicated by an appeals panel. However, it is recognised that there may be rare occasions when an applicant believes that the procedure followed at the assessment conference was not correct, and wishes to appeal on that</w:t>
      </w:r>
      <w:r>
        <w:rPr>
          <w:spacing w:val="12"/>
          <w:w w:val="120"/>
          <w:sz w:val="20"/>
        </w:rPr>
        <w:t> </w:t>
      </w:r>
      <w:r>
        <w:rPr>
          <w:w w:val="120"/>
          <w:sz w:val="20"/>
        </w:rPr>
        <w:t>point.</w:t>
      </w:r>
    </w:p>
    <w:p>
      <w:pPr>
        <w:pStyle w:val="BodyText"/>
        <w:spacing w:before="2"/>
      </w:pPr>
    </w:p>
    <w:p>
      <w:pPr>
        <w:pStyle w:val="ListParagraph"/>
        <w:numPr>
          <w:ilvl w:val="0"/>
          <w:numId w:val="196"/>
        </w:numPr>
        <w:tabs>
          <w:tab w:pos="2024" w:val="left" w:leader="none"/>
          <w:tab w:pos="2025" w:val="left" w:leader="none"/>
        </w:tabs>
        <w:spacing w:line="235" w:lineRule="auto" w:before="0" w:after="0"/>
        <w:ind w:left="1344" w:right="1266" w:firstLine="0"/>
        <w:jc w:val="left"/>
        <w:rPr>
          <w:sz w:val="20"/>
        </w:rPr>
      </w:pPr>
      <w:r>
        <w:rPr>
          <w:w w:val="120"/>
          <w:sz w:val="20"/>
        </w:rPr>
        <w:t>In such an instance, an appeals panel will be convened by the convenor of the ministries committee </w:t>
      </w:r>
      <w:r>
        <w:rPr>
          <w:spacing w:val="-3"/>
          <w:w w:val="120"/>
          <w:sz w:val="20"/>
        </w:rPr>
        <w:t>(who </w:t>
      </w:r>
      <w:r>
        <w:rPr>
          <w:w w:val="120"/>
          <w:sz w:val="20"/>
        </w:rPr>
        <w:t>has no role in the process prior to that stage) or a deputy together with two other members of the ministries committee. They will hear an appeal regarding procedural matters </w:t>
      </w:r>
      <w:r>
        <w:rPr>
          <w:spacing w:val="-3"/>
          <w:w w:val="120"/>
          <w:sz w:val="20"/>
        </w:rPr>
        <w:t>only, </w:t>
      </w:r>
      <w:r>
        <w:rPr>
          <w:w w:val="120"/>
          <w:sz w:val="20"/>
        </w:rPr>
        <w:t>and their decision shall be final. Because of the different nature of the decisions referred to in the previous paragraph, this is a special</w:t>
      </w:r>
      <w:bookmarkStart w:name="_GoBack" w:id="20"/>
      <w:bookmarkEnd w:id="20"/>
      <w:r>
        <w:rPr>
          <w:w w:val="120"/>
          <w:sz w:val="20"/>
        </w:rPr>
      </w:r>
      <w:r>
        <w:rPr>
          <w:w w:val="120"/>
          <w:sz w:val="20"/>
        </w:rPr>
        <w:t> appeal which is granted only in the very circumstances described, and is not subject to the normal appeals</w:t>
      </w:r>
      <w:r>
        <w:rPr>
          <w:spacing w:val="5"/>
          <w:w w:val="120"/>
          <w:sz w:val="20"/>
        </w:rPr>
        <w:t> </w:t>
      </w:r>
      <w:r>
        <w:rPr>
          <w:w w:val="120"/>
          <w:sz w:val="20"/>
        </w:rPr>
        <w:t>process.</w:t>
      </w:r>
    </w:p>
    <w:p>
      <w:pPr>
        <w:pStyle w:val="BodyText"/>
        <w:spacing w:before="1"/>
      </w:pPr>
    </w:p>
    <w:p>
      <w:pPr>
        <w:pStyle w:val="ListParagraph"/>
        <w:numPr>
          <w:ilvl w:val="0"/>
          <w:numId w:val="196"/>
        </w:numPr>
        <w:tabs>
          <w:tab w:pos="2024" w:val="left" w:leader="none"/>
          <w:tab w:pos="2025" w:val="left" w:leader="none"/>
        </w:tabs>
        <w:spacing w:line="235" w:lineRule="auto" w:before="0" w:after="0"/>
        <w:ind w:left="1344" w:right="1300" w:firstLine="0"/>
        <w:jc w:val="left"/>
        <w:rPr>
          <w:sz w:val="20"/>
        </w:rPr>
      </w:pPr>
      <w:r>
        <w:rPr>
          <w:w w:val="120"/>
          <w:sz w:val="20"/>
        </w:rPr>
        <w:t>Prior to beginning the formal application process, the prospective candidate needs to fulfil the United Reformed </w:t>
      </w:r>
      <w:r>
        <w:rPr>
          <w:spacing w:val="-3"/>
          <w:w w:val="120"/>
          <w:sz w:val="20"/>
        </w:rPr>
        <w:t>Church’s </w:t>
      </w:r>
      <w:r>
        <w:rPr>
          <w:w w:val="120"/>
          <w:sz w:val="20"/>
        </w:rPr>
        <w:t>preassessment criteria, these and other requirements of the procedure are outlined at the </w:t>
      </w:r>
      <w:r>
        <w:rPr>
          <w:spacing w:val="2"/>
          <w:w w:val="120"/>
          <w:sz w:val="20"/>
        </w:rPr>
        <w:t>start </w:t>
      </w:r>
      <w:r>
        <w:rPr>
          <w:w w:val="120"/>
          <w:sz w:val="20"/>
        </w:rPr>
        <w:t>of the appendix. The remainder of the procedure is shown in the form of a</w:t>
      </w:r>
      <w:r>
        <w:rPr>
          <w:spacing w:val="18"/>
          <w:w w:val="120"/>
          <w:sz w:val="20"/>
        </w:rPr>
        <w:t> </w:t>
      </w:r>
      <w:r>
        <w:rPr>
          <w:w w:val="120"/>
          <w:sz w:val="20"/>
        </w:rPr>
        <w:t>flowchart.</w:t>
      </w:r>
    </w:p>
    <w:p>
      <w:pPr>
        <w:pStyle w:val="BodyText"/>
        <w:spacing w:before="11"/>
        <w:rPr>
          <w:sz w:val="19"/>
        </w:rPr>
      </w:pPr>
    </w:p>
    <w:p>
      <w:pPr>
        <w:pStyle w:val="ListParagraph"/>
        <w:numPr>
          <w:ilvl w:val="0"/>
          <w:numId w:val="196"/>
        </w:numPr>
        <w:tabs>
          <w:tab w:pos="2024" w:val="left" w:leader="none"/>
          <w:tab w:pos="2025" w:val="left" w:leader="none"/>
        </w:tabs>
        <w:spacing w:line="235" w:lineRule="auto" w:before="0" w:after="0"/>
        <w:ind w:left="1344" w:right="1418" w:firstLine="0"/>
        <w:jc w:val="left"/>
        <w:rPr>
          <w:sz w:val="20"/>
        </w:rPr>
      </w:pPr>
      <w:r>
        <w:rPr>
          <w:w w:val="120"/>
          <w:sz w:val="20"/>
        </w:rPr>
        <w:t>Assembly is invited to reaffirm this procedure, and to delegate to ministries and education and learning committees the authority to make such minor amendments   </w:t>
      </w:r>
      <w:r>
        <w:rPr>
          <w:spacing w:val="-6"/>
          <w:w w:val="120"/>
          <w:sz w:val="20"/>
        </w:rPr>
        <w:t>(to </w:t>
      </w:r>
      <w:r>
        <w:rPr>
          <w:w w:val="120"/>
          <w:sz w:val="20"/>
        </w:rPr>
        <w:t>matters such as timing, </w:t>
      </w:r>
      <w:r>
        <w:rPr>
          <w:spacing w:val="-5"/>
          <w:w w:val="120"/>
          <w:sz w:val="20"/>
        </w:rPr>
        <w:t>etc.) </w:t>
      </w:r>
      <w:r>
        <w:rPr>
          <w:w w:val="120"/>
          <w:sz w:val="20"/>
        </w:rPr>
        <w:t>as may from time to time be</w:t>
      </w:r>
      <w:r>
        <w:rPr>
          <w:spacing w:val="35"/>
          <w:w w:val="120"/>
          <w:sz w:val="20"/>
        </w:rPr>
        <w:t> </w:t>
      </w:r>
      <w:r>
        <w:rPr>
          <w:w w:val="120"/>
          <w:sz w:val="20"/>
        </w:rPr>
        <w:t>necessary.</w:t>
      </w:r>
    </w:p>
    <w:p>
      <w:pPr>
        <w:spacing w:after="0" w:line="235" w:lineRule="auto"/>
        <w:jc w:val="left"/>
        <w:rPr>
          <w:sz w:val="20"/>
        </w:rPr>
        <w:sectPr>
          <w:headerReference w:type="default" r:id="rId434"/>
          <w:footerReference w:type="default" r:id="rId435"/>
          <w:pgSz w:w="11910" w:h="16840"/>
          <w:pgMar w:header="0" w:footer="647" w:top="0" w:bottom="840" w:left="640" w:right="0"/>
          <w:pgNumType w:start="163"/>
        </w:sectPr>
      </w:pPr>
    </w:p>
    <w:p>
      <w:pPr>
        <w:pStyle w:val="BodyText"/>
      </w:pPr>
    </w:p>
    <w:p>
      <w:pPr>
        <w:pStyle w:val="BodyText"/>
        <w:spacing w:before="7"/>
        <w:rPr>
          <w:sz w:val="21"/>
        </w:rPr>
      </w:pPr>
    </w:p>
    <w:p>
      <w:pPr>
        <w:spacing w:after="0"/>
        <w:rPr>
          <w:sz w:val="21"/>
        </w:rPr>
        <w:sectPr>
          <w:headerReference w:type="even" r:id="rId436"/>
          <w:footerReference w:type="even" r:id="rId437"/>
          <w:pgSz w:w="11910" w:h="16840"/>
          <w:pgMar w:header="0" w:footer="0" w:top="0" w:bottom="0" w:left="640" w:right="0"/>
        </w:sectPr>
      </w:pPr>
    </w:p>
    <w:p>
      <w:pPr>
        <w:spacing w:before="106"/>
        <w:ind w:left="607" w:right="0" w:firstLine="0"/>
        <w:jc w:val="left"/>
        <w:rPr>
          <w:sz w:val="26"/>
        </w:rPr>
      </w:pPr>
      <w:r>
        <w:rPr>
          <w:color w:val="7EAABF"/>
          <w:w w:val="110"/>
          <w:sz w:val="26"/>
        </w:rPr>
        <w:t>Ministries</w:t>
      </w:r>
    </w:p>
    <w:p>
      <w:pPr>
        <w:pStyle w:val="BodyText"/>
        <w:spacing w:before="2"/>
        <w:rPr>
          <w:sz w:val="53"/>
        </w:rPr>
      </w:pPr>
      <w:r>
        <w:rPr/>
        <w:br w:type="column"/>
      </w:r>
      <w:r>
        <w:rPr>
          <w:sz w:val="53"/>
        </w:rPr>
      </w:r>
    </w:p>
    <w:p>
      <w:pPr>
        <w:tabs>
          <w:tab w:pos="473" w:val="left" w:leader="none"/>
          <w:tab w:pos="2834" w:val="left" w:leader="none"/>
        </w:tabs>
        <w:spacing w:before="0"/>
        <w:ind w:left="0" w:right="3636" w:firstLine="0"/>
        <w:jc w:val="center"/>
        <w:rPr>
          <w:rFonts w:ascii="Stone Sans II ITC Std Bk"/>
          <w:b/>
          <w:sz w:val="36"/>
        </w:rPr>
      </w:pPr>
      <w:r>
        <w:rPr>
          <w:rFonts w:ascii="Stone Sans II ITC Std Bk"/>
          <w:b/>
          <w:color w:val="0B72B5"/>
          <w:w w:val="111"/>
          <w:sz w:val="36"/>
          <w:shd w:fill="E0EEF9" w:color="auto" w:val="clear"/>
        </w:rPr>
        <w:t> </w:t>
      </w:r>
      <w:r>
        <w:rPr>
          <w:rFonts w:ascii="Stone Sans II ITC Std Bk"/>
          <w:b/>
          <w:color w:val="0B72B5"/>
          <w:sz w:val="36"/>
          <w:shd w:fill="E0EEF9" w:color="auto" w:val="clear"/>
        </w:rPr>
        <w:tab/>
      </w:r>
      <w:r>
        <w:rPr>
          <w:rFonts w:ascii="Stone Sans II ITC Std Bk"/>
          <w:b/>
          <w:color w:val="0B72B5"/>
          <w:spacing w:val="5"/>
          <w:w w:val="110"/>
          <w:sz w:val="36"/>
          <w:shd w:fill="E0EEF9" w:color="auto" w:val="clear"/>
        </w:rPr>
        <w:t>Appendix</w:t>
      </w:r>
      <w:r>
        <w:rPr>
          <w:rFonts w:ascii="Stone Sans II ITC Std Bk"/>
          <w:b/>
          <w:color w:val="0B72B5"/>
          <w:spacing w:val="5"/>
          <w:sz w:val="36"/>
          <w:shd w:fill="E0EEF9" w:color="auto" w:val="clear"/>
        </w:rPr>
        <w:tab/>
      </w:r>
    </w:p>
    <w:p>
      <w:pPr>
        <w:spacing w:before="70"/>
        <w:ind w:left="0" w:right="3603" w:firstLine="0"/>
        <w:jc w:val="center"/>
        <w:rPr>
          <w:rFonts w:ascii="Stone Sans II ITC Std Bk"/>
          <w:b/>
          <w:sz w:val="34"/>
        </w:rPr>
      </w:pPr>
      <w:r>
        <w:rPr>
          <w:rFonts w:ascii="Stone Sans II ITC Std Bk"/>
          <w:b/>
          <w:w w:val="110"/>
          <w:sz w:val="34"/>
        </w:rPr>
        <w:t>Preassessment criteria</w:t>
      </w:r>
    </w:p>
    <w:p>
      <w:pPr>
        <w:spacing w:after="0"/>
        <w:jc w:val="center"/>
        <w:rPr>
          <w:rFonts w:ascii="Stone Sans II ITC Std Bk"/>
          <w:sz w:val="34"/>
        </w:rPr>
        <w:sectPr>
          <w:type w:val="continuous"/>
          <w:pgSz w:w="11910" w:h="16840"/>
          <w:pgMar w:top="1580" w:bottom="280" w:left="640" w:right="0"/>
          <w:cols w:num="2" w:equalWidth="0">
            <w:col w:w="1825" w:space="408"/>
            <w:col w:w="9037"/>
          </w:cols>
        </w:sectPr>
      </w:pPr>
    </w:p>
    <w:p>
      <w:pPr>
        <w:pStyle w:val="BodyText"/>
        <w:spacing w:before="12"/>
        <w:rPr>
          <w:rFonts w:ascii="Stone Sans II ITC Std Bk"/>
          <w:b/>
          <w:sz w:val="11"/>
        </w:rPr>
      </w:pPr>
      <w:r>
        <w:rPr/>
        <w:drawing>
          <wp:anchor distT="0" distB="0" distL="0" distR="0" allowOverlap="1" layoutInCell="1" locked="0" behindDoc="1" simplePos="0" relativeHeight="235631616">
            <wp:simplePos x="0" y="0"/>
            <wp:positionH relativeFrom="page">
              <wp:posOffset>0</wp:posOffset>
            </wp:positionH>
            <wp:positionV relativeFrom="page">
              <wp:posOffset>0</wp:posOffset>
            </wp:positionV>
            <wp:extent cx="594067" cy="10692003"/>
            <wp:effectExtent l="0" t="0" r="0" b="0"/>
            <wp:wrapNone/>
            <wp:docPr id="309" name="image67.png"/>
            <wp:cNvGraphicFramePr>
              <a:graphicFrameLocks noChangeAspect="1"/>
            </wp:cNvGraphicFramePr>
            <a:graphic>
              <a:graphicData uri="http://schemas.openxmlformats.org/drawingml/2006/picture">
                <pic:pic>
                  <pic:nvPicPr>
                    <pic:cNvPr id="310" name="image67.png"/>
                    <pic:cNvPicPr/>
                  </pic:nvPicPr>
                  <pic:blipFill>
                    <a:blip r:embed="rId184" cstate="print"/>
                    <a:stretch>
                      <a:fillRect/>
                    </a:stretch>
                  </pic:blipFill>
                  <pic:spPr>
                    <a:xfrm>
                      <a:off x="0" y="0"/>
                      <a:ext cx="594067" cy="10692003"/>
                    </a:xfrm>
                    <a:prstGeom prst="rect">
                      <a:avLst/>
                    </a:prstGeom>
                  </pic:spPr>
                </pic:pic>
              </a:graphicData>
            </a:graphic>
          </wp:anchor>
        </w:drawing>
      </w:r>
      <w:r>
        <w:rPr/>
        <w:pict>
          <v:shape style="position:absolute;margin-left:20.519100pt;margin-top:48.890015pt;width:25.9pt;height:476.35pt;mso-position-horizontal-relative:page;mso-position-vertical-relative:page;z-index:-267683840" type="#_x0000_t202" filled="false" stroked="false">
            <v:textbox inset="0,0,0,0" style="layout-flow:vertical">
              <w:txbxContent>
                <w:p>
                  <w:pPr>
                    <w:spacing w:before="27"/>
                    <w:ind w:left="20" w:right="0" w:firstLine="0"/>
                    <w:jc w:val="left"/>
                    <w:rPr>
                      <w:sz w:val="39"/>
                    </w:rPr>
                  </w:pPr>
                  <w:r>
                    <w:rPr>
                      <w:color w:val="FFFFFF"/>
                      <w:w w:val="125"/>
                      <w:sz w:val="39"/>
                    </w:rPr>
                    <w:t>Ministries – </w:t>
                  </w:r>
                  <w:r>
                    <w:rPr>
                      <w:w w:val="125"/>
                      <w:sz w:val="39"/>
                    </w:rPr>
                    <w:t>Assessment procedure </w:t>
                  </w:r>
                  <w:r>
                    <w:rPr>
                      <w:color w:val="FFFFFF"/>
                      <w:w w:val="125"/>
                      <w:sz w:val="39"/>
                    </w:rPr>
                    <w:t>– </w:t>
                  </w:r>
                  <w:r>
                    <w:rPr>
                      <w:w w:val="125"/>
                      <w:sz w:val="39"/>
                    </w:rPr>
                    <w:t>Appendix</w:t>
                  </w:r>
                </w:p>
              </w:txbxContent>
            </v:textbox>
            <w10:wrap type="none"/>
          </v:shape>
        </w:pict>
      </w:r>
    </w:p>
    <w:p>
      <w:pPr>
        <w:spacing w:before="91"/>
        <w:ind w:left="607" w:right="0" w:firstLine="0"/>
        <w:jc w:val="left"/>
        <w:rPr>
          <w:rFonts w:ascii="Stone Sans II ITC Std Bk"/>
          <w:b/>
          <w:sz w:val="29"/>
        </w:rPr>
      </w:pPr>
      <w:r>
        <w:rPr>
          <w:rFonts w:ascii="Stone Sans II ITC Std Bk"/>
          <w:b/>
          <w:w w:val="110"/>
          <w:sz w:val="29"/>
        </w:rPr>
        <w:t>Preassessment criteria</w:t>
      </w:r>
    </w:p>
    <w:p>
      <w:pPr>
        <w:pStyle w:val="ListParagraph"/>
        <w:numPr>
          <w:ilvl w:val="0"/>
          <w:numId w:val="197"/>
        </w:numPr>
        <w:tabs>
          <w:tab w:pos="1287" w:val="left" w:leader="none"/>
          <w:tab w:pos="1288" w:val="left" w:leader="none"/>
        </w:tabs>
        <w:spacing w:line="212" w:lineRule="exact" w:before="65" w:after="0"/>
        <w:ind w:left="1287" w:right="0" w:hanging="681"/>
        <w:jc w:val="left"/>
        <w:rPr>
          <w:sz w:val="20"/>
        </w:rPr>
      </w:pPr>
      <w:r>
        <w:rPr>
          <w:w w:val="120"/>
          <w:sz w:val="20"/>
        </w:rPr>
        <w:t>The prospective candidate needs</w:t>
      </w:r>
      <w:r>
        <w:rPr>
          <w:spacing w:val="9"/>
          <w:w w:val="120"/>
          <w:sz w:val="20"/>
        </w:rPr>
        <w:t> </w:t>
      </w:r>
      <w:r>
        <w:rPr>
          <w:spacing w:val="-3"/>
          <w:w w:val="120"/>
          <w:sz w:val="20"/>
        </w:rPr>
        <w:t>to:</w:t>
      </w:r>
    </w:p>
    <w:p>
      <w:pPr>
        <w:pStyle w:val="ListParagraph"/>
        <w:numPr>
          <w:ilvl w:val="0"/>
          <w:numId w:val="126"/>
        </w:numPr>
        <w:tabs>
          <w:tab w:pos="1287" w:val="left" w:leader="none"/>
          <w:tab w:pos="1288" w:val="left" w:leader="none"/>
        </w:tabs>
        <w:spacing w:line="196" w:lineRule="auto" w:before="13" w:after="0"/>
        <w:ind w:left="1287" w:right="2126" w:hanging="681"/>
        <w:jc w:val="left"/>
        <w:rPr>
          <w:sz w:val="20"/>
        </w:rPr>
      </w:pPr>
      <w:r>
        <w:rPr>
          <w:w w:val="120"/>
          <w:sz w:val="20"/>
        </w:rPr>
        <w:t>Have been in membership of the United Reformed Church for at least two years prior to</w:t>
      </w:r>
      <w:r>
        <w:rPr>
          <w:spacing w:val="4"/>
          <w:w w:val="120"/>
          <w:sz w:val="20"/>
        </w:rPr>
        <w:t> </w:t>
      </w:r>
      <w:r>
        <w:rPr>
          <w:w w:val="120"/>
          <w:sz w:val="20"/>
        </w:rPr>
        <w:t>candidating;</w:t>
      </w:r>
    </w:p>
    <w:p>
      <w:pPr>
        <w:pStyle w:val="ListParagraph"/>
        <w:numPr>
          <w:ilvl w:val="0"/>
          <w:numId w:val="126"/>
        </w:numPr>
        <w:tabs>
          <w:tab w:pos="1287" w:val="left" w:leader="none"/>
          <w:tab w:pos="1288" w:val="left" w:leader="none"/>
        </w:tabs>
        <w:spacing w:line="196" w:lineRule="auto" w:before="0" w:after="0"/>
        <w:ind w:left="1287" w:right="2089" w:hanging="681"/>
        <w:jc w:val="left"/>
        <w:rPr>
          <w:sz w:val="20"/>
        </w:rPr>
      </w:pPr>
      <w:r>
        <w:rPr>
          <w:w w:val="120"/>
          <w:sz w:val="20"/>
        </w:rPr>
        <w:t>Conform </w:t>
      </w:r>
      <w:r>
        <w:rPr>
          <w:spacing w:val="-3"/>
          <w:w w:val="120"/>
          <w:sz w:val="20"/>
        </w:rPr>
        <w:t>to </w:t>
      </w:r>
      <w:r>
        <w:rPr>
          <w:w w:val="120"/>
          <w:sz w:val="20"/>
        </w:rPr>
        <w:t>the age criteria. The </w:t>
      </w:r>
      <w:r>
        <w:rPr>
          <w:spacing w:val="-3"/>
          <w:w w:val="120"/>
          <w:sz w:val="20"/>
        </w:rPr>
        <w:t>lower </w:t>
      </w:r>
      <w:r>
        <w:rPr>
          <w:w w:val="120"/>
          <w:sz w:val="20"/>
        </w:rPr>
        <w:t>age criteria </w:t>
      </w:r>
      <w:r>
        <w:rPr>
          <w:spacing w:val="-3"/>
          <w:w w:val="120"/>
          <w:sz w:val="20"/>
        </w:rPr>
        <w:t>relate to commencing </w:t>
      </w:r>
      <w:r>
        <w:rPr>
          <w:w w:val="120"/>
          <w:sz w:val="20"/>
        </w:rPr>
        <w:t>training: </w:t>
      </w:r>
      <w:r>
        <w:rPr>
          <w:spacing w:val="-8"/>
          <w:w w:val="120"/>
          <w:sz w:val="20"/>
        </w:rPr>
        <w:t>18 </w:t>
      </w:r>
      <w:r>
        <w:rPr>
          <w:w w:val="120"/>
          <w:sz w:val="20"/>
        </w:rPr>
        <w:t>for the ministry of </w:t>
      </w:r>
      <w:r>
        <w:rPr>
          <w:spacing w:val="-3"/>
          <w:w w:val="120"/>
          <w:sz w:val="20"/>
        </w:rPr>
        <w:t>Word </w:t>
      </w:r>
      <w:r>
        <w:rPr>
          <w:w w:val="120"/>
          <w:sz w:val="20"/>
        </w:rPr>
        <w:t>and Sacraments, </w:t>
      </w:r>
      <w:r>
        <w:rPr>
          <w:spacing w:val="-5"/>
          <w:w w:val="120"/>
          <w:sz w:val="20"/>
        </w:rPr>
        <w:t>21 </w:t>
      </w:r>
      <w:r>
        <w:rPr>
          <w:w w:val="120"/>
          <w:sz w:val="20"/>
        </w:rPr>
        <w:t>for </w:t>
      </w:r>
      <w:r>
        <w:rPr>
          <w:spacing w:val="-3"/>
          <w:w w:val="120"/>
          <w:sz w:val="20"/>
        </w:rPr>
        <w:t>church related</w:t>
      </w:r>
      <w:r>
        <w:rPr>
          <w:spacing w:val="-18"/>
          <w:w w:val="120"/>
          <w:sz w:val="20"/>
        </w:rPr>
        <w:t> </w:t>
      </w:r>
      <w:r>
        <w:rPr>
          <w:spacing w:val="-3"/>
          <w:w w:val="120"/>
          <w:sz w:val="20"/>
        </w:rPr>
        <w:t>community</w:t>
      </w:r>
    </w:p>
    <w:p>
      <w:pPr>
        <w:pStyle w:val="BodyText"/>
        <w:spacing w:line="235" w:lineRule="auto"/>
        <w:ind w:left="1287" w:right="2142"/>
      </w:pPr>
      <w:r>
        <w:rPr>
          <w:w w:val="120"/>
        </w:rPr>
        <w:t>work. Candidates for stipendiary service should complete their training in order to be ordained by their 58th birthday, therefore a candidate should submit an application before their 53rd birthday. Where a candidate has appropriate prior theological education a shorter period than the usual four years of preparation for ordination or commissioning may be possible. If it is thought this may be a possibility the Secretary for Education and Learning should be consulted as soon as possible to explore the matter. However a definitive judgement regarding</w:t>
      </w:r>
    </w:p>
    <w:p>
      <w:pPr>
        <w:pStyle w:val="BodyText"/>
        <w:spacing w:line="235" w:lineRule="auto" w:before="1"/>
        <w:ind w:left="1287" w:right="1919"/>
      </w:pPr>
      <w:r>
        <w:rPr>
          <w:w w:val="120"/>
        </w:rPr>
        <w:t>length of training can only be made at the assessment </w:t>
      </w:r>
      <w:r>
        <w:rPr>
          <w:spacing w:val="-3"/>
          <w:w w:val="120"/>
        </w:rPr>
        <w:t>conference. </w:t>
      </w:r>
      <w:r>
        <w:rPr>
          <w:w w:val="120"/>
        </w:rPr>
        <w:t>There is </w:t>
      </w:r>
      <w:r>
        <w:rPr>
          <w:spacing w:val="-2"/>
          <w:w w:val="120"/>
        </w:rPr>
        <w:t>now </w:t>
      </w:r>
      <w:r>
        <w:rPr>
          <w:w w:val="120"/>
        </w:rPr>
        <w:t>no upper age criterion for non-stipendiary service.</w:t>
      </w:r>
    </w:p>
    <w:p>
      <w:pPr>
        <w:pStyle w:val="BodyText"/>
        <w:rPr>
          <w:sz w:val="24"/>
        </w:rPr>
      </w:pPr>
    </w:p>
    <w:p>
      <w:pPr>
        <w:pStyle w:val="ListParagraph"/>
        <w:numPr>
          <w:ilvl w:val="0"/>
          <w:numId w:val="197"/>
        </w:numPr>
        <w:tabs>
          <w:tab w:pos="1287" w:val="left" w:leader="none"/>
          <w:tab w:pos="1288" w:val="left" w:leader="none"/>
        </w:tabs>
        <w:spacing w:line="235" w:lineRule="auto" w:before="189" w:after="0"/>
        <w:ind w:left="607" w:right="2391" w:firstLine="0"/>
        <w:jc w:val="left"/>
        <w:rPr>
          <w:sz w:val="20"/>
        </w:rPr>
      </w:pPr>
      <w:r>
        <w:rPr>
          <w:w w:val="120"/>
          <w:sz w:val="20"/>
        </w:rPr>
        <w:t>In addition prospective candidates must show they are able to undertake the academic aspects of ministerial training. In order to be accepted as a candidate for training for stipendiary or non-stipendiary service, the candidate will need to have reached the following educational</w:t>
      </w:r>
      <w:r>
        <w:rPr>
          <w:spacing w:val="9"/>
          <w:w w:val="120"/>
          <w:sz w:val="20"/>
        </w:rPr>
        <w:t> </w:t>
      </w:r>
      <w:r>
        <w:rPr>
          <w:w w:val="120"/>
          <w:sz w:val="20"/>
        </w:rPr>
        <w:t>standard:</w:t>
      </w:r>
    </w:p>
    <w:p>
      <w:pPr>
        <w:pStyle w:val="BodyText"/>
        <w:spacing w:before="7"/>
        <w:rPr>
          <w:sz w:val="19"/>
        </w:rPr>
      </w:pPr>
    </w:p>
    <w:p>
      <w:pPr>
        <w:pStyle w:val="ListParagraph"/>
        <w:numPr>
          <w:ilvl w:val="0"/>
          <w:numId w:val="198"/>
        </w:numPr>
        <w:tabs>
          <w:tab w:pos="1287" w:val="left" w:leader="none"/>
          <w:tab w:pos="1288" w:val="left" w:leader="none"/>
        </w:tabs>
        <w:spacing w:line="240" w:lineRule="auto" w:before="0" w:after="0"/>
        <w:ind w:left="1287" w:right="0" w:hanging="681"/>
        <w:jc w:val="left"/>
        <w:rPr>
          <w:sz w:val="20"/>
        </w:rPr>
      </w:pPr>
      <w:r>
        <w:rPr>
          <w:w w:val="120"/>
          <w:sz w:val="20"/>
        </w:rPr>
        <w:t>GCSE (Grade </w:t>
      </w:r>
      <w:r>
        <w:rPr>
          <w:spacing w:val="2"/>
          <w:w w:val="120"/>
          <w:sz w:val="20"/>
        </w:rPr>
        <w:t>A-C) </w:t>
      </w:r>
      <w:r>
        <w:rPr>
          <w:w w:val="120"/>
          <w:sz w:val="20"/>
        </w:rPr>
        <w:t>in English Language or an</w:t>
      </w:r>
      <w:r>
        <w:rPr>
          <w:spacing w:val="27"/>
          <w:w w:val="120"/>
          <w:sz w:val="20"/>
        </w:rPr>
        <w:t> </w:t>
      </w:r>
      <w:r>
        <w:rPr>
          <w:w w:val="120"/>
          <w:sz w:val="20"/>
        </w:rPr>
        <w:t>equivalent.</w:t>
      </w:r>
    </w:p>
    <w:p>
      <w:pPr>
        <w:pStyle w:val="BodyText"/>
        <w:spacing w:before="4"/>
        <w:rPr>
          <w:sz w:val="19"/>
        </w:rPr>
      </w:pPr>
    </w:p>
    <w:p>
      <w:pPr>
        <w:pStyle w:val="ListParagraph"/>
        <w:numPr>
          <w:ilvl w:val="0"/>
          <w:numId w:val="198"/>
        </w:numPr>
        <w:tabs>
          <w:tab w:pos="1287" w:val="left" w:leader="none"/>
          <w:tab w:pos="1288" w:val="left" w:leader="none"/>
        </w:tabs>
        <w:spacing w:line="242" w:lineRule="exact" w:before="0" w:after="0"/>
        <w:ind w:left="1287" w:right="0" w:hanging="681"/>
        <w:jc w:val="left"/>
        <w:rPr>
          <w:sz w:val="20"/>
        </w:rPr>
      </w:pPr>
      <w:r>
        <w:rPr>
          <w:w w:val="120"/>
          <w:sz w:val="20"/>
        </w:rPr>
        <w:t>Plus one of the</w:t>
      </w:r>
      <w:r>
        <w:rPr>
          <w:spacing w:val="8"/>
          <w:w w:val="120"/>
          <w:sz w:val="20"/>
        </w:rPr>
        <w:t> </w:t>
      </w:r>
      <w:r>
        <w:rPr>
          <w:w w:val="120"/>
          <w:sz w:val="20"/>
        </w:rPr>
        <w:t>following:</w:t>
      </w:r>
    </w:p>
    <w:p>
      <w:pPr>
        <w:pStyle w:val="ListParagraph"/>
        <w:numPr>
          <w:ilvl w:val="1"/>
          <w:numId w:val="198"/>
        </w:numPr>
        <w:tabs>
          <w:tab w:pos="1967" w:val="left" w:leader="none"/>
          <w:tab w:pos="1968" w:val="left" w:leader="none"/>
        </w:tabs>
        <w:spacing w:line="240" w:lineRule="exact" w:before="0" w:after="0"/>
        <w:ind w:left="1967" w:right="0" w:hanging="681"/>
        <w:jc w:val="left"/>
        <w:rPr>
          <w:sz w:val="20"/>
        </w:rPr>
      </w:pPr>
      <w:r>
        <w:rPr>
          <w:w w:val="125"/>
          <w:sz w:val="20"/>
        </w:rPr>
        <w:t>2</w:t>
      </w:r>
      <w:r>
        <w:rPr>
          <w:spacing w:val="-1"/>
          <w:w w:val="125"/>
          <w:sz w:val="20"/>
        </w:rPr>
        <w:t> </w:t>
      </w:r>
      <w:r>
        <w:rPr>
          <w:w w:val="125"/>
          <w:sz w:val="20"/>
        </w:rPr>
        <w:t>‘A-lvels’</w:t>
      </w:r>
    </w:p>
    <w:p>
      <w:pPr>
        <w:pStyle w:val="ListParagraph"/>
        <w:numPr>
          <w:ilvl w:val="1"/>
          <w:numId w:val="198"/>
        </w:numPr>
        <w:tabs>
          <w:tab w:pos="1967" w:val="left" w:leader="none"/>
          <w:tab w:pos="1968" w:val="left" w:leader="none"/>
        </w:tabs>
        <w:spacing w:line="240" w:lineRule="exact" w:before="0" w:after="0"/>
        <w:ind w:left="1967" w:right="0" w:hanging="681"/>
        <w:jc w:val="left"/>
        <w:rPr>
          <w:sz w:val="20"/>
        </w:rPr>
      </w:pPr>
      <w:r>
        <w:rPr>
          <w:w w:val="125"/>
          <w:sz w:val="20"/>
        </w:rPr>
        <w:t>2 Scottish</w:t>
      </w:r>
      <w:r>
        <w:rPr>
          <w:spacing w:val="-2"/>
          <w:w w:val="125"/>
          <w:sz w:val="20"/>
        </w:rPr>
        <w:t> </w:t>
      </w:r>
      <w:r>
        <w:rPr>
          <w:w w:val="125"/>
          <w:sz w:val="20"/>
        </w:rPr>
        <w:t>‘Highers’</w:t>
      </w:r>
    </w:p>
    <w:p>
      <w:pPr>
        <w:pStyle w:val="ListParagraph"/>
        <w:numPr>
          <w:ilvl w:val="1"/>
          <w:numId w:val="198"/>
        </w:numPr>
        <w:tabs>
          <w:tab w:pos="1967" w:val="left" w:leader="none"/>
          <w:tab w:pos="1968" w:val="left" w:leader="none"/>
        </w:tabs>
        <w:spacing w:line="240" w:lineRule="exact" w:before="0" w:after="0"/>
        <w:ind w:left="1967" w:right="0" w:hanging="681"/>
        <w:jc w:val="left"/>
        <w:rPr>
          <w:sz w:val="20"/>
        </w:rPr>
      </w:pPr>
      <w:r>
        <w:rPr>
          <w:w w:val="120"/>
          <w:sz w:val="20"/>
        </w:rPr>
        <w:t>A degree from a UK university, or</w:t>
      </w:r>
      <w:r>
        <w:rPr>
          <w:spacing w:val="14"/>
          <w:w w:val="120"/>
          <w:sz w:val="20"/>
        </w:rPr>
        <w:t> </w:t>
      </w:r>
      <w:r>
        <w:rPr>
          <w:w w:val="120"/>
          <w:sz w:val="20"/>
        </w:rPr>
        <w:t>equivalent</w:t>
      </w:r>
    </w:p>
    <w:p>
      <w:pPr>
        <w:pStyle w:val="ListParagraph"/>
        <w:numPr>
          <w:ilvl w:val="1"/>
          <w:numId w:val="198"/>
        </w:numPr>
        <w:tabs>
          <w:tab w:pos="1967" w:val="left" w:leader="none"/>
          <w:tab w:pos="1968" w:val="left" w:leader="none"/>
        </w:tabs>
        <w:spacing w:line="235" w:lineRule="auto" w:before="2" w:after="0"/>
        <w:ind w:left="1967" w:right="2231" w:hanging="681"/>
        <w:jc w:val="left"/>
        <w:rPr>
          <w:sz w:val="20"/>
        </w:rPr>
      </w:pPr>
      <w:r>
        <w:rPr>
          <w:spacing w:val="-6"/>
          <w:w w:val="120"/>
          <w:sz w:val="20"/>
        </w:rPr>
        <w:t>120 </w:t>
      </w:r>
      <w:r>
        <w:rPr>
          <w:w w:val="120"/>
          <w:sz w:val="20"/>
        </w:rPr>
        <w:t>first degree credits from the Open University or other UK university working on a modular</w:t>
      </w:r>
      <w:r>
        <w:rPr>
          <w:spacing w:val="9"/>
          <w:w w:val="120"/>
          <w:sz w:val="20"/>
        </w:rPr>
        <w:t> </w:t>
      </w:r>
      <w:r>
        <w:rPr>
          <w:w w:val="120"/>
          <w:sz w:val="20"/>
        </w:rPr>
        <w:t>system</w:t>
      </w:r>
    </w:p>
    <w:p>
      <w:pPr>
        <w:pStyle w:val="ListParagraph"/>
        <w:numPr>
          <w:ilvl w:val="1"/>
          <w:numId w:val="198"/>
        </w:numPr>
        <w:tabs>
          <w:tab w:pos="1967" w:val="left" w:leader="none"/>
          <w:tab w:pos="1968" w:val="left" w:leader="none"/>
        </w:tabs>
        <w:spacing w:line="240" w:lineRule="exact" w:before="0" w:after="0"/>
        <w:ind w:left="1967" w:right="0" w:hanging="681"/>
        <w:jc w:val="left"/>
        <w:rPr>
          <w:sz w:val="20"/>
        </w:rPr>
      </w:pPr>
      <w:r>
        <w:rPr>
          <w:w w:val="120"/>
          <w:sz w:val="20"/>
        </w:rPr>
        <w:t>An advanced GNVQ, involving a substantial quantity of discursive</w:t>
      </w:r>
      <w:r>
        <w:rPr>
          <w:spacing w:val="30"/>
          <w:w w:val="120"/>
          <w:sz w:val="20"/>
        </w:rPr>
        <w:t> </w:t>
      </w:r>
      <w:r>
        <w:rPr>
          <w:w w:val="120"/>
          <w:sz w:val="20"/>
        </w:rPr>
        <w:t>work</w:t>
      </w:r>
    </w:p>
    <w:p>
      <w:pPr>
        <w:pStyle w:val="ListParagraph"/>
        <w:numPr>
          <w:ilvl w:val="1"/>
          <w:numId w:val="198"/>
        </w:numPr>
        <w:tabs>
          <w:tab w:pos="1967" w:val="left" w:leader="none"/>
          <w:tab w:pos="1968" w:val="left" w:leader="none"/>
        </w:tabs>
        <w:spacing w:line="235" w:lineRule="auto" w:before="2" w:after="0"/>
        <w:ind w:left="1967" w:right="2006" w:hanging="681"/>
        <w:jc w:val="left"/>
        <w:rPr>
          <w:sz w:val="20"/>
        </w:rPr>
      </w:pPr>
      <w:r>
        <w:rPr>
          <w:w w:val="120"/>
          <w:sz w:val="20"/>
        </w:rPr>
        <w:t>A successful completion of the two foundation years of the Training for Learning and Serving course including the successful completion of the essay option. The agreed standard for successful completion is an average mark of 50% for six assignments (in essay format) of the Foundation Course, marked on the access scale, with all essays having achieved the pass mark of</w:t>
      </w:r>
      <w:r>
        <w:rPr>
          <w:spacing w:val="6"/>
          <w:w w:val="120"/>
          <w:sz w:val="20"/>
        </w:rPr>
        <w:t> </w:t>
      </w:r>
      <w:r>
        <w:rPr>
          <w:w w:val="120"/>
          <w:sz w:val="20"/>
        </w:rPr>
        <w:t>40%.</w:t>
      </w:r>
    </w:p>
    <w:p>
      <w:pPr>
        <w:pStyle w:val="ListParagraph"/>
        <w:numPr>
          <w:ilvl w:val="1"/>
          <w:numId w:val="198"/>
        </w:numPr>
        <w:tabs>
          <w:tab w:pos="1967" w:val="left" w:leader="none"/>
          <w:tab w:pos="1968" w:val="left" w:leader="none"/>
        </w:tabs>
        <w:spacing w:line="235" w:lineRule="auto" w:before="4" w:after="0"/>
        <w:ind w:left="1967" w:right="2277" w:hanging="681"/>
        <w:jc w:val="left"/>
        <w:rPr>
          <w:sz w:val="20"/>
        </w:rPr>
      </w:pPr>
      <w:r>
        <w:rPr>
          <w:w w:val="120"/>
          <w:sz w:val="20"/>
        </w:rPr>
        <w:t>Such professional qualifications or experience of life and work as, in the opinion of the education and learning studies panel, is of equivalent standard and provides a suitable foundation for</w:t>
      </w:r>
      <w:r>
        <w:rPr>
          <w:spacing w:val="19"/>
          <w:w w:val="120"/>
          <w:sz w:val="20"/>
        </w:rPr>
        <w:t> </w:t>
      </w:r>
      <w:r>
        <w:rPr>
          <w:w w:val="120"/>
          <w:sz w:val="20"/>
        </w:rPr>
        <w:t>training.</w:t>
      </w:r>
    </w:p>
    <w:p>
      <w:pPr>
        <w:pStyle w:val="BodyText"/>
        <w:spacing w:before="2"/>
        <w:rPr>
          <w:sz w:val="22"/>
        </w:rPr>
      </w:pPr>
    </w:p>
    <w:p>
      <w:pPr>
        <w:spacing w:before="1"/>
        <w:ind w:left="607" w:right="0" w:firstLine="0"/>
        <w:jc w:val="left"/>
        <w:rPr>
          <w:rFonts w:ascii="Stone Sans II ITC Std Bk"/>
          <w:b/>
          <w:sz w:val="29"/>
        </w:rPr>
      </w:pPr>
      <w:r>
        <w:rPr>
          <w:rFonts w:ascii="Stone Sans II ITC Std Bk"/>
          <w:b/>
          <w:w w:val="110"/>
          <w:sz w:val="29"/>
        </w:rPr>
        <w:t>During the assessment process</w:t>
      </w:r>
    </w:p>
    <w:p>
      <w:pPr>
        <w:pStyle w:val="ListParagraph"/>
        <w:numPr>
          <w:ilvl w:val="0"/>
          <w:numId w:val="197"/>
        </w:numPr>
        <w:tabs>
          <w:tab w:pos="1287" w:val="left" w:leader="none"/>
          <w:tab w:pos="1288" w:val="left" w:leader="none"/>
        </w:tabs>
        <w:spacing w:line="212" w:lineRule="exact" w:before="65" w:after="0"/>
        <w:ind w:left="1287" w:right="0" w:hanging="681"/>
        <w:jc w:val="left"/>
        <w:rPr>
          <w:sz w:val="20"/>
        </w:rPr>
      </w:pPr>
      <w:r>
        <w:rPr>
          <w:w w:val="120"/>
          <w:sz w:val="20"/>
        </w:rPr>
        <w:t>The candidate needs</w:t>
      </w:r>
      <w:r>
        <w:rPr>
          <w:spacing w:val="6"/>
          <w:w w:val="120"/>
          <w:sz w:val="20"/>
        </w:rPr>
        <w:t> </w:t>
      </w:r>
      <w:r>
        <w:rPr>
          <w:spacing w:val="-3"/>
          <w:w w:val="120"/>
          <w:sz w:val="20"/>
        </w:rPr>
        <w:t>to:</w:t>
      </w:r>
    </w:p>
    <w:p>
      <w:pPr>
        <w:pStyle w:val="ListParagraph"/>
        <w:numPr>
          <w:ilvl w:val="0"/>
          <w:numId w:val="126"/>
        </w:numPr>
        <w:tabs>
          <w:tab w:pos="1287" w:val="left" w:leader="none"/>
          <w:tab w:pos="1288" w:val="left" w:leader="none"/>
        </w:tabs>
        <w:spacing w:line="213" w:lineRule="auto" w:before="0" w:after="0"/>
        <w:ind w:left="1287" w:right="2116" w:hanging="681"/>
        <w:jc w:val="left"/>
        <w:rPr>
          <w:sz w:val="20"/>
        </w:rPr>
      </w:pPr>
      <w:r>
        <w:rPr>
          <w:w w:val="120"/>
          <w:sz w:val="20"/>
        </w:rPr>
        <w:t>In the case of candidates for the ministry of Word and Sacraments, have had a </w:t>
      </w:r>
      <w:r>
        <w:rPr>
          <w:spacing w:val="2"/>
          <w:w w:val="120"/>
          <w:sz w:val="20"/>
        </w:rPr>
        <w:t>report </w:t>
      </w:r>
      <w:r>
        <w:rPr>
          <w:w w:val="120"/>
          <w:sz w:val="20"/>
        </w:rPr>
        <w:t>written, on at least one service conducted and one sermon preached, by assessors appointed by</w:t>
      </w:r>
      <w:r>
        <w:rPr>
          <w:spacing w:val="6"/>
          <w:w w:val="120"/>
          <w:sz w:val="20"/>
        </w:rPr>
        <w:t> </w:t>
      </w:r>
      <w:r>
        <w:rPr>
          <w:w w:val="120"/>
          <w:sz w:val="20"/>
        </w:rPr>
        <w:t>synod;</w:t>
      </w:r>
    </w:p>
    <w:p>
      <w:pPr>
        <w:pStyle w:val="ListParagraph"/>
        <w:numPr>
          <w:ilvl w:val="0"/>
          <w:numId w:val="126"/>
        </w:numPr>
        <w:tabs>
          <w:tab w:pos="1287" w:val="left" w:leader="none"/>
          <w:tab w:pos="1288" w:val="left" w:leader="none"/>
        </w:tabs>
        <w:spacing w:line="196" w:lineRule="auto" w:before="0" w:after="0"/>
        <w:ind w:left="1287" w:right="2024" w:hanging="681"/>
        <w:jc w:val="left"/>
        <w:rPr>
          <w:sz w:val="20"/>
        </w:rPr>
      </w:pPr>
      <w:r>
        <w:rPr>
          <w:w w:val="120"/>
          <w:sz w:val="20"/>
        </w:rPr>
        <w:t>In the case of candidates for church related community work, have experience of some form of community work. At the assessment conference these</w:t>
      </w:r>
      <w:r>
        <w:rPr>
          <w:spacing w:val="-14"/>
          <w:w w:val="120"/>
          <w:sz w:val="20"/>
        </w:rPr>
        <w:t> </w:t>
      </w:r>
      <w:r>
        <w:rPr>
          <w:w w:val="120"/>
          <w:sz w:val="20"/>
        </w:rPr>
        <w:t>candidates</w:t>
      </w:r>
    </w:p>
    <w:p>
      <w:pPr>
        <w:pStyle w:val="BodyText"/>
        <w:spacing w:line="235" w:lineRule="auto"/>
        <w:ind w:left="1287" w:right="2045"/>
      </w:pPr>
      <w:r>
        <w:rPr>
          <w:w w:val="120"/>
        </w:rPr>
        <w:t>will be asked to make a 10-minute presentation on their understanding of CRCW answering the question ‘In what ways can our faith produce the actions that make a positive difference to people and their communities?’</w:t>
      </w:r>
    </w:p>
    <w:p>
      <w:pPr>
        <w:pStyle w:val="BodyText"/>
      </w:pPr>
    </w:p>
    <w:p>
      <w:pPr>
        <w:pStyle w:val="BodyText"/>
      </w:pPr>
    </w:p>
    <w:p>
      <w:pPr>
        <w:pStyle w:val="BodyText"/>
        <w:spacing w:before="9"/>
        <w:rPr>
          <w:sz w:val="19"/>
        </w:rPr>
      </w:pPr>
    </w:p>
    <w:p>
      <w:pPr>
        <w:pStyle w:val="Heading6"/>
        <w:spacing w:before="97"/>
        <w:ind w:left="607"/>
      </w:pPr>
      <w:r>
        <w:rPr>
          <w:rFonts w:ascii="Stone Sans II ITC Std X Bd" w:hAnsi="Stone Sans II ITC Std X Bd"/>
          <w:b/>
          <w:w w:val="110"/>
          <w:sz w:val="24"/>
        </w:rPr>
        <w:t>164 </w:t>
      </w:r>
      <w:r>
        <w:rPr>
          <w:rFonts w:ascii="Symbol" w:hAnsi="Symbol"/>
          <w:color w:val="7EAABF"/>
          <w:w w:val="110"/>
        </w:rPr>
        <w:t></w:t>
      </w:r>
      <w:r>
        <w:rPr>
          <w:rFonts w:ascii="Times New Roman" w:hAnsi="Times New Roman"/>
          <w:color w:val="7EAABF"/>
          <w:w w:val="110"/>
        </w:rPr>
        <w:t> </w:t>
      </w:r>
      <w:r>
        <w:rPr>
          <w:color w:val="7EAABF"/>
          <w:w w:val="110"/>
        </w:rPr>
        <w:t>United Reformed Church </w:t>
      </w:r>
      <w:r>
        <w:rPr>
          <w:rFonts w:ascii="Symbol" w:hAnsi="Symbol"/>
          <w:color w:val="7EAABF"/>
          <w:w w:val="110"/>
        </w:rPr>
        <w:t></w:t>
      </w:r>
      <w:r>
        <w:rPr>
          <w:rFonts w:ascii="Times New Roman" w:hAnsi="Times New Roman"/>
          <w:color w:val="7EAABF"/>
          <w:w w:val="110"/>
        </w:rPr>
        <w:t> </w:t>
      </w:r>
      <w:r>
        <w:rPr>
          <w:color w:val="7EAABF"/>
          <w:w w:val="110"/>
        </w:rPr>
        <w:t>General Assembly 2016</w:t>
      </w:r>
    </w:p>
    <w:p>
      <w:pPr>
        <w:spacing w:after="0"/>
        <w:sectPr>
          <w:type w:val="continuous"/>
          <w:pgSz w:w="11910" w:h="16840"/>
          <w:pgMar w:top="1580" w:bottom="280" w:left="640" w:right="0"/>
        </w:sectPr>
      </w:pPr>
    </w:p>
    <w:p>
      <w:pPr>
        <w:pStyle w:val="BodyText"/>
      </w:pPr>
      <w:r>
        <w:rPr/>
        <w:drawing>
          <wp:anchor distT="0" distB="0" distL="0" distR="0" allowOverlap="1" layoutInCell="1" locked="0" behindDoc="0" simplePos="0" relativeHeight="252087296">
            <wp:simplePos x="0" y="0"/>
            <wp:positionH relativeFrom="page">
              <wp:posOffset>6974928</wp:posOffset>
            </wp:positionH>
            <wp:positionV relativeFrom="page">
              <wp:posOffset>0</wp:posOffset>
            </wp:positionV>
            <wp:extent cx="585063" cy="10692003"/>
            <wp:effectExtent l="0" t="0" r="0" b="0"/>
            <wp:wrapNone/>
            <wp:docPr id="311" name="image54.png"/>
            <wp:cNvGraphicFramePr>
              <a:graphicFrameLocks noChangeAspect="1"/>
            </wp:cNvGraphicFramePr>
            <a:graphic>
              <a:graphicData uri="http://schemas.openxmlformats.org/drawingml/2006/picture">
                <pic:pic>
                  <pic:nvPicPr>
                    <pic:cNvPr id="312" name="image54.png"/>
                    <pic:cNvPicPr/>
                  </pic:nvPicPr>
                  <pic:blipFill>
                    <a:blip r:embed="rId169" cstate="print"/>
                    <a:stretch>
                      <a:fillRect/>
                    </a:stretch>
                  </pic:blipFill>
                  <pic:spPr>
                    <a:xfrm>
                      <a:off x="0" y="0"/>
                      <a:ext cx="585063" cy="10692003"/>
                    </a:xfrm>
                    <a:prstGeom prst="rect">
                      <a:avLst/>
                    </a:prstGeom>
                  </pic:spPr>
                </pic:pic>
              </a:graphicData>
            </a:graphic>
          </wp:anchor>
        </w:drawing>
      </w:r>
    </w:p>
    <w:p>
      <w:pPr>
        <w:pStyle w:val="BodyText"/>
        <w:spacing w:before="7"/>
        <w:rPr>
          <w:sz w:val="21"/>
        </w:rPr>
      </w:pPr>
    </w:p>
    <w:p>
      <w:pPr>
        <w:spacing w:before="106"/>
        <w:ind w:left="0" w:right="1245" w:firstLine="0"/>
        <w:jc w:val="right"/>
        <w:rPr>
          <w:sz w:val="26"/>
        </w:rPr>
      </w:pPr>
      <w:r>
        <w:rPr/>
        <w:pict>
          <v:shape style="position:absolute;margin-left:554.141174pt;margin-top:22.593945pt;width:25.9pt;height:476.35pt;mso-position-horizontal-relative:page;mso-position-vertical-relative:paragraph;z-index:252088320" type="#_x0000_t202" filled="false" stroked="false">
            <v:textbox inset="0,0,0,0" style="layout-flow:vertical">
              <w:txbxContent>
                <w:p>
                  <w:pPr>
                    <w:spacing w:before="27"/>
                    <w:ind w:left="20" w:right="0" w:firstLine="0"/>
                    <w:jc w:val="left"/>
                    <w:rPr>
                      <w:sz w:val="39"/>
                    </w:rPr>
                  </w:pPr>
                  <w:r>
                    <w:rPr>
                      <w:color w:val="FFFFFF"/>
                      <w:w w:val="125"/>
                      <w:sz w:val="39"/>
                    </w:rPr>
                    <w:t>Ministries – </w:t>
                  </w:r>
                  <w:r>
                    <w:rPr>
                      <w:w w:val="125"/>
                      <w:sz w:val="39"/>
                    </w:rPr>
                    <w:t>Assessment procedure </w:t>
                  </w:r>
                  <w:r>
                    <w:rPr>
                      <w:color w:val="FFFFFF"/>
                      <w:w w:val="125"/>
                      <w:sz w:val="39"/>
                    </w:rPr>
                    <w:t>– </w:t>
                  </w:r>
                  <w:r>
                    <w:rPr>
                      <w:w w:val="125"/>
                      <w:sz w:val="39"/>
                    </w:rPr>
                    <w:t>Appendix</w:t>
                  </w:r>
                </w:p>
              </w:txbxContent>
            </v:textbox>
            <w10:wrap type="none"/>
          </v:shape>
        </w:pict>
      </w:r>
      <w:r>
        <w:rPr>
          <w:color w:val="7EAABF"/>
          <w:w w:val="110"/>
          <w:sz w:val="26"/>
        </w:rPr>
        <w:t>Ministries</w:t>
      </w:r>
    </w:p>
    <w:p>
      <w:pPr>
        <w:pStyle w:val="ListParagraph"/>
        <w:numPr>
          <w:ilvl w:val="0"/>
          <w:numId w:val="199"/>
        </w:numPr>
        <w:tabs>
          <w:tab w:pos="2024" w:val="left" w:leader="none"/>
          <w:tab w:pos="2025" w:val="left" w:leader="none"/>
        </w:tabs>
        <w:spacing w:line="213" w:lineRule="auto" w:before="185" w:after="0"/>
        <w:ind w:left="2024" w:right="1855" w:hanging="681"/>
        <w:jc w:val="left"/>
        <w:rPr>
          <w:sz w:val="20"/>
        </w:rPr>
      </w:pPr>
      <w:r>
        <w:rPr>
          <w:w w:val="120"/>
          <w:sz w:val="20"/>
        </w:rPr>
        <w:t>Understand, accept and be committed to the </w:t>
      </w:r>
      <w:r>
        <w:rPr>
          <w:i/>
          <w:w w:val="120"/>
          <w:sz w:val="20"/>
        </w:rPr>
        <w:t>Basis of Union </w:t>
      </w:r>
      <w:r>
        <w:rPr>
          <w:w w:val="120"/>
          <w:sz w:val="20"/>
        </w:rPr>
        <w:t>of the United Reformed Church in particular the ordination and commissioning promises and the ‘Statement of the Nature, Faith and Order of the United</w:t>
      </w:r>
      <w:r>
        <w:rPr>
          <w:spacing w:val="-3"/>
          <w:w w:val="120"/>
          <w:sz w:val="20"/>
        </w:rPr>
        <w:t> </w:t>
      </w:r>
      <w:r>
        <w:rPr>
          <w:w w:val="120"/>
          <w:sz w:val="20"/>
        </w:rPr>
        <w:t>Reformed</w:t>
      </w:r>
    </w:p>
    <w:p>
      <w:pPr>
        <w:pStyle w:val="BodyText"/>
        <w:spacing w:line="212" w:lineRule="exact" w:before="3"/>
        <w:ind w:left="2024"/>
      </w:pPr>
      <w:r>
        <w:rPr>
          <w:w w:val="125"/>
        </w:rPr>
        <w:t>Church’ and;</w:t>
      </w:r>
    </w:p>
    <w:p>
      <w:pPr>
        <w:pStyle w:val="ListParagraph"/>
        <w:numPr>
          <w:ilvl w:val="0"/>
          <w:numId w:val="199"/>
        </w:numPr>
        <w:tabs>
          <w:tab w:pos="2024" w:val="left" w:leader="none"/>
          <w:tab w:pos="2025" w:val="left" w:leader="none"/>
        </w:tabs>
        <w:spacing w:line="265" w:lineRule="exact" w:before="0" w:after="0"/>
        <w:ind w:left="2024" w:right="0" w:hanging="681"/>
        <w:jc w:val="left"/>
        <w:rPr>
          <w:sz w:val="20"/>
        </w:rPr>
      </w:pPr>
      <w:r>
        <w:rPr>
          <w:w w:val="120"/>
          <w:sz w:val="20"/>
        </w:rPr>
        <w:t>Have attended Church Meeting and</w:t>
      </w:r>
      <w:r>
        <w:rPr>
          <w:spacing w:val="13"/>
          <w:w w:val="120"/>
          <w:sz w:val="20"/>
        </w:rPr>
        <w:t> </w:t>
      </w:r>
      <w:r>
        <w:rPr>
          <w:w w:val="120"/>
          <w:sz w:val="20"/>
        </w:rPr>
        <w:t>Synod;</w:t>
      </w:r>
    </w:p>
    <w:p>
      <w:pPr>
        <w:pStyle w:val="ListParagraph"/>
        <w:numPr>
          <w:ilvl w:val="0"/>
          <w:numId w:val="199"/>
        </w:numPr>
        <w:tabs>
          <w:tab w:pos="2024" w:val="left" w:leader="none"/>
          <w:tab w:pos="2025" w:val="left" w:leader="none"/>
        </w:tabs>
        <w:spacing w:line="240" w:lineRule="exact" w:before="0" w:after="0"/>
        <w:ind w:left="2024" w:right="0" w:hanging="681"/>
        <w:jc w:val="left"/>
        <w:rPr>
          <w:sz w:val="20"/>
        </w:rPr>
      </w:pPr>
      <w:r>
        <w:rPr>
          <w:w w:val="120"/>
          <w:sz w:val="20"/>
        </w:rPr>
        <w:t>Supply a reflective account of Church Meeting and Synod Meeting</w:t>
      </w:r>
      <w:r>
        <w:rPr>
          <w:spacing w:val="39"/>
          <w:w w:val="120"/>
          <w:sz w:val="20"/>
        </w:rPr>
        <w:t> </w:t>
      </w:r>
      <w:r>
        <w:rPr>
          <w:w w:val="120"/>
          <w:sz w:val="20"/>
        </w:rPr>
        <w:t>attended;</w:t>
      </w:r>
    </w:p>
    <w:p>
      <w:pPr>
        <w:pStyle w:val="ListParagraph"/>
        <w:numPr>
          <w:ilvl w:val="0"/>
          <w:numId w:val="199"/>
        </w:numPr>
        <w:tabs>
          <w:tab w:pos="2024" w:val="left" w:leader="none"/>
          <w:tab w:pos="2025" w:val="left" w:leader="none"/>
        </w:tabs>
        <w:spacing w:line="196" w:lineRule="auto" w:before="0" w:after="0"/>
        <w:ind w:left="2024" w:right="1719" w:hanging="681"/>
        <w:jc w:val="left"/>
        <w:rPr>
          <w:sz w:val="20"/>
        </w:rPr>
      </w:pPr>
      <w:r>
        <w:rPr>
          <w:w w:val="120"/>
          <w:sz w:val="20"/>
        </w:rPr>
        <w:t>Be aware of the required medical and psychological examinations indicating fitness for training and ordained/commissioned</w:t>
      </w:r>
      <w:r>
        <w:rPr>
          <w:spacing w:val="9"/>
          <w:w w:val="120"/>
          <w:sz w:val="20"/>
        </w:rPr>
        <w:t> </w:t>
      </w:r>
      <w:r>
        <w:rPr>
          <w:w w:val="120"/>
          <w:sz w:val="20"/>
        </w:rPr>
        <w:t>ministry;</w:t>
      </w:r>
    </w:p>
    <w:p>
      <w:pPr>
        <w:pStyle w:val="ListParagraph"/>
        <w:numPr>
          <w:ilvl w:val="0"/>
          <w:numId w:val="199"/>
        </w:numPr>
        <w:tabs>
          <w:tab w:pos="2024" w:val="left" w:leader="none"/>
          <w:tab w:pos="2025" w:val="left" w:leader="none"/>
        </w:tabs>
        <w:spacing w:line="196" w:lineRule="auto" w:before="0" w:after="0"/>
        <w:ind w:left="2024" w:right="1951" w:hanging="681"/>
        <w:jc w:val="left"/>
        <w:rPr>
          <w:sz w:val="20"/>
        </w:rPr>
      </w:pPr>
      <w:r>
        <w:rPr>
          <w:w w:val="120"/>
          <w:sz w:val="20"/>
        </w:rPr>
        <w:t>Complete the form relating to disclosure of criminal convictions and court orders.</w:t>
      </w:r>
    </w:p>
    <w:p>
      <w:pPr>
        <w:spacing w:after="0" w:line="196" w:lineRule="auto"/>
        <w:jc w:val="left"/>
        <w:rPr>
          <w:sz w:val="20"/>
        </w:rPr>
        <w:sectPr>
          <w:headerReference w:type="default" r:id="rId438"/>
          <w:footerReference w:type="default" r:id="rId439"/>
          <w:pgSz w:w="11910" w:h="16840"/>
          <w:pgMar w:header="0" w:footer="647" w:top="0" w:bottom="840" w:left="640" w:right="0"/>
          <w:pgNumType w:start="165"/>
        </w:sectPr>
      </w:pPr>
    </w:p>
    <w:p>
      <w:pPr>
        <w:pStyle w:val="BodyText"/>
      </w:pPr>
    </w:p>
    <w:p>
      <w:pPr>
        <w:pStyle w:val="BodyText"/>
        <w:spacing w:before="7"/>
        <w:rPr>
          <w:sz w:val="21"/>
        </w:rPr>
      </w:pPr>
    </w:p>
    <w:p>
      <w:pPr>
        <w:spacing w:after="0"/>
        <w:rPr>
          <w:sz w:val="21"/>
        </w:rPr>
        <w:sectPr>
          <w:headerReference w:type="even" r:id="rId440"/>
          <w:footerReference w:type="even" r:id="rId441"/>
          <w:pgSz w:w="11910" w:h="16840"/>
          <w:pgMar w:header="0" w:footer="0" w:top="0" w:bottom="0" w:left="640" w:right="0"/>
        </w:sectPr>
      </w:pPr>
    </w:p>
    <w:p>
      <w:pPr>
        <w:spacing w:before="106"/>
        <w:ind w:left="607" w:right="0" w:firstLine="0"/>
        <w:jc w:val="left"/>
        <w:rPr>
          <w:sz w:val="26"/>
        </w:rPr>
      </w:pPr>
      <w:r>
        <w:rPr>
          <w:color w:val="7EAABF"/>
          <w:w w:val="110"/>
          <w:sz w:val="26"/>
        </w:rPr>
        <w:t>Ministries</w:t>
      </w:r>
    </w:p>
    <w:p>
      <w:pPr>
        <w:pStyle w:val="BodyText"/>
        <w:spacing w:before="10"/>
        <w:rPr>
          <w:sz w:val="51"/>
        </w:rPr>
      </w:pPr>
      <w:r>
        <w:rPr/>
        <w:br w:type="column"/>
      </w:r>
      <w:r>
        <w:rPr>
          <w:sz w:val="51"/>
        </w:rPr>
      </w:r>
    </w:p>
    <w:p>
      <w:pPr>
        <w:spacing w:before="0"/>
        <w:ind w:left="115" w:right="0" w:firstLine="0"/>
        <w:jc w:val="left"/>
        <w:rPr>
          <w:rFonts w:ascii="Stone Sans II ITC Std X Bd"/>
          <w:b/>
          <w:sz w:val="50"/>
        </w:rPr>
      </w:pPr>
      <w:r>
        <w:rPr>
          <w:rFonts w:ascii="Stone Sans II ITC Std X Bd"/>
          <w:b/>
          <w:w w:val="110"/>
          <w:sz w:val="50"/>
        </w:rPr>
        <w:t>The candidating process</w:t>
      </w:r>
    </w:p>
    <w:p>
      <w:pPr>
        <w:spacing w:after="0"/>
        <w:jc w:val="left"/>
        <w:rPr>
          <w:rFonts w:ascii="Stone Sans II ITC Std X Bd"/>
          <w:sz w:val="50"/>
        </w:rPr>
        <w:sectPr>
          <w:type w:val="continuous"/>
          <w:pgSz w:w="11910" w:h="16840"/>
          <w:pgMar w:top="1580" w:bottom="280" w:left="640" w:right="0"/>
          <w:cols w:num="2" w:equalWidth="0">
            <w:col w:w="1785" w:space="40"/>
            <w:col w:w="9445"/>
          </w:cols>
        </w:sectPr>
      </w:pPr>
    </w:p>
    <w:p>
      <w:pPr>
        <w:pStyle w:val="BodyText"/>
        <w:spacing w:before="7"/>
        <w:rPr>
          <w:rFonts w:ascii="Stone Sans II ITC Std X Bd"/>
          <w:b/>
          <w:sz w:val="10"/>
        </w:rPr>
      </w:pPr>
    </w:p>
    <w:p>
      <w:pPr>
        <w:spacing w:after="0"/>
        <w:rPr>
          <w:rFonts w:ascii="Stone Sans II ITC Std X Bd"/>
          <w:sz w:val="10"/>
        </w:rPr>
        <w:sectPr>
          <w:type w:val="continuous"/>
          <w:pgSz w:w="11910" w:h="16840"/>
          <w:pgMar w:top="1580" w:bottom="280" w:left="640" w:right="0"/>
        </w:sectPr>
      </w:pPr>
    </w:p>
    <w:p>
      <w:pPr>
        <w:pStyle w:val="Heading2"/>
        <w:spacing w:before="95"/>
        <w:ind w:left="574"/>
      </w:pPr>
      <w:r>
        <w:rPr/>
        <w:pict>
          <v:group style="position:absolute;margin-left:58.346001pt;margin-top:18.447426pt;width:331.7pt;height:206.85pt;mso-position-horizontal-relative:page;mso-position-vertical-relative:paragraph;z-index:-267674624" coordorigin="1167,369" coordsize="6634,4137">
            <v:rect style="position:absolute;left:1174;top:574;width:6392;height:690" filled="false" stroked="true" strokeweight=".75pt" strokecolor="#000000">
              <v:stroke dashstyle="solid"/>
            </v:rect>
            <v:line style="position:absolute" from="2941,1299" to="2981,1299" stroked="true" strokeweight="2.785pt" strokecolor="#0090d4">
              <v:stroke dashstyle="solid"/>
            </v:line>
            <v:rect style="position:absolute;left:1174;top:1441;width:6392;height:911" filled="false" stroked="true" strokeweight=".75pt" strokecolor="#000000">
              <v:stroke dashstyle="solid"/>
            </v:rect>
            <v:shape style="position:absolute;left:2883;top:1251;width:156;height:215" coordorigin="2883,1251" coordsize="156,215" path="m2883,1251l2961,1466,3012,1327,2961,1327,2883,1251xm3039,1251l2961,1327,3012,1327,3039,1251xe" filled="true" fillcolor="#0090d4" stroked="false">
              <v:path arrowok="t"/>
              <v:fill type="solid"/>
            </v:shape>
            <v:line style="position:absolute" from="2941,2408" to="2981,2408" stroked="true" strokeweight="2.785pt" strokecolor="#0090d4">
              <v:stroke dashstyle="solid"/>
            </v:line>
            <v:shape style="position:absolute;left:2883;top:2360;width:156;height:215" coordorigin="2883,2360" coordsize="156,215" path="m2883,2360l2961,2575,3012,2436,2961,2436,2883,2360xm3039,2360l2961,2436,3012,2436,3039,2360xe" filled="true" fillcolor="#0090d4" stroked="false">
              <v:path arrowok="t"/>
              <v:fill type="solid"/>
            </v:shape>
            <v:line style="position:absolute" from="2941,417" to="2981,417" stroked="true" strokeweight="2.785pt" strokecolor="#0090d4">
              <v:stroke dashstyle="solid"/>
            </v:line>
            <v:shape style="position:absolute;left:2883;top:368;width:156;height:215" coordorigin="2883,369" coordsize="156,215" path="m2883,369l2961,583,3012,445,2961,445,2883,369xm3039,369l2961,445,3012,445,3039,369xe" filled="true" fillcolor="#0090d4" stroked="false">
              <v:path arrowok="t"/>
              <v:fill type="solid"/>
            </v:shape>
            <v:shape style="position:absolute;left:1174;top:2547;width:6619;height:1951" type="#_x0000_t202" filled="false" stroked="true" strokeweight=".75pt" strokecolor="#000000">
              <v:textbox inset="0,0,0,0">
                <w:txbxContent>
                  <w:p>
                    <w:pPr>
                      <w:spacing w:line="278" w:lineRule="auto" w:before="115"/>
                      <w:ind w:left="103" w:right="514" w:firstLine="0"/>
                      <w:jc w:val="left"/>
                      <w:rPr>
                        <w:sz w:val="17"/>
                      </w:rPr>
                    </w:pPr>
                    <w:r>
                      <w:rPr>
                        <w:w w:val="120"/>
                        <w:sz w:val="17"/>
                      </w:rPr>
                      <w:t>Arrangements made for candidates for the ministry of Word and Sacraments to conduct an assessed service; a candidate for church related community work to shadow two CRCWs and visit two CRCW projects; all candidates to write reflective accounts on a Church Meeting, and a synod meeting,</w:t>
                    </w:r>
                  </w:p>
                  <w:p>
                    <w:pPr>
                      <w:spacing w:line="278" w:lineRule="auto" w:before="0"/>
                      <w:ind w:left="103" w:right="194" w:firstLine="0"/>
                      <w:jc w:val="left"/>
                      <w:rPr>
                        <w:sz w:val="17"/>
                      </w:rPr>
                    </w:pPr>
                    <w:r>
                      <w:rPr>
                        <w:w w:val="120"/>
                        <w:sz w:val="17"/>
                      </w:rPr>
                      <w:t>(Note that some synods also require candidates for the ministry of Word and Sacraments to shadow a minister or undertake a short placement.)</w:t>
                    </w:r>
                  </w:p>
                </w:txbxContent>
              </v:textbox>
              <v:stroke dashstyle="solid"/>
              <w10:wrap type="none"/>
            </v:shape>
            <v:shape style="position:absolute;left:1181;top:1449;width:6377;height:896" type="#_x0000_t202" filled="false" stroked="false">
              <v:textbox inset="0,0,0,0">
                <w:txbxContent>
                  <w:p>
                    <w:pPr>
                      <w:spacing w:line="278" w:lineRule="auto" w:before="103"/>
                      <w:ind w:left="103" w:right="330" w:firstLine="0"/>
                      <w:jc w:val="left"/>
                      <w:rPr>
                        <w:sz w:val="17"/>
                      </w:rPr>
                    </w:pPr>
                    <w:r>
                      <w:rPr>
                        <w:w w:val="120"/>
                        <w:sz w:val="17"/>
                      </w:rPr>
                      <w:t>Synod candidating secretary receives the candidate’s application form and personal references and contacts ministries office to provisionally book a space at an assessment conference.</w:t>
                    </w:r>
                  </w:p>
                </w:txbxContent>
              </v:textbox>
              <w10:wrap type="none"/>
            </v:shape>
            <v:shape style="position:absolute;left:1181;top:581;width:6377;height:675" type="#_x0000_t202" filled="false" stroked="false">
              <v:textbox inset="0,0,0,0">
                <w:txbxContent>
                  <w:p>
                    <w:pPr>
                      <w:spacing w:line="278" w:lineRule="auto" w:before="64"/>
                      <w:ind w:left="103" w:right="330" w:firstLine="0"/>
                      <w:jc w:val="left"/>
                      <w:rPr>
                        <w:sz w:val="17"/>
                      </w:rPr>
                    </w:pPr>
                    <w:r>
                      <w:rPr>
                        <w:w w:val="120"/>
                        <w:sz w:val="17"/>
                      </w:rPr>
                      <w:t>All pre-assessment criteria met, candidate can proceed synod candidating secretary informed and candidate given application form</w:t>
                    </w:r>
                  </w:p>
                </w:txbxContent>
              </v:textbox>
              <w10:wrap type="none"/>
            </v:shape>
            <w10:wrap type="none"/>
          </v:group>
        </w:pict>
      </w:r>
      <w:r>
        <w:rPr/>
        <w:pict>
          <v:group style="position:absolute;margin-left:336.141693pt;margin-top:10.644127pt;width:53.9pt;height:7.8pt;mso-position-horizontal-relative:page;mso-position-vertical-relative:paragraph;z-index:252103680" coordorigin="6723,213" coordsize="1078,156">
            <v:line style="position:absolute" from="6723,291" to="7662,291" stroked="true" strokeweight="2pt" strokecolor="#0090d4">
              <v:stroke dashstyle="solid"/>
            </v:line>
            <v:shape style="position:absolute;left:7585;top:212;width:215;height:156" coordorigin="7586,213" coordsize="215,156" path="m7586,213l7662,291,7586,369,7800,291,7586,213xe" filled="true" fillcolor="#0090d4" stroked="false">
              <v:path arrowok="t"/>
              <v:fill type="solid"/>
            </v:shape>
            <w10:wrap type="none"/>
          </v:group>
        </w:pict>
      </w:r>
      <w:r>
        <w:rPr>
          <w:w w:val="110"/>
        </w:rPr>
        <w:t>Candidate meets with Synod Moderator</w:t>
      </w:r>
    </w:p>
    <w:p>
      <w:pPr>
        <w:spacing w:line="261" w:lineRule="auto" w:before="176"/>
        <w:ind w:left="574" w:right="998" w:firstLine="0"/>
        <w:jc w:val="left"/>
        <w:rPr>
          <w:i/>
          <w:sz w:val="18"/>
        </w:rPr>
      </w:pPr>
      <w:r>
        <w:rPr/>
        <w:br w:type="column"/>
      </w:r>
      <w:r>
        <w:rPr>
          <w:i/>
          <w:w w:val="110"/>
          <w:sz w:val="18"/>
        </w:rPr>
        <w:t>If the candidate does not meet the </w:t>
      </w:r>
      <w:r>
        <w:rPr>
          <w:i/>
          <w:w w:val="110"/>
          <w:sz w:val="18"/>
        </w:rPr>
        <w:t>pre-assessment criteria the Synod Moderator, with synod ministries committee, candidating secretary and candidate, work on a timetable for the criteria to be fulfilled if they can be. The preassessment criteria are outlined overleaf.</w:t>
      </w:r>
    </w:p>
    <w:p>
      <w:pPr>
        <w:spacing w:after="0" w:line="261" w:lineRule="auto"/>
        <w:jc w:val="left"/>
        <w:rPr>
          <w:sz w:val="18"/>
        </w:rPr>
        <w:sectPr>
          <w:type w:val="continuous"/>
          <w:pgSz w:w="11910" w:h="16840"/>
          <w:pgMar w:top="1580" w:bottom="280" w:left="640" w:right="0"/>
          <w:cols w:num="2" w:equalWidth="0">
            <w:col w:w="5981" w:space="727"/>
            <w:col w:w="4562"/>
          </w:cols>
        </w:sect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spacing w:before="1"/>
        <w:rPr>
          <w:i/>
          <w:sz w:val="16"/>
        </w:rPr>
      </w:pPr>
    </w:p>
    <w:p>
      <w:pPr>
        <w:pStyle w:val="BodyText"/>
        <w:ind w:left="2243"/>
      </w:pPr>
      <w:r>
        <w:rPr/>
        <w:pict>
          <v:group style="width:7.8pt;height:24.25pt;mso-position-horizontal-relative:char;mso-position-vertical-relative:line" coordorigin="0,0" coordsize="156,485">
            <v:line style="position:absolute" from="78,0" to="78,346" stroked="true" strokeweight="2pt" strokecolor="#0090d4">
              <v:stroke dashstyle="solid"/>
            </v:line>
            <v:shape style="position:absolute;left:0;top:270;width:156;height:215" coordorigin="0,270" coordsize="156,215" path="m0,270l78,485,128,346,78,346,0,270xm156,270l78,346,128,346,156,270xe" filled="true" fillcolor="#0090d4" stroked="false">
              <v:path arrowok="t"/>
              <v:fill type="solid"/>
            </v:shape>
          </v:group>
        </w:pict>
      </w:r>
      <w:r>
        <w:rPr/>
      </w:r>
    </w:p>
    <w:p>
      <w:pPr>
        <w:spacing w:after="0"/>
        <w:sectPr>
          <w:type w:val="continuous"/>
          <w:pgSz w:w="11910" w:h="16840"/>
          <w:pgMar w:top="1580" w:bottom="280" w:left="640" w:right="0"/>
        </w:sectPr>
      </w:pPr>
    </w:p>
    <w:p>
      <w:pPr>
        <w:pStyle w:val="Heading2"/>
        <w:spacing w:before="6"/>
        <w:ind w:left="541"/>
      </w:pPr>
      <w:r>
        <w:rPr/>
        <w:pict>
          <v:group style="position:absolute;margin-left:58.819pt;margin-top:13.890896pt;width:320.350pt;height:137.25pt;mso-position-horizontal-relative:page;mso-position-vertical-relative:paragraph;z-index:-267671552" coordorigin="1176,278" coordsize="6407,2745">
            <v:rect style="position:absolute;left:1183;top:464;width:6392;height:690" filled="false" stroked="true" strokeweight=".75pt" strokecolor="#000000">
              <v:stroke dashstyle="solid"/>
            </v:rect>
            <v:line style="position:absolute" from="2941,326" to="2981,326" stroked="true" strokeweight="2.785pt" strokecolor="#0090d4">
              <v:stroke dashstyle="solid"/>
            </v:line>
            <v:shape style="position:absolute;left:2883;top:277;width:156;height:215" coordorigin="2883,278" coordsize="156,215" path="m2883,278l2961,492,3012,354,2961,354,2883,278xm3039,278l2961,354,3012,354,3039,278xe" filled="true" fillcolor="#0090d4" stroked="false">
              <v:path arrowok="t"/>
              <v:fill type="solid"/>
            </v:shape>
            <v:line style="position:absolute" from="2941,1174" to="2981,1174" stroked="true" strokeweight="2.785pt" strokecolor="#0090d4">
              <v:stroke dashstyle="solid"/>
            </v:line>
            <v:rect style="position:absolute;left:1183;top:1283;width:6392;height:1214" filled="false" stroked="true" strokeweight=".75pt" strokecolor="#000000">
              <v:stroke dashstyle="solid"/>
            </v:rect>
            <v:shape style="position:absolute;left:2883;top:1125;width:156;height:215" coordorigin="2883,1126" coordsize="156,215" path="m2883,1126l2961,1340,3012,1202,2961,1202,2883,1126xm3039,1126l2961,1202,3012,1202,3039,1126xe" filled="true" fillcolor="#0090d4" stroked="false">
              <v:path arrowok="t"/>
              <v:fill type="solid"/>
            </v:shape>
            <v:line style="position:absolute" from="2961,2504" to="2961,2884" stroked="true" strokeweight="2pt" strokecolor="#0090d4">
              <v:stroke dashstyle="solid"/>
            </v:line>
            <v:shape style="position:absolute;left:2883;top:2807;width:156;height:215" coordorigin="2883,2808" coordsize="156,215" path="m2883,2808l2961,3022,3012,2884,2961,2884,2883,2808xm3039,2808l2961,2884,3012,2884,3039,2808xe" filled="true" fillcolor="#0090d4" stroked="false">
              <v:path arrowok="t"/>
              <v:fill type="solid"/>
            </v:shape>
            <v:shape style="position:absolute;left:1183;top:1283;width:6392;height:1214" type="#_x0000_t202" filled="false" stroked="true" strokeweight=".75pt" strokecolor="#000000">
              <v:textbox inset="0,0,0,0">
                <w:txbxContent>
                  <w:p>
                    <w:pPr>
                      <w:spacing w:before="118"/>
                      <w:ind w:left="93" w:right="0" w:firstLine="0"/>
                      <w:jc w:val="left"/>
                      <w:rPr>
                        <w:sz w:val="17"/>
                      </w:rPr>
                    </w:pPr>
                    <w:r>
                      <w:rPr>
                        <w:rFonts w:ascii="Stone Sans II ITC Std Bk"/>
                        <w:b/>
                        <w:w w:val="120"/>
                        <w:sz w:val="17"/>
                      </w:rPr>
                      <w:t>Local interview on behalf of synod </w:t>
                    </w:r>
                    <w:r>
                      <w:rPr>
                        <w:w w:val="120"/>
                        <w:sz w:val="17"/>
                      </w:rPr>
                      <w:t>(where held)</w:t>
                    </w:r>
                  </w:p>
                  <w:p>
                    <w:pPr>
                      <w:spacing w:line="278" w:lineRule="auto" w:before="21"/>
                      <w:ind w:left="93" w:right="330" w:firstLine="0"/>
                      <w:jc w:val="left"/>
                      <w:rPr>
                        <w:sz w:val="17"/>
                      </w:rPr>
                    </w:pPr>
                    <w:r>
                      <w:rPr>
                        <w:w w:val="120"/>
                        <w:sz w:val="17"/>
                      </w:rPr>
                      <w:t>The process allows for an additional interview with the candidate to collect local knowledge and opinion of the candidate, which is set in a wider context than that of the local church alone.</w:t>
                    </w:r>
                  </w:p>
                </w:txbxContent>
              </v:textbox>
              <v:stroke dashstyle="solid"/>
              <w10:wrap type="none"/>
            </v:shape>
            <v:shape style="position:absolute;left:1191;top:472;width:6377;height:655" type="#_x0000_t202" filled="false" stroked="false">
              <v:textbox inset="0,0,0,0">
                <w:txbxContent>
                  <w:p>
                    <w:pPr>
                      <w:spacing w:line="278" w:lineRule="auto" w:before="85"/>
                      <w:ind w:left="93" w:right="629" w:firstLine="0"/>
                      <w:jc w:val="left"/>
                      <w:rPr>
                        <w:sz w:val="17"/>
                      </w:rPr>
                    </w:pPr>
                    <w:r>
                      <w:rPr>
                        <w:w w:val="125"/>
                        <w:sz w:val="17"/>
                      </w:rPr>
                      <w:t>Decision to recommend – church secretary sends report to synod candidating secretary</w:t>
                    </w:r>
                  </w:p>
                </w:txbxContent>
              </v:textbox>
              <w10:wrap type="none"/>
            </v:shape>
            <w10:wrap type="none"/>
          </v:group>
        </w:pict>
      </w:r>
      <w:r>
        <w:rPr>
          <w:w w:val="110"/>
        </w:rPr>
        <w:t>Church Meeting interview and decision</w:t>
      </w:r>
    </w:p>
    <w:p>
      <w:pPr>
        <w:spacing w:before="57"/>
        <w:ind w:left="541" w:right="0" w:firstLine="0"/>
        <w:jc w:val="left"/>
        <w:rPr>
          <w:i/>
          <w:sz w:val="18"/>
        </w:rPr>
      </w:pPr>
      <w:r>
        <w:rPr/>
        <w:br w:type="column"/>
      </w:r>
      <w:r>
        <w:rPr>
          <w:i/>
          <w:w w:val="110"/>
          <w:sz w:val="18"/>
        </w:rPr>
        <w:t>Decision not to recommend</w:t>
      </w:r>
    </w:p>
    <w:p>
      <w:pPr>
        <w:spacing w:line="261" w:lineRule="auto" w:before="20"/>
        <w:ind w:left="541" w:right="1550" w:firstLine="0"/>
        <w:jc w:val="left"/>
        <w:rPr>
          <w:i/>
          <w:sz w:val="18"/>
        </w:rPr>
      </w:pPr>
      <w:r>
        <w:rPr/>
        <w:pict>
          <v:group style="position:absolute;margin-left:331.122101pt;margin-top:-8.334279pt;width:55.35pt;height:7.8pt;mso-position-horizontal-relative:page;mso-position-vertical-relative:paragraph;z-index:252091392" coordorigin="6622,-167" coordsize="1107,156">
            <v:line style="position:absolute" from="6622,-89" to="7591,-89" stroked="true" strokeweight="2pt" strokecolor="#0090d4">
              <v:stroke dashstyle="solid"/>
            </v:line>
            <v:shape style="position:absolute;left:7514;top:-167;width:215;height:156" coordorigin="7515,-167" coordsize="215,156" path="m7515,-167l7591,-89,7515,-11,7729,-89,7515,-167xe" filled="true" fillcolor="#0090d4" stroked="false">
              <v:path arrowok="t"/>
              <v:fill type="solid"/>
            </v:shape>
            <w10:wrap type="none"/>
          </v:group>
        </w:pict>
      </w:r>
      <w:r>
        <w:rPr>
          <w:i/>
          <w:w w:val="115"/>
          <w:sz w:val="18"/>
        </w:rPr>
        <w:t>– minister and elders need to </w:t>
      </w:r>
      <w:r>
        <w:rPr>
          <w:i/>
          <w:w w:val="115"/>
          <w:sz w:val="18"/>
        </w:rPr>
        <w:t>debrief and help candidate explore vocation in a different way.</w:t>
      </w:r>
    </w:p>
    <w:p>
      <w:pPr>
        <w:spacing w:after="0" w:line="261" w:lineRule="auto"/>
        <w:jc w:val="left"/>
        <w:rPr>
          <w:sz w:val="18"/>
        </w:rPr>
        <w:sectPr>
          <w:type w:val="continuous"/>
          <w:pgSz w:w="11910" w:h="16840"/>
          <w:pgMar w:top="1580" w:bottom="280" w:left="640" w:right="0"/>
          <w:cols w:num="2" w:equalWidth="0">
            <w:col w:w="5872" w:space="856"/>
            <w:col w:w="4542"/>
          </w:cols>
        </w:sect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spacing w:after="0"/>
        <w:sectPr>
          <w:type w:val="continuous"/>
          <w:pgSz w:w="11910" w:h="16840"/>
          <w:pgMar w:top="1580" w:bottom="280" w:left="640" w:right="0"/>
        </w:sectPr>
      </w:pPr>
    </w:p>
    <w:p>
      <w:pPr>
        <w:pStyle w:val="Heading2"/>
        <w:spacing w:before="244"/>
        <w:ind w:left="560"/>
      </w:pPr>
      <w:r>
        <w:rPr/>
        <w:pict>
          <v:group style="position:absolute;margin-left:268.228302pt;margin-top:19.34111pt;width:125.8pt;height:7.8pt;mso-position-horizontal-relative:page;mso-position-vertical-relative:paragraph;z-index:252104704" coordorigin="5365,387" coordsize="2516,156">
            <v:line style="position:absolute" from="5365,465" to="7742,465" stroked="true" strokeweight="2pt" strokecolor="#0090d4">
              <v:stroke dashstyle="solid"/>
            </v:line>
            <v:shape style="position:absolute;left:7665;top:386;width:215;height:156" coordorigin="7666,387" coordsize="215,156" path="m7666,387l7742,465,7666,543,7880,465,7666,387xe" filled="true" fillcolor="#0090d4" stroked="false">
              <v:path arrowok="t"/>
              <v:fill type="solid"/>
            </v:shape>
            <w10:wrap type="none"/>
          </v:group>
        </w:pict>
      </w:r>
      <w:r>
        <w:rPr/>
        <w:pict>
          <v:group style="position:absolute;margin-left:144.164505pt;margin-top:25.270611pt;width:7.8pt;height:10.75pt;mso-position-horizontal-relative:page;mso-position-vertical-relative:paragraph;z-index:-267664384" coordorigin="2883,505" coordsize="156,215">
            <v:line style="position:absolute" from="2941,554" to="2981,554" stroked="true" strokeweight="2.785pt" strokecolor="#0090d4">
              <v:stroke dashstyle="solid"/>
            </v:line>
            <v:shape style="position:absolute;left:2883;top:505;width:156;height:215" coordorigin="2883,505" coordsize="156,215" path="m2883,505l2961,720,3012,581,2961,581,2883,505xm3039,505l2961,581,3012,581,3039,505xe" filled="true" fillcolor="#0090d4" stroked="false">
              <v:path arrowok="t"/>
              <v:fill type="solid"/>
            </v:shape>
            <w10:wrap type="none"/>
          </v:group>
        </w:pict>
      </w:r>
      <w:r>
        <w:rPr/>
        <w:pict>
          <v:shape style="position:absolute;margin-left:59.194pt;margin-top:35.661812pt;width:319.6pt;height:32.7pt;mso-position-horizontal-relative:page;mso-position-vertical-relative:paragraph;z-index:252107776" type="#_x0000_t202" filled="false" stroked="true" strokeweight=".75pt" strokecolor="#000000">
            <v:textbox inset="0,0,0,0">
              <w:txbxContent>
                <w:p>
                  <w:pPr>
                    <w:spacing w:line="278" w:lineRule="auto" w:before="101"/>
                    <w:ind w:left="93" w:right="330" w:firstLine="0"/>
                    <w:jc w:val="left"/>
                    <w:rPr>
                      <w:sz w:val="17"/>
                    </w:rPr>
                  </w:pPr>
                  <w:r>
                    <w:rPr>
                      <w:w w:val="120"/>
                      <w:sz w:val="17"/>
                    </w:rPr>
                    <w:t>Decision to recommend – synod candidating secretary notifies ministries office and candidates papers sent to ministries office.</w:t>
                  </w:r>
                </w:p>
              </w:txbxContent>
            </v:textbox>
            <v:stroke dashstyle="solid"/>
            <w10:wrap type="none"/>
          </v:shape>
        </w:pict>
      </w:r>
      <w:r>
        <w:rPr>
          <w:w w:val="110"/>
        </w:rPr>
        <w:t>Synod interview and decision</w:t>
      </w:r>
    </w:p>
    <w:p>
      <w:pPr>
        <w:pStyle w:val="BodyText"/>
        <w:rPr>
          <w:rFonts w:ascii="Stone Sans II ITC Std Bk"/>
          <w:b/>
          <w:sz w:val="30"/>
        </w:rPr>
      </w:pPr>
    </w:p>
    <w:p>
      <w:pPr>
        <w:pStyle w:val="BodyText"/>
        <w:spacing w:before="6"/>
        <w:rPr>
          <w:rFonts w:ascii="Stone Sans II ITC Std Bk"/>
          <w:b/>
          <w:sz w:val="40"/>
        </w:rPr>
      </w:pPr>
    </w:p>
    <w:p>
      <w:pPr>
        <w:pStyle w:val="Heading2"/>
        <w:ind w:left="536"/>
      </w:pPr>
      <w:r>
        <w:rPr/>
        <w:pict>
          <v:group style="position:absolute;margin-left:58.819pt;margin-top:15.793601pt;width:372.05pt;height:214.45pt;mso-position-horizontal-relative:page;mso-position-vertical-relative:paragraph;z-index:252102656" coordorigin="1176,316" coordsize="7441,4289">
            <v:rect style="position:absolute;left:1183;top:416;width:6392;height:2026" filled="false" stroked="true" strokeweight=".75pt" strokecolor="#000000">
              <v:stroke dashstyle="solid"/>
            </v:rect>
            <v:line style="position:absolute" from="2941,2454" to="2981,2454" stroked="true" strokeweight="2.785pt" strokecolor="#0090d4">
              <v:stroke dashstyle="solid"/>
            </v:line>
            <v:rect style="position:absolute;left:1183;top:2570;width:6392;height:911" filled="false" stroked="true" strokeweight=".75pt" strokecolor="#000000">
              <v:stroke dashstyle="solid"/>
            </v:rect>
            <v:line style="position:absolute" from="7583,3019" to="8479,3019" stroked="true" strokeweight="2pt" strokecolor="#0090d4">
              <v:stroke dashstyle="solid"/>
            </v:line>
            <v:shape style="position:absolute;left:2883;top:2405;width:5735;height:692" coordorigin="2883,2406" coordsize="5735,692" path="m3039,2406l2961,2481,2883,2406,2961,2620,3012,2481,3039,2406m8617,3019l8403,2941,8479,3019,8403,3097,8617,3019e" filled="true" fillcolor="#0090d4" stroked="false">
              <v:path arrowok="t"/>
              <v:fill type="solid"/>
            </v:shape>
            <v:line style="position:absolute" from="2941,3498" to="2981,3498" stroked="true" strokeweight="2.785pt" strokecolor="#0090d4">
              <v:stroke dashstyle="solid"/>
            </v:line>
            <v:shape style="position:absolute;left:2883;top:3449;width:156;height:215" coordorigin="2883,3450" coordsize="156,215" path="m2883,3450l2961,3664,3012,3526,2961,3526,2883,3450xm3039,3450l2961,3526,3012,3526,3039,3450xe" filled="true" fillcolor="#0090d4" stroked="false">
              <v:path arrowok="t"/>
              <v:fill type="solid"/>
            </v:shape>
            <v:line style="position:absolute" from="2941,364" to="2981,364" stroked="true" strokeweight="2.785pt" strokecolor="#0090d4">
              <v:stroke dashstyle="solid"/>
            </v:line>
            <v:shape style="position:absolute;left:2883;top:315;width:156;height:215" coordorigin="2883,316" coordsize="156,215" path="m2883,316l2961,530,3012,392,2961,392,2883,316xm3039,316l2961,392,3012,392,3039,316xe" filled="true" fillcolor="#0090d4" stroked="false">
              <v:path arrowok="t"/>
              <v:fill type="solid"/>
            </v:shape>
            <v:shape style="position:absolute;left:1176;top:315;width:7441;height:3349" type="#_x0000_t202" filled="false" stroked="false">
              <v:textbox inset="0,0,0,0">
                <w:txbxContent>
                  <w:p>
                    <w:pPr>
                      <w:spacing w:line="278" w:lineRule="auto" w:before="166"/>
                      <w:ind w:left="113" w:right="1345" w:firstLine="0"/>
                      <w:jc w:val="left"/>
                      <w:rPr>
                        <w:sz w:val="17"/>
                      </w:rPr>
                    </w:pPr>
                    <w:r>
                      <w:rPr>
                        <w:w w:val="120"/>
                        <w:sz w:val="17"/>
                      </w:rPr>
                      <w:t>This takes place over a weekend (Friday lunchtime until Sunday morning) and includes interviews with assessors and a panel representing education and learning.</w:t>
                    </w:r>
                  </w:p>
                  <w:p>
                    <w:pPr>
                      <w:spacing w:line="278" w:lineRule="auto" w:before="0"/>
                      <w:ind w:left="113" w:right="2052" w:firstLine="0"/>
                      <w:jc w:val="both"/>
                      <w:rPr>
                        <w:sz w:val="17"/>
                      </w:rPr>
                    </w:pPr>
                    <w:r>
                      <w:rPr>
                        <w:w w:val="120"/>
                        <w:sz w:val="17"/>
                      </w:rPr>
                      <w:t>Prior to the conference candidates will have been required to complete an online assessment, the outcome of which will be discussed with a personal development officer.</w:t>
                    </w:r>
                  </w:p>
                  <w:p>
                    <w:pPr>
                      <w:spacing w:line="278" w:lineRule="auto" w:before="0"/>
                      <w:ind w:left="113" w:right="1647" w:firstLine="0"/>
                      <w:jc w:val="both"/>
                      <w:rPr>
                        <w:sz w:val="17"/>
                      </w:rPr>
                    </w:pPr>
                    <w:r>
                      <w:rPr>
                        <w:w w:val="120"/>
                        <w:sz w:val="17"/>
                      </w:rPr>
                      <w:t>A CRCW candidate will be required to give a short presentation to the assessors.</w:t>
                    </w:r>
                  </w:p>
                </w:txbxContent>
              </v:textbox>
              <w10:wrap type="none"/>
            </v:shape>
            <v:shape style="position:absolute;left:1191;top:2578;width:6377;height:876" type="#_x0000_t202" filled="false" stroked="false">
              <v:textbox inset="0,0,0,0">
                <w:txbxContent>
                  <w:p>
                    <w:pPr>
                      <w:spacing w:line="278" w:lineRule="auto" w:before="124"/>
                      <w:ind w:left="93" w:right="330" w:firstLine="0"/>
                      <w:jc w:val="left"/>
                      <w:rPr>
                        <w:sz w:val="17"/>
                      </w:rPr>
                    </w:pPr>
                    <w:r>
                      <w:rPr>
                        <w:w w:val="120"/>
                        <w:sz w:val="17"/>
                      </w:rPr>
                      <w:t>After the conference, members of the assessment board will meet the candidate at the relevant synod office on a date previously agreed with synod and candidate within eight to 12 days of the conference.</w:t>
                    </w:r>
                  </w:p>
                </w:txbxContent>
              </v:textbox>
              <w10:wrap type="none"/>
            </v:shape>
            <v:shape style="position:absolute;left:1183;top:3629;width:6392;height:968" type="#_x0000_t202" filled="false" stroked="true" strokeweight=".75pt" strokecolor="#000000">
              <v:textbox inset="0,0,0,0">
                <w:txbxContent>
                  <w:p>
                    <w:pPr>
                      <w:spacing w:line="278" w:lineRule="auto" w:before="147"/>
                      <w:ind w:left="93" w:right="108" w:firstLine="0"/>
                      <w:jc w:val="both"/>
                      <w:rPr>
                        <w:sz w:val="17"/>
                      </w:rPr>
                    </w:pPr>
                    <w:r>
                      <w:rPr>
                        <w:w w:val="125"/>
                        <w:sz w:val="17"/>
                      </w:rPr>
                      <w:t>Decision</w:t>
                    </w:r>
                    <w:r>
                      <w:rPr>
                        <w:spacing w:val="-5"/>
                        <w:w w:val="125"/>
                        <w:sz w:val="17"/>
                      </w:rPr>
                      <w:t> </w:t>
                    </w:r>
                    <w:r>
                      <w:rPr>
                        <w:w w:val="125"/>
                        <w:sz w:val="17"/>
                      </w:rPr>
                      <w:t>yes,</w:t>
                    </w:r>
                    <w:r>
                      <w:rPr>
                        <w:spacing w:val="-5"/>
                        <w:w w:val="125"/>
                        <w:sz w:val="17"/>
                      </w:rPr>
                      <w:t> </w:t>
                    </w:r>
                    <w:r>
                      <w:rPr>
                        <w:w w:val="125"/>
                        <w:sz w:val="17"/>
                      </w:rPr>
                      <w:t>candidate</w:t>
                    </w:r>
                    <w:r>
                      <w:rPr>
                        <w:spacing w:val="-4"/>
                        <w:w w:val="125"/>
                        <w:sz w:val="17"/>
                      </w:rPr>
                      <w:t> </w:t>
                    </w:r>
                    <w:r>
                      <w:rPr>
                        <w:w w:val="125"/>
                        <w:sz w:val="17"/>
                      </w:rPr>
                      <w:t>is</w:t>
                    </w:r>
                    <w:r>
                      <w:rPr>
                        <w:spacing w:val="-5"/>
                        <w:w w:val="125"/>
                        <w:sz w:val="17"/>
                      </w:rPr>
                      <w:t> </w:t>
                    </w:r>
                    <w:r>
                      <w:rPr>
                        <w:w w:val="125"/>
                        <w:sz w:val="17"/>
                      </w:rPr>
                      <w:t>offered</w:t>
                    </w:r>
                    <w:r>
                      <w:rPr>
                        <w:spacing w:val="-4"/>
                        <w:w w:val="125"/>
                        <w:sz w:val="17"/>
                      </w:rPr>
                      <w:t> </w:t>
                    </w:r>
                    <w:r>
                      <w:rPr>
                        <w:w w:val="125"/>
                        <w:sz w:val="17"/>
                      </w:rPr>
                      <w:t>a</w:t>
                    </w:r>
                    <w:r>
                      <w:rPr>
                        <w:spacing w:val="-5"/>
                        <w:w w:val="125"/>
                        <w:sz w:val="17"/>
                      </w:rPr>
                      <w:t> </w:t>
                    </w:r>
                    <w:r>
                      <w:rPr>
                        <w:w w:val="125"/>
                        <w:sz w:val="17"/>
                      </w:rPr>
                      <w:t>training</w:t>
                    </w:r>
                    <w:r>
                      <w:rPr>
                        <w:spacing w:val="-4"/>
                        <w:w w:val="125"/>
                        <w:sz w:val="17"/>
                      </w:rPr>
                      <w:t> </w:t>
                    </w:r>
                    <w:r>
                      <w:rPr>
                        <w:w w:val="125"/>
                        <w:sz w:val="17"/>
                      </w:rPr>
                      <w:t>place</w:t>
                    </w:r>
                    <w:r>
                      <w:rPr>
                        <w:spacing w:val="-5"/>
                        <w:w w:val="125"/>
                        <w:sz w:val="17"/>
                      </w:rPr>
                      <w:t> </w:t>
                    </w:r>
                    <w:r>
                      <w:rPr>
                        <w:w w:val="125"/>
                        <w:sz w:val="17"/>
                      </w:rPr>
                      <w:t>subject</w:t>
                    </w:r>
                    <w:r>
                      <w:rPr>
                        <w:spacing w:val="-4"/>
                        <w:w w:val="125"/>
                        <w:sz w:val="17"/>
                      </w:rPr>
                      <w:t> </w:t>
                    </w:r>
                    <w:r>
                      <w:rPr>
                        <w:w w:val="125"/>
                        <w:sz w:val="17"/>
                      </w:rPr>
                      <w:t>to</w:t>
                    </w:r>
                    <w:r>
                      <w:rPr>
                        <w:spacing w:val="-5"/>
                        <w:w w:val="125"/>
                        <w:sz w:val="17"/>
                      </w:rPr>
                      <w:t> </w:t>
                    </w:r>
                    <w:r>
                      <w:rPr>
                        <w:w w:val="125"/>
                        <w:sz w:val="17"/>
                      </w:rPr>
                      <w:t>completion of the required medical and psychological screenings and a </w:t>
                    </w:r>
                    <w:r>
                      <w:rPr>
                        <w:spacing w:val="2"/>
                        <w:w w:val="125"/>
                        <w:sz w:val="17"/>
                      </w:rPr>
                      <w:t>satisfactory </w:t>
                    </w:r>
                    <w:r>
                      <w:rPr>
                        <w:w w:val="125"/>
                        <w:sz w:val="17"/>
                      </w:rPr>
                      <w:t>criminal record check.</w:t>
                    </w:r>
                  </w:p>
                </w:txbxContent>
              </v:textbox>
              <v:stroke dashstyle="solid"/>
              <w10:wrap type="none"/>
            </v:shape>
            <w10:wrap type="none"/>
          </v:group>
        </w:pict>
      </w:r>
      <w:r>
        <w:rPr/>
        <w:pict>
          <v:group style="position:absolute;margin-left:144.164505pt;margin-top:-7.283899pt;width:7.8pt;height:10.75pt;mso-position-horizontal-relative:page;mso-position-vertical-relative:paragraph;z-index:-267663360" coordorigin="2883,-146" coordsize="156,215">
            <v:line style="position:absolute" from="2941,-98" to="2981,-98" stroked="true" strokeweight="2.785pt" strokecolor="#0090d4">
              <v:stroke dashstyle="solid"/>
            </v:line>
            <v:shape style="position:absolute;left:2883;top:-146;width:156;height:215" coordorigin="2883,-146" coordsize="156,215" path="m2883,-146l2961,69,3012,-70,2961,-70,2883,-146xm3039,-146l2961,-70,3012,-70,3039,-146xe" filled="true" fillcolor="#0090d4" stroked="false">
              <v:path arrowok="t"/>
              <v:fill type="solid"/>
            </v:shape>
            <w10:wrap type="none"/>
          </v:group>
        </w:pict>
      </w:r>
      <w:r>
        <w:rPr>
          <w:w w:val="110"/>
        </w:rPr>
        <w:t>Assessment conference</w:t>
      </w:r>
    </w:p>
    <w:p>
      <w:pPr>
        <w:pStyle w:val="BodyText"/>
        <w:spacing w:before="11"/>
        <w:rPr>
          <w:rFonts w:ascii="Stone Sans II ITC Std Bk"/>
          <w:b/>
          <w:sz w:val="23"/>
        </w:rPr>
      </w:pPr>
      <w:r>
        <w:rPr/>
        <w:br w:type="column"/>
      </w:r>
      <w:r>
        <w:rPr>
          <w:rFonts w:ascii="Stone Sans II ITC Std Bk"/>
          <w:b/>
          <w:sz w:val="23"/>
        </w:rPr>
      </w:r>
    </w:p>
    <w:p>
      <w:pPr>
        <w:spacing w:line="261" w:lineRule="auto" w:before="0"/>
        <w:ind w:left="536" w:right="1032" w:firstLine="0"/>
        <w:jc w:val="left"/>
        <w:rPr>
          <w:i/>
          <w:sz w:val="18"/>
        </w:rPr>
      </w:pPr>
      <w:r>
        <w:rPr>
          <w:i/>
          <w:w w:val="115"/>
          <w:sz w:val="18"/>
        </w:rPr>
        <w:t>Decision not to recommend – </w:t>
      </w:r>
      <w:r>
        <w:rPr>
          <w:i/>
          <w:w w:val="115"/>
          <w:sz w:val="18"/>
        </w:rPr>
        <w:t>candidate needs to be debriefed and helped to explore vocation in a different way. Ministries office informed that the candidature has come to an end.</w:t>
      </w:r>
    </w:p>
    <w:p>
      <w:pPr>
        <w:spacing w:after="0" w:line="261" w:lineRule="auto"/>
        <w:jc w:val="left"/>
        <w:rPr>
          <w:sz w:val="18"/>
        </w:rPr>
        <w:sectPr>
          <w:type w:val="continuous"/>
          <w:pgSz w:w="11910" w:h="16840"/>
          <w:pgMar w:top="1580" w:bottom="280" w:left="640" w:right="0"/>
          <w:cols w:num="2" w:equalWidth="0">
            <w:col w:w="4546" w:space="2349"/>
            <w:col w:w="4375"/>
          </w:cols>
        </w:sect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spacing w:before="11"/>
        <w:rPr>
          <w:i/>
          <w:sz w:val="18"/>
        </w:rPr>
      </w:pPr>
    </w:p>
    <w:p>
      <w:pPr>
        <w:spacing w:after="0"/>
        <w:rPr>
          <w:sz w:val="18"/>
        </w:rPr>
        <w:sectPr>
          <w:type w:val="continuous"/>
          <w:pgSz w:w="11910" w:h="16840"/>
          <w:pgMar w:top="1580" w:bottom="280" w:left="640" w:right="0"/>
        </w:sectPr>
      </w:pPr>
    </w:p>
    <w:p>
      <w:pPr>
        <w:pStyle w:val="BodyText"/>
        <w:rPr>
          <w:i/>
          <w:sz w:val="30"/>
        </w:rPr>
      </w:pPr>
      <w:r>
        <w:rPr/>
        <w:drawing>
          <wp:anchor distT="0" distB="0" distL="0" distR="0" allowOverlap="1" layoutInCell="1" locked="0" behindDoc="1" simplePos="0" relativeHeight="235636736">
            <wp:simplePos x="0" y="0"/>
            <wp:positionH relativeFrom="page">
              <wp:posOffset>0</wp:posOffset>
            </wp:positionH>
            <wp:positionV relativeFrom="page">
              <wp:posOffset>0</wp:posOffset>
            </wp:positionV>
            <wp:extent cx="594067" cy="10692003"/>
            <wp:effectExtent l="0" t="0" r="0" b="0"/>
            <wp:wrapNone/>
            <wp:docPr id="313" name="image67.png"/>
            <wp:cNvGraphicFramePr>
              <a:graphicFrameLocks noChangeAspect="1"/>
            </wp:cNvGraphicFramePr>
            <a:graphic>
              <a:graphicData uri="http://schemas.openxmlformats.org/drawingml/2006/picture">
                <pic:pic>
                  <pic:nvPicPr>
                    <pic:cNvPr id="314" name="image67.png"/>
                    <pic:cNvPicPr/>
                  </pic:nvPicPr>
                  <pic:blipFill>
                    <a:blip r:embed="rId184" cstate="print"/>
                    <a:stretch>
                      <a:fillRect/>
                    </a:stretch>
                  </pic:blipFill>
                  <pic:spPr>
                    <a:xfrm>
                      <a:off x="0" y="0"/>
                      <a:ext cx="594067" cy="10692003"/>
                    </a:xfrm>
                    <a:prstGeom prst="rect">
                      <a:avLst/>
                    </a:prstGeom>
                  </pic:spPr>
                </pic:pic>
              </a:graphicData>
            </a:graphic>
          </wp:anchor>
        </w:drawing>
      </w:r>
      <w:r>
        <w:rPr/>
        <w:pict>
          <v:shape style="position:absolute;margin-left:20.519100pt;margin-top:48.890015pt;width:25.9pt;height:476.35pt;mso-position-horizontal-relative:page;mso-position-vertical-relative:page;z-index:-267661312" type="#_x0000_t202" filled="false" stroked="false">
            <v:textbox inset="0,0,0,0" style="layout-flow:vertical">
              <w:txbxContent>
                <w:p>
                  <w:pPr>
                    <w:spacing w:before="27"/>
                    <w:ind w:left="20" w:right="0" w:firstLine="0"/>
                    <w:jc w:val="left"/>
                    <w:rPr>
                      <w:sz w:val="39"/>
                    </w:rPr>
                  </w:pPr>
                  <w:r>
                    <w:rPr>
                      <w:color w:val="FFFFFF"/>
                      <w:w w:val="125"/>
                      <w:sz w:val="39"/>
                    </w:rPr>
                    <w:t>Ministries – </w:t>
                  </w:r>
                  <w:r>
                    <w:rPr>
                      <w:w w:val="125"/>
                      <w:sz w:val="39"/>
                    </w:rPr>
                    <w:t>Assessment procedure </w:t>
                  </w:r>
                  <w:r>
                    <w:rPr>
                      <w:color w:val="FFFFFF"/>
                      <w:w w:val="125"/>
                      <w:sz w:val="39"/>
                    </w:rPr>
                    <w:t>– </w:t>
                  </w:r>
                  <w:r>
                    <w:rPr>
                      <w:w w:val="125"/>
                      <w:sz w:val="39"/>
                    </w:rPr>
                    <w:t>Appendix</w:t>
                  </w:r>
                </w:p>
              </w:txbxContent>
            </v:textbox>
            <w10:wrap type="none"/>
          </v:shape>
        </w:pict>
      </w:r>
    </w:p>
    <w:p>
      <w:pPr>
        <w:pStyle w:val="BodyText"/>
        <w:rPr>
          <w:i/>
          <w:sz w:val="30"/>
        </w:rPr>
      </w:pPr>
    </w:p>
    <w:p>
      <w:pPr>
        <w:pStyle w:val="BodyText"/>
        <w:rPr>
          <w:i/>
          <w:sz w:val="30"/>
        </w:rPr>
      </w:pPr>
    </w:p>
    <w:p>
      <w:pPr>
        <w:pStyle w:val="BodyText"/>
        <w:rPr>
          <w:i/>
          <w:sz w:val="30"/>
        </w:rPr>
      </w:pPr>
    </w:p>
    <w:p>
      <w:pPr>
        <w:pStyle w:val="BodyText"/>
        <w:spacing w:before="3"/>
        <w:rPr>
          <w:i/>
          <w:sz w:val="42"/>
        </w:rPr>
      </w:pPr>
    </w:p>
    <w:p>
      <w:pPr>
        <w:pStyle w:val="Heading6"/>
        <w:spacing w:before="0"/>
        <w:ind w:left="607"/>
      </w:pPr>
      <w:r>
        <w:rPr>
          <w:rFonts w:ascii="Stone Sans II ITC Std X Bd" w:hAnsi="Stone Sans II ITC Std X Bd"/>
          <w:b/>
          <w:w w:val="110"/>
          <w:sz w:val="24"/>
        </w:rPr>
        <w:t>166 </w:t>
      </w:r>
      <w:r>
        <w:rPr>
          <w:rFonts w:ascii="Symbol" w:hAnsi="Symbol"/>
          <w:color w:val="7EAABF"/>
          <w:w w:val="110"/>
        </w:rPr>
        <w:t></w:t>
      </w:r>
      <w:r>
        <w:rPr>
          <w:rFonts w:ascii="Times New Roman" w:hAnsi="Times New Roman"/>
          <w:color w:val="7EAABF"/>
          <w:w w:val="110"/>
        </w:rPr>
        <w:t> </w:t>
      </w:r>
      <w:r>
        <w:rPr>
          <w:color w:val="7EAABF"/>
          <w:w w:val="110"/>
        </w:rPr>
        <w:t>United Reformed Church </w:t>
      </w:r>
      <w:r>
        <w:rPr>
          <w:rFonts w:ascii="Symbol" w:hAnsi="Symbol"/>
          <w:color w:val="7EAABF"/>
          <w:w w:val="110"/>
        </w:rPr>
        <w:t></w:t>
      </w:r>
      <w:r>
        <w:rPr>
          <w:rFonts w:ascii="Times New Roman" w:hAnsi="Times New Roman"/>
          <w:color w:val="7EAABF"/>
          <w:w w:val="110"/>
        </w:rPr>
        <w:t> </w:t>
      </w:r>
      <w:r>
        <w:rPr>
          <w:color w:val="7EAABF"/>
          <w:w w:val="110"/>
        </w:rPr>
        <w:t>General Assembly 2016</w:t>
      </w:r>
    </w:p>
    <w:p>
      <w:pPr>
        <w:spacing w:line="261" w:lineRule="auto" w:before="103"/>
        <w:ind w:left="607" w:right="1068" w:firstLine="0"/>
        <w:jc w:val="left"/>
        <w:rPr>
          <w:i/>
          <w:sz w:val="18"/>
        </w:rPr>
      </w:pPr>
      <w:r>
        <w:rPr/>
        <w:br w:type="column"/>
      </w:r>
      <w:r>
        <w:rPr>
          <w:i/>
          <w:w w:val="110"/>
          <w:sz w:val="18"/>
        </w:rPr>
        <w:t>Decision not to send for </w:t>
      </w:r>
      <w:r>
        <w:rPr>
          <w:i/>
          <w:w w:val="110"/>
          <w:sz w:val="18"/>
        </w:rPr>
        <w:t>training – the synod and local church should help the candidate explore vocation and other opportunities for service. A candidate may appeal against the process or reapply after two years</w:t>
      </w:r>
    </w:p>
    <w:p>
      <w:pPr>
        <w:spacing w:after="0" w:line="261" w:lineRule="auto"/>
        <w:jc w:val="left"/>
        <w:rPr>
          <w:sz w:val="18"/>
        </w:rPr>
        <w:sectPr>
          <w:type w:val="continuous"/>
          <w:pgSz w:w="11910" w:h="16840"/>
          <w:pgMar w:top="1580" w:bottom="280" w:left="640" w:right="0"/>
          <w:cols w:num="2" w:equalWidth="0">
            <w:col w:w="6948" w:space="559"/>
            <w:col w:w="3763"/>
          </w:cols>
        </w:sectPr>
      </w:pPr>
    </w:p>
    <w:p>
      <w:pPr>
        <w:pStyle w:val="BodyText"/>
        <w:rPr>
          <w:i/>
        </w:rPr>
      </w:pPr>
      <w:r>
        <w:rPr/>
        <w:pict>
          <v:rect style="position:absolute;margin-left:1.417pt;margin-top:.000015pt;width:547.79pt;height:841.89pt;mso-position-horizontal-relative:page;mso-position-vertical-relative:page;z-index:-267660288" filled="true" fillcolor="#d4e9f7" stroked="false">
            <v:fill type="solid"/>
            <w10:wrap type="none"/>
          </v:rect>
        </w:pict>
      </w:r>
      <w:r>
        <w:rPr/>
        <w:drawing>
          <wp:anchor distT="0" distB="0" distL="0" distR="0" allowOverlap="1" layoutInCell="1" locked="0" behindDoc="0" simplePos="0" relativeHeight="252110848">
            <wp:simplePos x="0" y="0"/>
            <wp:positionH relativeFrom="page">
              <wp:posOffset>6974928</wp:posOffset>
            </wp:positionH>
            <wp:positionV relativeFrom="page">
              <wp:posOffset>0</wp:posOffset>
            </wp:positionV>
            <wp:extent cx="585063" cy="10692003"/>
            <wp:effectExtent l="0" t="0" r="0" b="0"/>
            <wp:wrapNone/>
            <wp:docPr id="315" name="image54.png"/>
            <wp:cNvGraphicFramePr>
              <a:graphicFrameLocks noChangeAspect="1"/>
            </wp:cNvGraphicFramePr>
            <a:graphic>
              <a:graphicData uri="http://schemas.openxmlformats.org/drawingml/2006/picture">
                <pic:pic>
                  <pic:nvPicPr>
                    <pic:cNvPr id="316" name="image54.png"/>
                    <pic:cNvPicPr/>
                  </pic:nvPicPr>
                  <pic:blipFill>
                    <a:blip r:embed="rId169" cstate="print"/>
                    <a:stretch>
                      <a:fillRect/>
                    </a:stretch>
                  </pic:blipFill>
                  <pic:spPr>
                    <a:xfrm>
                      <a:off x="0" y="0"/>
                      <a:ext cx="585063" cy="10692003"/>
                    </a:xfrm>
                    <a:prstGeom prst="rect">
                      <a:avLst/>
                    </a:prstGeom>
                  </pic:spPr>
                </pic:pic>
              </a:graphicData>
            </a:graphic>
          </wp:anchor>
        </w:drawing>
      </w:r>
    </w:p>
    <w:p>
      <w:pPr>
        <w:pStyle w:val="BodyText"/>
        <w:rPr>
          <w:i/>
        </w:rPr>
      </w:pPr>
    </w:p>
    <w:p>
      <w:pPr>
        <w:pStyle w:val="BodyText"/>
        <w:rPr>
          <w:i/>
        </w:rPr>
      </w:pPr>
    </w:p>
    <w:p>
      <w:pPr>
        <w:pStyle w:val="BodyText"/>
        <w:spacing w:before="5"/>
        <w:rPr>
          <w:i/>
          <w:sz w:val="28"/>
        </w:rPr>
      </w:pPr>
    </w:p>
    <w:p>
      <w:pPr>
        <w:spacing w:line="638" w:lineRule="exact" w:before="97"/>
        <w:ind w:left="1103" w:right="0" w:firstLine="0"/>
        <w:jc w:val="left"/>
        <w:rPr>
          <w:rFonts w:ascii="Stone Sans II ITC Std X Bd"/>
          <w:b/>
          <w:sz w:val="50"/>
        </w:rPr>
      </w:pPr>
      <w:r>
        <w:rPr/>
        <w:pict>
          <v:shape style="position:absolute;margin-left:554.141174pt;margin-top:-5.998084pt;width:25.9pt;height:78.850pt;mso-position-horizontal-relative:page;mso-position-vertical-relative:paragraph;z-index:252111872" type="#_x0000_t202" filled="false" stroked="false">
            <v:textbox inset="0,0,0,0" style="layout-flow:vertical">
              <w:txbxContent>
                <w:p>
                  <w:pPr>
                    <w:spacing w:before="27"/>
                    <w:ind w:left="20" w:right="0" w:firstLine="0"/>
                    <w:jc w:val="left"/>
                    <w:rPr>
                      <w:sz w:val="39"/>
                    </w:rPr>
                  </w:pPr>
                  <w:r>
                    <w:rPr>
                      <w:color w:val="FFFFFF"/>
                      <w:w w:val="115"/>
                      <w:sz w:val="39"/>
                    </w:rPr>
                    <w:t>Mission</w:t>
                  </w:r>
                </w:p>
              </w:txbxContent>
            </v:textbox>
            <w10:wrap type="none"/>
          </v:shape>
        </w:pict>
      </w:r>
      <w:r>
        <w:rPr>
          <w:rFonts w:ascii="Stone Sans II ITC Std X Bd"/>
          <w:b/>
          <w:color w:val="0090D4"/>
          <w:w w:val="110"/>
          <w:sz w:val="50"/>
        </w:rPr>
        <w:t>Mission committee:</w:t>
      </w:r>
    </w:p>
    <w:p>
      <w:pPr>
        <w:spacing w:line="213" w:lineRule="auto" w:before="18"/>
        <w:ind w:left="1103" w:right="2470" w:firstLine="0"/>
        <w:jc w:val="left"/>
        <w:rPr>
          <w:rFonts w:ascii="Stone Sans II ITC Std X Bd"/>
          <w:b/>
          <w:sz w:val="50"/>
        </w:rPr>
      </w:pPr>
      <w:r>
        <w:rPr>
          <w:rFonts w:ascii="Stone Sans II ITC Std X Bd"/>
          <w:b/>
          <w:w w:val="110"/>
          <w:sz w:val="50"/>
        </w:rPr>
        <w:t>Report to General Assembly 2016</w:t>
      </w:r>
    </w:p>
    <w:p>
      <w:pPr>
        <w:pStyle w:val="Heading4"/>
        <w:spacing w:before="325"/>
        <w:ind w:left="1103"/>
      </w:pPr>
      <w:r>
        <w:rPr>
          <w:color w:val="7F7F7F"/>
        </w:rPr>
        <w:t>Basic Information</w:t>
      </w:r>
    </w:p>
    <w:tbl>
      <w:tblPr>
        <w:tblW w:w="0" w:type="auto"/>
        <w:jc w:val="left"/>
        <w:tblInd w:w="111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660"/>
        <w:gridCol w:w="6582"/>
      </w:tblGrid>
      <w:tr>
        <w:trPr>
          <w:trHeight w:val="920" w:hRule="atLeast"/>
        </w:trPr>
        <w:tc>
          <w:tcPr>
            <w:tcW w:w="2660" w:type="dxa"/>
            <w:shd w:val="clear" w:color="auto" w:fill="FFFFFF"/>
          </w:tcPr>
          <w:p>
            <w:pPr>
              <w:pStyle w:val="TableParagraph"/>
              <w:spacing w:line="213" w:lineRule="auto" w:before="151"/>
              <w:ind w:right="595"/>
              <w:rPr>
                <w:rFonts w:ascii="Stone Sans II ITC Std Bk"/>
                <w:b/>
                <w:sz w:val="20"/>
              </w:rPr>
            </w:pPr>
            <w:r>
              <w:rPr>
                <w:rFonts w:ascii="Stone Sans II ITC Std Bk"/>
                <w:b/>
                <w:w w:val="110"/>
                <w:sz w:val="20"/>
              </w:rPr>
              <w:t>Contact name and email address</w:t>
            </w:r>
          </w:p>
        </w:tc>
        <w:tc>
          <w:tcPr>
            <w:tcW w:w="6582" w:type="dxa"/>
            <w:shd w:val="clear" w:color="auto" w:fill="FFFFFF"/>
          </w:tcPr>
          <w:p>
            <w:pPr>
              <w:pStyle w:val="TableParagraph"/>
              <w:spacing w:line="235" w:lineRule="auto" w:before="145"/>
              <w:ind w:left="79" w:right="2082"/>
              <w:rPr>
                <w:sz w:val="20"/>
              </w:rPr>
            </w:pPr>
            <w:r>
              <w:rPr>
                <w:w w:val="120"/>
                <w:sz w:val="20"/>
              </w:rPr>
              <w:t>Tracey Lewis: </w:t>
            </w:r>
            <w:hyperlink r:id="rId139">
              <w:r>
                <w:rPr>
                  <w:color w:val="006AB3"/>
                  <w:w w:val="120"/>
                  <w:sz w:val="20"/>
                </w:rPr>
                <w:t>tracey.a.lewis@btinternet.com</w:t>
              </w:r>
            </w:hyperlink>
            <w:r>
              <w:rPr>
                <w:color w:val="006AB3"/>
                <w:w w:val="120"/>
                <w:sz w:val="20"/>
              </w:rPr>
              <w:t> </w:t>
            </w:r>
            <w:r>
              <w:rPr>
                <w:w w:val="120"/>
                <w:sz w:val="20"/>
              </w:rPr>
              <w:t>Francis Brienen: </w:t>
            </w:r>
            <w:hyperlink r:id="rId444">
              <w:r>
                <w:rPr>
                  <w:color w:val="006AB3"/>
                  <w:w w:val="120"/>
                  <w:sz w:val="20"/>
                </w:rPr>
                <w:t>francis.brienen@urc.org.uk</w:t>
              </w:r>
            </w:hyperlink>
          </w:p>
        </w:tc>
      </w:tr>
      <w:tr>
        <w:trPr>
          <w:trHeight w:val="440" w:hRule="atLeast"/>
        </w:trPr>
        <w:tc>
          <w:tcPr>
            <w:tcW w:w="2660" w:type="dxa"/>
            <w:shd w:val="clear" w:color="auto" w:fill="FFFFFF"/>
          </w:tcPr>
          <w:p>
            <w:pPr>
              <w:pStyle w:val="TableParagraph"/>
              <w:spacing w:before="128"/>
              <w:rPr>
                <w:rFonts w:ascii="Stone Sans II ITC Std Bk"/>
                <w:b/>
                <w:sz w:val="20"/>
              </w:rPr>
            </w:pPr>
            <w:r>
              <w:rPr>
                <w:rFonts w:ascii="Stone Sans II ITC Std Bk"/>
                <w:b/>
                <w:w w:val="110"/>
                <w:sz w:val="20"/>
              </w:rPr>
              <w:t>Action required</w:t>
            </w:r>
          </w:p>
        </w:tc>
        <w:tc>
          <w:tcPr>
            <w:tcW w:w="6582" w:type="dxa"/>
            <w:shd w:val="clear" w:color="auto" w:fill="FFFFFF"/>
          </w:tcPr>
          <w:p>
            <w:pPr>
              <w:pStyle w:val="TableParagraph"/>
              <w:spacing w:before="141"/>
              <w:rPr>
                <w:sz w:val="20"/>
              </w:rPr>
            </w:pPr>
            <w:r>
              <w:rPr>
                <w:w w:val="120"/>
                <w:sz w:val="20"/>
              </w:rPr>
              <w:t>For information and discussion</w:t>
            </w:r>
          </w:p>
        </w:tc>
      </w:tr>
      <w:tr>
        <w:trPr>
          <w:trHeight w:val="510" w:hRule="atLeast"/>
        </w:trPr>
        <w:tc>
          <w:tcPr>
            <w:tcW w:w="2660" w:type="dxa"/>
            <w:shd w:val="clear" w:color="auto" w:fill="FFFFFF"/>
          </w:tcPr>
          <w:p>
            <w:pPr>
              <w:pStyle w:val="TableParagraph"/>
              <w:spacing w:before="128"/>
              <w:rPr>
                <w:rFonts w:ascii="Stone Sans II ITC Std Bk"/>
                <w:b/>
                <w:sz w:val="20"/>
              </w:rPr>
            </w:pPr>
            <w:r>
              <w:rPr>
                <w:rFonts w:ascii="Stone Sans II ITC Std Bk"/>
                <w:b/>
                <w:w w:val="110"/>
                <w:sz w:val="20"/>
              </w:rPr>
              <w:t>Draft resolution(s)</w:t>
            </w:r>
          </w:p>
        </w:tc>
        <w:tc>
          <w:tcPr>
            <w:tcW w:w="6582" w:type="dxa"/>
            <w:shd w:val="clear" w:color="auto" w:fill="FFFFFF"/>
          </w:tcPr>
          <w:p>
            <w:pPr>
              <w:pStyle w:val="TableParagraph"/>
              <w:spacing w:before="128"/>
              <w:rPr>
                <w:rFonts w:ascii="Stone Sans II ITC Std Bk"/>
                <w:b/>
                <w:sz w:val="20"/>
              </w:rPr>
            </w:pPr>
            <w:r>
              <w:rPr>
                <w:rFonts w:ascii="Stone Sans II ITC Std Bk"/>
                <w:b/>
                <w:w w:val="110"/>
                <w:sz w:val="20"/>
              </w:rPr>
              <w:t>None</w:t>
            </w:r>
          </w:p>
        </w:tc>
      </w:tr>
    </w:tbl>
    <w:p>
      <w:pPr>
        <w:pStyle w:val="BodyText"/>
        <w:spacing w:before="3"/>
        <w:rPr>
          <w:rFonts w:ascii="Stone Sans II ITC Std Bk"/>
          <w:b/>
          <w:sz w:val="29"/>
        </w:rPr>
      </w:pPr>
    </w:p>
    <w:p>
      <w:pPr>
        <w:pStyle w:val="Heading4"/>
        <w:spacing w:before="1"/>
        <w:ind w:left="1103"/>
      </w:pPr>
      <w:r>
        <w:rPr>
          <w:color w:val="7F7F7F"/>
        </w:rPr>
        <w:t>Summary of Content</w:t>
      </w:r>
    </w:p>
    <w:tbl>
      <w:tblPr>
        <w:tblW w:w="0" w:type="auto"/>
        <w:jc w:val="left"/>
        <w:tblInd w:w="111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660"/>
        <w:gridCol w:w="6582"/>
      </w:tblGrid>
      <w:tr>
        <w:trPr>
          <w:trHeight w:val="920" w:hRule="atLeast"/>
        </w:trPr>
        <w:tc>
          <w:tcPr>
            <w:tcW w:w="2660" w:type="dxa"/>
            <w:shd w:val="clear" w:color="auto" w:fill="FFFFFF"/>
          </w:tcPr>
          <w:p>
            <w:pPr>
              <w:pStyle w:val="TableParagraph"/>
              <w:spacing w:before="128"/>
              <w:rPr>
                <w:rFonts w:ascii="Stone Sans II ITC Std Bk"/>
                <w:b/>
                <w:sz w:val="20"/>
              </w:rPr>
            </w:pPr>
            <w:r>
              <w:rPr>
                <w:rFonts w:ascii="Stone Sans II ITC Std Bk"/>
                <w:b/>
                <w:w w:val="110"/>
                <w:sz w:val="20"/>
              </w:rPr>
              <w:t>Subject and aim(s)</w:t>
            </w:r>
          </w:p>
        </w:tc>
        <w:tc>
          <w:tcPr>
            <w:tcW w:w="6582" w:type="dxa"/>
            <w:shd w:val="clear" w:color="auto" w:fill="FFFFFF"/>
          </w:tcPr>
          <w:p>
            <w:pPr>
              <w:pStyle w:val="TableParagraph"/>
              <w:spacing w:line="235" w:lineRule="auto" w:before="145"/>
              <w:rPr>
                <w:sz w:val="20"/>
              </w:rPr>
            </w:pPr>
            <w:r>
              <w:rPr>
                <w:w w:val="120"/>
                <w:sz w:val="20"/>
              </w:rPr>
              <w:t>This report provides an overview of the work of the mission committee and mission team in the period from July 2014 till March 2016. It describes completed and ongoing work</w:t>
            </w:r>
          </w:p>
        </w:tc>
      </w:tr>
      <w:tr>
        <w:trPr>
          <w:trHeight w:val="1160" w:hRule="atLeast"/>
        </w:trPr>
        <w:tc>
          <w:tcPr>
            <w:tcW w:w="2660" w:type="dxa"/>
            <w:shd w:val="clear" w:color="auto" w:fill="FFFFFF"/>
          </w:tcPr>
          <w:p>
            <w:pPr>
              <w:pStyle w:val="TableParagraph"/>
              <w:spacing w:before="128"/>
              <w:rPr>
                <w:rFonts w:ascii="Stone Sans II ITC Std Bk"/>
                <w:b/>
                <w:sz w:val="20"/>
              </w:rPr>
            </w:pPr>
            <w:r>
              <w:rPr>
                <w:rFonts w:ascii="Stone Sans II ITC Std Bk"/>
                <w:b/>
                <w:w w:val="110"/>
                <w:sz w:val="20"/>
              </w:rPr>
              <w:t>Main points</w:t>
            </w:r>
          </w:p>
        </w:tc>
        <w:tc>
          <w:tcPr>
            <w:tcW w:w="6582" w:type="dxa"/>
            <w:shd w:val="clear" w:color="auto" w:fill="FFFFFF"/>
          </w:tcPr>
          <w:p>
            <w:pPr>
              <w:pStyle w:val="TableParagraph"/>
              <w:spacing w:line="235" w:lineRule="auto" w:before="145"/>
              <w:ind w:right="280"/>
              <w:rPr>
                <w:sz w:val="20"/>
              </w:rPr>
            </w:pPr>
            <w:r>
              <w:rPr>
                <w:w w:val="120"/>
                <w:sz w:val="20"/>
              </w:rPr>
              <w:t>A progress report is given on the work of: Church and Society, Commitment for Life, Ecumenical and Interfaith Relations, Global and Intercultural Ministries, Mission and Evangelism, Rural Mission</w:t>
            </w:r>
          </w:p>
        </w:tc>
      </w:tr>
      <w:tr>
        <w:trPr>
          <w:trHeight w:val="680" w:hRule="atLeast"/>
        </w:trPr>
        <w:tc>
          <w:tcPr>
            <w:tcW w:w="2660" w:type="dxa"/>
            <w:shd w:val="clear" w:color="auto" w:fill="FFFFFF"/>
          </w:tcPr>
          <w:p>
            <w:pPr>
              <w:pStyle w:val="TableParagraph"/>
              <w:spacing w:line="213" w:lineRule="auto" w:before="151"/>
              <w:ind w:right="701"/>
              <w:rPr>
                <w:rFonts w:ascii="Stone Sans II ITC Std Bk"/>
                <w:b/>
                <w:sz w:val="20"/>
              </w:rPr>
            </w:pPr>
            <w:r>
              <w:rPr>
                <w:rFonts w:ascii="Stone Sans II ITC Std Bk"/>
                <w:b/>
                <w:w w:val="110"/>
                <w:sz w:val="20"/>
              </w:rPr>
              <w:t>Previous relevant documents</w:t>
            </w:r>
          </w:p>
        </w:tc>
        <w:tc>
          <w:tcPr>
            <w:tcW w:w="6582" w:type="dxa"/>
            <w:shd w:val="clear" w:color="auto" w:fill="FFFFFF"/>
          </w:tcPr>
          <w:p>
            <w:pPr>
              <w:pStyle w:val="TableParagraph"/>
              <w:spacing w:before="141"/>
              <w:rPr>
                <w:sz w:val="20"/>
              </w:rPr>
            </w:pPr>
            <w:r>
              <w:rPr>
                <w:w w:val="120"/>
                <w:sz w:val="20"/>
              </w:rPr>
              <w:t>Mission committee report to General Assembly 2014</w:t>
            </w:r>
          </w:p>
        </w:tc>
      </w:tr>
      <w:tr>
        <w:trPr>
          <w:trHeight w:val="680" w:hRule="atLeast"/>
        </w:trPr>
        <w:tc>
          <w:tcPr>
            <w:tcW w:w="2660" w:type="dxa"/>
            <w:shd w:val="clear" w:color="auto" w:fill="FFFFFF"/>
          </w:tcPr>
          <w:p>
            <w:pPr>
              <w:pStyle w:val="TableParagraph"/>
              <w:spacing w:line="213" w:lineRule="auto" w:before="151"/>
              <w:ind w:right="576"/>
              <w:rPr>
                <w:rFonts w:ascii="Stone Sans II ITC Std Bk"/>
                <w:b/>
                <w:sz w:val="20"/>
              </w:rPr>
            </w:pPr>
            <w:r>
              <w:rPr>
                <w:rFonts w:ascii="Stone Sans II ITC Std Bk"/>
                <w:b/>
                <w:w w:val="110"/>
                <w:sz w:val="20"/>
              </w:rPr>
              <w:t>Consultation has taken place with...</w:t>
            </w:r>
          </w:p>
        </w:tc>
        <w:tc>
          <w:tcPr>
            <w:tcW w:w="6582" w:type="dxa"/>
            <w:shd w:val="clear" w:color="auto" w:fill="FFFFFF"/>
          </w:tcPr>
          <w:p>
            <w:pPr>
              <w:pStyle w:val="TableParagraph"/>
              <w:spacing w:before="141"/>
              <w:rPr>
                <w:sz w:val="20"/>
              </w:rPr>
            </w:pPr>
            <w:r>
              <w:rPr>
                <w:w w:val="120"/>
                <w:sz w:val="20"/>
              </w:rPr>
              <w:t>N/A</w:t>
            </w:r>
          </w:p>
        </w:tc>
      </w:tr>
    </w:tbl>
    <w:p>
      <w:pPr>
        <w:pStyle w:val="BodyText"/>
        <w:spacing w:before="3"/>
        <w:rPr>
          <w:rFonts w:ascii="Stone Sans II ITC Std Bk"/>
          <w:b/>
          <w:sz w:val="29"/>
        </w:rPr>
      </w:pPr>
    </w:p>
    <w:p>
      <w:pPr>
        <w:pStyle w:val="Heading4"/>
        <w:ind w:left="1103"/>
      </w:pPr>
      <w:r>
        <w:rPr>
          <w:color w:val="7F7F7F"/>
        </w:rPr>
        <w:t>Summary of Impact</w:t>
      </w:r>
    </w:p>
    <w:tbl>
      <w:tblPr>
        <w:tblW w:w="0" w:type="auto"/>
        <w:jc w:val="left"/>
        <w:tblInd w:w="111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660"/>
        <w:gridCol w:w="6582"/>
      </w:tblGrid>
      <w:tr>
        <w:trPr>
          <w:trHeight w:val="440" w:hRule="atLeast"/>
        </w:trPr>
        <w:tc>
          <w:tcPr>
            <w:tcW w:w="2660" w:type="dxa"/>
            <w:shd w:val="clear" w:color="auto" w:fill="FFFFFF"/>
          </w:tcPr>
          <w:p>
            <w:pPr>
              <w:pStyle w:val="TableParagraph"/>
              <w:spacing w:before="128"/>
              <w:rPr>
                <w:rFonts w:ascii="Stone Sans II ITC Std Bk"/>
                <w:b/>
                <w:sz w:val="20"/>
              </w:rPr>
            </w:pPr>
            <w:r>
              <w:rPr>
                <w:rFonts w:ascii="Stone Sans II ITC Std Bk"/>
                <w:b/>
                <w:w w:val="110"/>
                <w:sz w:val="20"/>
              </w:rPr>
              <w:t>Financial</w:t>
            </w:r>
          </w:p>
        </w:tc>
        <w:tc>
          <w:tcPr>
            <w:tcW w:w="6582" w:type="dxa"/>
            <w:shd w:val="clear" w:color="auto" w:fill="FFFFFF"/>
          </w:tcPr>
          <w:p>
            <w:pPr>
              <w:pStyle w:val="TableParagraph"/>
              <w:spacing w:before="141"/>
              <w:rPr>
                <w:sz w:val="20"/>
              </w:rPr>
            </w:pPr>
            <w:r>
              <w:rPr>
                <w:w w:val="120"/>
                <w:sz w:val="20"/>
              </w:rPr>
              <w:t>None</w:t>
            </w:r>
          </w:p>
        </w:tc>
      </w:tr>
      <w:tr>
        <w:trPr>
          <w:trHeight w:val="680" w:hRule="atLeast"/>
        </w:trPr>
        <w:tc>
          <w:tcPr>
            <w:tcW w:w="2660" w:type="dxa"/>
            <w:shd w:val="clear" w:color="auto" w:fill="FFFFFF"/>
          </w:tcPr>
          <w:p>
            <w:pPr>
              <w:pStyle w:val="TableParagraph"/>
              <w:spacing w:line="255" w:lineRule="exact" w:before="128"/>
              <w:rPr>
                <w:rFonts w:ascii="Stone Sans II ITC Std Bk"/>
                <w:b/>
                <w:sz w:val="20"/>
              </w:rPr>
            </w:pPr>
            <w:r>
              <w:rPr>
                <w:rFonts w:ascii="Stone Sans II ITC Std Bk"/>
                <w:b/>
                <w:w w:val="110"/>
                <w:sz w:val="20"/>
              </w:rPr>
              <w:t>External</w:t>
            </w:r>
          </w:p>
          <w:p>
            <w:pPr>
              <w:pStyle w:val="TableParagraph"/>
              <w:spacing w:line="255" w:lineRule="exact"/>
              <w:rPr>
                <w:rFonts w:ascii="Stone Sans II ITC Std Bk"/>
                <w:b/>
                <w:sz w:val="20"/>
              </w:rPr>
            </w:pPr>
            <w:r>
              <w:rPr>
                <w:rFonts w:ascii="Stone Sans II ITC Std Bk"/>
                <w:b/>
                <w:w w:val="110"/>
                <w:sz w:val="20"/>
              </w:rPr>
              <w:t>(e.g. ecumenical)</w:t>
            </w:r>
          </w:p>
        </w:tc>
        <w:tc>
          <w:tcPr>
            <w:tcW w:w="6582" w:type="dxa"/>
            <w:shd w:val="clear" w:color="auto" w:fill="FFFFFF"/>
          </w:tcPr>
          <w:p>
            <w:pPr>
              <w:pStyle w:val="TableParagraph"/>
              <w:spacing w:before="141"/>
              <w:rPr>
                <w:sz w:val="20"/>
              </w:rPr>
            </w:pPr>
            <w:r>
              <w:rPr>
                <w:w w:val="120"/>
                <w:sz w:val="20"/>
              </w:rPr>
              <w:t>N/A.</w:t>
            </w:r>
          </w:p>
        </w:tc>
      </w:tr>
    </w:tbl>
    <w:p>
      <w:pPr>
        <w:pStyle w:val="BodyText"/>
        <w:rPr>
          <w:rFonts w:ascii="Stone Sans II ITC Std Bk"/>
          <w:b/>
          <w:sz w:val="30"/>
        </w:rPr>
      </w:pPr>
    </w:p>
    <w:p>
      <w:pPr>
        <w:pStyle w:val="BodyText"/>
        <w:rPr>
          <w:rFonts w:ascii="Stone Sans II ITC Std Bk"/>
          <w:b/>
          <w:sz w:val="30"/>
        </w:rPr>
      </w:pPr>
    </w:p>
    <w:p>
      <w:pPr>
        <w:pStyle w:val="BodyText"/>
        <w:rPr>
          <w:rFonts w:ascii="Stone Sans II ITC Std Bk"/>
          <w:b/>
          <w:sz w:val="30"/>
        </w:rPr>
      </w:pPr>
    </w:p>
    <w:p>
      <w:pPr>
        <w:pStyle w:val="BodyText"/>
        <w:rPr>
          <w:rFonts w:ascii="Stone Sans II ITC Std Bk"/>
          <w:b/>
          <w:sz w:val="30"/>
        </w:rPr>
      </w:pPr>
    </w:p>
    <w:p>
      <w:pPr>
        <w:pStyle w:val="BodyText"/>
        <w:rPr>
          <w:rFonts w:ascii="Stone Sans II ITC Std Bk"/>
          <w:b/>
          <w:sz w:val="30"/>
        </w:rPr>
      </w:pPr>
    </w:p>
    <w:p>
      <w:pPr>
        <w:pStyle w:val="BodyText"/>
        <w:rPr>
          <w:rFonts w:ascii="Stone Sans II ITC Std Bk"/>
          <w:b/>
          <w:sz w:val="30"/>
        </w:rPr>
      </w:pPr>
    </w:p>
    <w:p>
      <w:pPr>
        <w:pStyle w:val="BodyText"/>
        <w:rPr>
          <w:rFonts w:ascii="Stone Sans II ITC Std Bk"/>
          <w:b/>
          <w:sz w:val="30"/>
        </w:rPr>
      </w:pPr>
    </w:p>
    <w:p>
      <w:pPr>
        <w:pStyle w:val="BodyText"/>
        <w:rPr>
          <w:rFonts w:ascii="Stone Sans II ITC Std Bk"/>
          <w:b/>
          <w:sz w:val="30"/>
        </w:rPr>
      </w:pPr>
    </w:p>
    <w:p>
      <w:pPr>
        <w:pStyle w:val="BodyText"/>
        <w:rPr>
          <w:rFonts w:ascii="Stone Sans II ITC Std Bk"/>
          <w:b/>
          <w:sz w:val="30"/>
        </w:rPr>
      </w:pPr>
    </w:p>
    <w:p>
      <w:pPr>
        <w:pStyle w:val="BodyText"/>
        <w:rPr>
          <w:rFonts w:ascii="Stone Sans II ITC Std Bk"/>
          <w:b/>
          <w:sz w:val="30"/>
        </w:rPr>
      </w:pPr>
    </w:p>
    <w:p>
      <w:pPr>
        <w:pStyle w:val="Heading6"/>
        <w:spacing w:before="237"/>
        <w:ind w:left="3718"/>
        <w:rPr>
          <w:rFonts w:ascii="Stone Sans II ITC Std X Bd" w:hAnsi="Stone Sans II ITC Std X Bd"/>
          <w:b/>
          <w:sz w:val="24"/>
        </w:rPr>
      </w:pPr>
      <w:r>
        <w:rPr>
          <w:color w:val="7EAABF"/>
          <w:w w:val="110"/>
        </w:rPr>
        <w:t>United Reformed Church </w:t>
      </w:r>
      <w:r>
        <w:rPr>
          <w:rFonts w:ascii="Symbol" w:hAnsi="Symbol"/>
          <w:color w:val="7EAABF"/>
          <w:w w:val="110"/>
        </w:rPr>
        <w:t></w:t>
      </w:r>
      <w:r>
        <w:rPr>
          <w:rFonts w:ascii="Times New Roman" w:hAnsi="Times New Roman"/>
          <w:color w:val="7EAABF"/>
          <w:w w:val="110"/>
        </w:rPr>
        <w:t> </w:t>
      </w:r>
      <w:r>
        <w:rPr>
          <w:color w:val="7EAABF"/>
          <w:w w:val="110"/>
        </w:rPr>
        <w:t>General Assembly 2016 </w:t>
      </w:r>
      <w:r>
        <w:rPr>
          <w:rFonts w:ascii="Symbol" w:hAnsi="Symbol"/>
          <w:color w:val="7EAABF"/>
          <w:w w:val="110"/>
        </w:rPr>
        <w:t></w:t>
      </w:r>
      <w:r>
        <w:rPr>
          <w:rFonts w:ascii="Times New Roman" w:hAnsi="Times New Roman"/>
          <w:color w:val="7EAABF"/>
          <w:w w:val="110"/>
        </w:rPr>
        <w:t> </w:t>
      </w:r>
      <w:r>
        <w:rPr>
          <w:rFonts w:ascii="Stone Sans II ITC Std X Bd" w:hAnsi="Stone Sans II ITC Std X Bd"/>
          <w:b/>
          <w:w w:val="110"/>
          <w:sz w:val="24"/>
        </w:rPr>
        <w:t>167</w:t>
      </w:r>
    </w:p>
    <w:p>
      <w:pPr>
        <w:spacing w:after="0"/>
        <w:rPr>
          <w:rFonts w:ascii="Stone Sans II ITC Std X Bd" w:hAnsi="Stone Sans II ITC Std X Bd"/>
          <w:sz w:val="24"/>
        </w:rPr>
        <w:sectPr>
          <w:headerReference w:type="default" r:id="rId442"/>
          <w:footerReference w:type="default" r:id="rId443"/>
          <w:pgSz w:w="11910" w:h="16840"/>
          <w:pgMar w:header="0" w:footer="0" w:top="0" w:bottom="0" w:left="640" w:right="0"/>
        </w:sectPr>
      </w:pPr>
    </w:p>
    <w:p>
      <w:pPr>
        <w:pStyle w:val="BodyText"/>
        <w:rPr>
          <w:rFonts w:ascii="Stone Sans II ITC Std X Bd"/>
          <w:b/>
        </w:rPr>
      </w:pPr>
      <w:r>
        <w:rPr/>
        <w:drawing>
          <wp:anchor distT="0" distB="0" distL="0" distR="0" allowOverlap="1" layoutInCell="1" locked="0" behindDoc="1" simplePos="0" relativeHeight="235659264">
            <wp:simplePos x="0" y="0"/>
            <wp:positionH relativeFrom="page">
              <wp:posOffset>0</wp:posOffset>
            </wp:positionH>
            <wp:positionV relativeFrom="page">
              <wp:posOffset>0</wp:posOffset>
            </wp:positionV>
            <wp:extent cx="594067" cy="10692003"/>
            <wp:effectExtent l="0" t="0" r="0" b="0"/>
            <wp:wrapNone/>
            <wp:docPr id="317" name="image67.png"/>
            <wp:cNvGraphicFramePr>
              <a:graphicFrameLocks noChangeAspect="1"/>
            </wp:cNvGraphicFramePr>
            <a:graphic>
              <a:graphicData uri="http://schemas.openxmlformats.org/drawingml/2006/picture">
                <pic:pic>
                  <pic:nvPicPr>
                    <pic:cNvPr id="318" name="image67.png"/>
                    <pic:cNvPicPr/>
                  </pic:nvPicPr>
                  <pic:blipFill>
                    <a:blip r:embed="rId184" cstate="print"/>
                    <a:stretch>
                      <a:fillRect/>
                    </a:stretch>
                  </pic:blipFill>
                  <pic:spPr>
                    <a:xfrm>
                      <a:off x="0" y="0"/>
                      <a:ext cx="594067" cy="10692003"/>
                    </a:xfrm>
                    <a:prstGeom prst="rect">
                      <a:avLst/>
                    </a:prstGeom>
                  </pic:spPr>
                </pic:pic>
              </a:graphicData>
            </a:graphic>
          </wp:anchor>
        </w:drawing>
      </w:r>
      <w:r>
        <w:rPr/>
        <w:pict>
          <v:shape style="position:absolute;margin-left:20.519100pt;margin-top:48.890015pt;width:25.9pt;height:78.850pt;mso-position-horizontal-relative:page;mso-position-vertical-relative:page;z-index:-267655168" type="#_x0000_t202" filled="false" stroked="false">
            <v:textbox inset="0,0,0,0" style="layout-flow:vertical">
              <w:txbxContent>
                <w:p>
                  <w:pPr>
                    <w:spacing w:before="27"/>
                    <w:ind w:left="20" w:right="0" w:firstLine="0"/>
                    <w:jc w:val="left"/>
                    <w:rPr>
                      <w:sz w:val="39"/>
                    </w:rPr>
                  </w:pPr>
                  <w:r>
                    <w:rPr>
                      <w:color w:val="FFFFFF"/>
                      <w:w w:val="115"/>
                      <w:sz w:val="39"/>
                    </w:rPr>
                    <w:t>Mission</w:t>
                  </w:r>
                </w:p>
              </w:txbxContent>
            </v:textbox>
            <w10:wrap type="none"/>
          </v:shape>
        </w:pict>
      </w:r>
    </w:p>
    <w:p>
      <w:pPr>
        <w:pStyle w:val="BodyText"/>
        <w:rPr>
          <w:rFonts w:ascii="Stone Sans II ITC Std X Bd"/>
          <w:b/>
        </w:rPr>
      </w:pPr>
    </w:p>
    <w:p>
      <w:pPr>
        <w:pStyle w:val="BodyText"/>
        <w:rPr>
          <w:rFonts w:ascii="Stone Sans II ITC Std X Bd"/>
          <w:b/>
        </w:rPr>
      </w:pPr>
    </w:p>
    <w:p>
      <w:pPr>
        <w:pStyle w:val="BodyText"/>
        <w:spacing w:before="11"/>
        <w:rPr>
          <w:rFonts w:ascii="Stone Sans II ITC Std X Bd"/>
          <w:b/>
          <w:sz w:val="19"/>
        </w:rPr>
      </w:pPr>
    </w:p>
    <w:p>
      <w:pPr>
        <w:spacing w:line="213" w:lineRule="auto" w:before="153"/>
        <w:ind w:left="607" w:right="2785" w:firstLine="0"/>
        <w:jc w:val="left"/>
        <w:rPr>
          <w:rFonts w:ascii="Stone Sans II ITC Std X Bd"/>
          <w:b/>
          <w:sz w:val="50"/>
        </w:rPr>
      </w:pPr>
      <w:r>
        <w:rPr>
          <w:rFonts w:ascii="Stone Sans II ITC Std X Bd"/>
          <w:b/>
          <w:w w:val="110"/>
          <w:sz w:val="50"/>
        </w:rPr>
        <w:t>Mission committee report to General Assembly</w:t>
      </w:r>
    </w:p>
    <w:p>
      <w:pPr>
        <w:spacing w:line="261" w:lineRule="auto" w:before="157"/>
        <w:ind w:left="834" w:right="2174" w:firstLine="0"/>
        <w:jc w:val="left"/>
        <w:rPr>
          <w:sz w:val="18"/>
        </w:rPr>
      </w:pPr>
      <w:r>
        <w:rPr/>
        <w:pict>
          <v:line style="position:absolute;mso-position-horizontal-relative:page;mso-position-vertical-relative:paragraph;z-index:252113920" from="62.362202pt,9.118153pt" to="62.362202pt,245.809153pt" stroked="true" strokeweight="2pt" strokecolor="#0090d4">
            <v:stroke dashstyle="solid"/>
            <w10:wrap type="none"/>
          </v:line>
        </w:pict>
      </w:r>
      <w:r>
        <w:rPr>
          <w:color w:val="707172"/>
          <w:w w:val="125"/>
          <w:sz w:val="18"/>
        </w:rPr>
        <w:t>The</w:t>
      </w:r>
      <w:r>
        <w:rPr>
          <w:color w:val="707172"/>
          <w:spacing w:val="-12"/>
          <w:w w:val="125"/>
          <w:sz w:val="18"/>
        </w:rPr>
        <w:t> </w:t>
      </w:r>
      <w:r>
        <w:rPr>
          <w:color w:val="707172"/>
          <w:w w:val="125"/>
          <w:sz w:val="18"/>
        </w:rPr>
        <w:t>central</w:t>
      </w:r>
      <w:r>
        <w:rPr>
          <w:color w:val="707172"/>
          <w:spacing w:val="-12"/>
          <w:w w:val="125"/>
          <w:sz w:val="18"/>
        </w:rPr>
        <w:t> </w:t>
      </w:r>
      <w:r>
        <w:rPr>
          <w:color w:val="707172"/>
          <w:w w:val="125"/>
          <w:sz w:val="18"/>
        </w:rPr>
        <w:t>task</w:t>
      </w:r>
      <w:r>
        <w:rPr>
          <w:color w:val="707172"/>
          <w:spacing w:val="-12"/>
          <w:w w:val="125"/>
          <w:sz w:val="18"/>
        </w:rPr>
        <w:t> </w:t>
      </w:r>
      <w:r>
        <w:rPr>
          <w:color w:val="707172"/>
          <w:w w:val="125"/>
          <w:sz w:val="18"/>
        </w:rPr>
        <w:t>of</w:t>
      </w:r>
      <w:r>
        <w:rPr>
          <w:color w:val="707172"/>
          <w:spacing w:val="-12"/>
          <w:w w:val="125"/>
          <w:sz w:val="18"/>
        </w:rPr>
        <w:t> </w:t>
      </w:r>
      <w:r>
        <w:rPr>
          <w:color w:val="707172"/>
          <w:w w:val="125"/>
          <w:sz w:val="18"/>
        </w:rPr>
        <w:t>the</w:t>
      </w:r>
      <w:r>
        <w:rPr>
          <w:color w:val="707172"/>
          <w:spacing w:val="-11"/>
          <w:w w:val="125"/>
          <w:sz w:val="18"/>
        </w:rPr>
        <w:t> </w:t>
      </w:r>
      <w:r>
        <w:rPr>
          <w:color w:val="707172"/>
          <w:w w:val="125"/>
          <w:sz w:val="18"/>
        </w:rPr>
        <w:t>mission</w:t>
      </w:r>
      <w:r>
        <w:rPr>
          <w:color w:val="707172"/>
          <w:spacing w:val="-12"/>
          <w:w w:val="125"/>
          <w:sz w:val="18"/>
        </w:rPr>
        <w:t> </w:t>
      </w:r>
      <w:r>
        <w:rPr>
          <w:color w:val="707172"/>
          <w:w w:val="125"/>
          <w:sz w:val="18"/>
        </w:rPr>
        <w:t>committee</w:t>
      </w:r>
      <w:r>
        <w:rPr>
          <w:color w:val="707172"/>
          <w:spacing w:val="-12"/>
          <w:w w:val="125"/>
          <w:sz w:val="18"/>
        </w:rPr>
        <w:t> </w:t>
      </w:r>
      <w:r>
        <w:rPr>
          <w:color w:val="707172"/>
          <w:w w:val="125"/>
          <w:sz w:val="18"/>
        </w:rPr>
        <w:t>is</w:t>
      </w:r>
      <w:r>
        <w:rPr>
          <w:color w:val="707172"/>
          <w:spacing w:val="-12"/>
          <w:w w:val="125"/>
          <w:sz w:val="18"/>
        </w:rPr>
        <w:t> </w:t>
      </w:r>
      <w:r>
        <w:rPr>
          <w:color w:val="707172"/>
          <w:w w:val="125"/>
          <w:sz w:val="18"/>
        </w:rPr>
        <w:t>to</w:t>
      </w:r>
      <w:r>
        <w:rPr>
          <w:color w:val="707172"/>
          <w:spacing w:val="-12"/>
          <w:w w:val="125"/>
          <w:sz w:val="18"/>
        </w:rPr>
        <w:t> </w:t>
      </w:r>
      <w:r>
        <w:rPr>
          <w:color w:val="707172"/>
          <w:w w:val="125"/>
          <w:sz w:val="18"/>
        </w:rPr>
        <w:t>focus</w:t>
      </w:r>
      <w:r>
        <w:rPr>
          <w:color w:val="707172"/>
          <w:spacing w:val="-11"/>
          <w:w w:val="125"/>
          <w:sz w:val="18"/>
        </w:rPr>
        <w:t> </w:t>
      </w:r>
      <w:r>
        <w:rPr>
          <w:color w:val="707172"/>
          <w:w w:val="125"/>
          <w:sz w:val="18"/>
        </w:rPr>
        <w:t>on</w:t>
      </w:r>
      <w:r>
        <w:rPr>
          <w:color w:val="707172"/>
          <w:spacing w:val="-12"/>
          <w:w w:val="125"/>
          <w:sz w:val="18"/>
        </w:rPr>
        <w:t> </w:t>
      </w:r>
      <w:r>
        <w:rPr>
          <w:color w:val="707172"/>
          <w:w w:val="125"/>
          <w:sz w:val="18"/>
        </w:rPr>
        <w:t>mission,</w:t>
      </w:r>
      <w:r>
        <w:rPr>
          <w:color w:val="707172"/>
          <w:spacing w:val="-12"/>
          <w:w w:val="125"/>
          <w:sz w:val="18"/>
        </w:rPr>
        <w:t> </w:t>
      </w:r>
      <w:r>
        <w:rPr>
          <w:color w:val="707172"/>
          <w:w w:val="125"/>
          <w:sz w:val="18"/>
        </w:rPr>
        <w:t>working</w:t>
      </w:r>
      <w:r>
        <w:rPr>
          <w:color w:val="707172"/>
          <w:spacing w:val="-12"/>
          <w:w w:val="125"/>
          <w:sz w:val="18"/>
        </w:rPr>
        <w:t> </w:t>
      </w:r>
      <w:r>
        <w:rPr>
          <w:color w:val="707172"/>
          <w:w w:val="125"/>
          <w:sz w:val="18"/>
        </w:rPr>
        <w:t>with</w:t>
      </w:r>
      <w:r>
        <w:rPr>
          <w:color w:val="707172"/>
          <w:spacing w:val="-11"/>
          <w:w w:val="125"/>
          <w:sz w:val="18"/>
        </w:rPr>
        <w:t> </w:t>
      </w:r>
      <w:r>
        <w:rPr>
          <w:color w:val="707172"/>
          <w:w w:val="125"/>
          <w:sz w:val="18"/>
        </w:rPr>
        <w:t>the</w:t>
      </w:r>
      <w:r>
        <w:rPr>
          <w:color w:val="707172"/>
          <w:spacing w:val="-12"/>
          <w:w w:val="125"/>
          <w:sz w:val="18"/>
        </w:rPr>
        <w:t> </w:t>
      </w:r>
      <w:r>
        <w:rPr>
          <w:color w:val="707172"/>
          <w:w w:val="125"/>
          <w:sz w:val="18"/>
        </w:rPr>
        <w:t>whole</w:t>
      </w:r>
      <w:r>
        <w:rPr>
          <w:color w:val="707172"/>
          <w:spacing w:val="-12"/>
          <w:w w:val="125"/>
          <w:sz w:val="18"/>
        </w:rPr>
        <w:t> </w:t>
      </w:r>
      <w:r>
        <w:rPr>
          <w:color w:val="707172"/>
          <w:w w:val="125"/>
          <w:sz w:val="18"/>
        </w:rPr>
        <w:t>of the church to formulate and give expression to our mission and faith in ways which bring alive our vision of ‘being Christ’s people, transformed by the Gospel, making a difference to the world’ (General Assembly, 2007). The committee seeks to encourage growth in discipleship, evangelism and witness</w:t>
      </w:r>
      <w:r>
        <w:rPr>
          <w:color w:val="707172"/>
          <w:spacing w:val="-3"/>
          <w:w w:val="125"/>
          <w:sz w:val="18"/>
        </w:rPr>
        <w:t> </w:t>
      </w:r>
      <w:r>
        <w:rPr>
          <w:color w:val="707172"/>
          <w:w w:val="125"/>
          <w:sz w:val="18"/>
        </w:rPr>
        <w:t>by:</w:t>
      </w:r>
    </w:p>
    <w:p>
      <w:pPr>
        <w:pStyle w:val="ListParagraph"/>
        <w:numPr>
          <w:ilvl w:val="0"/>
          <w:numId w:val="200"/>
        </w:numPr>
        <w:tabs>
          <w:tab w:pos="1287" w:val="left" w:leader="none"/>
          <w:tab w:pos="1288" w:val="left" w:leader="none"/>
        </w:tabs>
        <w:spacing w:line="222" w:lineRule="exact" w:before="0" w:after="0"/>
        <w:ind w:left="1287" w:right="0" w:hanging="454"/>
        <w:jc w:val="left"/>
        <w:rPr>
          <w:sz w:val="18"/>
        </w:rPr>
      </w:pPr>
      <w:r>
        <w:rPr>
          <w:color w:val="707172"/>
          <w:w w:val="120"/>
          <w:sz w:val="18"/>
        </w:rPr>
        <w:t>reflecting on the church’s mission practice and</w:t>
      </w:r>
      <w:r>
        <w:rPr>
          <w:color w:val="707172"/>
          <w:spacing w:val="22"/>
          <w:w w:val="120"/>
          <w:sz w:val="18"/>
        </w:rPr>
        <w:t> </w:t>
      </w:r>
      <w:r>
        <w:rPr>
          <w:color w:val="707172"/>
          <w:w w:val="120"/>
          <w:sz w:val="18"/>
        </w:rPr>
        <w:t>theology;</w:t>
      </w:r>
    </w:p>
    <w:p>
      <w:pPr>
        <w:pStyle w:val="ListParagraph"/>
        <w:numPr>
          <w:ilvl w:val="0"/>
          <w:numId w:val="200"/>
        </w:numPr>
        <w:tabs>
          <w:tab w:pos="1287" w:val="left" w:leader="none"/>
          <w:tab w:pos="1288" w:val="left" w:leader="none"/>
        </w:tabs>
        <w:spacing w:line="240" w:lineRule="auto" w:before="11" w:after="0"/>
        <w:ind w:left="1287" w:right="0" w:hanging="454"/>
        <w:jc w:val="left"/>
        <w:rPr>
          <w:sz w:val="18"/>
        </w:rPr>
      </w:pPr>
      <w:r>
        <w:rPr>
          <w:color w:val="707172"/>
          <w:w w:val="120"/>
          <w:sz w:val="18"/>
        </w:rPr>
        <w:t>formulating policy, strategies and programme </w:t>
      </w:r>
      <w:r>
        <w:rPr>
          <w:color w:val="707172"/>
          <w:spacing w:val="-3"/>
          <w:w w:val="120"/>
          <w:sz w:val="18"/>
        </w:rPr>
        <w:t>(action)</w:t>
      </w:r>
      <w:r>
        <w:rPr>
          <w:color w:val="707172"/>
          <w:spacing w:val="22"/>
          <w:w w:val="120"/>
          <w:sz w:val="18"/>
        </w:rPr>
        <w:t> </w:t>
      </w:r>
      <w:r>
        <w:rPr>
          <w:color w:val="707172"/>
          <w:w w:val="120"/>
          <w:sz w:val="18"/>
        </w:rPr>
        <w:t>priorities;</w:t>
      </w:r>
    </w:p>
    <w:p>
      <w:pPr>
        <w:pStyle w:val="ListParagraph"/>
        <w:numPr>
          <w:ilvl w:val="0"/>
          <w:numId w:val="200"/>
        </w:numPr>
        <w:tabs>
          <w:tab w:pos="1287" w:val="left" w:leader="none"/>
          <w:tab w:pos="1288" w:val="left" w:leader="none"/>
        </w:tabs>
        <w:spacing w:line="240" w:lineRule="auto" w:before="11" w:after="0"/>
        <w:ind w:left="1287" w:right="0" w:hanging="454"/>
        <w:jc w:val="left"/>
        <w:rPr>
          <w:sz w:val="18"/>
        </w:rPr>
      </w:pPr>
      <w:r>
        <w:rPr>
          <w:color w:val="707172"/>
          <w:w w:val="120"/>
          <w:sz w:val="18"/>
        </w:rPr>
        <w:t>reading the signs of the times and speaking</w:t>
      </w:r>
      <w:r>
        <w:rPr>
          <w:color w:val="707172"/>
          <w:spacing w:val="25"/>
          <w:w w:val="120"/>
          <w:sz w:val="18"/>
        </w:rPr>
        <w:t> </w:t>
      </w:r>
      <w:r>
        <w:rPr>
          <w:color w:val="707172"/>
          <w:w w:val="120"/>
          <w:sz w:val="18"/>
        </w:rPr>
        <w:t>prophetically;</w:t>
      </w:r>
    </w:p>
    <w:p>
      <w:pPr>
        <w:pStyle w:val="ListParagraph"/>
        <w:numPr>
          <w:ilvl w:val="0"/>
          <w:numId w:val="200"/>
        </w:numPr>
        <w:tabs>
          <w:tab w:pos="1287" w:val="left" w:leader="none"/>
          <w:tab w:pos="1288" w:val="left" w:leader="none"/>
        </w:tabs>
        <w:spacing w:line="240" w:lineRule="auto" w:before="10" w:after="0"/>
        <w:ind w:left="1287" w:right="0" w:hanging="454"/>
        <w:jc w:val="left"/>
        <w:rPr>
          <w:sz w:val="18"/>
        </w:rPr>
      </w:pPr>
      <w:r>
        <w:rPr>
          <w:color w:val="707172"/>
          <w:w w:val="120"/>
          <w:sz w:val="18"/>
        </w:rPr>
        <w:t>working with partners;</w:t>
      </w:r>
      <w:r>
        <w:rPr>
          <w:color w:val="707172"/>
          <w:spacing w:val="6"/>
          <w:w w:val="120"/>
          <w:sz w:val="18"/>
        </w:rPr>
        <w:t> </w:t>
      </w:r>
      <w:r>
        <w:rPr>
          <w:color w:val="707172"/>
          <w:w w:val="120"/>
          <w:sz w:val="18"/>
        </w:rPr>
        <w:t>and</w:t>
      </w:r>
    </w:p>
    <w:p>
      <w:pPr>
        <w:pStyle w:val="ListParagraph"/>
        <w:numPr>
          <w:ilvl w:val="0"/>
          <w:numId w:val="200"/>
        </w:numPr>
        <w:tabs>
          <w:tab w:pos="1287" w:val="left" w:leader="none"/>
          <w:tab w:pos="1288" w:val="left" w:leader="none"/>
        </w:tabs>
        <w:spacing w:line="261" w:lineRule="auto" w:before="11" w:after="0"/>
        <w:ind w:left="1287" w:right="2818" w:hanging="454"/>
        <w:jc w:val="left"/>
        <w:rPr>
          <w:sz w:val="18"/>
        </w:rPr>
      </w:pPr>
      <w:r>
        <w:rPr>
          <w:color w:val="707172"/>
          <w:w w:val="120"/>
          <w:sz w:val="18"/>
        </w:rPr>
        <w:t>continuously evaluating the place of mission and evangelism within the work of General</w:t>
      </w:r>
      <w:r>
        <w:rPr>
          <w:color w:val="707172"/>
          <w:spacing w:val="2"/>
          <w:w w:val="120"/>
          <w:sz w:val="18"/>
        </w:rPr>
        <w:t> </w:t>
      </w:r>
      <w:r>
        <w:rPr>
          <w:color w:val="707172"/>
          <w:w w:val="120"/>
          <w:sz w:val="18"/>
        </w:rPr>
        <w:t>Assembly.</w:t>
      </w:r>
    </w:p>
    <w:p>
      <w:pPr>
        <w:pStyle w:val="BodyText"/>
        <w:spacing w:before="10"/>
        <w:rPr>
          <w:sz w:val="18"/>
        </w:rPr>
      </w:pPr>
    </w:p>
    <w:p>
      <w:pPr>
        <w:spacing w:line="242" w:lineRule="exact" w:before="0"/>
        <w:ind w:left="834" w:right="0" w:firstLine="0"/>
        <w:jc w:val="left"/>
        <w:rPr>
          <w:sz w:val="18"/>
        </w:rPr>
      </w:pPr>
      <w:r>
        <w:rPr>
          <w:rFonts w:ascii="Stone Sans II ITC Std Bk"/>
          <w:b/>
          <w:color w:val="707172"/>
          <w:w w:val="120"/>
          <w:sz w:val="18"/>
        </w:rPr>
        <w:t>Convenor: </w:t>
      </w:r>
      <w:r>
        <w:rPr>
          <w:color w:val="707172"/>
          <w:w w:val="120"/>
          <w:sz w:val="18"/>
        </w:rPr>
        <w:t>Tracey Lewis</w:t>
      </w:r>
    </w:p>
    <w:p>
      <w:pPr>
        <w:spacing w:line="256" w:lineRule="auto" w:before="0"/>
        <w:ind w:left="834" w:right="2174" w:firstLine="0"/>
        <w:jc w:val="left"/>
        <w:rPr>
          <w:sz w:val="18"/>
        </w:rPr>
      </w:pPr>
      <w:r>
        <w:rPr>
          <w:rFonts w:ascii="Stone Sans II ITC Std Bk"/>
          <w:b/>
          <w:color w:val="707172"/>
          <w:w w:val="120"/>
          <w:sz w:val="18"/>
        </w:rPr>
        <w:t>Staff: </w:t>
      </w:r>
      <w:r>
        <w:rPr>
          <w:color w:val="707172"/>
          <w:w w:val="120"/>
          <w:sz w:val="18"/>
        </w:rPr>
        <w:t>Francis Brienen, Deputy General Secretary (Mission); Elizabeth Clark, National Rural Officer; Michael Jagessar, Global and Intercultural Ministries; Linda Mead, Commitment for  Life; Grace Pengelly, Secretary for Church and Society; David </w:t>
      </w:r>
      <w:r>
        <w:rPr>
          <w:color w:val="707172"/>
          <w:spacing w:val="-3"/>
          <w:w w:val="120"/>
          <w:sz w:val="18"/>
        </w:rPr>
        <w:t>Tatem, </w:t>
      </w:r>
      <w:r>
        <w:rPr>
          <w:color w:val="707172"/>
          <w:w w:val="120"/>
          <w:sz w:val="18"/>
        </w:rPr>
        <w:t>Secretary for Ecumenical and Interfaith</w:t>
      </w:r>
      <w:r>
        <w:rPr>
          <w:color w:val="707172"/>
          <w:spacing w:val="3"/>
          <w:w w:val="120"/>
          <w:sz w:val="18"/>
        </w:rPr>
        <w:t> </w:t>
      </w:r>
      <w:r>
        <w:rPr>
          <w:color w:val="707172"/>
          <w:w w:val="120"/>
          <w:sz w:val="18"/>
        </w:rPr>
        <w:t>Relations.</w:t>
      </w:r>
    </w:p>
    <w:p>
      <w:pPr>
        <w:spacing w:line="254" w:lineRule="auto" w:before="0"/>
        <w:ind w:left="834" w:right="1982" w:firstLine="0"/>
        <w:jc w:val="left"/>
        <w:rPr>
          <w:sz w:val="18"/>
        </w:rPr>
      </w:pPr>
      <w:r>
        <w:rPr>
          <w:rFonts w:ascii="Stone Sans II ITC Std Bk"/>
          <w:b/>
          <w:color w:val="707172"/>
          <w:w w:val="120"/>
          <w:sz w:val="18"/>
        </w:rPr>
        <w:t>Members: </w:t>
      </w:r>
      <w:r>
        <w:rPr>
          <w:color w:val="707172"/>
          <w:w w:val="120"/>
          <w:sz w:val="18"/>
        </w:rPr>
        <w:t>Ron Forster, Stuart Nixon, John Cornell, Lesley Moseley, John Davey, David Sebley, Stephen Newell, Sheila Thatcher, Vivien Andrew, Martin Hayward, John Collings, Marie Trubic (co-opted), Bernie Collins (convenor-elect).</w:t>
      </w:r>
    </w:p>
    <w:p>
      <w:pPr>
        <w:pStyle w:val="BodyText"/>
        <w:rPr>
          <w:sz w:val="22"/>
        </w:rPr>
      </w:pPr>
    </w:p>
    <w:p>
      <w:pPr>
        <w:pStyle w:val="BodyText"/>
        <w:spacing w:before="5"/>
        <w:rPr>
          <w:sz w:val="18"/>
        </w:rPr>
      </w:pPr>
    </w:p>
    <w:p>
      <w:pPr>
        <w:spacing w:before="1"/>
        <w:ind w:left="607" w:right="0" w:firstLine="0"/>
        <w:jc w:val="left"/>
        <w:rPr>
          <w:rFonts w:ascii="Stone Sans II ITC Std Bk"/>
          <w:b/>
          <w:sz w:val="29"/>
        </w:rPr>
      </w:pPr>
      <w:r>
        <w:rPr>
          <w:rFonts w:ascii="Stone Sans II ITC Std Bk"/>
          <w:b/>
          <w:w w:val="110"/>
          <w:sz w:val="29"/>
        </w:rPr>
        <w:t>Introduction</w:t>
      </w:r>
    </w:p>
    <w:p>
      <w:pPr>
        <w:pStyle w:val="ListParagraph"/>
        <w:numPr>
          <w:ilvl w:val="1"/>
          <w:numId w:val="201"/>
        </w:numPr>
        <w:tabs>
          <w:tab w:pos="1287" w:val="left" w:leader="none"/>
          <w:tab w:pos="1288" w:val="left" w:leader="none"/>
        </w:tabs>
        <w:spacing w:line="235" w:lineRule="auto" w:before="69" w:after="0"/>
        <w:ind w:left="607" w:right="2383" w:firstLine="0"/>
        <w:jc w:val="left"/>
        <w:rPr>
          <w:sz w:val="20"/>
        </w:rPr>
      </w:pPr>
      <w:r>
        <w:rPr>
          <w:w w:val="120"/>
          <w:sz w:val="20"/>
        </w:rPr>
        <w:t>The United Reformed Church, we are constantly reminding ourselves, is a small Church with limited resources. However, as you will recognise in the </w:t>
      </w:r>
      <w:r>
        <w:rPr>
          <w:spacing w:val="2"/>
          <w:w w:val="120"/>
          <w:sz w:val="20"/>
        </w:rPr>
        <w:t>report </w:t>
      </w:r>
      <w:r>
        <w:rPr>
          <w:w w:val="120"/>
          <w:sz w:val="20"/>
        </w:rPr>
        <w:t>that follows, we are adventurous, ambitious, diverse and creative in our use of those resources and vibrant, courageous and hopeful in</w:t>
      </w:r>
      <w:r>
        <w:rPr>
          <w:spacing w:val="17"/>
          <w:w w:val="120"/>
          <w:sz w:val="20"/>
        </w:rPr>
        <w:t> </w:t>
      </w:r>
      <w:r>
        <w:rPr>
          <w:w w:val="120"/>
          <w:sz w:val="20"/>
        </w:rPr>
        <w:t>character.</w:t>
      </w:r>
    </w:p>
    <w:p>
      <w:pPr>
        <w:pStyle w:val="BodyText"/>
        <w:spacing w:before="11"/>
        <w:rPr>
          <w:sz w:val="19"/>
        </w:rPr>
      </w:pPr>
    </w:p>
    <w:p>
      <w:pPr>
        <w:pStyle w:val="ListParagraph"/>
        <w:numPr>
          <w:ilvl w:val="1"/>
          <w:numId w:val="201"/>
        </w:numPr>
        <w:tabs>
          <w:tab w:pos="1287" w:val="left" w:leader="none"/>
          <w:tab w:pos="1288" w:val="left" w:leader="none"/>
        </w:tabs>
        <w:spacing w:line="235" w:lineRule="auto" w:before="0" w:after="0"/>
        <w:ind w:left="607" w:right="1993" w:firstLine="0"/>
        <w:jc w:val="left"/>
        <w:rPr>
          <w:sz w:val="20"/>
        </w:rPr>
      </w:pPr>
      <w:r>
        <w:rPr>
          <w:w w:val="120"/>
          <w:sz w:val="20"/>
        </w:rPr>
        <w:t>Mission is always about looking to see what God is up to in the world and joining in! </w:t>
      </w:r>
      <w:r>
        <w:rPr>
          <w:spacing w:val="3"/>
          <w:w w:val="120"/>
          <w:sz w:val="20"/>
        </w:rPr>
        <w:t>As </w:t>
      </w:r>
      <w:r>
        <w:rPr>
          <w:w w:val="120"/>
          <w:sz w:val="20"/>
        </w:rPr>
        <w:t>a Church, we have recognised through the vision2020 framework for</w:t>
      </w:r>
      <w:r>
        <w:rPr>
          <w:spacing w:val="36"/>
          <w:w w:val="120"/>
          <w:sz w:val="20"/>
        </w:rPr>
        <w:t> </w:t>
      </w:r>
      <w:r>
        <w:rPr>
          <w:w w:val="120"/>
          <w:sz w:val="20"/>
        </w:rPr>
        <w:t>mission</w:t>
      </w:r>
    </w:p>
    <w:p>
      <w:pPr>
        <w:pStyle w:val="BodyText"/>
        <w:spacing w:line="235" w:lineRule="auto" w:before="1"/>
        <w:ind w:left="607" w:right="2113"/>
      </w:pPr>
      <w:r>
        <w:rPr>
          <w:w w:val="120"/>
        </w:rPr>
        <w:t>that God is engaged in the life of the world in rich, broad and diverse ways. And so    the agenda that we embrace together as a Church is multi-faceted and calls upon us</w:t>
      </w:r>
      <w:r>
        <w:rPr>
          <w:spacing w:val="2"/>
          <w:w w:val="120"/>
        </w:rPr>
        <w:t> </w:t>
      </w:r>
      <w:r>
        <w:rPr>
          <w:w w:val="120"/>
        </w:rPr>
        <w:t>to</w:t>
      </w:r>
    </w:p>
    <w:p>
      <w:pPr>
        <w:pStyle w:val="BodyText"/>
        <w:spacing w:line="235" w:lineRule="auto" w:before="2"/>
        <w:ind w:left="607" w:right="2045"/>
      </w:pPr>
      <w:r>
        <w:rPr>
          <w:w w:val="120"/>
        </w:rPr>
        <w:t>treasure the different directions in which the mission of the Kingdom of God is pursued among us and through us.</w:t>
      </w:r>
    </w:p>
    <w:p>
      <w:pPr>
        <w:pStyle w:val="BodyText"/>
        <w:spacing w:before="9"/>
        <w:rPr>
          <w:sz w:val="19"/>
        </w:rPr>
      </w:pPr>
    </w:p>
    <w:p>
      <w:pPr>
        <w:pStyle w:val="ListParagraph"/>
        <w:numPr>
          <w:ilvl w:val="1"/>
          <w:numId w:val="201"/>
        </w:numPr>
        <w:tabs>
          <w:tab w:pos="1287" w:val="left" w:leader="none"/>
          <w:tab w:pos="1288" w:val="left" w:leader="none"/>
        </w:tabs>
        <w:spacing w:line="235" w:lineRule="auto" w:before="0" w:after="0"/>
        <w:ind w:left="607" w:right="2031" w:firstLine="0"/>
        <w:jc w:val="left"/>
        <w:rPr>
          <w:sz w:val="20"/>
        </w:rPr>
      </w:pPr>
      <w:r>
        <w:rPr>
          <w:w w:val="120"/>
          <w:sz w:val="20"/>
        </w:rPr>
        <w:t>We are now in the sixth year of exploring the vision2020 framework for mission. It is proving to be a stimulus for mission in many ways and at different levels across the URC. The mission team and committee have been delighted to see increasingly creative local mission initiatives, which the vision2020 grants have been able to</w:t>
      </w:r>
      <w:r>
        <w:rPr>
          <w:spacing w:val="44"/>
          <w:w w:val="120"/>
          <w:sz w:val="20"/>
        </w:rPr>
        <w:t> </w:t>
      </w:r>
      <w:r>
        <w:rPr>
          <w:w w:val="120"/>
          <w:sz w:val="20"/>
        </w:rPr>
        <w:t>support.</w:t>
      </w:r>
    </w:p>
    <w:p>
      <w:pPr>
        <w:pStyle w:val="BodyText"/>
        <w:spacing w:line="235" w:lineRule="auto" w:before="3"/>
        <w:ind w:left="607" w:right="2045"/>
      </w:pPr>
      <w:r>
        <w:rPr>
          <w:w w:val="120"/>
        </w:rPr>
        <w:t>Local churches, it seems, have found here a resource which encourages them to try something new.</w:t>
      </w:r>
    </w:p>
    <w:p>
      <w:pPr>
        <w:pStyle w:val="BodyText"/>
        <w:spacing w:before="10"/>
        <w:rPr>
          <w:sz w:val="19"/>
        </w:rPr>
      </w:pPr>
    </w:p>
    <w:p>
      <w:pPr>
        <w:pStyle w:val="ListParagraph"/>
        <w:numPr>
          <w:ilvl w:val="1"/>
          <w:numId w:val="201"/>
        </w:numPr>
        <w:tabs>
          <w:tab w:pos="1287" w:val="left" w:leader="none"/>
          <w:tab w:pos="1288" w:val="left" w:leader="none"/>
        </w:tabs>
        <w:spacing w:line="235" w:lineRule="auto" w:before="0" w:after="0"/>
        <w:ind w:left="607" w:right="2096" w:firstLine="0"/>
        <w:jc w:val="left"/>
        <w:rPr>
          <w:sz w:val="20"/>
        </w:rPr>
      </w:pPr>
      <w:r>
        <w:rPr>
          <w:w w:val="120"/>
          <w:sz w:val="20"/>
        </w:rPr>
        <w:t>‘Trying something new’ is also reflected in the growing network of our Pioneer Ministers who are exploring beyond the edges of inherited Church. </w:t>
      </w:r>
      <w:r>
        <w:rPr>
          <w:spacing w:val="-3"/>
          <w:w w:val="120"/>
          <w:sz w:val="20"/>
        </w:rPr>
        <w:t>They, </w:t>
      </w:r>
      <w:r>
        <w:rPr>
          <w:w w:val="120"/>
          <w:sz w:val="20"/>
        </w:rPr>
        <w:t>as one of the ways in which we look to the future God is calling us </w:t>
      </w:r>
      <w:r>
        <w:rPr>
          <w:spacing w:val="-3"/>
          <w:w w:val="120"/>
          <w:sz w:val="20"/>
        </w:rPr>
        <w:t>to, </w:t>
      </w:r>
      <w:r>
        <w:rPr>
          <w:w w:val="120"/>
          <w:sz w:val="20"/>
        </w:rPr>
        <w:t>will have much to teach us as we travel</w:t>
      </w:r>
      <w:r>
        <w:rPr>
          <w:spacing w:val="3"/>
          <w:w w:val="120"/>
          <w:sz w:val="20"/>
        </w:rPr>
        <w:t> </w:t>
      </w:r>
      <w:r>
        <w:rPr>
          <w:w w:val="120"/>
          <w:sz w:val="20"/>
        </w:rPr>
        <w:t>together.</w:t>
      </w:r>
    </w:p>
    <w:p>
      <w:pPr>
        <w:pStyle w:val="BodyText"/>
        <w:spacing w:before="11"/>
        <w:rPr>
          <w:sz w:val="19"/>
        </w:rPr>
      </w:pPr>
    </w:p>
    <w:p>
      <w:pPr>
        <w:pStyle w:val="ListParagraph"/>
        <w:numPr>
          <w:ilvl w:val="1"/>
          <w:numId w:val="201"/>
        </w:numPr>
        <w:tabs>
          <w:tab w:pos="1287" w:val="left" w:leader="none"/>
          <w:tab w:pos="1288" w:val="left" w:leader="none"/>
        </w:tabs>
        <w:spacing w:line="235" w:lineRule="auto" w:before="0" w:after="0"/>
        <w:ind w:left="607" w:right="1983" w:firstLine="0"/>
        <w:jc w:val="left"/>
        <w:rPr>
          <w:sz w:val="20"/>
        </w:rPr>
      </w:pPr>
      <w:r>
        <w:rPr>
          <w:w w:val="120"/>
          <w:sz w:val="20"/>
        </w:rPr>
        <w:t>The </w:t>
      </w:r>
      <w:r>
        <w:rPr>
          <w:spacing w:val="2"/>
          <w:w w:val="120"/>
          <w:sz w:val="20"/>
        </w:rPr>
        <w:t>report </w:t>
      </w:r>
      <w:r>
        <w:rPr>
          <w:w w:val="120"/>
          <w:sz w:val="20"/>
        </w:rPr>
        <w:t>that follows offers a taste of the many ways in which we are a Church exploring new and evolving opportunities for mission in the diverse and changing context of our present culture. The challenges are huge. While we are small our greatest resources are found in the faithful people who serve in and through this Church. It is with thanks to the mission team and the mission committee and the many people in the synods, networks and churches engaging in mission, that we present the</w:t>
      </w:r>
      <w:r>
        <w:rPr>
          <w:spacing w:val="4"/>
          <w:w w:val="120"/>
          <w:sz w:val="20"/>
        </w:rPr>
        <w:t> </w:t>
      </w:r>
      <w:r>
        <w:rPr>
          <w:w w:val="120"/>
          <w:sz w:val="20"/>
        </w:rPr>
        <w:t>report.</w:t>
      </w:r>
    </w:p>
    <w:p>
      <w:pPr>
        <w:spacing w:after="0" w:line="235" w:lineRule="auto"/>
        <w:jc w:val="left"/>
        <w:rPr>
          <w:sz w:val="20"/>
        </w:rPr>
        <w:sectPr>
          <w:headerReference w:type="even" r:id="rId445"/>
          <w:footerReference w:type="even" r:id="rId446"/>
          <w:footerReference w:type="default" r:id="rId447"/>
          <w:pgSz w:w="11910" w:h="16840"/>
          <w:pgMar w:header="0" w:footer="647" w:top="0" w:bottom="840" w:left="640" w:right="0"/>
        </w:sectPr>
      </w:pPr>
    </w:p>
    <w:p>
      <w:pPr>
        <w:pStyle w:val="BodyText"/>
      </w:pPr>
    </w:p>
    <w:p>
      <w:pPr>
        <w:pStyle w:val="BodyText"/>
        <w:spacing w:before="7"/>
        <w:rPr>
          <w:sz w:val="21"/>
        </w:rPr>
      </w:pPr>
    </w:p>
    <w:p>
      <w:pPr>
        <w:spacing w:after="0"/>
        <w:rPr>
          <w:sz w:val="21"/>
        </w:rPr>
        <w:sectPr>
          <w:headerReference w:type="default" r:id="rId448"/>
          <w:pgSz w:w="11910" w:h="16840"/>
          <w:pgMar w:header="0" w:footer="647" w:top="0" w:bottom="840" w:left="640" w:right="0"/>
        </w:sectPr>
      </w:pPr>
    </w:p>
    <w:p>
      <w:pPr>
        <w:pStyle w:val="BodyText"/>
        <w:spacing w:before="4"/>
        <w:rPr>
          <w:sz w:val="52"/>
        </w:rPr>
      </w:pPr>
    </w:p>
    <w:p>
      <w:pPr>
        <w:spacing w:before="0"/>
        <w:ind w:left="1344" w:right="0" w:firstLine="0"/>
        <w:jc w:val="left"/>
        <w:rPr>
          <w:rFonts w:ascii="Stone Sans II ITC Std Bk"/>
          <w:b/>
          <w:sz w:val="29"/>
        </w:rPr>
      </w:pPr>
      <w:r>
        <w:rPr>
          <w:rFonts w:ascii="Stone Sans II ITC Std Bk"/>
          <w:b/>
          <w:w w:val="110"/>
          <w:sz w:val="29"/>
        </w:rPr>
        <w:t>Church and Society</w:t>
      </w:r>
    </w:p>
    <w:p>
      <w:pPr>
        <w:pStyle w:val="Heading1"/>
        <w:ind w:left="1320" w:right="1223"/>
        <w:jc w:val="center"/>
      </w:pPr>
      <w:bookmarkStart w:name="_TOC_250004" w:id="21"/>
      <w:r>
        <w:rPr/>
        <w:br w:type="column"/>
      </w:r>
      <w:bookmarkEnd w:id="21"/>
      <w:r>
        <w:rPr>
          <w:color w:val="7EAABF"/>
          <w:w w:val="115"/>
        </w:rPr>
        <w:t>Mission</w:t>
      </w:r>
    </w:p>
    <w:p>
      <w:pPr>
        <w:spacing w:after="0"/>
        <w:jc w:val="center"/>
        <w:sectPr>
          <w:type w:val="continuous"/>
          <w:pgSz w:w="11910" w:h="16840"/>
          <w:pgMar w:top="1580" w:bottom="280" w:left="640" w:right="0"/>
          <w:cols w:num="2" w:equalWidth="0">
            <w:col w:w="4466" w:space="3279"/>
            <w:col w:w="3525"/>
          </w:cols>
        </w:sectPr>
      </w:pPr>
    </w:p>
    <w:p>
      <w:pPr>
        <w:pStyle w:val="ListParagraph"/>
        <w:numPr>
          <w:ilvl w:val="1"/>
          <w:numId w:val="202"/>
        </w:numPr>
        <w:tabs>
          <w:tab w:pos="2024" w:val="left" w:leader="none"/>
          <w:tab w:pos="2025" w:val="left" w:leader="none"/>
        </w:tabs>
        <w:spacing w:line="235" w:lineRule="auto" w:before="69" w:after="0"/>
        <w:ind w:left="1344" w:right="1303" w:firstLine="0"/>
        <w:jc w:val="left"/>
        <w:rPr>
          <w:sz w:val="20"/>
        </w:rPr>
      </w:pPr>
      <w:r>
        <w:rPr/>
        <w:drawing>
          <wp:anchor distT="0" distB="0" distL="0" distR="0" allowOverlap="1" layoutInCell="1" locked="0" behindDoc="0" simplePos="0" relativeHeight="252115968">
            <wp:simplePos x="0" y="0"/>
            <wp:positionH relativeFrom="page">
              <wp:posOffset>6974928</wp:posOffset>
            </wp:positionH>
            <wp:positionV relativeFrom="page">
              <wp:posOffset>0</wp:posOffset>
            </wp:positionV>
            <wp:extent cx="585063" cy="10692003"/>
            <wp:effectExtent l="0" t="0" r="0" b="0"/>
            <wp:wrapNone/>
            <wp:docPr id="319" name="image54.png"/>
            <wp:cNvGraphicFramePr>
              <a:graphicFrameLocks noChangeAspect="1"/>
            </wp:cNvGraphicFramePr>
            <a:graphic>
              <a:graphicData uri="http://schemas.openxmlformats.org/drawingml/2006/picture">
                <pic:pic>
                  <pic:nvPicPr>
                    <pic:cNvPr id="320" name="image54.png"/>
                    <pic:cNvPicPr/>
                  </pic:nvPicPr>
                  <pic:blipFill>
                    <a:blip r:embed="rId169" cstate="print"/>
                    <a:stretch>
                      <a:fillRect/>
                    </a:stretch>
                  </pic:blipFill>
                  <pic:spPr>
                    <a:xfrm>
                      <a:off x="0" y="0"/>
                      <a:ext cx="585063" cy="10692003"/>
                    </a:xfrm>
                    <a:prstGeom prst="rect">
                      <a:avLst/>
                    </a:prstGeom>
                  </pic:spPr>
                </pic:pic>
              </a:graphicData>
            </a:graphic>
          </wp:anchor>
        </w:drawing>
      </w:r>
      <w:r>
        <w:rPr/>
        <w:pict>
          <v:shape style="position:absolute;margin-left:554.141174pt;margin-top:-28.931347pt;width:25.9pt;height:78.850pt;mso-position-horizontal-relative:page;mso-position-vertical-relative:paragraph;z-index:252116992" type="#_x0000_t202" filled="false" stroked="false">
            <v:textbox inset="0,0,0,0" style="layout-flow:vertical">
              <w:txbxContent>
                <w:p>
                  <w:pPr>
                    <w:spacing w:before="27"/>
                    <w:ind w:left="20" w:right="0" w:firstLine="0"/>
                    <w:jc w:val="left"/>
                    <w:rPr>
                      <w:sz w:val="39"/>
                    </w:rPr>
                  </w:pPr>
                  <w:r>
                    <w:rPr>
                      <w:color w:val="FFFFFF"/>
                      <w:w w:val="115"/>
                      <w:sz w:val="39"/>
                    </w:rPr>
                    <w:t>Mission</w:t>
                  </w:r>
                </w:p>
              </w:txbxContent>
            </v:textbox>
            <w10:wrap type="none"/>
          </v:shape>
        </w:pict>
      </w:r>
      <w:r>
        <w:rPr>
          <w:w w:val="120"/>
          <w:sz w:val="20"/>
        </w:rPr>
        <w:t>The United Reformed </w:t>
      </w:r>
      <w:r>
        <w:rPr>
          <w:spacing w:val="-3"/>
          <w:w w:val="120"/>
          <w:sz w:val="20"/>
        </w:rPr>
        <w:t>Church’s </w:t>
      </w:r>
      <w:r>
        <w:rPr>
          <w:w w:val="120"/>
          <w:sz w:val="20"/>
        </w:rPr>
        <w:t>church and society  programme  continues  to help the Church speak prophetically about justice and peace issues in the public square and support churches on the ground by providing resources and campaigns that help individuals make the links between faith, politics and action. This work is done through membership of the Joint Public Issues </w:t>
      </w:r>
      <w:r>
        <w:rPr>
          <w:spacing w:val="-4"/>
          <w:w w:val="120"/>
          <w:sz w:val="20"/>
        </w:rPr>
        <w:t>Team </w:t>
      </w:r>
      <w:r>
        <w:rPr>
          <w:w w:val="120"/>
          <w:sz w:val="20"/>
        </w:rPr>
        <w:t>(JPIT), which is a partnership between the United Reformed Church, the Methodist Church, the Baptist Union of Great</w:t>
      </w:r>
      <w:r>
        <w:rPr>
          <w:spacing w:val="35"/>
          <w:w w:val="120"/>
          <w:sz w:val="20"/>
        </w:rPr>
        <w:t> </w:t>
      </w:r>
      <w:r>
        <w:rPr>
          <w:w w:val="120"/>
          <w:sz w:val="20"/>
        </w:rPr>
        <w:t>Britain</w:t>
      </w:r>
    </w:p>
    <w:p>
      <w:pPr>
        <w:pStyle w:val="BodyText"/>
        <w:spacing w:line="235" w:lineRule="auto" w:before="4"/>
        <w:ind w:left="1344" w:right="1217"/>
      </w:pPr>
      <w:r>
        <w:rPr>
          <w:w w:val="120"/>
        </w:rPr>
        <w:t>and the Church of Scotland. We were delighted to welcome Grace Pengelly as the new Secretary for Church and Society in January 2016.</w:t>
      </w:r>
    </w:p>
    <w:p>
      <w:pPr>
        <w:pStyle w:val="BodyText"/>
        <w:spacing w:before="12"/>
        <w:rPr>
          <w:sz w:val="18"/>
        </w:rPr>
      </w:pPr>
    </w:p>
    <w:p>
      <w:pPr>
        <w:pStyle w:val="Heading2"/>
        <w:ind w:left="1344"/>
      </w:pPr>
      <w:r>
        <w:rPr>
          <w:w w:val="110"/>
        </w:rPr>
        <w:t>Political engagement</w:t>
      </w:r>
    </w:p>
    <w:p>
      <w:pPr>
        <w:pStyle w:val="ListParagraph"/>
        <w:numPr>
          <w:ilvl w:val="1"/>
          <w:numId w:val="202"/>
        </w:numPr>
        <w:tabs>
          <w:tab w:pos="2024" w:val="left" w:leader="none"/>
          <w:tab w:pos="2025" w:val="left" w:leader="none"/>
        </w:tabs>
        <w:spacing w:line="235" w:lineRule="auto" w:before="82" w:after="0"/>
        <w:ind w:left="1344" w:right="1661" w:firstLine="0"/>
        <w:jc w:val="left"/>
        <w:rPr>
          <w:sz w:val="20"/>
        </w:rPr>
      </w:pPr>
      <w:r>
        <w:rPr>
          <w:w w:val="120"/>
          <w:sz w:val="20"/>
        </w:rPr>
        <w:t>The famous ‘we don’t do God’ dictum would not last long in the Joint Public Issues </w:t>
      </w:r>
      <w:r>
        <w:rPr>
          <w:spacing w:val="-4"/>
          <w:w w:val="120"/>
          <w:sz w:val="20"/>
        </w:rPr>
        <w:t>Team, </w:t>
      </w:r>
      <w:r>
        <w:rPr>
          <w:w w:val="120"/>
          <w:sz w:val="20"/>
        </w:rPr>
        <w:t>which always seeks to make apparent the relationship between politics and the Gospel. This team analyses issues, trends and policies in order to develop a collective response that reflects our shared desire to live out the Gospel of Christ in church and</w:t>
      </w:r>
      <w:r>
        <w:rPr>
          <w:spacing w:val="4"/>
          <w:w w:val="120"/>
          <w:sz w:val="20"/>
        </w:rPr>
        <w:t> </w:t>
      </w:r>
      <w:r>
        <w:rPr>
          <w:w w:val="120"/>
          <w:sz w:val="20"/>
        </w:rPr>
        <w:t>society.</w:t>
      </w:r>
    </w:p>
    <w:p>
      <w:pPr>
        <w:pStyle w:val="BodyText"/>
        <w:spacing w:before="5"/>
      </w:pPr>
    </w:p>
    <w:p>
      <w:pPr>
        <w:pStyle w:val="Heading3"/>
        <w:ind w:left="1344"/>
        <w:rPr>
          <w:i/>
        </w:rPr>
      </w:pPr>
      <w:r>
        <w:rPr>
          <w:i/>
          <w:w w:val="110"/>
        </w:rPr>
        <w:t>Political engagement in the UK</w:t>
      </w:r>
    </w:p>
    <w:p>
      <w:pPr>
        <w:pStyle w:val="ListParagraph"/>
        <w:numPr>
          <w:ilvl w:val="2"/>
          <w:numId w:val="202"/>
        </w:numPr>
        <w:tabs>
          <w:tab w:pos="2025" w:val="left" w:leader="none"/>
        </w:tabs>
        <w:spacing w:line="235" w:lineRule="auto" w:before="100" w:after="0"/>
        <w:ind w:left="1344" w:right="1245" w:firstLine="0"/>
        <w:jc w:val="left"/>
        <w:rPr>
          <w:sz w:val="20"/>
        </w:rPr>
      </w:pPr>
      <w:r>
        <w:rPr>
          <w:w w:val="120"/>
          <w:sz w:val="20"/>
        </w:rPr>
        <w:t>In </w:t>
      </w:r>
      <w:r>
        <w:rPr>
          <w:spacing w:val="2"/>
          <w:w w:val="120"/>
          <w:sz w:val="20"/>
        </w:rPr>
        <w:t>February </w:t>
      </w:r>
      <w:r>
        <w:rPr>
          <w:spacing w:val="-7"/>
          <w:w w:val="120"/>
          <w:sz w:val="20"/>
        </w:rPr>
        <w:t>2015 </w:t>
      </w:r>
      <w:r>
        <w:rPr>
          <w:w w:val="120"/>
          <w:sz w:val="20"/>
        </w:rPr>
        <w:t>JPIT hosted its third conference, the theme of which was ‘Think, Pray </w:t>
      </w:r>
      <w:r>
        <w:rPr>
          <w:spacing w:val="-6"/>
          <w:w w:val="120"/>
          <w:sz w:val="20"/>
        </w:rPr>
        <w:t>Vote’, </w:t>
      </w:r>
      <w:r>
        <w:rPr>
          <w:w w:val="120"/>
          <w:sz w:val="20"/>
        </w:rPr>
        <w:t>encouraging people to reflect on the relationship between their faith and political involvement ahead of the UK General Election. Those who came had the opportunity to attend topical issue-based workshops and practical sessions on lobbying and media</w:t>
      </w:r>
      <w:r>
        <w:rPr>
          <w:spacing w:val="4"/>
          <w:w w:val="120"/>
          <w:sz w:val="20"/>
        </w:rPr>
        <w:t> </w:t>
      </w:r>
      <w:r>
        <w:rPr>
          <w:w w:val="120"/>
          <w:sz w:val="20"/>
        </w:rPr>
        <w:t>messaging.</w:t>
      </w:r>
    </w:p>
    <w:p>
      <w:pPr>
        <w:pStyle w:val="BodyText"/>
        <w:spacing w:before="11"/>
        <w:rPr>
          <w:sz w:val="19"/>
        </w:rPr>
      </w:pPr>
    </w:p>
    <w:p>
      <w:pPr>
        <w:pStyle w:val="ListParagraph"/>
        <w:numPr>
          <w:ilvl w:val="2"/>
          <w:numId w:val="202"/>
        </w:numPr>
        <w:tabs>
          <w:tab w:pos="2025" w:val="left" w:leader="none"/>
        </w:tabs>
        <w:spacing w:line="235" w:lineRule="auto" w:before="1" w:after="0"/>
        <w:ind w:left="1344" w:right="1396" w:firstLine="0"/>
        <w:jc w:val="both"/>
        <w:rPr>
          <w:sz w:val="20"/>
        </w:rPr>
      </w:pPr>
      <w:r>
        <w:rPr>
          <w:w w:val="120"/>
          <w:sz w:val="20"/>
        </w:rPr>
        <w:t>JPIT’s briefing document ‘Faith in Politics’ helped churches prepare for the </w:t>
      </w:r>
      <w:r>
        <w:rPr>
          <w:spacing w:val="-7"/>
          <w:w w:val="120"/>
          <w:sz w:val="20"/>
        </w:rPr>
        <w:t>2015 </w:t>
      </w:r>
      <w:r>
        <w:rPr>
          <w:w w:val="120"/>
          <w:sz w:val="20"/>
        </w:rPr>
        <w:t>General Election by identifying key themes and providing questions for reflection and discussion. It produced a similar document for the recent EU</w:t>
      </w:r>
      <w:r>
        <w:rPr>
          <w:spacing w:val="19"/>
          <w:w w:val="120"/>
          <w:sz w:val="20"/>
        </w:rPr>
        <w:t> </w:t>
      </w:r>
      <w:r>
        <w:rPr>
          <w:w w:val="120"/>
          <w:sz w:val="20"/>
        </w:rPr>
        <w:t>referendum.</w:t>
      </w:r>
    </w:p>
    <w:p>
      <w:pPr>
        <w:pStyle w:val="BodyText"/>
        <w:spacing w:before="10"/>
        <w:rPr>
          <w:sz w:val="19"/>
        </w:rPr>
      </w:pPr>
    </w:p>
    <w:p>
      <w:pPr>
        <w:pStyle w:val="ListParagraph"/>
        <w:numPr>
          <w:ilvl w:val="2"/>
          <w:numId w:val="202"/>
        </w:numPr>
        <w:tabs>
          <w:tab w:pos="2025" w:val="left" w:leader="none"/>
        </w:tabs>
        <w:spacing w:line="235" w:lineRule="auto" w:before="0" w:after="0"/>
        <w:ind w:left="1344" w:right="1290" w:firstLine="0"/>
        <w:jc w:val="left"/>
        <w:rPr>
          <w:sz w:val="20"/>
        </w:rPr>
      </w:pPr>
      <w:r>
        <w:rPr>
          <w:w w:val="120"/>
          <w:sz w:val="20"/>
        </w:rPr>
        <w:t>In light of the government’s proposed British Bill of Rights, which would replace the Human Rights Act </w:t>
      </w:r>
      <w:r>
        <w:rPr>
          <w:spacing w:val="-7"/>
          <w:w w:val="120"/>
          <w:sz w:val="20"/>
        </w:rPr>
        <w:t>(1998), </w:t>
      </w:r>
      <w:r>
        <w:rPr>
          <w:w w:val="120"/>
          <w:sz w:val="20"/>
        </w:rPr>
        <w:t>JPIT produced a resource at the end of </w:t>
      </w:r>
      <w:r>
        <w:rPr>
          <w:spacing w:val="-7"/>
          <w:w w:val="120"/>
          <w:sz w:val="20"/>
        </w:rPr>
        <w:t>2015 </w:t>
      </w:r>
      <w:r>
        <w:rPr>
          <w:w w:val="120"/>
          <w:sz w:val="20"/>
        </w:rPr>
        <w:t>designed to help churches reflect on the topic of human rights. It explores what human rights mean to those who have a Christian faith and to the society we live</w:t>
      </w:r>
      <w:r>
        <w:rPr>
          <w:spacing w:val="23"/>
          <w:w w:val="120"/>
          <w:sz w:val="20"/>
        </w:rPr>
        <w:t> </w:t>
      </w:r>
      <w:r>
        <w:rPr>
          <w:w w:val="120"/>
          <w:sz w:val="20"/>
        </w:rPr>
        <w:t>in.</w:t>
      </w:r>
    </w:p>
    <w:p>
      <w:pPr>
        <w:pStyle w:val="BodyText"/>
        <w:spacing w:before="11"/>
        <w:rPr>
          <w:sz w:val="19"/>
        </w:rPr>
      </w:pPr>
    </w:p>
    <w:p>
      <w:pPr>
        <w:pStyle w:val="ListParagraph"/>
        <w:numPr>
          <w:ilvl w:val="2"/>
          <w:numId w:val="202"/>
        </w:numPr>
        <w:tabs>
          <w:tab w:pos="2025" w:val="left" w:leader="none"/>
        </w:tabs>
        <w:spacing w:line="235" w:lineRule="auto" w:before="0" w:after="0"/>
        <w:ind w:left="1344" w:right="1249" w:firstLine="0"/>
        <w:jc w:val="left"/>
        <w:rPr>
          <w:sz w:val="20"/>
        </w:rPr>
      </w:pPr>
      <w:r>
        <w:rPr>
          <w:spacing w:val="3"/>
          <w:w w:val="120"/>
          <w:sz w:val="20"/>
        </w:rPr>
        <w:t>As </w:t>
      </w:r>
      <w:r>
        <w:rPr>
          <w:w w:val="120"/>
          <w:sz w:val="20"/>
        </w:rPr>
        <w:t>in previous years, our General Assembly Moderators have attended political </w:t>
      </w:r>
      <w:r>
        <w:rPr>
          <w:spacing w:val="2"/>
          <w:w w:val="120"/>
          <w:sz w:val="20"/>
        </w:rPr>
        <w:t>party </w:t>
      </w:r>
      <w:r>
        <w:rPr>
          <w:w w:val="120"/>
          <w:sz w:val="20"/>
        </w:rPr>
        <w:t>conferences as </w:t>
      </w:r>
      <w:r>
        <w:rPr>
          <w:spacing w:val="2"/>
          <w:w w:val="120"/>
          <w:sz w:val="20"/>
        </w:rPr>
        <w:t>part </w:t>
      </w:r>
      <w:r>
        <w:rPr>
          <w:w w:val="120"/>
          <w:sz w:val="20"/>
        </w:rPr>
        <w:t>of the church leaders delegation. The </w:t>
      </w:r>
      <w:r>
        <w:rPr>
          <w:spacing w:val="-3"/>
          <w:w w:val="120"/>
          <w:sz w:val="20"/>
        </w:rPr>
        <w:t>URC’s </w:t>
      </w:r>
      <w:r>
        <w:rPr>
          <w:w w:val="120"/>
          <w:sz w:val="20"/>
        </w:rPr>
        <w:t>representatives attend fringe events and meet with MPs and government ministers. Our presence is notable and often elicits productive conversations on policy areas of interest to the Church. For the first time last year representatives attended the Scottish National Party’s autumn</w:t>
      </w:r>
      <w:r>
        <w:rPr>
          <w:spacing w:val="1"/>
          <w:w w:val="120"/>
          <w:sz w:val="20"/>
        </w:rPr>
        <w:t> </w:t>
      </w:r>
      <w:r>
        <w:rPr>
          <w:w w:val="120"/>
          <w:sz w:val="20"/>
        </w:rPr>
        <w:t>conference.</w:t>
      </w:r>
    </w:p>
    <w:p>
      <w:pPr>
        <w:pStyle w:val="BodyText"/>
      </w:pPr>
    </w:p>
    <w:p>
      <w:pPr>
        <w:pStyle w:val="ListParagraph"/>
        <w:numPr>
          <w:ilvl w:val="2"/>
          <w:numId w:val="202"/>
        </w:numPr>
        <w:tabs>
          <w:tab w:pos="2025" w:val="left" w:leader="none"/>
        </w:tabs>
        <w:spacing w:line="235" w:lineRule="auto" w:before="0" w:after="0"/>
        <w:ind w:left="1344" w:right="1355" w:firstLine="0"/>
        <w:jc w:val="left"/>
        <w:rPr>
          <w:sz w:val="20"/>
        </w:rPr>
      </w:pPr>
      <w:r>
        <w:rPr>
          <w:w w:val="120"/>
          <w:sz w:val="20"/>
        </w:rPr>
        <w:t>JPIT has enabled our churches collectively to respond to government consultations on: freedom of information protocols, Sunday trading and local authority pension fund</w:t>
      </w:r>
      <w:r>
        <w:rPr>
          <w:spacing w:val="4"/>
          <w:w w:val="120"/>
          <w:sz w:val="20"/>
        </w:rPr>
        <w:t> </w:t>
      </w:r>
      <w:r>
        <w:rPr>
          <w:w w:val="120"/>
          <w:sz w:val="20"/>
        </w:rPr>
        <w:t>investment.</w:t>
      </w:r>
    </w:p>
    <w:p>
      <w:pPr>
        <w:pStyle w:val="BodyText"/>
        <w:spacing w:before="10"/>
        <w:rPr>
          <w:sz w:val="19"/>
        </w:rPr>
      </w:pPr>
    </w:p>
    <w:p>
      <w:pPr>
        <w:pStyle w:val="ListParagraph"/>
        <w:numPr>
          <w:ilvl w:val="2"/>
          <w:numId w:val="202"/>
        </w:numPr>
        <w:tabs>
          <w:tab w:pos="2025" w:val="left" w:leader="none"/>
        </w:tabs>
        <w:spacing w:line="235" w:lineRule="auto" w:before="0" w:after="0"/>
        <w:ind w:left="1344" w:right="1558" w:firstLine="0"/>
        <w:jc w:val="left"/>
        <w:rPr>
          <w:sz w:val="20"/>
        </w:rPr>
      </w:pPr>
      <w:r>
        <w:rPr>
          <w:w w:val="120"/>
          <w:sz w:val="20"/>
        </w:rPr>
        <w:t>We live on an island of three nations, and our knowledge and ability to work on issues particularly relevant to Scotland has been strengthened through the recent addition of the Church of Scotland to the Joint Public Issues</w:t>
      </w:r>
      <w:r>
        <w:rPr>
          <w:spacing w:val="24"/>
          <w:w w:val="120"/>
          <w:sz w:val="20"/>
        </w:rPr>
        <w:t> </w:t>
      </w:r>
      <w:r>
        <w:rPr>
          <w:spacing w:val="-3"/>
          <w:w w:val="120"/>
          <w:sz w:val="20"/>
        </w:rPr>
        <w:t>Team.</w:t>
      </w:r>
    </w:p>
    <w:p>
      <w:pPr>
        <w:pStyle w:val="BodyText"/>
        <w:spacing w:before="4"/>
      </w:pPr>
    </w:p>
    <w:p>
      <w:pPr>
        <w:pStyle w:val="Heading3"/>
        <w:ind w:left="1344"/>
        <w:rPr>
          <w:i/>
        </w:rPr>
      </w:pPr>
      <w:r>
        <w:rPr>
          <w:i/>
          <w:w w:val="110"/>
        </w:rPr>
        <w:t>International political engagement</w:t>
      </w:r>
    </w:p>
    <w:p>
      <w:pPr>
        <w:pStyle w:val="ListParagraph"/>
        <w:numPr>
          <w:ilvl w:val="2"/>
          <w:numId w:val="202"/>
        </w:numPr>
        <w:tabs>
          <w:tab w:pos="2025" w:val="left" w:leader="none"/>
        </w:tabs>
        <w:spacing w:line="235" w:lineRule="auto" w:before="99" w:after="0"/>
        <w:ind w:left="1344" w:right="1508" w:firstLine="0"/>
        <w:jc w:val="left"/>
        <w:rPr>
          <w:sz w:val="20"/>
        </w:rPr>
      </w:pPr>
      <w:r>
        <w:rPr>
          <w:w w:val="120"/>
          <w:sz w:val="20"/>
        </w:rPr>
        <w:t>One of the most pressing international issues to arise in the past two years is the civil war in Syria between the Syrian government and a number of opposition groups, including ISIL </w:t>
      </w:r>
      <w:r>
        <w:rPr>
          <w:spacing w:val="-4"/>
          <w:w w:val="120"/>
          <w:sz w:val="20"/>
        </w:rPr>
        <w:t>(Daesh). </w:t>
      </w:r>
      <w:r>
        <w:rPr>
          <w:w w:val="120"/>
          <w:sz w:val="20"/>
        </w:rPr>
        <w:t>The war has raised deeply challenging questions for governments, who have had to decide the most appropriate way to respond to the violence. JPIT’s affiliated Churches have made two significant interventions in relation to the </w:t>
      </w:r>
      <w:r>
        <w:rPr>
          <w:spacing w:val="-4"/>
          <w:w w:val="120"/>
          <w:sz w:val="20"/>
        </w:rPr>
        <w:t>war, </w:t>
      </w:r>
      <w:r>
        <w:rPr>
          <w:w w:val="120"/>
          <w:sz w:val="20"/>
        </w:rPr>
        <w:t>the first of which expressed abhorrence at the actions of ISIS in Syria, and ahead of a parliamentary vote on bombing, asserted that Daesh can only be defeated through a comprehensive economic, diplomatic and security</w:t>
      </w:r>
      <w:r>
        <w:rPr>
          <w:spacing w:val="27"/>
          <w:w w:val="120"/>
          <w:sz w:val="20"/>
        </w:rPr>
        <w:t> </w:t>
      </w:r>
      <w:r>
        <w:rPr>
          <w:w w:val="120"/>
          <w:sz w:val="20"/>
        </w:rPr>
        <w:t>strategy.</w:t>
      </w:r>
    </w:p>
    <w:p>
      <w:pPr>
        <w:spacing w:after="0" w:line="235" w:lineRule="auto"/>
        <w:jc w:val="left"/>
        <w:rPr>
          <w:sz w:val="20"/>
        </w:rPr>
        <w:sectPr>
          <w:type w:val="continuous"/>
          <w:pgSz w:w="11910" w:h="16840"/>
          <w:pgMar w:top="1580" w:bottom="280" w:left="640" w:right="0"/>
        </w:sectPr>
      </w:pPr>
    </w:p>
    <w:p>
      <w:pPr>
        <w:pStyle w:val="BodyText"/>
      </w:pPr>
      <w:r>
        <w:rPr/>
        <w:drawing>
          <wp:anchor distT="0" distB="0" distL="0" distR="0" allowOverlap="1" layoutInCell="1" locked="0" behindDoc="1" simplePos="0" relativeHeight="235664384">
            <wp:simplePos x="0" y="0"/>
            <wp:positionH relativeFrom="page">
              <wp:posOffset>0</wp:posOffset>
            </wp:positionH>
            <wp:positionV relativeFrom="page">
              <wp:posOffset>0</wp:posOffset>
            </wp:positionV>
            <wp:extent cx="594067" cy="10692003"/>
            <wp:effectExtent l="0" t="0" r="0" b="0"/>
            <wp:wrapNone/>
            <wp:docPr id="321" name="image67.png"/>
            <wp:cNvGraphicFramePr>
              <a:graphicFrameLocks noChangeAspect="1"/>
            </wp:cNvGraphicFramePr>
            <a:graphic>
              <a:graphicData uri="http://schemas.openxmlformats.org/drawingml/2006/picture">
                <pic:pic>
                  <pic:nvPicPr>
                    <pic:cNvPr id="322" name="image67.png"/>
                    <pic:cNvPicPr/>
                  </pic:nvPicPr>
                  <pic:blipFill>
                    <a:blip r:embed="rId184" cstate="print"/>
                    <a:stretch>
                      <a:fillRect/>
                    </a:stretch>
                  </pic:blipFill>
                  <pic:spPr>
                    <a:xfrm>
                      <a:off x="0" y="0"/>
                      <a:ext cx="594067" cy="10692003"/>
                    </a:xfrm>
                    <a:prstGeom prst="rect">
                      <a:avLst/>
                    </a:prstGeom>
                  </pic:spPr>
                </pic:pic>
              </a:graphicData>
            </a:graphic>
          </wp:anchor>
        </w:drawing>
      </w:r>
      <w:r>
        <w:rPr/>
        <w:pict>
          <v:shape style="position:absolute;margin-left:20.519100pt;margin-top:48.890015pt;width:25.9pt;height:78.850pt;mso-position-horizontal-relative:page;mso-position-vertical-relative:page;z-index:-267651072" type="#_x0000_t202" filled="false" stroked="false">
            <v:textbox inset="0,0,0,0" style="layout-flow:vertical">
              <w:txbxContent>
                <w:p>
                  <w:pPr>
                    <w:spacing w:before="27"/>
                    <w:ind w:left="20" w:right="0" w:firstLine="0"/>
                    <w:jc w:val="left"/>
                    <w:rPr>
                      <w:sz w:val="39"/>
                    </w:rPr>
                  </w:pPr>
                  <w:r>
                    <w:rPr>
                      <w:color w:val="FFFFFF"/>
                      <w:w w:val="115"/>
                      <w:sz w:val="39"/>
                    </w:rPr>
                    <w:t>Mission</w:t>
                  </w:r>
                </w:p>
              </w:txbxContent>
            </v:textbox>
            <w10:wrap type="none"/>
          </v:shape>
        </w:pict>
      </w:r>
    </w:p>
    <w:p>
      <w:pPr>
        <w:pStyle w:val="BodyText"/>
        <w:spacing w:before="7"/>
        <w:rPr>
          <w:sz w:val="21"/>
        </w:rPr>
      </w:pPr>
    </w:p>
    <w:p>
      <w:pPr>
        <w:spacing w:before="106"/>
        <w:ind w:left="607" w:right="0" w:firstLine="0"/>
        <w:jc w:val="left"/>
        <w:rPr>
          <w:sz w:val="26"/>
        </w:rPr>
      </w:pPr>
      <w:r>
        <w:rPr>
          <w:color w:val="7EAABF"/>
          <w:w w:val="115"/>
          <w:sz w:val="26"/>
        </w:rPr>
        <w:t>Mission</w:t>
      </w:r>
    </w:p>
    <w:p>
      <w:pPr>
        <w:pStyle w:val="BodyText"/>
        <w:spacing w:line="235" w:lineRule="auto" w:before="222"/>
        <w:ind w:left="607" w:right="2191"/>
        <w:jc w:val="both"/>
      </w:pPr>
      <w:r>
        <w:rPr>
          <w:w w:val="120"/>
        </w:rPr>
        <w:t>A latter intervention pressured governments to increase their financial contribution to humanitarian efforts in the region. We continue to call on church members to pray for all those who suffer as a consequence of more than four years of conflict.</w:t>
      </w:r>
    </w:p>
    <w:p>
      <w:pPr>
        <w:pStyle w:val="BodyText"/>
        <w:spacing w:before="10"/>
        <w:rPr>
          <w:sz w:val="19"/>
        </w:rPr>
      </w:pPr>
    </w:p>
    <w:p>
      <w:pPr>
        <w:pStyle w:val="ListParagraph"/>
        <w:numPr>
          <w:ilvl w:val="2"/>
          <w:numId w:val="202"/>
        </w:numPr>
        <w:tabs>
          <w:tab w:pos="1288" w:val="left" w:leader="none"/>
        </w:tabs>
        <w:spacing w:line="235" w:lineRule="auto" w:before="0" w:after="0"/>
        <w:ind w:left="607" w:right="2264" w:firstLine="0"/>
        <w:jc w:val="left"/>
        <w:rPr>
          <w:sz w:val="20"/>
        </w:rPr>
      </w:pPr>
      <w:r>
        <w:rPr>
          <w:w w:val="120"/>
          <w:sz w:val="20"/>
        </w:rPr>
        <w:t>The URC has also responded to the crisis by supporting the </w:t>
      </w:r>
      <w:r>
        <w:rPr>
          <w:spacing w:val="2"/>
          <w:w w:val="120"/>
          <w:sz w:val="20"/>
        </w:rPr>
        <w:t>efforts </w:t>
      </w:r>
      <w:r>
        <w:rPr>
          <w:w w:val="120"/>
          <w:sz w:val="20"/>
        </w:rPr>
        <w:t>of partner Churches in the region. At the time of writing we have collectively given </w:t>
      </w:r>
      <w:r>
        <w:rPr>
          <w:spacing w:val="-10"/>
          <w:w w:val="120"/>
          <w:sz w:val="20"/>
        </w:rPr>
        <w:t>£4,141 </w:t>
      </w:r>
      <w:r>
        <w:rPr>
          <w:w w:val="120"/>
          <w:sz w:val="20"/>
        </w:rPr>
        <w:t>in response to the National Evangelical Synod of Syria and Lebanon’s (NESSL) appeal for donations to aid their humanitarian </w:t>
      </w:r>
      <w:r>
        <w:rPr>
          <w:spacing w:val="2"/>
          <w:w w:val="120"/>
          <w:sz w:val="20"/>
        </w:rPr>
        <w:t>efforts. </w:t>
      </w:r>
      <w:r>
        <w:rPr>
          <w:w w:val="120"/>
          <w:sz w:val="20"/>
        </w:rPr>
        <w:t>NESSL identified </w:t>
      </w:r>
      <w:r>
        <w:rPr>
          <w:spacing w:val="-3"/>
          <w:w w:val="120"/>
          <w:sz w:val="20"/>
        </w:rPr>
        <w:t>children’s </w:t>
      </w:r>
      <w:r>
        <w:rPr>
          <w:w w:val="120"/>
          <w:sz w:val="20"/>
        </w:rPr>
        <w:t>education as essential to the future of young Syrian refugees and have used money raised to open a number of schools in the region. Funds raised also helped cover the costs of basic needs, and has paid for rent, fuel and medical support for people</w:t>
      </w:r>
      <w:r>
        <w:rPr>
          <w:spacing w:val="38"/>
          <w:w w:val="120"/>
          <w:sz w:val="20"/>
        </w:rPr>
        <w:t> </w:t>
      </w:r>
      <w:r>
        <w:rPr>
          <w:w w:val="120"/>
          <w:sz w:val="20"/>
        </w:rPr>
        <w:t>affected.</w:t>
      </w:r>
    </w:p>
    <w:p>
      <w:pPr>
        <w:pStyle w:val="BodyText"/>
        <w:spacing w:before="2"/>
        <w:rPr>
          <w:sz w:val="19"/>
        </w:rPr>
      </w:pPr>
    </w:p>
    <w:p>
      <w:pPr>
        <w:pStyle w:val="Heading2"/>
        <w:spacing w:before="1"/>
      </w:pPr>
      <w:r>
        <w:rPr>
          <w:w w:val="110"/>
        </w:rPr>
        <w:t>Campaigns</w:t>
      </w:r>
    </w:p>
    <w:p>
      <w:pPr>
        <w:pStyle w:val="ListParagraph"/>
        <w:numPr>
          <w:ilvl w:val="1"/>
          <w:numId w:val="202"/>
        </w:numPr>
        <w:tabs>
          <w:tab w:pos="1287" w:val="left" w:leader="none"/>
          <w:tab w:pos="1288" w:val="left" w:leader="none"/>
        </w:tabs>
        <w:spacing w:line="235" w:lineRule="auto" w:before="82" w:after="0"/>
        <w:ind w:left="607" w:right="2252" w:firstLine="0"/>
        <w:jc w:val="left"/>
        <w:rPr>
          <w:sz w:val="20"/>
        </w:rPr>
      </w:pPr>
      <w:r>
        <w:rPr>
          <w:w w:val="120"/>
          <w:sz w:val="20"/>
        </w:rPr>
        <w:t>Much of the work of JPIT is done through campaigns that equip congregations with the tools they need to raise awareness about a particular cause or concern. This might be through lobbying MPs, attending an event or drawing attention to an issue through social</w:t>
      </w:r>
      <w:r>
        <w:rPr>
          <w:spacing w:val="4"/>
          <w:w w:val="120"/>
          <w:sz w:val="20"/>
        </w:rPr>
        <w:t> </w:t>
      </w:r>
      <w:r>
        <w:rPr>
          <w:w w:val="120"/>
          <w:sz w:val="20"/>
        </w:rPr>
        <w:t>media.</w:t>
      </w:r>
    </w:p>
    <w:p>
      <w:pPr>
        <w:pStyle w:val="BodyText"/>
        <w:spacing w:before="4"/>
      </w:pPr>
    </w:p>
    <w:p>
      <w:pPr>
        <w:pStyle w:val="Heading3"/>
        <w:rPr>
          <w:i/>
        </w:rPr>
      </w:pPr>
      <w:r>
        <w:rPr>
          <w:i/>
          <w:w w:val="110"/>
        </w:rPr>
        <w:t>Rethink Sanctions</w:t>
      </w:r>
    </w:p>
    <w:p>
      <w:pPr>
        <w:pStyle w:val="ListParagraph"/>
        <w:numPr>
          <w:ilvl w:val="2"/>
          <w:numId w:val="202"/>
        </w:numPr>
        <w:tabs>
          <w:tab w:pos="1288" w:val="left" w:leader="none"/>
        </w:tabs>
        <w:spacing w:line="235" w:lineRule="auto" w:before="100" w:after="0"/>
        <w:ind w:left="607" w:right="2213" w:firstLine="0"/>
        <w:jc w:val="left"/>
        <w:rPr>
          <w:sz w:val="20"/>
        </w:rPr>
      </w:pPr>
      <w:r>
        <w:rPr>
          <w:w w:val="120"/>
          <w:sz w:val="20"/>
        </w:rPr>
        <w:t>In </w:t>
      </w:r>
      <w:r>
        <w:rPr>
          <w:spacing w:val="-7"/>
          <w:w w:val="120"/>
          <w:sz w:val="20"/>
        </w:rPr>
        <w:t>2014 </w:t>
      </w:r>
      <w:r>
        <w:rPr>
          <w:w w:val="120"/>
          <w:sz w:val="20"/>
        </w:rPr>
        <w:t>one million benefits sanctions were imposed on people – this means their payments were stopped for a period of between one month and three years, usually because they had not complied with the conditions set out by the job centre. With the support of the JPIT denominations, this campaign called for a full and independent review of the scheme, which disproportionately affects the young, the homeless and the disadvantaged. The campaign received brilliant engagement, with   a number of church groups drawing attention to the issue in creative ways – one such example was the Red Fridays campaign, a silent solidarity protest against the</w:t>
      </w:r>
      <w:r>
        <w:rPr>
          <w:spacing w:val="23"/>
          <w:w w:val="120"/>
          <w:sz w:val="20"/>
        </w:rPr>
        <w:t> </w:t>
      </w:r>
      <w:r>
        <w:rPr>
          <w:w w:val="120"/>
          <w:sz w:val="20"/>
        </w:rPr>
        <w:t>unjust</w:t>
      </w:r>
    </w:p>
    <w:p>
      <w:pPr>
        <w:pStyle w:val="BodyText"/>
        <w:spacing w:line="235" w:lineRule="auto" w:before="6"/>
        <w:ind w:left="607" w:right="2045"/>
      </w:pPr>
      <w:r>
        <w:rPr>
          <w:w w:val="120"/>
        </w:rPr>
        <w:t>sanctions, led by a group of Christians in South Tyneside, that asked participants to skip a meal at Friday lunchtime in solidarity with all those who struggle to eat because they have had their benefits sanctioned.</w:t>
      </w:r>
    </w:p>
    <w:p>
      <w:pPr>
        <w:pStyle w:val="BodyText"/>
        <w:spacing w:before="3"/>
      </w:pPr>
    </w:p>
    <w:p>
      <w:pPr>
        <w:pStyle w:val="Heading3"/>
        <w:rPr>
          <w:i/>
        </w:rPr>
      </w:pPr>
      <w:r>
        <w:rPr>
          <w:i/>
          <w:w w:val="115"/>
        </w:rPr>
        <w:t>The ‘Enough’ Campaign</w:t>
      </w:r>
    </w:p>
    <w:p>
      <w:pPr>
        <w:pStyle w:val="ListParagraph"/>
        <w:numPr>
          <w:ilvl w:val="2"/>
          <w:numId w:val="202"/>
        </w:numPr>
        <w:tabs>
          <w:tab w:pos="1288" w:val="left" w:leader="none"/>
        </w:tabs>
        <w:spacing w:line="235" w:lineRule="auto" w:before="100" w:after="0"/>
        <w:ind w:left="607" w:right="1988" w:firstLine="0"/>
        <w:jc w:val="left"/>
        <w:rPr>
          <w:sz w:val="20"/>
        </w:rPr>
      </w:pPr>
      <w:r>
        <w:rPr>
          <w:w w:val="120"/>
          <w:sz w:val="20"/>
        </w:rPr>
        <w:t>Children without enough to meet their basic needs are denied a decent </w:t>
      </w:r>
      <w:r>
        <w:rPr>
          <w:spacing w:val="2"/>
          <w:w w:val="120"/>
          <w:sz w:val="20"/>
        </w:rPr>
        <w:t>start </w:t>
      </w:r>
      <w:r>
        <w:rPr>
          <w:w w:val="120"/>
          <w:sz w:val="20"/>
        </w:rPr>
        <w:t>in life; these children can expect fewer qualifications, lower-paid jobs, more illness and shorter lives than richer classmates. The Enough campaign drew attention to the need  to keep the link between a family’s needs and the support that is offered by the benefits system. It was launched just before the Welfare Reform and Work Bill was debated in Parliament, and was critical of the effects the proposed benefit cap and life chance assessment would have on the lives of children who already live without</w:t>
      </w:r>
      <w:r>
        <w:rPr>
          <w:spacing w:val="35"/>
          <w:w w:val="120"/>
          <w:sz w:val="20"/>
        </w:rPr>
        <w:t> </w:t>
      </w:r>
      <w:r>
        <w:rPr>
          <w:w w:val="120"/>
          <w:sz w:val="20"/>
        </w:rPr>
        <w:t>enough.</w:t>
      </w:r>
    </w:p>
    <w:p>
      <w:pPr>
        <w:pStyle w:val="BodyText"/>
        <w:spacing w:before="1"/>
      </w:pPr>
    </w:p>
    <w:p>
      <w:pPr>
        <w:pStyle w:val="ListParagraph"/>
        <w:numPr>
          <w:ilvl w:val="2"/>
          <w:numId w:val="202"/>
        </w:numPr>
        <w:tabs>
          <w:tab w:pos="1160" w:val="left" w:leader="none"/>
        </w:tabs>
        <w:spacing w:line="235" w:lineRule="auto" w:before="0" w:after="0"/>
        <w:ind w:left="607" w:right="2097" w:firstLine="0"/>
        <w:jc w:val="left"/>
        <w:rPr>
          <w:sz w:val="20"/>
        </w:rPr>
      </w:pPr>
      <w:r>
        <w:rPr>
          <w:w w:val="120"/>
          <w:sz w:val="20"/>
        </w:rPr>
        <w:t>Last Christmas JPIT invited individuals to write ‘One more card’ to the then Secretary of State for Work and Pensions Iain Duncan Smith. Hundreds did so, wishing the minister a Happy Christmas but reminding him of the need to make sure that every child had enough at</w:t>
      </w:r>
      <w:r>
        <w:rPr>
          <w:spacing w:val="9"/>
          <w:w w:val="120"/>
          <w:sz w:val="20"/>
        </w:rPr>
        <w:t> </w:t>
      </w:r>
      <w:r>
        <w:rPr>
          <w:w w:val="120"/>
          <w:sz w:val="20"/>
        </w:rPr>
        <w:t>Christmas.</w:t>
      </w:r>
    </w:p>
    <w:p>
      <w:pPr>
        <w:pStyle w:val="BodyText"/>
        <w:spacing w:before="4"/>
      </w:pPr>
    </w:p>
    <w:p>
      <w:pPr>
        <w:pStyle w:val="Heading3"/>
        <w:rPr>
          <w:i/>
        </w:rPr>
      </w:pPr>
      <w:r>
        <w:rPr>
          <w:i/>
          <w:w w:val="110"/>
        </w:rPr>
        <w:t>Pray and Fast for the Climate</w:t>
      </w:r>
    </w:p>
    <w:p>
      <w:pPr>
        <w:pStyle w:val="ListParagraph"/>
        <w:numPr>
          <w:ilvl w:val="2"/>
          <w:numId w:val="202"/>
        </w:numPr>
        <w:tabs>
          <w:tab w:pos="1288" w:val="left" w:leader="none"/>
        </w:tabs>
        <w:spacing w:line="235" w:lineRule="auto" w:before="100" w:after="0"/>
        <w:ind w:left="607" w:right="2258" w:firstLine="0"/>
        <w:jc w:val="left"/>
        <w:rPr>
          <w:sz w:val="20"/>
        </w:rPr>
      </w:pPr>
      <w:r>
        <w:rPr>
          <w:w w:val="120"/>
          <w:sz w:val="20"/>
        </w:rPr>
        <w:t>Much of JPIT’s work looks at issues of international significance. Pray and Fast for the Climate was a campaign designed to keep attention focused on the Paris </w:t>
      </w:r>
      <w:r>
        <w:rPr>
          <w:spacing w:val="-7"/>
          <w:w w:val="120"/>
          <w:sz w:val="20"/>
        </w:rPr>
        <w:t>2015 </w:t>
      </w:r>
      <w:r>
        <w:rPr>
          <w:w w:val="120"/>
          <w:sz w:val="20"/>
        </w:rPr>
        <w:t>Coalition of the Parties summit in December </w:t>
      </w:r>
      <w:r>
        <w:rPr>
          <w:spacing w:val="-7"/>
          <w:w w:val="120"/>
          <w:sz w:val="20"/>
        </w:rPr>
        <w:t>2015 (COP21). </w:t>
      </w:r>
      <w:r>
        <w:rPr>
          <w:w w:val="120"/>
          <w:sz w:val="20"/>
        </w:rPr>
        <w:t>The campaign called on Christians to pray and fast on the first day of every month until December</w:t>
      </w:r>
      <w:r>
        <w:rPr>
          <w:spacing w:val="46"/>
          <w:w w:val="120"/>
          <w:sz w:val="20"/>
        </w:rPr>
        <w:t> </w:t>
      </w:r>
      <w:r>
        <w:rPr>
          <w:spacing w:val="-7"/>
          <w:w w:val="120"/>
          <w:sz w:val="20"/>
        </w:rPr>
        <w:t>2015.</w:t>
      </w:r>
    </w:p>
    <w:p>
      <w:pPr>
        <w:pStyle w:val="BodyText"/>
        <w:rPr>
          <w:sz w:val="19"/>
        </w:rPr>
      </w:pPr>
    </w:p>
    <w:p>
      <w:pPr>
        <w:pStyle w:val="Heading2"/>
      </w:pPr>
      <w:r>
        <w:rPr>
          <w:w w:val="110"/>
        </w:rPr>
        <w:t>URC specific work</w:t>
      </w:r>
    </w:p>
    <w:p>
      <w:pPr>
        <w:pStyle w:val="ListParagraph"/>
        <w:numPr>
          <w:ilvl w:val="1"/>
          <w:numId w:val="202"/>
        </w:numPr>
        <w:tabs>
          <w:tab w:pos="1287" w:val="left" w:leader="none"/>
          <w:tab w:pos="1288" w:val="left" w:leader="none"/>
        </w:tabs>
        <w:spacing w:line="235" w:lineRule="auto" w:before="83" w:after="0"/>
        <w:ind w:left="607" w:right="2226" w:firstLine="0"/>
        <w:jc w:val="left"/>
        <w:rPr>
          <w:sz w:val="20"/>
        </w:rPr>
      </w:pPr>
      <w:r>
        <w:rPr>
          <w:w w:val="120"/>
          <w:sz w:val="20"/>
        </w:rPr>
        <w:t>While the majority of the </w:t>
      </w:r>
      <w:r>
        <w:rPr>
          <w:spacing w:val="-3"/>
          <w:w w:val="120"/>
          <w:sz w:val="20"/>
        </w:rPr>
        <w:t>URC’s </w:t>
      </w:r>
      <w:r>
        <w:rPr>
          <w:w w:val="120"/>
          <w:sz w:val="20"/>
        </w:rPr>
        <w:t>church and society programme manifests itself through the work of </w:t>
      </w:r>
      <w:r>
        <w:rPr>
          <w:spacing w:val="-3"/>
          <w:w w:val="120"/>
          <w:sz w:val="20"/>
        </w:rPr>
        <w:t>JPIT, </w:t>
      </w:r>
      <w:r>
        <w:rPr>
          <w:w w:val="120"/>
          <w:sz w:val="20"/>
        </w:rPr>
        <w:t>there are other pieces of work that do not fall under this remit. The Secretary for Church and Society is also responsible for liaising with the mission committee and Mission Council in the writing of policy and</w:t>
      </w:r>
      <w:r>
        <w:rPr>
          <w:spacing w:val="53"/>
          <w:w w:val="120"/>
          <w:sz w:val="20"/>
        </w:rPr>
        <w:t> </w:t>
      </w:r>
      <w:r>
        <w:rPr>
          <w:w w:val="120"/>
          <w:sz w:val="20"/>
        </w:rPr>
        <w:t>resolutions.</w:t>
      </w:r>
    </w:p>
    <w:p>
      <w:pPr>
        <w:spacing w:after="0" w:line="235" w:lineRule="auto"/>
        <w:jc w:val="left"/>
        <w:rPr>
          <w:sz w:val="20"/>
        </w:rPr>
        <w:sectPr>
          <w:headerReference w:type="even" r:id="rId449"/>
          <w:footerReference w:type="even" r:id="rId450"/>
          <w:footerReference w:type="default" r:id="rId451"/>
          <w:pgSz w:w="11910" w:h="16840"/>
          <w:pgMar w:header="0" w:footer="647" w:top="0" w:bottom="840" w:left="640" w:right="0"/>
        </w:sectPr>
      </w:pPr>
    </w:p>
    <w:p>
      <w:pPr>
        <w:pStyle w:val="BodyText"/>
      </w:pPr>
      <w:r>
        <w:rPr/>
        <w:drawing>
          <wp:anchor distT="0" distB="0" distL="0" distR="0" allowOverlap="1" layoutInCell="1" locked="0" behindDoc="0" simplePos="0" relativeHeight="252120064">
            <wp:simplePos x="0" y="0"/>
            <wp:positionH relativeFrom="page">
              <wp:posOffset>6974928</wp:posOffset>
            </wp:positionH>
            <wp:positionV relativeFrom="page">
              <wp:posOffset>0</wp:posOffset>
            </wp:positionV>
            <wp:extent cx="585063" cy="10692003"/>
            <wp:effectExtent l="0" t="0" r="0" b="0"/>
            <wp:wrapNone/>
            <wp:docPr id="323" name="image54.png"/>
            <wp:cNvGraphicFramePr>
              <a:graphicFrameLocks noChangeAspect="1"/>
            </wp:cNvGraphicFramePr>
            <a:graphic>
              <a:graphicData uri="http://schemas.openxmlformats.org/drawingml/2006/picture">
                <pic:pic>
                  <pic:nvPicPr>
                    <pic:cNvPr id="324" name="image54.png"/>
                    <pic:cNvPicPr/>
                  </pic:nvPicPr>
                  <pic:blipFill>
                    <a:blip r:embed="rId169" cstate="print"/>
                    <a:stretch>
                      <a:fillRect/>
                    </a:stretch>
                  </pic:blipFill>
                  <pic:spPr>
                    <a:xfrm>
                      <a:off x="0" y="0"/>
                      <a:ext cx="585063" cy="10692003"/>
                    </a:xfrm>
                    <a:prstGeom prst="rect">
                      <a:avLst/>
                    </a:prstGeom>
                  </pic:spPr>
                </pic:pic>
              </a:graphicData>
            </a:graphic>
          </wp:anchor>
        </w:drawing>
      </w:r>
    </w:p>
    <w:p>
      <w:pPr>
        <w:pStyle w:val="BodyText"/>
        <w:spacing w:before="7"/>
        <w:rPr>
          <w:sz w:val="21"/>
        </w:rPr>
      </w:pPr>
    </w:p>
    <w:p>
      <w:pPr>
        <w:spacing w:before="106"/>
        <w:ind w:left="0" w:right="1245" w:firstLine="0"/>
        <w:jc w:val="right"/>
        <w:rPr>
          <w:sz w:val="26"/>
        </w:rPr>
      </w:pPr>
      <w:r>
        <w:rPr/>
        <w:pict>
          <v:shape style="position:absolute;margin-left:554.141174pt;margin-top:22.593945pt;width:25.9pt;height:78.850pt;mso-position-horizontal-relative:page;mso-position-vertical-relative:paragraph;z-index:252121088" type="#_x0000_t202" filled="false" stroked="false">
            <v:textbox inset="0,0,0,0" style="layout-flow:vertical">
              <w:txbxContent>
                <w:p>
                  <w:pPr>
                    <w:spacing w:before="27"/>
                    <w:ind w:left="20" w:right="0" w:firstLine="0"/>
                    <w:jc w:val="left"/>
                    <w:rPr>
                      <w:sz w:val="39"/>
                    </w:rPr>
                  </w:pPr>
                  <w:r>
                    <w:rPr>
                      <w:color w:val="FFFFFF"/>
                      <w:w w:val="115"/>
                      <w:sz w:val="39"/>
                    </w:rPr>
                    <w:t>Mission</w:t>
                  </w:r>
                </w:p>
              </w:txbxContent>
            </v:textbox>
            <w10:wrap type="none"/>
          </v:shape>
        </w:pict>
      </w:r>
      <w:r>
        <w:rPr>
          <w:color w:val="7EAABF"/>
          <w:w w:val="110"/>
          <w:sz w:val="26"/>
        </w:rPr>
        <w:t>Mission</w:t>
      </w:r>
    </w:p>
    <w:p>
      <w:pPr>
        <w:pStyle w:val="BodyText"/>
        <w:spacing w:line="235" w:lineRule="auto" w:before="222"/>
        <w:ind w:left="1344" w:right="1478"/>
      </w:pPr>
      <w:r>
        <w:rPr>
          <w:w w:val="120"/>
        </w:rPr>
        <w:t>This year church and society led on two of these, the proposed Environmental Policy (see pages 185-190) and a resolution regarding a Nuclear Weapons Ban Treaty (see pages 191-195).</w:t>
      </w:r>
    </w:p>
    <w:p>
      <w:pPr>
        <w:pStyle w:val="BodyText"/>
        <w:spacing w:before="10"/>
        <w:rPr>
          <w:sz w:val="19"/>
        </w:rPr>
      </w:pPr>
    </w:p>
    <w:p>
      <w:pPr>
        <w:pStyle w:val="ListParagraph"/>
        <w:numPr>
          <w:ilvl w:val="1"/>
          <w:numId w:val="202"/>
        </w:numPr>
        <w:tabs>
          <w:tab w:pos="2024" w:val="left" w:leader="none"/>
          <w:tab w:pos="2025" w:val="left" w:leader="none"/>
        </w:tabs>
        <w:spacing w:line="235" w:lineRule="auto" w:before="0" w:after="0"/>
        <w:ind w:left="1344" w:right="1595" w:firstLine="0"/>
        <w:jc w:val="left"/>
        <w:rPr>
          <w:sz w:val="20"/>
        </w:rPr>
      </w:pPr>
      <w:r>
        <w:rPr>
          <w:w w:val="120"/>
          <w:sz w:val="20"/>
        </w:rPr>
        <w:t>In May </w:t>
      </w:r>
      <w:r>
        <w:rPr>
          <w:spacing w:val="-6"/>
          <w:w w:val="120"/>
          <w:sz w:val="20"/>
        </w:rPr>
        <w:t>2015  </w:t>
      </w:r>
      <w:r>
        <w:rPr>
          <w:w w:val="120"/>
          <w:sz w:val="20"/>
        </w:rPr>
        <w:t>a </w:t>
      </w:r>
      <w:r>
        <w:rPr>
          <w:spacing w:val="2"/>
          <w:w w:val="120"/>
          <w:sz w:val="20"/>
        </w:rPr>
        <w:t>resolution </w:t>
      </w:r>
      <w:r>
        <w:rPr>
          <w:w w:val="120"/>
          <w:sz w:val="20"/>
        </w:rPr>
        <w:t>was passed at Mission Council which highlighted  the plight of Christians around the </w:t>
      </w:r>
      <w:r>
        <w:rPr>
          <w:spacing w:val="2"/>
          <w:w w:val="120"/>
          <w:sz w:val="20"/>
        </w:rPr>
        <w:t>world </w:t>
      </w:r>
      <w:r>
        <w:rPr>
          <w:w w:val="120"/>
          <w:sz w:val="20"/>
        </w:rPr>
        <w:t>being </w:t>
      </w:r>
      <w:r>
        <w:rPr>
          <w:spacing w:val="2"/>
          <w:w w:val="120"/>
          <w:sz w:val="20"/>
        </w:rPr>
        <w:t>persecuted </w:t>
      </w:r>
      <w:r>
        <w:rPr>
          <w:w w:val="120"/>
          <w:sz w:val="20"/>
        </w:rPr>
        <w:t>for their </w:t>
      </w:r>
      <w:r>
        <w:rPr>
          <w:spacing w:val="2"/>
          <w:w w:val="120"/>
          <w:sz w:val="20"/>
        </w:rPr>
        <w:t>faith. </w:t>
      </w:r>
      <w:r>
        <w:rPr>
          <w:w w:val="120"/>
          <w:sz w:val="20"/>
        </w:rPr>
        <w:t>This has resulted in </w:t>
      </w:r>
      <w:r>
        <w:rPr>
          <w:spacing w:val="2"/>
          <w:w w:val="120"/>
          <w:sz w:val="20"/>
        </w:rPr>
        <w:t>JPIT dedicating staff </w:t>
      </w:r>
      <w:r>
        <w:rPr>
          <w:w w:val="120"/>
          <w:sz w:val="20"/>
        </w:rPr>
        <w:t>time to the issue. At the time of </w:t>
      </w:r>
      <w:r>
        <w:rPr>
          <w:spacing w:val="2"/>
          <w:w w:val="120"/>
          <w:sz w:val="20"/>
        </w:rPr>
        <w:t>writing, </w:t>
      </w:r>
      <w:r>
        <w:rPr>
          <w:w w:val="120"/>
          <w:sz w:val="20"/>
        </w:rPr>
        <w:t>a resource </w:t>
      </w:r>
      <w:r>
        <w:rPr>
          <w:spacing w:val="2"/>
          <w:w w:val="120"/>
          <w:sz w:val="20"/>
        </w:rPr>
        <w:t>designed </w:t>
      </w:r>
      <w:r>
        <w:rPr>
          <w:w w:val="120"/>
          <w:sz w:val="20"/>
        </w:rPr>
        <w:t>to help churches </w:t>
      </w:r>
      <w:r>
        <w:rPr>
          <w:spacing w:val="2"/>
          <w:w w:val="120"/>
          <w:sz w:val="20"/>
        </w:rPr>
        <w:t>understand </w:t>
      </w:r>
      <w:r>
        <w:rPr>
          <w:w w:val="120"/>
          <w:sz w:val="20"/>
        </w:rPr>
        <w:t>and </w:t>
      </w:r>
      <w:r>
        <w:rPr>
          <w:spacing w:val="2"/>
          <w:w w:val="120"/>
          <w:sz w:val="20"/>
        </w:rPr>
        <w:t>respond </w:t>
      </w:r>
      <w:r>
        <w:rPr>
          <w:w w:val="120"/>
          <w:sz w:val="20"/>
        </w:rPr>
        <w:t>to the </w:t>
      </w:r>
      <w:r>
        <w:rPr>
          <w:spacing w:val="2"/>
          <w:w w:val="120"/>
          <w:sz w:val="20"/>
        </w:rPr>
        <w:t>persecution </w:t>
      </w:r>
      <w:r>
        <w:rPr>
          <w:w w:val="120"/>
          <w:sz w:val="20"/>
        </w:rPr>
        <w:t>of religious </w:t>
      </w:r>
      <w:r>
        <w:rPr>
          <w:spacing w:val="2"/>
          <w:w w:val="120"/>
          <w:sz w:val="20"/>
        </w:rPr>
        <w:t>minorities </w:t>
      </w:r>
      <w:r>
        <w:rPr>
          <w:w w:val="120"/>
          <w:sz w:val="20"/>
        </w:rPr>
        <w:t>is being </w:t>
      </w:r>
      <w:r>
        <w:rPr>
          <w:spacing w:val="2"/>
          <w:w w:val="120"/>
          <w:sz w:val="20"/>
        </w:rPr>
        <w:t>written. </w:t>
      </w:r>
      <w:r>
        <w:rPr>
          <w:w w:val="120"/>
          <w:sz w:val="20"/>
        </w:rPr>
        <w:t>It is </w:t>
      </w:r>
      <w:r>
        <w:rPr>
          <w:spacing w:val="2"/>
          <w:w w:val="120"/>
          <w:sz w:val="20"/>
        </w:rPr>
        <w:t>hoped </w:t>
      </w:r>
      <w:r>
        <w:rPr>
          <w:w w:val="120"/>
          <w:sz w:val="20"/>
        </w:rPr>
        <w:t>that this resource will be available online </w:t>
      </w:r>
      <w:r>
        <w:rPr>
          <w:spacing w:val="2"/>
          <w:w w:val="120"/>
          <w:sz w:val="20"/>
        </w:rPr>
        <w:t>before General</w:t>
      </w:r>
      <w:r>
        <w:rPr>
          <w:spacing w:val="10"/>
          <w:w w:val="120"/>
          <w:sz w:val="20"/>
        </w:rPr>
        <w:t> </w:t>
      </w:r>
      <w:r>
        <w:rPr>
          <w:w w:val="120"/>
          <w:sz w:val="20"/>
        </w:rPr>
        <w:t>Assembly.</w:t>
      </w:r>
    </w:p>
    <w:p>
      <w:pPr>
        <w:pStyle w:val="BodyText"/>
      </w:pPr>
    </w:p>
    <w:p>
      <w:pPr>
        <w:pStyle w:val="ListParagraph"/>
        <w:numPr>
          <w:ilvl w:val="1"/>
          <w:numId w:val="202"/>
        </w:numPr>
        <w:tabs>
          <w:tab w:pos="2025" w:val="left" w:leader="none"/>
        </w:tabs>
        <w:spacing w:line="235" w:lineRule="auto" w:before="0" w:after="0"/>
        <w:ind w:left="1344" w:right="1542" w:firstLine="0"/>
        <w:jc w:val="both"/>
        <w:rPr>
          <w:sz w:val="20"/>
        </w:rPr>
      </w:pPr>
      <w:r>
        <w:rPr>
          <w:w w:val="120"/>
          <w:sz w:val="20"/>
        </w:rPr>
        <w:t>Our church and society staff also contributed to the </w:t>
      </w:r>
      <w:r>
        <w:rPr>
          <w:spacing w:val="-3"/>
          <w:w w:val="120"/>
          <w:sz w:val="20"/>
        </w:rPr>
        <w:t>URC’s </w:t>
      </w:r>
      <w:r>
        <w:rPr>
          <w:w w:val="120"/>
          <w:sz w:val="20"/>
        </w:rPr>
        <w:t>centenary of World War One commemorations by producing resources for reflection and contemplation. This piece of work will continue until </w:t>
      </w:r>
      <w:r>
        <w:rPr>
          <w:spacing w:val="-6"/>
          <w:w w:val="120"/>
          <w:sz w:val="20"/>
        </w:rPr>
        <w:t>2018 </w:t>
      </w:r>
      <w:r>
        <w:rPr>
          <w:w w:val="120"/>
          <w:sz w:val="20"/>
        </w:rPr>
        <w:t>and resources are available</w:t>
      </w:r>
      <w:r>
        <w:rPr>
          <w:spacing w:val="39"/>
          <w:w w:val="120"/>
          <w:sz w:val="20"/>
        </w:rPr>
        <w:t> </w:t>
      </w:r>
      <w:r>
        <w:rPr>
          <w:w w:val="120"/>
          <w:sz w:val="20"/>
        </w:rPr>
        <w:t>online.</w:t>
      </w:r>
    </w:p>
    <w:p>
      <w:pPr>
        <w:pStyle w:val="BodyText"/>
        <w:rPr>
          <w:sz w:val="19"/>
        </w:rPr>
      </w:pPr>
    </w:p>
    <w:p>
      <w:pPr>
        <w:pStyle w:val="Heading2"/>
        <w:ind w:left="1344"/>
      </w:pPr>
      <w:r>
        <w:rPr>
          <w:w w:val="110"/>
        </w:rPr>
        <w:t>Hope for the future</w:t>
      </w:r>
    </w:p>
    <w:p>
      <w:pPr>
        <w:pStyle w:val="ListParagraph"/>
        <w:numPr>
          <w:ilvl w:val="1"/>
          <w:numId w:val="202"/>
        </w:numPr>
        <w:tabs>
          <w:tab w:pos="2024" w:val="left" w:leader="none"/>
          <w:tab w:pos="2025" w:val="left" w:leader="none"/>
        </w:tabs>
        <w:spacing w:line="235" w:lineRule="auto" w:before="83" w:after="0"/>
        <w:ind w:left="1344" w:right="1659" w:firstLine="0"/>
        <w:jc w:val="left"/>
        <w:rPr>
          <w:sz w:val="20"/>
        </w:rPr>
      </w:pPr>
      <w:r>
        <w:rPr>
          <w:w w:val="120"/>
          <w:sz w:val="20"/>
        </w:rPr>
        <w:t>It is encouraging to see the growth of regional JPIT groups. There is an active network in the West Midlands and an emerging group taking shape in Yorkshire. These groups tend to engage with UK-wide issues in ways that correspond to their specific</w:t>
      </w:r>
      <w:r>
        <w:rPr>
          <w:spacing w:val="2"/>
          <w:w w:val="120"/>
          <w:sz w:val="20"/>
        </w:rPr>
        <w:t> </w:t>
      </w:r>
      <w:r>
        <w:rPr>
          <w:w w:val="120"/>
          <w:sz w:val="20"/>
        </w:rPr>
        <w:t>setting.</w:t>
      </w:r>
    </w:p>
    <w:p>
      <w:pPr>
        <w:pStyle w:val="BodyText"/>
        <w:spacing w:before="10"/>
        <w:rPr>
          <w:sz w:val="19"/>
        </w:rPr>
      </w:pPr>
    </w:p>
    <w:p>
      <w:pPr>
        <w:pStyle w:val="ListParagraph"/>
        <w:numPr>
          <w:ilvl w:val="1"/>
          <w:numId w:val="202"/>
        </w:numPr>
        <w:tabs>
          <w:tab w:pos="2025" w:val="left" w:leader="none"/>
        </w:tabs>
        <w:spacing w:line="235" w:lineRule="auto" w:before="1" w:after="0"/>
        <w:ind w:left="1344" w:right="1658" w:firstLine="0"/>
        <w:jc w:val="both"/>
        <w:rPr>
          <w:sz w:val="20"/>
        </w:rPr>
      </w:pPr>
      <w:r>
        <w:rPr>
          <w:w w:val="120"/>
          <w:sz w:val="20"/>
        </w:rPr>
        <w:t>The big challenge facing any programme that spends a considerable amount of</w:t>
      </w:r>
      <w:r>
        <w:rPr>
          <w:spacing w:val="6"/>
          <w:w w:val="120"/>
          <w:sz w:val="20"/>
        </w:rPr>
        <w:t> </w:t>
      </w:r>
      <w:r>
        <w:rPr>
          <w:w w:val="120"/>
          <w:sz w:val="20"/>
        </w:rPr>
        <w:t>time</w:t>
      </w:r>
      <w:r>
        <w:rPr>
          <w:spacing w:val="7"/>
          <w:w w:val="120"/>
          <w:sz w:val="20"/>
        </w:rPr>
        <w:t> </w:t>
      </w:r>
      <w:r>
        <w:rPr>
          <w:w w:val="120"/>
          <w:sz w:val="20"/>
        </w:rPr>
        <w:t>working</w:t>
      </w:r>
      <w:r>
        <w:rPr>
          <w:spacing w:val="7"/>
          <w:w w:val="120"/>
          <w:sz w:val="20"/>
        </w:rPr>
        <w:t> </w:t>
      </w:r>
      <w:r>
        <w:rPr>
          <w:w w:val="120"/>
          <w:sz w:val="20"/>
        </w:rPr>
        <w:t>on</w:t>
      </w:r>
      <w:r>
        <w:rPr>
          <w:spacing w:val="7"/>
          <w:w w:val="120"/>
          <w:sz w:val="20"/>
        </w:rPr>
        <w:t> </w:t>
      </w:r>
      <w:r>
        <w:rPr>
          <w:w w:val="120"/>
          <w:sz w:val="20"/>
        </w:rPr>
        <w:t>policy</w:t>
      </w:r>
      <w:r>
        <w:rPr>
          <w:spacing w:val="7"/>
          <w:w w:val="120"/>
          <w:sz w:val="20"/>
        </w:rPr>
        <w:t> </w:t>
      </w:r>
      <w:r>
        <w:rPr>
          <w:w w:val="120"/>
          <w:sz w:val="20"/>
        </w:rPr>
        <w:t>is</w:t>
      </w:r>
      <w:r>
        <w:rPr>
          <w:spacing w:val="6"/>
          <w:w w:val="120"/>
          <w:sz w:val="20"/>
        </w:rPr>
        <w:t> </w:t>
      </w:r>
      <w:r>
        <w:rPr>
          <w:w w:val="120"/>
          <w:sz w:val="20"/>
        </w:rPr>
        <w:t>ensuring</w:t>
      </w:r>
      <w:r>
        <w:rPr>
          <w:spacing w:val="7"/>
          <w:w w:val="120"/>
          <w:sz w:val="20"/>
        </w:rPr>
        <w:t> </w:t>
      </w:r>
      <w:r>
        <w:rPr>
          <w:w w:val="120"/>
          <w:sz w:val="20"/>
        </w:rPr>
        <w:t>that</w:t>
      </w:r>
      <w:r>
        <w:rPr>
          <w:spacing w:val="7"/>
          <w:w w:val="120"/>
          <w:sz w:val="20"/>
        </w:rPr>
        <w:t> </w:t>
      </w:r>
      <w:r>
        <w:rPr>
          <w:w w:val="120"/>
          <w:sz w:val="20"/>
        </w:rPr>
        <w:t>local</w:t>
      </w:r>
      <w:r>
        <w:rPr>
          <w:spacing w:val="7"/>
          <w:w w:val="120"/>
          <w:sz w:val="20"/>
        </w:rPr>
        <w:t> </w:t>
      </w:r>
      <w:r>
        <w:rPr>
          <w:w w:val="120"/>
          <w:sz w:val="20"/>
        </w:rPr>
        <w:t>congregations</w:t>
      </w:r>
      <w:r>
        <w:rPr>
          <w:spacing w:val="7"/>
          <w:w w:val="120"/>
          <w:sz w:val="20"/>
        </w:rPr>
        <w:t> </w:t>
      </w:r>
      <w:r>
        <w:rPr>
          <w:w w:val="120"/>
          <w:sz w:val="20"/>
        </w:rPr>
        <w:t>feel</w:t>
      </w:r>
      <w:r>
        <w:rPr>
          <w:spacing w:val="7"/>
          <w:w w:val="120"/>
          <w:sz w:val="20"/>
        </w:rPr>
        <w:t> </w:t>
      </w:r>
      <w:r>
        <w:rPr>
          <w:w w:val="120"/>
          <w:sz w:val="20"/>
        </w:rPr>
        <w:t>involved</w:t>
      </w:r>
      <w:r>
        <w:rPr>
          <w:spacing w:val="6"/>
          <w:w w:val="120"/>
          <w:sz w:val="20"/>
        </w:rPr>
        <w:t> </w:t>
      </w:r>
      <w:r>
        <w:rPr>
          <w:w w:val="120"/>
          <w:sz w:val="20"/>
        </w:rPr>
        <w:t>and</w:t>
      </w:r>
    </w:p>
    <w:p>
      <w:pPr>
        <w:pStyle w:val="BodyText"/>
        <w:spacing w:line="235" w:lineRule="auto" w:before="1"/>
        <w:ind w:left="1344" w:right="1303"/>
        <w:jc w:val="both"/>
      </w:pPr>
      <w:r>
        <w:rPr>
          <w:w w:val="120"/>
        </w:rPr>
        <w:t>empowered to engage in these issues more knowledgeably. It is hoped that a renewed focus on communication at a local and denominational level will address this challenge, and ultimately strengthen our collective engagement with the issues of the</w:t>
      </w:r>
      <w:r>
        <w:rPr>
          <w:spacing w:val="40"/>
          <w:w w:val="120"/>
        </w:rPr>
        <w:t> </w:t>
      </w:r>
      <w:r>
        <w:rPr>
          <w:spacing w:val="-4"/>
          <w:w w:val="120"/>
        </w:rPr>
        <w:t>day.</w:t>
      </w:r>
    </w:p>
    <w:p>
      <w:pPr>
        <w:pStyle w:val="BodyText"/>
        <w:spacing w:before="3"/>
        <w:rPr>
          <w:sz w:val="22"/>
        </w:rPr>
      </w:pPr>
    </w:p>
    <w:p>
      <w:pPr>
        <w:spacing w:before="0"/>
        <w:ind w:left="1344" w:right="0" w:firstLine="0"/>
        <w:jc w:val="both"/>
        <w:rPr>
          <w:rFonts w:ascii="Stone Sans II ITC Std Bk"/>
          <w:b/>
          <w:sz w:val="29"/>
        </w:rPr>
      </w:pPr>
      <w:r>
        <w:rPr>
          <w:rFonts w:ascii="Stone Sans II ITC Std Bk"/>
          <w:b/>
          <w:w w:val="110"/>
          <w:sz w:val="29"/>
        </w:rPr>
        <w:t>Commitment for Life</w:t>
      </w:r>
    </w:p>
    <w:p>
      <w:pPr>
        <w:pStyle w:val="ListParagraph"/>
        <w:numPr>
          <w:ilvl w:val="1"/>
          <w:numId w:val="203"/>
        </w:numPr>
        <w:tabs>
          <w:tab w:pos="2024" w:val="left" w:leader="none"/>
          <w:tab w:pos="2025" w:val="left" w:leader="none"/>
        </w:tabs>
        <w:spacing w:line="235" w:lineRule="auto" w:before="69" w:after="0"/>
        <w:ind w:left="1344" w:right="1497" w:firstLine="0"/>
        <w:jc w:val="left"/>
        <w:rPr>
          <w:sz w:val="20"/>
        </w:rPr>
      </w:pPr>
      <w:r>
        <w:rPr>
          <w:w w:val="120"/>
          <w:sz w:val="20"/>
        </w:rPr>
        <w:t>Commitment for Life is very much </w:t>
      </w:r>
      <w:r>
        <w:rPr>
          <w:spacing w:val="2"/>
          <w:w w:val="120"/>
          <w:sz w:val="20"/>
        </w:rPr>
        <w:t>part </w:t>
      </w:r>
      <w:r>
        <w:rPr>
          <w:w w:val="120"/>
          <w:sz w:val="20"/>
        </w:rPr>
        <w:t>of the identity of the United Reformed Church, being passionate about justice and living out faith through action as well as words. </w:t>
      </w:r>
      <w:r>
        <w:rPr>
          <w:spacing w:val="3"/>
          <w:w w:val="120"/>
          <w:sz w:val="20"/>
        </w:rPr>
        <w:t>As </w:t>
      </w:r>
      <w:r>
        <w:rPr>
          <w:w w:val="120"/>
          <w:sz w:val="20"/>
        </w:rPr>
        <w:t>a programme of General Assembly, Commitment for Life sits within the mission team but also serves a reference group. John Griffith from Mersey Synod is the present convenor but ends his four-year term at General Assembly. We welcome the Revd Alan McGougan, from the Scotland Synod, as the new </w:t>
      </w:r>
      <w:r>
        <w:rPr>
          <w:spacing w:val="-3"/>
          <w:w w:val="120"/>
          <w:sz w:val="20"/>
        </w:rPr>
        <w:t>convenor. </w:t>
      </w:r>
      <w:r>
        <w:rPr>
          <w:w w:val="120"/>
          <w:sz w:val="20"/>
        </w:rPr>
        <w:t>The reference group meets twice a year and is the regulating and supportive body for the programme</w:t>
      </w:r>
      <w:r>
        <w:rPr>
          <w:spacing w:val="2"/>
          <w:w w:val="120"/>
          <w:sz w:val="20"/>
        </w:rPr>
        <w:t> </w:t>
      </w:r>
      <w:r>
        <w:rPr>
          <w:w w:val="120"/>
          <w:sz w:val="20"/>
        </w:rPr>
        <w:t>coordinator.</w:t>
      </w:r>
    </w:p>
    <w:p>
      <w:pPr>
        <w:pStyle w:val="BodyText"/>
        <w:spacing w:before="1"/>
      </w:pPr>
    </w:p>
    <w:p>
      <w:pPr>
        <w:pStyle w:val="ListParagraph"/>
        <w:numPr>
          <w:ilvl w:val="1"/>
          <w:numId w:val="203"/>
        </w:numPr>
        <w:tabs>
          <w:tab w:pos="2024" w:val="left" w:leader="none"/>
          <w:tab w:pos="2025" w:val="left" w:leader="none"/>
        </w:tabs>
        <w:spacing w:line="235" w:lineRule="auto" w:before="1" w:after="0"/>
        <w:ind w:left="1344" w:right="1797" w:firstLine="0"/>
        <w:jc w:val="left"/>
        <w:rPr>
          <w:sz w:val="20"/>
        </w:rPr>
      </w:pPr>
      <w:r>
        <w:rPr>
          <w:w w:val="120"/>
          <w:sz w:val="20"/>
        </w:rPr>
        <w:t>The </w:t>
      </w:r>
      <w:r>
        <w:rPr>
          <w:spacing w:val="-3"/>
          <w:w w:val="120"/>
          <w:sz w:val="20"/>
        </w:rPr>
        <w:t>year </w:t>
      </w:r>
      <w:r>
        <w:rPr>
          <w:spacing w:val="-8"/>
          <w:w w:val="120"/>
          <w:sz w:val="20"/>
        </w:rPr>
        <w:t>2014 </w:t>
      </w:r>
      <w:r>
        <w:rPr>
          <w:w w:val="120"/>
          <w:sz w:val="20"/>
        </w:rPr>
        <w:t>saw a decline in </w:t>
      </w:r>
      <w:r>
        <w:rPr>
          <w:spacing w:val="-3"/>
          <w:w w:val="120"/>
          <w:sz w:val="20"/>
        </w:rPr>
        <w:t>contributions </w:t>
      </w:r>
      <w:r>
        <w:rPr>
          <w:w w:val="120"/>
          <w:sz w:val="20"/>
        </w:rPr>
        <w:t>from </w:t>
      </w:r>
      <w:r>
        <w:rPr>
          <w:spacing w:val="-3"/>
          <w:w w:val="120"/>
          <w:sz w:val="20"/>
        </w:rPr>
        <w:t>churches, </w:t>
      </w:r>
      <w:r>
        <w:rPr>
          <w:w w:val="120"/>
          <w:sz w:val="20"/>
        </w:rPr>
        <w:t>so in May </w:t>
      </w:r>
      <w:r>
        <w:rPr>
          <w:spacing w:val="-9"/>
          <w:w w:val="120"/>
          <w:sz w:val="20"/>
        </w:rPr>
        <w:t>2015, </w:t>
      </w:r>
      <w:r>
        <w:rPr>
          <w:w w:val="120"/>
          <w:sz w:val="20"/>
        </w:rPr>
        <w:t>on the </w:t>
      </w:r>
      <w:r>
        <w:rPr>
          <w:spacing w:val="-3"/>
          <w:w w:val="120"/>
          <w:sz w:val="20"/>
        </w:rPr>
        <w:t>recommendation </w:t>
      </w:r>
      <w:r>
        <w:rPr>
          <w:w w:val="120"/>
          <w:sz w:val="20"/>
        </w:rPr>
        <w:t>of the </w:t>
      </w:r>
      <w:r>
        <w:rPr>
          <w:spacing w:val="-3"/>
          <w:w w:val="120"/>
          <w:sz w:val="20"/>
        </w:rPr>
        <w:t>reference group, </w:t>
      </w:r>
      <w:r>
        <w:rPr>
          <w:w w:val="120"/>
          <w:sz w:val="20"/>
        </w:rPr>
        <w:t>the </w:t>
      </w:r>
      <w:r>
        <w:rPr>
          <w:spacing w:val="-3"/>
          <w:w w:val="120"/>
          <w:sz w:val="20"/>
        </w:rPr>
        <w:t>mission committee </w:t>
      </w:r>
      <w:r>
        <w:rPr>
          <w:w w:val="120"/>
          <w:sz w:val="20"/>
        </w:rPr>
        <w:t>submitted a resolution</w:t>
      </w:r>
      <w:r>
        <w:rPr>
          <w:spacing w:val="-5"/>
          <w:w w:val="120"/>
          <w:sz w:val="20"/>
        </w:rPr>
        <w:t> </w:t>
      </w:r>
      <w:r>
        <w:rPr>
          <w:spacing w:val="-3"/>
          <w:w w:val="120"/>
          <w:sz w:val="20"/>
        </w:rPr>
        <w:t>to</w:t>
      </w:r>
      <w:r>
        <w:rPr>
          <w:spacing w:val="-4"/>
          <w:w w:val="120"/>
          <w:sz w:val="20"/>
        </w:rPr>
        <w:t> </w:t>
      </w:r>
      <w:r>
        <w:rPr>
          <w:w w:val="120"/>
          <w:sz w:val="20"/>
        </w:rPr>
        <w:t>Mission</w:t>
      </w:r>
      <w:r>
        <w:rPr>
          <w:spacing w:val="-5"/>
          <w:w w:val="120"/>
          <w:sz w:val="20"/>
        </w:rPr>
        <w:t> </w:t>
      </w:r>
      <w:r>
        <w:rPr>
          <w:spacing w:val="-3"/>
          <w:w w:val="120"/>
          <w:sz w:val="20"/>
        </w:rPr>
        <w:t>Council</w:t>
      </w:r>
      <w:r>
        <w:rPr>
          <w:spacing w:val="-4"/>
          <w:w w:val="120"/>
          <w:sz w:val="20"/>
        </w:rPr>
        <w:t> </w:t>
      </w:r>
      <w:r>
        <w:rPr>
          <w:w w:val="120"/>
          <w:sz w:val="20"/>
        </w:rPr>
        <w:t>asking</w:t>
      </w:r>
      <w:r>
        <w:rPr>
          <w:spacing w:val="-5"/>
          <w:w w:val="120"/>
          <w:sz w:val="20"/>
        </w:rPr>
        <w:t> </w:t>
      </w:r>
      <w:r>
        <w:rPr>
          <w:w w:val="120"/>
          <w:sz w:val="20"/>
        </w:rPr>
        <w:t>for</w:t>
      </w:r>
      <w:r>
        <w:rPr>
          <w:spacing w:val="-4"/>
          <w:w w:val="120"/>
          <w:sz w:val="20"/>
        </w:rPr>
        <w:t> </w:t>
      </w:r>
      <w:r>
        <w:rPr>
          <w:w w:val="120"/>
          <w:sz w:val="20"/>
        </w:rPr>
        <w:t>the</w:t>
      </w:r>
      <w:r>
        <w:rPr>
          <w:spacing w:val="-5"/>
          <w:w w:val="120"/>
          <w:sz w:val="20"/>
        </w:rPr>
        <w:t> </w:t>
      </w:r>
      <w:r>
        <w:rPr>
          <w:w w:val="120"/>
          <w:sz w:val="20"/>
        </w:rPr>
        <w:t>allocation</w:t>
      </w:r>
      <w:r>
        <w:rPr>
          <w:spacing w:val="-4"/>
          <w:w w:val="120"/>
          <w:sz w:val="20"/>
        </w:rPr>
        <w:t> </w:t>
      </w:r>
      <w:r>
        <w:rPr>
          <w:w w:val="120"/>
          <w:sz w:val="20"/>
        </w:rPr>
        <w:t>percentages</w:t>
      </w:r>
      <w:r>
        <w:rPr>
          <w:spacing w:val="-5"/>
          <w:w w:val="120"/>
          <w:sz w:val="20"/>
        </w:rPr>
        <w:t> </w:t>
      </w:r>
      <w:r>
        <w:rPr>
          <w:spacing w:val="-3"/>
          <w:w w:val="120"/>
          <w:sz w:val="20"/>
        </w:rPr>
        <w:t>to</w:t>
      </w:r>
      <w:r>
        <w:rPr>
          <w:spacing w:val="-4"/>
          <w:w w:val="120"/>
          <w:sz w:val="20"/>
        </w:rPr>
        <w:t> </w:t>
      </w:r>
      <w:r>
        <w:rPr>
          <w:w w:val="120"/>
          <w:sz w:val="20"/>
        </w:rPr>
        <w:t>be</w:t>
      </w:r>
      <w:r>
        <w:rPr>
          <w:spacing w:val="-4"/>
          <w:w w:val="120"/>
          <w:sz w:val="20"/>
        </w:rPr>
        <w:t> </w:t>
      </w:r>
      <w:r>
        <w:rPr>
          <w:w w:val="120"/>
          <w:sz w:val="20"/>
        </w:rPr>
        <w:t>changed</w:t>
      </w:r>
      <w:r>
        <w:rPr>
          <w:spacing w:val="-5"/>
          <w:w w:val="120"/>
          <w:sz w:val="20"/>
        </w:rPr>
        <w:t> </w:t>
      </w:r>
      <w:r>
        <w:rPr>
          <w:spacing w:val="-3"/>
          <w:w w:val="120"/>
          <w:sz w:val="20"/>
        </w:rPr>
        <w:t>to</w:t>
      </w:r>
    </w:p>
    <w:p>
      <w:pPr>
        <w:pStyle w:val="BodyText"/>
        <w:spacing w:line="235" w:lineRule="auto" w:before="2"/>
        <w:ind w:left="1344" w:right="1275"/>
      </w:pPr>
      <w:r>
        <w:rPr>
          <w:w w:val="120"/>
        </w:rPr>
        <w:t>cover basic costs of salaries, resources and administration. The resolution was adopted. Christian Aid’s percentage remains at 75% of the money raised by the programme, while Global Justice Now (formally the World Development Movement) receives 5% with the remaining 20% allocated to resources and the running of the programme. In May 2015 the administrator moved on and it was decided that the programme coordinator would trial combining both jobs. This is working well but is being kept under review.</w:t>
      </w:r>
    </w:p>
    <w:p>
      <w:pPr>
        <w:pStyle w:val="BodyText"/>
      </w:pPr>
    </w:p>
    <w:p>
      <w:pPr>
        <w:pStyle w:val="ListParagraph"/>
        <w:numPr>
          <w:ilvl w:val="1"/>
          <w:numId w:val="203"/>
        </w:numPr>
        <w:tabs>
          <w:tab w:pos="2024" w:val="left" w:leader="none"/>
          <w:tab w:pos="2025" w:val="left" w:leader="none"/>
        </w:tabs>
        <w:spacing w:line="235" w:lineRule="auto" w:before="0" w:after="0"/>
        <w:ind w:left="1344" w:right="1378" w:firstLine="0"/>
        <w:jc w:val="left"/>
        <w:rPr>
          <w:sz w:val="20"/>
        </w:rPr>
      </w:pPr>
      <w:r>
        <w:rPr>
          <w:spacing w:val="2"/>
          <w:w w:val="120"/>
          <w:sz w:val="20"/>
        </w:rPr>
        <w:t>The </w:t>
      </w:r>
      <w:r>
        <w:rPr>
          <w:w w:val="120"/>
          <w:sz w:val="20"/>
        </w:rPr>
        <w:t>total of contributions received in </w:t>
      </w:r>
      <w:r>
        <w:rPr>
          <w:spacing w:val="-6"/>
          <w:w w:val="120"/>
          <w:sz w:val="20"/>
        </w:rPr>
        <w:t>2015 </w:t>
      </w:r>
      <w:r>
        <w:rPr>
          <w:w w:val="120"/>
          <w:sz w:val="20"/>
        </w:rPr>
        <w:t>was similar to </w:t>
      </w:r>
      <w:r>
        <w:rPr>
          <w:spacing w:val="-5"/>
          <w:w w:val="120"/>
          <w:sz w:val="20"/>
        </w:rPr>
        <w:t>2014, </w:t>
      </w:r>
      <w:r>
        <w:rPr>
          <w:w w:val="120"/>
          <w:sz w:val="20"/>
        </w:rPr>
        <w:t>but with the </w:t>
      </w:r>
      <w:r>
        <w:rPr>
          <w:spacing w:val="2"/>
          <w:w w:val="120"/>
          <w:sz w:val="20"/>
        </w:rPr>
        <w:t>changes </w:t>
      </w:r>
      <w:r>
        <w:rPr>
          <w:w w:val="120"/>
          <w:sz w:val="20"/>
        </w:rPr>
        <w:t>in </w:t>
      </w:r>
      <w:r>
        <w:rPr>
          <w:spacing w:val="2"/>
          <w:w w:val="120"/>
          <w:sz w:val="20"/>
        </w:rPr>
        <w:t>percentages </w:t>
      </w:r>
      <w:r>
        <w:rPr>
          <w:w w:val="120"/>
          <w:sz w:val="20"/>
        </w:rPr>
        <w:t>and the saving of a </w:t>
      </w:r>
      <w:r>
        <w:rPr>
          <w:spacing w:val="2"/>
          <w:w w:val="120"/>
          <w:sz w:val="20"/>
        </w:rPr>
        <w:t>part-time </w:t>
      </w:r>
      <w:r>
        <w:rPr>
          <w:w w:val="120"/>
          <w:sz w:val="20"/>
        </w:rPr>
        <w:t>salary, Commitment for </w:t>
      </w:r>
      <w:r>
        <w:rPr>
          <w:spacing w:val="2"/>
          <w:w w:val="120"/>
          <w:sz w:val="20"/>
        </w:rPr>
        <w:t>Life </w:t>
      </w:r>
      <w:r>
        <w:rPr>
          <w:w w:val="120"/>
          <w:sz w:val="20"/>
        </w:rPr>
        <w:t>is    in a better position. </w:t>
      </w:r>
      <w:r>
        <w:rPr>
          <w:spacing w:val="2"/>
          <w:w w:val="120"/>
          <w:sz w:val="20"/>
        </w:rPr>
        <w:t>Grateful thanks </w:t>
      </w:r>
      <w:r>
        <w:rPr>
          <w:w w:val="120"/>
          <w:sz w:val="20"/>
        </w:rPr>
        <w:t>are </w:t>
      </w:r>
      <w:r>
        <w:rPr>
          <w:spacing w:val="2"/>
          <w:w w:val="120"/>
          <w:sz w:val="20"/>
        </w:rPr>
        <w:t>expressed </w:t>
      </w:r>
      <w:r>
        <w:rPr>
          <w:w w:val="120"/>
          <w:sz w:val="20"/>
        </w:rPr>
        <w:t>to all contributing churches as this has </w:t>
      </w:r>
      <w:r>
        <w:rPr>
          <w:spacing w:val="2"/>
          <w:w w:val="120"/>
          <w:sz w:val="20"/>
        </w:rPr>
        <w:t>enabled </w:t>
      </w:r>
      <w:r>
        <w:rPr>
          <w:w w:val="120"/>
          <w:sz w:val="20"/>
        </w:rPr>
        <w:t>us to keep our commitment to the work of </w:t>
      </w:r>
      <w:r>
        <w:rPr>
          <w:spacing w:val="2"/>
          <w:w w:val="120"/>
          <w:sz w:val="20"/>
        </w:rPr>
        <w:t>Christian Aid </w:t>
      </w:r>
      <w:r>
        <w:rPr>
          <w:w w:val="120"/>
          <w:sz w:val="20"/>
        </w:rPr>
        <w:t>and of </w:t>
      </w:r>
      <w:r>
        <w:rPr>
          <w:spacing w:val="2"/>
          <w:w w:val="120"/>
          <w:sz w:val="20"/>
        </w:rPr>
        <w:t>Global </w:t>
      </w:r>
      <w:r>
        <w:rPr>
          <w:w w:val="120"/>
          <w:sz w:val="20"/>
        </w:rPr>
        <w:t>Justice</w:t>
      </w:r>
      <w:r>
        <w:rPr>
          <w:spacing w:val="6"/>
          <w:w w:val="120"/>
          <w:sz w:val="20"/>
        </w:rPr>
        <w:t> </w:t>
      </w:r>
      <w:r>
        <w:rPr>
          <w:spacing w:val="-3"/>
          <w:w w:val="120"/>
          <w:sz w:val="20"/>
        </w:rPr>
        <w:t>Now.</w:t>
      </w:r>
    </w:p>
    <w:p>
      <w:pPr>
        <w:pStyle w:val="BodyText"/>
        <w:spacing w:before="12"/>
        <w:rPr>
          <w:sz w:val="19"/>
        </w:rPr>
      </w:pPr>
    </w:p>
    <w:p>
      <w:pPr>
        <w:pStyle w:val="ListParagraph"/>
        <w:numPr>
          <w:ilvl w:val="1"/>
          <w:numId w:val="203"/>
        </w:numPr>
        <w:tabs>
          <w:tab w:pos="2024" w:val="left" w:leader="none"/>
          <w:tab w:pos="2025" w:val="left" w:leader="none"/>
        </w:tabs>
        <w:spacing w:line="235" w:lineRule="auto" w:before="0" w:after="0"/>
        <w:ind w:left="1344" w:right="1288" w:firstLine="0"/>
        <w:jc w:val="left"/>
        <w:rPr>
          <w:sz w:val="20"/>
        </w:rPr>
      </w:pPr>
      <w:r>
        <w:rPr>
          <w:w w:val="120"/>
          <w:sz w:val="20"/>
        </w:rPr>
        <w:t>Our partner countries – Bangladesh; Central America (Honduras, El Salvador, Guatemala and Nicaragua); Israel and the occupied Palestinian territory; and</w:t>
      </w:r>
      <w:r>
        <w:rPr>
          <w:spacing w:val="2"/>
          <w:w w:val="120"/>
          <w:sz w:val="20"/>
        </w:rPr>
        <w:t> </w:t>
      </w:r>
      <w:r>
        <w:rPr>
          <w:w w:val="120"/>
          <w:sz w:val="20"/>
        </w:rPr>
        <w:t>Zimbabwe</w:t>
      </w:r>
    </w:p>
    <w:p>
      <w:pPr>
        <w:pStyle w:val="BodyText"/>
        <w:spacing w:line="235" w:lineRule="auto" w:before="1"/>
        <w:ind w:left="1344" w:right="1383"/>
      </w:pPr>
      <w:r>
        <w:rPr>
          <w:w w:val="120"/>
        </w:rPr>
        <w:t>– all continue to struggle with systems and with significant changes in climate that affect those living with poverty. Bangladesh has seen a rise in interfaith violence. Gang violence and violence against women is still of great concern in Central America. Israel and the occupied Palestinian territory continue to be in the headlines, with increased</w:t>
      </w:r>
    </w:p>
    <w:p>
      <w:pPr>
        <w:spacing w:after="0" w:line="235" w:lineRule="auto"/>
        <w:sectPr>
          <w:headerReference w:type="default" r:id="rId452"/>
          <w:pgSz w:w="11910" w:h="16840"/>
          <w:pgMar w:header="0" w:footer="647" w:top="0" w:bottom="840" w:left="640" w:right="0"/>
        </w:sectPr>
      </w:pPr>
    </w:p>
    <w:p>
      <w:pPr>
        <w:pStyle w:val="BodyText"/>
      </w:pPr>
      <w:r>
        <w:rPr/>
        <w:drawing>
          <wp:anchor distT="0" distB="0" distL="0" distR="0" allowOverlap="1" layoutInCell="1" locked="0" behindDoc="1" simplePos="0" relativeHeight="235668480">
            <wp:simplePos x="0" y="0"/>
            <wp:positionH relativeFrom="page">
              <wp:posOffset>0</wp:posOffset>
            </wp:positionH>
            <wp:positionV relativeFrom="page">
              <wp:posOffset>0</wp:posOffset>
            </wp:positionV>
            <wp:extent cx="594067" cy="10692003"/>
            <wp:effectExtent l="0" t="0" r="0" b="0"/>
            <wp:wrapNone/>
            <wp:docPr id="325" name="image67.png"/>
            <wp:cNvGraphicFramePr>
              <a:graphicFrameLocks noChangeAspect="1"/>
            </wp:cNvGraphicFramePr>
            <a:graphic>
              <a:graphicData uri="http://schemas.openxmlformats.org/drawingml/2006/picture">
                <pic:pic>
                  <pic:nvPicPr>
                    <pic:cNvPr id="326" name="image67.png"/>
                    <pic:cNvPicPr/>
                  </pic:nvPicPr>
                  <pic:blipFill>
                    <a:blip r:embed="rId184" cstate="print"/>
                    <a:stretch>
                      <a:fillRect/>
                    </a:stretch>
                  </pic:blipFill>
                  <pic:spPr>
                    <a:xfrm>
                      <a:off x="0" y="0"/>
                      <a:ext cx="594067" cy="10692003"/>
                    </a:xfrm>
                    <a:prstGeom prst="rect">
                      <a:avLst/>
                    </a:prstGeom>
                  </pic:spPr>
                </pic:pic>
              </a:graphicData>
            </a:graphic>
          </wp:anchor>
        </w:drawing>
      </w:r>
      <w:r>
        <w:rPr/>
        <w:pict>
          <v:shape style="position:absolute;margin-left:20.519100pt;margin-top:48.890015pt;width:25.9pt;height:78.850pt;mso-position-horizontal-relative:page;mso-position-vertical-relative:page;z-index:252123136" type="#_x0000_t202" filled="false" stroked="false">
            <v:textbox inset="0,0,0,0" style="layout-flow:vertical">
              <w:txbxContent>
                <w:p>
                  <w:pPr>
                    <w:spacing w:before="27"/>
                    <w:ind w:left="20" w:right="0" w:firstLine="0"/>
                    <w:jc w:val="left"/>
                    <w:rPr>
                      <w:sz w:val="39"/>
                    </w:rPr>
                  </w:pPr>
                  <w:r>
                    <w:rPr>
                      <w:color w:val="FFFFFF"/>
                      <w:w w:val="115"/>
                      <w:sz w:val="39"/>
                    </w:rPr>
                    <w:t>Mission</w:t>
                  </w:r>
                </w:p>
              </w:txbxContent>
            </v:textbox>
            <w10:wrap type="none"/>
          </v:shape>
        </w:pict>
      </w:r>
    </w:p>
    <w:p>
      <w:pPr>
        <w:pStyle w:val="BodyText"/>
        <w:spacing w:before="7"/>
        <w:rPr>
          <w:sz w:val="21"/>
        </w:rPr>
      </w:pPr>
    </w:p>
    <w:p>
      <w:pPr>
        <w:spacing w:before="106"/>
        <w:ind w:left="607" w:right="0" w:firstLine="0"/>
        <w:jc w:val="left"/>
        <w:rPr>
          <w:sz w:val="26"/>
        </w:rPr>
      </w:pPr>
      <w:r>
        <w:rPr>
          <w:color w:val="7EAABF"/>
          <w:w w:val="115"/>
          <w:sz w:val="26"/>
        </w:rPr>
        <w:t>Mission</w:t>
      </w:r>
    </w:p>
    <w:p>
      <w:pPr>
        <w:pStyle w:val="BodyText"/>
        <w:spacing w:line="235" w:lineRule="auto" w:before="222"/>
        <w:ind w:left="607" w:right="1998"/>
      </w:pPr>
      <w:r>
        <w:rPr>
          <w:w w:val="120"/>
        </w:rPr>
        <w:t>tension and a rise in house demolitions. Southern Zimbabwe is currently in drought    and needs food aid. We ask for prayers for all these partners. Local churches continue to find our monthly e-newsletters useful as an update on their partner country situations. ‘Stories for Change’ contains stories and statistics on issues in Central America, Bangladesh and Zimbabwe, while ‘Moving Stories’ explores the situation in Israel and the occupied Palestinian</w:t>
      </w:r>
      <w:r>
        <w:rPr>
          <w:spacing w:val="5"/>
          <w:w w:val="120"/>
        </w:rPr>
        <w:t> </w:t>
      </w:r>
      <w:r>
        <w:rPr>
          <w:w w:val="120"/>
        </w:rPr>
        <w:t>territory.</w:t>
      </w:r>
    </w:p>
    <w:p>
      <w:pPr>
        <w:pStyle w:val="BodyText"/>
      </w:pPr>
    </w:p>
    <w:p>
      <w:pPr>
        <w:pStyle w:val="ListParagraph"/>
        <w:numPr>
          <w:ilvl w:val="1"/>
          <w:numId w:val="203"/>
        </w:numPr>
        <w:tabs>
          <w:tab w:pos="1287" w:val="left" w:leader="none"/>
          <w:tab w:pos="1288" w:val="left" w:leader="none"/>
        </w:tabs>
        <w:spacing w:line="235" w:lineRule="auto" w:before="0" w:after="0"/>
        <w:ind w:left="607" w:right="2146" w:firstLine="0"/>
        <w:jc w:val="left"/>
        <w:rPr>
          <w:sz w:val="20"/>
        </w:rPr>
      </w:pPr>
      <w:r>
        <w:rPr>
          <w:w w:val="120"/>
          <w:sz w:val="20"/>
        </w:rPr>
        <w:t>The usual yearly cycle of mailings, thank-you letters, database updating and the provision of useful educational and worship resources continues. We are encouraging churches to order enough of our mini magazines for each church attendee. This is our key way of sharing information on how the money raised is used. Feedback tells us the yearly service outline, for use on Commitment for Life Sundays remains a well-used resource. The </w:t>
      </w:r>
      <w:r>
        <w:rPr>
          <w:spacing w:val="-7"/>
          <w:w w:val="120"/>
          <w:sz w:val="20"/>
        </w:rPr>
        <w:t>2016 </w:t>
      </w:r>
      <w:r>
        <w:rPr>
          <w:w w:val="120"/>
          <w:sz w:val="20"/>
        </w:rPr>
        <w:t>service is entitled ‘Love </w:t>
      </w:r>
      <w:r>
        <w:rPr>
          <w:spacing w:val="-3"/>
          <w:w w:val="120"/>
          <w:sz w:val="20"/>
        </w:rPr>
        <w:t>Your </w:t>
      </w:r>
      <w:r>
        <w:rPr>
          <w:w w:val="120"/>
          <w:sz w:val="20"/>
        </w:rPr>
        <w:t>Neighbour’ and can be found on the website: </w:t>
      </w:r>
      <w:hyperlink r:id="rId456">
        <w:r>
          <w:rPr>
            <w:color w:val="006AB3"/>
            <w:w w:val="120"/>
            <w:sz w:val="20"/>
          </w:rPr>
          <w:t>www.cforl.org.uk</w:t>
        </w:r>
      </w:hyperlink>
      <w:r>
        <w:rPr>
          <w:w w:val="120"/>
          <w:sz w:val="20"/>
        </w:rPr>
        <w:t>. We are always looking for ways to keep information fresh and</w:t>
      </w:r>
      <w:r>
        <w:rPr>
          <w:spacing w:val="2"/>
          <w:w w:val="120"/>
          <w:sz w:val="20"/>
        </w:rPr>
        <w:t> </w:t>
      </w:r>
      <w:r>
        <w:rPr>
          <w:w w:val="120"/>
          <w:sz w:val="20"/>
        </w:rPr>
        <w:t>inviting.</w:t>
      </w:r>
    </w:p>
    <w:p>
      <w:pPr>
        <w:pStyle w:val="BodyText"/>
        <w:spacing w:before="1"/>
      </w:pPr>
    </w:p>
    <w:p>
      <w:pPr>
        <w:pStyle w:val="ListParagraph"/>
        <w:numPr>
          <w:ilvl w:val="1"/>
          <w:numId w:val="203"/>
        </w:numPr>
        <w:tabs>
          <w:tab w:pos="1287" w:val="left" w:leader="none"/>
          <w:tab w:pos="1288" w:val="left" w:leader="none"/>
        </w:tabs>
        <w:spacing w:line="235" w:lineRule="auto" w:before="1" w:after="0"/>
        <w:ind w:left="607" w:right="2501" w:firstLine="0"/>
        <w:jc w:val="left"/>
        <w:rPr>
          <w:sz w:val="20"/>
        </w:rPr>
      </w:pPr>
      <w:r>
        <w:rPr>
          <w:w w:val="120"/>
          <w:sz w:val="20"/>
        </w:rPr>
        <w:t>The website offers information and inspiration for churches. Campaigns and events are publicised, together with our printed resources, which are available to download and</w:t>
      </w:r>
      <w:r>
        <w:rPr>
          <w:spacing w:val="4"/>
          <w:w w:val="120"/>
          <w:sz w:val="20"/>
        </w:rPr>
        <w:t> </w:t>
      </w:r>
      <w:r>
        <w:rPr>
          <w:w w:val="120"/>
          <w:sz w:val="20"/>
        </w:rPr>
        <w:t>print.</w:t>
      </w:r>
    </w:p>
    <w:p>
      <w:pPr>
        <w:pStyle w:val="BodyText"/>
        <w:spacing w:before="10"/>
        <w:rPr>
          <w:sz w:val="19"/>
        </w:rPr>
      </w:pPr>
    </w:p>
    <w:p>
      <w:pPr>
        <w:pStyle w:val="ListParagraph"/>
        <w:numPr>
          <w:ilvl w:val="1"/>
          <w:numId w:val="203"/>
        </w:numPr>
        <w:tabs>
          <w:tab w:pos="1287" w:val="left" w:leader="none"/>
          <w:tab w:pos="1288" w:val="left" w:leader="none"/>
        </w:tabs>
        <w:spacing w:line="235" w:lineRule="auto" w:before="0" w:after="0"/>
        <w:ind w:left="607" w:right="2103" w:firstLine="0"/>
        <w:jc w:val="left"/>
        <w:rPr>
          <w:sz w:val="20"/>
        </w:rPr>
      </w:pPr>
      <w:r>
        <w:rPr>
          <w:w w:val="120"/>
          <w:sz w:val="20"/>
        </w:rPr>
        <w:t>Commitment for Life is </w:t>
      </w:r>
      <w:r>
        <w:rPr>
          <w:spacing w:val="2"/>
          <w:w w:val="120"/>
          <w:sz w:val="20"/>
        </w:rPr>
        <w:t>part </w:t>
      </w:r>
      <w:r>
        <w:rPr>
          <w:w w:val="120"/>
          <w:sz w:val="20"/>
        </w:rPr>
        <w:t>of the Climate Coalition. We publicised the ‘Show the Love’ campaign, encouraging people to think about what  would  be  lost  with rising sea levels and changing climates. Christian </w:t>
      </w:r>
      <w:r>
        <w:rPr>
          <w:spacing w:val="-3"/>
          <w:w w:val="120"/>
          <w:sz w:val="20"/>
        </w:rPr>
        <w:t>Aid’s </w:t>
      </w:r>
      <w:r>
        <w:rPr>
          <w:w w:val="120"/>
          <w:sz w:val="20"/>
        </w:rPr>
        <w:t>‘Hunger for Justice’ weekend in October </w:t>
      </w:r>
      <w:r>
        <w:rPr>
          <w:spacing w:val="-7"/>
          <w:w w:val="120"/>
          <w:sz w:val="20"/>
        </w:rPr>
        <w:t>2014 </w:t>
      </w:r>
      <w:r>
        <w:rPr>
          <w:w w:val="120"/>
          <w:sz w:val="20"/>
        </w:rPr>
        <w:t>saw churches invite local MPs to an event or service to speak about their party’s commitments on international development and climate change </w:t>
      </w:r>
      <w:r>
        <w:rPr>
          <w:spacing w:val="-4"/>
          <w:w w:val="120"/>
          <w:sz w:val="20"/>
        </w:rPr>
        <w:t>... </w:t>
      </w:r>
      <w:r>
        <w:rPr>
          <w:w w:val="120"/>
          <w:sz w:val="20"/>
        </w:rPr>
        <w:t>and how far they have fulfilled their</w:t>
      </w:r>
      <w:r>
        <w:rPr>
          <w:spacing w:val="7"/>
          <w:w w:val="120"/>
          <w:sz w:val="20"/>
        </w:rPr>
        <w:t> </w:t>
      </w:r>
      <w:r>
        <w:rPr>
          <w:w w:val="120"/>
          <w:sz w:val="20"/>
        </w:rPr>
        <w:t>promises.</w:t>
      </w:r>
    </w:p>
    <w:p>
      <w:pPr>
        <w:pStyle w:val="BodyText"/>
      </w:pPr>
    </w:p>
    <w:p>
      <w:pPr>
        <w:pStyle w:val="ListParagraph"/>
        <w:numPr>
          <w:ilvl w:val="1"/>
          <w:numId w:val="203"/>
        </w:numPr>
        <w:tabs>
          <w:tab w:pos="1287" w:val="left" w:leader="none"/>
          <w:tab w:pos="1288" w:val="left" w:leader="none"/>
        </w:tabs>
        <w:spacing w:line="235" w:lineRule="auto" w:before="0" w:after="0"/>
        <w:ind w:left="607" w:right="2228" w:firstLine="0"/>
        <w:jc w:val="left"/>
        <w:rPr>
          <w:sz w:val="20"/>
        </w:rPr>
      </w:pPr>
      <w:r>
        <w:rPr>
          <w:w w:val="120"/>
          <w:sz w:val="20"/>
        </w:rPr>
        <w:t>On 1 November </w:t>
      </w:r>
      <w:r>
        <w:rPr>
          <w:spacing w:val="-7"/>
          <w:w w:val="120"/>
          <w:sz w:val="20"/>
        </w:rPr>
        <w:t>2014 </w:t>
      </w:r>
      <w:r>
        <w:rPr>
          <w:w w:val="120"/>
          <w:sz w:val="20"/>
        </w:rPr>
        <w:t>individual Christians and churches were encouraged to join in a day of prayer and fasting for a just and meaningful climate agreement. The action was then repeated on the first of every month until the December </w:t>
      </w:r>
      <w:r>
        <w:rPr>
          <w:spacing w:val="-7"/>
          <w:w w:val="120"/>
          <w:sz w:val="20"/>
        </w:rPr>
        <w:t>2015 </w:t>
      </w:r>
      <w:r>
        <w:rPr>
          <w:w w:val="120"/>
          <w:sz w:val="20"/>
        </w:rPr>
        <w:t>UN climate talks. Both the United Reformed Church and Commitment for Life supported this event. The year </w:t>
      </w:r>
      <w:r>
        <w:rPr>
          <w:spacing w:val="-7"/>
          <w:w w:val="120"/>
          <w:sz w:val="20"/>
        </w:rPr>
        <w:t>2015 </w:t>
      </w:r>
      <w:r>
        <w:rPr>
          <w:w w:val="120"/>
          <w:sz w:val="20"/>
        </w:rPr>
        <w:t>saw a climate change march in March, the Big Lobby in June in the lead up to the United Nations meeting in Paris in December. The Paris talks were overtaken by tragic events but pilgrims, campaigners and non-governmental organisations were pleased with the shift in the talks and the way the faith voice</w:t>
      </w:r>
      <w:r>
        <w:rPr>
          <w:spacing w:val="2"/>
          <w:w w:val="120"/>
          <w:sz w:val="20"/>
        </w:rPr>
        <w:t> </w:t>
      </w:r>
      <w:r>
        <w:rPr>
          <w:w w:val="120"/>
          <w:sz w:val="20"/>
        </w:rPr>
        <w:t>was</w:t>
      </w:r>
    </w:p>
    <w:p>
      <w:pPr>
        <w:pStyle w:val="BodyText"/>
        <w:spacing w:line="235" w:lineRule="auto" w:before="6"/>
        <w:ind w:left="607" w:right="2045"/>
      </w:pPr>
      <w:r>
        <w:rPr>
          <w:w w:val="120"/>
        </w:rPr>
        <w:t>recognised. We will continue to be part of events and campaign actions on this subject, especially where it relates to our partner countries.</w:t>
      </w:r>
    </w:p>
    <w:p>
      <w:pPr>
        <w:pStyle w:val="BodyText"/>
        <w:spacing w:before="10"/>
        <w:rPr>
          <w:sz w:val="19"/>
        </w:rPr>
      </w:pPr>
    </w:p>
    <w:p>
      <w:pPr>
        <w:pStyle w:val="ListParagraph"/>
        <w:numPr>
          <w:ilvl w:val="1"/>
          <w:numId w:val="203"/>
        </w:numPr>
        <w:tabs>
          <w:tab w:pos="1287" w:val="left" w:leader="none"/>
          <w:tab w:pos="1288" w:val="left" w:leader="none"/>
        </w:tabs>
        <w:spacing w:line="235" w:lineRule="auto" w:before="0" w:after="0"/>
        <w:ind w:left="607" w:right="2109" w:firstLine="0"/>
        <w:jc w:val="left"/>
        <w:rPr>
          <w:sz w:val="20"/>
        </w:rPr>
      </w:pPr>
      <w:r>
        <w:rPr>
          <w:w w:val="120"/>
          <w:sz w:val="20"/>
        </w:rPr>
        <w:t>The ‘Fairtrade is 20’ celebration at the QE2 Conference Hall in </w:t>
      </w:r>
      <w:r>
        <w:rPr>
          <w:spacing w:val="-7"/>
          <w:w w:val="120"/>
          <w:sz w:val="20"/>
        </w:rPr>
        <w:t>2015 </w:t>
      </w:r>
      <w:r>
        <w:rPr>
          <w:w w:val="120"/>
          <w:sz w:val="20"/>
        </w:rPr>
        <w:t>brought together campaigners, local supporters and business representatives. A speaker, representing the views of the churches and long-term supporters, asked for a return to core values and an enthusiasm for justice. The Fairtrade Foundation is keen to get back to their social action roots. Following a review, during which we were consulted, there will be a relaunch of the Fairtrade Church scheme in</w:t>
      </w:r>
      <w:r>
        <w:rPr>
          <w:spacing w:val="27"/>
          <w:w w:val="120"/>
          <w:sz w:val="20"/>
        </w:rPr>
        <w:t> </w:t>
      </w:r>
      <w:r>
        <w:rPr>
          <w:spacing w:val="-6"/>
          <w:w w:val="120"/>
          <w:sz w:val="20"/>
        </w:rPr>
        <w:t>2016.</w:t>
      </w:r>
    </w:p>
    <w:p>
      <w:pPr>
        <w:pStyle w:val="BodyText"/>
      </w:pPr>
    </w:p>
    <w:p>
      <w:pPr>
        <w:pStyle w:val="ListParagraph"/>
        <w:numPr>
          <w:ilvl w:val="1"/>
          <w:numId w:val="203"/>
        </w:numPr>
        <w:tabs>
          <w:tab w:pos="1287" w:val="left" w:leader="none"/>
          <w:tab w:pos="1288" w:val="left" w:leader="none"/>
        </w:tabs>
        <w:spacing w:line="235" w:lineRule="auto" w:before="0" w:after="0"/>
        <w:ind w:left="607" w:right="1995" w:firstLine="0"/>
        <w:jc w:val="left"/>
        <w:rPr>
          <w:sz w:val="20"/>
        </w:rPr>
      </w:pPr>
      <w:r>
        <w:rPr>
          <w:w w:val="120"/>
          <w:sz w:val="20"/>
        </w:rPr>
        <w:t>‘Hope in a changing climate’ was the theme for the conference held at Central Hall, Coventry. The Commitment for Life programme coordinator was </w:t>
      </w:r>
      <w:r>
        <w:rPr>
          <w:spacing w:val="2"/>
          <w:w w:val="120"/>
          <w:sz w:val="20"/>
        </w:rPr>
        <w:t>part </w:t>
      </w:r>
      <w:r>
        <w:rPr>
          <w:w w:val="120"/>
          <w:sz w:val="20"/>
        </w:rPr>
        <w:t>of the planning group for the Ecumenical World Development Conference and delegates from the United Reformed Church</w:t>
      </w:r>
      <w:r>
        <w:rPr>
          <w:spacing w:val="9"/>
          <w:w w:val="120"/>
          <w:sz w:val="20"/>
        </w:rPr>
        <w:t> </w:t>
      </w:r>
      <w:r>
        <w:rPr>
          <w:w w:val="120"/>
          <w:sz w:val="20"/>
        </w:rPr>
        <w:t>attended.</w:t>
      </w:r>
    </w:p>
    <w:p>
      <w:pPr>
        <w:pStyle w:val="BodyText"/>
        <w:spacing w:before="11"/>
        <w:rPr>
          <w:sz w:val="19"/>
        </w:rPr>
      </w:pPr>
    </w:p>
    <w:p>
      <w:pPr>
        <w:pStyle w:val="ListParagraph"/>
        <w:numPr>
          <w:ilvl w:val="1"/>
          <w:numId w:val="203"/>
        </w:numPr>
        <w:tabs>
          <w:tab w:pos="1287" w:val="left" w:leader="none"/>
          <w:tab w:pos="1288" w:val="left" w:leader="none"/>
        </w:tabs>
        <w:spacing w:line="235" w:lineRule="auto" w:before="0" w:after="0"/>
        <w:ind w:left="607" w:right="2041" w:firstLine="0"/>
        <w:jc w:val="left"/>
        <w:rPr>
          <w:sz w:val="20"/>
        </w:rPr>
      </w:pPr>
      <w:r>
        <w:rPr>
          <w:w w:val="120"/>
          <w:sz w:val="20"/>
        </w:rPr>
        <w:t>Other ecumenical work has included being </w:t>
      </w:r>
      <w:r>
        <w:rPr>
          <w:spacing w:val="2"/>
          <w:w w:val="120"/>
          <w:sz w:val="20"/>
        </w:rPr>
        <w:t>part </w:t>
      </w:r>
      <w:r>
        <w:rPr>
          <w:w w:val="120"/>
          <w:sz w:val="20"/>
        </w:rPr>
        <w:t>of the planning group for the World Week for Peace in Palestine and Israel, as </w:t>
      </w:r>
      <w:r>
        <w:rPr>
          <w:spacing w:val="2"/>
          <w:w w:val="120"/>
          <w:sz w:val="20"/>
        </w:rPr>
        <w:t>part </w:t>
      </w:r>
      <w:r>
        <w:rPr>
          <w:w w:val="120"/>
          <w:sz w:val="20"/>
        </w:rPr>
        <w:t>of the World Council of Churches. The joint Belonging to the World Church/Commitment for Life trip to Israel and the occupied Palestinian territory that took place in </w:t>
      </w:r>
      <w:r>
        <w:rPr>
          <w:spacing w:val="2"/>
          <w:w w:val="120"/>
          <w:sz w:val="20"/>
        </w:rPr>
        <w:t>February </w:t>
      </w:r>
      <w:r>
        <w:rPr>
          <w:spacing w:val="-8"/>
          <w:w w:val="120"/>
          <w:sz w:val="20"/>
        </w:rPr>
        <w:t>2013 </w:t>
      </w:r>
      <w:r>
        <w:rPr>
          <w:w w:val="120"/>
          <w:sz w:val="20"/>
        </w:rPr>
        <w:t>encouraged one participant to apply and be accepted onto the Ecumenical Accompaniment Programme for Palestine and Israel (EAPPI). A yearly grant is now given by the mission committee, replacing the contribution made by Commitment for Life in previous years. A grant was also given to the Haifa project that allows ecumenical accompaniers to dialogue with Jewish families while in the</w:t>
      </w:r>
      <w:r>
        <w:rPr>
          <w:spacing w:val="9"/>
          <w:w w:val="120"/>
          <w:sz w:val="20"/>
        </w:rPr>
        <w:t> </w:t>
      </w:r>
      <w:r>
        <w:rPr>
          <w:w w:val="120"/>
          <w:sz w:val="20"/>
        </w:rPr>
        <w:t>region.</w:t>
      </w:r>
    </w:p>
    <w:p>
      <w:pPr>
        <w:spacing w:after="0" w:line="235" w:lineRule="auto"/>
        <w:jc w:val="left"/>
        <w:rPr>
          <w:sz w:val="20"/>
        </w:rPr>
        <w:sectPr>
          <w:headerReference w:type="even" r:id="rId453"/>
          <w:footerReference w:type="even" r:id="rId454"/>
          <w:footerReference w:type="default" r:id="rId455"/>
          <w:pgSz w:w="11910" w:h="16840"/>
          <w:pgMar w:header="0" w:footer="647" w:top="0" w:bottom="840" w:left="640" w:right="0"/>
          <w:pgNumType w:start="172"/>
        </w:sectPr>
      </w:pPr>
    </w:p>
    <w:p>
      <w:pPr>
        <w:pStyle w:val="BodyText"/>
      </w:pPr>
      <w:r>
        <w:rPr/>
        <w:drawing>
          <wp:anchor distT="0" distB="0" distL="0" distR="0" allowOverlap="1" layoutInCell="1" locked="0" behindDoc="0" simplePos="0" relativeHeight="252124160">
            <wp:simplePos x="0" y="0"/>
            <wp:positionH relativeFrom="page">
              <wp:posOffset>6974928</wp:posOffset>
            </wp:positionH>
            <wp:positionV relativeFrom="page">
              <wp:posOffset>0</wp:posOffset>
            </wp:positionV>
            <wp:extent cx="585063" cy="10692003"/>
            <wp:effectExtent l="0" t="0" r="0" b="0"/>
            <wp:wrapNone/>
            <wp:docPr id="327" name="image54.png"/>
            <wp:cNvGraphicFramePr>
              <a:graphicFrameLocks noChangeAspect="1"/>
            </wp:cNvGraphicFramePr>
            <a:graphic>
              <a:graphicData uri="http://schemas.openxmlformats.org/drawingml/2006/picture">
                <pic:pic>
                  <pic:nvPicPr>
                    <pic:cNvPr id="328" name="image54.png"/>
                    <pic:cNvPicPr/>
                  </pic:nvPicPr>
                  <pic:blipFill>
                    <a:blip r:embed="rId169" cstate="print"/>
                    <a:stretch>
                      <a:fillRect/>
                    </a:stretch>
                  </pic:blipFill>
                  <pic:spPr>
                    <a:xfrm>
                      <a:off x="0" y="0"/>
                      <a:ext cx="585063" cy="10692003"/>
                    </a:xfrm>
                    <a:prstGeom prst="rect">
                      <a:avLst/>
                    </a:prstGeom>
                  </pic:spPr>
                </pic:pic>
              </a:graphicData>
            </a:graphic>
          </wp:anchor>
        </w:drawing>
      </w:r>
    </w:p>
    <w:p>
      <w:pPr>
        <w:pStyle w:val="BodyText"/>
        <w:spacing w:before="7"/>
        <w:rPr>
          <w:sz w:val="21"/>
        </w:rPr>
      </w:pPr>
    </w:p>
    <w:p>
      <w:pPr>
        <w:spacing w:before="106"/>
        <w:ind w:left="0" w:right="1245" w:firstLine="0"/>
        <w:jc w:val="right"/>
        <w:rPr>
          <w:sz w:val="26"/>
        </w:rPr>
      </w:pPr>
      <w:r>
        <w:rPr/>
        <w:pict>
          <v:shape style="position:absolute;margin-left:554.141174pt;margin-top:22.593945pt;width:25.9pt;height:78.850pt;mso-position-horizontal-relative:page;mso-position-vertical-relative:paragraph;z-index:252125184" type="#_x0000_t202" filled="false" stroked="false">
            <v:textbox inset="0,0,0,0" style="layout-flow:vertical">
              <w:txbxContent>
                <w:p>
                  <w:pPr>
                    <w:spacing w:before="27"/>
                    <w:ind w:left="20" w:right="0" w:firstLine="0"/>
                    <w:jc w:val="left"/>
                    <w:rPr>
                      <w:sz w:val="39"/>
                    </w:rPr>
                  </w:pPr>
                  <w:r>
                    <w:rPr>
                      <w:color w:val="FFFFFF"/>
                      <w:w w:val="115"/>
                      <w:sz w:val="39"/>
                    </w:rPr>
                    <w:t>Mission</w:t>
                  </w:r>
                </w:p>
              </w:txbxContent>
            </v:textbox>
            <w10:wrap type="none"/>
          </v:shape>
        </w:pict>
      </w:r>
      <w:r>
        <w:rPr>
          <w:color w:val="7EAABF"/>
          <w:w w:val="110"/>
          <w:sz w:val="26"/>
        </w:rPr>
        <w:t>Mission</w:t>
      </w:r>
    </w:p>
    <w:p>
      <w:pPr>
        <w:pStyle w:val="ListParagraph"/>
        <w:numPr>
          <w:ilvl w:val="1"/>
          <w:numId w:val="203"/>
        </w:numPr>
        <w:tabs>
          <w:tab w:pos="2024" w:val="left" w:leader="none"/>
          <w:tab w:pos="2025" w:val="left" w:leader="none"/>
        </w:tabs>
        <w:spacing w:line="235" w:lineRule="auto" w:before="222" w:after="0"/>
        <w:ind w:left="1344" w:right="1336" w:firstLine="0"/>
        <w:jc w:val="left"/>
        <w:rPr>
          <w:sz w:val="20"/>
        </w:rPr>
      </w:pPr>
      <w:r>
        <w:rPr>
          <w:w w:val="120"/>
          <w:sz w:val="20"/>
        </w:rPr>
        <w:t>With a focus on helping young people understand about the injustice in this world our Christian Aid Collective and Commitment for Life interns are building a  legacy for the future. The </w:t>
      </w:r>
      <w:r>
        <w:rPr>
          <w:spacing w:val="-8"/>
          <w:w w:val="120"/>
          <w:sz w:val="20"/>
        </w:rPr>
        <w:t>2014/15 </w:t>
      </w:r>
      <w:r>
        <w:rPr>
          <w:w w:val="120"/>
          <w:sz w:val="20"/>
        </w:rPr>
        <w:t>intern was Thomas Hackett. </w:t>
      </w:r>
      <w:r>
        <w:rPr>
          <w:spacing w:val="-5"/>
          <w:w w:val="120"/>
          <w:sz w:val="20"/>
        </w:rPr>
        <w:t>Tom </w:t>
      </w:r>
      <w:r>
        <w:rPr>
          <w:w w:val="120"/>
          <w:sz w:val="20"/>
        </w:rPr>
        <w:t>is now working for Christian Aid in the collective team. The </w:t>
      </w:r>
      <w:r>
        <w:rPr>
          <w:spacing w:val="-9"/>
          <w:w w:val="120"/>
          <w:sz w:val="20"/>
        </w:rPr>
        <w:t>2015/16  </w:t>
      </w:r>
      <w:r>
        <w:rPr>
          <w:w w:val="120"/>
          <w:sz w:val="20"/>
        </w:rPr>
        <w:t>Intern is Amelia Sutcliffe. There will   be no internship next year as Christian Aid is redesigning the scheme. Both </w:t>
      </w:r>
      <w:r>
        <w:rPr>
          <w:spacing w:val="-5"/>
          <w:w w:val="120"/>
          <w:sz w:val="20"/>
        </w:rPr>
        <w:t>Tom </w:t>
      </w:r>
      <w:r>
        <w:rPr>
          <w:w w:val="120"/>
          <w:sz w:val="20"/>
        </w:rPr>
        <w:t>and previous intern Ian Rowe were </w:t>
      </w:r>
      <w:r>
        <w:rPr>
          <w:spacing w:val="2"/>
          <w:w w:val="120"/>
          <w:sz w:val="20"/>
        </w:rPr>
        <w:t>part </w:t>
      </w:r>
      <w:r>
        <w:rPr>
          <w:w w:val="120"/>
          <w:sz w:val="20"/>
        </w:rPr>
        <w:t>of the writing team for the new Pilots’ resource ‘Let Justice</w:t>
      </w:r>
      <w:r>
        <w:rPr>
          <w:spacing w:val="1"/>
          <w:w w:val="120"/>
          <w:sz w:val="20"/>
        </w:rPr>
        <w:t> </w:t>
      </w:r>
      <w:r>
        <w:rPr>
          <w:spacing w:val="-4"/>
          <w:w w:val="120"/>
          <w:sz w:val="20"/>
        </w:rPr>
        <w:t>Flow’.</w:t>
      </w:r>
    </w:p>
    <w:p>
      <w:pPr>
        <w:pStyle w:val="BodyText"/>
      </w:pPr>
    </w:p>
    <w:p>
      <w:pPr>
        <w:pStyle w:val="ListParagraph"/>
        <w:numPr>
          <w:ilvl w:val="1"/>
          <w:numId w:val="203"/>
        </w:numPr>
        <w:tabs>
          <w:tab w:pos="2024" w:val="left" w:leader="none"/>
          <w:tab w:pos="2025" w:val="left" w:leader="none"/>
        </w:tabs>
        <w:spacing w:line="235" w:lineRule="auto" w:before="1" w:after="0"/>
        <w:ind w:left="1344" w:right="1369" w:firstLine="0"/>
        <w:jc w:val="left"/>
        <w:rPr>
          <w:sz w:val="20"/>
        </w:rPr>
      </w:pPr>
      <w:r>
        <w:rPr>
          <w:w w:val="120"/>
          <w:sz w:val="20"/>
        </w:rPr>
        <w:t>We will continue to resource churches to show how their contributions are used and the difference these make to people’s lives. Our key aim is to show how the work, supported by Commitment for Life, is </w:t>
      </w:r>
      <w:r>
        <w:rPr>
          <w:spacing w:val="2"/>
          <w:w w:val="120"/>
          <w:sz w:val="20"/>
        </w:rPr>
        <w:t>part </w:t>
      </w:r>
      <w:r>
        <w:rPr>
          <w:w w:val="120"/>
          <w:sz w:val="20"/>
        </w:rPr>
        <w:t>of the mission of every local church and an integral </w:t>
      </w:r>
      <w:r>
        <w:rPr>
          <w:spacing w:val="2"/>
          <w:w w:val="120"/>
          <w:sz w:val="20"/>
        </w:rPr>
        <w:t>part </w:t>
      </w:r>
      <w:r>
        <w:rPr>
          <w:w w:val="120"/>
          <w:sz w:val="20"/>
        </w:rPr>
        <w:t>of our</w:t>
      </w:r>
      <w:r>
        <w:rPr>
          <w:spacing w:val="5"/>
          <w:w w:val="120"/>
          <w:sz w:val="20"/>
        </w:rPr>
        <w:t> </w:t>
      </w:r>
      <w:r>
        <w:rPr>
          <w:w w:val="120"/>
          <w:sz w:val="20"/>
        </w:rPr>
        <w:t>faith.</w:t>
      </w:r>
    </w:p>
    <w:p>
      <w:pPr>
        <w:pStyle w:val="BodyText"/>
        <w:spacing w:before="3"/>
        <w:rPr>
          <w:sz w:val="22"/>
        </w:rPr>
      </w:pPr>
    </w:p>
    <w:p>
      <w:pPr>
        <w:spacing w:before="0"/>
        <w:ind w:left="1344" w:right="0" w:firstLine="0"/>
        <w:jc w:val="left"/>
        <w:rPr>
          <w:rFonts w:ascii="Stone Sans II ITC Std Bk"/>
          <w:b/>
          <w:sz w:val="29"/>
        </w:rPr>
      </w:pPr>
      <w:r>
        <w:rPr>
          <w:rFonts w:ascii="Stone Sans II ITC Std Bk"/>
          <w:b/>
          <w:w w:val="110"/>
          <w:sz w:val="29"/>
        </w:rPr>
        <w:t>Ecumenical relations and interfaith work</w:t>
      </w:r>
    </w:p>
    <w:p>
      <w:pPr>
        <w:pStyle w:val="ListParagraph"/>
        <w:numPr>
          <w:ilvl w:val="1"/>
          <w:numId w:val="204"/>
        </w:numPr>
        <w:tabs>
          <w:tab w:pos="2024" w:val="left" w:leader="none"/>
          <w:tab w:pos="2025" w:val="left" w:leader="none"/>
        </w:tabs>
        <w:spacing w:line="235" w:lineRule="auto" w:before="69" w:after="0"/>
        <w:ind w:left="1344" w:right="1646" w:firstLine="0"/>
        <w:jc w:val="left"/>
        <w:rPr>
          <w:sz w:val="20"/>
        </w:rPr>
      </w:pPr>
      <w:r>
        <w:rPr>
          <w:w w:val="120"/>
          <w:sz w:val="20"/>
        </w:rPr>
        <w:t>The ecumenical and interfaith relations agenda is largely influenced by circumstances beyond </w:t>
      </w:r>
      <w:r>
        <w:rPr>
          <w:spacing w:val="-3"/>
          <w:w w:val="120"/>
          <w:sz w:val="20"/>
        </w:rPr>
        <w:t>one’s </w:t>
      </w:r>
      <w:r>
        <w:rPr>
          <w:w w:val="120"/>
          <w:sz w:val="20"/>
        </w:rPr>
        <w:t>control. There may be events or incidents that demand a response but most of the work requires keeping in step with the gradually shifting patterns of both the ecumenical and interfaith landscape. From time to time the opportunity for taking initiatives or being </w:t>
      </w:r>
      <w:r>
        <w:rPr>
          <w:spacing w:val="2"/>
          <w:w w:val="120"/>
          <w:sz w:val="20"/>
        </w:rPr>
        <w:t>part </w:t>
      </w:r>
      <w:r>
        <w:rPr>
          <w:w w:val="120"/>
          <w:sz w:val="20"/>
        </w:rPr>
        <w:t>of new initiatives</w:t>
      </w:r>
      <w:r>
        <w:rPr>
          <w:spacing w:val="21"/>
          <w:w w:val="120"/>
          <w:sz w:val="20"/>
        </w:rPr>
        <w:t> </w:t>
      </w:r>
      <w:r>
        <w:rPr>
          <w:w w:val="120"/>
          <w:sz w:val="20"/>
        </w:rPr>
        <w:t>arises.</w:t>
      </w:r>
    </w:p>
    <w:p>
      <w:pPr>
        <w:pStyle w:val="BodyText"/>
        <w:spacing w:before="1"/>
        <w:rPr>
          <w:sz w:val="19"/>
        </w:rPr>
      </w:pPr>
    </w:p>
    <w:p>
      <w:pPr>
        <w:pStyle w:val="Heading2"/>
        <w:ind w:left="1344"/>
      </w:pPr>
      <w:r>
        <w:rPr>
          <w:w w:val="110"/>
        </w:rPr>
        <w:t>Ecumenical relations</w:t>
      </w:r>
    </w:p>
    <w:p>
      <w:pPr>
        <w:pStyle w:val="ListParagraph"/>
        <w:numPr>
          <w:ilvl w:val="1"/>
          <w:numId w:val="204"/>
        </w:numPr>
        <w:tabs>
          <w:tab w:pos="2024" w:val="left" w:leader="none"/>
          <w:tab w:pos="2025" w:val="left" w:leader="none"/>
        </w:tabs>
        <w:spacing w:line="235" w:lineRule="auto" w:before="83" w:after="0"/>
        <w:ind w:left="1344" w:right="1291" w:firstLine="0"/>
        <w:jc w:val="left"/>
        <w:rPr>
          <w:sz w:val="20"/>
        </w:rPr>
      </w:pPr>
      <w:r>
        <w:rPr>
          <w:w w:val="120"/>
          <w:sz w:val="20"/>
        </w:rPr>
        <w:t>On the ecumenical scene one of the potentially most significant developments was the work of a small group within Churches Together in England (CTE) that began looking at the life and future of Local Ecumenical Partnerships </w:t>
      </w:r>
      <w:r>
        <w:rPr>
          <w:spacing w:val="-4"/>
          <w:w w:val="120"/>
          <w:sz w:val="20"/>
        </w:rPr>
        <w:t>(LEPs). </w:t>
      </w:r>
      <w:r>
        <w:rPr>
          <w:w w:val="120"/>
          <w:sz w:val="20"/>
        </w:rPr>
        <w:t>That has evolved into a piece of work entitled ‘New Frameworks for Local </w:t>
      </w:r>
      <w:r>
        <w:rPr>
          <w:spacing w:val="-3"/>
          <w:w w:val="120"/>
          <w:sz w:val="20"/>
        </w:rPr>
        <w:t>Ecumenism’, </w:t>
      </w:r>
      <w:r>
        <w:rPr>
          <w:w w:val="120"/>
          <w:sz w:val="20"/>
        </w:rPr>
        <w:t>which responds   to the changing ecumenical landscape in England in particular, where new ecumenical partners are increasingly involved, notably the Orthodox, Pentecostals and a number of other charismatic Churches. Churches are now being asked to reflect on the document, on the implications for our different traditions, and in some cases for the rules by</w:t>
      </w:r>
      <w:r>
        <w:rPr>
          <w:spacing w:val="15"/>
          <w:w w:val="120"/>
          <w:sz w:val="20"/>
        </w:rPr>
        <w:t> </w:t>
      </w:r>
      <w:r>
        <w:rPr>
          <w:w w:val="120"/>
          <w:sz w:val="20"/>
        </w:rPr>
        <w:t>which</w:t>
      </w:r>
    </w:p>
    <w:p>
      <w:pPr>
        <w:pStyle w:val="BodyText"/>
        <w:spacing w:line="235" w:lineRule="auto" w:before="6"/>
        <w:ind w:left="1344" w:right="1354"/>
      </w:pPr>
      <w:r>
        <w:rPr>
          <w:w w:val="120"/>
        </w:rPr>
        <w:t>we order ourselves. The timing of the production of this document has not allowed it to come to General Assembly, but the process will not be quick and it will be considered   by various URC bodies including Mission Council. It is likely that developed ideas will come to the Assembly in</w:t>
      </w:r>
      <w:r>
        <w:rPr>
          <w:spacing w:val="11"/>
          <w:w w:val="120"/>
        </w:rPr>
        <w:t> </w:t>
      </w:r>
      <w:r>
        <w:rPr>
          <w:spacing w:val="-5"/>
          <w:w w:val="120"/>
        </w:rPr>
        <w:t>2018.</w:t>
      </w:r>
    </w:p>
    <w:p>
      <w:pPr>
        <w:pStyle w:val="BodyText"/>
        <w:spacing w:before="11"/>
        <w:rPr>
          <w:sz w:val="19"/>
        </w:rPr>
      </w:pPr>
    </w:p>
    <w:p>
      <w:pPr>
        <w:pStyle w:val="ListParagraph"/>
        <w:numPr>
          <w:ilvl w:val="1"/>
          <w:numId w:val="204"/>
        </w:numPr>
        <w:tabs>
          <w:tab w:pos="2024" w:val="left" w:leader="none"/>
          <w:tab w:pos="2025" w:val="left" w:leader="none"/>
        </w:tabs>
        <w:spacing w:line="235" w:lineRule="auto" w:before="0" w:after="0"/>
        <w:ind w:left="1344" w:right="1324" w:firstLine="0"/>
        <w:jc w:val="left"/>
        <w:rPr>
          <w:sz w:val="20"/>
        </w:rPr>
      </w:pPr>
      <w:r>
        <w:rPr>
          <w:w w:val="120"/>
          <w:sz w:val="20"/>
        </w:rPr>
        <w:t>We continue to be engaged in bilateral relations, some of which lie within the orbit of more than one department or committee. The two bilateral dialogues with which we are engaged are faith and order dialogues, so the primary responsibility for our dialogues with the Church of England </w:t>
      </w:r>
      <w:r>
        <w:rPr>
          <w:spacing w:val="-3"/>
          <w:w w:val="120"/>
          <w:sz w:val="20"/>
        </w:rPr>
        <w:t>(CofE) </w:t>
      </w:r>
      <w:r>
        <w:rPr>
          <w:w w:val="120"/>
          <w:sz w:val="20"/>
        </w:rPr>
        <w:t>and the Roman Catholic Church is handled primarily by the faith and order committee. The </w:t>
      </w:r>
      <w:r>
        <w:rPr>
          <w:spacing w:val="2"/>
          <w:w w:val="120"/>
          <w:sz w:val="20"/>
        </w:rPr>
        <w:t>report </w:t>
      </w:r>
      <w:r>
        <w:rPr>
          <w:w w:val="120"/>
          <w:sz w:val="20"/>
        </w:rPr>
        <w:t>of the conversations with the CofE comes to this Assembly but the outworking of the results will engage the mission department as well as others, as many of the implications are for the life of the church at the local level. When the </w:t>
      </w:r>
      <w:r>
        <w:rPr>
          <w:spacing w:val="2"/>
          <w:w w:val="120"/>
          <w:sz w:val="20"/>
        </w:rPr>
        <w:t>report </w:t>
      </w:r>
      <w:r>
        <w:rPr>
          <w:w w:val="120"/>
          <w:sz w:val="20"/>
        </w:rPr>
        <w:t>of the discussions with the Roman Catholic Church is produced later in </w:t>
      </w:r>
      <w:r>
        <w:rPr>
          <w:spacing w:val="-6"/>
          <w:w w:val="120"/>
          <w:sz w:val="20"/>
        </w:rPr>
        <w:t>2016, </w:t>
      </w:r>
      <w:r>
        <w:rPr>
          <w:w w:val="120"/>
          <w:sz w:val="20"/>
        </w:rPr>
        <w:t>that too will lead to a focus on enabling relations at the local</w:t>
      </w:r>
      <w:r>
        <w:rPr>
          <w:spacing w:val="3"/>
          <w:w w:val="120"/>
          <w:sz w:val="20"/>
        </w:rPr>
        <w:t> </w:t>
      </w:r>
      <w:r>
        <w:rPr>
          <w:w w:val="120"/>
          <w:sz w:val="20"/>
        </w:rPr>
        <w:t>level.</w:t>
      </w:r>
    </w:p>
    <w:p>
      <w:pPr>
        <w:pStyle w:val="BodyText"/>
        <w:spacing w:before="3"/>
      </w:pPr>
    </w:p>
    <w:p>
      <w:pPr>
        <w:pStyle w:val="ListParagraph"/>
        <w:numPr>
          <w:ilvl w:val="1"/>
          <w:numId w:val="204"/>
        </w:numPr>
        <w:tabs>
          <w:tab w:pos="2024" w:val="left" w:leader="none"/>
          <w:tab w:pos="2025" w:val="left" w:leader="none"/>
        </w:tabs>
        <w:spacing w:line="235" w:lineRule="auto" w:before="0" w:after="0"/>
        <w:ind w:left="1344" w:right="1268" w:firstLine="0"/>
        <w:jc w:val="left"/>
        <w:rPr>
          <w:sz w:val="20"/>
        </w:rPr>
      </w:pPr>
      <w:r>
        <w:rPr>
          <w:w w:val="120"/>
          <w:sz w:val="20"/>
        </w:rPr>
        <w:t>One initiative which is about to bear fruit is the production of a resource for local churches or groups enabling them to explore the dynamics of receptive ecumenism, an approach to relations predicated on the idea that there are </w:t>
      </w:r>
      <w:r>
        <w:rPr>
          <w:spacing w:val="2"/>
          <w:w w:val="120"/>
          <w:sz w:val="20"/>
        </w:rPr>
        <w:t>gifts </w:t>
      </w:r>
      <w:r>
        <w:rPr>
          <w:w w:val="120"/>
          <w:sz w:val="20"/>
        </w:rPr>
        <w:t>that we may wish to receive from as well as offer to other</w:t>
      </w:r>
      <w:r>
        <w:rPr>
          <w:spacing w:val="9"/>
          <w:w w:val="120"/>
          <w:sz w:val="20"/>
        </w:rPr>
        <w:t> </w:t>
      </w:r>
      <w:r>
        <w:rPr>
          <w:w w:val="120"/>
          <w:sz w:val="20"/>
        </w:rPr>
        <w:t>traditions.</w:t>
      </w:r>
    </w:p>
    <w:p>
      <w:pPr>
        <w:pStyle w:val="BodyText"/>
        <w:spacing w:before="11"/>
        <w:rPr>
          <w:sz w:val="19"/>
        </w:rPr>
      </w:pPr>
    </w:p>
    <w:p>
      <w:pPr>
        <w:pStyle w:val="ListParagraph"/>
        <w:numPr>
          <w:ilvl w:val="1"/>
          <w:numId w:val="204"/>
        </w:numPr>
        <w:tabs>
          <w:tab w:pos="2024" w:val="left" w:leader="none"/>
          <w:tab w:pos="2025" w:val="left" w:leader="none"/>
        </w:tabs>
        <w:spacing w:line="235" w:lineRule="auto" w:before="0" w:after="0"/>
        <w:ind w:left="1344" w:right="1302" w:firstLine="0"/>
        <w:jc w:val="left"/>
        <w:rPr>
          <w:sz w:val="20"/>
        </w:rPr>
      </w:pPr>
      <w:r>
        <w:rPr>
          <w:w w:val="120"/>
          <w:sz w:val="20"/>
        </w:rPr>
        <w:t>One of the results of the review of the post of the secretary for ecumenical and interfaith relations has been the creation of a small ecumenical reference group. The role of the group is to support the work of the staff secretary and the two national ecumenical officers for Scotland and Wales. It will also serve as a sorting house for some of the issues that are presented to the Church, helping to judge the best form in which matters can be handled. It will also assist in establishing continuity in dealing with ecumenical issues when the current staff secretary retires in July</w:t>
      </w:r>
      <w:r>
        <w:rPr>
          <w:spacing w:val="9"/>
          <w:w w:val="120"/>
          <w:sz w:val="20"/>
        </w:rPr>
        <w:t> </w:t>
      </w:r>
      <w:r>
        <w:rPr>
          <w:spacing w:val="-12"/>
          <w:w w:val="120"/>
          <w:sz w:val="20"/>
        </w:rPr>
        <w:t>2017.</w:t>
      </w:r>
    </w:p>
    <w:p>
      <w:pPr>
        <w:spacing w:after="0" w:line="235" w:lineRule="auto"/>
        <w:jc w:val="left"/>
        <w:rPr>
          <w:sz w:val="20"/>
        </w:rPr>
        <w:sectPr>
          <w:headerReference w:type="default" r:id="rId457"/>
          <w:pgSz w:w="11910" w:h="16840"/>
          <w:pgMar w:header="0" w:footer="647" w:top="0" w:bottom="840" w:left="640" w:right="0"/>
        </w:sectPr>
      </w:pPr>
    </w:p>
    <w:p>
      <w:pPr>
        <w:pStyle w:val="BodyText"/>
      </w:pPr>
      <w:r>
        <w:rPr/>
        <w:drawing>
          <wp:anchor distT="0" distB="0" distL="0" distR="0" allowOverlap="1" layoutInCell="1" locked="0" behindDoc="1" simplePos="0" relativeHeight="235672576">
            <wp:simplePos x="0" y="0"/>
            <wp:positionH relativeFrom="page">
              <wp:posOffset>0</wp:posOffset>
            </wp:positionH>
            <wp:positionV relativeFrom="page">
              <wp:posOffset>0</wp:posOffset>
            </wp:positionV>
            <wp:extent cx="594067" cy="10692003"/>
            <wp:effectExtent l="0" t="0" r="0" b="0"/>
            <wp:wrapNone/>
            <wp:docPr id="329" name="image67.png"/>
            <wp:cNvGraphicFramePr>
              <a:graphicFrameLocks noChangeAspect="1"/>
            </wp:cNvGraphicFramePr>
            <a:graphic>
              <a:graphicData uri="http://schemas.openxmlformats.org/drawingml/2006/picture">
                <pic:pic>
                  <pic:nvPicPr>
                    <pic:cNvPr id="330" name="image67.png"/>
                    <pic:cNvPicPr/>
                  </pic:nvPicPr>
                  <pic:blipFill>
                    <a:blip r:embed="rId184" cstate="print"/>
                    <a:stretch>
                      <a:fillRect/>
                    </a:stretch>
                  </pic:blipFill>
                  <pic:spPr>
                    <a:xfrm>
                      <a:off x="0" y="0"/>
                      <a:ext cx="594067" cy="10692003"/>
                    </a:xfrm>
                    <a:prstGeom prst="rect">
                      <a:avLst/>
                    </a:prstGeom>
                  </pic:spPr>
                </pic:pic>
              </a:graphicData>
            </a:graphic>
          </wp:anchor>
        </w:drawing>
      </w:r>
      <w:r>
        <w:rPr/>
        <w:pict>
          <v:shape style="position:absolute;margin-left:20.519100pt;margin-top:48.890015pt;width:25.9pt;height:78.850pt;mso-position-horizontal-relative:page;mso-position-vertical-relative:page;z-index:252127232" type="#_x0000_t202" filled="false" stroked="false">
            <v:textbox inset="0,0,0,0" style="layout-flow:vertical">
              <w:txbxContent>
                <w:p>
                  <w:pPr>
                    <w:spacing w:before="27"/>
                    <w:ind w:left="20" w:right="0" w:firstLine="0"/>
                    <w:jc w:val="left"/>
                    <w:rPr>
                      <w:sz w:val="39"/>
                    </w:rPr>
                  </w:pPr>
                  <w:r>
                    <w:rPr>
                      <w:color w:val="FFFFFF"/>
                      <w:w w:val="115"/>
                      <w:sz w:val="39"/>
                    </w:rPr>
                    <w:t>Mission</w:t>
                  </w:r>
                </w:p>
              </w:txbxContent>
            </v:textbox>
            <w10:wrap type="none"/>
          </v:shape>
        </w:pict>
      </w:r>
    </w:p>
    <w:p>
      <w:pPr>
        <w:pStyle w:val="BodyText"/>
        <w:spacing w:before="7"/>
        <w:rPr>
          <w:sz w:val="21"/>
        </w:rPr>
      </w:pPr>
    </w:p>
    <w:p>
      <w:pPr>
        <w:spacing w:before="106"/>
        <w:ind w:left="607" w:right="0" w:firstLine="0"/>
        <w:jc w:val="left"/>
        <w:rPr>
          <w:sz w:val="26"/>
        </w:rPr>
      </w:pPr>
      <w:r>
        <w:rPr>
          <w:color w:val="7EAABF"/>
          <w:w w:val="115"/>
          <w:sz w:val="26"/>
        </w:rPr>
        <w:t>Mission</w:t>
      </w:r>
    </w:p>
    <w:p>
      <w:pPr>
        <w:pStyle w:val="ListParagraph"/>
        <w:numPr>
          <w:ilvl w:val="1"/>
          <w:numId w:val="204"/>
        </w:numPr>
        <w:tabs>
          <w:tab w:pos="1287" w:val="left" w:leader="none"/>
          <w:tab w:pos="1288" w:val="left" w:leader="none"/>
        </w:tabs>
        <w:spacing w:line="235" w:lineRule="auto" w:before="222" w:after="0"/>
        <w:ind w:left="607" w:right="2136" w:firstLine="0"/>
        <w:jc w:val="left"/>
        <w:rPr>
          <w:sz w:val="20"/>
        </w:rPr>
      </w:pPr>
      <w:r>
        <w:rPr>
          <w:w w:val="120"/>
          <w:sz w:val="20"/>
        </w:rPr>
        <w:t>One of the most active bilateral bodies continues to be the Methodist/United Reformed Liaison Group. This now meets twice yearly and is developing a task group approach to its operation, working virtually between meetings. One outworking of   this is a gradual accumulation of resources which are already online for the work of</w:t>
      </w:r>
      <w:r>
        <w:rPr>
          <w:spacing w:val="-2"/>
          <w:w w:val="120"/>
          <w:sz w:val="20"/>
        </w:rPr>
        <w:t> </w:t>
      </w:r>
      <w:r>
        <w:rPr>
          <w:w w:val="120"/>
          <w:sz w:val="20"/>
        </w:rPr>
        <w:t>the</w:t>
      </w:r>
    </w:p>
    <w:p>
      <w:pPr>
        <w:pStyle w:val="BodyText"/>
        <w:spacing w:line="235" w:lineRule="auto" w:before="3"/>
        <w:ind w:left="607" w:right="2020"/>
        <w:jc w:val="both"/>
      </w:pPr>
      <w:r>
        <w:rPr>
          <w:w w:val="120"/>
        </w:rPr>
        <w:t>group and will become widely available through the websites of the two Churches. The chief task of this group is currently focused on the united ecumenical areas in which the two Churches attempt to operate a shared structure, something which is challenged by the different approaches to, for example, the call or stationing of ministers.</w:t>
      </w:r>
    </w:p>
    <w:p>
      <w:pPr>
        <w:pStyle w:val="BodyText"/>
        <w:rPr>
          <w:sz w:val="19"/>
        </w:rPr>
      </w:pPr>
    </w:p>
    <w:p>
      <w:pPr>
        <w:pStyle w:val="Heading2"/>
        <w:jc w:val="both"/>
      </w:pPr>
      <w:r>
        <w:rPr>
          <w:w w:val="110"/>
        </w:rPr>
        <w:t>Interfaith work</w:t>
      </w:r>
    </w:p>
    <w:p>
      <w:pPr>
        <w:pStyle w:val="ListParagraph"/>
        <w:numPr>
          <w:ilvl w:val="1"/>
          <w:numId w:val="204"/>
        </w:numPr>
        <w:tabs>
          <w:tab w:pos="1287" w:val="left" w:leader="none"/>
          <w:tab w:pos="1288" w:val="left" w:leader="none"/>
        </w:tabs>
        <w:spacing w:line="235" w:lineRule="auto" w:before="83" w:after="0"/>
        <w:ind w:left="607" w:right="2379" w:firstLine="0"/>
        <w:jc w:val="left"/>
        <w:rPr>
          <w:sz w:val="20"/>
        </w:rPr>
      </w:pPr>
      <w:r>
        <w:rPr>
          <w:spacing w:val="3"/>
          <w:w w:val="120"/>
          <w:sz w:val="20"/>
        </w:rPr>
        <w:t>As </w:t>
      </w:r>
      <w:r>
        <w:rPr>
          <w:w w:val="120"/>
          <w:sz w:val="20"/>
        </w:rPr>
        <w:t>a result of the review of the staff secretary post, the job title has now been changed to include a reference to interfaith relations. This is to reflect the growing significance of interfaith issues within wider</w:t>
      </w:r>
      <w:r>
        <w:rPr>
          <w:spacing w:val="10"/>
          <w:w w:val="120"/>
          <w:sz w:val="20"/>
        </w:rPr>
        <w:t> </w:t>
      </w:r>
      <w:r>
        <w:rPr>
          <w:w w:val="120"/>
          <w:sz w:val="20"/>
        </w:rPr>
        <w:t>society.</w:t>
      </w:r>
    </w:p>
    <w:p>
      <w:pPr>
        <w:pStyle w:val="BodyText"/>
        <w:spacing w:before="10"/>
        <w:rPr>
          <w:sz w:val="19"/>
        </w:rPr>
      </w:pPr>
    </w:p>
    <w:p>
      <w:pPr>
        <w:pStyle w:val="ListParagraph"/>
        <w:numPr>
          <w:ilvl w:val="1"/>
          <w:numId w:val="204"/>
        </w:numPr>
        <w:tabs>
          <w:tab w:pos="1287" w:val="left" w:leader="none"/>
          <w:tab w:pos="1288" w:val="left" w:leader="none"/>
        </w:tabs>
        <w:spacing w:line="235" w:lineRule="auto" w:before="0" w:after="0"/>
        <w:ind w:left="607" w:right="2344" w:firstLine="0"/>
        <w:jc w:val="left"/>
        <w:rPr>
          <w:sz w:val="20"/>
        </w:rPr>
      </w:pPr>
      <w:r>
        <w:rPr>
          <w:w w:val="120"/>
          <w:sz w:val="20"/>
        </w:rPr>
        <w:t>It is notable that for many in other faith communities the differences between the Christian traditions are confusing and they prefer to think of and deal with Christians as a block. On our part, understanding one particular faith, Sikhism for example, does not mean that one also understands Islam or Zoroastrianism. The interfaith reference group, which operates jointly with our Methodist partners, therefore attempts to include people with a range of experience of different faiths  so that to some degree it can operate as an </w:t>
      </w:r>
      <w:r>
        <w:rPr>
          <w:spacing w:val="2"/>
          <w:w w:val="120"/>
          <w:sz w:val="20"/>
        </w:rPr>
        <w:t>expert </w:t>
      </w:r>
      <w:r>
        <w:rPr>
          <w:w w:val="120"/>
          <w:sz w:val="20"/>
        </w:rPr>
        <w:t>group, able to give advice about  a good range of faith traditions and communities. Ecumenically, </w:t>
      </w:r>
      <w:r>
        <w:rPr>
          <w:spacing w:val="-3"/>
          <w:w w:val="120"/>
          <w:sz w:val="20"/>
        </w:rPr>
        <w:t>however, </w:t>
      </w:r>
      <w:r>
        <w:rPr>
          <w:w w:val="120"/>
          <w:sz w:val="20"/>
        </w:rPr>
        <w:t>we are inevitably small players with an incomplete group of synod interfaith advocates alongside the small number of interfaith</w:t>
      </w:r>
      <w:r>
        <w:rPr>
          <w:spacing w:val="11"/>
          <w:w w:val="120"/>
          <w:sz w:val="20"/>
        </w:rPr>
        <w:t> </w:t>
      </w:r>
      <w:r>
        <w:rPr>
          <w:spacing w:val="2"/>
          <w:w w:val="120"/>
          <w:sz w:val="20"/>
        </w:rPr>
        <w:t>experts.</w:t>
      </w:r>
    </w:p>
    <w:p>
      <w:pPr>
        <w:pStyle w:val="BodyText"/>
        <w:spacing w:before="3"/>
      </w:pPr>
    </w:p>
    <w:p>
      <w:pPr>
        <w:pStyle w:val="ListParagraph"/>
        <w:numPr>
          <w:ilvl w:val="1"/>
          <w:numId w:val="204"/>
        </w:numPr>
        <w:tabs>
          <w:tab w:pos="1287" w:val="left" w:leader="none"/>
          <w:tab w:pos="1288" w:val="left" w:leader="none"/>
        </w:tabs>
        <w:spacing w:line="235" w:lineRule="auto" w:before="0" w:after="0"/>
        <w:ind w:left="607" w:right="2005" w:firstLine="0"/>
        <w:jc w:val="left"/>
        <w:rPr>
          <w:sz w:val="20"/>
        </w:rPr>
      </w:pPr>
      <w:r>
        <w:rPr>
          <w:w w:val="120"/>
          <w:sz w:val="20"/>
        </w:rPr>
        <w:t>Working ecumenically on interfaith issues offers us the best possibility of engagement given the wider pool of wisdom and resources that is available, so looking at how local churches and individual Christians can be encouraged to engage and build up good interfaith relations is something that occupies much</w:t>
      </w:r>
      <w:r>
        <w:rPr>
          <w:spacing w:val="29"/>
          <w:w w:val="120"/>
          <w:sz w:val="20"/>
        </w:rPr>
        <w:t> </w:t>
      </w:r>
      <w:r>
        <w:rPr>
          <w:w w:val="120"/>
          <w:sz w:val="20"/>
        </w:rPr>
        <w:t>energy.</w:t>
      </w:r>
    </w:p>
    <w:p>
      <w:pPr>
        <w:pStyle w:val="BodyText"/>
        <w:spacing w:before="11"/>
        <w:rPr>
          <w:sz w:val="19"/>
        </w:rPr>
      </w:pPr>
    </w:p>
    <w:p>
      <w:pPr>
        <w:pStyle w:val="ListParagraph"/>
        <w:numPr>
          <w:ilvl w:val="1"/>
          <w:numId w:val="204"/>
        </w:numPr>
        <w:tabs>
          <w:tab w:pos="1287" w:val="left" w:leader="none"/>
          <w:tab w:pos="1288" w:val="left" w:leader="none"/>
        </w:tabs>
        <w:spacing w:line="235" w:lineRule="auto" w:before="0" w:after="0"/>
        <w:ind w:left="607" w:right="1986" w:firstLine="0"/>
        <w:jc w:val="left"/>
        <w:rPr>
          <w:sz w:val="20"/>
        </w:rPr>
      </w:pPr>
      <w:r>
        <w:rPr>
          <w:w w:val="120"/>
          <w:sz w:val="20"/>
        </w:rPr>
        <w:t>The London Interfaith Centre of which Maggie Hindley is co-director is one place where this work is being done through, as one example, the development of Scriptural Reasoning where people from Jewish, Christian and Muslim backgrounds share sacred texts as a way of exploring meaningful</w:t>
      </w:r>
      <w:r>
        <w:rPr>
          <w:spacing w:val="15"/>
          <w:w w:val="120"/>
          <w:sz w:val="20"/>
        </w:rPr>
        <w:t> </w:t>
      </w:r>
      <w:r>
        <w:rPr>
          <w:w w:val="120"/>
          <w:sz w:val="20"/>
        </w:rPr>
        <w:t>themes.</w:t>
      </w:r>
    </w:p>
    <w:p>
      <w:pPr>
        <w:pStyle w:val="BodyText"/>
        <w:spacing w:before="11"/>
        <w:rPr>
          <w:sz w:val="19"/>
        </w:rPr>
      </w:pPr>
    </w:p>
    <w:p>
      <w:pPr>
        <w:pStyle w:val="ListParagraph"/>
        <w:numPr>
          <w:ilvl w:val="1"/>
          <w:numId w:val="204"/>
        </w:numPr>
        <w:tabs>
          <w:tab w:pos="1287" w:val="left" w:leader="none"/>
          <w:tab w:pos="1288" w:val="left" w:leader="none"/>
        </w:tabs>
        <w:spacing w:line="235" w:lineRule="auto" w:before="0" w:after="0"/>
        <w:ind w:left="607" w:right="2761" w:firstLine="0"/>
        <w:jc w:val="left"/>
        <w:rPr>
          <w:sz w:val="20"/>
        </w:rPr>
      </w:pPr>
      <w:r>
        <w:rPr>
          <w:w w:val="120"/>
          <w:sz w:val="20"/>
        </w:rPr>
        <w:t>Members of the reference group are now preparing material for the </w:t>
      </w:r>
      <w:r>
        <w:rPr>
          <w:spacing w:val="-9"/>
          <w:w w:val="120"/>
          <w:sz w:val="20"/>
        </w:rPr>
        <w:t>2017 </w:t>
      </w:r>
      <w:r>
        <w:rPr>
          <w:w w:val="120"/>
          <w:sz w:val="20"/>
        </w:rPr>
        <w:t>Churches Together in Britain and Ireland Lent study course which will focus on interfaith perspectives on Lenten</w:t>
      </w:r>
      <w:r>
        <w:rPr>
          <w:spacing w:val="7"/>
          <w:w w:val="120"/>
          <w:sz w:val="20"/>
        </w:rPr>
        <w:t> </w:t>
      </w:r>
      <w:r>
        <w:rPr>
          <w:w w:val="120"/>
          <w:sz w:val="20"/>
        </w:rPr>
        <w:t>themes.</w:t>
      </w:r>
    </w:p>
    <w:p>
      <w:pPr>
        <w:pStyle w:val="BodyText"/>
        <w:spacing w:before="10"/>
        <w:rPr>
          <w:sz w:val="19"/>
        </w:rPr>
      </w:pPr>
    </w:p>
    <w:p>
      <w:pPr>
        <w:pStyle w:val="ListParagraph"/>
        <w:numPr>
          <w:ilvl w:val="1"/>
          <w:numId w:val="204"/>
        </w:numPr>
        <w:tabs>
          <w:tab w:pos="1287" w:val="left" w:leader="none"/>
          <w:tab w:pos="1288" w:val="left" w:leader="none"/>
        </w:tabs>
        <w:spacing w:line="235" w:lineRule="auto" w:before="1" w:after="0"/>
        <w:ind w:left="607" w:right="1994" w:firstLine="0"/>
        <w:jc w:val="left"/>
        <w:rPr>
          <w:sz w:val="20"/>
        </w:rPr>
      </w:pPr>
      <w:r>
        <w:rPr>
          <w:w w:val="120"/>
          <w:sz w:val="20"/>
        </w:rPr>
        <w:t>One of the most difficult areas for our interfaith work is the tension between developing Christian–Jewish relations, especially amid a rise in anti-Semitism, and continuing to be engaged in justice issues relating to Israel–Palestine. There are no simple solutions and both things demand our time and attention as well as much prayer and careful</w:t>
      </w:r>
      <w:r>
        <w:rPr>
          <w:spacing w:val="4"/>
          <w:w w:val="120"/>
          <w:sz w:val="20"/>
        </w:rPr>
        <w:t> </w:t>
      </w:r>
      <w:r>
        <w:rPr>
          <w:w w:val="120"/>
          <w:sz w:val="20"/>
        </w:rPr>
        <w:t>thought.</w:t>
      </w:r>
    </w:p>
    <w:p>
      <w:pPr>
        <w:pStyle w:val="BodyText"/>
        <w:spacing w:before="1"/>
        <w:rPr>
          <w:sz w:val="19"/>
        </w:rPr>
      </w:pPr>
    </w:p>
    <w:p>
      <w:pPr>
        <w:pStyle w:val="Heading2"/>
        <w:jc w:val="both"/>
      </w:pPr>
      <w:r>
        <w:rPr>
          <w:w w:val="110"/>
        </w:rPr>
        <w:t>The Buildings Forum</w:t>
      </w:r>
    </w:p>
    <w:p>
      <w:pPr>
        <w:pStyle w:val="ListParagraph"/>
        <w:numPr>
          <w:ilvl w:val="1"/>
          <w:numId w:val="204"/>
        </w:numPr>
        <w:tabs>
          <w:tab w:pos="1287" w:val="left" w:leader="none"/>
          <w:tab w:pos="1288" w:val="left" w:leader="none"/>
        </w:tabs>
        <w:spacing w:line="235" w:lineRule="auto" w:before="82" w:after="0"/>
        <w:ind w:left="607" w:right="2350" w:firstLine="0"/>
        <w:jc w:val="left"/>
        <w:rPr>
          <w:sz w:val="20"/>
        </w:rPr>
      </w:pPr>
      <w:r>
        <w:rPr>
          <w:w w:val="120"/>
          <w:sz w:val="20"/>
        </w:rPr>
        <w:t>The secretary for ecumenical and interfaith relations also served on the Joint (Methodist and URC) Property Strategy Group (JPSG), on behalf of the mission committee. During </w:t>
      </w:r>
      <w:r>
        <w:rPr>
          <w:spacing w:val="-7"/>
          <w:w w:val="120"/>
          <w:sz w:val="20"/>
        </w:rPr>
        <w:t>2015 </w:t>
      </w:r>
      <w:r>
        <w:rPr>
          <w:w w:val="120"/>
          <w:sz w:val="20"/>
        </w:rPr>
        <w:t>the JPSG organised and ran a number of roadshows around the country designed to encourage churches to think creatively about the uses and potential of their buildings. Having run these successfully, the JPSG then came to   the end of its period of service in October </w:t>
      </w:r>
      <w:r>
        <w:rPr>
          <w:spacing w:val="-7"/>
          <w:w w:val="120"/>
          <w:sz w:val="20"/>
        </w:rPr>
        <w:t>2015 </w:t>
      </w:r>
      <w:r>
        <w:rPr>
          <w:w w:val="120"/>
          <w:sz w:val="20"/>
        </w:rPr>
        <w:t>with the recommendation that the two denominations find ways of continuing the work. Within the URC this has been taken up by the creation of a Buildings Forum, which is placed within the remit</w:t>
      </w:r>
      <w:r>
        <w:rPr>
          <w:spacing w:val="50"/>
          <w:w w:val="120"/>
          <w:sz w:val="20"/>
        </w:rPr>
        <w:t> </w:t>
      </w:r>
      <w:r>
        <w:rPr>
          <w:w w:val="120"/>
          <w:sz w:val="20"/>
        </w:rPr>
        <w:t>of</w:t>
      </w:r>
    </w:p>
    <w:p>
      <w:pPr>
        <w:pStyle w:val="BodyText"/>
        <w:spacing w:line="235" w:lineRule="auto" w:before="6"/>
        <w:ind w:left="607" w:right="2045"/>
      </w:pPr>
      <w:r>
        <w:rPr>
          <w:w w:val="120"/>
        </w:rPr>
        <w:t>the mission committee because its primary emphasis is missional. The forum includes representatives from the synods, from the mission committee and mission enablers network, a CRCW, and other co-opted members with appropriate skills.</w:t>
      </w:r>
    </w:p>
    <w:p>
      <w:pPr>
        <w:spacing w:after="0" w:line="235" w:lineRule="auto"/>
        <w:sectPr>
          <w:headerReference w:type="even" r:id="rId458"/>
          <w:footerReference w:type="even" r:id="rId459"/>
          <w:footerReference w:type="default" r:id="rId460"/>
          <w:pgSz w:w="11910" w:h="16840"/>
          <w:pgMar w:header="0" w:footer="647" w:top="0" w:bottom="840" w:left="640" w:right="0"/>
          <w:pgNumType w:start="174"/>
        </w:sectPr>
      </w:pPr>
    </w:p>
    <w:p>
      <w:pPr>
        <w:pStyle w:val="BodyText"/>
      </w:pPr>
      <w:r>
        <w:rPr/>
        <w:drawing>
          <wp:anchor distT="0" distB="0" distL="0" distR="0" allowOverlap="1" layoutInCell="1" locked="0" behindDoc="0" simplePos="0" relativeHeight="252128256">
            <wp:simplePos x="0" y="0"/>
            <wp:positionH relativeFrom="page">
              <wp:posOffset>6974928</wp:posOffset>
            </wp:positionH>
            <wp:positionV relativeFrom="page">
              <wp:posOffset>0</wp:posOffset>
            </wp:positionV>
            <wp:extent cx="585063" cy="10692003"/>
            <wp:effectExtent l="0" t="0" r="0" b="0"/>
            <wp:wrapNone/>
            <wp:docPr id="331" name="image54.png"/>
            <wp:cNvGraphicFramePr>
              <a:graphicFrameLocks noChangeAspect="1"/>
            </wp:cNvGraphicFramePr>
            <a:graphic>
              <a:graphicData uri="http://schemas.openxmlformats.org/drawingml/2006/picture">
                <pic:pic>
                  <pic:nvPicPr>
                    <pic:cNvPr id="332" name="image54.png"/>
                    <pic:cNvPicPr/>
                  </pic:nvPicPr>
                  <pic:blipFill>
                    <a:blip r:embed="rId169" cstate="print"/>
                    <a:stretch>
                      <a:fillRect/>
                    </a:stretch>
                  </pic:blipFill>
                  <pic:spPr>
                    <a:xfrm>
                      <a:off x="0" y="0"/>
                      <a:ext cx="585063" cy="10692003"/>
                    </a:xfrm>
                    <a:prstGeom prst="rect">
                      <a:avLst/>
                    </a:prstGeom>
                  </pic:spPr>
                </pic:pic>
              </a:graphicData>
            </a:graphic>
          </wp:anchor>
        </w:drawing>
      </w:r>
    </w:p>
    <w:p>
      <w:pPr>
        <w:pStyle w:val="BodyText"/>
        <w:spacing w:before="7"/>
        <w:rPr>
          <w:sz w:val="21"/>
        </w:rPr>
      </w:pPr>
    </w:p>
    <w:p>
      <w:pPr>
        <w:spacing w:before="106"/>
        <w:ind w:left="0" w:right="1245" w:firstLine="0"/>
        <w:jc w:val="right"/>
        <w:rPr>
          <w:sz w:val="26"/>
        </w:rPr>
      </w:pPr>
      <w:r>
        <w:rPr/>
        <w:pict>
          <v:shape style="position:absolute;margin-left:554.141174pt;margin-top:22.593945pt;width:25.9pt;height:78.850pt;mso-position-horizontal-relative:page;mso-position-vertical-relative:paragraph;z-index:252129280" type="#_x0000_t202" filled="false" stroked="false">
            <v:textbox inset="0,0,0,0" style="layout-flow:vertical">
              <w:txbxContent>
                <w:p>
                  <w:pPr>
                    <w:spacing w:before="27"/>
                    <w:ind w:left="20" w:right="0" w:firstLine="0"/>
                    <w:jc w:val="left"/>
                    <w:rPr>
                      <w:sz w:val="39"/>
                    </w:rPr>
                  </w:pPr>
                  <w:r>
                    <w:rPr>
                      <w:color w:val="FFFFFF"/>
                      <w:w w:val="115"/>
                      <w:sz w:val="39"/>
                    </w:rPr>
                    <w:t>Mission</w:t>
                  </w:r>
                </w:p>
              </w:txbxContent>
            </v:textbox>
            <w10:wrap type="none"/>
          </v:shape>
        </w:pict>
      </w:r>
      <w:r>
        <w:rPr>
          <w:color w:val="7EAABF"/>
          <w:w w:val="110"/>
          <w:sz w:val="26"/>
        </w:rPr>
        <w:t>Mission</w:t>
      </w:r>
    </w:p>
    <w:p>
      <w:pPr>
        <w:pStyle w:val="ListParagraph"/>
        <w:numPr>
          <w:ilvl w:val="1"/>
          <w:numId w:val="204"/>
        </w:numPr>
        <w:tabs>
          <w:tab w:pos="2024" w:val="left" w:leader="none"/>
          <w:tab w:pos="2025" w:val="left" w:leader="none"/>
        </w:tabs>
        <w:spacing w:line="235" w:lineRule="auto" w:before="222" w:after="0"/>
        <w:ind w:left="1344" w:right="1998" w:firstLine="0"/>
        <w:jc w:val="left"/>
        <w:rPr>
          <w:sz w:val="20"/>
        </w:rPr>
      </w:pPr>
      <w:r>
        <w:rPr>
          <w:w w:val="120"/>
          <w:sz w:val="20"/>
        </w:rPr>
        <w:t>The forum is still in its early days: it held its first meeting in </w:t>
      </w:r>
      <w:r>
        <w:rPr>
          <w:spacing w:val="2"/>
          <w:w w:val="120"/>
          <w:sz w:val="20"/>
        </w:rPr>
        <w:t>February </w:t>
      </w:r>
      <w:r>
        <w:rPr>
          <w:spacing w:val="-7"/>
          <w:w w:val="120"/>
          <w:sz w:val="20"/>
        </w:rPr>
        <w:t>2016 </w:t>
      </w:r>
      <w:r>
        <w:rPr>
          <w:w w:val="120"/>
          <w:sz w:val="20"/>
        </w:rPr>
        <w:t>and will meet again later in </w:t>
      </w:r>
      <w:r>
        <w:rPr>
          <w:spacing w:val="-3"/>
          <w:w w:val="120"/>
          <w:sz w:val="20"/>
        </w:rPr>
        <w:t>July. </w:t>
      </w:r>
      <w:r>
        <w:rPr>
          <w:w w:val="120"/>
          <w:sz w:val="20"/>
        </w:rPr>
        <w:t>At the moment it is developing internet-based presentations and online resources, and in conjunction with the faith and order committee</w:t>
      </w:r>
      <w:r>
        <w:rPr>
          <w:spacing w:val="8"/>
          <w:w w:val="120"/>
          <w:sz w:val="20"/>
        </w:rPr>
        <w:t> </w:t>
      </w:r>
      <w:r>
        <w:rPr>
          <w:w w:val="120"/>
          <w:sz w:val="20"/>
        </w:rPr>
        <w:t>and</w:t>
      </w:r>
      <w:r>
        <w:rPr>
          <w:spacing w:val="9"/>
          <w:w w:val="120"/>
          <w:sz w:val="20"/>
        </w:rPr>
        <w:t> </w:t>
      </w:r>
      <w:r>
        <w:rPr>
          <w:w w:val="120"/>
          <w:sz w:val="20"/>
        </w:rPr>
        <w:t>the</w:t>
      </w:r>
      <w:r>
        <w:rPr>
          <w:spacing w:val="9"/>
          <w:w w:val="120"/>
          <w:sz w:val="20"/>
        </w:rPr>
        <w:t> </w:t>
      </w:r>
      <w:r>
        <w:rPr>
          <w:w w:val="120"/>
          <w:sz w:val="20"/>
        </w:rPr>
        <w:t>mission</w:t>
      </w:r>
      <w:r>
        <w:rPr>
          <w:spacing w:val="9"/>
          <w:w w:val="120"/>
          <w:sz w:val="20"/>
        </w:rPr>
        <w:t> </w:t>
      </w:r>
      <w:r>
        <w:rPr>
          <w:w w:val="120"/>
          <w:sz w:val="20"/>
        </w:rPr>
        <w:t>committee</w:t>
      </w:r>
      <w:r>
        <w:rPr>
          <w:spacing w:val="9"/>
          <w:w w:val="120"/>
          <w:sz w:val="20"/>
        </w:rPr>
        <w:t> </w:t>
      </w:r>
      <w:r>
        <w:rPr>
          <w:w w:val="120"/>
          <w:sz w:val="20"/>
        </w:rPr>
        <w:t>is</w:t>
      </w:r>
      <w:r>
        <w:rPr>
          <w:spacing w:val="9"/>
          <w:w w:val="120"/>
          <w:sz w:val="20"/>
        </w:rPr>
        <w:t> </w:t>
      </w:r>
      <w:r>
        <w:rPr>
          <w:w w:val="120"/>
          <w:sz w:val="20"/>
        </w:rPr>
        <w:t>exploring</w:t>
      </w:r>
      <w:r>
        <w:rPr>
          <w:spacing w:val="9"/>
          <w:w w:val="120"/>
          <w:sz w:val="20"/>
        </w:rPr>
        <w:t> </w:t>
      </w:r>
      <w:r>
        <w:rPr>
          <w:w w:val="120"/>
          <w:sz w:val="20"/>
        </w:rPr>
        <w:t>of</w:t>
      </w:r>
      <w:r>
        <w:rPr>
          <w:spacing w:val="9"/>
          <w:w w:val="120"/>
          <w:sz w:val="20"/>
        </w:rPr>
        <w:t> </w:t>
      </w:r>
      <w:r>
        <w:rPr>
          <w:w w:val="120"/>
          <w:sz w:val="20"/>
        </w:rPr>
        <w:t>the</w:t>
      </w:r>
      <w:r>
        <w:rPr>
          <w:spacing w:val="9"/>
          <w:w w:val="120"/>
          <w:sz w:val="20"/>
        </w:rPr>
        <w:t> </w:t>
      </w:r>
      <w:r>
        <w:rPr>
          <w:w w:val="120"/>
          <w:sz w:val="20"/>
        </w:rPr>
        <w:t>theology</w:t>
      </w:r>
      <w:r>
        <w:rPr>
          <w:spacing w:val="9"/>
          <w:w w:val="120"/>
          <w:sz w:val="20"/>
        </w:rPr>
        <w:t> </w:t>
      </w:r>
      <w:r>
        <w:rPr>
          <w:w w:val="120"/>
          <w:sz w:val="20"/>
        </w:rPr>
        <w:t>of</w:t>
      </w:r>
      <w:r>
        <w:rPr>
          <w:spacing w:val="9"/>
          <w:w w:val="120"/>
          <w:sz w:val="20"/>
        </w:rPr>
        <w:t> </w:t>
      </w:r>
      <w:r>
        <w:rPr>
          <w:w w:val="120"/>
          <w:sz w:val="20"/>
        </w:rPr>
        <w:t>buildings.</w:t>
      </w:r>
    </w:p>
    <w:p>
      <w:pPr>
        <w:pStyle w:val="BodyText"/>
        <w:spacing w:before="3"/>
        <w:rPr>
          <w:sz w:val="22"/>
        </w:rPr>
      </w:pPr>
    </w:p>
    <w:p>
      <w:pPr>
        <w:spacing w:before="0"/>
        <w:ind w:left="1344" w:right="0" w:firstLine="0"/>
        <w:jc w:val="left"/>
        <w:rPr>
          <w:rFonts w:ascii="Stone Sans II ITC Std Bk"/>
          <w:b/>
          <w:sz w:val="29"/>
        </w:rPr>
      </w:pPr>
      <w:r>
        <w:rPr>
          <w:rFonts w:ascii="Stone Sans II ITC Std Bk"/>
          <w:b/>
          <w:w w:val="110"/>
          <w:sz w:val="29"/>
        </w:rPr>
        <w:t>Global and intercultural ministries</w:t>
      </w:r>
    </w:p>
    <w:p>
      <w:pPr>
        <w:pStyle w:val="Heading2"/>
        <w:spacing w:before="59"/>
        <w:ind w:left="1344"/>
      </w:pPr>
      <w:r>
        <w:rPr>
          <w:w w:val="110"/>
        </w:rPr>
        <w:t>Changing work landscape</w:t>
      </w:r>
    </w:p>
    <w:p>
      <w:pPr>
        <w:pStyle w:val="ListParagraph"/>
        <w:numPr>
          <w:ilvl w:val="1"/>
          <w:numId w:val="205"/>
        </w:numPr>
        <w:tabs>
          <w:tab w:pos="2024" w:val="left" w:leader="none"/>
          <w:tab w:pos="2025" w:val="left" w:leader="none"/>
        </w:tabs>
        <w:spacing w:line="235" w:lineRule="auto" w:before="82" w:after="0"/>
        <w:ind w:left="1344" w:right="1461" w:firstLine="0"/>
        <w:jc w:val="left"/>
        <w:rPr>
          <w:sz w:val="20"/>
        </w:rPr>
      </w:pPr>
      <w:r>
        <w:rPr>
          <w:w w:val="120"/>
          <w:sz w:val="20"/>
        </w:rPr>
        <w:t>A significant change in the mission department has been the merging of the work of world church relations and racial justice and intercultural ministry. Reviews of both staff secretary posts underscored the connections and recommended the new directions. With the movement of the Revd Jane Rowell </w:t>
      </w:r>
      <w:r>
        <w:rPr>
          <w:spacing w:val="-3"/>
          <w:w w:val="120"/>
          <w:sz w:val="20"/>
        </w:rPr>
        <w:t>(then </w:t>
      </w:r>
      <w:r>
        <w:rPr>
          <w:w w:val="120"/>
          <w:sz w:val="20"/>
        </w:rPr>
        <w:t>Secretary for World Church Relations) into a new post, Mission Council in November </w:t>
      </w:r>
      <w:r>
        <w:rPr>
          <w:spacing w:val="-7"/>
          <w:w w:val="120"/>
          <w:sz w:val="20"/>
        </w:rPr>
        <w:t>2015 </w:t>
      </w:r>
      <w:r>
        <w:rPr>
          <w:w w:val="120"/>
          <w:sz w:val="20"/>
        </w:rPr>
        <w:t>agreed that the work be reconfigured as global and intercultural ministries. The Secretary for Racial Justice and Intercultural Ministry, the Revd Dr Michael Jagessar was reappointed as Secretary for Global and Intercultural Ministries and a new post of Programme Officer for Global and Intercultural Ministries was set up. From a good field of</w:t>
      </w:r>
      <w:r>
        <w:rPr>
          <w:spacing w:val="27"/>
          <w:w w:val="120"/>
          <w:sz w:val="20"/>
        </w:rPr>
        <w:t> </w:t>
      </w:r>
      <w:r>
        <w:rPr>
          <w:w w:val="120"/>
          <w:sz w:val="20"/>
        </w:rPr>
        <w:t>applicants</w:t>
      </w:r>
    </w:p>
    <w:p>
      <w:pPr>
        <w:pStyle w:val="BodyText"/>
        <w:spacing w:line="235" w:lineRule="auto" w:before="7"/>
        <w:ind w:left="1344" w:right="1478"/>
      </w:pPr>
      <w:r>
        <w:rPr>
          <w:w w:val="120"/>
        </w:rPr>
        <w:t>Eve Parker was appointed in this new role. This report is written in the context of this change and under the new focus of global and intercultural ministries.</w:t>
      </w:r>
    </w:p>
    <w:p>
      <w:pPr>
        <w:pStyle w:val="BodyText"/>
        <w:spacing w:before="11"/>
        <w:rPr>
          <w:sz w:val="18"/>
        </w:rPr>
      </w:pPr>
    </w:p>
    <w:p>
      <w:pPr>
        <w:pStyle w:val="Heading2"/>
        <w:ind w:left="1344"/>
      </w:pPr>
      <w:r>
        <w:rPr>
          <w:w w:val="110"/>
        </w:rPr>
        <w:t>Strategic Developments</w:t>
      </w:r>
    </w:p>
    <w:p>
      <w:pPr>
        <w:pStyle w:val="ListParagraph"/>
        <w:numPr>
          <w:ilvl w:val="1"/>
          <w:numId w:val="205"/>
        </w:numPr>
        <w:tabs>
          <w:tab w:pos="2024" w:val="left" w:leader="none"/>
          <w:tab w:pos="2025" w:val="left" w:leader="none"/>
        </w:tabs>
        <w:spacing w:line="235" w:lineRule="auto" w:before="83" w:after="0"/>
        <w:ind w:left="1344" w:right="1866" w:firstLine="0"/>
        <w:jc w:val="left"/>
        <w:rPr>
          <w:sz w:val="20"/>
        </w:rPr>
      </w:pPr>
      <w:r>
        <w:rPr>
          <w:w w:val="120"/>
          <w:sz w:val="20"/>
        </w:rPr>
        <w:t>The reconfiguring means a greater focus on strategic work and clearer, more relevant policies as the two areas of work integrate, while maintaining some distinctiveness of each. Current and ongoing work</w:t>
      </w:r>
      <w:r>
        <w:rPr>
          <w:spacing w:val="26"/>
          <w:w w:val="120"/>
          <w:sz w:val="20"/>
        </w:rPr>
        <w:t> </w:t>
      </w:r>
      <w:r>
        <w:rPr>
          <w:w w:val="120"/>
          <w:sz w:val="20"/>
        </w:rPr>
        <w:t>includes:</w:t>
      </w:r>
    </w:p>
    <w:p>
      <w:pPr>
        <w:pStyle w:val="BodyText"/>
        <w:spacing w:before="10"/>
        <w:rPr>
          <w:sz w:val="19"/>
        </w:rPr>
      </w:pPr>
    </w:p>
    <w:p>
      <w:pPr>
        <w:pStyle w:val="ListParagraph"/>
        <w:numPr>
          <w:ilvl w:val="2"/>
          <w:numId w:val="205"/>
        </w:numPr>
        <w:tabs>
          <w:tab w:pos="2025" w:val="left" w:leader="none"/>
        </w:tabs>
        <w:spacing w:line="235" w:lineRule="auto" w:before="0" w:after="0"/>
        <w:ind w:left="1344" w:right="1369" w:firstLine="0"/>
        <w:jc w:val="left"/>
        <w:rPr>
          <w:sz w:val="20"/>
        </w:rPr>
      </w:pPr>
      <w:r>
        <w:rPr>
          <w:w w:val="120"/>
          <w:sz w:val="20"/>
        </w:rPr>
        <w:t>An agreed memorandum of understanding (MOU) between the Presbyterian of Korea and the United Reformed Church. With the growing number of newer migrant Christian communities into the UK (for instance Taiwanese and Mandarin speaking Chinese, a </w:t>
      </w:r>
      <w:r>
        <w:rPr>
          <w:spacing w:val="3"/>
          <w:w w:val="120"/>
          <w:sz w:val="20"/>
        </w:rPr>
        <w:t>raft </w:t>
      </w:r>
      <w:r>
        <w:rPr>
          <w:w w:val="120"/>
          <w:sz w:val="20"/>
        </w:rPr>
        <w:t>of churches from the Reformed family from Africa, South America and </w:t>
      </w:r>
      <w:r>
        <w:rPr>
          <w:spacing w:val="-4"/>
          <w:w w:val="120"/>
          <w:sz w:val="20"/>
        </w:rPr>
        <w:t>Europe), </w:t>
      </w:r>
      <w:r>
        <w:rPr>
          <w:w w:val="120"/>
          <w:sz w:val="20"/>
        </w:rPr>
        <w:t>this MOU will serve as a model to</w:t>
      </w:r>
      <w:r>
        <w:rPr>
          <w:spacing w:val="24"/>
          <w:w w:val="120"/>
          <w:sz w:val="20"/>
        </w:rPr>
        <w:t> </w:t>
      </w:r>
      <w:r>
        <w:rPr>
          <w:w w:val="120"/>
          <w:sz w:val="20"/>
        </w:rPr>
        <w:t>follow.</w:t>
      </w:r>
    </w:p>
    <w:p>
      <w:pPr>
        <w:pStyle w:val="BodyText"/>
        <w:spacing w:before="11"/>
        <w:rPr>
          <w:sz w:val="19"/>
        </w:rPr>
      </w:pPr>
    </w:p>
    <w:p>
      <w:pPr>
        <w:pStyle w:val="ListParagraph"/>
        <w:numPr>
          <w:ilvl w:val="2"/>
          <w:numId w:val="205"/>
        </w:numPr>
        <w:tabs>
          <w:tab w:pos="2025" w:val="left" w:leader="none"/>
        </w:tabs>
        <w:spacing w:line="235" w:lineRule="auto" w:before="1" w:after="0"/>
        <w:ind w:left="1344" w:right="1568" w:firstLine="0"/>
        <w:jc w:val="left"/>
        <w:rPr>
          <w:sz w:val="20"/>
        </w:rPr>
      </w:pPr>
      <w:r>
        <w:rPr>
          <w:w w:val="120"/>
          <w:sz w:val="20"/>
        </w:rPr>
        <w:t>Developing a new shape to the ministry among Taiwanese and Mandarin speaking students and more long-term based families in the </w:t>
      </w:r>
      <w:r>
        <w:rPr>
          <w:spacing w:val="2"/>
          <w:w w:val="120"/>
          <w:sz w:val="20"/>
        </w:rPr>
        <w:t>UK. </w:t>
      </w:r>
      <w:r>
        <w:rPr>
          <w:w w:val="120"/>
          <w:sz w:val="20"/>
        </w:rPr>
        <w:t>Current direction of travel</w:t>
      </w:r>
      <w:r>
        <w:rPr>
          <w:spacing w:val="5"/>
          <w:w w:val="120"/>
          <w:sz w:val="20"/>
        </w:rPr>
        <w:t> </w:t>
      </w:r>
      <w:r>
        <w:rPr>
          <w:w w:val="120"/>
          <w:sz w:val="20"/>
        </w:rPr>
        <w:t>suggests</w:t>
      </w:r>
      <w:r>
        <w:rPr>
          <w:spacing w:val="6"/>
          <w:w w:val="120"/>
          <w:sz w:val="20"/>
        </w:rPr>
        <w:t> </w:t>
      </w:r>
      <w:r>
        <w:rPr>
          <w:w w:val="120"/>
          <w:sz w:val="20"/>
        </w:rPr>
        <w:t>a</w:t>
      </w:r>
      <w:r>
        <w:rPr>
          <w:spacing w:val="6"/>
          <w:w w:val="120"/>
          <w:sz w:val="20"/>
        </w:rPr>
        <w:t> </w:t>
      </w:r>
      <w:r>
        <w:rPr>
          <w:w w:val="120"/>
          <w:sz w:val="20"/>
        </w:rPr>
        <w:t>mission</w:t>
      </w:r>
      <w:r>
        <w:rPr>
          <w:spacing w:val="6"/>
          <w:w w:val="120"/>
          <w:sz w:val="20"/>
        </w:rPr>
        <w:t> </w:t>
      </w:r>
      <w:r>
        <w:rPr>
          <w:w w:val="120"/>
          <w:sz w:val="20"/>
        </w:rPr>
        <w:t>project</w:t>
      </w:r>
      <w:r>
        <w:rPr>
          <w:spacing w:val="6"/>
          <w:w w:val="120"/>
          <w:sz w:val="20"/>
        </w:rPr>
        <w:t> </w:t>
      </w:r>
      <w:r>
        <w:rPr>
          <w:w w:val="120"/>
          <w:sz w:val="20"/>
        </w:rPr>
        <w:t>that</w:t>
      </w:r>
      <w:r>
        <w:rPr>
          <w:spacing w:val="6"/>
          <w:w w:val="120"/>
          <w:sz w:val="20"/>
        </w:rPr>
        <w:t> </w:t>
      </w:r>
      <w:r>
        <w:rPr>
          <w:w w:val="120"/>
          <w:sz w:val="20"/>
        </w:rPr>
        <w:t>will</w:t>
      </w:r>
      <w:r>
        <w:rPr>
          <w:spacing w:val="6"/>
          <w:w w:val="120"/>
          <w:sz w:val="20"/>
        </w:rPr>
        <w:t> </w:t>
      </w:r>
      <w:r>
        <w:rPr>
          <w:w w:val="120"/>
          <w:sz w:val="20"/>
        </w:rPr>
        <w:t>be</w:t>
      </w:r>
      <w:r>
        <w:rPr>
          <w:spacing w:val="6"/>
          <w:w w:val="120"/>
          <w:sz w:val="20"/>
        </w:rPr>
        <w:t> </w:t>
      </w:r>
      <w:r>
        <w:rPr>
          <w:w w:val="120"/>
          <w:sz w:val="20"/>
        </w:rPr>
        <w:t>based</w:t>
      </w:r>
      <w:r>
        <w:rPr>
          <w:spacing w:val="6"/>
          <w:w w:val="120"/>
          <w:sz w:val="20"/>
        </w:rPr>
        <w:t> </w:t>
      </w:r>
      <w:r>
        <w:rPr>
          <w:w w:val="120"/>
          <w:sz w:val="20"/>
        </w:rPr>
        <w:t>at</w:t>
      </w:r>
      <w:r>
        <w:rPr>
          <w:spacing w:val="6"/>
          <w:w w:val="120"/>
          <w:sz w:val="20"/>
        </w:rPr>
        <w:t> </w:t>
      </w:r>
      <w:r>
        <w:rPr>
          <w:w w:val="120"/>
          <w:sz w:val="20"/>
        </w:rPr>
        <w:t>Lumen</w:t>
      </w:r>
      <w:r>
        <w:rPr>
          <w:spacing w:val="6"/>
          <w:w w:val="120"/>
          <w:sz w:val="20"/>
        </w:rPr>
        <w:t> </w:t>
      </w:r>
      <w:r>
        <w:rPr>
          <w:w w:val="120"/>
          <w:sz w:val="20"/>
        </w:rPr>
        <w:t>URC</w:t>
      </w:r>
      <w:r>
        <w:rPr>
          <w:spacing w:val="6"/>
          <w:w w:val="120"/>
          <w:sz w:val="20"/>
        </w:rPr>
        <w:t> </w:t>
      </w:r>
      <w:r>
        <w:rPr>
          <w:spacing w:val="-3"/>
          <w:w w:val="120"/>
          <w:sz w:val="20"/>
        </w:rPr>
        <w:t>(London).</w:t>
      </w:r>
    </w:p>
    <w:p>
      <w:pPr>
        <w:pStyle w:val="BodyText"/>
        <w:spacing w:before="10"/>
        <w:rPr>
          <w:sz w:val="19"/>
        </w:rPr>
      </w:pPr>
    </w:p>
    <w:p>
      <w:pPr>
        <w:pStyle w:val="ListParagraph"/>
        <w:numPr>
          <w:ilvl w:val="2"/>
          <w:numId w:val="205"/>
        </w:numPr>
        <w:tabs>
          <w:tab w:pos="2025" w:val="left" w:leader="none"/>
        </w:tabs>
        <w:spacing w:line="235" w:lineRule="auto" w:before="0" w:after="0"/>
        <w:ind w:left="1344" w:right="1848" w:firstLine="0"/>
        <w:jc w:val="left"/>
        <w:rPr>
          <w:sz w:val="20"/>
        </w:rPr>
      </w:pPr>
      <w:r>
        <w:rPr>
          <w:w w:val="125"/>
          <w:sz w:val="20"/>
        </w:rPr>
        <w:t>Redrafted global Belonging to the World Church (BWC) policies including BWC grants, vision2020 grants, and policies related to travel, risk management and</w:t>
      </w:r>
      <w:r>
        <w:rPr>
          <w:spacing w:val="-17"/>
          <w:w w:val="125"/>
          <w:sz w:val="20"/>
        </w:rPr>
        <w:t> </w:t>
      </w:r>
      <w:r>
        <w:rPr>
          <w:w w:val="125"/>
          <w:sz w:val="20"/>
        </w:rPr>
        <w:t>expenses,</w:t>
      </w:r>
      <w:r>
        <w:rPr>
          <w:spacing w:val="-16"/>
          <w:w w:val="125"/>
          <w:sz w:val="20"/>
        </w:rPr>
        <w:t> </w:t>
      </w:r>
      <w:r>
        <w:rPr>
          <w:w w:val="125"/>
          <w:sz w:val="20"/>
        </w:rPr>
        <w:t>synod</w:t>
      </w:r>
      <w:r>
        <w:rPr>
          <w:spacing w:val="-17"/>
          <w:w w:val="125"/>
          <w:sz w:val="20"/>
        </w:rPr>
        <w:t> </w:t>
      </w:r>
      <w:r>
        <w:rPr>
          <w:w w:val="125"/>
          <w:sz w:val="20"/>
        </w:rPr>
        <w:t>global</w:t>
      </w:r>
      <w:r>
        <w:rPr>
          <w:spacing w:val="-16"/>
          <w:w w:val="125"/>
          <w:sz w:val="20"/>
        </w:rPr>
        <w:t> </w:t>
      </w:r>
      <w:r>
        <w:rPr>
          <w:w w:val="125"/>
          <w:sz w:val="20"/>
        </w:rPr>
        <w:t>partnership</w:t>
      </w:r>
      <w:r>
        <w:rPr>
          <w:spacing w:val="-16"/>
          <w:w w:val="125"/>
          <w:sz w:val="20"/>
        </w:rPr>
        <w:t> </w:t>
      </w:r>
      <w:r>
        <w:rPr>
          <w:w w:val="125"/>
          <w:sz w:val="20"/>
        </w:rPr>
        <w:t>principles,</w:t>
      </w:r>
      <w:r>
        <w:rPr>
          <w:spacing w:val="-17"/>
          <w:w w:val="125"/>
          <w:sz w:val="20"/>
        </w:rPr>
        <w:t> </w:t>
      </w:r>
      <w:r>
        <w:rPr>
          <w:w w:val="125"/>
          <w:sz w:val="20"/>
        </w:rPr>
        <w:t>congregation</w:t>
      </w:r>
      <w:r>
        <w:rPr>
          <w:spacing w:val="-16"/>
          <w:w w:val="125"/>
          <w:sz w:val="20"/>
        </w:rPr>
        <w:t> </w:t>
      </w:r>
      <w:r>
        <w:rPr>
          <w:w w:val="125"/>
          <w:sz w:val="20"/>
        </w:rPr>
        <w:t>to</w:t>
      </w:r>
      <w:r>
        <w:rPr>
          <w:spacing w:val="-16"/>
          <w:w w:val="125"/>
          <w:sz w:val="20"/>
        </w:rPr>
        <w:t> </w:t>
      </w:r>
      <w:r>
        <w:rPr>
          <w:w w:val="125"/>
          <w:sz w:val="20"/>
        </w:rPr>
        <w:t>congregation</w:t>
      </w:r>
    </w:p>
    <w:p>
      <w:pPr>
        <w:pStyle w:val="BodyText"/>
        <w:spacing w:line="235" w:lineRule="auto" w:before="2"/>
        <w:ind w:left="1344" w:right="1217"/>
      </w:pPr>
      <w:r>
        <w:rPr>
          <w:w w:val="120"/>
        </w:rPr>
        <w:t>partnerships, and good practices on briefing and debriefing in relation to visits and exchanges. With regard to the latter, a whole new approach to visits is being developed that is aimed at enabling wider, intentional and diverse access to these visits from across the synods.</w:t>
      </w:r>
    </w:p>
    <w:p>
      <w:pPr>
        <w:pStyle w:val="BodyText"/>
        <w:spacing w:before="11"/>
        <w:rPr>
          <w:sz w:val="19"/>
        </w:rPr>
      </w:pPr>
    </w:p>
    <w:p>
      <w:pPr>
        <w:pStyle w:val="ListParagraph"/>
        <w:numPr>
          <w:ilvl w:val="2"/>
          <w:numId w:val="205"/>
        </w:numPr>
        <w:tabs>
          <w:tab w:pos="2025" w:val="left" w:leader="none"/>
        </w:tabs>
        <w:spacing w:line="235" w:lineRule="auto" w:before="0" w:after="0"/>
        <w:ind w:left="1344" w:right="1841" w:firstLine="0"/>
        <w:jc w:val="left"/>
        <w:rPr>
          <w:sz w:val="20"/>
        </w:rPr>
      </w:pPr>
      <w:r>
        <w:rPr>
          <w:w w:val="120"/>
          <w:sz w:val="20"/>
        </w:rPr>
        <w:t>Other intercultural strategic work including working towards consolidating intercultural gatherings (working across various networks), more intentional contributions to intercultural awareness at the various levels/councils of the URC through its policies </w:t>
      </w:r>
      <w:r>
        <w:rPr>
          <w:spacing w:val="-3"/>
          <w:w w:val="120"/>
          <w:sz w:val="20"/>
        </w:rPr>
        <w:t>(already </w:t>
      </w:r>
      <w:r>
        <w:rPr>
          <w:w w:val="120"/>
          <w:sz w:val="20"/>
        </w:rPr>
        <w:t>working closely with nominations and the equalities </w:t>
      </w:r>
      <w:r>
        <w:rPr>
          <w:spacing w:val="-3"/>
          <w:w w:val="120"/>
          <w:sz w:val="20"/>
        </w:rPr>
        <w:t>committees).</w:t>
      </w:r>
    </w:p>
    <w:p>
      <w:pPr>
        <w:pStyle w:val="BodyText"/>
      </w:pPr>
    </w:p>
    <w:p>
      <w:pPr>
        <w:pStyle w:val="ListParagraph"/>
        <w:numPr>
          <w:ilvl w:val="2"/>
          <w:numId w:val="205"/>
        </w:numPr>
        <w:tabs>
          <w:tab w:pos="2025" w:val="left" w:leader="none"/>
        </w:tabs>
        <w:spacing w:line="235" w:lineRule="auto" w:before="0" w:after="0"/>
        <w:ind w:left="1344" w:right="2047" w:firstLine="0"/>
        <w:jc w:val="left"/>
        <w:rPr>
          <w:sz w:val="20"/>
        </w:rPr>
      </w:pPr>
      <w:r>
        <w:rPr>
          <w:w w:val="120"/>
          <w:sz w:val="20"/>
        </w:rPr>
        <w:t>A significant achievement has been the development of a joint webpage, facebook page and twitter account. This development can be viewed here:</w:t>
      </w:r>
      <w:hyperlink r:id="rId462">
        <w:r>
          <w:rPr>
            <w:color w:val="006AB3"/>
            <w:w w:val="120"/>
            <w:sz w:val="20"/>
          </w:rPr>
          <w:t> www.urc.org.uk/mission/global-and-intercultural-ministries.html</w:t>
        </w:r>
      </w:hyperlink>
    </w:p>
    <w:p>
      <w:pPr>
        <w:pStyle w:val="BodyText"/>
        <w:spacing w:before="12"/>
        <w:rPr>
          <w:sz w:val="18"/>
        </w:rPr>
      </w:pPr>
    </w:p>
    <w:p>
      <w:pPr>
        <w:pStyle w:val="Heading2"/>
        <w:ind w:left="1344"/>
      </w:pPr>
      <w:r>
        <w:rPr>
          <w:w w:val="110"/>
        </w:rPr>
        <w:t>Resourcing</w:t>
      </w:r>
    </w:p>
    <w:p>
      <w:pPr>
        <w:pStyle w:val="ListParagraph"/>
        <w:numPr>
          <w:ilvl w:val="1"/>
          <w:numId w:val="205"/>
        </w:numPr>
        <w:tabs>
          <w:tab w:pos="2024" w:val="left" w:leader="none"/>
          <w:tab w:pos="2025" w:val="left" w:leader="none"/>
        </w:tabs>
        <w:spacing w:line="235" w:lineRule="auto" w:before="82" w:after="0"/>
        <w:ind w:left="1344" w:right="1430" w:firstLine="0"/>
        <w:jc w:val="left"/>
        <w:rPr>
          <w:sz w:val="20"/>
        </w:rPr>
      </w:pPr>
      <w:r>
        <w:rPr>
          <w:w w:val="120"/>
          <w:sz w:val="20"/>
        </w:rPr>
        <w:t>Working collaboratively with the urban URC network, the equalities committee and a number of gifted URC writers and educators, we have developed new resources for churches. These resources, available online, are intended to resource diversity awareness and nurture intercultural</w:t>
      </w:r>
      <w:r>
        <w:rPr>
          <w:spacing w:val="6"/>
          <w:w w:val="120"/>
          <w:sz w:val="20"/>
        </w:rPr>
        <w:t> </w:t>
      </w:r>
      <w:r>
        <w:rPr>
          <w:w w:val="120"/>
          <w:sz w:val="20"/>
        </w:rPr>
        <w:t>competencies.</w:t>
      </w:r>
    </w:p>
    <w:p>
      <w:pPr>
        <w:spacing w:after="0" w:line="235" w:lineRule="auto"/>
        <w:jc w:val="left"/>
        <w:rPr>
          <w:sz w:val="20"/>
        </w:rPr>
        <w:sectPr>
          <w:headerReference w:type="default" r:id="rId461"/>
          <w:pgSz w:w="11910" w:h="16840"/>
          <w:pgMar w:header="0" w:footer="647" w:top="0" w:bottom="840" w:left="640" w:right="0"/>
        </w:sectPr>
      </w:pPr>
    </w:p>
    <w:p>
      <w:pPr>
        <w:pStyle w:val="BodyText"/>
      </w:pPr>
      <w:r>
        <w:rPr/>
        <w:drawing>
          <wp:anchor distT="0" distB="0" distL="0" distR="0" allowOverlap="1" layoutInCell="1" locked="0" behindDoc="1" simplePos="0" relativeHeight="235676672">
            <wp:simplePos x="0" y="0"/>
            <wp:positionH relativeFrom="page">
              <wp:posOffset>0</wp:posOffset>
            </wp:positionH>
            <wp:positionV relativeFrom="page">
              <wp:posOffset>0</wp:posOffset>
            </wp:positionV>
            <wp:extent cx="594067" cy="10692003"/>
            <wp:effectExtent l="0" t="0" r="0" b="0"/>
            <wp:wrapNone/>
            <wp:docPr id="333" name="image67.png"/>
            <wp:cNvGraphicFramePr>
              <a:graphicFrameLocks noChangeAspect="1"/>
            </wp:cNvGraphicFramePr>
            <a:graphic>
              <a:graphicData uri="http://schemas.openxmlformats.org/drawingml/2006/picture">
                <pic:pic>
                  <pic:nvPicPr>
                    <pic:cNvPr id="334" name="image67.png"/>
                    <pic:cNvPicPr/>
                  </pic:nvPicPr>
                  <pic:blipFill>
                    <a:blip r:embed="rId184" cstate="print"/>
                    <a:stretch>
                      <a:fillRect/>
                    </a:stretch>
                  </pic:blipFill>
                  <pic:spPr>
                    <a:xfrm>
                      <a:off x="0" y="0"/>
                      <a:ext cx="594067" cy="10692003"/>
                    </a:xfrm>
                    <a:prstGeom prst="rect">
                      <a:avLst/>
                    </a:prstGeom>
                  </pic:spPr>
                </pic:pic>
              </a:graphicData>
            </a:graphic>
          </wp:anchor>
        </w:drawing>
      </w:r>
      <w:r>
        <w:rPr/>
        <w:pict>
          <v:shape style="position:absolute;margin-left:20.519100pt;margin-top:48.890015pt;width:25.9pt;height:78.850pt;mso-position-horizontal-relative:page;mso-position-vertical-relative:page;z-index:252131328" type="#_x0000_t202" filled="false" stroked="false">
            <v:textbox inset="0,0,0,0" style="layout-flow:vertical">
              <w:txbxContent>
                <w:p>
                  <w:pPr>
                    <w:spacing w:before="27"/>
                    <w:ind w:left="20" w:right="0" w:firstLine="0"/>
                    <w:jc w:val="left"/>
                    <w:rPr>
                      <w:sz w:val="39"/>
                    </w:rPr>
                  </w:pPr>
                  <w:r>
                    <w:rPr>
                      <w:color w:val="FFFFFF"/>
                      <w:w w:val="115"/>
                      <w:sz w:val="39"/>
                    </w:rPr>
                    <w:t>Mission</w:t>
                  </w:r>
                </w:p>
              </w:txbxContent>
            </v:textbox>
            <w10:wrap type="none"/>
          </v:shape>
        </w:pict>
      </w:r>
    </w:p>
    <w:p>
      <w:pPr>
        <w:pStyle w:val="BodyText"/>
        <w:spacing w:before="7"/>
        <w:rPr>
          <w:sz w:val="21"/>
        </w:rPr>
      </w:pPr>
    </w:p>
    <w:p>
      <w:pPr>
        <w:spacing w:before="106"/>
        <w:ind w:left="607" w:right="0" w:firstLine="0"/>
        <w:jc w:val="left"/>
        <w:rPr>
          <w:sz w:val="26"/>
        </w:rPr>
      </w:pPr>
      <w:r>
        <w:rPr>
          <w:color w:val="7EAABF"/>
          <w:w w:val="115"/>
          <w:sz w:val="26"/>
        </w:rPr>
        <w:t>Mission</w:t>
      </w:r>
    </w:p>
    <w:p>
      <w:pPr>
        <w:pStyle w:val="ListParagraph"/>
        <w:numPr>
          <w:ilvl w:val="1"/>
          <w:numId w:val="205"/>
        </w:numPr>
        <w:tabs>
          <w:tab w:pos="1287" w:val="left" w:leader="none"/>
          <w:tab w:pos="1288" w:val="left" w:leader="none"/>
        </w:tabs>
        <w:spacing w:line="235" w:lineRule="auto" w:before="222" w:after="0"/>
        <w:ind w:left="607" w:right="2000" w:firstLine="0"/>
        <w:jc w:val="left"/>
        <w:rPr>
          <w:sz w:val="20"/>
        </w:rPr>
      </w:pPr>
      <w:r>
        <w:rPr>
          <w:w w:val="120"/>
          <w:sz w:val="20"/>
        </w:rPr>
        <w:t>Better Hosting: a significant feature of church life in the UK is the number of places where a church shares its premises with another worshipping congregation.   With new migrant communities this pattern is growing exponentially. Research by racial justice and intercultural ministry (RJiM) and the urban URC network reveals that, in  spite of the challenges related to shared worship spaces, there are potentially exciting opportunities for partnership in mission and ministry. </w:t>
      </w:r>
      <w:r>
        <w:rPr>
          <w:spacing w:val="-7"/>
          <w:w w:val="120"/>
          <w:sz w:val="20"/>
        </w:rPr>
        <w:t>To </w:t>
      </w:r>
      <w:r>
        <w:rPr>
          <w:w w:val="120"/>
          <w:sz w:val="20"/>
        </w:rPr>
        <w:t>this end, RJiM and the urban URC network have developed a handbook (</w:t>
      </w:r>
      <w:r>
        <w:rPr>
          <w:i/>
          <w:w w:val="120"/>
          <w:sz w:val="20"/>
        </w:rPr>
        <w:t>Better Church Hosting</w:t>
      </w:r>
      <w:r>
        <w:rPr>
          <w:w w:val="120"/>
          <w:sz w:val="20"/>
        </w:rPr>
        <w:t>, </w:t>
      </w:r>
      <w:r>
        <w:rPr>
          <w:spacing w:val="-8"/>
          <w:w w:val="120"/>
          <w:sz w:val="20"/>
        </w:rPr>
        <w:t>2014) </w:t>
      </w:r>
      <w:r>
        <w:rPr>
          <w:w w:val="120"/>
          <w:sz w:val="20"/>
        </w:rPr>
        <w:t>to help local congregations to develop this missional</w:t>
      </w:r>
      <w:r>
        <w:rPr>
          <w:spacing w:val="11"/>
          <w:w w:val="120"/>
          <w:sz w:val="20"/>
        </w:rPr>
        <w:t> </w:t>
      </w:r>
      <w:r>
        <w:rPr>
          <w:w w:val="120"/>
          <w:sz w:val="20"/>
        </w:rPr>
        <w:t>potential.</w:t>
      </w:r>
    </w:p>
    <w:p>
      <w:pPr>
        <w:pStyle w:val="BodyText"/>
        <w:spacing w:before="1"/>
      </w:pPr>
    </w:p>
    <w:p>
      <w:pPr>
        <w:pStyle w:val="ListParagraph"/>
        <w:numPr>
          <w:ilvl w:val="1"/>
          <w:numId w:val="205"/>
        </w:numPr>
        <w:tabs>
          <w:tab w:pos="1287" w:val="left" w:leader="none"/>
          <w:tab w:pos="1288" w:val="left" w:leader="none"/>
        </w:tabs>
        <w:spacing w:line="235" w:lineRule="auto" w:before="0" w:after="0"/>
        <w:ind w:left="607" w:right="2074" w:firstLine="0"/>
        <w:jc w:val="left"/>
        <w:rPr>
          <w:sz w:val="20"/>
        </w:rPr>
      </w:pPr>
      <w:r>
        <w:rPr>
          <w:w w:val="120"/>
          <w:sz w:val="20"/>
        </w:rPr>
        <w:t>‘Sacred conversations on migration’ resource: during </w:t>
      </w:r>
      <w:r>
        <w:rPr>
          <w:spacing w:val="-7"/>
          <w:w w:val="120"/>
          <w:sz w:val="20"/>
        </w:rPr>
        <w:t>2015, </w:t>
      </w:r>
      <w:r>
        <w:rPr>
          <w:w w:val="120"/>
          <w:sz w:val="20"/>
        </w:rPr>
        <w:t>a task group worked on developing resources for sacred conversations on migration aimed at local churches and/or church related groups to facilitate the exploring of issues around moving/ migrating. Working with the theme </w:t>
      </w:r>
      <w:r>
        <w:rPr>
          <w:spacing w:val="-4"/>
          <w:w w:val="120"/>
          <w:sz w:val="20"/>
        </w:rPr>
        <w:t>‘at </w:t>
      </w:r>
      <w:r>
        <w:rPr>
          <w:w w:val="120"/>
          <w:sz w:val="20"/>
        </w:rPr>
        <w:t>home in a strange </w:t>
      </w:r>
      <w:r>
        <w:rPr>
          <w:spacing w:val="-4"/>
          <w:w w:val="120"/>
          <w:sz w:val="20"/>
        </w:rPr>
        <w:t>place’, </w:t>
      </w:r>
      <w:r>
        <w:rPr>
          <w:w w:val="120"/>
          <w:sz w:val="20"/>
        </w:rPr>
        <w:t>it is hoped that the resources will generate a series of conversation points to help people reflect together on their experiences, stories and encounters and create opportunities for churches to connect</w:t>
      </w:r>
      <w:r>
        <w:rPr>
          <w:spacing w:val="9"/>
          <w:w w:val="120"/>
          <w:sz w:val="20"/>
        </w:rPr>
        <w:t> </w:t>
      </w:r>
      <w:r>
        <w:rPr>
          <w:w w:val="120"/>
          <w:sz w:val="20"/>
        </w:rPr>
        <w:t>faith,</w:t>
      </w:r>
      <w:r>
        <w:rPr>
          <w:spacing w:val="10"/>
          <w:w w:val="120"/>
          <w:sz w:val="20"/>
        </w:rPr>
        <w:t> </w:t>
      </w:r>
      <w:r>
        <w:rPr>
          <w:w w:val="120"/>
          <w:sz w:val="20"/>
        </w:rPr>
        <w:t>worship,</w:t>
      </w:r>
      <w:r>
        <w:rPr>
          <w:spacing w:val="10"/>
          <w:w w:val="120"/>
          <w:sz w:val="20"/>
        </w:rPr>
        <w:t> </w:t>
      </w:r>
      <w:r>
        <w:rPr>
          <w:w w:val="120"/>
          <w:sz w:val="20"/>
        </w:rPr>
        <w:t>advocacy,</w:t>
      </w:r>
      <w:r>
        <w:rPr>
          <w:spacing w:val="10"/>
          <w:w w:val="120"/>
          <w:sz w:val="20"/>
        </w:rPr>
        <w:t> </w:t>
      </w:r>
      <w:r>
        <w:rPr>
          <w:w w:val="120"/>
          <w:sz w:val="20"/>
        </w:rPr>
        <w:t>solidarity</w:t>
      </w:r>
      <w:r>
        <w:rPr>
          <w:spacing w:val="10"/>
          <w:w w:val="120"/>
          <w:sz w:val="20"/>
        </w:rPr>
        <w:t> </w:t>
      </w:r>
      <w:r>
        <w:rPr>
          <w:w w:val="120"/>
          <w:sz w:val="20"/>
        </w:rPr>
        <w:t>and</w:t>
      </w:r>
      <w:r>
        <w:rPr>
          <w:spacing w:val="9"/>
          <w:w w:val="120"/>
          <w:sz w:val="20"/>
        </w:rPr>
        <w:t> </w:t>
      </w:r>
      <w:r>
        <w:rPr>
          <w:w w:val="120"/>
          <w:sz w:val="20"/>
        </w:rPr>
        <w:t>practical</w:t>
      </w:r>
      <w:r>
        <w:rPr>
          <w:spacing w:val="10"/>
          <w:w w:val="120"/>
          <w:sz w:val="20"/>
        </w:rPr>
        <w:t> </w:t>
      </w:r>
      <w:r>
        <w:rPr>
          <w:w w:val="120"/>
          <w:sz w:val="20"/>
        </w:rPr>
        <w:t>engagement.</w:t>
      </w:r>
      <w:r>
        <w:rPr>
          <w:spacing w:val="10"/>
          <w:w w:val="120"/>
          <w:sz w:val="20"/>
        </w:rPr>
        <w:t> </w:t>
      </w:r>
      <w:r>
        <w:rPr>
          <w:w w:val="120"/>
          <w:sz w:val="20"/>
        </w:rPr>
        <w:t>It</w:t>
      </w:r>
      <w:r>
        <w:rPr>
          <w:spacing w:val="10"/>
          <w:w w:val="120"/>
          <w:sz w:val="20"/>
        </w:rPr>
        <w:t> </w:t>
      </w:r>
      <w:r>
        <w:rPr>
          <w:w w:val="120"/>
          <w:sz w:val="20"/>
        </w:rPr>
        <w:t>will</w:t>
      </w:r>
      <w:r>
        <w:rPr>
          <w:spacing w:val="10"/>
          <w:w w:val="120"/>
          <w:sz w:val="20"/>
        </w:rPr>
        <w:t> </w:t>
      </w:r>
      <w:r>
        <w:rPr>
          <w:w w:val="120"/>
          <w:sz w:val="20"/>
        </w:rPr>
        <w:t>include</w:t>
      </w:r>
    </w:p>
    <w:p>
      <w:pPr>
        <w:pStyle w:val="BodyText"/>
        <w:spacing w:line="235" w:lineRule="auto" w:before="6"/>
        <w:ind w:left="607" w:right="2231"/>
      </w:pPr>
      <w:r>
        <w:rPr>
          <w:w w:val="120"/>
        </w:rPr>
        <w:t>a thematic introduction, suggestions on conversation methods, short stories, Bible reflections, a board game, a written and filmed short play, video magazine clips, worship materials, links to online ecumenical resources etc. Materials are accessible online at </w:t>
      </w:r>
      <w:hyperlink r:id="rId466">
        <w:r>
          <w:rPr>
            <w:color w:val="006AB3"/>
            <w:w w:val="120"/>
          </w:rPr>
          <w:t>www.urc.org.uk/at-home-mission.html</w:t>
        </w:r>
      </w:hyperlink>
      <w:r>
        <w:rPr>
          <w:w w:val="120"/>
        </w:rPr>
        <w:t>.</w:t>
      </w:r>
    </w:p>
    <w:p>
      <w:pPr>
        <w:pStyle w:val="BodyText"/>
        <w:spacing w:before="10"/>
        <w:rPr>
          <w:sz w:val="19"/>
        </w:rPr>
      </w:pPr>
    </w:p>
    <w:p>
      <w:pPr>
        <w:pStyle w:val="ListParagraph"/>
        <w:numPr>
          <w:ilvl w:val="1"/>
          <w:numId w:val="205"/>
        </w:numPr>
        <w:tabs>
          <w:tab w:pos="1287" w:val="left" w:leader="none"/>
          <w:tab w:pos="1288" w:val="left" w:leader="none"/>
        </w:tabs>
        <w:spacing w:line="235" w:lineRule="auto" w:before="1" w:after="0"/>
        <w:ind w:left="607" w:right="2037" w:firstLine="0"/>
        <w:jc w:val="left"/>
        <w:rPr>
          <w:sz w:val="20"/>
        </w:rPr>
      </w:pPr>
      <w:r>
        <w:rPr>
          <w:w w:val="120"/>
          <w:sz w:val="20"/>
        </w:rPr>
        <w:t>Facilitating global presence and voices: an underused resource is that of our partner Churches. The </w:t>
      </w:r>
      <w:r>
        <w:rPr>
          <w:spacing w:val="-7"/>
          <w:w w:val="120"/>
          <w:sz w:val="20"/>
        </w:rPr>
        <w:t>2015 </w:t>
      </w:r>
      <w:r>
        <w:rPr>
          <w:spacing w:val="2"/>
          <w:w w:val="120"/>
          <w:sz w:val="20"/>
        </w:rPr>
        <w:t>Earth </w:t>
      </w:r>
      <w:r>
        <w:rPr>
          <w:spacing w:val="-4"/>
          <w:w w:val="120"/>
          <w:sz w:val="20"/>
        </w:rPr>
        <w:t>Year </w:t>
      </w:r>
      <w:r>
        <w:rPr>
          <w:w w:val="120"/>
          <w:sz w:val="20"/>
        </w:rPr>
        <w:t>Conference organised by the Southern Synod brought to the table and the conference Maina </w:t>
      </w:r>
      <w:r>
        <w:rPr>
          <w:spacing w:val="-3"/>
          <w:w w:val="120"/>
          <w:sz w:val="20"/>
        </w:rPr>
        <w:t>Talia, </w:t>
      </w:r>
      <w:r>
        <w:rPr>
          <w:w w:val="120"/>
          <w:sz w:val="20"/>
        </w:rPr>
        <w:t>Secretary of the </w:t>
      </w:r>
      <w:r>
        <w:rPr>
          <w:spacing w:val="-3"/>
          <w:w w:val="120"/>
          <w:sz w:val="20"/>
        </w:rPr>
        <w:t>Tuvalu </w:t>
      </w:r>
      <w:r>
        <w:rPr>
          <w:w w:val="120"/>
          <w:sz w:val="20"/>
        </w:rPr>
        <w:t>climate action network and the Revd Maleta </w:t>
      </w:r>
      <w:r>
        <w:rPr>
          <w:spacing w:val="-3"/>
          <w:w w:val="120"/>
          <w:sz w:val="20"/>
        </w:rPr>
        <w:t>Tenten, </w:t>
      </w:r>
      <w:r>
        <w:rPr>
          <w:w w:val="120"/>
          <w:sz w:val="20"/>
        </w:rPr>
        <w:t>Secretary for Mission of the United Church of Kiribati. This not only added voices of those directly affected by climate change, it also brought two colleagues from our partner Churches to share in the conversations. Global and intercultural ministries will encourage this model and practical way of drawing on our world church</w:t>
      </w:r>
      <w:r>
        <w:rPr>
          <w:spacing w:val="12"/>
          <w:w w:val="120"/>
          <w:sz w:val="20"/>
        </w:rPr>
        <w:t> </w:t>
      </w:r>
      <w:r>
        <w:rPr>
          <w:w w:val="120"/>
          <w:sz w:val="20"/>
        </w:rPr>
        <w:t>resources.</w:t>
      </w:r>
    </w:p>
    <w:p>
      <w:pPr>
        <w:pStyle w:val="BodyText"/>
        <w:spacing w:before="3"/>
        <w:rPr>
          <w:sz w:val="19"/>
        </w:rPr>
      </w:pPr>
    </w:p>
    <w:p>
      <w:pPr>
        <w:pStyle w:val="Heading2"/>
      </w:pPr>
      <w:r>
        <w:rPr>
          <w:w w:val="110"/>
        </w:rPr>
        <w:t>Global Engagement</w:t>
      </w:r>
    </w:p>
    <w:p>
      <w:pPr>
        <w:pStyle w:val="ListParagraph"/>
        <w:numPr>
          <w:ilvl w:val="1"/>
          <w:numId w:val="205"/>
        </w:numPr>
        <w:tabs>
          <w:tab w:pos="1287" w:val="left" w:leader="none"/>
          <w:tab w:pos="1288" w:val="left" w:leader="none"/>
        </w:tabs>
        <w:spacing w:line="235" w:lineRule="auto" w:before="83" w:after="0"/>
        <w:ind w:left="607" w:right="2018" w:firstLine="0"/>
        <w:jc w:val="left"/>
        <w:rPr>
          <w:sz w:val="20"/>
        </w:rPr>
      </w:pPr>
      <w:r>
        <w:rPr>
          <w:w w:val="120"/>
          <w:sz w:val="20"/>
        </w:rPr>
        <w:t>Visits, international exposure and representation: our work includes both visiting and receiving visits from partner churches. These visits can deepen relationships, demonstrate solidarity and enable mutual sharing and learning. While we directly arranged some of the visits, we also offered both financial and logistical support for others. This</w:t>
      </w:r>
      <w:r>
        <w:rPr>
          <w:spacing w:val="4"/>
          <w:w w:val="120"/>
          <w:sz w:val="20"/>
        </w:rPr>
        <w:t> </w:t>
      </w:r>
      <w:r>
        <w:rPr>
          <w:w w:val="120"/>
          <w:sz w:val="20"/>
        </w:rPr>
        <w:t>included:</w:t>
      </w:r>
    </w:p>
    <w:p>
      <w:pPr>
        <w:pStyle w:val="BodyText"/>
        <w:spacing w:before="11"/>
        <w:rPr>
          <w:sz w:val="19"/>
        </w:rPr>
      </w:pPr>
    </w:p>
    <w:p>
      <w:pPr>
        <w:pStyle w:val="ListParagraph"/>
        <w:numPr>
          <w:ilvl w:val="2"/>
          <w:numId w:val="205"/>
        </w:numPr>
        <w:tabs>
          <w:tab w:pos="1287" w:val="left" w:leader="none"/>
          <w:tab w:pos="1288" w:val="left" w:leader="none"/>
        </w:tabs>
        <w:spacing w:line="235" w:lineRule="auto" w:before="0" w:after="0"/>
        <w:ind w:left="607" w:right="2512" w:firstLine="0"/>
        <w:jc w:val="left"/>
        <w:rPr>
          <w:sz w:val="20"/>
        </w:rPr>
      </w:pPr>
      <w:r>
        <w:rPr>
          <w:spacing w:val="-3"/>
          <w:w w:val="120"/>
          <w:sz w:val="20"/>
        </w:rPr>
        <w:t>Youth  </w:t>
      </w:r>
      <w:r>
        <w:rPr>
          <w:w w:val="120"/>
          <w:sz w:val="20"/>
        </w:rPr>
        <w:t>visits: two young people attended a Festival in Hungary (July </w:t>
      </w:r>
      <w:r>
        <w:rPr>
          <w:spacing w:val="-7"/>
          <w:w w:val="120"/>
          <w:sz w:val="20"/>
        </w:rPr>
        <w:t>2015);    </w:t>
      </w:r>
      <w:r>
        <w:rPr>
          <w:w w:val="120"/>
          <w:sz w:val="20"/>
        </w:rPr>
        <w:t>a synod youth visit to </w:t>
      </w:r>
      <w:r>
        <w:rPr>
          <w:spacing w:val="-3"/>
          <w:w w:val="120"/>
          <w:sz w:val="20"/>
        </w:rPr>
        <w:t>Taiwan </w:t>
      </w:r>
      <w:r>
        <w:rPr>
          <w:spacing w:val="-8"/>
          <w:w w:val="120"/>
          <w:sz w:val="20"/>
        </w:rPr>
        <w:t>(2015) </w:t>
      </w:r>
      <w:r>
        <w:rPr>
          <w:w w:val="120"/>
          <w:sz w:val="20"/>
        </w:rPr>
        <w:t>took place and a group of young people from Wessex is due to visit Zambia (July </w:t>
      </w:r>
      <w:r>
        <w:rPr>
          <w:spacing w:val="-6"/>
          <w:w w:val="120"/>
          <w:sz w:val="20"/>
        </w:rPr>
        <w:t>2016). </w:t>
      </w:r>
      <w:r>
        <w:rPr>
          <w:w w:val="120"/>
          <w:sz w:val="20"/>
        </w:rPr>
        <w:t>Group and synod link visits were to Israel and the occupied Palestinian territory (October </w:t>
      </w:r>
      <w:r>
        <w:rPr>
          <w:spacing w:val="-8"/>
          <w:w w:val="120"/>
          <w:sz w:val="20"/>
        </w:rPr>
        <w:t>2014), </w:t>
      </w:r>
      <w:r>
        <w:rPr>
          <w:w w:val="120"/>
          <w:sz w:val="20"/>
        </w:rPr>
        <w:t>China and Korea (October </w:t>
      </w:r>
      <w:r>
        <w:rPr>
          <w:spacing w:val="-8"/>
          <w:w w:val="120"/>
          <w:sz w:val="20"/>
        </w:rPr>
        <w:t>2014), </w:t>
      </w:r>
      <w:r>
        <w:rPr>
          <w:w w:val="120"/>
          <w:sz w:val="20"/>
        </w:rPr>
        <w:t>Zambia, Botswana, Malawi, Mozambique and Zimbabwe</w:t>
      </w:r>
      <w:r>
        <w:rPr>
          <w:spacing w:val="23"/>
          <w:w w:val="120"/>
          <w:sz w:val="20"/>
        </w:rPr>
        <w:t> </w:t>
      </w:r>
      <w:r>
        <w:rPr>
          <w:spacing w:val="-8"/>
          <w:w w:val="120"/>
          <w:sz w:val="20"/>
        </w:rPr>
        <w:t>(2015). </w:t>
      </w:r>
      <w:r>
        <w:rPr>
          <w:w w:val="120"/>
          <w:sz w:val="20"/>
        </w:rPr>
        <w:t>Individual</w:t>
      </w:r>
    </w:p>
    <w:p>
      <w:pPr>
        <w:pStyle w:val="BodyText"/>
        <w:spacing w:line="235" w:lineRule="auto" w:before="4"/>
        <w:ind w:left="607" w:right="2162"/>
      </w:pPr>
      <w:r>
        <w:rPr>
          <w:w w:val="120"/>
        </w:rPr>
        <w:t>visits were made to the Presbyterian Church of Myanmar </w:t>
      </w:r>
      <w:r>
        <w:rPr>
          <w:spacing w:val="-8"/>
          <w:w w:val="120"/>
        </w:rPr>
        <w:t>(2014 </w:t>
      </w:r>
      <w:r>
        <w:rPr>
          <w:w w:val="120"/>
        </w:rPr>
        <w:t>and </w:t>
      </w:r>
      <w:r>
        <w:rPr>
          <w:spacing w:val="-7"/>
          <w:w w:val="120"/>
        </w:rPr>
        <w:t>2015). </w:t>
      </w:r>
      <w:r>
        <w:rPr>
          <w:w w:val="120"/>
        </w:rPr>
        <w:t>The staff secretary visited the United Church of Jamaica and the Cayman Islands and the Guyana Congregational Union in </w:t>
      </w:r>
      <w:r>
        <w:rPr>
          <w:spacing w:val="2"/>
          <w:w w:val="120"/>
        </w:rPr>
        <w:t>February </w:t>
      </w:r>
      <w:r>
        <w:rPr>
          <w:spacing w:val="-6"/>
          <w:w w:val="120"/>
        </w:rPr>
        <w:t>2016, </w:t>
      </w:r>
      <w:r>
        <w:rPr>
          <w:w w:val="120"/>
        </w:rPr>
        <w:t>while moderatorial visits and representation took our Assembly Moderators to partner Churches in Southern Africa, Papua New Guinea and a Disciples’ Conference in the USA. </w:t>
      </w:r>
      <w:r>
        <w:rPr>
          <w:spacing w:val="3"/>
          <w:w w:val="120"/>
        </w:rPr>
        <w:t>As </w:t>
      </w:r>
      <w:r>
        <w:rPr>
          <w:w w:val="120"/>
        </w:rPr>
        <w:t>well as facilitating a URC presence   at a number of international assemblies, we were able to send representatives</w:t>
      </w:r>
      <w:r>
        <w:rPr>
          <w:spacing w:val="-10"/>
          <w:w w:val="120"/>
        </w:rPr>
        <w:t> </w:t>
      </w:r>
      <w:r>
        <w:rPr>
          <w:w w:val="120"/>
        </w:rPr>
        <w:t>to</w:t>
      </w:r>
    </w:p>
    <w:p>
      <w:pPr>
        <w:pStyle w:val="BodyText"/>
        <w:spacing w:line="235" w:lineRule="auto" w:before="5"/>
        <w:ind w:left="607" w:right="2045"/>
      </w:pPr>
      <w:r>
        <w:rPr>
          <w:w w:val="120"/>
        </w:rPr>
        <w:t>the Synod or Assembly of a number of partner churches, such as the Church of the Palatinate in Germany, the Waldensian Church in Italy, the Presbyterian Church in the Republic of Korea and the Presbyterian Church in Taiwan.</w:t>
      </w:r>
    </w:p>
    <w:p>
      <w:pPr>
        <w:pStyle w:val="BodyText"/>
        <w:spacing w:before="10"/>
        <w:rPr>
          <w:sz w:val="19"/>
        </w:rPr>
      </w:pPr>
    </w:p>
    <w:p>
      <w:pPr>
        <w:pStyle w:val="ListParagraph"/>
        <w:numPr>
          <w:ilvl w:val="2"/>
          <w:numId w:val="205"/>
        </w:numPr>
        <w:tabs>
          <w:tab w:pos="1287" w:val="left" w:leader="none"/>
          <w:tab w:pos="1288" w:val="left" w:leader="none"/>
        </w:tabs>
        <w:spacing w:line="235" w:lineRule="auto" w:before="0" w:after="0"/>
        <w:ind w:left="607" w:right="2150" w:firstLine="0"/>
        <w:jc w:val="left"/>
        <w:rPr>
          <w:sz w:val="20"/>
        </w:rPr>
      </w:pPr>
      <w:r>
        <w:rPr>
          <w:w w:val="120"/>
          <w:sz w:val="20"/>
        </w:rPr>
        <w:t>Visits</w:t>
      </w:r>
      <w:r>
        <w:rPr>
          <w:spacing w:val="-14"/>
          <w:w w:val="120"/>
          <w:sz w:val="20"/>
        </w:rPr>
        <w:t> </w:t>
      </w:r>
      <w:r>
        <w:rPr>
          <w:w w:val="120"/>
          <w:sz w:val="20"/>
        </w:rPr>
        <w:t>are</w:t>
      </w:r>
      <w:r>
        <w:rPr>
          <w:spacing w:val="-13"/>
          <w:w w:val="120"/>
          <w:sz w:val="20"/>
        </w:rPr>
        <w:t> </w:t>
      </w:r>
      <w:r>
        <w:rPr>
          <w:w w:val="120"/>
          <w:sz w:val="20"/>
        </w:rPr>
        <w:t>also</w:t>
      </w:r>
      <w:r>
        <w:rPr>
          <w:spacing w:val="-14"/>
          <w:w w:val="120"/>
          <w:sz w:val="20"/>
        </w:rPr>
        <w:t> </w:t>
      </w:r>
      <w:r>
        <w:rPr>
          <w:w w:val="120"/>
          <w:sz w:val="20"/>
        </w:rPr>
        <w:t>reciprocal:</w:t>
      </w:r>
      <w:r>
        <w:rPr>
          <w:spacing w:val="-13"/>
          <w:w w:val="120"/>
          <w:sz w:val="20"/>
        </w:rPr>
        <w:t> </w:t>
      </w:r>
      <w:r>
        <w:rPr>
          <w:w w:val="120"/>
          <w:sz w:val="20"/>
        </w:rPr>
        <w:t>we</w:t>
      </w:r>
      <w:r>
        <w:rPr>
          <w:spacing w:val="-13"/>
          <w:w w:val="120"/>
          <w:sz w:val="20"/>
        </w:rPr>
        <w:t> </w:t>
      </w:r>
      <w:r>
        <w:rPr>
          <w:spacing w:val="-3"/>
          <w:w w:val="120"/>
          <w:sz w:val="20"/>
        </w:rPr>
        <w:t>welcomed</w:t>
      </w:r>
      <w:r>
        <w:rPr>
          <w:spacing w:val="-14"/>
          <w:w w:val="120"/>
          <w:sz w:val="20"/>
        </w:rPr>
        <w:t> </w:t>
      </w:r>
      <w:r>
        <w:rPr>
          <w:w w:val="120"/>
          <w:sz w:val="20"/>
        </w:rPr>
        <w:t>two</w:t>
      </w:r>
      <w:r>
        <w:rPr>
          <w:spacing w:val="-13"/>
          <w:w w:val="120"/>
          <w:sz w:val="20"/>
        </w:rPr>
        <w:t> </w:t>
      </w:r>
      <w:r>
        <w:rPr>
          <w:w w:val="120"/>
          <w:sz w:val="20"/>
        </w:rPr>
        <w:t>staff</w:t>
      </w:r>
      <w:r>
        <w:rPr>
          <w:spacing w:val="-14"/>
          <w:w w:val="120"/>
          <w:sz w:val="20"/>
        </w:rPr>
        <w:t> </w:t>
      </w:r>
      <w:r>
        <w:rPr>
          <w:w w:val="120"/>
          <w:sz w:val="20"/>
        </w:rPr>
        <w:t>members</w:t>
      </w:r>
      <w:r>
        <w:rPr>
          <w:spacing w:val="-13"/>
          <w:w w:val="120"/>
          <w:sz w:val="20"/>
        </w:rPr>
        <w:t> </w:t>
      </w:r>
      <w:r>
        <w:rPr>
          <w:w w:val="120"/>
          <w:sz w:val="20"/>
        </w:rPr>
        <w:t>from</w:t>
      </w:r>
      <w:r>
        <w:rPr>
          <w:spacing w:val="-13"/>
          <w:w w:val="120"/>
          <w:sz w:val="20"/>
        </w:rPr>
        <w:t> </w:t>
      </w:r>
      <w:r>
        <w:rPr>
          <w:w w:val="120"/>
          <w:sz w:val="20"/>
        </w:rPr>
        <w:t>the</w:t>
      </w:r>
      <w:r>
        <w:rPr>
          <w:spacing w:val="-14"/>
          <w:w w:val="120"/>
          <w:sz w:val="20"/>
        </w:rPr>
        <w:t> </w:t>
      </w:r>
      <w:r>
        <w:rPr>
          <w:w w:val="120"/>
          <w:sz w:val="20"/>
        </w:rPr>
        <w:t>Presbyterian </w:t>
      </w:r>
      <w:r>
        <w:rPr>
          <w:spacing w:val="-3"/>
          <w:w w:val="120"/>
          <w:sz w:val="20"/>
        </w:rPr>
        <w:t>Church </w:t>
      </w:r>
      <w:r>
        <w:rPr>
          <w:w w:val="120"/>
          <w:sz w:val="20"/>
        </w:rPr>
        <w:t>of </w:t>
      </w:r>
      <w:r>
        <w:rPr>
          <w:spacing w:val="-5"/>
          <w:w w:val="120"/>
          <w:sz w:val="20"/>
        </w:rPr>
        <w:t>Taiwan </w:t>
      </w:r>
      <w:r>
        <w:rPr>
          <w:w w:val="120"/>
          <w:sz w:val="20"/>
        </w:rPr>
        <w:t>(February </w:t>
      </w:r>
      <w:r>
        <w:rPr>
          <w:spacing w:val="-8"/>
          <w:w w:val="120"/>
          <w:sz w:val="20"/>
        </w:rPr>
        <w:t>2016) </w:t>
      </w:r>
      <w:r>
        <w:rPr>
          <w:spacing w:val="-3"/>
          <w:w w:val="120"/>
          <w:sz w:val="20"/>
        </w:rPr>
        <w:t>to discuss </w:t>
      </w:r>
      <w:r>
        <w:rPr>
          <w:w w:val="120"/>
          <w:sz w:val="20"/>
        </w:rPr>
        <w:t>the future shape of our </w:t>
      </w:r>
      <w:r>
        <w:rPr>
          <w:spacing w:val="-3"/>
          <w:w w:val="120"/>
          <w:sz w:val="20"/>
        </w:rPr>
        <w:t>mission </w:t>
      </w:r>
      <w:r>
        <w:rPr>
          <w:w w:val="120"/>
          <w:sz w:val="20"/>
        </w:rPr>
        <w:t>partnership </w:t>
      </w:r>
      <w:r>
        <w:rPr>
          <w:spacing w:val="-3"/>
          <w:w w:val="120"/>
          <w:sz w:val="20"/>
        </w:rPr>
        <w:t>related </w:t>
      </w:r>
      <w:r>
        <w:rPr>
          <w:w w:val="120"/>
          <w:sz w:val="20"/>
        </w:rPr>
        <w:t>specifically </w:t>
      </w:r>
      <w:r>
        <w:rPr>
          <w:spacing w:val="-3"/>
          <w:w w:val="120"/>
          <w:sz w:val="20"/>
        </w:rPr>
        <w:t>to </w:t>
      </w:r>
      <w:r>
        <w:rPr>
          <w:w w:val="120"/>
          <w:sz w:val="20"/>
        </w:rPr>
        <w:t>the </w:t>
      </w:r>
      <w:r>
        <w:rPr>
          <w:spacing w:val="-4"/>
          <w:w w:val="120"/>
          <w:sz w:val="20"/>
        </w:rPr>
        <w:t>Taiwanese </w:t>
      </w:r>
      <w:r>
        <w:rPr>
          <w:w w:val="120"/>
          <w:sz w:val="20"/>
        </w:rPr>
        <w:t>and Mandarin speaking </w:t>
      </w:r>
      <w:r>
        <w:rPr>
          <w:spacing w:val="-3"/>
          <w:w w:val="120"/>
          <w:sz w:val="20"/>
        </w:rPr>
        <w:t>Chaplaincy. </w:t>
      </w:r>
      <w:r>
        <w:rPr>
          <w:w w:val="120"/>
          <w:sz w:val="20"/>
        </w:rPr>
        <w:t>The </w:t>
      </w:r>
      <w:r>
        <w:rPr>
          <w:spacing w:val="-3"/>
          <w:w w:val="120"/>
          <w:sz w:val="20"/>
        </w:rPr>
        <w:t>national Synod </w:t>
      </w:r>
      <w:r>
        <w:rPr>
          <w:w w:val="120"/>
          <w:sz w:val="20"/>
        </w:rPr>
        <w:t>of </w:t>
      </w:r>
      <w:r>
        <w:rPr>
          <w:spacing w:val="-3"/>
          <w:w w:val="120"/>
          <w:sz w:val="20"/>
        </w:rPr>
        <w:t>Scotland received </w:t>
      </w:r>
      <w:r>
        <w:rPr>
          <w:w w:val="120"/>
          <w:sz w:val="20"/>
        </w:rPr>
        <w:t>two partners from the Presbyterian </w:t>
      </w:r>
      <w:r>
        <w:rPr>
          <w:spacing w:val="-3"/>
          <w:w w:val="120"/>
          <w:sz w:val="20"/>
        </w:rPr>
        <w:t>Church </w:t>
      </w:r>
      <w:r>
        <w:rPr>
          <w:w w:val="120"/>
          <w:sz w:val="20"/>
        </w:rPr>
        <w:t>in </w:t>
      </w:r>
      <w:r>
        <w:rPr>
          <w:spacing w:val="-3"/>
          <w:w w:val="120"/>
          <w:sz w:val="20"/>
        </w:rPr>
        <w:t>Cuba </w:t>
      </w:r>
      <w:r>
        <w:rPr>
          <w:w w:val="120"/>
          <w:sz w:val="20"/>
        </w:rPr>
        <w:t>who </w:t>
      </w:r>
      <w:r>
        <w:rPr>
          <w:spacing w:val="-3"/>
          <w:w w:val="120"/>
          <w:sz w:val="20"/>
        </w:rPr>
        <w:t>visited</w:t>
      </w:r>
      <w:r>
        <w:rPr>
          <w:spacing w:val="-6"/>
          <w:w w:val="120"/>
          <w:sz w:val="20"/>
        </w:rPr>
        <w:t> </w:t>
      </w:r>
      <w:r>
        <w:rPr>
          <w:w w:val="120"/>
          <w:sz w:val="20"/>
        </w:rPr>
        <w:t>Nairn</w:t>
      </w:r>
      <w:r>
        <w:rPr>
          <w:spacing w:val="-5"/>
          <w:w w:val="120"/>
          <w:sz w:val="20"/>
        </w:rPr>
        <w:t> </w:t>
      </w:r>
      <w:r>
        <w:rPr>
          <w:w w:val="120"/>
          <w:sz w:val="20"/>
        </w:rPr>
        <w:t>URC</w:t>
      </w:r>
      <w:r>
        <w:rPr>
          <w:spacing w:val="-6"/>
          <w:w w:val="120"/>
          <w:sz w:val="20"/>
        </w:rPr>
        <w:t> </w:t>
      </w:r>
      <w:r>
        <w:rPr>
          <w:w w:val="120"/>
          <w:sz w:val="20"/>
        </w:rPr>
        <w:t>for</w:t>
      </w:r>
      <w:r>
        <w:rPr>
          <w:spacing w:val="-5"/>
          <w:w w:val="120"/>
          <w:sz w:val="20"/>
        </w:rPr>
        <w:t> </w:t>
      </w:r>
      <w:r>
        <w:rPr>
          <w:w w:val="120"/>
          <w:sz w:val="20"/>
        </w:rPr>
        <w:t>the</w:t>
      </w:r>
      <w:r>
        <w:rPr>
          <w:spacing w:val="-6"/>
          <w:w w:val="120"/>
          <w:sz w:val="20"/>
        </w:rPr>
        <w:t> </w:t>
      </w:r>
      <w:r>
        <w:rPr>
          <w:w w:val="120"/>
          <w:sz w:val="20"/>
        </w:rPr>
        <w:t>World</w:t>
      </w:r>
      <w:r>
        <w:rPr>
          <w:spacing w:val="-5"/>
          <w:w w:val="120"/>
          <w:sz w:val="20"/>
        </w:rPr>
        <w:t> </w:t>
      </w:r>
      <w:r>
        <w:rPr>
          <w:spacing w:val="-3"/>
          <w:w w:val="120"/>
          <w:sz w:val="20"/>
        </w:rPr>
        <w:t>Day</w:t>
      </w:r>
      <w:r>
        <w:rPr>
          <w:spacing w:val="-6"/>
          <w:w w:val="120"/>
          <w:sz w:val="20"/>
        </w:rPr>
        <w:t> </w:t>
      </w:r>
      <w:r>
        <w:rPr>
          <w:w w:val="120"/>
          <w:sz w:val="20"/>
        </w:rPr>
        <w:t>of</w:t>
      </w:r>
      <w:r>
        <w:rPr>
          <w:spacing w:val="-5"/>
          <w:w w:val="120"/>
          <w:sz w:val="20"/>
        </w:rPr>
        <w:t> </w:t>
      </w:r>
      <w:r>
        <w:rPr>
          <w:w w:val="120"/>
          <w:sz w:val="20"/>
        </w:rPr>
        <w:t>Prayer</w:t>
      </w:r>
      <w:r>
        <w:rPr>
          <w:spacing w:val="-5"/>
          <w:w w:val="120"/>
          <w:sz w:val="20"/>
        </w:rPr>
        <w:t> </w:t>
      </w:r>
      <w:r>
        <w:rPr>
          <w:w w:val="120"/>
          <w:sz w:val="20"/>
        </w:rPr>
        <w:t>in</w:t>
      </w:r>
      <w:r>
        <w:rPr>
          <w:spacing w:val="-6"/>
          <w:w w:val="120"/>
          <w:sz w:val="20"/>
        </w:rPr>
        <w:t> </w:t>
      </w:r>
      <w:r>
        <w:rPr>
          <w:w w:val="120"/>
          <w:sz w:val="20"/>
        </w:rPr>
        <w:t>March</w:t>
      </w:r>
      <w:r>
        <w:rPr>
          <w:spacing w:val="-5"/>
          <w:w w:val="120"/>
          <w:sz w:val="20"/>
        </w:rPr>
        <w:t> </w:t>
      </w:r>
      <w:r>
        <w:rPr>
          <w:spacing w:val="-8"/>
          <w:w w:val="120"/>
          <w:sz w:val="20"/>
        </w:rPr>
        <w:t>2016</w:t>
      </w:r>
      <w:r>
        <w:rPr>
          <w:spacing w:val="-6"/>
          <w:w w:val="120"/>
          <w:sz w:val="20"/>
        </w:rPr>
        <w:t> </w:t>
      </w:r>
      <w:r>
        <w:rPr>
          <w:w w:val="120"/>
          <w:sz w:val="20"/>
        </w:rPr>
        <w:t>and</w:t>
      </w:r>
      <w:r>
        <w:rPr>
          <w:spacing w:val="-5"/>
          <w:w w:val="120"/>
          <w:sz w:val="20"/>
        </w:rPr>
        <w:t> </w:t>
      </w:r>
      <w:r>
        <w:rPr>
          <w:w w:val="120"/>
          <w:sz w:val="20"/>
        </w:rPr>
        <w:t>participated</w:t>
      </w:r>
      <w:r>
        <w:rPr>
          <w:spacing w:val="-6"/>
          <w:w w:val="120"/>
          <w:sz w:val="20"/>
        </w:rPr>
        <w:t> </w:t>
      </w:r>
      <w:r>
        <w:rPr>
          <w:w w:val="120"/>
          <w:sz w:val="20"/>
        </w:rPr>
        <w:t>in</w:t>
      </w:r>
      <w:r>
        <w:rPr>
          <w:spacing w:val="-5"/>
          <w:w w:val="120"/>
          <w:sz w:val="20"/>
        </w:rPr>
        <w:t> </w:t>
      </w:r>
      <w:r>
        <w:rPr>
          <w:w w:val="120"/>
          <w:sz w:val="20"/>
        </w:rPr>
        <w:t>a</w:t>
      </w:r>
      <w:r>
        <w:rPr>
          <w:spacing w:val="-6"/>
          <w:w w:val="120"/>
          <w:sz w:val="20"/>
        </w:rPr>
        <w:t> </w:t>
      </w:r>
      <w:r>
        <w:rPr>
          <w:w w:val="120"/>
          <w:sz w:val="20"/>
        </w:rPr>
        <w:t>whole week of activities. </w:t>
      </w:r>
      <w:r>
        <w:rPr>
          <w:spacing w:val="-3"/>
          <w:w w:val="120"/>
          <w:sz w:val="20"/>
        </w:rPr>
        <w:t>We </w:t>
      </w:r>
      <w:r>
        <w:rPr>
          <w:w w:val="120"/>
          <w:sz w:val="20"/>
        </w:rPr>
        <w:t>will also </w:t>
      </w:r>
      <w:r>
        <w:rPr>
          <w:spacing w:val="-3"/>
          <w:w w:val="120"/>
          <w:sz w:val="20"/>
        </w:rPr>
        <w:t>receive </w:t>
      </w:r>
      <w:r>
        <w:rPr>
          <w:w w:val="120"/>
          <w:sz w:val="20"/>
        </w:rPr>
        <w:t>and host two visits from the Presbyterian </w:t>
      </w:r>
      <w:r>
        <w:rPr>
          <w:spacing w:val="-3"/>
          <w:w w:val="120"/>
          <w:sz w:val="20"/>
        </w:rPr>
        <w:t>Church </w:t>
      </w:r>
      <w:r>
        <w:rPr>
          <w:w w:val="120"/>
          <w:sz w:val="20"/>
        </w:rPr>
        <w:t>in </w:t>
      </w:r>
      <w:r>
        <w:rPr>
          <w:spacing w:val="-3"/>
          <w:w w:val="120"/>
          <w:sz w:val="20"/>
        </w:rPr>
        <w:t>Korea </w:t>
      </w:r>
      <w:r>
        <w:rPr>
          <w:w w:val="120"/>
          <w:sz w:val="20"/>
        </w:rPr>
        <w:t>in May and June </w:t>
      </w:r>
      <w:r>
        <w:rPr>
          <w:spacing w:val="-8"/>
          <w:w w:val="120"/>
          <w:sz w:val="20"/>
        </w:rPr>
        <w:t>2016 </w:t>
      </w:r>
      <w:r>
        <w:rPr>
          <w:w w:val="120"/>
          <w:sz w:val="20"/>
        </w:rPr>
        <w:t>with two </w:t>
      </w:r>
      <w:r>
        <w:rPr>
          <w:spacing w:val="-3"/>
          <w:w w:val="120"/>
          <w:sz w:val="20"/>
        </w:rPr>
        <w:t>groups </w:t>
      </w:r>
      <w:r>
        <w:rPr>
          <w:w w:val="120"/>
          <w:sz w:val="20"/>
        </w:rPr>
        <w:t>of people </w:t>
      </w:r>
      <w:r>
        <w:rPr>
          <w:spacing w:val="-3"/>
          <w:w w:val="120"/>
          <w:sz w:val="20"/>
        </w:rPr>
        <w:t>visiting </w:t>
      </w:r>
      <w:r>
        <w:rPr>
          <w:w w:val="120"/>
          <w:sz w:val="20"/>
        </w:rPr>
        <w:t>the UK, </w:t>
      </w:r>
      <w:r>
        <w:rPr>
          <w:spacing w:val="-3"/>
          <w:w w:val="120"/>
          <w:sz w:val="20"/>
        </w:rPr>
        <w:t>including </w:t>
      </w:r>
      <w:r>
        <w:rPr>
          <w:w w:val="120"/>
          <w:sz w:val="20"/>
        </w:rPr>
        <w:t>Kingston and New Malden URCs, where there is a vibrant </w:t>
      </w:r>
      <w:r>
        <w:rPr>
          <w:spacing w:val="-3"/>
          <w:w w:val="120"/>
          <w:sz w:val="20"/>
        </w:rPr>
        <w:t>Korean</w:t>
      </w:r>
      <w:r>
        <w:rPr>
          <w:spacing w:val="-27"/>
          <w:w w:val="120"/>
          <w:sz w:val="20"/>
        </w:rPr>
        <w:t> </w:t>
      </w:r>
      <w:r>
        <w:rPr>
          <w:spacing w:val="-4"/>
          <w:w w:val="120"/>
          <w:sz w:val="20"/>
        </w:rPr>
        <w:t>community.</w:t>
      </w:r>
    </w:p>
    <w:p>
      <w:pPr>
        <w:spacing w:after="0" w:line="235" w:lineRule="auto"/>
        <w:jc w:val="left"/>
        <w:rPr>
          <w:sz w:val="20"/>
        </w:rPr>
        <w:sectPr>
          <w:headerReference w:type="even" r:id="rId463"/>
          <w:footerReference w:type="even" r:id="rId464"/>
          <w:footerReference w:type="default" r:id="rId465"/>
          <w:pgSz w:w="11910" w:h="16840"/>
          <w:pgMar w:header="0" w:footer="647" w:top="0" w:bottom="840" w:left="640" w:right="0"/>
          <w:pgNumType w:start="176"/>
        </w:sectPr>
      </w:pPr>
    </w:p>
    <w:p>
      <w:pPr>
        <w:pStyle w:val="BodyText"/>
      </w:pPr>
      <w:r>
        <w:rPr/>
        <w:drawing>
          <wp:anchor distT="0" distB="0" distL="0" distR="0" allowOverlap="1" layoutInCell="1" locked="0" behindDoc="0" simplePos="0" relativeHeight="252132352">
            <wp:simplePos x="0" y="0"/>
            <wp:positionH relativeFrom="page">
              <wp:posOffset>6974928</wp:posOffset>
            </wp:positionH>
            <wp:positionV relativeFrom="page">
              <wp:posOffset>0</wp:posOffset>
            </wp:positionV>
            <wp:extent cx="585063" cy="10692003"/>
            <wp:effectExtent l="0" t="0" r="0" b="0"/>
            <wp:wrapNone/>
            <wp:docPr id="335" name="image54.png"/>
            <wp:cNvGraphicFramePr>
              <a:graphicFrameLocks noChangeAspect="1"/>
            </wp:cNvGraphicFramePr>
            <a:graphic>
              <a:graphicData uri="http://schemas.openxmlformats.org/drawingml/2006/picture">
                <pic:pic>
                  <pic:nvPicPr>
                    <pic:cNvPr id="336" name="image54.png"/>
                    <pic:cNvPicPr/>
                  </pic:nvPicPr>
                  <pic:blipFill>
                    <a:blip r:embed="rId169" cstate="print"/>
                    <a:stretch>
                      <a:fillRect/>
                    </a:stretch>
                  </pic:blipFill>
                  <pic:spPr>
                    <a:xfrm>
                      <a:off x="0" y="0"/>
                      <a:ext cx="585063" cy="10692003"/>
                    </a:xfrm>
                    <a:prstGeom prst="rect">
                      <a:avLst/>
                    </a:prstGeom>
                  </pic:spPr>
                </pic:pic>
              </a:graphicData>
            </a:graphic>
          </wp:anchor>
        </w:drawing>
      </w:r>
    </w:p>
    <w:p>
      <w:pPr>
        <w:pStyle w:val="BodyText"/>
        <w:spacing w:before="7"/>
        <w:rPr>
          <w:sz w:val="21"/>
        </w:rPr>
      </w:pPr>
    </w:p>
    <w:p>
      <w:pPr>
        <w:spacing w:before="106"/>
        <w:ind w:left="0" w:right="1245" w:firstLine="0"/>
        <w:jc w:val="right"/>
        <w:rPr>
          <w:sz w:val="26"/>
        </w:rPr>
      </w:pPr>
      <w:r>
        <w:rPr/>
        <w:pict>
          <v:shape style="position:absolute;margin-left:554.141174pt;margin-top:22.593945pt;width:25.9pt;height:78.850pt;mso-position-horizontal-relative:page;mso-position-vertical-relative:paragraph;z-index:252133376" type="#_x0000_t202" filled="false" stroked="false">
            <v:textbox inset="0,0,0,0" style="layout-flow:vertical">
              <w:txbxContent>
                <w:p>
                  <w:pPr>
                    <w:spacing w:before="27"/>
                    <w:ind w:left="20" w:right="0" w:firstLine="0"/>
                    <w:jc w:val="left"/>
                    <w:rPr>
                      <w:sz w:val="39"/>
                    </w:rPr>
                  </w:pPr>
                  <w:r>
                    <w:rPr>
                      <w:color w:val="FFFFFF"/>
                      <w:w w:val="115"/>
                      <w:sz w:val="39"/>
                    </w:rPr>
                    <w:t>Mission</w:t>
                  </w:r>
                </w:p>
              </w:txbxContent>
            </v:textbox>
            <w10:wrap type="none"/>
          </v:shape>
        </w:pict>
      </w:r>
      <w:r>
        <w:rPr>
          <w:color w:val="7EAABF"/>
          <w:w w:val="110"/>
          <w:sz w:val="26"/>
        </w:rPr>
        <w:t>Mission</w:t>
      </w:r>
    </w:p>
    <w:p>
      <w:pPr>
        <w:pStyle w:val="ListParagraph"/>
        <w:numPr>
          <w:ilvl w:val="2"/>
          <w:numId w:val="205"/>
        </w:numPr>
        <w:tabs>
          <w:tab w:pos="2025" w:val="left" w:leader="none"/>
        </w:tabs>
        <w:spacing w:line="235" w:lineRule="auto" w:before="222" w:after="0"/>
        <w:ind w:left="1344" w:right="1569" w:firstLine="0"/>
        <w:jc w:val="both"/>
        <w:rPr>
          <w:sz w:val="20"/>
        </w:rPr>
      </w:pPr>
      <w:r>
        <w:rPr>
          <w:w w:val="120"/>
          <w:sz w:val="20"/>
        </w:rPr>
        <w:t>We are currently planning a reciprocal visit with representatives from the URC visiting Seoul in December </w:t>
      </w:r>
      <w:r>
        <w:rPr>
          <w:spacing w:val="-6"/>
          <w:w w:val="120"/>
          <w:sz w:val="20"/>
        </w:rPr>
        <w:t>2016. </w:t>
      </w:r>
      <w:r>
        <w:rPr>
          <w:w w:val="120"/>
          <w:sz w:val="20"/>
        </w:rPr>
        <w:t>And a small group is currently working on a visit to the Presbyterian Church of Pakistan during April</w:t>
      </w:r>
      <w:r>
        <w:rPr>
          <w:spacing w:val="19"/>
          <w:w w:val="120"/>
          <w:sz w:val="20"/>
        </w:rPr>
        <w:t> </w:t>
      </w:r>
      <w:r>
        <w:rPr>
          <w:spacing w:val="-12"/>
          <w:w w:val="120"/>
          <w:sz w:val="20"/>
        </w:rPr>
        <w:t>2017.</w:t>
      </w:r>
    </w:p>
    <w:p>
      <w:pPr>
        <w:pStyle w:val="BodyText"/>
        <w:spacing w:before="10"/>
        <w:rPr>
          <w:sz w:val="19"/>
        </w:rPr>
      </w:pPr>
    </w:p>
    <w:p>
      <w:pPr>
        <w:pStyle w:val="ListParagraph"/>
        <w:numPr>
          <w:ilvl w:val="1"/>
          <w:numId w:val="205"/>
        </w:numPr>
        <w:tabs>
          <w:tab w:pos="2024" w:val="left" w:leader="none"/>
          <w:tab w:pos="2025" w:val="left" w:leader="none"/>
        </w:tabs>
        <w:spacing w:line="235" w:lineRule="auto" w:before="0" w:after="0"/>
        <w:ind w:left="1344" w:right="1287" w:firstLine="0"/>
        <w:jc w:val="left"/>
        <w:rPr>
          <w:sz w:val="20"/>
        </w:rPr>
      </w:pPr>
      <w:r>
        <w:rPr>
          <w:w w:val="120"/>
          <w:sz w:val="20"/>
        </w:rPr>
        <w:t>Belonging to the World Church grants: the provision of grants and practical assistance to ministers, CRCWs, young people and Education for Ministry Phase 1 </w:t>
      </w:r>
      <w:r>
        <w:rPr>
          <w:spacing w:val="-7"/>
          <w:w w:val="120"/>
          <w:sz w:val="20"/>
        </w:rPr>
        <w:t>(EM1) </w:t>
      </w:r>
      <w:r>
        <w:rPr>
          <w:w w:val="120"/>
          <w:sz w:val="20"/>
        </w:rPr>
        <w:t>students is </w:t>
      </w:r>
      <w:r>
        <w:rPr>
          <w:spacing w:val="2"/>
          <w:w w:val="120"/>
          <w:sz w:val="20"/>
        </w:rPr>
        <w:t>part </w:t>
      </w:r>
      <w:r>
        <w:rPr>
          <w:w w:val="120"/>
          <w:sz w:val="20"/>
        </w:rPr>
        <w:t>of our work. Through this scheme ministers and CRCWs were able to visit New Zealand, Uganda, Zimbabwe, Sierra Leone, South Africa, Pakistan, Tanzania, USA and Israel. Organised group visits were made to China, South Korea, India and Israel. </w:t>
      </w:r>
      <w:r>
        <w:rPr>
          <w:spacing w:val="-3"/>
          <w:w w:val="120"/>
          <w:sz w:val="20"/>
        </w:rPr>
        <w:t>EM1 </w:t>
      </w:r>
      <w:r>
        <w:rPr>
          <w:w w:val="120"/>
          <w:sz w:val="20"/>
        </w:rPr>
        <w:t>students had international placement exposures in India, </w:t>
      </w:r>
      <w:r>
        <w:rPr>
          <w:spacing w:val="-3"/>
          <w:w w:val="120"/>
          <w:sz w:val="20"/>
        </w:rPr>
        <w:t>Taiwan </w:t>
      </w:r>
      <w:r>
        <w:rPr>
          <w:w w:val="120"/>
          <w:sz w:val="20"/>
        </w:rPr>
        <w:t>and Israel. </w:t>
      </w:r>
      <w:r>
        <w:rPr>
          <w:spacing w:val="2"/>
          <w:w w:val="120"/>
          <w:sz w:val="20"/>
        </w:rPr>
        <w:t>Reports </w:t>
      </w:r>
      <w:r>
        <w:rPr>
          <w:w w:val="120"/>
          <w:sz w:val="20"/>
        </w:rPr>
        <w:t>received from these trips underscored both the importance of the encounters and the impact they make on</w:t>
      </w:r>
      <w:r>
        <w:rPr>
          <w:spacing w:val="13"/>
          <w:w w:val="120"/>
          <w:sz w:val="20"/>
        </w:rPr>
        <w:t> </w:t>
      </w:r>
      <w:r>
        <w:rPr>
          <w:w w:val="120"/>
          <w:sz w:val="20"/>
        </w:rPr>
        <w:t>participants.</w:t>
      </w:r>
    </w:p>
    <w:p>
      <w:pPr>
        <w:pStyle w:val="BodyText"/>
        <w:spacing w:before="1"/>
      </w:pPr>
    </w:p>
    <w:p>
      <w:pPr>
        <w:pStyle w:val="ListParagraph"/>
        <w:numPr>
          <w:ilvl w:val="1"/>
          <w:numId w:val="205"/>
        </w:numPr>
        <w:tabs>
          <w:tab w:pos="2024" w:val="left" w:leader="none"/>
          <w:tab w:pos="2025" w:val="left" w:leader="none"/>
        </w:tabs>
        <w:spacing w:line="235" w:lineRule="auto" w:before="1" w:after="0"/>
        <w:ind w:left="1344" w:right="1245" w:firstLine="0"/>
        <w:jc w:val="left"/>
        <w:rPr>
          <w:sz w:val="20"/>
        </w:rPr>
      </w:pPr>
      <w:r>
        <w:rPr>
          <w:w w:val="120"/>
          <w:sz w:val="20"/>
        </w:rPr>
        <w:t>The international exchange reference group (IERG) continues to do sterling work in supporting our mission partners, keeping contact with retired missionaries and their families, advising on BWC grant applications and on the ongoing conversations around the new direction of the ministry among Taiwanese and Mandarin speaking students and their families in the </w:t>
      </w:r>
      <w:r>
        <w:rPr>
          <w:spacing w:val="2"/>
          <w:w w:val="120"/>
          <w:sz w:val="20"/>
        </w:rPr>
        <w:t>UK. </w:t>
      </w:r>
      <w:r>
        <w:rPr>
          <w:w w:val="120"/>
          <w:sz w:val="20"/>
        </w:rPr>
        <w:t>We record our appreciation of Chris Wright, who completes his term as convenor of the IERG, for his unwavering support of and commitment to the work of global</w:t>
      </w:r>
      <w:r>
        <w:rPr>
          <w:spacing w:val="6"/>
          <w:w w:val="120"/>
          <w:sz w:val="20"/>
        </w:rPr>
        <w:t> </w:t>
      </w:r>
      <w:r>
        <w:rPr>
          <w:w w:val="120"/>
          <w:sz w:val="20"/>
        </w:rPr>
        <w:t>ministries.</w:t>
      </w:r>
    </w:p>
    <w:p>
      <w:pPr>
        <w:pStyle w:val="BodyText"/>
        <w:spacing w:before="1"/>
      </w:pPr>
    </w:p>
    <w:p>
      <w:pPr>
        <w:pStyle w:val="ListParagraph"/>
        <w:numPr>
          <w:ilvl w:val="2"/>
          <w:numId w:val="205"/>
        </w:numPr>
        <w:tabs>
          <w:tab w:pos="2024" w:val="left" w:leader="none"/>
          <w:tab w:pos="2025" w:val="left" w:leader="none"/>
        </w:tabs>
        <w:spacing w:line="235" w:lineRule="auto" w:before="0" w:after="0"/>
        <w:ind w:left="1344" w:right="1499" w:firstLine="0"/>
        <w:jc w:val="left"/>
        <w:rPr>
          <w:sz w:val="20"/>
        </w:rPr>
      </w:pPr>
      <w:r>
        <w:rPr>
          <w:w w:val="120"/>
          <w:sz w:val="20"/>
        </w:rPr>
        <w:t>In terms of mission partners, we record our thanks to the Revd Dr Gwen  Collins and the Revd Bernie Collins who have completed their service in Papua New Guinea and the Revd Philip Woods who has completed his term of service with   </w:t>
      </w:r>
      <w:r>
        <w:rPr>
          <w:spacing w:val="3"/>
          <w:w w:val="120"/>
          <w:sz w:val="20"/>
        </w:rPr>
        <w:t>CWM. </w:t>
      </w:r>
      <w:r>
        <w:rPr>
          <w:w w:val="120"/>
          <w:sz w:val="20"/>
        </w:rPr>
        <w:t>Alison Gibbs continues to serve as head teacher of the Mwenzo Girls’ School   in </w:t>
      </w:r>
      <w:r>
        <w:rPr>
          <w:spacing w:val="2"/>
          <w:w w:val="120"/>
          <w:sz w:val="20"/>
        </w:rPr>
        <w:t>Northern </w:t>
      </w:r>
      <w:r>
        <w:rPr>
          <w:w w:val="120"/>
          <w:sz w:val="20"/>
        </w:rPr>
        <w:t>Zambia, while the Revd Shou-Hui Chung from the Presbyterian Church    of </w:t>
      </w:r>
      <w:r>
        <w:rPr>
          <w:spacing w:val="-3"/>
          <w:w w:val="120"/>
          <w:sz w:val="20"/>
        </w:rPr>
        <w:t>Taiwan </w:t>
      </w:r>
      <w:r>
        <w:rPr>
          <w:w w:val="120"/>
          <w:sz w:val="20"/>
        </w:rPr>
        <w:t>provides chaplaincy support to Taiwanese and Mandarin speaking students in Manchester and London. Her term will come to an end in July </w:t>
      </w:r>
      <w:r>
        <w:rPr>
          <w:spacing w:val="-5"/>
          <w:w w:val="120"/>
          <w:sz w:val="20"/>
        </w:rPr>
        <w:t>2018. </w:t>
      </w:r>
      <w:r>
        <w:rPr>
          <w:w w:val="120"/>
          <w:sz w:val="20"/>
        </w:rPr>
        <w:t>The ministry among the Taiwanese and Mandarin speaking students and families will be</w:t>
      </w:r>
      <w:r>
        <w:rPr>
          <w:spacing w:val="43"/>
          <w:w w:val="120"/>
          <w:sz w:val="20"/>
        </w:rPr>
        <w:t> </w:t>
      </w:r>
      <w:r>
        <w:rPr>
          <w:w w:val="120"/>
          <w:sz w:val="20"/>
        </w:rPr>
        <w:t>taking</w:t>
      </w:r>
    </w:p>
    <w:p>
      <w:pPr>
        <w:pStyle w:val="BodyText"/>
        <w:spacing w:line="235" w:lineRule="auto" w:before="6"/>
        <w:ind w:left="1344" w:right="1478"/>
      </w:pPr>
      <w:r>
        <w:rPr>
          <w:w w:val="120"/>
        </w:rPr>
        <w:t>a different shape with a greater focus on the growing and more fixed communities around London.</w:t>
      </w:r>
    </w:p>
    <w:p>
      <w:pPr>
        <w:pStyle w:val="BodyText"/>
        <w:spacing w:before="9"/>
        <w:rPr>
          <w:sz w:val="19"/>
        </w:rPr>
      </w:pPr>
    </w:p>
    <w:p>
      <w:pPr>
        <w:pStyle w:val="ListParagraph"/>
        <w:numPr>
          <w:ilvl w:val="2"/>
          <w:numId w:val="205"/>
        </w:numPr>
        <w:tabs>
          <w:tab w:pos="2025" w:val="left" w:leader="none"/>
        </w:tabs>
        <w:spacing w:line="235" w:lineRule="auto" w:before="0" w:after="0"/>
        <w:ind w:left="1344" w:right="1556" w:firstLine="0"/>
        <w:jc w:val="left"/>
        <w:rPr>
          <w:sz w:val="20"/>
        </w:rPr>
      </w:pPr>
      <w:r>
        <w:rPr>
          <w:w w:val="120"/>
          <w:sz w:val="20"/>
        </w:rPr>
        <w:t>The IERG also assists with the planning and delivery of an annual synod global partners event. The </w:t>
      </w:r>
      <w:r>
        <w:rPr>
          <w:spacing w:val="-7"/>
          <w:w w:val="120"/>
          <w:sz w:val="20"/>
        </w:rPr>
        <w:t>2015  </w:t>
      </w:r>
      <w:r>
        <w:rPr>
          <w:w w:val="120"/>
          <w:sz w:val="20"/>
        </w:rPr>
        <w:t>gathering was held at Westminster College in Cambridge   in </w:t>
      </w:r>
      <w:r>
        <w:rPr>
          <w:spacing w:val="-4"/>
          <w:w w:val="120"/>
          <w:sz w:val="20"/>
        </w:rPr>
        <w:t>May. </w:t>
      </w:r>
      <w:r>
        <w:rPr>
          <w:w w:val="120"/>
          <w:sz w:val="20"/>
        </w:rPr>
        <w:t>The </w:t>
      </w:r>
      <w:r>
        <w:rPr>
          <w:spacing w:val="-7"/>
          <w:w w:val="120"/>
          <w:sz w:val="20"/>
        </w:rPr>
        <w:t>2016 </w:t>
      </w:r>
      <w:r>
        <w:rPr>
          <w:w w:val="120"/>
          <w:sz w:val="20"/>
        </w:rPr>
        <w:t>event will be held from </w:t>
      </w:r>
      <w:r>
        <w:rPr>
          <w:spacing w:val="-12"/>
          <w:w w:val="120"/>
          <w:sz w:val="20"/>
        </w:rPr>
        <w:t>17 </w:t>
      </w:r>
      <w:r>
        <w:rPr>
          <w:w w:val="120"/>
          <w:sz w:val="20"/>
        </w:rPr>
        <w:t>to </w:t>
      </w:r>
      <w:r>
        <w:rPr>
          <w:spacing w:val="-7"/>
          <w:w w:val="120"/>
          <w:sz w:val="20"/>
        </w:rPr>
        <w:t>18 </w:t>
      </w:r>
      <w:r>
        <w:rPr>
          <w:w w:val="120"/>
          <w:sz w:val="20"/>
        </w:rPr>
        <w:t>September at the same</w:t>
      </w:r>
      <w:r>
        <w:rPr>
          <w:spacing w:val="49"/>
          <w:w w:val="120"/>
          <w:sz w:val="20"/>
        </w:rPr>
        <w:t> </w:t>
      </w:r>
      <w:r>
        <w:rPr>
          <w:w w:val="120"/>
          <w:sz w:val="20"/>
        </w:rPr>
        <w:t>venue.</w:t>
      </w:r>
    </w:p>
    <w:p>
      <w:pPr>
        <w:pStyle w:val="BodyText"/>
        <w:spacing w:line="235" w:lineRule="auto" w:before="2"/>
        <w:ind w:left="1344" w:right="1478"/>
      </w:pPr>
      <w:r>
        <w:rPr>
          <w:w w:val="120"/>
        </w:rPr>
        <w:t>These gatherings are opportunities to share experiences and good practice, identify challenges, and consider helpful directions for these partnerships. The 2016 gathering will give particular consideration to the complex challenge of ending partnerships and starting new ones, and to some of the key new strategic directions of the global and intercultural ministries work.</w:t>
      </w:r>
    </w:p>
    <w:p>
      <w:pPr>
        <w:pStyle w:val="BodyText"/>
      </w:pPr>
    </w:p>
    <w:p>
      <w:pPr>
        <w:pStyle w:val="ListParagraph"/>
        <w:numPr>
          <w:ilvl w:val="1"/>
          <w:numId w:val="205"/>
        </w:numPr>
        <w:tabs>
          <w:tab w:pos="2024" w:val="left" w:leader="none"/>
          <w:tab w:pos="2025" w:val="left" w:leader="none"/>
        </w:tabs>
        <w:spacing w:line="235" w:lineRule="auto" w:before="0" w:after="0"/>
        <w:ind w:left="1344" w:right="1490" w:firstLine="0"/>
        <w:jc w:val="left"/>
        <w:rPr>
          <w:sz w:val="20"/>
        </w:rPr>
      </w:pPr>
      <w:r>
        <w:rPr>
          <w:w w:val="120"/>
          <w:sz w:val="20"/>
        </w:rPr>
        <w:t>Responding to international crises/disasters: In our ‘global village’ the reality  of disasters and crisis situations is a constant, with partner churches either affected or involved in responding to these incidents. In such times, we have called upon all to remember our partner churches and their communities in our prayers and through tangible contributions to respond to immediate needs. Through appeals, drawing  from small funds and the generosity of congregations and synods we have been able to respond to such situations in Myanmar, India, </w:t>
      </w:r>
      <w:r>
        <w:rPr>
          <w:spacing w:val="-3"/>
          <w:w w:val="120"/>
          <w:sz w:val="20"/>
        </w:rPr>
        <w:t>Taiwan, </w:t>
      </w:r>
      <w:r>
        <w:rPr>
          <w:w w:val="120"/>
          <w:sz w:val="20"/>
        </w:rPr>
        <w:t>Syria/Lebanon and Cuba.   We wish to express our profound gratitude to all for their compassion and</w:t>
      </w:r>
      <w:r>
        <w:rPr>
          <w:spacing w:val="23"/>
          <w:w w:val="120"/>
          <w:sz w:val="20"/>
        </w:rPr>
        <w:t> </w:t>
      </w:r>
      <w:r>
        <w:rPr>
          <w:w w:val="120"/>
          <w:sz w:val="20"/>
        </w:rPr>
        <w:t>generosity.</w:t>
      </w:r>
    </w:p>
    <w:p>
      <w:pPr>
        <w:pStyle w:val="BodyText"/>
        <w:spacing w:before="3"/>
        <w:rPr>
          <w:sz w:val="19"/>
        </w:rPr>
      </w:pPr>
    </w:p>
    <w:p>
      <w:pPr>
        <w:pStyle w:val="Heading2"/>
        <w:spacing w:before="1"/>
        <w:ind w:left="1344"/>
      </w:pPr>
      <w:r>
        <w:rPr>
          <w:w w:val="110"/>
        </w:rPr>
        <w:t>Intercultural Encounters</w:t>
      </w:r>
    </w:p>
    <w:p>
      <w:pPr>
        <w:pStyle w:val="ListParagraph"/>
        <w:numPr>
          <w:ilvl w:val="1"/>
          <w:numId w:val="205"/>
        </w:numPr>
        <w:tabs>
          <w:tab w:pos="2024" w:val="left" w:leader="none"/>
          <w:tab w:pos="2025" w:val="left" w:leader="none"/>
        </w:tabs>
        <w:spacing w:line="235" w:lineRule="auto" w:before="82" w:after="0"/>
        <w:ind w:left="1344" w:right="1291" w:firstLine="0"/>
        <w:jc w:val="left"/>
        <w:rPr>
          <w:sz w:val="20"/>
        </w:rPr>
      </w:pPr>
      <w:r>
        <w:rPr>
          <w:w w:val="120"/>
          <w:sz w:val="20"/>
        </w:rPr>
        <w:t>Shift and convergence: the </w:t>
      </w:r>
      <w:r>
        <w:rPr>
          <w:spacing w:val="-3"/>
          <w:w w:val="120"/>
          <w:sz w:val="20"/>
        </w:rPr>
        <w:t>URC’s </w:t>
      </w:r>
      <w:r>
        <w:rPr>
          <w:w w:val="120"/>
          <w:sz w:val="20"/>
        </w:rPr>
        <w:t>adoption of the ‘Intercultural Charter’ affirmed the evolving nature of the work of racial justice and multicultural ministry into racial justice and intercultural ministry (RJiM). This shift has seen a wider cross-section</w:t>
      </w:r>
      <w:r>
        <w:rPr>
          <w:spacing w:val="-1"/>
          <w:w w:val="120"/>
          <w:sz w:val="20"/>
        </w:rPr>
        <w:t> </w:t>
      </w:r>
      <w:r>
        <w:rPr>
          <w:w w:val="120"/>
          <w:sz w:val="20"/>
        </w:rPr>
        <w:t>of</w:t>
      </w:r>
    </w:p>
    <w:p>
      <w:pPr>
        <w:pStyle w:val="BodyText"/>
        <w:spacing w:line="235" w:lineRule="auto" w:before="2"/>
        <w:ind w:left="1344" w:right="1478"/>
      </w:pPr>
      <w:r>
        <w:rPr>
          <w:w w:val="120"/>
        </w:rPr>
        <w:t>the URC identify, own and support RJiM and has encouraged a broader conversation on inclusion and diversity. It has also led to a natural convergence into global and intercultural ministries.</w:t>
      </w:r>
    </w:p>
    <w:p>
      <w:pPr>
        <w:spacing w:after="0" w:line="235" w:lineRule="auto"/>
        <w:sectPr>
          <w:headerReference w:type="default" r:id="rId467"/>
          <w:pgSz w:w="11910" w:h="16840"/>
          <w:pgMar w:header="0" w:footer="647" w:top="0" w:bottom="840" w:left="640" w:right="0"/>
        </w:sectPr>
      </w:pPr>
    </w:p>
    <w:p>
      <w:pPr>
        <w:pStyle w:val="BodyText"/>
      </w:pPr>
      <w:r>
        <w:rPr/>
        <w:drawing>
          <wp:anchor distT="0" distB="0" distL="0" distR="0" allowOverlap="1" layoutInCell="1" locked="0" behindDoc="1" simplePos="0" relativeHeight="235680768">
            <wp:simplePos x="0" y="0"/>
            <wp:positionH relativeFrom="page">
              <wp:posOffset>0</wp:posOffset>
            </wp:positionH>
            <wp:positionV relativeFrom="page">
              <wp:posOffset>0</wp:posOffset>
            </wp:positionV>
            <wp:extent cx="594067" cy="10692003"/>
            <wp:effectExtent l="0" t="0" r="0" b="0"/>
            <wp:wrapNone/>
            <wp:docPr id="337" name="image67.png"/>
            <wp:cNvGraphicFramePr>
              <a:graphicFrameLocks noChangeAspect="1"/>
            </wp:cNvGraphicFramePr>
            <a:graphic>
              <a:graphicData uri="http://schemas.openxmlformats.org/drawingml/2006/picture">
                <pic:pic>
                  <pic:nvPicPr>
                    <pic:cNvPr id="338" name="image67.png"/>
                    <pic:cNvPicPr/>
                  </pic:nvPicPr>
                  <pic:blipFill>
                    <a:blip r:embed="rId184" cstate="print"/>
                    <a:stretch>
                      <a:fillRect/>
                    </a:stretch>
                  </pic:blipFill>
                  <pic:spPr>
                    <a:xfrm>
                      <a:off x="0" y="0"/>
                      <a:ext cx="594067" cy="10692003"/>
                    </a:xfrm>
                    <a:prstGeom prst="rect">
                      <a:avLst/>
                    </a:prstGeom>
                  </pic:spPr>
                </pic:pic>
              </a:graphicData>
            </a:graphic>
          </wp:anchor>
        </w:drawing>
      </w:r>
      <w:r>
        <w:rPr/>
        <w:pict>
          <v:shape style="position:absolute;margin-left:20.519100pt;margin-top:48.890015pt;width:25.9pt;height:78.850pt;mso-position-horizontal-relative:page;mso-position-vertical-relative:page;z-index:252135424" type="#_x0000_t202" filled="false" stroked="false">
            <v:textbox inset="0,0,0,0" style="layout-flow:vertical">
              <w:txbxContent>
                <w:p>
                  <w:pPr>
                    <w:spacing w:before="27"/>
                    <w:ind w:left="20" w:right="0" w:firstLine="0"/>
                    <w:jc w:val="left"/>
                    <w:rPr>
                      <w:sz w:val="39"/>
                    </w:rPr>
                  </w:pPr>
                  <w:r>
                    <w:rPr>
                      <w:color w:val="FFFFFF"/>
                      <w:w w:val="115"/>
                      <w:sz w:val="39"/>
                    </w:rPr>
                    <w:t>Mission</w:t>
                  </w:r>
                </w:p>
              </w:txbxContent>
            </v:textbox>
            <w10:wrap type="none"/>
          </v:shape>
        </w:pict>
      </w:r>
    </w:p>
    <w:p>
      <w:pPr>
        <w:pStyle w:val="BodyText"/>
        <w:spacing w:before="7"/>
        <w:rPr>
          <w:sz w:val="21"/>
        </w:rPr>
      </w:pPr>
    </w:p>
    <w:p>
      <w:pPr>
        <w:spacing w:before="106"/>
        <w:ind w:left="607" w:right="0" w:firstLine="0"/>
        <w:jc w:val="left"/>
        <w:rPr>
          <w:sz w:val="26"/>
        </w:rPr>
      </w:pPr>
      <w:r>
        <w:rPr>
          <w:color w:val="7EAABF"/>
          <w:w w:val="115"/>
          <w:sz w:val="26"/>
        </w:rPr>
        <w:t>Mission</w:t>
      </w:r>
    </w:p>
    <w:p>
      <w:pPr>
        <w:pStyle w:val="ListParagraph"/>
        <w:numPr>
          <w:ilvl w:val="1"/>
          <w:numId w:val="205"/>
        </w:numPr>
        <w:tabs>
          <w:tab w:pos="1287" w:val="left" w:leader="none"/>
          <w:tab w:pos="1288" w:val="left" w:leader="none"/>
        </w:tabs>
        <w:spacing w:line="235" w:lineRule="auto" w:before="222" w:after="0"/>
        <w:ind w:left="607" w:right="2398" w:firstLine="0"/>
        <w:jc w:val="left"/>
        <w:rPr>
          <w:sz w:val="20"/>
        </w:rPr>
      </w:pPr>
      <w:r>
        <w:rPr>
          <w:w w:val="120"/>
          <w:sz w:val="20"/>
        </w:rPr>
        <w:t>Living out multicultural church-intercultural habits: networks are at the heart of RJiM work. RJiM synod coordinators and advocates met regularly for strategic work,</w:t>
      </w:r>
      <w:r>
        <w:rPr>
          <w:spacing w:val="11"/>
          <w:w w:val="120"/>
          <w:sz w:val="20"/>
        </w:rPr>
        <w:t> </w:t>
      </w:r>
      <w:r>
        <w:rPr>
          <w:w w:val="120"/>
          <w:sz w:val="20"/>
        </w:rPr>
        <w:t>support</w:t>
      </w:r>
      <w:r>
        <w:rPr>
          <w:spacing w:val="11"/>
          <w:w w:val="120"/>
          <w:sz w:val="20"/>
        </w:rPr>
        <w:t> </w:t>
      </w:r>
      <w:r>
        <w:rPr>
          <w:w w:val="120"/>
          <w:sz w:val="20"/>
        </w:rPr>
        <w:t>and</w:t>
      </w:r>
      <w:r>
        <w:rPr>
          <w:spacing w:val="12"/>
          <w:w w:val="120"/>
          <w:sz w:val="20"/>
        </w:rPr>
        <w:t> </w:t>
      </w:r>
      <w:r>
        <w:rPr>
          <w:w w:val="120"/>
          <w:sz w:val="20"/>
        </w:rPr>
        <w:t>sharing</w:t>
      </w:r>
      <w:r>
        <w:rPr>
          <w:spacing w:val="11"/>
          <w:w w:val="120"/>
          <w:sz w:val="20"/>
        </w:rPr>
        <w:t> </w:t>
      </w:r>
      <w:r>
        <w:rPr>
          <w:w w:val="120"/>
          <w:sz w:val="20"/>
        </w:rPr>
        <w:t>good</w:t>
      </w:r>
      <w:r>
        <w:rPr>
          <w:spacing w:val="11"/>
          <w:w w:val="120"/>
          <w:sz w:val="20"/>
        </w:rPr>
        <w:t> </w:t>
      </w:r>
      <w:r>
        <w:rPr>
          <w:w w:val="120"/>
          <w:sz w:val="20"/>
        </w:rPr>
        <w:t>practice.</w:t>
      </w:r>
      <w:r>
        <w:rPr>
          <w:spacing w:val="12"/>
          <w:w w:val="120"/>
          <w:sz w:val="20"/>
        </w:rPr>
        <w:t> </w:t>
      </w:r>
      <w:r>
        <w:rPr>
          <w:w w:val="120"/>
          <w:sz w:val="20"/>
        </w:rPr>
        <w:t>Other</w:t>
      </w:r>
      <w:r>
        <w:rPr>
          <w:spacing w:val="11"/>
          <w:w w:val="120"/>
          <w:sz w:val="20"/>
        </w:rPr>
        <w:t> </w:t>
      </w:r>
      <w:r>
        <w:rPr>
          <w:w w:val="120"/>
          <w:sz w:val="20"/>
        </w:rPr>
        <w:t>networks</w:t>
      </w:r>
      <w:r>
        <w:rPr>
          <w:spacing w:val="11"/>
          <w:w w:val="120"/>
          <w:sz w:val="20"/>
        </w:rPr>
        <w:t> </w:t>
      </w:r>
      <w:r>
        <w:rPr>
          <w:w w:val="120"/>
          <w:sz w:val="20"/>
        </w:rPr>
        <w:t>(TeamURC,</w:t>
      </w:r>
      <w:r>
        <w:rPr>
          <w:spacing w:val="12"/>
          <w:w w:val="120"/>
          <w:sz w:val="20"/>
        </w:rPr>
        <w:t> </w:t>
      </w:r>
      <w:r>
        <w:rPr>
          <w:w w:val="120"/>
          <w:sz w:val="20"/>
        </w:rPr>
        <w:t>Cascades</w:t>
      </w:r>
    </w:p>
    <w:p>
      <w:pPr>
        <w:pStyle w:val="BodyText"/>
        <w:spacing w:line="235" w:lineRule="auto" w:before="2"/>
        <w:ind w:left="607" w:right="2231"/>
      </w:pPr>
      <w:r>
        <w:rPr>
          <w:w w:val="120"/>
        </w:rPr>
        <w:t>of Grace [BAME Women] and BAME Ministers) continue to contribute actively to shaping intercultural habits across the life of the URC. These networks have shared in conversations on Better Church Hosting, new advocacy strategies, multiple religious belonging, the changing language of racism, home and belonging, and young people and migration, among others.</w:t>
      </w:r>
    </w:p>
    <w:p>
      <w:pPr>
        <w:pStyle w:val="BodyText"/>
        <w:spacing w:before="11"/>
        <w:rPr>
          <w:sz w:val="19"/>
        </w:rPr>
      </w:pPr>
    </w:p>
    <w:p>
      <w:pPr>
        <w:pStyle w:val="ListParagraph"/>
        <w:numPr>
          <w:ilvl w:val="1"/>
          <w:numId w:val="205"/>
        </w:numPr>
        <w:tabs>
          <w:tab w:pos="1287" w:val="left" w:leader="none"/>
          <w:tab w:pos="1288" w:val="left" w:leader="none"/>
        </w:tabs>
        <w:spacing w:line="235" w:lineRule="auto" w:before="1" w:after="0"/>
        <w:ind w:left="607" w:right="2041" w:firstLine="0"/>
        <w:jc w:val="left"/>
        <w:rPr>
          <w:sz w:val="20"/>
        </w:rPr>
      </w:pPr>
      <w:r>
        <w:rPr>
          <w:w w:val="120"/>
          <w:sz w:val="20"/>
        </w:rPr>
        <w:t>Multicultural Celebration </w:t>
      </w:r>
      <w:r>
        <w:rPr>
          <w:spacing w:val="-7"/>
          <w:w w:val="120"/>
          <w:sz w:val="20"/>
        </w:rPr>
        <w:t>2015: </w:t>
      </w:r>
      <w:r>
        <w:rPr>
          <w:w w:val="120"/>
          <w:sz w:val="20"/>
        </w:rPr>
        <w:t>this regular biennial event  brought  together over </w:t>
      </w:r>
      <w:r>
        <w:rPr>
          <w:spacing w:val="2"/>
          <w:w w:val="120"/>
          <w:sz w:val="20"/>
        </w:rPr>
        <w:t>400 </w:t>
      </w:r>
      <w:r>
        <w:rPr>
          <w:w w:val="120"/>
          <w:sz w:val="20"/>
        </w:rPr>
        <w:t>people from across the URC in September </w:t>
      </w:r>
      <w:r>
        <w:rPr>
          <w:spacing w:val="-7"/>
          <w:w w:val="120"/>
          <w:sz w:val="20"/>
        </w:rPr>
        <w:t>2015 </w:t>
      </w:r>
      <w:r>
        <w:rPr>
          <w:w w:val="120"/>
          <w:sz w:val="20"/>
        </w:rPr>
        <w:t>to celebrate our intercultural life together. Focusing on the theme, ‘Journeys: Drinking from Many </w:t>
      </w:r>
      <w:r>
        <w:rPr>
          <w:spacing w:val="-4"/>
          <w:w w:val="120"/>
          <w:sz w:val="20"/>
        </w:rPr>
        <w:t>Wells’, </w:t>
      </w:r>
      <w:r>
        <w:rPr>
          <w:w w:val="120"/>
          <w:sz w:val="20"/>
        </w:rPr>
        <w:t>the programme included a variety of activities with a larger percentage of younger people participating. The event also included an </w:t>
      </w:r>
      <w:r>
        <w:rPr>
          <w:spacing w:val="3"/>
          <w:w w:val="120"/>
          <w:sz w:val="20"/>
        </w:rPr>
        <w:t>art </w:t>
      </w:r>
      <w:r>
        <w:rPr>
          <w:w w:val="120"/>
          <w:sz w:val="20"/>
        </w:rPr>
        <w:t>award and a multicultural congregational </w:t>
      </w:r>
      <w:r>
        <w:rPr>
          <w:spacing w:val="2"/>
          <w:w w:val="120"/>
          <w:sz w:val="20"/>
        </w:rPr>
        <w:t>story </w:t>
      </w:r>
      <w:r>
        <w:rPr>
          <w:w w:val="120"/>
          <w:sz w:val="20"/>
        </w:rPr>
        <w:t>award. Though a highly anticipated and well attended biennial event, the   decision was taken to end this method of meeting and invest in sponsoring four smaller gatherings in various locations in </w:t>
      </w:r>
      <w:r>
        <w:rPr>
          <w:spacing w:val="-12"/>
          <w:w w:val="120"/>
          <w:sz w:val="20"/>
        </w:rPr>
        <w:t>2017. </w:t>
      </w:r>
      <w:r>
        <w:rPr>
          <w:w w:val="120"/>
          <w:sz w:val="20"/>
        </w:rPr>
        <w:t>Churches in Southend, Bristol,</w:t>
      </w:r>
      <w:r>
        <w:rPr>
          <w:spacing w:val="45"/>
          <w:w w:val="120"/>
          <w:sz w:val="20"/>
        </w:rPr>
        <w:t> </w:t>
      </w:r>
      <w:r>
        <w:rPr>
          <w:w w:val="120"/>
          <w:sz w:val="20"/>
        </w:rPr>
        <w:t>Pontypridd</w:t>
      </w:r>
    </w:p>
    <w:p>
      <w:pPr>
        <w:pStyle w:val="BodyText"/>
        <w:spacing w:line="235" w:lineRule="auto" w:before="6"/>
        <w:ind w:left="607" w:right="2238"/>
      </w:pPr>
      <w:r>
        <w:rPr>
          <w:w w:val="120"/>
        </w:rPr>
        <w:t>and New Malden have been asked to pilot this different approach to celebrating our life together. More on the intercultural celebrations can be found at </w:t>
      </w:r>
      <w:hyperlink r:id="rId471">
        <w:r>
          <w:rPr>
            <w:color w:val="006AB3"/>
            <w:w w:val="120"/>
          </w:rPr>
          <w:t>www.urc.org.uk/</w:t>
        </w:r>
      </w:hyperlink>
      <w:r>
        <w:rPr>
          <w:color w:val="006AB3"/>
          <w:w w:val="120"/>
        </w:rPr>
        <w:t> </w:t>
      </w:r>
      <w:hyperlink r:id="rId471">
        <w:r>
          <w:rPr>
            <w:color w:val="006AB3"/>
            <w:w w:val="120"/>
          </w:rPr>
          <w:t>intercultural-celebration.html</w:t>
        </w:r>
      </w:hyperlink>
      <w:r>
        <w:rPr>
          <w:w w:val="120"/>
        </w:rPr>
        <w:t>.</w:t>
      </w:r>
    </w:p>
    <w:p>
      <w:pPr>
        <w:pStyle w:val="BodyText"/>
        <w:spacing w:before="10"/>
        <w:rPr>
          <w:sz w:val="19"/>
        </w:rPr>
      </w:pPr>
    </w:p>
    <w:p>
      <w:pPr>
        <w:pStyle w:val="ListParagraph"/>
        <w:numPr>
          <w:ilvl w:val="1"/>
          <w:numId w:val="205"/>
        </w:numPr>
        <w:tabs>
          <w:tab w:pos="1287" w:val="left" w:leader="none"/>
          <w:tab w:pos="1288" w:val="left" w:leader="none"/>
        </w:tabs>
        <w:spacing w:line="235" w:lineRule="auto" w:before="0" w:after="0"/>
        <w:ind w:left="607" w:right="2147" w:firstLine="0"/>
        <w:jc w:val="left"/>
        <w:rPr>
          <w:sz w:val="20"/>
        </w:rPr>
      </w:pPr>
      <w:r>
        <w:rPr>
          <w:w w:val="120"/>
          <w:sz w:val="20"/>
        </w:rPr>
        <w:t>Monitoring: RJiM work includes monitoring the inclusion agenda of the URC alongside enabling racism and diversity awareness training. This involves collaborative work with the equalities and nominations committees. Monitoring work has been carried out in the area of </w:t>
      </w:r>
      <w:r>
        <w:rPr>
          <w:spacing w:val="-3"/>
          <w:w w:val="120"/>
          <w:sz w:val="20"/>
        </w:rPr>
        <w:t>children’s </w:t>
      </w:r>
      <w:r>
        <w:rPr>
          <w:w w:val="120"/>
          <w:sz w:val="20"/>
        </w:rPr>
        <w:t>and youth work, education and learning and  Church House. Monitoring is a very important tool to help us measure the practice of our inclusion intentions and what needs to be done. We have mapped the delivery of awareness training across the Church and the evidence indicates much work still to be done. A new online resource on diversity awareness training has been</w:t>
      </w:r>
      <w:r>
        <w:rPr>
          <w:spacing w:val="28"/>
          <w:w w:val="120"/>
          <w:sz w:val="20"/>
        </w:rPr>
        <w:t> </w:t>
      </w:r>
      <w:r>
        <w:rPr>
          <w:w w:val="120"/>
          <w:sz w:val="20"/>
        </w:rPr>
        <w:t>written.</w:t>
      </w:r>
    </w:p>
    <w:p>
      <w:pPr>
        <w:pStyle w:val="BodyText"/>
        <w:spacing w:before="1"/>
      </w:pPr>
    </w:p>
    <w:p>
      <w:pPr>
        <w:pStyle w:val="ListParagraph"/>
        <w:numPr>
          <w:ilvl w:val="1"/>
          <w:numId w:val="205"/>
        </w:numPr>
        <w:tabs>
          <w:tab w:pos="1287" w:val="left" w:leader="none"/>
          <w:tab w:pos="1288" w:val="left" w:leader="none"/>
        </w:tabs>
        <w:spacing w:line="235" w:lineRule="auto" w:before="1" w:after="0"/>
        <w:ind w:left="607" w:right="2019" w:firstLine="0"/>
        <w:jc w:val="left"/>
        <w:rPr>
          <w:sz w:val="20"/>
        </w:rPr>
      </w:pPr>
      <w:r>
        <w:rPr>
          <w:w w:val="120"/>
          <w:sz w:val="20"/>
        </w:rPr>
        <w:t>A different approach to Racial Justice Sunday: the decision to move Education Sunday to the second Sunday in September which is also Racial Justice Sunday provided us with an opportunity to rethink and explore more constructive ways of integrating racial justice awareness across key designated Sundays in the ecumenical liturgical </w:t>
      </w:r>
      <w:r>
        <w:rPr>
          <w:spacing w:val="-4"/>
          <w:w w:val="120"/>
          <w:sz w:val="20"/>
        </w:rPr>
        <w:t>year. </w:t>
      </w:r>
      <w:r>
        <w:rPr>
          <w:w w:val="120"/>
          <w:sz w:val="20"/>
        </w:rPr>
        <w:t>The RJiM network sees this as an opportunity to relaunch and raise the profile of racial justice. It is an opportunity to encourage the whole of the URC to do more to connect with</w:t>
      </w:r>
      <w:r>
        <w:rPr>
          <w:spacing w:val="6"/>
          <w:w w:val="120"/>
          <w:sz w:val="20"/>
        </w:rPr>
        <w:t> </w:t>
      </w:r>
      <w:r>
        <w:rPr>
          <w:w w:val="120"/>
          <w:sz w:val="20"/>
        </w:rPr>
        <w:t>other</w:t>
      </w:r>
      <w:r>
        <w:rPr>
          <w:spacing w:val="7"/>
          <w:w w:val="120"/>
          <w:sz w:val="20"/>
        </w:rPr>
        <w:t> </w:t>
      </w:r>
      <w:r>
        <w:rPr>
          <w:w w:val="120"/>
          <w:sz w:val="20"/>
        </w:rPr>
        <w:t>designated</w:t>
      </w:r>
      <w:r>
        <w:rPr>
          <w:spacing w:val="7"/>
          <w:w w:val="120"/>
          <w:sz w:val="20"/>
        </w:rPr>
        <w:t> </w:t>
      </w:r>
      <w:r>
        <w:rPr>
          <w:w w:val="120"/>
          <w:sz w:val="20"/>
        </w:rPr>
        <w:t>Sundays</w:t>
      </w:r>
      <w:r>
        <w:rPr>
          <w:spacing w:val="7"/>
          <w:w w:val="120"/>
          <w:sz w:val="20"/>
        </w:rPr>
        <w:t> </w:t>
      </w:r>
      <w:r>
        <w:rPr>
          <w:w w:val="120"/>
          <w:sz w:val="20"/>
        </w:rPr>
        <w:t>while</w:t>
      </w:r>
      <w:r>
        <w:rPr>
          <w:spacing w:val="7"/>
          <w:w w:val="120"/>
          <w:sz w:val="20"/>
        </w:rPr>
        <w:t> </w:t>
      </w:r>
      <w:r>
        <w:rPr>
          <w:w w:val="120"/>
          <w:sz w:val="20"/>
        </w:rPr>
        <w:t>drawing</w:t>
      </w:r>
      <w:r>
        <w:rPr>
          <w:spacing w:val="7"/>
          <w:w w:val="120"/>
          <w:sz w:val="20"/>
        </w:rPr>
        <w:t> </w:t>
      </w:r>
      <w:r>
        <w:rPr>
          <w:w w:val="120"/>
          <w:sz w:val="20"/>
        </w:rPr>
        <w:t>on</w:t>
      </w:r>
      <w:r>
        <w:rPr>
          <w:spacing w:val="6"/>
          <w:w w:val="120"/>
          <w:sz w:val="20"/>
        </w:rPr>
        <w:t> </w:t>
      </w:r>
      <w:r>
        <w:rPr>
          <w:w w:val="120"/>
          <w:sz w:val="20"/>
        </w:rPr>
        <w:t>the</w:t>
      </w:r>
      <w:r>
        <w:rPr>
          <w:spacing w:val="7"/>
          <w:w w:val="120"/>
          <w:sz w:val="20"/>
        </w:rPr>
        <w:t> </w:t>
      </w:r>
      <w:r>
        <w:rPr>
          <w:w w:val="120"/>
          <w:sz w:val="20"/>
        </w:rPr>
        <w:t>varying</w:t>
      </w:r>
      <w:r>
        <w:rPr>
          <w:spacing w:val="7"/>
          <w:w w:val="120"/>
          <w:sz w:val="20"/>
        </w:rPr>
        <w:t> </w:t>
      </w:r>
      <w:r>
        <w:rPr>
          <w:w w:val="120"/>
          <w:sz w:val="20"/>
        </w:rPr>
        <w:t>strengths</w:t>
      </w:r>
      <w:r>
        <w:rPr>
          <w:spacing w:val="7"/>
          <w:w w:val="120"/>
          <w:sz w:val="20"/>
        </w:rPr>
        <w:t> </w:t>
      </w:r>
      <w:r>
        <w:rPr>
          <w:w w:val="120"/>
          <w:sz w:val="20"/>
        </w:rPr>
        <w:t>and</w:t>
      </w:r>
      <w:r>
        <w:rPr>
          <w:spacing w:val="7"/>
          <w:w w:val="120"/>
          <w:sz w:val="20"/>
        </w:rPr>
        <w:t> </w:t>
      </w:r>
      <w:r>
        <w:rPr>
          <w:w w:val="120"/>
          <w:sz w:val="20"/>
        </w:rPr>
        <w:t>interests</w:t>
      </w:r>
    </w:p>
    <w:p>
      <w:pPr>
        <w:pStyle w:val="BodyText"/>
        <w:spacing w:line="235" w:lineRule="auto" w:before="5"/>
        <w:ind w:left="607" w:right="2045"/>
      </w:pPr>
      <w:r>
        <w:rPr>
          <w:w w:val="120"/>
        </w:rPr>
        <w:t>of our churches. The connecting points can be, for instance, Holocaust Memorial and Martin Luther King Days, Poverty Action Sunday, Refugee Week, Freedom Sunday, Disability Sunday, One World Week, Black History Month and Interfaith week.</w:t>
      </w:r>
    </w:p>
    <w:p>
      <w:pPr>
        <w:pStyle w:val="BodyText"/>
        <w:spacing w:line="235" w:lineRule="auto" w:before="2"/>
        <w:ind w:left="607" w:right="2394"/>
      </w:pPr>
      <w:r>
        <w:rPr>
          <w:w w:val="120"/>
        </w:rPr>
        <w:t>Connecting the complexities of marginalisation and drawing out the intersections may better serve the whole Church in its journey to becoming transformed and transforming communities.</w:t>
      </w:r>
    </w:p>
    <w:p>
      <w:pPr>
        <w:pStyle w:val="BodyText"/>
        <w:spacing w:before="2"/>
        <w:rPr>
          <w:sz w:val="22"/>
        </w:rPr>
      </w:pPr>
    </w:p>
    <w:p>
      <w:pPr>
        <w:spacing w:before="1"/>
        <w:ind w:left="607" w:right="0" w:firstLine="0"/>
        <w:jc w:val="left"/>
        <w:rPr>
          <w:rFonts w:ascii="Stone Sans II ITC Std Bk"/>
          <w:b/>
          <w:sz w:val="29"/>
        </w:rPr>
      </w:pPr>
      <w:r>
        <w:rPr>
          <w:rFonts w:ascii="Stone Sans II ITC Std Bk"/>
          <w:b/>
          <w:w w:val="110"/>
          <w:sz w:val="29"/>
        </w:rPr>
        <w:t>Mission and evangelism</w:t>
      </w:r>
    </w:p>
    <w:p>
      <w:pPr>
        <w:pStyle w:val="ListParagraph"/>
        <w:numPr>
          <w:ilvl w:val="1"/>
          <w:numId w:val="206"/>
        </w:numPr>
        <w:tabs>
          <w:tab w:pos="1287" w:val="left" w:leader="none"/>
          <w:tab w:pos="1288" w:val="left" w:leader="none"/>
        </w:tabs>
        <w:spacing w:line="235" w:lineRule="auto" w:before="69" w:after="0"/>
        <w:ind w:left="607" w:right="1999" w:firstLine="0"/>
        <w:jc w:val="left"/>
        <w:rPr>
          <w:sz w:val="20"/>
        </w:rPr>
      </w:pPr>
      <w:r>
        <w:rPr>
          <w:w w:val="120"/>
          <w:sz w:val="20"/>
        </w:rPr>
        <w:t>Supporting synods and local churches in their engagement with mission, evangelism and church growth remains a key </w:t>
      </w:r>
      <w:r>
        <w:rPr>
          <w:spacing w:val="2"/>
          <w:w w:val="120"/>
          <w:sz w:val="20"/>
        </w:rPr>
        <w:t>part </w:t>
      </w:r>
      <w:r>
        <w:rPr>
          <w:w w:val="120"/>
          <w:sz w:val="20"/>
        </w:rPr>
        <w:t>of the work of the mission committee and department. This has happened in a variety of ways and supported by mission   team staff, committee members and mission</w:t>
      </w:r>
      <w:r>
        <w:rPr>
          <w:spacing w:val="8"/>
          <w:w w:val="120"/>
          <w:sz w:val="20"/>
        </w:rPr>
        <w:t> </w:t>
      </w:r>
      <w:r>
        <w:rPr>
          <w:w w:val="120"/>
          <w:sz w:val="20"/>
        </w:rPr>
        <w:t>enablers.</w:t>
      </w:r>
    </w:p>
    <w:p>
      <w:pPr>
        <w:pStyle w:val="BodyText"/>
        <w:rPr>
          <w:sz w:val="19"/>
        </w:rPr>
      </w:pPr>
    </w:p>
    <w:p>
      <w:pPr>
        <w:pStyle w:val="Heading2"/>
      </w:pPr>
      <w:r>
        <w:rPr>
          <w:w w:val="110"/>
        </w:rPr>
        <w:t>Engagement with vision2020</w:t>
      </w:r>
    </w:p>
    <w:p>
      <w:pPr>
        <w:pStyle w:val="ListParagraph"/>
        <w:numPr>
          <w:ilvl w:val="1"/>
          <w:numId w:val="206"/>
        </w:numPr>
        <w:tabs>
          <w:tab w:pos="1287" w:val="left" w:leader="none"/>
          <w:tab w:pos="1288" w:val="left" w:leader="none"/>
        </w:tabs>
        <w:spacing w:line="235" w:lineRule="auto" w:before="83" w:after="0"/>
        <w:ind w:left="607" w:right="2114" w:firstLine="0"/>
        <w:jc w:val="left"/>
        <w:rPr>
          <w:sz w:val="20"/>
        </w:rPr>
      </w:pPr>
      <w:r>
        <w:rPr>
          <w:w w:val="120"/>
          <w:sz w:val="20"/>
        </w:rPr>
        <w:t>Support for churches’ engagement with the vision2020 framework continued with the organising of a workshop together with the Windermere Centre in November </w:t>
      </w:r>
      <w:r>
        <w:rPr>
          <w:spacing w:val="-7"/>
          <w:w w:val="120"/>
          <w:sz w:val="20"/>
        </w:rPr>
        <w:t>2015. </w:t>
      </w:r>
      <w:r>
        <w:rPr>
          <w:w w:val="120"/>
          <w:sz w:val="20"/>
        </w:rPr>
        <w:t>Under the title ‘It Just Works’ the workshop brought together 36 people from local churches to share stories of engagement in mission with their</w:t>
      </w:r>
      <w:r>
        <w:rPr>
          <w:spacing w:val="25"/>
          <w:w w:val="120"/>
          <w:sz w:val="20"/>
        </w:rPr>
        <w:t> </w:t>
      </w:r>
      <w:r>
        <w:rPr>
          <w:w w:val="120"/>
          <w:sz w:val="20"/>
        </w:rPr>
        <w:t>communities.</w:t>
      </w:r>
    </w:p>
    <w:p>
      <w:pPr>
        <w:pStyle w:val="BodyText"/>
        <w:spacing w:line="235" w:lineRule="auto" w:before="3"/>
        <w:ind w:left="607" w:right="2231"/>
      </w:pPr>
      <w:r>
        <w:rPr>
          <w:w w:val="120"/>
        </w:rPr>
        <w:t>They spoke of ideas that had made a real impact on the life of the Church and the community. What the projects had in common was that they were manageable, creative and they worked. The purpose of the workshop was not only to share these activities with each other but also to create a website to publicise</w:t>
      </w:r>
    </w:p>
    <w:p>
      <w:pPr>
        <w:spacing w:after="0" w:line="235" w:lineRule="auto"/>
        <w:sectPr>
          <w:headerReference w:type="even" r:id="rId468"/>
          <w:footerReference w:type="even" r:id="rId469"/>
          <w:footerReference w:type="default" r:id="rId470"/>
          <w:pgSz w:w="11910" w:h="16840"/>
          <w:pgMar w:header="0" w:footer="647" w:top="0" w:bottom="840" w:left="640" w:right="0"/>
          <w:pgNumType w:start="178"/>
        </w:sectPr>
      </w:pPr>
    </w:p>
    <w:p>
      <w:pPr>
        <w:pStyle w:val="BodyText"/>
      </w:pPr>
      <w:r>
        <w:rPr/>
        <w:drawing>
          <wp:anchor distT="0" distB="0" distL="0" distR="0" allowOverlap="1" layoutInCell="1" locked="0" behindDoc="0" simplePos="0" relativeHeight="252136448">
            <wp:simplePos x="0" y="0"/>
            <wp:positionH relativeFrom="page">
              <wp:posOffset>6974928</wp:posOffset>
            </wp:positionH>
            <wp:positionV relativeFrom="page">
              <wp:posOffset>0</wp:posOffset>
            </wp:positionV>
            <wp:extent cx="585063" cy="10692003"/>
            <wp:effectExtent l="0" t="0" r="0" b="0"/>
            <wp:wrapNone/>
            <wp:docPr id="339" name="image54.png"/>
            <wp:cNvGraphicFramePr>
              <a:graphicFrameLocks noChangeAspect="1"/>
            </wp:cNvGraphicFramePr>
            <a:graphic>
              <a:graphicData uri="http://schemas.openxmlformats.org/drawingml/2006/picture">
                <pic:pic>
                  <pic:nvPicPr>
                    <pic:cNvPr id="340" name="image54.png"/>
                    <pic:cNvPicPr/>
                  </pic:nvPicPr>
                  <pic:blipFill>
                    <a:blip r:embed="rId169" cstate="print"/>
                    <a:stretch>
                      <a:fillRect/>
                    </a:stretch>
                  </pic:blipFill>
                  <pic:spPr>
                    <a:xfrm>
                      <a:off x="0" y="0"/>
                      <a:ext cx="585063" cy="10692003"/>
                    </a:xfrm>
                    <a:prstGeom prst="rect">
                      <a:avLst/>
                    </a:prstGeom>
                  </pic:spPr>
                </pic:pic>
              </a:graphicData>
            </a:graphic>
          </wp:anchor>
        </w:drawing>
      </w:r>
    </w:p>
    <w:p>
      <w:pPr>
        <w:pStyle w:val="BodyText"/>
        <w:spacing w:before="7"/>
        <w:rPr>
          <w:sz w:val="21"/>
        </w:rPr>
      </w:pPr>
    </w:p>
    <w:p>
      <w:pPr>
        <w:spacing w:before="106"/>
        <w:ind w:left="0" w:right="1245" w:firstLine="0"/>
        <w:jc w:val="right"/>
        <w:rPr>
          <w:sz w:val="26"/>
        </w:rPr>
      </w:pPr>
      <w:r>
        <w:rPr/>
        <w:pict>
          <v:shape style="position:absolute;margin-left:554.141174pt;margin-top:22.593945pt;width:25.9pt;height:78.850pt;mso-position-horizontal-relative:page;mso-position-vertical-relative:paragraph;z-index:252137472" type="#_x0000_t202" filled="false" stroked="false">
            <v:textbox inset="0,0,0,0" style="layout-flow:vertical">
              <w:txbxContent>
                <w:p>
                  <w:pPr>
                    <w:spacing w:before="27"/>
                    <w:ind w:left="20" w:right="0" w:firstLine="0"/>
                    <w:jc w:val="left"/>
                    <w:rPr>
                      <w:sz w:val="39"/>
                    </w:rPr>
                  </w:pPr>
                  <w:r>
                    <w:rPr>
                      <w:color w:val="FFFFFF"/>
                      <w:w w:val="115"/>
                      <w:sz w:val="39"/>
                    </w:rPr>
                    <w:t>Mission</w:t>
                  </w:r>
                </w:p>
              </w:txbxContent>
            </v:textbox>
            <w10:wrap type="none"/>
          </v:shape>
        </w:pict>
      </w:r>
      <w:r>
        <w:rPr>
          <w:color w:val="7EAABF"/>
          <w:w w:val="110"/>
          <w:sz w:val="26"/>
        </w:rPr>
        <w:t>Mission</w:t>
      </w:r>
    </w:p>
    <w:p>
      <w:pPr>
        <w:pStyle w:val="BodyText"/>
        <w:spacing w:line="235" w:lineRule="auto" w:before="222"/>
        <w:ind w:left="1344" w:right="1478"/>
      </w:pPr>
      <w:r>
        <w:rPr>
          <w:w w:val="120"/>
        </w:rPr>
        <w:t>these stories widely, so that other churches too can be inspired for their own work. The website is organised according to the vision2020 statements and is now live. The address is </w:t>
      </w:r>
      <w:hyperlink r:id="rId473">
        <w:r>
          <w:rPr>
            <w:color w:val="006AB3"/>
            <w:w w:val="120"/>
          </w:rPr>
          <w:t>www.thingsthatwork.urc.org.uk</w:t>
        </w:r>
      </w:hyperlink>
      <w:r>
        <w:rPr>
          <w:w w:val="120"/>
        </w:rPr>
        <w:t>.</w:t>
      </w:r>
    </w:p>
    <w:p>
      <w:pPr>
        <w:pStyle w:val="BodyText"/>
        <w:spacing w:before="10"/>
        <w:rPr>
          <w:sz w:val="19"/>
        </w:rPr>
      </w:pPr>
    </w:p>
    <w:p>
      <w:pPr>
        <w:pStyle w:val="ListParagraph"/>
        <w:numPr>
          <w:ilvl w:val="1"/>
          <w:numId w:val="206"/>
        </w:numPr>
        <w:tabs>
          <w:tab w:pos="2024" w:val="left" w:leader="none"/>
          <w:tab w:pos="2025" w:val="left" w:leader="none"/>
        </w:tabs>
        <w:spacing w:line="235" w:lineRule="auto" w:before="0" w:after="0"/>
        <w:ind w:left="1344" w:right="1268" w:firstLine="0"/>
        <w:jc w:val="left"/>
        <w:rPr>
          <w:sz w:val="20"/>
        </w:rPr>
      </w:pPr>
      <w:r>
        <w:rPr>
          <w:w w:val="120"/>
          <w:sz w:val="20"/>
        </w:rPr>
        <w:t>A small group of mission team and CRCW staff started planning the </w:t>
      </w:r>
      <w:r>
        <w:rPr>
          <w:spacing w:val="-7"/>
          <w:w w:val="120"/>
          <w:sz w:val="20"/>
        </w:rPr>
        <w:t>2015 </w:t>
      </w:r>
      <w:r>
        <w:rPr>
          <w:w w:val="120"/>
          <w:sz w:val="20"/>
        </w:rPr>
        <w:t>vision2020 conference on community partnerships, following successful conferences in </w:t>
      </w:r>
      <w:r>
        <w:rPr>
          <w:spacing w:val="-8"/>
          <w:w w:val="120"/>
          <w:sz w:val="20"/>
        </w:rPr>
        <w:t>2011 </w:t>
      </w:r>
      <w:r>
        <w:rPr>
          <w:w w:val="120"/>
          <w:sz w:val="20"/>
        </w:rPr>
        <w:t>and </w:t>
      </w:r>
      <w:r>
        <w:rPr>
          <w:spacing w:val="-7"/>
          <w:w w:val="120"/>
          <w:sz w:val="20"/>
        </w:rPr>
        <w:t>2013. </w:t>
      </w:r>
      <w:r>
        <w:rPr>
          <w:w w:val="120"/>
          <w:sz w:val="20"/>
        </w:rPr>
        <w:t>Rather than holding a central conference, we decided to offer a series of regional one-day road shows, to enable more people to participate. Unfortunately, due to low interest it was ultimately necessary to cancel the</w:t>
      </w:r>
      <w:r>
        <w:rPr>
          <w:spacing w:val="10"/>
          <w:w w:val="120"/>
          <w:sz w:val="20"/>
        </w:rPr>
        <w:t> </w:t>
      </w:r>
      <w:r>
        <w:rPr>
          <w:w w:val="120"/>
          <w:sz w:val="20"/>
        </w:rPr>
        <w:t>events.</w:t>
      </w:r>
    </w:p>
    <w:p>
      <w:pPr>
        <w:pStyle w:val="BodyText"/>
        <w:spacing w:before="11"/>
        <w:rPr>
          <w:sz w:val="19"/>
        </w:rPr>
      </w:pPr>
    </w:p>
    <w:p>
      <w:pPr>
        <w:pStyle w:val="ListParagraph"/>
        <w:numPr>
          <w:ilvl w:val="1"/>
          <w:numId w:val="206"/>
        </w:numPr>
        <w:tabs>
          <w:tab w:pos="2024" w:val="left" w:leader="none"/>
          <w:tab w:pos="2025" w:val="left" w:leader="none"/>
        </w:tabs>
        <w:spacing w:line="235" w:lineRule="auto" w:before="1" w:after="0"/>
        <w:ind w:left="1344" w:right="1653" w:firstLine="0"/>
        <w:jc w:val="left"/>
        <w:rPr>
          <w:sz w:val="20"/>
        </w:rPr>
      </w:pPr>
      <w:r>
        <w:rPr>
          <w:w w:val="120"/>
          <w:sz w:val="20"/>
        </w:rPr>
        <w:t>The vision2020 grants continue to be administered by the mission team and are increasingly used to support </w:t>
      </w:r>
      <w:r>
        <w:rPr>
          <w:spacing w:val="2"/>
          <w:w w:val="120"/>
          <w:sz w:val="20"/>
        </w:rPr>
        <w:t>one-off </w:t>
      </w:r>
      <w:r>
        <w:rPr>
          <w:w w:val="120"/>
          <w:sz w:val="20"/>
        </w:rPr>
        <w:t>and longer-term developmental mission projects. Grants have been awarded for a variety of community outreach projects, </w:t>
      </w:r>
      <w:r>
        <w:rPr>
          <w:spacing w:val="3"/>
          <w:w w:val="120"/>
          <w:sz w:val="20"/>
        </w:rPr>
        <w:t>art </w:t>
      </w:r>
      <w:r>
        <w:rPr>
          <w:w w:val="120"/>
          <w:sz w:val="20"/>
        </w:rPr>
        <w:t>exhibitions, multicultural feasts, breakfast and lunch clubs, church without</w:t>
      </w:r>
      <w:r>
        <w:rPr>
          <w:spacing w:val="22"/>
          <w:w w:val="120"/>
          <w:sz w:val="20"/>
        </w:rPr>
        <w:t> </w:t>
      </w:r>
      <w:r>
        <w:rPr>
          <w:w w:val="120"/>
          <w:sz w:val="20"/>
        </w:rPr>
        <w:t>walls,</w:t>
      </w:r>
    </w:p>
    <w:p>
      <w:pPr>
        <w:pStyle w:val="BodyText"/>
        <w:spacing w:line="235" w:lineRule="auto" w:before="3"/>
        <w:ind w:left="1344" w:right="1217"/>
      </w:pPr>
      <w:r>
        <w:rPr>
          <w:w w:val="120"/>
        </w:rPr>
        <w:t>children and youth work, asylum justice, disability facilities, and translation facilities for churches with a growing number of non-English speakers, to name some</w:t>
      </w:r>
      <w:r>
        <w:rPr>
          <w:spacing w:val="8"/>
          <w:w w:val="120"/>
        </w:rPr>
        <w:t> </w:t>
      </w:r>
      <w:r>
        <w:rPr>
          <w:w w:val="120"/>
        </w:rPr>
        <w:t>examples.</w:t>
      </w:r>
    </w:p>
    <w:p>
      <w:pPr>
        <w:pStyle w:val="BodyText"/>
        <w:spacing w:line="242" w:lineRule="exact"/>
        <w:ind w:left="1344"/>
      </w:pPr>
      <w:r>
        <w:rPr>
          <w:w w:val="120"/>
        </w:rPr>
        <w:t>Application forms can be found at: </w:t>
      </w:r>
      <w:hyperlink r:id="rId474">
        <w:r>
          <w:rPr>
            <w:color w:val="006AB3"/>
            <w:w w:val="120"/>
          </w:rPr>
          <w:t>www.urc.org.uk/mission</w:t>
        </w:r>
      </w:hyperlink>
    </w:p>
    <w:p>
      <w:pPr>
        <w:pStyle w:val="BodyText"/>
        <w:spacing w:before="9"/>
        <w:rPr>
          <w:sz w:val="18"/>
        </w:rPr>
      </w:pPr>
    </w:p>
    <w:p>
      <w:pPr>
        <w:pStyle w:val="Heading2"/>
        <w:ind w:left="1344"/>
      </w:pPr>
      <w:r>
        <w:rPr>
          <w:w w:val="110"/>
        </w:rPr>
        <w:t>CreateTalk</w:t>
      </w:r>
    </w:p>
    <w:p>
      <w:pPr>
        <w:pStyle w:val="ListParagraph"/>
        <w:numPr>
          <w:ilvl w:val="1"/>
          <w:numId w:val="206"/>
        </w:numPr>
        <w:tabs>
          <w:tab w:pos="2024" w:val="left" w:leader="none"/>
          <w:tab w:pos="2025" w:val="left" w:leader="none"/>
        </w:tabs>
        <w:spacing w:line="235" w:lineRule="auto" w:before="83" w:after="0"/>
        <w:ind w:left="1344" w:right="1314" w:firstLine="0"/>
        <w:jc w:val="left"/>
        <w:rPr>
          <w:sz w:val="20"/>
        </w:rPr>
      </w:pPr>
      <w:r>
        <w:rPr>
          <w:w w:val="120"/>
          <w:sz w:val="20"/>
        </w:rPr>
        <w:t>Launched at General Assembly </w:t>
      </w:r>
      <w:r>
        <w:rPr>
          <w:spacing w:val="-7"/>
          <w:w w:val="120"/>
          <w:sz w:val="20"/>
        </w:rPr>
        <w:t>2014 </w:t>
      </w:r>
      <w:r>
        <w:rPr>
          <w:w w:val="120"/>
          <w:sz w:val="20"/>
        </w:rPr>
        <w:t>as a development from ArtTalk, </w:t>
      </w:r>
      <w:r>
        <w:rPr>
          <w:spacing w:val="-4"/>
          <w:w w:val="120"/>
          <w:sz w:val="20"/>
        </w:rPr>
        <w:t>CreateTalk </w:t>
      </w:r>
      <w:r>
        <w:rPr>
          <w:w w:val="120"/>
          <w:sz w:val="20"/>
        </w:rPr>
        <w:t>encourages churches to connect with their communities through creative activities, anticipating that conversations, inspired by the tool of creativity, will help people discover creativity in their churches and communities, and proactively engage in faith conversation. Resources to help foster imagination are the </w:t>
      </w:r>
      <w:r>
        <w:rPr>
          <w:spacing w:val="-4"/>
          <w:w w:val="120"/>
          <w:sz w:val="20"/>
        </w:rPr>
        <w:t>CreateTalk </w:t>
      </w:r>
      <w:r>
        <w:rPr>
          <w:w w:val="120"/>
          <w:sz w:val="20"/>
        </w:rPr>
        <w:t>area of the URC website, a </w:t>
      </w:r>
      <w:r>
        <w:rPr>
          <w:spacing w:val="-4"/>
          <w:w w:val="120"/>
          <w:sz w:val="20"/>
        </w:rPr>
        <w:t>CreateTalk </w:t>
      </w:r>
      <w:r>
        <w:rPr>
          <w:w w:val="120"/>
          <w:sz w:val="20"/>
        </w:rPr>
        <w:t>Twitter feed, and </w:t>
      </w:r>
      <w:r>
        <w:rPr>
          <w:spacing w:val="-4"/>
          <w:w w:val="120"/>
          <w:sz w:val="20"/>
        </w:rPr>
        <w:t>CreateTalk </w:t>
      </w:r>
      <w:r>
        <w:rPr>
          <w:w w:val="120"/>
          <w:sz w:val="20"/>
        </w:rPr>
        <w:t>mentoring to local churches. The ArtTalk</w:t>
      </w:r>
      <w:r>
        <w:rPr>
          <w:spacing w:val="-5"/>
          <w:w w:val="120"/>
          <w:sz w:val="20"/>
        </w:rPr>
        <w:t> </w:t>
      </w:r>
      <w:r>
        <w:rPr>
          <w:w w:val="120"/>
          <w:sz w:val="20"/>
        </w:rPr>
        <w:t>Resource</w:t>
      </w:r>
      <w:r>
        <w:rPr>
          <w:spacing w:val="-4"/>
          <w:w w:val="120"/>
          <w:sz w:val="20"/>
        </w:rPr>
        <w:t> </w:t>
      </w:r>
      <w:r>
        <w:rPr>
          <w:w w:val="120"/>
          <w:sz w:val="20"/>
        </w:rPr>
        <w:t>Pack</w:t>
      </w:r>
      <w:r>
        <w:rPr>
          <w:spacing w:val="-5"/>
          <w:w w:val="120"/>
          <w:sz w:val="20"/>
        </w:rPr>
        <w:t> </w:t>
      </w:r>
      <w:r>
        <w:rPr>
          <w:w w:val="120"/>
          <w:sz w:val="20"/>
        </w:rPr>
        <w:t>helps</w:t>
      </w:r>
      <w:r>
        <w:rPr>
          <w:spacing w:val="-4"/>
          <w:w w:val="120"/>
          <w:sz w:val="20"/>
        </w:rPr>
        <w:t> </w:t>
      </w:r>
      <w:r>
        <w:rPr>
          <w:w w:val="120"/>
          <w:sz w:val="20"/>
        </w:rPr>
        <w:t>foster</w:t>
      </w:r>
      <w:r>
        <w:rPr>
          <w:spacing w:val="-4"/>
          <w:w w:val="120"/>
          <w:sz w:val="20"/>
        </w:rPr>
        <w:t> </w:t>
      </w:r>
      <w:r>
        <w:rPr>
          <w:w w:val="120"/>
          <w:sz w:val="20"/>
        </w:rPr>
        <w:t>church</w:t>
      </w:r>
      <w:r>
        <w:rPr>
          <w:spacing w:val="-5"/>
          <w:w w:val="120"/>
          <w:sz w:val="20"/>
        </w:rPr>
        <w:t> </w:t>
      </w:r>
      <w:r>
        <w:rPr>
          <w:w w:val="120"/>
          <w:sz w:val="20"/>
        </w:rPr>
        <w:t>conversations.</w:t>
      </w:r>
      <w:r>
        <w:rPr>
          <w:spacing w:val="-4"/>
          <w:w w:val="120"/>
          <w:sz w:val="20"/>
        </w:rPr>
        <w:t> </w:t>
      </w:r>
      <w:r>
        <w:rPr>
          <w:w w:val="120"/>
          <w:sz w:val="20"/>
        </w:rPr>
        <w:t>ArtTalk</w:t>
      </w:r>
      <w:r>
        <w:rPr>
          <w:spacing w:val="-5"/>
          <w:w w:val="120"/>
          <w:sz w:val="20"/>
        </w:rPr>
        <w:t> </w:t>
      </w:r>
      <w:r>
        <w:rPr>
          <w:w w:val="120"/>
          <w:sz w:val="20"/>
        </w:rPr>
        <w:t>Awards</w:t>
      </w:r>
      <w:r>
        <w:rPr>
          <w:spacing w:val="-4"/>
          <w:w w:val="120"/>
          <w:sz w:val="20"/>
        </w:rPr>
        <w:t> </w:t>
      </w:r>
      <w:r>
        <w:rPr>
          <w:w w:val="120"/>
          <w:sz w:val="20"/>
        </w:rPr>
        <w:t>and</w:t>
      </w:r>
      <w:r>
        <w:rPr>
          <w:spacing w:val="-4"/>
          <w:w w:val="120"/>
          <w:sz w:val="20"/>
        </w:rPr>
        <w:t> </w:t>
      </w:r>
      <w:r>
        <w:rPr>
          <w:w w:val="120"/>
          <w:sz w:val="20"/>
        </w:rPr>
        <w:t>vision2020 grants</w:t>
      </w:r>
      <w:r>
        <w:rPr>
          <w:spacing w:val="5"/>
          <w:w w:val="120"/>
          <w:sz w:val="20"/>
        </w:rPr>
        <w:t> </w:t>
      </w:r>
      <w:r>
        <w:rPr>
          <w:w w:val="120"/>
          <w:sz w:val="20"/>
        </w:rPr>
        <w:t>are</w:t>
      </w:r>
      <w:r>
        <w:rPr>
          <w:spacing w:val="5"/>
          <w:w w:val="120"/>
          <w:sz w:val="20"/>
        </w:rPr>
        <w:t> </w:t>
      </w:r>
      <w:r>
        <w:rPr>
          <w:w w:val="120"/>
          <w:sz w:val="20"/>
        </w:rPr>
        <w:t>available</w:t>
      </w:r>
      <w:r>
        <w:rPr>
          <w:spacing w:val="5"/>
          <w:w w:val="120"/>
          <w:sz w:val="20"/>
        </w:rPr>
        <w:t> </w:t>
      </w:r>
      <w:r>
        <w:rPr>
          <w:w w:val="120"/>
          <w:sz w:val="20"/>
        </w:rPr>
        <w:t>to</w:t>
      </w:r>
      <w:r>
        <w:rPr>
          <w:spacing w:val="5"/>
          <w:w w:val="120"/>
          <w:sz w:val="20"/>
        </w:rPr>
        <w:t> </w:t>
      </w:r>
      <w:r>
        <w:rPr>
          <w:w w:val="120"/>
          <w:sz w:val="20"/>
        </w:rPr>
        <w:t>projects</w:t>
      </w:r>
      <w:r>
        <w:rPr>
          <w:spacing w:val="5"/>
          <w:w w:val="120"/>
          <w:sz w:val="20"/>
        </w:rPr>
        <w:t> </w:t>
      </w:r>
      <w:r>
        <w:rPr>
          <w:w w:val="120"/>
          <w:sz w:val="20"/>
        </w:rPr>
        <w:t>which</w:t>
      </w:r>
      <w:r>
        <w:rPr>
          <w:spacing w:val="5"/>
          <w:w w:val="120"/>
          <w:sz w:val="20"/>
        </w:rPr>
        <w:t> </w:t>
      </w:r>
      <w:r>
        <w:rPr>
          <w:w w:val="120"/>
          <w:sz w:val="20"/>
        </w:rPr>
        <w:t>show</w:t>
      </w:r>
      <w:r>
        <w:rPr>
          <w:spacing w:val="5"/>
          <w:w w:val="120"/>
          <w:sz w:val="20"/>
        </w:rPr>
        <w:t> </w:t>
      </w:r>
      <w:r>
        <w:rPr>
          <w:spacing w:val="-7"/>
          <w:w w:val="120"/>
          <w:sz w:val="20"/>
        </w:rPr>
        <w:t>a)</w:t>
      </w:r>
      <w:r>
        <w:rPr>
          <w:spacing w:val="6"/>
          <w:w w:val="120"/>
          <w:sz w:val="20"/>
        </w:rPr>
        <w:t> </w:t>
      </w:r>
      <w:r>
        <w:rPr>
          <w:w w:val="120"/>
          <w:sz w:val="20"/>
        </w:rPr>
        <w:t>plans</w:t>
      </w:r>
      <w:r>
        <w:rPr>
          <w:spacing w:val="5"/>
          <w:w w:val="120"/>
          <w:sz w:val="20"/>
        </w:rPr>
        <w:t> </w:t>
      </w:r>
      <w:r>
        <w:rPr>
          <w:w w:val="120"/>
          <w:sz w:val="20"/>
        </w:rPr>
        <w:t>to</w:t>
      </w:r>
      <w:r>
        <w:rPr>
          <w:spacing w:val="5"/>
          <w:w w:val="120"/>
          <w:sz w:val="20"/>
        </w:rPr>
        <w:t> </w:t>
      </w:r>
      <w:r>
        <w:rPr>
          <w:w w:val="120"/>
          <w:sz w:val="20"/>
        </w:rPr>
        <w:t>create</w:t>
      </w:r>
      <w:r>
        <w:rPr>
          <w:spacing w:val="5"/>
          <w:w w:val="120"/>
          <w:sz w:val="20"/>
        </w:rPr>
        <w:t> </w:t>
      </w:r>
      <w:r>
        <w:rPr>
          <w:w w:val="120"/>
          <w:sz w:val="20"/>
        </w:rPr>
        <w:t>a</w:t>
      </w:r>
      <w:r>
        <w:rPr>
          <w:spacing w:val="5"/>
          <w:w w:val="120"/>
          <w:sz w:val="20"/>
        </w:rPr>
        <w:t> </w:t>
      </w:r>
      <w:r>
        <w:rPr>
          <w:w w:val="120"/>
          <w:sz w:val="20"/>
        </w:rPr>
        <w:t>community</w:t>
      </w:r>
      <w:r>
        <w:rPr>
          <w:spacing w:val="5"/>
          <w:w w:val="120"/>
          <w:sz w:val="20"/>
        </w:rPr>
        <w:t> </w:t>
      </w:r>
      <w:r>
        <w:rPr>
          <w:w w:val="120"/>
          <w:sz w:val="20"/>
        </w:rPr>
        <w:t>connection,</w:t>
      </w:r>
    </w:p>
    <w:p>
      <w:pPr>
        <w:pStyle w:val="BodyText"/>
        <w:spacing w:line="235" w:lineRule="auto" w:before="6"/>
        <w:ind w:left="1344" w:right="1478"/>
      </w:pPr>
      <w:r>
        <w:rPr>
          <w:spacing w:val="-8"/>
          <w:w w:val="125"/>
        </w:rPr>
        <w:t>b)</w:t>
      </w:r>
      <w:r>
        <w:rPr>
          <w:spacing w:val="-16"/>
          <w:w w:val="125"/>
        </w:rPr>
        <w:t> </w:t>
      </w:r>
      <w:r>
        <w:rPr>
          <w:w w:val="125"/>
        </w:rPr>
        <w:t>sharing</w:t>
      </w:r>
      <w:r>
        <w:rPr>
          <w:spacing w:val="-16"/>
          <w:w w:val="125"/>
        </w:rPr>
        <w:t> </w:t>
      </w:r>
      <w:r>
        <w:rPr>
          <w:w w:val="125"/>
        </w:rPr>
        <w:t>of</w:t>
      </w:r>
      <w:r>
        <w:rPr>
          <w:spacing w:val="-15"/>
          <w:w w:val="125"/>
        </w:rPr>
        <w:t> </w:t>
      </w:r>
      <w:r>
        <w:rPr>
          <w:w w:val="125"/>
        </w:rPr>
        <w:t>faith</w:t>
      </w:r>
      <w:r>
        <w:rPr>
          <w:spacing w:val="-16"/>
          <w:w w:val="125"/>
        </w:rPr>
        <w:t> </w:t>
      </w:r>
      <w:r>
        <w:rPr>
          <w:w w:val="125"/>
        </w:rPr>
        <w:t>stories,</w:t>
      </w:r>
      <w:r>
        <w:rPr>
          <w:spacing w:val="-15"/>
          <w:w w:val="125"/>
        </w:rPr>
        <w:t> </w:t>
      </w:r>
      <w:r>
        <w:rPr>
          <w:spacing w:val="-7"/>
          <w:w w:val="125"/>
        </w:rPr>
        <w:t>c)</w:t>
      </w:r>
      <w:r>
        <w:rPr>
          <w:spacing w:val="-16"/>
          <w:w w:val="125"/>
        </w:rPr>
        <w:t> </w:t>
      </w:r>
      <w:r>
        <w:rPr>
          <w:w w:val="125"/>
        </w:rPr>
        <w:t>commitment</w:t>
      </w:r>
      <w:r>
        <w:rPr>
          <w:spacing w:val="-15"/>
          <w:w w:val="125"/>
        </w:rPr>
        <w:t> </w:t>
      </w:r>
      <w:r>
        <w:rPr>
          <w:w w:val="125"/>
        </w:rPr>
        <w:t>from</w:t>
      </w:r>
      <w:r>
        <w:rPr>
          <w:spacing w:val="-16"/>
          <w:w w:val="125"/>
        </w:rPr>
        <w:t> </w:t>
      </w:r>
      <w:r>
        <w:rPr>
          <w:w w:val="125"/>
        </w:rPr>
        <w:t>the</w:t>
      </w:r>
      <w:r>
        <w:rPr>
          <w:spacing w:val="-15"/>
          <w:w w:val="125"/>
        </w:rPr>
        <w:t> </w:t>
      </w:r>
      <w:r>
        <w:rPr>
          <w:w w:val="125"/>
        </w:rPr>
        <w:t>whole</w:t>
      </w:r>
      <w:r>
        <w:rPr>
          <w:spacing w:val="-16"/>
          <w:w w:val="125"/>
        </w:rPr>
        <w:t> </w:t>
      </w:r>
      <w:r>
        <w:rPr>
          <w:w w:val="125"/>
        </w:rPr>
        <w:t>church,</w:t>
      </w:r>
      <w:r>
        <w:rPr>
          <w:spacing w:val="-16"/>
          <w:w w:val="125"/>
        </w:rPr>
        <w:t> </w:t>
      </w:r>
      <w:r>
        <w:rPr>
          <w:w w:val="125"/>
        </w:rPr>
        <w:t>and</w:t>
      </w:r>
      <w:r>
        <w:rPr>
          <w:spacing w:val="-15"/>
          <w:w w:val="125"/>
        </w:rPr>
        <w:t> </w:t>
      </w:r>
      <w:r>
        <w:rPr>
          <w:w w:val="125"/>
        </w:rPr>
        <w:t>d)</w:t>
      </w:r>
      <w:r>
        <w:rPr>
          <w:spacing w:val="-16"/>
          <w:w w:val="125"/>
        </w:rPr>
        <w:t> </w:t>
      </w:r>
      <w:r>
        <w:rPr>
          <w:w w:val="125"/>
        </w:rPr>
        <w:t>plan</w:t>
      </w:r>
      <w:r>
        <w:rPr>
          <w:spacing w:val="-15"/>
          <w:w w:val="125"/>
        </w:rPr>
        <w:t> </w:t>
      </w:r>
      <w:r>
        <w:rPr>
          <w:w w:val="125"/>
        </w:rPr>
        <w:t>for continued</w:t>
      </w:r>
      <w:r>
        <w:rPr>
          <w:spacing w:val="-1"/>
          <w:w w:val="125"/>
        </w:rPr>
        <w:t> </w:t>
      </w:r>
      <w:r>
        <w:rPr>
          <w:w w:val="125"/>
        </w:rPr>
        <w:t>engagement.</w:t>
      </w:r>
    </w:p>
    <w:p>
      <w:pPr>
        <w:pStyle w:val="BodyText"/>
        <w:spacing w:before="9"/>
        <w:rPr>
          <w:sz w:val="19"/>
        </w:rPr>
      </w:pPr>
    </w:p>
    <w:p>
      <w:pPr>
        <w:pStyle w:val="ListParagraph"/>
        <w:numPr>
          <w:ilvl w:val="2"/>
          <w:numId w:val="206"/>
        </w:numPr>
        <w:tabs>
          <w:tab w:pos="2025" w:val="left" w:leader="none"/>
        </w:tabs>
        <w:spacing w:line="235" w:lineRule="auto" w:before="0" w:after="0"/>
        <w:ind w:left="1344" w:right="1339" w:firstLine="0"/>
        <w:jc w:val="left"/>
        <w:rPr>
          <w:sz w:val="20"/>
        </w:rPr>
      </w:pPr>
      <w:r>
        <w:rPr>
          <w:w w:val="120"/>
          <w:sz w:val="20"/>
        </w:rPr>
        <w:t>Bridport churches, inspired to begin arts-based activities, held a Lent Stations    of the Cross around the town. Using an empty shop as a community gallery, Hug, Collumpton, now has a community prayer group. </w:t>
      </w:r>
      <w:r>
        <w:rPr>
          <w:spacing w:val="-3"/>
          <w:w w:val="120"/>
          <w:sz w:val="20"/>
        </w:rPr>
        <w:t>Poole’s  </w:t>
      </w:r>
      <w:r>
        <w:rPr>
          <w:w w:val="120"/>
          <w:sz w:val="20"/>
        </w:rPr>
        <w:t>Bridging Communities  worked with the Borough Council and faith groups, culminating in a community </w:t>
      </w:r>
      <w:r>
        <w:rPr>
          <w:spacing w:val="3"/>
          <w:w w:val="120"/>
          <w:sz w:val="20"/>
        </w:rPr>
        <w:t>art </w:t>
      </w:r>
      <w:r>
        <w:rPr>
          <w:w w:val="120"/>
          <w:sz w:val="20"/>
        </w:rPr>
        <w:t>piece linking residents and faith groups. The project leader said, ‘Create talk helped   me see ways to open the door for conversations about </w:t>
      </w:r>
      <w:r>
        <w:rPr>
          <w:spacing w:val="-3"/>
          <w:w w:val="120"/>
          <w:sz w:val="20"/>
        </w:rPr>
        <w:t>faith.’ </w:t>
      </w:r>
      <w:r>
        <w:rPr>
          <w:w w:val="120"/>
          <w:sz w:val="20"/>
        </w:rPr>
        <w:t>Radford Road </w:t>
      </w:r>
      <w:r>
        <w:rPr>
          <w:spacing w:val="-3"/>
          <w:w w:val="120"/>
          <w:sz w:val="20"/>
        </w:rPr>
        <w:t>URC’s </w:t>
      </w:r>
      <w:r>
        <w:rPr>
          <w:w w:val="120"/>
          <w:sz w:val="20"/>
        </w:rPr>
        <w:t>Bible Society </w:t>
      </w:r>
      <w:r>
        <w:rPr>
          <w:spacing w:val="2"/>
          <w:w w:val="120"/>
          <w:sz w:val="20"/>
        </w:rPr>
        <w:t>tapestry </w:t>
      </w:r>
      <w:r>
        <w:rPr>
          <w:w w:val="120"/>
          <w:sz w:val="20"/>
        </w:rPr>
        <w:t>exhibition attracted a diversity of visitors. New Way Church held an exhibition of work from homeless people who were supported to create it. Chorlton residents were invited to see beauty in their locality, link that with our </w:t>
      </w:r>
      <w:r>
        <w:rPr>
          <w:spacing w:val="-3"/>
          <w:w w:val="120"/>
          <w:sz w:val="20"/>
        </w:rPr>
        <w:t>Creator, </w:t>
      </w:r>
      <w:r>
        <w:rPr>
          <w:w w:val="120"/>
          <w:sz w:val="20"/>
        </w:rPr>
        <w:t>and share it on Facebook. ‘Curiously, the “Beautiful Chorlton” Facebook page keeps   gaining </w:t>
      </w:r>
      <w:r>
        <w:rPr>
          <w:spacing w:val="-5"/>
          <w:w w:val="120"/>
          <w:sz w:val="20"/>
        </w:rPr>
        <w:t>“likes”.’ </w:t>
      </w:r>
      <w:r>
        <w:rPr>
          <w:w w:val="120"/>
          <w:sz w:val="20"/>
        </w:rPr>
        <w:t>Crowstone St George’s holds a creative ‘Sunday Cinema’ allowing the opening up of difficult issues for discussion. Trinity Wimbledon’s Christmas </w:t>
      </w:r>
      <w:r>
        <w:rPr>
          <w:spacing w:val="-3"/>
          <w:w w:val="120"/>
          <w:sz w:val="20"/>
        </w:rPr>
        <w:t>Tree </w:t>
      </w:r>
      <w:r>
        <w:rPr>
          <w:w w:val="120"/>
          <w:sz w:val="20"/>
        </w:rPr>
        <w:t>festival established significant links between the congregation, building users and community groups. Work under the </w:t>
      </w:r>
      <w:r>
        <w:rPr>
          <w:spacing w:val="-4"/>
          <w:w w:val="120"/>
          <w:sz w:val="20"/>
        </w:rPr>
        <w:t>CreateTalk </w:t>
      </w:r>
      <w:r>
        <w:rPr>
          <w:w w:val="120"/>
          <w:sz w:val="20"/>
        </w:rPr>
        <w:t>banner includes a Congregational Federation initiative using Graves </w:t>
      </w:r>
      <w:r>
        <w:rPr>
          <w:spacing w:val="3"/>
          <w:w w:val="120"/>
          <w:sz w:val="20"/>
        </w:rPr>
        <w:t>Art </w:t>
      </w:r>
      <w:r>
        <w:rPr>
          <w:w w:val="120"/>
          <w:sz w:val="20"/>
        </w:rPr>
        <w:t>Gallery, Sheffield, as a location for spirituality conversations. Projects are in planning in Sunderland, Sutton Coldfield, Saltaire, </w:t>
      </w:r>
      <w:r>
        <w:rPr>
          <w:spacing w:val="-3"/>
          <w:w w:val="120"/>
          <w:sz w:val="20"/>
        </w:rPr>
        <w:t>SPACE </w:t>
      </w:r>
      <w:r>
        <w:rPr>
          <w:w w:val="120"/>
          <w:sz w:val="20"/>
        </w:rPr>
        <w:t>(Yorkshire </w:t>
      </w:r>
      <w:r>
        <w:rPr>
          <w:spacing w:val="-4"/>
          <w:w w:val="120"/>
          <w:sz w:val="20"/>
        </w:rPr>
        <w:t>group), </w:t>
      </w:r>
      <w:r>
        <w:rPr>
          <w:w w:val="120"/>
          <w:sz w:val="20"/>
        </w:rPr>
        <w:t>Chorley and</w:t>
      </w:r>
      <w:r>
        <w:rPr>
          <w:spacing w:val="12"/>
          <w:w w:val="120"/>
          <w:sz w:val="20"/>
        </w:rPr>
        <w:t> </w:t>
      </w:r>
      <w:r>
        <w:rPr>
          <w:w w:val="120"/>
          <w:sz w:val="20"/>
        </w:rPr>
        <w:t>Glasgow.</w:t>
      </w:r>
    </w:p>
    <w:p>
      <w:pPr>
        <w:pStyle w:val="BodyText"/>
        <w:spacing w:before="8"/>
      </w:pPr>
    </w:p>
    <w:p>
      <w:pPr>
        <w:pStyle w:val="ListParagraph"/>
        <w:numPr>
          <w:ilvl w:val="2"/>
          <w:numId w:val="206"/>
        </w:numPr>
        <w:tabs>
          <w:tab w:pos="2025" w:val="left" w:leader="none"/>
        </w:tabs>
        <w:spacing w:line="235" w:lineRule="auto" w:before="1" w:after="0"/>
        <w:ind w:left="1344" w:right="1410" w:firstLine="0"/>
        <w:jc w:val="left"/>
        <w:rPr>
          <w:sz w:val="20"/>
        </w:rPr>
      </w:pPr>
      <w:r>
        <w:rPr>
          <w:w w:val="120"/>
          <w:sz w:val="20"/>
        </w:rPr>
        <w:t>Extraordinarily simple activities can create enormous impact, yet to establish the simple is a complex thing. Visits to local churches and groups have revealed much, particularly how local churches do or do not engage in obvious creativity and faith conversations.</w:t>
      </w:r>
    </w:p>
    <w:p>
      <w:pPr>
        <w:pStyle w:val="ListParagraph"/>
        <w:numPr>
          <w:ilvl w:val="3"/>
          <w:numId w:val="206"/>
        </w:numPr>
        <w:tabs>
          <w:tab w:pos="2785" w:val="left" w:leader="none"/>
        </w:tabs>
        <w:spacing w:line="235" w:lineRule="auto" w:before="3" w:after="0"/>
        <w:ind w:left="2024" w:right="1415" w:firstLine="0"/>
        <w:jc w:val="left"/>
        <w:rPr>
          <w:sz w:val="20"/>
        </w:rPr>
      </w:pPr>
      <w:r>
        <w:rPr>
          <w:w w:val="120"/>
          <w:sz w:val="20"/>
        </w:rPr>
        <w:t>Obvious Creativity – Existing visual in churches: creativity often means visual </w:t>
      </w:r>
      <w:r>
        <w:rPr>
          <w:spacing w:val="2"/>
          <w:w w:val="120"/>
          <w:sz w:val="20"/>
        </w:rPr>
        <w:t>art, </w:t>
      </w:r>
      <w:r>
        <w:rPr>
          <w:w w:val="120"/>
          <w:sz w:val="20"/>
        </w:rPr>
        <w:t>yet, ‘seeing’ the visual already in churches can be difficult. It is hard to imagine an </w:t>
      </w:r>
      <w:r>
        <w:rPr>
          <w:spacing w:val="3"/>
          <w:w w:val="120"/>
          <w:sz w:val="20"/>
        </w:rPr>
        <w:t>art </w:t>
      </w:r>
      <w:r>
        <w:rPr>
          <w:w w:val="120"/>
          <w:sz w:val="20"/>
        </w:rPr>
        <w:t>exhibition or theatre performance in a building which has not been </w:t>
      </w:r>
      <w:r>
        <w:rPr>
          <w:spacing w:val="-3"/>
          <w:w w:val="120"/>
          <w:sz w:val="20"/>
        </w:rPr>
        <w:t>‘seen’ </w:t>
      </w:r>
      <w:r>
        <w:rPr>
          <w:w w:val="120"/>
          <w:sz w:val="20"/>
        </w:rPr>
        <w:t>in truth, full of redundant objects and furniture. Members, used to not</w:t>
      </w:r>
      <w:r>
        <w:rPr>
          <w:spacing w:val="5"/>
          <w:w w:val="120"/>
          <w:sz w:val="20"/>
        </w:rPr>
        <w:t> </w:t>
      </w:r>
      <w:r>
        <w:rPr>
          <w:w w:val="120"/>
          <w:sz w:val="20"/>
        </w:rPr>
        <w:t>noticing</w:t>
      </w:r>
      <w:r>
        <w:rPr>
          <w:spacing w:val="6"/>
          <w:w w:val="120"/>
          <w:sz w:val="20"/>
        </w:rPr>
        <w:t> </w:t>
      </w:r>
      <w:r>
        <w:rPr>
          <w:w w:val="120"/>
          <w:sz w:val="20"/>
        </w:rPr>
        <w:t>what</w:t>
      </w:r>
      <w:r>
        <w:rPr>
          <w:spacing w:val="5"/>
          <w:w w:val="120"/>
          <w:sz w:val="20"/>
        </w:rPr>
        <w:t> </w:t>
      </w:r>
      <w:r>
        <w:rPr>
          <w:w w:val="120"/>
          <w:sz w:val="20"/>
        </w:rPr>
        <w:t>fills</w:t>
      </w:r>
      <w:r>
        <w:rPr>
          <w:spacing w:val="6"/>
          <w:w w:val="120"/>
          <w:sz w:val="20"/>
        </w:rPr>
        <w:t> </w:t>
      </w:r>
      <w:r>
        <w:rPr>
          <w:w w:val="120"/>
          <w:sz w:val="20"/>
        </w:rPr>
        <w:t>their</w:t>
      </w:r>
      <w:r>
        <w:rPr>
          <w:spacing w:val="5"/>
          <w:w w:val="120"/>
          <w:sz w:val="20"/>
        </w:rPr>
        <w:t> </w:t>
      </w:r>
      <w:r>
        <w:rPr>
          <w:w w:val="120"/>
          <w:sz w:val="20"/>
        </w:rPr>
        <w:t>building,</w:t>
      </w:r>
      <w:r>
        <w:rPr>
          <w:spacing w:val="6"/>
          <w:w w:val="120"/>
          <w:sz w:val="20"/>
        </w:rPr>
        <w:t> </w:t>
      </w:r>
      <w:r>
        <w:rPr>
          <w:w w:val="120"/>
          <w:sz w:val="20"/>
        </w:rPr>
        <w:t>need</w:t>
      </w:r>
      <w:r>
        <w:rPr>
          <w:spacing w:val="5"/>
          <w:w w:val="120"/>
          <w:sz w:val="20"/>
        </w:rPr>
        <w:t> </w:t>
      </w:r>
      <w:r>
        <w:rPr>
          <w:w w:val="120"/>
          <w:sz w:val="20"/>
        </w:rPr>
        <w:t>support</w:t>
      </w:r>
      <w:r>
        <w:rPr>
          <w:spacing w:val="6"/>
          <w:w w:val="120"/>
          <w:sz w:val="20"/>
        </w:rPr>
        <w:t> </w:t>
      </w:r>
      <w:r>
        <w:rPr>
          <w:w w:val="120"/>
          <w:sz w:val="20"/>
        </w:rPr>
        <w:t>to</w:t>
      </w:r>
      <w:r>
        <w:rPr>
          <w:spacing w:val="5"/>
          <w:w w:val="120"/>
          <w:sz w:val="20"/>
        </w:rPr>
        <w:t> </w:t>
      </w:r>
      <w:r>
        <w:rPr>
          <w:w w:val="120"/>
          <w:sz w:val="20"/>
        </w:rPr>
        <w:t>realise</w:t>
      </w:r>
      <w:r>
        <w:rPr>
          <w:spacing w:val="6"/>
          <w:w w:val="120"/>
          <w:sz w:val="20"/>
        </w:rPr>
        <w:t> </w:t>
      </w:r>
      <w:r>
        <w:rPr>
          <w:w w:val="120"/>
          <w:sz w:val="20"/>
        </w:rPr>
        <w:t>that,</w:t>
      </w:r>
      <w:r>
        <w:rPr>
          <w:spacing w:val="6"/>
          <w:w w:val="120"/>
          <w:sz w:val="20"/>
        </w:rPr>
        <w:t> </w:t>
      </w:r>
      <w:r>
        <w:rPr>
          <w:w w:val="120"/>
          <w:sz w:val="20"/>
        </w:rPr>
        <w:t>to</w:t>
      </w:r>
      <w:r>
        <w:rPr>
          <w:spacing w:val="5"/>
          <w:w w:val="120"/>
          <w:sz w:val="20"/>
        </w:rPr>
        <w:t> </w:t>
      </w:r>
      <w:r>
        <w:rPr>
          <w:w w:val="120"/>
          <w:sz w:val="20"/>
        </w:rPr>
        <w:t>the</w:t>
      </w:r>
      <w:r>
        <w:rPr>
          <w:spacing w:val="6"/>
          <w:w w:val="120"/>
          <w:sz w:val="20"/>
        </w:rPr>
        <w:t> </w:t>
      </w:r>
      <w:r>
        <w:rPr>
          <w:spacing w:val="-3"/>
          <w:w w:val="120"/>
          <w:sz w:val="20"/>
        </w:rPr>
        <w:t>visitor,</w:t>
      </w:r>
    </w:p>
    <w:p>
      <w:pPr>
        <w:pStyle w:val="BodyText"/>
        <w:spacing w:line="235" w:lineRule="auto" w:before="3"/>
        <w:ind w:left="2024" w:right="1217"/>
      </w:pPr>
      <w:r>
        <w:rPr>
          <w:w w:val="120"/>
        </w:rPr>
        <w:t>the new creative activity is just as new as what is already in a building. Before the new arrives, the old must be seen, and perhaps repurposed.</w:t>
      </w:r>
    </w:p>
    <w:p>
      <w:pPr>
        <w:spacing w:after="0" w:line="235" w:lineRule="auto"/>
        <w:sectPr>
          <w:headerReference w:type="default" r:id="rId472"/>
          <w:pgSz w:w="11910" w:h="16840"/>
          <w:pgMar w:header="0" w:footer="647" w:top="0" w:bottom="840" w:left="640" w:right="0"/>
        </w:sectPr>
      </w:pPr>
    </w:p>
    <w:p>
      <w:pPr>
        <w:pStyle w:val="BodyText"/>
      </w:pPr>
      <w:r>
        <w:rPr/>
        <w:drawing>
          <wp:anchor distT="0" distB="0" distL="0" distR="0" allowOverlap="1" layoutInCell="1" locked="0" behindDoc="1" simplePos="0" relativeHeight="235684864">
            <wp:simplePos x="0" y="0"/>
            <wp:positionH relativeFrom="page">
              <wp:posOffset>0</wp:posOffset>
            </wp:positionH>
            <wp:positionV relativeFrom="page">
              <wp:posOffset>0</wp:posOffset>
            </wp:positionV>
            <wp:extent cx="594067" cy="10692003"/>
            <wp:effectExtent l="0" t="0" r="0" b="0"/>
            <wp:wrapNone/>
            <wp:docPr id="341" name="image67.png"/>
            <wp:cNvGraphicFramePr>
              <a:graphicFrameLocks noChangeAspect="1"/>
            </wp:cNvGraphicFramePr>
            <a:graphic>
              <a:graphicData uri="http://schemas.openxmlformats.org/drawingml/2006/picture">
                <pic:pic>
                  <pic:nvPicPr>
                    <pic:cNvPr id="342" name="image67.png"/>
                    <pic:cNvPicPr/>
                  </pic:nvPicPr>
                  <pic:blipFill>
                    <a:blip r:embed="rId184" cstate="print"/>
                    <a:stretch>
                      <a:fillRect/>
                    </a:stretch>
                  </pic:blipFill>
                  <pic:spPr>
                    <a:xfrm>
                      <a:off x="0" y="0"/>
                      <a:ext cx="594067" cy="10692003"/>
                    </a:xfrm>
                    <a:prstGeom prst="rect">
                      <a:avLst/>
                    </a:prstGeom>
                  </pic:spPr>
                </pic:pic>
              </a:graphicData>
            </a:graphic>
          </wp:anchor>
        </w:drawing>
      </w:r>
      <w:r>
        <w:rPr/>
        <w:pict>
          <v:shape style="position:absolute;margin-left:20.519100pt;margin-top:48.890015pt;width:25.9pt;height:78.850pt;mso-position-horizontal-relative:page;mso-position-vertical-relative:page;z-index:252139520" type="#_x0000_t202" filled="false" stroked="false">
            <v:textbox inset="0,0,0,0" style="layout-flow:vertical">
              <w:txbxContent>
                <w:p>
                  <w:pPr>
                    <w:spacing w:before="27"/>
                    <w:ind w:left="20" w:right="0" w:firstLine="0"/>
                    <w:jc w:val="left"/>
                    <w:rPr>
                      <w:sz w:val="39"/>
                    </w:rPr>
                  </w:pPr>
                  <w:r>
                    <w:rPr>
                      <w:color w:val="FFFFFF"/>
                      <w:w w:val="115"/>
                      <w:sz w:val="39"/>
                    </w:rPr>
                    <w:t>Mission</w:t>
                  </w:r>
                </w:p>
              </w:txbxContent>
            </v:textbox>
            <w10:wrap type="none"/>
          </v:shape>
        </w:pict>
      </w:r>
    </w:p>
    <w:p>
      <w:pPr>
        <w:pStyle w:val="BodyText"/>
        <w:spacing w:before="7"/>
        <w:rPr>
          <w:sz w:val="21"/>
        </w:rPr>
      </w:pPr>
    </w:p>
    <w:p>
      <w:pPr>
        <w:spacing w:before="106"/>
        <w:ind w:left="607" w:right="0" w:firstLine="0"/>
        <w:jc w:val="left"/>
        <w:rPr>
          <w:sz w:val="26"/>
        </w:rPr>
      </w:pPr>
      <w:r>
        <w:rPr>
          <w:color w:val="7EAABF"/>
          <w:w w:val="115"/>
          <w:sz w:val="26"/>
        </w:rPr>
        <w:t>Mission</w:t>
      </w:r>
    </w:p>
    <w:p>
      <w:pPr>
        <w:pStyle w:val="ListParagraph"/>
        <w:numPr>
          <w:ilvl w:val="3"/>
          <w:numId w:val="206"/>
        </w:numPr>
        <w:tabs>
          <w:tab w:pos="2042" w:val="left" w:leader="none"/>
        </w:tabs>
        <w:spacing w:line="235" w:lineRule="auto" w:before="222" w:after="0"/>
        <w:ind w:left="1287" w:right="2319" w:firstLine="0"/>
        <w:jc w:val="left"/>
        <w:rPr>
          <w:sz w:val="20"/>
        </w:rPr>
      </w:pPr>
      <w:r>
        <w:rPr>
          <w:w w:val="120"/>
          <w:sz w:val="20"/>
        </w:rPr>
        <w:t>Enabling faith conversations: in every project, the hardest </w:t>
      </w:r>
      <w:r>
        <w:rPr>
          <w:spacing w:val="2"/>
          <w:w w:val="120"/>
          <w:sz w:val="20"/>
        </w:rPr>
        <w:t>part </w:t>
      </w:r>
      <w:r>
        <w:rPr>
          <w:w w:val="120"/>
          <w:sz w:val="20"/>
        </w:rPr>
        <w:t>is faith conversation. Churches have been venues for years, with little connection between the performers, audience and church members. </w:t>
      </w:r>
      <w:r>
        <w:rPr>
          <w:spacing w:val="-4"/>
          <w:w w:val="120"/>
          <w:sz w:val="20"/>
        </w:rPr>
        <w:t>CreateTalk </w:t>
      </w:r>
      <w:r>
        <w:rPr>
          <w:w w:val="120"/>
          <w:sz w:val="20"/>
        </w:rPr>
        <w:t>activities need intentional loiterers, comfortable to have ad hoc conversation. Hug, Collumpton, staffed their Gallery with members from churches who hovered. Connection needs to be planned, intentional, obvious and full of graceful reticence.</w:t>
      </w:r>
    </w:p>
    <w:p>
      <w:pPr>
        <w:pStyle w:val="BodyText"/>
      </w:pPr>
    </w:p>
    <w:p>
      <w:pPr>
        <w:pStyle w:val="ListParagraph"/>
        <w:numPr>
          <w:ilvl w:val="2"/>
          <w:numId w:val="206"/>
        </w:numPr>
        <w:tabs>
          <w:tab w:pos="1288" w:val="left" w:leader="none"/>
        </w:tabs>
        <w:spacing w:line="235" w:lineRule="auto" w:before="1" w:after="0"/>
        <w:ind w:left="607" w:right="1983" w:firstLine="0"/>
        <w:jc w:val="left"/>
        <w:rPr>
          <w:sz w:val="20"/>
        </w:rPr>
      </w:pPr>
      <w:r>
        <w:rPr>
          <w:spacing w:val="-4"/>
          <w:w w:val="120"/>
          <w:sz w:val="20"/>
        </w:rPr>
        <w:t>CreateTalk </w:t>
      </w:r>
      <w:r>
        <w:rPr>
          <w:w w:val="120"/>
          <w:sz w:val="20"/>
        </w:rPr>
        <w:t>keeps proving that a mission model, where the good news </w:t>
      </w:r>
      <w:r>
        <w:rPr>
          <w:spacing w:val="3"/>
          <w:w w:val="120"/>
          <w:sz w:val="20"/>
        </w:rPr>
        <w:t>starts </w:t>
      </w:r>
      <w:r>
        <w:rPr>
          <w:w w:val="120"/>
          <w:sz w:val="20"/>
        </w:rPr>
        <w:t>in relationships built around creativity, leads to deep conversations. However, new mission models embed slowly, with enthusiasts at workshops and presentations returning to   the reality of local church life. Feedback from activities shows that deep conversations are being had and that connection is being made. But to cascade the experience is time consuming and it is our hope that this will continue to happen beyond December </w:t>
      </w:r>
      <w:r>
        <w:rPr>
          <w:spacing w:val="-7"/>
          <w:w w:val="120"/>
          <w:sz w:val="20"/>
        </w:rPr>
        <w:t>2016 </w:t>
      </w:r>
      <w:r>
        <w:rPr>
          <w:w w:val="120"/>
          <w:sz w:val="20"/>
        </w:rPr>
        <w:t>when the </w:t>
      </w:r>
      <w:r>
        <w:rPr>
          <w:spacing w:val="-4"/>
          <w:w w:val="120"/>
          <w:sz w:val="20"/>
        </w:rPr>
        <w:t>CreateTalk </w:t>
      </w:r>
      <w:r>
        <w:rPr>
          <w:w w:val="120"/>
          <w:sz w:val="20"/>
        </w:rPr>
        <w:t>project is due to</w:t>
      </w:r>
      <w:r>
        <w:rPr>
          <w:spacing w:val="20"/>
          <w:w w:val="120"/>
          <w:sz w:val="20"/>
        </w:rPr>
        <w:t> </w:t>
      </w:r>
      <w:r>
        <w:rPr>
          <w:w w:val="120"/>
          <w:sz w:val="20"/>
        </w:rPr>
        <w:t>end.</w:t>
      </w:r>
    </w:p>
    <w:p>
      <w:pPr>
        <w:pStyle w:val="BodyText"/>
        <w:spacing w:before="2"/>
        <w:rPr>
          <w:sz w:val="19"/>
        </w:rPr>
      </w:pPr>
    </w:p>
    <w:p>
      <w:pPr>
        <w:pStyle w:val="Heading2"/>
      </w:pPr>
      <w:r>
        <w:rPr>
          <w:w w:val="110"/>
        </w:rPr>
        <w:t>Fresh Expressions</w:t>
      </w:r>
    </w:p>
    <w:p>
      <w:pPr>
        <w:pStyle w:val="ListParagraph"/>
        <w:numPr>
          <w:ilvl w:val="1"/>
          <w:numId w:val="206"/>
        </w:numPr>
        <w:tabs>
          <w:tab w:pos="1287" w:val="left" w:leader="none"/>
          <w:tab w:pos="1288" w:val="left" w:leader="none"/>
        </w:tabs>
        <w:spacing w:line="235" w:lineRule="auto" w:before="83" w:after="0"/>
        <w:ind w:left="607" w:right="2488" w:firstLine="0"/>
        <w:jc w:val="left"/>
        <w:rPr>
          <w:sz w:val="20"/>
        </w:rPr>
      </w:pPr>
      <w:r>
        <w:rPr>
          <w:w w:val="120"/>
          <w:sz w:val="20"/>
        </w:rPr>
        <w:t>In </w:t>
      </w:r>
      <w:r>
        <w:rPr>
          <w:spacing w:val="-7"/>
          <w:w w:val="120"/>
          <w:sz w:val="20"/>
        </w:rPr>
        <w:t>2014 </w:t>
      </w:r>
      <w:r>
        <w:rPr>
          <w:w w:val="120"/>
          <w:sz w:val="20"/>
        </w:rPr>
        <w:t>the URC joined the third phase of Fresh Expressions, which will end in March </w:t>
      </w:r>
      <w:r>
        <w:rPr>
          <w:spacing w:val="-8"/>
          <w:w w:val="120"/>
          <w:sz w:val="20"/>
        </w:rPr>
        <w:t>2019. </w:t>
      </w:r>
      <w:r>
        <w:rPr>
          <w:w w:val="120"/>
          <w:sz w:val="20"/>
        </w:rPr>
        <w:t>Canon Phil Potter took post as the new team leader and the board was reconstituted under the chairing of the Revd Dr </w:t>
      </w:r>
      <w:r>
        <w:rPr>
          <w:spacing w:val="2"/>
          <w:w w:val="120"/>
          <w:sz w:val="20"/>
        </w:rPr>
        <w:t>Martyn </w:t>
      </w:r>
      <w:r>
        <w:rPr>
          <w:w w:val="120"/>
          <w:sz w:val="20"/>
        </w:rPr>
        <w:t>Atkins, former General Secretary of the Methodist Church. Currently Fresh Expressions has five</w:t>
      </w:r>
      <w:r>
        <w:rPr>
          <w:spacing w:val="29"/>
          <w:w w:val="120"/>
          <w:sz w:val="20"/>
        </w:rPr>
        <w:t> </w:t>
      </w:r>
      <w:r>
        <w:rPr>
          <w:w w:val="120"/>
          <w:sz w:val="20"/>
        </w:rPr>
        <w:t>Church</w:t>
      </w:r>
    </w:p>
    <w:p>
      <w:pPr>
        <w:pStyle w:val="BodyText"/>
        <w:spacing w:line="235" w:lineRule="auto" w:before="3"/>
        <w:ind w:left="607" w:right="2071"/>
      </w:pPr>
      <w:r>
        <w:rPr>
          <w:w w:val="120"/>
        </w:rPr>
        <w:t>partners and </w:t>
      </w:r>
      <w:r>
        <w:rPr>
          <w:spacing w:val="-8"/>
          <w:w w:val="120"/>
        </w:rPr>
        <w:t>14 </w:t>
      </w:r>
      <w:r>
        <w:rPr>
          <w:w w:val="120"/>
        </w:rPr>
        <w:t>network partners, with conversations being held with many more. The board has affirmed the mission of Fresh Expressions as championing and resourcing  new types of churches by promoting best practice, providing effective support and creating genuine partnership. The five areas of strategic focus for the next years include inspiring vision, networking strategically, connecting geographically, supporting  pioneers and resourcing</w:t>
      </w:r>
      <w:r>
        <w:rPr>
          <w:spacing w:val="7"/>
          <w:w w:val="120"/>
        </w:rPr>
        <w:t> </w:t>
      </w:r>
      <w:r>
        <w:rPr>
          <w:w w:val="120"/>
        </w:rPr>
        <w:t>learning.</w:t>
      </w:r>
    </w:p>
    <w:p>
      <w:pPr>
        <w:pStyle w:val="BodyText"/>
      </w:pPr>
    </w:p>
    <w:p>
      <w:pPr>
        <w:pStyle w:val="ListParagraph"/>
        <w:numPr>
          <w:ilvl w:val="1"/>
          <w:numId w:val="206"/>
        </w:numPr>
        <w:tabs>
          <w:tab w:pos="1288" w:val="left" w:leader="none"/>
        </w:tabs>
        <w:spacing w:line="235" w:lineRule="auto" w:before="0" w:after="0"/>
        <w:ind w:left="607" w:right="2146" w:firstLine="0"/>
        <w:jc w:val="both"/>
        <w:rPr>
          <w:sz w:val="20"/>
        </w:rPr>
      </w:pPr>
      <w:r>
        <w:rPr>
          <w:w w:val="120"/>
          <w:sz w:val="20"/>
        </w:rPr>
        <w:t>The work of the URC Coordinator for Fresh Expressions, who is </w:t>
      </w:r>
      <w:r>
        <w:rPr>
          <w:spacing w:val="2"/>
          <w:w w:val="120"/>
          <w:sz w:val="20"/>
        </w:rPr>
        <w:t>part </w:t>
      </w:r>
      <w:r>
        <w:rPr>
          <w:w w:val="120"/>
          <w:sz w:val="20"/>
        </w:rPr>
        <w:t>of the Fresh Expressions team, developed significantly and was extended to a full time post in May </w:t>
      </w:r>
      <w:r>
        <w:rPr>
          <w:spacing w:val="-7"/>
          <w:w w:val="120"/>
          <w:sz w:val="20"/>
        </w:rPr>
        <w:t>2015, </w:t>
      </w:r>
      <w:r>
        <w:rPr>
          <w:w w:val="120"/>
          <w:sz w:val="20"/>
        </w:rPr>
        <w:t>partly funded by CWM’s Mission Support</w:t>
      </w:r>
      <w:r>
        <w:rPr>
          <w:spacing w:val="31"/>
          <w:w w:val="120"/>
          <w:sz w:val="20"/>
        </w:rPr>
        <w:t> </w:t>
      </w:r>
      <w:r>
        <w:rPr>
          <w:w w:val="120"/>
          <w:sz w:val="20"/>
        </w:rPr>
        <w:t>Programme.</w:t>
      </w:r>
    </w:p>
    <w:p>
      <w:pPr>
        <w:pStyle w:val="BodyText"/>
        <w:spacing w:before="10"/>
        <w:rPr>
          <w:sz w:val="19"/>
        </w:rPr>
      </w:pPr>
    </w:p>
    <w:p>
      <w:pPr>
        <w:pStyle w:val="ListParagraph"/>
        <w:numPr>
          <w:ilvl w:val="2"/>
          <w:numId w:val="206"/>
        </w:numPr>
        <w:tabs>
          <w:tab w:pos="1287" w:val="left" w:leader="none"/>
          <w:tab w:pos="1288" w:val="left" w:leader="none"/>
        </w:tabs>
        <w:spacing w:line="235" w:lineRule="auto" w:before="1" w:after="0"/>
        <w:ind w:left="607" w:right="2051" w:firstLine="0"/>
        <w:jc w:val="left"/>
        <w:rPr>
          <w:sz w:val="20"/>
        </w:rPr>
      </w:pPr>
      <w:r>
        <w:rPr>
          <w:w w:val="120"/>
          <w:sz w:val="20"/>
        </w:rPr>
        <w:t>Much has changed since the Mission Shaped Church </w:t>
      </w:r>
      <w:r>
        <w:rPr>
          <w:spacing w:val="2"/>
          <w:w w:val="120"/>
          <w:sz w:val="20"/>
        </w:rPr>
        <w:t>report </w:t>
      </w:r>
      <w:r>
        <w:rPr>
          <w:spacing w:val="-3"/>
          <w:w w:val="120"/>
          <w:sz w:val="20"/>
        </w:rPr>
        <w:t>(2004) </w:t>
      </w:r>
      <w:r>
        <w:rPr>
          <w:w w:val="120"/>
          <w:sz w:val="20"/>
        </w:rPr>
        <w:t>first coined the phrase ‘fresh expressions of </w:t>
      </w:r>
      <w:r>
        <w:rPr>
          <w:spacing w:val="-4"/>
          <w:w w:val="120"/>
          <w:sz w:val="20"/>
        </w:rPr>
        <w:t>church’. </w:t>
      </w:r>
      <w:r>
        <w:rPr>
          <w:w w:val="120"/>
          <w:sz w:val="20"/>
        </w:rPr>
        <w:t>That original </w:t>
      </w:r>
      <w:r>
        <w:rPr>
          <w:spacing w:val="2"/>
          <w:w w:val="120"/>
          <w:sz w:val="20"/>
        </w:rPr>
        <w:t>report </w:t>
      </w:r>
      <w:r>
        <w:rPr>
          <w:w w:val="120"/>
          <w:sz w:val="20"/>
        </w:rPr>
        <w:t>highlighted a widening disconnect between church and culture, and began to consider how new forms of church might bridge the gap. In the </w:t>
      </w:r>
      <w:r>
        <w:rPr>
          <w:spacing w:val="-9"/>
          <w:w w:val="120"/>
          <w:sz w:val="20"/>
        </w:rPr>
        <w:t>12 </w:t>
      </w:r>
      <w:r>
        <w:rPr>
          <w:w w:val="120"/>
          <w:sz w:val="20"/>
        </w:rPr>
        <w:t>years since, there have been further dramatic changes</w:t>
      </w:r>
      <w:r>
        <w:rPr>
          <w:spacing w:val="5"/>
          <w:w w:val="120"/>
          <w:sz w:val="20"/>
        </w:rPr>
        <w:t> </w:t>
      </w:r>
      <w:r>
        <w:rPr>
          <w:w w:val="120"/>
          <w:sz w:val="20"/>
        </w:rPr>
        <w:t>in</w:t>
      </w:r>
      <w:r>
        <w:rPr>
          <w:spacing w:val="5"/>
          <w:w w:val="120"/>
          <w:sz w:val="20"/>
        </w:rPr>
        <w:t> </w:t>
      </w:r>
      <w:r>
        <w:rPr>
          <w:w w:val="120"/>
          <w:sz w:val="20"/>
        </w:rPr>
        <w:t>culture</w:t>
      </w:r>
      <w:r>
        <w:rPr>
          <w:spacing w:val="5"/>
          <w:w w:val="120"/>
          <w:sz w:val="20"/>
        </w:rPr>
        <w:t> </w:t>
      </w:r>
      <w:r>
        <w:rPr>
          <w:w w:val="120"/>
          <w:sz w:val="20"/>
        </w:rPr>
        <w:t>–</w:t>
      </w:r>
      <w:r>
        <w:rPr>
          <w:spacing w:val="6"/>
          <w:w w:val="120"/>
          <w:sz w:val="20"/>
        </w:rPr>
        <w:t> </w:t>
      </w:r>
      <w:r>
        <w:rPr>
          <w:w w:val="120"/>
          <w:sz w:val="20"/>
        </w:rPr>
        <w:t>not</w:t>
      </w:r>
      <w:r>
        <w:rPr>
          <w:spacing w:val="5"/>
          <w:w w:val="120"/>
          <w:sz w:val="20"/>
        </w:rPr>
        <w:t> </w:t>
      </w:r>
      <w:r>
        <w:rPr>
          <w:w w:val="120"/>
          <w:sz w:val="20"/>
        </w:rPr>
        <w:t>least,</w:t>
      </w:r>
      <w:r>
        <w:rPr>
          <w:spacing w:val="5"/>
          <w:w w:val="120"/>
          <w:sz w:val="20"/>
        </w:rPr>
        <w:t> </w:t>
      </w:r>
      <w:r>
        <w:rPr>
          <w:w w:val="120"/>
          <w:sz w:val="20"/>
        </w:rPr>
        <w:t>the</w:t>
      </w:r>
      <w:r>
        <w:rPr>
          <w:spacing w:val="5"/>
          <w:w w:val="120"/>
          <w:sz w:val="20"/>
        </w:rPr>
        <w:t> </w:t>
      </w:r>
      <w:r>
        <w:rPr>
          <w:w w:val="120"/>
          <w:sz w:val="20"/>
        </w:rPr>
        <w:t>advance</w:t>
      </w:r>
      <w:r>
        <w:rPr>
          <w:spacing w:val="6"/>
          <w:w w:val="120"/>
          <w:sz w:val="20"/>
        </w:rPr>
        <w:t> </w:t>
      </w:r>
      <w:r>
        <w:rPr>
          <w:w w:val="120"/>
          <w:sz w:val="20"/>
        </w:rPr>
        <w:t>of</w:t>
      </w:r>
      <w:r>
        <w:rPr>
          <w:spacing w:val="5"/>
          <w:w w:val="120"/>
          <w:sz w:val="20"/>
        </w:rPr>
        <w:t> </w:t>
      </w:r>
      <w:r>
        <w:rPr>
          <w:w w:val="120"/>
          <w:sz w:val="20"/>
        </w:rPr>
        <w:t>social</w:t>
      </w:r>
      <w:r>
        <w:rPr>
          <w:spacing w:val="5"/>
          <w:w w:val="120"/>
          <w:sz w:val="20"/>
        </w:rPr>
        <w:t> </w:t>
      </w:r>
      <w:r>
        <w:rPr>
          <w:w w:val="120"/>
          <w:sz w:val="20"/>
        </w:rPr>
        <w:t>media</w:t>
      </w:r>
      <w:r>
        <w:rPr>
          <w:spacing w:val="6"/>
          <w:w w:val="120"/>
          <w:sz w:val="20"/>
        </w:rPr>
        <w:t> </w:t>
      </w:r>
      <w:r>
        <w:rPr>
          <w:w w:val="120"/>
          <w:sz w:val="20"/>
        </w:rPr>
        <w:t>and</w:t>
      </w:r>
      <w:r>
        <w:rPr>
          <w:spacing w:val="5"/>
          <w:w w:val="120"/>
          <w:sz w:val="20"/>
        </w:rPr>
        <w:t> </w:t>
      </w:r>
      <w:r>
        <w:rPr>
          <w:w w:val="120"/>
          <w:sz w:val="20"/>
        </w:rPr>
        <w:t>mobile</w:t>
      </w:r>
      <w:r>
        <w:rPr>
          <w:spacing w:val="5"/>
          <w:w w:val="120"/>
          <w:sz w:val="20"/>
        </w:rPr>
        <w:t> </w:t>
      </w:r>
      <w:r>
        <w:rPr>
          <w:w w:val="120"/>
          <w:sz w:val="20"/>
        </w:rPr>
        <w:t>communications</w:t>
      </w:r>
    </w:p>
    <w:p>
      <w:pPr>
        <w:pStyle w:val="BodyText"/>
        <w:spacing w:line="235" w:lineRule="auto" w:before="3"/>
        <w:ind w:left="607" w:right="2231"/>
      </w:pPr>
      <w:r>
        <w:rPr>
          <w:w w:val="120"/>
        </w:rPr>
        <w:t>– and the phrase ‘fresh expressions of church’ has become part of the language for many denominations including the URC. We are embracing the reality that new types of church have an essential role in mission.</w:t>
      </w:r>
    </w:p>
    <w:p>
      <w:pPr>
        <w:pStyle w:val="BodyText"/>
        <w:spacing w:before="10"/>
        <w:rPr>
          <w:sz w:val="19"/>
        </w:rPr>
      </w:pPr>
    </w:p>
    <w:p>
      <w:pPr>
        <w:pStyle w:val="ListParagraph"/>
        <w:numPr>
          <w:ilvl w:val="2"/>
          <w:numId w:val="206"/>
        </w:numPr>
        <w:tabs>
          <w:tab w:pos="1287" w:val="left" w:leader="none"/>
          <w:tab w:pos="1288" w:val="left" w:leader="none"/>
        </w:tabs>
        <w:spacing w:line="235" w:lineRule="auto" w:before="1" w:after="0"/>
        <w:ind w:left="607" w:right="2045" w:firstLine="0"/>
        <w:jc w:val="left"/>
        <w:rPr>
          <w:sz w:val="20"/>
        </w:rPr>
      </w:pPr>
      <w:r>
        <w:rPr>
          <w:spacing w:val="3"/>
          <w:w w:val="120"/>
          <w:sz w:val="20"/>
        </w:rPr>
        <w:t>As </w:t>
      </w:r>
      <w:r>
        <w:rPr>
          <w:w w:val="120"/>
          <w:sz w:val="20"/>
        </w:rPr>
        <w:t>the URC encourages habitual individual discipleship, fresh expressions of church are catalysts for more missional activity. Many fresh expressions emerge by encouraging a </w:t>
      </w:r>
      <w:r>
        <w:rPr>
          <w:i/>
          <w:w w:val="120"/>
          <w:sz w:val="20"/>
        </w:rPr>
        <w:t>mixed economy </w:t>
      </w:r>
      <w:r>
        <w:rPr>
          <w:w w:val="120"/>
          <w:sz w:val="20"/>
        </w:rPr>
        <w:t>of traditional and new types of church. We are seeing some excellent examples of mixed economy within the URC. These are churches that appreciate the possibilities of inviting people into church, whilst also encouraging mission outside of the building. Groby URC in Leicestershire offers a free weekly breakfast, bouncy castle and crafts; this provides a safe, familiar environment for people to enquire about Jesus, and in turn encourages new discipleship. Likewise, the Free Church in St Ives and Cornerstone in Hythe each offer a wide range of missional outreach activities, some inside the building, others out in the community. Each church offers a variety of discipleship pathways as people begin to enquire about Jesus. The URC in Rhos-on-Sea, </w:t>
      </w:r>
      <w:r>
        <w:rPr>
          <w:spacing w:val="2"/>
          <w:w w:val="120"/>
          <w:sz w:val="20"/>
        </w:rPr>
        <w:t>North </w:t>
      </w:r>
      <w:r>
        <w:rPr>
          <w:w w:val="120"/>
          <w:sz w:val="20"/>
        </w:rPr>
        <w:t>Wales works ecumenically offering a range of youth and </w:t>
      </w:r>
      <w:r>
        <w:rPr>
          <w:spacing w:val="-3"/>
          <w:w w:val="120"/>
          <w:sz w:val="20"/>
        </w:rPr>
        <w:t>children’s </w:t>
      </w:r>
      <w:r>
        <w:rPr>
          <w:w w:val="120"/>
          <w:sz w:val="20"/>
        </w:rPr>
        <w:t>clubs, all with worship</w:t>
      </w:r>
      <w:r>
        <w:rPr>
          <w:spacing w:val="17"/>
          <w:w w:val="120"/>
          <w:sz w:val="20"/>
        </w:rPr>
        <w:t> </w:t>
      </w:r>
      <w:r>
        <w:rPr>
          <w:w w:val="120"/>
          <w:sz w:val="20"/>
        </w:rPr>
        <w:t>opportunities.</w:t>
      </w:r>
    </w:p>
    <w:p>
      <w:pPr>
        <w:pStyle w:val="BodyText"/>
        <w:spacing w:before="5"/>
      </w:pPr>
    </w:p>
    <w:p>
      <w:pPr>
        <w:pStyle w:val="ListParagraph"/>
        <w:numPr>
          <w:ilvl w:val="2"/>
          <w:numId w:val="206"/>
        </w:numPr>
        <w:tabs>
          <w:tab w:pos="1287" w:val="left" w:leader="none"/>
          <w:tab w:pos="1288" w:val="left" w:leader="none"/>
        </w:tabs>
        <w:spacing w:line="235" w:lineRule="auto" w:before="0" w:after="0"/>
        <w:ind w:left="607" w:right="2022" w:firstLine="0"/>
        <w:jc w:val="left"/>
        <w:rPr>
          <w:sz w:val="20"/>
        </w:rPr>
      </w:pPr>
      <w:r>
        <w:rPr>
          <w:w w:val="120"/>
          <w:sz w:val="20"/>
        </w:rPr>
        <w:t>There are also trained pioneer leaders who work towards models of church that are edgy and different to anything else that is on offer. These are only relevant to their own specific community and emerge after the pioneers have spent time immersed in local</w:t>
      </w:r>
      <w:r>
        <w:rPr>
          <w:spacing w:val="7"/>
          <w:w w:val="120"/>
          <w:sz w:val="20"/>
        </w:rPr>
        <w:t> </w:t>
      </w:r>
      <w:r>
        <w:rPr>
          <w:w w:val="120"/>
          <w:sz w:val="20"/>
        </w:rPr>
        <w:t>culture.</w:t>
      </w:r>
      <w:r>
        <w:rPr>
          <w:spacing w:val="7"/>
          <w:w w:val="120"/>
          <w:sz w:val="20"/>
        </w:rPr>
        <w:t> </w:t>
      </w:r>
      <w:r>
        <w:rPr>
          <w:w w:val="120"/>
          <w:sz w:val="20"/>
        </w:rPr>
        <w:t>The</w:t>
      </w:r>
      <w:r>
        <w:rPr>
          <w:spacing w:val="7"/>
          <w:w w:val="120"/>
          <w:sz w:val="20"/>
        </w:rPr>
        <w:t> </w:t>
      </w:r>
      <w:r>
        <w:rPr>
          <w:w w:val="120"/>
          <w:sz w:val="20"/>
        </w:rPr>
        <w:t>URC</w:t>
      </w:r>
      <w:r>
        <w:rPr>
          <w:spacing w:val="7"/>
          <w:w w:val="120"/>
          <w:sz w:val="20"/>
        </w:rPr>
        <w:t> </w:t>
      </w:r>
      <w:r>
        <w:rPr>
          <w:w w:val="120"/>
          <w:sz w:val="20"/>
        </w:rPr>
        <w:t>currently</w:t>
      </w:r>
      <w:r>
        <w:rPr>
          <w:spacing w:val="8"/>
          <w:w w:val="120"/>
          <w:sz w:val="20"/>
        </w:rPr>
        <w:t> </w:t>
      </w:r>
      <w:r>
        <w:rPr>
          <w:w w:val="120"/>
          <w:sz w:val="20"/>
        </w:rPr>
        <w:t>has</w:t>
      </w:r>
      <w:r>
        <w:rPr>
          <w:spacing w:val="7"/>
          <w:w w:val="120"/>
          <w:sz w:val="20"/>
        </w:rPr>
        <w:t> </w:t>
      </w:r>
      <w:r>
        <w:rPr>
          <w:w w:val="120"/>
          <w:sz w:val="20"/>
        </w:rPr>
        <w:t>seven</w:t>
      </w:r>
      <w:r>
        <w:rPr>
          <w:spacing w:val="7"/>
          <w:w w:val="120"/>
          <w:sz w:val="20"/>
        </w:rPr>
        <w:t> </w:t>
      </w:r>
      <w:r>
        <w:rPr>
          <w:w w:val="120"/>
          <w:sz w:val="20"/>
        </w:rPr>
        <w:t>such</w:t>
      </w:r>
      <w:r>
        <w:rPr>
          <w:spacing w:val="7"/>
          <w:w w:val="120"/>
          <w:sz w:val="20"/>
        </w:rPr>
        <w:t> </w:t>
      </w:r>
      <w:r>
        <w:rPr>
          <w:w w:val="120"/>
          <w:sz w:val="20"/>
        </w:rPr>
        <w:t>pioneers,</w:t>
      </w:r>
      <w:r>
        <w:rPr>
          <w:spacing w:val="8"/>
          <w:w w:val="120"/>
          <w:sz w:val="20"/>
        </w:rPr>
        <w:t> </w:t>
      </w:r>
      <w:r>
        <w:rPr>
          <w:w w:val="120"/>
          <w:sz w:val="20"/>
        </w:rPr>
        <w:t>with</w:t>
      </w:r>
      <w:r>
        <w:rPr>
          <w:spacing w:val="7"/>
          <w:w w:val="120"/>
          <w:sz w:val="20"/>
        </w:rPr>
        <w:t> </w:t>
      </w:r>
      <w:r>
        <w:rPr>
          <w:w w:val="120"/>
          <w:sz w:val="20"/>
        </w:rPr>
        <w:t>others</w:t>
      </w:r>
      <w:r>
        <w:rPr>
          <w:spacing w:val="7"/>
          <w:w w:val="120"/>
          <w:sz w:val="20"/>
        </w:rPr>
        <w:t> </w:t>
      </w:r>
      <w:r>
        <w:rPr>
          <w:w w:val="120"/>
          <w:sz w:val="20"/>
        </w:rPr>
        <w:t>coming</w:t>
      </w:r>
      <w:r>
        <w:rPr>
          <w:spacing w:val="7"/>
          <w:w w:val="120"/>
          <w:sz w:val="20"/>
        </w:rPr>
        <w:t> </w:t>
      </w:r>
      <w:r>
        <w:rPr>
          <w:w w:val="120"/>
          <w:sz w:val="20"/>
        </w:rPr>
        <w:t>on</w:t>
      </w:r>
      <w:r>
        <w:rPr>
          <w:spacing w:val="8"/>
          <w:w w:val="120"/>
          <w:sz w:val="20"/>
        </w:rPr>
        <w:t> </w:t>
      </w:r>
      <w:r>
        <w:rPr>
          <w:w w:val="120"/>
          <w:sz w:val="20"/>
        </w:rPr>
        <w:t>board.</w:t>
      </w:r>
    </w:p>
    <w:p>
      <w:pPr>
        <w:spacing w:after="0" w:line="235" w:lineRule="auto"/>
        <w:jc w:val="left"/>
        <w:rPr>
          <w:sz w:val="20"/>
        </w:rPr>
        <w:sectPr>
          <w:headerReference w:type="even" r:id="rId475"/>
          <w:footerReference w:type="even" r:id="rId476"/>
          <w:footerReference w:type="default" r:id="rId477"/>
          <w:pgSz w:w="11910" w:h="16840"/>
          <w:pgMar w:header="0" w:footer="647" w:top="0" w:bottom="840" w:left="640" w:right="0"/>
        </w:sectPr>
      </w:pPr>
    </w:p>
    <w:p>
      <w:pPr>
        <w:pStyle w:val="BodyText"/>
      </w:pPr>
      <w:r>
        <w:rPr/>
        <w:drawing>
          <wp:anchor distT="0" distB="0" distL="0" distR="0" allowOverlap="1" layoutInCell="1" locked="0" behindDoc="0" simplePos="0" relativeHeight="252140544">
            <wp:simplePos x="0" y="0"/>
            <wp:positionH relativeFrom="page">
              <wp:posOffset>6974928</wp:posOffset>
            </wp:positionH>
            <wp:positionV relativeFrom="page">
              <wp:posOffset>0</wp:posOffset>
            </wp:positionV>
            <wp:extent cx="585063" cy="10692003"/>
            <wp:effectExtent l="0" t="0" r="0" b="0"/>
            <wp:wrapNone/>
            <wp:docPr id="343" name="image54.png"/>
            <wp:cNvGraphicFramePr>
              <a:graphicFrameLocks noChangeAspect="1"/>
            </wp:cNvGraphicFramePr>
            <a:graphic>
              <a:graphicData uri="http://schemas.openxmlformats.org/drawingml/2006/picture">
                <pic:pic>
                  <pic:nvPicPr>
                    <pic:cNvPr id="344" name="image54.png"/>
                    <pic:cNvPicPr/>
                  </pic:nvPicPr>
                  <pic:blipFill>
                    <a:blip r:embed="rId169" cstate="print"/>
                    <a:stretch>
                      <a:fillRect/>
                    </a:stretch>
                  </pic:blipFill>
                  <pic:spPr>
                    <a:xfrm>
                      <a:off x="0" y="0"/>
                      <a:ext cx="585063" cy="10692003"/>
                    </a:xfrm>
                    <a:prstGeom prst="rect">
                      <a:avLst/>
                    </a:prstGeom>
                  </pic:spPr>
                </pic:pic>
              </a:graphicData>
            </a:graphic>
          </wp:anchor>
        </w:drawing>
      </w:r>
    </w:p>
    <w:p>
      <w:pPr>
        <w:pStyle w:val="BodyText"/>
        <w:spacing w:before="7"/>
        <w:rPr>
          <w:sz w:val="21"/>
        </w:rPr>
      </w:pPr>
    </w:p>
    <w:p>
      <w:pPr>
        <w:spacing w:before="106"/>
        <w:ind w:left="0" w:right="1245" w:firstLine="0"/>
        <w:jc w:val="right"/>
        <w:rPr>
          <w:sz w:val="26"/>
        </w:rPr>
      </w:pPr>
      <w:r>
        <w:rPr/>
        <w:pict>
          <v:shape style="position:absolute;margin-left:554.141174pt;margin-top:22.593945pt;width:25.9pt;height:78.850pt;mso-position-horizontal-relative:page;mso-position-vertical-relative:paragraph;z-index:252141568" type="#_x0000_t202" filled="false" stroked="false">
            <v:textbox inset="0,0,0,0" style="layout-flow:vertical">
              <w:txbxContent>
                <w:p>
                  <w:pPr>
                    <w:spacing w:before="27"/>
                    <w:ind w:left="20" w:right="0" w:firstLine="0"/>
                    <w:jc w:val="left"/>
                    <w:rPr>
                      <w:sz w:val="39"/>
                    </w:rPr>
                  </w:pPr>
                  <w:r>
                    <w:rPr>
                      <w:color w:val="FFFFFF"/>
                      <w:w w:val="115"/>
                      <w:sz w:val="39"/>
                    </w:rPr>
                    <w:t>Mission</w:t>
                  </w:r>
                </w:p>
              </w:txbxContent>
            </v:textbox>
            <w10:wrap type="none"/>
          </v:shape>
        </w:pict>
      </w:r>
      <w:r>
        <w:rPr>
          <w:color w:val="7EAABF"/>
          <w:w w:val="110"/>
          <w:sz w:val="26"/>
        </w:rPr>
        <w:t>Mission</w:t>
      </w:r>
    </w:p>
    <w:p>
      <w:pPr>
        <w:pStyle w:val="BodyText"/>
        <w:spacing w:line="235" w:lineRule="auto" w:before="222"/>
        <w:ind w:left="1344" w:right="1217"/>
      </w:pPr>
      <w:r>
        <w:rPr>
          <w:w w:val="120"/>
        </w:rPr>
        <w:t>They work around the country, including St Neots, Milton Keynes, Ipswich, Collumpton and Chorlton-cum-Hardy, and range from setting up church in new housing developments, among café-culture, and creating new communities in a small</w:t>
      </w:r>
      <w:r>
        <w:rPr>
          <w:spacing w:val="52"/>
          <w:w w:val="120"/>
        </w:rPr>
        <w:t> </w:t>
      </w:r>
      <w:r>
        <w:rPr>
          <w:w w:val="120"/>
        </w:rPr>
        <w:t>town.</w:t>
      </w:r>
    </w:p>
    <w:p>
      <w:pPr>
        <w:pStyle w:val="BodyText"/>
        <w:spacing w:before="10"/>
        <w:rPr>
          <w:sz w:val="19"/>
        </w:rPr>
      </w:pPr>
    </w:p>
    <w:p>
      <w:pPr>
        <w:pStyle w:val="ListParagraph"/>
        <w:numPr>
          <w:ilvl w:val="2"/>
          <w:numId w:val="206"/>
        </w:numPr>
        <w:tabs>
          <w:tab w:pos="2024" w:val="left" w:leader="none"/>
          <w:tab w:pos="2025" w:val="left" w:leader="none"/>
        </w:tabs>
        <w:spacing w:line="235" w:lineRule="auto" w:before="0" w:after="0"/>
        <w:ind w:left="1344" w:right="1469" w:firstLine="0"/>
        <w:jc w:val="left"/>
        <w:rPr>
          <w:sz w:val="20"/>
        </w:rPr>
      </w:pPr>
      <w:r>
        <w:rPr>
          <w:w w:val="120"/>
          <w:sz w:val="20"/>
        </w:rPr>
        <w:t>We are intentionally developing networks of pioneering leaders. The first of these in the URC is taking shape in Eastern Synod, where around 25 ministers and leaders meet to discuss specific issues that affect them as they develop new forms of church. Fresh Expressions is developing a network of coaches and mentors to support and assist the fledgling new forms of church, and we continue to offer training in the form of local vision events, mission shaped intro and mission shaped ministry</w:t>
      </w:r>
      <w:r>
        <w:rPr>
          <w:spacing w:val="25"/>
          <w:w w:val="120"/>
          <w:sz w:val="20"/>
        </w:rPr>
        <w:t> </w:t>
      </w:r>
      <w:r>
        <w:rPr>
          <w:w w:val="120"/>
          <w:sz w:val="20"/>
        </w:rPr>
        <w:t>courses.</w:t>
      </w:r>
    </w:p>
    <w:p>
      <w:pPr>
        <w:pStyle w:val="BodyText"/>
        <w:spacing w:before="2"/>
        <w:rPr>
          <w:sz w:val="19"/>
        </w:rPr>
      </w:pPr>
    </w:p>
    <w:p>
      <w:pPr>
        <w:pStyle w:val="Heading2"/>
        <w:ind w:left="1344"/>
      </w:pPr>
      <w:r>
        <w:rPr>
          <w:w w:val="110"/>
        </w:rPr>
        <w:t>Engaging with partners</w:t>
      </w:r>
    </w:p>
    <w:p>
      <w:pPr>
        <w:pStyle w:val="ListParagraph"/>
        <w:numPr>
          <w:ilvl w:val="1"/>
          <w:numId w:val="206"/>
        </w:numPr>
        <w:tabs>
          <w:tab w:pos="2024" w:val="left" w:leader="none"/>
          <w:tab w:pos="2025" w:val="left" w:leader="none"/>
        </w:tabs>
        <w:spacing w:line="235" w:lineRule="auto" w:before="82" w:after="0"/>
        <w:ind w:left="1344" w:right="1287" w:firstLine="0"/>
        <w:jc w:val="left"/>
        <w:rPr>
          <w:sz w:val="20"/>
        </w:rPr>
      </w:pPr>
      <w:r>
        <w:rPr>
          <w:w w:val="120"/>
          <w:sz w:val="20"/>
        </w:rPr>
        <w:t>The URC continued to be </w:t>
      </w:r>
      <w:r>
        <w:rPr>
          <w:spacing w:val="2"/>
          <w:w w:val="120"/>
          <w:sz w:val="20"/>
        </w:rPr>
        <w:t>part </w:t>
      </w:r>
      <w:r>
        <w:rPr>
          <w:w w:val="120"/>
          <w:sz w:val="20"/>
        </w:rPr>
        <w:t>of Back to Church Sunday in </w:t>
      </w:r>
      <w:r>
        <w:rPr>
          <w:spacing w:val="-7"/>
          <w:w w:val="120"/>
          <w:sz w:val="20"/>
        </w:rPr>
        <w:t>2014, </w:t>
      </w:r>
      <w:r>
        <w:rPr>
          <w:w w:val="120"/>
          <w:sz w:val="20"/>
        </w:rPr>
        <w:t>but saw a significant reduction in the number of participating churches. In </w:t>
      </w:r>
      <w:r>
        <w:rPr>
          <w:spacing w:val="-7"/>
          <w:w w:val="120"/>
          <w:sz w:val="20"/>
        </w:rPr>
        <w:t>2015 </w:t>
      </w:r>
      <w:r>
        <w:rPr>
          <w:w w:val="120"/>
          <w:sz w:val="20"/>
        </w:rPr>
        <w:t>Back to Church Sunday took a different approach with Season of Invitation, which focused on training local churches to invite people on five Sundays, from September to Christmas. Within the URC six synods took advantage of the training offered, with </w:t>
      </w:r>
      <w:r>
        <w:rPr>
          <w:spacing w:val="-4"/>
          <w:w w:val="120"/>
          <w:sz w:val="20"/>
        </w:rPr>
        <w:t>45 </w:t>
      </w:r>
      <w:r>
        <w:rPr>
          <w:w w:val="120"/>
          <w:sz w:val="20"/>
        </w:rPr>
        <w:t>churches taking </w:t>
      </w:r>
      <w:r>
        <w:rPr>
          <w:spacing w:val="2"/>
          <w:w w:val="120"/>
          <w:sz w:val="20"/>
        </w:rPr>
        <w:t>part </w:t>
      </w:r>
      <w:r>
        <w:rPr>
          <w:w w:val="120"/>
          <w:sz w:val="20"/>
        </w:rPr>
        <w:t>in West Midlands, Yorkshire and </w:t>
      </w:r>
      <w:r>
        <w:rPr>
          <w:spacing w:val="2"/>
          <w:w w:val="120"/>
          <w:sz w:val="20"/>
        </w:rPr>
        <w:t>North </w:t>
      </w:r>
      <w:r>
        <w:rPr>
          <w:w w:val="120"/>
          <w:sz w:val="20"/>
        </w:rPr>
        <w:t>Western Synods alone. This year will be the final year of promoting Season of Invitation with a training perspective and the organisers  are currently reflecting on what will be offered in</w:t>
      </w:r>
      <w:r>
        <w:rPr>
          <w:spacing w:val="22"/>
          <w:w w:val="120"/>
          <w:sz w:val="20"/>
        </w:rPr>
        <w:t> </w:t>
      </w:r>
      <w:r>
        <w:rPr>
          <w:spacing w:val="-12"/>
          <w:w w:val="120"/>
          <w:sz w:val="20"/>
        </w:rPr>
        <w:t>2017.</w:t>
      </w:r>
    </w:p>
    <w:p>
      <w:pPr>
        <w:pStyle w:val="BodyText"/>
        <w:spacing w:before="2"/>
      </w:pPr>
    </w:p>
    <w:p>
      <w:pPr>
        <w:pStyle w:val="ListParagraph"/>
        <w:numPr>
          <w:ilvl w:val="1"/>
          <w:numId w:val="206"/>
        </w:numPr>
        <w:tabs>
          <w:tab w:pos="2024" w:val="left" w:leader="none"/>
          <w:tab w:pos="2025" w:val="left" w:leader="none"/>
        </w:tabs>
        <w:spacing w:line="235" w:lineRule="auto" w:before="0" w:after="0"/>
        <w:ind w:left="1344" w:right="1571" w:firstLine="0"/>
        <w:jc w:val="left"/>
        <w:rPr>
          <w:sz w:val="20"/>
        </w:rPr>
      </w:pPr>
      <w:r>
        <w:rPr>
          <w:w w:val="120"/>
          <w:sz w:val="20"/>
        </w:rPr>
        <w:t>The HOPE initiative was evaluated after its second phase in the early </w:t>
      </w:r>
      <w:r>
        <w:rPr>
          <w:spacing w:val="2"/>
          <w:w w:val="120"/>
          <w:sz w:val="20"/>
        </w:rPr>
        <w:t>part </w:t>
      </w:r>
      <w:r>
        <w:rPr>
          <w:w w:val="120"/>
          <w:sz w:val="20"/>
        </w:rPr>
        <w:t>of </w:t>
      </w:r>
      <w:r>
        <w:rPr>
          <w:spacing w:val="-7"/>
          <w:w w:val="120"/>
          <w:sz w:val="20"/>
        </w:rPr>
        <w:t>2015. </w:t>
      </w:r>
      <w:r>
        <w:rPr>
          <w:w w:val="120"/>
          <w:sz w:val="20"/>
        </w:rPr>
        <w:t>Anecdotal evidence from mission committee members and mission enablers suggests there was good engagement with HOPE in local churches, particularly in </w:t>
      </w:r>
      <w:r>
        <w:rPr>
          <w:spacing w:val="2"/>
          <w:w w:val="120"/>
          <w:sz w:val="20"/>
        </w:rPr>
        <w:t>Northern </w:t>
      </w:r>
      <w:r>
        <w:rPr>
          <w:w w:val="120"/>
          <w:sz w:val="20"/>
        </w:rPr>
        <w:t>Synod </w:t>
      </w:r>
      <w:r>
        <w:rPr>
          <w:spacing w:val="-3"/>
          <w:w w:val="120"/>
          <w:sz w:val="20"/>
        </w:rPr>
        <w:t>(around </w:t>
      </w:r>
      <w:r>
        <w:rPr>
          <w:w w:val="120"/>
          <w:sz w:val="20"/>
        </w:rPr>
        <w:t>the centenary of the </w:t>
      </w:r>
      <w:r>
        <w:rPr>
          <w:spacing w:val="2"/>
          <w:w w:val="120"/>
          <w:sz w:val="20"/>
        </w:rPr>
        <w:t>start </w:t>
      </w:r>
      <w:r>
        <w:rPr>
          <w:w w:val="120"/>
          <w:sz w:val="20"/>
        </w:rPr>
        <w:t>of </w:t>
      </w:r>
      <w:r>
        <w:rPr>
          <w:spacing w:val="-3"/>
          <w:w w:val="120"/>
          <w:sz w:val="20"/>
        </w:rPr>
        <w:t>WW1), </w:t>
      </w:r>
      <w:r>
        <w:rPr>
          <w:w w:val="120"/>
          <w:sz w:val="20"/>
        </w:rPr>
        <w:t>Wessex and Scotland. A major gathering of denominational leaders in March </w:t>
      </w:r>
      <w:r>
        <w:rPr>
          <w:spacing w:val="-7"/>
          <w:w w:val="120"/>
          <w:sz w:val="20"/>
        </w:rPr>
        <w:t>2015 </w:t>
      </w:r>
      <w:r>
        <w:rPr>
          <w:w w:val="120"/>
          <w:sz w:val="20"/>
        </w:rPr>
        <w:t>considered the evaluation and reflected on what should happen next. The findings suggested that </w:t>
      </w:r>
      <w:r>
        <w:rPr>
          <w:spacing w:val="-4"/>
          <w:w w:val="120"/>
          <w:sz w:val="20"/>
        </w:rPr>
        <w:t>HOPE14     </w:t>
      </w:r>
      <w:r>
        <w:rPr>
          <w:w w:val="120"/>
          <w:sz w:val="20"/>
        </w:rPr>
        <w:t>had</w:t>
      </w:r>
      <w:r>
        <w:rPr>
          <w:spacing w:val="8"/>
          <w:w w:val="120"/>
          <w:sz w:val="20"/>
        </w:rPr>
        <w:t> </w:t>
      </w:r>
      <w:r>
        <w:rPr>
          <w:w w:val="120"/>
          <w:sz w:val="20"/>
        </w:rPr>
        <w:t>been</w:t>
      </w:r>
      <w:r>
        <w:rPr>
          <w:spacing w:val="8"/>
          <w:w w:val="120"/>
          <w:sz w:val="20"/>
        </w:rPr>
        <w:t> </w:t>
      </w:r>
      <w:r>
        <w:rPr>
          <w:w w:val="120"/>
          <w:sz w:val="20"/>
        </w:rPr>
        <w:t>good</w:t>
      </w:r>
      <w:r>
        <w:rPr>
          <w:spacing w:val="8"/>
          <w:w w:val="120"/>
          <w:sz w:val="20"/>
        </w:rPr>
        <w:t> </w:t>
      </w:r>
      <w:r>
        <w:rPr>
          <w:w w:val="120"/>
          <w:sz w:val="20"/>
        </w:rPr>
        <w:t>at</w:t>
      </w:r>
      <w:r>
        <w:rPr>
          <w:spacing w:val="8"/>
          <w:w w:val="120"/>
          <w:sz w:val="20"/>
        </w:rPr>
        <w:t> </w:t>
      </w:r>
      <w:r>
        <w:rPr>
          <w:w w:val="120"/>
          <w:sz w:val="20"/>
        </w:rPr>
        <w:t>community</w:t>
      </w:r>
      <w:r>
        <w:rPr>
          <w:spacing w:val="9"/>
          <w:w w:val="120"/>
          <w:sz w:val="20"/>
        </w:rPr>
        <w:t> </w:t>
      </w:r>
      <w:r>
        <w:rPr>
          <w:w w:val="120"/>
          <w:sz w:val="20"/>
        </w:rPr>
        <w:t>engagement</w:t>
      </w:r>
      <w:r>
        <w:rPr>
          <w:spacing w:val="8"/>
          <w:w w:val="120"/>
          <w:sz w:val="20"/>
        </w:rPr>
        <w:t> </w:t>
      </w:r>
      <w:r>
        <w:rPr>
          <w:w w:val="120"/>
          <w:sz w:val="20"/>
        </w:rPr>
        <w:t>but</w:t>
      </w:r>
      <w:r>
        <w:rPr>
          <w:spacing w:val="8"/>
          <w:w w:val="120"/>
          <w:sz w:val="20"/>
        </w:rPr>
        <w:t> </w:t>
      </w:r>
      <w:r>
        <w:rPr>
          <w:w w:val="120"/>
          <w:sz w:val="20"/>
        </w:rPr>
        <w:t>not</w:t>
      </w:r>
      <w:r>
        <w:rPr>
          <w:spacing w:val="8"/>
          <w:w w:val="120"/>
          <w:sz w:val="20"/>
        </w:rPr>
        <w:t> </w:t>
      </w:r>
      <w:r>
        <w:rPr>
          <w:w w:val="120"/>
          <w:sz w:val="20"/>
        </w:rPr>
        <w:t>at</w:t>
      </w:r>
      <w:r>
        <w:rPr>
          <w:spacing w:val="8"/>
          <w:w w:val="120"/>
          <w:sz w:val="20"/>
        </w:rPr>
        <w:t> </w:t>
      </w:r>
      <w:r>
        <w:rPr>
          <w:w w:val="120"/>
          <w:sz w:val="20"/>
        </w:rPr>
        <w:t>evangelism.</w:t>
      </w:r>
      <w:r>
        <w:rPr>
          <w:spacing w:val="9"/>
          <w:w w:val="120"/>
          <w:sz w:val="20"/>
        </w:rPr>
        <w:t> </w:t>
      </w:r>
      <w:r>
        <w:rPr>
          <w:w w:val="120"/>
          <w:sz w:val="20"/>
        </w:rPr>
        <w:t>This</w:t>
      </w:r>
      <w:r>
        <w:rPr>
          <w:spacing w:val="8"/>
          <w:w w:val="120"/>
          <w:sz w:val="20"/>
        </w:rPr>
        <w:t> </w:t>
      </w:r>
      <w:r>
        <w:rPr>
          <w:w w:val="120"/>
          <w:sz w:val="20"/>
        </w:rPr>
        <w:t>resulted</w:t>
      </w:r>
      <w:r>
        <w:rPr>
          <w:spacing w:val="8"/>
          <w:w w:val="120"/>
          <w:sz w:val="20"/>
        </w:rPr>
        <w:t> </w:t>
      </w:r>
      <w:r>
        <w:rPr>
          <w:w w:val="120"/>
          <w:sz w:val="20"/>
        </w:rPr>
        <w:t>in</w:t>
      </w:r>
      <w:r>
        <w:rPr>
          <w:spacing w:val="8"/>
          <w:w w:val="120"/>
          <w:sz w:val="20"/>
        </w:rPr>
        <w:t> </w:t>
      </w:r>
      <w:r>
        <w:rPr>
          <w:w w:val="120"/>
          <w:sz w:val="20"/>
        </w:rPr>
        <w:t>a</w:t>
      </w:r>
    </w:p>
    <w:p>
      <w:pPr>
        <w:pStyle w:val="BodyText"/>
        <w:spacing w:line="235" w:lineRule="auto" w:before="5"/>
        <w:ind w:left="1344" w:right="1478"/>
      </w:pPr>
      <w:r>
        <w:rPr>
          <w:w w:val="120"/>
        </w:rPr>
        <w:t>proposal to continue with HOPE until 2020 with an interdenominational emphasis on evangelism. The mission committee agreed that the URC should remain a partner in HOPE in this new phase.</w:t>
      </w:r>
    </w:p>
    <w:p>
      <w:pPr>
        <w:pStyle w:val="BodyText"/>
        <w:spacing w:before="11"/>
        <w:rPr>
          <w:sz w:val="19"/>
        </w:rPr>
      </w:pPr>
    </w:p>
    <w:p>
      <w:pPr>
        <w:pStyle w:val="ListParagraph"/>
        <w:numPr>
          <w:ilvl w:val="2"/>
          <w:numId w:val="206"/>
        </w:numPr>
        <w:tabs>
          <w:tab w:pos="2024" w:val="left" w:leader="none"/>
          <w:tab w:pos="2025" w:val="left" w:leader="none"/>
        </w:tabs>
        <w:spacing w:line="235" w:lineRule="auto" w:before="0" w:after="0"/>
        <w:ind w:left="1344" w:right="1249" w:firstLine="0"/>
        <w:jc w:val="left"/>
        <w:rPr>
          <w:sz w:val="20"/>
        </w:rPr>
      </w:pPr>
      <w:r>
        <w:rPr>
          <w:spacing w:val="-7"/>
          <w:w w:val="120"/>
          <w:sz w:val="20"/>
        </w:rPr>
        <w:t>To </w:t>
      </w:r>
      <w:r>
        <w:rPr>
          <w:w w:val="120"/>
          <w:sz w:val="20"/>
        </w:rPr>
        <w:t>define the task ahead, HOPE, the Church of England and the Evangelical Alliance commissioned the Barna research group to survey people’s perceptions of  Jesus. The survey results are available at </w:t>
      </w:r>
      <w:hyperlink r:id="rId479">
        <w:r>
          <w:rPr>
            <w:color w:val="006AB3"/>
            <w:w w:val="120"/>
            <w:sz w:val="20"/>
          </w:rPr>
          <w:t>www.talkingjesus.org </w:t>
        </w:r>
      </w:hyperlink>
      <w:r>
        <w:rPr>
          <w:w w:val="120"/>
          <w:sz w:val="20"/>
        </w:rPr>
        <w:t>and have been widely circulated and discussed by </w:t>
      </w:r>
      <w:r>
        <w:rPr>
          <w:spacing w:val="-3"/>
          <w:w w:val="120"/>
          <w:sz w:val="20"/>
        </w:rPr>
        <w:t>HOPE’s </w:t>
      </w:r>
      <w:r>
        <w:rPr>
          <w:w w:val="120"/>
          <w:sz w:val="20"/>
        </w:rPr>
        <w:t>partners. Other aspects of </w:t>
      </w:r>
      <w:r>
        <w:rPr>
          <w:spacing w:val="-3"/>
          <w:w w:val="120"/>
          <w:sz w:val="20"/>
        </w:rPr>
        <w:t>HOPE’s </w:t>
      </w:r>
      <w:r>
        <w:rPr>
          <w:w w:val="120"/>
          <w:sz w:val="20"/>
        </w:rPr>
        <w:t>work in </w:t>
      </w:r>
      <w:r>
        <w:rPr>
          <w:spacing w:val="-7"/>
          <w:w w:val="120"/>
          <w:sz w:val="20"/>
        </w:rPr>
        <w:t>2016 </w:t>
      </w:r>
      <w:r>
        <w:rPr>
          <w:w w:val="120"/>
          <w:sz w:val="20"/>
        </w:rPr>
        <w:t>will be resourcing churches to reach out to their community on the occasion of the </w:t>
      </w:r>
      <w:r>
        <w:rPr>
          <w:spacing w:val="-3"/>
          <w:w w:val="120"/>
          <w:sz w:val="20"/>
        </w:rPr>
        <w:t>Queen’s </w:t>
      </w:r>
      <w:r>
        <w:rPr>
          <w:w w:val="120"/>
          <w:sz w:val="20"/>
        </w:rPr>
        <w:t>90th birthday, through the book </w:t>
      </w:r>
      <w:r>
        <w:rPr>
          <w:i/>
          <w:w w:val="120"/>
          <w:sz w:val="20"/>
        </w:rPr>
        <w:t>The Servant Queen and the King She Serves </w:t>
      </w:r>
      <w:r>
        <w:rPr>
          <w:w w:val="120"/>
          <w:sz w:val="20"/>
        </w:rPr>
        <w:t>and at Christmas, with the publication of a leaflet to hand out to visitors telling the Christmas </w:t>
      </w:r>
      <w:r>
        <w:rPr>
          <w:spacing w:val="2"/>
          <w:w w:val="120"/>
          <w:sz w:val="20"/>
        </w:rPr>
        <w:t>story </w:t>
      </w:r>
      <w:r>
        <w:rPr>
          <w:w w:val="120"/>
          <w:sz w:val="20"/>
        </w:rPr>
        <w:t>and marking the bicentenary of the carol </w:t>
      </w:r>
      <w:r>
        <w:rPr>
          <w:i/>
          <w:w w:val="120"/>
          <w:sz w:val="20"/>
        </w:rPr>
        <w:t>Silent Night</w:t>
      </w:r>
      <w:r>
        <w:rPr>
          <w:w w:val="120"/>
          <w:sz w:val="20"/>
        </w:rPr>
        <w:t>. In </w:t>
      </w:r>
      <w:r>
        <w:rPr>
          <w:spacing w:val="-9"/>
          <w:w w:val="120"/>
          <w:sz w:val="20"/>
        </w:rPr>
        <w:t>2017 </w:t>
      </w:r>
      <w:r>
        <w:rPr>
          <w:w w:val="120"/>
          <w:sz w:val="20"/>
        </w:rPr>
        <w:t>HOPE will focus on training for sharing the good news and in </w:t>
      </w:r>
      <w:r>
        <w:rPr>
          <w:spacing w:val="-6"/>
          <w:w w:val="120"/>
          <w:sz w:val="20"/>
        </w:rPr>
        <w:t>2018 </w:t>
      </w:r>
      <w:r>
        <w:rPr>
          <w:w w:val="120"/>
          <w:sz w:val="20"/>
        </w:rPr>
        <w:t>there will be a major drive to mobilise  the church for mission in word and deed, as well as an emphasis on the centenary of the end of World War</w:t>
      </w:r>
      <w:r>
        <w:rPr>
          <w:spacing w:val="7"/>
          <w:w w:val="120"/>
          <w:sz w:val="20"/>
        </w:rPr>
        <w:t> </w:t>
      </w:r>
      <w:r>
        <w:rPr>
          <w:w w:val="120"/>
          <w:sz w:val="20"/>
        </w:rPr>
        <w:t>One.</w:t>
      </w:r>
    </w:p>
    <w:p>
      <w:pPr>
        <w:pStyle w:val="BodyText"/>
        <w:spacing w:before="4"/>
      </w:pPr>
    </w:p>
    <w:p>
      <w:pPr>
        <w:pStyle w:val="ListParagraph"/>
        <w:numPr>
          <w:ilvl w:val="1"/>
          <w:numId w:val="206"/>
        </w:numPr>
        <w:tabs>
          <w:tab w:pos="2024" w:val="left" w:leader="none"/>
          <w:tab w:pos="2025" w:val="left" w:leader="none"/>
        </w:tabs>
        <w:spacing w:line="235" w:lineRule="auto" w:before="0" w:after="0"/>
        <w:ind w:left="1344" w:right="1301" w:firstLine="0"/>
        <w:jc w:val="left"/>
        <w:rPr>
          <w:sz w:val="20"/>
        </w:rPr>
      </w:pPr>
      <w:r>
        <w:rPr>
          <w:w w:val="120"/>
          <w:sz w:val="20"/>
        </w:rPr>
        <w:t>The mission committee, together with the communications and editorial committee, supported the URC becoming an associate sponsor of the Greenbelt   festival for a period of two years. The festival has been held since </w:t>
      </w:r>
      <w:r>
        <w:rPr>
          <w:spacing w:val="-11"/>
          <w:w w:val="120"/>
          <w:sz w:val="20"/>
        </w:rPr>
        <w:t>1974 </w:t>
      </w:r>
      <w:r>
        <w:rPr>
          <w:w w:val="120"/>
          <w:sz w:val="20"/>
        </w:rPr>
        <w:t>and continues to equip and re-energise Christians to be imaginative and effective disciples in their local communities. Engaged with culture and politics, inspired by the </w:t>
      </w:r>
      <w:r>
        <w:rPr>
          <w:spacing w:val="3"/>
          <w:w w:val="120"/>
          <w:sz w:val="20"/>
        </w:rPr>
        <w:t>arts </w:t>
      </w:r>
      <w:r>
        <w:rPr>
          <w:w w:val="120"/>
          <w:sz w:val="20"/>
        </w:rPr>
        <w:t>and</w:t>
      </w:r>
      <w:r>
        <w:rPr>
          <w:spacing w:val="7"/>
          <w:w w:val="120"/>
          <w:sz w:val="20"/>
        </w:rPr>
        <w:t> </w:t>
      </w:r>
      <w:r>
        <w:rPr>
          <w:w w:val="120"/>
          <w:sz w:val="20"/>
        </w:rPr>
        <w:t>sustained</w:t>
      </w:r>
    </w:p>
    <w:p>
      <w:pPr>
        <w:pStyle w:val="BodyText"/>
        <w:spacing w:line="235" w:lineRule="auto" w:before="3"/>
        <w:ind w:left="1344" w:right="1758"/>
      </w:pPr>
      <w:r>
        <w:rPr>
          <w:w w:val="120"/>
        </w:rPr>
        <w:t>by faith, Greenbelt offers a rich programme of music, visual and performing </w:t>
      </w:r>
      <w:r>
        <w:rPr>
          <w:spacing w:val="2"/>
          <w:w w:val="120"/>
        </w:rPr>
        <w:t>arts, </w:t>
      </w:r>
      <w:r>
        <w:rPr>
          <w:w w:val="120"/>
        </w:rPr>
        <w:t>spirituality, </w:t>
      </w:r>
      <w:r>
        <w:rPr>
          <w:spacing w:val="-3"/>
          <w:w w:val="120"/>
        </w:rPr>
        <w:t>comedy, </w:t>
      </w:r>
      <w:r>
        <w:rPr>
          <w:w w:val="120"/>
        </w:rPr>
        <w:t>talks and discussion. The partnership is a natural fit, building  on the </w:t>
      </w:r>
      <w:r>
        <w:rPr>
          <w:spacing w:val="-3"/>
          <w:w w:val="120"/>
        </w:rPr>
        <w:t>URC’s </w:t>
      </w:r>
      <w:r>
        <w:rPr>
          <w:w w:val="120"/>
        </w:rPr>
        <w:t>rich Nonconformist history of exploration of radical Christian faith and working for justice, and the dynamic and creative energy of the Greenbelt</w:t>
      </w:r>
      <w:r>
        <w:rPr>
          <w:spacing w:val="48"/>
          <w:w w:val="120"/>
        </w:rPr>
        <w:t> </w:t>
      </w:r>
      <w:r>
        <w:rPr>
          <w:w w:val="120"/>
        </w:rPr>
        <w:t>festival.</w:t>
      </w:r>
    </w:p>
    <w:p>
      <w:pPr>
        <w:pStyle w:val="BodyText"/>
        <w:spacing w:line="235" w:lineRule="auto" w:before="3"/>
        <w:ind w:left="1344" w:right="1478"/>
      </w:pPr>
      <w:r>
        <w:rPr>
          <w:w w:val="120"/>
        </w:rPr>
        <w:t>A planning group, including mission team members, is preparing for the URC’s participation in 2016 and 2017 under the leadership of Steve Summers who manages the project. The 2016 festival will be held from 26 to 29 August at Boughton House near Kettering, Northamptonshire.</w:t>
      </w:r>
    </w:p>
    <w:p>
      <w:pPr>
        <w:spacing w:after="0" w:line="235" w:lineRule="auto"/>
        <w:sectPr>
          <w:headerReference w:type="default" r:id="rId478"/>
          <w:pgSz w:w="11910" w:h="16840"/>
          <w:pgMar w:header="0" w:footer="647" w:top="0" w:bottom="840" w:left="640" w:right="0"/>
        </w:sectPr>
      </w:pPr>
    </w:p>
    <w:p>
      <w:pPr>
        <w:pStyle w:val="BodyText"/>
      </w:pPr>
      <w:r>
        <w:rPr/>
        <w:drawing>
          <wp:anchor distT="0" distB="0" distL="0" distR="0" allowOverlap="1" layoutInCell="1" locked="0" behindDoc="1" simplePos="0" relativeHeight="235688960">
            <wp:simplePos x="0" y="0"/>
            <wp:positionH relativeFrom="page">
              <wp:posOffset>0</wp:posOffset>
            </wp:positionH>
            <wp:positionV relativeFrom="page">
              <wp:posOffset>0</wp:posOffset>
            </wp:positionV>
            <wp:extent cx="594067" cy="10692003"/>
            <wp:effectExtent l="0" t="0" r="0" b="0"/>
            <wp:wrapNone/>
            <wp:docPr id="345" name="image67.png"/>
            <wp:cNvGraphicFramePr>
              <a:graphicFrameLocks noChangeAspect="1"/>
            </wp:cNvGraphicFramePr>
            <a:graphic>
              <a:graphicData uri="http://schemas.openxmlformats.org/drawingml/2006/picture">
                <pic:pic>
                  <pic:nvPicPr>
                    <pic:cNvPr id="346" name="image67.png"/>
                    <pic:cNvPicPr/>
                  </pic:nvPicPr>
                  <pic:blipFill>
                    <a:blip r:embed="rId184" cstate="print"/>
                    <a:stretch>
                      <a:fillRect/>
                    </a:stretch>
                  </pic:blipFill>
                  <pic:spPr>
                    <a:xfrm>
                      <a:off x="0" y="0"/>
                      <a:ext cx="594067" cy="10692003"/>
                    </a:xfrm>
                    <a:prstGeom prst="rect">
                      <a:avLst/>
                    </a:prstGeom>
                  </pic:spPr>
                </pic:pic>
              </a:graphicData>
            </a:graphic>
          </wp:anchor>
        </w:drawing>
      </w:r>
      <w:r>
        <w:rPr/>
        <w:pict>
          <v:shape style="position:absolute;margin-left:20.519100pt;margin-top:48.890015pt;width:25.9pt;height:78.850pt;mso-position-horizontal-relative:page;mso-position-vertical-relative:page;z-index:252143616" type="#_x0000_t202" filled="false" stroked="false">
            <v:textbox inset="0,0,0,0" style="layout-flow:vertical">
              <w:txbxContent>
                <w:p>
                  <w:pPr>
                    <w:spacing w:before="27"/>
                    <w:ind w:left="20" w:right="0" w:firstLine="0"/>
                    <w:jc w:val="left"/>
                    <w:rPr>
                      <w:sz w:val="39"/>
                    </w:rPr>
                  </w:pPr>
                  <w:r>
                    <w:rPr>
                      <w:color w:val="FFFFFF"/>
                      <w:w w:val="115"/>
                      <w:sz w:val="39"/>
                    </w:rPr>
                    <w:t>Mission</w:t>
                  </w:r>
                </w:p>
              </w:txbxContent>
            </v:textbox>
            <w10:wrap type="none"/>
          </v:shape>
        </w:pict>
      </w:r>
    </w:p>
    <w:p>
      <w:pPr>
        <w:pStyle w:val="BodyText"/>
        <w:spacing w:before="7"/>
        <w:rPr>
          <w:sz w:val="21"/>
        </w:rPr>
      </w:pPr>
    </w:p>
    <w:p>
      <w:pPr>
        <w:spacing w:before="106"/>
        <w:ind w:left="607" w:right="0" w:firstLine="0"/>
        <w:jc w:val="left"/>
        <w:rPr>
          <w:sz w:val="26"/>
        </w:rPr>
      </w:pPr>
      <w:r>
        <w:rPr>
          <w:color w:val="7EAABF"/>
          <w:w w:val="115"/>
          <w:sz w:val="26"/>
        </w:rPr>
        <w:t>Mission</w:t>
      </w:r>
    </w:p>
    <w:p>
      <w:pPr>
        <w:pStyle w:val="Heading2"/>
        <w:spacing w:before="215"/>
      </w:pPr>
      <w:r>
        <w:rPr>
          <w:w w:val="110"/>
        </w:rPr>
        <w:t>Missional discipleship/Walking the Way</w:t>
      </w:r>
    </w:p>
    <w:p>
      <w:pPr>
        <w:pStyle w:val="ListParagraph"/>
        <w:numPr>
          <w:ilvl w:val="1"/>
          <w:numId w:val="206"/>
        </w:numPr>
        <w:tabs>
          <w:tab w:pos="1287" w:val="left" w:leader="none"/>
          <w:tab w:pos="1288" w:val="left" w:leader="none"/>
        </w:tabs>
        <w:spacing w:line="235" w:lineRule="auto" w:before="83" w:after="0"/>
        <w:ind w:left="607" w:right="2257" w:firstLine="0"/>
        <w:jc w:val="left"/>
        <w:rPr>
          <w:sz w:val="20"/>
        </w:rPr>
      </w:pPr>
      <w:r>
        <w:rPr>
          <w:w w:val="120"/>
          <w:sz w:val="20"/>
        </w:rPr>
        <w:t>Work continued on developing a proposal on pre-evangelism and discipleship for the </w:t>
      </w:r>
      <w:r>
        <w:rPr>
          <w:spacing w:val="3"/>
          <w:w w:val="120"/>
          <w:sz w:val="20"/>
        </w:rPr>
        <w:t>CWM </w:t>
      </w:r>
      <w:r>
        <w:rPr>
          <w:w w:val="120"/>
          <w:sz w:val="20"/>
        </w:rPr>
        <w:t>Mission Support Programme </w:t>
      </w:r>
      <w:r>
        <w:rPr>
          <w:spacing w:val="-4"/>
          <w:w w:val="120"/>
          <w:sz w:val="20"/>
        </w:rPr>
        <w:t>(MSP). </w:t>
      </w:r>
      <w:r>
        <w:rPr>
          <w:w w:val="120"/>
          <w:sz w:val="20"/>
        </w:rPr>
        <w:t>A Day on Discipleship was held at High</w:t>
      </w:r>
      <w:r>
        <w:rPr>
          <w:spacing w:val="9"/>
          <w:w w:val="120"/>
          <w:sz w:val="20"/>
        </w:rPr>
        <w:t> </w:t>
      </w:r>
      <w:r>
        <w:rPr>
          <w:w w:val="120"/>
          <w:sz w:val="20"/>
        </w:rPr>
        <w:t>Leigh</w:t>
      </w:r>
      <w:r>
        <w:rPr>
          <w:spacing w:val="10"/>
          <w:w w:val="120"/>
          <w:sz w:val="20"/>
        </w:rPr>
        <w:t> </w:t>
      </w:r>
      <w:r>
        <w:rPr>
          <w:w w:val="120"/>
          <w:sz w:val="20"/>
        </w:rPr>
        <w:t>in</w:t>
      </w:r>
      <w:r>
        <w:rPr>
          <w:spacing w:val="10"/>
          <w:w w:val="120"/>
          <w:sz w:val="20"/>
        </w:rPr>
        <w:t> </w:t>
      </w:r>
      <w:r>
        <w:rPr>
          <w:w w:val="120"/>
          <w:sz w:val="20"/>
        </w:rPr>
        <w:t>April</w:t>
      </w:r>
      <w:r>
        <w:rPr>
          <w:spacing w:val="10"/>
          <w:w w:val="120"/>
          <w:sz w:val="20"/>
        </w:rPr>
        <w:t> </w:t>
      </w:r>
      <w:r>
        <w:rPr>
          <w:spacing w:val="-7"/>
          <w:w w:val="120"/>
          <w:sz w:val="20"/>
        </w:rPr>
        <w:t>2015,</w:t>
      </w:r>
      <w:r>
        <w:rPr>
          <w:spacing w:val="9"/>
          <w:w w:val="120"/>
          <w:sz w:val="20"/>
        </w:rPr>
        <w:t> </w:t>
      </w:r>
      <w:r>
        <w:rPr>
          <w:w w:val="120"/>
          <w:sz w:val="20"/>
        </w:rPr>
        <w:t>which</w:t>
      </w:r>
      <w:r>
        <w:rPr>
          <w:spacing w:val="10"/>
          <w:w w:val="120"/>
          <w:sz w:val="20"/>
        </w:rPr>
        <w:t> </w:t>
      </w:r>
      <w:r>
        <w:rPr>
          <w:w w:val="120"/>
          <w:sz w:val="20"/>
        </w:rPr>
        <w:t>affirmed</w:t>
      </w:r>
      <w:r>
        <w:rPr>
          <w:spacing w:val="10"/>
          <w:w w:val="120"/>
          <w:sz w:val="20"/>
        </w:rPr>
        <w:t> </w:t>
      </w:r>
      <w:r>
        <w:rPr>
          <w:w w:val="120"/>
          <w:sz w:val="20"/>
        </w:rPr>
        <w:t>that</w:t>
      </w:r>
      <w:r>
        <w:rPr>
          <w:spacing w:val="10"/>
          <w:w w:val="120"/>
          <w:sz w:val="20"/>
        </w:rPr>
        <w:t> </w:t>
      </w:r>
      <w:r>
        <w:rPr>
          <w:w w:val="120"/>
          <w:sz w:val="20"/>
        </w:rPr>
        <w:t>developing</w:t>
      </w:r>
      <w:r>
        <w:rPr>
          <w:spacing w:val="9"/>
          <w:w w:val="120"/>
          <w:sz w:val="20"/>
        </w:rPr>
        <w:t> </w:t>
      </w:r>
      <w:r>
        <w:rPr>
          <w:w w:val="120"/>
          <w:sz w:val="20"/>
        </w:rPr>
        <w:t>discipleship</w:t>
      </w:r>
      <w:r>
        <w:rPr>
          <w:spacing w:val="10"/>
          <w:w w:val="120"/>
          <w:sz w:val="20"/>
        </w:rPr>
        <w:t> </w:t>
      </w:r>
      <w:r>
        <w:rPr>
          <w:w w:val="120"/>
          <w:sz w:val="20"/>
        </w:rPr>
        <w:t>with</w:t>
      </w:r>
      <w:r>
        <w:rPr>
          <w:spacing w:val="10"/>
          <w:w w:val="120"/>
          <w:sz w:val="20"/>
        </w:rPr>
        <w:t> </w:t>
      </w:r>
      <w:r>
        <w:rPr>
          <w:w w:val="120"/>
          <w:sz w:val="20"/>
        </w:rPr>
        <w:t>a</w:t>
      </w:r>
      <w:r>
        <w:rPr>
          <w:spacing w:val="10"/>
          <w:w w:val="120"/>
          <w:sz w:val="20"/>
        </w:rPr>
        <w:t> </w:t>
      </w:r>
      <w:r>
        <w:rPr>
          <w:w w:val="120"/>
          <w:sz w:val="20"/>
        </w:rPr>
        <w:t>view</w:t>
      </w:r>
    </w:p>
    <w:p>
      <w:pPr>
        <w:pStyle w:val="BodyText"/>
        <w:spacing w:line="235" w:lineRule="auto" w:before="2"/>
        <w:ind w:left="607" w:right="2174"/>
      </w:pPr>
      <w:r>
        <w:rPr>
          <w:w w:val="120"/>
        </w:rPr>
        <w:t>to building confidence in evangelism is something the URC must urgently pursue. Mission committee agreed to approach education &amp; learning to explore synergy between the aspirations of the TLS review and the MSP process, as both were inspired by an encompassing vision of missional discipleship of all God’s people. A task group convened by the Deputy General Secretaries Mission and Discipleship started work over the summer of 2015 and brought initial ideas and proposals to Mission Council in November 2015 and March 2016. A full report of this work, now renamed Walking the Way, is presented on pages 11-14.</w:t>
      </w:r>
    </w:p>
    <w:p>
      <w:pPr>
        <w:pStyle w:val="BodyText"/>
        <w:spacing w:before="3"/>
        <w:rPr>
          <w:sz w:val="19"/>
        </w:rPr>
      </w:pPr>
    </w:p>
    <w:p>
      <w:pPr>
        <w:pStyle w:val="Heading2"/>
        <w:spacing w:before="1"/>
      </w:pPr>
      <w:r>
        <w:rPr>
          <w:w w:val="110"/>
        </w:rPr>
        <w:t>Other work</w:t>
      </w:r>
    </w:p>
    <w:p>
      <w:pPr>
        <w:pStyle w:val="ListParagraph"/>
        <w:numPr>
          <w:ilvl w:val="1"/>
          <w:numId w:val="206"/>
        </w:numPr>
        <w:tabs>
          <w:tab w:pos="1287" w:val="left" w:leader="none"/>
          <w:tab w:pos="1288" w:val="left" w:leader="none"/>
        </w:tabs>
        <w:spacing w:line="235" w:lineRule="auto" w:before="82" w:after="0"/>
        <w:ind w:left="607" w:right="2235" w:firstLine="0"/>
        <w:jc w:val="left"/>
        <w:rPr>
          <w:sz w:val="20"/>
        </w:rPr>
      </w:pPr>
      <w:r>
        <w:rPr>
          <w:w w:val="120"/>
          <w:sz w:val="20"/>
        </w:rPr>
        <w:t>The mission enablers network continues to meet regularly for information sharing and mutual support, and for providing feedback on the work of the mission committee and department. The mission enablers took </w:t>
      </w:r>
      <w:r>
        <w:rPr>
          <w:spacing w:val="2"/>
          <w:w w:val="120"/>
          <w:sz w:val="20"/>
        </w:rPr>
        <w:t>part </w:t>
      </w:r>
      <w:r>
        <w:rPr>
          <w:w w:val="120"/>
          <w:sz w:val="20"/>
        </w:rPr>
        <w:t>in the second joint networking conference with training and development officers, children and youth development officers and the resource centres for learning in March </w:t>
      </w:r>
      <w:r>
        <w:rPr>
          <w:spacing w:val="-7"/>
          <w:w w:val="120"/>
          <w:sz w:val="20"/>
        </w:rPr>
        <w:t>2015. </w:t>
      </w:r>
      <w:r>
        <w:rPr>
          <w:w w:val="120"/>
          <w:sz w:val="20"/>
        </w:rPr>
        <w:t>This provided an opportunity to reflect together on the theme of discipleship and explore joint areas of</w:t>
      </w:r>
      <w:r>
        <w:rPr>
          <w:spacing w:val="5"/>
          <w:w w:val="120"/>
          <w:sz w:val="20"/>
        </w:rPr>
        <w:t> </w:t>
      </w:r>
      <w:r>
        <w:rPr>
          <w:w w:val="120"/>
          <w:sz w:val="20"/>
        </w:rPr>
        <w:t>work.</w:t>
      </w:r>
    </w:p>
    <w:p>
      <w:pPr>
        <w:pStyle w:val="BodyText"/>
        <w:spacing w:before="1"/>
      </w:pPr>
    </w:p>
    <w:p>
      <w:pPr>
        <w:pStyle w:val="ListParagraph"/>
        <w:numPr>
          <w:ilvl w:val="1"/>
          <w:numId w:val="206"/>
        </w:numPr>
        <w:tabs>
          <w:tab w:pos="1287" w:val="left" w:leader="none"/>
          <w:tab w:pos="1288" w:val="left" w:leader="none"/>
        </w:tabs>
        <w:spacing w:line="235" w:lineRule="auto" w:before="0" w:after="0"/>
        <w:ind w:left="607" w:right="2037" w:firstLine="0"/>
        <w:jc w:val="left"/>
        <w:rPr>
          <w:sz w:val="20"/>
        </w:rPr>
      </w:pPr>
      <w:r>
        <w:rPr>
          <w:w w:val="120"/>
          <w:sz w:val="20"/>
        </w:rPr>
        <w:t>Mission team staff are also </w:t>
      </w:r>
      <w:r>
        <w:rPr>
          <w:spacing w:val="2"/>
          <w:w w:val="120"/>
          <w:sz w:val="20"/>
        </w:rPr>
        <w:t>part </w:t>
      </w:r>
      <w:r>
        <w:rPr>
          <w:w w:val="120"/>
          <w:sz w:val="20"/>
        </w:rPr>
        <w:t>of a small group preparing to mark the centenary of the ordination of the Revd Constance Coltman, on </w:t>
      </w:r>
      <w:r>
        <w:rPr>
          <w:spacing w:val="-12"/>
          <w:w w:val="120"/>
          <w:sz w:val="20"/>
        </w:rPr>
        <w:t>17 </w:t>
      </w:r>
      <w:r>
        <w:rPr>
          <w:w w:val="120"/>
          <w:sz w:val="20"/>
        </w:rPr>
        <w:t>September </w:t>
      </w:r>
      <w:r>
        <w:rPr>
          <w:spacing w:val="-12"/>
          <w:w w:val="120"/>
          <w:sz w:val="20"/>
        </w:rPr>
        <w:t>1917 </w:t>
      </w:r>
      <w:r>
        <w:rPr>
          <w:w w:val="120"/>
          <w:sz w:val="20"/>
        </w:rPr>
        <w:t>in the Congregational Union of England and Wales. Part of the preparations for the centenary celebrations included the production of a short film, Constance, by the Revd Kevin Snyman, which was launched at Church House on </w:t>
      </w:r>
      <w:r>
        <w:rPr>
          <w:spacing w:val="-12"/>
          <w:w w:val="120"/>
          <w:sz w:val="20"/>
        </w:rPr>
        <w:t>17 </w:t>
      </w:r>
      <w:r>
        <w:rPr>
          <w:w w:val="120"/>
          <w:sz w:val="20"/>
        </w:rPr>
        <w:t>September </w:t>
      </w:r>
      <w:r>
        <w:rPr>
          <w:spacing w:val="-7"/>
          <w:w w:val="120"/>
          <w:sz w:val="20"/>
        </w:rPr>
        <w:t>2015 </w:t>
      </w:r>
      <w:r>
        <w:rPr>
          <w:w w:val="120"/>
          <w:sz w:val="20"/>
        </w:rPr>
        <w:t>and which is available on </w:t>
      </w:r>
      <w:r>
        <w:rPr>
          <w:spacing w:val="-6"/>
          <w:w w:val="120"/>
          <w:sz w:val="20"/>
        </w:rPr>
        <w:t>YouTube. </w:t>
      </w:r>
      <w:r>
        <w:rPr>
          <w:w w:val="120"/>
          <w:sz w:val="20"/>
        </w:rPr>
        <w:t>Planning for a major event and memorial service in September </w:t>
      </w:r>
      <w:r>
        <w:rPr>
          <w:spacing w:val="-9"/>
          <w:w w:val="120"/>
          <w:sz w:val="20"/>
        </w:rPr>
        <w:t>2017 </w:t>
      </w:r>
      <w:r>
        <w:rPr>
          <w:w w:val="120"/>
          <w:sz w:val="20"/>
        </w:rPr>
        <w:t>is in</w:t>
      </w:r>
      <w:r>
        <w:rPr>
          <w:spacing w:val="15"/>
          <w:w w:val="120"/>
          <w:sz w:val="20"/>
        </w:rPr>
        <w:t> </w:t>
      </w:r>
      <w:r>
        <w:rPr>
          <w:w w:val="120"/>
          <w:sz w:val="20"/>
        </w:rPr>
        <w:t>progress.</w:t>
      </w:r>
    </w:p>
    <w:p>
      <w:pPr>
        <w:pStyle w:val="BodyText"/>
        <w:spacing w:before="6"/>
        <w:rPr>
          <w:sz w:val="22"/>
        </w:rPr>
      </w:pPr>
    </w:p>
    <w:p>
      <w:pPr>
        <w:spacing w:before="0"/>
        <w:ind w:left="607" w:right="0" w:firstLine="0"/>
        <w:jc w:val="left"/>
        <w:rPr>
          <w:rFonts w:ascii="Stone Sans II ITC Std Bk"/>
          <w:b/>
          <w:sz w:val="29"/>
        </w:rPr>
      </w:pPr>
      <w:r>
        <w:rPr>
          <w:rFonts w:ascii="Stone Sans II ITC Std Bk"/>
          <w:b/>
          <w:w w:val="110"/>
          <w:sz w:val="29"/>
        </w:rPr>
        <w:t>Rural mission</w:t>
      </w:r>
    </w:p>
    <w:p>
      <w:pPr>
        <w:pStyle w:val="ListParagraph"/>
        <w:numPr>
          <w:ilvl w:val="1"/>
          <w:numId w:val="207"/>
        </w:numPr>
        <w:tabs>
          <w:tab w:pos="1288" w:val="left" w:leader="none"/>
        </w:tabs>
        <w:spacing w:line="235" w:lineRule="auto" w:before="69" w:after="0"/>
        <w:ind w:left="607" w:right="2106" w:firstLine="0"/>
        <w:jc w:val="both"/>
        <w:rPr>
          <w:sz w:val="20"/>
        </w:rPr>
      </w:pPr>
      <w:r>
        <w:rPr>
          <w:w w:val="120"/>
          <w:sz w:val="20"/>
        </w:rPr>
        <w:t>The mission committee welcomed the Revd Elizabeth Clark as the new National Rural Officer in September </w:t>
      </w:r>
      <w:r>
        <w:rPr>
          <w:spacing w:val="-6"/>
          <w:w w:val="120"/>
          <w:sz w:val="20"/>
        </w:rPr>
        <w:t>2014. </w:t>
      </w:r>
      <w:r>
        <w:rPr>
          <w:w w:val="120"/>
          <w:sz w:val="20"/>
        </w:rPr>
        <w:t>The National Rural Officer serves both the Methodist Church and the United Reformed Church and is based at the Arthur Rank Centre (ARC) in Stoneleigh Park,</w:t>
      </w:r>
      <w:r>
        <w:rPr>
          <w:spacing w:val="6"/>
          <w:w w:val="120"/>
          <w:sz w:val="20"/>
        </w:rPr>
        <w:t> </w:t>
      </w:r>
      <w:r>
        <w:rPr>
          <w:w w:val="120"/>
          <w:sz w:val="20"/>
        </w:rPr>
        <w:t>Kenilworth.</w:t>
      </w:r>
    </w:p>
    <w:p>
      <w:pPr>
        <w:pStyle w:val="BodyText"/>
        <w:spacing w:before="11"/>
        <w:rPr>
          <w:sz w:val="19"/>
        </w:rPr>
      </w:pPr>
    </w:p>
    <w:p>
      <w:pPr>
        <w:pStyle w:val="ListParagraph"/>
        <w:numPr>
          <w:ilvl w:val="1"/>
          <w:numId w:val="207"/>
        </w:numPr>
        <w:tabs>
          <w:tab w:pos="1287" w:val="left" w:leader="none"/>
          <w:tab w:pos="1288" w:val="left" w:leader="none"/>
        </w:tabs>
        <w:spacing w:line="235" w:lineRule="auto" w:before="0" w:after="0"/>
        <w:ind w:left="607" w:right="2867" w:firstLine="0"/>
        <w:jc w:val="left"/>
        <w:rPr>
          <w:sz w:val="20"/>
        </w:rPr>
      </w:pPr>
      <w:r>
        <w:rPr>
          <w:w w:val="120"/>
          <w:sz w:val="20"/>
        </w:rPr>
        <w:t>It is estimated that </w:t>
      </w:r>
      <w:r>
        <w:rPr>
          <w:spacing w:val="-3"/>
          <w:w w:val="120"/>
          <w:sz w:val="20"/>
        </w:rPr>
        <w:t>25% </w:t>
      </w:r>
      <w:r>
        <w:rPr>
          <w:w w:val="120"/>
          <w:sz w:val="20"/>
        </w:rPr>
        <w:t>of United Reformed churches are rural, and  rural churches are important. However, they can often lack confidence and</w:t>
      </w:r>
      <w:r>
        <w:rPr>
          <w:spacing w:val="26"/>
          <w:w w:val="120"/>
          <w:sz w:val="20"/>
        </w:rPr>
        <w:t> </w:t>
      </w:r>
      <w:r>
        <w:rPr>
          <w:w w:val="120"/>
          <w:sz w:val="20"/>
        </w:rPr>
        <w:t>feel</w:t>
      </w:r>
    </w:p>
    <w:p>
      <w:pPr>
        <w:pStyle w:val="BodyText"/>
        <w:spacing w:line="235" w:lineRule="auto" w:before="1"/>
        <w:ind w:left="607" w:right="2254"/>
      </w:pPr>
      <w:r>
        <w:rPr>
          <w:w w:val="120"/>
        </w:rPr>
        <w:t>overshadowed by larger churches. Part of the Rural Officer’s role and that of the Arthur Rank Centre (ARC) is to </w:t>
      </w:r>
      <w:r>
        <w:rPr>
          <w:spacing w:val="3"/>
          <w:w w:val="120"/>
        </w:rPr>
        <w:t>try </w:t>
      </w:r>
      <w:r>
        <w:rPr>
          <w:w w:val="120"/>
        </w:rPr>
        <w:t>and change the narrative from one of failure to one that shows the value of small churches. For example, in a world where isolation and loneliness are increasingly widespread the small church can be a place of welcome where people get to know one another by name. Isolation and loneliness would seem to be an issue that the rural church could really do something about. Please look at  the resource on the ARC website, the Rural Isolation Support Project for ideas and information:</w:t>
      </w:r>
      <w:r>
        <w:rPr>
          <w:spacing w:val="2"/>
          <w:w w:val="120"/>
        </w:rPr>
        <w:t> </w:t>
      </w:r>
      <w:hyperlink r:id="rId483">
        <w:r>
          <w:rPr>
            <w:color w:val="006AB3"/>
            <w:w w:val="120"/>
          </w:rPr>
          <w:t>www.arthurrankcentre.org.uk</w:t>
        </w:r>
      </w:hyperlink>
      <w:r>
        <w:rPr>
          <w:w w:val="120"/>
        </w:rPr>
        <w:t>.</w:t>
      </w:r>
    </w:p>
    <w:p>
      <w:pPr>
        <w:pStyle w:val="BodyText"/>
        <w:spacing w:before="2"/>
      </w:pPr>
    </w:p>
    <w:p>
      <w:pPr>
        <w:pStyle w:val="ListParagraph"/>
        <w:numPr>
          <w:ilvl w:val="1"/>
          <w:numId w:val="207"/>
        </w:numPr>
        <w:tabs>
          <w:tab w:pos="1287" w:val="left" w:leader="none"/>
          <w:tab w:pos="1288" w:val="left" w:leader="none"/>
        </w:tabs>
        <w:spacing w:line="235" w:lineRule="auto" w:before="0" w:after="0"/>
        <w:ind w:left="607" w:right="2051" w:firstLine="0"/>
        <w:jc w:val="left"/>
        <w:rPr>
          <w:sz w:val="20"/>
        </w:rPr>
      </w:pPr>
      <w:r>
        <w:rPr>
          <w:w w:val="120"/>
          <w:sz w:val="20"/>
        </w:rPr>
        <w:t>We know from independent research that rural Christians can and do make a significant contribution to their communities both in terms of leading and participating in groups and activities and in the small </w:t>
      </w:r>
      <w:r>
        <w:rPr>
          <w:spacing w:val="2"/>
          <w:w w:val="120"/>
          <w:sz w:val="20"/>
        </w:rPr>
        <w:t>acts </w:t>
      </w:r>
      <w:r>
        <w:rPr>
          <w:w w:val="120"/>
          <w:sz w:val="20"/>
        </w:rPr>
        <w:t>of neighbourliness that really help to build community. Part of the Rural Officer’s role is to remind churches of this more positive view of the small church and encourage them to rise to the challenge of being at the centre of their communities. A key resource in this is the sharing of stories, telling churches what others in similar situations are up </w:t>
      </w:r>
      <w:r>
        <w:rPr>
          <w:spacing w:val="-3"/>
          <w:w w:val="120"/>
          <w:sz w:val="20"/>
        </w:rPr>
        <w:t>to. </w:t>
      </w:r>
      <w:r>
        <w:rPr>
          <w:w w:val="120"/>
          <w:sz w:val="20"/>
        </w:rPr>
        <w:t>There are many stories of good practice on the ARC website, and the magazine </w:t>
      </w:r>
      <w:r>
        <w:rPr>
          <w:i/>
          <w:w w:val="120"/>
          <w:sz w:val="20"/>
        </w:rPr>
        <w:t>Country Way </w:t>
      </w:r>
      <w:r>
        <w:rPr>
          <w:w w:val="120"/>
          <w:sz w:val="20"/>
        </w:rPr>
        <w:t>also gives ideas and shares stories. Both these resources would benefit from some more URC</w:t>
      </w:r>
      <w:r>
        <w:rPr>
          <w:spacing w:val="14"/>
          <w:w w:val="120"/>
          <w:sz w:val="20"/>
        </w:rPr>
        <w:t> </w:t>
      </w:r>
      <w:r>
        <w:rPr>
          <w:w w:val="120"/>
          <w:sz w:val="20"/>
        </w:rPr>
        <w:t>stories.</w:t>
      </w:r>
    </w:p>
    <w:p>
      <w:pPr>
        <w:spacing w:after="0" w:line="235" w:lineRule="auto"/>
        <w:jc w:val="left"/>
        <w:rPr>
          <w:sz w:val="20"/>
        </w:rPr>
        <w:sectPr>
          <w:headerReference w:type="even" r:id="rId480"/>
          <w:footerReference w:type="even" r:id="rId481"/>
          <w:footerReference w:type="default" r:id="rId482"/>
          <w:pgSz w:w="11910" w:h="16840"/>
          <w:pgMar w:header="0" w:footer="647" w:top="0" w:bottom="840" w:left="640" w:right="0"/>
          <w:pgNumType w:start="182"/>
        </w:sectPr>
      </w:pPr>
    </w:p>
    <w:p>
      <w:pPr>
        <w:pStyle w:val="BodyText"/>
      </w:pPr>
      <w:r>
        <w:rPr/>
        <w:drawing>
          <wp:anchor distT="0" distB="0" distL="0" distR="0" allowOverlap="1" layoutInCell="1" locked="0" behindDoc="0" simplePos="0" relativeHeight="252144640">
            <wp:simplePos x="0" y="0"/>
            <wp:positionH relativeFrom="page">
              <wp:posOffset>6974928</wp:posOffset>
            </wp:positionH>
            <wp:positionV relativeFrom="page">
              <wp:posOffset>0</wp:posOffset>
            </wp:positionV>
            <wp:extent cx="585063" cy="10692003"/>
            <wp:effectExtent l="0" t="0" r="0" b="0"/>
            <wp:wrapNone/>
            <wp:docPr id="347" name="image54.png"/>
            <wp:cNvGraphicFramePr>
              <a:graphicFrameLocks noChangeAspect="1"/>
            </wp:cNvGraphicFramePr>
            <a:graphic>
              <a:graphicData uri="http://schemas.openxmlformats.org/drawingml/2006/picture">
                <pic:pic>
                  <pic:nvPicPr>
                    <pic:cNvPr id="348" name="image54.png"/>
                    <pic:cNvPicPr/>
                  </pic:nvPicPr>
                  <pic:blipFill>
                    <a:blip r:embed="rId169" cstate="print"/>
                    <a:stretch>
                      <a:fillRect/>
                    </a:stretch>
                  </pic:blipFill>
                  <pic:spPr>
                    <a:xfrm>
                      <a:off x="0" y="0"/>
                      <a:ext cx="585063" cy="10692003"/>
                    </a:xfrm>
                    <a:prstGeom prst="rect">
                      <a:avLst/>
                    </a:prstGeom>
                  </pic:spPr>
                </pic:pic>
              </a:graphicData>
            </a:graphic>
          </wp:anchor>
        </w:drawing>
      </w:r>
    </w:p>
    <w:p>
      <w:pPr>
        <w:pStyle w:val="BodyText"/>
        <w:spacing w:before="7"/>
        <w:rPr>
          <w:sz w:val="21"/>
        </w:rPr>
      </w:pPr>
    </w:p>
    <w:p>
      <w:pPr>
        <w:spacing w:before="106"/>
        <w:ind w:left="0" w:right="1245" w:firstLine="0"/>
        <w:jc w:val="right"/>
        <w:rPr>
          <w:sz w:val="26"/>
        </w:rPr>
      </w:pPr>
      <w:r>
        <w:rPr/>
        <w:pict>
          <v:shape style="position:absolute;margin-left:554.141174pt;margin-top:22.593945pt;width:25.9pt;height:78.850pt;mso-position-horizontal-relative:page;mso-position-vertical-relative:paragraph;z-index:252145664" type="#_x0000_t202" filled="false" stroked="false">
            <v:textbox inset="0,0,0,0" style="layout-flow:vertical">
              <w:txbxContent>
                <w:p>
                  <w:pPr>
                    <w:spacing w:before="27"/>
                    <w:ind w:left="20" w:right="0" w:firstLine="0"/>
                    <w:jc w:val="left"/>
                    <w:rPr>
                      <w:sz w:val="39"/>
                    </w:rPr>
                  </w:pPr>
                  <w:r>
                    <w:rPr>
                      <w:color w:val="FFFFFF"/>
                      <w:w w:val="115"/>
                      <w:sz w:val="39"/>
                    </w:rPr>
                    <w:t>Mission</w:t>
                  </w:r>
                </w:p>
              </w:txbxContent>
            </v:textbox>
            <w10:wrap type="none"/>
          </v:shape>
        </w:pict>
      </w:r>
      <w:r>
        <w:rPr>
          <w:color w:val="7EAABF"/>
          <w:w w:val="110"/>
          <w:sz w:val="26"/>
        </w:rPr>
        <w:t>Mission</w:t>
      </w:r>
    </w:p>
    <w:p>
      <w:pPr>
        <w:pStyle w:val="ListParagraph"/>
        <w:numPr>
          <w:ilvl w:val="1"/>
          <w:numId w:val="207"/>
        </w:numPr>
        <w:tabs>
          <w:tab w:pos="2024" w:val="left" w:leader="none"/>
          <w:tab w:pos="2025" w:val="left" w:leader="none"/>
        </w:tabs>
        <w:spacing w:line="235" w:lineRule="auto" w:before="222" w:after="0"/>
        <w:ind w:left="1344" w:right="1457" w:firstLine="0"/>
        <w:jc w:val="left"/>
        <w:rPr>
          <w:sz w:val="20"/>
        </w:rPr>
      </w:pPr>
      <w:r>
        <w:rPr>
          <w:w w:val="120"/>
          <w:sz w:val="20"/>
        </w:rPr>
        <w:t>The Rural Officer has made visits to various </w:t>
      </w:r>
      <w:r>
        <w:rPr>
          <w:spacing w:val="2"/>
          <w:w w:val="120"/>
          <w:sz w:val="20"/>
        </w:rPr>
        <w:t>parts </w:t>
      </w:r>
      <w:r>
        <w:rPr>
          <w:w w:val="120"/>
          <w:sz w:val="20"/>
        </w:rPr>
        <w:t>of the country including Cumbria, Cornwall, Shetland and the South East. The purpose of such visits is to listen and to share, listening to experiences, seeing new projects, and sharing stories from elsewhere. This can be quite formal, through leading worship or workshops or the informal conversations that happen on the </w:t>
      </w:r>
      <w:r>
        <w:rPr>
          <w:spacing w:val="-4"/>
          <w:w w:val="120"/>
          <w:sz w:val="20"/>
        </w:rPr>
        <w:t>way. </w:t>
      </w:r>
      <w:r>
        <w:rPr>
          <w:w w:val="120"/>
          <w:sz w:val="20"/>
        </w:rPr>
        <w:t>During a visit to Cumbria last year the Rural Officer met some dairy farmers who had been badly affected by a disease called mycoplasma. This conversation led to some follow up work at the ARC in order to get the situation highlighted</w:t>
      </w:r>
      <w:r>
        <w:rPr>
          <w:spacing w:val="6"/>
          <w:w w:val="120"/>
          <w:sz w:val="20"/>
        </w:rPr>
        <w:t> </w:t>
      </w:r>
      <w:r>
        <w:rPr>
          <w:w w:val="120"/>
          <w:sz w:val="20"/>
        </w:rPr>
        <w:t>nationally.</w:t>
      </w:r>
    </w:p>
    <w:p>
      <w:pPr>
        <w:pStyle w:val="BodyText"/>
        <w:spacing w:before="1"/>
      </w:pPr>
    </w:p>
    <w:p>
      <w:pPr>
        <w:pStyle w:val="ListParagraph"/>
        <w:numPr>
          <w:ilvl w:val="1"/>
          <w:numId w:val="207"/>
        </w:numPr>
        <w:tabs>
          <w:tab w:pos="2024" w:val="left" w:leader="none"/>
          <w:tab w:pos="2025" w:val="left" w:leader="none"/>
        </w:tabs>
        <w:spacing w:line="235" w:lineRule="auto" w:before="0" w:after="0"/>
        <w:ind w:left="1344" w:right="1353" w:firstLine="0"/>
        <w:jc w:val="left"/>
        <w:rPr>
          <w:sz w:val="20"/>
        </w:rPr>
      </w:pPr>
      <w:r>
        <w:rPr>
          <w:w w:val="120"/>
          <w:sz w:val="20"/>
        </w:rPr>
        <w:t>At the ARC the Rural Officer teaches on the twice yearly Rural Ministry Course which is aimed at those new to rural ministry and is always ecumenical. She is also working on a project called Germinate Groups, which are learning communities for those in multi-church groups, providing an opportunity to think, pray and plan around their mission. She also helps to organise the rural officers’ annual meeting, which sees rural officers from all around the country and from at least four denominations get together for support and</w:t>
      </w:r>
      <w:r>
        <w:rPr>
          <w:spacing w:val="9"/>
          <w:w w:val="120"/>
          <w:sz w:val="20"/>
        </w:rPr>
        <w:t> </w:t>
      </w:r>
      <w:r>
        <w:rPr>
          <w:w w:val="120"/>
          <w:sz w:val="20"/>
        </w:rPr>
        <w:t>learning.</w:t>
      </w:r>
    </w:p>
    <w:p>
      <w:pPr>
        <w:pStyle w:val="BodyText"/>
        <w:spacing w:before="1"/>
      </w:pPr>
    </w:p>
    <w:p>
      <w:pPr>
        <w:pStyle w:val="ListParagraph"/>
        <w:numPr>
          <w:ilvl w:val="1"/>
          <w:numId w:val="207"/>
        </w:numPr>
        <w:tabs>
          <w:tab w:pos="2024" w:val="left" w:leader="none"/>
          <w:tab w:pos="2025" w:val="left" w:leader="none"/>
        </w:tabs>
        <w:spacing w:line="235" w:lineRule="auto" w:before="0" w:after="0"/>
        <w:ind w:left="1344" w:right="1318" w:firstLine="0"/>
        <w:jc w:val="left"/>
        <w:rPr>
          <w:sz w:val="20"/>
        </w:rPr>
      </w:pPr>
      <w:r>
        <w:rPr>
          <w:w w:val="120"/>
          <w:sz w:val="20"/>
        </w:rPr>
        <w:t>A new initiative which the Rural Officer has worked on with the ARC is Rural Mission </w:t>
      </w:r>
      <w:r>
        <w:rPr>
          <w:spacing w:val="-3"/>
          <w:w w:val="120"/>
          <w:sz w:val="20"/>
        </w:rPr>
        <w:t>Sunday. </w:t>
      </w:r>
      <w:r>
        <w:rPr>
          <w:w w:val="120"/>
          <w:sz w:val="20"/>
        </w:rPr>
        <w:t>This was celebrated for the first time last year on the </w:t>
      </w:r>
      <w:r>
        <w:rPr>
          <w:spacing w:val="-9"/>
          <w:w w:val="120"/>
          <w:sz w:val="20"/>
        </w:rPr>
        <w:t>15 </w:t>
      </w:r>
      <w:r>
        <w:rPr>
          <w:w w:val="120"/>
          <w:sz w:val="20"/>
        </w:rPr>
        <w:t>July and this year it will be on the </w:t>
      </w:r>
      <w:r>
        <w:rPr>
          <w:spacing w:val="-12"/>
          <w:w w:val="120"/>
          <w:sz w:val="20"/>
        </w:rPr>
        <w:t>17 </w:t>
      </w:r>
      <w:r>
        <w:rPr>
          <w:spacing w:val="-3"/>
          <w:w w:val="120"/>
          <w:sz w:val="20"/>
        </w:rPr>
        <w:t>July, </w:t>
      </w:r>
      <w:r>
        <w:rPr>
          <w:w w:val="120"/>
          <w:sz w:val="20"/>
        </w:rPr>
        <w:t>although it can be celebrated on any Sunday that fits with the local church. Rural Mission Sunday is an opportunity to celebrate the rural church, giving thanks for what is achieved both by individual members of the congregation    and collectively. Worship material is produced around a theme; this year the theme is Sow and Grow and contains two URC contributions. Last year churches found different ways of using the material, for example inviting the village to afternoon tea and sharing worship. The feedback from last year suggested that those churches who did get involved found it really</w:t>
      </w:r>
      <w:r>
        <w:rPr>
          <w:spacing w:val="8"/>
          <w:w w:val="120"/>
          <w:sz w:val="20"/>
        </w:rPr>
        <w:t> </w:t>
      </w:r>
      <w:r>
        <w:rPr>
          <w:w w:val="120"/>
          <w:sz w:val="20"/>
        </w:rPr>
        <w:t>helpful.</w:t>
      </w:r>
    </w:p>
    <w:p>
      <w:pPr>
        <w:pStyle w:val="BodyText"/>
        <w:spacing w:before="4"/>
      </w:pPr>
    </w:p>
    <w:p>
      <w:pPr>
        <w:pStyle w:val="ListParagraph"/>
        <w:numPr>
          <w:ilvl w:val="1"/>
          <w:numId w:val="207"/>
        </w:numPr>
        <w:tabs>
          <w:tab w:pos="2024" w:val="left" w:leader="none"/>
          <w:tab w:pos="2025" w:val="left" w:leader="none"/>
        </w:tabs>
        <w:spacing w:line="235" w:lineRule="auto" w:before="0" w:after="0"/>
        <w:ind w:left="1344" w:right="1300" w:firstLine="0"/>
        <w:jc w:val="left"/>
        <w:rPr>
          <w:sz w:val="20"/>
        </w:rPr>
      </w:pPr>
      <w:r>
        <w:rPr>
          <w:w w:val="120"/>
          <w:sz w:val="20"/>
        </w:rPr>
        <w:t>One way of trying to raise the profile of the rural church within the wider church has been to work with those training for ministry. In the Methodist Church this has meant sending all those training full-time on a weekend rural placement around the country. This initiative is to be repeated this </w:t>
      </w:r>
      <w:r>
        <w:rPr>
          <w:spacing w:val="-4"/>
          <w:w w:val="120"/>
          <w:sz w:val="20"/>
        </w:rPr>
        <w:t>year. </w:t>
      </w:r>
      <w:r>
        <w:rPr>
          <w:w w:val="120"/>
          <w:sz w:val="20"/>
        </w:rPr>
        <w:t>The Rural Officer has also arranged rural placements for those Methodists about to leave college and take up a rural appointment. She has also met the students at </w:t>
      </w:r>
      <w:r>
        <w:rPr>
          <w:spacing w:val="2"/>
          <w:w w:val="120"/>
          <w:sz w:val="20"/>
        </w:rPr>
        <w:t>Northern </w:t>
      </w:r>
      <w:r>
        <w:rPr>
          <w:w w:val="120"/>
          <w:sz w:val="20"/>
        </w:rPr>
        <w:t>College to speak about the rural</w:t>
      </w:r>
      <w:r>
        <w:rPr>
          <w:spacing w:val="1"/>
          <w:w w:val="120"/>
          <w:sz w:val="20"/>
        </w:rPr>
        <w:t> </w:t>
      </w:r>
      <w:r>
        <w:rPr>
          <w:w w:val="120"/>
          <w:sz w:val="20"/>
        </w:rPr>
        <w:t>context.</w:t>
      </w:r>
    </w:p>
    <w:p>
      <w:pPr>
        <w:pStyle w:val="BodyText"/>
        <w:spacing w:before="1"/>
      </w:pPr>
    </w:p>
    <w:p>
      <w:pPr>
        <w:pStyle w:val="ListParagraph"/>
        <w:numPr>
          <w:ilvl w:val="1"/>
          <w:numId w:val="207"/>
        </w:numPr>
        <w:tabs>
          <w:tab w:pos="2024" w:val="left" w:leader="none"/>
          <w:tab w:pos="2025" w:val="left" w:leader="none"/>
        </w:tabs>
        <w:spacing w:line="235" w:lineRule="auto" w:before="0" w:after="0"/>
        <w:ind w:left="1344" w:right="1569" w:firstLine="0"/>
        <w:jc w:val="left"/>
        <w:rPr>
          <w:sz w:val="20"/>
        </w:rPr>
      </w:pPr>
      <w:r>
        <w:rPr>
          <w:w w:val="120"/>
          <w:sz w:val="20"/>
        </w:rPr>
        <w:t>In 2004 the Methodist Church produced a resource for rural churches called Presence. This was a study guide which coined the phrase </w:t>
      </w:r>
      <w:r>
        <w:rPr>
          <w:spacing w:val="-4"/>
          <w:w w:val="120"/>
          <w:sz w:val="20"/>
        </w:rPr>
        <w:t>‘an </w:t>
      </w:r>
      <w:r>
        <w:rPr>
          <w:w w:val="120"/>
          <w:sz w:val="20"/>
        </w:rPr>
        <w:t>effective Christian presence in villages’ to describe the future shape of the church and provided tools   to look at the life and mission of the church to help it become that presence. While the theology and vision underpinning this resource is still very valid, the context has changed</w:t>
      </w:r>
      <w:r>
        <w:rPr>
          <w:spacing w:val="7"/>
          <w:w w:val="120"/>
          <w:sz w:val="20"/>
        </w:rPr>
        <w:t> </w:t>
      </w:r>
      <w:r>
        <w:rPr>
          <w:w w:val="120"/>
          <w:sz w:val="20"/>
        </w:rPr>
        <w:t>and</w:t>
      </w:r>
      <w:r>
        <w:rPr>
          <w:spacing w:val="7"/>
          <w:w w:val="120"/>
          <w:sz w:val="20"/>
        </w:rPr>
        <w:t> </w:t>
      </w:r>
      <w:r>
        <w:rPr>
          <w:w w:val="120"/>
          <w:sz w:val="20"/>
        </w:rPr>
        <w:t>it</w:t>
      </w:r>
      <w:r>
        <w:rPr>
          <w:spacing w:val="8"/>
          <w:w w:val="120"/>
          <w:sz w:val="20"/>
        </w:rPr>
        <w:t> </w:t>
      </w:r>
      <w:r>
        <w:rPr>
          <w:w w:val="120"/>
          <w:sz w:val="20"/>
        </w:rPr>
        <w:t>needs</w:t>
      </w:r>
      <w:r>
        <w:rPr>
          <w:spacing w:val="7"/>
          <w:w w:val="120"/>
          <w:sz w:val="20"/>
        </w:rPr>
        <w:t> </w:t>
      </w:r>
      <w:r>
        <w:rPr>
          <w:w w:val="120"/>
          <w:sz w:val="20"/>
        </w:rPr>
        <w:t>to</w:t>
      </w:r>
      <w:r>
        <w:rPr>
          <w:spacing w:val="8"/>
          <w:w w:val="120"/>
          <w:sz w:val="20"/>
        </w:rPr>
        <w:t> </w:t>
      </w:r>
      <w:r>
        <w:rPr>
          <w:w w:val="120"/>
          <w:sz w:val="20"/>
        </w:rPr>
        <w:t>be</w:t>
      </w:r>
      <w:r>
        <w:rPr>
          <w:spacing w:val="7"/>
          <w:w w:val="120"/>
          <w:sz w:val="20"/>
        </w:rPr>
        <w:t> </w:t>
      </w:r>
      <w:r>
        <w:rPr>
          <w:w w:val="120"/>
          <w:sz w:val="20"/>
        </w:rPr>
        <w:t>updated.</w:t>
      </w:r>
      <w:r>
        <w:rPr>
          <w:spacing w:val="8"/>
          <w:w w:val="120"/>
          <w:sz w:val="20"/>
        </w:rPr>
        <w:t> </w:t>
      </w:r>
      <w:r>
        <w:rPr>
          <w:w w:val="120"/>
          <w:sz w:val="20"/>
        </w:rPr>
        <w:t>The</w:t>
      </w:r>
      <w:r>
        <w:rPr>
          <w:spacing w:val="7"/>
          <w:w w:val="120"/>
          <w:sz w:val="20"/>
        </w:rPr>
        <w:t> </w:t>
      </w:r>
      <w:r>
        <w:rPr>
          <w:w w:val="120"/>
          <w:sz w:val="20"/>
        </w:rPr>
        <w:t>Rural</w:t>
      </w:r>
      <w:r>
        <w:rPr>
          <w:spacing w:val="8"/>
          <w:w w:val="120"/>
          <w:sz w:val="20"/>
        </w:rPr>
        <w:t> </w:t>
      </w:r>
      <w:r>
        <w:rPr>
          <w:w w:val="120"/>
          <w:sz w:val="20"/>
        </w:rPr>
        <w:t>Officer</w:t>
      </w:r>
      <w:r>
        <w:rPr>
          <w:spacing w:val="7"/>
          <w:w w:val="120"/>
          <w:sz w:val="20"/>
        </w:rPr>
        <w:t> </w:t>
      </w:r>
      <w:r>
        <w:rPr>
          <w:w w:val="120"/>
          <w:sz w:val="20"/>
        </w:rPr>
        <w:t>has</w:t>
      </w:r>
      <w:r>
        <w:rPr>
          <w:spacing w:val="8"/>
          <w:w w:val="120"/>
          <w:sz w:val="20"/>
        </w:rPr>
        <w:t> </w:t>
      </w:r>
      <w:r>
        <w:rPr>
          <w:w w:val="120"/>
          <w:sz w:val="20"/>
        </w:rPr>
        <w:t>convened</w:t>
      </w:r>
      <w:r>
        <w:rPr>
          <w:spacing w:val="7"/>
          <w:w w:val="120"/>
          <w:sz w:val="20"/>
        </w:rPr>
        <w:t> </w:t>
      </w:r>
      <w:r>
        <w:rPr>
          <w:w w:val="120"/>
          <w:sz w:val="20"/>
        </w:rPr>
        <w:t>a</w:t>
      </w:r>
      <w:r>
        <w:rPr>
          <w:spacing w:val="8"/>
          <w:w w:val="120"/>
          <w:sz w:val="20"/>
        </w:rPr>
        <w:t> </w:t>
      </w:r>
      <w:r>
        <w:rPr>
          <w:w w:val="120"/>
          <w:sz w:val="20"/>
        </w:rPr>
        <w:t>group</w:t>
      </w:r>
      <w:r>
        <w:rPr>
          <w:spacing w:val="7"/>
          <w:w w:val="120"/>
          <w:sz w:val="20"/>
        </w:rPr>
        <w:t> </w:t>
      </w:r>
      <w:r>
        <w:rPr>
          <w:w w:val="120"/>
          <w:sz w:val="20"/>
        </w:rPr>
        <w:t>to</w:t>
      </w:r>
      <w:r>
        <w:rPr>
          <w:spacing w:val="8"/>
          <w:w w:val="120"/>
          <w:sz w:val="20"/>
        </w:rPr>
        <w:t> </w:t>
      </w:r>
      <w:r>
        <w:rPr>
          <w:w w:val="120"/>
          <w:sz w:val="20"/>
        </w:rPr>
        <w:t>look</w:t>
      </w:r>
    </w:p>
    <w:p>
      <w:pPr>
        <w:pStyle w:val="BodyText"/>
        <w:spacing w:line="235" w:lineRule="auto" w:before="4"/>
        <w:ind w:left="1344" w:right="1478"/>
      </w:pPr>
      <w:r>
        <w:rPr>
          <w:w w:val="120"/>
        </w:rPr>
        <w:t>at rewriting this study guide from a Methodist and URC perspective. Another result of the rethink of Presence is a research conference to be held in July 2016. Papers will be presented from both a Methodist and URC perspective and it is hoped that this will lead to a publication aimed at rural practitioners.</w:t>
      </w:r>
    </w:p>
    <w:p>
      <w:pPr>
        <w:pStyle w:val="BodyText"/>
        <w:spacing w:before="3"/>
        <w:rPr>
          <w:sz w:val="22"/>
        </w:rPr>
      </w:pPr>
    </w:p>
    <w:p>
      <w:pPr>
        <w:spacing w:before="1"/>
        <w:ind w:left="1344" w:right="0" w:firstLine="0"/>
        <w:jc w:val="left"/>
        <w:rPr>
          <w:rFonts w:ascii="Stone Sans II ITC Std Bk"/>
          <w:b/>
          <w:sz w:val="29"/>
        </w:rPr>
      </w:pPr>
      <w:r>
        <w:rPr>
          <w:rFonts w:ascii="Stone Sans II ITC Std Bk"/>
          <w:b/>
          <w:w w:val="110"/>
          <w:sz w:val="29"/>
        </w:rPr>
        <w:t>Conclusion</w:t>
      </w:r>
    </w:p>
    <w:p>
      <w:pPr>
        <w:pStyle w:val="ListParagraph"/>
        <w:numPr>
          <w:ilvl w:val="1"/>
          <w:numId w:val="208"/>
        </w:numPr>
        <w:tabs>
          <w:tab w:pos="2024" w:val="left" w:leader="none"/>
          <w:tab w:pos="2025" w:val="left" w:leader="none"/>
        </w:tabs>
        <w:spacing w:line="235" w:lineRule="auto" w:before="69" w:after="0"/>
        <w:ind w:left="1344" w:right="1293" w:firstLine="0"/>
        <w:jc w:val="left"/>
        <w:rPr>
          <w:sz w:val="20"/>
        </w:rPr>
      </w:pPr>
      <w:r>
        <w:rPr>
          <w:w w:val="120"/>
          <w:sz w:val="20"/>
        </w:rPr>
        <w:t>The opportunities for developing and offering new initiatives for mission are always there and always inviting! And we wrestle with recognising the capacity both of our staff and our church. ‘No new initiatives’ is a </w:t>
      </w:r>
      <w:r>
        <w:rPr>
          <w:spacing w:val="3"/>
          <w:w w:val="120"/>
          <w:sz w:val="20"/>
        </w:rPr>
        <w:t>cry </w:t>
      </w:r>
      <w:r>
        <w:rPr>
          <w:w w:val="120"/>
          <w:sz w:val="20"/>
        </w:rPr>
        <w:t>we often hear! On the other hand, we are always concerned to be exploring and offering good, stimulating, innovative   and challenging resources to support and equip local congregations for mission in their context. We live with the tension of the ‘harvest’ being ‘plentiful’ while the workers need gentle encouragement, careful support in the exploration of their call to mission and permission to try, whether a few things, or just one thing, and do it</w:t>
      </w:r>
      <w:r>
        <w:rPr>
          <w:spacing w:val="47"/>
          <w:w w:val="120"/>
          <w:sz w:val="20"/>
        </w:rPr>
        <w:t> </w:t>
      </w:r>
      <w:r>
        <w:rPr>
          <w:w w:val="120"/>
          <w:sz w:val="20"/>
        </w:rPr>
        <w:t>well.</w:t>
      </w:r>
    </w:p>
    <w:p>
      <w:pPr>
        <w:spacing w:after="0" w:line="235" w:lineRule="auto"/>
        <w:jc w:val="left"/>
        <w:rPr>
          <w:sz w:val="20"/>
        </w:rPr>
        <w:sectPr>
          <w:headerReference w:type="default" r:id="rId484"/>
          <w:pgSz w:w="11910" w:h="16840"/>
          <w:pgMar w:header="0" w:footer="647" w:top="0" w:bottom="840" w:left="640" w:right="0"/>
        </w:sectPr>
      </w:pPr>
    </w:p>
    <w:p>
      <w:pPr>
        <w:pStyle w:val="BodyText"/>
      </w:pPr>
      <w:r>
        <w:rPr/>
        <w:drawing>
          <wp:anchor distT="0" distB="0" distL="0" distR="0" allowOverlap="1" layoutInCell="1" locked="0" behindDoc="1" simplePos="0" relativeHeight="235693056">
            <wp:simplePos x="0" y="0"/>
            <wp:positionH relativeFrom="page">
              <wp:posOffset>0</wp:posOffset>
            </wp:positionH>
            <wp:positionV relativeFrom="page">
              <wp:posOffset>0</wp:posOffset>
            </wp:positionV>
            <wp:extent cx="594067" cy="10692003"/>
            <wp:effectExtent l="0" t="0" r="0" b="0"/>
            <wp:wrapNone/>
            <wp:docPr id="349" name="image67.png"/>
            <wp:cNvGraphicFramePr>
              <a:graphicFrameLocks noChangeAspect="1"/>
            </wp:cNvGraphicFramePr>
            <a:graphic>
              <a:graphicData uri="http://schemas.openxmlformats.org/drawingml/2006/picture">
                <pic:pic>
                  <pic:nvPicPr>
                    <pic:cNvPr id="350" name="image67.png"/>
                    <pic:cNvPicPr/>
                  </pic:nvPicPr>
                  <pic:blipFill>
                    <a:blip r:embed="rId184" cstate="print"/>
                    <a:stretch>
                      <a:fillRect/>
                    </a:stretch>
                  </pic:blipFill>
                  <pic:spPr>
                    <a:xfrm>
                      <a:off x="0" y="0"/>
                      <a:ext cx="594067" cy="10692003"/>
                    </a:xfrm>
                    <a:prstGeom prst="rect">
                      <a:avLst/>
                    </a:prstGeom>
                  </pic:spPr>
                </pic:pic>
              </a:graphicData>
            </a:graphic>
          </wp:anchor>
        </w:drawing>
      </w:r>
      <w:r>
        <w:rPr/>
        <w:pict>
          <v:shape style="position:absolute;margin-left:20.519100pt;margin-top:48.890015pt;width:25.9pt;height:78.850pt;mso-position-horizontal-relative:page;mso-position-vertical-relative:page;z-index:252147712" type="#_x0000_t202" filled="false" stroked="false">
            <v:textbox inset="0,0,0,0" style="layout-flow:vertical">
              <w:txbxContent>
                <w:p>
                  <w:pPr>
                    <w:spacing w:before="27"/>
                    <w:ind w:left="20" w:right="0" w:firstLine="0"/>
                    <w:jc w:val="left"/>
                    <w:rPr>
                      <w:sz w:val="39"/>
                    </w:rPr>
                  </w:pPr>
                  <w:r>
                    <w:rPr>
                      <w:color w:val="FFFFFF"/>
                      <w:w w:val="115"/>
                      <w:sz w:val="39"/>
                    </w:rPr>
                    <w:t>Mission</w:t>
                  </w:r>
                </w:p>
              </w:txbxContent>
            </v:textbox>
            <w10:wrap type="none"/>
          </v:shape>
        </w:pict>
      </w:r>
    </w:p>
    <w:p>
      <w:pPr>
        <w:pStyle w:val="BodyText"/>
        <w:spacing w:before="7"/>
        <w:rPr>
          <w:sz w:val="21"/>
        </w:rPr>
      </w:pPr>
    </w:p>
    <w:p>
      <w:pPr>
        <w:spacing w:before="106"/>
        <w:ind w:left="607" w:right="0" w:firstLine="0"/>
        <w:jc w:val="left"/>
        <w:rPr>
          <w:sz w:val="26"/>
        </w:rPr>
      </w:pPr>
      <w:r>
        <w:rPr>
          <w:color w:val="7EAABF"/>
          <w:w w:val="115"/>
          <w:sz w:val="26"/>
        </w:rPr>
        <w:t>Mission</w:t>
      </w:r>
    </w:p>
    <w:p>
      <w:pPr>
        <w:pStyle w:val="ListParagraph"/>
        <w:numPr>
          <w:ilvl w:val="1"/>
          <w:numId w:val="208"/>
        </w:numPr>
        <w:tabs>
          <w:tab w:pos="1287" w:val="left" w:leader="none"/>
          <w:tab w:pos="1288" w:val="left" w:leader="none"/>
        </w:tabs>
        <w:spacing w:line="235" w:lineRule="auto" w:before="222" w:after="0"/>
        <w:ind w:left="607" w:right="2019" w:firstLine="0"/>
        <w:jc w:val="left"/>
        <w:rPr>
          <w:sz w:val="20"/>
        </w:rPr>
      </w:pPr>
      <w:r>
        <w:rPr>
          <w:w w:val="120"/>
          <w:sz w:val="20"/>
        </w:rPr>
        <w:t>Our rich and diverse picture of mission therefore gives us permission to see that as a whole church we are broadly, energetically and courageously involved in a huge range of initiatives and projects while encouraging each local church to find its place within that big picture. Mission is God’s calling to all of his people and we all have a   </w:t>
      </w:r>
      <w:r>
        <w:rPr>
          <w:spacing w:val="2"/>
          <w:w w:val="120"/>
          <w:sz w:val="20"/>
        </w:rPr>
        <w:t>part </w:t>
      </w:r>
      <w:r>
        <w:rPr>
          <w:w w:val="120"/>
          <w:sz w:val="20"/>
        </w:rPr>
        <w:t>to </w:t>
      </w:r>
      <w:r>
        <w:rPr>
          <w:spacing w:val="-3"/>
          <w:w w:val="120"/>
          <w:sz w:val="20"/>
        </w:rPr>
        <w:t>play. </w:t>
      </w:r>
      <w:r>
        <w:rPr>
          <w:w w:val="120"/>
          <w:sz w:val="20"/>
        </w:rPr>
        <w:t>And so with thanks to the staff team for mission at Church House and those who have served on the mission committee in these past two years, we are grateful for the good work that is well established and ongoing while continuing to look forward in faith</w:t>
      </w:r>
      <w:r>
        <w:rPr>
          <w:spacing w:val="7"/>
          <w:w w:val="120"/>
          <w:sz w:val="20"/>
        </w:rPr>
        <w:t> </w:t>
      </w:r>
      <w:r>
        <w:rPr>
          <w:w w:val="120"/>
          <w:sz w:val="20"/>
        </w:rPr>
        <w:t>to</w:t>
      </w:r>
      <w:r>
        <w:rPr>
          <w:spacing w:val="7"/>
          <w:w w:val="120"/>
          <w:sz w:val="20"/>
        </w:rPr>
        <w:t> </w:t>
      </w:r>
      <w:r>
        <w:rPr>
          <w:w w:val="120"/>
          <w:sz w:val="20"/>
        </w:rPr>
        <w:t>the</w:t>
      </w:r>
      <w:r>
        <w:rPr>
          <w:spacing w:val="7"/>
          <w:w w:val="120"/>
          <w:sz w:val="20"/>
        </w:rPr>
        <w:t> </w:t>
      </w:r>
      <w:r>
        <w:rPr>
          <w:w w:val="120"/>
          <w:sz w:val="20"/>
        </w:rPr>
        <w:t>God</w:t>
      </w:r>
      <w:r>
        <w:rPr>
          <w:spacing w:val="7"/>
          <w:w w:val="120"/>
          <w:sz w:val="20"/>
        </w:rPr>
        <w:t> </w:t>
      </w:r>
      <w:r>
        <w:rPr>
          <w:w w:val="120"/>
          <w:sz w:val="20"/>
        </w:rPr>
        <w:t>who</w:t>
      </w:r>
      <w:r>
        <w:rPr>
          <w:spacing w:val="7"/>
          <w:w w:val="120"/>
          <w:sz w:val="20"/>
        </w:rPr>
        <w:t> </w:t>
      </w:r>
      <w:r>
        <w:rPr>
          <w:w w:val="120"/>
          <w:sz w:val="20"/>
        </w:rPr>
        <w:t>calls</w:t>
      </w:r>
      <w:r>
        <w:rPr>
          <w:spacing w:val="7"/>
          <w:w w:val="120"/>
          <w:sz w:val="20"/>
        </w:rPr>
        <w:t> </w:t>
      </w:r>
      <w:r>
        <w:rPr>
          <w:w w:val="120"/>
          <w:sz w:val="20"/>
        </w:rPr>
        <w:t>us</w:t>
      </w:r>
      <w:r>
        <w:rPr>
          <w:spacing w:val="8"/>
          <w:w w:val="120"/>
          <w:sz w:val="20"/>
        </w:rPr>
        <w:t> </w:t>
      </w:r>
      <w:r>
        <w:rPr>
          <w:w w:val="120"/>
          <w:sz w:val="20"/>
        </w:rPr>
        <w:t>to</w:t>
      </w:r>
      <w:r>
        <w:rPr>
          <w:spacing w:val="7"/>
          <w:w w:val="120"/>
          <w:sz w:val="20"/>
        </w:rPr>
        <w:t> </w:t>
      </w:r>
      <w:r>
        <w:rPr>
          <w:w w:val="120"/>
          <w:sz w:val="20"/>
        </w:rPr>
        <w:t>join</w:t>
      </w:r>
      <w:r>
        <w:rPr>
          <w:spacing w:val="7"/>
          <w:w w:val="120"/>
          <w:sz w:val="20"/>
        </w:rPr>
        <w:t> </w:t>
      </w:r>
      <w:r>
        <w:rPr>
          <w:w w:val="120"/>
          <w:sz w:val="20"/>
        </w:rPr>
        <w:t>him</w:t>
      </w:r>
      <w:r>
        <w:rPr>
          <w:spacing w:val="7"/>
          <w:w w:val="120"/>
          <w:sz w:val="20"/>
        </w:rPr>
        <w:t> </w:t>
      </w:r>
      <w:r>
        <w:rPr>
          <w:w w:val="120"/>
          <w:sz w:val="20"/>
        </w:rPr>
        <w:t>in</w:t>
      </w:r>
      <w:r>
        <w:rPr>
          <w:spacing w:val="7"/>
          <w:w w:val="120"/>
          <w:sz w:val="20"/>
        </w:rPr>
        <w:t> </w:t>
      </w:r>
      <w:r>
        <w:rPr>
          <w:w w:val="120"/>
          <w:sz w:val="20"/>
        </w:rPr>
        <w:t>revealing</w:t>
      </w:r>
      <w:r>
        <w:rPr>
          <w:spacing w:val="7"/>
          <w:w w:val="120"/>
          <w:sz w:val="20"/>
        </w:rPr>
        <w:t> </w:t>
      </w:r>
      <w:r>
        <w:rPr>
          <w:w w:val="120"/>
          <w:sz w:val="20"/>
        </w:rPr>
        <w:t>and</w:t>
      </w:r>
      <w:r>
        <w:rPr>
          <w:spacing w:val="7"/>
          <w:w w:val="120"/>
          <w:sz w:val="20"/>
        </w:rPr>
        <w:t> </w:t>
      </w:r>
      <w:r>
        <w:rPr>
          <w:w w:val="120"/>
          <w:sz w:val="20"/>
        </w:rPr>
        <w:t>living</w:t>
      </w:r>
      <w:r>
        <w:rPr>
          <w:spacing w:val="8"/>
          <w:w w:val="120"/>
          <w:sz w:val="20"/>
        </w:rPr>
        <w:t> </w:t>
      </w:r>
      <w:r>
        <w:rPr>
          <w:w w:val="120"/>
          <w:sz w:val="20"/>
        </w:rPr>
        <w:t>the</w:t>
      </w:r>
      <w:r>
        <w:rPr>
          <w:spacing w:val="7"/>
          <w:w w:val="120"/>
          <w:sz w:val="20"/>
        </w:rPr>
        <w:t> </w:t>
      </w:r>
      <w:r>
        <w:rPr>
          <w:w w:val="120"/>
          <w:sz w:val="20"/>
        </w:rPr>
        <w:t>Kingdom</w:t>
      </w:r>
      <w:r>
        <w:rPr>
          <w:spacing w:val="7"/>
          <w:w w:val="120"/>
          <w:sz w:val="20"/>
        </w:rPr>
        <w:t> </w:t>
      </w:r>
      <w:r>
        <w:rPr>
          <w:w w:val="120"/>
          <w:sz w:val="20"/>
        </w:rPr>
        <w:t>of</w:t>
      </w:r>
      <w:r>
        <w:rPr>
          <w:spacing w:val="7"/>
          <w:w w:val="120"/>
          <w:sz w:val="20"/>
        </w:rPr>
        <w:t> </w:t>
      </w:r>
      <w:r>
        <w:rPr>
          <w:w w:val="120"/>
          <w:sz w:val="20"/>
        </w:rPr>
        <w:t>God.</w:t>
      </w:r>
    </w:p>
    <w:p>
      <w:pPr>
        <w:spacing w:after="0" w:line="235" w:lineRule="auto"/>
        <w:jc w:val="left"/>
        <w:rPr>
          <w:sz w:val="20"/>
        </w:rPr>
        <w:sectPr>
          <w:headerReference w:type="even" r:id="rId485"/>
          <w:footerReference w:type="even" r:id="rId486"/>
          <w:pgSz w:w="11910" w:h="16840"/>
          <w:pgMar w:header="0" w:footer="647" w:top="0" w:bottom="840" w:left="640" w:right="0"/>
          <w:pgNumType w:start="184"/>
        </w:sectPr>
      </w:pPr>
    </w:p>
    <w:p>
      <w:pPr>
        <w:pStyle w:val="BodyText"/>
      </w:pPr>
      <w:r>
        <w:rPr/>
        <w:pict>
          <v:rect style="position:absolute;margin-left:0pt;margin-top:.000015pt;width:549.207pt;height:841.89pt;mso-position-horizontal-relative:page;mso-position-vertical-relative:page;z-index:-267621376" filled="true" fillcolor="#d4e9f7" stroked="false">
            <v:fill type="solid"/>
            <w10:wrap type="none"/>
          </v:rect>
        </w:pict>
      </w:r>
      <w:r>
        <w:rPr/>
        <w:drawing>
          <wp:anchor distT="0" distB="0" distL="0" distR="0" allowOverlap="1" layoutInCell="1" locked="0" behindDoc="0" simplePos="0" relativeHeight="252149760">
            <wp:simplePos x="0" y="0"/>
            <wp:positionH relativeFrom="page">
              <wp:posOffset>6974928</wp:posOffset>
            </wp:positionH>
            <wp:positionV relativeFrom="page">
              <wp:posOffset>0</wp:posOffset>
            </wp:positionV>
            <wp:extent cx="585063" cy="10692003"/>
            <wp:effectExtent l="0" t="0" r="0" b="0"/>
            <wp:wrapNone/>
            <wp:docPr id="351" name="image54.png"/>
            <wp:cNvGraphicFramePr>
              <a:graphicFrameLocks noChangeAspect="1"/>
            </wp:cNvGraphicFramePr>
            <a:graphic>
              <a:graphicData uri="http://schemas.openxmlformats.org/drawingml/2006/picture">
                <pic:pic>
                  <pic:nvPicPr>
                    <pic:cNvPr id="352" name="image54.png"/>
                    <pic:cNvPicPr/>
                  </pic:nvPicPr>
                  <pic:blipFill>
                    <a:blip r:embed="rId169" cstate="print"/>
                    <a:stretch>
                      <a:fillRect/>
                    </a:stretch>
                  </pic:blipFill>
                  <pic:spPr>
                    <a:xfrm>
                      <a:off x="0" y="0"/>
                      <a:ext cx="585063" cy="10692003"/>
                    </a:xfrm>
                    <a:prstGeom prst="rect">
                      <a:avLst/>
                    </a:prstGeom>
                  </pic:spPr>
                </pic:pic>
              </a:graphicData>
            </a:graphic>
          </wp:anchor>
        </w:drawing>
      </w:r>
    </w:p>
    <w:p>
      <w:pPr>
        <w:pStyle w:val="BodyText"/>
      </w:pPr>
    </w:p>
    <w:p>
      <w:pPr>
        <w:pStyle w:val="BodyText"/>
      </w:pPr>
    </w:p>
    <w:p>
      <w:pPr>
        <w:pStyle w:val="BodyText"/>
        <w:spacing w:before="5"/>
        <w:rPr>
          <w:sz w:val="28"/>
        </w:rPr>
      </w:pPr>
    </w:p>
    <w:p>
      <w:pPr>
        <w:spacing w:line="213" w:lineRule="auto" w:before="153"/>
        <w:ind w:left="1103" w:right="2045" w:firstLine="0"/>
        <w:jc w:val="left"/>
        <w:rPr>
          <w:rFonts w:ascii="Stone Sans II ITC Std X Bd"/>
          <w:b/>
          <w:sz w:val="50"/>
        </w:rPr>
      </w:pPr>
      <w:r>
        <w:rPr/>
        <w:pict>
          <v:shape style="position:absolute;margin-left:554.141174pt;margin-top:-5.989334pt;width:25.9pt;height:316.5pt;mso-position-horizontal-relative:page;mso-position-vertical-relative:paragraph;z-index:252150784" type="#_x0000_t202" filled="false" stroked="false">
            <v:textbox inset="0,0,0,0" style="layout-flow:vertical">
              <w:txbxContent>
                <w:p>
                  <w:pPr>
                    <w:spacing w:before="27"/>
                    <w:ind w:left="20" w:right="0" w:firstLine="0"/>
                    <w:jc w:val="left"/>
                    <w:rPr>
                      <w:sz w:val="39"/>
                    </w:rPr>
                  </w:pPr>
                  <w:r>
                    <w:rPr>
                      <w:color w:val="FFFFFF"/>
                      <w:w w:val="120"/>
                      <w:sz w:val="39"/>
                    </w:rPr>
                    <w:t>Mission – </w:t>
                  </w:r>
                  <w:r>
                    <w:rPr>
                      <w:w w:val="120"/>
                      <w:sz w:val="39"/>
                    </w:rPr>
                    <w:t>Environmental Policy</w:t>
                  </w:r>
                </w:p>
              </w:txbxContent>
            </v:textbox>
            <w10:wrap type="none"/>
          </v:shape>
        </w:pict>
      </w:r>
      <w:r>
        <w:rPr>
          <w:rFonts w:ascii="Stone Sans II ITC Std X Bd"/>
          <w:b/>
          <w:color w:val="0090D4"/>
          <w:spacing w:val="-9"/>
          <w:w w:val="110"/>
          <w:sz w:val="50"/>
        </w:rPr>
        <w:t>Mission </w:t>
      </w:r>
      <w:r>
        <w:rPr>
          <w:rFonts w:ascii="Stone Sans II ITC Std X Bd"/>
          <w:b/>
          <w:color w:val="0090D4"/>
          <w:spacing w:val="-10"/>
          <w:w w:val="110"/>
          <w:sz w:val="50"/>
        </w:rPr>
        <w:t>committee: </w:t>
      </w:r>
      <w:r>
        <w:rPr>
          <w:rFonts w:ascii="Stone Sans II ITC Std X Bd"/>
          <w:b/>
          <w:spacing w:val="-11"/>
          <w:w w:val="110"/>
          <w:sz w:val="50"/>
        </w:rPr>
        <w:t>Environmental </w:t>
      </w:r>
      <w:r>
        <w:rPr>
          <w:rFonts w:ascii="Stone Sans II ITC Std X Bd"/>
          <w:b/>
          <w:spacing w:val="-8"/>
          <w:w w:val="110"/>
          <w:sz w:val="50"/>
        </w:rPr>
        <w:t>Policy </w:t>
      </w:r>
      <w:r>
        <w:rPr>
          <w:rFonts w:ascii="Stone Sans II ITC Std X Bd"/>
          <w:b/>
          <w:spacing w:val="-5"/>
          <w:w w:val="110"/>
          <w:sz w:val="50"/>
        </w:rPr>
        <w:t>for </w:t>
      </w:r>
      <w:r>
        <w:rPr>
          <w:rFonts w:ascii="Stone Sans II ITC Std X Bd"/>
          <w:b/>
          <w:spacing w:val="-8"/>
          <w:w w:val="110"/>
          <w:sz w:val="50"/>
        </w:rPr>
        <w:t>the </w:t>
      </w:r>
      <w:r>
        <w:rPr>
          <w:rFonts w:ascii="Stone Sans II ITC Std X Bd"/>
          <w:b/>
          <w:spacing w:val="-9"/>
          <w:w w:val="110"/>
          <w:sz w:val="50"/>
        </w:rPr>
        <w:t>United </w:t>
      </w:r>
      <w:r>
        <w:rPr>
          <w:rFonts w:ascii="Stone Sans II ITC Std X Bd"/>
          <w:b/>
          <w:spacing w:val="-8"/>
          <w:w w:val="110"/>
          <w:sz w:val="50"/>
        </w:rPr>
        <w:t>Reformed </w:t>
      </w:r>
      <w:r>
        <w:rPr>
          <w:rFonts w:ascii="Stone Sans II ITC Std X Bd"/>
          <w:b/>
          <w:spacing w:val="-10"/>
          <w:w w:val="110"/>
          <w:sz w:val="50"/>
        </w:rPr>
        <w:t>Church</w:t>
      </w:r>
    </w:p>
    <w:p>
      <w:pPr>
        <w:pStyle w:val="Heading4"/>
        <w:spacing w:before="323"/>
        <w:ind w:left="1103"/>
      </w:pPr>
      <w:r>
        <w:rPr>
          <w:color w:val="7F7F7F"/>
        </w:rPr>
        <w:t>Basic Information</w:t>
      </w:r>
    </w:p>
    <w:tbl>
      <w:tblPr>
        <w:tblW w:w="0" w:type="auto"/>
        <w:jc w:val="left"/>
        <w:tblInd w:w="111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660"/>
        <w:gridCol w:w="6582"/>
      </w:tblGrid>
      <w:tr>
        <w:trPr>
          <w:trHeight w:val="680" w:hRule="atLeast"/>
        </w:trPr>
        <w:tc>
          <w:tcPr>
            <w:tcW w:w="2660" w:type="dxa"/>
            <w:shd w:val="clear" w:color="auto" w:fill="FFFFFF"/>
          </w:tcPr>
          <w:p>
            <w:pPr>
              <w:pStyle w:val="TableParagraph"/>
              <w:spacing w:line="213" w:lineRule="auto" w:before="151"/>
              <w:ind w:right="595"/>
              <w:rPr>
                <w:rFonts w:ascii="Stone Sans II ITC Std Bk"/>
                <w:b/>
                <w:sz w:val="20"/>
              </w:rPr>
            </w:pPr>
            <w:r>
              <w:rPr>
                <w:rFonts w:ascii="Stone Sans II ITC Std Bk"/>
                <w:b/>
                <w:w w:val="110"/>
                <w:sz w:val="20"/>
              </w:rPr>
              <w:t>Contact name and email address</w:t>
            </w:r>
          </w:p>
        </w:tc>
        <w:tc>
          <w:tcPr>
            <w:tcW w:w="6582" w:type="dxa"/>
            <w:shd w:val="clear" w:color="auto" w:fill="FFFFFF"/>
          </w:tcPr>
          <w:p>
            <w:pPr>
              <w:pStyle w:val="TableParagraph"/>
              <w:spacing w:line="235" w:lineRule="auto" w:before="145"/>
              <w:ind w:right="2089"/>
              <w:rPr>
                <w:sz w:val="20"/>
              </w:rPr>
            </w:pPr>
            <w:r>
              <w:rPr>
                <w:w w:val="120"/>
                <w:sz w:val="20"/>
              </w:rPr>
              <w:t>Grace Pengelly: </w:t>
            </w:r>
            <w:hyperlink r:id="rId489">
              <w:r>
                <w:rPr>
                  <w:color w:val="006AB3"/>
                  <w:w w:val="120"/>
                  <w:sz w:val="20"/>
                </w:rPr>
                <w:t>grace.pengelly@urc.org.uk</w:t>
              </w:r>
            </w:hyperlink>
            <w:r>
              <w:rPr>
                <w:color w:val="006AB3"/>
                <w:w w:val="120"/>
                <w:sz w:val="20"/>
              </w:rPr>
              <w:t> </w:t>
            </w:r>
            <w:r>
              <w:rPr>
                <w:w w:val="120"/>
                <w:sz w:val="20"/>
              </w:rPr>
              <w:t>Francis Brienen: </w:t>
            </w:r>
            <w:hyperlink r:id="rId444">
              <w:r>
                <w:rPr>
                  <w:color w:val="006AB3"/>
                  <w:w w:val="120"/>
                  <w:sz w:val="20"/>
                </w:rPr>
                <w:t>francis.brienen@urc.org.uk</w:t>
              </w:r>
            </w:hyperlink>
          </w:p>
        </w:tc>
      </w:tr>
      <w:tr>
        <w:trPr>
          <w:trHeight w:val="440" w:hRule="atLeast"/>
        </w:trPr>
        <w:tc>
          <w:tcPr>
            <w:tcW w:w="2660" w:type="dxa"/>
            <w:shd w:val="clear" w:color="auto" w:fill="FFFFFF"/>
          </w:tcPr>
          <w:p>
            <w:pPr>
              <w:pStyle w:val="TableParagraph"/>
              <w:spacing w:before="128"/>
              <w:rPr>
                <w:rFonts w:ascii="Stone Sans II ITC Std Bk"/>
                <w:b/>
                <w:sz w:val="20"/>
              </w:rPr>
            </w:pPr>
            <w:r>
              <w:rPr>
                <w:rFonts w:ascii="Stone Sans II ITC Std Bk"/>
                <w:b/>
                <w:w w:val="110"/>
                <w:sz w:val="20"/>
              </w:rPr>
              <w:t>Action required</w:t>
            </w:r>
          </w:p>
        </w:tc>
        <w:tc>
          <w:tcPr>
            <w:tcW w:w="6582" w:type="dxa"/>
            <w:shd w:val="clear" w:color="auto" w:fill="FFFFFF"/>
          </w:tcPr>
          <w:p>
            <w:pPr>
              <w:pStyle w:val="TableParagraph"/>
              <w:spacing w:before="141"/>
              <w:rPr>
                <w:sz w:val="20"/>
              </w:rPr>
            </w:pPr>
            <w:r>
              <w:rPr>
                <w:w w:val="120"/>
                <w:sz w:val="20"/>
              </w:rPr>
              <w:t>Decision</w:t>
            </w:r>
          </w:p>
        </w:tc>
      </w:tr>
      <w:tr>
        <w:trPr>
          <w:trHeight w:val="6440" w:hRule="atLeast"/>
        </w:trPr>
        <w:tc>
          <w:tcPr>
            <w:tcW w:w="2660" w:type="dxa"/>
            <w:shd w:val="clear" w:color="auto" w:fill="FFFFFF"/>
          </w:tcPr>
          <w:p>
            <w:pPr>
              <w:pStyle w:val="TableParagraph"/>
              <w:spacing w:before="128"/>
              <w:rPr>
                <w:rFonts w:ascii="Stone Sans II ITC Std Bk"/>
                <w:b/>
                <w:sz w:val="20"/>
              </w:rPr>
            </w:pPr>
            <w:r>
              <w:rPr>
                <w:rFonts w:ascii="Stone Sans II ITC Std Bk"/>
                <w:b/>
                <w:w w:val="110"/>
                <w:sz w:val="20"/>
              </w:rPr>
              <w:t>Draft resolution(s)</w:t>
            </w:r>
          </w:p>
        </w:tc>
        <w:tc>
          <w:tcPr>
            <w:tcW w:w="6582" w:type="dxa"/>
            <w:shd w:val="clear" w:color="auto" w:fill="FFFFFF"/>
          </w:tcPr>
          <w:p>
            <w:pPr>
              <w:pStyle w:val="TableParagraph"/>
              <w:numPr>
                <w:ilvl w:val="0"/>
                <w:numId w:val="209"/>
              </w:numPr>
              <w:tabs>
                <w:tab w:pos="761" w:val="left" w:leader="none"/>
              </w:tabs>
              <w:spacing w:line="213" w:lineRule="auto" w:before="151" w:after="0"/>
              <w:ind w:left="80" w:right="248" w:firstLine="0"/>
              <w:jc w:val="both"/>
              <w:rPr>
                <w:rFonts w:ascii="Stone Sans II ITC Std Bk"/>
                <w:b/>
                <w:sz w:val="20"/>
              </w:rPr>
            </w:pPr>
            <w:r>
              <w:rPr>
                <w:rFonts w:ascii="Stone Sans II ITC Std Bk"/>
                <w:b/>
                <w:w w:val="110"/>
                <w:sz w:val="20"/>
              </w:rPr>
              <w:t>General Assembly adopts the Environmental Policy, and encourages all committees, synods and local churches to do their best to implement</w:t>
            </w:r>
            <w:r>
              <w:rPr>
                <w:rFonts w:ascii="Stone Sans II ITC Std Bk"/>
                <w:b/>
                <w:spacing w:val="-2"/>
                <w:w w:val="110"/>
                <w:sz w:val="20"/>
              </w:rPr>
              <w:t> </w:t>
            </w:r>
            <w:r>
              <w:rPr>
                <w:rFonts w:ascii="Stone Sans II ITC Std Bk"/>
                <w:b/>
                <w:w w:val="110"/>
                <w:sz w:val="20"/>
              </w:rPr>
              <w:t>it.</w:t>
            </w:r>
          </w:p>
          <w:p>
            <w:pPr>
              <w:pStyle w:val="TableParagraph"/>
              <w:spacing w:before="8"/>
              <w:ind w:left="0"/>
              <w:rPr>
                <w:rFonts w:ascii="Stone Sans II ITC Std Bk"/>
                <w:b/>
                <w:sz w:val="17"/>
              </w:rPr>
            </w:pPr>
          </w:p>
          <w:p>
            <w:pPr>
              <w:pStyle w:val="TableParagraph"/>
              <w:numPr>
                <w:ilvl w:val="0"/>
                <w:numId w:val="209"/>
              </w:numPr>
              <w:tabs>
                <w:tab w:pos="760" w:val="left" w:leader="none"/>
                <w:tab w:pos="761" w:val="left" w:leader="none"/>
              </w:tabs>
              <w:spacing w:line="213" w:lineRule="auto" w:before="0" w:after="0"/>
              <w:ind w:left="80" w:right="384" w:firstLine="0"/>
              <w:jc w:val="left"/>
              <w:rPr>
                <w:rFonts w:ascii="Stone Sans II ITC Std Bk" w:hAnsi="Stone Sans II ITC Std Bk"/>
                <w:b/>
                <w:sz w:val="20"/>
              </w:rPr>
            </w:pPr>
            <w:r>
              <w:rPr>
                <w:rFonts w:ascii="Stone Sans II ITC Std Bk" w:hAnsi="Stone Sans II ITC Std Bk"/>
                <w:b/>
                <w:w w:val="110"/>
                <w:sz w:val="20"/>
              </w:rPr>
              <w:t>General Assembly resolves to appoint a task group until </w:t>
            </w:r>
            <w:r>
              <w:rPr>
                <w:rFonts w:ascii="Stone Sans II ITC Std Bk" w:hAnsi="Stone Sans II ITC Std Bk"/>
                <w:b/>
                <w:spacing w:val="-7"/>
                <w:w w:val="110"/>
                <w:sz w:val="20"/>
              </w:rPr>
              <w:t>31 </w:t>
            </w:r>
            <w:r>
              <w:rPr>
                <w:rFonts w:ascii="Stone Sans II ITC Std Bk" w:hAnsi="Stone Sans II ITC Std Bk"/>
                <w:b/>
                <w:w w:val="110"/>
                <w:sz w:val="20"/>
              </w:rPr>
              <w:t>July 2022 in the first instance, of four persons, to be appointed by the nominations committee and funded from the mission committee budget, to monitor the United Reformed Church’s progress toward meeting its commitment to reduce its carbon footprint, reporting to the mission</w:t>
            </w:r>
            <w:r>
              <w:rPr>
                <w:rFonts w:ascii="Stone Sans II ITC Std Bk" w:hAnsi="Stone Sans II ITC Std Bk"/>
                <w:b/>
                <w:spacing w:val="-1"/>
                <w:w w:val="110"/>
                <w:sz w:val="20"/>
              </w:rPr>
              <w:t> </w:t>
            </w:r>
            <w:r>
              <w:rPr>
                <w:rFonts w:ascii="Stone Sans II ITC Std Bk" w:hAnsi="Stone Sans II ITC Std Bk"/>
                <w:b/>
                <w:w w:val="110"/>
                <w:sz w:val="20"/>
              </w:rPr>
              <w:t>committee.</w:t>
            </w:r>
          </w:p>
          <w:p>
            <w:pPr>
              <w:pStyle w:val="TableParagraph"/>
              <w:spacing w:line="255" w:lineRule="exact" w:before="213"/>
              <w:rPr>
                <w:rFonts w:ascii="Stone Sans II ITC Std Bk" w:hAnsi="Stone Sans II ITC Std Bk"/>
                <w:b/>
                <w:sz w:val="20"/>
              </w:rPr>
            </w:pPr>
            <w:r>
              <w:rPr>
                <w:rFonts w:ascii="Stone Sans II ITC Std Bk" w:hAnsi="Stone Sans II ITC Std Bk"/>
                <w:b/>
                <w:w w:val="110"/>
                <w:sz w:val="20"/>
              </w:rPr>
              <w:t>The task group’s specific remit shall be to:</w:t>
            </w:r>
          </w:p>
          <w:p>
            <w:pPr>
              <w:pStyle w:val="TableParagraph"/>
              <w:numPr>
                <w:ilvl w:val="0"/>
                <w:numId w:val="210"/>
              </w:numPr>
              <w:tabs>
                <w:tab w:pos="421" w:val="left" w:leader="none"/>
              </w:tabs>
              <w:spacing w:line="213" w:lineRule="auto" w:before="7" w:after="0"/>
              <w:ind w:left="420" w:right="295" w:hanging="341"/>
              <w:jc w:val="left"/>
              <w:rPr>
                <w:rFonts w:ascii="Stone Sans II ITC Std Bk"/>
                <w:b/>
                <w:sz w:val="20"/>
              </w:rPr>
            </w:pPr>
            <w:r>
              <w:rPr>
                <w:rFonts w:ascii="Stone Sans II ITC Std Bk"/>
                <w:b/>
                <w:w w:val="110"/>
                <w:sz w:val="20"/>
              </w:rPr>
              <w:t>compile, produce or commission resources for worship and teaching related to themes contained in the Environmental</w:t>
            </w:r>
            <w:r>
              <w:rPr>
                <w:rFonts w:ascii="Stone Sans II ITC Std Bk"/>
                <w:b/>
                <w:spacing w:val="-1"/>
                <w:w w:val="110"/>
                <w:sz w:val="20"/>
              </w:rPr>
              <w:t> </w:t>
            </w:r>
            <w:r>
              <w:rPr>
                <w:rFonts w:ascii="Stone Sans II ITC Std Bk"/>
                <w:b/>
                <w:w w:val="110"/>
                <w:sz w:val="20"/>
              </w:rPr>
              <w:t>Policy;</w:t>
            </w:r>
          </w:p>
          <w:p>
            <w:pPr>
              <w:pStyle w:val="TableParagraph"/>
              <w:numPr>
                <w:ilvl w:val="0"/>
                <w:numId w:val="210"/>
              </w:numPr>
              <w:tabs>
                <w:tab w:pos="421" w:val="left" w:leader="none"/>
              </w:tabs>
              <w:spacing w:line="213" w:lineRule="auto" w:before="0" w:after="0"/>
              <w:ind w:left="420" w:right="401" w:hanging="341"/>
              <w:jc w:val="left"/>
              <w:rPr>
                <w:rFonts w:ascii="Stone Sans II ITC Std Bk"/>
                <w:b/>
                <w:sz w:val="20"/>
              </w:rPr>
            </w:pPr>
            <w:r>
              <w:rPr>
                <w:rFonts w:ascii="Stone Sans II ITC Std Bk"/>
                <w:b/>
                <w:w w:val="110"/>
                <w:sz w:val="20"/>
              </w:rPr>
              <w:t>consider the budgetary implications of implementing the Environmental</w:t>
            </w:r>
            <w:r>
              <w:rPr>
                <w:rFonts w:ascii="Stone Sans II ITC Std Bk"/>
                <w:b/>
                <w:spacing w:val="-1"/>
                <w:w w:val="110"/>
                <w:sz w:val="20"/>
              </w:rPr>
              <w:t> </w:t>
            </w:r>
            <w:r>
              <w:rPr>
                <w:rFonts w:ascii="Stone Sans II ITC Std Bk"/>
                <w:b/>
                <w:w w:val="110"/>
                <w:sz w:val="20"/>
              </w:rPr>
              <w:t>Policy;</w:t>
            </w:r>
          </w:p>
          <w:p>
            <w:pPr>
              <w:pStyle w:val="TableParagraph"/>
              <w:numPr>
                <w:ilvl w:val="0"/>
                <w:numId w:val="210"/>
              </w:numPr>
              <w:tabs>
                <w:tab w:pos="421" w:val="left" w:leader="none"/>
              </w:tabs>
              <w:spacing w:line="213" w:lineRule="auto" w:before="0" w:after="0"/>
              <w:ind w:left="420" w:right="141" w:hanging="341"/>
              <w:jc w:val="left"/>
              <w:rPr>
                <w:rFonts w:ascii="Stone Sans II ITC Std Bk" w:hAnsi="Stone Sans II ITC Std Bk"/>
                <w:b/>
                <w:sz w:val="20"/>
              </w:rPr>
            </w:pPr>
            <w:r>
              <w:rPr>
                <w:rFonts w:ascii="Stone Sans II ITC Std Bk" w:hAnsi="Stone Sans II ITC Std Bk"/>
                <w:b/>
                <w:w w:val="110"/>
                <w:sz w:val="20"/>
              </w:rPr>
              <w:t>commission a suitable individual or body to calculate the Church’s carbon footprint, enabling a benchmark to be set against which future reductions in this footprint may be made;</w:t>
            </w:r>
            <w:r>
              <w:rPr>
                <w:rFonts w:ascii="Stone Sans II ITC Std Bk" w:hAnsi="Stone Sans II ITC Std Bk"/>
                <w:b/>
                <w:spacing w:val="-1"/>
                <w:w w:val="110"/>
                <w:sz w:val="20"/>
              </w:rPr>
              <w:t> </w:t>
            </w:r>
            <w:r>
              <w:rPr>
                <w:rFonts w:ascii="Stone Sans II ITC Std Bk" w:hAnsi="Stone Sans II ITC Std Bk"/>
                <w:b/>
                <w:w w:val="110"/>
                <w:sz w:val="20"/>
              </w:rPr>
              <w:t>and</w:t>
            </w:r>
          </w:p>
          <w:p>
            <w:pPr>
              <w:pStyle w:val="TableParagraph"/>
              <w:numPr>
                <w:ilvl w:val="0"/>
                <w:numId w:val="210"/>
              </w:numPr>
              <w:tabs>
                <w:tab w:pos="421" w:val="left" w:leader="none"/>
              </w:tabs>
              <w:spacing w:line="213" w:lineRule="auto" w:before="0" w:after="0"/>
              <w:ind w:left="420" w:right="115" w:hanging="341"/>
              <w:jc w:val="left"/>
              <w:rPr>
                <w:rFonts w:ascii="Stone Sans II ITC Std Bk"/>
                <w:b/>
                <w:sz w:val="20"/>
              </w:rPr>
            </w:pPr>
            <w:r>
              <w:rPr>
                <w:rFonts w:ascii="Stone Sans II ITC Std Bk"/>
                <w:b/>
                <w:w w:val="110"/>
                <w:sz w:val="20"/>
              </w:rPr>
              <w:t>liaise with the United Reformed Church investment committee, and to assist the relevant bodies within the United Reformed Church regarding decisions relating to the investment of Church funds in fossil</w:t>
            </w:r>
            <w:r>
              <w:rPr>
                <w:rFonts w:ascii="Stone Sans II ITC Std Bk"/>
                <w:b/>
                <w:spacing w:val="-1"/>
                <w:w w:val="110"/>
                <w:sz w:val="20"/>
              </w:rPr>
              <w:t> </w:t>
            </w:r>
            <w:r>
              <w:rPr>
                <w:rFonts w:ascii="Stone Sans II ITC Std Bk"/>
                <w:b/>
                <w:w w:val="110"/>
                <w:sz w:val="20"/>
              </w:rPr>
              <w:t>fuels.</w:t>
            </w:r>
          </w:p>
        </w:tc>
      </w:tr>
    </w:tbl>
    <w:p>
      <w:pPr>
        <w:pStyle w:val="BodyText"/>
        <w:spacing w:before="4"/>
        <w:rPr>
          <w:rFonts w:ascii="Stone Sans II ITC Std Bk"/>
          <w:b/>
          <w:sz w:val="29"/>
        </w:rPr>
      </w:pPr>
    </w:p>
    <w:p>
      <w:pPr>
        <w:pStyle w:val="Heading4"/>
        <w:ind w:left="1103"/>
      </w:pPr>
      <w:r>
        <w:rPr>
          <w:color w:val="7F7F7F"/>
        </w:rPr>
        <w:t>Summary of Content</w:t>
      </w:r>
    </w:p>
    <w:tbl>
      <w:tblPr>
        <w:tblW w:w="0" w:type="auto"/>
        <w:jc w:val="left"/>
        <w:tblInd w:w="111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660"/>
        <w:gridCol w:w="6582"/>
      </w:tblGrid>
      <w:tr>
        <w:trPr>
          <w:trHeight w:val="1160" w:hRule="atLeast"/>
        </w:trPr>
        <w:tc>
          <w:tcPr>
            <w:tcW w:w="2660" w:type="dxa"/>
            <w:shd w:val="clear" w:color="auto" w:fill="FFFFFF"/>
          </w:tcPr>
          <w:p>
            <w:pPr>
              <w:pStyle w:val="TableParagraph"/>
              <w:spacing w:before="128"/>
              <w:rPr>
                <w:rFonts w:ascii="Stone Sans II ITC Std Bk"/>
                <w:b/>
                <w:sz w:val="20"/>
              </w:rPr>
            </w:pPr>
            <w:r>
              <w:rPr>
                <w:rFonts w:ascii="Stone Sans II ITC Std Bk"/>
                <w:b/>
                <w:w w:val="110"/>
                <w:sz w:val="20"/>
              </w:rPr>
              <w:t>Subject and aim(s)</w:t>
            </w:r>
          </w:p>
        </w:tc>
        <w:tc>
          <w:tcPr>
            <w:tcW w:w="6582" w:type="dxa"/>
            <w:shd w:val="clear" w:color="auto" w:fill="FFFFFF"/>
          </w:tcPr>
          <w:p>
            <w:pPr>
              <w:pStyle w:val="TableParagraph"/>
              <w:spacing w:line="235" w:lineRule="auto" w:before="145"/>
              <w:ind w:right="182"/>
              <w:rPr>
                <w:sz w:val="20"/>
              </w:rPr>
            </w:pPr>
            <w:r>
              <w:rPr>
                <w:w w:val="120"/>
                <w:sz w:val="20"/>
              </w:rPr>
              <w:t>An agreed statement of intent by the United Reformed Church with respect to the environment and the Church’s responsibility to reduce the total greenhouse gas emissions caused by its activities (its carbon footprint)</w:t>
            </w:r>
          </w:p>
        </w:tc>
      </w:tr>
      <w:tr>
        <w:trPr>
          <w:trHeight w:val="1400" w:hRule="atLeast"/>
        </w:trPr>
        <w:tc>
          <w:tcPr>
            <w:tcW w:w="2660" w:type="dxa"/>
            <w:shd w:val="clear" w:color="auto" w:fill="FFFFFF"/>
          </w:tcPr>
          <w:p>
            <w:pPr>
              <w:pStyle w:val="TableParagraph"/>
              <w:spacing w:before="128"/>
              <w:rPr>
                <w:rFonts w:ascii="Stone Sans II ITC Std Bk"/>
                <w:b/>
                <w:sz w:val="20"/>
              </w:rPr>
            </w:pPr>
            <w:r>
              <w:rPr>
                <w:rFonts w:ascii="Stone Sans II ITC Std Bk"/>
                <w:b/>
                <w:w w:val="110"/>
                <w:sz w:val="20"/>
              </w:rPr>
              <w:t>Main points</w:t>
            </w:r>
          </w:p>
        </w:tc>
        <w:tc>
          <w:tcPr>
            <w:tcW w:w="6582" w:type="dxa"/>
            <w:shd w:val="clear" w:color="auto" w:fill="FFFFFF"/>
          </w:tcPr>
          <w:p>
            <w:pPr>
              <w:pStyle w:val="TableParagraph"/>
              <w:spacing w:line="235" w:lineRule="auto" w:before="145"/>
              <w:rPr>
                <w:sz w:val="20"/>
              </w:rPr>
            </w:pPr>
            <w:r>
              <w:rPr>
                <w:w w:val="120"/>
                <w:sz w:val="20"/>
              </w:rPr>
              <w:t>The policy contains a theological affirmation; an explanation of how it relates to vision2020 and builds on the Hope in God’s Future report; and action which churches, synods and Assembly will seek to implement with respect to caring for Creation and reducing the Church’s carbon footprint</w:t>
            </w:r>
          </w:p>
        </w:tc>
      </w:tr>
      <w:tr>
        <w:trPr>
          <w:trHeight w:val="920" w:hRule="atLeast"/>
        </w:trPr>
        <w:tc>
          <w:tcPr>
            <w:tcW w:w="2660" w:type="dxa"/>
            <w:shd w:val="clear" w:color="auto" w:fill="FFFFFF"/>
          </w:tcPr>
          <w:p>
            <w:pPr>
              <w:pStyle w:val="TableParagraph"/>
              <w:spacing w:line="213" w:lineRule="auto" w:before="151"/>
              <w:ind w:right="701"/>
              <w:rPr>
                <w:rFonts w:ascii="Stone Sans II ITC Std Bk"/>
                <w:b/>
                <w:sz w:val="20"/>
              </w:rPr>
            </w:pPr>
            <w:r>
              <w:rPr>
                <w:rFonts w:ascii="Stone Sans II ITC Std Bk"/>
                <w:b/>
                <w:w w:val="110"/>
                <w:sz w:val="20"/>
              </w:rPr>
              <w:t>Previous relevant documents</w:t>
            </w:r>
          </w:p>
        </w:tc>
        <w:tc>
          <w:tcPr>
            <w:tcW w:w="6582" w:type="dxa"/>
            <w:shd w:val="clear" w:color="auto" w:fill="FFFFFF"/>
          </w:tcPr>
          <w:p>
            <w:pPr>
              <w:pStyle w:val="TableParagraph"/>
              <w:spacing w:line="235" w:lineRule="auto" w:before="145"/>
              <w:rPr>
                <w:sz w:val="20"/>
              </w:rPr>
            </w:pPr>
            <w:r>
              <w:rPr>
                <w:w w:val="120"/>
                <w:sz w:val="20"/>
              </w:rPr>
              <w:t>URC Environmental Policy adopted by General Assembly 2004. Other relevant Assembly resolutions were passed in 1982, 1991, 1992, 1998 and 2007</w:t>
            </w:r>
          </w:p>
        </w:tc>
      </w:tr>
    </w:tbl>
    <w:p>
      <w:pPr>
        <w:pStyle w:val="BodyText"/>
        <w:spacing w:before="11"/>
        <w:rPr>
          <w:rFonts w:ascii="Stone Sans II ITC Std Bk"/>
          <w:b/>
          <w:sz w:val="32"/>
        </w:rPr>
      </w:pPr>
    </w:p>
    <w:p>
      <w:pPr>
        <w:pStyle w:val="Heading6"/>
        <w:spacing w:before="0"/>
        <w:ind w:left="3718"/>
        <w:rPr>
          <w:rFonts w:ascii="Stone Sans II ITC Std X Bd" w:hAnsi="Stone Sans II ITC Std X Bd"/>
          <w:b/>
          <w:sz w:val="24"/>
        </w:rPr>
      </w:pPr>
      <w:r>
        <w:rPr>
          <w:color w:val="7EAABF"/>
          <w:w w:val="110"/>
        </w:rPr>
        <w:t>United Reformed Church </w:t>
      </w:r>
      <w:r>
        <w:rPr>
          <w:rFonts w:ascii="Symbol" w:hAnsi="Symbol"/>
          <w:color w:val="7EAABF"/>
          <w:w w:val="110"/>
        </w:rPr>
        <w:t></w:t>
      </w:r>
      <w:r>
        <w:rPr>
          <w:rFonts w:ascii="Times New Roman" w:hAnsi="Times New Roman"/>
          <w:color w:val="7EAABF"/>
          <w:w w:val="110"/>
        </w:rPr>
        <w:t> </w:t>
      </w:r>
      <w:r>
        <w:rPr>
          <w:color w:val="7EAABF"/>
          <w:w w:val="110"/>
        </w:rPr>
        <w:t>General Assembly 2016 </w:t>
      </w:r>
      <w:r>
        <w:rPr>
          <w:rFonts w:ascii="Symbol" w:hAnsi="Symbol"/>
          <w:color w:val="7EAABF"/>
          <w:w w:val="110"/>
        </w:rPr>
        <w:t></w:t>
      </w:r>
      <w:r>
        <w:rPr>
          <w:rFonts w:ascii="Times New Roman" w:hAnsi="Times New Roman"/>
          <w:color w:val="7EAABF"/>
          <w:w w:val="110"/>
        </w:rPr>
        <w:t> </w:t>
      </w:r>
      <w:r>
        <w:rPr>
          <w:rFonts w:ascii="Stone Sans II ITC Std X Bd" w:hAnsi="Stone Sans II ITC Std X Bd"/>
          <w:b/>
          <w:w w:val="110"/>
          <w:sz w:val="24"/>
        </w:rPr>
        <w:t>185</w:t>
      </w:r>
    </w:p>
    <w:p>
      <w:pPr>
        <w:spacing w:after="0"/>
        <w:rPr>
          <w:rFonts w:ascii="Stone Sans II ITC Std X Bd" w:hAnsi="Stone Sans II ITC Std X Bd"/>
          <w:sz w:val="24"/>
        </w:rPr>
        <w:sectPr>
          <w:headerReference w:type="default" r:id="rId487"/>
          <w:footerReference w:type="default" r:id="rId488"/>
          <w:pgSz w:w="11910" w:h="16840"/>
          <w:pgMar w:header="0" w:footer="0" w:top="0" w:bottom="0" w:left="640" w:right="0"/>
        </w:sectPr>
      </w:pPr>
    </w:p>
    <w:p>
      <w:pPr>
        <w:pStyle w:val="BodyText"/>
        <w:rPr>
          <w:rFonts w:ascii="Stone Sans II ITC Std X Bd"/>
          <w:b/>
        </w:rPr>
      </w:pPr>
      <w:r>
        <w:rPr/>
        <w:pict>
          <v:rect style="position:absolute;margin-left:46.777pt;margin-top:.000015pt;width:548.498pt;height:841.89pt;mso-position-horizontal-relative:page;mso-position-vertical-relative:page;z-index:-267618304" filled="true" fillcolor="#d4e9f7" stroked="false">
            <v:fill type="solid"/>
            <w10:wrap type="none"/>
          </v:rect>
        </w:pict>
      </w:r>
      <w:r>
        <w:rPr/>
        <w:drawing>
          <wp:anchor distT="0" distB="0" distL="0" distR="0" allowOverlap="1" layoutInCell="1" locked="0" behindDoc="1" simplePos="0" relativeHeight="235699200">
            <wp:simplePos x="0" y="0"/>
            <wp:positionH relativeFrom="page">
              <wp:posOffset>0</wp:posOffset>
            </wp:positionH>
            <wp:positionV relativeFrom="page">
              <wp:posOffset>0</wp:posOffset>
            </wp:positionV>
            <wp:extent cx="594067" cy="10692003"/>
            <wp:effectExtent l="0" t="0" r="0" b="0"/>
            <wp:wrapNone/>
            <wp:docPr id="353" name="image67.png"/>
            <wp:cNvGraphicFramePr>
              <a:graphicFrameLocks noChangeAspect="1"/>
            </wp:cNvGraphicFramePr>
            <a:graphic>
              <a:graphicData uri="http://schemas.openxmlformats.org/drawingml/2006/picture">
                <pic:pic>
                  <pic:nvPicPr>
                    <pic:cNvPr id="354" name="image67.png"/>
                    <pic:cNvPicPr/>
                  </pic:nvPicPr>
                  <pic:blipFill>
                    <a:blip r:embed="rId184" cstate="print"/>
                    <a:stretch>
                      <a:fillRect/>
                    </a:stretch>
                  </pic:blipFill>
                  <pic:spPr>
                    <a:xfrm>
                      <a:off x="0" y="0"/>
                      <a:ext cx="594067" cy="10692003"/>
                    </a:xfrm>
                    <a:prstGeom prst="rect">
                      <a:avLst/>
                    </a:prstGeom>
                  </pic:spPr>
                </pic:pic>
              </a:graphicData>
            </a:graphic>
          </wp:anchor>
        </w:drawing>
      </w:r>
      <w:r>
        <w:rPr/>
        <w:pict>
          <v:shape style="position:absolute;margin-left:20.519100pt;margin-top:48.890015pt;width:25.9pt;height:316.5pt;mso-position-horizontal-relative:page;mso-position-vertical-relative:page;z-index:-267616256" type="#_x0000_t202" filled="false" stroked="false">
            <v:textbox inset="0,0,0,0" style="layout-flow:vertical">
              <w:txbxContent>
                <w:p>
                  <w:pPr>
                    <w:spacing w:before="27"/>
                    <w:ind w:left="20" w:right="0" w:firstLine="0"/>
                    <w:jc w:val="left"/>
                    <w:rPr>
                      <w:sz w:val="39"/>
                    </w:rPr>
                  </w:pPr>
                  <w:r>
                    <w:rPr>
                      <w:color w:val="FFFFFF"/>
                      <w:w w:val="120"/>
                      <w:sz w:val="39"/>
                    </w:rPr>
                    <w:t>Mission – </w:t>
                  </w:r>
                  <w:r>
                    <w:rPr>
                      <w:w w:val="120"/>
                      <w:sz w:val="39"/>
                    </w:rPr>
                    <w:t>Environmental Policy</w:t>
                  </w:r>
                </w:p>
              </w:txbxContent>
            </v:textbox>
            <w10:wrap type="none"/>
          </v:shape>
        </w:pict>
      </w:r>
    </w:p>
    <w:p>
      <w:pPr>
        <w:pStyle w:val="BodyText"/>
        <w:rPr>
          <w:rFonts w:ascii="Stone Sans II ITC Std X Bd"/>
          <w:b/>
        </w:rPr>
      </w:pPr>
    </w:p>
    <w:p>
      <w:pPr>
        <w:pStyle w:val="BodyText"/>
        <w:rPr>
          <w:rFonts w:ascii="Stone Sans II ITC Std X Bd"/>
          <w:b/>
        </w:rPr>
      </w:pPr>
    </w:p>
    <w:p>
      <w:pPr>
        <w:pStyle w:val="BodyText"/>
        <w:spacing w:before="7"/>
        <w:rPr>
          <w:rFonts w:ascii="Stone Sans II ITC Std X Bd"/>
          <w:b/>
          <w:sz w:val="22"/>
        </w:rPr>
      </w:pPr>
    </w:p>
    <w:tbl>
      <w:tblPr>
        <w:tblW w:w="0" w:type="auto"/>
        <w:jc w:val="left"/>
        <w:tblInd w:w="6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660"/>
        <w:gridCol w:w="6582"/>
      </w:tblGrid>
      <w:tr>
        <w:trPr>
          <w:trHeight w:val="2840" w:hRule="atLeast"/>
        </w:trPr>
        <w:tc>
          <w:tcPr>
            <w:tcW w:w="2660" w:type="dxa"/>
            <w:shd w:val="clear" w:color="auto" w:fill="FFFFFF"/>
          </w:tcPr>
          <w:p>
            <w:pPr>
              <w:pStyle w:val="TableParagraph"/>
              <w:spacing w:line="213" w:lineRule="auto" w:before="151"/>
              <w:ind w:right="576"/>
              <w:rPr>
                <w:rFonts w:ascii="Stone Sans II ITC Std Bk"/>
                <w:b/>
                <w:sz w:val="20"/>
              </w:rPr>
            </w:pPr>
            <w:r>
              <w:rPr>
                <w:rFonts w:ascii="Stone Sans II ITC Std Bk"/>
                <w:b/>
                <w:w w:val="110"/>
                <w:sz w:val="20"/>
              </w:rPr>
              <w:t>Consultation has taken place with...</w:t>
            </w:r>
          </w:p>
        </w:tc>
        <w:tc>
          <w:tcPr>
            <w:tcW w:w="6582" w:type="dxa"/>
            <w:shd w:val="clear" w:color="auto" w:fill="FFFFFF"/>
          </w:tcPr>
          <w:p>
            <w:pPr>
              <w:pStyle w:val="TableParagraph"/>
              <w:spacing w:line="235" w:lineRule="auto" w:before="145"/>
              <w:ind w:right="182"/>
              <w:rPr>
                <w:sz w:val="20"/>
              </w:rPr>
            </w:pPr>
            <w:r>
              <w:rPr>
                <w:w w:val="120"/>
                <w:sz w:val="20"/>
              </w:rPr>
              <w:t>Mission Council; Synods; Joint Public Issues Team; Mr Andy Bottomley (Secretary, URC Retired Ministers’ Housing Society); Mrs Ann Barton (Facilities Manager, Church House); Mr Richard Nunn (Chairman, URC Ministers’ Pension Trust Ltd); Climate Stewards; A Rocha; the Revd Dr Rosalind Selby (Chair, Hope</w:t>
            </w:r>
          </w:p>
          <w:p>
            <w:pPr>
              <w:pStyle w:val="TableParagraph"/>
              <w:spacing w:line="235" w:lineRule="auto" w:before="3"/>
              <w:ind w:right="293"/>
              <w:rPr>
                <w:sz w:val="20"/>
              </w:rPr>
            </w:pPr>
            <w:r>
              <w:rPr>
                <w:w w:val="120"/>
                <w:sz w:val="20"/>
              </w:rPr>
              <w:t>in God’s Future working group); the Revd Dr David Pickering (Environmental Issues Network); the Revd Mike Shrubsole (Environmental Issues Network); the Revd Trevor Jamison (Eco- Congregation Scotland); Mr Charles Jolly (European Churches Environmental Network); Mr Derek Estill (URC member, Blackburn Diocese Environmental Group)</w:t>
            </w:r>
          </w:p>
        </w:tc>
      </w:tr>
    </w:tbl>
    <w:p>
      <w:pPr>
        <w:pStyle w:val="BodyText"/>
        <w:spacing w:before="5"/>
        <w:rPr>
          <w:rFonts w:ascii="Stone Sans II ITC Std X Bd"/>
          <w:b/>
          <w:sz w:val="22"/>
        </w:rPr>
      </w:pPr>
    </w:p>
    <w:p>
      <w:pPr>
        <w:pStyle w:val="Heading4"/>
        <w:spacing w:before="94"/>
      </w:pPr>
      <w:r>
        <w:rPr>
          <w:color w:val="7F7F7F"/>
        </w:rPr>
        <w:t>Summary of Impact</w:t>
      </w:r>
    </w:p>
    <w:tbl>
      <w:tblPr>
        <w:tblW w:w="0" w:type="auto"/>
        <w:jc w:val="left"/>
        <w:tblInd w:w="6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660"/>
        <w:gridCol w:w="6582"/>
      </w:tblGrid>
      <w:tr>
        <w:trPr>
          <w:trHeight w:val="1880" w:hRule="atLeast"/>
        </w:trPr>
        <w:tc>
          <w:tcPr>
            <w:tcW w:w="2660" w:type="dxa"/>
            <w:shd w:val="clear" w:color="auto" w:fill="FFFFFF"/>
          </w:tcPr>
          <w:p>
            <w:pPr>
              <w:pStyle w:val="TableParagraph"/>
              <w:spacing w:before="128"/>
              <w:rPr>
                <w:rFonts w:ascii="Stone Sans II ITC Std Bk"/>
                <w:b/>
                <w:sz w:val="20"/>
              </w:rPr>
            </w:pPr>
            <w:r>
              <w:rPr>
                <w:rFonts w:ascii="Stone Sans II ITC Std Bk"/>
                <w:b/>
                <w:w w:val="110"/>
                <w:sz w:val="20"/>
              </w:rPr>
              <w:t>Financial</w:t>
            </w:r>
          </w:p>
        </w:tc>
        <w:tc>
          <w:tcPr>
            <w:tcW w:w="6582" w:type="dxa"/>
            <w:shd w:val="clear" w:color="auto" w:fill="FFFFFF"/>
          </w:tcPr>
          <w:p>
            <w:pPr>
              <w:pStyle w:val="TableParagraph"/>
              <w:spacing w:line="235" w:lineRule="auto" w:before="145"/>
              <w:ind w:right="144"/>
              <w:rPr>
                <w:sz w:val="20"/>
              </w:rPr>
            </w:pPr>
            <w:r>
              <w:rPr>
                <w:w w:val="120"/>
                <w:sz w:val="20"/>
              </w:rPr>
              <w:t>There will be some cost in tasks such as calculating the </w:t>
            </w:r>
            <w:r>
              <w:rPr>
                <w:spacing w:val="-3"/>
                <w:w w:val="120"/>
                <w:sz w:val="20"/>
              </w:rPr>
              <w:t>Church’s </w:t>
            </w:r>
            <w:r>
              <w:rPr>
                <w:w w:val="120"/>
                <w:sz w:val="20"/>
              </w:rPr>
              <w:t>carbon footprint, redrafting travel claim forms, etc. The cost of servicing a task group can be absorbed in the mission committee budget. Local churches </w:t>
            </w:r>
            <w:r>
              <w:rPr>
                <w:spacing w:val="-5"/>
                <w:w w:val="120"/>
                <w:sz w:val="20"/>
              </w:rPr>
              <w:t>(and  </w:t>
            </w:r>
            <w:r>
              <w:rPr>
                <w:w w:val="120"/>
                <w:sz w:val="20"/>
              </w:rPr>
              <w:t>perhaps synods) will incur expense  if they </w:t>
            </w:r>
            <w:r>
              <w:rPr>
                <w:spacing w:val="3"/>
                <w:w w:val="120"/>
                <w:sz w:val="20"/>
              </w:rPr>
              <w:t>try </w:t>
            </w:r>
            <w:r>
              <w:rPr>
                <w:w w:val="120"/>
                <w:sz w:val="20"/>
              </w:rPr>
              <w:t>to make their buildings </w:t>
            </w:r>
            <w:r>
              <w:rPr>
                <w:spacing w:val="-3"/>
                <w:w w:val="120"/>
                <w:sz w:val="20"/>
              </w:rPr>
              <w:t>‘greener’, </w:t>
            </w:r>
            <w:r>
              <w:rPr>
                <w:w w:val="120"/>
                <w:sz w:val="20"/>
              </w:rPr>
              <w:t>but that will be their decision, in response to the policy, rather than a direct cost of  the</w:t>
            </w:r>
            <w:r>
              <w:rPr>
                <w:spacing w:val="2"/>
                <w:w w:val="120"/>
                <w:sz w:val="20"/>
              </w:rPr>
              <w:t> </w:t>
            </w:r>
            <w:r>
              <w:rPr>
                <w:w w:val="120"/>
                <w:sz w:val="20"/>
              </w:rPr>
              <w:t>policy</w:t>
            </w:r>
          </w:p>
        </w:tc>
      </w:tr>
      <w:tr>
        <w:trPr>
          <w:trHeight w:val="920" w:hRule="atLeast"/>
        </w:trPr>
        <w:tc>
          <w:tcPr>
            <w:tcW w:w="2660" w:type="dxa"/>
            <w:shd w:val="clear" w:color="auto" w:fill="FFFFFF"/>
          </w:tcPr>
          <w:p>
            <w:pPr>
              <w:pStyle w:val="TableParagraph"/>
              <w:spacing w:line="255" w:lineRule="exact" w:before="128"/>
              <w:rPr>
                <w:rFonts w:ascii="Stone Sans II ITC Std Bk"/>
                <w:b/>
                <w:sz w:val="20"/>
              </w:rPr>
            </w:pPr>
            <w:r>
              <w:rPr>
                <w:rFonts w:ascii="Stone Sans II ITC Std Bk"/>
                <w:b/>
                <w:w w:val="110"/>
                <w:sz w:val="20"/>
              </w:rPr>
              <w:t>External</w:t>
            </w:r>
          </w:p>
          <w:p>
            <w:pPr>
              <w:pStyle w:val="TableParagraph"/>
              <w:spacing w:line="255" w:lineRule="exact"/>
              <w:rPr>
                <w:rFonts w:ascii="Stone Sans II ITC Std Bk"/>
                <w:b/>
                <w:sz w:val="20"/>
              </w:rPr>
            </w:pPr>
            <w:r>
              <w:rPr>
                <w:rFonts w:ascii="Stone Sans II ITC Std Bk"/>
                <w:b/>
                <w:w w:val="110"/>
                <w:sz w:val="20"/>
              </w:rPr>
              <w:t>(e.g. ecumenical)</w:t>
            </w:r>
          </w:p>
        </w:tc>
        <w:tc>
          <w:tcPr>
            <w:tcW w:w="6582" w:type="dxa"/>
            <w:shd w:val="clear" w:color="auto" w:fill="FFFFFF"/>
          </w:tcPr>
          <w:p>
            <w:pPr>
              <w:pStyle w:val="TableParagraph"/>
              <w:spacing w:line="235" w:lineRule="auto" w:before="145"/>
              <w:ind w:right="1049"/>
              <w:jc w:val="both"/>
              <w:rPr>
                <w:sz w:val="20"/>
              </w:rPr>
            </w:pPr>
            <w:r>
              <w:rPr>
                <w:w w:val="120"/>
                <w:sz w:val="20"/>
              </w:rPr>
              <w:t>It will deepen relationships with other churches on this issue and strengthen the strategic direction of the Joint Public Issues Team.</w:t>
            </w:r>
          </w:p>
        </w:tc>
      </w:tr>
    </w:tbl>
    <w:p>
      <w:pPr>
        <w:pStyle w:val="BodyText"/>
        <w:rPr>
          <w:rFonts w:ascii="Stone Sans II ITC Std Bk"/>
          <w:b/>
          <w:sz w:val="30"/>
        </w:rPr>
      </w:pPr>
    </w:p>
    <w:p>
      <w:pPr>
        <w:pStyle w:val="BodyText"/>
        <w:rPr>
          <w:rFonts w:ascii="Stone Sans II ITC Std Bk"/>
          <w:b/>
          <w:sz w:val="30"/>
        </w:rPr>
      </w:pPr>
    </w:p>
    <w:p>
      <w:pPr>
        <w:pStyle w:val="BodyText"/>
        <w:rPr>
          <w:rFonts w:ascii="Stone Sans II ITC Std Bk"/>
          <w:b/>
          <w:sz w:val="30"/>
        </w:rPr>
      </w:pPr>
    </w:p>
    <w:p>
      <w:pPr>
        <w:pStyle w:val="BodyText"/>
        <w:rPr>
          <w:rFonts w:ascii="Stone Sans II ITC Std Bk"/>
          <w:b/>
          <w:sz w:val="30"/>
        </w:rPr>
      </w:pPr>
    </w:p>
    <w:p>
      <w:pPr>
        <w:pStyle w:val="BodyText"/>
        <w:rPr>
          <w:rFonts w:ascii="Stone Sans II ITC Std Bk"/>
          <w:b/>
          <w:sz w:val="30"/>
        </w:rPr>
      </w:pPr>
    </w:p>
    <w:p>
      <w:pPr>
        <w:pStyle w:val="BodyText"/>
        <w:rPr>
          <w:rFonts w:ascii="Stone Sans II ITC Std Bk"/>
          <w:b/>
          <w:sz w:val="30"/>
        </w:rPr>
      </w:pPr>
    </w:p>
    <w:p>
      <w:pPr>
        <w:pStyle w:val="BodyText"/>
        <w:rPr>
          <w:rFonts w:ascii="Stone Sans II ITC Std Bk"/>
          <w:b/>
          <w:sz w:val="30"/>
        </w:rPr>
      </w:pPr>
    </w:p>
    <w:p>
      <w:pPr>
        <w:pStyle w:val="BodyText"/>
        <w:rPr>
          <w:rFonts w:ascii="Stone Sans II ITC Std Bk"/>
          <w:b/>
          <w:sz w:val="30"/>
        </w:rPr>
      </w:pPr>
    </w:p>
    <w:p>
      <w:pPr>
        <w:pStyle w:val="BodyText"/>
        <w:rPr>
          <w:rFonts w:ascii="Stone Sans II ITC Std Bk"/>
          <w:b/>
          <w:sz w:val="30"/>
        </w:rPr>
      </w:pPr>
    </w:p>
    <w:p>
      <w:pPr>
        <w:pStyle w:val="BodyText"/>
        <w:rPr>
          <w:rFonts w:ascii="Stone Sans II ITC Std Bk"/>
          <w:b/>
          <w:sz w:val="30"/>
        </w:rPr>
      </w:pPr>
    </w:p>
    <w:p>
      <w:pPr>
        <w:pStyle w:val="BodyText"/>
        <w:rPr>
          <w:rFonts w:ascii="Stone Sans II ITC Std Bk"/>
          <w:b/>
          <w:sz w:val="30"/>
        </w:rPr>
      </w:pPr>
    </w:p>
    <w:p>
      <w:pPr>
        <w:pStyle w:val="BodyText"/>
        <w:rPr>
          <w:rFonts w:ascii="Stone Sans II ITC Std Bk"/>
          <w:b/>
          <w:sz w:val="30"/>
        </w:rPr>
      </w:pPr>
    </w:p>
    <w:p>
      <w:pPr>
        <w:pStyle w:val="BodyText"/>
        <w:rPr>
          <w:rFonts w:ascii="Stone Sans II ITC Std Bk"/>
          <w:b/>
          <w:sz w:val="30"/>
        </w:rPr>
      </w:pPr>
    </w:p>
    <w:p>
      <w:pPr>
        <w:pStyle w:val="BodyText"/>
        <w:rPr>
          <w:rFonts w:ascii="Stone Sans II ITC Std Bk"/>
          <w:b/>
          <w:sz w:val="30"/>
        </w:rPr>
      </w:pPr>
    </w:p>
    <w:p>
      <w:pPr>
        <w:pStyle w:val="BodyText"/>
        <w:rPr>
          <w:rFonts w:ascii="Stone Sans II ITC Std Bk"/>
          <w:b/>
          <w:sz w:val="30"/>
        </w:rPr>
      </w:pPr>
    </w:p>
    <w:p>
      <w:pPr>
        <w:pStyle w:val="BodyText"/>
        <w:rPr>
          <w:rFonts w:ascii="Stone Sans II ITC Std Bk"/>
          <w:b/>
          <w:sz w:val="30"/>
        </w:rPr>
      </w:pPr>
    </w:p>
    <w:p>
      <w:pPr>
        <w:pStyle w:val="BodyText"/>
        <w:rPr>
          <w:rFonts w:ascii="Stone Sans II ITC Std Bk"/>
          <w:b/>
          <w:sz w:val="30"/>
        </w:rPr>
      </w:pPr>
    </w:p>
    <w:p>
      <w:pPr>
        <w:pStyle w:val="BodyText"/>
        <w:rPr>
          <w:rFonts w:ascii="Stone Sans II ITC Std Bk"/>
          <w:b/>
          <w:sz w:val="30"/>
        </w:rPr>
      </w:pPr>
    </w:p>
    <w:p>
      <w:pPr>
        <w:pStyle w:val="BodyText"/>
        <w:rPr>
          <w:rFonts w:ascii="Stone Sans II ITC Std Bk"/>
          <w:b/>
          <w:sz w:val="30"/>
        </w:rPr>
      </w:pPr>
    </w:p>
    <w:p>
      <w:pPr>
        <w:pStyle w:val="BodyText"/>
        <w:rPr>
          <w:rFonts w:ascii="Stone Sans II ITC Std Bk"/>
          <w:b/>
          <w:sz w:val="30"/>
        </w:rPr>
      </w:pPr>
    </w:p>
    <w:p>
      <w:pPr>
        <w:pStyle w:val="BodyText"/>
        <w:spacing w:before="5"/>
        <w:rPr>
          <w:rFonts w:ascii="Stone Sans II ITC Std Bk"/>
          <w:b/>
          <w:sz w:val="24"/>
        </w:rPr>
      </w:pPr>
    </w:p>
    <w:p>
      <w:pPr>
        <w:pStyle w:val="Heading6"/>
        <w:spacing w:before="1"/>
        <w:ind w:left="607"/>
      </w:pPr>
      <w:r>
        <w:rPr>
          <w:rFonts w:ascii="Stone Sans II ITC Std X Bd" w:hAnsi="Stone Sans II ITC Std X Bd"/>
          <w:b/>
          <w:w w:val="110"/>
          <w:sz w:val="24"/>
        </w:rPr>
        <w:t>186 </w:t>
      </w:r>
      <w:r>
        <w:rPr>
          <w:rFonts w:ascii="Symbol" w:hAnsi="Symbol"/>
          <w:color w:val="7EAABF"/>
          <w:w w:val="110"/>
        </w:rPr>
        <w:t></w:t>
      </w:r>
      <w:r>
        <w:rPr>
          <w:rFonts w:ascii="Times New Roman" w:hAnsi="Times New Roman"/>
          <w:color w:val="7EAABF"/>
          <w:w w:val="110"/>
        </w:rPr>
        <w:t> </w:t>
      </w:r>
      <w:r>
        <w:rPr>
          <w:color w:val="7EAABF"/>
          <w:w w:val="110"/>
        </w:rPr>
        <w:t>United Reformed Church </w:t>
      </w:r>
      <w:r>
        <w:rPr>
          <w:rFonts w:ascii="Symbol" w:hAnsi="Symbol"/>
          <w:color w:val="7EAABF"/>
          <w:w w:val="110"/>
        </w:rPr>
        <w:t></w:t>
      </w:r>
      <w:r>
        <w:rPr>
          <w:rFonts w:ascii="Times New Roman" w:hAnsi="Times New Roman"/>
          <w:color w:val="7EAABF"/>
          <w:w w:val="110"/>
        </w:rPr>
        <w:t> </w:t>
      </w:r>
      <w:r>
        <w:rPr>
          <w:color w:val="7EAABF"/>
          <w:w w:val="110"/>
        </w:rPr>
        <w:t>General Assembly 2016</w:t>
      </w:r>
    </w:p>
    <w:p>
      <w:pPr>
        <w:spacing w:after="0"/>
        <w:sectPr>
          <w:headerReference w:type="even" r:id="rId490"/>
          <w:footerReference w:type="even" r:id="rId491"/>
          <w:pgSz w:w="11910" w:h="16840"/>
          <w:pgMar w:header="0" w:footer="0" w:top="0" w:bottom="0" w:left="640" w:right="0"/>
        </w:sectPr>
      </w:pPr>
    </w:p>
    <w:p>
      <w:pPr>
        <w:pStyle w:val="BodyText"/>
      </w:pPr>
      <w:r>
        <w:rPr/>
        <w:drawing>
          <wp:anchor distT="0" distB="0" distL="0" distR="0" allowOverlap="1" layoutInCell="1" locked="0" behindDoc="0" simplePos="0" relativeHeight="252155904">
            <wp:simplePos x="0" y="0"/>
            <wp:positionH relativeFrom="page">
              <wp:posOffset>6974928</wp:posOffset>
            </wp:positionH>
            <wp:positionV relativeFrom="page">
              <wp:posOffset>0</wp:posOffset>
            </wp:positionV>
            <wp:extent cx="585063" cy="10692003"/>
            <wp:effectExtent l="0" t="0" r="0" b="0"/>
            <wp:wrapNone/>
            <wp:docPr id="355" name="image54.png"/>
            <wp:cNvGraphicFramePr>
              <a:graphicFrameLocks noChangeAspect="1"/>
            </wp:cNvGraphicFramePr>
            <a:graphic>
              <a:graphicData uri="http://schemas.openxmlformats.org/drawingml/2006/picture">
                <pic:pic>
                  <pic:nvPicPr>
                    <pic:cNvPr id="356" name="image54.png"/>
                    <pic:cNvPicPr/>
                  </pic:nvPicPr>
                  <pic:blipFill>
                    <a:blip r:embed="rId169" cstate="print"/>
                    <a:stretch>
                      <a:fillRect/>
                    </a:stretch>
                  </pic:blipFill>
                  <pic:spPr>
                    <a:xfrm>
                      <a:off x="0" y="0"/>
                      <a:ext cx="585063" cy="10692003"/>
                    </a:xfrm>
                    <a:prstGeom prst="rect">
                      <a:avLst/>
                    </a:prstGeom>
                  </pic:spPr>
                </pic:pic>
              </a:graphicData>
            </a:graphic>
          </wp:anchor>
        </w:drawing>
      </w:r>
    </w:p>
    <w:p>
      <w:pPr>
        <w:pStyle w:val="BodyText"/>
      </w:pPr>
    </w:p>
    <w:p>
      <w:pPr>
        <w:pStyle w:val="BodyText"/>
      </w:pPr>
    </w:p>
    <w:p>
      <w:pPr>
        <w:pStyle w:val="BodyText"/>
        <w:spacing w:before="5"/>
        <w:rPr>
          <w:sz w:val="28"/>
        </w:rPr>
      </w:pPr>
    </w:p>
    <w:p>
      <w:pPr>
        <w:spacing w:line="213" w:lineRule="auto" w:before="153"/>
        <w:ind w:left="1344" w:right="2045" w:firstLine="0"/>
        <w:jc w:val="left"/>
        <w:rPr>
          <w:rFonts w:ascii="Stone Sans II ITC Std X Bd"/>
          <w:b/>
          <w:sz w:val="50"/>
        </w:rPr>
      </w:pPr>
      <w:r>
        <w:rPr/>
        <w:pict>
          <v:shape style="position:absolute;margin-left:554.141174pt;margin-top:-5.989334pt;width:25.9pt;height:316.5pt;mso-position-horizontal-relative:page;mso-position-vertical-relative:paragraph;z-index:252156928" type="#_x0000_t202" filled="false" stroked="false">
            <v:textbox inset="0,0,0,0" style="layout-flow:vertical">
              <w:txbxContent>
                <w:p>
                  <w:pPr>
                    <w:spacing w:before="27"/>
                    <w:ind w:left="20" w:right="0" w:firstLine="0"/>
                    <w:jc w:val="left"/>
                    <w:rPr>
                      <w:sz w:val="39"/>
                    </w:rPr>
                  </w:pPr>
                  <w:r>
                    <w:rPr>
                      <w:color w:val="FFFFFF"/>
                      <w:w w:val="120"/>
                      <w:sz w:val="39"/>
                    </w:rPr>
                    <w:t>Mission – </w:t>
                  </w:r>
                  <w:r>
                    <w:rPr>
                      <w:w w:val="120"/>
                      <w:sz w:val="39"/>
                    </w:rPr>
                    <w:t>Environmental Policy</w:t>
                  </w:r>
                </w:p>
              </w:txbxContent>
            </v:textbox>
            <w10:wrap type="none"/>
          </v:shape>
        </w:pict>
      </w:r>
      <w:r>
        <w:rPr>
          <w:rFonts w:ascii="Stone Sans II ITC Std X Bd"/>
          <w:b/>
          <w:spacing w:val="-11"/>
          <w:w w:val="110"/>
          <w:sz w:val="50"/>
        </w:rPr>
        <w:t>Environmental </w:t>
      </w:r>
      <w:r>
        <w:rPr>
          <w:rFonts w:ascii="Stone Sans II ITC Std X Bd"/>
          <w:b/>
          <w:spacing w:val="-8"/>
          <w:w w:val="110"/>
          <w:sz w:val="50"/>
        </w:rPr>
        <w:t>Policy </w:t>
      </w:r>
      <w:r>
        <w:rPr>
          <w:rFonts w:ascii="Stone Sans II ITC Std X Bd"/>
          <w:b/>
          <w:spacing w:val="-5"/>
          <w:w w:val="110"/>
          <w:sz w:val="50"/>
        </w:rPr>
        <w:t>for </w:t>
      </w:r>
      <w:r>
        <w:rPr>
          <w:rFonts w:ascii="Stone Sans II ITC Std X Bd"/>
          <w:b/>
          <w:spacing w:val="-8"/>
          <w:w w:val="110"/>
          <w:sz w:val="50"/>
        </w:rPr>
        <w:t>the </w:t>
      </w:r>
      <w:r>
        <w:rPr>
          <w:rFonts w:ascii="Stone Sans II ITC Std X Bd"/>
          <w:b/>
          <w:spacing w:val="-9"/>
          <w:w w:val="110"/>
          <w:sz w:val="50"/>
        </w:rPr>
        <w:t>United </w:t>
      </w:r>
      <w:r>
        <w:rPr>
          <w:rFonts w:ascii="Stone Sans II ITC Std X Bd"/>
          <w:b/>
          <w:spacing w:val="-8"/>
          <w:w w:val="110"/>
          <w:sz w:val="50"/>
        </w:rPr>
        <w:t>Reformed </w:t>
      </w:r>
      <w:r>
        <w:rPr>
          <w:rFonts w:ascii="Stone Sans II ITC Std X Bd"/>
          <w:b/>
          <w:spacing w:val="-10"/>
          <w:w w:val="110"/>
          <w:sz w:val="50"/>
        </w:rPr>
        <w:t>Church</w:t>
      </w:r>
    </w:p>
    <w:p>
      <w:pPr>
        <w:spacing w:before="411"/>
        <w:ind w:left="1344" w:right="0" w:firstLine="0"/>
        <w:jc w:val="left"/>
        <w:rPr>
          <w:rFonts w:ascii="Stone Sans II ITC Std Bk"/>
          <w:b/>
          <w:sz w:val="29"/>
        </w:rPr>
      </w:pPr>
      <w:r>
        <w:rPr>
          <w:rFonts w:ascii="Stone Sans II ITC Std Bk"/>
          <w:b/>
          <w:w w:val="110"/>
          <w:sz w:val="29"/>
        </w:rPr>
        <w:t>Purpose</w:t>
      </w:r>
    </w:p>
    <w:p>
      <w:pPr>
        <w:pStyle w:val="ListParagraph"/>
        <w:numPr>
          <w:ilvl w:val="1"/>
          <w:numId w:val="211"/>
        </w:numPr>
        <w:tabs>
          <w:tab w:pos="2024" w:val="left" w:leader="none"/>
          <w:tab w:pos="2025" w:val="left" w:leader="none"/>
        </w:tabs>
        <w:spacing w:line="235" w:lineRule="auto" w:before="69" w:after="0"/>
        <w:ind w:left="1344" w:right="2114" w:firstLine="0"/>
        <w:jc w:val="left"/>
        <w:rPr>
          <w:sz w:val="20"/>
        </w:rPr>
      </w:pPr>
      <w:r>
        <w:rPr>
          <w:w w:val="120"/>
          <w:sz w:val="20"/>
        </w:rPr>
        <w:t>This policy is an agreed, documented statement of the United Reformed </w:t>
      </w:r>
      <w:r>
        <w:rPr>
          <w:spacing w:val="-3"/>
          <w:w w:val="120"/>
          <w:sz w:val="20"/>
        </w:rPr>
        <w:t>Church’s </w:t>
      </w:r>
      <w:r>
        <w:rPr>
          <w:w w:val="120"/>
          <w:sz w:val="20"/>
        </w:rPr>
        <w:t>stance towards the environment in which it</w:t>
      </w:r>
      <w:r>
        <w:rPr>
          <w:spacing w:val="24"/>
          <w:w w:val="120"/>
          <w:sz w:val="20"/>
        </w:rPr>
        <w:t> </w:t>
      </w:r>
      <w:r>
        <w:rPr>
          <w:w w:val="120"/>
          <w:sz w:val="20"/>
        </w:rPr>
        <w:t>operates.</w:t>
      </w:r>
    </w:p>
    <w:p>
      <w:pPr>
        <w:pStyle w:val="BodyText"/>
        <w:spacing w:before="9"/>
        <w:rPr>
          <w:sz w:val="19"/>
        </w:rPr>
      </w:pPr>
    </w:p>
    <w:p>
      <w:pPr>
        <w:pStyle w:val="ListParagraph"/>
        <w:numPr>
          <w:ilvl w:val="1"/>
          <w:numId w:val="211"/>
        </w:numPr>
        <w:tabs>
          <w:tab w:pos="2024" w:val="left" w:leader="none"/>
          <w:tab w:pos="2025" w:val="left" w:leader="none"/>
        </w:tabs>
        <w:spacing w:line="235" w:lineRule="auto" w:before="1" w:after="0"/>
        <w:ind w:left="1344" w:right="1369" w:firstLine="0"/>
        <w:jc w:val="left"/>
        <w:rPr>
          <w:sz w:val="20"/>
        </w:rPr>
      </w:pPr>
      <w:r>
        <w:rPr>
          <w:w w:val="120"/>
          <w:sz w:val="20"/>
        </w:rPr>
        <w:t>It is the cornerstone of our intent, as a body of people committed to caring for God’s creation, to reduce our carbon footprint, improve recycling, minimise waste and improve efficiencies on finite natural resources in all of our</w:t>
      </w:r>
      <w:r>
        <w:rPr>
          <w:spacing w:val="5"/>
          <w:w w:val="120"/>
          <w:sz w:val="20"/>
        </w:rPr>
        <w:t> </w:t>
      </w:r>
      <w:r>
        <w:rPr>
          <w:w w:val="120"/>
          <w:sz w:val="20"/>
        </w:rPr>
        <w:t>operations.</w:t>
      </w:r>
    </w:p>
    <w:p>
      <w:pPr>
        <w:pStyle w:val="BodyText"/>
        <w:spacing w:before="10"/>
        <w:rPr>
          <w:sz w:val="19"/>
        </w:rPr>
      </w:pPr>
    </w:p>
    <w:p>
      <w:pPr>
        <w:pStyle w:val="ListParagraph"/>
        <w:numPr>
          <w:ilvl w:val="1"/>
          <w:numId w:val="211"/>
        </w:numPr>
        <w:tabs>
          <w:tab w:pos="2024" w:val="left" w:leader="none"/>
          <w:tab w:pos="2025" w:val="left" w:leader="none"/>
        </w:tabs>
        <w:spacing w:line="235" w:lineRule="auto" w:before="0" w:after="0"/>
        <w:ind w:left="1344" w:right="1309" w:firstLine="0"/>
        <w:jc w:val="left"/>
        <w:rPr>
          <w:sz w:val="20"/>
        </w:rPr>
      </w:pPr>
      <w:r>
        <w:rPr>
          <w:w w:val="120"/>
          <w:sz w:val="20"/>
        </w:rPr>
        <w:t>It does not prescribe action for the Church or individual members, churches and synods, but as a statement of intent it provides a basis upon which appropriate action may be</w:t>
      </w:r>
      <w:r>
        <w:rPr>
          <w:spacing w:val="4"/>
          <w:w w:val="120"/>
          <w:sz w:val="20"/>
        </w:rPr>
        <w:t> </w:t>
      </w:r>
      <w:r>
        <w:rPr>
          <w:w w:val="120"/>
          <w:sz w:val="20"/>
        </w:rPr>
        <w:t>undertaken.</w:t>
      </w:r>
    </w:p>
    <w:p>
      <w:pPr>
        <w:pStyle w:val="BodyText"/>
        <w:spacing w:before="2"/>
        <w:rPr>
          <w:sz w:val="22"/>
        </w:rPr>
      </w:pPr>
    </w:p>
    <w:p>
      <w:pPr>
        <w:spacing w:before="1"/>
        <w:ind w:left="1344" w:right="0" w:firstLine="0"/>
        <w:jc w:val="left"/>
        <w:rPr>
          <w:rFonts w:ascii="Stone Sans II ITC Std Bk"/>
          <w:b/>
          <w:sz w:val="16"/>
        </w:rPr>
      </w:pPr>
      <w:r>
        <w:rPr>
          <w:rFonts w:ascii="Stone Sans II ITC Std Bk"/>
          <w:b/>
          <w:w w:val="110"/>
          <w:sz w:val="29"/>
        </w:rPr>
        <w:t>Introduction</w:t>
      </w:r>
      <w:r>
        <w:rPr>
          <w:rFonts w:ascii="Stone Sans II ITC Std Bk"/>
          <w:b/>
          <w:w w:val="110"/>
          <w:position w:val="10"/>
          <w:sz w:val="16"/>
        </w:rPr>
        <w:t>5</w:t>
      </w:r>
    </w:p>
    <w:p>
      <w:pPr>
        <w:pStyle w:val="ListParagraph"/>
        <w:numPr>
          <w:ilvl w:val="1"/>
          <w:numId w:val="212"/>
        </w:numPr>
        <w:tabs>
          <w:tab w:pos="2024" w:val="left" w:leader="none"/>
          <w:tab w:pos="2025" w:val="left" w:leader="none"/>
        </w:tabs>
        <w:spacing w:line="235" w:lineRule="auto" w:before="69" w:after="0"/>
        <w:ind w:left="1344" w:right="1520" w:firstLine="0"/>
        <w:jc w:val="left"/>
        <w:rPr>
          <w:sz w:val="20"/>
        </w:rPr>
      </w:pPr>
      <w:r>
        <w:rPr>
          <w:spacing w:val="3"/>
          <w:w w:val="120"/>
          <w:sz w:val="20"/>
        </w:rPr>
        <w:t>As </w:t>
      </w:r>
      <w:r>
        <w:rPr>
          <w:w w:val="120"/>
          <w:sz w:val="20"/>
        </w:rPr>
        <w:t>a Church we affirm that care for Creation, a just sharing of the world’s resources, and a concern for the environment are fundamental Gospel</w:t>
      </w:r>
      <w:r>
        <w:rPr>
          <w:spacing w:val="12"/>
          <w:w w:val="120"/>
          <w:sz w:val="20"/>
        </w:rPr>
        <w:t> </w:t>
      </w:r>
      <w:r>
        <w:rPr>
          <w:w w:val="120"/>
          <w:sz w:val="20"/>
        </w:rPr>
        <w:t>commitments.</w:t>
      </w:r>
    </w:p>
    <w:p>
      <w:pPr>
        <w:pStyle w:val="BodyText"/>
        <w:spacing w:before="9"/>
        <w:rPr>
          <w:sz w:val="19"/>
        </w:rPr>
      </w:pPr>
    </w:p>
    <w:p>
      <w:pPr>
        <w:pStyle w:val="ListParagraph"/>
        <w:numPr>
          <w:ilvl w:val="1"/>
          <w:numId w:val="212"/>
        </w:numPr>
        <w:tabs>
          <w:tab w:pos="2024" w:val="left" w:leader="none"/>
          <w:tab w:pos="2025" w:val="left" w:leader="none"/>
        </w:tabs>
        <w:spacing w:line="235" w:lineRule="auto" w:before="0" w:after="0"/>
        <w:ind w:left="1344" w:right="1504" w:firstLine="0"/>
        <w:jc w:val="left"/>
        <w:rPr>
          <w:sz w:val="20"/>
        </w:rPr>
      </w:pPr>
      <w:r>
        <w:rPr>
          <w:w w:val="120"/>
          <w:sz w:val="20"/>
        </w:rPr>
        <w:t>We believe that God created and continues to create the whole universe, sustains and nurtures Creation, and wills to redeem the whole of Creation from its bondage to decay (Romans </w:t>
      </w:r>
      <w:r>
        <w:rPr>
          <w:spacing w:val="-5"/>
          <w:w w:val="120"/>
          <w:sz w:val="20"/>
        </w:rPr>
        <w:t>8.21). </w:t>
      </w:r>
      <w:r>
        <w:rPr>
          <w:w w:val="120"/>
          <w:sz w:val="20"/>
        </w:rPr>
        <w:t>We believe that the reconciliation of all things to God in the life, death and resurrection of Jesus cannot be separated from God’s act   of creation: that all things have been created through Christ and for Christ –the Word of God incarnate in Jesus of Nazareth – and that, through Christ, God was pleased to reconcile to himself all things by making peace through the blood of his cross </w:t>
      </w:r>
      <w:r>
        <w:rPr>
          <w:spacing w:val="-5"/>
          <w:w w:val="120"/>
          <w:sz w:val="20"/>
        </w:rPr>
        <w:t>(Col </w:t>
      </w:r>
      <w:r>
        <w:rPr>
          <w:spacing w:val="-7"/>
          <w:w w:val="120"/>
          <w:sz w:val="20"/>
        </w:rPr>
        <w:t>1.16-20). </w:t>
      </w:r>
      <w:r>
        <w:rPr>
          <w:w w:val="120"/>
          <w:sz w:val="20"/>
        </w:rPr>
        <w:t>We believe that creative and redemptive work also belongs to the work of the</w:t>
      </w:r>
      <w:r>
        <w:rPr>
          <w:spacing w:val="4"/>
          <w:w w:val="120"/>
          <w:sz w:val="20"/>
        </w:rPr>
        <w:t> </w:t>
      </w:r>
      <w:r>
        <w:rPr>
          <w:w w:val="120"/>
          <w:sz w:val="20"/>
        </w:rPr>
        <w:t>Spirit,</w:t>
      </w:r>
      <w:r>
        <w:rPr>
          <w:spacing w:val="4"/>
          <w:w w:val="120"/>
          <w:sz w:val="20"/>
        </w:rPr>
        <w:t> </w:t>
      </w:r>
      <w:r>
        <w:rPr>
          <w:w w:val="120"/>
          <w:sz w:val="20"/>
        </w:rPr>
        <w:t>who</w:t>
      </w:r>
      <w:r>
        <w:rPr>
          <w:spacing w:val="4"/>
          <w:w w:val="120"/>
          <w:sz w:val="20"/>
        </w:rPr>
        <w:t> </w:t>
      </w:r>
      <w:r>
        <w:rPr>
          <w:w w:val="120"/>
          <w:sz w:val="20"/>
        </w:rPr>
        <w:t>swept</w:t>
      </w:r>
      <w:r>
        <w:rPr>
          <w:spacing w:val="5"/>
          <w:w w:val="120"/>
          <w:sz w:val="20"/>
        </w:rPr>
        <w:t> </w:t>
      </w:r>
      <w:r>
        <w:rPr>
          <w:w w:val="120"/>
          <w:sz w:val="20"/>
        </w:rPr>
        <w:t>over</w:t>
      </w:r>
      <w:r>
        <w:rPr>
          <w:spacing w:val="4"/>
          <w:w w:val="120"/>
          <w:sz w:val="20"/>
        </w:rPr>
        <w:t> </w:t>
      </w:r>
      <w:r>
        <w:rPr>
          <w:w w:val="120"/>
          <w:sz w:val="20"/>
        </w:rPr>
        <w:t>the</w:t>
      </w:r>
      <w:r>
        <w:rPr>
          <w:spacing w:val="4"/>
          <w:w w:val="120"/>
          <w:sz w:val="20"/>
        </w:rPr>
        <w:t> </w:t>
      </w:r>
      <w:r>
        <w:rPr>
          <w:w w:val="120"/>
          <w:sz w:val="20"/>
        </w:rPr>
        <w:t>face</w:t>
      </w:r>
      <w:r>
        <w:rPr>
          <w:spacing w:val="4"/>
          <w:w w:val="120"/>
          <w:sz w:val="20"/>
        </w:rPr>
        <w:t> </w:t>
      </w:r>
      <w:r>
        <w:rPr>
          <w:w w:val="120"/>
          <w:sz w:val="20"/>
        </w:rPr>
        <w:t>of</w:t>
      </w:r>
      <w:r>
        <w:rPr>
          <w:spacing w:val="5"/>
          <w:w w:val="120"/>
          <w:sz w:val="20"/>
        </w:rPr>
        <w:t> </w:t>
      </w:r>
      <w:r>
        <w:rPr>
          <w:w w:val="120"/>
          <w:sz w:val="20"/>
        </w:rPr>
        <w:t>the</w:t>
      </w:r>
      <w:r>
        <w:rPr>
          <w:spacing w:val="4"/>
          <w:w w:val="120"/>
          <w:sz w:val="20"/>
        </w:rPr>
        <w:t> </w:t>
      </w:r>
      <w:r>
        <w:rPr>
          <w:w w:val="120"/>
          <w:sz w:val="20"/>
        </w:rPr>
        <w:t>waters</w:t>
      </w:r>
      <w:r>
        <w:rPr>
          <w:spacing w:val="4"/>
          <w:w w:val="120"/>
          <w:sz w:val="20"/>
        </w:rPr>
        <w:t> </w:t>
      </w:r>
      <w:r>
        <w:rPr>
          <w:w w:val="120"/>
          <w:sz w:val="20"/>
        </w:rPr>
        <w:t>in</w:t>
      </w:r>
      <w:r>
        <w:rPr>
          <w:spacing w:val="5"/>
          <w:w w:val="120"/>
          <w:sz w:val="20"/>
        </w:rPr>
        <w:t> </w:t>
      </w:r>
      <w:r>
        <w:rPr>
          <w:w w:val="120"/>
          <w:sz w:val="20"/>
        </w:rPr>
        <w:t>the</w:t>
      </w:r>
      <w:r>
        <w:rPr>
          <w:spacing w:val="4"/>
          <w:w w:val="120"/>
          <w:sz w:val="20"/>
        </w:rPr>
        <w:t> </w:t>
      </w:r>
      <w:r>
        <w:rPr>
          <w:w w:val="120"/>
          <w:sz w:val="20"/>
        </w:rPr>
        <w:t>beginning</w:t>
      </w:r>
      <w:r>
        <w:rPr>
          <w:spacing w:val="4"/>
          <w:w w:val="120"/>
          <w:sz w:val="20"/>
        </w:rPr>
        <w:t> </w:t>
      </w:r>
      <w:r>
        <w:rPr>
          <w:w w:val="120"/>
          <w:sz w:val="20"/>
        </w:rPr>
        <w:t>and</w:t>
      </w:r>
      <w:r>
        <w:rPr>
          <w:spacing w:val="4"/>
          <w:w w:val="120"/>
          <w:sz w:val="20"/>
        </w:rPr>
        <w:t> </w:t>
      </w:r>
      <w:r>
        <w:rPr>
          <w:w w:val="120"/>
          <w:sz w:val="20"/>
        </w:rPr>
        <w:t>who</w:t>
      </w:r>
      <w:r>
        <w:rPr>
          <w:spacing w:val="5"/>
          <w:w w:val="120"/>
          <w:sz w:val="20"/>
        </w:rPr>
        <w:t> </w:t>
      </w:r>
      <w:r>
        <w:rPr>
          <w:w w:val="120"/>
          <w:sz w:val="20"/>
        </w:rPr>
        <w:t>inspires</w:t>
      </w:r>
      <w:r>
        <w:rPr>
          <w:spacing w:val="4"/>
          <w:w w:val="120"/>
          <w:sz w:val="20"/>
        </w:rPr>
        <w:t> </w:t>
      </w:r>
      <w:r>
        <w:rPr>
          <w:w w:val="120"/>
          <w:sz w:val="20"/>
        </w:rPr>
        <w:t>a</w:t>
      </w:r>
    </w:p>
    <w:p>
      <w:pPr>
        <w:pStyle w:val="BodyText"/>
        <w:spacing w:line="235" w:lineRule="auto" w:before="7"/>
        <w:ind w:left="1344" w:right="1478"/>
      </w:pPr>
      <w:r>
        <w:rPr>
          <w:w w:val="120"/>
        </w:rPr>
        <w:t>groaning Creation as it awaits redemption. We acknowledge God the Trinity to be the transcendent and immanent source, sustenance and salvation of all creation.</w:t>
      </w:r>
    </w:p>
    <w:p>
      <w:pPr>
        <w:pStyle w:val="BodyText"/>
        <w:spacing w:before="9"/>
        <w:rPr>
          <w:sz w:val="19"/>
        </w:rPr>
      </w:pPr>
    </w:p>
    <w:p>
      <w:pPr>
        <w:pStyle w:val="ListParagraph"/>
        <w:numPr>
          <w:ilvl w:val="1"/>
          <w:numId w:val="212"/>
        </w:numPr>
        <w:tabs>
          <w:tab w:pos="2024" w:val="left" w:leader="none"/>
          <w:tab w:pos="2025" w:val="left" w:leader="none"/>
        </w:tabs>
        <w:spacing w:line="235" w:lineRule="auto" w:before="0" w:after="0"/>
        <w:ind w:left="1344" w:right="1667" w:firstLine="0"/>
        <w:jc w:val="left"/>
        <w:rPr>
          <w:sz w:val="20"/>
        </w:rPr>
      </w:pPr>
      <w:r>
        <w:rPr>
          <w:w w:val="120"/>
          <w:sz w:val="20"/>
        </w:rPr>
        <w:t>We believe that God entrusts Creation to our care, calling us to be stewards of it; calls us to be partners in God’s ongoing creative, renewing and redeeming activity; commands us to act justly and in righteousness not only towards our fellow human beings but to all Creation; and requires us to care for Creation so that future generations, whom God also loves, can enjoy it and benefit from</w:t>
      </w:r>
      <w:r>
        <w:rPr>
          <w:spacing w:val="31"/>
          <w:w w:val="120"/>
          <w:sz w:val="20"/>
        </w:rPr>
        <w:t> </w:t>
      </w:r>
      <w:r>
        <w:rPr>
          <w:w w:val="120"/>
          <w:sz w:val="20"/>
        </w:rPr>
        <w:t>it.</w:t>
      </w:r>
    </w:p>
    <w:p>
      <w:pPr>
        <w:pStyle w:val="BodyText"/>
      </w:pPr>
    </w:p>
    <w:p>
      <w:pPr>
        <w:pStyle w:val="ListParagraph"/>
        <w:numPr>
          <w:ilvl w:val="1"/>
          <w:numId w:val="212"/>
        </w:numPr>
        <w:tabs>
          <w:tab w:pos="2024" w:val="left" w:leader="none"/>
          <w:tab w:pos="2025" w:val="left" w:leader="none"/>
        </w:tabs>
        <w:spacing w:line="235" w:lineRule="auto" w:before="0" w:after="0"/>
        <w:ind w:left="1344" w:right="1347" w:firstLine="0"/>
        <w:jc w:val="left"/>
        <w:rPr>
          <w:sz w:val="20"/>
        </w:rPr>
      </w:pPr>
      <w:r>
        <w:rPr>
          <w:w w:val="120"/>
          <w:sz w:val="20"/>
        </w:rPr>
        <w:t>We affirm that Christian mission includes caring for God’s earth and all Creation. It includes acknowledging humankind’s responsibility, sharing in putting right the relationships within God’s Creation that have gone wrong, and working within the church and with partners outside the church to grow towards justice and good stewardship as envisaged in the biblical vision of the world as it is meant to</w:t>
      </w:r>
      <w:r>
        <w:rPr>
          <w:spacing w:val="35"/>
          <w:w w:val="120"/>
          <w:sz w:val="20"/>
        </w:rPr>
        <w:t> </w:t>
      </w:r>
      <w:r>
        <w:rPr>
          <w:w w:val="120"/>
          <w:sz w:val="20"/>
        </w:rPr>
        <w:t>be.</w:t>
      </w:r>
    </w:p>
    <w:p>
      <w:pPr>
        <w:pStyle w:val="BodyText"/>
        <w:spacing w:before="11"/>
        <w:rPr>
          <w:sz w:val="19"/>
        </w:rPr>
      </w:pPr>
    </w:p>
    <w:p>
      <w:pPr>
        <w:pStyle w:val="ListParagraph"/>
        <w:numPr>
          <w:ilvl w:val="1"/>
          <w:numId w:val="212"/>
        </w:numPr>
        <w:tabs>
          <w:tab w:pos="2024" w:val="left" w:leader="none"/>
          <w:tab w:pos="2025" w:val="left" w:leader="none"/>
        </w:tabs>
        <w:spacing w:line="235" w:lineRule="auto" w:before="1" w:after="0"/>
        <w:ind w:left="1344" w:right="1690" w:firstLine="0"/>
        <w:jc w:val="left"/>
        <w:rPr>
          <w:sz w:val="20"/>
        </w:rPr>
      </w:pPr>
      <w:r>
        <w:rPr>
          <w:w w:val="120"/>
          <w:sz w:val="20"/>
        </w:rPr>
        <w:t>We know that human activity has contributed to the degradation of the  earth and that this is not the will of God. We believe that this degradation limits the attainment of the fullness of life that God wills for all Creation, and is a sin for which we should seek forgiveness. It also imposes most heavily upon the peoples of the developing countries of the world and is </w:t>
      </w:r>
      <w:r>
        <w:rPr>
          <w:spacing w:val="2"/>
          <w:w w:val="120"/>
          <w:sz w:val="20"/>
        </w:rPr>
        <w:t>part </w:t>
      </w:r>
      <w:r>
        <w:rPr>
          <w:w w:val="120"/>
          <w:sz w:val="20"/>
        </w:rPr>
        <w:t>of the intrinsic injustice to which we bear</w:t>
      </w:r>
      <w:r>
        <w:rPr>
          <w:spacing w:val="7"/>
          <w:w w:val="120"/>
          <w:sz w:val="20"/>
        </w:rPr>
        <w:t> </w:t>
      </w:r>
      <w:r>
        <w:rPr>
          <w:w w:val="120"/>
          <w:sz w:val="20"/>
        </w:rPr>
        <w:t>witness.</w:t>
      </w:r>
      <w:r>
        <w:rPr>
          <w:spacing w:val="7"/>
          <w:w w:val="120"/>
          <w:sz w:val="20"/>
        </w:rPr>
        <w:t> </w:t>
      </w:r>
      <w:r>
        <w:rPr>
          <w:spacing w:val="3"/>
          <w:w w:val="120"/>
          <w:sz w:val="20"/>
        </w:rPr>
        <w:t>As</w:t>
      </w:r>
      <w:r>
        <w:rPr>
          <w:spacing w:val="7"/>
          <w:w w:val="120"/>
          <w:sz w:val="20"/>
        </w:rPr>
        <w:t> </w:t>
      </w:r>
      <w:r>
        <w:rPr>
          <w:w w:val="120"/>
          <w:sz w:val="20"/>
        </w:rPr>
        <w:t>the</w:t>
      </w:r>
      <w:r>
        <w:rPr>
          <w:spacing w:val="7"/>
          <w:w w:val="120"/>
          <w:sz w:val="20"/>
        </w:rPr>
        <w:t> </w:t>
      </w:r>
      <w:r>
        <w:rPr>
          <w:w w:val="120"/>
          <w:sz w:val="20"/>
        </w:rPr>
        <w:t>Lambeth</w:t>
      </w:r>
      <w:r>
        <w:rPr>
          <w:spacing w:val="7"/>
          <w:w w:val="120"/>
          <w:sz w:val="20"/>
        </w:rPr>
        <w:t> </w:t>
      </w:r>
      <w:r>
        <w:rPr>
          <w:w w:val="120"/>
          <w:sz w:val="20"/>
        </w:rPr>
        <w:t>Declaration</w:t>
      </w:r>
      <w:r>
        <w:rPr>
          <w:spacing w:val="7"/>
          <w:w w:val="120"/>
          <w:sz w:val="20"/>
        </w:rPr>
        <w:t> </w:t>
      </w:r>
      <w:r>
        <w:rPr>
          <w:spacing w:val="-7"/>
          <w:w w:val="120"/>
          <w:sz w:val="20"/>
        </w:rPr>
        <w:t>2015</w:t>
      </w:r>
      <w:r>
        <w:rPr>
          <w:spacing w:val="7"/>
          <w:w w:val="120"/>
          <w:sz w:val="20"/>
        </w:rPr>
        <w:t> </w:t>
      </w:r>
      <w:r>
        <w:rPr>
          <w:w w:val="120"/>
          <w:sz w:val="20"/>
        </w:rPr>
        <w:t>on</w:t>
      </w:r>
      <w:r>
        <w:rPr>
          <w:spacing w:val="7"/>
          <w:w w:val="120"/>
          <w:sz w:val="20"/>
        </w:rPr>
        <w:t> </w:t>
      </w:r>
      <w:r>
        <w:rPr>
          <w:w w:val="120"/>
          <w:sz w:val="20"/>
        </w:rPr>
        <w:t>Climate</w:t>
      </w:r>
      <w:r>
        <w:rPr>
          <w:spacing w:val="7"/>
          <w:w w:val="120"/>
          <w:sz w:val="20"/>
        </w:rPr>
        <w:t> </w:t>
      </w:r>
      <w:r>
        <w:rPr>
          <w:w w:val="120"/>
          <w:sz w:val="20"/>
        </w:rPr>
        <w:t>Change,</w:t>
      </w:r>
      <w:r>
        <w:rPr>
          <w:spacing w:val="7"/>
          <w:w w:val="120"/>
          <w:sz w:val="20"/>
        </w:rPr>
        <w:t> </w:t>
      </w:r>
      <w:r>
        <w:rPr>
          <w:w w:val="120"/>
          <w:sz w:val="20"/>
        </w:rPr>
        <w:t>to</w:t>
      </w:r>
      <w:r>
        <w:rPr>
          <w:spacing w:val="7"/>
          <w:w w:val="120"/>
          <w:sz w:val="20"/>
        </w:rPr>
        <w:t> </w:t>
      </w:r>
      <w:r>
        <w:rPr>
          <w:w w:val="120"/>
          <w:sz w:val="20"/>
        </w:rPr>
        <w:t>which</w:t>
      </w:r>
      <w:r>
        <w:rPr>
          <w:spacing w:val="7"/>
          <w:w w:val="120"/>
          <w:sz w:val="20"/>
        </w:rPr>
        <w:t> </w:t>
      </w:r>
      <w:r>
        <w:rPr>
          <w:w w:val="120"/>
          <w:sz w:val="20"/>
        </w:rPr>
        <w:t>the</w:t>
      </w:r>
    </w:p>
    <w:p>
      <w:pPr>
        <w:pStyle w:val="BodyText"/>
        <w:rPr>
          <w:sz w:val="15"/>
        </w:rPr>
      </w:pPr>
      <w:r>
        <w:rPr/>
        <w:pict>
          <v:shape style="position:absolute;margin-left:99.212601pt;margin-top:11.629045pt;width:72pt;height:.1pt;mso-position-horizontal-relative:page;mso-position-vertical-relative:paragraph;z-index:-251161600;mso-wrap-distance-left:0;mso-wrap-distance-right:0" coordorigin="1984,233" coordsize="1440,0" path="m1984,233l3424,233e" filled="false" stroked="true" strokeweight="1pt" strokecolor="#000000">
            <v:path arrowok="t"/>
            <v:stroke dashstyle="solid"/>
            <w10:wrap type="topAndBottom"/>
          </v:shape>
        </w:pict>
      </w:r>
    </w:p>
    <w:p>
      <w:pPr>
        <w:tabs>
          <w:tab w:pos="1797" w:val="left" w:leader="none"/>
        </w:tabs>
        <w:spacing w:before="9"/>
        <w:ind w:left="1797" w:right="1712" w:hanging="454"/>
        <w:jc w:val="left"/>
        <w:rPr>
          <w:sz w:val="18"/>
        </w:rPr>
      </w:pPr>
      <w:r>
        <w:rPr>
          <w:w w:val="120"/>
          <w:sz w:val="18"/>
        </w:rPr>
        <w:t>5</w:t>
        <w:tab/>
        <w:t>This section draws upon the Baptist Union of Great Britain statement </w:t>
      </w:r>
      <w:r>
        <w:rPr>
          <w:spacing w:val="-7"/>
          <w:w w:val="120"/>
          <w:sz w:val="18"/>
        </w:rPr>
        <w:t>‘A </w:t>
      </w:r>
      <w:r>
        <w:rPr>
          <w:w w:val="120"/>
          <w:sz w:val="18"/>
        </w:rPr>
        <w:t>Vision for the Environment’ </w:t>
      </w:r>
      <w:hyperlink r:id="rId495">
        <w:r>
          <w:rPr>
            <w:color w:val="006AB3"/>
            <w:w w:val="120"/>
            <w:sz w:val="18"/>
          </w:rPr>
          <w:t>www.christian-ecology.org.uk/bap-env.htm</w:t>
        </w:r>
      </w:hyperlink>
      <w:r>
        <w:rPr>
          <w:w w:val="120"/>
          <w:sz w:val="18"/>
        </w:rPr>
        <w:t>; and the Methodist, Baptist and</w:t>
      </w:r>
      <w:r>
        <w:rPr>
          <w:spacing w:val="-27"/>
          <w:w w:val="120"/>
          <w:sz w:val="18"/>
        </w:rPr>
        <w:t> </w:t>
      </w:r>
      <w:r>
        <w:rPr>
          <w:w w:val="120"/>
          <w:sz w:val="18"/>
        </w:rPr>
        <w:t>URC</w:t>
      </w:r>
      <w:r>
        <w:rPr>
          <w:spacing w:val="-27"/>
          <w:w w:val="120"/>
          <w:sz w:val="18"/>
        </w:rPr>
        <w:t> </w:t>
      </w:r>
      <w:r>
        <w:rPr>
          <w:spacing w:val="2"/>
          <w:w w:val="120"/>
          <w:sz w:val="18"/>
        </w:rPr>
        <w:t>report</w:t>
      </w:r>
      <w:r>
        <w:rPr>
          <w:spacing w:val="-27"/>
          <w:w w:val="120"/>
          <w:sz w:val="18"/>
        </w:rPr>
        <w:t> </w:t>
      </w:r>
      <w:r>
        <w:rPr>
          <w:i/>
          <w:w w:val="120"/>
          <w:sz w:val="18"/>
        </w:rPr>
        <w:t>Hope</w:t>
      </w:r>
      <w:r>
        <w:rPr>
          <w:i/>
          <w:spacing w:val="-28"/>
          <w:w w:val="120"/>
          <w:sz w:val="18"/>
        </w:rPr>
        <w:t> </w:t>
      </w:r>
      <w:r>
        <w:rPr>
          <w:i/>
          <w:w w:val="120"/>
          <w:sz w:val="18"/>
        </w:rPr>
        <w:t>in</w:t>
      </w:r>
      <w:r>
        <w:rPr>
          <w:i/>
          <w:spacing w:val="-28"/>
          <w:w w:val="120"/>
          <w:sz w:val="18"/>
        </w:rPr>
        <w:t> </w:t>
      </w:r>
      <w:r>
        <w:rPr>
          <w:i/>
          <w:w w:val="120"/>
          <w:sz w:val="18"/>
        </w:rPr>
        <w:t>God’s</w:t>
      </w:r>
      <w:r>
        <w:rPr>
          <w:i/>
          <w:spacing w:val="-29"/>
          <w:w w:val="120"/>
          <w:sz w:val="18"/>
        </w:rPr>
        <w:t> </w:t>
      </w:r>
      <w:r>
        <w:rPr>
          <w:i/>
          <w:w w:val="120"/>
          <w:sz w:val="18"/>
        </w:rPr>
        <w:t>Future:</w:t>
      </w:r>
      <w:r>
        <w:rPr>
          <w:i/>
          <w:spacing w:val="-28"/>
          <w:w w:val="120"/>
          <w:sz w:val="18"/>
        </w:rPr>
        <w:t> </w:t>
      </w:r>
      <w:r>
        <w:rPr>
          <w:i/>
          <w:w w:val="120"/>
          <w:sz w:val="18"/>
        </w:rPr>
        <w:t>Christian</w:t>
      </w:r>
      <w:r>
        <w:rPr>
          <w:i/>
          <w:spacing w:val="-28"/>
          <w:w w:val="120"/>
          <w:sz w:val="18"/>
        </w:rPr>
        <w:t> </w:t>
      </w:r>
      <w:r>
        <w:rPr>
          <w:i/>
          <w:w w:val="120"/>
          <w:sz w:val="18"/>
        </w:rPr>
        <w:t>Discipleship</w:t>
      </w:r>
      <w:r>
        <w:rPr>
          <w:i/>
          <w:spacing w:val="-28"/>
          <w:w w:val="120"/>
          <w:sz w:val="18"/>
        </w:rPr>
        <w:t> </w:t>
      </w:r>
      <w:r>
        <w:rPr>
          <w:i/>
          <w:w w:val="120"/>
          <w:sz w:val="18"/>
        </w:rPr>
        <w:t>in</w:t>
      </w:r>
      <w:r>
        <w:rPr>
          <w:i/>
          <w:spacing w:val="-28"/>
          <w:w w:val="120"/>
          <w:sz w:val="18"/>
        </w:rPr>
        <w:t> </w:t>
      </w:r>
      <w:r>
        <w:rPr>
          <w:i/>
          <w:w w:val="120"/>
          <w:sz w:val="18"/>
        </w:rPr>
        <w:t>the</w:t>
      </w:r>
      <w:r>
        <w:rPr>
          <w:i/>
          <w:spacing w:val="-29"/>
          <w:w w:val="120"/>
          <w:sz w:val="18"/>
        </w:rPr>
        <w:t> </w:t>
      </w:r>
      <w:r>
        <w:rPr>
          <w:i/>
          <w:w w:val="120"/>
          <w:sz w:val="18"/>
        </w:rPr>
        <w:t>Context</w:t>
      </w:r>
      <w:r>
        <w:rPr>
          <w:i/>
          <w:spacing w:val="-28"/>
          <w:w w:val="120"/>
          <w:sz w:val="18"/>
        </w:rPr>
        <w:t> </w:t>
      </w:r>
      <w:r>
        <w:rPr>
          <w:i/>
          <w:w w:val="120"/>
          <w:sz w:val="18"/>
        </w:rPr>
        <w:t>of</w:t>
      </w:r>
      <w:r>
        <w:rPr>
          <w:i/>
          <w:spacing w:val="-28"/>
          <w:w w:val="120"/>
          <w:sz w:val="18"/>
        </w:rPr>
        <w:t> </w:t>
      </w:r>
      <w:r>
        <w:rPr>
          <w:i/>
          <w:w w:val="120"/>
          <w:sz w:val="18"/>
        </w:rPr>
        <w:t>Climate</w:t>
      </w:r>
      <w:r>
        <w:rPr>
          <w:i/>
          <w:spacing w:val="-28"/>
          <w:w w:val="120"/>
          <w:sz w:val="18"/>
        </w:rPr>
        <w:t> </w:t>
      </w:r>
      <w:r>
        <w:rPr>
          <w:i/>
          <w:w w:val="120"/>
          <w:sz w:val="18"/>
        </w:rPr>
        <w:t>Change </w:t>
      </w:r>
      <w:r>
        <w:rPr>
          <w:w w:val="120"/>
          <w:sz w:val="18"/>
        </w:rPr>
        <w:t>(Peterborough: Methodist Publishing, 2009)</w:t>
      </w:r>
      <w:r>
        <w:rPr>
          <w:spacing w:val="16"/>
          <w:w w:val="120"/>
          <w:sz w:val="18"/>
        </w:rPr>
        <w:t> </w:t>
      </w:r>
      <w:r>
        <w:rPr>
          <w:spacing w:val="-8"/>
          <w:w w:val="120"/>
          <w:sz w:val="18"/>
        </w:rPr>
        <w:t>p.7.</w:t>
      </w:r>
    </w:p>
    <w:p>
      <w:pPr>
        <w:spacing w:after="0"/>
        <w:jc w:val="left"/>
        <w:rPr>
          <w:sz w:val="18"/>
        </w:rPr>
        <w:sectPr>
          <w:headerReference w:type="default" r:id="rId492"/>
          <w:footerReference w:type="default" r:id="rId493"/>
          <w:footerReference w:type="even" r:id="rId494"/>
          <w:pgSz w:w="11910" w:h="16840"/>
          <w:pgMar w:header="0" w:footer="647" w:top="0" w:bottom="840" w:left="640" w:right="0"/>
          <w:pgNumType w:start="187"/>
        </w:sectPr>
      </w:pPr>
    </w:p>
    <w:p>
      <w:pPr>
        <w:pStyle w:val="BodyText"/>
      </w:pPr>
      <w:r>
        <w:rPr/>
        <w:drawing>
          <wp:anchor distT="0" distB="0" distL="0" distR="0" allowOverlap="1" layoutInCell="1" locked="0" behindDoc="1" simplePos="0" relativeHeight="235705344">
            <wp:simplePos x="0" y="0"/>
            <wp:positionH relativeFrom="page">
              <wp:posOffset>0</wp:posOffset>
            </wp:positionH>
            <wp:positionV relativeFrom="page">
              <wp:posOffset>0</wp:posOffset>
            </wp:positionV>
            <wp:extent cx="594067" cy="10692003"/>
            <wp:effectExtent l="0" t="0" r="0" b="0"/>
            <wp:wrapNone/>
            <wp:docPr id="357" name="image67.png"/>
            <wp:cNvGraphicFramePr>
              <a:graphicFrameLocks noChangeAspect="1"/>
            </wp:cNvGraphicFramePr>
            <a:graphic>
              <a:graphicData uri="http://schemas.openxmlformats.org/drawingml/2006/picture">
                <pic:pic>
                  <pic:nvPicPr>
                    <pic:cNvPr id="358" name="image67.png"/>
                    <pic:cNvPicPr/>
                  </pic:nvPicPr>
                  <pic:blipFill>
                    <a:blip r:embed="rId184" cstate="print"/>
                    <a:stretch>
                      <a:fillRect/>
                    </a:stretch>
                  </pic:blipFill>
                  <pic:spPr>
                    <a:xfrm>
                      <a:off x="0" y="0"/>
                      <a:ext cx="594067" cy="10692003"/>
                    </a:xfrm>
                    <a:prstGeom prst="rect">
                      <a:avLst/>
                    </a:prstGeom>
                  </pic:spPr>
                </pic:pic>
              </a:graphicData>
            </a:graphic>
          </wp:anchor>
        </w:drawing>
      </w:r>
      <w:r>
        <w:rPr/>
        <w:pict>
          <v:shape style="position:absolute;margin-left:20.519100pt;margin-top:48.890015pt;width:25.9pt;height:316.5pt;mso-position-horizontal-relative:page;mso-position-vertical-relative:page;z-index:-267610112" type="#_x0000_t202" filled="false" stroked="false">
            <v:textbox inset="0,0,0,0" style="layout-flow:vertical">
              <w:txbxContent>
                <w:p>
                  <w:pPr>
                    <w:spacing w:before="27"/>
                    <w:ind w:left="20" w:right="0" w:firstLine="0"/>
                    <w:jc w:val="left"/>
                    <w:rPr>
                      <w:sz w:val="39"/>
                    </w:rPr>
                  </w:pPr>
                  <w:r>
                    <w:rPr>
                      <w:color w:val="FFFFFF"/>
                      <w:w w:val="120"/>
                      <w:sz w:val="39"/>
                    </w:rPr>
                    <w:t>Mission – </w:t>
                  </w:r>
                  <w:r>
                    <w:rPr>
                      <w:w w:val="120"/>
                      <w:sz w:val="39"/>
                    </w:rPr>
                    <w:t>Environmental Policy</w:t>
                  </w:r>
                </w:p>
              </w:txbxContent>
            </v:textbox>
            <w10:wrap type="none"/>
          </v:shape>
        </w:pict>
      </w:r>
    </w:p>
    <w:p>
      <w:pPr>
        <w:pStyle w:val="BodyText"/>
        <w:spacing w:before="7"/>
        <w:rPr>
          <w:sz w:val="21"/>
        </w:rPr>
      </w:pPr>
    </w:p>
    <w:p>
      <w:pPr>
        <w:spacing w:before="106"/>
        <w:ind w:left="607" w:right="0" w:firstLine="0"/>
        <w:jc w:val="left"/>
        <w:rPr>
          <w:sz w:val="26"/>
        </w:rPr>
      </w:pPr>
      <w:r>
        <w:rPr>
          <w:color w:val="7EAABF"/>
          <w:w w:val="115"/>
          <w:sz w:val="26"/>
        </w:rPr>
        <w:t>Mission</w:t>
      </w:r>
    </w:p>
    <w:p>
      <w:pPr>
        <w:pStyle w:val="BodyText"/>
        <w:spacing w:line="230" w:lineRule="auto" w:before="225"/>
        <w:ind w:left="607" w:right="2007"/>
        <w:rPr>
          <w:sz w:val="18"/>
        </w:rPr>
      </w:pPr>
      <w:r>
        <w:rPr>
          <w:w w:val="120"/>
        </w:rPr>
        <w:t>United Reformed Church is a signatory, affirms, ‘The demands of justice as well as of creation require the nations of the world urgently to limit the global rise in average temperatures to a maximum of 2°C... We have a responsibility to act now, for ourselves, our neighbours and for future generations.’</w:t>
      </w:r>
      <w:r>
        <w:rPr>
          <w:w w:val="120"/>
          <w:position w:val="4"/>
          <w:sz w:val="18"/>
        </w:rPr>
        <w:t>6</w:t>
      </w:r>
    </w:p>
    <w:p>
      <w:pPr>
        <w:pStyle w:val="BodyText"/>
        <w:spacing w:before="11"/>
        <w:rPr>
          <w:sz w:val="21"/>
        </w:rPr>
      </w:pPr>
    </w:p>
    <w:p>
      <w:pPr>
        <w:spacing w:before="0"/>
        <w:ind w:left="607" w:right="0" w:firstLine="0"/>
        <w:jc w:val="left"/>
        <w:rPr>
          <w:rFonts w:ascii="Stone Sans II ITC Std Bk"/>
          <w:b/>
          <w:sz w:val="29"/>
        </w:rPr>
      </w:pPr>
      <w:r>
        <w:rPr>
          <w:rFonts w:ascii="Stone Sans II ITC Std Bk"/>
          <w:b/>
          <w:w w:val="110"/>
          <w:sz w:val="29"/>
        </w:rPr>
        <w:t>Vision2020</w:t>
      </w:r>
    </w:p>
    <w:p>
      <w:pPr>
        <w:pStyle w:val="ListParagraph"/>
        <w:numPr>
          <w:ilvl w:val="1"/>
          <w:numId w:val="213"/>
        </w:numPr>
        <w:tabs>
          <w:tab w:pos="1287" w:val="left" w:leader="none"/>
          <w:tab w:pos="1288" w:val="left" w:leader="none"/>
        </w:tabs>
        <w:spacing w:line="235" w:lineRule="auto" w:before="69" w:after="0"/>
        <w:ind w:left="607" w:right="2271" w:firstLine="0"/>
        <w:jc w:val="left"/>
        <w:rPr>
          <w:sz w:val="20"/>
        </w:rPr>
      </w:pPr>
      <w:r>
        <w:rPr>
          <w:w w:val="120"/>
          <w:sz w:val="20"/>
        </w:rPr>
        <w:t>The previous Environmental Policy of the United Reformed Church, adopted  by</w:t>
      </w:r>
      <w:r>
        <w:rPr>
          <w:spacing w:val="-8"/>
          <w:w w:val="120"/>
          <w:sz w:val="20"/>
        </w:rPr>
        <w:t> </w:t>
      </w:r>
      <w:r>
        <w:rPr>
          <w:w w:val="120"/>
          <w:sz w:val="20"/>
        </w:rPr>
        <w:t>General</w:t>
      </w:r>
      <w:r>
        <w:rPr>
          <w:spacing w:val="-8"/>
          <w:w w:val="120"/>
          <w:sz w:val="20"/>
        </w:rPr>
        <w:t> </w:t>
      </w:r>
      <w:r>
        <w:rPr>
          <w:w w:val="120"/>
          <w:sz w:val="20"/>
        </w:rPr>
        <w:t>Assembly</w:t>
      </w:r>
      <w:r>
        <w:rPr>
          <w:spacing w:val="-8"/>
          <w:w w:val="120"/>
          <w:sz w:val="20"/>
        </w:rPr>
        <w:t> </w:t>
      </w:r>
      <w:r>
        <w:rPr>
          <w:w w:val="120"/>
          <w:sz w:val="20"/>
        </w:rPr>
        <w:t>in</w:t>
      </w:r>
      <w:r>
        <w:rPr>
          <w:spacing w:val="-8"/>
          <w:w w:val="120"/>
          <w:sz w:val="20"/>
        </w:rPr>
        <w:t> </w:t>
      </w:r>
      <w:r>
        <w:rPr>
          <w:w w:val="120"/>
          <w:sz w:val="20"/>
        </w:rPr>
        <w:t>2004,</w:t>
      </w:r>
      <w:r>
        <w:rPr>
          <w:spacing w:val="-8"/>
          <w:w w:val="120"/>
          <w:sz w:val="20"/>
        </w:rPr>
        <w:t> </w:t>
      </w:r>
      <w:r>
        <w:rPr>
          <w:w w:val="120"/>
          <w:sz w:val="20"/>
        </w:rPr>
        <w:t>was</w:t>
      </w:r>
      <w:r>
        <w:rPr>
          <w:spacing w:val="-8"/>
          <w:w w:val="120"/>
          <w:sz w:val="20"/>
        </w:rPr>
        <w:t> </w:t>
      </w:r>
      <w:r>
        <w:rPr>
          <w:w w:val="120"/>
          <w:sz w:val="20"/>
        </w:rPr>
        <w:t>founded</w:t>
      </w:r>
      <w:r>
        <w:rPr>
          <w:spacing w:val="-7"/>
          <w:w w:val="120"/>
          <w:sz w:val="20"/>
        </w:rPr>
        <w:t> </w:t>
      </w:r>
      <w:r>
        <w:rPr>
          <w:w w:val="120"/>
          <w:sz w:val="20"/>
        </w:rPr>
        <w:t>upon</w:t>
      </w:r>
      <w:r>
        <w:rPr>
          <w:spacing w:val="-8"/>
          <w:w w:val="120"/>
          <w:sz w:val="20"/>
        </w:rPr>
        <w:t> </w:t>
      </w:r>
      <w:r>
        <w:rPr>
          <w:i/>
          <w:w w:val="120"/>
          <w:sz w:val="20"/>
        </w:rPr>
        <w:t>The</w:t>
      </w:r>
      <w:r>
        <w:rPr>
          <w:i/>
          <w:spacing w:val="-11"/>
          <w:w w:val="120"/>
          <w:sz w:val="20"/>
        </w:rPr>
        <w:t> </w:t>
      </w:r>
      <w:r>
        <w:rPr>
          <w:i/>
          <w:w w:val="120"/>
          <w:sz w:val="20"/>
        </w:rPr>
        <w:t>Five</w:t>
      </w:r>
      <w:r>
        <w:rPr>
          <w:i/>
          <w:spacing w:val="-10"/>
          <w:w w:val="120"/>
          <w:sz w:val="20"/>
        </w:rPr>
        <w:t> </w:t>
      </w:r>
      <w:r>
        <w:rPr>
          <w:i/>
          <w:w w:val="120"/>
          <w:sz w:val="20"/>
        </w:rPr>
        <w:t>Marks</w:t>
      </w:r>
      <w:r>
        <w:rPr>
          <w:i/>
          <w:spacing w:val="-10"/>
          <w:w w:val="120"/>
          <w:sz w:val="20"/>
        </w:rPr>
        <w:t> </w:t>
      </w:r>
      <w:r>
        <w:rPr>
          <w:i/>
          <w:w w:val="120"/>
          <w:sz w:val="20"/>
        </w:rPr>
        <w:t>of</w:t>
      </w:r>
      <w:r>
        <w:rPr>
          <w:i/>
          <w:spacing w:val="-11"/>
          <w:w w:val="120"/>
          <w:sz w:val="20"/>
        </w:rPr>
        <w:t> </w:t>
      </w:r>
      <w:r>
        <w:rPr>
          <w:i/>
          <w:w w:val="120"/>
          <w:sz w:val="20"/>
        </w:rPr>
        <w:t>Mission</w:t>
      </w:r>
      <w:r>
        <w:rPr>
          <w:w w:val="120"/>
          <w:sz w:val="20"/>
        </w:rPr>
        <w:t>,</w:t>
      </w:r>
      <w:r>
        <w:rPr>
          <w:spacing w:val="-7"/>
          <w:w w:val="120"/>
          <w:sz w:val="20"/>
        </w:rPr>
        <w:t> </w:t>
      </w:r>
      <w:r>
        <w:rPr>
          <w:w w:val="120"/>
          <w:sz w:val="20"/>
        </w:rPr>
        <w:t>the</w:t>
      </w:r>
      <w:r>
        <w:rPr>
          <w:spacing w:val="-8"/>
          <w:w w:val="120"/>
          <w:sz w:val="20"/>
        </w:rPr>
        <w:t> </w:t>
      </w:r>
      <w:r>
        <w:rPr>
          <w:spacing w:val="2"/>
          <w:w w:val="120"/>
          <w:sz w:val="20"/>
        </w:rPr>
        <w:t>fifth</w:t>
      </w:r>
      <w:r>
        <w:rPr>
          <w:spacing w:val="-8"/>
          <w:w w:val="120"/>
          <w:sz w:val="20"/>
        </w:rPr>
        <w:t> </w:t>
      </w:r>
      <w:r>
        <w:rPr>
          <w:w w:val="120"/>
          <w:sz w:val="20"/>
        </w:rPr>
        <w:t>of</w:t>
      </w:r>
    </w:p>
    <w:p>
      <w:pPr>
        <w:pStyle w:val="BodyText"/>
        <w:spacing w:line="232" w:lineRule="auto" w:before="3"/>
        <w:ind w:left="607" w:right="2045"/>
      </w:pPr>
      <w:r>
        <w:rPr>
          <w:w w:val="120"/>
        </w:rPr>
        <w:t>which committed the Church ‘to strive to safeguard the integrity of creation; to sustain and renew the life of the earth’. This policy is informed by the vision2020 strategic framework for mission adopted by General Assembly in 2010,</w:t>
      </w:r>
      <w:r>
        <w:rPr>
          <w:w w:val="120"/>
          <w:position w:val="4"/>
          <w:sz w:val="18"/>
        </w:rPr>
        <w:t>7 </w:t>
      </w:r>
      <w:r>
        <w:rPr>
          <w:w w:val="120"/>
        </w:rPr>
        <w:t>which declares that the United Reformed Church ‘will be a church that has taken significant steps to safeguard the integrity of creation, to sustain and renew the life of the earth’ (statement 10: The Integrity of Creation). Vision2020 also states that ‘our churches, reflecting faith in God the creator and sustainer of life in all its fullness, must discover the radical voice of care for the earth that is supported by the way we live.’</w:t>
      </w:r>
    </w:p>
    <w:p>
      <w:pPr>
        <w:pStyle w:val="BodyText"/>
        <w:spacing w:before="11"/>
        <w:rPr>
          <w:sz w:val="19"/>
        </w:rPr>
      </w:pPr>
    </w:p>
    <w:p>
      <w:pPr>
        <w:pStyle w:val="ListParagraph"/>
        <w:numPr>
          <w:ilvl w:val="1"/>
          <w:numId w:val="213"/>
        </w:numPr>
        <w:tabs>
          <w:tab w:pos="1288" w:val="left" w:leader="none"/>
        </w:tabs>
        <w:spacing w:line="235" w:lineRule="auto" w:before="0" w:after="0"/>
        <w:ind w:left="607" w:right="2494" w:firstLine="0"/>
        <w:jc w:val="both"/>
        <w:rPr>
          <w:sz w:val="20"/>
        </w:rPr>
      </w:pPr>
      <w:r>
        <w:rPr>
          <w:w w:val="120"/>
          <w:sz w:val="20"/>
        </w:rPr>
        <w:t>This policy echoes </w:t>
      </w:r>
      <w:r>
        <w:rPr>
          <w:spacing w:val="-2"/>
          <w:w w:val="120"/>
          <w:sz w:val="20"/>
        </w:rPr>
        <w:t>vision2020’s </w:t>
      </w:r>
      <w:r>
        <w:rPr>
          <w:w w:val="120"/>
          <w:sz w:val="20"/>
        </w:rPr>
        <w:t>affirmation that ‘The changing climate and  its consequences for all life on planet earth cannot be over emphasised as the most</w:t>
      </w:r>
    </w:p>
    <w:p>
      <w:pPr>
        <w:pStyle w:val="BodyText"/>
        <w:spacing w:line="235" w:lineRule="auto" w:before="1"/>
        <w:ind w:left="607" w:right="2072"/>
        <w:jc w:val="both"/>
      </w:pPr>
      <w:r>
        <w:rPr>
          <w:w w:val="120"/>
        </w:rPr>
        <w:t>significant underlying issue of our time’ – and that it is vital that the Church ‘recognises the reality and fear present in environmental debates and lives hopefully in the present climate.’</w:t>
      </w:r>
    </w:p>
    <w:p>
      <w:pPr>
        <w:pStyle w:val="BodyText"/>
        <w:spacing w:before="3"/>
        <w:rPr>
          <w:sz w:val="22"/>
        </w:rPr>
      </w:pPr>
    </w:p>
    <w:p>
      <w:pPr>
        <w:spacing w:before="0"/>
        <w:ind w:left="607" w:right="0" w:firstLine="0"/>
        <w:jc w:val="left"/>
        <w:rPr>
          <w:rFonts w:ascii="Stone Sans II ITC Std Bk" w:hAnsi="Stone Sans II ITC Std Bk"/>
          <w:b/>
          <w:sz w:val="29"/>
        </w:rPr>
      </w:pPr>
      <w:r>
        <w:rPr>
          <w:rFonts w:ascii="Stone Sans II ITC Std Bk" w:hAnsi="Stone Sans II ITC Std Bk"/>
          <w:b/>
          <w:w w:val="110"/>
          <w:sz w:val="29"/>
        </w:rPr>
        <w:t>Hope in God’s future</w:t>
      </w:r>
    </w:p>
    <w:p>
      <w:pPr>
        <w:pStyle w:val="ListParagraph"/>
        <w:numPr>
          <w:ilvl w:val="1"/>
          <w:numId w:val="214"/>
        </w:numPr>
        <w:tabs>
          <w:tab w:pos="1287" w:val="left" w:leader="none"/>
          <w:tab w:pos="1288" w:val="left" w:leader="none"/>
        </w:tabs>
        <w:spacing w:line="235" w:lineRule="auto" w:before="69" w:after="0"/>
        <w:ind w:left="607" w:right="2209" w:firstLine="0"/>
        <w:jc w:val="left"/>
        <w:rPr>
          <w:sz w:val="20"/>
        </w:rPr>
      </w:pPr>
      <w:r>
        <w:rPr>
          <w:w w:val="120"/>
          <w:sz w:val="20"/>
        </w:rPr>
        <w:t>We affirm the view expressed in the 2009 </w:t>
      </w:r>
      <w:r>
        <w:rPr>
          <w:spacing w:val="2"/>
          <w:w w:val="120"/>
          <w:sz w:val="20"/>
        </w:rPr>
        <w:t>report </w:t>
      </w:r>
      <w:r>
        <w:rPr>
          <w:w w:val="120"/>
          <w:sz w:val="20"/>
        </w:rPr>
        <w:t>‘Hope in God’s Future’ that ‘it is now intellectually and morally irresponsible to fail to acknowledge and address the</w:t>
      </w:r>
    </w:p>
    <w:p>
      <w:pPr>
        <w:pStyle w:val="BodyText"/>
        <w:spacing w:line="225" w:lineRule="auto" w:before="9"/>
        <w:ind w:left="607" w:right="2079"/>
        <w:rPr>
          <w:sz w:val="18"/>
        </w:rPr>
      </w:pPr>
      <w:r>
        <w:rPr>
          <w:w w:val="120"/>
        </w:rPr>
        <w:t>urgent need for radical cuts in greenhouse gas emissions in order to prevent intolerable damage to human populations and mass extinctions of many plant and animal  species.’</w:t>
      </w:r>
      <w:r>
        <w:rPr>
          <w:w w:val="120"/>
          <w:position w:val="4"/>
          <w:sz w:val="18"/>
        </w:rPr>
        <w:t>8</w:t>
      </w:r>
    </w:p>
    <w:p>
      <w:pPr>
        <w:pStyle w:val="BodyText"/>
        <w:spacing w:before="3"/>
      </w:pPr>
    </w:p>
    <w:p>
      <w:pPr>
        <w:pStyle w:val="ListParagraph"/>
        <w:numPr>
          <w:ilvl w:val="1"/>
          <w:numId w:val="214"/>
        </w:numPr>
        <w:tabs>
          <w:tab w:pos="1287" w:val="left" w:leader="none"/>
          <w:tab w:pos="1288" w:val="left" w:leader="none"/>
        </w:tabs>
        <w:spacing w:line="230" w:lineRule="auto" w:before="0" w:after="0"/>
        <w:ind w:left="607" w:right="2453" w:firstLine="0"/>
        <w:jc w:val="left"/>
        <w:rPr>
          <w:sz w:val="20"/>
        </w:rPr>
      </w:pPr>
      <w:r>
        <w:rPr>
          <w:w w:val="120"/>
          <w:sz w:val="20"/>
        </w:rPr>
        <w:t>We pledge to respond to the report’s call for repentance in the face of our complicity in the sinful structures that are causing wanton damage to the earth, to its creatures and to many poor communities. We also commit to intercede for those threatened by climate change, and to adopt practices and lifestyles consistent with levels of carbon emissions the earth can sustain.</w:t>
      </w:r>
      <w:r>
        <w:rPr>
          <w:w w:val="120"/>
          <w:position w:val="4"/>
          <w:sz w:val="18"/>
        </w:rPr>
        <w:t>9 </w:t>
      </w:r>
      <w:r>
        <w:rPr>
          <w:w w:val="120"/>
          <w:sz w:val="20"/>
        </w:rPr>
        <w:t>Specifically, and in line with</w:t>
      </w:r>
      <w:r>
        <w:rPr>
          <w:spacing w:val="21"/>
          <w:w w:val="120"/>
          <w:sz w:val="20"/>
        </w:rPr>
        <w:t> </w:t>
      </w:r>
      <w:r>
        <w:rPr>
          <w:w w:val="120"/>
          <w:sz w:val="20"/>
        </w:rPr>
        <w:t>the</w:t>
      </w:r>
    </w:p>
    <w:p>
      <w:pPr>
        <w:pStyle w:val="BodyText"/>
        <w:spacing w:line="235" w:lineRule="auto" w:before="3"/>
        <w:ind w:left="607" w:right="1982"/>
      </w:pPr>
      <w:r>
        <w:rPr>
          <w:w w:val="120"/>
        </w:rPr>
        <w:t>report’s recommendations, we shall strive to act urgently to reduce carbon emissions across the whole of church life in line with the minimum 80% reduction by 2050    relative to </w:t>
      </w:r>
      <w:r>
        <w:rPr>
          <w:spacing w:val="-4"/>
          <w:w w:val="120"/>
        </w:rPr>
        <w:t>1990 </w:t>
      </w:r>
      <w:r>
        <w:rPr>
          <w:w w:val="120"/>
        </w:rPr>
        <w:t>levels, the target set by the Westminster government. We shall also strive to reach an interim goal of reducing our carbon emissions by </w:t>
      </w:r>
      <w:r>
        <w:rPr>
          <w:spacing w:val="-3"/>
          <w:w w:val="120"/>
        </w:rPr>
        <w:t>42% </w:t>
      </w:r>
      <w:r>
        <w:rPr>
          <w:w w:val="120"/>
        </w:rPr>
        <w:t>in 2020 relative to </w:t>
      </w:r>
      <w:r>
        <w:rPr>
          <w:spacing w:val="-4"/>
          <w:w w:val="120"/>
        </w:rPr>
        <w:t>1990, </w:t>
      </w:r>
      <w:r>
        <w:rPr>
          <w:w w:val="120"/>
        </w:rPr>
        <w:t>the target set by the Scottish</w:t>
      </w:r>
      <w:r>
        <w:rPr>
          <w:spacing w:val="19"/>
          <w:w w:val="120"/>
        </w:rPr>
        <w:t> </w:t>
      </w:r>
      <w:r>
        <w:rPr>
          <w:w w:val="120"/>
        </w:rPr>
        <w:t>Parliament.</w:t>
      </w:r>
    </w:p>
    <w:p>
      <w:pPr>
        <w:pStyle w:val="BodyText"/>
        <w:spacing w:before="4"/>
        <w:rPr>
          <w:sz w:val="22"/>
        </w:rPr>
      </w:pPr>
    </w:p>
    <w:p>
      <w:pPr>
        <w:spacing w:before="0"/>
        <w:ind w:left="607" w:right="0" w:firstLine="0"/>
        <w:jc w:val="left"/>
        <w:rPr>
          <w:rFonts w:ascii="Stone Sans II ITC Std Bk"/>
          <w:b/>
          <w:sz w:val="29"/>
        </w:rPr>
      </w:pPr>
      <w:r>
        <w:rPr>
          <w:rFonts w:ascii="Stone Sans II ITC Std Bk"/>
          <w:b/>
          <w:w w:val="110"/>
          <w:sz w:val="29"/>
        </w:rPr>
        <w:t>Shrinking our carbon footprint</w:t>
      </w:r>
    </w:p>
    <w:p>
      <w:pPr>
        <w:pStyle w:val="ListParagraph"/>
        <w:numPr>
          <w:ilvl w:val="1"/>
          <w:numId w:val="215"/>
        </w:numPr>
        <w:tabs>
          <w:tab w:pos="1287" w:val="left" w:leader="none"/>
          <w:tab w:pos="1288" w:val="left" w:leader="none"/>
        </w:tabs>
        <w:spacing w:line="235" w:lineRule="auto" w:before="69" w:after="0"/>
        <w:ind w:left="607" w:right="2039" w:firstLine="0"/>
        <w:jc w:val="left"/>
        <w:rPr>
          <w:sz w:val="20"/>
        </w:rPr>
      </w:pPr>
      <w:r>
        <w:rPr>
          <w:w w:val="120"/>
          <w:sz w:val="20"/>
        </w:rPr>
        <w:t>Reflecting the commitments contained in the vision2020 statement, in the  ‘Hope in God’s Future’ report, and in a resolution on climate change passed by General Assembly in </w:t>
      </w:r>
      <w:r>
        <w:rPr>
          <w:spacing w:val="-6"/>
          <w:w w:val="120"/>
          <w:sz w:val="20"/>
        </w:rPr>
        <w:t>2007, </w:t>
      </w:r>
      <w:r>
        <w:rPr>
          <w:w w:val="120"/>
          <w:sz w:val="20"/>
        </w:rPr>
        <w:t>the United Reformed Church reaffirms its pledge to shrink its carbon footprint </w:t>
      </w:r>
      <w:r>
        <w:rPr>
          <w:spacing w:val="-3"/>
          <w:w w:val="120"/>
          <w:sz w:val="20"/>
        </w:rPr>
        <w:t>(the </w:t>
      </w:r>
      <w:r>
        <w:rPr>
          <w:w w:val="120"/>
          <w:sz w:val="20"/>
        </w:rPr>
        <w:t>total greenhouse gas emissions caused by the </w:t>
      </w:r>
      <w:r>
        <w:rPr>
          <w:spacing w:val="-3"/>
          <w:w w:val="120"/>
          <w:sz w:val="20"/>
        </w:rPr>
        <w:t>Church’s </w:t>
      </w:r>
      <w:r>
        <w:rPr>
          <w:w w:val="120"/>
          <w:sz w:val="20"/>
        </w:rPr>
        <w:t>activities) and to strive to protect and restore the</w:t>
      </w:r>
      <w:r>
        <w:rPr>
          <w:spacing w:val="11"/>
          <w:w w:val="120"/>
          <w:sz w:val="20"/>
        </w:rPr>
        <w:t> </w:t>
      </w:r>
      <w:r>
        <w:rPr>
          <w:w w:val="120"/>
          <w:sz w:val="20"/>
        </w:rPr>
        <w:t>environment.</w:t>
      </w:r>
    </w:p>
    <w:p>
      <w:pPr>
        <w:pStyle w:val="BodyText"/>
      </w:pPr>
    </w:p>
    <w:p>
      <w:pPr>
        <w:pStyle w:val="ListParagraph"/>
        <w:numPr>
          <w:ilvl w:val="1"/>
          <w:numId w:val="215"/>
        </w:numPr>
        <w:tabs>
          <w:tab w:pos="1287" w:val="left" w:leader="none"/>
          <w:tab w:pos="1288" w:val="left" w:leader="none"/>
        </w:tabs>
        <w:spacing w:line="235" w:lineRule="auto" w:before="0" w:after="0"/>
        <w:ind w:left="607" w:right="2051" w:firstLine="0"/>
        <w:jc w:val="left"/>
        <w:rPr>
          <w:sz w:val="20"/>
        </w:rPr>
      </w:pPr>
      <w:r>
        <w:rPr>
          <w:w w:val="120"/>
          <w:sz w:val="20"/>
        </w:rPr>
        <w:t>The Church recognises that this pledge calls for both </w:t>
      </w:r>
      <w:r>
        <w:rPr>
          <w:i/>
          <w:w w:val="120"/>
          <w:sz w:val="20"/>
        </w:rPr>
        <w:t>conversion </w:t>
      </w:r>
      <w:r>
        <w:rPr>
          <w:w w:val="120"/>
          <w:sz w:val="20"/>
        </w:rPr>
        <w:t>on the </w:t>
      </w:r>
      <w:r>
        <w:rPr>
          <w:spacing w:val="2"/>
          <w:w w:val="120"/>
          <w:sz w:val="20"/>
        </w:rPr>
        <w:t>part </w:t>
      </w:r>
      <w:r>
        <w:rPr>
          <w:w w:val="120"/>
          <w:sz w:val="20"/>
        </w:rPr>
        <w:t>of its individual members and </w:t>
      </w:r>
      <w:r>
        <w:rPr>
          <w:i/>
          <w:w w:val="120"/>
          <w:sz w:val="20"/>
        </w:rPr>
        <w:t>transformation </w:t>
      </w:r>
      <w:r>
        <w:rPr>
          <w:w w:val="120"/>
          <w:sz w:val="20"/>
        </w:rPr>
        <w:t>of its internal structures. The remainder of this policy, which incorporates the ‘suggested indicators’ contained in</w:t>
      </w:r>
      <w:r>
        <w:rPr>
          <w:spacing w:val="34"/>
          <w:w w:val="120"/>
          <w:sz w:val="20"/>
        </w:rPr>
        <w:t> </w:t>
      </w:r>
      <w:r>
        <w:rPr>
          <w:w w:val="120"/>
          <w:sz w:val="20"/>
        </w:rPr>
        <w:t>statement</w:t>
      </w:r>
    </w:p>
    <w:p>
      <w:pPr>
        <w:pStyle w:val="BodyText"/>
        <w:spacing w:before="5"/>
        <w:rPr>
          <w:sz w:val="14"/>
        </w:rPr>
      </w:pPr>
      <w:r>
        <w:rPr/>
        <w:pict>
          <v:shape style="position:absolute;margin-left:62.362202pt;margin-top:11.273811pt;width:72pt;height:.1pt;mso-position-horizontal-relative:page;mso-position-vertical-relative:paragraph;z-index:-251158528;mso-wrap-distance-left:0;mso-wrap-distance-right:0" coordorigin="1247,225" coordsize="1440,0" path="m1247,225l2687,225e" filled="false" stroked="true" strokeweight="1pt" strokecolor="#000000">
            <v:path arrowok="t"/>
            <v:stroke dashstyle="solid"/>
            <w10:wrap type="topAndBottom"/>
          </v:shape>
        </w:pict>
      </w:r>
    </w:p>
    <w:p>
      <w:pPr>
        <w:pStyle w:val="ListParagraph"/>
        <w:numPr>
          <w:ilvl w:val="0"/>
          <w:numId w:val="216"/>
        </w:numPr>
        <w:tabs>
          <w:tab w:pos="1060" w:val="left" w:leader="none"/>
          <w:tab w:pos="1061" w:val="left" w:leader="none"/>
        </w:tabs>
        <w:spacing w:line="240" w:lineRule="auto" w:before="9" w:after="0"/>
        <w:ind w:left="1060" w:right="2209" w:hanging="454"/>
        <w:jc w:val="left"/>
        <w:rPr>
          <w:sz w:val="18"/>
        </w:rPr>
      </w:pPr>
      <w:hyperlink r:id="rId497">
        <w:r>
          <w:rPr>
            <w:color w:val="006AB3"/>
            <w:w w:val="115"/>
            <w:sz w:val="18"/>
          </w:rPr>
          <w:t>https://www.churchofengland.org/media-centre/news/2015/06/archbishop-of-canterbury-</w:t>
        </w:r>
      </w:hyperlink>
      <w:hyperlink r:id="rId497">
        <w:r>
          <w:rPr>
            <w:color w:val="006AB3"/>
            <w:w w:val="115"/>
            <w:sz w:val="18"/>
          </w:rPr>
          <w:t> </w:t>
        </w:r>
        <w:r>
          <w:rPr>
            <w:color w:val="006AB3"/>
            <w:w w:val="120"/>
            <w:sz w:val="18"/>
          </w:rPr>
          <w:t>join-faith-leaders-in-call-for-urgent-action-to-tackle-climate-change.aspx</w:t>
        </w:r>
      </w:hyperlink>
    </w:p>
    <w:p>
      <w:pPr>
        <w:pStyle w:val="ListParagraph"/>
        <w:numPr>
          <w:ilvl w:val="0"/>
          <w:numId w:val="216"/>
        </w:numPr>
        <w:tabs>
          <w:tab w:pos="1060" w:val="left" w:leader="none"/>
          <w:tab w:pos="1061" w:val="left" w:leader="none"/>
        </w:tabs>
        <w:spacing w:line="240" w:lineRule="auto" w:before="1" w:after="0"/>
        <w:ind w:left="1060" w:right="0" w:hanging="454"/>
        <w:jc w:val="left"/>
        <w:rPr>
          <w:sz w:val="18"/>
        </w:rPr>
      </w:pPr>
      <w:hyperlink r:id="rId498">
        <w:r>
          <w:rPr>
            <w:color w:val="006AB3"/>
            <w:w w:val="120"/>
            <w:sz w:val="18"/>
          </w:rPr>
          <w:t>www.urc.org.uk/what_we_do/mission/documents/vision2020genlassembly_report.pdf</w:t>
        </w:r>
      </w:hyperlink>
    </w:p>
    <w:p>
      <w:pPr>
        <w:pStyle w:val="ListParagraph"/>
        <w:numPr>
          <w:ilvl w:val="0"/>
          <w:numId w:val="216"/>
        </w:numPr>
        <w:tabs>
          <w:tab w:pos="1060" w:val="left" w:leader="none"/>
          <w:tab w:pos="1061" w:val="left" w:leader="none"/>
        </w:tabs>
        <w:spacing w:line="240" w:lineRule="auto" w:before="0" w:after="0"/>
        <w:ind w:left="1060" w:right="0" w:hanging="454"/>
        <w:jc w:val="left"/>
        <w:rPr>
          <w:sz w:val="18"/>
        </w:rPr>
      </w:pPr>
      <w:r>
        <w:rPr>
          <w:i/>
          <w:w w:val="115"/>
          <w:sz w:val="18"/>
        </w:rPr>
        <w:t>Hope in God’s Future</w:t>
      </w:r>
      <w:r>
        <w:rPr>
          <w:w w:val="115"/>
          <w:sz w:val="18"/>
        </w:rPr>
        <w:t>,</w:t>
      </w:r>
      <w:r>
        <w:rPr>
          <w:spacing w:val="6"/>
          <w:w w:val="115"/>
          <w:sz w:val="18"/>
        </w:rPr>
        <w:t> </w:t>
      </w:r>
      <w:r>
        <w:rPr>
          <w:spacing w:val="-3"/>
          <w:w w:val="115"/>
          <w:sz w:val="18"/>
        </w:rPr>
        <w:t>p.4.</w:t>
      </w:r>
    </w:p>
    <w:p>
      <w:pPr>
        <w:pStyle w:val="ListParagraph"/>
        <w:numPr>
          <w:ilvl w:val="0"/>
          <w:numId w:val="216"/>
        </w:numPr>
        <w:tabs>
          <w:tab w:pos="1060" w:val="left" w:leader="none"/>
          <w:tab w:pos="1061" w:val="left" w:leader="none"/>
        </w:tabs>
        <w:spacing w:line="240" w:lineRule="auto" w:before="0" w:after="0"/>
        <w:ind w:left="1060" w:right="2114" w:hanging="454"/>
        <w:jc w:val="left"/>
        <w:rPr>
          <w:sz w:val="18"/>
        </w:rPr>
      </w:pPr>
      <w:r>
        <w:rPr>
          <w:w w:val="115"/>
          <w:sz w:val="18"/>
        </w:rPr>
        <w:t>the A Rocha website contains a comprehensive list of suggested practices </w:t>
      </w:r>
      <w:hyperlink r:id="rId499">
        <w:r>
          <w:rPr>
            <w:color w:val="006AB3"/>
            <w:w w:val="115"/>
            <w:sz w:val="18"/>
          </w:rPr>
          <w:t>http://arocha.org.</w:t>
        </w:r>
      </w:hyperlink>
      <w:hyperlink r:id="rId499">
        <w:r>
          <w:rPr>
            <w:color w:val="006AB3"/>
            <w:w w:val="115"/>
            <w:sz w:val="18"/>
          </w:rPr>
          <w:t> uk/our-activities/living-lightly-take-action</w:t>
        </w:r>
      </w:hyperlink>
      <w:r>
        <w:rPr>
          <w:w w:val="115"/>
          <w:sz w:val="18"/>
        </w:rPr>
        <w:t>.</w:t>
      </w:r>
    </w:p>
    <w:p>
      <w:pPr>
        <w:spacing w:after="0" w:line="240" w:lineRule="auto"/>
        <w:jc w:val="left"/>
        <w:rPr>
          <w:sz w:val="18"/>
        </w:rPr>
        <w:sectPr>
          <w:headerReference w:type="even" r:id="rId496"/>
          <w:pgSz w:w="11910" w:h="16840"/>
          <w:pgMar w:header="0" w:footer="647" w:top="0" w:bottom="840" w:left="640" w:right="0"/>
        </w:sectPr>
      </w:pPr>
    </w:p>
    <w:p>
      <w:pPr>
        <w:pStyle w:val="BodyText"/>
      </w:pPr>
      <w:r>
        <w:rPr/>
        <w:drawing>
          <wp:anchor distT="0" distB="0" distL="0" distR="0" allowOverlap="1" layoutInCell="1" locked="0" behindDoc="0" simplePos="0" relativeHeight="252162048">
            <wp:simplePos x="0" y="0"/>
            <wp:positionH relativeFrom="page">
              <wp:posOffset>6974928</wp:posOffset>
            </wp:positionH>
            <wp:positionV relativeFrom="page">
              <wp:posOffset>0</wp:posOffset>
            </wp:positionV>
            <wp:extent cx="585063" cy="10692003"/>
            <wp:effectExtent l="0" t="0" r="0" b="0"/>
            <wp:wrapNone/>
            <wp:docPr id="359" name="image54.png"/>
            <wp:cNvGraphicFramePr>
              <a:graphicFrameLocks noChangeAspect="1"/>
            </wp:cNvGraphicFramePr>
            <a:graphic>
              <a:graphicData uri="http://schemas.openxmlformats.org/drawingml/2006/picture">
                <pic:pic>
                  <pic:nvPicPr>
                    <pic:cNvPr id="360" name="image54.png"/>
                    <pic:cNvPicPr/>
                  </pic:nvPicPr>
                  <pic:blipFill>
                    <a:blip r:embed="rId169" cstate="print"/>
                    <a:stretch>
                      <a:fillRect/>
                    </a:stretch>
                  </pic:blipFill>
                  <pic:spPr>
                    <a:xfrm>
                      <a:off x="0" y="0"/>
                      <a:ext cx="585063" cy="10692003"/>
                    </a:xfrm>
                    <a:prstGeom prst="rect">
                      <a:avLst/>
                    </a:prstGeom>
                  </pic:spPr>
                </pic:pic>
              </a:graphicData>
            </a:graphic>
          </wp:anchor>
        </w:drawing>
      </w:r>
    </w:p>
    <w:p>
      <w:pPr>
        <w:pStyle w:val="BodyText"/>
        <w:spacing w:before="7"/>
        <w:rPr>
          <w:sz w:val="21"/>
        </w:rPr>
      </w:pPr>
    </w:p>
    <w:p>
      <w:pPr>
        <w:spacing w:before="106"/>
        <w:ind w:left="0" w:right="1245" w:firstLine="0"/>
        <w:jc w:val="right"/>
        <w:rPr>
          <w:sz w:val="26"/>
        </w:rPr>
      </w:pPr>
      <w:r>
        <w:rPr/>
        <w:pict>
          <v:shape style="position:absolute;margin-left:554.141174pt;margin-top:22.593945pt;width:25.9pt;height:316.5pt;mso-position-horizontal-relative:page;mso-position-vertical-relative:paragraph;z-index:252163072" type="#_x0000_t202" filled="false" stroked="false">
            <v:textbox inset="0,0,0,0" style="layout-flow:vertical">
              <w:txbxContent>
                <w:p>
                  <w:pPr>
                    <w:spacing w:before="27"/>
                    <w:ind w:left="20" w:right="0" w:firstLine="0"/>
                    <w:jc w:val="left"/>
                    <w:rPr>
                      <w:sz w:val="39"/>
                    </w:rPr>
                  </w:pPr>
                  <w:r>
                    <w:rPr>
                      <w:color w:val="FFFFFF"/>
                      <w:w w:val="120"/>
                      <w:sz w:val="39"/>
                    </w:rPr>
                    <w:t>Mission – </w:t>
                  </w:r>
                  <w:r>
                    <w:rPr>
                      <w:w w:val="120"/>
                      <w:sz w:val="39"/>
                    </w:rPr>
                    <w:t>Environmental Policy</w:t>
                  </w:r>
                </w:p>
              </w:txbxContent>
            </v:textbox>
            <w10:wrap type="none"/>
          </v:shape>
        </w:pict>
      </w:r>
      <w:r>
        <w:rPr>
          <w:color w:val="7EAABF"/>
          <w:w w:val="110"/>
          <w:sz w:val="26"/>
        </w:rPr>
        <w:t>Mission</w:t>
      </w:r>
    </w:p>
    <w:p>
      <w:pPr>
        <w:pStyle w:val="ListParagraph"/>
        <w:numPr>
          <w:ilvl w:val="0"/>
          <w:numId w:val="216"/>
        </w:numPr>
        <w:tabs>
          <w:tab w:pos="1645" w:val="left" w:leader="none"/>
        </w:tabs>
        <w:spacing w:line="235" w:lineRule="auto" w:before="222" w:after="0"/>
        <w:ind w:left="1344" w:right="1608" w:firstLine="0"/>
        <w:jc w:val="left"/>
        <w:rPr>
          <w:sz w:val="20"/>
        </w:rPr>
      </w:pPr>
      <w:r>
        <w:rPr>
          <w:w w:val="120"/>
          <w:sz w:val="20"/>
        </w:rPr>
        <w:t>of vision2020, follows through on this ‘conversion’ and ‘transformation’. We will endeavour to work ecumenically whenever possible and appropriate as we act upon this</w:t>
      </w:r>
      <w:r>
        <w:rPr>
          <w:spacing w:val="2"/>
          <w:w w:val="120"/>
          <w:sz w:val="20"/>
        </w:rPr>
        <w:t> </w:t>
      </w:r>
      <w:r>
        <w:rPr>
          <w:spacing w:val="-3"/>
          <w:w w:val="120"/>
          <w:sz w:val="20"/>
        </w:rPr>
        <w:t>policy.</w:t>
      </w:r>
    </w:p>
    <w:p>
      <w:pPr>
        <w:pStyle w:val="BodyText"/>
        <w:spacing w:before="6"/>
        <w:rPr>
          <w:sz w:val="19"/>
        </w:rPr>
      </w:pPr>
    </w:p>
    <w:p>
      <w:pPr>
        <w:pStyle w:val="ListParagraph"/>
        <w:numPr>
          <w:ilvl w:val="1"/>
          <w:numId w:val="215"/>
        </w:numPr>
        <w:tabs>
          <w:tab w:pos="2024" w:val="left" w:leader="none"/>
          <w:tab w:pos="2025" w:val="left" w:leader="none"/>
        </w:tabs>
        <w:spacing w:line="242" w:lineRule="exact" w:before="0" w:after="0"/>
        <w:ind w:left="2024" w:right="0" w:hanging="681"/>
        <w:jc w:val="left"/>
        <w:rPr>
          <w:sz w:val="20"/>
        </w:rPr>
      </w:pPr>
      <w:r>
        <w:rPr>
          <w:w w:val="120"/>
          <w:sz w:val="20"/>
        </w:rPr>
        <w:t>Accordingly, our churches will be encouraged</w:t>
      </w:r>
      <w:r>
        <w:rPr>
          <w:spacing w:val="17"/>
          <w:w w:val="120"/>
          <w:sz w:val="20"/>
        </w:rPr>
        <w:t> </w:t>
      </w:r>
      <w:r>
        <w:rPr>
          <w:spacing w:val="-3"/>
          <w:w w:val="120"/>
          <w:sz w:val="20"/>
        </w:rPr>
        <w:t>to:</w:t>
      </w:r>
    </w:p>
    <w:p>
      <w:pPr>
        <w:pStyle w:val="ListParagraph"/>
        <w:numPr>
          <w:ilvl w:val="0"/>
          <w:numId w:val="217"/>
        </w:numPr>
        <w:tabs>
          <w:tab w:pos="2024" w:val="left" w:leader="none"/>
          <w:tab w:pos="2025" w:val="left" w:leader="none"/>
        </w:tabs>
        <w:spacing w:line="230" w:lineRule="auto" w:before="6" w:after="0"/>
        <w:ind w:left="2024" w:right="1245" w:hanging="681"/>
        <w:jc w:val="left"/>
        <w:rPr>
          <w:sz w:val="18"/>
        </w:rPr>
      </w:pPr>
      <w:r>
        <w:rPr>
          <w:spacing w:val="2"/>
          <w:w w:val="120"/>
          <w:sz w:val="20"/>
        </w:rPr>
        <w:t>carry </w:t>
      </w:r>
      <w:r>
        <w:rPr>
          <w:w w:val="120"/>
          <w:sz w:val="20"/>
        </w:rPr>
        <w:t>out a systematic environmental audit of their buildings and follow the strategies outlined below for reducing their carbon footprint; in this the resource ‘Greening Church Buildings’ produced by </w:t>
      </w:r>
      <w:r>
        <w:rPr>
          <w:spacing w:val="-3"/>
          <w:w w:val="120"/>
          <w:sz w:val="20"/>
        </w:rPr>
        <w:t>Eco </w:t>
      </w:r>
      <w:r>
        <w:rPr>
          <w:w w:val="120"/>
          <w:sz w:val="20"/>
        </w:rPr>
        <w:t>Congregation Scotland will be </w:t>
      </w:r>
      <w:r>
        <w:rPr>
          <w:spacing w:val="-4"/>
          <w:w w:val="120"/>
          <w:sz w:val="20"/>
        </w:rPr>
        <w:t>helpful;</w:t>
      </w:r>
      <w:r>
        <w:rPr>
          <w:spacing w:val="-4"/>
          <w:w w:val="120"/>
          <w:position w:val="4"/>
          <w:sz w:val="18"/>
        </w:rPr>
        <w:t>10</w:t>
      </w:r>
    </w:p>
    <w:p>
      <w:pPr>
        <w:pStyle w:val="ListParagraph"/>
        <w:numPr>
          <w:ilvl w:val="0"/>
          <w:numId w:val="217"/>
        </w:numPr>
        <w:tabs>
          <w:tab w:pos="2024" w:val="left" w:leader="none"/>
          <w:tab w:pos="2025" w:val="left" w:leader="none"/>
        </w:tabs>
        <w:spacing w:line="235" w:lineRule="auto" w:before="0" w:after="0"/>
        <w:ind w:left="2024" w:right="1252" w:hanging="681"/>
        <w:jc w:val="left"/>
        <w:rPr>
          <w:sz w:val="20"/>
        </w:rPr>
      </w:pPr>
      <w:r>
        <w:rPr>
          <w:w w:val="120"/>
          <w:sz w:val="20"/>
        </w:rPr>
        <w:t>raise awareness, through prayer, preaching, Bible study, teaching and discussion, of the need for confession and repentance in relation to the causes of climate change, and of our calling, as God’s redeemed people, to live joyfully, simply    and responsibly with respect to God’s Creation – caring for and treasuring that Creation, and celebrating all that is achieved in fulfilling that</w:t>
      </w:r>
      <w:r>
        <w:rPr>
          <w:spacing w:val="34"/>
          <w:w w:val="120"/>
          <w:sz w:val="20"/>
        </w:rPr>
        <w:t> </w:t>
      </w:r>
      <w:r>
        <w:rPr>
          <w:w w:val="120"/>
          <w:sz w:val="20"/>
        </w:rPr>
        <w:t>calling;</w:t>
      </w:r>
    </w:p>
    <w:p>
      <w:pPr>
        <w:pStyle w:val="ListParagraph"/>
        <w:numPr>
          <w:ilvl w:val="0"/>
          <w:numId w:val="217"/>
        </w:numPr>
        <w:tabs>
          <w:tab w:pos="2024" w:val="left" w:leader="none"/>
          <w:tab w:pos="2025" w:val="left" w:leader="none"/>
        </w:tabs>
        <w:spacing w:line="235" w:lineRule="auto" w:before="1" w:after="0"/>
        <w:ind w:left="2024" w:right="1570" w:hanging="681"/>
        <w:jc w:val="left"/>
        <w:rPr>
          <w:sz w:val="20"/>
        </w:rPr>
      </w:pPr>
      <w:r>
        <w:rPr>
          <w:w w:val="120"/>
          <w:sz w:val="20"/>
        </w:rPr>
        <w:t>seek to achieve ‘Eco-Church’ status </w:t>
      </w:r>
      <w:hyperlink r:id="rId503">
        <w:r>
          <w:rPr>
            <w:color w:val="006AB3"/>
            <w:w w:val="120"/>
            <w:sz w:val="20"/>
          </w:rPr>
          <w:t>www.ecochurch.arocha.org.uk </w:t>
        </w:r>
      </w:hyperlink>
      <w:r>
        <w:rPr>
          <w:w w:val="120"/>
          <w:sz w:val="20"/>
        </w:rPr>
        <w:t>in the case of churches in England and Wales, or ‘Eco-Congregation’ status in the case of churches in Scotland</w:t>
      </w:r>
      <w:r>
        <w:rPr>
          <w:spacing w:val="13"/>
          <w:w w:val="120"/>
          <w:sz w:val="20"/>
        </w:rPr>
        <w:t> </w:t>
      </w:r>
      <w:r>
        <w:rPr>
          <w:color w:val="006AB3"/>
          <w:w w:val="120"/>
          <w:sz w:val="20"/>
        </w:rPr>
        <w:t>www.ecocongregationscotland.org</w:t>
      </w:r>
      <w:r>
        <w:rPr>
          <w:w w:val="120"/>
          <w:sz w:val="20"/>
        </w:rPr>
        <w:t>;</w:t>
      </w:r>
    </w:p>
    <w:p>
      <w:pPr>
        <w:pStyle w:val="ListParagraph"/>
        <w:numPr>
          <w:ilvl w:val="0"/>
          <w:numId w:val="217"/>
        </w:numPr>
        <w:tabs>
          <w:tab w:pos="2024" w:val="left" w:leader="none"/>
          <w:tab w:pos="2025" w:val="left" w:leader="none"/>
        </w:tabs>
        <w:spacing w:line="240" w:lineRule="exact" w:before="0" w:after="0"/>
        <w:ind w:left="2024" w:right="0" w:hanging="681"/>
        <w:jc w:val="left"/>
        <w:rPr>
          <w:sz w:val="18"/>
        </w:rPr>
      </w:pPr>
      <w:r>
        <w:rPr>
          <w:w w:val="120"/>
          <w:sz w:val="20"/>
        </w:rPr>
        <w:t>celebrate ‘Time for Creation’ as encouraged by the World Council of</w:t>
      </w:r>
      <w:r>
        <w:rPr>
          <w:spacing w:val="2"/>
          <w:w w:val="120"/>
          <w:sz w:val="20"/>
        </w:rPr>
        <w:t> </w:t>
      </w:r>
      <w:r>
        <w:rPr>
          <w:spacing w:val="-6"/>
          <w:w w:val="120"/>
          <w:sz w:val="20"/>
        </w:rPr>
        <w:t>Churches.</w:t>
      </w:r>
      <w:r>
        <w:rPr>
          <w:spacing w:val="-6"/>
          <w:w w:val="120"/>
          <w:position w:val="4"/>
          <w:sz w:val="18"/>
        </w:rPr>
        <w:t>11</w:t>
      </w:r>
    </w:p>
    <w:p>
      <w:pPr>
        <w:pStyle w:val="BodyText"/>
        <w:spacing w:line="240" w:lineRule="exact"/>
        <w:ind w:left="2024"/>
      </w:pPr>
      <w:r>
        <w:rPr>
          <w:w w:val="120"/>
        </w:rPr>
        <w:t>Creation Time runs from 1 September until 4 October each year;</w:t>
      </w:r>
    </w:p>
    <w:p>
      <w:pPr>
        <w:pStyle w:val="ListParagraph"/>
        <w:numPr>
          <w:ilvl w:val="0"/>
          <w:numId w:val="217"/>
        </w:numPr>
        <w:tabs>
          <w:tab w:pos="2024" w:val="left" w:leader="none"/>
          <w:tab w:pos="2025" w:val="left" w:leader="none"/>
        </w:tabs>
        <w:spacing w:line="235" w:lineRule="auto" w:before="2" w:after="0"/>
        <w:ind w:left="2024" w:right="1520" w:hanging="681"/>
        <w:jc w:val="both"/>
        <w:rPr>
          <w:sz w:val="20"/>
        </w:rPr>
      </w:pPr>
      <w:r>
        <w:rPr>
          <w:w w:val="120"/>
          <w:sz w:val="20"/>
        </w:rPr>
        <w:t>ensure that energy is used efficiently and that their buildings are environment friendly through the use of energy-saving technologies and by identifying and using renewable sources of energy as</w:t>
      </w:r>
      <w:r>
        <w:rPr>
          <w:spacing w:val="13"/>
          <w:w w:val="120"/>
          <w:sz w:val="20"/>
        </w:rPr>
        <w:t> </w:t>
      </w:r>
      <w:r>
        <w:rPr>
          <w:w w:val="120"/>
          <w:sz w:val="20"/>
        </w:rPr>
        <w:t>appropriate;</w:t>
      </w:r>
    </w:p>
    <w:p>
      <w:pPr>
        <w:pStyle w:val="ListParagraph"/>
        <w:numPr>
          <w:ilvl w:val="0"/>
          <w:numId w:val="217"/>
        </w:numPr>
        <w:tabs>
          <w:tab w:pos="2024" w:val="left" w:leader="none"/>
          <w:tab w:pos="2025" w:val="left" w:leader="none"/>
        </w:tabs>
        <w:spacing w:line="235" w:lineRule="auto" w:before="2" w:after="0"/>
        <w:ind w:left="2024" w:right="1385" w:hanging="681"/>
        <w:jc w:val="left"/>
        <w:rPr>
          <w:sz w:val="20"/>
        </w:rPr>
      </w:pPr>
      <w:r>
        <w:rPr>
          <w:w w:val="120"/>
          <w:sz w:val="20"/>
        </w:rPr>
        <w:t>help members of their congregation to make adjustments in the carbon emissions associated with their lifestyles by supporting them in a personal audit and in finding appropriate</w:t>
      </w:r>
      <w:r>
        <w:rPr>
          <w:spacing w:val="9"/>
          <w:w w:val="120"/>
          <w:sz w:val="20"/>
        </w:rPr>
        <w:t> </w:t>
      </w:r>
      <w:r>
        <w:rPr>
          <w:w w:val="120"/>
          <w:sz w:val="20"/>
        </w:rPr>
        <w:t>strategies;</w:t>
      </w:r>
    </w:p>
    <w:p>
      <w:pPr>
        <w:pStyle w:val="ListParagraph"/>
        <w:numPr>
          <w:ilvl w:val="0"/>
          <w:numId w:val="217"/>
        </w:numPr>
        <w:tabs>
          <w:tab w:pos="2024" w:val="left" w:leader="none"/>
          <w:tab w:pos="2025" w:val="left" w:leader="none"/>
        </w:tabs>
        <w:spacing w:line="235" w:lineRule="auto" w:before="2" w:after="0"/>
        <w:ind w:left="2024" w:right="1719" w:hanging="681"/>
        <w:jc w:val="left"/>
        <w:rPr>
          <w:sz w:val="20"/>
        </w:rPr>
      </w:pPr>
      <w:r>
        <w:rPr>
          <w:w w:val="120"/>
          <w:sz w:val="20"/>
        </w:rPr>
        <w:t>involve their children and young people in activities focusing on care for the environment;</w:t>
      </w:r>
    </w:p>
    <w:p>
      <w:pPr>
        <w:pStyle w:val="ListParagraph"/>
        <w:numPr>
          <w:ilvl w:val="0"/>
          <w:numId w:val="217"/>
        </w:numPr>
        <w:tabs>
          <w:tab w:pos="2024" w:val="left" w:leader="none"/>
          <w:tab w:pos="2025" w:val="left" w:leader="none"/>
        </w:tabs>
        <w:spacing w:line="235" w:lineRule="auto" w:before="2" w:after="0"/>
        <w:ind w:left="2024" w:right="1536" w:hanging="681"/>
        <w:jc w:val="left"/>
        <w:rPr>
          <w:sz w:val="20"/>
        </w:rPr>
      </w:pPr>
      <w:r>
        <w:rPr>
          <w:w w:val="120"/>
          <w:sz w:val="20"/>
        </w:rPr>
        <w:t>engage their local political representatives, urging them to support policies that take effective steps towards realising the commitment to a minimum 80% reduction in carbon emissions by 2050 and minimum </w:t>
      </w:r>
      <w:r>
        <w:rPr>
          <w:spacing w:val="-3"/>
          <w:w w:val="120"/>
          <w:sz w:val="20"/>
        </w:rPr>
        <w:t>42% </w:t>
      </w:r>
      <w:r>
        <w:rPr>
          <w:w w:val="120"/>
          <w:sz w:val="20"/>
        </w:rPr>
        <w:t>by</w:t>
      </w:r>
      <w:r>
        <w:rPr>
          <w:spacing w:val="10"/>
          <w:w w:val="120"/>
          <w:sz w:val="20"/>
        </w:rPr>
        <w:t> </w:t>
      </w:r>
      <w:r>
        <w:rPr>
          <w:w w:val="120"/>
          <w:sz w:val="20"/>
        </w:rPr>
        <w:t>2020;</w:t>
      </w:r>
    </w:p>
    <w:p>
      <w:pPr>
        <w:pStyle w:val="ListParagraph"/>
        <w:numPr>
          <w:ilvl w:val="0"/>
          <w:numId w:val="217"/>
        </w:numPr>
        <w:tabs>
          <w:tab w:pos="2024" w:val="left" w:leader="none"/>
          <w:tab w:pos="2025" w:val="left" w:leader="none"/>
        </w:tabs>
        <w:spacing w:line="235" w:lineRule="auto" w:before="2" w:after="0"/>
        <w:ind w:left="2024" w:right="2193" w:hanging="681"/>
        <w:jc w:val="left"/>
        <w:rPr>
          <w:sz w:val="20"/>
        </w:rPr>
      </w:pPr>
      <w:r>
        <w:rPr>
          <w:w w:val="120"/>
          <w:sz w:val="20"/>
        </w:rPr>
        <w:t>support campaigns and popular action around climate change issues as appropriate;</w:t>
      </w:r>
    </w:p>
    <w:p>
      <w:pPr>
        <w:pStyle w:val="ListParagraph"/>
        <w:numPr>
          <w:ilvl w:val="0"/>
          <w:numId w:val="217"/>
        </w:numPr>
        <w:tabs>
          <w:tab w:pos="2024" w:val="left" w:leader="none"/>
          <w:tab w:pos="2025" w:val="left" w:leader="none"/>
        </w:tabs>
        <w:spacing w:line="235" w:lineRule="auto" w:before="1" w:after="0"/>
        <w:ind w:left="2024" w:right="1409" w:hanging="681"/>
        <w:jc w:val="left"/>
        <w:rPr>
          <w:sz w:val="20"/>
        </w:rPr>
      </w:pPr>
      <w:r>
        <w:rPr>
          <w:w w:val="120"/>
          <w:sz w:val="20"/>
        </w:rPr>
        <w:t>ensure that church-owned land is used in ways that encourage an enjoyment of nature and both enhance and protect the</w:t>
      </w:r>
      <w:r>
        <w:rPr>
          <w:spacing w:val="15"/>
          <w:w w:val="120"/>
          <w:sz w:val="20"/>
        </w:rPr>
        <w:t> </w:t>
      </w:r>
      <w:r>
        <w:rPr>
          <w:w w:val="120"/>
          <w:sz w:val="20"/>
        </w:rPr>
        <w:t>environment;</w:t>
      </w:r>
    </w:p>
    <w:p>
      <w:pPr>
        <w:pStyle w:val="ListParagraph"/>
        <w:numPr>
          <w:ilvl w:val="0"/>
          <w:numId w:val="217"/>
        </w:numPr>
        <w:tabs>
          <w:tab w:pos="2024" w:val="left" w:leader="none"/>
          <w:tab w:pos="2025" w:val="left" w:leader="none"/>
        </w:tabs>
        <w:spacing w:line="242" w:lineRule="exact" w:before="0" w:after="0"/>
        <w:ind w:left="2024" w:right="0" w:hanging="681"/>
        <w:jc w:val="left"/>
        <w:rPr>
          <w:sz w:val="20"/>
        </w:rPr>
      </w:pPr>
      <w:r>
        <w:rPr>
          <w:w w:val="120"/>
          <w:sz w:val="20"/>
        </w:rPr>
        <w:t>produce a piece of community </w:t>
      </w:r>
      <w:r>
        <w:rPr>
          <w:spacing w:val="2"/>
          <w:w w:val="120"/>
          <w:sz w:val="20"/>
        </w:rPr>
        <w:t>artwork </w:t>
      </w:r>
      <w:r>
        <w:rPr>
          <w:w w:val="120"/>
          <w:sz w:val="20"/>
        </w:rPr>
        <w:t>celebrating the Creator</w:t>
      </w:r>
      <w:r>
        <w:rPr>
          <w:spacing w:val="27"/>
          <w:w w:val="120"/>
          <w:sz w:val="20"/>
        </w:rPr>
        <w:t> </w:t>
      </w:r>
      <w:r>
        <w:rPr>
          <w:w w:val="120"/>
          <w:sz w:val="20"/>
        </w:rPr>
        <w:t>God.</w:t>
      </w:r>
    </w:p>
    <w:p>
      <w:pPr>
        <w:pStyle w:val="BodyText"/>
        <w:rPr>
          <w:sz w:val="24"/>
        </w:rPr>
      </w:pPr>
    </w:p>
    <w:p>
      <w:pPr>
        <w:pStyle w:val="ListParagraph"/>
        <w:numPr>
          <w:ilvl w:val="1"/>
          <w:numId w:val="215"/>
        </w:numPr>
        <w:tabs>
          <w:tab w:pos="2024" w:val="left" w:leader="none"/>
          <w:tab w:pos="2025" w:val="left" w:leader="none"/>
        </w:tabs>
        <w:spacing w:line="242" w:lineRule="exact" w:before="183" w:after="0"/>
        <w:ind w:left="2024" w:right="0" w:hanging="681"/>
        <w:jc w:val="left"/>
        <w:rPr>
          <w:sz w:val="20"/>
        </w:rPr>
      </w:pPr>
      <w:r>
        <w:rPr>
          <w:w w:val="120"/>
          <w:sz w:val="20"/>
        </w:rPr>
        <w:t>Our synods will seek</w:t>
      </w:r>
      <w:r>
        <w:rPr>
          <w:spacing w:val="8"/>
          <w:w w:val="120"/>
          <w:sz w:val="20"/>
        </w:rPr>
        <w:t> </w:t>
      </w:r>
      <w:r>
        <w:rPr>
          <w:spacing w:val="-3"/>
          <w:w w:val="120"/>
          <w:sz w:val="20"/>
        </w:rPr>
        <w:t>to:</w:t>
      </w:r>
    </w:p>
    <w:p>
      <w:pPr>
        <w:pStyle w:val="ListParagraph"/>
        <w:numPr>
          <w:ilvl w:val="0"/>
          <w:numId w:val="218"/>
        </w:numPr>
        <w:tabs>
          <w:tab w:pos="2024" w:val="left" w:leader="none"/>
          <w:tab w:pos="2025" w:val="left" w:leader="none"/>
        </w:tabs>
        <w:spacing w:line="235" w:lineRule="auto" w:before="2" w:after="0"/>
        <w:ind w:left="2024" w:right="1432" w:hanging="681"/>
        <w:jc w:val="left"/>
        <w:rPr>
          <w:sz w:val="20"/>
        </w:rPr>
      </w:pPr>
      <w:r>
        <w:rPr>
          <w:w w:val="120"/>
          <w:sz w:val="20"/>
        </w:rPr>
        <w:t>encourage their churches to gain ‘Eco-Church’ status (in the case of churches   in England and </w:t>
      </w:r>
      <w:r>
        <w:rPr>
          <w:spacing w:val="-4"/>
          <w:w w:val="120"/>
          <w:sz w:val="20"/>
        </w:rPr>
        <w:t>Wales) </w:t>
      </w:r>
      <w:r>
        <w:rPr>
          <w:w w:val="120"/>
          <w:sz w:val="20"/>
        </w:rPr>
        <w:t>or ‘Eco-Congregation’ status (in the case of churches in Scotland); in so doing they will encourage churches to see the positive benefits in terms of the financial savings that environmentally-friendly practices can bring;</w:t>
      </w:r>
    </w:p>
    <w:p>
      <w:pPr>
        <w:pStyle w:val="ListParagraph"/>
        <w:numPr>
          <w:ilvl w:val="0"/>
          <w:numId w:val="218"/>
        </w:numPr>
        <w:tabs>
          <w:tab w:pos="2024" w:val="left" w:leader="none"/>
          <w:tab w:pos="2025" w:val="left" w:leader="none"/>
        </w:tabs>
        <w:spacing w:line="242" w:lineRule="exact" w:before="0" w:after="0"/>
        <w:ind w:left="2024" w:right="0" w:hanging="681"/>
        <w:jc w:val="left"/>
        <w:rPr>
          <w:sz w:val="20"/>
        </w:rPr>
      </w:pPr>
      <w:r>
        <w:rPr>
          <w:w w:val="120"/>
          <w:sz w:val="20"/>
        </w:rPr>
        <w:t>develop and implement plans to become</w:t>
      </w:r>
      <w:r>
        <w:rPr>
          <w:spacing w:val="15"/>
          <w:w w:val="120"/>
          <w:sz w:val="20"/>
        </w:rPr>
        <w:t> </w:t>
      </w:r>
      <w:r>
        <w:rPr>
          <w:w w:val="120"/>
          <w:sz w:val="20"/>
        </w:rPr>
        <w:t>‘Eco-synods’;</w:t>
      </w:r>
    </w:p>
    <w:p>
      <w:pPr>
        <w:pStyle w:val="ListParagraph"/>
        <w:numPr>
          <w:ilvl w:val="0"/>
          <w:numId w:val="218"/>
        </w:numPr>
        <w:tabs>
          <w:tab w:pos="2024" w:val="left" w:leader="none"/>
          <w:tab w:pos="2025" w:val="left" w:leader="none"/>
        </w:tabs>
        <w:spacing w:line="235" w:lineRule="auto" w:before="2" w:after="0"/>
        <w:ind w:left="2024" w:right="1371" w:hanging="681"/>
        <w:jc w:val="left"/>
        <w:rPr>
          <w:sz w:val="20"/>
        </w:rPr>
      </w:pPr>
      <w:r>
        <w:rPr>
          <w:w w:val="120"/>
          <w:sz w:val="20"/>
        </w:rPr>
        <w:t>ensure that their buildings, including manses, are environment friendly through the use of energy-saving technologies and by identifying and using renewable sources of energy as</w:t>
      </w:r>
      <w:r>
        <w:rPr>
          <w:spacing w:val="7"/>
          <w:w w:val="120"/>
          <w:sz w:val="20"/>
        </w:rPr>
        <w:t> </w:t>
      </w:r>
      <w:r>
        <w:rPr>
          <w:w w:val="120"/>
          <w:sz w:val="20"/>
        </w:rPr>
        <w:t>appropriate;</w:t>
      </w:r>
    </w:p>
    <w:p>
      <w:pPr>
        <w:pStyle w:val="ListParagraph"/>
        <w:numPr>
          <w:ilvl w:val="0"/>
          <w:numId w:val="218"/>
        </w:numPr>
        <w:tabs>
          <w:tab w:pos="2024" w:val="left" w:leader="none"/>
          <w:tab w:pos="2025" w:val="left" w:leader="none"/>
        </w:tabs>
        <w:spacing w:line="235" w:lineRule="auto" w:before="2" w:after="0"/>
        <w:ind w:left="2024" w:right="2173" w:hanging="681"/>
        <w:jc w:val="left"/>
        <w:rPr>
          <w:sz w:val="20"/>
        </w:rPr>
      </w:pPr>
      <w:r>
        <w:rPr>
          <w:w w:val="120"/>
          <w:sz w:val="20"/>
        </w:rPr>
        <w:t>encourage their churches to work in collaboration with, or initiate, local transition or sustainability</w:t>
      </w:r>
      <w:r>
        <w:rPr>
          <w:spacing w:val="5"/>
          <w:w w:val="120"/>
          <w:sz w:val="20"/>
        </w:rPr>
        <w:t> </w:t>
      </w:r>
      <w:r>
        <w:rPr>
          <w:w w:val="120"/>
          <w:sz w:val="20"/>
        </w:rPr>
        <w:t>groups;</w:t>
      </w:r>
    </w:p>
    <w:p>
      <w:pPr>
        <w:pStyle w:val="ListParagraph"/>
        <w:numPr>
          <w:ilvl w:val="0"/>
          <w:numId w:val="218"/>
        </w:numPr>
        <w:tabs>
          <w:tab w:pos="2024" w:val="left" w:leader="none"/>
          <w:tab w:pos="2025" w:val="left" w:leader="none"/>
        </w:tabs>
        <w:spacing w:line="235" w:lineRule="auto" w:before="2" w:after="0"/>
        <w:ind w:left="2024" w:right="1636" w:hanging="681"/>
        <w:jc w:val="left"/>
        <w:rPr>
          <w:sz w:val="20"/>
        </w:rPr>
      </w:pPr>
      <w:r>
        <w:rPr>
          <w:w w:val="120"/>
          <w:sz w:val="20"/>
        </w:rPr>
        <w:t>encourage their churches to receive training and support on issues of climate justice and environmental</w:t>
      </w:r>
      <w:r>
        <w:rPr>
          <w:spacing w:val="5"/>
          <w:w w:val="120"/>
          <w:sz w:val="20"/>
        </w:rPr>
        <w:t> </w:t>
      </w:r>
      <w:r>
        <w:rPr>
          <w:w w:val="120"/>
          <w:sz w:val="20"/>
        </w:rPr>
        <w:t>care;</w:t>
      </w:r>
    </w:p>
    <w:p>
      <w:pPr>
        <w:pStyle w:val="ListParagraph"/>
        <w:numPr>
          <w:ilvl w:val="0"/>
          <w:numId w:val="218"/>
        </w:numPr>
        <w:tabs>
          <w:tab w:pos="2024" w:val="left" w:leader="none"/>
          <w:tab w:pos="2025" w:val="left" w:leader="none"/>
        </w:tabs>
        <w:spacing w:line="235" w:lineRule="auto" w:before="1" w:after="0"/>
        <w:ind w:left="2024" w:right="1380" w:hanging="681"/>
        <w:jc w:val="left"/>
        <w:rPr>
          <w:sz w:val="20"/>
        </w:rPr>
      </w:pPr>
      <w:r>
        <w:rPr>
          <w:w w:val="120"/>
          <w:sz w:val="20"/>
        </w:rPr>
        <w:t>appoint one or more ‘Green Apostles’ to monitor progress on carbon reduction in their synod (if preferred this role could be differently named, for example ‘Sustainability</w:t>
      </w:r>
      <w:r>
        <w:rPr>
          <w:spacing w:val="2"/>
          <w:w w:val="120"/>
          <w:sz w:val="20"/>
        </w:rPr>
        <w:t> </w:t>
      </w:r>
      <w:r>
        <w:rPr>
          <w:w w:val="120"/>
          <w:sz w:val="20"/>
        </w:rPr>
        <w:t>Ambassador’);</w:t>
      </w:r>
    </w:p>
    <w:p>
      <w:pPr>
        <w:pStyle w:val="ListParagraph"/>
        <w:numPr>
          <w:ilvl w:val="0"/>
          <w:numId w:val="218"/>
        </w:numPr>
        <w:tabs>
          <w:tab w:pos="2024" w:val="left" w:leader="none"/>
          <w:tab w:pos="2025" w:val="left" w:leader="none"/>
        </w:tabs>
        <w:spacing w:line="235" w:lineRule="auto" w:before="2" w:after="0"/>
        <w:ind w:left="2024" w:right="1434" w:hanging="681"/>
        <w:jc w:val="left"/>
        <w:rPr>
          <w:sz w:val="20"/>
        </w:rPr>
      </w:pPr>
      <w:r>
        <w:rPr>
          <w:w w:val="120"/>
          <w:sz w:val="20"/>
        </w:rPr>
        <w:t>draw up an environmental charter along the lines of that adopted by the </w:t>
      </w:r>
      <w:r>
        <w:rPr>
          <w:spacing w:val="2"/>
          <w:w w:val="120"/>
          <w:sz w:val="20"/>
        </w:rPr>
        <w:t>North </w:t>
      </w:r>
      <w:r>
        <w:rPr>
          <w:w w:val="120"/>
          <w:sz w:val="20"/>
        </w:rPr>
        <w:t>Western Synod in</w:t>
      </w:r>
      <w:r>
        <w:rPr>
          <w:spacing w:val="6"/>
          <w:w w:val="120"/>
          <w:sz w:val="20"/>
        </w:rPr>
        <w:t> </w:t>
      </w:r>
      <w:r>
        <w:rPr>
          <w:spacing w:val="-7"/>
          <w:w w:val="120"/>
          <w:sz w:val="20"/>
        </w:rPr>
        <w:t>2015.</w:t>
      </w:r>
    </w:p>
    <w:p>
      <w:pPr>
        <w:pStyle w:val="BodyText"/>
      </w:pPr>
    </w:p>
    <w:p>
      <w:pPr>
        <w:pStyle w:val="BodyText"/>
        <w:spacing w:before="7"/>
        <w:rPr>
          <w:sz w:val="11"/>
        </w:rPr>
      </w:pPr>
      <w:r>
        <w:rPr/>
        <w:pict>
          <v:shape style="position:absolute;margin-left:99.212601pt;margin-top:9.563357pt;width:72pt;height:.1pt;mso-position-horizontal-relative:page;mso-position-vertical-relative:paragraph;z-index:-251155456;mso-wrap-distance-left:0;mso-wrap-distance-right:0" coordorigin="1984,191" coordsize="1440,0" path="m1984,191l3424,191e" filled="false" stroked="true" strokeweight="1pt" strokecolor="#000000">
            <v:path arrowok="t"/>
            <v:stroke dashstyle="solid"/>
            <w10:wrap type="topAndBottom"/>
          </v:shape>
        </w:pict>
      </w:r>
    </w:p>
    <w:p>
      <w:pPr>
        <w:pStyle w:val="ListParagraph"/>
        <w:numPr>
          <w:ilvl w:val="0"/>
          <w:numId w:val="219"/>
        </w:numPr>
        <w:tabs>
          <w:tab w:pos="1797" w:val="left" w:leader="none"/>
          <w:tab w:pos="1798" w:val="left" w:leader="none"/>
        </w:tabs>
        <w:spacing w:line="240" w:lineRule="auto" w:before="9" w:after="0"/>
        <w:ind w:left="1797" w:right="1973" w:hanging="454"/>
        <w:jc w:val="left"/>
        <w:rPr>
          <w:sz w:val="18"/>
        </w:rPr>
      </w:pPr>
      <w:hyperlink r:id="rId504">
        <w:r>
          <w:rPr>
            <w:color w:val="006AB3"/>
            <w:w w:val="120"/>
            <w:sz w:val="18"/>
          </w:rPr>
          <w:t>http://www.ecocongregationscotland.org/wp-content/uploads/2012/11/Greening-</w:t>
        </w:r>
      </w:hyperlink>
      <w:hyperlink r:id="rId504">
        <w:r>
          <w:rPr>
            <w:color w:val="006AB3"/>
            <w:w w:val="120"/>
            <w:sz w:val="18"/>
          </w:rPr>
          <w:t> </w:t>
        </w:r>
        <w:r>
          <w:rPr>
            <w:color w:val="006AB3"/>
            <w:w w:val="125"/>
            <w:sz w:val="18"/>
          </w:rPr>
          <w:t>Church-Buildings.pdf</w:t>
        </w:r>
      </w:hyperlink>
      <w:r>
        <w:rPr>
          <w:w w:val="125"/>
          <w:sz w:val="18"/>
        </w:rPr>
        <w:t>.</w:t>
      </w:r>
    </w:p>
    <w:p>
      <w:pPr>
        <w:pStyle w:val="ListParagraph"/>
        <w:numPr>
          <w:ilvl w:val="0"/>
          <w:numId w:val="219"/>
        </w:numPr>
        <w:tabs>
          <w:tab w:pos="1797" w:val="left" w:leader="none"/>
          <w:tab w:pos="1798" w:val="left" w:leader="none"/>
        </w:tabs>
        <w:spacing w:line="240" w:lineRule="auto" w:before="1" w:after="0"/>
        <w:ind w:left="1797" w:right="0" w:hanging="454"/>
        <w:jc w:val="left"/>
        <w:rPr>
          <w:sz w:val="18"/>
        </w:rPr>
      </w:pPr>
      <w:hyperlink r:id="rId505">
        <w:r>
          <w:rPr>
            <w:color w:val="006AB3"/>
            <w:w w:val="120"/>
            <w:sz w:val="18"/>
          </w:rPr>
          <w:t>http://www.oikoumene.org/en/what-we-do/climate-change/time-for-creation</w:t>
        </w:r>
      </w:hyperlink>
      <w:r>
        <w:rPr>
          <w:w w:val="120"/>
          <w:sz w:val="18"/>
        </w:rPr>
        <w:t>.</w:t>
      </w:r>
    </w:p>
    <w:p>
      <w:pPr>
        <w:spacing w:after="0" w:line="240" w:lineRule="auto"/>
        <w:jc w:val="left"/>
        <w:rPr>
          <w:sz w:val="18"/>
        </w:rPr>
        <w:sectPr>
          <w:headerReference w:type="default" r:id="rId500"/>
          <w:footerReference w:type="default" r:id="rId501"/>
          <w:footerReference w:type="even" r:id="rId502"/>
          <w:pgSz w:w="11910" w:h="16840"/>
          <w:pgMar w:header="0" w:footer="647" w:top="0" w:bottom="840" w:left="640" w:right="0"/>
          <w:pgNumType w:start="189"/>
        </w:sectPr>
      </w:pPr>
    </w:p>
    <w:p>
      <w:pPr>
        <w:pStyle w:val="BodyText"/>
      </w:pPr>
      <w:r>
        <w:rPr/>
        <w:drawing>
          <wp:anchor distT="0" distB="0" distL="0" distR="0" allowOverlap="1" layoutInCell="1" locked="0" behindDoc="1" simplePos="0" relativeHeight="235711488">
            <wp:simplePos x="0" y="0"/>
            <wp:positionH relativeFrom="page">
              <wp:posOffset>0</wp:posOffset>
            </wp:positionH>
            <wp:positionV relativeFrom="page">
              <wp:posOffset>0</wp:posOffset>
            </wp:positionV>
            <wp:extent cx="594067" cy="10692003"/>
            <wp:effectExtent l="0" t="0" r="0" b="0"/>
            <wp:wrapNone/>
            <wp:docPr id="361" name="image67.png"/>
            <wp:cNvGraphicFramePr>
              <a:graphicFrameLocks noChangeAspect="1"/>
            </wp:cNvGraphicFramePr>
            <a:graphic>
              <a:graphicData uri="http://schemas.openxmlformats.org/drawingml/2006/picture">
                <pic:pic>
                  <pic:nvPicPr>
                    <pic:cNvPr id="362" name="image67.png"/>
                    <pic:cNvPicPr/>
                  </pic:nvPicPr>
                  <pic:blipFill>
                    <a:blip r:embed="rId184" cstate="print"/>
                    <a:stretch>
                      <a:fillRect/>
                    </a:stretch>
                  </pic:blipFill>
                  <pic:spPr>
                    <a:xfrm>
                      <a:off x="0" y="0"/>
                      <a:ext cx="594067" cy="10692003"/>
                    </a:xfrm>
                    <a:prstGeom prst="rect">
                      <a:avLst/>
                    </a:prstGeom>
                  </pic:spPr>
                </pic:pic>
              </a:graphicData>
            </a:graphic>
          </wp:anchor>
        </w:drawing>
      </w:r>
      <w:r>
        <w:rPr/>
        <w:pict>
          <v:shape style="position:absolute;margin-left:20.519100pt;margin-top:48.890015pt;width:25.9pt;height:316.5pt;mso-position-horizontal-relative:page;mso-position-vertical-relative:page;z-index:-267603968" type="#_x0000_t202" filled="false" stroked="false">
            <v:textbox inset="0,0,0,0" style="layout-flow:vertical">
              <w:txbxContent>
                <w:p>
                  <w:pPr>
                    <w:spacing w:before="27"/>
                    <w:ind w:left="20" w:right="0" w:firstLine="0"/>
                    <w:jc w:val="left"/>
                    <w:rPr>
                      <w:sz w:val="39"/>
                    </w:rPr>
                  </w:pPr>
                  <w:r>
                    <w:rPr>
                      <w:color w:val="FFFFFF"/>
                      <w:w w:val="120"/>
                      <w:sz w:val="39"/>
                    </w:rPr>
                    <w:t>Mission – </w:t>
                  </w:r>
                  <w:r>
                    <w:rPr>
                      <w:w w:val="120"/>
                      <w:sz w:val="39"/>
                    </w:rPr>
                    <w:t>Environmental Policy</w:t>
                  </w:r>
                </w:p>
              </w:txbxContent>
            </v:textbox>
            <w10:wrap type="none"/>
          </v:shape>
        </w:pict>
      </w:r>
    </w:p>
    <w:p>
      <w:pPr>
        <w:pStyle w:val="BodyText"/>
        <w:spacing w:before="7"/>
        <w:rPr>
          <w:sz w:val="21"/>
        </w:rPr>
      </w:pPr>
    </w:p>
    <w:p>
      <w:pPr>
        <w:spacing w:before="106"/>
        <w:ind w:left="607" w:right="0" w:firstLine="0"/>
        <w:jc w:val="left"/>
        <w:rPr>
          <w:sz w:val="26"/>
        </w:rPr>
      </w:pPr>
      <w:r>
        <w:rPr>
          <w:color w:val="7EAABF"/>
          <w:w w:val="115"/>
          <w:sz w:val="26"/>
        </w:rPr>
        <w:t>Mission</w:t>
      </w:r>
    </w:p>
    <w:p>
      <w:pPr>
        <w:pStyle w:val="ListParagraph"/>
        <w:numPr>
          <w:ilvl w:val="1"/>
          <w:numId w:val="215"/>
        </w:numPr>
        <w:tabs>
          <w:tab w:pos="1287" w:val="left" w:leader="none"/>
          <w:tab w:pos="1288" w:val="left" w:leader="none"/>
        </w:tabs>
        <w:spacing w:line="242" w:lineRule="exact" w:before="218" w:after="0"/>
        <w:ind w:left="1287" w:right="0" w:hanging="681"/>
        <w:jc w:val="left"/>
        <w:rPr>
          <w:sz w:val="20"/>
        </w:rPr>
      </w:pPr>
      <w:r>
        <w:rPr>
          <w:w w:val="120"/>
          <w:sz w:val="20"/>
        </w:rPr>
        <w:t>Assembly encourages the</w:t>
      </w:r>
      <w:r>
        <w:rPr>
          <w:spacing w:val="6"/>
          <w:w w:val="120"/>
          <w:sz w:val="20"/>
        </w:rPr>
        <w:t> </w:t>
      </w:r>
      <w:r>
        <w:rPr>
          <w:w w:val="120"/>
          <w:sz w:val="20"/>
        </w:rPr>
        <w:t>Church:</w:t>
      </w:r>
    </w:p>
    <w:p>
      <w:pPr>
        <w:pStyle w:val="ListParagraph"/>
        <w:numPr>
          <w:ilvl w:val="0"/>
          <w:numId w:val="220"/>
        </w:numPr>
        <w:tabs>
          <w:tab w:pos="1287" w:val="left" w:leader="none"/>
          <w:tab w:pos="1288" w:val="left" w:leader="none"/>
        </w:tabs>
        <w:spacing w:line="235" w:lineRule="auto" w:before="1" w:after="0"/>
        <w:ind w:left="1287" w:right="2138" w:hanging="681"/>
        <w:jc w:val="left"/>
        <w:rPr>
          <w:sz w:val="20"/>
        </w:rPr>
      </w:pPr>
      <w:r>
        <w:rPr>
          <w:w w:val="120"/>
          <w:sz w:val="20"/>
        </w:rPr>
        <w:t>to lower incrementally its carbon footprint by a significant amount each year by carbon budgeting, that is by setting specific year-on-year reduction targets in the percentage of emissions over a defined</w:t>
      </w:r>
      <w:r>
        <w:rPr>
          <w:spacing w:val="15"/>
          <w:w w:val="120"/>
          <w:sz w:val="20"/>
        </w:rPr>
        <w:t> </w:t>
      </w:r>
      <w:r>
        <w:rPr>
          <w:w w:val="120"/>
          <w:sz w:val="20"/>
        </w:rPr>
        <w:t>period;</w:t>
      </w:r>
    </w:p>
    <w:p>
      <w:pPr>
        <w:pStyle w:val="ListParagraph"/>
        <w:numPr>
          <w:ilvl w:val="0"/>
          <w:numId w:val="220"/>
        </w:numPr>
        <w:tabs>
          <w:tab w:pos="1287" w:val="left" w:leader="none"/>
          <w:tab w:pos="1288" w:val="left" w:leader="none"/>
        </w:tabs>
        <w:spacing w:line="235" w:lineRule="auto" w:before="3" w:after="0"/>
        <w:ind w:left="1287" w:right="2314" w:hanging="681"/>
        <w:jc w:val="left"/>
        <w:rPr>
          <w:sz w:val="20"/>
        </w:rPr>
      </w:pPr>
      <w:r>
        <w:rPr>
          <w:w w:val="120"/>
          <w:sz w:val="20"/>
        </w:rPr>
        <w:t>to campaign at local and national level for policies that strengthen, and take steps towards realising, the Westminster government’s commitment to a minimum 80% reduction in carbon emissions by 2050 and the interim goal of reducing carbon emissions by </w:t>
      </w:r>
      <w:r>
        <w:rPr>
          <w:spacing w:val="-3"/>
          <w:w w:val="120"/>
          <w:sz w:val="20"/>
        </w:rPr>
        <w:t>42% </w:t>
      </w:r>
      <w:r>
        <w:rPr>
          <w:w w:val="120"/>
          <w:sz w:val="20"/>
        </w:rPr>
        <w:t>as set by the Scottish</w:t>
      </w:r>
      <w:r>
        <w:rPr>
          <w:spacing w:val="40"/>
          <w:w w:val="120"/>
          <w:sz w:val="20"/>
        </w:rPr>
        <w:t> </w:t>
      </w:r>
      <w:r>
        <w:rPr>
          <w:w w:val="120"/>
          <w:sz w:val="20"/>
        </w:rPr>
        <w:t>Parliament;</w:t>
      </w:r>
    </w:p>
    <w:p>
      <w:pPr>
        <w:pStyle w:val="ListParagraph"/>
        <w:numPr>
          <w:ilvl w:val="0"/>
          <w:numId w:val="220"/>
        </w:numPr>
        <w:tabs>
          <w:tab w:pos="1287" w:val="left" w:leader="none"/>
          <w:tab w:pos="1288" w:val="left" w:leader="none"/>
        </w:tabs>
        <w:spacing w:line="235" w:lineRule="auto" w:before="3" w:after="0"/>
        <w:ind w:left="1287" w:right="2141" w:hanging="681"/>
        <w:jc w:val="left"/>
        <w:rPr>
          <w:sz w:val="20"/>
        </w:rPr>
      </w:pPr>
      <w:r>
        <w:rPr>
          <w:w w:val="120"/>
          <w:sz w:val="20"/>
        </w:rPr>
        <w:t>to ensure that its buildings are environment friendly through the use of energy- saving technologies and by identifying and using renewable sources of energy  as</w:t>
      </w:r>
      <w:r>
        <w:rPr>
          <w:spacing w:val="1"/>
          <w:w w:val="120"/>
          <w:sz w:val="20"/>
        </w:rPr>
        <w:t> </w:t>
      </w:r>
      <w:r>
        <w:rPr>
          <w:w w:val="120"/>
          <w:sz w:val="20"/>
        </w:rPr>
        <w:t>appropriate;</w:t>
      </w:r>
    </w:p>
    <w:p>
      <w:pPr>
        <w:pStyle w:val="ListParagraph"/>
        <w:numPr>
          <w:ilvl w:val="0"/>
          <w:numId w:val="220"/>
        </w:numPr>
        <w:tabs>
          <w:tab w:pos="1287" w:val="left" w:leader="none"/>
          <w:tab w:pos="1288" w:val="left" w:leader="none"/>
        </w:tabs>
        <w:spacing w:line="232" w:lineRule="auto" w:before="4" w:after="0"/>
        <w:ind w:left="1287" w:right="2050" w:hanging="681"/>
        <w:jc w:val="left"/>
        <w:rPr>
          <w:sz w:val="18"/>
        </w:rPr>
      </w:pPr>
      <w:r>
        <w:rPr>
          <w:w w:val="120"/>
          <w:sz w:val="20"/>
        </w:rPr>
        <w:t>to reduce, where practicable, car and air travel for meetings through the use of video conferencing. With due regard for distances and costs involved, individual members are encouraged to use transport with minimum impact – to cycle, use buses and trains, and car-share and use energy-efficient vehicles where possible. Members are also encouraged to adopt the practice of carbon off-setting with respect to essential travel by making payments supporting sustainable projects </w:t>
      </w:r>
      <w:r>
        <w:rPr>
          <w:spacing w:val="-5"/>
          <w:w w:val="120"/>
          <w:sz w:val="20"/>
        </w:rPr>
        <w:t>(e.g. </w:t>
      </w:r>
      <w:r>
        <w:rPr>
          <w:w w:val="120"/>
          <w:sz w:val="20"/>
        </w:rPr>
        <w:t>through Climate</w:t>
      </w:r>
      <w:r>
        <w:rPr>
          <w:spacing w:val="14"/>
          <w:w w:val="120"/>
          <w:sz w:val="20"/>
        </w:rPr>
        <w:t> </w:t>
      </w:r>
      <w:r>
        <w:rPr>
          <w:spacing w:val="-6"/>
          <w:w w:val="120"/>
          <w:sz w:val="20"/>
        </w:rPr>
        <w:t>Stewards);</w:t>
      </w:r>
      <w:r>
        <w:rPr>
          <w:spacing w:val="-6"/>
          <w:w w:val="120"/>
          <w:position w:val="4"/>
          <w:sz w:val="18"/>
        </w:rPr>
        <w:t>12</w:t>
      </w:r>
    </w:p>
    <w:p>
      <w:pPr>
        <w:pStyle w:val="ListParagraph"/>
        <w:numPr>
          <w:ilvl w:val="0"/>
          <w:numId w:val="220"/>
        </w:numPr>
        <w:tabs>
          <w:tab w:pos="1287" w:val="left" w:leader="none"/>
          <w:tab w:pos="1288" w:val="left" w:leader="none"/>
        </w:tabs>
        <w:spacing w:line="240" w:lineRule="exact" w:before="0" w:after="0"/>
        <w:ind w:left="1287" w:right="0" w:hanging="681"/>
        <w:jc w:val="left"/>
        <w:rPr>
          <w:sz w:val="20"/>
        </w:rPr>
      </w:pPr>
      <w:r>
        <w:rPr>
          <w:w w:val="120"/>
          <w:sz w:val="20"/>
        </w:rPr>
        <w:t>to promote an environmental</w:t>
      </w:r>
      <w:r>
        <w:rPr>
          <w:spacing w:val="8"/>
          <w:w w:val="120"/>
          <w:sz w:val="20"/>
        </w:rPr>
        <w:t> </w:t>
      </w:r>
      <w:r>
        <w:rPr>
          <w:w w:val="120"/>
          <w:sz w:val="20"/>
        </w:rPr>
        <w:t>theology.</w:t>
      </w:r>
    </w:p>
    <w:p>
      <w:pPr>
        <w:pStyle w:val="BodyText"/>
        <w:spacing w:before="7"/>
        <w:rPr>
          <w:sz w:val="19"/>
        </w:rPr>
      </w:pPr>
    </w:p>
    <w:p>
      <w:pPr>
        <w:pStyle w:val="ListParagraph"/>
        <w:numPr>
          <w:ilvl w:val="1"/>
          <w:numId w:val="215"/>
        </w:numPr>
        <w:tabs>
          <w:tab w:pos="975" w:val="left" w:leader="none"/>
        </w:tabs>
        <w:spacing w:line="235" w:lineRule="auto" w:before="1" w:after="0"/>
        <w:ind w:left="607" w:right="2617" w:firstLine="0"/>
        <w:jc w:val="left"/>
        <w:rPr>
          <w:sz w:val="20"/>
        </w:rPr>
      </w:pPr>
      <w:r>
        <w:rPr>
          <w:w w:val="120"/>
          <w:sz w:val="20"/>
        </w:rPr>
        <w:t>Assembly also encourages URC </w:t>
      </w:r>
      <w:r>
        <w:rPr>
          <w:spacing w:val="-3"/>
          <w:w w:val="120"/>
          <w:sz w:val="20"/>
        </w:rPr>
        <w:t>Youth </w:t>
      </w:r>
      <w:r>
        <w:rPr>
          <w:w w:val="120"/>
          <w:sz w:val="20"/>
        </w:rPr>
        <w:t>to develop a strategy responding to the challenge of climate</w:t>
      </w:r>
      <w:r>
        <w:rPr>
          <w:spacing w:val="6"/>
          <w:w w:val="120"/>
          <w:sz w:val="20"/>
        </w:rPr>
        <w:t> </w:t>
      </w:r>
      <w:r>
        <w:rPr>
          <w:w w:val="120"/>
          <w:sz w:val="20"/>
        </w:rPr>
        <w:t>change.</w:t>
      </w:r>
    </w:p>
    <w:p>
      <w:pPr>
        <w:pStyle w:val="BodyText"/>
        <w:spacing w:before="1"/>
        <w:rPr>
          <w:sz w:val="22"/>
        </w:rPr>
      </w:pPr>
    </w:p>
    <w:p>
      <w:pPr>
        <w:spacing w:before="0"/>
        <w:ind w:left="607" w:right="0" w:firstLine="0"/>
        <w:jc w:val="left"/>
        <w:rPr>
          <w:rFonts w:ascii="Stone Sans II ITC Std Bk"/>
          <w:b/>
          <w:sz w:val="29"/>
        </w:rPr>
      </w:pPr>
      <w:r>
        <w:rPr>
          <w:rFonts w:ascii="Stone Sans II ITC Std Bk"/>
          <w:b/>
          <w:w w:val="110"/>
          <w:sz w:val="29"/>
        </w:rPr>
        <w:t>Resources</w:t>
      </w:r>
    </w:p>
    <w:p>
      <w:pPr>
        <w:pStyle w:val="BodyText"/>
        <w:tabs>
          <w:tab w:pos="1287" w:val="left" w:leader="none"/>
        </w:tabs>
        <w:spacing w:line="212" w:lineRule="exact" w:before="66"/>
        <w:ind w:left="607"/>
      </w:pPr>
      <w:r>
        <w:rPr>
          <w:spacing w:val="-7"/>
          <w:w w:val="120"/>
        </w:rPr>
        <w:t>6.1</w:t>
        <w:tab/>
      </w:r>
      <w:r>
        <w:rPr>
          <w:w w:val="120"/>
        </w:rPr>
        <w:t>We recognise and</w:t>
      </w:r>
      <w:r>
        <w:rPr>
          <w:spacing w:val="6"/>
          <w:w w:val="120"/>
        </w:rPr>
        <w:t> </w:t>
      </w:r>
      <w:r>
        <w:rPr>
          <w:w w:val="120"/>
        </w:rPr>
        <w:t>commend:</w:t>
      </w:r>
    </w:p>
    <w:p>
      <w:pPr>
        <w:pStyle w:val="ListParagraph"/>
        <w:numPr>
          <w:ilvl w:val="0"/>
          <w:numId w:val="221"/>
        </w:numPr>
        <w:tabs>
          <w:tab w:pos="1287" w:val="left" w:leader="none"/>
          <w:tab w:pos="1288" w:val="left" w:leader="none"/>
        </w:tabs>
        <w:spacing w:line="196" w:lineRule="auto" w:before="12" w:after="0"/>
        <w:ind w:left="1287" w:right="2567" w:hanging="681"/>
        <w:jc w:val="left"/>
        <w:rPr>
          <w:sz w:val="20"/>
        </w:rPr>
      </w:pPr>
      <w:r>
        <w:rPr>
          <w:w w:val="120"/>
          <w:sz w:val="20"/>
        </w:rPr>
        <w:t>Eco-Church, which provides an environmental toolkit and support network for local churches in England and Wales:</w:t>
      </w:r>
      <w:r>
        <w:rPr>
          <w:spacing w:val="44"/>
          <w:w w:val="120"/>
          <w:sz w:val="20"/>
        </w:rPr>
        <w:t> </w:t>
      </w:r>
      <w:hyperlink r:id="rId503">
        <w:r>
          <w:rPr>
            <w:color w:val="006AB3"/>
            <w:w w:val="120"/>
            <w:sz w:val="20"/>
          </w:rPr>
          <w:t>www.ecochurch.arocha.org.uk</w:t>
        </w:r>
      </w:hyperlink>
      <w:r>
        <w:rPr>
          <w:w w:val="120"/>
          <w:sz w:val="20"/>
        </w:rPr>
        <w:t>.</w:t>
      </w:r>
    </w:p>
    <w:p>
      <w:pPr>
        <w:pStyle w:val="BodyText"/>
        <w:spacing w:line="235" w:lineRule="auto" w:before="8"/>
        <w:ind w:left="1287" w:right="2045"/>
      </w:pPr>
      <w:r>
        <w:rPr>
          <w:w w:val="120"/>
        </w:rPr>
        <w:t>In Scotland, this scheme is referred to as Eco-Congregation: </w:t>
      </w:r>
      <w:hyperlink r:id="rId507">
        <w:r>
          <w:rPr>
            <w:color w:val="006AB3"/>
            <w:w w:val="120"/>
          </w:rPr>
          <w:t>http://www.ecocongregationscotland.org</w:t>
        </w:r>
      </w:hyperlink>
      <w:r>
        <w:rPr>
          <w:w w:val="120"/>
        </w:rPr>
        <w:t>.</w:t>
      </w:r>
    </w:p>
    <w:p>
      <w:pPr>
        <w:pStyle w:val="ListParagraph"/>
        <w:numPr>
          <w:ilvl w:val="0"/>
          <w:numId w:val="221"/>
        </w:numPr>
        <w:tabs>
          <w:tab w:pos="1287" w:val="left" w:leader="none"/>
          <w:tab w:pos="1288" w:val="left" w:leader="none"/>
        </w:tabs>
        <w:spacing w:line="234" w:lineRule="exact" w:before="0" w:after="0"/>
        <w:ind w:left="1287" w:right="0" w:hanging="681"/>
        <w:jc w:val="left"/>
        <w:rPr>
          <w:sz w:val="20"/>
        </w:rPr>
      </w:pPr>
      <w:r>
        <w:rPr>
          <w:w w:val="120"/>
          <w:sz w:val="20"/>
        </w:rPr>
        <w:t>Operation Noah:</w:t>
      </w:r>
      <w:r>
        <w:rPr>
          <w:spacing w:val="4"/>
          <w:w w:val="120"/>
          <w:sz w:val="20"/>
        </w:rPr>
        <w:t> </w:t>
      </w:r>
      <w:hyperlink r:id="rId508">
        <w:r>
          <w:rPr>
            <w:color w:val="006AB3"/>
            <w:w w:val="120"/>
            <w:sz w:val="20"/>
          </w:rPr>
          <w:t>http://operationnoah.org</w:t>
        </w:r>
      </w:hyperlink>
      <w:r>
        <w:rPr>
          <w:w w:val="120"/>
          <w:sz w:val="20"/>
        </w:rPr>
        <w:t>;</w:t>
      </w:r>
    </w:p>
    <w:p>
      <w:pPr>
        <w:pStyle w:val="ListParagraph"/>
        <w:numPr>
          <w:ilvl w:val="0"/>
          <w:numId w:val="221"/>
        </w:numPr>
        <w:tabs>
          <w:tab w:pos="1287" w:val="left" w:leader="none"/>
          <w:tab w:pos="1288" w:val="left" w:leader="none"/>
        </w:tabs>
        <w:spacing w:line="196" w:lineRule="auto" w:before="0" w:after="0"/>
        <w:ind w:left="1287" w:right="2325" w:hanging="681"/>
        <w:jc w:val="left"/>
        <w:rPr>
          <w:sz w:val="20"/>
        </w:rPr>
      </w:pPr>
      <w:r>
        <w:rPr>
          <w:w w:val="120"/>
          <w:sz w:val="20"/>
        </w:rPr>
        <w:t>Green Christian (formerly Christian Ecology </w:t>
      </w:r>
      <w:r>
        <w:rPr>
          <w:spacing w:val="-3"/>
          <w:w w:val="120"/>
          <w:sz w:val="20"/>
        </w:rPr>
        <w:t>Link): </w:t>
      </w:r>
      <w:hyperlink r:id="rId509">
        <w:r>
          <w:rPr>
            <w:color w:val="006AB3"/>
            <w:w w:val="120"/>
            <w:sz w:val="20"/>
          </w:rPr>
          <w:t>http://www.greenchristian.</w:t>
        </w:r>
      </w:hyperlink>
      <w:hyperlink r:id="rId509">
        <w:r>
          <w:rPr>
            <w:color w:val="006AB3"/>
            <w:w w:val="120"/>
            <w:sz w:val="20"/>
          </w:rPr>
          <w:t> org.uk</w:t>
        </w:r>
      </w:hyperlink>
      <w:r>
        <w:rPr>
          <w:w w:val="120"/>
          <w:sz w:val="20"/>
        </w:rPr>
        <w:t>;</w:t>
      </w:r>
    </w:p>
    <w:p>
      <w:pPr>
        <w:pStyle w:val="ListParagraph"/>
        <w:numPr>
          <w:ilvl w:val="0"/>
          <w:numId w:val="221"/>
        </w:numPr>
        <w:tabs>
          <w:tab w:pos="1287" w:val="left" w:leader="none"/>
          <w:tab w:pos="1288" w:val="left" w:leader="none"/>
        </w:tabs>
        <w:spacing w:line="241" w:lineRule="exact" w:before="0" w:after="0"/>
        <w:ind w:left="1287" w:right="0" w:hanging="681"/>
        <w:jc w:val="left"/>
        <w:rPr>
          <w:sz w:val="20"/>
        </w:rPr>
      </w:pPr>
      <w:r>
        <w:rPr>
          <w:w w:val="120"/>
          <w:sz w:val="20"/>
        </w:rPr>
        <w:t>A Rocha:</w:t>
      </w:r>
      <w:r>
        <w:rPr>
          <w:spacing w:val="3"/>
          <w:w w:val="120"/>
          <w:sz w:val="20"/>
        </w:rPr>
        <w:t> </w:t>
      </w:r>
      <w:hyperlink r:id="rId510">
        <w:r>
          <w:rPr>
            <w:color w:val="006AB3"/>
            <w:w w:val="120"/>
            <w:sz w:val="20"/>
          </w:rPr>
          <w:t>http://arocha.org.uk</w:t>
        </w:r>
      </w:hyperlink>
      <w:r>
        <w:rPr>
          <w:w w:val="120"/>
          <w:sz w:val="20"/>
        </w:rPr>
        <w:t>;</w:t>
      </w:r>
    </w:p>
    <w:p>
      <w:pPr>
        <w:pStyle w:val="ListParagraph"/>
        <w:numPr>
          <w:ilvl w:val="0"/>
          <w:numId w:val="221"/>
        </w:numPr>
        <w:tabs>
          <w:tab w:pos="1287" w:val="left" w:leader="none"/>
          <w:tab w:pos="1288" w:val="left" w:leader="none"/>
        </w:tabs>
        <w:spacing w:line="240" w:lineRule="exact" w:before="0" w:after="0"/>
        <w:ind w:left="1287" w:right="0" w:hanging="681"/>
        <w:jc w:val="left"/>
        <w:rPr>
          <w:sz w:val="20"/>
        </w:rPr>
      </w:pPr>
      <w:r>
        <w:rPr>
          <w:w w:val="120"/>
          <w:sz w:val="20"/>
        </w:rPr>
        <w:t>Climate Stewards:</w:t>
      </w:r>
      <w:r>
        <w:rPr>
          <w:spacing w:val="3"/>
          <w:w w:val="120"/>
          <w:sz w:val="20"/>
        </w:rPr>
        <w:t> </w:t>
      </w:r>
      <w:hyperlink r:id="rId511">
        <w:r>
          <w:rPr>
            <w:color w:val="006AB3"/>
            <w:w w:val="120"/>
            <w:sz w:val="20"/>
          </w:rPr>
          <w:t>www.climatestewards.org</w:t>
        </w:r>
      </w:hyperlink>
      <w:r>
        <w:rPr>
          <w:w w:val="120"/>
          <w:sz w:val="20"/>
        </w:rPr>
        <w:t>;</w:t>
      </w:r>
    </w:p>
    <w:p>
      <w:pPr>
        <w:pStyle w:val="ListParagraph"/>
        <w:numPr>
          <w:ilvl w:val="0"/>
          <w:numId w:val="221"/>
        </w:numPr>
        <w:tabs>
          <w:tab w:pos="1287" w:val="left" w:leader="none"/>
          <w:tab w:pos="1288" w:val="left" w:leader="none"/>
        </w:tabs>
        <w:spacing w:line="196" w:lineRule="auto" w:before="0" w:after="0"/>
        <w:ind w:left="1287" w:right="2000" w:hanging="681"/>
        <w:jc w:val="left"/>
        <w:rPr>
          <w:sz w:val="20"/>
        </w:rPr>
      </w:pPr>
      <w:r>
        <w:rPr>
          <w:w w:val="120"/>
          <w:sz w:val="20"/>
        </w:rPr>
        <w:t>‘Time for Creation’ (World Council of </w:t>
      </w:r>
      <w:r>
        <w:rPr>
          <w:spacing w:val="-3"/>
          <w:w w:val="120"/>
          <w:sz w:val="20"/>
        </w:rPr>
        <w:t>Churches): </w:t>
      </w:r>
      <w:hyperlink r:id="rId505">
        <w:r>
          <w:rPr>
            <w:color w:val="006AB3"/>
            <w:w w:val="120"/>
            <w:sz w:val="20"/>
          </w:rPr>
          <w:t>http://www.oikoumene.org/en/</w:t>
        </w:r>
      </w:hyperlink>
      <w:hyperlink r:id="rId505">
        <w:r>
          <w:rPr>
            <w:color w:val="006AB3"/>
            <w:w w:val="120"/>
            <w:sz w:val="20"/>
          </w:rPr>
          <w:t> what-we-do/climate-change/time-for-creation</w:t>
        </w:r>
      </w:hyperlink>
      <w:r>
        <w:rPr>
          <w:w w:val="120"/>
          <w:sz w:val="20"/>
        </w:rPr>
        <w:t>.</w:t>
      </w:r>
    </w:p>
    <w:p>
      <w:pPr>
        <w:pStyle w:val="ListParagraph"/>
        <w:numPr>
          <w:ilvl w:val="0"/>
          <w:numId w:val="221"/>
        </w:numPr>
        <w:tabs>
          <w:tab w:pos="1287" w:val="left" w:leader="none"/>
          <w:tab w:pos="1288" w:val="left" w:leader="none"/>
        </w:tabs>
        <w:spacing w:line="196" w:lineRule="auto" w:before="0" w:after="0"/>
        <w:ind w:left="1287" w:right="2801" w:hanging="681"/>
        <w:jc w:val="left"/>
        <w:rPr>
          <w:sz w:val="20"/>
        </w:rPr>
      </w:pPr>
      <w:r>
        <w:rPr>
          <w:i/>
          <w:w w:val="120"/>
          <w:sz w:val="20"/>
        </w:rPr>
        <w:t>Greening Church Buildings </w:t>
      </w:r>
      <w:r>
        <w:rPr>
          <w:w w:val="120"/>
          <w:sz w:val="20"/>
        </w:rPr>
        <w:t>(Eco-Congregation Scotland):</w:t>
      </w:r>
      <w:hyperlink r:id="rId504">
        <w:r>
          <w:rPr>
            <w:color w:val="006AB3"/>
            <w:w w:val="120"/>
            <w:sz w:val="20"/>
          </w:rPr>
          <w:t> </w:t>
        </w:r>
        <w:r>
          <w:rPr>
            <w:color w:val="006AB3"/>
            <w:spacing w:val="-1"/>
            <w:w w:val="120"/>
            <w:sz w:val="20"/>
          </w:rPr>
          <w:t>http://</w:t>
        </w:r>
        <w:bookmarkStart w:name="_GoBack" w:id="22"/>
        <w:bookmarkEnd w:id="22"/>
        <w:r>
          <w:rPr>
            <w:color w:val="006AB3"/>
            <w:spacing w:val="-1"/>
            <w:w w:val="120"/>
            <w:sz w:val="20"/>
          </w:rPr>
          <w:t>w</w:t>
        </w:r>
        <w:r>
          <w:rPr>
            <w:color w:val="006AB3"/>
            <w:spacing w:val="-1"/>
            <w:w w:val="120"/>
            <w:sz w:val="20"/>
          </w:rPr>
          <w:t>ww.ecocongregationscotland.org/wp-content/uploads/2012/11/</w:t>
        </w:r>
      </w:hyperlink>
    </w:p>
    <w:p>
      <w:pPr>
        <w:pStyle w:val="BodyText"/>
        <w:spacing w:line="212" w:lineRule="exact"/>
        <w:ind w:left="1287"/>
      </w:pPr>
      <w:hyperlink r:id="rId504">
        <w:r>
          <w:rPr>
            <w:color w:val="006AB3"/>
            <w:w w:val="125"/>
          </w:rPr>
          <w:t>Greening-Church-Buildings.pdf</w:t>
        </w:r>
      </w:hyperlink>
      <w:r>
        <w:rPr>
          <w:w w:val="125"/>
        </w:rPr>
        <w:t>;</w:t>
      </w:r>
    </w:p>
    <w:p>
      <w:pPr>
        <w:pStyle w:val="ListParagraph"/>
        <w:numPr>
          <w:ilvl w:val="0"/>
          <w:numId w:val="221"/>
        </w:numPr>
        <w:tabs>
          <w:tab w:pos="1287" w:val="left" w:leader="none"/>
          <w:tab w:pos="1288" w:val="left" w:leader="none"/>
        </w:tabs>
        <w:spacing w:line="213" w:lineRule="auto" w:before="0" w:after="0"/>
        <w:ind w:left="1287" w:right="2063" w:hanging="681"/>
        <w:jc w:val="left"/>
        <w:rPr>
          <w:sz w:val="20"/>
        </w:rPr>
      </w:pPr>
      <w:r>
        <w:rPr>
          <w:i/>
          <w:w w:val="120"/>
          <w:sz w:val="20"/>
        </w:rPr>
        <w:t>Hope</w:t>
      </w:r>
      <w:r>
        <w:rPr>
          <w:i/>
          <w:spacing w:val="-31"/>
          <w:w w:val="120"/>
          <w:sz w:val="20"/>
        </w:rPr>
        <w:t> </w:t>
      </w:r>
      <w:r>
        <w:rPr>
          <w:i/>
          <w:w w:val="120"/>
          <w:sz w:val="20"/>
        </w:rPr>
        <w:t>in</w:t>
      </w:r>
      <w:r>
        <w:rPr>
          <w:i/>
          <w:spacing w:val="-31"/>
          <w:w w:val="120"/>
          <w:sz w:val="20"/>
        </w:rPr>
        <w:t> </w:t>
      </w:r>
      <w:r>
        <w:rPr>
          <w:i/>
          <w:spacing w:val="-3"/>
          <w:w w:val="120"/>
          <w:sz w:val="20"/>
        </w:rPr>
        <w:t>God’s</w:t>
      </w:r>
      <w:r>
        <w:rPr>
          <w:i/>
          <w:spacing w:val="-31"/>
          <w:w w:val="120"/>
          <w:sz w:val="20"/>
        </w:rPr>
        <w:t> </w:t>
      </w:r>
      <w:r>
        <w:rPr>
          <w:i/>
          <w:w w:val="120"/>
          <w:sz w:val="20"/>
        </w:rPr>
        <w:t>Future:</w:t>
      </w:r>
      <w:r>
        <w:rPr>
          <w:i/>
          <w:spacing w:val="-31"/>
          <w:w w:val="120"/>
          <w:sz w:val="20"/>
        </w:rPr>
        <w:t> </w:t>
      </w:r>
      <w:r>
        <w:rPr>
          <w:i/>
          <w:w w:val="120"/>
          <w:sz w:val="20"/>
        </w:rPr>
        <w:t>Christian</w:t>
      </w:r>
      <w:r>
        <w:rPr>
          <w:i/>
          <w:spacing w:val="-31"/>
          <w:w w:val="120"/>
          <w:sz w:val="20"/>
        </w:rPr>
        <w:t> </w:t>
      </w:r>
      <w:r>
        <w:rPr>
          <w:i/>
          <w:w w:val="120"/>
          <w:sz w:val="20"/>
        </w:rPr>
        <w:t>Discipleship</w:t>
      </w:r>
      <w:r>
        <w:rPr>
          <w:i/>
          <w:spacing w:val="-31"/>
          <w:w w:val="120"/>
          <w:sz w:val="20"/>
        </w:rPr>
        <w:t> </w:t>
      </w:r>
      <w:r>
        <w:rPr>
          <w:i/>
          <w:w w:val="120"/>
          <w:sz w:val="20"/>
        </w:rPr>
        <w:t>in</w:t>
      </w:r>
      <w:r>
        <w:rPr>
          <w:i/>
          <w:spacing w:val="-31"/>
          <w:w w:val="120"/>
          <w:sz w:val="20"/>
        </w:rPr>
        <w:t> </w:t>
      </w:r>
      <w:r>
        <w:rPr>
          <w:i/>
          <w:w w:val="120"/>
          <w:sz w:val="20"/>
        </w:rPr>
        <w:t>the</w:t>
      </w:r>
      <w:r>
        <w:rPr>
          <w:i/>
          <w:spacing w:val="-31"/>
          <w:w w:val="120"/>
          <w:sz w:val="20"/>
        </w:rPr>
        <w:t> </w:t>
      </w:r>
      <w:r>
        <w:rPr>
          <w:i/>
          <w:w w:val="120"/>
          <w:sz w:val="20"/>
        </w:rPr>
        <w:t>Context</w:t>
      </w:r>
      <w:r>
        <w:rPr>
          <w:i/>
          <w:spacing w:val="-31"/>
          <w:w w:val="120"/>
          <w:sz w:val="20"/>
        </w:rPr>
        <w:t> </w:t>
      </w:r>
      <w:r>
        <w:rPr>
          <w:i/>
          <w:w w:val="120"/>
          <w:sz w:val="20"/>
        </w:rPr>
        <w:t>of</w:t>
      </w:r>
      <w:r>
        <w:rPr>
          <w:i/>
          <w:spacing w:val="-31"/>
          <w:w w:val="120"/>
          <w:sz w:val="20"/>
        </w:rPr>
        <w:t> </w:t>
      </w:r>
      <w:r>
        <w:rPr>
          <w:i/>
          <w:w w:val="120"/>
          <w:sz w:val="20"/>
        </w:rPr>
        <w:t>Climate</w:t>
      </w:r>
      <w:r>
        <w:rPr>
          <w:i/>
          <w:spacing w:val="-31"/>
          <w:w w:val="120"/>
          <w:sz w:val="20"/>
        </w:rPr>
        <w:t> </w:t>
      </w:r>
      <w:r>
        <w:rPr>
          <w:i/>
          <w:w w:val="120"/>
          <w:sz w:val="20"/>
        </w:rPr>
        <w:t>Change</w:t>
      </w:r>
      <w:r>
        <w:rPr>
          <w:i/>
          <w:spacing w:val="-31"/>
          <w:w w:val="120"/>
          <w:sz w:val="20"/>
        </w:rPr>
        <w:t> </w:t>
      </w:r>
      <w:r>
        <w:rPr>
          <w:w w:val="120"/>
          <w:sz w:val="20"/>
        </w:rPr>
        <w:t>–</w:t>
      </w:r>
      <w:r>
        <w:rPr>
          <w:spacing w:val="-29"/>
          <w:w w:val="120"/>
          <w:sz w:val="20"/>
        </w:rPr>
        <w:t> </w:t>
      </w:r>
      <w:r>
        <w:rPr>
          <w:spacing w:val="2"/>
          <w:w w:val="120"/>
          <w:sz w:val="20"/>
        </w:rPr>
        <w:t>report </w:t>
      </w:r>
      <w:r>
        <w:rPr>
          <w:w w:val="120"/>
          <w:sz w:val="20"/>
        </w:rPr>
        <w:t>of a joint working group on climate change and theology convened by the  Baptist Union of Great Britain, the Methodist Church and the United</w:t>
      </w:r>
      <w:r>
        <w:rPr>
          <w:spacing w:val="24"/>
          <w:w w:val="120"/>
          <w:sz w:val="20"/>
        </w:rPr>
        <w:t> </w:t>
      </w:r>
      <w:r>
        <w:rPr>
          <w:w w:val="120"/>
          <w:sz w:val="20"/>
        </w:rPr>
        <w:t>Reformed</w:t>
      </w:r>
    </w:p>
    <w:p>
      <w:pPr>
        <w:pStyle w:val="BodyText"/>
        <w:spacing w:line="212" w:lineRule="exact"/>
        <w:ind w:left="1287"/>
      </w:pPr>
      <w:r>
        <w:rPr>
          <w:w w:val="125"/>
        </w:rPr>
        <w:t>Church (Peterborough: Methodist Publishing, 2009);</w:t>
      </w:r>
    </w:p>
    <w:p>
      <w:pPr>
        <w:pStyle w:val="ListParagraph"/>
        <w:numPr>
          <w:ilvl w:val="0"/>
          <w:numId w:val="221"/>
        </w:numPr>
        <w:tabs>
          <w:tab w:pos="1287" w:val="left" w:leader="none"/>
          <w:tab w:pos="1288" w:val="left" w:leader="none"/>
        </w:tabs>
        <w:spacing w:line="265" w:lineRule="exact" w:before="0" w:after="0"/>
        <w:ind w:left="1287" w:right="0" w:hanging="681"/>
        <w:jc w:val="left"/>
        <w:rPr>
          <w:sz w:val="20"/>
        </w:rPr>
      </w:pPr>
      <w:r>
        <w:rPr>
          <w:w w:val="120"/>
          <w:sz w:val="20"/>
        </w:rPr>
        <w:t>Laudato </w:t>
      </w:r>
      <w:r>
        <w:rPr>
          <w:spacing w:val="-6"/>
          <w:w w:val="120"/>
          <w:sz w:val="20"/>
        </w:rPr>
        <w:t>si’, </w:t>
      </w:r>
      <w:r>
        <w:rPr>
          <w:w w:val="120"/>
          <w:sz w:val="20"/>
        </w:rPr>
        <w:t>the encyclical of Pope Francis</w:t>
      </w:r>
      <w:r>
        <w:rPr>
          <w:spacing w:val="24"/>
          <w:w w:val="120"/>
          <w:sz w:val="20"/>
        </w:rPr>
        <w:t> </w:t>
      </w:r>
      <w:r>
        <w:rPr>
          <w:spacing w:val="-7"/>
          <w:w w:val="120"/>
          <w:sz w:val="20"/>
        </w:rPr>
        <w:t>(2015);</w:t>
      </w:r>
    </w:p>
    <w:p>
      <w:pPr>
        <w:pStyle w:val="ListParagraph"/>
        <w:numPr>
          <w:ilvl w:val="0"/>
          <w:numId w:val="221"/>
        </w:numPr>
        <w:tabs>
          <w:tab w:pos="1287" w:val="left" w:leader="none"/>
          <w:tab w:pos="1288" w:val="left" w:leader="none"/>
        </w:tabs>
        <w:spacing w:line="271" w:lineRule="exact" w:before="0" w:after="0"/>
        <w:ind w:left="1287" w:right="0" w:hanging="681"/>
        <w:jc w:val="left"/>
        <w:rPr>
          <w:i/>
          <w:sz w:val="20"/>
        </w:rPr>
      </w:pPr>
      <w:r>
        <w:rPr>
          <w:w w:val="115"/>
          <w:sz w:val="20"/>
        </w:rPr>
        <w:t>Nick Spencer &amp; </w:t>
      </w:r>
      <w:r>
        <w:rPr>
          <w:spacing w:val="2"/>
          <w:w w:val="115"/>
          <w:sz w:val="20"/>
        </w:rPr>
        <w:t>Robert </w:t>
      </w:r>
      <w:r>
        <w:rPr>
          <w:w w:val="115"/>
          <w:sz w:val="20"/>
        </w:rPr>
        <w:t>White, </w:t>
      </w:r>
      <w:r>
        <w:rPr>
          <w:i/>
          <w:w w:val="115"/>
          <w:sz w:val="20"/>
        </w:rPr>
        <w:t>Christianity, Climate Change and Sustainable</w:t>
      </w:r>
      <w:r>
        <w:rPr>
          <w:i/>
          <w:spacing w:val="35"/>
          <w:w w:val="115"/>
          <w:sz w:val="20"/>
        </w:rPr>
        <w:t> </w:t>
      </w:r>
      <w:r>
        <w:rPr>
          <w:i/>
          <w:w w:val="115"/>
          <w:sz w:val="20"/>
        </w:rPr>
        <w:t>Living</w:t>
      </w:r>
    </w:p>
    <w:p>
      <w:pPr>
        <w:pStyle w:val="BodyText"/>
        <w:spacing w:line="184" w:lineRule="exact"/>
        <w:ind w:left="1287"/>
      </w:pPr>
      <w:r>
        <w:rPr>
          <w:w w:val="125"/>
        </w:rPr>
        <w:t>(London: SPCK, 2007);</w:t>
      </w:r>
    </w:p>
    <w:p>
      <w:pPr>
        <w:pStyle w:val="ListParagraph"/>
        <w:numPr>
          <w:ilvl w:val="0"/>
          <w:numId w:val="221"/>
        </w:numPr>
        <w:tabs>
          <w:tab w:pos="1287" w:val="left" w:leader="none"/>
          <w:tab w:pos="1288" w:val="left" w:leader="none"/>
        </w:tabs>
        <w:spacing w:line="196" w:lineRule="auto" w:before="0" w:after="0"/>
        <w:ind w:left="1287" w:right="2309" w:hanging="681"/>
        <w:jc w:val="left"/>
        <w:rPr>
          <w:sz w:val="20"/>
        </w:rPr>
      </w:pPr>
      <w:r>
        <w:rPr>
          <w:w w:val="120"/>
          <w:sz w:val="20"/>
        </w:rPr>
        <w:t>the promotion of links with transition towns, etc: </w:t>
      </w:r>
      <w:hyperlink r:id="rId512">
        <w:r>
          <w:rPr>
            <w:color w:val="006AB3"/>
            <w:w w:val="120"/>
            <w:sz w:val="20"/>
          </w:rPr>
          <w:t>www.greenchristian.org.uk/</w:t>
        </w:r>
      </w:hyperlink>
      <w:hyperlink r:id="rId512">
        <w:r>
          <w:rPr>
            <w:color w:val="006AB3"/>
            <w:w w:val="120"/>
            <w:sz w:val="20"/>
          </w:rPr>
          <w:t> churches-in-transition</w:t>
        </w:r>
      </w:hyperlink>
      <w:r>
        <w:rPr>
          <w:w w:val="120"/>
          <w:sz w:val="20"/>
        </w:rPr>
        <w:t>.</w:t>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3"/>
        <w:rPr>
          <w:sz w:val="23"/>
        </w:rPr>
      </w:pPr>
      <w:r>
        <w:rPr/>
        <w:pict>
          <v:shape style="position:absolute;margin-left:62.362202pt;margin-top:16.670113pt;width:72pt;height:.1pt;mso-position-horizontal-relative:page;mso-position-vertical-relative:paragraph;z-index:-251152384;mso-wrap-distance-left:0;mso-wrap-distance-right:0" coordorigin="1247,333" coordsize="1440,0" path="m1247,333l2687,333e" filled="false" stroked="true" strokeweight="1pt" strokecolor="#000000">
            <v:path arrowok="t"/>
            <v:stroke dashstyle="solid"/>
            <w10:wrap type="topAndBottom"/>
          </v:shape>
        </w:pict>
      </w:r>
    </w:p>
    <w:p>
      <w:pPr>
        <w:pStyle w:val="ListParagraph"/>
        <w:numPr>
          <w:ilvl w:val="0"/>
          <w:numId w:val="219"/>
        </w:numPr>
        <w:tabs>
          <w:tab w:pos="1112" w:val="left" w:leader="none"/>
          <w:tab w:pos="1113" w:val="left" w:leader="none"/>
        </w:tabs>
        <w:spacing w:line="240" w:lineRule="auto" w:before="9" w:after="0"/>
        <w:ind w:left="1112" w:right="0" w:hanging="506"/>
        <w:jc w:val="left"/>
        <w:rPr>
          <w:sz w:val="18"/>
        </w:rPr>
      </w:pPr>
      <w:hyperlink r:id="rId511">
        <w:r>
          <w:rPr>
            <w:color w:val="006AB3"/>
            <w:w w:val="120"/>
            <w:sz w:val="18"/>
          </w:rPr>
          <w:t>http://www.climatestewards.org</w:t>
        </w:r>
      </w:hyperlink>
      <w:r>
        <w:rPr>
          <w:w w:val="120"/>
          <w:sz w:val="18"/>
        </w:rPr>
        <w:t>.</w:t>
      </w:r>
    </w:p>
    <w:p>
      <w:pPr>
        <w:spacing w:after="0" w:line="240" w:lineRule="auto"/>
        <w:jc w:val="left"/>
        <w:rPr>
          <w:sz w:val="18"/>
        </w:rPr>
        <w:sectPr>
          <w:headerReference w:type="even" r:id="rId506"/>
          <w:pgSz w:w="11910" w:h="16840"/>
          <w:pgMar w:header="0" w:footer="647" w:top="0" w:bottom="840" w:left="640" w:right="0"/>
        </w:sectPr>
      </w:pPr>
    </w:p>
    <w:p>
      <w:pPr>
        <w:pStyle w:val="BodyText"/>
      </w:pPr>
      <w:r>
        <w:rPr/>
        <w:pict>
          <v:rect style="position:absolute;margin-left:1.417pt;margin-top:.000015pt;width:547.79pt;height:841.89pt;mso-position-horizontal-relative:page;mso-position-vertical-relative:page;z-index:-267602944" filled="true" fillcolor="#d4e9f7" stroked="false">
            <v:fill type="solid"/>
            <w10:wrap type="none"/>
          </v:rect>
        </w:pict>
      </w:r>
      <w:r>
        <w:rPr/>
        <w:drawing>
          <wp:anchor distT="0" distB="0" distL="0" distR="0" allowOverlap="1" layoutInCell="1" locked="0" behindDoc="0" simplePos="0" relativeHeight="252168192">
            <wp:simplePos x="0" y="0"/>
            <wp:positionH relativeFrom="page">
              <wp:posOffset>6974928</wp:posOffset>
            </wp:positionH>
            <wp:positionV relativeFrom="page">
              <wp:posOffset>0</wp:posOffset>
            </wp:positionV>
            <wp:extent cx="585063" cy="10692003"/>
            <wp:effectExtent l="0" t="0" r="0" b="0"/>
            <wp:wrapNone/>
            <wp:docPr id="363" name="image54.png"/>
            <wp:cNvGraphicFramePr>
              <a:graphicFrameLocks noChangeAspect="1"/>
            </wp:cNvGraphicFramePr>
            <a:graphic>
              <a:graphicData uri="http://schemas.openxmlformats.org/drawingml/2006/picture">
                <pic:pic>
                  <pic:nvPicPr>
                    <pic:cNvPr id="364" name="image54.png"/>
                    <pic:cNvPicPr/>
                  </pic:nvPicPr>
                  <pic:blipFill>
                    <a:blip r:embed="rId169" cstate="print"/>
                    <a:stretch>
                      <a:fillRect/>
                    </a:stretch>
                  </pic:blipFill>
                  <pic:spPr>
                    <a:xfrm>
                      <a:off x="0" y="0"/>
                      <a:ext cx="585063" cy="10692003"/>
                    </a:xfrm>
                    <a:prstGeom prst="rect">
                      <a:avLst/>
                    </a:prstGeom>
                  </pic:spPr>
                </pic:pic>
              </a:graphicData>
            </a:graphic>
          </wp:anchor>
        </w:drawing>
      </w:r>
    </w:p>
    <w:p>
      <w:pPr>
        <w:pStyle w:val="BodyText"/>
      </w:pPr>
    </w:p>
    <w:p>
      <w:pPr>
        <w:pStyle w:val="BodyText"/>
      </w:pPr>
    </w:p>
    <w:p>
      <w:pPr>
        <w:pStyle w:val="BodyText"/>
        <w:spacing w:before="5"/>
        <w:rPr>
          <w:sz w:val="28"/>
        </w:rPr>
      </w:pPr>
    </w:p>
    <w:p>
      <w:pPr>
        <w:spacing w:line="638" w:lineRule="exact" w:before="97"/>
        <w:ind w:left="1103" w:right="0" w:firstLine="0"/>
        <w:jc w:val="left"/>
        <w:rPr>
          <w:rFonts w:ascii="Stone Sans II ITC Std X Bd"/>
          <w:b/>
          <w:sz w:val="50"/>
        </w:rPr>
      </w:pPr>
      <w:r>
        <w:rPr/>
        <w:pict>
          <v:shape style="position:absolute;margin-left:554.141174pt;margin-top:-5.998084pt;width:25.9pt;height:393.4pt;mso-position-horizontal-relative:page;mso-position-vertical-relative:paragraph;z-index:252169216" type="#_x0000_t202" filled="false" stroked="false">
            <v:textbox inset="0,0,0,0" style="layout-flow:vertical">
              <w:txbxContent>
                <w:p>
                  <w:pPr>
                    <w:spacing w:before="27"/>
                    <w:ind w:left="20" w:right="0" w:firstLine="0"/>
                    <w:jc w:val="left"/>
                    <w:rPr>
                      <w:sz w:val="39"/>
                    </w:rPr>
                  </w:pPr>
                  <w:r>
                    <w:rPr>
                      <w:color w:val="FFFFFF"/>
                      <w:spacing w:val="9"/>
                      <w:w w:val="120"/>
                      <w:sz w:val="39"/>
                    </w:rPr>
                    <w:t>Mission </w:t>
                  </w:r>
                  <w:r>
                    <w:rPr>
                      <w:color w:val="FFFFFF"/>
                      <w:w w:val="120"/>
                      <w:sz w:val="39"/>
                    </w:rPr>
                    <w:t>– </w:t>
                  </w:r>
                  <w:r>
                    <w:rPr>
                      <w:spacing w:val="9"/>
                      <w:w w:val="120"/>
                      <w:sz w:val="39"/>
                    </w:rPr>
                    <w:t>Nuclear Weapons </w:t>
                  </w:r>
                  <w:r>
                    <w:rPr>
                      <w:spacing w:val="7"/>
                      <w:w w:val="120"/>
                      <w:sz w:val="39"/>
                    </w:rPr>
                    <w:t>Ban</w:t>
                  </w:r>
                  <w:r>
                    <w:rPr>
                      <w:spacing w:val="103"/>
                      <w:w w:val="120"/>
                      <w:sz w:val="39"/>
                    </w:rPr>
                    <w:t> </w:t>
                  </w:r>
                  <w:r>
                    <w:rPr>
                      <w:spacing w:val="6"/>
                      <w:w w:val="120"/>
                      <w:sz w:val="39"/>
                    </w:rPr>
                    <w:t>Treaty</w:t>
                  </w:r>
                </w:p>
              </w:txbxContent>
            </v:textbox>
            <w10:wrap type="none"/>
          </v:shape>
        </w:pict>
      </w:r>
      <w:r>
        <w:rPr>
          <w:rFonts w:ascii="Stone Sans II ITC Std X Bd"/>
          <w:b/>
          <w:color w:val="0090D4"/>
          <w:w w:val="110"/>
          <w:sz w:val="50"/>
        </w:rPr>
        <w:t>Mission committee:</w:t>
      </w:r>
    </w:p>
    <w:p>
      <w:pPr>
        <w:spacing w:line="213" w:lineRule="auto" w:before="18"/>
        <w:ind w:left="1103" w:right="0" w:firstLine="0"/>
        <w:jc w:val="left"/>
        <w:rPr>
          <w:rFonts w:ascii="Stone Sans II ITC Std X Bd"/>
          <w:b/>
          <w:sz w:val="50"/>
        </w:rPr>
      </w:pPr>
      <w:r>
        <w:rPr>
          <w:rFonts w:ascii="Stone Sans II ITC Std X Bd"/>
          <w:b/>
          <w:spacing w:val="-6"/>
          <w:w w:val="110"/>
          <w:sz w:val="50"/>
        </w:rPr>
        <w:t>Support </w:t>
      </w:r>
      <w:r>
        <w:rPr>
          <w:rFonts w:ascii="Stone Sans II ITC Std X Bd"/>
          <w:b/>
          <w:spacing w:val="-5"/>
          <w:w w:val="110"/>
          <w:sz w:val="50"/>
        </w:rPr>
        <w:t>for </w:t>
      </w:r>
      <w:r>
        <w:rPr>
          <w:rFonts w:ascii="Stone Sans II ITC Std X Bd"/>
          <w:b/>
          <w:w w:val="110"/>
          <w:sz w:val="50"/>
        </w:rPr>
        <w:t>a </w:t>
      </w:r>
      <w:r>
        <w:rPr>
          <w:rFonts w:ascii="Stone Sans II ITC Std X Bd"/>
          <w:b/>
          <w:spacing w:val="-9"/>
          <w:w w:val="110"/>
          <w:sz w:val="50"/>
        </w:rPr>
        <w:t>new </w:t>
      </w:r>
      <w:r>
        <w:rPr>
          <w:rFonts w:ascii="Stone Sans II ITC Std X Bd"/>
          <w:b/>
          <w:spacing w:val="-12"/>
          <w:w w:val="110"/>
          <w:sz w:val="50"/>
        </w:rPr>
        <w:t>international </w:t>
      </w:r>
      <w:r>
        <w:rPr>
          <w:rFonts w:ascii="Stone Sans II ITC Std X Bd"/>
          <w:b/>
          <w:spacing w:val="-9"/>
          <w:w w:val="110"/>
          <w:sz w:val="50"/>
        </w:rPr>
        <w:t>Nuclear </w:t>
      </w:r>
      <w:r>
        <w:rPr>
          <w:rFonts w:ascii="Stone Sans II ITC Std X Bd"/>
          <w:b/>
          <w:spacing w:val="-11"/>
          <w:w w:val="110"/>
          <w:sz w:val="50"/>
        </w:rPr>
        <w:t>Weapons </w:t>
      </w:r>
      <w:r>
        <w:rPr>
          <w:rFonts w:ascii="Stone Sans II ITC Std X Bd"/>
          <w:b/>
          <w:spacing w:val="-7"/>
          <w:w w:val="110"/>
          <w:sz w:val="50"/>
        </w:rPr>
        <w:t>Ban </w:t>
      </w:r>
      <w:r>
        <w:rPr>
          <w:rFonts w:ascii="Stone Sans II ITC Std X Bd"/>
          <w:b/>
          <w:spacing w:val="-15"/>
          <w:w w:val="110"/>
          <w:sz w:val="50"/>
        </w:rPr>
        <w:t>Treaty</w:t>
      </w:r>
    </w:p>
    <w:p>
      <w:pPr>
        <w:pStyle w:val="Heading4"/>
        <w:spacing w:before="325"/>
        <w:ind w:left="1103"/>
      </w:pPr>
      <w:r>
        <w:rPr>
          <w:color w:val="7F7F7F"/>
        </w:rPr>
        <w:t>Basic Information</w:t>
      </w:r>
    </w:p>
    <w:tbl>
      <w:tblPr>
        <w:tblW w:w="0" w:type="auto"/>
        <w:jc w:val="left"/>
        <w:tblInd w:w="111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660"/>
        <w:gridCol w:w="6582"/>
      </w:tblGrid>
      <w:tr>
        <w:trPr>
          <w:trHeight w:val="680" w:hRule="atLeast"/>
        </w:trPr>
        <w:tc>
          <w:tcPr>
            <w:tcW w:w="2660" w:type="dxa"/>
            <w:shd w:val="clear" w:color="auto" w:fill="FFFFFF"/>
          </w:tcPr>
          <w:p>
            <w:pPr>
              <w:pStyle w:val="TableParagraph"/>
              <w:spacing w:line="213" w:lineRule="auto" w:before="151"/>
              <w:ind w:right="595"/>
              <w:rPr>
                <w:rFonts w:ascii="Stone Sans II ITC Std Bk"/>
                <w:b/>
                <w:sz w:val="20"/>
              </w:rPr>
            </w:pPr>
            <w:r>
              <w:rPr>
                <w:rFonts w:ascii="Stone Sans II ITC Std Bk"/>
                <w:b/>
                <w:w w:val="110"/>
                <w:sz w:val="20"/>
              </w:rPr>
              <w:t>Contact name and email address</w:t>
            </w:r>
          </w:p>
        </w:tc>
        <w:tc>
          <w:tcPr>
            <w:tcW w:w="6582" w:type="dxa"/>
            <w:shd w:val="clear" w:color="auto" w:fill="FFFFFF"/>
          </w:tcPr>
          <w:p>
            <w:pPr>
              <w:pStyle w:val="TableParagraph"/>
              <w:spacing w:before="141"/>
              <w:rPr>
                <w:sz w:val="20"/>
              </w:rPr>
            </w:pPr>
            <w:r>
              <w:rPr>
                <w:w w:val="120"/>
                <w:sz w:val="20"/>
              </w:rPr>
              <w:t>Grace Pengelly: </w:t>
            </w:r>
            <w:hyperlink r:id="rId489">
              <w:r>
                <w:rPr>
                  <w:color w:val="006AB3"/>
                  <w:w w:val="120"/>
                  <w:sz w:val="20"/>
                </w:rPr>
                <w:t>grace.pengelly@urc.org.uk</w:t>
              </w:r>
            </w:hyperlink>
          </w:p>
        </w:tc>
      </w:tr>
      <w:tr>
        <w:trPr>
          <w:trHeight w:val="680" w:hRule="atLeast"/>
        </w:trPr>
        <w:tc>
          <w:tcPr>
            <w:tcW w:w="2660" w:type="dxa"/>
            <w:shd w:val="clear" w:color="auto" w:fill="FFFFFF"/>
          </w:tcPr>
          <w:p>
            <w:pPr>
              <w:pStyle w:val="TableParagraph"/>
              <w:spacing w:before="128"/>
              <w:rPr>
                <w:rFonts w:ascii="Stone Sans II ITC Std Bk"/>
                <w:b/>
                <w:sz w:val="20"/>
              </w:rPr>
            </w:pPr>
            <w:r>
              <w:rPr>
                <w:rFonts w:ascii="Stone Sans II ITC Std Bk"/>
                <w:b/>
                <w:w w:val="110"/>
                <w:sz w:val="20"/>
              </w:rPr>
              <w:t>Action required</w:t>
            </w:r>
          </w:p>
        </w:tc>
        <w:tc>
          <w:tcPr>
            <w:tcW w:w="6582" w:type="dxa"/>
            <w:shd w:val="clear" w:color="auto" w:fill="FFFFFF"/>
          </w:tcPr>
          <w:p>
            <w:pPr>
              <w:pStyle w:val="TableParagraph"/>
              <w:spacing w:line="235" w:lineRule="auto" w:before="145"/>
              <w:ind w:right="804"/>
              <w:rPr>
                <w:sz w:val="20"/>
              </w:rPr>
            </w:pPr>
            <w:r>
              <w:rPr>
                <w:w w:val="120"/>
                <w:sz w:val="20"/>
              </w:rPr>
              <w:t>Decision whether or not to support the call for a Nuclear Weapons Ban Treaty</w:t>
            </w:r>
          </w:p>
        </w:tc>
      </w:tr>
      <w:tr>
        <w:trPr>
          <w:trHeight w:val="4280" w:hRule="atLeast"/>
        </w:trPr>
        <w:tc>
          <w:tcPr>
            <w:tcW w:w="2660" w:type="dxa"/>
            <w:shd w:val="clear" w:color="auto" w:fill="FFFFFF"/>
          </w:tcPr>
          <w:p>
            <w:pPr>
              <w:pStyle w:val="TableParagraph"/>
              <w:spacing w:before="128"/>
              <w:rPr>
                <w:rFonts w:ascii="Stone Sans II ITC Std Bk"/>
                <w:b/>
                <w:sz w:val="20"/>
              </w:rPr>
            </w:pPr>
            <w:r>
              <w:rPr>
                <w:rFonts w:ascii="Stone Sans II ITC Std Bk"/>
                <w:b/>
                <w:w w:val="110"/>
                <w:sz w:val="20"/>
              </w:rPr>
              <w:t>Draft resolution(s)</w:t>
            </w:r>
          </w:p>
        </w:tc>
        <w:tc>
          <w:tcPr>
            <w:tcW w:w="6582" w:type="dxa"/>
            <w:shd w:val="clear" w:color="auto" w:fill="FFFFFF"/>
          </w:tcPr>
          <w:p>
            <w:pPr>
              <w:pStyle w:val="TableParagraph"/>
              <w:tabs>
                <w:tab w:pos="760" w:val="left" w:leader="none"/>
              </w:tabs>
              <w:spacing w:line="213" w:lineRule="auto" w:before="151"/>
              <w:ind w:right="104"/>
              <w:rPr>
                <w:rFonts w:ascii="Stone Sans II ITC Std Bk"/>
                <w:b/>
                <w:sz w:val="20"/>
              </w:rPr>
            </w:pPr>
            <w:r>
              <w:rPr>
                <w:rFonts w:ascii="Stone Sans II ITC Std Bk"/>
                <w:b/>
                <w:spacing w:val="-5"/>
                <w:w w:val="110"/>
                <w:sz w:val="20"/>
              </w:rPr>
              <w:t>33.</w:t>
              <w:tab/>
            </w:r>
            <w:r>
              <w:rPr>
                <w:rFonts w:ascii="Stone Sans II ITC Std Bk"/>
                <w:b/>
                <w:w w:val="110"/>
                <w:sz w:val="20"/>
              </w:rPr>
              <w:t>General Assembly, recalling the resolution on Trident adopted by Mission Council in</w:t>
            </w:r>
            <w:r>
              <w:rPr>
                <w:rFonts w:ascii="Stone Sans II ITC Std Bk"/>
                <w:b/>
                <w:spacing w:val="-1"/>
                <w:w w:val="110"/>
                <w:sz w:val="20"/>
              </w:rPr>
              <w:t> </w:t>
            </w:r>
            <w:r>
              <w:rPr>
                <w:rFonts w:ascii="Stone Sans II ITC Std Bk"/>
                <w:b/>
                <w:w w:val="110"/>
                <w:sz w:val="20"/>
              </w:rPr>
              <w:t>2006:</w:t>
            </w:r>
          </w:p>
          <w:p>
            <w:pPr>
              <w:pStyle w:val="TableParagraph"/>
              <w:spacing w:before="8"/>
              <w:ind w:left="0"/>
              <w:rPr>
                <w:rFonts w:ascii="Stone Sans II ITC Std Bk"/>
                <w:b/>
                <w:sz w:val="17"/>
              </w:rPr>
            </w:pPr>
          </w:p>
          <w:p>
            <w:pPr>
              <w:pStyle w:val="TableParagraph"/>
              <w:numPr>
                <w:ilvl w:val="0"/>
                <w:numId w:val="222"/>
              </w:numPr>
              <w:tabs>
                <w:tab w:pos="533" w:val="left" w:leader="none"/>
                <w:tab w:pos="534" w:val="left" w:leader="none"/>
              </w:tabs>
              <w:spacing w:line="213" w:lineRule="auto" w:before="1" w:after="0"/>
              <w:ind w:left="533" w:right="815" w:hanging="454"/>
              <w:jc w:val="left"/>
              <w:rPr>
                <w:rFonts w:ascii="Stone Sans II ITC Std Bk"/>
                <w:b/>
                <w:sz w:val="20"/>
              </w:rPr>
            </w:pPr>
            <w:r>
              <w:rPr>
                <w:rFonts w:ascii="Stone Sans II ITC Std Bk"/>
                <w:b/>
                <w:w w:val="110"/>
                <w:sz w:val="20"/>
              </w:rPr>
              <w:t>Welcomes the current international focus on the humanitarian consequences of nuclear</w:t>
            </w:r>
            <w:r>
              <w:rPr>
                <w:rFonts w:ascii="Stone Sans II ITC Std Bk"/>
                <w:b/>
                <w:spacing w:val="7"/>
                <w:w w:val="110"/>
                <w:sz w:val="20"/>
              </w:rPr>
              <w:t> </w:t>
            </w:r>
            <w:r>
              <w:rPr>
                <w:rFonts w:ascii="Stone Sans II ITC Std Bk"/>
                <w:b/>
                <w:w w:val="110"/>
                <w:sz w:val="20"/>
              </w:rPr>
              <w:t>weapons;</w:t>
            </w:r>
          </w:p>
          <w:p>
            <w:pPr>
              <w:pStyle w:val="TableParagraph"/>
              <w:spacing w:before="8"/>
              <w:ind w:left="0"/>
              <w:rPr>
                <w:rFonts w:ascii="Stone Sans II ITC Std Bk"/>
                <w:b/>
                <w:sz w:val="17"/>
              </w:rPr>
            </w:pPr>
          </w:p>
          <w:p>
            <w:pPr>
              <w:pStyle w:val="TableParagraph"/>
              <w:numPr>
                <w:ilvl w:val="0"/>
                <w:numId w:val="222"/>
              </w:numPr>
              <w:tabs>
                <w:tab w:pos="533" w:val="left" w:leader="none"/>
                <w:tab w:pos="534" w:val="left" w:leader="none"/>
              </w:tabs>
              <w:spacing w:line="213" w:lineRule="auto" w:before="0" w:after="0"/>
              <w:ind w:left="533" w:right="157" w:hanging="454"/>
              <w:jc w:val="left"/>
              <w:rPr>
                <w:rFonts w:ascii="Stone Sans II ITC Std Bk"/>
                <w:b/>
                <w:sz w:val="20"/>
              </w:rPr>
            </w:pPr>
            <w:r>
              <w:rPr>
                <w:rFonts w:ascii="Stone Sans II ITC Std Bk"/>
                <w:b/>
                <w:w w:val="110"/>
                <w:sz w:val="20"/>
              </w:rPr>
              <w:t>Remains opposed to the costly replacement of Trident and calls for the negotiation of a Nuclear Weapons Ban Treaty to bring about the elimination of all nuclear weapons;</w:t>
            </w:r>
          </w:p>
          <w:p>
            <w:pPr>
              <w:pStyle w:val="TableParagraph"/>
              <w:spacing w:before="8"/>
              <w:ind w:left="0"/>
              <w:rPr>
                <w:rFonts w:ascii="Stone Sans II ITC Std Bk"/>
                <w:b/>
                <w:sz w:val="17"/>
              </w:rPr>
            </w:pPr>
          </w:p>
          <w:p>
            <w:pPr>
              <w:pStyle w:val="TableParagraph"/>
              <w:numPr>
                <w:ilvl w:val="0"/>
                <w:numId w:val="222"/>
              </w:numPr>
              <w:tabs>
                <w:tab w:pos="533" w:val="left" w:leader="none"/>
                <w:tab w:pos="534" w:val="left" w:leader="none"/>
              </w:tabs>
              <w:spacing w:line="213" w:lineRule="auto" w:before="0" w:after="0"/>
              <w:ind w:left="533" w:right="443" w:hanging="454"/>
              <w:jc w:val="left"/>
              <w:rPr>
                <w:rFonts w:ascii="Stone Sans II ITC Std Bk"/>
                <w:b/>
                <w:sz w:val="20"/>
              </w:rPr>
            </w:pPr>
            <w:r>
              <w:rPr>
                <w:rFonts w:ascii="Stone Sans II ITC Std Bk"/>
                <w:b/>
                <w:w w:val="110"/>
                <w:sz w:val="20"/>
              </w:rPr>
              <w:t>Mandates the mission committee to make this call widely known, working where possible with partner churches and organisations to achieve</w:t>
            </w:r>
            <w:r>
              <w:rPr>
                <w:rFonts w:ascii="Stone Sans II ITC Std Bk"/>
                <w:b/>
                <w:spacing w:val="-2"/>
                <w:w w:val="110"/>
                <w:sz w:val="20"/>
              </w:rPr>
              <w:t> </w:t>
            </w:r>
            <w:r>
              <w:rPr>
                <w:rFonts w:ascii="Stone Sans II ITC Std Bk"/>
                <w:b/>
                <w:w w:val="110"/>
                <w:sz w:val="20"/>
              </w:rPr>
              <w:t>it;</w:t>
            </w:r>
          </w:p>
          <w:p>
            <w:pPr>
              <w:pStyle w:val="TableParagraph"/>
              <w:spacing w:before="8"/>
              <w:ind w:left="0"/>
              <w:rPr>
                <w:rFonts w:ascii="Stone Sans II ITC Std Bk"/>
                <w:b/>
                <w:sz w:val="17"/>
              </w:rPr>
            </w:pPr>
          </w:p>
          <w:p>
            <w:pPr>
              <w:pStyle w:val="TableParagraph"/>
              <w:numPr>
                <w:ilvl w:val="0"/>
                <w:numId w:val="222"/>
              </w:numPr>
              <w:tabs>
                <w:tab w:pos="533" w:val="left" w:leader="none"/>
                <w:tab w:pos="534" w:val="left" w:leader="none"/>
              </w:tabs>
              <w:spacing w:line="213" w:lineRule="auto" w:before="0" w:after="0"/>
              <w:ind w:left="533" w:right="67" w:hanging="454"/>
              <w:jc w:val="left"/>
              <w:rPr>
                <w:rFonts w:ascii="Stone Sans II ITC Std Bk"/>
                <w:b/>
                <w:sz w:val="20"/>
              </w:rPr>
            </w:pPr>
            <w:r>
              <w:rPr>
                <w:rFonts w:ascii="Stone Sans II ITC Std Bk"/>
                <w:b/>
                <w:w w:val="110"/>
                <w:sz w:val="20"/>
              </w:rPr>
              <w:t>Urges church members to engage with their Member of Parliament on this</w:t>
            </w:r>
            <w:r>
              <w:rPr>
                <w:rFonts w:ascii="Stone Sans II ITC Std Bk"/>
                <w:b/>
                <w:spacing w:val="-1"/>
                <w:w w:val="110"/>
                <w:sz w:val="20"/>
              </w:rPr>
              <w:t> </w:t>
            </w:r>
            <w:r>
              <w:rPr>
                <w:rFonts w:ascii="Stone Sans II ITC Std Bk"/>
                <w:b/>
                <w:w w:val="110"/>
                <w:sz w:val="20"/>
              </w:rPr>
              <w:t>issue.</w:t>
            </w:r>
          </w:p>
        </w:tc>
      </w:tr>
    </w:tbl>
    <w:p>
      <w:pPr>
        <w:pStyle w:val="BodyText"/>
        <w:spacing w:before="3"/>
        <w:rPr>
          <w:rFonts w:ascii="Stone Sans II ITC Std Bk"/>
          <w:b/>
          <w:sz w:val="29"/>
        </w:rPr>
      </w:pPr>
    </w:p>
    <w:p>
      <w:pPr>
        <w:pStyle w:val="Heading4"/>
        <w:spacing w:before="1"/>
        <w:ind w:left="1103"/>
      </w:pPr>
      <w:r>
        <w:rPr>
          <w:color w:val="7F7F7F"/>
        </w:rPr>
        <w:t>Summary of Content</w:t>
      </w:r>
    </w:p>
    <w:tbl>
      <w:tblPr>
        <w:tblW w:w="0" w:type="auto"/>
        <w:jc w:val="left"/>
        <w:tblInd w:w="111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660"/>
        <w:gridCol w:w="6582"/>
      </w:tblGrid>
      <w:tr>
        <w:trPr>
          <w:trHeight w:val="1880" w:hRule="atLeast"/>
        </w:trPr>
        <w:tc>
          <w:tcPr>
            <w:tcW w:w="2660" w:type="dxa"/>
            <w:shd w:val="clear" w:color="auto" w:fill="FFFFFF"/>
          </w:tcPr>
          <w:p>
            <w:pPr>
              <w:pStyle w:val="TableParagraph"/>
              <w:spacing w:before="128"/>
              <w:rPr>
                <w:rFonts w:ascii="Stone Sans II ITC Std Bk"/>
                <w:b/>
                <w:sz w:val="20"/>
              </w:rPr>
            </w:pPr>
            <w:r>
              <w:rPr>
                <w:rFonts w:ascii="Stone Sans II ITC Std Bk"/>
                <w:b/>
                <w:w w:val="110"/>
                <w:sz w:val="20"/>
              </w:rPr>
              <w:t>Subject and aim(s)</w:t>
            </w:r>
          </w:p>
        </w:tc>
        <w:tc>
          <w:tcPr>
            <w:tcW w:w="6582" w:type="dxa"/>
            <w:shd w:val="clear" w:color="auto" w:fill="FFFFFF"/>
          </w:tcPr>
          <w:p>
            <w:pPr>
              <w:pStyle w:val="TableParagraph"/>
              <w:spacing w:line="235" w:lineRule="auto" w:before="145"/>
              <w:ind w:right="155"/>
              <w:rPr>
                <w:sz w:val="20"/>
              </w:rPr>
            </w:pPr>
            <w:r>
              <w:rPr>
                <w:w w:val="120"/>
                <w:sz w:val="20"/>
              </w:rPr>
              <w:t>Support for a new international Nuclear Weapons Ban </w:t>
            </w:r>
            <w:r>
              <w:rPr>
                <w:spacing w:val="-4"/>
                <w:w w:val="120"/>
                <w:sz w:val="20"/>
              </w:rPr>
              <w:t>Treaty. </w:t>
            </w:r>
            <w:r>
              <w:rPr>
                <w:w w:val="120"/>
                <w:sz w:val="20"/>
              </w:rPr>
              <w:t>Churches in the UK are being asked to support the call for a   new international Nuclear Weapons Ban </w:t>
            </w:r>
            <w:r>
              <w:rPr>
                <w:spacing w:val="-4"/>
                <w:w w:val="120"/>
                <w:sz w:val="20"/>
              </w:rPr>
              <w:t>Treaty. </w:t>
            </w:r>
            <w:r>
              <w:rPr>
                <w:w w:val="120"/>
                <w:sz w:val="20"/>
              </w:rPr>
              <w:t>The aim of the campaign is to see introduced, as quickly as possible, a new international treaty to ban the production, deployment, transfer and use of nuclear weapons in accordance with international humanitarian</w:t>
            </w:r>
            <w:r>
              <w:rPr>
                <w:spacing w:val="1"/>
                <w:w w:val="120"/>
                <w:sz w:val="20"/>
              </w:rPr>
              <w:t> </w:t>
            </w:r>
            <w:r>
              <w:rPr>
                <w:w w:val="120"/>
                <w:sz w:val="20"/>
              </w:rPr>
              <w:t>law</w:t>
            </w:r>
          </w:p>
        </w:tc>
      </w:tr>
      <w:tr>
        <w:trPr>
          <w:trHeight w:val="1400" w:hRule="atLeast"/>
        </w:trPr>
        <w:tc>
          <w:tcPr>
            <w:tcW w:w="2660" w:type="dxa"/>
            <w:shd w:val="clear" w:color="auto" w:fill="FFFFFF"/>
          </w:tcPr>
          <w:p>
            <w:pPr>
              <w:pStyle w:val="TableParagraph"/>
              <w:spacing w:before="128"/>
              <w:rPr>
                <w:rFonts w:ascii="Stone Sans II ITC Std Bk"/>
                <w:b/>
                <w:sz w:val="20"/>
              </w:rPr>
            </w:pPr>
            <w:r>
              <w:rPr>
                <w:rFonts w:ascii="Stone Sans II ITC Std Bk"/>
                <w:b/>
                <w:w w:val="110"/>
                <w:sz w:val="20"/>
              </w:rPr>
              <w:t>Main points</w:t>
            </w:r>
          </w:p>
        </w:tc>
        <w:tc>
          <w:tcPr>
            <w:tcW w:w="6582" w:type="dxa"/>
            <w:shd w:val="clear" w:color="auto" w:fill="FFFFFF"/>
          </w:tcPr>
          <w:p>
            <w:pPr>
              <w:pStyle w:val="TableParagraph"/>
              <w:spacing w:line="235" w:lineRule="auto" w:before="145"/>
              <w:ind w:right="422"/>
              <w:rPr>
                <w:sz w:val="20"/>
              </w:rPr>
            </w:pPr>
            <w:r>
              <w:rPr>
                <w:w w:val="120"/>
                <w:sz w:val="20"/>
              </w:rPr>
              <w:t>The paper sets out the context and background to the call for a new treaty, together with the reasons why the Foreign and Commonwealth Office (FCO) takes a different view and the risks and opportunities that may result for the churches as a consequence of their backing the call</w:t>
            </w:r>
          </w:p>
        </w:tc>
      </w:tr>
    </w:tbl>
    <w:p>
      <w:pPr>
        <w:pStyle w:val="BodyText"/>
        <w:rPr>
          <w:rFonts w:ascii="Stone Sans II ITC Std Bk"/>
          <w:b/>
          <w:sz w:val="30"/>
        </w:rPr>
      </w:pPr>
    </w:p>
    <w:p>
      <w:pPr>
        <w:pStyle w:val="BodyText"/>
        <w:rPr>
          <w:rFonts w:ascii="Stone Sans II ITC Std Bk"/>
          <w:b/>
          <w:sz w:val="30"/>
        </w:rPr>
      </w:pPr>
    </w:p>
    <w:p>
      <w:pPr>
        <w:pStyle w:val="BodyText"/>
        <w:rPr>
          <w:rFonts w:ascii="Stone Sans II ITC Std Bk"/>
          <w:b/>
          <w:sz w:val="30"/>
        </w:rPr>
      </w:pPr>
    </w:p>
    <w:p>
      <w:pPr>
        <w:pStyle w:val="BodyText"/>
        <w:rPr>
          <w:rFonts w:ascii="Stone Sans II ITC Std Bk"/>
          <w:b/>
          <w:sz w:val="30"/>
        </w:rPr>
      </w:pPr>
    </w:p>
    <w:p>
      <w:pPr>
        <w:pStyle w:val="BodyText"/>
        <w:rPr>
          <w:rFonts w:ascii="Stone Sans II ITC Std Bk"/>
          <w:b/>
          <w:sz w:val="30"/>
        </w:rPr>
      </w:pPr>
    </w:p>
    <w:p>
      <w:pPr>
        <w:pStyle w:val="BodyText"/>
        <w:spacing w:before="4"/>
        <w:rPr>
          <w:rFonts w:ascii="Stone Sans II ITC Std Bk"/>
          <w:b/>
          <w:sz w:val="40"/>
        </w:rPr>
      </w:pPr>
    </w:p>
    <w:p>
      <w:pPr>
        <w:pStyle w:val="Heading6"/>
        <w:spacing w:before="1"/>
        <w:ind w:left="3718"/>
        <w:rPr>
          <w:rFonts w:ascii="Stone Sans II ITC Std X Bd" w:hAnsi="Stone Sans II ITC Std X Bd"/>
          <w:b/>
          <w:sz w:val="24"/>
        </w:rPr>
      </w:pPr>
      <w:r>
        <w:rPr>
          <w:color w:val="7EAABF"/>
          <w:w w:val="110"/>
        </w:rPr>
        <w:t>United Reformed Church </w:t>
      </w:r>
      <w:r>
        <w:rPr>
          <w:rFonts w:ascii="Symbol" w:hAnsi="Symbol"/>
          <w:color w:val="7EAABF"/>
          <w:w w:val="110"/>
        </w:rPr>
        <w:t></w:t>
      </w:r>
      <w:r>
        <w:rPr>
          <w:rFonts w:ascii="Times New Roman" w:hAnsi="Times New Roman"/>
          <w:color w:val="7EAABF"/>
          <w:w w:val="110"/>
        </w:rPr>
        <w:t> </w:t>
      </w:r>
      <w:r>
        <w:rPr>
          <w:color w:val="7EAABF"/>
          <w:w w:val="110"/>
        </w:rPr>
        <w:t>General Assembly 2016 </w:t>
      </w:r>
      <w:r>
        <w:rPr>
          <w:rFonts w:ascii="Symbol" w:hAnsi="Symbol"/>
          <w:color w:val="7EAABF"/>
          <w:w w:val="110"/>
        </w:rPr>
        <w:t></w:t>
      </w:r>
      <w:r>
        <w:rPr>
          <w:rFonts w:ascii="Times New Roman" w:hAnsi="Times New Roman"/>
          <w:color w:val="7EAABF"/>
          <w:w w:val="110"/>
        </w:rPr>
        <w:t> </w:t>
      </w:r>
      <w:r>
        <w:rPr>
          <w:rFonts w:ascii="Stone Sans II ITC Std X Bd" w:hAnsi="Stone Sans II ITC Std X Bd"/>
          <w:b/>
          <w:w w:val="110"/>
          <w:sz w:val="24"/>
        </w:rPr>
        <w:t>191</w:t>
      </w:r>
    </w:p>
    <w:p>
      <w:pPr>
        <w:spacing w:after="0"/>
        <w:rPr>
          <w:rFonts w:ascii="Stone Sans II ITC Std X Bd" w:hAnsi="Stone Sans II ITC Std X Bd"/>
          <w:sz w:val="24"/>
        </w:rPr>
        <w:sectPr>
          <w:headerReference w:type="default" r:id="rId513"/>
          <w:footerReference w:type="default" r:id="rId514"/>
          <w:pgSz w:w="11910" w:h="16840"/>
          <w:pgMar w:header="0" w:footer="0" w:top="0" w:bottom="0" w:left="640" w:right="0"/>
        </w:sectPr>
      </w:pPr>
    </w:p>
    <w:p>
      <w:pPr>
        <w:pStyle w:val="BodyText"/>
        <w:rPr>
          <w:rFonts w:ascii="Stone Sans II ITC Std X Bd"/>
          <w:b/>
        </w:rPr>
      </w:pPr>
      <w:r>
        <w:rPr/>
        <w:pict>
          <v:rect style="position:absolute;margin-left:46.777pt;margin-top:.000015pt;width:548.498pt;height:841.89pt;mso-position-horizontal-relative:page;mso-position-vertical-relative:page;z-index:-267599872" filled="true" fillcolor="#d4e9f7" stroked="false">
            <v:fill type="solid"/>
            <w10:wrap type="none"/>
          </v:rect>
        </w:pict>
      </w:r>
      <w:r>
        <w:rPr/>
        <w:drawing>
          <wp:anchor distT="0" distB="0" distL="0" distR="0" allowOverlap="1" layoutInCell="1" locked="0" behindDoc="1" simplePos="0" relativeHeight="235717632">
            <wp:simplePos x="0" y="0"/>
            <wp:positionH relativeFrom="page">
              <wp:posOffset>0</wp:posOffset>
            </wp:positionH>
            <wp:positionV relativeFrom="page">
              <wp:posOffset>0</wp:posOffset>
            </wp:positionV>
            <wp:extent cx="594067" cy="10692003"/>
            <wp:effectExtent l="0" t="0" r="0" b="0"/>
            <wp:wrapNone/>
            <wp:docPr id="365" name="image67.png"/>
            <wp:cNvGraphicFramePr>
              <a:graphicFrameLocks noChangeAspect="1"/>
            </wp:cNvGraphicFramePr>
            <a:graphic>
              <a:graphicData uri="http://schemas.openxmlformats.org/drawingml/2006/picture">
                <pic:pic>
                  <pic:nvPicPr>
                    <pic:cNvPr id="366" name="image67.png"/>
                    <pic:cNvPicPr/>
                  </pic:nvPicPr>
                  <pic:blipFill>
                    <a:blip r:embed="rId184" cstate="print"/>
                    <a:stretch>
                      <a:fillRect/>
                    </a:stretch>
                  </pic:blipFill>
                  <pic:spPr>
                    <a:xfrm>
                      <a:off x="0" y="0"/>
                      <a:ext cx="594067" cy="10692003"/>
                    </a:xfrm>
                    <a:prstGeom prst="rect">
                      <a:avLst/>
                    </a:prstGeom>
                  </pic:spPr>
                </pic:pic>
              </a:graphicData>
            </a:graphic>
          </wp:anchor>
        </w:drawing>
      </w:r>
      <w:r>
        <w:rPr/>
        <w:pict>
          <v:shape style="position:absolute;margin-left:20.519100pt;margin-top:48.890015pt;width:25.9pt;height:393.4pt;mso-position-horizontal-relative:page;mso-position-vertical-relative:page;z-index:-267597824" type="#_x0000_t202" filled="false" stroked="false">
            <v:textbox inset="0,0,0,0" style="layout-flow:vertical">
              <w:txbxContent>
                <w:p>
                  <w:pPr>
                    <w:spacing w:before="27"/>
                    <w:ind w:left="20" w:right="0" w:firstLine="0"/>
                    <w:jc w:val="left"/>
                    <w:rPr>
                      <w:sz w:val="39"/>
                    </w:rPr>
                  </w:pPr>
                  <w:r>
                    <w:rPr>
                      <w:color w:val="FFFFFF"/>
                      <w:spacing w:val="9"/>
                      <w:w w:val="120"/>
                      <w:sz w:val="39"/>
                    </w:rPr>
                    <w:t>Mission </w:t>
                  </w:r>
                  <w:r>
                    <w:rPr>
                      <w:color w:val="FFFFFF"/>
                      <w:w w:val="120"/>
                      <w:sz w:val="39"/>
                    </w:rPr>
                    <w:t>– </w:t>
                  </w:r>
                  <w:r>
                    <w:rPr>
                      <w:spacing w:val="9"/>
                      <w:w w:val="120"/>
                      <w:sz w:val="39"/>
                    </w:rPr>
                    <w:t>Nuclear Weapons </w:t>
                  </w:r>
                  <w:r>
                    <w:rPr>
                      <w:spacing w:val="7"/>
                      <w:w w:val="120"/>
                      <w:sz w:val="39"/>
                    </w:rPr>
                    <w:t>Ban</w:t>
                  </w:r>
                  <w:r>
                    <w:rPr>
                      <w:spacing w:val="103"/>
                      <w:w w:val="120"/>
                      <w:sz w:val="39"/>
                    </w:rPr>
                    <w:t> </w:t>
                  </w:r>
                  <w:r>
                    <w:rPr>
                      <w:spacing w:val="6"/>
                      <w:w w:val="120"/>
                      <w:sz w:val="39"/>
                    </w:rPr>
                    <w:t>Treaty</w:t>
                  </w:r>
                </w:p>
              </w:txbxContent>
            </v:textbox>
            <w10:wrap type="none"/>
          </v:shape>
        </w:pict>
      </w:r>
    </w:p>
    <w:p>
      <w:pPr>
        <w:pStyle w:val="BodyText"/>
        <w:rPr>
          <w:rFonts w:ascii="Stone Sans II ITC Std X Bd"/>
          <w:b/>
        </w:rPr>
      </w:pPr>
    </w:p>
    <w:p>
      <w:pPr>
        <w:pStyle w:val="BodyText"/>
        <w:rPr>
          <w:rFonts w:ascii="Stone Sans II ITC Std X Bd"/>
          <w:b/>
        </w:rPr>
      </w:pPr>
    </w:p>
    <w:p>
      <w:pPr>
        <w:pStyle w:val="BodyText"/>
        <w:spacing w:before="7"/>
        <w:rPr>
          <w:rFonts w:ascii="Stone Sans II ITC Std X Bd"/>
          <w:b/>
          <w:sz w:val="22"/>
        </w:rPr>
      </w:pPr>
    </w:p>
    <w:tbl>
      <w:tblPr>
        <w:tblW w:w="0" w:type="auto"/>
        <w:jc w:val="left"/>
        <w:tblInd w:w="6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660"/>
        <w:gridCol w:w="6582"/>
      </w:tblGrid>
      <w:tr>
        <w:trPr>
          <w:trHeight w:val="2360" w:hRule="atLeast"/>
        </w:trPr>
        <w:tc>
          <w:tcPr>
            <w:tcW w:w="2660" w:type="dxa"/>
            <w:shd w:val="clear" w:color="auto" w:fill="FFFFFF"/>
          </w:tcPr>
          <w:p>
            <w:pPr>
              <w:pStyle w:val="TableParagraph"/>
              <w:spacing w:line="213" w:lineRule="auto" w:before="151"/>
              <w:ind w:right="701"/>
              <w:rPr>
                <w:rFonts w:ascii="Stone Sans II ITC Std Bk"/>
                <w:b/>
                <w:sz w:val="20"/>
              </w:rPr>
            </w:pPr>
            <w:r>
              <w:rPr>
                <w:rFonts w:ascii="Stone Sans II ITC Std Bk"/>
                <w:b/>
                <w:w w:val="110"/>
                <w:sz w:val="20"/>
              </w:rPr>
              <w:t>Previous relevant documents</w:t>
            </w:r>
          </w:p>
        </w:tc>
        <w:tc>
          <w:tcPr>
            <w:tcW w:w="6582" w:type="dxa"/>
            <w:shd w:val="clear" w:color="auto" w:fill="FFFFFF"/>
          </w:tcPr>
          <w:p>
            <w:pPr>
              <w:pStyle w:val="TableParagraph"/>
              <w:spacing w:line="235" w:lineRule="auto" w:before="145"/>
              <w:ind w:right="232"/>
              <w:rPr>
                <w:sz w:val="20"/>
              </w:rPr>
            </w:pPr>
            <w:r>
              <w:rPr>
                <w:w w:val="120"/>
                <w:sz w:val="20"/>
              </w:rPr>
              <w:t>In 2006 a joint working group of the </w:t>
            </w:r>
            <w:r>
              <w:rPr>
                <w:spacing w:val="-3"/>
                <w:w w:val="120"/>
                <w:sz w:val="20"/>
              </w:rPr>
              <w:t>United </w:t>
            </w:r>
            <w:r>
              <w:rPr>
                <w:w w:val="120"/>
                <w:sz w:val="20"/>
              </w:rPr>
              <w:t>Reformed </w:t>
            </w:r>
            <w:r>
              <w:rPr>
                <w:spacing w:val="-3"/>
                <w:w w:val="120"/>
                <w:sz w:val="20"/>
              </w:rPr>
              <w:t>Church </w:t>
            </w:r>
            <w:r>
              <w:rPr>
                <w:w w:val="120"/>
                <w:sz w:val="20"/>
              </w:rPr>
              <w:t>and Methodist </w:t>
            </w:r>
            <w:r>
              <w:rPr>
                <w:spacing w:val="-3"/>
                <w:w w:val="120"/>
                <w:sz w:val="20"/>
              </w:rPr>
              <w:t>Church </w:t>
            </w:r>
            <w:r>
              <w:rPr>
                <w:w w:val="120"/>
                <w:sz w:val="20"/>
              </w:rPr>
              <w:t>produced a report </w:t>
            </w:r>
            <w:r>
              <w:rPr>
                <w:spacing w:val="-3"/>
                <w:w w:val="120"/>
                <w:sz w:val="20"/>
              </w:rPr>
              <w:t>‘Peacemaking: </w:t>
            </w:r>
            <w:r>
              <w:rPr>
                <w:w w:val="120"/>
                <w:sz w:val="20"/>
              </w:rPr>
              <w:t>A Christian </w:t>
            </w:r>
            <w:r>
              <w:rPr>
                <w:spacing w:val="-6"/>
                <w:w w:val="120"/>
                <w:sz w:val="20"/>
              </w:rPr>
              <w:t>Vocation’. </w:t>
            </w:r>
            <w:r>
              <w:rPr>
                <w:w w:val="120"/>
                <w:sz w:val="20"/>
              </w:rPr>
              <w:t>This was adopted by Assembly in 2006 and </w:t>
            </w:r>
            <w:r>
              <w:rPr>
                <w:spacing w:val="-2"/>
                <w:w w:val="120"/>
                <w:sz w:val="20"/>
              </w:rPr>
              <w:t>commended </w:t>
            </w:r>
            <w:r>
              <w:rPr>
                <w:w w:val="120"/>
                <w:sz w:val="20"/>
              </w:rPr>
              <w:t>‘for study by </w:t>
            </w:r>
            <w:r>
              <w:rPr>
                <w:spacing w:val="-3"/>
                <w:w w:val="120"/>
                <w:sz w:val="20"/>
              </w:rPr>
              <w:t>Synods </w:t>
            </w:r>
            <w:r>
              <w:rPr>
                <w:w w:val="120"/>
                <w:sz w:val="20"/>
              </w:rPr>
              <w:t>and local </w:t>
            </w:r>
            <w:r>
              <w:rPr>
                <w:spacing w:val="-3"/>
                <w:w w:val="120"/>
                <w:sz w:val="20"/>
              </w:rPr>
              <w:t>congregations, </w:t>
            </w:r>
            <w:r>
              <w:rPr>
                <w:w w:val="120"/>
                <w:sz w:val="20"/>
              </w:rPr>
              <w:t>and as a helpful guide for </w:t>
            </w:r>
            <w:r>
              <w:rPr>
                <w:spacing w:val="-3"/>
                <w:w w:val="120"/>
                <w:sz w:val="20"/>
              </w:rPr>
              <w:t>church </w:t>
            </w:r>
            <w:r>
              <w:rPr>
                <w:w w:val="120"/>
                <w:sz w:val="20"/>
              </w:rPr>
              <w:t>leaders who </w:t>
            </w:r>
            <w:r>
              <w:rPr>
                <w:spacing w:val="-3"/>
                <w:w w:val="120"/>
                <w:sz w:val="20"/>
              </w:rPr>
              <w:t>may </w:t>
            </w:r>
            <w:r>
              <w:rPr>
                <w:w w:val="120"/>
                <w:sz w:val="20"/>
              </w:rPr>
              <w:t>be called upon</w:t>
            </w:r>
            <w:r>
              <w:rPr>
                <w:spacing w:val="-35"/>
                <w:w w:val="120"/>
                <w:sz w:val="20"/>
              </w:rPr>
              <w:t> </w:t>
            </w:r>
            <w:r>
              <w:rPr>
                <w:w w:val="120"/>
                <w:sz w:val="20"/>
              </w:rPr>
              <w:t>for</w:t>
            </w:r>
          </w:p>
          <w:p>
            <w:pPr>
              <w:pStyle w:val="TableParagraph"/>
              <w:spacing w:line="235" w:lineRule="auto" w:before="3"/>
              <w:ind w:right="105"/>
              <w:rPr>
                <w:sz w:val="20"/>
              </w:rPr>
            </w:pPr>
            <w:r>
              <w:rPr>
                <w:spacing w:val="-3"/>
                <w:w w:val="120"/>
                <w:sz w:val="20"/>
              </w:rPr>
              <w:t>comment </w:t>
            </w:r>
            <w:r>
              <w:rPr>
                <w:w w:val="120"/>
                <w:sz w:val="20"/>
              </w:rPr>
              <w:t>on the ethical </w:t>
            </w:r>
            <w:r>
              <w:rPr>
                <w:spacing w:val="-3"/>
                <w:w w:val="120"/>
                <w:sz w:val="20"/>
              </w:rPr>
              <w:t>considerations </w:t>
            </w:r>
            <w:r>
              <w:rPr>
                <w:w w:val="120"/>
                <w:sz w:val="20"/>
              </w:rPr>
              <w:t>relating </w:t>
            </w:r>
            <w:r>
              <w:rPr>
                <w:spacing w:val="-3"/>
                <w:w w:val="120"/>
                <w:sz w:val="20"/>
              </w:rPr>
              <w:t>to </w:t>
            </w:r>
            <w:r>
              <w:rPr>
                <w:w w:val="120"/>
                <w:sz w:val="20"/>
              </w:rPr>
              <w:t>war and </w:t>
            </w:r>
            <w:r>
              <w:rPr>
                <w:spacing w:val="-5"/>
                <w:w w:val="120"/>
                <w:sz w:val="20"/>
              </w:rPr>
              <w:t>peace.’ </w:t>
            </w:r>
            <w:r>
              <w:rPr>
                <w:w w:val="120"/>
                <w:sz w:val="20"/>
              </w:rPr>
              <w:t>Other relevant Assembly resolutions were passed in </w:t>
            </w:r>
            <w:r>
              <w:rPr>
                <w:spacing w:val="-6"/>
                <w:w w:val="120"/>
                <w:sz w:val="20"/>
              </w:rPr>
              <w:t>1983, </w:t>
            </w:r>
            <w:r>
              <w:rPr>
                <w:spacing w:val="-4"/>
                <w:w w:val="120"/>
                <w:sz w:val="20"/>
              </w:rPr>
              <w:t>1990, </w:t>
            </w:r>
            <w:r>
              <w:rPr>
                <w:spacing w:val="-5"/>
                <w:w w:val="120"/>
                <w:sz w:val="20"/>
              </w:rPr>
              <w:t>1994, </w:t>
            </w:r>
            <w:r>
              <w:rPr>
                <w:spacing w:val="-6"/>
                <w:w w:val="120"/>
                <w:sz w:val="20"/>
              </w:rPr>
              <w:t>1995 </w:t>
            </w:r>
            <w:r>
              <w:rPr>
                <w:w w:val="120"/>
                <w:sz w:val="20"/>
              </w:rPr>
              <w:t>and 2003. Relevant Mission Council resolutions were passed in October 2006 and May </w:t>
            </w:r>
            <w:r>
              <w:rPr>
                <w:spacing w:val="-7"/>
                <w:w w:val="120"/>
                <w:sz w:val="20"/>
              </w:rPr>
              <w:t>2015</w:t>
            </w:r>
          </w:p>
        </w:tc>
      </w:tr>
      <w:tr>
        <w:trPr>
          <w:trHeight w:val="680" w:hRule="atLeast"/>
        </w:trPr>
        <w:tc>
          <w:tcPr>
            <w:tcW w:w="2660" w:type="dxa"/>
            <w:shd w:val="clear" w:color="auto" w:fill="FFFFFF"/>
          </w:tcPr>
          <w:p>
            <w:pPr>
              <w:pStyle w:val="TableParagraph"/>
              <w:spacing w:line="213" w:lineRule="auto" w:before="151"/>
              <w:ind w:right="576"/>
              <w:rPr>
                <w:rFonts w:ascii="Stone Sans II ITC Std Bk"/>
                <w:b/>
                <w:sz w:val="20"/>
              </w:rPr>
            </w:pPr>
            <w:r>
              <w:rPr>
                <w:rFonts w:ascii="Stone Sans II ITC Std Bk"/>
                <w:b/>
                <w:w w:val="110"/>
                <w:sz w:val="20"/>
              </w:rPr>
              <w:t>Consultation has taken place with...</w:t>
            </w:r>
          </w:p>
        </w:tc>
        <w:tc>
          <w:tcPr>
            <w:tcW w:w="6582" w:type="dxa"/>
            <w:shd w:val="clear" w:color="auto" w:fill="FFFFFF"/>
          </w:tcPr>
          <w:p>
            <w:pPr>
              <w:pStyle w:val="TableParagraph"/>
              <w:spacing w:line="242" w:lineRule="exact" w:before="141"/>
              <w:rPr>
                <w:sz w:val="20"/>
              </w:rPr>
            </w:pPr>
            <w:r>
              <w:rPr>
                <w:w w:val="120"/>
                <w:sz w:val="20"/>
              </w:rPr>
              <w:t>Mission Council</w:t>
            </w:r>
          </w:p>
          <w:p>
            <w:pPr>
              <w:pStyle w:val="TableParagraph"/>
              <w:spacing w:line="242" w:lineRule="exact"/>
              <w:rPr>
                <w:sz w:val="20"/>
              </w:rPr>
            </w:pPr>
            <w:r>
              <w:rPr>
                <w:w w:val="120"/>
                <w:sz w:val="20"/>
              </w:rPr>
              <w:t>Steve Hucklesby, Policy Officer, The Methodist Church</w:t>
            </w:r>
          </w:p>
        </w:tc>
      </w:tr>
    </w:tbl>
    <w:p>
      <w:pPr>
        <w:pStyle w:val="BodyText"/>
        <w:spacing w:before="5"/>
        <w:rPr>
          <w:rFonts w:ascii="Stone Sans II ITC Std X Bd"/>
          <w:b/>
          <w:sz w:val="22"/>
        </w:rPr>
      </w:pPr>
    </w:p>
    <w:p>
      <w:pPr>
        <w:pStyle w:val="Heading4"/>
        <w:spacing w:before="94"/>
      </w:pPr>
      <w:r>
        <w:rPr>
          <w:color w:val="7F7F7F"/>
        </w:rPr>
        <w:t>Summary of Impact</w:t>
      </w:r>
    </w:p>
    <w:tbl>
      <w:tblPr>
        <w:tblW w:w="0" w:type="auto"/>
        <w:jc w:val="left"/>
        <w:tblInd w:w="6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660"/>
        <w:gridCol w:w="6582"/>
      </w:tblGrid>
      <w:tr>
        <w:trPr>
          <w:trHeight w:val="1400" w:hRule="atLeast"/>
        </w:trPr>
        <w:tc>
          <w:tcPr>
            <w:tcW w:w="2660" w:type="dxa"/>
            <w:shd w:val="clear" w:color="auto" w:fill="FFFFFF"/>
          </w:tcPr>
          <w:p>
            <w:pPr>
              <w:pStyle w:val="TableParagraph"/>
              <w:spacing w:before="128"/>
              <w:rPr>
                <w:rFonts w:ascii="Stone Sans II ITC Std Bk"/>
                <w:b/>
                <w:sz w:val="20"/>
              </w:rPr>
            </w:pPr>
            <w:r>
              <w:rPr>
                <w:rFonts w:ascii="Stone Sans II ITC Std Bk"/>
                <w:b/>
                <w:w w:val="110"/>
                <w:sz w:val="20"/>
              </w:rPr>
              <w:t>Financial</w:t>
            </w:r>
          </w:p>
        </w:tc>
        <w:tc>
          <w:tcPr>
            <w:tcW w:w="6582" w:type="dxa"/>
            <w:shd w:val="clear" w:color="auto" w:fill="FFFFFF"/>
          </w:tcPr>
          <w:p>
            <w:pPr>
              <w:pStyle w:val="TableParagraph"/>
              <w:spacing w:line="235" w:lineRule="auto" w:before="145"/>
              <w:ind w:right="392"/>
              <w:jc w:val="both"/>
              <w:rPr>
                <w:sz w:val="20"/>
              </w:rPr>
            </w:pPr>
            <w:r>
              <w:rPr>
                <w:w w:val="120"/>
                <w:sz w:val="20"/>
              </w:rPr>
              <w:t>Our churches’ support would not require additional staff time beyond that already envisaged in this area of the work plan.</w:t>
            </w:r>
          </w:p>
          <w:p>
            <w:pPr>
              <w:pStyle w:val="TableParagraph"/>
              <w:spacing w:line="235" w:lineRule="auto" w:before="1"/>
              <w:ind w:right="194"/>
              <w:jc w:val="both"/>
              <w:rPr>
                <w:sz w:val="20"/>
              </w:rPr>
            </w:pPr>
            <w:r>
              <w:rPr>
                <w:w w:val="120"/>
                <w:sz w:val="20"/>
              </w:rPr>
              <w:t>Media and communications costs associated with this campaign are costs that we would incur anyway in our communication on nuclear weapons</w:t>
            </w:r>
          </w:p>
        </w:tc>
      </w:tr>
      <w:tr>
        <w:trPr>
          <w:trHeight w:val="1400" w:hRule="atLeast"/>
        </w:trPr>
        <w:tc>
          <w:tcPr>
            <w:tcW w:w="2660" w:type="dxa"/>
            <w:shd w:val="clear" w:color="auto" w:fill="FFFFFF"/>
          </w:tcPr>
          <w:p>
            <w:pPr>
              <w:pStyle w:val="TableParagraph"/>
              <w:spacing w:line="255" w:lineRule="exact" w:before="128"/>
              <w:rPr>
                <w:rFonts w:ascii="Stone Sans II ITC Std Bk"/>
                <w:b/>
                <w:sz w:val="20"/>
              </w:rPr>
            </w:pPr>
            <w:r>
              <w:rPr>
                <w:rFonts w:ascii="Stone Sans II ITC Std Bk"/>
                <w:b/>
                <w:w w:val="110"/>
                <w:sz w:val="20"/>
              </w:rPr>
              <w:t>External</w:t>
            </w:r>
          </w:p>
          <w:p>
            <w:pPr>
              <w:pStyle w:val="TableParagraph"/>
              <w:spacing w:line="255" w:lineRule="exact"/>
              <w:rPr>
                <w:rFonts w:ascii="Stone Sans II ITC Std Bk"/>
                <w:b/>
                <w:sz w:val="20"/>
              </w:rPr>
            </w:pPr>
            <w:r>
              <w:rPr>
                <w:rFonts w:ascii="Stone Sans II ITC Std Bk"/>
                <w:b/>
                <w:w w:val="110"/>
                <w:sz w:val="20"/>
              </w:rPr>
              <w:t>(e.g. ecumenical)</w:t>
            </w:r>
          </w:p>
        </w:tc>
        <w:tc>
          <w:tcPr>
            <w:tcW w:w="6582" w:type="dxa"/>
            <w:shd w:val="clear" w:color="auto" w:fill="FFFFFF"/>
          </w:tcPr>
          <w:p>
            <w:pPr>
              <w:pStyle w:val="TableParagraph"/>
              <w:spacing w:line="235" w:lineRule="auto" w:before="145"/>
              <w:ind w:right="280"/>
              <w:rPr>
                <w:sz w:val="20"/>
              </w:rPr>
            </w:pPr>
            <w:r>
              <w:rPr>
                <w:w w:val="120"/>
                <w:sz w:val="20"/>
              </w:rPr>
              <w:t>There are time costs (principally those of the JPIT coordinator) in drawing up a FAQ or similar resource. JPIT coordination of this work (additional to other work on nuclear weapons) would require in total no more than three to four days staff time over the course of the next year.</w:t>
            </w:r>
          </w:p>
        </w:tc>
      </w:tr>
    </w:tbl>
    <w:p>
      <w:pPr>
        <w:pStyle w:val="BodyText"/>
        <w:rPr>
          <w:rFonts w:ascii="Stone Sans II ITC Std Bk"/>
          <w:b/>
          <w:sz w:val="30"/>
        </w:rPr>
      </w:pPr>
    </w:p>
    <w:p>
      <w:pPr>
        <w:pStyle w:val="BodyText"/>
        <w:rPr>
          <w:rFonts w:ascii="Stone Sans II ITC Std Bk"/>
          <w:b/>
          <w:sz w:val="30"/>
        </w:rPr>
      </w:pPr>
    </w:p>
    <w:p>
      <w:pPr>
        <w:pStyle w:val="BodyText"/>
        <w:rPr>
          <w:rFonts w:ascii="Stone Sans II ITC Std Bk"/>
          <w:b/>
          <w:sz w:val="30"/>
        </w:rPr>
      </w:pPr>
    </w:p>
    <w:p>
      <w:pPr>
        <w:pStyle w:val="BodyText"/>
        <w:rPr>
          <w:rFonts w:ascii="Stone Sans II ITC Std Bk"/>
          <w:b/>
          <w:sz w:val="30"/>
        </w:rPr>
      </w:pPr>
    </w:p>
    <w:p>
      <w:pPr>
        <w:pStyle w:val="BodyText"/>
        <w:rPr>
          <w:rFonts w:ascii="Stone Sans II ITC Std Bk"/>
          <w:b/>
          <w:sz w:val="30"/>
        </w:rPr>
      </w:pPr>
    </w:p>
    <w:p>
      <w:pPr>
        <w:pStyle w:val="BodyText"/>
        <w:rPr>
          <w:rFonts w:ascii="Stone Sans II ITC Std Bk"/>
          <w:b/>
          <w:sz w:val="30"/>
        </w:rPr>
      </w:pPr>
    </w:p>
    <w:p>
      <w:pPr>
        <w:pStyle w:val="BodyText"/>
        <w:rPr>
          <w:rFonts w:ascii="Stone Sans II ITC Std Bk"/>
          <w:b/>
          <w:sz w:val="30"/>
        </w:rPr>
      </w:pPr>
    </w:p>
    <w:p>
      <w:pPr>
        <w:pStyle w:val="BodyText"/>
        <w:rPr>
          <w:rFonts w:ascii="Stone Sans II ITC Std Bk"/>
          <w:b/>
          <w:sz w:val="30"/>
        </w:rPr>
      </w:pPr>
    </w:p>
    <w:p>
      <w:pPr>
        <w:pStyle w:val="BodyText"/>
        <w:rPr>
          <w:rFonts w:ascii="Stone Sans II ITC Std Bk"/>
          <w:b/>
          <w:sz w:val="30"/>
        </w:rPr>
      </w:pPr>
    </w:p>
    <w:p>
      <w:pPr>
        <w:pStyle w:val="BodyText"/>
        <w:rPr>
          <w:rFonts w:ascii="Stone Sans II ITC Std Bk"/>
          <w:b/>
          <w:sz w:val="30"/>
        </w:rPr>
      </w:pPr>
    </w:p>
    <w:p>
      <w:pPr>
        <w:pStyle w:val="BodyText"/>
        <w:rPr>
          <w:rFonts w:ascii="Stone Sans II ITC Std Bk"/>
          <w:b/>
          <w:sz w:val="30"/>
        </w:rPr>
      </w:pPr>
    </w:p>
    <w:p>
      <w:pPr>
        <w:pStyle w:val="BodyText"/>
        <w:rPr>
          <w:rFonts w:ascii="Stone Sans II ITC Std Bk"/>
          <w:b/>
          <w:sz w:val="30"/>
        </w:rPr>
      </w:pPr>
    </w:p>
    <w:p>
      <w:pPr>
        <w:pStyle w:val="BodyText"/>
        <w:rPr>
          <w:rFonts w:ascii="Stone Sans II ITC Std Bk"/>
          <w:b/>
          <w:sz w:val="30"/>
        </w:rPr>
      </w:pPr>
    </w:p>
    <w:p>
      <w:pPr>
        <w:pStyle w:val="BodyText"/>
        <w:rPr>
          <w:rFonts w:ascii="Stone Sans II ITC Std Bk"/>
          <w:b/>
          <w:sz w:val="30"/>
        </w:rPr>
      </w:pPr>
    </w:p>
    <w:p>
      <w:pPr>
        <w:pStyle w:val="BodyText"/>
        <w:rPr>
          <w:rFonts w:ascii="Stone Sans II ITC Std Bk"/>
          <w:b/>
          <w:sz w:val="30"/>
        </w:rPr>
      </w:pPr>
    </w:p>
    <w:p>
      <w:pPr>
        <w:pStyle w:val="BodyText"/>
        <w:rPr>
          <w:rFonts w:ascii="Stone Sans II ITC Std Bk"/>
          <w:b/>
          <w:sz w:val="30"/>
        </w:rPr>
      </w:pPr>
    </w:p>
    <w:p>
      <w:pPr>
        <w:pStyle w:val="BodyText"/>
        <w:rPr>
          <w:rFonts w:ascii="Stone Sans II ITC Std Bk"/>
          <w:b/>
          <w:sz w:val="30"/>
        </w:rPr>
      </w:pPr>
    </w:p>
    <w:p>
      <w:pPr>
        <w:pStyle w:val="BodyText"/>
        <w:rPr>
          <w:rFonts w:ascii="Stone Sans II ITC Std Bk"/>
          <w:b/>
          <w:sz w:val="30"/>
        </w:rPr>
      </w:pPr>
    </w:p>
    <w:p>
      <w:pPr>
        <w:pStyle w:val="BodyText"/>
        <w:rPr>
          <w:rFonts w:ascii="Stone Sans II ITC Std Bk"/>
          <w:b/>
          <w:sz w:val="30"/>
        </w:rPr>
      </w:pPr>
    </w:p>
    <w:p>
      <w:pPr>
        <w:pStyle w:val="BodyText"/>
        <w:spacing w:before="12"/>
        <w:rPr>
          <w:rFonts w:ascii="Stone Sans II ITC Std Bk"/>
          <w:b/>
          <w:sz w:val="38"/>
        </w:rPr>
      </w:pPr>
    </w:p>
    <w:p>
      <w:pPr>
        <w:pStyle w:val="Heading6"/>
        <w:spacing w:before="0"/>
        <w:ind w:left="607"/>
      </w:pPr>
      <w:r>
        <w:rPr>
          <w:rFonts w:ascii="Stone Sans II ITC Std X Bd" w:hAnsi="Stone Sans II ITC Std X Bd"/>
          <w:b/>
          <w:w w:val="110"/>
          <w:sz w:val="24"/>
        </w:rPr>
        <w:t>192 </w:t>
      </w:r>
      <w:r>
        <w:rPr>
          <w:rFonts w:ascii="Symbol" w:hAnsi="Symbol"/>
          <w:color w:val="7EAABF"/>
          <w:w w:val="110"/>
        </w:rPr>
        <w:t></w:t>
      </w:r>
      <w:r>
        <w:rPr>
          <w:rFonts w:ascii="Times New Roman" w:hAnsi="Times New Roman"/>
          <w:color w:val="7EAABF"/>
          <w:w w:val="110"/>
        </w:rPr>
        <w:t> </w:t>
      </w:r>
      <w:r>
        <w:rPr>
          <w:color w:val="7EAABF"/>
          <w:w w:val="110"/>
        </w:rPr>
        <w:t>United Reformed Church </w:t>
      </w:r>
      <w:r>
        <w:rPr>
          <w:rFonts w:ascii="Symbol" w:hAnsi="Symbol"/>
          <w:color w:val="7EAABF"/>
          <w:w w:val="110"/>
        </w:rPr>
        <w:t></w:t>
      </w:r>
      <w:r>
        <w:rPr>
          <w:rFonts w:ascii="Times New Roman" w:hAnsi="Times New Roman"/>
          <w:color w:val="7EAABF"/>
          <w:w w:val="110"/>
        </w:rPr>
        <w:t> </w:t>
      </w:r>
      <w:r>
        <w:rPr>
          <w:color w:val="7EAABF"/>
          <w:w w:val="110"/>
        </w:rPr>
        <w:t>General Assembly 2016</w:t>
      </w:r>
    </w:p>
    <w:p>
      <w:pPr>
        <w:spacing w:after="0"/>
        <w:sectPr>
          <w:headerReference w:type="even" r:id="rId515"/>
          <w:footerReference w:type="even" r:id="rId516"/>
          <w:pgSz w:w="11910" w:h="16840"/>
          <w:pgMar w:header="0" w:footer="0" w:top="0" w:bottom="0" w:left="640" w:right="0"/>
        </w:sectPr>
      </w:pPr>
    </w:p>
    <w:p>
      <w:pPr>
        <w:pStyle w:val="BodyText"/>
      </w:pPr>
      <w:r>
        <w:rPr/>
        <w:pict>
          <v:line style="position:absolute;mso-position-horizontal-relative:page;mso-position-vertical-relative:page;z-index:252174336" from="0pt,.000315pt" to="0pt,841.890315pt" stroked="true" strokeweight="0pt" strokecolor="#d4e9f7">
            <v:stroke dashstyle="solid"/>
            <w10:wrap type="none"/>
          </v:line>
        </w:pict>
      </w:r>
      <w:r>
        <w:rPr/>
        <w:drawing>
          <wp:anchor distT="0" distB="0" distL="0" distR="0" allowOverlap="1" layoutInCell="1" locked="0" behindDoc="0" simplePos="0" relativeHeight="252175360">
            <wp:simplePos x="0" y="0"/>
            <wp:positionH relativeFrom="page">
              <wp:posOffset>6974928</wp:posOffset>
            </wp:positionH>
            <wp:positionV relativeFrom="page">
              <wp:posOffset>0</wp:posOffset>
            </wp:positionV>
            <wp:extent cx="585063" cy="10692003"/>
            <wp:effectExtent l="0" t="0" r="0" b="0"/>
            <wp:wrapNone/>
            <wp:docPr id="367" name="image54.png"/>
            <wp:cNvGraphicFramePr>
              <a:graphicFrameLocks noChangeAspect="1"/>
            </wp:cNvGraphicFramePr>
            <a:graphic>
              <a:graphicData uri="http://schemas.openxmlformats.org/drawingml/2006/picture">
                <pic:pic>
                  <pic:nvPicPr>
                    <pic:cNvPr id="368" name="image54.png"/>
                    <pic:cNvPicPr/>
                  </pic:nvPicPr>
                  <pic:blipFill>
                    <a:blip r:embed="rId169" cstate="print"/>
                    <a:stretch>
                      <a:fillRect/>
                    </a:stretch>
                  </pic:blipFill>
                  <pic:spPr>
                    <a:xfrm>
                      <a:off x="0" y="0"/>
                      <a:ext cx="585063" cy="10692003"/>
                    </a:xfrm>
                    <a:prstGeom prst="rect">
                      <a:avLst/>
                    </a:prstGeom>
                  </pic:spPr>
                </pic:pic>
              </a:graphicData>
            </a:graphic>
          </wp:anchor>
        </w:drawing>
      </w:r>
    </w:p>
    <w:p>
      <w:pPr>
        <w:pStyle w:val="BodyText"/>
      </w:pPr>
    </w:p>
    <w:p>
      <w:pPr>
        <w:pStyle w:val="BodyText"/>
      </w:pPr>
    </w:p>
    <w:p>
      <w:pPr>
        <w:pStyle w:val="BodyText"/>
        <w:spacing w:before="5"/>
        <w:rPr>
          <w:sz w:val="28"/>
        </w:rPr>
      </w:pPr>
    </w:p>
    <w:p>
      <w:pPr>
        <w:spacing w:line="213" w:lineRule="auto" w:before="153"/>
        <w:ind w:left="1344" w:right="0" w:firstLine="0"/>
        <w:jc w:val="left"/>
        <w:rPr>
          <w:rFonts w:ascii="Stone Sans II ITC Std X Bd"/>
          <w:b/>
          <w:sz w:val="50"/>
        </w:rPr>
      </w:pPr>
      <w:r>
        <w:rPr/>
        <w:pict>
          <v:shape style="position:absolute;margin-left:554.141174pt;margin-top:-5.989334pt;width:25.9pt;height:393.4pt;mso-position-horizontal-relative:page;mso-position-vertical-relative:paragraph;z-index:252176384" type="#_x0000_t202" filled="false" stroked="false">
            <v:textbox inset="0,0,0,0" style="layout-flow:vertical">
              <w:txbxContent>
                <w:p>
                  <w:pPr>
                    <w:spacing w:before="27"/>
                    <w:ind w:left="20" w:right="0" w:firstLine="0"/>
                    <w:jc w:val="left"/>
                    <w:rPr>
                      <w:sz w:val="39"/>
                    </w:rPr>
                  </w:pPr>
                  <w:r>
                    <w:rPr>
                      <w:color w:val="FFFFFF"/>
                      <w:spacing w:val="9"/>
                      <w:w w:val="120"/>
                      <w:sz w:val="39"/>
                    </w:rPr>
                    <w:t>Mission </w:t>
                  </w:r>
                  <w:r>
                    <w:rPr>
                      <w:color w:val="FFFFFF"/>
                      <w:w w:val="120"/>
                      <w:sz w:val="39"/>
                    </w:rPr>
                    <w:t>– </w:t>
                  </w:r>
                  <w:r>
                    <w:rPr>
                      <w:spacing w:val="9"/>
                      <w:w w:val="120"/>
                      <w:sz w:val="39"/>
                    </w:rPr>
                    <w:t>Nuclear Weapons </w:t>
                  </w:r>
                  <w:r>
                    <w:rPr>
                      <w:spacing w:val="7"/>
                      <w:w w:val="120"/>
                      <w:sz w:val="39"/>
                    </w:rPr>
                    <w:t>Ban</w:t>
                  </w:r>
                  <w:r>
                    <w:rPr>
                      <w:spacing w:val="103"/>
                      <w:w w:val="120"/>
                      <w:sz w:val="39"/>
                    </w:rPr>
                    <w:t> </w:t>
                  </w:r>
                  <w:r>
                    <w:rPr>
                      <w:spacing w:val="6"/>
                      <w:w w:val="120"/>
                      <w:sz w:val="39"/>
                    </w:rPr>
                    <w:t>Treaty</w:t>
                  </w:r>
                </w:p>
              </w:txbxContent>
            </v:textbox>
            <w10:wrap type="none"/>
          </v:shape>
        </w:pict>
      </w:r>
      <w:r>
        <w:rPr>
          <w:rFonts w:ascii="Stone Sans II ITC Std X Bd"/>
          <w:b/>
          <w:spacing w:val="-6"/>
          <w:w w:val="110"/>
          <w:sz w:val="50"/>
        </w:rPr>
        <w:t>Support </w:t>
      </w:r>
      <w:r>
        <w:rPr>
          <w:rFonts w:ascii="Stone Sans II ITC Std X Bd"/>
          <w:b/>
          <w:spacing w:val="-5"/>
          <w:w w:val="110"/>
          <w:sz w:val="50"/>
        </w:rPr>
        <w:t>for </w:t>
      </w:r>
      <w:r>
        <w:rPr>
          <w:rFonts w:ascii="Stone Sans II ITC Std X Bd"/>
          <w:b/>
          <w:w w:val="110"/>
          <w:sz w:val="50"/>
        </w:rPr>
        <w:t>a </w:t>
      </w:r>
      <w:r>
        <w:rPr>
          <w:rFonts w:ascii="Stone Sans II ITC Std X Bd"/>
          <w:b/>
          <w:spacing w:val="-9"/>
          <w:w w:val="110"/>
          <w:sz w:val="50"/>
        </w:rPr>
        <w:t>new </w:t>
      </w:r>
      <w:r>
        <w:rPr>
          <w:rFonts w:ascii="Stone Sans II ITC Std X Bd"/>
          <w:b/>
          <w:spacing w:val="-12"/>
          <w:w w:val="110"/>
          <w:sz w:val="50"/>
        </w:rPr>
        <w:t>international </w:t>
      </w:r>
      <w:r>
        <w:rPr>
          <w:rFonts w:ascii="Stone Sans II ITC Std X Bd"/>
          <w:b/>
          <w:spacing w:val="-9"/>
          <w:w w:val="110"/>
          <w:sz w:val="50"/>
        </w:rPr>
        <w:t>Nuclear </w:t>
      </w:r>
      <w:r>
        <w:rPr>
          <w:rFonts w:ascii="Stone Sans II ITC Std X Bd"/>
          <w:b/>
          <w:spacing w:val="-11"/>
          <w:w w:val="110"/>
          <w:sz w:val="50"/>
        </w:rPr>
        <w:t>Weapons </w:t>
      </w:r>
      <w:r>
        <w:rPr>
          <w:rFonts w:ascii="Stone Sans II ITC Std X Bd"/>
          <w:b/>
          <w:spacing w:val="-7"/>
          <w:w w:val="110"/>
          <w:sz w:val="50"/>
        </w:rPr>
        <w:t>Ban </w:t>
      </w:r>
      <w:r>
        <w:rPr>
          <w:rFonts w:ascii="Stone Sans II ITC Std X Bd"/>
          <w:b/>
          <w:spacing w:val="-15"/>
          <w:w w:val="110"/>
          <w:sz w:val="50"/>
        </w:rPr>
        <w:t>Treaty</w:t>
      </w:r>
    </w:p>
    <w:p>
      <w:pPr>
        <w:pStyle w:val="ListParagraph"/>
        <w:numPr>
          <w:ilvl w:val="0"/>
          <w:numId w:val="223"/>
        </w:numPr>
        <w:tabs>
          <w:tab w:pos="2024" w:val="left" w:leader="none"/>
          <w:tab w:pos="2025" w:val="left" w:leader="none"/>
        </w:tabs>
        <w:spacing w:line="235" w:lineRule="auto" w:before="382" w:after="0"/>
        <w:ind w:left="1344" w:right="1472" w:firstLine="0"/>
        <w:jc w:val="left"/>
        <w:rPr>
          <w:sz w:val="20"/>
        </w:rPr>
      </w:pPr>
      <w:r>
        <w:rPr>
          <w:w w:val="120"/>
          <w:sz w:val="20"/>
        </w:rPr>
        <w:t>For many years the International Campaign to Abolish Nuclear Weapons  (ICAN) has led a global civil society call for a new international treaty to ban nuclear weapons. In the past two years the call for a nuclear weapons ban treaty has suddenly gathered pace and is attracting growing support among governments. This has been largely inspired by the recent international focus on the humanitarian consequences of the use of nuclear weapons. The consequences could be beyond the capacity of  any humanitarian response to address adequately. This provides further justification for the use and threat of use of nuclear weapons to be considered illegitimate under international humanitarian</w:t>
      </w:r>
      <w:r>
        <w:rPr>
          <w:spacing w:val="3"/>
          <w:w w:val="120"/>
          <w:sz w:val="20"/>
        </w:rPr>
        <w:t> </w:t>
      </w:r>
      <w:r>
        <w:rPr>
          <w:spacing w:val="-3"/>
          <w:w w:val="120"/>
          <w:sz w:val="20"/>
        </w:rPr>
        <w:t>law.</w:t>
      </w:r>
    </w:p>
    <w:p>
      <w:pPr>
        <w:pStyle w:val="BodyText"/>
        <w:spacing w:before="2"/>
      </w:pPr>
    </w:p>
    <w:p>
      <w:pPr>
        <w:pStyle w:val="ListParagraph"/>
        <w:numPr>
          <w:ilvl w:val="0"/>
          <w:numId w:val="223"/>
        </w:numPr>
        <w:tabs>
          <w:tab w:pos="2024" w:val="left" w:leader="none"/>
          <w:tab w:pos="2025" w:val="left" w:leader="none"/>
        </w:tabs>
        <w:spacing w:line="235" w:lineRule="auto" w:before="1" w:after="0"/>
        <w:ind w:left="1344" w:right="1253" w:firstLine="0"/>
        <w:jc w:val="left"/>
        <w:rPr>
          <w:sz w:val="20"/>
        </w:rPr>
      </w:pPr>
      <w:r>
        <w:rPr>
          <w:w w:val="120"/>
          <w:sz w:val="20"/>
        </w:rPr>
        <w:t>The campaign seeks to introduce as quickly as possible a new international treaty to ban the production, deployment, transfer and use of nuclear weapons in accordance with international humanitarian law </w:t>
      </w:r>
      <w:r>
        <w:rPr>
          <w:spacing w:val="-3"/>
          <w:w w:val="120"/>
          <w:sz w:val="20"/>
        </w:rPr>
        <w:t>(accepting </w:t>
      </w:r>
      <w:r>
        <w:rPr>
          <w:w w:val="120"/>
          <w:sz w:val="20"/>
        </w:rPr>
        <w:t>that this will be introduced without the support of the majority of nuclear weapons</w:t>
      </w:r>
      <w:r>
        <w:rPr>
          <w:spacing w:val="14"/>
          <w:w w:val="120"/>
          <w:sz w:val="20"/>
        </w:rPr>
        <w:t> </w:t>
      </w:r>
      <w:r>
        <w:rPr>
          <w:spacing w:val="-3"/>
          <w:w w:val="120"/>
          <w:sz w:val="20"/>
        </w:rPr>
        <w:t>states).</w:t>
      </w:r>
    </w:p>
    <w:p>
      <w:pPr>
        <w:pStyle w:val="BodyText"/>
        <w:spacing w:before="7"/>
        <w:rPr>
          <w:sz w:val="19"/>
        </w:rPr>
      </w:pPr>
    </w:p>
    <w:p>
      <w:pPr>
        <w:pStyle w:val="ListParagraph"/>
        <w:numPr>
          <w:ilvl w:val="0"/>
          <w:numId w:val="223"/>
        </w:numPr>
        <w:tabs>
          <w:tab w:pos="2024" w:val="left" w:leader="none"/>
          <w:tab w:pos="2025" w:val="left" w:leader="none"/>
        </w:tabs>
        <w:spacing w:line="212" w:lineRule="exact" w:before="0" w:after="0"/>
        <w:ind w:left="2024" w:right="0" w:hanging="681"/>
        <w:jc w:val="left"/>
        <w:rPr>
          <w:sz w:val="20"/>
        </w:rPr>
      </w:pPr>
      <w:r>
        <w:rPr>
          <w:w w:val="115"/>
          <w:sz w:val="20"/>
        </w:rPr>
        <w:t>Its broader aims are</w:t>
      </w:r>
      <w:r>
        <w:rPr>
          <w:spacing w:val="18"/>
          <w:w w:val="115"/>
          <w:sz w:val="20"/>
        </w:rPr>
        <w:t> </w:t>
      </w:r>
      <w:r>
        <w:rPr>
          <w:spacing w:val="-3"/>
          <w:w w:val="115"/>
          <w:sz w:val="20"/>
        </w:rPr>
        <w:t>to:</w:t>
      </w:r>
    </w:p>
    <w:p>
      <w:pPr>
        <w:pStyle w:val="ListParagraph"/>
        <w:numPr>
          <w:ilvl w:val="0"/>
          <w:numId w:val="224"/>
        </w:numPr>
        <w:tabs>
          <w:tab w:pos="2024" w:val="left" w:leader="none"/>
          <w:tab w:pos="2025" w:val="left" w:leader="none"/>
        </w:tabs>
        <w:spacing w:line="196" w:lineRule="auto" w:before="12" w:after="0"/>
        <w:ind w:left="2024" w:right="1698" w:hanging="681"/>
        <w:jc w:val="left"/>
        <w:rPr>
          <w:sz w:val="20"/>
        </w:rPr>
      </w:pPr>
      <w:r>
        <w:rPr>
          <w:w w:val="120"/>
          <w:sz w:val="20"/>
        </w:rPr>
        <w:t>Ultimately strengthen global disarmament </w:t>
      </w:r>
      <w:r>
        <w:rPr>
          <w:spacing w:val="2"/>
          <w:w w:val="120"/>
          <w:sz w:val="20"/>
        </w:rPr>
        <w:t>efforts </w:t>
      </w:r>
      <w:r>
        <w:rPr>
          <w:w w:val="120"/>
          <w:sz w:val="20"/>
        </w:rPr>
        <w:t>by locating them around a principled position in international</w:t>
      </w:r>
      <w:r>
        <w:rPr>
          <w:spacing w:val="9"/>
          <w:w w:val="120"/>
          <w:sz w:val="20"/>
        </w:rPr>
        <w:t> </w:t>
      </w:r>
      <w:r>
        <w:rPr>
          <w:spacing w:val="-3"/>
          <w:w w:val="120"/>
          <w:sz w:val="20"/>
        </w:rPr>
        <w:t>law.</w:t>
      </w:r>
    </w:p>
    <w:p>
      <w:pPr>
        <w:pStyle w:val="ListParagraph"/>
        <w:numPr>
          <w:ilvl w:val="0"/>
          <w:numId w:val="224"/>
        </w:numPr>
        <w:tabs>
          <w:tab w:pos="2024" w:val="left" w:leader="none"/>
          <w:tab w:pos="2025" w:val="left" w:leader="none"/>
        </w:tabs>
        <w:spacing w:line="196" w:lineRule="auto" w:before="0" w:after="0"/>
        <w:ind w:left="2024" w:right="1284" w:hanging="681"/>
        <w:jc w:val="left"/>
        <w:rPr>
          <w:sz w:val="20"/>
        </w:rPr>
      </w:pPr>
      <w:r>
        <w:rPr>
          <w:w w:val="120"/>
          <w:sz w:val="20"/>
        </w:rPr>
        <w:t>Further stigmatise nuclear weapons, increasing the political cost of continuing to invest in their development and</w:t>
      </w:r>
      <w:r>
        <w:rPr>
          <w:spacing w:val="9"/>
          <w:w w:val="120"/>
          <w:sz w:val="20"/>
        </w:rPr>
        <w:t> </w:t>
      </w:r>
      <w:r>
        <w:rPr>
          <w:w w:val="120"/>
          <w:sz w:val="20"/>
        </w:rPr>
        <w:t>maintenance.</w:t>
      </w:r>
    </w:p>
    <w:p>
      <w:pPr>
        <w:pStyle w:val="ListParagraph"/>
        <w:numPr>
          <w:ilvl w:val="0"/>
          <w:numId w:val="224"/>
        </w:numPr>
        <w:tabs>
          <w:tab w:pos="2024" w:val="left" w:leader="none"/>
          <w:tab w:pos="2025" w:val="left" w:leader="none"/>
        </w:tabs>
        <w:spacing w:line="196" w:lineRule="auto" w:before="0" w:after="0"/>
        <w:ind w:left="2024" w:right="1316" w:hanging="681"/>
        <w:jc w:val="left"/>
        <w:rPr>
          <w:sz w:val="20"/>
        </w:rPr>
      </w:pPr>
      <w:r>
        <w:rPr>
          <w:w w:val="120"/>
          <w:sz w:val="20"/>
        </w:rPr>
        <w:t>Strengthen the Non-Proliferation Treaty (NPT) in both its disarmament and non- proliferation</w:t>
      </w:r>
      <w:r>
        <w:rPr>
          <w:spacing w:val="1"/>
          <w:w w:val="120"/>
          <w:sz w:val="20"/>
        </w:rPr>
        <w:t> </w:t>
      </w:r>
      <w:r>
        <w:rPr>
          <w:w w:val="120"/>
          <w:sz w:val="20"/>
        </w:rPr>
        <w:t>pillars.</w:t>
      </w:r>
    </w:p>
    <w:p>
      <w:pPr>
        <w:pStyle w:val="ListParagraph"/>
        <w:numPr>
          <w:ilvl w:val="0"/>
          <w:numId w:val="224"/>
        </w:numPr>
        <w:tabs>
          <w:tab w:pos="2024" w:val="left" w:leader="none"/>
          <w:tab w:pos="2025" w:val="left" w:leader="none"/>
        </w:tabs>
        <w:spacing w:line="298" w:lineRule="exact" w:before="0" w:after="0"/>
        <w:ind w:left="2024" w:right="0" w:hanging="681"/>
        <w:jc w:val="left"/>
        <w:rPr>
          <w:sz w:val="20"/>
        </w:rPr>
      </w:pPr>
      <w:r>
        <w:rPr>
          <w:w w:val="120"/>
          <w:sz w:val="20"/>
        </w:rPr>
        <w:t>Make private sector investment in nuclear weapons more difficult to</w:t>
      </w:r>
      <w:r>
        <w:rPr>
          <w:spacing w:val="7"/>
          <w:w w:val="120"/>
          <w:sz w:val="20"/>
        </w:rPr>
        <w:t> </w:t>
      </w:r>
      <w:r>
        <w:rPr>
          <w:w w:val="120"/>
          <w:sz w:val="20"/>
        </w:rPr>
        <w:t>sustain.</w:t>
      </w:r>
    </w:p>
    <w:p>
      <w:pPr>
        <w:pStyle w:val="ListParagraph"/>
        <w:numPr>
          <w:ilvl w:val="0"/>
          <w:numId w:val="223"/>
        </w:numPr>
        <w:tabs>
          <w:tab w:pos="2024" w:val="left" w:leader="none"/>
          <w:tab w:pos="2025" w:val="left" w:leader="none"/>
        </w:tabs>
        <w:spacing w:line="235" w:lineRule="auto" w:before="167" w:after="0"/>
        <w:ind w:left="1344" w:right="1677" w:firstLine="0"/>
        <w:jc w:val="left"/>
        <w:rPr>
          <w:sz w:val="20"/>
        </w:rPr>
      </w:pPr>
      <w:r>
        <w:rPr>
          <w:w w:val="120"/>
          <w:sz w:val="20"/>
        </w:rPr>
        <w:t>Introducing a ban treaty now is controversial as it is unlikely to achieve the consent of nuclear weapons states. Supporters propose that this principled step be taken </w:t>
      </w:r>
      <w:r>
        <w:rPr>
          <w:spacing w:val="-3"/>
          <w:w w:val="120"/>
          <w:sz w:val="20"/>
        </w:rPr>
        <w:t>now, </w:t>
      </w:r>
      <w:r>
        <w:rPr>
          <w:w w:val="120"/>
          <w:sz w:val="20"/>
        </w:rPr>
        <w:t>as a ban treaty would be compatible with a wider negotiation of other measures running in parallel </w:t>
      </w:r>
      <w:r>
        <w:rPr>
          <w:spacing w:val="-4"/>
          <w:w w:val="120"/>
          <w:sz w:val="20"/>
        </w:rPr>
        <w:t>(such </w:t>
      </w:r>
      <w:r>
        <w:rPr>
          <w:w w:val="120"/>
          <w:sz w:val="20"/>
        </w:rPr>
        <w:t>as the ratification of the Comprehensive </w:t>
      </w:r>
      <w:r>
        <w:rPr>
          <w:spacing w:val="-3"/>
          <w:w w:val="120"/>
          <w:sz w:val="20"/>
        </w:rPr>
        <w:t>Test </w:t>
      </w:r>
      <w:r>
        <w:rPr>
          <w:w w:val="120"/>
          <w:sz w:val="20"/>
        </w:rPr>
        <w:t>Ban Treaty and a nuclear weapons</w:t>
      </w:r>
      <w:r>
        <w:rPr>
          <w:spacing w:val="11"/>
          <w:w w:val="120"/>
          <w:sz w:val="20"/>
        </w:rPr>
        <w:t> </w:t>
      </w:r>
      <w:r>
        <w:rPr>
          <w:spacing w:val="-3"/>
          <w:w w:val="120"/>
          <w:sz w:val="20"/>
        </w:rPr>
        <w:t>convention).</w:t>
      </w:r>
    </w:p>
    <w:p>
      <w:pPr>
        <w:pStyle w:val="BodyText"/>
        <w:spacing w:before="12"/>
        <w:rPr>
          <w:sz w:val="19"/>
        </w:rPr>
      </w:pPr>
    </w:p>
    <w:p>
      <w:pPr>
        <w:pStyle w:val="ListParagraph"/>
        <w:numPr>
          <w:ilvl w:val="0"/>
          <w:numId w:val="223"/>
        </w:numPr>
        <w:tabs>
          <w:tab w:pos="2024" w:val="left" w:leader="none"/>
          <w:tab w:pos="2025" w:val="left" w:leader="none"/>
        </w:tabs>
        <w:spacing w:line="235" w:lineRule="auto" w:before="0" w:after="0"/>
        <w:ind w:left="1344" w:right="1530" w:firstLine="0"/>
        <w:jc w:val="left"/>
        <w:rPr>
          <w:sz w:val="20"/>
        </w:rPr>
      </w:pPr>
      <w:r>
        <w:rPr>
          <w:w w:val="120"/>
          <w:sz w:val="20"/>
        </w:rPr>
        <w:t>This resolution comes within the context of a continuing commitment on the </w:t>
      </w:r>
      <w:r>
        <w:rPr>
          <w:spacing w:val="2"/>
          <w:w w:val="120"/>
          <w:sz w:val="20"/>
        </w:rPr>
        <w:t>part </w:t>
      </w:r>
      <w:r>
        <w:rPr>
          <w:w w:val="120"/>
          <w:sz w:val="20"/>
        </w:rPr>
        <w:t>of the Church of Scotland, the Methodist Church, and the Baptist Union of Great Britain to offer a strong public witness to the alternatives to investment in nuclear weapons. The JPIT Churches are committed to working for a world free of nuclear weapons and have made strong statements in this respect. It could be argued</w:t>
      </w:r>
      <w:r>
        <w:rPr>
          <w:spacing w:val="52"/>
          <w:w w:val="120"/>
          <w:sz w:val="20"/>
        </w:rPr>
        <w:t> </w:t>
      </w:r>
      <w:r>
        <w:rPr>
          <w:w w:val="120"/>
          <w:sz w:val="20"/>
        </w:rPr>
        <w:t>that</w:t>
      </w:r>
    </w:p>
    <w:p>
      <w:pPr>
        <w:pStyle w:val="BodyText"/>
        <w:spacing w:line="235" w:lineRule="auto" w:before="4"/>
        <w:ind w:left="1344" w:right="1478"/>
      </w:pPr>
      <w:r>
        <w:rPr>
          <w:w w:val="120"/>
        </w:rPr>
        <w:t>in principle the URC already supports a ban, as once you have achieved near zero nuclear weapons, a ban treaty becomes the next obvious step. The call for a nuclear weapons ban treaty has so far been made explicit by statements from the Methodists and the Church of Scotland. Our four churches have been prominent in support for other treaties to ban indiscriminate weapons including, most recently, the Land Mine Convention and Convention on Cluster Munitions.</w:t>
      </w:r>
    </w:p>
    <w:p>
      <w:pPr>
        <w:pStyle w:val="BodyText"/>
      </w:pPr>
    </w:p>
    <w:p>
      <w:pPr>
        <w:pStyle w:val="ListParagraph"/>
        <w:numPr>
          <w:ilvl w:val="0"/>
          <w:numId w:val="223"/>
        </w:numPr>
        <w:tabs>
          <w:tab w:pos="2024" w:val="left" w:leader="none"/>
          <w:tab w:pos="2025" w:val="left" w:leader="none"/>
        </w:tabs>
        <w:spacing w:line="235" w:lineRule="auto" w:before="0" w:after="0"/>
        <w:ind w:left="1344" w:right="1440" w:firstLine="0"/>
        <w:jc w:val="left"/>
        <w:rPr>
          <w:sz w:val="20"/>
        </w:rPr>
      </w:pPr>
      <w:r>
        <w:rPr>
          <w:w w:val="120"/>
          <w:sz w:val="20"/>
        </w:rPr>
        <w:t>The Foreign and Commonwealth Office’s objections to a ban treaty are: </w:t>
      </w:r>
      <w:r>
        <w:rPr>
          <w:spacing w:val="-11"/>
          <w:w w:val="120"/>
          <w:sz w:val="20"/>
        </w:rPr>
        <w:t>(a) </w:t>
      </w:r>
      <w:r>
        <w:rPr>
          <w:w w:val="120"/>
          <w:sz w:val="20"/>
        </w:rPr>
        <w:t>that it would distract attention from the NPT, which it believes should be the cornerstone of disarmament efforts; and </w:t>
      </w:r>
      <w:r>
        <w:rPr>
          <w:spacing w:val="-7"/>
          <w:w w:val="120"/>
          <w:sz w:val="20"/>
        </w:rPr>
        <w:t>(b) </w:t>
      </w:r>
      <w:r>
        <w:rPr>
          <w:w w:val="120"/>
          <w:sz w:val="20"/>
        </w:rPr>
        <w:t>that such a treaty is not verifiable at this point in time. However, both of these two arguments can be countered and we must look more deeply to understand the antipathy to this</w:t>
      </w:r>
      <w:r>
        <w:rPr>
          <w:spacing w:val="15"/>
          <w:w w:val="120"/>
          <w:sz w:val="20"/>
        </w:rPr>
        <w:t> </w:t>
      </w:r>
      <w:r>
        <w:rPr>
          <w:w w:val="120"/>
          <w:sz w:val="20"/>
        </w:rPr>
        <w:t>proposal.</w:t>
      </w:r>
    </w:p>
    <w:p>
      <w:pPr>
        <w:pStyle w:val="BodyText"/>
        <w:spacing w:before="3"/>
      </w:pPr>
    </w:p>
    <w:p>
      <w:pPr>
        <w:pStyle w:val="ListParagraph"/>
        <w:numPr>
          <w:ilvl w:val="0"/>
          <w:numId w:val="223"/>
        </w:numPr>
        <w:tabs>
          <w:tab w:pos="2024" w:val="left" w:leader="none"/>
          <w:tab w:pos="2025" w:val="left" w:leader="none"/>
        </w:tabs>
        <w:spacing w:line="230" w:lineRule="auto" w:before="0" w:after="0"/>
        <w:ind w:left="1344" w:right="1342" w:firstLine="0"/>
        <w:jc w:val="left"/>
        <w:rPr>
          <w:sz w:val="20"/>
        </w:rPr>
      </w:pPr>
      <w:r>
        <w:rPr>
          <w:w w:val="120"/>
          <w:sz w:val="20"/>
        </w:rPr>
        <w:t>There are at least three distinct potential paths to achieving complete disarmament</w:t>
      </w:r>
      <w:r>
        <w:rPr>
          <w:w w:val="120"/>
          <w:position w:val="4"/>
          <w:sz w:val="18"/>
        </w:rPr>
        <w:t>13</w:t>
      </w:r>
      <w:r>
        <w:rPr>
          <w:w w:val="120"/>
          <w:sz w:val="20"/>
        </w:rPr>
        <w:t>. The FCO advocate the ‘step-by-step approach’ in which </w:t>
      </w:r>
      <w:r>
        <w:rPr>
          <w:spacing w:val="2"/>
          <w:w w:val="120"/>
          <w:sz w:val="20"/>
        </w:rPr>
        <w:t>efforts </w:t>
      </w:r>
      <w:r>
        <w:rPr>
          <w:w w:val="120"/>
          <w:sz w:val="20"/>
        </w:rPr>
        <w:t>are focused on creating the necessary conditions that might make disarmament achievable (there is no consensus on what would constitute achievability). This approach by</w:t>
      </w:r>
      <w:r>
        <w:rPr>
          <w:spacing w:val="36"/>
          <w:w w:val="120"/>
          <w:sz w:val="20"/>
        </w:rPr>
        <w:t> </w:t>
      </w:r>
      <w:r>
        <w:rPr>
          <w:w w:val="120"/>
          <w:sz w:val="20"/>
        </w:rPr>
        <w:t>its</w:t>
      </w:r>
    </w:p>
    <w:p>
      <w:pPr>
        <w:pStyle w:val="BodyText"/>
        <w:spacing w:before="7"/>
        <w:rPr>
          <w:sz w:val="9"/>
        </w:rPr>
      </w:pPr>
      <w:r>
        <w:rPr/>
        <w:pict>
          <v:shape style="position:absolute;margin-left:99.212601pt;margin-top:8.329008pt;width:72pt;height:.1pt;mso-position-horizontal-relative:page;mso-position-vertical-relative:paragraph;z-index:-251143168;mso-wrap-distance-left:0;mso-wrap-distance-right:0" coordorigin="1984,167" coordsize="1440,0" path="m1984,167l3424,167e" filled="false" stroked="true" strokeweight="1pt" strokecolor="#000000">
            <v:path arrowok="t"/>
            <v:stroke dashstyle="solid"/>
            <w10:wrap type="topAndBottom"/>
          </v:shape>
        </w:pict>
      </w:r>
    </w:p>
    <w:p>
      <w:pPr>
        <w:tabs>
          <w:tab w:pos="1849" w:val="left" w:leader="none"/>
        </w:tabs>
        <w:spacing w:before="9"/>
        <w:ind w:left="1344" w:right="0" w:firstLine="0"/>
        <w:jc w:val="left"/>
        <w:rPr>
          <w:sz w:val="18"/>
        </w:rPr>
      </w:pPr>
      <w:r>
        <w:rPr>
          <w:spacing w:val="-9"/>
          <w:w w:val="120"/>
          <w:sz w:val="18"/>
        </w:rPr>
        <w:t>13</w:t>
        <w:tab/>
      </w:r>
      <w:r>
        <w:rPr>
          <w:w w:val="120"/>
          <w:sz w:val="18"/>
        </w:rPr>
        <w:t>See for example, the New Agenda Coalition </w:t>
      </w:r>
      <w:r>
        <w:rPr>
          <w:spacing w:val="2"/>
          <w:w w:val="120"/>
          <w:sz w:val="18"/>
        </w:rPr>
        <w:t>report </w:t>
      </w:r>
      <w:r>
        <w:rPr>
          <w:w w:val="120"/>
          <w:sz w:val="18"/>
        </w:rPr>
        <w:t>to the </w:t>
      </w:r>
      <w:r>
        <w:rPr>
          <w:spacing w:val="2"/>
          <w:w w:val="120"/>
          <w:sz w:val="18"/>
        </w:rPr>
        <w:t>NPT </w:t>
      </w:r>
      <w:r>
        <w:rPr>
          <w:w w:val="120"/>
          <w:sz w:val="18"/>
        </w:rPr>
        <w:t>PrepComm</w:t>
      </w:r>
      <w:r>
        <w:rPr>
          <w:spacing w:val="6"/>
          <w:w w:val="120"/>
          <w:sz w:val="18"/>
        </w:rPr>
        <w:t> </w:t>
      </w:r>
      <w:r>
        <w:rPr>
          <w:spacing w:val="-5"/>
          <w:w w:val="120"/>
          <w:sz w:val="18"/>
        </w:rPr>
        <w:t>2014</w:t>
      </w:r>
    </w:p>
    <w:p>
      <w:pPr>
        <w:spacing w:after="0"/>
        <w:jc w:val="left"/>
        <w:rPr>
          <w:sz w:val="18"/>
        </w:rPr>
        <w:sectPr>
          <w:headerReference w:type="default" r:id="rId517"/>
          <w:footerReference w:type="default" r:id="rId518"/>
          <w:pgSz w:w="11910" w:h="16840"/>
          <w:pgMar w:header="0" w:footer="647" w:top="0" w:bottom="840" w:left="640" w:right="0"/>
          <w:pgNumType w:start="193"/>
        </w:sectPr>
      </w:pPr>
    </w:p>
    <w:p>
      <w:pPr>
        <w:pStyle w:val="BodyText"/>
      </w:pPr>
      <w:r>
        <w:rPr/>
        <w:drawing>
          <wp:anchor distT="0" distB="0" distL="0" distR="0" allowOverlap="1" layoutInCell="1" locked="0" behindDoc="1" simplePos="0" relativeHeight="235723776">
            <wp:simplePos x="0" y="0"/>
            <wp:positionH relativeFrom="page">
              <wp:posOffset>0</wp:posOffset>
            </wp:positionH>
            <wp:positionV relativeFrom="page">
              <wp:posOffset>0</wp:posOffset>
            </wp:positionV>
            <wp:extent cx="594067" cy="10692003"/>
            <wp:effectExtent l="0" t="0" r="0" b="0"/>
            <wp:wrapNone/>
            <wp:docPr id="369" name="image67.png"/>
            <wp:cNvGraphicFramePr>
              <a:graphicFrameLocks noChangeAspect="1"/>
            </wp:cNvGraphicFramePr>
            <a:graphic>
              <a:graphicData uri="http://schemas.openxmlformats.org/drawingml/2006/picture">
                <pic:pic>
                  <pic:nvPicPr>
                    <pic:cNvPr id="370" name="image67.png"/>
                    <pic:cNvPicPr/>
                  </pic:nvPicPr>
                  <pic:blipFill>
                    <a:blip r:embed="rId184" cstate="print"/>
                    <a:stretch>
                      <a:fillRect/>
                    </a:stretch>
                  </pic:blipFill>
                  <pic:spPr>
                    <a:xfrm>
                      <a:off x="0" y="0"/>
                      <a:ext cx="594067" cy="10692003"/>
                    </a:xfrm>
                    <a:prstGeom prst="rect">
                      <a:avLst/>
                    </a:prstGeom>
                  </pic:spPr>
                </pic:pic>
              </a:graphicData>
            </a:graphic>
          </wp:anchor>
        </w:drawing>
      </w:r>
      <w:r>
        <w:rPr/>
        <w:pict>
          <v:shape style="position:absolute;margin-left:20.519100pt;margin-top:48.890015pt;width:25.9pt;height:393.4pt;mso-position-horizontal-relative:page;mso-position-vertical-relative:page;z-index:-267591680" type="#_x0000_t202" filled="false" stroked="false">
            <v:textbox inset="0,0,0,0" style="layout-flow:vertical">
              <w:txbxContent>
                <w:p>
                  <w:pPr>
                    <w:spacing w:before="27"/>
                    <w:ind w:left="20" w:right="0" w:firstLine="0"/>
                    <w:jc w:val="left"/>
                    <w:rPr>
                      <w:sz w:val="39"/>
                    </w:rPr>
                  </w:pPr>
                  <w:r>
                    <w:rPr>
                      <w:color w:val="FFFFFF"/>
                      <w:spacing w:val="9"/>
                      <w:w w:val="120"/>
                      <w:sz w:val="39"/>
                    </w:rPr>
                    <w:t>Mission </w:t>
                  </w:r>
                  <w:r>
                    <w:rPr>
                      <w:color w:val="FFFFFF"/>
                      <w:w w:val="120"/>
                      <w:sz w:val="39"/>
                    </w:rPr>
                    <w:t>– </w:t>
                  </w:r>
                  <w:r>
                    <w:rPr>
                      <w:spacing w:val="9"/>
                      <w:w w:val="120"/>
                      <w:sz w:val="39"/>
                    </w:rPr>
                    <w:t>Nuclear Weapons </w:t>
                  </w:r>
                  <w:r>
                    <w:rPr>
                      <w:spacing w:val="7"/>
                      <w:w w:val="120"/>
                      <w:sz w:val="39"/>
                    </w:rPr>
                    <w:t>Ban</w:t>
                  </w:r>
                  <w:r>
                    <w:rPr>
                      <w:spacing w:val="103"/>
                      <w:w w:val="120"/>
                      <w:sz w:val="39"/>
                    </w:rPr>
                    <w:t> </w:t>
                  </w:r>
                  <w:r>
                    <w:rPr>
                      <w:spacing w:val="6"/>
                      <w:w w:val="120"/>
                      <w:sz w:val="39"/>
                    </w:rPr>
                    <w:t>Treaty</w:t>
                  </w:r>
                </w:p>
              </w:txbxContent>
            </v:textbox>
            <w10:wrap type="none"/>
          </v:shape>
        </w:pict>
      </w:r>
    </w:p>
    <w:p>
      <w:pPr>
        <w:pStyle w:val="BodyText"/>
        <w:spacing w:before="7"/>
        <w:rPr>
          <w:sz w:val="21"/>
        </w:rPr>
      </w:pPr>
    </w:p>
    <w:p>
      <w:pPr>
        <w:spacing w:before="106"/>
        <w:ind w:left="607" w:right="0" w:firstLine="0"/>
        <w:jc w:val="left"/>
        <w:rPr>
          <w:sz w:val="26"/>
        </w:rPr>
      </w:pPr>
      <w:r>
        <w:rPr>
          <w:color w:val="7EAABF"/>
          <w:w w:val="115"/>
          <w:sz w:val="26"/>
        </w:rPr>
        <w:t>Mission</w:t>
      </w:r>
    </w:p>
    <w:p>
      <w:pPr>
        <w:pStyle w:val="BodyText"/>
        <w:spacing w:line="235" w:lineRule="auto" w:before="222"/>
        <w:ind w:left="607" w:right="2007"/>
      </w:pPr>
      <w:r>
        <w:rPr>
          <w:w w:val="120"/>
        </w:rPr>
        <w:t>nature refuses to identify any step other than the next step, and strongly resists any and all multilateral discussions over milestones or timescales. This has led to the Marshall Islands arguing in the International Court of Justice that the nuclear weapons powers show little sign of negotiating in good faith on nuclear disarmament.</w:t>
      </w:r>
    </w:p>
    <w:p>
      <w:pPr>
        <w:pStyle w:val="BodyText"/>
        <w:spacing w:before="10"/>
        <w:rPr>
          <w:sz w:val="19"/>
        </w:rPr>
      </w:pPr>
    </w:p>
    <w:p>
      <w:pPr>
        <w:pStyle w:val="ListParagraph"/>
        <w:numPr>
          <w:ilvl w:val="0"/>
          <w:numId w:val="223"/>
        </w:numPr>
        <w:tabs>
          <w:tab w:pos="1287" w:val="left" w:leader="none"/>
          <w:tab w:pos="1288" w:val="left" w:leader="none"/>
        </w:tabs>
        <w:spacing w:line="235" w:lineRule="auto" w:before="1" w:after="0"/>
        <w:ind w:left="607" w:right="2096" w:firstLine="0"/>
        <w:jc w:val="left"/>
        <w:rPr>
          <w:sz w:val="20"/>
        </w:rPr>
      </w:pPr>
      <w:r>
        <w:rPr>
          <w:w w:val="120"/>
          <w:sz w:val="20"/>
        </w:rPr>
        <w:t>The step-by-step approach in the form advocated by the UK government would appear to sit at odds with the </w:t>
      </w:r>
      <w:r>
        <w:rPr>
          <w:spacing w:val="-4"/>
          <w:w w:val="120"/>
          <w:sz w:val="20"/>
        </w:rPr>
        <w:t>UK’s </w:t>
      </w:r>
      <w:r>
        <w:rPr>
          <w:w w:val="120"/>
          <w:sz w:val="20"/>
        </w:rPr>
        <w:t>obligations under the NPT. The UK has chosen not  to attend the Open-Ended Working Group on Multilateral Disarmament mandated by the </w:t>
      </w:r>
      <w:r>
        <w:rPr>
          <w:spacing w:val="-7"/>
          <w:w w:val="120"/>
          <w:sz w:val="20"/>
        </w:rPr>
        <w:t>2015 </w:t>
      </w:r>
      <w:r>
        <w:rPr>
          <w:w w:val="120"/>
          <w:sz w:val="20"/>
        </w:rPr>
        <w:t>UN General Assembly. However, this unwillingness to talk about multilateral disarmament effectively makes the </w:t>
      </w:r>
      <w:r>
        <w:rPr>
          <w:spacing w:val="-4"/>
          <w:w w:val="120"/>
          <w:sz w:val="20"/>
        </w:rPr>
        <w:t>UK’s </w:t>
      </w:r>
      <w:r>
        <w:rPr>
          <w:w w:val="120"/>
          <w:sz w:val="20"/>
        </w:rPr>
        <w:t>reliance on nuclear deterrence a security posture, and tends to prevent the influence of the </w:t>
      </w:r>
      <w:r>
        <w:rPr>
          <w:spacing w:val="2"/>
          <w:w w:val="120"/>
          <w:sz w:val="20"/>
        </w:rPr>
        <w:t>NPT </w:t>
      </w:r>
      <w:r>
        <w:rPr>
          <w:w w:val="120"/>
          <w:sz w:val="20"/>
        </w:rPr>
        <w:t>from widening. Paradoxically this weakens the very treaty that the UK wants to be the cornerstone of inter- governmental non-proliferation and disarmament</w:t>
      </w:r>
      <w:r>
        <w:rPr>
          <w:spacing w:val="7"/>
          <w:w w:val="120"/>
          <w:sz w:val="20"/>
        </w:rPr>
        <w:t> </w:t>
      </w:r>
      <w:r>
        <w:rPr>
          <w:spacing w:val="2"/>
          <w:w w:val="120"/>
          <w:sz w:val="20"/>
        </w:rPr>
        <w:t>efforts.</w:t>
      </w:r>
    </w:p>
    <w:p>
      <w:pPr>
        <w:pStyle w:val="BodyText"/>
        <w:spacing w:before="1"/>
      </w:pPr>
    </w:p>
    <w:p>
      <w:pPr>
        <w:pStyle w:val="ListParagraph"/>
        <w:numPr>
          <w:ilvl w:val="0"/>
          <w:numId w:val="223"/>
        </w:numPr>
        <w:tabs>
          <w:tab w:pos="1287" w:val="left" w:leader="none"/>
          <w:tab w:pos="1288" w:val="left" w:leader="none"/>
        </w:tabs>
        <w:spacing w:line="235" w:lineRule="auto" w:before="0" w:after="0"/>
        <w:ind w:left="607" w:right="2356" w:firstLine="0"/>
        <w:jc w:val="left"/>
        <w:rPr>
          <w:sz w:val="20"/>
        </w:rPr>
      </w:pPr>
      <w:r>
        <w:rPr>
          <w:w w:val="120"/>
          <w:sz w:val="20"/>
        </w:rPr>
        <w:t>That ‘realist’ perspective on international relations and disarmament limits the role that might be played by civil society in bringing about change. It </w:t>
      </w:r>
      <w:r>
        <w:rPr>
          <w:spacing w:val="2"/>
          <w:w w:val="120"/>
          <w:sz w:val="20"/>
        </w:rPr>
        <w:t>expects </w:t>
      </w:r>
      <w:r>
        <w:rPr>
          <w:w w:val="120"/>
          <w:sz w:val="20"/>
        </w:rPr>
        <w:t>developments in international law to be driven by practice, and in particular by the practice of those states that have significant influence, including the five permanent members</w:t>
      </w:r>
      <w:r>
        <w:rPr>
          <w:spacing w:val="7"/>
          <w:w w:val="120"/>
          <w:sz w:val="20"/>
        </w:rPr>
        <w:t> </w:t>
      </w:r>
      <w:r>
        <w:rPr>
          <w:w w:val="120"/>
          <w:sz w:val="20"/>
        </w:rPr>
        <w:t>of</w:t>
      </w:r>
      <w:r>
        <w:rPr>
          <w:spacing w:val="8"/>
          <w:w w:val="120"/>
          <w:sz w:val="20"/>
        </w:rPr>
        <w:t> </w:t>
      </w:r>
      <w:r>
        <w:rPr>
          <w:w w:val="120"/>
          <w:sz w:val="20"/>
        </w:rPr>
        <w:t>the</w:t>
      </w:r>
      <w:r>
        <w:rPr>
          <w:spacing w:val="8"/>
          <w:w w:val="120"/>
          <w:sz w:val="20"/>
        </w:rPr>
        <w:t> </w:t>
      </w:r>
      <w:r>
        <w:rPr>
          <w:w w:val="120"/>
          <w:sz w:val="20"/>
        </w:rPr>
        <w:t>Security</w:t>
      </w:r>
      <w:r>
        <w:rPr>
          <w:spacing w:val="8"/>
          <w:w w:val="120"/>
          <w:sz w:val="20"/>
        </w:rPr>
        <w:t> </w:t>
      </w:r>
      <w:r>
        <w:rPr>
          <w:w w:val="120"/>
          <w:sz w:val="20"/>
        </w:rPr>
        <w:t>Council.</w:t>
      </w:r>
      <w:r>
        <w:rPr>
          <w:spacing w:val="8"/>
          <w:w w:val="120"/>
          <w:sz w:val="20"/>
        </w:rPr>
        <w:t> </w:t>
      </w:r>
      <w:r>
        <w:rPr>
          <w:w w:val="120"/>
          <w:sz w:val="20"/>
        </w:rPr>
        <w:t>Consequently</w:t>
      </w:r>
      <w:r>
        <w:rPr>
          <w:spacing w:val="8"/>
          <w:w w:val="120"/>
          <w:sz w:val="20"/>
        </w:rPr>
        <w:t> </w:t>
      </w:r>
      <w:r>
        <w:rPr>
          <w:w w:val="120"/>
          <w:sz w:val="20"/>
        </w:rPr>
        <w:t>calls</w:t>
      </w:r>
      <w:r>
        <w:rPr>
          <w:spacing w:val="8"/>
          <w:w w:val="120"/>
          <w:sz w:val="20"/>
        </w:rPr>
        <w:t> </w:t>
      </w:r>
      <w:r>
        <w:rPr>
          <w:w w:val="120"/>
          <w:sz w:val="20"/>
        </w:rPr>
        <w:t>from</w:t>
      </w:r>
      <w:r>
        <w:rPr>
          <w:spacing w:val="8"/>
          <w:w w:val="120"/>
          <w:sz w:val="20"/>
        </w:rPr>
        <w:t> </w:t>
      </w:r>
      <w:r>
        <w:rPr>
          <w:w w:val="120"/>
          <w:sz w:val="20"/>
        </w:rPr>
        <w:t>the</w:t>
      </w:r>
      <w:r>
        <w:rPr>
          <w:spacing w:val="8"/>
          <w:w w:val="120"/>
          <w:sz w:val="20"/>
        </w:rPr>
        <w:t> </w:t>
      </w:r>
      <w:r>
        <w:rPr>
          <w:w w:val="120"/>
          <w:sz w:val="20"/>
        </w:rPr>
        <w:t>UN</w:t>
      </w:r>
      <w:r>
        <w:rPr>
          <w:spacing w:val="8"/>
          <w:w w:val="120"/>
          <w:sz w:val="20"/>
        </w:rPr>
        <w:t> </w:t>
      </w:r>
      <w:r>
        <w:rPr>
          <w:w w:val="120"/>
          <w:sz w:val="20"/>
        </w:rPr>
        <w:t>General</w:t>
      </w:r>
      <w:r>
        <w:rPr>
          <w:spacing w:val="8"/>
          <w:w w:val="120"/>
          <w:sz w:val="20"/>
        </w:rPr>
        <w:t> </w:t>
      </w:r>
      <w:r>
        <w:rPr>
          <w:w w:val="120"/>
          <w:sz w:val="20"/>
        </w:rPr>
        <w:t>Assembly</w:t>
      </w:r>
    </w:p>
    <w:p>
      <w:pPr>
        <w:pStyle w:val="BodyText"/>
        <w:spacing w:line="235" w:lineRule="auto" w:before="4"/>
        <w:ind w:left="607" w:right="2045"/>
      </w:pPr>
      <w:r>
        <w:rPr>
          <w:w w:val="120"/>
        </w:rPr>
        <w:t>for changes in international law or negotiations on initiatives that obligate the UK, US, Russia, China and France on disarmament are considered by the five recognised nuclear weapons states as unhelpful and unlikely to be productive.</w:t>
      </w:r>
    </w:p>
    <w:p>
      <w:pPr>
        <w:pStyle w:val="BodyText"/>
        <w:spacing w:before="10"/>
        <w:rPr>
          <w:sz w:val="19"/>
        </w:rPr>
      </w:pPr>
    </w:p>
    <w:p>
      <w:pPr>
        <w:pStyle w:val="ListParagraph"/>
        <w:numPr>
          <w:ilvl w:val="0"/>
          <w:numId w:val="223"/>
        </w:numPr>
        <w:tabs>
          <w:tab w:pos="1287" w:val="left" w:leader="none"/>
          <w:tab w:pos="1288" w:val="left" w:leader="none"/>
        </w:tabs>
        <w:spacing w:line="235" w:lineRule="auto" w:before="0" w:after="0"/>
        <w:ind w:left="607" w:right="2106" w:firstLine="0"/>
        <w:jc w:val="left"/>
        <w:rPr>
          <w:sz w:val="20"/>
        </w:rPr>
      </w:pPr>
      <w:r>
        <w:rPr>
          <w:w w:val="120"/>
          <w:sz w:val="20"/>
        </w:rPr>
        <w:t>The competing perspective is that international law should have wide ownership. The Conference on the Humanitarian Impacts of Nuclear Weapons has demonstrated that even a limited nuclear exchange would probably have global impacts. It has been argued that the framework for international law on nuclear weapons should be constructed not by those that possess nuclear weapons but by those most likely to be impacted by their use (whether by accident or </w:t>
      </w:r>
      <w:r>
        <w:rPr>
          <w:spacing w:val="-3"/>
          <w:w w:val="120"/>
          <w:sz w:val="20"/>
        </w:rPr>
        <w:t>design). </w:t>
      </w:r>
      <w:r>
        <w:rPr>
          <w:w w:val="120"/>
          <w:sz w:val="20"/>
        </w:rPr>
        <w:t>Even without the backing of nuclear weapons states, such a treaty could become a </w:t>
      </w:r>
      <w:r>
        <w:rPr>
          <w:spacing w:val="2"/>
          <w:w w:val="120"/>
          <w:sz w:val="20"/>
        </w:rPr>
        <w:t>part </w:t>
      </w:r>
      <w:r>
        <w:rPr>
          <w:w w:val="120"/>
          <w:sz w:val="20"/>
        </w:rPr>
        <w:t>of the body of international law quite quickly. A majority of states would sign very early and, following ratifications by state parties, the treaty would enter into force. There is  a compelling legal case for proceeding in this direction as the lack of such a treaty is an anomaly in international </w:t>
      </w:r>
      <w:r>
        <w:rPr>
          <w:spacing w:val="-3"/>
          <w:w w:val="120"/>
          <w:sz w:val="20"/>
        </w:rPr>
        <w:t>law, </w:t>
      </w:r>
      <w:r>
        <w:rPr>
          <w:w w:val="120"/>
          <w:sz w:val="20"/>
        </w:rPr>
        <w:t>given the precedents in international humanitarian law and the conventions that exist on chemical and biological</w:t>
      </w:r>
      <w:r>
        <w:rPr>
          <w:spacing w:val="29"/>
          <w:w w:val="120"/>
          <w:sz w:val="20"/>
        </w:rPr>
        <w:t> </w:t>
      </w:r>
      <w:r>
        <w:rPr>
          <w:w w:val="120"/>
          <w:sz w:val="20"/>
        </w:rPr>
        <w:t>weapons.</w:t>
      </w:r>
    </w:p>
    <w:p>
      <w:pPr>
        <w:pStyle w:val="BodyText"/>
        <w:spacing w:before="5"/>
      </w:pPr>
    </w:p>
    <w:p>
      <w:pPr>
        <w:pStyle w:val="ListParagraph"/>
        <w:numPr>
          <w:ilvl w:val="0"/>
          <w:numId w:val="223"/>
        </w:numPr>
        <w:tabs>
          <w:tab w:pos="1287" w:val="left" w:leader="none"/>
          <w:tab w:pos="1288" w:val="left" w:leader="none"/>
        </w:tabs>
        <w:spacing w:line="235" w:lineRule="auto" w:before="0" w:after="0"/>
        <w:ind w:left="607" w:right="2355" w:firstLine="0"/>
        <w:jc w:val="left"/>
        <w:rPr>
          <w:sz w:val="20"/>
        </w:rPr>
      </w:pPr>
      <w:r>
        <w:rPr>
          <w:w w:val="120"/>
          <w:sz w:val="20"/>
        </w:rPr>
        <w:t>Christopher Weeramantry, former Vice President of the International Court of Justice, has</w:t>
      </w:r>
      <w:r>
        <w:rPr>
          <w:spacing w:val="3"/>
          <w:w w:val="120"/>
          <w:sz w:val="20"/>
        </w:rPr>
        <w:t> </w:t>
      </w:r>
      <w:r>
        <w:rPr>
          <w:w w:val="120"/>
          <w:sz w:val="20"/>
        </w:rPr>
        <w:t>said:</w:t>
      </w:r>
    </w:p>
    <w:p>
      <w:pPr>
        <w:spacing w:line="235" w:lineRule="auto" w:before="2"/>
        <w:ind w:left="1287" w:right="2045" w:firstLine="0"/>
        <w:jc w:val="left"/>
        <w:rPr>
          <w:i/>
          <w:sz w:val="20"/>
        </w:rPr>
      </w:pPr>
      <w:r>
        <w:rPr>
          <w:i/>
          <w:w w:val="110"/>
          <w:sz w:val="20"/>
        </w:rPr>
        <w:t>Law after all is based on the moral sense of the community and the moral sense of the </w:t>
      </w:r>
      <w:r>
        <w:rPr>
          <w:i/>
          <w:w w:val="110"/>
          <w:sz w:val="20"/>
        </w:rPr>
        <w:t>community draws deeply from the reservoirs of morality that are present in religion.</w:t>
      </w:r>
    </w:p>
    <w:p>
      <w:pPr>
        <w:spacing w:line="235" w:lineRule="auto" w:before="1"/>
        <w:ind w:left="1287" w:right="2114" w:firstLine="0"/>
        <w:jc w:val="left"/>
        <w:rPr>
          <w:i/>
          <w:sz w:val="20"/>
        </w:rPr>
      </w:pPr>
      <w:r>
        <w:rPr>
          <w:i/>
          <w:w w:val="110"/>
          <w:sz w:val="20"/>
        </w:rPr>
        <w:t>All legal systems at their formative stages of development draw heavily upon religious </w:t>
      </w:r>
      <w:r>
        <w:rPr>
          <w:i/>
          <w:w w:val="110"/>
          <w:sz w:val="20"/>
        </w:rPr>
        <w:t>principles, not in the sense of the dogma, or shall we say the ritual, or the high theology of religion, but upon the basic principles of morality which were contained in that body  of religious</w:t>
      </w:r>
      <w:r>
        <w:rPr>
          <w:i/>
          <w:spacing w:val="7"/>
          <w:w w:val="110"/>
          <w:sz w:val="20"/>
        </w:rPr>
        <w:t> </w:t>
      </w:r>
      <w:r>
        <w:rPr>
          <w:i/>
          <w:w w:val="110"/>
          <w:sz w:val="20"/>
        </w:rPr>
        <w:t>teaching.</w:t>
      </w:r>
    </w:p>
    <w:p>
      <w:pPr>
        <w:pStyle w:val="BodyText"/>
        <w:spacing w:before="11"/>
        <w:rPr>
          <w:i/>
          <w:sz w:val="19"/>
        </w:rPr>
      </w:pPr>
    </w:p>
    <w:p>
      <w:pPr>
        <w:pStyle w:val="BodyText"/>
        <w:spacing w:line="235" w:lineRule="auto"/>
        <w:ind w:left="607" w:right="2045"/>
      </w:pPr>
      <w:r>
        <w:rPr>
          <w:w w:val="120"/>
        </w:rPr>
        <w:t>Religions are united in their view on the morality of the use of weapons of mass destruction. Possibly the most valuable contribution that the Church can offer into this contentious global debate is a clear moral stance. Our voice in this regard would be respected.</w:t>
      </w:r>
    </w:p>
    <w:p>
      <w:pPr>
        <w:pStyle w:val="BodyText"/>
        <w:spacing w:before="11"/>
        <w:rPr>
          <w:sz w:val="19"/>
        </w:rPr>
      </w:pPr>
    </w:p>
    <w:p>
      <w:pPr>
        <w:pStyle w:val="ListParagraph"/>
        <w:numPr>
          <w:ilvl w:val="0"/>
          <w:numId w:val="223"/>
        </w:numPr>
        <w:tabs>
          <w:tab w:pos="1287" w:val="left" w:leader="none"/>
          <w:tab w:pos="1288" w:val="left" w:leader="none"/>
        </w:tabs>
        <w:spacing w:line="235" w:lineRule="auto" w:before="0" w:after="0"/>
        <w:ind w:left="607" w:right="2049" w:firstLine="0"/>
        <w:jc w:val="left"/>
        <w:rPr>
          <w:sz w:val="20"/>
        </w:rPr>
      </w:pPr>
      <w:r>
        <w:rPr>
          <w:w w:val="120"/>
          <w:sz w:val="20"/>
        </w:rPr>
        <w:t>There are risks associated with the introduction of a nuclear weapons ban treaty, not least that it would raise the temperature at </w:t>
      </w:r>
      <w:r>
        <w:rPr>
          <w:spacing w:val="2"/>
          <w:w w:val="120"/>
          <w:sz w:val="20"/>
        </w:rPr>
        <w:t>NPT </w:t>
      </w:r>
      <w:r>
        <w:rPr>
          <w:w w:val="120"/>
          <w:sz w:val="20"/>
        </w:rPr>
        <w:t>review conferences. It is possible that a nuclear weapons ban treaty could further increase frustrations with the lack of progress on the </w:t>
      </w:r>
      <w:r>
        <w:rPr>
          <w:spacing w:val="2"/>
          <w:w w:val="120"/>
          <w:sz w:val="20"/>
        </w:rPr>
        <w:t>part </w:t>
      </w:r>
      <w:r>
        <w:rPr>
          <w:w w:val="120"/>
          <w:sz w:val="20"/>
        </w:rPr>
        <w:t>of nuclear weapons states. If some </w:t>
      </w:r>
      <w:r>
        <w:rPr>
          <w:spacing w:val="2"/>
          <w:w w:val="120"/>
          <w:sz w:val="20"/>
        </w:rPr>
        <w:t>NPT </w:t>
      </w:r>
      <w:r>
        <w:rPr>
          <w:w w:val="120"/>
          <w:sz w:val="20"/>
        </w:rPr>
        <w:t>member states</w:t>
      </w:r>
      <w:r>
        <w:rPr>
          <w:spacing w:val="5"/>
          <w:w w:val="120"/>
          <w:sz w:val="20"/>
        </w:rPr>
        <w:t> </w:t>
      </w:r>
      <w:r>
        <w:rPr>
          <w:w w:val="120"/>
          <w:sz w:val="20"/>
        </w:rPr>
        <w:t>chose</w:t>
      </w:r>
    </w:p>
    <w:p>
      <w:pPr>
        <w:pStyle w:val="BodyText"/>
        <w:spacing w:line="235" w:lineRule="auto" w:before="3"/>
        <w:ind w:left="607" w:right="2045"/>
      </w:pPr>
      <w:r>
        <w:rPr>
          <w:w w:val="120"/>
        </w:rPr>
        <w:t>to withdraw from a NPT review conference it would weaken confidence in the NPT process and could in turn increase the risk of nuclear proliferation.</w:t>
      </w:r>
    </w:p>
    <w:p>
      <w:pPr>
        <w:pStyle w:val="BodyText"/>
        <w:spacing w:before="10"/>
        <w:rPr>
          <w:sz w:val="19"/>
        </w:rPr>
      </w:pPr>
    </w:p>
    <w:p>
      <w:pPr>
        <w:pStyle w:val="ListParagraph"/>
        <w:numPr>
          <w:ilvl w:val="0"/>
          <w:numId w:val="223"/>
        </w:numPr>
        <w:tabs>
          <w:tab w:pos="1287" w:val="left" w:leader="none"/>
          <w:tab w:pos="1288" w:val="left" w:leader="none"/>
        </w:tabs>
        <w:spacing w:line="235" w:lineRule="auto" w:before="0" w:after="0"/>
        <w:ind w:left="607" w:right="2504" w:firstLine="0"/>
        <w:jc w:val="left"/>
        <w:rPr>
          <w:sz w:val="20"/>
        </w:rPr>
      </w:pPr>
      <w:r>
        <w:rPr>
          <w:w w:val="120"/>
          <w:sz w:val="20"/>
        </w:rPr>
        <w:t>But there are also mitigating factors to consider. Firstly, the friction over a nuclear weapons ban treaty is not the most likely cause for states to withdraw from a review conference. For example, it was disagreement over the process for</w:t>
      </w:r>
      <w:r>
        <w:rPr>
          <w:spacing w:val="-5"/>
          <w:w w:val="120"/>
          <w:sz w:val="20"/>
        </w:rPr>
        <w:t> </w:t>
      </w:r>
      <w:r>
        <w:rPr>
          <w:w w:val="120"/>
          <w:sz w:val="20"/>
        </w:rPr>
        <w:t>talks</w:t>
      </w:r>
    </w:p>
    <w:p>
      <w:pPr>
        <w:pStyle w:val="BodyText"/>
        <w:spacing w:before="5"/>
        <w:rPr>
          <w:sz w:val="26"/>
        </w:rPr>
      </w:pPr>
    </w:p>
    <w:p>
      <w:pPr>
        <w:pStyle w:val="Heading6"/>
        <w:spacing w:before="96"/>
        <w:ind w:left="607"/>
      </w:pPr>
      <w:r>
        <w:rPr>
          <w:rFonts w:ascii="Stone Sans II ITC Std X Bd" w:hAnsi="Stone Sans II ITC Std X Bd"/>
          <w:b/>
          <w:w w:val="110"/>
          <w:sz w:val="24"/>
        </w:rPr>
        <w:t>194 </w:t>
      </w:r>
      <w:r>
        <w:rPr>
          <w:rFonts w:ascii="Symbol" w:hAnsi="Symbol"/>
          <w:color w:val="7EAABF"/>
          <w:w w:val="110"/>
        </w:rPr>
        <w:t></w:t>
      </w:r>
      <w:r>
        <w:rPr>
          <w:rFonts w:ascii="Times New Roman" w:hAnsi="Times New Roman"/>
          <w:color w:val="7EAABF"/>
          <w:w w:val="110"/>
        </w:rPr>
        <w:t> </w:t>
      </w:r>
      <w:r>
        <w:rPr>
          <w:color w:val="7EAABF"/>
          <w:w w:val="110"/>
        </w:rPr>
        <w:t>United Reformed Church </w:t>
      </w:r>
      <w:r>
        <w:rPr>
          <w:rFonts w:ascii="Symbol" w:hAnsi="Symbol"/>
          <w:color w:val="7EAABF"/>
          <w:w w:val="110"/>
        </w:rPr>
        <w:t></w:t>
      </w:r>
      <w:r>
        <w:rPr>
          <w:rFonts w:ascii="Times New Roman" w:hAnsi="Times New Roman"/>
          <w:color w:val="7EAABF"/>
          <w:w w:val="110"/>
        </w:rPr>
        <w:t> </w:t>
      </w:r>
      <w:r>
        <w:rPr>
          <w:color w:val="7EAABF"/>
          <w:w w:val="110"/>
        </w:rPr>
        <w:t>General Assembly 2016</w:t>
      </w:r>
    </w:p>
    <w:p>
      <w:pPr>
        <w:spacing w:after="0"/>
        <w:sectPr>
          <w:headerReference w:type="even" r:id="rId519"/>
          <w:footerReference w:type="even" r:id="rId520"/>
          <w:pgSz w:w="11910" w:h="16840"/>
          <w:pgMar w:header="0" w:footer="0" w:top="0" w:bottom="0" w:left="640" w:right="0"/>
        </w:sectPr>
      </w:pPr>
    </w:p>
    <w:p>
      <w:pPr>
        <w:pStyle w:val="BodyText"/>
      </w:pPr>
      <w:r>
        <w:rPr/>
        <w:drawing>
          <wp:anchor distT="0" distB="0" distL="0" distR="0" allowOverlap="1" layoutInCell="1" locked="0" behindDoc="0" simplePos="0" relativeHeight="252179456">
            <wp:simplePos x="0" y="0"/>
            <wp:positionH relativeFrom="page">
              <wp:posOffset>6974928</wp:posOffset>
            </wp:positionH>
            <wp:positionV relativeFrom="page">
              <wp:posOffset>0</wp:posOffset>
            </wp:positionV>
            <wp:extent cx="585063" cy="10692003"/>
            <wp:effectExtent l="0" t="0" r="0" b="0"/>
            <wp:wrapNone/>
            <wp:docPr id="371" name="image54.png"/>
            <wp:cNvGraphicFramePr>
              <a:graphicFrameLocks noChangeAspect="1"/>
            </wp:cNvGraphicFramePr>
            <a:graphic>
              <a:graphicData uri="http://schemas.openxmlformats.org/drawingml/2006/picture">
                <pic:pic>
                  <pic:nvPicPr>
                    <pic:cNvPr id="372" name="image54.png"/>
                    <pic:cNvPicPr/>
                  </pic:nvPicPr>
                  <pic:blipFill>
                    <a:blip r:embed="rId169" cstate="print"/>
                    <a:stretch>
                      <a:fillRect/>
                    </a:stretch>
                  </pic:blipFill>
                  <pic:spPr>
                    <a:xfrm>
                      <a:off x="0" y="0"/>
                      <a:ext cx="585063" cy="10692003"/>
                    </a:xfrm>
                    <a:prstGeom prst="rect">
                      <a:avLst/>
                    </a:prstGeom>
                  </pic:spPr>
                </pic:pic>
              </a:graphicData>
            </a:graphic>
          </wp:anchor>
        </w:drawing>
      </w:r>
    </w:p>
    <w:p>
      <w:pPr>
        <w:pStyle w:val="BodyText"/>
        <w:spacing w:before="7"/>
        <w:rPr>
          <w:sz w:val="21"/>
        </w:rPr>
      </w:pPr>
    </w:p>
    <w:p>
      <w:pPr>
        <w:spacing w:before="106"/>
        <w:ind w:left="0" w:right="1245" w:firstLine="0"/>
        <w:jc w:val="right"/>
        <w:rPr>
          <w:sz w:val="26"/>
        </w:rPr>
      </w:pPr>
      <w:r>
        <w:rPr/>
        <w:pict>
          <v:shape style="position:absolute;margin-left:554.141174pt;margin-top:22.593945pt;width:25.9pt;height:393.4pt;mso-position-horizontal-relative:page;mso-position-vertical-relative:paragraph;z-index:252180480" type="#_x0000_t202" filled="false" stroked="false">
            <v:textbox inset="0,0,0,0" style="layout-flow:vertical">
              <w:txbxContent>
                <w:p>
                  <w:pPr>
                    <w:spacing w:before="27"/>
                    <w:ind w:left="20" w:right="0" w:firstLine="0"/>
                    <w:jc w:val="left"/>
                    <w:rPr>
                      <w:sz w:val="39"/>
                    </w:rPr>
                  </w:pPr>
                  <w:r>
                    <w:rPr>
                      <w:color w:val="FFFFFF"/>
                      <w:spacing w:val="9"/>
                      <w:w w:val="120"/>
                      <w:sz w:val="39"/>
                    </w:rPr>
                    <w:t>Mission </w:t>
                  </w:r>
                  <w:r>
                    <w:rPr>
                      <w:color w:val="FFFFFF"/>
                      <w:w w:val="120"/>
                      <w:sz w:val="39"/>
                    </w:rPr>
                    <w:t>– </w:t>
                  </w:r>
                  <w:r>
                    <w:rPr>
                      <w:spacing w:val="9"/>
                      <w:w w:val="120"/>
                      <w:sz w:val="39"/>
                    </w:rPr>
                    <w:t>Nuclear Weapons </w:t>
                  </w:r>
                  <w:r>
                    <w:rPr>
                      <w:spacing w:val="7"/>
                      <w:w w:val="120"/>
                      <w:sz w:val="39"/>
                    </w:rPr>
                    <w:t>Ban</w:t>
                  </w:r>
                  <w:r>
                    <w:rPr>
                      <w:spacing w:val="103"/>
                      <w:w w:val="120"/>
                      <w:sz w:val="39"/>
                    </w:rPr>
                    <w:t> </w:t>
                  </w:r>
                  <w:r>
                    <w:rPr>
                      <w:spacing w:val="6"/>
                      <w:w w:val="120"/>
                      <w:sz w:val="39"/>
                    </w:rPr>
                    <w:t>Treaty</w:t>
                  </w:r>
                </w:p>
              </w:txbxContent>
            </v:textbox>
            <w10:wrap type="none"/>
          </v:shape>
        </w:pict>
      </w:r>
      <w:r>
        <w:rPr>
          <w:color w:val="7EAABF"/>
          <w:w w:val="110"/>
          <w:sz w:val="26"/>
        </w:rPr>
        <w:t>Mission</w:t>
      </w:r>
    </w:p>
    <w:p>
      <w:pPr>
        <w:pStyle w:val="BodyText"/>
        <w:spacing w:line="235" w:lineRule="auto" w:before="222"/>
        <w:ind w:left="1344" w:right="1363"/>
      </w:pPr>
      <w:r>
        <w:rPr>
          <w:w w:val="120"/>
        </w:rPr>
        <w:t>around a Middle East Nuclear Weapons Free Zone that caused the </w:t>
      </w:r>
      <w:r>
        <w:rPr>
          <w:spacing w:val="-7"/>
          <w:w w:val="120"/>
        </w:rPr>
        <w:t>2015 </w:t>
      </w:r>
      <w:r>
        <w:rPr>
          <w:spacing w:val="2"/>
          <w:w w:val="120"/>
        </w:rPr>
        <w:t>NPT </w:t>
      </w:r>
      <w:r>
        <w:rPr>
          <w:w w:val="120"/>
        </w:rPr>
        <w:t>Review Conference to fail to achieve consensus. Secondly, a nuclear weapons ban treaty could be a complement and reinforcement to the </w:t>
      </w:r>
      <w:r>
        <w:rPr>
          <w:spacing w:val="2"/>
          <w:w w:val="120"/>
        </w:rPr>
        <w:t>NPT </w:t>
      </w:r>
      <w:r>
        <w:rPr>
          <w:w w:val="120"/>
        </w:rPr>
        <w:t>and the review process; it need not   be seen as an alternative forum. Thirdly, if confidence were lost in the </w:t>
      </w:r>
      <w:r>
        <w:rPr>
          <w:spacing w:val="2"/>
          <w:w w:val="120"/>
        </w:rPr>
        <w:t>NPT </w:t>
      </w:r>
      <w:r>
        <w:rPr>
          <w:w w:val="120"/>
        </w:rPr>
        <w:t>it is possible that a nuclear weapons ban treaty, once it entered into force, could act as a modest restraining influence on states considering proliferation in nuclear technology or weapons, even if they were not</w:t>
      </w:r>
      <w:r>
        <w:rPr>
          <w:spacing w:val="11"/>
          <w:w w:val="120"/>
        </w:rPr>
        <w:t> </w:t>
      </w:r>
      <w:r>
        <w:rPr>
          <w:w w:val="120"/>
        </w:rPr>
        <w:t>signatories.</w:t>
      </w:r>
    </w:p>
    <w:p>
      <w:pPr>
        <w:pStyle w:val="BodyText"/>
      </w:pPr>
    </w:p>
    <w:p>
      <w:pPr>
        <w:pStyle w:val="ListParagraph"/>
        <w:numPr>
          <w:ilvl w:val="0"/>
          <w:numId w:val="223"/>
        </w:numPr>
        <w:tabs>
          <w:tab w:pos="2024" w:val="left" w:leader="none"/>
          <w:tab w:pos="2025" w:val="left" w:leader="none"/>
        </w:tabs>
        <w:spacing w:line="235" w:lineRule="auto" w:before="1" w:after="0"/>
        <w:ind w:left="1344" w:right="1550" w:firstLine="0"/>
        <w:jc w:val="left"/>
        <w:rPr>
          <w:sz w:val="20"/>
        </w:rPr>
      </w:pPr>
      <w:r>
        <w:rPr>
          <w:w w:val="120"/>
          <w:sz w:val="20"/>
        </w:rPr>
        <w:t>There are also specific risks for our churches, who may attract criticism and will need to be ready to defend their stance. A key concern around calls to halt the production of nuclear weapons relates to employment consequences for those in</w:t>
      </w:r>
      <w:r>
        <w:rPr>
          <w:spacing w:val="24"/>
          <w:w w:val="120"/>
          <w:sz w:val="20"/>
        </w:rPr>
        <w:t> </w:t>
      </w:r>
      <w:r>
        <w:rPr>
          <w:w w:val="120"/>
          <w:sz w:val="20"/>
        </w:rPr>
        <w:t>the</w:t>
      </w:r>
    </w:p>
    <w:p>
      <w:pPr>
        <w:pStyle w:val="BodyText"/>
        <w:spacing w:line="235" w:lineRule="auto" w:before="2"/>
        <w:ind w:left="1344" w:right="1248"/>
      </w:pPr>
      <w:r>
        <w:rPr>
          <w:w w:val="120"/>
        </w:rPr>
        <w:t>UK who work in the nuclear weapons industry. There is understandable uncertainty and insecurity around calls to halt production in places such as Barrow-in-Furness, Derby  and Aldermaston near Reading. In these places the research, development, production, maintenance and decommissioning of nuclear weapons provide many jobs. However, there are a number of ways in which the skills and expertise currently utilised by nuclear weapons production facilities could be safeguarded and diversified, most notably through a carefully managed transition to alternative employment within warhead decommissioning, submarine dismantling, renewable energy and other</w:t>
      </w:r>
      <w:r>
        <w:rPr>
          <w:spacing w:val="38"/>
          <w:w w:val="120"/>
        </w:rPr>
        <w:t> </w:t>
      </w:r>
      <w:r>
        <w:rPr>
          <w:w w:val="120"/>
        </w:rPr>
        <w:t>sectors.</w:t>
      </w:r>
    </w:p>
    <w:p>
      <w:pPr>
        <w:pStyle w:val="BodyText"/>
        <w:spacing w:line="235" w:lineRule="auto" w:before="6"/>
        <w:ind w:left="1344" w:right="1478"/>
      </w:pPr>
      <w:r>
        <w:rPr>
          <w:w w:val="120"/>
        </w:rPr>
        <w:t>This would not necessarily be a straightforward process. It would require significant planning and the support of government. But it would not be impossible.</w:t>
      </w:r>
    </w:p>
    <w:p>
      <w:pPr>
        <w:pStyle w:val="BodyText"/>
        <w:spacing w:before="9"/>
        <w:rPr>
          <w:sz w:val="19"/>
        </w:rPr>
      </w:pPr>
    </w:p>
    <w:p>
      <w:pPr>
        <w:pStyle w:val="ListParagraph"/>
        <w:numPr>
          <w:ilvl w:val="0"/>
          <w:numId w:val="223"/>
        </w:numPr>
        <w:tabs>
          <w:tab w:pos="2024" w:val="left" w:leader="none"/>
          <w:tab w:pos="2025" w:val="left" w:leader="none"/>
        </w:tabs>
        <w:spacing w:line="235" w:lineRule="auto" w:before="0" w:after="0"/>
        <w:ind w:left="1344" w:right="1269" w:firstLine="0"/>
        <w:jc w:val="left"/>
        <w:rPr>
          <w:sz w:val="20"/>
        </w:rPr>
      </w:pPr>
      <w:r>
        <w:rPr>
          <w:w w:val="120"/>
          <w:sz w:val="20"/>
        </w:rPr>
        <w:t>One way to make the churches’ case public would be the production of a   briefing or set of </w:t>
      </w:r>
      <w:r>
        <w:rPr>
          <w:spacing w:val="-3"/>
          <w:w w:val="120"/>
          <w:sz w:val="20"/>
        </w:rPr>
        <w:t>FAQs </w:t>
      </w:r>
      <w:r>
        <w:rPr>
          <w:w w:val="120"/>
          <w:sz w:val="20"/>
        </w:rPr>
        <w:t>on the nuclear weapons ban treaty. This need only be a brief summary</w:t>
      </w:r>
      <w:r>
        <w:rPr>
          <w:spacing w:val="-4"/>
          <w:w w:val="120"/>
          <w:sz w:val="20"/>
        </w:rPr>
        <w:t> </w:t>
      </w:r>
      <w:r>
        <w:rPr>
          <w:w w:val="120"/>
          <w:sz w:val="20"/>
        </w:rPr>
        <w:t>as</w:t>
      </w:r>
      <w:r>
        <w:rPr>
          <w:spacing w:val="-3"/>
          <w:w w:val="120"/>
          <w:sz w:val="20"/>
        </w:rPr>
        <w:t> </w:t>
      </w:r>
      <w:r>
        <w:rPr>
          <w:w w:val="120"/>
          <w:sz w:val="20"/>
        </w:rPr>
        <w:t>further</w:t>
      </w:r>
      <w:r>
        <w:rPr>
          <w:spacing w:val="-3"/>
          <w:w w:val="120"/>
          <w:sz w:val="20"/>
        </w:rPr>
        <w:t> </w:t>
      </w:r>
      <w:r>
        <w:rPr>
          <w:w w:val="120"/>
          <w:sz w:val="20"/>
        </w:rPr>
        <w:t>reference</w:t>
      </w:r>
      <w:r>
        <w:rPr>
          <w:spacing w:val="-3"/>
          <w:w w:val="120"/>
          <w:sz w:val="20"/>
        </w:rPr>
        <w:t> </w:t>
      </w:r>
      <w:r>
        <w:rPr>
          <w:w w:val="120"/>
          <w:sz w:val="20"/>
        </w:rPr>
        <w:t>can</w:t>
      </w:r>
      <w:r>
        <w:rPr>
          <w:spacing w:val="-3"/>
          <w:w w:val="120"/>
          <w:sz w:val="20"/>
        </w:rPr>
        <w:t> </w:t>
      </w:r>
      <w:r>
        <w:rPr>
          <w:w w:val="120"/>
          <w:sz w:val="20"/>
        </w:rPr>
        <w:t>be</w:t>
      </w:r>
      <w:r>
        <w:rPr>
          <w:spacing w:val="-4"/>
          <w:w w:val="120"/>
          <w:sz w:val="20"/>
        </w:rPr>
        <w:t> </w:t>
      </w:r>
      <w:r>
        <w:rPr>
          <w:w w:val="120"/>
          <w:sz w:val="20"/>
        </w:rPr>
        <w:t>made</w:t>
      </w:r>
      <w:r>
        <w:rPr>
          <w:spacing w:val="-3"/>
          <w:w w:val="120"/>
          <w:sz w:val="20"/>
        </w:rPr>
        <w:t> </w:t>
      </w:r>
      <w:r>
        <w:rPr>
          <w:w w:val="120"/>
          <w:sz w:val="20"/>
        </w:rPr>
        <w:t>to</w:t>
      </w:r>
      <w:r>
        <w:rPr>
          <w:spacing w:val="-3"/>
          <w:w w:val="120"/>
          <w:sz w:val="20"/>
        </w:rPr>
        <w:t> </w:t>
      </w:r>
      <w:r>
        <w:rPr>
          <w:w w:val="120"/>
          <w:sz w:val="20"/>
        </w:rPr>
        <w:t>excellent</w:t>
      </w:r>
      <w:r>
        <w:rPr>
          <w:spacing w:val="-3"/>
          <w:w w:val="120"/>
          <w:sz w:val="20"/>
        </w:rPr>
        <w:t> </w:t>
      </w:r>
      <w:r>
        <w:rPr>
          <w:w w:val="120"/>
          <w:sz w:val="20"/>
        </w:rPr>
        <w:t>resources</w:t>
      </w:r>
      <w:r>
        <w:rPr>
          <w:spacing w:val="-3"/>
          <w:w w:val="120"/>
          <w:sz w:val="20"/>
        </w:rPr>
        <w:t> </w:t>
      </w:r>
      <w:r>
        <w:rPr>
          <w:w w:val="120"/>
          <w:sz w:val="20"/>
        </w:rPr>
        <w:t>elsewhere</w:t>
      </w:r>
      <w:r>
        <w:rPr>
          <w:spacing w:val="-3"/>
          <w:w w:val="120"/>
          <w:sz w:val="20"/>
        </w:rPr>
        <w:t> </w:t>
      </w:r>
      <w:r>
        <w:rPr>
          <w:w w:val="120"/>
          <w:sz w:val="20"/>
        </w:rPr>
        <w:t>such</w:t>
      </w:r>
      <w:r>
        <w:rPr>
          <w:spacing w:val="-4"/>
          <w:w w:val="120"/>
          <w:sz w:val="20"/>
        </w:rPr>
        <w:t> </w:t>
      </w:r>
      <w:r>
        <w:rPr>
          <w:w w:val="120"/>
          <w:sz w:val="20"/>
        </w:rPr>
        <w:t>as</w:t>
      </w:r>
      <w:r>
        <w:rPr>
          <w:spacing w:val="-3"/>
          <w:w w:val="120"/>
          <w:sz w:val="20"/>
        </w:rPr>
        <w:t> </w:t>
      </w:r>
      <w:r>
        <w:rPr>
          <w:w w:val="120"/>
          <w:sz w:val="20"/>
        </w:rPr>
        <w:t>this from Article 36:</w:t>
      </w:r>
      <w:r>
        <w:rPr>
          <w:spacing w:val="25"/>
          <w:w w:val="120"/>
          <w:sz w:val="20"/>
        </w:rPr>
        <w:t> </w:t>
      </w:r>
      <w:hyperlink r:id="rId523">
        <w:r>
          <w:rPr>
            <w:color w:val="006AB3"/>
            <w:w w:val="120"/>
            <w:sz w:val="20"/>
          </w:rPr>
          <w:t>www.article36.org/wp-content/uploads/2013/10/Banning-without.pdf</w:t>
        </w:r>
      </w:hyperlink>
      <w:r>
        <w:rPr>
          <w:w w:val="120"/>
          <w:sz w:val="20"/>
        </w:rPr>
        <w:t>.</w:t>
      </w:r>
    </w:p>
    <w:p>
      <w:pPr>
        <w:pStyle w:val="BodyText"/>
        <w:spacing w:before="11"/>
        <w:rPr>
          <w:sz w:val="19"/>
        </w:rPr>
      </w:pPr>
    </w:p>
    <w:p>
      <w:pPr>
        <w:pStyle w:val="ListParagraph"/>
        <w:numPr>
          <w:ilvl w:val="0"/>
          <w:numId w:val="223"/>
        </w:numPr>
        <w:tabs>
          <w:tab w:pos="2024" w:val="left" w:leader="none"/>
          <w:tab w:pos="2025" w:val="left" w:leader="none"/>
        </w:tabs>
        <w:spacing w:line="235" w:lineRule="auto" w:before="0" w:after="0"/>
        <w:ind w:left="1344" w:right="1557" w:firstLine="0"/>
        <w:jc w:val="left"/>
        <w:rPr>
          <w:sz w:val="20"/>
        </w:rPr>
      </w:pPr>
      <w:r>
        <w:rPr>
          <w:w w:val="120"/>
          <w:sz w:val="20"/>
        </w:rPr>
        <w:t>JPIT will continue in dialogue with all partners and will take every opportunity for collaboration on other aspects of nuclear weapons non-proliferation and disarmament.</w:t>
      </w:r>
    </w:p>
    <w:p>
      <w:pPr>
        <w:pStyle w:val="BodyText"/>
        <w:spacing w:before="7"/>
        <w:rPr>
          <w:sz w:val="19"/>
        </w:rPr>
      </w:pPr>
    </w:p>
    <w:p>
      <w:pPr>
        <w:pStyle w:val="ListParagraph"/>
        <w:numPr>
          <w:ilvl w:val="0"/>
          <w:numId w:val="223"/>
        </w:numPr>
        <w:tabs>
          <w:tab w:pos="2024" w:val="left" w:leader="none"/>
          <w:tab w:pos="2025" w:val="left" w:leader="none"/>
        </w:tabs>
        <w:spacing w:line="212" w:lineRule="exact" w:before="0" w:after="0"/>
        <w:ind w:left="2024" w:right="0" w:hanging="681"/>
        <w:jc w:val="left"/>
        <w:rPr>
          <w:sz w:val="20"/>
        </w:rPr>
      </w:pPr>
      <w:r>
        <w:rPr>
          <w:w w:val="120"/>
          <w:sz w:val="20"/>
        </w:rPr>
        <w:t>There are also opportunities arising from the campaign,</w:t>
      </w:r>
      <w:r>
        <w:rPr>
          <w:spacing w:val="26"/>
          <w:w w:val="120"/>
          <w:sz w:val="20"/>
        </w:rPr>
        <w:t> </w:t>
      </w:r>
      <w:r>
        <w:rPr>
          <w:w w:val="120"/>
          <w:sz w:val="20"/>
        </w:rPr>
        <w:t>including:</w:t>
      </w:r>
    </w:p>
    <w:p>
      <w:pPr>
        <w:pStyle w:val="ListParagraph"/>
        <w:numPr>
          <w:ilvl w:val="0"/>
          <w:numId w:val="225"/>
        </w:numPr>
        <w:tabs>
          <w:tab w:pos="2024" w:val="left" w:leader="none"/>
          <w:tab w:pos="2025" w:val="left" w:leader="none"/>
        </w:tabs>
        <w:spacing w:line="196" w:lineRule="auto" w:before="13" w:after="0"/>
        <w:ind w:left="2024" w:right="1415" w:hanging="681"/>
        <w:jc w:val="left"/>
        <w:rPr>
          <w:sz w:val="20"/>
        </w:rPr>
      </w:pPr>
      <w:r>
        <w:rPr>
          <w:w w:val="120"/>
          <w:sz w:val="20"/>
        </w:rPr>
        <w:t>we enable the Church in the UK to act early in adding an ethical perspective on an issue that will gain an increasingly high profile in the coming</w:t>
      </w:r>
      <w:r>
        <w:rPr>
          <w:spacing w:val="41"/>
          <w:w w:val="120"/>
          <w:sz w:val="20"/>
        </w:rPr>
        <w:t> </w:t>
      </w:r>
      <w:r>
        <w:rPr>
          <w:w w:val="120"/>
          <w:sz w:val="20"/>
        </w:rPr>
        <w:t>years;</w:t>
      </w:r>
    </w:p>
    <w:p>
      <w:pPr>
        <w:pStyle w:val="ListParagraph"/>
        <w:numPr>
          <w:ilvl w:val="0"/>
          <w:numId w:val="225"/>
        </w:numPr>
        <w:tabs>
          <w:tab w:pos="2024" w:val="left" w:leader="none"/>
          <w:tab w:pos="2025" w:val="left" w:leader="none"/>
        </w:tabs>
        <w:spacing w:line="196" w:lineRule="auto" w:before="0" w:after="0"/>
        <w:ind w:left="2024" w:right="1494" w:hanging="681"/>
        <w:jc w:val="left"/>
        <w:rPr>
          <w:sz w:val="20"/>
        </w:rPr>
      </w:pPr>
      <w:r>
        <w:rPr>
          <w:w w:val="120"/>
          <w:sz w:val="20"/>
        </w:rPr>
        <w:t>support for the World Council of Churches: the </w:t>
      </w:r>
      <w:r>
        <w:rPr>
          <w:spacing w:val="-3"/>
          <w:w w:val="120"/>
          <w:sz w:val="20"/>
        </w:rPr>
        <w:t>WCC </w:t>
      </w:r>
      <w:r>
        <w:rPr>
          <w:w w:val="120"/>
          <w:sz w:val="20"/>
        </w:rPr>
        <w:t>have a resolution in support of the call for a nuclear weapons ban treaty but few member</w:t>
      </w:r>
      <w:r>
        <w:rPr>
          <w:spacing w:val="30"/>
          <w:w w:val="120"/>
          <w:sz w:val="20"/>
        </w:rPr>
        <w:t> </w:t>
      </w:r>
      <w:r>
        <w:rPr>
          <w:w w:val="120"/>
          <w:sz w:val="20"/>
        </w:rPr>
        <w:t>churches</w:t>
      </w:r>
    </w:p>
    <w:p>
      <w:pPr>
        <w:pStyle w:val="BodyText"/>
        <w:spacing w:line="212" w:lineRule="exact"/>
        <w:ind w:left="2024"/>
      </w:pPr>
      <w:r>
        <w:rPr>
          <w:w w:val="120"/>
        </w:rPr>
        <w:t>have independently endorsed this call;</w:t>
      </w:r>
    </w:p>
    <w:p>
      <w:pPr>
        <w:pStyle w:val="ListParagraph"/>
        <w:numPr>
          <w:ilvl w:val="0"/>
          <w:numId w:val="225"/>
        </w:numPr>
        <w:tabs>
          <w:tab w:pos="2024" w:val="left" w:leader="none"/>
          <w:tab w:pos="2025" w:val="left" w:leader="none"/>
        </w:tabs>
        <w:spacing w:line="196" w:lineRule="auto" w:before="5" w:after="0"/>
        <w:ind w:left="2024" w:right="1864" w:hanging="681"/>
        <w:jc w:val="left"/>
        <w:rPr>
          <w:sz w:val="20"/>
        </w:rPr>
      </w:pPr>
      <w:r>
        <w:rPr>
          <w:w w:val="120"/>
          <w:sz w:val="20"/>
        </w:rPr>
        <w:t>partner churches: we can encourage partner churches in other </w:t>
      </w:r>
      <w:r>
        <w:rPr>
          <w:spacing w:val="2"/>
          <w:w w:val="120"/>
          <w:sz w:val="20"/>
        </w:rPr>
        <w:t>parts </w:t>
      </w:r>
      <w:r>
        <w:rPr>
          <w:w w:val="120"/>
          <w:sz w:val="20"/>
        </w:rPr>
        <w:t>of the world to join in this</w:t>
      </w:r>
      <w:r>
        <w:rPr>
          <w:spacing w:val="10"/>
          <w:w w:val="120"/>
          <w:sz w:val="20"/>
        </w:rPr>
        <w:t> </w:t>
      </w:r>
      <w:r>
        <w:rPr>
          <w:w w:val="120"/>
          <w:sz w:val="20"/>
        </w:rPr>
        <w:t>call;</w:t>
      </w:r>
    </w:p>
    <w:p>
      <w:pPr>
        <w:pStyle w:val="ListParagraph"/>
        <w:numPr>
          <w:ilvl w:val="0"/>
          <w:numId w:val="225"/>
        </w:numPr>
        <w:tabs>
          <w:tab w:pos="2024" w:val="left" w:leader="none"/>
          <w:tab w:pos="2025" w:val="left" w:leader="none"/>
        </w:tabs>
        <w:spacing w:line="196" w:lineRule="auto" w:before="0" w:after="0"/>
        <w:ind w:left="2024" w:right="1268" w:hanging="681"/>
        <w:jc w:val="left"/>
        <w:rPr>
          <w:sz w:val="20"/>
        </w:rPr>
      </w:pPr>
      <w:r>
        <w:rPr>
          <w:w w:val="120"/>
          <w:sz w:val="20"/>
        </w:rPr>
        <w:t>building ecumenical relationships. There is interest from a range of ecumenical partners on work in this area. For example, the Church in Wales, who are not</w:t>
      </w:r>
      <w:r>
        <w:rPr>
          <w:spacing w:val="6"/>
          <w:w w:val="120"/>
          <w:sz w:val="20"/>
        </w:rPr>
        <w:t> </w:t>
      </w:r>
      <w:r>
        <w:rPr>
          <w:w w:val="120"/>
          <w:sz w:val="20"/>
        </w:rPr>
        <w:t>JPIT</w:t>
      </w:r>
    </w:p>
    <w:p>
      <w:pPr>
        <w:pStyle w:val="BodyText"/>
        <w:spacing w:line="212" w:lineRule="exact"/>
        <w:ind w:left="2024"/>
      </w:pPr>
      <w:r>
        <w:rPr>
          <w:w w:val="120"/>
        </w:rPr>
        <w:t>partners, would be interested in working with us on this issue;</w:t>
      </w:r>
    </w:p>
    <w:p>
      <w:pPr>
        <w:pStyle w:val="ListParagraph"/>
        <w:numPr>
          <w:ilvl w:val="0"/>
          <w:numId w:val="225"/>
        </w:numPr>
        <w:tabs>
          <w:tab w:pos="2025" w:val="left" w:leader="none"/>
        </w:tabs>
        <w:spacing w:line="213" w:lineRule="auto" w:before="0" w:after="0"/>
        <w:ind w:left="2024" w:right="1632" w:hanging="681"/>
        <w:jc w:val="both"/>
        <w:rPr>
          <w:sz w:val="20"/>
        </w:rPr>
      </w:pPr>
      <w:r>
        <w:rPr>
          <w:w w:val="120"/>
          <w:sz w:val="20"/>
        </w:rPr>
        <w:t>encouragement of our members. This campaign provides a further means for members to engage with MPs, AMs, MSPs and other elected representatives. There are some MPs who may engage on this topic whereas, due to</w:t>
      </w:r>
      <w:r>
        <w:rPr>
          <w:spacing w:val="40"/>
          <w:w w:val="120"/>
          <w:sz w:val="20"/>
        </w:rPr>
        <w:t> </w:t>
      </w:r>
      <w:r>
        <w:rPr>
          <w:spacing w:val="2"/>
          <w:w w:val="120"/>
          <w:sz w:val="20"/>
        </w:rPr>
        <w:t>party</w:t>
      </w:r>
    </w:p>
    <w:p>
      <w:pPr>
        <w:pStyle w:val="BodyText"/>
        <w:spacing w:line="212" w:lineRule="exact"/>
        <w:ind w:left="2024"/>
        <w:jc w:val="both"/>
      </w:pPr>
      <w:r>
        <w:rPr>
          <w:w w:val="120"/>
        </w:rPr>
        <w:t>positions, they might not on Trident;</w:t>
      </w:r>
    </w:p>
    <w:p>
      <w:pPr>
        <w:pStyle w:val="ListParagraph"/>
        <w:numPr>
          <w:ilvl w:val="0"/>
          <w:numId w:val="225"/>
        </w:numPr>
        <w:tabs>
          <w:tab w:pos="2025" w:val="left" w:leader="none"/>
        </w:tabs>
        <w:spacing w:line="196" w:lineRule="auto" w:before="3" w:after="0"/>
        <w:ind w:left="2024" w:right="1927" w:hanging="681"/>
        <w:jc w:val="both"/>
        <w:rPr>
          <w:sz w:val="20"/>
        </w:rPr>
      </w:pPr>
      <w:r>
        <w:rPr>
          <w:w w:val="120"/>
          <w:sz w:val="20"/>
        </w:rPr>
        <w:t>this is an area in which solidarity across faith groups can be demonstrated, thereby visibly building interfaith</w:t>
      </w:r>
      <w:r>
        <w:rPr>
          <w:spacing w:val="12"/>
          <w:w w:val="120"/>
          <w:sz w:val="20"/>
        </w:rPr>
        <w:t> </w:t>
      </w:r>
      <w:r>
        <w:rPr>
          <w:w w:val="120"/>
          <w:sz w:val="20"/>
        </w:rPr>
        <w:t>cooperation.</w:t>
      </w:r>
    </w:p>
    <w:p>
      <w:pPr>
        <w:pStyle w:val="BodyText"/>
        <w:spacing w:before="4"/>
      </w:pPr>
    </w:p>
    <w:p>
      <w:pPr>
        <w:pStyle w:val="ListParagraph"/>
        <w:numPr>
          <w:ilvl w:val="0"/>
          <w:numId w:val="223"/>
        </w:numPr>
        <w:tabs>
          <w:tab w:pos="2024" w:val="left" w:leader="none"/>
          <w:tab w:pos="2025" w:val="left" w:leader="none"/>
        </w:tabs>
        <w:spacing w:line="235" w:lineRule="auto" w:before="0" w:after="0"/>
        <w:ind w:left="1344" w:right="1516" w:firstLine="0"/>
        <w:jc w:val="left"/>
        <w:rPr>
          <w:sz w:val="20"/>
        </w:rPr>
      </w:pPr>
      <w:r>
        <w:rPr>
          <w:w w:val="120"/>
          <w:sz w:val="20"/>
        </w:rPr>
        <w:t>This resolution supports our Churches’ ethical investment stance on nuclear weapons, which is for zero tolerance </w:t>
      </w:r>
      <w:r>
        <w:rPr>
          <w:spacing w:val="-4"/>
          <w:w w:val="120"/>
          <w:sz w:val="20"/>
        </w:rPr>
        <w:t>(this </w:t>
      </w:r>
      <w:r>
        <w:rPr>
          <w:w w:val="120"/>
          <w:sz w:val="20"/>
        </w:rPr>
        <w:t>is the C of E position and thereby at least  by default the URC position for investments made via Church, Charities and Local Authorities </w:t>
      </w:r>
      <w:r>
        <w:rPr>
          <w:spacing w:val="-5"/>
          <w:w w:val="120"/>
          <w:sz w:val="20"/>
        </w:rPr>
        <w:t>(CCLA)). </w:t>
      </w:r>
      <w:r>
        <w:rPr>
          <w:w w:val="120"/>
          <w:sz w:val="20"/>
        </w:rPr>
        <w:t>However, a zero tolerance policy is more difficult to achieve than might be</w:t>
      </w:r>
      <w:r>
        <w:rPr>
          <w:spacing w:val="4"/>
          <w:w w:val="120"/>
          <w:sz w:val="20"/>
        </w:rPr>
        <w:t> </w:t>
      </w:r>
      <w:r>
        <w:rPr>
          <w:w w:val="120"/>
          <w:sz w:val="20"/>
        </w:rPr>
        <w:t>imagined.</w:t>
      </w:r>
    </w:p>
    <w:p>
      <w:pPr>
        <w:pStyle w:val="BodyText"/>
        <w:spacing w:before="12"/>
        <w:rPr>
          <w:sz w:val="19"/>
        </w:rPr>
      </w:pPr>
    </w:p>
    <w:p>
      <w:pPr>
        <w:pStyle w:val="ListParagraph"/>
        <w:numPr>
          <w:ilvl w:val="0"/>
          <w:numId w:val="223"/>
        </w:numPr>
        <w:tabs>
          <w:tab w:pos="2024" w:val="left" w:leader="none"/>
          <w:tab w:pos="2025" w:val="left" w:leader="none"/>
        </w:tabs>
        <w:spacing w:line="235" w:lineRule="auto" w:before="0" w:after="0"/>
        <w:ind w:left="1344" w:right="1701" w:firstLine="0"/>
        <w:jc w:val="left"/>
        <w:rPr>
          <w:sz w:val="20"/>
        </w:rPr>
      </w:pPr>
      <w:r>
        <w:rPr>
          <w:w w:val="120"/>
          <w:sz w:val="20"/>
        </w:rPr>
        <w:t>Impact would be measured by public recognition of the UK Churches’ role (beyond our four JPIT partners) in bringing about a political demand in the UK for a nuclear weapons ban treaty. This presupposes that we have achieved some public media attention through our support for this</w:t>
      </w:r>
      <w:r>
        <w:rPr>
          <w:spacing w:val="16"/>
          <w:w w:val="120"/>
          <w:sz w:val="20"/>
        </w:rPr>
        <w:t> </w:t>
      </w:r>
      <w:r>
        <w:rPr>
          <w:w w:val="120"/>
          <w:sz w:val="20"/>
        </w:rPr>
        <w:t>call.</w:t>
      </w:r>
    </w:p>
    <w:p>
      <w:pPr>
        <w:spacing w:after="0" w:line="235" w:lineRule="auto"/>
        <w:jc w:val="left"/>
        <w:rPr>
          <w:sz w:val="20"/>
        </w:rPr>
        <w:sectPr>
          <w:headerReference w:type="default" r:id="rId521"/>
          <w:footerReference w:type="default" r:id="rId522"/>
          <w:pgSz w:w="11910" w:h="16840"/>
          <w:pgMar w:header="0" w:footer="647" w:top="0" w:bottom="840" w:left="640" w:right="0"/>
          <w:pgNumType w:start="195"/>
        </w:sectPr>
      </w:pPr>
    </w:p>
    <w:p>
      <w:pPr>
        <w:pStyle w:val="BodyText"/>
      </w:pPr>
      <w:r>
        <w:rPr/>
        <w:pict>
          <v:rect style="position:absolute;margin-left:46.777pt;margin-top:.000015pt;width:548.498pt;height:841.89pt;mso-position-horizontal-relative:page;mso-position-vertical-relative:page;z-index:-267588608" filled="true" fillcolor="#d4e9f7" stroked="false">
            <v:fill type="solid"/>
            <w10:wrap type="none"/>
          </v:rect>
        </w:pict>
      </w:r>
      <w:r>
        <w:rPr/>
        <w:drawing>
          <wp:anchor distT="0" distB="0" distL="0" distR="0" allowOverlap="1" layoutInCell="1" locked="0" behindDoc="1" simplePos="0" relativeHeight="235728896">
            <wp:simplePos x="0" y="0"/>
            <wp:positionH relativeFrom="page">
              <wp:posOffset>0</wp:posOffset>
            </wp:positionH>
            <wp:positionV relativeFrom="page">
              <wp:posOffset>0</wp:posOffset>
            </wp:positionV>
            <wp:extent cx="594067" cy="10692003"/>
            <wp:effectExtent l="0" t="0" r="0" b="0"/>
            <wp:wrapNone/>
            <wp:docPr id="373" name="image67.png"/>
            <wp:cNvGraphicFramePr>
              <a:graphicFrameLocks noChangeAspect="1"/>
            </wp:cNvGraphicFramePr>
            <a:graphic>
              <a:graphicData uri="http://schemas.openxmlformats.org/drawingml/2006/picture">
                <pic:pic>
                  <pic:nvPicPr>
                    <pic:cNvPr id="374" name="image67.png"/>
                    <pic:cNvPicPr/>
                  </pic:nvPicPr>
                  <pic:blipFill>
                    <a:blip r:embed="rId184" cstate="print"/>
                    <a:stretch>
                      <a:fillRect/>
                    </a:stretch>
                  </pic:blipFill>
                  <pic:spPr>
                    <a:xfrm>
                      <a:off x="0" y="0"/>
                      <a:ext cx="594067" cy="10692003"/>
                    </a:xfrm>
                    <a:prstGeom prst="rect">
                      <a:avLst/>
                    </a:prstGeom>
                  </pic:spPr>
                </pic:pic>
              </a:graphicData>
            </a:graphic>
          </wp:anchor>
        </w:drawing>
      </w:r>
      <w:r>
        <w:rPr/>
        <w:pict>
          <v:shape style="position:absolute;margin-left:20.519100pt;margin-top:48.890015pt;width:25.9pt;height:276.6pt;mso-position-horizontal-relative:page;mso-position-vertical-relative:page;z-index:-267586560" type="#_x0000_t202" filled="false" stroked="false">
            <v:textbox inset="0,0,0,0" style="layout-flow:vertical">
              <w:txbxContent>
                <w:p>
                  <w:pPr>
                    <w:spacing w:before="27"/>
                    <w:ind w:left="20" w:right="0" w:firstLine="0"/>
                    <w:jc w:val="left"/>
                    <w:rPr>
                      <w:sz w:val="39"/>
                    </w:rPr>
                  </w:pPr>
                  <w:r>
                    <w:rPr>
                      <w:color w:val="FFFFFF"/>
                      <w:spacing w:val="9"/>
                      <w:w w:val="120"/>
                      <w:sz w:val="39"/>
                    </w:rPr>
                    <w:t>Mission </w:t>
                  </w:r>
                  <w:r>
                    <w:rPr>
                      <w:color w:val="FFFFFF"/>
                      <w:w w:val="120"/>
                      <w:sz w:val="39"/>
                    </w:rPr>
                    <w:t>– </w:t>
                  </w:r>
                  <w:r>
                    <w:rPr>
                      <w:spacing w:val="8"/>
                      <w:w w:val="120"/>
                      <w:sz w:val="39"/>
                    </w:rPr>
                    <w:t>Korean</w:t>
                  </w:r>
                  <w:r>
                    <w:rPr>
                      <w:spacing w:val="63"/>
                      <w:w w:val="120"/>
                      <w:sz w:val="39"/>
                    </w:rPr>
                    <w:t> </w:t>
                  </w:r>
                  <w:r>
                    <w:rPr>
                      <w:spacing w:val="10"/>
                      <w:w w:val="120"/>
                      <w:sz w:val="39"/>
                    </w:rPr>
                    <w:t>Peninsula</w:t>
                  </w:r>
                </w:p>
              </w:txbxContent>
            </v:textbox>
            <w10:wrap type="none"/>
          </v:shape>
        </w:pict>
      </w:r>
    </w:p>
    <w:p>
      <w:pPr>
        <w:pStyle w:val="BodyText"/>
      </w:pPr>
    </w:p>
    <w:p>
      <w:pPr>
        <w:pStyle w:val="BodyText"/>
      </w:pPr>
    </w:p>
    <w:p>
      <w:pPr>
        <w:pStyle w:val="BodyText"/>
        <w:spacing w:before="5"/>
        <w:rPr>
          <w:sz w:val="28"/>
        </w:rPr>
      </w:pPr>
    </w:p>
    <w:p>
      <w:pPr>
        <w:spacing w:line="213" w:lineRule="auto" w:before="153"/>
        <w:ind w:left="607" w:right="2709" w:firstLine="0"/>
        <w:jc w:val="left"/>
        <w:rPr>
          <w:rFonts w:ascii="Stone Sans II ITC Std X Bd"/>
          <w:b/>
          <w:sz w:val="50"/>
        </w:rPr>
      </w:pPr>
      <w:r>
        <w:rPr>
          <w:rFonts w:ascii="Stone Sans II ITC Std X Bd"/>
          <w:b/>
          <w:color w:val="0090D4"/>
          <w:spacing w:val="-9"/>
          <w:w w:val="110"/>
          <w:sz w:val="50"/>
        </w:rPr>
        <w:t>Mission </w:t>
      </w:r>
      <w:r>
        <w:rPr>
          <w:rFonts w:ascii="Stone Sans II ITC Std X Bd"/>
          <w:b/>
          <w:color w:val="0090D4"/>
          <w:spacing w:val="-10"/>
          <w:w w:val="110"/>
          <w:sz w:val="50"/>
        </w:rPr>
        <w:t>committee: </w:t>
      </w:r>
      <w:r>
        <w:rPr>
          <w:rFonts w:ascii="Stone Sans II ITC Std X Bd"/>
          <w:b/>
          <w:spacing w:val="-10"/>
          <w:w w:val="110"/>
          <w:sz w:val="50"/>
        </w:rPr>
        <w:t>Resolution </w:t>
      </w:r>
      <w:r>
        <w:rPr>
          <w:rFonts w:ascii="Stone Sans II ITC Std X Bd"/>
          <w:b/>
          <w:spacing w:val="-5"/>
          <w:w w:val="110"/>
          <w:sz w:val="50"/>
        </w:rPr>
        <w:t>on </w:t>
      </w:r>
      <w:r>
        <w:rPr>
          <w:rFonts w:ascii="Stone Sans II ITC Std X Bd"/>
          <w:b/>
          <w:spacing w:val="-10"/>
          <w:w w:val="110"/>
          <w:sz w:val="50"/>
        </w:rPr>
        <w:t>peace </w:t>
      </w:r>
      <w:r>
        <w:rPr>
          <w:rFonts w:ascii="Stone Sans II ITC Std X Bd"/>
          <w:b/>
          <w:spacing w:val="-7"/>
          <w:w w:val="110"/>
          <w:sz w:val="50"/>
        </w:rPr>
        <w:t>and </w:t>
      </w:r>
      <w:r>
        <w:rPr>
          <w:rFonts w:ascii="Stone Sans II ITC Std X Bd"/>
          <w:b/>
          <w:spacing w:val="-10"/>
          <w:w w:val="110"/>
          <w:sz w:val="50"/>
        </w:rPr>
        <w:t>reunification </w:t>
      </w:r>
      <w:r>
        <w:rPr>
          <w:rFonts w:ascii="Stone Sans II ITC Std X Bd"/>
          <w:b/>
          <w:spacing w:val="-5"/>
          <w:w w:val="110"/>
          <w:sz w:val="50"/>
        </w:rPr>
        <w:t>of </w:t>
      </w:r>
      <w:r>
        <w:rPr>
          <w:rFonts w:ascii="Stone Sans II ITC Std X Bd"/>
          <w:b/>
          <w:spacing w:val="-8"/>
          <w:w w:val="110"/>
          <w:sz w:val="50"/>
        </w:rPr>
        <w:t>the </w:t>
      </w:r>
      <w:r>
        <w:rPr>
          <w:rFonts w:ascii="Stone Sans II ITC Std X Bd"/>
          <w:b/>
          <w:spacing w:val="-12"/>
          <w:w w:val="110"/>
          <w:sz w:val="50"/>
        </w:rPr>
        <w:t>Korean </w:t>
      </w:r>
      <w:r>
        <w:rPr>
          <w:rFonts w:ascii="Stone Sans II ITC Std X Bd"/>
          <w:b/>
          <w:spacing w:val="-11"/>
          <w:w w:val="110"/>
          <w:sz w:val="50"/>
        </w:rPr>
        <w:t>Peninsula</w:t>
      </w:r>
    </w:p>
    <w:p>
      <w:pPr>
        <w:pStyle w:val="Heading4"/>
        <w:spacing w:before="322"/>
      </w:pPr>
      <w:r>
        <w:rPr>
          <w:color w:val="7F7F7F"/>
        </w:rPr>
        <w:t>Basic Information</w:t>
      </w:r>
    </w:p>
    <w:tbl>
      <w:tblPr>
        <w:tblW w:w="0" w:type="auto"/>
        <w:jc w:val="left"/>
        <w:tblInd w:w="6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660"/>
        <w:gridCol w:w="6582"/>
      </w:tblGrid>
      <w:tr>
        <w:trPr>
          <w:trHeight w:val="680" w:hRule="atLeast"/>
        </w:trPr>
        <w:tc>
          <w:tcPr>
            <w:tcW w:w="2660" w:type="dxa"/>
            <w:shd w:val="clear" w:color="auto" w:fill="FFFFFF"/>
          </w:tcPr>
          <w:p>
            <w:pPr>
              <w:pStyle w:val="TableParagraph"/>
              <w:spacing w:line="213" w:lineRule="auto" w:before="151"/>
              <w:ind w:right="595"/>
              <w:rPr>
                <w:rFonts w:ascii="Stone Sans II ITC Std Bk"/>
                <w:b/>
                <w:sz w:val="20"/>
              </w:rPr>
            </w:pPr>
            <w:r>
              <w:rPr>
                <w:rFonts w:ascii="Stone Sans II ITC Std Bk"/>
                <w:b/>
                <w:w w:val="110"/>
                <w:sz w:val="20"/>
              </w:rPr>
              <w:t>Contact name and email address</w:t>
            </w:r>
          </w:p>
        </w:tc>
        <w:tc>
          <w:tcPr>
            <w:tcW w:w="6582" w:type="dxa"/>
            <w:shd w:val="clear" w:color="auto" w:fill="FFFFFF"/>
          </w:tcPr>
          <w:p>
            <w:pPr>
              <w:pStyle w:val="TableParagraph"/>
              <w:spacing w:before="141"/>
              <w:rPr>
                <w:sz w:val="20"/>
              </w:rPr>
            </w:pPr>
            <w:r>
              <w:rPr>
                <w:w w:val="120"/>
                <w:sz w:val="20"/>
              </w:rPr>
              <w:t>The Revd Dr Michael Jagessar: </w:t>
            </w:r>
            <w:hyperlink r:id="rId138">
              <w:r>
                <w:rPr>
                  <w:color w:val="006AB3"/>
                  <w:w w:val="120"/>
                  <w:sz w:val="20"/>
                </w:rPr>
                <w:t>michael.jagessar@urc.org.uk</w:t>
              </w:r>
            </w:hyperlink>
          </w:p>
        </w:tc>
      </w:tr>
      <w:tr>
        <w:trPr>
          <w:trHeight w:val="440" w:hRule="atLeast"/>
        </w:trPr>
        <w:tc>
          <w:tcPr>
            <w:tcW w:w="2660" w:type="dxa"/>
            <w:shd w:val="clear" w:color="auto" w:fill="FFFFFF"/>
          </w:tcPr>
          <w:p>
            <w:pPr>
              <w:pStyle w:val="TableParagraph"/>
              <w:spacing w:before="128"/>
              <w:rPr>
                <w:rFonts w:ascii="Stone Sans II ITC Std Bk"/>
                <w:b/>
                <w:sz w:val="20"/>
              </w:rPr>
            </w:pPr>
            <w:r>
              <w:rPr>
                <w:rFonts w:ascii="Stone Sans II ITC Std Bk"/>
                <w:b/>
                <w:w w:val="110"/>
                <w:sz w:val="20"/>
              </w:rPr>
              <w:t>Action required</w:t>
            </w:r>
          </w:p>
        </w:tc>
        <w:tc>
          <w:tcPr>
            <w:tcW w:w="6582" w:type="dxa"/>
            <w:shd w:val="clear" w:color="auto" w:fill="FFFFFF"/>
          </w:tcPr>
          <w:p>
            <w:pPr>
              <w:pStyle w:val="TableParagraph"/>
              <w:spacing w:before="141"/>
              <w:rPr>
                <w:sz w:val="20"/>
              </w:rPr>
            </w:pPr>
            <w:r>
              <w:rPr>
                <w:w w:val="120"/>
                <w:sz w:val="20"/>
              </w:rPr>
              <w:t>Decision</w:t>
            </w:r>
          </w:p>
        </w:tc>
      </w:tr>
      <w:tr>
        <w:trPr>
          <w:trHeight w:val="8360" w:hRule="atLeast"/>
        </w:trPr>
        <w:tc>
          <w:tcPr>
            <w:tcW w:w="2660" w:type="dxa"/>
            <w:shd w:val="clear" w:color="auto" w:fill="FFFFFF"/>
          </w:tcPr>
          <w:p>
            <w:pPr>
              <w:pStyle w:val="TableParagraph"/>
              <w:spacing w:before="128"/>
              <w:rPr>
                <w:rFonts w:ascii="Stone Sans II ITC Std Bk"/>
                <w:b/>
                <w:sz w:val="20"/>
              </w:rPr>
            </w:pPr>
            <w:r>
              <w:rPr>
                <w:rFonts w:ascii="Stone Sans II ITC Std Bk"/>
                <w:b/>
                <w:w w:val="110"/>
                <w:sz w:val="20"/>
              </w:rPr>
              <w:t>Draft resolution(s)</w:t>
            </w:r>
          </w:p>
        </w:tc>
        <w:tc>
          <w:tcPr>
            <w:tcW w:w="6582" w:type="dxa"/>
            <w:shd w:val="clear" w:color="auto" w:fill="FFFFFF"/>
          </w:tcPr>
          <w:p>
            <w:pPr>
              <w:pStyle w:val="TableParagraph"/>
              <w:spacing w:line="213" w:lineRule="auto" w:before="151"/>
              <w:ind w:right="280"/>
              <w:rPr>
                <w:rFonts w:ascii="Stone Sans II ITC Std Bk"/>
                <w:b/>
                <w:sz w:val="20"/>
              </w:rPr>
            </w:pPr>
            <w:r>
              <w:rPr>
                <w:rFonts w:ascii="Stone Sans II ITC Std Bk"/>
                <w:b/>
                <w:w w:val="110"/>
                <w:sz w:val="20"/>
              </w:rPr>
              <w:t>34.a) The General Assembly of the United Reformed Church welcomes the statement produced by the Ecumenical Forum on Peace in North East Asia meeting in Seoul on 12 September 2015.</w:t>
            </w:r>
          </w:p>
          <w:p>
            <w:pPr>
              <w:pStyle w:val="TableParagraph"/>
              <w:spacing w:before="7"/>
              <w:ind w:left="0"/>
              <w:rPr>
                <w:rFonts w:ascii="Stone Sans II ITC Std Bk"/>
                <w:b/>
                <w:sz w:val="17"/>
              </w:rPr>
            </w:pPr>
          </w:p>
          <w:p>
            <w:pPr>
              <w:pStyle w:val="TableParagraph"/>
              <w:tabs>
                <w:tab w:pos="760" w:val="left" w:leader="none"/>
              </w:tabs>
              <w:spacing w:line="213" w:lineRule="auto"/>
              <w:ind w:right="258"/>
              <w:rPr>
                <w:rFonts w:ascii="Stone Sans II ITC Std Bk"/>
                <w:b/>
                <w:sz w:val="20"/>
              </w:rPr>
            </w:pPr>
            <w:r>
              <w:rPr>
                <w:rFonts w:ascii="Stone Sans II ITC Std Bk"/>
                <w:b/>
                <w:spacing w:val="-8"/>
                <w:w w:val="110"/>
                <w:sz w:val="20"/>
              </w:rPr>
              <w:t>b)</w:t>
              <w:tab/>
            </w:r>
            <w:r>
              <w:rPr>
                <w:rFonts w:ascii="Stone Sans II ITC Std Bk"/>
                <w:b/>
                <w:w w:val="110"/>
                <w:sz w:val="20"/>
              </w:rPr>
              <w:t>The General Assembly faithfully joins its ecumenical partners, especially the Presbyterian Church of Korea (PCK) and the Presbyterian Church in the Republic of Korea</w:t>
            </w:r>
            <w:r>
              <w:rPr>
                <w:rFonts w:ascii="Stone Sans II ITC Std Bk"/>
                <w:b/>
                <w:spacing w:val="-1"/>
                <w:w w:val="110"/>
                <w:sz w:val="20"/>
              </w:rPr>
              <w:t> </w:t>
            </w:r>
            <w:r>
              <w:rPr>
                <w:rFonts w:ascii="Stone Sans II ITC Std Bk"/>
                <w:b/>
                <w:w w:val="110"/>
                <w:sz w:val="20"/>
              </w:rPr>
              <w:t>(PROK),</w:t>
            </w:r>
          </w:p>
          <w:p>
            <w:pPr>
              <w:pStyle w:val="TableParagraph"/>
              <w:numPr>
                <w:ilvl w:val="0"/>
                <w:numId w:val="226"/>
              </w:numPr>
              <w:tabs>
                <w:tab w:pos="421" w:val="left" w:leader="none"/>
              </w:tabs>
              <w:spacing w:line="213" w:lineRule="auto" w:before="0" w:after="0"/>
              <w:ind w:left="420" w:right="262" w:hanging="341"/>
              <w:jc w:val="both"/>
              <w:rPr>
                <w:rFonts w:ascii="Stone Sans II ITC Std Bk" w:hAnsi="Stone Sans II ITC Std Bk"/>
                <w:b/>
                <w:sz w:val="20"/>
              </w:rPr>
            </w:pPr>
            <w:r>
              <w:rPr>
                <w:rFonts w:ascii="Stone Sans II ITC Std Bk" w:hAnsi="Stone Sans II ITC Std Bk"/>
                <w:b/>
                <w:w w:val="110"/>
                <w:sz w:val="20"/>
              </w:rPr>
              <w:t>in affirming the ‘Statement on Peace and Reunification of the Korean Peninsula’ that was adopted by the 10th Assembly of the World Council of</w:t>
            </w:r>
            <w:r>
              <w:rPr>
                <w:rFonts w:ascii="Stone Sans II ITC Std Bk" w:hAnsi="Stone Sans II ITC Std Bk"/>
                <w:b/>
                <w:spacing w:val="-1"/>
                <w:w w:val="110"/>
                <w:sz w:val="20"/>
              </w:rPr>
              <w:t> </w:t>
            </w:r>
            <w:r>
              <w:rPr>
                <w:rFonts w:ascii="Stone Sans II ITC Std Bk" w:hAnsi="Stone Sans II ITC Std Bk"/>
                <w:b/>
                <w:w w:val="110"/>
                <w:sz w:val="20"/>
              </w:rPr>
              <w:t>Churches;</w:t>
            </w:r>
          </w:p>
          <w:p>
            <w:pPr>
              <w:pStyle w:val="TableParagraph"/>
              <w:numPr>
                <w:ilvl w:val="0"/>
                <w:numId w:val="226"/>
              </w:numPr>
              <w:tabs>
                <w:tab w:pos="421" w:val="left" w:leader="none"/>
              </w:tabs>
              <w:spacing w:line="213" w:lineRule="auto" w:before="0" w:after="0"/>
              <w:ind w:left="420" w:right="493" w:hanging="341"/>
              <w:jc w:val="left"/>
              <w:rPr>
                <w:rFonts w:ascii="Stone Sans II ITC Std Bk" w:hAnsi="Stone Sans II ITC Std Bk"/>
                <w:b/>
                <w:sz w:val="20"/>
              </w:rPr>
            </w:pPr>
            <w:r>
              <w:rPr>
                <w:rFonts w:ascii="Stone Sans II ITC Std Bk" w:hAnsi="Stone Sans II ITC Std Bk"/>
                <w:b/>
                <w:w w:val="110"/>
                <w:sz w:val="20"/>
              </w:rPr>
              <w:t>in supporting the communiqué that was issued by the WCC International Consultation on Peace, Justice and Reconciliation on the Korean Peninsula at the Ecumenical Institute in</w:t>
            </w:r>
            <w:r>
              <w:rPr>
                <w:rFonts w:ascii="Stone Sans II ITC Std Bk" w:hAnsi="Stone Sans II ITC Std Bk"/>
                <w:b/>
                <w:spacing w:val="-1"/>
                <w:w w:val="110"/>
                <w:sz w:val="20"/>
              </w:rPr>
              <w:t> </w:t>
            </w:r>
            <w:r>
              <w:rPr>
                <w:rFonts w:ascii="Stone Sans II ITC Std Bk" w:hAnsi="Stone Sans II ITC Std Bk"/>
                <w:b/>
                <w:spacing w:val="-5"/>
                <w:w w:val="110"/>
                <w:sz w:val="20"/>
              </w:rPr>
              <w:t>2014.</w:t>
            </w:r>
          </w:p>
          <w:p>
            <w:pPr>
              <w:pStyle w:val="TableParagraph"/>
              <w:spacing w:before="3"/>
              <w:ind w:left="0"/>
              <w:rPr>
                <w:rFonts w:ascii="Stone Sans II ITC Std Bk"/>
                <w:b/>
                <w:sz w:val="17"/>
              </w:rPr>
            </w:pPr>
          </w:p>
          <w:p>
            <w:pPr>
              <w:pStyle w:val="TableParagraph"/>
              <w:numPr>
                <w:ilvl w:val="0"/>
                <w:numId w:val="227"/>
              </w:numPr>
              <w:tabs>
                <w:tab w:pos="760" w:val="left" w:leader="none"/>
                <w:tab w:pos="761" w:val="left" w:leader="none"/>
              </w:tabs>
              <w:spacing w:line="213" w:lineRule="auto" w:before="0" w:after="0"/>
              <w:ind w:left="80" w:right="99" w:firstLine="0"/>
              <w:jc w:val="left"/>
              <w:rPr>
                <w:rFonts w:ascii="Stone Sans II ITC Std Bk"/>
                <w:b/>
                <w:sz w:val="20"/>
              </w:rPr>
            </w:pPr>
            <w:r>
              <w:rPr>
                <w:rFonts w:ascii="Stone Sans II ITC Std Bk"/>
                <w:b/>
                <w:w w:val="110"/>
                <w:sz w:val="20"/>
              </w:rPr>
              <w:t>The General Assembly dedicates itself to accompany its Korean partners, the Presbyterian Church of Korea (PCK) and the Presbyterian Church in the Republic of Korea (PROK) as they seek the reconciliation and restoration of families and communities long divided by conflict and hostility, so that social, spiritual and psychological healing can occur between the people of</w:t>
            </w:r>
            <w:r>
              <w:rPr>
                <w:rFonts w:ascii="Stone Sans II ITC Std Bk"/>
                <w:b/>
                <w:spacing w:val="-1"/>
                <w:w w:val="110"/>
                <w:sz w:val="20"/>
              </w:rPr>
              <w:t> </w:t>
            </w:r>
            <w:r>
              <w:rPr>
                <w:rFonts w:ascii="Stone Sans II ITC Std Bk"/>
                <w:b/>
                <w:w w:val="110"/>
                <w:sz w:val="20"/>
              </w:rPr>
              <w:t>Korea.</w:t>
            </w:r>
          </w:p>
          <w:p>
            <w:pPr>
              <w:pStyle w:val="TableParagraph"/>
              <w:spacing w:before="6"/>
              <w:ind w:left="0"/>
              <w:rPr>
                <w:rFonts w:ascii="Stone Sans II ITC Std Bk"/>
                <w:b/>
                <w:sz w:val="17"/>
              </w:rPr>
            </w:pPr>
          </w:p>
          <w:p>
            <w:pPr>
              <w:pStyle w:val="TableParagraph"/>
              <w:numPr>
                <w:ilvl w:val="0"/>
                <w:numId w:val="227"/>
              </w:numPr>
              <w:tabs>
                <w:tab w:pos="760" w:val="left" w:leader="none"/>
                <w:tab w:pos="761" w:val="left" w:leader="none"/>
              </w:tabs>
              <w:spacing w:line="213" w:lineRule="auto" w:before="0" w:after="0"/>
              <w:ind w:left="80" w:right="103" w:firstLine="0"/>
              <w:jc w:val="left"/>
              <w:rPr>
                <w:rFonts w:ascii="Stone Sans II ITC Std Bk"/>
                <w:b/>
                <w:sz w:val="20"/>
              </w:rPr>
            </w:pPr>
            <w:r>
              <w:rPr>
                <w:rFonts w:ascii="Stone Sans II ITC Std Bk"/>
                <w:b/>
                <w:w w:val="110"/>
                <w:sz w:val="20"/>
              </w:rPr>
              <w:t>The General Assembly of the United Reformed Church continues to support ecumenical engagements towards peace and reconciliation of the Korean Peninsula. These actions include promoting the campaign to finally replace the Armistice Agreement of </w:t>
            </w:r>
            <w:r>
              <w:rPr>
                <w:rFonts w:ascii="Stone Sans II ITC Std Bk"/>
                <w:b/>
                <w:spacing w:val="-7"/>
                <w:w w:val="110"/>
                <w:sz w:val="20"/>
              </w:rPr>
              <w:t>1953 </w:t>
            </w:r>
            <w:r>
              <w:rPr>
                <w:rFonts w:ascii="Stone Sans II ITC Std Bk"/>
                <w:b/>
                <w:w w:val="110"/>
                <w:sz w:val="20"/>
              </w:rPr>
              <w:t>with a Peace </w:t>
            </w:r>
            <w:r>
              <w:rPr>
                <w:rFonts w:ascii="Stone Sans II ITC Std Bk"/>
                <w:b/>
                <w:spacing w:val="-4"/>
                <w:w w:val="110"/>
                <w:sz w:val="20"/>
              </w:rPr>
              <w:t>Treaty, </w:t>
            </w:r>
            <w:r>
              <w:rPr>
                <w:rFonts w:ascii="Stone Sans II ITC Std Bk"/>
                <w:b/>
                <w:w w:val="110"/>
                <w:sz w:val="20"/>
              </w:rPr>
              <w:t>joining with Christians around the globe in recognising and providing worship resources and actively raising these initiatives with ecumenical partners in the</w:t>
            </w:r>
            <w:r>
              <w:rPr>
                <w:rFonts w:ascii="Stone Sans II ITC Std Bk"/>
                <w:b/>
                <w:spacing w:val="11"/>
                <w:w w:val="110"/>
                <w:sz w:val="20"/>
              </w:rPr>
              <w:t> </w:t>
            </w:r>
            <w:r>
              <w:rPr>
                <w:rFonts w:ascii="Stone Sans II ITC Std Bk"/>
                <w:b/>
                <w:spacing w:val="3"/>
                <w:w w:val="110"/>
                <w:sz w:val="20"/>
              </w:rPr>
              <w:t>UK.</w:t>
            </w:r>
          </w:p>
        </w:tc>
      </w:tr>
    </w:tbl>
    <w:p>
      <w:pPr>
        <w:pStyle w:val="BodyText"/>
        <w:rPr>
          <w:rFonts w:ascii="Stone Sans II ITC Std Bk"/>
          <w:b/>
          <w:sz w:val="30"/>
        </w:rPr>
      </w:pPr>
    </w:p>
    <w:p>
      <w:pPr>
        <w:pStyle w:val="BodyText"/>
        <w:rPr>
          <w:rFonts w:ascii="Stone Sans II ITC Std Bk"/>
          <w:b/>
          <w:sz w:val="30"/>
        </w:rPr>
      </w:pPr>
    </w:p>
    <w:p>
      <w:pPr>
        <w:pStyle w:val="BodyText"/>
        <w:rPr>
          <w:rFonts w:ascii="Stone Sans II ITC Std Bk"/>
          <w:b/>
          <w:sz w:val="30"/>
        </w:rPr>
      </w:pPr>
    </w:p>
    <w:p>
      <w:pPr>
        <w:pStyle w:val="BodyText"/>
        <w:rPr>
          <w:rFonts w:ascii="Stone Sans II ITC Std Bk"/>
          <w:b/>
          <w:sz w:val="30"/>
        </w:rPr>
      </w:pPr>
    </w:p>
    <w:p>
      <w:pPr>
        <w:pStyle w:val="BodyText"/>
        <w:rPr>
          <w:rFonts w:ascii="Stone Sans II ITC Std Bk"/>
          <w:b/>
          <w:sz w:val="40"/>
        </w:rPr>
      </w:pPr>
    </w:p>
    <w:p>
      <w:pPr>
        <w:pStyle w:val="Heading6"/>
        <w:spacing w:before="1"/>
        <w:ind w:left="607"/>
      </w:pPr>
      <w:r>
        <w:rPr>
          <w:rFonts w:ascii="Stone Sans II ITC Std X Bd" w:hAnsi="Stone Sans II ITC Std X Bd"/>
          <w:b/>
          <w:w w:val="110"/>
          <w:sz w:val="24"/>
        </w:rPr>
        <w:t>196 </w:t>
      </w:r>
      <w:r>
        <w:rPr>
          <w:rFonts w:ascii="Symbol" w:hAnsi="Symbol"/>
          <w:color w:val="7EAABF"/>
          <w:w w:val="110"/>
        </w:rPr>
        <w:t></w:t>
      </w:r>
      <w:r>
        <w:rPr>
          <w:rFonts w:ascii="Times New Roman" w:hAnsi="Times New Roman"/>
          <w:color w:val="7EAABF"/>
          <w:w w:val="110"/>
        </w:rPr>
        <w:t> </w:t>
      </w:r>
      <w:r>
        <w:rPr>
          <w:color w:val="7EAABF"/>
          <w:w w:val="110"/>
        </w:rPr>
        <w:t>United Reformed Church </w:t>
      </w:r>
      <w:r>
        <w:rPr>
          <w:rFonts w:ascii="Symbol" w:hAnsi="Symbol"/>
          <w:color w:val="7EAABF"/>
          <w:w w:val="110"/>
        </w:rPr>
        <w:t></w:t>
      </w:r>
      <w:r>
        <w:rPr>
          <w:rFonts w:ascii="Times New Roman" w:hAnsi="Times New Roman"/>
          <w:color w:val="7EAABF"/>
          <w:w w:val="110"/>
        </w:rPr>
        <w:t> </w:t>
      </w:r>
      <w:r>
        <w:rPr>
          <w:color w:val="7EAABF"/>
          <w:w w:val="110"/>
        </w:rPr>
        <w:t>General Assembly 2016</w:t>
      </w:r>
    </w:p>
    <w:p>
      <w:pPr>
        <w:spacing w:after="0"/>
        <w:sectPr>
          <w:headerReference w:type="even" r:id="rId524"/>
          <w:footerReference w:type="even" r:id="rId525"/>
          <w:pgSz w:w="11910" w:h="16840"/>
          <w:pgMar w:header="0" w:footer="0" w:top="0" w:bottom="0" w:left="640" w:right="0"/>
        </w:sectPr>
      </w:pPr>
    </w:p>
    <w:p>
      <w:pPr>
        <w:pStyle w:val="BodyText"/>
      </w:pPr>
      <w:r>
        <w:rPr/>
        <w:pict>
          <v:rect style="position:absolute;margin-left:1.417pt;margin-top:.000015pt;width:547.79pt;height:841.89pt;mso-position-horizontal-relative:page;mso-position-vertical-relative:page;z-index:-267585536" filled="true" fillcolor="#d4e9f7" stroked="false">
            <v:fill type="solid"/>
            <w10:wrap type="none"/>
          </v:rect>
        </w:pict>
      </w:r>
      <w:r>
        <w:rPr/>
        <w:drawing>
          <wp:anchor distT="0" distB="0" distL="0" distR="0" allowOverlap="1" layoutInCell="1" locked="0" behindDoc="0" simplePos="0" relativeHeight="252185600">
            <wp:simplePos x="0" y="0"/>
            <wp:positionH relativeFrom="page">
              <wp:posOffset>6974928</wp:posOffset>
            </wp:positionH>
            <wp:positionV relativeFrom="page">
              <wp:posOffset>0</wp:posOffset>
            </wp:positionV>
            <wp:extent cx="585063" cy="10692003"/>
            <wp:effectExtent l="0" t="0" r="0" b="0"/>
            <wp:wrapNone/>
            <wp:docPr id="375" name="image54.png"/>
            <wp:cNvGraphicFramePr>
              <a:graphicFrameLocks noChangeAspect="1"/>
            </wp:cNvGraphicFramePr>
            <a:graphic>
              <a:graphicData uri="http://schemas.openxmlformats.org/drawingml/2006/picture">
                <pic:pic>
                  <pic:nvPicPr>
                    <pic:cNvPr id="376" name="image54.png"/>
                    <pic:cNvPicPr/>
                  </pic:nvPicPr>
                  <pic:blipFill>
                    <a:blip r:embed="rId169" cstate="print"/>
                    <a:stretch>
                      <a:fillRect/>
                    </a:stretch>
                  </pic:blipFill>
                  <pic:spPr>
                    <a:xfrm>
                      <a:off x="0" y="0"/>
                      <a:ext cx="585063" cy="10692003"/>
                    </a:xfrm>
                    <a:prstGeom prst="rect">
                      <a:avLst/>
                    </a:prstGeom>
                  </pic:spPr>
                </pic:pic>
              </a:graphicData>
            </a:graphic>
          </wp:anchor>
        </w:drawing>
      </w:r>
    </w:p>
    <w:p>
      <w:pPr>
        <w:pStyle w:val="BodyText"/>
      </w:pPr>
    </w:p>
    <w:p>
      <w:pPr>
        <w:pStyle w:val="BodyText"/>
      </w:pPr>
    </w:p>
    <w:p>
      <w:pPr>
        <w:pStyle w:val="BodyText"/>
        <w:spacing w:before="9"/>
        <w:rPr>
          <w:sz w:val="23"/>
        </w:rPr>
      </w:pPr>
    </w:p>
    <w:p>
      <w:pPr>
        <w:pStyle w:val="Heading4"/>
        <w:spacing w:before="94"/>
        <w:ind w:left="1089"/>
      </w:pPr>
      <w:r>
        <w:rPr/>
        <w:pict>
          <v:shape style="position:absolute;margin-left:554.141174pt;margin-top:-3.103093pt;width:25.9pt;height:276.6pt;mso-position-horizontal-relative:page;mso-position-vertical-relative:paragraph;z-index:252186624" type="#_x0000_t202" filled="false" stroked="false">
            <v:textbox inset="0,0,0,0" style="layout-flow:vertical">
              <w:txbxContent>
                <w:p>
                  <w:pPr>
                    <w:spacing w:before="27"/>
                    <w:ind w:left="20" w:right="0" w:firstLine="0"/>
                    <w:jc w:val="left"/>
                    <w:rPr>
                      <w:sz w:val="39"/>
                    </w:rPr>
                  </w:pPr>
                  <w:r>
                    <w:rPr>
                      <w:color w:val="FFFFFF"/>
                      <w:spacing w:val="9"/>
                      <w:w w:val="120"/>
                      <w:sz w:val="39"/>
                    </w:rPr>
                    <w:t>Mission </w:t>
                  </w:r>
                  <w:r>
                    <w:rPr>
                      <w:color w:val="FFFFFF"/>
                      <w:w w:val="120"/>
                      <w:sz w:val="39"/>
                    </w:rPr>
                    <w:t>– </w:t>
                  </w:r>
                  <w:r>
                    <w:rPr>
                      <w:spacing w:val="8"/>
                      <w:w w:val="120"/>
                      <w:sz w:val="39"/>
                    </w:rPr>
                    <w:t>Korean</w:t>
                  </w:r>
                  <w:r>
                    <w:rPr>
                      <w:spacing w:val="63"/>
                      <w:w w:val="120"/>
                      <w:sz w:val="39"/>
                    </w:rPr>
                    <w:t> </w:t>
                  </w:r>
                  <w:r>
                    <w:rPr>
                      <w:spacing w:val="10"/>
                      <w:w w:val="120"/>
                      <w:sz w:val="39"/>
                    </w:rPr>
                    <w:t>Peninsula</w:t>
                  </w:r>
                </w:p>
              </w:txbxContent>
            </v:textbox>
            <w10:wrap type="none"/>
          </v:shape>
        </w:pict>
      </w:r>
      <w:r>
        <w:rPr>
          <w:color w:val="7F7F7F"/>
        </w:rPr>
        <w:t>Summary of Content</w:t>
      </w:r>
    </w:p>
    <w:tbl>
      <w:tblPr>
        <w:tblW w:w="0" w:type="auto"/>
        <w:jc w:val="left"/>
        <w:tblInd w:w="109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660"/>
        <w:gridCol w:w="6582"/>
      </w:tblGrid>
      <w:tr>
        <w:trPr>
          <w:trHeight w:val="440" w:hRule="atLeast"/>
        </w:trPr>
        <w:tc>
          <w:tcPr>
            <w:tcW w:w="2660" w:type="dxa"/>
            <w:shd w:val="clear" w:color="auto" w:fill="FFFFFF"/>
          </w:tcPr>
          <w:p>
            <w:pPr>
              <w:pStyle w:val="TableParagraph"/>
              <w:spacing w:before="128"/>
              <w:rPr>
                <w:rFonts w:ascii="Stone Sans II ITC Std Bk"/>
                <w:b/>
                <w:sz w:val="20"/>
              </w:rPr>
            </w:pPr>
            <w:r>
              <w:rPr>
                <w:rFonts w:ascii="Stone Sans II ITC Std Bk"/>
                <w:b/>
                <w:w w:val="110"/>
                <w:sz w:val="20"/>
              </w:rPr>
              <w:t>Subject and aim(s)</w:t>
            </w:r>
          </w:p>
        </w:tc>
        <w:tc>
          <w:tcPr>
            <w:tcW w:w="6582" w:type="dxa"/>
            <w:shd w:val="clear" w:color="auto" w:fill="FFFFFF"/>
          </w:tcPr>
          <w:p>
            <w:pPr>
              <w:pStyle w:val="TableParagraph"/>
              <w:spacing w:before="141"/>
              <w:rPr>
                <w:sz w:val="20"/>
              </w:rPr>
            </w:pPr>
            <w:r>
              <w:rPr>
                <w:w w:val="120"/>
                <w:sz w:val="20"/>
              </w:rPr>
              <w:t>Resolution on peace and reunification of the Korean peninsula</w:t>
            </w:r>
          </w:p>
        </w:tc>
      </w:tr>
      <w:tr>
        <w:trPr>
          <w:trHeight w:val="2600" w:hRule="atLeast"/>
        </w:trPr>
        <w:tc>
          <w:tcPr>
            <w:tcW w:w="2660" w:type="dxa"/>
            <w:shd w:val="clear" w:color="auto" w:fill="FFFFFF"/>
          </w:tcPr>
          <w:p>
            <w:pPr>
              <w:pStyle w:val="TableParagraph"/>
              <w:spacing w:before="128"/>
              <w:rPr>
                <w:rFonts w:ascii="Stone Sans II ITC Std Bk"/>
                <w:b/>
                <w:sz w:val="20"/>
              </w:rPr>
            </w:pPr>
            <w:r>
              <w:rPr>
                <w:rFonts w:ascii="Stone Sans II ITC Std Bk"/>
                <w:b/>
                <w:w w:val="110"/>
                <w:sz w:val="20"/>
              </w:rPr>
              <w:t>Main points</w:t>
            </w:r>
          </w:p>
        </w:tc>
        <w:tc>
          <w:tcPr>
            <w:tcW w:w="6582" w:type="dxa"/>
            <w:shd w:val="clear" w:color="auto" w:fill="FFFFFF"/>
          </w:tcPr>
          <w:p>
            <w:pPr>
              <w:pStyle w:val="TableParagraph"/>
              <w:spacing w:line="235" w:lineRule="auto" w:before="145"/>
              <w:ind w:right="102"/>
              <w:rPr>
                <w:sz w:val="20"/>
              </w:rPr>
            </w:pPr>
            <w:r>
              <w:rPr>
                <w:w w:val="120"/>
                <w:sz w:val="20"/>
              </w:rPr>
              <w:t>The Presbyterian Church in the Republic of Korea (PROK) and   the Presbyterian Church of Korea (PCK) jointly held the 100th General Assemblies of their churches in September </w:t>
            </w:r>
            <w:r>
              <w:rPr>
                <w:spacing w:val="-7"/>
                <w:w w:val="120"/>
                <w:sz w:val="20"/>
              </w:rPr>
              <w:t>2015. </w:t>
            </w:r>
            <w:r>
              <w:rPr>
                <w:w w:val="120"/>
                <w:sz w:val="20"/>
              </w:rPr>
              <w:t>These Churches, and their ecumenical and international guests, proclaimed this time to be a kairos moment, to renew the call  for reunification of the Korean peninsula as a vital step towards a lasting peace with justice in </w:t>
            </w:r>
            <w:r>
              <w:rPr>
                <w:spacing w:val="2"/>
                <w:w w:val="120"/>
                <w:sz w:val="20"/>
              </w:rPr>
              <w:t>North </w:t>
            </w:r>
            <w:r>
              <w:rPr>
                <w:w w:val="120"/>
                <w:sz w:val="20"/>
              </w:rPr>
              <w:t>East Asia. They call upon their ecumenical and international partners to support them with prayer, fellowship and advocacy for their cause. This resolution is brought by the mission committee in response to this</w:t>
            </w:r>
            <w:r>
              <w:rPr>
                <w:spacing w:val="25"/>
                <w:w w:val="120"/>
                <w:sz w:val="20"/>
              </w:rPr>
              <w:t> </w:t>
            </w:r>
            <w:r>
              <w:rPr>
                <w:w w:val="120"/>
                <w:sz w:val="20"/>
              </w:rPr>
              <w:t>call</w:t>
            </w:r>
          </w:p>
        </w:tc>
      </w:tr>
      <w:tr>
        <w:trPr>
          <w:trHeight w:val="680" w:hRule="atLeast"/>
        </w:trPr>
        <w:tc>
          <w:tcPr>
            <w:tcW w:w="2660" w:type="dxa"/>
            <w:shd w:val="clear" w:color="auto" w:fill="FFFFFF"/>
          </w:tcPr>
          <w:p>
            <w:pPr>
              <w:pStyle w:val="TableParagraph"/>
              <w:spacing w:line="213" w:lineRule="auto" w:before="151"/>
              <w:ind w:right="701"/>
              <w:rPr>
                <w:rFonts w:ascii="Stone Sans II ITC Std Bk"/>
                <w:b/>
                <w:sz w:val="20"/>
              </w:rPr>
            </w:pPr>
            <w:r>
              <w:rPr>
                <w:rFonts w:ascii="Stone Sans II ITC Std Bk"/>
                <w:b/>
                <w:w w:val="110"/>
                <w:sz w:val="20"/>
              </w:rPr>
              <w:t>Previous relevant documents</w:t>
            </w:r>
          </w:p>
        </w:tc>
        <w:tc>
          <w:tcPr>
            <w:tcW w:w="6582" w:type="dxa"/>
            <w:shd w:val="clear" w:color="auto" w:fill="FFFFFF"/>
          </w:tcPr>
          <w:p>
            <w:pPr>
              <w:pStyle w:val="TableParagraph"/>
              <w:spacing w:before="141"/>
              <w:rPr>
                <w:sz w:val="20"/>
              </w:rPr>
            </w:pPr>
            <w:r>
              <w:rPr>
                <w:w w:val="120"/>
                <w:sz w:val="20"/>
              </w:rPr>
              <w:t>None</w:t>
            </w:r>
          </w:p>
        </w:tc>
      </w:tr>
      <w:tr>
        <w:trPr>
          <w:trHeight w:val="680" w:hRule="atLeast"/>
        </w:trPr>
        <w:tc>
          <w:tcPr>
            <w:tcW w:w="2660" w:type="dxa"/>
            <w:shd w:val="clear" w:color="auto" w:fill="FFFFFF"/>
          </w:tcPr>
          <w:p>
            <w:pPr>
              <w:pStyle w:val="TableParagraph"/>
              <w:spacing w:line="213" w:lineRule="auto" w:before="151"/>
              <w:ind w:right="576"/>
              <w:rPr>
                <w:rFonts w:ascii="Stone Sans II ITC Std Bk"/>
                <w:b/>
                <w:sz w:val="20"/>
              </w:rPr>
            </w:pPr>
            <w:r>
              <w:rPr>
                <w:rFonts w:ascii="Stone Sans II ITC Std Bk"/>
                <w:b/>
                <w:w w:val="110"/>
                <w:sz w:val="20"/>
              </w:rPr>
              <w:t>Consultation has taken place with...</w:t>
            </w:r>
          </w:p>
        </w:tc>
        <w:tc>
          <w:tcPr>
            <w:tcW w:w="6582" w:type="dxa"/>
            <w:shd w:val="clear" w:color="auto" w:fill="FFFFFF"/>
          </w:tcPr>
          <w:p>
            <w:pPr>
              <w:pStyle w:val="TableParagraph"/>
              <w:spacing w:before="141"/>
              <w:rPr>
                <w:sz w:val="20"/>
              </w:rPr>
            </w:pPr>
            <w:r>
              <w:rPr>
                <w:w w:val="120"/>
                <w:sz w:val="20"/>
              </w:rPr>
              <w:t>The Revd David Grosch-Miller</w:t>
            </w:r>
          </w:p>
        </w:tc>
      </w:tr>
    </w:tbl>
    <w:p>
      <w:pPr>
        <w:pStyle w:val="BodyText"/>
        <w:spacing w:before="3"/>
        <w:rPr>
          <w:rFonts w:ascii="Stone Sans II ITC Std Bk"/>
          <w:b/>
          <w:sz w:val="29"/>
        </w:rPr>
      </w:pPr>
    </w:p>
    <w:p>
      <w:pPr>
        <w:pStyle w:val="Heading4"/>
        <w:ind w:left="1089"/>
      </w:pPr>
      <w:r>
        <w:rPr>
          <w:color w:val="7F7F7F"/>
        </w:rPr>
        <w:t>Summary of Impact</w:t>
      </w:r>
    </w:p>
    <w:tbl>
      <w:tblPr>
        <w:tblW w:w="0" w:type="auto"/>
        <w:jc w:val="left"/>
        <w:tblInd w:w="109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660"/>
        <w:gridCol w:w="6582"/>
      </w:tblGrid>
      <w:tr>
        <w:trPr>
          <w:trHeight w:val="440" w:hRule="atLeast"/>
        </w:trPr>
        <w:tc>
          <w:tcPr>
            <w:tcW w:w="2660" w:type="dxa"/>
            <w:shd w:val="clear" w:color="auto" w:fill="FFFFFF"/>
          </w:tcPr>
          <w:p>
            <w:pPr>
              <w:pStyle w:val="TableParagraph"/>
              <w:spacing w:before="128"/>
              <w:rPr>
                <w:rFonts w:ascii="Stone Sans II ITC Std Bk"/>
                <w:b/>
                <w:sz w:val="20"/>
              </w:rPr>
            </w:pPr>
            <w:r>
              <w:rPr>
                <w:rFonts w:ascii="Stone Sans II ITC Std Bk"/>
                <w:b/>
                <w:w w:val="110"/>
                <w:sz w:val="20"/>
              </w:rPr>
              <w:t>Financial</w:t>
            </w:r>
          </w:p>
        </w:tc>
        <w:tc>
          <w:tcPr>
            <w:tcW w:w="6582" w:type="dxa"/>
            <w:shd w:val="clear" w:color="auto" w:fill="FFFFFF"/>
          </w:tcPr>
          <w:p>
            <w:pPr>
              <w:pStyle w:val="TableParagraph"/>
              <w:spacing w:before="141"/>
              <w:rPr>
                <w:sz w:val="20"/>
              </w:rPr>
            </w:pPr>
            <w:r>
              <w:rPr>
                <w:w w:val="120"/>
                <w:sz w:val="20"/>
              </w:rPr>
              <w:t>None</w:t>
            </w:r>
          </w:p>
        </w:tc>
      </w:tr>
      <w:tr>
        <w:trPr>
          <w:trHeight w:val="680" w:hRule="atLeast"/>
        </w:trPr>
        <w:tc>
          <w:tcPr>
            <w:tcW w:w="2660" w:type="dxa"/>
            <w:shd w:val="clear" w:color="auto" w:fill="FFFFFF"/>
          </w:tcPr>
          <w:p>
            <w:pPr>
              <w:pStyle w:val="TableParagraph"/>
              <w:spacing w:line="255" w:lineRule="exact" w:before="128"/>
              <w:rPr>
                <w:rFonts w:ascii="Stone Sans II ITC Std Bk"/>
                <w:b/>
                <w:sz w:val="20"/>
              </w:rPr>
            </w:pPr>
            <w:r>
              <w:rPr>
                <w:rFonts w:ascii="Stone Sans II ITC Std Bk"/>
                <w:b/>
                <w:w w:val="110"/>
                <w:sz w:val="20"/>
              </w:rPr>
              <w:t>External</w:t>
            </w:r>
          </w:p>
          <w:p>
            <w:pPr>
              <w:pStyle w:val="TableParagraph"/>
              <w:spacing w:line="255" w:lineRule="exact"/>
              <w:rPr>
                <w:rFonts w:ascii="Stone Sans II ITC Std Bk"/>
                <w:b/>
                <w:sz w:val="20"/>
              </w:rPr>
            </w:pPr>
            <w:r>
              <w:rPr>
                <w:rFonts w:ascii="Stone Sans II ITC Std Bk"/>
                <w:b/>
                <w:w w:val="110"/>
                <w:sz w:val="20"/>
              </w:rPr>
              <w:t>(e.g. ecumenical)</w:t>
            </w:r>
          </w:p>
        </w:tc>
        <w:tc>
          <w:tcPr>
            <w:tcW w:w="6582" w:type="dxa"/>
            <w:shd w:val="clear" w:color="auto" w:fill="FFFFFF"/>
          </w:tcPr>
          <w:p>
            <w:pPr>
              <w:pStyle w:val="TableParagraph"/>
              <w:spacing w:before="141"/>
              <w:rPr>
                <w:sz w:val="20"/>
              </w:rPr>
            </w:pPr>
            <w:r>
              <w:rPr>
                <w:w w:val="120"/>
                <w:sz w:val="20"/>
              </w:rPr>
              <w:t>Strengthening of relations with partner Churches in Korea.</w:t>
            </w:r>
          </w:p>
        </w:tc>
      </w:tr>
    </w:tbl>
    <w:p>
      <w:pPr>
        <w:pStyle w:val="BodyText"/>
        <w:rPr>
          <w:rFonts w:ascii="Stone Sans II ITC Std Bk"/>
          <w:b/>
          <w:sz w:val="30"/>
        </w:rPr>
      </w:pPr>
    </w:p>
    <w:p>
      <w:pPr>
        <w:pStyle w:val="BodyText"/>
        <w:rPr>
          <w:rFonts w:ascii="Stone Sans II ITC Std Bk"/>
          <w:b/>
          <w:sz w:val="30"/>
        </w:rPr>
      </w:pPr>
    </w:p>
    <w:p>
      <w:pPr>
        <w:pStyle w:val="BodyText"/>
        <w:rPr>
          <w:rFonts w:ascii="Stone Sans II ITC Std Bk"/>
          <w:b/>
          <w:sz w:val="30"/>
        </w:rPr>
      </w:pPr>
    </w:p>
    <w:p>
      <w:pPr>
        <w:pStyle w:val="BodyText"/>
        <w:rPr>
          <w:rFonts w:ascii="Stone Sans II ITC Std Bk"/>
          <w:b/>
          <w:sz w:val="30"/>
        </w:rPr>
      </w:pPr>
    </w:p>
    <w:p>
      <w:pPr>
        <w:pStyle w:val="BodyText"/>
        <w:rPr>
          <w:rFonts w:ascii="Stone Sans II ITC Std Bk"/>
          <w:b/>
          <w:sz w:val="30"/>
        </w:rPr>
      </w:pPr>
    </w:p>
    <w:p>
      <w:pPr>
        <w:pStyle w:val="BodyText"/>
        <w:rPr>
          <w:rFonts w:ascii="Stone Sans II ITC Std Bk"/>
          <w:b/>
          <w:sz w:val="30"/>
        </w:rPr>
      </w:pPr>
    </w:p>
    <w:p>
      <w:pPr>
        <w:pStyle w:val="BodyText"/>
        <w:rPr>
          <w:rFonts w:ascii="Stone Sans II ITC Std Bk"/>
          <w:b/>
          <w:sz w:val="30"/>
        </w:rPr>
      </w:pPr>
    </w:p>
    <w:p>
      <w:pPr>
        <w:pStyle w:val="BodyText"/>
        <w:rPr>
          <w:rFonts w:ascii="Stone Sans II ITC Std Bk"/>
          <w:b/>
          <w:sz w:val="30"/>
        </w:rPr>
      </w:pPr>
    </w:p>
    <w:p>
      <w:pPr>
        <w:pStyle w:val="BodyText"/>
        <w:rPr>
          <w:rFonts w:ascii="Stone Sans II ITC Std Bk"/>
          <w:b/>
          <w:sz w:val="30"/>
        </w:rPr>
      </w:pPr>
    </w:p>
    <w:p>
      <w:pPr>
        <w:pStyle w:val="BodyText"/>
        <w:rPr>
          <w:rFonts w:ascii="Stone Sans II ITC Std Bk"/>
          <w:b/>
          <w:sz w:val="30"/>
        </w:rPr>
      </w:pPr>
    </w:p>
    <w:p>
      <w:pPr>
        <w:pStyle w:val="BodyText"/>
        <w:rPr>
          <w:rFonts w:ascii="Stone Sans II ITC Std Bk"/>
          <w:b/>
          <w:sz w:val="30"/>
        </w:rPr>
      </w:pPr>
    </w:p>
    <w:p>
      <w:pPr>
        <w:pStyle w:val="BodyText"/>
        <w:rPr>
          <w:rFonts w:ascii="Stone Sans II ITC Std Bk"/>
          <w:b/>
          <w:sz w:val="30"/>
        </w:rPr>
      </w:pPr>
    </w:p>
    <w:p>
      <w:pPr>
        <w:pStyle w:val="BodyText"/>
        <w:rPr>
          <w:rFonts w:ascii="Stone Sans II ITC Std Bk"/>
          <w:b/>
          <w:sz w:val="30"/>
        </w:rPr>
      </w:pPr>
    </w:p>
    <w:p>
      <w:pPr>
        <w:pStyle w:val="BodyText"/>
        <w:rPr>
          <w:rFonts w:ascii="Stone Sans II ITC Std Bk"/>
          <w:b/>
          <w:sz w:val="30"/>
        </w:rPr>
      </w:pPr>
    </w:p>
    <w:p>
      <w:pPr>
        <w:pStyle w:val="BodyText"/>
        <w:rPr>
          <w:rFonts w:ascii="Stone Sans II ITC Std Bk"/>
          <w:b/>
          <w:sz w:val="30"/>
        </w:rPr>
      </w:pPr>
    </w:p>
    <w:p>
      <w:pPr>
        <w:pStyle w:val="BodyText"/>
        <w:rPr>
          <w:rFonts w:ascii="Stone Sans II ITC Std Bk"/>
          <w:b/>
          <w:sz w:val="30"/>
        </w:rPr>
      </w:pPr>
    </w:p>
    <w:p>
      <w:pPr>
        <w:pStyle w:val="BodyText"/>
        <w:rPr>
          <w:rFonts w:ascii="Stone Sans II ITC Std Bk"/>
          <w:b/>
          <w:sz w:val="30"/>
        </w:rPr>
      </w:pPr>
    </w:p>
    <w:p>
      <w:pPr>
        <w:pStyle w:val="BodyText"/>
        <w:rPr>
          <w:rFonts w:ascii="Stone Sans II ITC Std Bk"/>
          <w:b/>
          <w:sz w:val="30"/>
        </w:rPr>
      </w:pPr>
    </w:p>
    <w:p>
      <w:pPr>
        <w:pStyle w:val="BodyText"/>
        <w:rPr>
          <w:rFonts w:ascii="Stone Sans II ITC Std Bk"/>
          <w:b/>
          <w:sz w:val="30"/>
        </w:rPr>
      </w:pPr>
    </w:p>
    <w:p>
      <w:pPr>
        <w:pStyle w:val="BodyText"/>
        <w:spacing w:before="2"/>
        <w:rPr>
          <w:rFonts w:ascii="Stone Sans II ITC Std Bk"/>
          <w:b/>
          <w:sz w:val="37"/>
        </w:rPr>
      </w:pPr>
    </w:p>
    <w:p>
      <w:pPr>
        <w:pStyle w:val="Heading6"/>
        <w:spacing w:before="0"/>
        <w:ind w:left="3718"/>
        <w:rPr>
          <w:rFonts w:ascii="Stone Sans II ITC Std X Bd" w:hAnsi="Stone Sans II ITC Std X Bd"/>
          <w:b/>
          <w:sz w:val="24"/>
        </w:rPr>
      </w:pPr>
      <w:r>
        <w:rPr>
          <w:color w:val="7EAABF"/>
          <w:w w:val="110"/>
        </w:rPr>
        <w:t>United Reformed Church </w:t>
      </w:r>
      <w:r>
        <w:rPr>
          <w:rFonts w:ascii="Symbol" w:hAnsi="Symbol"/>
          <w:color w:val="7EAABF"/>
          <w:w w:val="110"/>
        </w:rPr>
        <w:t></w:t>
      </w:r>
      <w:r>
        <w:rPr>
          <w:rFonts w:ascii="Times New Roman" w:hAnsi="Times New Roman"/>
          <w:color w:val="7EAABF"/>
          <w:w w:val="110"/>
        </w:rPr>
        <w:t> </w:t>
      </w:r>
      <w:r>
        <w:rPr>
          <w:color w:val="7EAABF"/>
          <w:w w:val="110"/>
        </w:rPr>
        <w:t>General Assembly 2016 </w:t>
      </w:r>
      <w:r>
        <w:rPr>
          <w:rFonts w:ascii="Symbol" w:hAnsi="Symbol"/>
          <w:color w:val="7EAABF"/>
          <w:w w:val="110"/>
        </w:rPr>
        <w:t></w:t>
      </w:r>
      <w:r>
        <w:rPr>
          <w:rFonts w:ascii="Times New Roman" w:hAnsi="Times New Roman"/>
          <w:color w:val="7EAABF"/>
          <w:w w:val="110"/>
        </w:rPr>
        <w:t> </w:t>
      </w:r>
      <w:r>
        <w:rPr>
          <w:rFonts w:ascii="Stone Sans II ITC Std X Bd" w:hAnsi="Stone Sans II ITC Std X Bd"/>
          <w:b/>
          <w:w w:val="110"/>
          <w:sz w:val="24"/>
        </w:rPr>
        <w:t>197</w:t>
      </w:r>
    </w:p>
    <w:p>
      <w:pPr>
        <w:spacing w:after="0"/>
        <w:rPr>
          <w:rFonts w:ascii="Stone Sans II ITC Std X Bd" w:hAnsi="Stone Sans II ITC Std X Bd"/>
          <w:sz w:val="24"/>
        </w:rPr>
        <w:sectPr>
          <w:headerReference w:type="default" r:id="rId526"/>
          <w:footerReference w:type="default" r:id="rId527"/>
          <w:pgSz w:w="11910" w:h="16840"/>
          <w:pgMar w:header="0" w:footer="0" w:top="0" w:bottom="0" w:left="640" w:right="0"/>
        </w:sectPr>
      </w:pPr>
    </w:p>
    <w:p>
      <w:pPr>
        <w:pStyle w:val="BodyText"/>
        <w:rPr>
          <w:rFonts w:ascii="Stone Sans II ITC Std X Bd"/>
          <w:b/>
        </w:rPr>
      </w:pPr>
      <w:r>
        <w:rPr/>
        <w:pict>
          <v:group style="position:absolute;margin-left:594.776001pt;margin-top:.000015pt;width:1pt;height:841.9pt;mso-position-horizontal-relative:page;mso-position-vertical-relative:page;z-index:252187648" coordorigin="11896,0" coordsize="20,16838">
            <v:line style="position:absolute" from="11906,0" to="11906,16838" stroked="true" strokeweight="0pt" strokecolor="#fef3ec">
              <v:stroke dashstyle="solid"/>
            </v:line>
            <v:line style="position:absolute" from="11906,0" to="11906,16838" stroked="true" strokeweight="1pt" strokecolor="#000000">
              <v:stroke dashstyle="solid"/>
            </v:line>
            <w10:wrap type="none"/>
          </v:group>
        </w:pict>
      </w:r>
      <w:r>
        <w:rPr/>
        <w:drawing>
          <wp:anchor distT="0" distB="0" distL="0" distR="0" allowOverlap="1" layoutInCell="1" locked="0" behindDoc="1" simplePos="0" relativeHeight="235735040">
            <wp:simplePos x="0" y="0"/>
            <wp:positionH relativeFrom="page">
              <wp:posOffset>0</wp:posOffset>
            </wp:positionH>
            <wp:positionV relativeFrom="page">
              <wp:posOffset>0</wp:posOffset>
            </wp:positionV>
            <wp:extent cx="594067" cy="10692003"/>
            <wp:effectExtent l="0" t="0" r="0" b="0"/>
            <wp:wrapNone/>
            <wp:docPr id="377" name="image67.png"/>
            <wp:cNvGraphicFramePr>
              <a:graphicFrameLocks noChangeAspect="1"/>
            </wp:cNvGraphicFramePr>
            <a:graphic>
              <a:graphicData uri="http://schemas.openxmlformats.org/drawingml/2006/picture">
                <pic:pic>
                  <pic:nvPicPr>
                    <pic:cNvPr id="378" name="image67.png"/>
                    <pic:cNvPicPr/>
                  </pic:nvPicPr>
                  <pic:blipFill>
                    <a:blip r:embed="rId184" cstate="print"/>
                    <a:stretch>
                      <a:fillRect/>
                    </a:stretch>
                  </pic:blipFill>
                  <pic:spPr>
                    <a:xfrm>
                      <a:off x="0" y="0"/>
                      <a:ext cx="594067" cy="10692003"/>
                    </a:xfrm>
                    <a:prstGeom prst="rect">
                      <a:avLst/>
                    </a:prstGeom>
                  </pic:spPr>
                </pic:pic>
              </a:graphicData>
            </a:graphic>
          </wp:anchor>
        </w:drawing>
      </w:r>
      <w:r>
        <w:rPr/>
        <w:pict>
          <v:shape style="position:absolute;margin-left:20.519100pt;margin-top:48.890015pt;width:25.9pt;height:276.6pt;mso-position-horizontal-relative:page;mso-position-vertical-relative:page;z-index:-267580416" type="#_x0000_t202" filled="false" stroked="false">
            <v:textbox inset="0,0,0,0" style="layout-flow:vertical">
              <w:txbxContent>
                <w:p>
                  <w:pPr>
                    <w:spacing w:before="27"/>
                    <w:ind w:left="20" w:right="0" w:firstLine="0"/>
                    <w:jc w:val="left"/>
                    <w:rPr>
                      <w:sz w:val="39"/>
                    </w:rPr>
                  </w:pPr>
                  <w:r>
                    <w:rPr>
                      <w:color w:val="FFFFFF"/>
                      <w:spacing w:val="9"/>
                      <w:w w:val="120"/>
                      <w:sz w:val="39"/>
                    </w:rPr>
                    <w:t>Mission </w:t>
                  </w:r>
                  <w:r>
                    <w:rPr>
                      <w:color w:val="FFFFFF"/>
                      <w:w w:val="120"/>
                      <w:sz w:val="39"/>
                    </w:rPr>
                    <w:t>– </w:t>
                  </w:r>
                  <w:r>
                    <w:rPr>
                      <w:spacing w:val="8"/>
                      <w:w w:val="120"/>
                      <w:sz w:val="39"/>
                    </w:rPr>
                    <w:t>Korean</w:t>
                  </w:r>
                  <w:r>
                    <w:rPr>
                      <w:spacing w:val="63"/>
                      <w:w w:val="120"/>
                      <w:sz w:val="39"/>
                    </w:rPr>
                    <w:t> </w:t>
                  </w:r>
                  <w:r>
                    <w:rPr>
                      <w:spacing w:val="10"/>
                      <w:w w:val="120"/>
                      <w:sz w:val="39"/>
                    </w:rPr>
                    <w:t>Peninsula</w:t>
                  </w:r>
                </w:p>
              </w:txbxContent>
            </v:textbox>
            <w10:wrap type="none"/>
          </v:shape>
        </w:pict>
      </w:r>
    </w:p>
    <w:p>
      <w:pPr>
        <w:pStyle w:val="BodyText"/>
        <w:rPr>
          <w:rFonts w:ascii="Stone Sans II ITC Std X Bd"/>
          <w:b/>
        </w:rPr>
      </w:pPr>
    </w:p>
    <w:p>
      <w:pPr>
        <w:pStyle w:val="BodyText"/>
        <w:rPr>
          <w:rFonts w:ascii="Stone Sans II ITC Std X Bd"/>
          <w:b/>
        </w:rPr>
      </w:pPr>
    </w:p>
    <w:p>
      <w:pPr>
        <w:pStyle w:val="BodyText"/>
        <w:spacing w:before="11"/>
        <w:rPr>
          <w:rFonts w:ascii="Stone Sans II ITC Std X Bd"/>
          <w:b/>
          <w:sz w:val="19"/>
        </w:rPr>
      </w:pPr>
    </w:p>
    <w:p>
      <w:pPr>
        <w:spacing w:line="213" w:lineRule="auto" w:before="153"/>
        <w:ind w:left="607" w:right="2045" w:firstLine="0"/>
        <w:jc w:val="left"/>
        <w:rPr>
          <w:rFonts w:ascii="Stone Sans II ITC Std X Bd"/>
          <w:b/>
          <w:sz w:val="50"/>
        </w:rPr>
      </w:pPr>
      <w:r>
        <w:rPr>
          <w:rFonts w:ascii="Stone Sans II ITC Std X Bd"/>
          <w:b/>
          <w:spacing w:val="-10"/>
          <w:w w:val="110"/>
          <w:sz w:val="50"/>
        </w:rPr>
        <w:t>Resolution </w:t>
      </w:r>
      <w:r>
        <w:rPr>
          <w:rFonts w:ascii="Stone Sans II ITC Std X Bd"/>
          <w:b/>
          <w:spacing w:val="-5"/>
          <w:w w:val="110"/>
          <w:sz w:val="50"/>
        </w:rPr>
        <w:t>on </w:t>
      </w:r>
      <w:r>
        <w:rPr>
          <w:rFonts w:ascii="Stone Sans II ITC Std X Bd"/>
          <w:b/>
          <w:spacing w:val="-10"/>
          <w:w w:val="110"/>
          <w:sz w:val="50"/>
        </w:rPr>
        <w:t>peace </w:t>
      </w:r>
      <w:r>
        <w:rPr>
          <w:rFonts w:ascii="Stone Sans II ITC Std X Bd"/>
          <w:b/>
          <w:spacing w:val="-7"/>
          <w:w w:val="110"/>
          <w:sz w:val="50"/>
        </w:rPr>
        <w:t>and </w:t>
      </w:r>
      <w:r>
        <w:rPr>
          <w:rFonts w:ascii="Stone Sans II ITC Std X Bd"/>
          <w:b/>
          <w:spacing w:val="-10"/>
          <w:w w:val="110"/>
          <w:sz w:val="50"/>
        </w:rPr>
        <w:t>reunification </w:t>
      </w:r>
      <w:r>
        <w:rPr>
          <w:rFonts w:ascii="Stone Sans II ITC Std X Bd"/>
          <w:b/>
          <w:spacing w:val="-5"/>
          <w:w w:val="110"/>
          <w:sz w:val="50"/>
        </w:rPr>
        <w:t>of </w:t>
      </w:r>
      <w:r>
        <w:rPr>
          <w:rFonts w:ascii="Stone Sans II ITC Std X Bd"/>
          <w:b/>
          <w:spacing w:val="-8"/>
          <w:w w:val="110"/>
          <w:sz w:val="50"/>
        </w:rPr>
        <w:t>the </w:t>
      </w:r>
      <w:r>
        <w:rPr>
          <w:rFonts w:ascii="Stone Sans II ITC Std X Bd"/>
          <w:b/>
          <w:spacing w:val="-12"/>
          <w:w w:val="110"/>
          <w:sz w:val="50"/>
        </w:rPr>
        <w:t>Korean </w:t>
      </w:r>
      <w:r>
        <w:rPr>
          <w:rFonts w:ascii="Stone Sans II ITC Std X Bd"/>
          <w:b/>
          <w:spacing w:val="-11"/>
          <w:w w:val="110"/>
          <w:sz w:val="50"/>
        </w:rPr>
        <w:t>Peninsula</w:t>
      </w:r>
    </w:p>
    <w:p>
      <w:pPr>
        <w:pStyle w:val="BodyText"/>
        <w:spacing w:before="12"/>
        <w:rPr>
          <w:rFonts w:ascii="Stone Sans II ITC Std X Bd"/>
          <w:b/>
          <w:sz w:val="45"/>
        </w:rPr>
      </w:pPr>
    </w:p>
    <w:p>
      <w:pPr>
        <w:pStyle w:val="ListParagraph"/>
        <w:numPr>
          <w:ilvl w:val="0"/>
          <w:numId w:val="228"/>
        </w:numPr>
        <w:tabs>
          <w:tab w:pos="1287" w:val="left" w:leader="none"/>
          <w:tab w:pos="1288" w:val="left" w:leader="none"/>
        </w:tabs>
        <w:spacing w:line="235" w:lineRule="auto" w:before="0" w:after="0"/>
        <w:ind w:left="607" w:right="2006" w:firstLine="0"/>
        <w:jc w:val="left"/>
        <w:rPr>
          <w:sz w:val="20"/>
        </w:rPr>
      </w:pPr>
      <w:r>
        <w:rPr>
          <w:w w:val="120"/>
          <w:sz w:val="20"/>
        </w:rPr>
        <w:t>The Presbyterian Church in the Republic of Korea (PROK) and the Presbyterian Church of Korea (PCK) jointly held the 100th general assemblies of their churches in Seoul, in September </w:t>
      </w:r>
      <w:r>
        <w:rPr>
          <w:spacing w:val="-7"/>
          <w:w w:val="120"/>
          <w:sz w:val="20"/>
        </w:rPr>
        <w:t>2015. </w:t>
      </w:r>
      <w:r>
        <w:rPr>
          <w:w w:val="120"/>
          <w:sz w:val="20"/>
        </w:rPr>
        <w:t>This historic occasion incorporated a gathering of partners from the Indo-Korean Council Foundation and the International Symposium for Peace in </w:t>
      </w:r>
      <w:r>
        <w:rPr>
          <w:spacing w:val="2"/>
          <w:w w:val="120"/>
          <w:sz w:val="20"/>
        </w:rPr>
        <w:t>North </w:t>
      </w:r>
      <w:r>
        <w:rPr>
          <w:w w:val="120"/>
          <w:sz w:val="20"/>
        </w:rPr>
        <w:t>East</w:t>
      </w:r>
      <w:r>
        <w:rPr>
          <w:spacing w:val="1"/>
          <w:w w:val="120"/>
          <w:sz w:val="20"/>
        </w:rPr>
        <w:t> </w:t>
      </w:r>
      <w:r>
        <w:rPr>
          <w:w w:val="120"/>
          <w:sz w:val="20"/>
        </w:rPr>
        <w:t>Asia.</w:t>
      </w:r>
    </w:p>
    <w:p>
      <w:pPr>
        <w:pStyle w:val="BodyText"/>
      </w:pPr>
    </w:p>
    <w:p>
      <w:pPr>
        <w:pStyle w:val="ListParagraph"/>
        <w:numPr>
          <w:ilvl w:val="0"/>
          <w:numId w:val="228"/>
        </w:numPr>
        <w:tabs>
          <w:tab w:pos="1287" w:val="left" w:leader="none"/>
          <w:tab w:pos="1288" w:val="left" w:leader="none"/>
        </w:tabs>
        <w:spacing w:line="235" w:lineRule="auto" w:before="0" w:after="0"/>
        <w:ind w:left="607" w:right="2016" w:firstLine="0"/>
        <w:jc w:val="left"/>
        <w:rPr>
          <w:sz w:val="20"/>
        </w:rPr>
      </w:pPr>
      <w:r>
        <w:rPr>
          <w:spacing w:val="3"/>
          <w:w w:val="120"/>
          <w:sz w:val="20"/>
        </w:rPr>
        <w:t>As </w:t>
      </w:r>
      <w:r>
        <w:rPr>
          <w:w w:val="120"/>
          <w:sz w:val="20"/>
        </w:rPr>
        <w:t>a partner Church of both the PCK and PROK, the United Reformed Church   was represented by one of the Moderators of General Assembly, the Revd David Grosch-Miller. It was at this General Assembly of the PCK that our memorandum of understanding with the PCK was signed </w:t>
      </w:r>
      <w:r>
        <w:rPr>
          <w:spacing w:val="-3"/>
          <w:w w:val="120"/>
          <w:sz w:val="20"/>
        </w:rPr>
        <w:t>(the </w:t>
      </w:r>
      <w:r>
        <w:rPr>
          <w:w w:val="120"/>
          <w:sz w:val="20"/>
        </w:rPr>
        <w:t>text of which is in Mission Council’s </w:t>
      </w:r>
      <w:r>
        <w:rPr>
          <w:spacing w:val="2"/>
          <w:w w:val="120"/>
          <w:sz w:val="20"/>
        </w:rPr>
        <w:t>report </w:t>
      </w:r>
      <w:r>
        <w:rPr>
          <w:w w:val="120"/>
          <w:sz w:val="20"/>
        </w:rPr>
        <w:t>to Assembly) and our Moderator was asked to address the general assembly of the</w:t>
      </w:r>
      <w:r>
        <w:rPr>
          <w:spacing w:val="35"/>
          <w:w w:val="120"/>
          <w:sz w:val="20"/>
        </w:rPr>
        <w:t> </w:t>
      </w:r>
      <w:r>
        <w:rPr>
          <w:w w:val="120"/>
          <w:sz w:val="20"/>
        </w:rPr>
        <w:t>PCK.</w:t>
      </w:r>
    </w:p>
    <w:p>
      <w:pPr>
        <w:pStyle w:val="BodyText"/>
        <w:spacing w:before="11"/>
        <w:rPr>
          <w:sz w:val="19"/>
        </w:rPr>
      </w:pPr>
    </w:p>
    <w:p>
      <w:pPr>
        <w:pStyle w:val="ListParagraph"/>
        <w:numPr>
          <w:ilvl w:val="0"/>
          <w:numId w:val="228"/>
        </w:numPr>
        <w:tabs>
          <w:tab w:pos="1287" w:val="left" w:leader="none"/>
          <w:tab w:pos="1288" w:val="left" w:leader="none"/>
        </w:tabs>
        <w:spacing w:line="235" w:lineRule="auto" w:before="0" w:after="0"/>
        <w:ind w:left="607" w:right="2472" w:firstLine="0"/>
        <w:jc w:val="left"/>
        <w:rPr>
          <w:sz w:val="20"/>
        </w:rPr>
      </w:pPr>
      <w:r>
        <w:rPr>
          <w:w w:val="120"/>
          <w:sz w:val="20"/>
        </w:rPr>
        <w:t>Meeting in September </w:t>
      </w:r>
      <w:r>
        <w:rPr>
          <w:spacing w:val="-7"/>
          <w:w w:val="120"/>
          <w:sz w:val="20"/>
        </w:rPr>
        <w:t>2015, </w:t>
      </w:r>
      <w:r>
        <w:rPr>
          <w:w w:val="120"/>
          <w:sz w:val="20"/>
        </w:rPr>
        <w:t>these Churches, and their ecumenical and international guests, proclaimed this time, the 70th Anniversary of the liberation of East Asian countries following the end of the second World </w:t>
      </w:r>
      <w:r>
        <w:rPr>
          <w:spacing w:val="-4"/>
          <w:w w:val="120"/>
          <w:sz w:val="20"/>
        </w:rPr>
        <w:t>War, </w:t>
      </w:r>
      <w:r>
        <w:rPr>
          <w:w w:val="120"/>
          <w:sz w:val="20"/>
        </w:rPr>
        <w:t>to be a ‘kairos’ moment, a moment of God’s reconciling</w:t>
      </w:r>
      <w:r>
        <w:rPr>
          <w:spacing w:val="18"/>
          <w:w w:val="120"/>
          <w:sz w:val="20"/>
        </w:rPr>
        <w:t> </w:t>
      </w:r>
      <w:r>
        <w:rPr>
          <w:w w:val="120"/>
          <w:sz w:val="20"/>
        </w:rPr>
        <w:t>opportunity.</w:t>
      </w:r>
    </w:p>
    <w:p>
      <w:pPr>
        <w:pStyle w:val="BodyText"/>
        <w:spacing w:before="11"/>
        <w:rPr>
          <w:sz w:val="19"/>
        </w:rPr>
      </w:pPr>
    </w:p>
    <w:p>
      <w:pPr>
        <w:pStyle w:val="ListParagraph"/>
        <w:numPr>
          <w:ilvl w:val="0"/>
          <w:numId w:val="228"/>
        </w:numPr>
        <w:tabs>
          <w:tab w:pos="1287" w:val="left" w:leader="none"/>
          <w:tab w:pos="1288" w:val="left" w:leader="none"/>
        </w:tabs>
        <w:spacing w:line="235" w:lineRule="auto" w:before="1" w:after="0"/>
        <w:ind w:left="607" w:right="2115" w:firstLine="0"/>
        <w:jc w:val="left"/>
        <w:rPr>
          <w:sz w:val="20"/>
        </w:rPr>
      </w:pPr>
      <w:r>
        <w:rPr>
          <w:w w:val="120"/>
          <w:sz w:val="20"/>
        </w:rPr>
        <w:t>Immediately following liberation 70 years ago, the post-war global </w:t>
      </w:r>
      <w:r>
        <w:rPr>
          <w:spacing w:val="-3"/>
          <w:w w:val="120"/>
          <w:sz w:val="20"/>
        </w:rPr>
        <w:t>‘cold </w:t>
      </w:r>
      <w:r>
        <w:rPr>
          <w:w w:val="120"/>
          <w:sz w:val="20"/>
        </w:rPr>
        <w:t>war’ divided the Korean Peninsula, leading to the outbreak of the Korean War in </w:t>
      </w:r>
      <w:r>
        <w:rPr>
          <w:spacing w:val="-6"/>
          <w:w w:val="120"/>
          <w:sz w:val="20"/>
        </w:rPr>
        <w:t>1950. </w:t>
      </w:r>
      <w:r>
        <w:rPr>
          <w:w w:val="120"/>
          <w:sz w:val="20"/>
        </w:rPr>
        <w:t>Despite the end of cold war global hostilities, a final peace agreement has never been reached to bring closure to the Korean </w:t>
      </w:r>
      <w:r>
        <w:rPr>
          <w:spacing w:val="-4"/>
          <w:w w:val="120"/>
          <w:sz w:val="20"/>
        </w:rPr>
        <w:t>War. </w:t>
      </w:r>
      <w:r>
        <w:rPr>
          <w:w w:val="120"/>
          <w:sz w:val="20"/>
        </w:rPr>
        <w:t>The division of the Korean Peninsula remains:</w:t>
      </w:r>
      <w:r>
        <w:rPr>
          <w:spacing w:val="-4"/>
          <w:w w:val="120"/>
          <w:sz w:val="20"/>
        </w:rPr>
        <w:t> </w:t>
      </w:r>
      <w:r>
        <w:rPr>
          <w:w w:val="120"/>
          <w:sz w:val="20"/>
        </w:rPr>
        <w:t>thousands</w:t>
      </w:r>
      <w:r>
        <w:rPr>
          <w:spacing w:val="-4"/>
          <w:w w:val="120"/>
          <w:sz w:val="20"/>
        </w:rPr>
        <w:t> </w:t>
      </w:r>
      <w:r>
        <w:rPr>
          <w:w w:val="120"/>
          <w:sz w:val="20"/>
        </w:rPr>
        <w:t>of</w:t>
      </w:r>
      <w:r>
        <w:rPr>
          <w:spacing w:val="-4"/>
          <w:w w:val="120"/>
          <w:sz w:val="20"/>
        </w:rPr>
        <w:t> </w:t>
      </w:r>
      <w:r>
        <w:rPr>
          <w:w w:val="120"/>
          <w:sz w:val="20"/>
        </w:rPr>
        <w:t>families</w:t>
      </w:r>
      <w:r>
        <w:rPr>
          <w:spacing w:val="-4"/>
          <w:w w:val="120"/>
          <w:sz w:val="20"/>
        </w:rPr>
        <w:t> </w:t>
      </w:r>
      <w:r>
        <w:rPr>
          <w:w w:val="120"/>
          <w:sz w:val="20"/>
        </w:rPr>
        <w:t>remain</w:t>
      </w:r>
      <w:r>
        <w:rPr>
          <w:spacing w:val="-4"/>
          <w:w w:val="120"/>
          <w:sz w:val="20"/>
        </w:rPr>
        <w:t> </w:t>
      </w:r>
      <w:r>
        <w:rPr>
          <w:w w:val="120"/>
          <w:sz w:val="20"/>
        </w:rPr>
        <w:t>separated,</w:t>
      </w:r>
      <w:r>
        <w:rPr>
          <w:spacing w:val="-4"/>
          <w:w w:val="120"/>
          <w:sz w:val="20"/>
        </w:rPr>
        <w:t> </w:t>
      </w:r>
      <w:r>
        <w:rPr>
          <w:w w:val="120"/>
          <w:sz w:val="20"/>
        </w:rPr>
        <w:t>hostility</w:t>
      </w:r>
      <w:r>
        <w:rPr>
          <w:spacing w:val="-4"/>
          <w:w w:val="120"/>
          <w:sz w:val="20"/>
        </w:rPr>
        <w:t> </w:t>
      </w:r>
      <w:r>
        <w:rPr>
          <w:w w:val="120"/>
          <w:sz w:val="20"/>
        </w:rPr>
        <w:t>and</w:t>
      </w:r>
      <w:r>
        <w:rPr>
          <w:spacing w:val="-3"/>
          <w:w w:val="120"/>
          <w:sz w:val="20"/>
        </w:rPr>
        <w:t> </w:t>
      </w:r>
      <w:r>
        <w:rPr>
          <w:w w:val="120"/>
          <w:sz w:val="20"/>
        </w:rPr>
        <w:t>enmity</w:t>
      </w:r>
      <w:r>
        <w:rPr>
          <w:spacing w:val="-4"/>
          <w:w w:val="120"/>
          <w:sz w:val="20"/>
        </w:rPr>
        <w:t> </w:t>
      </w:r>
      <w:r>
        <w:rPr>
          <w:w w:val="120"/>
          <w:sz w:val="20"/>
        </w:rPr>
        <w:t>are</w:t>
      </w:r>
      <w:r>
        <w:rPr>
          <w:spacing w:val="-4"/>
          <w:w w:val="120"/>
          <w:sz w:val="20"/>
        </w:rPr>
        <w:t> </w:t>
      </w:r>
      <w:r>
        <w:rPr>
          <w:w w:val="120"/>
          <w:sz w:val="20"/>
        </w:rPr>
        <w:t>still</w:t>
      </w:r>
      <w:r>
        <w:rPr>
          <w:spacing w:val="-4"/>
          <w:w w:val="120"/>
          <w:sz w:val="20"/>
        </w:rPr>
        <w:t> </w:t>
      </w:r>
      <w:r>
        <w:rPr>
          <w:w w:val="120"/>
          <w:sz w:val="20"/>
        </w:rPr>
        <w:t>a</w:t>
      </w:r>
      <w:r>
        <w:rPr>
          <w:spacing w:val="-4"/>
          <w:w w:val="120"/>
          <w:sz w:val="20"/>
        </w:rPr>
        <w:t> </w:t>
      </w:r>
      <w:r>
        <w:rPr>
          <w:w w:val="120"/>
          <w:sz w:val="20"/>
        </w:rPr>
        <w:t>present reality and aggressive military skirmishes often overtake the broader tensions and destabilise peace in the</w:t>
      </w:r>
      <w:r>
        <w:rPr>
          <w:spacing w:val="8"/>
          <w:w w:val="120"/>
          <w:sz w:val="20"/>
        </w:rPr>
        <w:t> </w:t>
      </w:r>
      <w:r>
        <w:rPr>
          <w:w w:val="120"/>
          <w:sz w:val="20"/>
        </w:rPr>
        <w:t>region.</w:t>
      </w:r>
    </w:p>
    <w:p>
      <w:pPr>
        <w:pStyle w:val="BodyText"/>
      </w:pPr>
    </w:p>
    <w:p>
      <w:pPr>
        <w:pStyle w:val="ListParagraph"/>
        <w:numPr>
          <w:ilvl w:val="0"/>
          <w:numId w:val="228"/>
        </w:numPr>
        <w:tabs>
          <w:tab w:pos="1287" w:val="left" w:leader="none"/>
          <w:tab w:pos="1288" w:val="left" w:leader="none"/>
        </w:tabs>
        <w:spacing w:line="235" w:lineRule="auto" w:before="1" w:after="0"/>
        <w:ind w:left="607" w:right="2329" w:firstLine="0"/>
        <w:jc w:val="left"/>
        <w:rPr>
          <w:sz w:val="20"/>
        </w:rPr>
      </w:pPr>
      <w:r>
        <w:rPr>
          <w:w w:val="120"/>
          <w:sz w:val="20"/>
        </w:rPr>
        <w:t>People in </w:t>
      </w:r>
      <w:r>
        <w:rPr>
          <w:spacing w:val="2"/>
          <w:w w:val="120"/>
          <w:sz w:val="20"/>
        </w:rPr>
        <w:t>North </w:t>
      </w:r>
      <w:r>
        <w:rPr>
          <w:w w:val="120"/>
          <w:sz w:val="20"/>
        </w:rPr>
        <w:t>East Asia long for peace with justice. Korean reunification between </w:t>
      </w:r>
      <w:r>
        <w:rPr>
          <w:spacing w:val="2"/>
          <w:w w:val="120"/>
          <w:sz w:val="20"/>
        </w:rPr>
        <w:t>North </w:t>
      </w:r>
      <w:r>
        <w:rPr>
          <w:w w:val="120"/>
          <w:sz w:val="20"/>
        </w:rPr>
        <w:t>and South is an essential step in this process. (Peaceful reunification is recognised as a vital contributor to the stability of the region and the </w:t>
      </w:r>
      <w:r>
        <w:rPr>
          <w:spacing w:val="-3"/>
          <w:w w:val="120"/>
          <w:sz w:val="20"/>
        </w:rPr>
        <w:t>world.) </w:t>
      </w:r>
      <w:r>
        <w:rPr>
          <w:w w:val="120"/>
          <w:sz w:val="20"/>
        </w:rPr>
        <w:t>This longing for peaceful reunification is supported by the Presbyterian Church in the Republic of Korea and the Presbyterian Church in Korea who recognise this as both a Gospel and an ecumenical</w:t>
      </w:r>
      <w:r>
        <w:rPr>
          <w:spacing w:val="9"/>
          <w:w w:val="120"/>
          <w:sz w:val="20"/>
        </w:rPr>
        <w:t> </w:t>
      </w:r>
      <w:r>
        <w:rPr>
          <w:w w:val="120"/>
          <w:sz w:val="20"/>
        </w:rPr>
        <w:t>imperative.</w:t>
      </w:r>
    </w:p>
    <w:p>
      <w:pPr>
        <w:pStyle w:val="BodyText"/>
      </w:pPr>
    </w:p>
    <w:p>
      <w:pPr>
        <w:pStyle w:val="ListParagraph"/>
        <w:numPr>
          <w:ilvl w:val="0"/>
          <w:numId w:val="228"/>
        </w:numPr>
        <w:tabs>
          <w:tab w:pos="1287" w:val="left" w:leader="none"/>
          <w:tab w:pos="1288" w:val="left" w:leader="none"/>
        </w:tabs>
        <w:spacing w:line="235" w:lineRule="auto" w:before="0" w:after="0"/>
        <w:ind w:left="607" w:right="2038" w:firstLine="0"/>
        <w:jc w:val="left"/>
        <w:rPr>
          <w:sz w:val="20"/>
        </w:rPr>
      </w:pPr>
      <w:r>
        <w:rPr>
          <w:w w:val="120"/>
          <w:sz w:val="20"/>
        </w:rPr>
        <w:t>Inspired by Jesus, who confronted and challenged oppressive powers, this ecumenical gathering of Christians called for commitment and support so that through </w:t>
      </w:r>
      <w:r>
        <w:rPr>
          <w:spacing w:val="2"/>
          <w:w w:val="120"/>
          <w:sz w:val="20"/>
        </w:rPr>
        <w:t>efforts</w:t>
      </w:r>
      <w:r>
        <w:rPr>
          <w:spacing w:val="-4"/>
          <w:w w:val="120"/>
          <w:sz w:val="20"/>
        </w:rPr>
        <w:t> </w:t>
      </w:r>
      <w:r>
        <w:rPr>
          <w:w w:val="120"/>
          <w:sz w:val="20"/>
        </w:rPr>
        <w:t>for</w:t>
      </w:r>
      <w:r>
        <w:rPr>
          <w:spacing w:val="-4"/>
          <w:w w:val="120"/>
          <w:sz w:val="20"/>
        </w:rPr>
        <w:t> </w:t>
      </w:r>
      <w:r>
        <w:rPr>
          <w:w w:val="120"/>
          <w:sz w:val="20"/>
        </w:rPr>
        <w:t>reunification</w:t>
      </w:r>
      <w:r>
        <w:rPr>
          <w:spacing w:val="-4"/>
          <w:w w:val="120"/>
          <w:sz w:val="20"/>
        </w:rPr>
        <w:t> </w:t>
      </w:r>
      <w:r>
        <w:rPr>
          <w:w w:val="120"/>
          <w:sz w:val="20"/>
        </w:rPr>
        <w:t>and</w:t>
      </w:r>
      <w:r>
        <w:rPr>
          <w:spacing w:val="-3"/>
          <w:w w:val="120"/>
          <w:sz w:val="20"/>
        </w:rPr>
        <w:t> </w:t>
      </w:r>
      <w:r>
        <w:rPr>
          <w:w w:val="120"/>
          <w:sz w:val="20"/>
        </w:rPr>
        <w:t>peace,</w:t>
      </w:r>
      <w:r>
        <w:rPr>
          <w:spacing w:val="-4"/>
          <w:w w:val="120"/>
          <w:sz w:val="20"/>
        </w:rPr>
        <w:t> </w:t>
      </w:r>
      <w:r>
        <w:rPr>
          <w:w w:val="120"/>
          <w:sz w:val="20"/>
        </w:rPr>
        <w:t>the</w:t>
      </w:r>
      <w:r>
        <w:rPr>
          <w:spacing w:val="-4"/>
          <w:w w:val="120"/>
          <w:sz w:val="20"/>
        </w:rPr>
        <w:t> </w:t>
      </w:r>
      <w:r>
        <w:rPr>
          <w:w w:val="120"/>
          <w:sz w:val="20"/>
        </w:rPr>
        <w:t>mission</w:t>
      </w:r>
      <w:r>
        <w:rPr>
          <w:spacing w:val="-4"/>
          <w:w w:val="120"/>
          <w:sz w:val="20"/>
        </w:rPr>
        <w:t> </w:t>
      </w:r>
      <w:r>
        <w:rPr>
          <w:w w:val="120"/>
          <w:sz w:val="20"/>
        </w:rPr>
        <w:t>of</w:t>
      </w:r>
      <w:r>
        <w:rPr>
          <w:spacing w:val="-3"/>
          <w:w w:val="120"/>
          <w:sz w:val="20"/>
        </w:rPr>
        <w:t> </w:t>
      </w:r>
      <w:r>
        <w:rPr>
          <w:w w:val="120"/>
          <w:sz w:val="20"/>
        </w:rPr>
        <w:t>Jesus</w:t>
      </w:r>
      <w:r>
        <w:rPr>
          <w:spacing w:val="-4"/>
          <w:w w:val="120"/>
          <w:sz w:val="20"/>
        </w:rPr>
        <w:t> </w:t>
      </w:r>
      <w:r>
        <w:rPr>
          <w:w w:val="120"/>
          <w:sz w:val="20"/>
        </w:rPr>
        <w:t>that</w:t>
      </w:r>
      <w:r>
        <w:rPr>
          <w:spacing w:val="-4"/>
          <w:w w:val="120"/>
          <w:sz w:val="20"/>
        </w:rPr>
        <w:t> </w:t>
      </w:r>
      <w:r>
        <w:rPr>
          <w:spacing w:val="-3"/>
          <w:w w:val="120"/>
          <w:sz w:val="20"/>
        </w:rPr>
        <w:t>‘all </w:t>
      </w:r>
      <w:r>
        <w:rPr>
          <w:w w:val="120"/>
          <w:sz w:val="20"/>
        </w:rPr>
        <w:t>might</w:t>
      </w:r>
      <w:r>
        <w:rPr>
          <w:spacing w:val="-4"/>
          <w:w w:val="120"/>
          <w:sz w:val="20"/>
        </w:rPr>
        <w:t> </w:t>
      </w:r>
      <w:r>
        <w:rPr>
          <w:w w:val="120"/>
          <w:sz w:val="20"/>
        </w:rPr>
        <w:t>have</w:t>
      </w:r>
      <w:r>
        <w:rPr>
          <w:spacing w:val="-4"/>
          <w:w w:val="120"/>
          <w:sz w:val="20"/>
        </w:rPr>
        <w:t> </w:t>
      </w:r>
      <w:r>
        <w:rPr>
          <w:w w:val="120"/>
          <w:sz w:val="20"/>
        </w:rPr>
        <w:t>life</w:t>
      </w:r>
      <w:r>
        <w:rPr>
          <w:spacing w:val="-4"/>
          <w:w w:val="120"/>
          <w:sz w:val="20"/>
        </w:rPr>
        <w:t> </w:t>
      </w:r>
      <w:r>
        <w:rPr>
          <w:w w:val="120"/>
          <w:sz w:val="20"/>
        </w:rPr>
        <w:t>and</w:t>
      </w:r>
      <w:r>
        <w:rPr>
          <w:spacing w:val="-3"/>
          <w:w w:val="120"/>
          <w:sz w:val="20"/>
        </w:rPr>
        <w:t> </w:t>
      </w:r>
      <w:r>
        <w:rPr>
          <w:w w:val="120"/>
          <w:sz w:val="20"/>
        </w:rPr>
        <w:t>have it abundantly’ might be realised among the Korean</w:t>
      </w:r>
      <w:r>
        <w:rPr>
          <w:spacing w:val="26"/>
          <w:w w:val="120"/>
          <w:sz w:val="20"/>
        </w:rPr>
        <w:t> </w:t>
      </w:r>
      <w:r>
        <w:rPr>
          <w:w w:val="120"/>
          <w:sz w:val="20"/>
        </w:rPr>
        <w:t>people.</w:t>
      </w:r>
    </w:p>
    <w:p>
      <w:pPr>
        <w:pStyle w:val="BodyText"/>
        <w:spacing w:before="11"/>
        <w:rPr>
          <w:sz w:val="19"/>
        </w:rPr>
      </w:pPr>
    </w:p>
    <w:p>
      <w:pPr>
        <w:pStyle w:val="ListParagraph"/>
        <w:numPr>
          <w:ilvl w:val="0"/>
          <w:numId w:val="228"/>
        </w:numPr>
        <w:tabs>
          <w:tab w:pos="1287" w:val="left" w:leader="none"/>
          <w:tab w:pos="1288" w:val="left" w:leader="none"/>
        </w:tabs>
        <w:spacing w:line="235" w:lineRule="auto" w:before="0" w:after="0"/>
        <w:ind w:left="607" w:right="2604" w:firstLine="0"/>
        <w:jc w:val="both"/>
        <w:rPr>
          <w:sz w:val="20"/>
        </w:rPr>
      </w:pPr>
      <w:r>
        <w:rPr>
          <w:w w:val="120"/>
          <w:sz w:val="20"/>
        </w:rPr>
        <w:t>They also call upon their ecumenical and international partner Churches to support them prayerfully and with fellowship and advocacy for their cause, in the outworking of their commitments and their</w:t>
      </w:r>
      <w:r>
        <w:rPr>
          <w:spacing w:val="15"/>
          <w:w w:val="120"/>
          <w:sz w:val="20"/>
        </w:rPr>
        <w:t> </w:t>
      </w:r>
      <w:r>
        <w:rPr>
          <w:w w:val="120"/>
          <w:sz w:val="20"/>
        </w:rPr>
        <w:t>hope.</w:t>
      </w:r>
    </w:p>
    <w:p>
      <w:pPr>
        <w:pStyle w:val="BodyText"/>
        <w:spacing w:before="10"/>
        <w:rPr>
          <w:sz w:val="19"/>
        </w:rPr>
      </w:pPr>
    </w:p>
    <w:p>
      <w:pPr>
        <w:pStyle w:val="ListParagraph"/>
        <w:numPr>
          <w:ilvl w:val="0"/>
          <w:numId w:val="228"/>
        </w:numPr>
        <w:tabs>
          <w:tab w:pos="1287" w:val="left" w:leader="none"/>
          <w:tab w:pos="1288" w:val="left" w:leader="none"/>
        </w:tabs>
        <w:spacing w:line="235" w:lineRule="auto" w:before="0" w:after="0"/>
        <w:ind w:left="607" w:right="2390" w:firstLine="0"/>
        <w:jc w:val="left"/>
        <w:rPr>
          <w:sz w:val="20"/>
        </w:rPr>
      </w:pPr>
      <w:r>
        <w:rPr>
          <w:w w:val="120"/>
          <w:sz w:val="20"/>
        </w:rPr>
        <w:t>Receiving the call for prayerful support and accompaniment from the Moderator who had represented the United Reformed Church at this gathering, the Mission Committee, meeting in </w:t>
      </w:r>
      <w:r>
        <w:rPr>
          <w:spacing w:val="2"/>
          <w:w w:val="120"/>
          <w:sz w:val="20"/>
        </w:rPr>
        <w:t>February </w:t>
      </w:r>
      <w:r>
        <w:rPr>
          <w:spacing w:val="-6"/>
          <w:w w:val="120"/>
          <w:sz w:val="20"/>
        </w:rPr>
        <w:t>2016, </w:t>
      </w:r>
      <w:r>
        <w:rPr>
          <w:w w:val="120"/>
          <w:sz w:val="20"/>
        </w:rPr>
        <w:t>proposed the resolution that is now before</w:t>
      </w:r>
      <w:r>
        <w:rPr>
          <w:spacing w:val="1"/>
          <w:w w:val="120"/>
          <w:sz w:val="20"/>
        </w:rPr>
        <w:t> </w:t>
      </w:r>
      <w:r>
        <w:rPr>
          <w:w w:val="120"/>
          <w:sz w:val="20"/>
        </w:rPr>
        <w:t>Assembly.</w:t>
      </w:r>
    </w:p>
    <w:p>
      <w:pPr>
        <w:spacing w:after="0" w:line="235" w:lineRule="auto"/>
        <w:jc w:val="left"/>
        <w:rPr>
          <w:sz w:val="20"/>
        </w:rPr>
        <w:sectPr>
          <w:headerReference w:type="even" r:id="rId528"/>
          <w:footerReference w:type="even" r:id="rId529"/>
          <w:pgSz w:w="11910" w:h="16840"/>
          <w:pgMar w:header="0" w:footer="647" w:top="0" w:bottom="840" w:left="640" w:right="0"/>
          <w:pgNumType w:start="198"/>
        </w:sectPr>
      </w:pPr>
    </w:p>
    <w:p>
      <w:pPr>
        <w:pStyle w:val="BodyText"/>
      </w:pPr>
      <w:r>
        <w:rPr/>
        <w:pict>
          <v:rect style="position:absolute;margin-left:0pt;margin-top:.000015pt;width:549.207pt;height:841.89pt;mso-position-horizontal-relative:page;mso-position-vertical-relative:page;z-index:-267579392" filled="true" fillcolor="#fef3ec" stroked="false">
            <v:fill type="solid"/>
            <w10:wrap type="none"/>
          </v:rect>
        </w:pict>
      </w:r>
      <w:r>
        <w:rPr/>
        <w:pict>
          <v:line style="position:absolute;mso-position-horizontal-relative:page;mso-position-vertical-relative:page;z-index:252191744" from="0pt,.000015pt" to="0pt,841.890015pt" stroked="true" strokeweight="1pt" strokecolor="#000000">
            <v:stroke dashstyle="solid"/>
            <w10:wrap type="none"/>
          </v:line>
        </w:pict>
      </w:r>
      <w:r>
        <w:rPr/>
        <w:drawing>
          <wp:anchor distT="0" distB="0" distL="0" distR="0" allowOverlap="1" layoutInCell="1" locked="0" behindDoc="0" simplePos="0" relativeHeight="252192768">
            <wp:simplePos x="0" y="0"/>
            <wp:positionH relativeFrom="page">
              <wp:posOffset>6974928</wp:posOffset>
            </wp:positionH>
            <wp:positionV relativeFrom="page">
              <wp:posOffset>0</wp:posOffset>
            </wp:positionV>
            <wp:extent cx="585063" cy="10692003"/>
            <wp:effectExtent l="0" t="0" r="0" b="0"/>
            <wp:wrapNone/>
            <wp:docPr id="379" name="image70.png"/>
            <wp:cNvGraphicFramePr>
              <a:graphicFrameLocks noChangeAspect="1"/>
            </wp:cNvGraphicFramePr>
            <a:graphic>
              <a:graphicData uri="http://schemas.openxmlformats.org/drawingml/2006/picture">
                <pic:pic>
                  <pic:nvPicPr>
                    <pic:cNvPr id="380" name="image70.png"/>
                    <pic:cNvPicPr/>
                  </pic:nvPicPr>
                  <pic:blipFill>
                    <a:blip r:embed="rId532" cstate="print"/>
                    <a:stretch>
                      <a:fillRect/>
                    </a:stretch>
                  </pic:blipFill>
                  <pic:spPr>
                    <a:xfrm>
                      <a:off x="0" y="0"/>
                      <a:ext cx="585063" cy="10692003"/>
                    </a:xfrm>
                    <a:prstGeom prst="rect">
                      <a:avLst/>
                    </a:prstGeom>
                  </pic:spPr>
                </pic:pic>
              </a:graphicData>
            </a:graphic>
          </wp:anchor>
        </w:drawing>
      </w:r>
    </w:p>
    <w:p>
      <w:pPr>
        <w:pStyle w:val="BodyText"/>
      </w:pPr>
    </w:p>
    <w:p>
      <w:pPr>
        <w:pStyle w:val="BodyText"/>
      </w:pPr>
    </w:p>
    <w:p>
      <w:pPr>
        <w:pStyle w:val="BodyText"/>
        <w:spacing w:before="5"/>
        <w:rPr>
          <w:sz w:val="28"/>
        </w:rPr>
      </w:pPr>
    </w:p>
    <w:p>
      <w:pPr>
        <w:spacing w:line="213" w:lineRule="auto" w:before="153"/>
        <w:ind w:left="1089" w:right="2484" w:firstLine="0"/>
        <w:jc w:val="left"/>
        <w:rPr>
          <w:rFonts w:ascii="Stone Sans II ITC Std X Bd"/>
          <w:b/>
          <w:sz w:val="50"/>
        </w:rPr>
      </w:pPr>
      <w:r>
        <w:rPr/>
        <w:pict>
          <v:shape style="position:absolute;margin-left:554.141174pt;margin-top:-5.989334pt;width:25.9pt;height:131.3pt;mso-position-horizontal-relative:page;mso-position-vertical-relative:paragraph;z-index:252193792" type="#_x0000_t202" filled="false" stroked="false">
            <v:textbox inset="0,0,0,0" style="layout-flow:vertical">
              <w:txbxContent>
                <w:p>
                  <w:pPr>
                    <w:spacing w:before="27"/>
                    <w:ind w:left="20" w:right="0" w:firstLine="0"/>
                    <w:jc w:val="left"/>
                    <w:rPr>
                      <w:sz w:val="39"/>
                    </w:rPr>
                  </w:pPr>
                  <w:r>
                    <w:rPr>
                      <w:color w:val="FFFFFF"/>
                      <w:w w:val="120"/>
                      <w:sz w:val="39"/>
                    </w:rPr>
                    <w:t>Nominations</w:t>
                  </w:r>
                </w:p>
              </w:txbxContent>
            </v:textbox>
            <w10:wrap type="none"/>
          </v:shape>
        </w:pict>
      </w:r>
      <w:r>
        <w:rPr>
          <w:rFonts w:ascii="Stone Sans II ITC Std X Bd"/>
          <w:b/>
          <w:color w:val="E8581E"/>
          <w:w w:val="110"/>
          <w:sz w:val="50"/>
        </w:rPr>
        <w:t>Nominations committee: </w:t>
      </w:r>
      <w:r>
        <w:rPr>
          <w:rFonts w:ascii="Stone Sans II ITC Std X Bd"/>
          <w:b/>
          <w:w w:val="110"/>
          <w:sz w:val="50"/>
        </w:rPr>
        <w:t>Report to General Assembly 2016</w:t>
      </w:r>
    </w:p>
    <w:p>
      <w:pPr>
        <w:pStyle w:val="Heading4"/>
        <w:spacing w:before="323"/>
        <w:ind w:left="1089"/>
      </w:pPr>
      <w:r>
        <w:rPr>
          <w:color w:val="7F7F7F"/>
        </w:rPr>
        <w:t>Basic Information</w:t>
      </w:r>
    </w:p>
    <w:tbl>
      <w:tblPr>
        <w:tblW w:w="0" w:type="auto"/>
        <w:jc w:val="left"/>
        <w:tblInd w:w="109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660"/>
        <w:gridCol w:w="6582"/>
      </w:tblGrid>
      <w:tr>
        <w:trPr>
          <w:trHeight w:val="680" w:hRule="atLeast"/>
        </w:trPr>
        <w:tc>
          <w:tcPr>
            <w:tcW w:w="2660" w:type="dxa"/>
            <w:shd w:val="clear" w:color="auto" w:fill="FFFFFF"/>
          </w:tcPr>
          <w:p>
            <w:pPr>
              <w:pStyle w:val="TableParagraph"/>
              <w:spacing w:line="213" w:lineRule="auto" w:before="151"/>
              <w:ind w:right="595"/>
              <w:rPr>
                <w:rFonts w:ascii="Stone Sans II ITC Std Bk"/>
                <w:b/>
                <w:sz w:val="20"/>
              </w:rPr>
            </w:pPr>
            <w:r>
              <w:rPr>
                <w:rFonts w:ascii="Stone Sans II ITC Std Bk"/>
                <w:b/>
                <w:w w:val="110"/>
                <w:sz w:val="20"/>
              </w:rPr>
              <w:t>Contact name and email address</w:t>
            </w:r>
          </w:p>
        </w:tc>
        <w:tc>
          <w:tcPr>
            <w:tcW w:w="6582" w:type="dxa"/>
            <w:shd w:val="clear" w:color="auto" w:fill="FFFFFF"/>
          </w:tcPr>
          <w:p>
            <w:pPr>
              <w:pStyle w:val="TableParagraph"/>
              <w:spacing w:before="141"/>
              <w:rPr>
                <w:sz w:val="20"/>
              </w:rPr>
            </w:pPr>
            <w:r>
              <w:rPr>
                <w:w w:val="120"/>
                <w:sz w:val="20"/>
              </w:rPr>
              <w:t>Carol Rogers: </w:t>
            </w:r>
            <w:hyperlink r:id="rId533">
              <w:r>
                <w:rPr>
                  <w:color w:val="006AB3"/>
                  <w:w w:val="120"/>
                  <w:sz w:val="20"/>
                </w:rPr>
                <w:t>carannrog@aol.com</w:t>
              </w:r>
            </w:hyperlink>
          </w:p>
        </w:tc>
      </w:tr>
      <w:tr>
        <w:trPr>
          <w:trHeight w:val="440" w:hRule="atLeast"/>
        </w:trPr>
        <w:tc>
          <w:tcPr>
            <w:tcW w:w="2660" w:type="dxa"/>
            <w:shd w:val="clear" w:color="auto" w:fill="FFFFFF"/>
          </w:tcPr>
          <w:p>
            <w:pPr>
              <w:pStyle w:val="TableParagraph"/>
              <w:spacing w:before="128"/>
              <w:rPr>
                <w:rFonts w:ascii="Stone Sans II ITC Std Bk"/>
                <w:b/>
                <w:sz w:val="20"/>
              </w:rPr>
            </w:pPr>
            <w:r>
              <w:rPr>
                <w:rFonts w:ascii="Stone Sans II ITC Std Bk"/>
                <w:b/>
                <w:w w:val="110"/>
                <w:sz w:val="20"/>
              </w:rPr>
              <w:t>Action required</w:t>
            </w:r>
          </w:p>
        </w:tc>
        <w:tc>
          <w:tcPr>
            <w:tcW w:w="6582" w:type="dxa"/>
            <w:shd w:val="clear" w:color="auto" w:fill="FFFFFF"/>
          </w:tcPr>
          <w:p>
            <w:pPr>
              <w:pStyle w:val="TableParagraph"/>
              <w:spacing w:before="141"/>
              <w:rPr>
                <w:sz w:val="20"/>
              </w:rPr>
            </w:pPr>
            <w:r>
              <w:rPr>
                <w:w w:val="120"/>
                <w:sz w:val="20"/>
              </w:rPr>
              <w:t>Decision</w:t>
            </w:r>
          </w:p>
        </w:tc>
      </w:tr>
      <w:tr>
        <w:trPr>
          <w:trHeight w:val="3080" w:hRule="atLeast"/>
        </w:trPr>
        <w:tc>
          <w:tcPr>
            <w:tcW w:w="2660" w:type="dxa"/>
            <w:shd w:val="clear" w:color="auto" w:fill="FFFFFF"/>
          </w:tcPr>
          <w:p>
            <w:pPr>
              <w:pStyle w:val="TableParagraph"/>
              <w:spacing w:before="128"/>
              <w:rPr>
                <w:rFonts w:ascii="Stone Sans II ITC Std Bk"/>
                <w:b/>
                <w:sz w:val="20"/>
              </w:rPr>
            </w:pPr>
            <w:r>
              <w:rPr>
                <w:rFonts w:ascii="Stone Sans II ITC Std Bk"/>
                <w:b/>
                <w:w w:val="110"/>
                <w:sz w:val="20"/>
              </w:rPr>
              <w:t>Draft resolution(s)</w:t>
            </w:r>
          </w:p>
        </w:tc>
        <w:tc>
          <w:tcPr>
            <w:tcW w:w="6582" w:type="dxa"/>
            <w:shd w:val="clear" w:color="auto" w:fill="FFFFFF"/>
          </w:tcPr>
          <w:p>
            <w:pPr>
              <w:pStyle w:val="TableParagraph"/>
              <w:spacing w:line="213" w:lineRule="auto" w:before="151"/>
              <w:ind w:right="1114"/>
              <w:jc w:val="both"/>
              <w:rPr>
                <w:rFonts w:ascii="Stone Sans II ITC Std Bk"/>
                <w:b/>
                <w:sz w:val="20"/>
              </w:rPr>
            </w:pPr>
            <w:r>
              <w:rPr>
                <w:rFonts w:ascii="Stone Sans II ITC Std Bk"/>
                <w:b/>
                <w:w w:val="110"/>
                <w:sz w:val="20"/>
              </w:rPr>
              <w:t>35. General Assembly appoints committees and representatives of the Church as set out on pages</w:t>
            </w:r>
          </w:p>
          <w:p>
            <w:pPr>
              <w:pStyle w:val="TableParagraph"/>
              <w:spacing w:line="213" w:lineRule="auto"/>
              <w:ind w:right="560"/>
              <w:jc w:val="both"/>
              <w:rPr>
                <w:rFonts w:ascii="Stone Sans II ITC Std Bk"/>
                <w:b/>
                <w:sz w:val="20"/>
              </w:rPr>
            </w:pPr>
            <w:r>
              <w:rPr>
                <w:rFonts w:ascii="Stone Sans II ITC Std Bk"/>
                <w:b/>
                <w:w w:val="110"/>
                <w:sz w:val="20"/>
              </w:rPr>
              <w:t>202-214 of the </w:t>
            </w:r>
            <w:r>
              <w:rPr>
                <w:rFonts w:ascii="Stone Sans II ITC Std Bk"/>
                <w:b/>
                <w:i/>
                <w:w w:val="110"/>
                <w:sz w:val="20"/>
              </w:rPr>
              <w:t>Book of Reports</w:t>
            </w:r>
            <w:r>
              <w:rPr>
                <w:rFonts w:ascii="Stone Sans II ITC Std Bk"/>
                <w:b/>
                <w:w w:val="110"/>
                <w:sz w:val="20"/>
              </w:rPr>
              <w:t>, subject to the additions and corrections contained in the supplementary report to Assembly.</w:t>
            </w:r>
          </w:p>
          <w:p>
            <w:pPr>
              <w:pStyle w:val="TableParagraph"/>
              <w:spacing w:before="6"/>
              <w:ind w:left="0"/>
              <w:rPr>
                <w:rFonts w:ascii="Stone Sans II ITC Std Bk"/>
                <w:b/>
                <w:sz w:val="17"/>
              </w:rPr>
            </w:pPr>
          </w:p>
          <w:p>
            <w:pPr>
              <w:pStyle w:val="TableParagraph"/>
              <w:spacing w:line="213" w:lineRule="auto" w:before="1"/>
              <w:ind w:right="580"/>
              <w:rPr>
                <w:rFonts w:ascii="Stone Sans II ITC Std Bk"/>
                <w:b/>
                <w:sz w:val="20"/>
              </w:rPr>
            </w:pPr>
            <w:r>
              <w:rPr>
                <w:rFonts w:ascii="Stone Sans II ITC Std Bk"/>
                <w:b/>
                <w:w w:val="110"/>
                <w:sz w:val="20"/>
              </w:rPr>
              <w:t>36.a) General Assembly appoints Mr Ian Hardie as Deputy Treasurer of the Church with immediate effect until 30 June 2017.</w:t>
            </w:r>
          </w:p>
          <w:p>
            <w:pPr>
              <w:pStyle w:val="TableParagraph"/>
              <w:tabs>
                <w:tab w:pos="760" w:val="left" w:leader="none"/>
              </w:tabs>
              <w:spacing w:line="213" w:lineRule="auto"/>
              <w:ind w:right="642"/>
              <w:rPr>
                <w:rFonts w:ascii="Stone Sans II ITC Std Bk"/>
                <w:b/>
                <w:sz w:val="20"/>
              </w:rPr>
            </w:pPr>
            <w:r>
              <w:rPr>
                <w:rFonts w:ascii="Stone Sans II ITC Std Bk"/>
                <w:b/>
                <w:spacing w:val="-8"/>
                <w:w w:val="110"/>
                <w:sz w:val="20"/>
              </w:rPr>
              <w:t>b)</w:t>
              <w:tab/>
            </w:r>
            <w:r>
              <w:rPr>
                <w:rFonts w:ascii="Stone Sans II ITC Std Bk"/>
                <w:b/>
                <w:w w:val="110"/>
                <w:sz w:val="20"/>
              </w:rPr>
              <w:t>General Assembly appoints the Revd John Piper as Deputy Treasurer of the Church from 1 July </w:t>
            </w:r>
            <w:r>
              <w:rPr>
                <w:rFonts w:ascii="Stone Sans II ITC Std Bk"/>
                <w:b/>
                <w:spacing w:val="-7"/>
                <w:w w:val="110"/>
                <w:sz w:val="20"/>
              </w:rPr>
              <w:t>2017 </w:t>
            </w:r>
            <w:r>
              <w:rPr>
                <w:rFonts w:ascii="Stone Sans II ITC Std Bk"/>
                <w:b/>
                <w:w w:val="110"/>
                <w:sz w:val="20"/>
              </w:rPr>
              <w:t>for four</w:t>
            </w:r>
            <w:r>
              <w:rPr>
                <w:rFonts w:ascii="Stone Sans II ITC Std Bk"/>
                <w:b/>
                <w:spacing w:val="-1"/>
                <w:w w:val="110"/>
                <w:sz w:val="20"/>
              </w:rPr>
              <w:t> </w:t>
            </w:r>
            <w:r>
              <w:rPr>
                <w:rFonts w:ascii="Stone Sans II ITC Std Bk"/>
                <w:b/>
                <w:w w:val="110"/>
                <w:sz w:val="20"/>
              </w:rPr>
              <w:t>years.</w:t>
            </w:r>
          </w:p>
        </w:tc>
      </w:tr>
    </w:tbl>
    <w:p>
      <w:pPr>
        <w:pStyle w:val="BodyText"/>
        <w:spacing w:before="4"/>
        <w:rPr>
          <w:rFonts w:ascii="Stone Sans II ITC Std Bk"/>
          <w:b/>
          <w:sz w:val="29"/>
        </w:rPr>
      </w:pPr>
    </w:p>
    <w:p>
      <w:pPr>
        <w:pStyle w:val="Heading4"/>
        <w:ind w:left="1089"/>
      </w:pPr>
      <w:r>
        <w:rPr>
          <w:color w:val="7F7F7F"/>
        </w:rPr>
        <w:t>Summary of Content</w:t>
      </w:r>
    </w:p>
    <w:tbl>
      <w:tblPr>
        <w:tblW w:w="0" w:type="auto"/>
        <w:jc w:val="left"/>
        <w:tblInd w:w="109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660"/>
        <w:gridCol w:w="6582"/>
      </w:tblGrid>
      <w:tr>
        <w:trPr>
          <w:trHeight w:val="440" w:hRule="atLeast"/>
        </w:trPr>
        <w:tc>
          <w:tcPr>
            <w:tcW w:w="2660" w:type="dxa"/>
            <w:shd w:val="clear" w:color="auto" w:fill="FFFFFF"/>
          </w:tcPr>
          <w:p>
            <w:pPr>
              <w:pStyle w:val="TableParagraph"/>
              <w:spacing w:before="128"/>
              <w:rPr>
                <w:rFonts w:ascii="Stone Sans II ITC Std Bk"/>
                <w:b/>
                <w:sz w:val="20"/>
              </w:rPr>
            </w:pPr>
            <w:r>
              <w:rPr>
                <w:rFonts w:ascii="Stone Sans II ITC Std Bk"/>
                <w:b/>
                <w:w w:val="110"/>
                <w:sz w:val="20"/>
              </w:rPr>
              <w:t>Subject and aim(s)</w:t>
            </w:r>
          </w:p>
        </w:tc>
        <w:tc>
          <w:tcPr>
            <w:tcW w:w="6582" w:type="dxa"/>
            <w:shd w:val="clear" w:color="auto" w:fill="FFFFFF"/>
          </w:tcPr>
          <w:p>
            <w:pPr>
              <w:pStyle w:val="TableParagraph"/>
              <w:spacing w:before="141"/>
              <w:rPr>
                <w:sz w:val="20"/>
              </w:rPr>
            </w:pPr>
            <w:r>
              <w:rPr>
                <w:w w:val="120"/>
                <w:sz w:val="20"/>
              </w:rPr>
              <w:t>To appoint members of various committees</w:t>
            </w:r>
          </w:p>
        </w:tc>
      </w:tr>
      <w:tr>
        <w:trPr>
          <w:trHeight w:val="440" w:hRule="atLeast"/>
        </w:trPr>
        <w:tc>
          <w:tcPr>
            <w:tcW w:w="2660" w:type="dxa"/>
            <w:shd w:val="clear" w:color="auto" w:fill="FFFFFF"/>
          </w:tcPr>
          <w:p>
            <w:pPr>
              <w:pStyle w:val="TableParagraph"/>
              <w:spacing w:before="128"/>
              <w:rPr>
                <w:rFonts w:ascii="Stone Sans II ITC Std Bk"/>
                <w:b/>
                <w:sz w:val="20"/>
              </w:rPr>
            </w:pPr>
            <w:r>
              <w:rPr>
                <w:rFonts w:ascii="Stone Sans II ITC Std Bk"/>
                <w:b/>
                <w:w w:val="110"/>
                <w:sz w:val="20"/>
              </w:rPr>
              <w:t>Main points</w:t>
            </w:r>
          </w:p>
        </w:tc>
        <w:tc>
          <w:tcPr>
            <w:tcW w:w="6582" w:type="dxa"/>
            <w:shd w:val="clear" w:color="auto" w:fill="FFFFFF"/>
          </w:tcPr>
          <w:p>
            <w:pPr>
              <w:pStyle w:val="TableParagraph"/>
              <w:spacing w:before="141"/>
              <w:rPr>
                <w:sz w:val="20"/>
              </w:rPr>
            </w:pPr>
            <w:r>
              <w:rPr>
                <w:w w:val="120"/>
                <w:sz w:val="20"/>
              </w:rPr>
              <w:t>As above</w:t>
            </w:r>
          </w:p>
        </w:tc>
      </w:tr>
      <w:tr>
        <w:trPr>
          <w:trHeight w:val="680" w:hRule="atLeast"/>
        </w:trPr>
        <w:tc>
          <w:tcPr>
            <w:tcW w:w="2660" w:type="dxa"/>
            <w:shd w:val="clear" w:color="auto" w:fill="FFFFFF"/>
          </w:tcPr>
          <w:p>
            <w:pPr>
              <w:pStyle w:val="TableParagraph"/>
              <w:spacing w:line="213" w:lineRule="auto" w:before="151"/>
              <w:ind w:right="701"/>
              <w:rPr>
                <w:rFonts w:ascii="Stone Sans II ITC Std Bk"/>
                <w:b/>
                <w:sz w:val="20"/>
              </w:rPr>
            </w:pPr>
            <w:r>
              <w:rPr>
                <w:rFonts w:ascii="Stone Sans II ITC Std Bk"/>
                <w:b/>
                <w:w w:val="110"/>
                <w:sz w:val="20"/>
              </w:rPr>
              <w:t>Previous relevant documents</w:t>
            </w:r>
          </w:p>
        </w:tc>
        <w:tc>
          <w:tcPr>
            <w:tcW w:w="6582" w:type="dxa"/>
            <w:shd w:val="clear" w:color="auto" w:fill="FFFFFF"/>
          </w:tcPr>
          <w:p>
            <w:pPr>
              <w:pStyle w:val="TableParagraph"/>
              <w:spacing w:before="141"/>
              <w:rPr>
                <w:sz w:val="20"/>
              </w:rPr>
            </w:pPr>
            <w:r>
              <w:rPr>
                <w:w w:val="115"/>
                <w:sz w:val="20"/>
              </w:rPr>
              <w:t>N/a</w:t>
            </w:r>
          </w:p>
        </w:tc>
      </w:tr>
      <w:tr>
        <w:trPr>
          <w:trHeight w:val="680" w:hRule="atLeast"/>
        </w:trPr>
        <w:tc>
          <w:tcPr>
            <w:tcW w:w="2660" w:type="dxa"/>
            <w:shd w:val="clear" w:color="auto" w:fill="FFFFFF"/>
          </w:tcPr>
          <w:p>
            <w:pPr>
              <w:pStyle w:val="TableParagraph"/>
              <w:spacing w:line="213" w:lineRule="auto" w:before="151"/>
              <w:ind w:right="576"/>
              <w:rPr>
                <w:rFonts w:ascii="Stone Sans II ITC Std Bk"/>
                <w:b/>
                <w:sz w:val="20"/>
              </w:rPr>
            </w:pPr>
            <w:r>
              <w:rPr>
                <w:rFonts w:ascii="Stone Sans II ITC Std Bk"/>
                <w:b/>
                <w:w w:val="110"/>
                <w:sz w:val="20"/>
              </w:rPr>
              <w:t>Consultation has taken place with...</w:t>
            </w:r>
          </w:p>
        </w:tc>
        <w:tc>
          <w:tcPr>
            <w:tcW w:w="6582" w:type="dxa"/>
            <w:shd w:val="clear" w:color="auto" w:fill="FFFFFF"/>
          </w:tcPr>
          <w:p>
            <w:pPr>
              <w:pStyle w:val="TableParagraph"/>
              <w:spacing w:line="235" w:lineRule="auto" w:before="145"/>
              <w:rPr>
                <w:sz w:val="20"/>
              </w:rPr>
            </w:pPr>
            <w:r>
              <w:rPr>
                <w:w w:val="120"/>
                <w:sz w:val="20"/>
              </w:rPr>
              <w:t>Wide consultation with synods, local churches, and the committees and groups where appointments are needed</w:t>
            </w:r>
          </w:p>
        </w:tc>
      </w:tr>
    </w:tbl>
    <w:p>
      <w:pPr>
        <w:pStyle w:val="BodyText"/>
        <w:spacing w:before="3"/>
        <w:rPr>
          <w:rFonts w:ascii="Stone Sans II ITC Std Bk"/>
          <w:b/>
          <w:sz w:val="29"/>
        </w:rPr>
      </w:pPr>
    </w:p>
    <w:p>
      <w:pPr>
        <w:pStyle w:val="Heading4"/>
        <w:ind w:left="1089"/>
      </w:pPr>
      <w:r>
        <w:rPr>
          <w:color w:val="7F7F7F"/>
        </w:rPr>
        <w:t>Summary of Impact</w:t>
      </w:r>
    </w:p>
    <w:tbl>
      <w:tblPr>
        <w:tblW w:w="0" w:type="auto"/>
        <w:jc w:val="left"/>
        <w:tblInd w:w="109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660"/>
        <w:gridCol w:w="6582"/>
      </w:tblGrid>
      <w:tr>
        <w:trPr>
          <w:trHeight w:val="440" w:hRule="atLeast"/>
        </w:trPr>
        <w:tc>
          <w:tcPr>
            <w:tcW w:w="2660" w:type="dxa"/>
            <w:shd w:val="clear" w:color="auto" w:fill="FFFFFF"/>
          </w:tcPr>
          <w:p>
            <w:pPr>
              <w:pStyle w:val="TableParagraph"/>
              <w:spacing w:before="128"/>
              <w:rPr>
                <w:rFonts w:ascii="Stone Sans II ITC Std Bk"/>
                <w:b/>
                <w:sz w:val="20"/>
              </w:rPr>
            </w:pPr>
            <w:r>
              <w:rPr>
                <w:rFonts w:ascii="Stone Sans II ITC Std Bk"/>
                <w:b/>
                <w:w w:val="110"/>
                <w:sz w:val="20"/>
              </w:rPr>
              <w:t>Financial</w:t>
            </w:r>
          </w:p>
        </w:tc>
        <w:tc>
          <w:tcPr>
            <w:tcW w:w="6582" w:type="dxa"/>
            <w:shd w:val="clear" w:color="auto" w:fill="FFFFFF"/>
          </w:tcPr>
          <w:p>
            <w:pPr>
              <w:pStyle w:val="TableParagraph"/>
              <w:spacing w:before="141"/>
              <w:rPr>
                <w:sz w:val="20"/>
              </w:rPr>
            </w:pPr>
            <w:r>
              <w:rPr>
                <w:w w:val="120"/>
                <w:sz w:val="20"/>
              </w:rPr>
              <w:t>None</w:t>
            </w:r>
          </w:p>
        </w:tc>
      </w:tr>
      <w:tr>
        <w:trPr>
          <w:trHeight w:val="680" w:hRule="atLeast"/>
        </w:trPr>
        <w:tc>
          <w:tcPr>
            <w:tcW w:w="2660" w:type="dxa"/>
            <w:shd w:val="clear" w:color="auto" w:fill="FFFFFF"/>
          </w:tcPr>
          <w:p>
            <w:pPr>
              <w:pStyle w:val="TableParagraph"/>
              <w:spacing w:line="255" w:lineRule="exact" w:before="128"/>
              <w:rPr>
                <w:rFonts w:ascii="Stone Sans II ITC Std Bk"/>
                <w:b/>
                <w:sz w:val="20"/>
              </w:rPr>
            </w:pPr>
            <w:r>
              <w:rPr>
                <w:rFonts w:ascii="Stone Sans II ITC Std Bk"/>
                <w:b/>
                <w:w w:val="110"/>
                <w:sz w:val="20"/>
              </w:rPr>
              <w:t>External</w:t>
            </w:r>
          </w:p>
          <w:p>
            <w:pPr>
              <w:pStyle w:val="TableParagraph"/>
              <w:spacing w:line="255" w:lineRule="exact"/>
              <w:rPr>
                <w:rFonts w:ascii="Stone Sans II ITC Std Bk"/>
                <w:b/>
                <w:sz w:val="20"/>
              </w:rPr>
            </w:pPr>
            <w:r>
              <w:rPr>
                <w:rFonts w:ascii="Stone Sans II ITC Std Bk"/>
                <w:b/>
                <w:w w:val="110"/>
                <w:sz w:val="20"/>
              </w:rPr>
              <w:t>(e.g. ecumenical)</w:t>
            </w:r>
          </w:p>
        </w:tc>
        <w:tc>
          <w:tcPr>
            <w:tcW w:w="6582" w:type="dxa"/>
            <w:shd w:val="clear" w:color="auto" w:fill="FFFFFF"/>
          </w:tcPr>
          <w:p>
            <w:pPr>
              <w:pStyle w:val="TableParagraph"/>
              <w:spacing w:before="141"/>
              <w:rPr>
                <w:sz w:val="20"/>
              </w:rPr>
            </w:pPr>
            <w:r>
              <w:rPr>
                <w:w w:val="125"/>
                <w:sz w:val="20"/>
              </w:rPr>
              <w:t>None.</w:t>
            </w:r>
          </w:p>
        </w:tc>
      </w:tr>
    </w:tbl>
    <w:p>
      <w:pPr>
        <w:pStyle w:val="BodyText"/>
        <w:rPr>
          <w:rFonts w:ascii="Stone Sans II ITC Std Bk"/>
          <w:b/>
          <w:sz w:val="30"/>
        </w:rPr>
      </w:pPr>
    </w:p>
    <w:p>
      <w:pPr>
        <w:pStyle w:val="BodyText"/>
        <w:rPr>
          <w:rFonts w:ascii="Stone Sans II ITC Std Bk"/>
          <w:b/>
          <w:sz w:val="30"/>
        </w:rPr>
      </w:pPr>
    </w:p>
    <w:p>
      <w:pPr>
        <w:pStyle w:val="BodyText"/>
        <w:rPr>
          <w:rFonts w:ascii="Stone Sans II ITC Std Bk"/>
          <w:b/>
          <w:sz w:val="30"/>
        </w:rPr>
      </w:pPr>
    </w:p>
    <w:p>
      <w:pPr>
        <w:pStyle w:val="BodyText"/>
        <w:rPr>
          <w:rFonts w:ascii="Stone Sans II ITC Std Bk"/>
          <w:b/>
          <w:sz w:val="30"/>
        </w:rPr>
      </w:pPr>
    </w:p>
    <w:p>
      <w:pPr>
        <w:pStyle w:val="BodyText"/>
        <w:rPr>
          <w:rFonts w:ascii="Stone Sans II ITC Std Bk"/>
          <w:b/>
          <w:sz w:val="30"/>
        </w:rPr>
      </w:pPr>
    </w:p>
    <w:p>
      <w:pPr>
        <w:pStyle w:val="BodyText"/>
        <w:rPr>
          <w:rFonts w:ascii="Stone Sans II ITC Std Bk"/>
          <w:b/>
          <w:sz w:val="30"/>
        </w:rPr>
      </w:pPr>
    </w:p>
    <w:p>
      <w:pPr>
        <w:pStyle w:val="BodyText"/>
        <w:rPr>
          <w:rFonts w:ascii="Stone Sans II ITC Std Bk"/>
          <w:b/>
          <w:sz w:val="30"/>
        </w:rPr>
      </w:pPr>
    </w:p>
    <w:p>
      <w:pPr>
        <w:pStyle w:val="BodyText"/>
        <w:rPr>
          <w:rFonts w:ascii="Stone Sans II ITC Std Bk"/>
          <w:b/>
          <w:sz w:val="24"/>
        </w:rPr>
      </w:pPr>
    </w:p>
    <w:p>
      <w:pPr>
        <w:pStyle w:val="Heading6"/>
        <w:spacing w:before="0"/>
        <w:ind w:left="3718"/>
        <w:rPr>
          <w:rFonts w:ascii="Stone Sans II ITC Std X Bd" w:hAnsi="Stone Sans II ITC Std X Bd"/>
          <w:b/>
          <w:sz w:val="24"/>
        </w:rPr>
      </w:pPr>
      <w:r>
        <w:rPr>
          <w:color w:val="7EAABF"/>
          <w:w w:val="110"/>
        </w:rPr>
        <w:t>United Reformed Church </w:t>
      </w:r>
      <w:r>
        <w:rPr>
          <w:rFonts w:ascii="Symbol" w:hAnsi="Symbol"/>
          <w:color w:val="7EAABF"/>
          <w:w w:val="110"/>
        </w:rPr>
        <w:t></w:t>
      </w:r>
      <w:r>
        <w:rPr>
          <w:rFonts w:ascii="Times New Roman" w:hAnsi="Times New Roman"/>
          <w:color w:val="7EAABF"/>
          <w:w w:val="110"/>
        </w:rPr>
        <w:t> </w:t>
      </w:r>
      <w:r>
        <w:rPr>
          <w:color w:val="7EAABF"/>
          <w:w w:val="110"/>
        </w:rPr>
        <w:t>General Assembly 2016 </w:t>
      </w:r>
      <w:r>
        <w:rPr>
          <w:rFonts w:ascii="Symbol" w:hAnsi="Symbol"/>
          <w:color w:val="7EAABF"/>
          <w:w w:val="110"/>
        </w:rPr>
        <w:t></w:t>
      </w:r>
      <w:r>
        <w:rPr>
          <w:rFonts w:ascii="Times New Roman" w:hAnsi="Times New Roman"/>
          <w:color w:val="7EAABF"/>
          <w:w w:val="110"/>
        </w:rPr>
        <w:t> </w:t>
      </w:r>
      <w:r>
        <w:rPr>
          <w:rFonts w:ascii="Stone Sans II ITC Std X Bd" w:hAnsi="Stone Sans II ITC Std X Bd"/>
          <w:b/>
          <w:w w:val="110"/>
          <w:sz w:val="24"/>
        </w:rPr>
        <w:t>199</w:t>
      </w:r>
    </w:p>
    <w:p>
      <w:pPr>
        <w:spacing w:after="0"/>
        <w:rPr>
          <w:rFonts w:ascii="Stone Sans II ITC Std X Bd" w:hAnsi="Stone Sans II ITC Std X Bd"/>
          <w:sz w:val="24"/>
        </w:rPr>
        <w:sectPr>
          <w:headerReference w:type="default" r:id="rId530"/>
          <w:footerReference w:type="default" r:id="rId531"/>
          <w:pgSz w:w="11910" w:h="16840"/>
          <w:pgMar w:header="0" w:footer="0" w:top="0" w:bottom="0" w:left="640" w:right="0"/>
        </w:sectPr>
      </w:pPr>
    </w:p>
    <w:p>
      <w:pPr>
        <w:pStyle w:val="BodyText"/>
        <w:rPr>
          <w:rFonts w:ascii="Stone Sans II ITC Std X Bd"/>
          <w:b/>
        </w:rPr>
      </w:pPr>
      <w:r>
        <w:rPr/>
        <w:drawing>
          <wp:anchor distT="0" distB="0" distL="0" distR="0" allowOverlap="1" layoutInCell="1" locked="0" behindDoc="1" simplePos="0" relativeHeight="235741184">
            <wp:simplePos x="0" y="0"/>
            <wp:positionH relativeFrom="page">
              <wp:posOffset>0</wp:posOffset>
            </wp:positionH>
            <wp:positionV relativeFrom="page">
              <wp:posOffset>0</wp:posOffset>
            </wp:positionV>
            <wp:extent cx="594067" cy="10692003"/>
            <wp:effectExtent l="0" t="0" r="0" b="0"/>
            <wp:wrapNone/>
            <wp:docPr id="381" name="image71.png"/>
            <wp:cNvGraphicFramePr>
              <a:graphicFrameLocks noChangeAspect="1"/>
            </wp:cNvGraphicFramePr>
            <a:graphic>
              <a:graphicData uri="http://schemas.openxmlformats.org/drawingml/2006/picture">
                <pic:pic>
                  <pic:nvPicPr>
                    <pic:cNvPr id="382" name="image71.png"/>
                    <pic:cNvPicPr/>
                  </pic:nvPicPr>
                  <pic:blipFill>
                    <a:blip r:embed="rId537" cstate="print"/>
                    <a:stretch>
                      <a:fillRect/>
                    </a:stretch>
                  </pic:blipFill>
                  <pic:spPr>
                    <a:xfrm>
                      <a:off x="0" y="0"/>
                      <a:ext cx="594067" cy="10692003"/>
                    </a:xfrm>
                    <a:prstGeom prst="rect">
                      <a:avLst/>
                    </a:prstGeom>
                  </pic:spPr>
                </pic:pic>
              </a:graphicData>
            </a:graphic>
          </wp:anchor>
        </w:drawing>
      </w:r>
      <w:r>
        <w:rPr/>
        <w:pict>
          <v:shape style="position:absolute;margin-left:20.519100pt;margin-top:48.890015pt;width:25.9pt;height:131.3pt;mso-position-horizontal-relative:page;mso-position-vertical-relative:page;z-index:-267573248" type="#_x0000_t202" filled="false" stroked="false">
            <v:textbox inset="0,0,0,0" style="layout-flow:vertical">
              <w:txbxContent>
                <w:p>
                  <w:pPr>
                    <w:spacing w:before="27"/>
                    <w:ind w:left="20" w:right="0" w:firstLine="0"/>
                    <w:jc w:val="left"/>
                    <w:rPr>
                      <w:sz w:val="39"/>
                    </w:rPr>
                  </w:pPr>
                  <w:r>
                    <w:rPr>
                      <w:color w:val="FFFFFF"/>
                      <w:w w:val="120"/>
                      <w:sz w:val="39"/>
                    </w:rPr>
                    <w:t>Nominations</w:t>
                  </w:r>
                </w:p>
              </w:txbxContent>
            </v:textbox>
            <w10:wrap type="none"/>
          </v:shape>
        </w:pict>
      </w:r>
    </w:p>
    <w:p>
      <w:pPr>
        <w:pStyle w:val="BodyText"/>
        <w:rPr>
          <w:rFonts w:ascii="Stone Sans II ITC Std X Bd"/>
          <w:b/>
        </w:rPr>
      </w:pPr>
    </w:p>
    <w:p>
      <w:pPr>
        <w:pStyle w:val="BodyText"/>
        <w:rPr>
          <w:rFonts w:ascii="Stone Sans II ITC Std X Bd"/>
          <w:b/>
        </w:rPr>
      </w:pPr>
    </w:p>
    <w:p>
      <w:pPr>
        <w:pStyle w:val="BodyText"/>
        <w:spacing w:before="11"/>
        <w:rPr>
          <w:rFonts w:ascii="Stone Sans II ITC Std X Bd"/>
          <w:b/>
          <w:sz w:val="19"/>
        </w:rPr>
      </w:pPr>
    </w:p>
    <w:p>
      <w:pPr>
        <w:spacing w:before="98"/>
        <w:ind w:left="607" w:right="0" w:firstLine="0"/>
        <w:jc w:val="left"/>
        <w:rPr>
          <w:rFonts w:ascii="Stone Sans II ITC Std X Bd"/>
          <w:b/>
          <w:sz w:val="50"/>
        </w:rPr>
      </w:pPr>
      <w:r>
        <w:rPr>
          <w:rFonts w:ascii="Stone Sans II ITC Std X Bd"/>
          <w:b/>
          <w:w w:val="110"/>
          <w:sz w:val="50"/>
        </w:rPr>
        <w:t>Nominations committee report</w:t>
      </w:r>
    </w:p>
    <w:p>
      <w:pPr>
        <w:spacing w:line="261" w:lineRule="auto" w:before="140"/>
        <w:ind w:left="834" w:right="2231" w:firstLine="0"/>
        <w:jc w:val="left"/>
        <w:rPr>
          <w:sz w:val="18"/>
        </w:rPr>
      </w:pPr>
      <w:r>
        <w:rPr/>
        <w:pict>
          <v:line style="position:absolute;mso-position-horizontal-relative:page;mso-position-vertical-relative:paragraph;z-index:252195840" from="62.362202pt,8.504453pt" to="62.362202pt,209.764453pt" stroked="true" strokeweight="2pt" strokecolor="#e8581e">
            <v:stroke dashstyle="solid"/>
            <w10:wrap type="none"/>
          </v:line>
        </w:pict>
      </w:r>
      <w:r>
        <w:rPr>
          <w:color w:val="707172"/>
          <w:w w:val="120"/>
          <w:sz w:val="18"/>
        </w:rPr>
        <w:t>This committee nominates to Assembly the names of people to </w:t>
      </w:r>
      <w:r>
        <w:rPr>
          <w:color w:val="707172"/>
          <w:spacing w:val="2"/>
          <w:w w:val="120"/>
          <w:sz w:val="18"/>
        </w:rPr>
        <w:t>serve </w:t>
      </w:r>
      <w:r>
        <w:rPr>
          <w:color w:val="707172"/>
          <w:w w:val="120"/>
          <w:sz w:val="18"/>
        </w:rPr>
        <w:t>as convenors and secretaries of all Assembly committees, and as members of those committees. It also    suggests names of United Reformed Church representatives on other bodies. It recommends the people to make up appointment groups for moderators of synods and Assembly   appointed</w:t>
      </w:r>
      <w:r>
        <w:rPr>
          <w:color w:val="707172"/>
          <w:spacing w:val="1"/>
          <w:w w:val="120"/>
          <w:sz w:val="18"/>
        </w:rPr>
        <w:t> </w:t>
      </w:r>
      <w:r>
        <w:rPr>
          <w:color w:val="707172"/>
          <w:w w:val="120"/>
          <w:sz w:val="18"/>
        </w:rPr>
        <w:t>staff.</w:t>
      </w:r>
    </w:p>
    <w:p>
      <w:pPr>
        <w:pStyle w:val="BodyText"/>
        <w:spacing w:before="2" w:after="1"/>
        <w:rPr>
          <w:sz w:val="15"/>
        </w:rPr>
      </w:pPr>
    </w:p>
    <w:tbl>
      <w:tblPr>
        <w:tblW w:w="0" w:type="auto"/>
        <w:jc w:val="left"/>
        <w:tblInd w:w="79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2488"/>
        <w:gridCol w:w="2258"/>
        <w:gridCol w:w="3143"/>
      </w:tblGrid>
      <w:tr>
        <w:trPr>
          <w:trHeight w:val="281" w:hRule="atLeast"/>
        </w:trPr>
        <w:tc>
          <w:tcPr>
            <w:tcW w:w="2488" w:type="dxa"/>
          </w:tcPr>
          <w:p>
            <w:pPr>
              <w:pStyle w:val="TableParagraph"/>
              <w:spacing w:line="216" w:lineRule="exact" w:before="45"/>
              <w:ind w:left="50"/>
              <w:rPr>
                <w:sz w:val="18"/>
              </w:rPr>
            </w:pPr>
            <w:r>
              <w:rPr>
                <w:rFonts w:ascii="Stone Sans II ITC Std Bk"/>
                <w:b/>
                <w:color w:val="707172"/>
                <w:w w:val="115"/>
                <w:sz w:val="18"/>
              </w:rPr>
              <w:t>Convenor: </w:t>
            </w:r>
            <w:r>
              <w:rPr>
                <w:color w:val="707172"/>
                <w:w w:val="115"/>
                <w:sz w:val="18"/>
              </w:rPr>
              <w:t>Irene Wren</w:t>
            </w:r>
          </w:p>
        </w:tc>
        <w:tc>
          <w:tcPr>
            <w:tcW w:w="5401" w:type="dxa"/>
            <w:gridSpan w:val="2"/>
            <w:vMerge w:val="restart"/>
          </w:tcPr>
          <w:p>
            <w:pPr>
              <w:pStyle w:val="TableParagraph"/>
              <w:ind w:left="0"/>
              <w:rPr>
                <w:rFonts w:ascii="Times New Roman"/>
                <w:sz w:val="22"/>
              </w:rPr>
            </w:pPr>
          </w:p>
        </w:tc>
      </w:tr>
      <w:tr>
        <w:trPr>
          <w:trHeight w:val="240" w:hRule="atLeast"/>
        </w:trPr>
        <w:tc>
          <w:tcPr>
            <w:tcW w:w="2488" w:type="dxa"/>
          </w:tcPr>
          <w:p>
            <w:pPr>
              <w:pStyle w:val="TableParagraph"/>
              <w:spacing w:line="216" w:lineRule="exact" w:before="3"/>
              <w:ind w:left="50"/>
              <w:rPr>
                <w:sz w:val="18"/>
              </w:rPr>
            </w:pPr>
            <w:r>
              <w:rPr>
                <w:rFonts w:ascii="Stone Sans II ITC Std Bk"/>
                <w:b/>
                <w:color w:val="707172"/>
                <w:w w:val="120"/>
                <w:sz w:val="18"/>
              </w:rPr>
              <w:t>Secretary: </w:t>
            </w:r>
            <w:r>
              <w:rPr>
                <w:color w:val="707172"/>
                <w:w w:val="120"/>
                <w:sz w:val="18"/>
              </w:rPr>
              <w:t>Carol Rogers</w:t>
            </w:r>
          </w:p>
        </w:tc>
        <w:tc>
          <w:tcPr>
            <w:tcW w:w="5401" w:type="dxa"/>
            <w:gridSpan w:val="2"/>
            <w:vMerge/>
            <w:tcBorders>
              <w:top w:val="nil"/>
            </w:tcBorders>
          </w:tcPr>
          <w:p>
            <w:pPr>
              <w:rPr>
                <w:sz w:val="2"/>
                <w:szCs w:val="2"/>
              </w:rPr>
            </w:pPr>
          </w:p>
        </w:tc>
      </w:tr>
      <w:tr>
        <w:trPr>
          <w:trHeight w:val="242" w:hRule="atLeast"/>
        </w:trPr>
        <w:tc>
          <w:tcPr>
            <w:tcW w:w="2488" w:type="dxa"/>
          </w:tcPr>
          <w:p>
            <w:pPr>
              <w:pStyle w:val="TableParagraph"/>
              <w:spacing w:line="219" w:lineRule="exact" w:before="3"/>
              <w:ind w:left="50"/>
              <w:rPr>
                <w:rFonts w:ascii="Stone Sans II ITC Std Bk"/>
                <w:b/>
                <w:sz w:val="18"/>
              </w:rPr>
            </w:pPr>
            <w:r>
              <w:rPr>
                <w:rFonts w:ascii="Stone Sans II ITC Std Bk"/>
                <w:b/>
                <w:color w:val="707172"/>
                <w:w w:val="110"/>
                <w:sz w:val="18"/>
              </w:rPr>
              <w:t>Synod representatives:</w:t>
            </w:r>
          </w:p>
        </w:tc>
        <w:tc>
          <w:tcPr>
            <w:tcW w:w="5401" w:type="dxa"/>
            <w:gridSpan w:val="2"/>
            <w:vMerge/>
            <w:tcBorders>
              <w:top w:val="nil"/>
            </w:tcBorders>
          </w:tcPr>
          <w:p>
            <w:pPr>
              <w:rPr>
                <w:sz w:val="2"/>
                <w:szCs w:val="2"/>
              </w:rPr>
            </w:pPr>
          </w:p>
        </w:tc>
      </w:tr>
      <w:tr>
        <w:trPr>
          <w:trHeight w:val="240" w:hRule="atLeast"/>
        </w:trPr>
        <w:tc>
          <w:tcPr>
            <w:tcW w:w="2488" w:type="dxa"/>
          </w:tcPr>
          <w:p>
            <w:pPr>
              <w:pStyle w:val="TableParagraph"/>
              <w:spacing w:line="207" w:lineRule="exact" w:before="12"/>
              <w:ind w:left="50"/>
              <w:rPr>
                <w:sz w:val="18"/>
              </w:rPr>
            </w:pPr>
            <w:r>
              <w:rPr>
                <w:color w:val="707172"/>
                <w:w w:val="125"/>
                <w:sz w:val="18"/>
              </w:rPr>
              <w:t>1 Melanie Campbell</w:t>
            </w:r>
          </w:p>
        </w:tc>
        <w:tc>
          <w:tcPr>
            <w:tcW w:w="2258" w:type="dxa"/>
          </w:tcPr>
          <w:p>
            <w:pPr>
              <w:pStyle w:val="TableParagraph"/>
              <w:spacing w:line="207" w:lineRule="exact" w:before="12"/>
              <w:ind w:left="215"/>
              <w:rPr>
                <w:sz w:val="18"/>
              </w:rPr>
            </w:pPr>
            <w:r>
              <w:rPr>
                <w:color w:val="707172"/>
                <w:w w:val="120"/>
                <w:sz w:val="18"/>
              </w:rPr>
              <w:t>6 Margaret Marshall</w:t>
            </w:r>
          </w:p>
        </w:tc>
        <w:tc>
          <w:tcPr>
            <w:tcW w:w="3143" w:type="dxa"/>
          </w:tcPr>
          <w:p>
            <w:pPr>
              <w:pStyle w:val="TableParagraph"/>
              <w:spacing w:line="207" w:lineRule="exact" w:before="12"/>
              <w:ind w:left="117"/>
              <w:rPr>
                <w:sz w:val="18"/>
              </w:rPr>
            </w:pPr>
            <w:r>
              <w:rPr>
                <w:color w:val="707172"/>
                <w:w w:val="125"/>
                <w:sz w:val="18"/>
              </w:rPr>
              <w:t>11 Derrick Sena Dzandu-Hedidor</w:t>
            </w:r>
          </w:p>
        </w:tc>
      </w:tr>
      <w:tr>
        <w:trPr>
          <w:trHeight w:val="240" w:hRule="atLeast"/>
        </w:trPr>
        <w:tc>
          <w:tcPr>
            <w:tcW w:w="2488" w:type="dxa"/>
          </w:tcPr>
          <w:p>
            <w:pPr>
              <w:pStyle w:val="TableParagraph"/>
              <w:spacing w:line="207" w:lineRule="exact" w:before="12"/>
              <w:ind w:left="50"/>
              <w:rPr>
                <w:sz w:val="18"/>
              </w:rPr>
            </w:pPr>
            <w:r>
              <w:rPr>
                <w:color w:val="707172"/>
                <w:w w:val="120"/>
                <w:sz w:val="18"/>
              </w:rPr>
              <w:t>2 Martin Smith</w:t>
            </w:r>
          </w:p>
        </w:tc>
        <w:tc>
          <w:tcPr>
            <w:tcW w:w="2258" w:type="dxa"/>
          </w:tcPr>
          <w:p>
            <w:pPr>
              <w:pStyle w:val="TableParagraph"/>
              <w:spacing w:line="207" w:lineRule="exact" w:before="12"/>
              <w:ind w:left="215"/>
              <w:rPr>
                <w:sz w:val="18"/>
              </w:rPr>
            </w:pPr>
            <w:r>
              <w:rPr>
                <w:color w:val="707172"/>
                <w:w w:val="120"/>
                <w:sz w:val="18"/>
              </w:rPr>
              <w:t>7 Paul Whittle</w:t>
            </w:r>
          </w:p>
        </w:tc>
        <w:tc>
          <w:tcPr>
            <w:tcW w:w="3143" w:type="dxa"/>
          </w:tcPr>
          <w:p>
            <w:pPr>
              <w:pStyle w:val="TableParagraph"/>
              <w:spacing w:line="207" w:lineRule="exact" w:before="12"/>
              <w:ind w:left="117"/>
              <w:rPr>
                <w:sz w:val="18"/>
              </w:rPr>
            </w:pPr>
            <w:r>
              <w:rPr>
                <w:color w:val="707172"/>
                <w:w w:val="125"/>
                <w:sz w:val="18"/>
              </w:rPr>
              <w:t>12 Shelagh Pollard</w:t>
            </w:r>
          </w:p>
        </w:tc>
      </w:tr>
      <w:tr>
        <w:trPr>
          <w:trHeight w:val="240" w:hRule="atLeast"/>
        </w:trPr>
        <w:tc>
          <w:tcPr>
            <w:tcW w:w="2488" w:type="dxa"/>
          </w:tcPr>
          <w:p>
            <w:pPr>
              <w:pStyle w:val="TableParagraph"/>
              <w:spacing w:line="207" w:lineRule="exact" w:before="12"/>
              <w:ind w:left="50"/>
              <w:rPr>
                <w:sz w:val="18"/>
              </w:rPr>
            </w:pPr>
            <w:r>
              <w:rPr>
                <w:color w:val="707172"/>
                <w:w w:val="120"/>
                <w:sz w:val="18"/>
              </w:rPr>
              <w:t>3 Robert Shallcross</w:t>
            </w:r>
          </w:p>
        </w:tc>
        <w:tc>
          <w:tcPr>
            <w:tcW w:w="2258" w:type="dxa"/>
          </w:tcPr>
          <w:p>
            <w:pPr>
              <w:pStyle w:val="TableParagraph"/>
              <w:spacing w:line="207" w:lineRule="exact" w:before="12"/>
              <w:ind w:left="215"/>
              <w:rPr>
                <w:sz w:val="18"/>
              </w:rPr>
            </w:pPr>
            <w:r>
              <w:rPr>
                <w:color w:val="707172"/>
                <w:w w:val="125"/>
                <w:sz w:val="18"/>
              </w:rPr>
              <w:t>8 George Faris</w:t>
            </w:r>
          </w:p>
        </w:tc>
        <w:tc>
          <w:tcPr>
            <w:tcW w:w="3143" w:type="dxa"/>
          </w:tcPr>
          <w:p>
            <w:pPr>
              <w:pStyle w:val="TableParagraph"/>
              <w:spacing w:line="207" w:lineRule="exact" w:before="12"/>
              <w:ind w:left="117"/>
              <w:rPr>
                <w:sz w:val="18"/>
              </w:rPr>
            </w:pPr>
            <w:r>
              <w:rPr>
                <w:color w:val="707172"/>
                <w:w w:val="125"/>
                <w:sz w:val="18"/>
              </w:rPr>
              <w:t>13 Moira Donaldson</w:t>
            </w:r>
          </w:p>
        </w:tc>
      </w:tr>
      <w:tr>
        <w:trPr>
          <w:trHeight w:val="240" w:hRule="atLeast"/>
        </w:trPr>
        <w:tc>
          <w:tcPr>
            <w:tcW w:w="2488" w:type="dxa"/>
          </w:tcPr>
          <w:p>
            <w:pPr>
              <w:pStyle w:val="TableParagraph"/>
              <w:spacing w:line="207" w:lineRule="exact" w:before="12"/>
              <w:ind w:left="50"/>
              <w:rPr>
                <w:sz w:val="18"/>
              </w:rPr>
            </w:pPr>
            <w:r>
              <w:rPr>
                <w:color w:val="707172"/>
                <w:w w:val="125"/>
                <w:sz w:val="18"/>
              </w:rPr>
              <w:t>4 Chris Reed</w:t>
            </w:r>
          </w:p>
        </w:tc>
        <w:tc>
          <w:tcPr>
            <w:tcW w:w="2258" w:type="dxa"/>
          </w:tcPr>
          <w:p>
            <w:pPr>
              <w:pStyle w:val="TableParagraph"/>
              <w:spacing w:line="207" w:lineRule="exact" w:before="12"/>
              <w:ind w:left="215"/>
              <w:rPr>
                <w:sz w:val="18"/>
              </w:rPr>
            </w:pPr>
            <w:r>
              <w:rPr>
                <w:color w:val="707172"/>
                <w:w w:val="125"/>
                <w:sz w:val="18"/>
              </w:rPr>
              <w:t>9 Sue Brown</w:t>
            </w:r>
          </w:p>
        </w:tc>
        <w:tc>
          <w:tcPr>
            <w:tcW w:w="3143" w:type="dxa"/>
          </w:tcPr>
          <w:p>
            <w:pPr>
              <w:pStyle w:val="TableParagraph"/>
              <w:ind w:left="0"/>
              <w:rPr>
                <w:rFonts w:ascii="Times New Roman"/>
                <w:sz w:val="16"/>
              </w:rPr>
            </w:pPr>
          </w:p>
        </w:tc>
      </w:tr>
      <w:tr>
        <w:trPr>
          <w:trHeight w:val="279" w:hRule="atLeast"/>
        </w:trPr>
        <w:tc>
          <w:tcPr>
            <w:tcW w:w="2488" w:type="dxa"/>
          </w:tcPr>
          <w:p>
            <w:pPr>
              <w:pStyle w:val="TableParagraph"/>
              <w:spacing w:line="217" w:lineRule="exact" w:before="12"/>
              <w:ind w:left="50"/>
              <w:rPr>
                <w:sz w:val="18"/>
              </w:rPr>
            </w:pPr>
            <w:r>
              <w:rPr>
                <w:color w:val="707172"/>
                <w:w w:val="125"/>
                <w:sz w:val="18"/>
              </w:rPr>
              <w:t>5 Helen Lidgett</w:t>
            </w:r>
          </w:p>
        </w:tc>
        <w:tc>
          <w:tcPr>
            <w:tcW w:w="2258" w:type="dxa"/>
          </w:tcPr>
          <w:p>
            <w:pPr>
              <w:pStyle w:val="TableParagraph"/>
              <w:spacing w:line="217" w:lineRule="exact" w:before="12"/>
              <w:ind w:left="215"/>
              <w:rPr>
                <w:sz w:val="18"/>
              </w:rPr>
            </w:pPr>
            <w:r>
              <w:rPr>
                <w:color w:val="707172"/>
                <w:w w:val="125"/>
                <w:sz w:val="18"/>
              </w:rPr>
              <w:t>10 Simon Fairnington</w:t>
            </w:r>
          </w:p>
        </w:tc>
        <w:tc>
          <w:tcPr>
            <w:tcW w:w="3143" w:type="dxa"/>
          </w:tcPr>
          <w:p>
            <w:pPr>
              <w:pStyle w:val="TableParagraph"/>
              <w:ind w:left="0"/>
              <w:rPr>
                <w:rFonts w:ascii="Times New Roman"/>
                <w:sz w:val="20"/>
              </w:rPr>
            </w:pPr>
          </w:p>
        </w:tc>
      </w:tr>
    </w:tbl>
    <w:p>
      <w:pPr>
        <w:pStyle w:val="BodyText"/>
        <w:spacing w:before="5"/>
        <w:rPr>
          <w:sz w:val="17"/>
        </w:rPr>
      </w:pPr>
    </w:p>
    <w:p>
      <w:pPr>
        <w:spacing w:line="261" w:lineRule="auto" w:before="1"/>
        <w:ind w:left="834" w:right="2045" w:firstLine="0"/>
        <w:jc w:val="left"/>
        <w:rPr>
          <w:sz w:val="18"/>
        </w:rPr>
      </w:pPr>
      <w:r>
        <w:rPr>
          <w:color w:val="707172"/>
          <w:w w:val="120"/>
          <w:sz w:val="18"/>
        </w:rPr>
        <w:t>The General Secretary and a representative from the Assembly Moderators’ group are also members of the nominations committee.</w:t>
      </w:r>
    </w:p>
    <w:p>
      <w:pPr>
        <w:pStyle w:val="BodyText"/>
        <w:rPr>
          <w:sz w:val="22"/>
        </w:rPr>
      </w:pPr>
    </w:p>
    <w:p>
      <w:pPr>
        <w:pStyle w:val="BodyText"/>
        <w:spacing w:before="6"/>
        <w:rPr>
          <w:sz w:val="18"/>
        </w:rPr>
      </w:pPr>
    </w:p>
    <w:p>
      <w:pPr>
        <w:spacing w:before="0"/>
        <w:ind w:left="607" w:right="0" w:firstLine="0"/>
        <w:jc w:val="left"/>
        <w:rPr>
          <w:rFonts w:ascii="Stone Sans II ITC Std Bk"/>
          <w:b/>
          <w:sz w:val="29"/>
        </w:rPr>
      </w:pPr>
      <w:r>
        <w:rPr>
          <w:rFonts w:ascii="Stone Sans II ITC Std Bk"/>
          <w:b/>
          <w:w w:val="110"/>
          <w:sz w:val="29"/>
        </w:rPr>
        <w:t>Current work</w:t>
      </w:r>
    </w:p>
    <w:p>
      <w:pPr>
        <w:pStyle w:val="ListParagraph"/>
        <w:numPr>
          <w:ilvl w:val="1"/>
          <w:numId w:val="229"/>
        </w:numPr>
        <w:tabs>
          <w:tab w:pos="1287" w:val="left" w:leader="none"/>
          <w:tab w:pos="1288" w:val="left" w:leader="none"/>
        </w:tabs>
        <w:spacing w:line="235" w:lineRule="auto" w:before="69" w:after="0"/>
        <w:ind w:left="607" w:right="2039" w:firstLine="0"/>
        <w:jc w:val="left"/>
        <w:rPr>
          <w:sz w:val="20"/>
        </w:rPr>
      </w:pPr>
      <w:r>
        <w:rPr>
          <w:w w:val="120"/>
          <w:sz w:val="20"/>
        </w:rPr>
        <w:t>The main activity of the committee is routine, but in its own way demanding.  The committee depends on the </w:t>
      </w:r>
      <w:r>
        <w:rPr>
          <w:spacing w:val="2"/>
          <w:w w:val="120"/>
          <w:sz w:val="20"/>
        </w:rPr>
        <w:t>gifts </w:t>
      </w:r>
      <w:r>
        <w:rPr>
          <w:w w:val="120"/>
          <w:sz w:val="20"/>
        </w:rPr>
        <w:t>and the goodwill of members of the Church to maintain the work of all Assembly committees and working groups; but the nomination committee have the responsibility of ensuring that invitations are issued that may result in balanced committees where every member contributes to the work of the</w:t>
      </w:r>
      <w:r>
        <w:rPr>
          <w:spacing w:val="34"/>
          <w:w w:val="120"/>
          <w:sz w:val="20"/>
        </w:rPr>
        <w:t> </w:t>
      </w:r>
      <w:r>
        <w:rPr>
          <w:w w:val="120"/>
          <w:sz w:val="20"/>
        </w:rPr>
        <w:t>whole.</w:t>
      </w:r>
    </w:p>
    <w:p>
      <w:pPr>
        <w:pStyle w:val="BodyText"/>
        <w:spacing w:before="12"/>
        <w:rPr>
          <w:sz w:val="19"/>
        </w:rPr>
      </w:pPr>
    </w:p>
    <w:p>
      <w:pPr>
        <w:pStyle w:val="ListParagraph"/>
        <w:numPr>
          <w:ilvl w:val="1"/>
          <w:numId w:val="229"/>
        </w:numPr>
        <w:tabs>
          <w:tab w:pos="1287" w:val="left" w:leader="none"/>
          <w:tab w:pos="1288" w:val="left" w:leader="none"/>
        </w:tabs>
        <w:spacing w:line="235" w:lineRule="auto" w:before="0" w:after="0"/>
        <w:ind w:left="607" w:right="2325" w:firstLine="0"/>
        <w:jc w:val="left"/>
        <w:rPr>
          <w:sz w:val="20"/>
        </w:rPr>
      </w:pPr>
      <w:r>
        <w:rPr>
          <w:w w:val="120"/>
          <w:sz w:val="20"/>
        </w:rPr>
        <w:t>Synod representative members encourage the churches and committees of their own synods to respond to the annual letter </w:t>
      </w:r>
      <w:r>
        <w:rPr>
          <w:spacing w:val="-4"/>
          <w:w w:val="120"/>
          <w:sz w:val="20"/>
        </w:rPr>
        <w:t>(sent </w:t>
      </w:r>
      <w:r>
        <w:rPr>
          <w:w w:val="120"/>
          <w:sz w:val="20"/>
        </w:rPr>
        <w:t>out in early summer) which lists forthcoming vacancies, and asks for suggested nominees. Other committees are welcome to make suggestions where appropriate, recognising that often they have the clearest understanding of their own needs. </w:t>
      </w:r>
      <w:r>
        <w:rPr>
          <w:spacing w:val="-7"/>
          <w:w w:val="120"/>
          <w:sz w:val="20"/>
        </w:rPr>
        <w:t>To </w:t>
      </w:r>
      <w:r>
        <w:rPr>
          <w:w w:val="120"/>
          <w:sz w:val="20"/>
        </w:rPr>
        <w:t>keep a healthy balance between continuity and ‘new </w:t>
      </w:r>
      <w:r>
        <w:rPr>
          <w:spacing w:val="-3"/>
          <w:w w:val="120"/>
          <w:sz w:val="20"/>
        </w:rPr>
        <w:t>blood’, </w:t>
      </w:r>
      <w:r>
        <w:rPr>
          <w:w w:val="120"/>
          <w:sz w:val="20"/>
        </w:rPr>
        <w:t>and between established expertise and untested enthusiasm, is not always easy; and there is also the more obvious balance to be</w:t>
      </w:r>
    </w:p>
    <w:p>
      <w:pPr>
        <w:pStyle w:val="BodyText"/>
        <w:spacing w:line="235" w:lineRule="auto" w:before="5"/>
        <w:ind w:left="607" w:right="2055"/>
      </w:pPr>
      <w:r>
        <w:rPr>
          <w:w w:val="120"/>
        </w:rPr>
        <w:t>achieved between lay and ordained, and male and female, but this can be lost through the refusal of first choice nominees. However, the committee remains deeply grateful for the number of names that are received, and for the extent to which members of local churches still feel able to accept invitations and contribute in this way to the life of the Church.</w:t>
      </w:r>
    </w:p>
    <w:p>
      <w:pPr>
        <w:pStyle w:val="BodyText"/>
        <w:spacing w:before="12"/>
        <w:rPr>
          <w:sz w:val="19"/>
        </w:rPr>
      </w:pPr>
    </w:p>
    <w:p>
      <w:pPr>
        <w:pStyle w:val="ListParagraph"/>
        <w:numPr>
          <w:ilvl w:val="1"/>
          <w:numId w:val="229"/>
        </w:numPr>
        <w:tabs>
          <w:tab w:pos="1287" w:val="left" w:leader="none"/>
          <w:tab w:pos="1288" w:val="left" w:leader="none"/>
        </w:tabs>
        <w:spacing w:line="235" w:lineRule="auto" w:before="0" w:after="0"/>
        <w:ind w:left="607" w:right="2091" w:firstLine="0"/>
        <w:jc w:val="left"/>
        <w:rPr>
          <w:sz w:val="20"/>
        </w:rPr>
      </w:pPr>
      <w:r>
        <w:rPr>
          <w:w w:val="120"/>
          <w:sz w:val="20"/>
        </w:rPr>
        <w:t>As </w:t>
      </w:r>
      <w:r>
        <w:rPr>
          <w:spacing w:val="-3"/>
          <w:w w:val="120"/>
          <w:sz w:val="20"/>
        </w:rPr>
        <w:t>well </w:t>
      </w:r>
      <w:r>
        <w:rPr>
          <w:w w:val="120"/>
          <w:sz w:val="20"/>
        </w:rPr>
        <w:t>as </w:t>
      </w:r>
      <w:r>
        <w:rPr>
          <w:spacing w:val="-3"/>
          <w:w w:val="120"/>
          <w:sz w:val="20"/>
        </w:rPr>
        <w:t>nominating committee </w:t>
      </w:r>
      <w:r>
        <w:rPr>
          <w:w w:val="120"/>
          <w:sz w:val="20"/>
        </w:rPr>
        <w:t>members there is also the responsibility for the membership</w:t>
      </w:r>
      <w:r>
        <w:rPr>
          <w:spacing w:val="-6"/>
          <w:w w:val="120"/>
          <w:sz w:val="20"/>
        </w:rPr>
        <w:t> </w:t>
      </w:r>
      <w:r>
        <w:rPr>
          <w:w w:val="120"/>
          <w:sz w:val="20"/>
        </w:rPr>
        <w:t>of</w:t>
      </w:r>
      <w:r>
        <w:rPr>
          <w:spacing w:val="-6"/>
          <w:w w:val="120"/>
          <w:sz w:val="20"/>
        </w:rPr>
        <w:t> </w:t>
      </w:r>
      <w:r>
        <w:rPr>
          <w:w w:val="120"/>
          <w:sz w:val="20"/>
        </w:rPr>
        <w:t>General</w:t>
      </w:r>
      <w:r>
        <w:rPr>
          <w:spacing w:val="-6"/>
          <w:w w:val="120"/>
          <w:sz w:val="20"/>
        </w:rPr>
        <w:t> </w:t>
      </w:r>
      <w:r>
        <w:rPr>
          <w:w w:val="120"/>
          <w:sz w:val="20"/>
        </w:rPr>
        <w:t>Assembly</w:t>
      </w:r>
      <w:r>
        <w:rPr>
          <w:spacing w:val="-6"/>
          <w:w w:val="120"/>
          <w:sz w:val="20"/>
        </w:rPr>
        <w:t> </w:t>
      </w:r>
      <w:r>
        <w:rPr>
          <w:w w:val="120"/>
          <w:sz w:val="20"/>
        </w:rPr>
        <w:t>panels,</w:t>
      </w:r>
      <w:r>
        <w:rPr>
          <w:spacing w:val="-6"/>
          <w:w w:val="120"/>
          <w:sz w:val="20"/>
        </w:rPr>
        <w:t> </w:t>
      </w:r>
      <w:r>
        <w:rPr>
          <w:w w:val="120"/>
          <w:sz w:val="20"/>
        </w:rPr>
        <w:t>and</w:t>
      </w:r>
      <w:r>
        <w:rPr>
          <w:spacing w:val="-6"/>
          <w:w w:val="120"/>
          <w:sz w:val="20"/>
        </w:rPr>
        <w:t> </w:t>
      </w:r>
      <w:r>
        <w:rPr>
          <w:w w:val="120"/>
          <w:sz w:val="20"/>
        </w:rPr>
        <w:t>for</w:t>
      </w:r>
      <w:r>
        <w:rPr>
          <w:spacing w:val="-6"/>
          <w:w w:val="120"/>
          <w:sz w:val="20"/>
        </w:rPr>
        <w:t> </w:t>
      </w:r>
      <w:r>
        <w:rPr>
          <w:w w:val="120"/>
          <w:sz w:val="20"/>
        </w:rPr>
        <w:t>ensuring</w:t>
      </w:r>
      <w:r>
        <w:rPr>
          <w:spacing w:val="-6"/>
          <w:w w:val="120"/>
          <w:sz w:val="20"/>
        </w:rPr>
        <w:t> </w:t>
      </w:r>
      <w:r>
        <w:rPr>
          <w:w w:val="120"/>
          <w:sz w:val="20"/>
        </w:rPr>
        <w:t>that</w:t>
      </w:r>
      <w:r>
        <w:rPr>
          <w:spacing w:val="-6"/>
          <w:w w:val="120"/>
          <w:sz w:val="20"/>
        </w:rPr>
        <w:t> </w:t>
      </w:r>
      <w:r>
        <w:rPr>
          <w:spacing w:val="-3"/>
          <w:w w:val="120"/>
          <w:sz w:val="20"/>
        </w:rPr>
        <w:t>United</w:t>
      </w:r>
      <w:r>
        <w:rPr>
          <w:spacing w:val="-6"/>
          <w:w w:val="120"/>
          <w:sz w:val="20"/>
        </w:rPr>
        <w:t> </w:t>
      </w:r>
      <w:r>
        <w:rPr>
          <w:w w:val="120"/>
          <w:sz w:val="20"/>
        </w:rPr>
        <w:t>Reformed</w:t>
      </w:r>
      <w:r>
        <w:rPr>
          <w:spacing w:val="-6"/>
          <w:w w:val="120"/>
          <w:sz w:val="20"/>
        </w:rPr>
        <w:t> </w:t>
      </w:r>
      <w:r>
        <w:rPr>
          <w:spacing w:val="-3"/>
          <w:w w:val="120"/>
          <w:sz w:val="20"/>
        </w:rPr>
        <w:t>Church </w:t>
      </w:r>
      <w:r>
        <w:rPr>
          <w:w w:val="120"/>
          <w:sz w:val="20"/>
        </w:rPr>
        <w:t>representation on outside bodies is maintained. The last section of </w:t>
      </w:r>
      <w:r>
        <w:rPr>
          <w:spacing w:val="-3"/>
          <w:w w:val="120"/>
          <w:sz w:val="20"/>
        </w:rPr>
        <w:t>this </w:t>
      </w:r>
      <w:r>
        <w:rPr>
          <w:w w:val="120"/>
          <w:sz w:val="20"/>
        </w:rPr>
        <w:t>report </w:t>
      </w:r>
      <w:r>
        <w:rPr>
          <w:spacing w:val="-3"/>
          <w:w w:val="120"/>
          <w:sz w:val="20"/>
        </w:rPr>
        <w:t>indicates </w:t>
      </w:r>
      <w:r>
        <w:rPr>
          <w:w w:val="120"/>
          <w:sz w:val="20"/>
        </w:rPr>
        <w:t>the</w:t>
      </w:r>
      <w:r>
        <w:rPr>
          <w:spacing w:val="-10"/>
          <w:w w:val="120"/>
          <w:sz w:val="20"/>
        </w:rPr>
        <w:t> </w:t>
      </w:r>
      <w:r>
        <w:rPr>
          <w:spacing w:val="-3"/>
          <w:w w:val="120"/>
          <w:sz w:val="20"/>
        </w:rPr>
        <w:t>scope</w:t>
      </w:r>
      <w:r>
        <w:rPr>
          <w:spacing w:val="-10"/>
          <w:w w:val="120"/>
          <w:sz w:val="20"/>
        </w:rPr>
        <w:t> </w:t>
      </w:r>
      <w:r>
        <w:rPr>
          <w:w w:val="120"/>
          <w:sz w:val="20"/>
        </w:rPr>
        <w:t>of</w:t>
      </w:r>
      <w:r>
        <w:rPr>
          <w:spacing w:val="-10"/>
          <w:w w:val="120"/>
          <w:sz w:val="20"/>
        </w:rPr>
        <w:t> </w:t>
      </w:r>
      <w:r>
        <w:rPr>
          <w:w w:val="120"/>
          <w:sz w:val="20"/>
        </w:rPr>
        <w:t>the</w:t>
      </w:r>
      <w:r>
        <w:rPr>
          <w:spacing w:val="-9"/>
          <w:w w:val="120"/>
          <w:sz w:val="20"/>
        </w:rPr>
        <w:t> </w:t>
      </w:r>
      <w:r>
        <w:rPr>
          <w:w w:val="120"/>
          <w:sz w:val="20"/>
        </w:rPr>
        <w:t>task:</w:t>
      </w:r>
      <w:r>
        <w:rPr>
          <w:spacing w:val="-10"/>
          <w:w w:val="120"/>
          <w:sz w:val="20"/>
        </w:rPr>
        <w:t> </w:t>
      </w:r>
      <w:r>
        <w:rPr>
          <w:w w:val="120"/>
          <w:sz w:val="20"/>
        </w:rPr>
        <w:t>and</w:t>
      </w:r>
      <w:r>
        <w:rPr>
          <w:spacing w:val="-10"/>
          <w:w w:val="120"/>
          <w:sz w:val="20"/>
        </w:rPr>
        <w:t> </w:t>
      </w:r>
      <w:r>
        <w:rPr>
          <w:spacing w:val="-3"/>
          <w:w w:val="120"/>
          <w:sz w:val="20"/>
        </w:rPr>
        <w:t>even</w:t>
      </w:r>
      <w:r>
        <w:rPr>
          <w:spacing w:val="-9"/>
          <w:w w:val="120"/>
          <w:sz w:val="20"/>
        </w:rPr>
        <w:t> </w:t>
      </w:r>
      <w:r>
        <w:rPr>
          <w:w w:val="120"/>
          <w:sz w:val="20"/>
        </w:rPr>
        <w:t>where</w:t>
      </w:r>
      <w:r>
        <w:rPr>
          <w:spacing w:val="-10"/>
          <w:w w:val="120"/>
          <w:sz w:val="20"/>
        </w:rPr>
        <w:t> </w:t>
      </w:r>
      <w:r>
        <w:rPr>
          <w:w w:val="120"/>
          <w:sz w:val="20"/>
        </w:rPr>
        <w:t>the</w:t>
      </w:r>
      <w:r>
        <w:rPr>
          <w:spacing w:val="-10"/>
          <w:w w:val="120"/>
          <w:sz w:val="20"/>
        </w:rPr>
        <w:t> </w:t>
      </w:r>
      <w:r>
        <w:rPr>
          <w:w w:val="120"/>
          <w:sz w:val="20"/>
        </w:rPr>
        <w:t>responsibility</w:t>
      </w:r>
      <w:r>
        <w:rPr>
          <w:spacing w:val="-9"/>
          <w:w w:val="120"/>
          <w:sz w:val="20"/>
        </w:rPr>
        <w:t> </w:t>
      </w:r>
      <w:r>
        <w:rPr>
          <w:w w:val="120"/>
          <w:sz w:val="20"/>
        </w:rPr>
        <w:t>for</w:t>
      </w:r>
      <w:r>
        <w:rPr>
          <w:spacing w:val="-10"/>
          <w:w w:val="120"/>
          <w:sz w:val="20"/>
        </w:rPr>
        <w:t> </w:t>
      </w:r>
      <w:r>
        <w:rPr>
          <w:w w:val="120"/>
          <w:sz w:val="20"/>
        </w:rPr>
        <w:t>some</w:t>
      </w:r>
      <w:r>
        <w:rPr>
          <w:spacing w:val="-10"/>
          <w:w w:val="120"/>
          <w:sz w:val="20"/>
        </w:rPr>
        <w:t> </w:t>
      </w:r>
      <w:r>
        <w:rPr>
          <w:w w:val="120"/>
          <w:sz w:val="20"/>
        </w:rPr>
        <w:t>of</w:t>
      </w:r>
      <w:r>
        <w:rPr>
          <w:spacing w:val="-9"/>
          <w:w w:val="120"/>
          <w:sz w:val="20"/>
        </w:rPr>
        <w:t> </w:t>
      </w:r>
      <w:r>
        <w:rPr>
          <w:w w:val="120"/>
          <w:sz w:val="20"/>
        </w:rPr>
        <w:t>these</w:t>
      </w:r>
      <w:r>
        <w:rPr>
          <w:spacing w:val="-10"/>
          <w:w w:val="120"/>
          <w:sz w:val="20"/>
        </w:rPr>
        <w:t> </w:t>
      </w:r>
      <w:r>
        <w:rPr>
          <w:w w:val="120"/>
          <w:sz w:val="20"/>
        </w:rPr>
        <w:t>appointments lies with others, the </w:t>
      </w:r>
      <w:r>
        <w:rPr>
          <w:spacing w:val="-3"/>
          <w:w w:val="120"/>
          <w:sz w:val="20"/>
        </w:rPr>
        <w:t>committee </w:t>
      </w:r>
      <w:r>
        <w:rPr>
          <w:w w:val="120"/>
          <w:sz w:val="20"/>
        </w:rPr>
        <w:t>is keen </w:t>
      </w:r>
      <w:r>
        <w:rPr>
          <w:spacing w:val="-3"/>
          <w:w w:val="120"/>
          <w:sz w:val="20"/>
        </w:rPr>
        <w:t>to </w:t>
      </w:r>
      <w:r>
        <w:rPr>
          <w:w w:val="120"/>
          <w:sz w:val="20"/>
        </w:rPr>
        <w:t>maintain an up-to-date database of all who serve in </w:t>
      </w:r>
      <w:r>
        <w:rPr>
          <w:spacing w:val="-3"/>
          <w:w w:val="120"/>
          <w:sz w:val="20"/>
        </w:rPr>
        <w:t>this </w:t>
      </w:r>
      <w:r>
        <w:rPr>
          <w:spacing w:val="-6"/>
          <w:w w:val="120"/>
          <w:sz w:val="20"/>
        </w:rPr>
        <w:t>way, </w:t>
      </w:r>
      <w:r>
        <w:rPr>
          <w:w w:val="120"/>
          <w:sz w:val="20"/>
        </w:rPr>
        <w:t>in order that the load </w:t>
      </w:r>
      <w:r>
        <w:rPr>
          <w:spacing w:val="-3"/>
          <w:w w:val="120"/>
          <w:sz w:val="20"/>
        </w:rPr>
        <w:t>may </w:t>
      </w:r>
      <w:r>
        <w:rPr>
          <w:w w:val="120"/>
          <w:sz w:val="20"/>
        </w:rPr>
        <w:t>be seen </w:t>
      </w:r>
      <w:r>
        <w:rPr>
          <w:spacing w:val="-3"/>
          <w:w w:val="120"/>
          <w:sz w:val="20"/>
        </w:rPr>
        <w:t>to </w:t>
      </w:r>
      <w:r>
        <w:rPr>
          <w:w w:val="120"/>
          <w:sz w:val="20"/>
        </w:rPr>
        <w:t>be fairly</w:t>
      </w:r>
      <w:r>
        <w:rPr>
          <w:spacing w:val="-39"/>
          <w:w w:val="120"/>
          <w:sz w:val="20"/>
        </w:rPr>
        <w:t> </w:t>
      </w:r>
      <w:r>
        <w:rPr>
          <w:w w:val="120"/>
          <w:sz w:val="20"/>
        </w:rPr>
        <w:t>shared.</w:t>
      </w:r>
    </w:p>
    <w:p>
      <w:pPr>
        <w:pStyle w:val="BodyText"/>
        <w:spacing w:before="5"/>
        <w:rPr>
          <w:sz w:val="22"/>
        </w:rPr>
      </w:pPr>
    </w:p>
    <w:p>
      <w:pPr>
        <w:spacing w:before="0"/>
        <w:ind w:left="607" w:right="0" w:firstLine="0"/>
        <w:jc w:val="left"/>
        <w:rPr>
          <w:rFonts w:ascii="Stone Sans II ITC Std Bk"/>
          <w:b/>
          <w:sz w:val="29"/>
        </w:rPr>
      </w:pPr>
      <w:r>
        <w:rPr>
          <w:rFonts w:ascii="Stone Sans II ITC Std Bk"/>
          <w:b/>
          <w:w w:val="110"/>
          <w:sz w:val="29"/>
        </w:rPr>
        <w:t>Monitoring</w:t>
      </w:r>
    </w:p>
    <w:p>
      <w:pPr>
        <w:pStyle w:val="BodyText"/>
        <w:tabs>
          <w:tab w:pos="1287" w:val="left" w:leader="none"/>
        </w:tabs>
        <w:spacing w:line="235" w:lineRule="auto" w:before="69"/>
        <w:ind w:left="607" w:right="2085"/>
      </w:pPr>
      <w:r>
        <w:rPr>
          <w:spacing w:val="-9"/>
          <w:w w:val="120"/>
        </w:rPr>
        <w:t>2.1.</w:t>
        <w:tab/>
      </w:r>
      <w:r>
        <w:rPr>
          <w:spacing w:val="-7"/>
          <w:w w:val="120"/>
        </w:rPr>
        <w:t>To </w:t>
      </w:r>
      <w:r>
        <w:rPr>
          <w:w w:val="120"/>
        </w:rPr>
        <w:t>help in maintaining balance in all the </w:t>
      </w:r>
      <w:r>
        <w:rPr>
          <w:spacing w:val="-3"/>
          <w:w w:val="120"/>
        </w:rPr>
        <w:t>Church’s </w:t>
      </w:r>
      <w:r>
        <w:rPr>
          <w:w w:val="120"/>
        </w:rPr>
        <w:t>committees and working groups the responses of all those who receive invitations continue to be monitored and this information is shared with the equalities committee. Important as this monitoring process is, there is a warning to be heeded against reading too much into trends detected in so small a</w:t>
      </w:r>
      <w:r>
        <w:rPr>
          <w:spacing w:val="9"/>
          <w:w w:val="120"/>
        </w:rPr>
        <w:t> </w:t>
      </w:r>
      <w:r>
        <w:rPr>
          <w:w w:val="120"/>
        </w:rPr>
        <w:t>sample.</w:t>
      </w:r>
    </w:p>
    <w:p>
      <w:pPr>
        <w:pStyle w:val="BodyText"/>
        <w:spacing w:before="11"/>
        <w:rPr>
          <w:sz w:val="19"/>
        </w:rPr>
      </w:pPr>
    </w:p>
    <w:p>
      <w:pPr>
        <w:pStyle w:val="ListParagraph"/>
        <w:numPr>
          <w:ilvl w:val="1"/>
          <w:numId w:val="230"/>
        </w:numPr>
        <w:tabs>
          <w:tab w:pos="1287" w:val="left" w:leader="none"/>
          <w:tab w:pos="1288" w:val="left" w:leader="none"/>
        </w:tabs>
        <w:spacing w:line="235" w:lineRule="auto" w:before="1" w:after="0"/>
        <w:ind w:left="607" w:right="2144" w:firstLine="0"/>
        <w:jc w:val="left"/>
        <w:rPr>
          <w:sz w:val="20"/>
        </w:rPr>
      </w:pPr>
      <w:r>
        <w:rPr>
          <w:w w:val="120"/>
          <w:sz w:val="20"/>
        </w:rPr>
        <w:t>In </w:t>
      </w:r>
      <w:r>
        <w:rPr>
          <w:spacing w:val="2"/>
          <w:w w:val="120"/>
          <w:sz w:val="20"/>
        </w:rPr>
        <w:t>fact </w:t>
      </w:r>
      <w:r>
        <w:rPr>
          <w:w w:val="120"/>
          <w:sz w:val="20"/>
        </w:rPr>
        <w:t>most of these observations closely follow those made in the </w:t>
      </w:r>
      <w:r>
        <w:rPr>
          <w:spacing w:val="-7"/>
          <w:w w:val="120"/>
          <w:sz w:val="20"/>
        </w:rPr>
        <w:t>2014 </w:t>
      </w:r>
      <w:r>
        <w:rPr>
          <w:w w:val="120"/>
          <w:sz w:val="20"/>
        </w:rPr>
        <w:t>report: no new trends are</w:t>
      </w:r>
      <w:r>
        <w:rPr>
          <w:spacing w:val="7"/>
          <w:w w:val="120"/>
          <w:sz w:val="20"/>
        </w:rPr>
        <w:t> </w:t>
      </w:r>
      <w:r>
        <w:rPr>
          <w:w w:val="120"/>
          <w:sz w:val="20"/>
        </w:rPr>
        <w:t>apparent.</w:t>
      </w:r>
    </w:p>
    <w:p>
      <w:pPr>
        <w:spacing w:after="0" w:line="235" w:lineRule="auto"/>
        <w:jc w:val="left"/>
        <w:rPr>
          <w:sz w:val="20"/>
        </w:rPr>
        <w:sectPr>
          <w:headerReference w:type="even" r:id="rId534"/>
          <w:footerReference w:type="even" r:id="rId535"/>
          <w:footerReference w:type="default" r:id="rId536"/>
          <w:pgSz w:w="11910" w:h="16840"/>
          <w:pgMar w:header="0" w:footer="647" w:top="0" w:bottom="840" w:left="640" w:right="0"/>
          <w:pgNumType w:start="200"/>
        </w:sectPr>
      </w:pPr>
    </w:p>
    <w:p>
      <w:pPr>
        <w:pStyle w:val="BodyText"/>
      </w:pPr>
      <w:r>
        <w:rPr/>
        <w:drawing>
          <wp:anchor distT="0" distB="0" distL="0" distR="0" allowOverlap="1" layoutInCell="1" locked="0" behindDoc="0" simplePos="0" relativeHeight="252197888">
            <wp:simplePos x="0" y="0"/>
            <wp:positionH relativeFrom="page">
              <wp:posOffset>6974928</wp:posOffset>
            </wp:positionH>
            <wp:positionV relativeFrom="page">
              <wp:posOffset>0</wp:posOffset>
            </wp:positionV>
            <wp:extent cx="585063" cy="10692003"/>
            <wp:effectExtent l="0" t="0" r="0" b="0"/>
            <wp:wrapNone/>
            <wp:docPr id="383" name="image70.png"/>
            <wp:cNvGraphicFramePr>
              <a:graphicFrameLocks noChangeAspect="1"/>
            </wp:cNvGraphicFramePr>
            <a:graphic>
              <a:graphicData uri="http://schemas.openxmlformats.org/drawingml/2006/picture">
                <pic:pic>
                  <pic:nvPicPr>
                    <pic:cNvPr id="384" name="image70.png"/>
                    <pic:cNvPicPr/>
                  </pic:nvPicPr>
                  <pic:blipFill>
                    <a:blip r:embed="rId532" cstate="print"/>
                    <a:stretch>
                      <a:fillRect/>
                    </a:stretch>
                  </pic:blipFill>
                  <pic:spPr>
                    <a:xfrm>
                      <a:off x="0" y="0"/>
                      <a:ext cx="585063" cy="10692003"/>
                    </a:xfrm>
                    <a:prstGeom prst="rect">
                      <a:avLst/>
                    </a:prstGeom>
                  </pic:spPr>
                </pic:pic>
              </a:graphicData>
            </a:graphic>
          </wp:anchor>
        </w:drawing>
      </w:r>
    </w:p>
    <w:p>
      <w:pPr>
        <w:pStyle w:val="BodyText"/>
        <w:spacing w:before="7"/>
        <w:rPr>
          <w:sz w:val="21"/>
        </w:rPr>
      </w:pPr>
    </w:p>
    <w:p>
      <w:pPr>
        <w:pStyle w:val="Heading1"/>
        <w:ind w:left="0" w:right="1245"/>
        <w:jc w:val="right"/>
      </w:pPr>
      <w:r>
        <w:rPr/>
        <w:pict>
          <v:shape style="position:absolute;margin-left:554.141174pt;margin-top:22.593945pt;width:25.9pt;height:131.3pt;mso-position-horizontal-relative:page;mso-position-vertical-relative:paragraph;z-index:252198912" type="#_x0000_t202" filled="false" stroked="false">
            <v:textbox inset="0,0,0,0" style="layout-flow:vertical">
              <w:txbxContent>
                <w:p>
                  <w:pPr>
                    <w:spacing w:before="27"/>
                    <w:ind w:left="20" w:right="0" w:firstLine="0"/>
                    <w:jc w:val="left"/>
                    <w:rPr>
                      <w:sz w:val="39"/>
                    </w:rPr>
                  </w:pPr>
                  <w:r>
                    <w:rPr>
                      <w:color w:val="FFFFFF"/>
                      <w:w w:val="120"/>
                      <w:sz w:val="39"/>
                    </w:rPr>
                    <w:t>Nominations</w:t>
                  </w:r>
                </w:p>
              </w:txbxContent>
            </v:textbox>
            <w10:wrap type="none"/>
          </v:shape>
        </w:pict>
      </w:r>
      <w:bookmarkStart w:name="_TOC_250003" w:id="23"/>
      <w:bookmarkEnd w:id="23"/>
      <w:r>
        <w:rPr>
          <w:color w:val="7EAABF"/>
          <w:w w:val="115"/>
        </w:rPr>
        <w:t>Nominations</w:t>
      </w:r>
    </w:p>
    <w:p>
      <w:pPr>
        <w:pStyle w:val="BodyText"/>
        <w:spacing w:line="235" w:lineRule="auto" w:before="222"/>
        <w:ind w:left="1344" w:right="1478"/>
      </w:pPr>
      <w:r>
        <w:rPr>
          <w:w w:val="120"/>
        </w:rPr>
        <w:t>Across those committees whose members are appointed through the involvement of nominations committee, at September 2015 membership was 56% male ordained and 44% female ordained and 47% lay male and 53% lay female.</w:t>
      </w:r>
    </w:p>
    <w:p>
      <w:pPr>
        <w:pStyle w:val="BodyText"/>
        <w:spacing w:before="10"/>
        <w:rPr>
          <w:sz w:val="19"/>
        </w:rPr>
      </w:pPr>
    </w:p>
    <w:p>
      <w:pPr>
        <w:pStyle w:val="ListParagraph"/>
        <w:numPr>
          <w:ilvl w:val="1"/>
          <w:numId w:val="230"/>
        </w:numPr>
        <w:tabs>
          <w:tab w:pos="2024" w:val="left" w:leader="none"/>
          <w:tab w:pos="2025" w:val="left" w:leader="none"/>
        </w:tabs>
        <w:spacing w:line="235" w:lineRule="auto" w:before="0" w:after="0"/>
        <w:ind w:left="1344" w:right="2063" w:firstLine="0"/>
        <w:jc w:val="left"/>
        <w:rPr>
          <w:sz w:val="20"/>
        </w:rPr>
      </w:pPr>
      <w:r>
        <w:rPr>
          <w:w w:val="120"/>
          <w:sz w:val="20"/>
        </w:rPr>
        <w:t>We have again been grateful to the Secretary for Global and Intercultural Ministries for helping to identify a number of BME (black and minority </w:t>
      </w:r>
      <w:r>
        <w:rPr>
          <w:spacing w:val="-3"/>
          <w:w w:val="120"/>
          <w:sz w:val="20"/>
        </w:rPr>
        <w:t>ethnic) </w:t>
      </w:r>
      <w:r>
        <w:rPr>
          <w:w w:val="120"/>
          <w:sz w:val="20"/>
        </w:rPr>
        <w:t>members, four of whom have accepted</w:t>
      </w:r>
      <w:r>
        <w:rPr>
          <w:spacing w:val="11"/>
          <w:w w:val="120"/>
          <w:sz w:val="20"/>
        </w:rPr>
        <w:t> </w:t>
      </w:r>
      <w:r>
        <w:rPr>
          <w:w w:val="120"/>
          <w:sz w:val="20"/>
        </w:rPr>
        <w:t>invitations.</w:t>
      </w:r>
    </w:p>
    <w:p>
      <w:pPr>
        <w:pStyle w:val="BodyText"/>
        <w:spacing w:before="10"/>
        <w:rPr>
          <w:sz w:val="19"/>
        </w:rPr>
      </w:pPr>
    </w:p>
    <w:p>
      <w:pPr>
        <w:pStyle w:val="ListParagraph"/>
        <w:numPr>
          <w:ilvl w:val="1"/>
          <w:numId w:val="230"/>
        </w:numPr>
        <w:tabs>
          <w:tab w:pos="2024" w:val="left" w:leader="none"/>
          <w:tab w:pos="2025" w:val="left" w:leader="none"/>
        </w:tabs>
        <w:spacing w:line="235" w:lineRule="auto" w:before="0" w:after="0"/>
        <w:ind w:left="1344" w:right="1556" w:firstLine="0"/>
        <w:jc w:val="left"/>
        <w:rPr>
          <w:sz w:val="20"/>
        </w:rPr>
      </w:pPr>
      <w:r>
        <w:rPr>
          <w:w w:val="120"/>
          <w:sz w:val="20"/>
        </w:rPr>
        <w:t>From those who accepted invitations and indicated their age bracket it is clear that there is a need for concern about the age profile of those who are invited. It appears that there are many more who are over </w:t>
      </w:r>
      <w:r>
        <w:rPr>
          <w:spacing w:val="-4"/>
          <w:w w:val="120"/>
          <w:sz w:val="20"/>
        </w:rPr>
        <w:t>55 </w:t>
      </w:r>
      <w:r>
        <w:rPr>
          <w:w w:val="120"/>
          <w:sz w:val="20"/>
        </w:rPr>
        <w:t>years, reflecting the our lack of success in even identifying younger people who might be</w:t>
      </w:r>
      <w:r>
        <w:rPr>
          <w:spacing w:val="53"/>
          <w:w w:val="120"/>
          <w:sz w:val="20"/>
        </w:rPr>
        <w:t> </w:t>
      </w:r>
      <w:r>
        <w:rPr>
          <w:w w:val="120"/>
          <w:sz w:val="20"/>
        </w:rPr>
        <w:t>approached.</w:t>
      </w:r>
    </w:p>
    <w:p>
      <w:pPr>
        <w:pStyle w:val="BodyText"/>
        <w:spacing w:before="11"/>
        <w:rPr>
          <w:sz w:val="19"/>
        </w:rPr>
      </w:pPr>
    </w:p>
    <w:p>
      <w:pPr>
        <w:pStyle w:val="ListParagraph"/>
        <w:numPr>
          <w:ilvl w:val="1"/>
          <w:numId w:val="230"/>
        </w:numPr>
        <w:tabs>
          <w:tab w:pos="2024" w:val="left" w:leader="none"/>
          <w:tab w:pos="2025" w:val="left" w:leader="none"/>
        </w:tabs>
        <w:spacing w:line="235" w:lineRule="auto" w:before="0" w:after="0"/>
        <w:ind w:left="1344" w:right="1385" w:firstLine="0"/>
        <w:jc w:val="left"/>
        <w:rPr>
          <w:sz w:val="20"/>
        </w:rPr>
      </w:pPr>
      <w:r>
        <w:rPr>
          <w:w w:val="120"/>
          <w:sz w:val="20"/>
        </w:rPr>
        <w:t>All this information is dependent on invitees completing a monitoring form. In order that the figures given are as accurate as possible the secretary is grateful that the majority do, but a invariably a number fail to – often it seems because a thoughtful letter of refusal appears kinder than an impersonal form and does not include the relevant</w:t>
      </w:r>
      <w:r>
        <w:rPr>
          <w:spacing w:val="1"/>
          <w:w w:val="120"/>
          <w:sz w:val="20"/>
        </w:rPr>
        <w:t> </w:t>
      </w:r>
      <w:r>
        <w:rPr>
          <w:w w:val="120"/>
          <w:sz w:val="20"/>
        </w:rPr>
        <w:t>information</w:t>
      </w:r>
      <w:r>
        <w:rPr>
          <w:color w:val="E42322"/>
          <w:w w:val="120"/>
          <w:sz w:val="20"/>
        </w:rPr>
        <w:t>.</w:t>
      </w:r>
    </w:p>
    <w:p>
      <w:pPr>
        <w:pStyle w:val="BodyText"/>
        <w:spacing w:before="4"/>
        <w:rPr>
          <w:sz w:val="22"/>
        </w:rPr>
      </w:pPr>
    </w:p>
    <w:p>
      <w:pPr>
        <w:spacing w:before="0"/>
        <w:ind w:left="1344" w:right="0" w:firstLine="0"/>
        <w:jc w:val="left"/>
        <w:rPr>
          <w:rFonts w:ascii="Stone Sans II ITC Std Bk"/>
          <w:b/>
          <w:sz w:val="29"/>
        </w:rPr>
      </w:pPr>
      <w:bookmarkStart w:name="_GoBack" w:id="24"/>
      <w:bookmarkEnd w:id="24"/>
      <w:r>
        <w:rPr/>
      </w:r>
      <w:r>
        <w:rPr>
          <w:rFonts w:ascii="Stone Sans II ITC Std Bk"/>
          <w:b/>
          <w:spacing w:val="3"/>
          <w:w w:val="110"/>
          <w:sz w:val="29"/>
        </w:rPr>
        <w:t>Committee</w:t>
      </w:r>
      <w:r>
        <w:rPr>
          <w:rFonts w:ascii="Stone Sans II ITC Std Bk"/>
          <w:b/>
          <w:spacing w:val="29"/>
          <w:w w:val="110"/>
          <w:sz w:val="29"/>
        </w:rPr>
        <w:t> </w:t>
      </w:r>
      <w:r>
        <w:rPr>
          <w:rFonts w:ascii="Stone Sans II ITC Std Bk"/>
          <w:b/>
          <w:spacing w:val="4"/>
          <w:w w:val="110"/>
          <w:sz w:val="29"/>
        </w:rPr>
        <w:t>membership</w:t>
      </w:r>
    </w:p>
    <w:p>
      <w:pPr>
        <w:pStyle w:val="ListParagraph"/>
        <w:numPr>
          <w:ilvl w:val="1"/>
          <w:numId w:val="228"/>
        </w:numPr>
        <w:tabs>
          <w:tab w:pos="2024" w:val="left" w:leader="none"/>
          <w:tab w:pos="2025" w:val="left" w:leader="none"/>
        </w:tabs>
        <w:spacing w:line="235" w:lineRule="auto" w:before="69" w:after="0"/>
        <w:ind w:left="1344" w:right="1500" w:firstLine="0"/>
        <w:jc w:val="left"/>
        <w:rPr>
          <w:sz w:val="20"/>
        </w:rPr>
      </w:pPr>
      <w:r>
        <w:rPr>
          <w:w w:val="120"/>
          <w:sz w:val="20"/>
        </w:rPr>
        <w:t>Each synod is represented on the committee, some by synod clerks and others by individuals with a good knowledge of their own people. The committee benefits from a gradual change in</w:t>
      </w:r>
      <w:r>
        <w:rPr>
          <w:spacing w:val="12"/>
          <w:w w:val="120"/>
          <w:sz w:val="20"/>
        </w:rPr>
        <w:t> </w:t>
      </w:r>
      <w:r>
        <w:rPr>
          <w:w w:val="120"/>
          <w:sz w:val="20"/>
        </w:rPr>
        <w:t>membership.</w:t>
      </w:r>
    </w:p>
    <w:p>
      <w:pPr>
        <w:pStyle w:val="BodyText"/>
        <w:spacing w:before="3"/>
        <w:rPr>
          <w:sz w:val="22"/>
        </w:rPr>
      </w:pPr>
    </w:p>
    <w:p>
      <w:pPr>
        <w:spacing w:before="0"/>
        <w:ind w:left="1344" w:right="0" w:firstLine="0"/>
        <w:jc w:val="left"/>
        <w:rPr>
          <w:rFonts w:ascii="Stone Sans II ITC Std Bk"/>
          <w:b/>
          <w:sz w:val="29"/>
        </w:rPr>
      </w:pPr>
      <w:r>
        <w:rPr>
          <w:rFonts w:ascii="Stone Sans II ITC Std Bk"/>
          <w:b/>
          <w:w w:val="110"/>
          <w:sz w:val="29"/>
        </w:rPr>
        <w:t>Deputy Treasurer</w:t>
      </w:r>
    </w:p>
    <w:p>
      <w:pPr>
        <w:pStyle w:val="ListParagraph"/>
        <w:numPr>
          <w:ilvl w:val="1"/>
          <w:numId w:val="228"/>
        </w:numPr>
        <w:tabs>
          <w:tab w:pos="2024" w:val="left" w:leader="none"/>
          <w:tab w:pos="2025" w:val="left" w:leader="none"/>
        </w:tabs>
        <w:spacing w:line="235" w:lineRule="auto" w:before="69" w:after="0"/>
        <w:ind w:left="1344" w:right="1396" w:firstLine="0"/>
        <w:jc w:val="left"/>
        <w:rPr>
          <w:sz w:val="20"/>
        </w:rPr>
      </w:pPr>
      <w:r>
        <w:rPr>
          <w:w w:val="120"/>
          <w:sz w:val="20"/>
        </w:rPr>
        <w:t>The committee brought to Mission Council last November the name of Mr Ian Hardie, to serve as the next Treasurer of the Church from 1 July </w:t>
      </w:r>
      <w:r>
        <w:rPr>
          <w:spacing w:val="-12"/>
          <w:w w:val="120"/>
          <w:sz w:val="20"/>
        </w:rPr>
        <w:t>2017. </w:t>
      </w:r>
      <w:r>
        <w:rPr>
          <w:w w:val="120"/>
          <w:sz w:val="20"/>
        </w:rPr>
        <w:t>Should Assembly accept Mission </w:t>
      </w:r>
      <w:r>
        <w:rPr>
          <w:spacing w:val="-3"/>
          <w:w w:val="120"/>
          <w:sz w:val="20"/>
        </w:rPr>
        <w:t>Council’s </w:t>
      </w:r>
      <w:r>
        <w:rPr>
          <w:w w:val="120"/>
          <w:sz w:val="20"/>
        </w:rPr>
        <w:t>commendation of Mr Hardie for this role, the nominations committee will move Resolution 36, which will allow Ian Hardie to work closely with John Ellis in the next </w:t>
      </w:r>
      <w:r>
        <w:rPr>
          <w:spacing w:val="-4"/>
          <w:w w:val="120"/>
          <w:sz w:val="20"/>
        </w:rPr>
        <w:t>year, </w:t>
      </w:r>
      <w:r>
        <w:rPr>
          <w:w w:val="120"/>
          <w:sz w:val="20"/>
        </w:rPr>
        <w:t>and will then provide him with able cover and support in his own work as</w:t>
      </w:r>
      <w:r>
        <w:rPr>
          <w:spacing w:val="5"/>
          <w:w w:val="120"/>
          <w:sz w:val="20"/>
        </w:rPr>
        <w:t> </w:t>
      </w:r>
      <w:r>
        <w:rPr>
          <w:spacing w:val="-3"/>
          <w:w w:val="120"/>
          <w:sz w:val="20"/>
        </w:rPr>
        <w:t>Treasurer.</w:t>
      </w:r>
    </w:p>
    <w:p>
      <w:pPr>
        <w:pStyle w:val="BodyText"/>
        <w:spacing w:before="5"/>
        <w:rPr>
          <w:sz w:val="22"/>
        </w:rPr>
      </w:pPr>
    </w:p>
    <w:p>
      <w:pPr>
        <w:spacing w:before="0"/>
        <w:ind w:left="1344" w:right="0" w:firstLine="0"/>
        <w:jc w:val="left"/>
        <w:rPr>
          <w:rFonts w:ascii="Stone Sans II ITC Std Bk"/>
          <w:b/>
          <w:sz w:val="29"/>
        </w:rPr>
      </w:pPr>
      <w:r>
        <w:rPr>
          <w:rFonts w:ascii="Stone Sans II ITC Std Bk"/>
          <w:b/>
          <w:w w:val="110"/>
          <w:sz w:val="29"/>
        </w:rPr>
        <w:t>Thanks to all who serve</w:t>
      </w:r>
    </w:p>
    <w:p>
      <w:pPr>
        <w:pStyle w:val="ListParagraph"/>
        <w:numPr>
          <w:ilvl w:val="1"/>
          <w:numId w:val="228"/>
        </w:numPr>
        <w:tabs>
          <w:tab w:pos="2024" w:val="left" w:leader="none"/>
          <w:tab w:pos="2025" w:val="left" w:leader="none"/>
        </w:tabs>
        <w:spacing w:line="235" w:lineRule="auto" w:before="69" w:after="0"/>
        <w:ind w:left="1344" w:right="1291" w:firstLine="0"/>
        <w:jc w:val="left"/>
        <w:rPr>
          <w:sz w:val="20"/>
        </w:rPr>
      </w:pPr>
      <w:r>
        <w:rPr>
          <w:w w:val="120"/>
          <w:sz w:val="20"/>
        </w:rPr>
        <w:t>The </w:t>
      </w:r>
      <w:r>
        <w:rPr>
          <w:spacing w:val="-3"/>
          <w:w w:val="120"/>
          <w:sz w:val="20"/>
        </w:rPr>
        <w:t>Church continues to receive </w:t>
      </w:r>
      <w:r>
        <w:rPr>
          <w:w w:val="120"/>
          <w:sz w:val="20"/>
        </w:rPr>
        <w:t>richly from its </w:t>
      </w:r>
      <w:r>
        <w:rPr>
          <w:spacing w:val="-3"/>
          <w:w w:val="120"/>
          <w:sz w:val="20"/>
        </w:rPr>
        <w:t>many willing </w:t>
      </w:r>
      <w:r>
        <w:rPr>
          <w:w w:val="120"/>
          <w:sz w:val="20"/>
        </w:rPr>
        <w:t>members who are part</w:t>
      </w:r>
      <w:r>
        <w:rPr>
          <w:spacing w:val="-5"/>
          <w:w w:val="120"/>
          <w:sz w:val="20"/>
        </w:rPr>
        <w:t> </w:t>
      </w:r>
      <w:r>
        <w:rPr>
          <w:w w:val="120"/>
          <w:sz w:val="20"/>
        </w:rPr>
        <w:t>of</w:t>
      </w:r>
      <w:r>
        <w:rPr>
          <w:spacing w:val="-4"/>
          <w:w w:val="120"/>
          <w:sz w:val="20"/>
        </w:rPr>
        <w:t> </w:t>
      </w:r>
      <w:r>
        <w:rPr>
          <w:w w:val="120"/>
          <w:sz w:val="20"/>
        </w:rPr>
        <w:t>its</w:t>
      </w:r>
      <w:r>
        <w:rPr>
          <w:spacing w:val="-5"/>
          <w:w w:val="120"/>
          <w:sz w:val="20"/>
        </w:rPr>
        <w:t> </w:t>
      </w:r>
      <w:r>
        <w:rPr>
          <w:spacing w:val="-3"/>
          <w:w w:val="120"/>
          <w:sz w:val="20"/>
        </w:rPr>
        <w:t>committee</w:t>
      </w:r>
      <w:r>
        <w:rPr>
          <w:spacing w:val="-4"/>
          <w:w w:val="120"/>
          <w:sz w:val="20"/>
        </w:rPr>
        <w:t> </w:t>
      </w:r>
      <w:r>
        <w:rPr>
          <w:w w:val="120"/>
          <w:sz w:val="20"/>
        </w:rPr>
        <w:t>structure,</w:t>
      </w:r>
      <w:r>
        <w:rPr>
          <w:spacing w:val="-4"/>
          <w:w w:val="120"/>
          <w:sz w:val="20"/>
        </w:rPr>
        <w:t> </w:t>
      </w:r>
      <w:r>
        <w:rPr>
          <w:w w:val="120"/>
          <w:sz w:val="20"/>
        </w:rPr>
        <w:t>or</w:t>
      </w:r>
      <w:r>
        <w:rPr>
          <w:spacing w:val="-5"/>
          <w:w w:val="120"/>
          <w:sz w:val="20"/>
        </w:rPr>
        <w:t> </w:t>
      </w:r>
      <w:r>
        <w:rPr>
          <w:w w:val="120"/>
          <w:sz w:val="20"/>
        </w:rPr>
        <w:t>who</w:t>
      </w:r>
      <w:r>
        <w:rPr>
          <w:spacing w:val="-4"/>
          <w:w w:val="120"/>
          <w:sz w:val="20"/>
        </w:rPr>
        <w:t> </w:t>
      </w:r>
      <w:r>
        <w:rPr>
          <w:w w:val="120"/>
          <w:sz w:val="20"/>
        </w:rPr>
        <w:t>serve</w:t>
      </w:r>
      <w:r>
        <w:rPr>
          <w:spacing w:val="-5"/>
          <w:w w:val="120"/>
          <w:sz w:val="20"/>
        </w:rPr>
        <w:t> </w:t>
      </w:r>
      <w:r>
        <w:rPr>
          <w:w w:val="120"/>
          <w:sz w:val="20"/>
        </w:rPr>
        <w:t>on</w:t>
      </w:r>
      <w:r>
        <w:rPr>
          <w:spacing w:val="-4"/>
          <w:w w:val="120"/>
          <w:sz w:val="20"/>
        </w:rPr>
        <w:t> </w:t>
      </w:r>
      <w:r>
        <w:rPr>
          <w:w w:val="120"/>
          <w:sz w:val="20"/>
        </w:rPr>
        <w:t>panels</w:t>
      </w:r>
      <w:r>
        <w:rPr>
          <w:spacing w:val="-4"/>
          <w:w w:val="120"/>
          <w:sz w:val="20"/>
        </w:rPr>
        <w:t> </w:t>
      </w:r>
      <w:r>
        <w:rPr>
          <w:w w:val="120"/>
          <w:sz w:val="20"/>
        </w:rPr>
        <w:t>and</w:t>
      </w:r>
      <w:r>
        <w:rPr>
          <w:spacing w:val="-5"/>
          <w:w w:val="120"/>
          <w:sz w:val="20"/>
        </w:rPr>
        <w:t> </w:t>
      </w:r>
      <w:r>
        <w:rPr>
          <w:w w:val="120"/>
          <w:sz w:val="20"/>
        </w:rPr>
        <w:t>working</w:t>
      </w:r>
      <w:r>
        <w:rPr>
          <w:spacing w:val="-4"/>
          <w:w w:val="120"/>
          <w:sz w:val="20"/>
        </w:rPr>
        <w:t> </w:t>
      </w:r>
      <w:r>
        <w:rPr>
          <w:spacing w:val="-3"/>
          <w:w w:val="120"/>
          <w:sz w:val="20"/>
        </w:rPr>
        <w:t>groups,</w:t>
      </w:r>
      <w:r>
        <w:rPr>
          <w:spacing w:val="-5"/>
          <w:w w:val="120"/>
          <w:sz w:val="20"/>
        </w:rPr>
        <w:t> </w:t>
      </w:r>
      <w:r>
        <w:rPr>
          <w:w w:val="120"/>
          <w:sz w:val="20"/>
        </w:rPr>
        <w:t>or</w:t>
      </w:r>
      <w:r>
        <w:rPr>
          <w:spacing w:val="-4"/>
          <w:w w:val="120"/>
          <w:sz w:val="20"/>
        </w:rPr>
        <w:t> </w:t>
      </w:r>
      <w:r>
        <w:rPr>
          <w:w w:val="120"/>
          <w:sz w:val="20"/>
        </w:rPr>
        <w:t>represent it on outside bodies. The formal </w:t>
      </w:r>
      <w:r>
        <w:rPr>
          <w:spacing w:val="-3"/>
          <w:w w:val="120"/>
          <w:sz w:val="20"/>
        </w:rPr>
        <w:t>acceptance </w:t>
      </w:r>
      <w:r>
        <w:rPr>
          <w:w w:val="120"/>
          <w:sz w:val="20"/>
        </w:rPr>
        <w:t>of </w:t>
      </w:r>
      <w:r>
        <w:rPr>
          <w:spacing w:val="-3"/>
          <w:w w:val="120"/>
          <w:sz w:val="20"/>
        </w:rPr>
        <w:t>this </w:t>
      </w:r>
      <w:r>
        <w:rPr>
          <w:w w:val="120"/>
          <w:sz w:val="20"/>
        </w:rPr>
        <w:t>report and the long list of names that </w:t>
      </w:r>
      <w:r>
        <w:rPr>
          <w:spacing w:val="-3"/>
          <w:w w:val="120"/>
          <w:sz w:val="20"/>
        </w:rPr>
        <w:t>follows</w:t>
      </w:r>
      <w:r>
        <w:rPr>
          <w:spacing w:val="-4"/>
          <w:w w:val="120"/>
          <w:sz w:val="20"/>
        </w:rPr>
        <w:t> </w:t>
      </w:r>
      <w:r>
        <w:rPr>
          <w:w w:val="120"/>
          <w:sz w:val="20"/>
        </w:rPr>
        <w:t>will</w:t>
      </w:r>
      <w:r>
        <w:rPr>
          <w:spacing w:val="-4"/>
          <w:w w:val="120"/>
          <w:sz w:val="20"/>
        </w:rPr>
        <w:t> </w:t>
      </w:r>
      <w:r>
        <w:rPr>
          <w:spacing w:val="-3"/>
          <w:w w:val="120"/>
          <w:sz w:val="20"/>
        </w:rPr>
        <w:t>surely</w:t>
      </w:r>
      <w:r>
        <w:rPr>
          <w:spacing w:val="-4"/>
          <w:w w:val="120"/>
          <w:sz w:val="20"/>
        </w:rPr>
        <w:t> </w:t>
      </w:r>
      <w:r>
        <w:rPr>
          <w:spacing w:val="-3"/>
          <w:w w:val="120"/>
          <w:sz w:val="20"/>
        </w:rPr>
        <w:t>include</w:t>
      </w:r>
      <w:r>
        <w:rPr>
          <w:spacing w:val="-4"/>
          <w:w w:val="120"/>
          <w:sz w:val="20"/>
        </w:rPr>
        <w:t> </w:t>
      </w:r>
      <w:r>
        <w:rPr>
          <w:w w:val="120"/>
          <w:sz w:val="20"/>
        </w:rPr>
        <w:t>a</w:t>
      </w:r>
      <w:r>
        <w:rPr>
          <w:spacing w:val="-4"/>
          <w:w w:val="120"/>
          <w:sz w:val="20"/>
        </w:rPr>
        <w:t> </w:t>
      </w:r>
      <w:r>
        <w:rPr>
          <w:w w:val="120"/>
          <w:sz w:val="20"/>
        </w:rPr>
        <w:t>real</w:t>
      </w:r>
      <w:r>
        <w:rPr>
          <w:spacing w:val="-4"/>
          <w:w w:val="120"/>
          <w:sz w:val="20"/>
        </w:rPr>
        <w:t> </w:t>
      </w:r>
      <w:r>
        <w:rPr>
          <w:w w:val="120"/>
          <w:sz w:val="20"/>
        </w:rPr>
        <w:t>sense</w:t>
      </w:r>
      <w:r>
        <w:rPr>
          <w:spacing w:val="-3"/>
          <w:w w:val="120"/>
          <w:sz w:val="20"/>
        </w:rPr>
        <w:t> </w:t>
      </w:r>
      <w:r>
        <w:rPr>
          <w:w w:val="120"/>
          <w:sz w:val="20"/>
        </w:rPr>
        <w:t>of</w:t>
      </w:r>
      <w:r>
        <w:rPr>
          <w:spacing w:val="-4"/>
          <w:w w:val="120"/>
          <w:sz w:val="20"/>
        </w:rPr>
        <w:t> </w:t>
      </w:r>
      <w:r>
        <w:rPr>
          <w:w w:val="120"/>
          <w:sz w:val="20"/>
        </w:rPr>
        <w:t>gratitude</w:t>
      </w:r>
      <w:r>
        <w:rPr>
          <w:spacing w:val="-4"/>
          <w:w w:val="120"/>
          <w:sz w:val="20"/>
        </w:rPr>
        <w:t> </w:t>
      </w:r>
      <w:r>
        <w:rPr>
          <w:w w:val="120"/>
          <w:sz w:val="20"/>
        </w:rPr>
        <w:t>for</w:t>
      </w:r>
      <w:r>
        <w:rPr>
          <w:spacing w:val="-4"/>
          <w:w w:val="120"/>
          <w:sz w:val="20"/>
        </w:rPr>
        <w:t> </w:t>
      </w:r>
      <w:r>
        <w:rPr>
          <w:w w:val="120"/>
          <w:sz w:val="20"/>
        </w:rPr>
        <w:t>all</w:t>
      </w:r>
      <w:r>
        <w:rPr>
          <w:spacing w:val="-4"/>
          <w:w w:val="120"/>
          <w:sz w:val="20"/>
        </w:rPr>
        <w:t> </w:t>
      </w:r>
      <w:r>
        <w:rPr>
          <w:w w:val="120"/>
          <w:sz w:val="20"/>
        </w:rPr>
        <w:t>who</w:t>
      </w:r>
      <w:r>
        <w:rPr>
          <w:spacing w:val="-4"/>
          <w:w w:val="120"/>
          <w:sz w:val="20"/>
        </w:rPr>
        <w:t> </w:t>
      </w:r>
      <w:r>
        <w:rPr>
          <w:w w:val="120"/>
          <w:sz w:val="20"/>
        </w:rPr>
        <w:t>serve</w:t>
      </w:r>
      <w:r>
        <w:rPr>
          <w:spacing w:val="-4"/>
          <w:w w:val="120"/>
          <w:sz w:val="20"/>
        </w:rPr>
        <w:t> </w:t>
      </w:r>
      <w:r>
        <w:rPr>
          <w:w w:val="120"/>
          <w:sz w:val="20"/>
        </w:rPr>
        <w:t>in</w:t>
      </w:r>
      <w:r>
        <w:rPr>
          <w:spacing w:val="-3"/>
          <w:w w:val="120"/>
          <w:sz w:val="20"/>
        </w:rPr>
        <w:t> this</w:t>
      </w:r>
      <w:r>
        <w:rPr>
          <w:spacing w:val="-4"/>
          <w:w w:val="120"/>
          <w:sz w:val="20"/>
        </w:rPr>
        <w:t> </w:t>
      </w:r>
      <w:r>
        <w:rPr>
          <w:spacing w:val="-6"/>
          <w:w w:val="120"/>
          <w:sz w:val="20"/>
        </w:rPr>
        <w:t>way.</w:t>
      </w:r>
    </w:p>
    <w:p>
      <w:pPr>
        <w:pStyle w:val="BodyText"/>
        <w:spacing w:before="3"/>
        <w:rPr>
          <w:sz w:val="22"/>
        </w:rPr>
      </w:pPr>
    </w:p>
    <w:p>
      <w:pPr>
        <w:pStyle w:val="ListParagraph"/>
        <w:numPr>
          <w:ilvl w:val="1"/>
          <w:numId w:val="228"/>
        </w:numPr>
        <w:tabs>
          <w:tab w:pos="2024" w:val="left" w:leader="none"/>
          <w:tab w:pos="2025" w:val="left" w:leader="none"/>
        </w:tabs>
        <w:spacing w:line="240" w:lineRule="auto" w:before="0" w:after="0"/>
        <w:ind w:left="2024" w:right="0" w:hanging="681"/>
        <w:jc w:val="left"/>
        <w:rPr>
          <w:rFonts w:ascii="Stone Sans II ITC Std Bk"/>
          <w:b/>
          <w:sz w:val="29"/>
        </w:rPr>
      </w:pPr>
      <w:r>
        <w:rPr>
          <w:rFonts w:ascii="Stone Sans II ITC Std Bk"/>
          <w:b/>
          <w:spacing w:val="4"/>
          <w:w w:val="110"/>
          <w:sz w:val="29"/>
        </w:rPr>
        <w:t>Assembly </w:t>
      </w:r>
      <w:r>
        <w:rPr>
          <w:rFonts w:ascii="Stone Sans II ITC Std Bk"/>
          <w:b/>
          <w:spacing w:val="3"/>
          <w:w w:val="110"/>
          <w:sz w:val="29"/>
        </w:rPr>
        <w:t>committees and other</w:t>
      </w:r>
      <w:r>
        <w:rPr>
          <w:rFonts w:ascii="Stone Sans II ITC Std Bk"/>
          <w:b/>
          <w:spacing w:val="45"/>
          <w:w w:val="110"/>
          <w:sz w:val="29"/>
        </w:rPr>
        <w:t> </w:t>
      </w:r>
      <w:r>
        <w:rPr>
          <w:rFonts w:ascii="Stone Sans II ITC Std Bk"/>
          <w:b/>
          <w:spacing w:val="4"/>
          <w:w w:val="110"/>
          <w:sz w:val="29"/>
        </w:rPr>
        <w:t>appointments</w:t>
      </w:r>
    </w:p>
    <w:p>
      <w:pPr>
        <w:pStyle w:val="BodyText"/>
        <w:spacing w:before="122"/>
        <w:ind w:left="1344"/>
      </w:pPr>
      <w:r>
        <w:rPr>
          <w:w w:val="115"/>
        </w:rPr>
        <w:t>Notes:</w:t>
      </w:r>
    </w:p>
    <w:p>
      <w:pPr>
        <w:pStyle w:val="ListParagraph"/>
        <w:numPr>
          <w:ilvl w:val="0"/>
          <w:numId w:val="231"/>
        </w:numPr>
        <w:tabs>
          <w:tab w:pos="2024" w:val="left" w:leader="none"/>
          <w:tab w:pos="2025" w:val="left" w:leader="none"/>
        </w:tabs>
        <w:spacing w:line="235" w:lineRule="auto" w:before="113" w:after="0"/>
        <w:ind w:left="2024" w:right="1651" w:hanging="681"/>
        <w:jc w:val="left"/>
        <w:rPr>
          <w:sz w:val="20"/>
        </w:rPr>
      </w:pPr>
      <w:r>
        <w:rPr>
          <w:w w:val="115"/>
          <w:sz w:val="20"/>
        </w:rPr>
        <w:t>The moderators, the moderators elect</w:t>
      </w:r>
      <w:r>
        <w:rPr>
          <w:i/>
          <w:w w:val="115"/>
          <w:sz w:val="20"/>
        </w:rPr>
        <w:t>, </w:t>
      </w:r>
      <w:r>
        <w:rPr>
          <w:w w:val="115"/>
          <w:sz w:val="20"/>
        </w:rPr>
        <w:t>the immediate past moderators and the general secretary are members </w:t>
      </w:r>
      <w:r>
        <w:rPr>
          <w:i/>
          <w:w w:val="115"/>
          <w:sz w:val="20"/>
        </w:rPr>
        <w:t>ex officio </w:t>
      </w:r>
      <w:r>
        <w:rPr>
          <w:w w:val="115"/>
          <w:sz w:val="20"/>
        </w:rPr>
        <w:t>of every standing</w:t>
      </w:r>
      <w:r>
        <w:rPr>
          <w:spacing w:val="14"/>
          <w:w w:val="115"/>
          <w:sz w:val="20"/>
        </w:rPr>
        <w:t> </w:t>
      </w:r>
      <w:r>
        <w:rPr>
          <w:w w:val="115"/>
          <w:sz w:val="20"/>
        </w:rPr>
        <w:t>committee.</w:t>
      </w:r>
    </w:p>
    <w:p>
      <w:pPr>
        <w:pStyle w:val="BodyText"/>
        <w:spacing w:before="6"/>
        <w:rPr>
          <w:sz w:val="19"/>
        </w:rPr>
      </w:pPr>
    </w:p>
    <w:p>
      <w:pPr>
        <w:pStyle w:val="ListParagraph"/>
        <w:numPr>
          <w:ilvl w:val="0"/>
          <w:numId w:val="231"/>
        </w:numPr>
        <w:tabs>
          <w:tab w:pos="2024" w:val="left" w:leader="none"/>
          <w:tab w:pos="2025" w:val="left" w:leader="none"/>
        </w:tabs>
        <w:spacing w:line="242" w:lineRule="exact" w:before="0" w:after="0"/>
        <w:ind w:left="2024" w:right="0" w:hanging="681"/>
        <w:jc w:val="left"/>
        <w:rPr>
          <w:sz w:val="20"/>
        </w:rPr>
      </w:pPr>
      <w:r>
        <w:rPr>
          <w:w w:val="115"/>
          <w:sz w:val="20"/>
        </w:rPr>
        <w:t>Symbols </w:t>
      </w:r>
      <w:r>
        <w:rPr>
          <w:spacing w:val="-3"/>
          <w:w w:val="115"/>
          <w:sz w:val="20"/>
        </w:rPr>
        <w:t>have </w:t>
      </w:r>
      <w:r>
        <w:rPr>
          <w:w w:val="115"/>
          <w:sz w:val="20"/>
        </w:rPr>
        <w:t>been used as</w:t>
      </w:r>
      <w:r>
        <w:rPr>
          <w:spacing w:val="27"/>
          <w:w w:val="115"/>
          <w:sz w:val="20"/>
        </w:rPr>
        <w:t> </w:t>
      </w:r>
      <w:r>
        <w:rPr>
          <w:w w:val="115"/>
          <w:sz w:val="20"/>
        </w:rPr>
        <w:t>follows:</w:t>
      </w:r>
    </w:p>
    <w:p>
      <w:pPr>
        <w:pStyle w:val="BodyText"/>
        <w:spacing w:line="240" w:lineRule="exact"/>
        <w:ind w:left="2251"/>
      </w:pPr>
      <w:r>
        <w:rPr>
          <w:w w:val="120"/>
        </w:rPr>
        <w:t>** denotes those whom General Assembly is invited to appoint for the first time;</w:t>
      </w:r>
    </w:p>
    <w:p>
      <w:pPr>
        <w:pStyle w:val="BodyText"/>
        <w:spacing w:line="242" w:lineRule="exact"/>
        <w:ind w:left="2251"/>
      </w:pPr>
      <w:r>
        <w:rPr>
          <w:w w:val="120"/>
        </w:rPr>
        <w:t>† denotes those who have been invited to extend their periods of service;</w:t>
      </w:r>
    </w:p>
    <w:p>
      <w:pPr>
        <w:pStyle w:val="BodyText"/>
        <w:spacing w:before="4"/>
        <w:rPr>
          <w:sz w:val="19"/>
        </w:rPr>
      </w:pPr>
    </w:p>
    <w:p>
      <w:pPr>
        <w:pStyle w:val="ListParagraph"/>
        <w:numPr>
          <w:ilvl w:val="0"/>
          <w:numId w:val="231"/>
        </w:numPr>
        <w:tabs>
          <w:tab w:pos="2024" w:val="left" w:leader="none"/>
          <w:tab w:pos="2025" w:val="left" w:leader="none"/>
        </w:tabs>
        <w:spacing w:line="242" w:lineRule="exact" w:before="0" w:after="0"/>
        <w:ind w:left="2024" w:right="0" w:hanging="681"/>
        <w:jc w:val="left"/>
        <w:rPr>
          <w:sz w:val="20"/>
        </w:rPr>
      </w:pPr>
      <w:r>
        <w:rPr>
          <w:w w:val="120"/>
          <w:sz w:val="20"/>
        </w:rPr>
        <w:t>The number in round brackets following the name indicates the </w:t>
      </w:r>
      <w:r>
        <w:rPr>
          <w:spacing w:val="-4"/>
          <w:w w:val="120"/>
          <w:sz w:val="20"/>
        </w:rPr>
        <w:t>member’s</w:t>
      </w:r>
      <w:r>
        <w:rPr>
          <w:spacing w:val="-11"/>
          <w:w w:val="120"/>
          <w:sz w:val="20"/>
        </w:rPr>
        <w:t> </w:t>
      </w:r>
      <w:r>
        <w:rPr>
          <w:w w:val="120"/>
          <w:sz w:val="20"/>
        </w:rPr>
        <w:t>synod:</w:t>
      </w:r>
    </w:p>
    <w:p>
      <w:pPr>
        <w:pStyle w:val="ListParagraph"/>
        <w:numPr>
          <w:ilvl w:val="1"/>
          <w:numId w:val="231"/>
        </w:numPr>
        <w:tabs>
          <w:tab w:pos="2376" w:val="left" w:leader="none"/>
        </w:tabs>
        <w:spacing w:line="240" w:lineRule="exact" w:before="0" w:after="0"/>
        <w:ind w:left="2375" w:right="0" w:hanging="352"/>
        <w:jc w:val="left"/>
        <w:rPr>
          <w:sz w:val="20"/>
        </w:rPr>
      </w:pPr>
      <w:r>
        <w:rPr>
          <w:w w:val="120"/>
          <w:sz w:val="20"/>
        </w:rPr>
        <w:t>Northern, (2) North Western, (3) </w:t>
      </w:r>
      <w:r>
        <w:rPr>
          <w:spacing w:val="-3"/>
          <w:w w:val="120"/>
          <w:sz w:val="20"/>
        </w:rPr>
        <w:t>Mersey, </w:t>
      </w:r>
      <w:r>
        <w:rPr>
          <w:w w:val="120"/>
          <w:sz w:val="20"/>
        </w:rPr>
        <w:t>(4) Yorkshire, (5) East</w:t>
      </w:r>
      <w:r>
        <w:rPr>
          <w:spacing w:val="11"/>
          <w:w w:val="120"/>
          <w:sz w:val="20"/>
        </w:rPr>
        <w:t> </w:t>
      </w:r>
      <w:r>
        <w:rPr>
          <w:w w:val="120"/>
          <w:sz w:val="20"/>
        </w:rPr>
        <w:t>Midlands,</w:t>
      </w:r>
    </w:p>
    <w:p>
      <w:pPr>
        <w:pStyle w:val="BodyText"/>
        <w:spacing w:line="235" w:lineRule="auto" w:before="2"/>
        <w:ind w:left="2024" w:right="1478"/>
      </w:pPr>
      <w:r>
        <w:rPr>
          <w:w w:val="120"/>
        </w:rPr>
        <w:t>(6) West Midlands, (7) Eastern, (8) South Western, (9) Wessex, (10) Thames North, (11) Southern, (12) Wales, (13) Scotland. This numbering is not shown where it is not relevant.</w:t>
      </w:r>
    </w:p>
    <w:p>
      <w:pPr>
        <w:pStyle w:val="BodyText"/>
        <w:spacing w:before="10"/>
        <w:rPr>
          <w:sz w:val="19"/>
        </w:rPr>
      </w:pPr>
    </w:p>
    <w:p>
      <w:pPr>
        <w:pStyle w:val="ListParagraph"/>
        <w:numPr>
          <w:ilvl w:val="0"/>
          <w:numId w:val="231"/>
        </w:numPr>
        <w:tabs>
          <w:tab w:pos="2024" w:val="left" w:leader="none"/>
          <w:tab w:pos="2025" w:val="left" w:leader="none"/>
        </w:tabs>
        <w:spacing w:line="235" w:lineRule="auto" w:before="0" w:after="0"/>
        <w:ind w:left="2024" w:right="1485" w:hanging="681"/>
        <w:jc w:val="left"/>
        <w:rPr>
          <w:sz w:val="20"/>
        </w:rPr>
      </w:pPr>
      <w:r>
        <w:rPr>
          <w:w w:val="115"/>
          <w:sz w:val="20"/>
        </w:rPr>
        <w:t>When a member of a committee is there as a representative of another body or a particular</w:t>
      </w:r>
      <w:r>
        <w:rPr>
          <w:spacing w:val="12"/>
          <w:w w:val="115"/>
          <w:sz w:val="20"/>
        </w:rPr>
        <w:t> </w:t>
      </w:r>
      <w:r>
        <w:rPr>
          <w:w w:val="115"/>
          <w:sz w:val="20"/>
        </w:rPr>
        <w:t>category</w:t>
      </w:r>
      <w:r>
        <w:rPr>
          <w:spacing w:val="12"/>
          <w:w w:val="115"/>
          <w:sz w:val="20"/>
        </w:rPr>
        <w:t> </w:t>
      </w:r>
      <w:r>
        <w:rPr>
          <w:w w:val="115"/>
          <w:sz w:val="20"/>
        </w:rPr>
        <w:t>this</w:t>
      </w:r>
      <w:r>
        <w:rPr>
          <w:spacing w:val="12"/>
          <w:w w:val="115"/>
          <w:sz w:val="20"/>
        </w:rPr>
        <w:t> </w:t>
      </w:r>
      <w:r>
        <w:rPr>
          <w:w w:val="115"/>
          <w:sz w:val="20"/>
        </w:rPr>
        <w:t>is</w:t>
      </w:r>
      <w:r>
        <w:rPr>
          <w:spacing w:val="12"/>
          <w:w w:val="115"/>
          <w:sz w:val="20"/>
        </w:rPr>
        <w:t> </w:t>
      </w:r>
      <w:r>
        <w:rPr>
          <w:w w:val="115"/>
          <w:sz w:val="20"/>
        </w:rPr>
        <w:t>indicated</w:t>
      </w:r>
      <w:r>
        <w:rPr>
          <w:spacing w:val="12"/>
          <w:w w:val="115"/>
          <w:sz w:val="20"/>
        </w:rPr>
        <w:t> </w:t>
      </w:r>
      <w:r>
        <w:rPr>
          <w:w w:val="115"/>
          <w:sz w:val="20"/>
        </w:rPr>
        <w:t>in</w:t>
      </w:r>
      <w:r>
        <w:rPr>
          <w:spacing w:val="12"/>
          <w:w w:val="115"/>
          <w:sz w:val="20"/>
        </w:rPr>
        <w:t> </w:t>
      </w:r>
      <w:r>
        <w:rPr>
          <w:w w:val="115"/>
          <w:sz w:val="20"/>
        </w:rPr>
        <w:t>round</w:t>
      </w:r>
      <w:r>
        <w:rPr>
          <w:spacing w:val="12"/>
          <w:w w:val="115"/>
          <w:sz w:val="20"/>
        </w:rPr>
        <w:t> </w:t>
      </w:r>
      <w:r>
        <w:rPr>
          <w:w w:val="115"/>
          <w:sz w:val="20"/>
        </w:rPr>
        <w:t>brackets</w:t>
      </w:r>
      <w:r>
        <w:rPr>
          <w:spacing w:val="12"/>
          <w:w w:val="115"/>
          <w:sz w:val="20"/>
        </w:rPr>
        <w:t> </w:t>
      </w:r>
      <w:r>
        <w:rPr>
          <w:w w:val="115"/>
          <w:sz w:val="20"/>
        </w:rPr>
        <w:t>following</w:t>
      </w:r>
      <w:r>
        <w:rPr>
          <w:spacing w:val="12"/>
          <w:w w:val="115"/>
          <w:sz w:val="20"/>
        </w:rPr>
        <w:t> </w:t>
      </w:r>
      <w:r>
        <w:rPr>
          <w:w w:val="115"/>
          <w:sz w:val="20"/>
        </w:rPr>
        <w:t>the</w:t>
      </w:r>
      <w:r>
        <w:rPr>
          <w:spacing w:val="12"/>
          <w:w w:val="115"/>
          <w:sz w:val="20"/>
        </w:rPr>
        <w:t> </w:t>
      </w:r>
      <w:r>
        <w:rPr>
          <w:w w:val="115"/>
          <w:sz w:val="20"/>
        </w:rPr>
        <w:t>name.</w:t>
      </w:r>
    </w:p>
    <w:p>
      <w:pPr>
        <w:spacing w:after="0" w:line="235" w:lineRule="auto"/>
        <w:jc w:val="left"/>
        <w:rPr>
          <w:sz w:val="20"/>
        </w:rPr>
        <w:sectPr>
          <w:headerReference w:type="default" r:id="rId538"/>
          <w:pgSz w:w="11910" w:h="16840"/>
          <w:pgMar w:header="0" w:footer="647" w:top="0" w:bottom="840" w:left="640" w:right="0"/>
        </w:sectPr>
      </w:pPr>
    </w:p>
    <w:p>
      <w:pPr>
        <w:pStyle w:val="BodyText"/>
      </w:pPr>
      <w:r>
        <w:rPr/>
        <w:drawing>
          <wp:anchor distT="0" distB="0" distL="0" distR="0" allowOverlap="1" layoutInCell="1" locked="0" behindDoc="1" simplePos="0" relativeHeight="235747328">
            <wp:simplePos x="0" y="0"/>
            <wp:positionH relativeFrom="page">
              <wp:posOffset>0</wp:posOffset>
            </wp:positionH>
            <wp:positionV relativeFrom="page">
              <wp:posOffset>0</wp:posOffset>
            </wp:positionV>
            <wp:extent cx="594067" cy="10692003"/>
            <wp:effectExtent l="0" t="0" r="0" b="0"/>
            <wp:wrapNone/>
            <wp:docPr id="385" name="image71.png"/>
            <wp:cNvGraphicFramePr>
              <a:graphicFrameLocks noChangeAspect="1"/>
            </wp:cNvGraphicFramePr>
            <a:graphic>
              <a:graphicData uri="http://schemas.openxmlformats.org/drawingml/2006/picture">
                <pic:pic>
                  <pic:nvPicPr>
                    <pic:cNvPr id="386" name="image71.png"/>
                    <pic:cNvPicPr/>
                  </pic:nvPicPr>
                  <pic:blipFill>
                    <a:blip r:embed="rId537" cstate="print"/>
                    <a:stretch>
                      <a:fillRect/>
                    </a:stretch>
                  </pic:blipFill>
                  <pic:spPr>
                    <a:xfrm>
                      <a:off x="0" y="0"/>
                      <a:ext cx="594067" cy="10692003"/>
                    </a:xfrm>
                    <a:prstGeom prst="rect">
                      <a:avLst/>
                    </a:prstGeom>
                  </pic:spPr>
                </pic:pic>
              </a:graphicData>
            </a:graphic>
          </wp:anchor>
        </w:drawing>
      </w:r>
      <w:r>
        <w:rPr/>
        <w:pict>
          <v:shape style="position:absolute;margin-left:20.519100pt;margin-top:48.890015pt;width:25.9pt;height:131.3pt;mso-position-horizontal-relative:page;mso-position-vertical-relative:page;z-index:-267568128" type="#_x0000_t202" filled="false" stroked="false">
            <v:textbox inset="0,0,0,0" style="layout-flow:vertical">
              <w:txbxContent>
                <w:p>
                  <w:pPr>
                    <w:spacing w:before="27"/>
                    <w:ind w:left="20" w:right="0" w:firstLine="0"/>
                    <w:jc w:val="left"/>
                    <w:rPr>
                      <w:sz w:val="39"/>
                    </w:rPr>
                  </w:pPr>
                  <w:r>
                    <w:rPr>
                      <w:color w:val="FFFFFF"/>
                      <w:w w:val="120"/>
                      <w:sz w:val="39"/>
                    </w:rPr>
                    <w:t>Nominations</w:t>
                  </w:r>
                </w:p>
              </w:txbxContent>
            </v:textbox>
            <w10:wrap type="none"/>
          </v:shape>
        </w:pict>
      </w:r>
    </w:p>
    <w:p>
      <w:pPr>
        <w:pStyle w:val="BodyText"/>
        <w:spacing w:before="7"/>
        <w:rPr>
          <w:sz w:val="21"/>
        </w:rPr>
      </w:pPr>
    </w:p>
    <w:p>
      <w:pPr>
        <w:spacing w:before="106"/>
        <w:ind w:left="607" w:right="0" w:firstLine="0"/>
        <w:jc w:val="left"/>
        <w:rPr>
          <w:sz w:val="26"/>
        </w:rPr>
      </w:pPr>
      <w:r>
        <w:rPr>
          <w:color w:val="7EAABF"/>
          <w:w w:val="115"/>
          <w:sz w:val="26"/>
        </w:rPr>
        <w:t>Nominations</w:t>
      </w:r>
    </w:p>
    <w:p>
      <w:pPr>
        <w:pStyle w:val="ListParagraph"/>
        <w:numPr>
          <w:ilvl w:val="0"/>
          <w:numId w:val="231"/>
        </w:numPr>
        <w:tabs>
          <w:tab w:pos="1287" w:val="left" w:leader="none"/>
          <w:tab w:pos="1288" w:val="left" w:leader="none"/>
        </w:tabs>
        <w:spacing w:line="235" w:lineRule="auto" w:before="222" w:after="0"/>
        <w:ind w:left="1287" w:right="2104" w:hanging="681"/>
        <w:jc w:val="left"/>
        <w:rPr>
          <w:sz w:val="20"/>
        </w:rPr>
      </w:pPr>
      <w:r>
        <w:rPr>
          <w:w w:val="115"/>
          <w:sz w:val="20"/>
        </w:rPr>
        <w:t>Committee membership is normally for a period of four years, though this may sometimes exceptionally be renewable. Committee convenors serve an additional preliminary year as convenor elect. In sections 1-4 of the report, appointments   with a different term are</w:t>
      </w:r>
      <w:r>
        <w:rPr>
          <w:spacing w:val="21"/>
          <w:w w:val="115"/>
          <w:sz w:val="20"/>
        </w:rPr>
        <w:t> </w:t>
      </w:r>
      <w:r>
        <w:rPr>
          <w:w w:val="115"/>
          <w:sz w:val="20"/>
        </w:rPr>
        <w:t>noted.</w:t>
      </w:r>
    </w:p>
    <w:p>
      <w:pPr>
        <w:pStyle w:val="BodyText"/>
        <w:spacing w:before="10"/>
        <w:rPr>
          <w:sz w:val="19"/>
        </w:rPr>
      </w:pPr>
    </w:p>
    <w:p>
      <w:pPr>
        <w:pStyle w:val="ListParagraph"/>
        <w:numPr>
          <w:ilvl w:val="0"/>
          <w:numId w:val="231"/>
        </w:numPr>
        <w:tabs>
          <w:tab w:pos="1287" w:val="left" w:leader="none"/>
          <w:tab w:pos="1288" w:val="left" w:leader="none"/>
        </w:tabs>
        <w:spacing w:line="235" w:lineRule="auto" w:before="1" w:after="0"/>
        <w:ind w:left="1287" w:right="2276" w:hanging="681"/>
        <w:jc w:val="left"/>
        <w:rPr>
          <w:sz w:val="20"/>
        </w:rPr>
      </w:pPr>
      <w:r>
        <w:rPr>
          <w:w w:val="115"/>
          <w:sz w:val="20"/>
        </w:rPr>
        <w:t>The date in square brackets following the name indicates the date of retirement, assuming a full</w:t>
      </w:r>
      <w:r>
        <w:rPr>
          <w:spacing w:val="13"/>
          <w:w w:val="115"/>
          <w:sz w:val="20"/>
        </w:rPr>
        <w:t> </w:t>
      </w:r>
      <w:r>
        <w:rPr>
          <w:w w:val="115"/>
          <w:sz w:val="20"/>
        </w:rPr>
        <w:t>term.</w:t>
      </w:r>
    </w:p>
    <w:p>
      <w:pPr>
        <w:pStyle w:val="BodyText"/>
        <w:spacing w:before="9"/>
        <w:rPr>
          <w:sz w:val="19"/>
        </w:rPr>
      </w:pPr>
    </w:p>
    <w:p>
      <w:pPr>
        <w:pStyle w:val="ListParagraph"/>
        <w:numPr>
          <w:ilvl w:val="0"/>
          <w:numId w:val="231"/>
        </w:numPr>
        <w:tabs>
          <w:tab w:pos="1287" w:val="left" w:leader="none"/>
          <w:tab w:pos="1288" w:val="left" w:leader="none"/>
        </w:tabs>
        <w:spacing w:line="235" w:lineRule="auto" w:before="0" w:after="0"/>
        <w:ind w:left="1287" w:right="2156" w:hanging="681"/>
        <w:jc w:val="left"/>
        <w:rPr>
          <w:sz w:val="20"/>
        </w:rPr>
      </w:pPr>
      <w:r>
        <w:rPr>
          <w:w w:val="115"/>
          <w:sz w:val="20"/>
        </w:rPr>
        <w:t>In accordance with the decision of General Assembly 2000 some nominations </w:t>
      </w:r>
      <w:r>
        <w:rPr>
          <w:spacing w:val="-5"/>
          <w:w w:val="115"/>
          <w:sz w:val="20"/>
        </w:rPr>
        <w:t>are </w:t>
      </w:r>
      <w:r>
        <w:rPr>
          <w:w w:val="115"/>
          <w:sz w:val="20"/>
        </w:rPr>
        <w:t>made directly by the National Synods of Wales and</w:t>
      </w:r>
      <w:r>
        <w:rPr>
          <w:spacing w:val="10"/>
          <w:w w:val="115"/>
          <w:sz w:val="20"/>
        </w:rPr>
        <w:t> </w:t>
      </w:r>
      <w:r>
        <w:rPr>
          <w:w w:val="115"/>
          <w:sz w:val="20"/>
        </w:rPr>
        <w:t>Scotland.</w:t>
      </w:r>
    </w:p>
    <w:p>
      <w:pPr>
        <w:pStyle w:val="BodyText"/>
        <w:spacing w:before="10"/>
        <w:rPr>
          <w:sz w:val="19"/>
        </w:rPr>
      </w:pPr>
    </w:p>
    <w:p>
      <w:pPr>
        <w:pStyle w:val="ListParagraph"/>
        <w:numPr>
          <w:ilvl w:val="0"/>
          <w:numId w:val="231"/>
        </w:numPr>
        <w:tabs>
          <w:tab w:pos="1287" w:val="left" w:leader="none"/>
          <w:tab w:pos="1288" w:val="left" w:leader="none"/>
        </w:tabs>
        <w:spacing w:line="235" w:lineRule="auto" w:before="0" w:after="0"/>
        <w:ind w:left="1287" w:right="2053" w:hanging="681"/>
        <w:jc w:val="left"/>
        <w:rPr>
          <w:sz w:val="20"/>
        </w:rPr>
      </w:pPr>
      <w:r>
        <w:rPr>
          <w:w w:val="120"/>
          <w:sz w:val="20"/>
        </w:rPr>
        <w:t>In years when General Assembly meets, new committee members normally take up</w:t>
      </w:r>
      <w:r>
        <w:rPr>
          <w:spacing w:val="-12"/>
          <w:w w:val="120"/>
          <w:sz w:val="20"/>
        </w:rPr>
        <w:t> </w:t>
      </w:r>
      <w:r>
        <w:rPr>
          <w:w w:val="120"/>
          <w:sz w:val="20"/>
        </w:rPr>
        <w:t>their</w:t>
      </w:r>
      <w:r>
        <w:rPr>
          <w:spacing w:val="-11"/>
          <w:w w:val="120"/>
          <w:sz w:val="20"/>
        </w:rPr>
        <w:t> </w:t>
      </w:r>
      <w:r>
        <w:rPr>
          <w:w w:val="120"/>
          <w:sz w:val="20"/>
        </w:rPr>
        <w:t>roles</w:t>
      </w:r>
      <w:r>
        <w:rPr>
          <w:spacing w:val="-11"/>
          <w:w w:val="120"/>
          <w:sz w:val="20"/>
        </w:rPr>
        <w:t> </w:t>
      </w:r>
      <w:r>
        <w:rPr>
          <w:w w:val="120"/>
          <w:sz w:val="20"/>
        </w:rPr>
        <w:t>at</w:t>
      </w:r>
      <w:r>
        <w:rPr>
          <w:spacing w:val="-11"/>
          <w:w w:val="120"/>
          <w:sz w:val="20"/>
        </w:rPr>
        <w:t> </w:t>
      </w:r>
      <w:r>
        <w:rPr>
          <w:w w:val="120"/>
          <w:sz w:val="20"/>
        </w:rPr>
        <w:t>the</w:t>
      </w:r>
      <w:r>
        <w:rPr>
          <w:spacing w:val="-11"/>
          <w:w w:val="120"/>
          <w:sz w:val="20"/>
        </w:rPr>
        <w:t> </w:t>
      </w:r>
      <w:r>
        <w:rPr>
          <w:w w:val="120"/>
          <w:sz w:val="20"/>
        </w:rPr>
        <w:t>conclusion</w:t>
      </w:r>
      <w:r>
        <w:rPr>
          <w:spacing w:val="-11"/>
          <w:w w:val="120"/>
          <w:sz w:val="20"/>
        </w:rPr>
        <w:t> </w:t>
      </w:r>
      <w:r>
        <w:rPr>
          <w:w w:val="120"/>
          <w:sz w:val="20"/>
        </w:rPr>
        <w:t>of</w:t>
      </w:r>
      <w:r>
        <w:rPr>
          <w:spacing w:val="-11"/>
          <w:w w:val="120"/>
          <w:sz w:val="20"/>
        </w:rPr>
        <w:t> </w:t>
      </w:r>
      <w:r>
        <w:rPr>
          <w:w w:val="120"/>
          <w:sz w:val="20"/>
        </w:rPr>
        <w:t>Assembly.</w:t>
      </w:r>
      <w:r>
        <w:rPr>
          <w:spacing w:val="-11"/>
          <w:w w:val="120"/>
          <w:sz w:val="20"/>
        </w:rPr>
        <w:t> </w:t>
      </w:r>
      <w:r>
        <w:rPr>
          <w:w w:val="120"/>
          <w:sz w:val="20"/>
        </w:rPr>
        <w:t>In</w:t>
      </w:r>
      <w:r>
        <w:rPr>
          <w:spacing w:val="-11"/>
          <w:w w:val="120"/>
          <w:sz w:val="20"/>
        </w:rPr>
        <w:t> </w:t>
      </w:r>
      <w:r>
        <w:rPr>
          <w:w w:val="120"/>
          <w:sz w:val="20"/>
        </w:rPr>
        <w:t>years</w:t>
      </w:r>
      <w:r>
        <w:rPr>
          <w:spacing w:val="-11"/>
          <w:w w:val="120"/>
          <w:sz w:val="20"/>
        </w:rPr>
        <w:t> </w:t>
      </w:r>
      <w:r>
        <w:rPr>
          <w:w w:val="120"/>
          <w:sz w:val="20"/>
        </w:rPr>
        <w:t>when</w:t>
      </w:r>
      <w:r>
        <w:rPr>
          <w:spacing w:val="-11"/>
          <w:w w:val="120"/>
          <w:sz w:val="20"/>
        </w:rPr>
        <w:t> </w:t>
      </w:r>
      <w:r>
        <w:rPr>
          <w:w w:val="120"/>
          <w:sz w:val="20"/>
        </w:rPr>
        <w:t>General</w:t>
      </w:r>
      <w:r>
        <w:rPr>
          <w:spacing w:val="-11"/>
          <w:w w:val="120"/>
          <w:sz w:val="20"/>
        </w:rPr>
        <w:t> </w:t>
      </w:r>
      <w:r>
        <w:rPr>
          <w:w w:val="120"/>
          <w:sz w:val="20"/>
        </w:rPr>
        <w:t>Assembly</w:t>
      </w:r>
      <w:r>
        <w:rPr>
          <w:spacing w:val="-11"/>
          <w:w w:val="120"/>
          <w:sz w:val="20"/>
        </w:rPr>
        <w:t> </w:t>
      </w:r>
      <w:r>
        <w:rPr>
          <w:w w:val="120"/>
          <w:sz w:val="20"/>
        </w:rPr>
        <w:t>does not meet, they normally begin on 1</w:t>
      </w:r>
      <w:r>
        <w:rPr>
          <w:spacing w:val="8"/>
          <w:w w:val="120"/>
          <w:sz w:val="20"/>
        </w:rPr>
        <w:t> </w:t>
      </w:r>
      <w:r>
        <w:rPr>
          <w:spacing w:val="-3"/>
          <w:w w:val="120"/>
          <w:sz w:val="20"/>
        </w:rPr>
        <w:t>July.</w:t>
      </w:r>
    </w:p>
    <w:p>
      <w:pPr>
        <w:pStyle w:val="BodyText"/>
        <w:spacing w:before="8"/>
        <w:rPr>
          <w:sz w:val="10"/>
        </w:rPr>
      </w:pPr>
      <w:r>
        <w:rPr/>
        <w:pict>
          <v:shape style="position:absolute;margin-left:62.362202pt;margin-top:8.857409pt;width:445.05pt;height:.1pt;mso-position-horizontal-relative:page;mso-position-vertical-relative:paragraph;z-index:-251116544;mso-wrap-distance-left:0;mso-wrap-distance-right:0" coordorigin="1247,177" coordsize="8901,0" path="m1247,177l10148,177e" filled="false" stroked="true" strokeweight=".75pt" strokecolor="#0090d4">
            <v:path arrowok="t"/>
            <v:stroke dashstyle="solid"/>
            <w10:wrap type="topAndBottom"/>
          </v:shape>
        </w:pict>
      </w:r>
    </w:p>
    <w:p>
      <w:pPr>
        <w:pStyle w:val="BodyText"/>
        <w:spacing w:before="1"/>
        <w:rPr>
          <w:sz w:val="21"/>
        </w:rPr>
      </w:pPr>
    </w:p>
    <w:p>
      <w:pPr>
        <w:pStyle w:val="Heading2"/>
        <w:numPr>
          <w:ilvl w:val="0"/>
          <w:numId w:val="232"/>
        </w:numPr>
        <w:tabs>
          <w:tab w:pos="1287" w:val="left" w:leader="none"/>
          <w:tab w:pos="1288" w:val="left" w:leader="none"/>
        </w:tabs>
        <w:spacing w:line="240" w:lineRule="auto" w:before="0" w:after="0"/>
        <w:ind w:left="1287" w:right="0" w:hanging="681"/>
        <w:jc w:val="left"/>
      </w:pPr>
      <w:r>
        <w:rPr>
          <w:w w:val="110"/>
        </w:rPr>
        <w:t>Mission </w:t>
      </w:r>
      <w:r>
        <w:rPr>
          <w:spacing w:val="-3"/>
          <w:w w:val="110"/>
        </w:rPr>
        <w:t>Council</w:t>
      </w:r>
    </w:p>
    <w:p>
      <w:pPr>
        <w:pStyle w:val="BodyText"/>
        <w:spacing w:line="235" w:lineRule="auto" w:before="83"/>
        <w:ind w:left="607" w:right="2200"/>
      </w:pPr>
      <w:r>
        <w:rPr>
          <w:w w:val="115"/>
        </w:rPr>
        <w:t>Mission Council acts on behalf of General Assembly. It consists of the officers of Assembly, the Synod Moderators and three representatives from each synod, one of whom is    usually, but not necessarily, the Synod Clerk, together with the convenors of Assembly committees,</w:t>
      </w:r>
      <w:r>
        <w:rPr>
          <w:spacing w:val="11"/>
          <w:w w:val="115"/>
        </w:rPr>
        <w:t> </w:t>
      </w:r>
      <w:r>
        <w:rPr>
          <w:w w:val="115"/>
        </w:rPr>
        <w:t>the</w:t>
      </w:r>
      <w:r>
        <w:rPr>
          <w:spacing w:val="11"/>
          <w:w w:val="115"/>
        </w:rPr>
        <w:t> </w:t>
      </w:r>
      <w:r>
        <w:rPr>
          <w:w w:val="115"/>
        </w:rPr>
        <w:t>Chair</w:t>
      </w:r>
      <w:r>
        <w:rPr>
          <w:spacing w:val="11"/>
          <w:w w:val="115"/>
        </w:rPr>
        <w:t> </w:t>
      </w:r>
      <w:r>
        <w:rPr>
          <w:w w:val="115"/>
        </w:rPr>
        <w:t>of</w:t>
      </w:r>
      <w:r>
        <w:rPr>
          <w:spacing w:val="11"/>
          <w:w w:val="115"/>
        </w:rPr>
        <w:t> </w:t>
      </w:r>
      <w:r>
        <w:rPr>
          <w:w w:val="115"/>
        </w:rPr>
        <w:t>the</w:t>
      </w:r>
      <w:r>
        <w:rPr>
          <w:spacing w:val="11"/>
          <w:w w:val="115"/>
        </w:rPr>
        <w:t> </w:t>
      </w:r>
      <w:r>
        <w:rPr>
          <w:w w:val="115"/>
        </w:rPr>
        <w:t>United</w:t>
      </w:r>
      <w:r>
        <w:rPr>
          <w:spacing w:val="12"/>
          <w:w w:val="115"/>
        </w:rPr>
        <w:t> </w:t>
      </w:r>
      <w:r>
        <w:rPr>
          <w:w w:val="115"/>
        </w:rPr>
        <w:t>Reformed</w:t>
      </w:r>
      <w:r>
        <w:rPr>
          <w:spacing w:val="11"/>
          <w:w w:val="115"/>
        </w:rPr>
        <w:t> </w:t>
      </w:r>
      <w:r>
        <w:rPr>
          <w:w w:val="115"/>
        </w:rPr>
        <w:t>Church</w:t>
      </w:r>
      <w:r>
        <w:rPr>
          <w:spacing w:val="11"/>
          <w:w w:val="115"/>
        </w:rPr>
        <w:t> </w:t>
      </w:r>
      <w:r>
        <w:rPr>
          <w:spacing w:val="-3"/>
          <w:w w:val="115"/>
        </w:rPr>
        <w:t>Trust</w:t>
      </w:r>
      <w:r>
        <w:rPr>
          <w:spacing w:val="11"/>
          <w:w w:val="115"/>
        </w:rPr>
        <w:t> </w:t>
      </w:r>
      <w:r>
        <w:rPr>
          <w:w w:val="115"/>
        </w:rPr>
        <w:t>and</w:t>
      </w:r>
      <w:r>
        <w:rPr>
          <w:spacing w:val="11"/>
          <w:w w:val="115"/>
        </w:rPr>
        <w:t> </w:t>
      </w:r>
      <w:r>
        <w:rPr>
          <w:w w:val="115"/>
        </w:rPr>
        <w:t>three</w:t>
      </w:r>
      <w:r>
        <w:rPr>
          <w:spacing w:val="11"/>
          <w:w w:val="115"/>
        </w:rPr>
        <w:t> </w:t>
      </w:r>
      <w:r>
        <w:rPr>
          <w:w w:val="115"/>
        </w:rPr>
        <w:t>members</w:t>
      </w:r>
      <w:r>
        <w:rPr>
          <w:spacing w:val="12"/>
          <w:w w:val="115"/>
        </w:rPr>
        <w:t> </w:t>
      </w:r>
      <w:r>
        <w:rPr>
          <w:w w:val="115"/>
        </w:rPr>
        <w:t>for</w:t>
      </w:r>
    </w:p>
    <w:p>
      <w:pPr>
        <w:pStyle w:val="BodyText"/>
        <w:spacing w:line="235" w:lineRule="auto" w:before="2"/>
        <w:ind w:left="607" w:right="2231"/>
      </w:pPr>
      <w:r>
        <w:rPr>
          <w:w w:val="115"/>
        </w:rPr>
        <w:t>URC Youth, including the URC Youth Moderator, together with staff secretaries, Moderators’ chaplains and others as appropriate</w:t>
      </w:r>
    </w:p>
    <w:p>
      <w:pPr>
        <w:pStyle w:val="BodyText"/>
        <w:spacing w:before="2"/>
        <w:rPr>
          <w:sz w:val="19"/>
        </w:rPr>
      </w:pPr>
    </w:p>
    <w:p>
      <w:pPr>
        <w:pStyle w:val="ListParagraph"/>
        <w:numPr>
          <w:ilvl w:val="1"/>
          <w:numId w:val="232"/>
        </w:numPr>
        <w:tabs>
          <w:tab w:pos="1287" w:val="left" w:leader="none"/>
          <w:tab w:pos="1288" w:val="left" w:leader="none"/>
        </w:tabs>
        <w:spacing w:line="230" w:lineRule="auto" w:before="0" w:after="0"/>
        <w:ind w:left="607" w:right="6030" w:firstLine="0"/>
        <w:jc w:val="left"/>
        <w:rPr>
          <w:sz w:val="20"/>
        </w:rPr>
      </w:pPr>
      <w:r>
        <w:rPr>
          <w:rFonts w:ascii="Stone Sans II ITC Std Bk"/>
          <w:b/>
          <w:w w:val="115"/>
          <w:sz w:val="20"/>
        </w:rPr>
        <w:t>Mission Council advisory group </w:t>
      </w:r>
      <w:r>
        <w:rPr>
          <w:w w:val="115"/>
          <w:sz w:val="20"/>
        </w:rPr>
        <w:t>Convenor: The Moderators of General </w:t>
      </w:r>
      <w:r>
        <w:rPr>
          <w:spacing w:val="-3"/>
          <w:w w:val="115"/>
          <w:sz w:val="20"/>
        </w:rPr>
        <w:t>Assembly </w:t>
      </w:r>
      <w:r>
        <w:rPr>
          <w:w w:val="115"/>
          <w:sz w:val="20"/>
        </w:rPr>
        <w:t>Secretary: The General</w:t>
      </w:r>
      <w:r>
        <w:rPr>
          <w:spacing w:val="17"/>
          <w:w w:val="115"/>
          <w:sz w:val="20"/>
        </w:rPr>
        <w:t> </w:t>
      </w:r>
      <w:r>
        <w:rPr>
          <w:w w:val="115"/>
          <w:sz w:val="20"/>
        </w:rPr>
        <w:t>Secretary</w:t>
      </w:r>
    </w:p>
    <w:p>
      <w:pPr>
        <w:pStyle w:val="BodyText"/>
        <w:spacing w:line="238" w:lineRule="exact"/>
        <w:ind w:left="607"/>
      </w:pPr>
      <w:r>
        <w:rPr>
          <w:w w:val="120"/>
        </w:rPr>
        <w:t>Elected by Mission Council: The Revd Derrick Dzandu-Hedidor</w:t>
      </w:r>
      <w:r>
        <w:rPr>
          <w:spacing w:val="34"/>
          <w:w w:val="120"/>
        </w:rPr>
        <w:t> </w:t>
      </w:r>
      <w:r>
        <w:rPr>
          <w:w w:val="120"/>
        </w:rPr>
        <w:t>[2019],</w:t>
      </w:r>
    </w:p>
    <w:p>
      <w:pPr>
        <w:pStyle w:val="BodyText"/>
        <w:spacing w:line="235" w:lineRule="auto" w:before="2"/>
        <w:ind w:left="607" w:right="3151"/>
      </w:pPr>
      <w:r>
        <w:rPr>
          <w:w w:val="115"/>
        </w:rPr>
        <w:t>The Revd Ruth Whitehead [2020], Mrs Helen Lidgett [2020], and one vacancy Moderators-elect and immediate past Moderators of General</w:t>
      </w:r>
      <w:r>
        <w:rPr>
          <w:spacing w:val="6"/>
          <w:w w:val="115"/>
        </w:rPr>
        <w:t> </w:t>
      </w:r>
      <w:r>
        <w:rPr>
          <w:w w:val="115"/>
        </w:rPr>
        <w:t>Assembly</w:t>
      </w:r>
    </w:p>
    <w:p>
      <w:pPr>
        <w:spacing w:line="242" w:lineRule="exact" w:before="0"/>
        <w:ind w:left="607" w:right="0" w:firstLine="0"/>
        <w:jc w:val="left"/>
        <w:rPr>
          <w:sz w:val="20"/>
        </w:rPr>
      </w:pPr>
      <w:r>
        <w:rPr>
          <w:w w:val="115"/>
          <w:sz w:val="20"/>
        </w:rPr>
        <w:t>[</w:t>
      </w:r>
      <w:r>
        <w:rPr>
          <w:i/>
          <w:w w:val="115"/>
          <w:sz w:val="20"/>
        </w:rPr>
        <w:t>ex officio: </w:t>
      </w:r>
      <w:r>
        <w:rPr>
          <w:w w:val="115"/>
          <w:sz w:val="20"/>
        </w:rPr>
        <w:t>The Treasurer]</w:t>
      </w:r>
    </w:p>
    <w:p>
      <w:pPr>
        <w:pStyle w:val="BodyText"/>
        <w:spacing w:before="3"/>
        <w:rPr>
          <w:sz w:val="18"/>
        </w:rPr>
      </w:pPr>
    </w:p>
    <w:p>
      <w:pPr>
        <w:pStyle w:val="Heading7"/>
        <w:numPr>
          <w:ilvl w:val="1"/>
          <w:numId w:val="232"/>
        </w:numPr>
        <w:tabs>
          <w:tab w:pos="1287" w:val="left" w:leader="none"/>
          <w:tab w:pos="1288" w:val="left" w:leader="none"/>
        </w:tabs>
        <w:spacing w:line="261" w:lineRule="exact" w:before="0" w:after="0"/>
        <w:ind w:left="1287" w:right="0" w:hanging="681"/>
        <w:jc w:val="left"/>
      </w:pPr>
      <w:r>
        <w:rPr>
          <w:w w:val="110"/>
        </w:rPr>
        <w:t>Human Resources advisory</w:t>
      </w:r>
      <w:r>
        <w:rPr>
          <w:spacing w:val="-1"/>
          <w:w w:val="110"/>
        </w:rPr>
        <w:t> </w:t>
      </w:r>
      <w:r>
        <w:rPr>
          <w:w w:val="110"/>
        </w:rPr>
        <w:t>group</w:t>
      </w:r>
    </w:p>
    <w:p>
      <w:pPr>
        <w:pStyle w:val="BodyText"/>
        <w:spacing w:line="233" w:lineRule="exact"/>
        <w:ind w:left="607"/>
      </w:pPr>
      <w:r>
        <w:rPr>
          <w:w w:val="120"/>
        </w:rPr>
        <w:t>Convenor: Mr Keith Webster [2017]</w:t>
      </w:r>
    </w:p>
    <w:p>
      <w:pPr>
        <w:pStyle w:val="BodyText"/>
        <w:tabs>
          <w:tab w:pos="4576" w:val="left" w:leader="none"/>
        </w:tabs>
        <w:spacing w:line="235" w:lineRule="auto" w:before="2"/>
        <w:ind w:left="607" w:right="4438"/>
      </w:pPr>
      <w:r>
        <w:rPr>
          <w:w w:val="120"/>
        </w:rPr>
        <w:t>Secretary:</w:t>
      </w:r>
      <w:r>
        <w:rPr>
          <w:spacing w:val="-10"/>
          <w:w w:val="120"/>
        </w:rPr>
        <w:t> </w:t>
      </w:r>
      <w:r>
        <w:rPr>
          <w:w w:val="120"/>
        </w:rPr>
        <w:t>The</w:t>
      </w:r>
      <w:r>
        <w:rPr>
          <w:spacing w:val="-9"/>
          <w:w w:val="120"/>
        </w:rPr>
        <w:t> </w:t>
      </w:r>
      <w:r>
        <w:rPr>
          <w:w w:val="120"/>
        </w:rPr>
        <w:t>Deputy</w:t>
      </w:r>
      <w:r>
        <w:rPr>
          <w:spacing w:val="-9"/>
          <w:w w:val="120"/>
        </w:rPr>
        <w:t> </w:t>
      </w:r>
      <w:r>
        <w:rPr>
          <w:w w:val="120"/>
        </w:rPr>
        <w:t>General</w:t>
      </w:r>
      <w:r>
        <w:rPr>
          <w:spacing w:val="-9"/>
          <w:w w:val="120"/>
        </w:rPr>
        <w:t> </w:t>
      </w:r>
      <w:r>
        <w:rPr>
          <w:w w:val="120"/>
        </w:rPr>
        <w:t>Secretary</w:t>
      </w:r>
      <w:r>
        <w:rPr>
          <w:spacing w:val="-9"/>
          <w:w w:val="120"/>
        </w:rPr>
        <w:t> </w:t>
      </w:r>
      <w:r>
        <w:rPr>
          <w:w w:val="120"/>
        </w:rPr>
        <w:t>(Admin</w:t>
      </w:r>
      <w:r>
        <w:rPr>
          <w:spacing w:val="-9"/>
          <w:w w:val="120"/>
        </w:rPr>
        <w:t> </w:t>
      </w:r>
      <w:r>
        <w:rPr>
          <w:w w:val="120"/>
        </w:rPr>
        <w:t>and</w:t>
      </w:r>
      <w:r>
        <w:rPr>
          <w:spacing w:val="-9"/>
          <w:w w:val="120"/>
        </w:rPr>
        <w:t> </w:t>
      </w:r>
      <w:r>
        <w:rPr>
          <w:w w:val="120"/>
        </w:rPr>
        <w:t>Resources) Mr Mike</w:t>
      </w:r>
      <w:r>
        <w:rPr>
          <w:spacing w:val="3"/>
          <w:w w:val="120"/>
        </w:rPr>
        <w:t> </w:t>
      </w:r>
      <w:r>
        <w:rPr>
          <w:w w:val="120"/>
        </w:rPr>
        <w:t>Gould</w:t>
      </w:r>
      <w:r>
        <w:rPr>
          <w:spacing w:val="2"/>
          <w:w w:val="120"/>
        </w:rPr>
        <w:t> </w:t>
      </w:r>
      <w:r>
        <w:rPr>
          <w:w w:val="120"/>
        </w:rPr>
        <w:t>[2017]</w:t>
        <w:tab/>
        <w:t>Mr Peter </w:t>
      </w:r>
      <w:r>
        <w:rPr>
          <w:spacing w:val="-4"/>
          <w:w w:val="120"/>
        </w:rPr>
        <w:t>Pay</w:t>
      </w:r>
      <w:r>
        <w:rPr>
          <w:spacing w:val="-11"/>
          <w:w w:val="120"/>
        </w:rPr>
        <w:t> </w:t>
      </w:r>
      <w:r>
        <w:rPr>
          <w:w w:val="120"/>
        </w:rPr>
        <w:t>[2017]</w:t>
      </w:r>
    </w:p>
    <w:p>
      <w:pPr>
        <w:pStyle w:val="BodyText"/>
        <w:tabs>
          <w:tab w:pos="4576" w:val="left" w:leader="none"/>
        </w:tabs>
        <w:spacing w:line="235" w:lineRule="auto" w:before="1"/>
        <w:ind w:left="607" w:right="3719"/>
      </w:pPr>
      <w:r>
        <w:rPr>
          <w:w w:val="120"/>
        </w:rPr>
        <w:t>Mr Alistair</w:t>
      </w:r>
      <w:r>
        <w:rPr>
          <w:spacing w:val="-20"/>
          <w:w w:val="120"/>
        </w:rPr>
        <w:t> </w:t>
      </w:r>
      <w:r>
        <w:rPr>
          <w:w w:val="120"/>
        </w:rPr>
        <w:t>Forsyth</w:t>
      </w:r>
      <w:r>
        <w:rPr>
          <w:spacing w:val="-10"/>
          <w:w w:val="120"/>
        </w:rPr>
        <w:t> </w:t>
      </w:r>
      <w:r>
        <w:rPr>
          <w:w w:val="120"/>
        </w:rPr>
        <w:t>[2017]</w:t>
        <w:tab/>
        <w:t>The Revd Wendy White </w:t>
      </w:r>
      <w:r>
        <w:rPr>
          <w:spacing w:val="-3"/>
          <w:w w:val="120"/>
        </w:rPr>
        <w:t>[2017] </w:t>
      </w:r>
      <w:r>
        <w:rPr>
          <w:w w:val="120"/>
        </w:rPr>
        <w:t>Mrs Bridget Fosten</w:t>
      </w:r>
      <w:r>
        <w:rPr>
          <w:spacing w:val="4"/>
          <w:w w:val="120"/>
        </w:rPr>
        <w:t> </w:t>
      </w:r>
      <w:r>
        <w:rPr>
          <w:w w:val="120"/>
        </w:rPr>
        <w:t>[2019]</w:t>
      </w:r>
    </w:p>
    <w:p>
      <w:pPr>
        <w:pStyle w:val="BodyText"/>
        <w:spacing w:line="242" w:lineRule="exact"/>
        <w:ind w:left="607"/>
      </w:pPr>
      <w:r>
        <w:rPr>
          <w:w w:val="115"/>
        </w:rPr>
        <w:t>General Secretary</w:t>
      </w:r>
    </w:p>
    <w:p>
      <w:pPr>
        <w:pStyle w:val="BodyText"/>
        <w:rPr>
          <w:sz w:val="19"/>
        </w:rPr>
      </w:pPr>
    </w:p>
    <w:p>
      <w:pPr>
        <w:pStyle w:val="ListParagraph"/>
        <w:numPr>
          <w:ilvl w:val="1"/>
          <w:numId w:val="232"/>
        </w:numPr>
        <w:tabs>
          <w:tab w:pos="1287" w:val="left" w:leader="none"/>
          <w:tab w:pos="1288" w:val="left" w:leader="none"/>
        </w:tabs>
        <w:spacing w:line="230" w:lineRule="auto" w:before="0" w:after="0"/>
        <w:ind w:left="607" w:right="5837" w:firstLine="0"/>
        <w:jc w:val="left"/>
        <w:rPr>
          <w:sz w:val="20"/>
        </w:rPr>
      </w:pPr>
      <w:r>
        <w:rPr>
          <w:rFonts w:ascii="Stone Sans II ITC Std Bk"/>
          <w:b/>
          <w:w w:val="115"/>
          <w:sz w:val="20"/>
        </w:rPr>
        <w:t>Law and Polity advisory group </w:t>
      </w:r>
      <w:r>
        <w:rPr>
          <w:w w:val="115"/>
          <w:sz w:val="20"/>
        </w:rPr>
        <w:t>Convenor: The Revd Prof David Thompson [2018] Secretary: Mr Neil Mackenzie</w:t>
      </w:r>
      <w:r>
        <w:rPr>
          <w:spacing w:val="29"/>
          <w:w w:val="115"/>
          <w:sz w:val="20"/>
        </w:rPr>
        <w:t> </w:t>
      </w:r>
      <w:r>
        <w:rPr>
          <w:w w:val="115"/>
          <w:sz w:val="20"/>
        </w:rPr>
        <w:t>[2020]</w:t>
      </w:r>
    </w:p>
    <w:p>
      <w:pPr>
        <w:pStyle w:val="BodyText"/>
        <w:tabs>
          <w:tab w:pos="4576" w:val="left" w:leader="none"/>
        </w:tabs>
        <w:spacing w:line="235" w:lineRule="auto"/>
        <w:ind w:left="607" w:right="3939"/>
      </w:pPr>
      <w:r>
        <w:rPr>
          <w:w w:val="115"/>
        </w:rPr>
        <w:t>Ms  Morag</w:t>
      </w:r>
      <w:r>
        <w:rPr>
          <w:spacing w:val="-8"/>
          <w:w w:val="115"/>
        </w:rPr>
        <w:t> </w:t>
      </w:r>
      <w:r>
        <w:rPr>
          <w:w w:val="115"/>
        </w:rPr>
        <w:t>McLintock</w:t>
      </w:r>
      <w:r>
        <w:rPr>
          <w:spacing w:val="22"/>
          <w:w w:val="115"/>
        </w:rPr>
        <w:t> </w:t>
      </w:r>
      <w:r>
        <w:rPr>
          <w:w w:val="115"/>
        </w:rPr>
        <w:t>[2020]</w:t>
        <w:tab/>
        <w:t>Ms Denise Fitzpatrick </w:t>
      </w:r>
      <w:r>
        <w:rPr>
          <w:spacing w:val="-3"/>
          <w:w w:val="115"/>
        </w:rPr>
        <w:t>[2017] </w:t>
      </w:r>
      <w:r>
        <w:rPr>
          <w:w w:val="115"/>
        </w:rPr>
        <w:t>Mr</w:t>
      </w:r>
      <w:r>
        <w:rPr>
          <w:spacing w:val="23"/>
          <w:w w:val="115"/>
        </w:rPr>
        <w:t> </w:t>
      </w:r>
      <w:r>
        <w:rPr>
          <w:w w:val="115"/>
        </w:rPr>
        <w:t>George</w:t>
      </w:r>
      <w:r>
        <w:rPr>
          <w:spacing w:val="23"/>
          <w:w w:val="115"/>
        </w:rPr>
        <w:t> </w:t>
      </w:r>
      <w:r>
        <w:rPr>
          <w:w w:val="115"/>
        </w:rPr>
        <w:t>Faris</w:t>
      </w:r>
      <w:r>
        <w:rPr>
          <w:spacing w:val="23"/>
          <w:w w:val="115"/>
        </w:rPr>
        <w:t> </w:t>
      </w:r>
      <w:r>
        <w:rPr>
          <w:w w:val="115"/>
        </w:rPr>
        <w:t>[2020</w:t>
      </w:r>
      <w:r>
        <w:rPr>
          <w:spacing w:val="24"/>
          <w:w w:val="115"/>
        </w:rPr>
        <w:t> </w:t>
      </w:r>
      <w:r>
        <w:rPr>
          <w:w w:val="115"/>
        </w:rPr>
        <w:t>]</w:t>
      </w:r>
      <w:r>
        <w:rPr>
          <w:spacing w:val="23"/>
          <w:w w:val="115"/>
        </w:rPr>
        <w:t> </w:t>
      </w:r>
      <w:r>
        <w:rPr>
          <w:w w:val="115"/>
        </w:rPr>
        <w:t>(Synod</w:t>
      </w:r>
      <w:r>
        <w:rPr>
          <w:spacing w:val="23"/>
          <w:w w:val="115"/>
        </w:rPr>
        <w:t> </w:t>
      </w:r>
      <w:r>
        <w:rPr>
          <w:w w:val="115"/>
        </w:rPr>
        <w:t>Clerk)</w:t>
        <w:tab/>
        <w:t>Mrs Kath Fowler</w:t>
      </w:r>
      <w:r>
        <w:rPr>
          <w:spacing w:val="33"/>
          <w:w w:val="115"/>
        </w:rPr>
        <w:t> </w:t>
      </w:r>
      <w:r>
        <w:rPr>
          <w:w w:val="115"/>
        </w:rPr>
        <w:t>(PLATO)</w:t>
      </w:r>
    </w:p>
    <w:p>
      <w:pPr>
        <w:pStyle w:val="BodyText"/>
        <w:spacing w:line="242" w:lineRule="exact"/>
        <w:ind w:left="607"/>
      </w:pPr>
      <w:r>
        <w:rPr>
          <w:w w:val="115"/>
        </w:rPr>
        <w:t>[</w:t>
      </w:r>
      <w:r>
        <w:rPr>
          <w:i/>
          <w:w w:val="115"/>
        </w:rPr>
        <w:t>ex officio</w:t>
      </w:r>
      <w:r>
        <w:rPr>
          <w:w w:val="115"/>
        </w:rPr>
        <w:t>: Clerk to General Assembly, General Secretary, legal adviser]</w:t>
      </w:r>
    </w:p>
    <w:p>
      <w:pPr>
        <w:pStyle w:val="BodyText"/>
        <w:spacing w:before="11"/>
        <w:rPr>
          <w:sz w:val="18"/>
        </w:rPr>
      </w:pPr>
    </w:p>
    <w:p>
      <w:pPr>
        <w:pStyle w:val="ListParagraph"/>
        <w:numPr>
          <w:ilvl w:val="1"/>
          <w:numId w:val="232"/>
        </w:numPr>
        <w:tabs>
          <w:tab w:pos="1327" w:val="left" w:leader="none"/>
          <w:tab w:pos="1328" w:val="left" w:leader="none"/>
        </w:tabs>
        <w:spacing w:line="230" w:lineRule="auto" w:before="0" w:after="0"/>
        <w:ind w:left="607" w:right="6577" w:firstLine="0"/>
        <w:jc w:val="left"/>
        <w:rPr>
          <w:sz w:val="20"/>
        </w:rPr>
      </w:pPr>
      <w:r>
        <w:rPr>
          <w:rFonts w:ascii="Stone Sans II ITC Std Bk"/>
          <w:b/>
          <w:w w:val="110"/>
          <w:sz w:val="20"/>
        </w:rPr>
        <w:t>Listed buildings advisory </w:t>
      </w:r>
      <w:r>
        <w:rPr>
          <w:rFonts w:ascii="Stone Sans II ITC Std Bk"/>
          <w:b/>
          <w:spacing w:val="-3"/>
          <w:w w:val="110"/>
          <w:sz w:val="20"/>
        </w:rPr>
        <w:t>group </w:t>
      </w:r>
      <w:r>
        <w:rPr>
          <w:w w:val="115"/>
          <w:sz w:val="20"/>
        </w:rPr>
        <w:t>Convenor: Mr Peter West  [2019] Secretary: The Revd James</w:t>
      </w:r>
      <w:r>
        <w:rPr>
          <w:spacing w:val="19"/>
          <w:w w:val="115"/>
          <w:sz w:val="20"/>
        </w:rPr>
        <w:t> </w:t>
      </w:r>
      <w:r>
        <w:rPr>
          <w:w w:val="115"/>
          <w:sz w:val="20"/>
        </w:rPr>
        <w:t>Mather</w:t>
      </w:r>
    </w:p>
    <w:p>
      <w:pPr>
        <w:pStyle w:val="BodyText"/>
        <w:tabs>
          <w:tab w:pos="4576" w:val="left" w:leader="none"/>
        </w:tabs>
        <w:spacing w:line="238" w:lineRule="exact"/>
        <w:ind w:left="607"/>
      </w:pPr>
      <w:r>
        <w:rPr>
          <w:w w:val="120"/>
        </w:rPr>
        <w:t>The Revd </w:t>
      </w:r>
      <w:r>
        <w:rPr>
          <w:spacing w:val="-3"/>
          <w:w w:val="120"/>
        </w:rPr>
        <w:t>Ray</w:t>
      </w:r>
      <w:r>
        <w:rPr>
          <w:w w:val="120"/>
        </w:rPr>
        <w:t> Angelsea (1)</w:t>
        <w:tab/>
        <w:t>Mr Michael Williams</w:t>
      </w:r>
      <w:r>
        <w:rPr>
          <w:spacing w:val="4"/>
          <w:w w:val="120"/>
        </w:rPr>
        <w:t> </w:t>
      </w:r>
      <w:r>
        <w:rPr>
          <w:w w:val="120"/>
        </w:rPr>
        <w:t>(2)</w:t>
      </w:r>
    </w:p>
    <w:p>
      <w:pPr>
        <w:pStyle w:val="BodyText"/>
        <w:tabs>
          <w:tab w:pos="4576" w:val="left" w:leader="none"/>
        </w:tabs>
        <w:spacing w:line="240" w:lineRule="exact"/>
        <w:ind w:left="607"/>
      </w:pPr>
      <w:r>
        <w:rPr>
          <w:w w:val="120"/>
        </w:rPr>
        <w:t>Ms Alison</w:t>
      </w:r>
      <w:r>
        <w:rPr>
          <w:spacing w:val="1"/>
          <w:w w:val="120"/>
        </w:rPr>
        <w:t> </w:t>
      </w:r>
      <w:r>
        <w:rPr>
          <w:w w:val="120"/>
        </w:rPr>
        <w:t>Lee</w:t>
      </w:r>
      <w:r>
        <w:rPr>
          <w:spacing w:val="1"/>
          <w:w w:val="120"/>
        </w:rPr>
        <w:t> </w:t>
      </w:r>
      <w:r>
        <w:rPr>
          <w:w w:val="120"/>
        </w:rPr>
        <w:t>(3)</w:t>
        <w:tab/>
        <w:t>The Revd David Figures</w:t>
      </w:r>
      <w:r>
        <w:rPr>
          <w:spacing w:val="8"/>
          <w:w w:val="120"/>
        </w:rPr>
        <w:t> </w:t>
      </w:r>
      <w:r>
        <w:rPr>
          <w:w w:val="120"/>
        </w:rPr>
        <w:t>(4)</w:t>
      </w:r>
    </w:p>
    <w:p>
      <w:pPr>
        <w:pStyle w:val="BodyText"/>
        <w:tabs>
          <w:tab w:pos="4576" w:val="left" w:leader="none"/>
        </w:tabs>
        <w:spacing w:line="240" w:lineRule="exact"/>
        <w:ind w:left="607"/>
      </w:pPr>
      <w:r>
        <w:rPr>
          <w:w w:val="120"/>
        </w:rPr>
        <w:t>Mrs Judith</w:t>
      </w:r>
      <w:r>
        <w:rPr>
          <w:spacing w:val="-9"/>
          <w:w w:val="120"/>
        </w:rPr>
        <w:t> </w:t>
      </w:r>
      <w:r>
        <w:rPr>
          <w:w w:val="120"/>
        </w:rPr>
        <w:t>Booth</w:t>
      </w:r>
      <w:r>
        <w:rPr>
          <w:spacing w:val="-4"/>
          <w:w w:val="120"/>
        </w:rPr>
        <w:t> </w:t>
      </w:r>
      <w:r>
        <w:rPr>
          <w:w w:val="120"/>
        </w:rPr>
        <w:t>(5)</w:t>
        <w:tab/>
        <w:t>Mrs Rachel Wakeman</w:t>
      </w:r>
      <w:r>
        <w:rPr>
          <w:spacing w:val="3"/>
          <w:w w:val="120"/>
        </w:rPr>
        <w:t> </w:t>
      </w:r>
      <w:r>
        <w:rPr>
          <w:w w:val="120"/>
        </w:rPr>
        <w:t>(6)</w:t>
      </w:r>
    </w:p>
    <w:p>
      <w:pPr>
        <w:pStyle w:val="BodyText"/>
        <w:tabs>
          <w:tab w:pos="4576" w:val="left" w:leader="none"/>
        </w:tabs>
        <w:spacing w:line="240" w:lineRule="exact"/>
        <w:ind w:left="607"/>
      </w:pPr>
      <w:r>
        <w:rPr>
          <w:w w:val="120"/>
        </w:rPr>
        <w:t>Mr Peter</w:t>
      </w:r>
      <w:r>
        <w:rPr>
          <w:spacing w:val="-21"/>
          <w:w w:val="120"/>
        </w:rPr>
        <w:t> </w:t>
      </w:r>
      <w:r>
        <w:rPr>
          <w:w w:val="120"/>
        </w:rPr>
        <w:t>West</w:t>
      </w:r>
      <w:r>
        <w:rPr>
          <w:spacing w:val="-10"/>
          <w:w w:val="120"/>
        </w:rPr>
        <w:t> </w:t>
      </w:r>
      <w:r>
        <w:rPr>
          <w:w w:val="120"/>
        </w:rPr>
        <w:t>(7)</w:t>
        <w:tab/>
        <w:t>Mr Roger James</w:t>
      </w:r>
      <w:r>
        <w:rPr>
          <w:spacing w:val="5"/>
          <w:w w:val="120"/>
        </w:rPr>
        <w:t> </w:t>
      </w:r>
      <w:r>
        <w:rPr>
          <w:w w:val="120"/>
        </w:rPr>
        <w:t>(8)</w:t>
      </w:r>
    </w:p>
    <w:p>
      <w:pPr>
        <w:pStyle w:val="BodyText"/>
        <w:tabs>
          <w:tab w:pos="4576" w:val="left" w:leader="none"/>
        </w:tabs>
        <w:spacing w:line="240" w:lineRule="exact"/>
        <w:ind w:left="607"/>
      </w:pPr>
      <w:r>
        <w:rPr>
          <w:w w:val="120"/>
        </w:rPr>
        <w:t>Mr Gerry</w:t>
      </w:r>
      <w:r>
        <w:rPr>
          <w:spacing w:val="-9"/>
          <w:w w:val="120"/>
        </w:rPr>
        <w:t> </w:t>
      </w:r>
      <w:r>
        <w:rPr>
          <w:w w:val="120"/>
        </w:rPr>
        <w:t>Prosser</w:t>
      </w:r>
      <w:r>
        <w:rPr>
          <w:spacing w:val="-4"/>
          <w:w w:val="120"/>
        </w:rPr>
        <w:t> </w:t>
      </w:r>
      <w:r>
        <w:rPr>
          <w:w w:val="120"/>
        </w:rPr>
        <w:t>(9)</w:t>
        <w:tab/>
        <w:t>Mr Christopher Buckwell</w:t>
      </w:r>
      <w:r>
        <w:rPr>
          <w:spacing w:val="6"/>
          <w:w w:val="120"/>
        </w:rPr>
        <w:t> </w:t>
      </w:r>
      <w:r>
        <w:rPr>
          <w:w w:val="120"/>
        </w:rPr>
        <w:t>(10)</w:t>
      </w:r>
    </w:p>
    <w:p>
      <w:pPr>
        <w:pStyle w:val="BodyText"/>
        <w:tabs>
          <w:tab w:pos="4576" w:val="left" w:leader="none"/>
        </w:tabs>
        <w:spacing w:line="242" w:lineRule="exact"/>
        <w:ind w:left="607"/>
      </w:pPr>
      <w:r>
        <w:rPr>
          <w:w w:val="120"/>
        </w:rPr>
        <w:t>Mr Guy</w:t>
      </w:r>
      <w:r>
        <w:rPr>
          <w:spacing w:val="-5"/>
          <w:w w:val="120"/>
        </w:rPr>
        <w:t> </w:t>
      </w:r>
      <w:r>
        <w:rPr>
          <w:w w:val="120"/>
        </w:rPr>
        <w:t>Morfett</w:t>
      </w:r>
      <w:r>
        <w:rPr>
          <w:spacing w:val="-2"/>
          <w:w w:val="120"/>
        </w:rPr>
        <w:t> </w:t>
      </w:r>
      <w:r>
        <w:rPr>
          <w:w w:val="120"/>
        </w:rPr>
        <w:t>(11)</w:t>
        <w:tab/>
        <w:t>Mrs Sue Cole</w:t>
      </w:r>
      <w:r>
        <w:rPr>
          <w:spacing w:val="7"/>
          <w:w w:val="120"/>
        </w:rPr>
        <w:t> </w:t>
      </w:r>
      <w:r>
        <w:rPr>
          <w:w w:val="120"/>
        </w:rPr>
        <w:t>(12)</w:t>
      </w:r>
    </w:p>
    <w:p>
      <w:pPr>
        <w:spacing w:after="0" w:line="242" w:lineRule="exact"/>
        <w:sectPr>
          <w:headerReference w:type="even" r:id="rId539"/>
          <w:footerReference w:type="even" r:id="rId540"/>
          <w:footerReference w:type="default" r:id="rId541"/>
          <w:pgSz w:w="11910" w:h="16840"/>
          <w:pgMar w:header="0" w:footer="647" w:top="0" w:bottom="840" w:left="640" w:right="0"/>
          <w:pgNumType w:start="202"/>
        </w:sectPr>
      </w:pPr>
    </w:p>
    <w:p>
      <w:pPr>
        <w:pStyle w:val="BodyText"/>
      </w:pPr>
      <w:r>
        <w:rPr/>
        <w:drawing>
          <wp:anchor distT="0" distB="0" distL="0" distR="0" allowOverlap="1" layoutInCell="1" locked="0" behindDoc="0" simplePos="0" relativeHeight="252203008">
            <wp:simplePos x="0" y="0"/>
            <wp:positionH relativeFrom="page">
              <wp:posOffset>6974928</wp:posOffset>
            </wp:positionH>
            <wp:positionV relativeFrom="page">
              <wp:posOffset>0</wp:posOffset>
            </wp:positionV>
            <wp:extent cx="585063" cy="10692003"/>
            <wp:effectExtent l="0" t="0" r="0" b="0"/>
            <wp:wrapNone/>
            <wp:docPr id="387" name="image70.png"/>
            <wp:cNvGraphicFramePr>
              <a:graphicFrameLocks noChangeAspect="1"/>
            </wp:cNvGraphicFramePr>
            <a:graphic>
              <a:graphicData uri="http://schemas.openxmlformats.org/drawingml/2006/picture">
                <pic:pic>
                  <pic:nvPicPr>
                    <pic:cNvPr id="388" name="image70.png"/>
                    <pic:cNvPicPr/>
                  </pic:nvPicPr>
                  <pic:blipFill>
                    <a:blip r:embed="rId532" cstate="print"/>
                    <a:stretch>
                      <a:fillRect/>
                    </a:stretch>
                  </pic:blipFill>
                  <pic:spPr>
                    <a:xfrm>
                      <a:off x="0" y="0"/>
                      <a:ext cx="585063" cy="10692003"/>
                    </a:xfrm>
                    <a:prstGeom prst="rect">
                      <a:avLst/>
                    </a:prstGeom>
                  </pic:spPr>
                </pic:pic>
              </a:graphicData>
            </a:graphic>
          </wp:anchor>
        </w:drawing>
      </w:r>
    </w:p>
    <w:p>
      <w:pPr>
        <w:pStyle w:val="BodyText"/>
        <w:spacing w:before="7"/>
        <w:rPr>
          <w:sz w:val="21"/>
        </w:rPr>
      </w:pPr>
    </w:p>
    <w:p>
      <w:pPr>
        <w:spacing w:before="106"/>
        <w:ind w:left="0" w:right="1245" w:firstLine="0"/>
        <w:jc w:val="right"/>
        <w:rPr>
          <w:sz w:val="26"/>
        </w:rPr>
      </w:pPr>
      <w:r>
        <w:rPr/>
        <w:pict>
          <v:shape style="position:absolute;margin-left:554.141174pt;margin-top:22.593945pt;width:25.9pt;height:131.3pt;mso-position-horizontal-relative:page;mso-position-vertical-relative:paragraph;z-index:252204032" type="#_x0000_t202" filled="false" stroked="false">
            <v:textbox inset="0,0,0,0" style="layout-flow:vertical">
              <w:txbxContent>
                <w:p>
                  <w:pPr>
                    <w:spacing w:before="27"/>
                    <w:ind w:left="20" w:right="0" w:firstLine="0"/>
                    <w:jc w:val="left"/>
                    <w:rPr>
                      <w:sz w:val="39"/>
                    </w:rPr>
                  </w:pPr>
                  <w:r>
                    <w:rPr>
                      <w:color w:val="FFFFFF"/>
                      <w:w w:val="120"/>
                      <w:sz w:val="39"/>
                    </w:rPr>
                    <w:t>Nominations</w:t>
                  </w:r>
                </w:p>
              </w:txbxContent>
            </v:textbox>
            <w10:wrap type="none"/>
          </v:shape>
        </w:pict>
      </w:r>
      <w:r>
        <w:rPr>
          <w:color w:val="7EAABF"/>
          <w:w w:val="115"/>
          <w:sz w:val="26"/>
        </w:rPr>
        <w:t>Nominations</w:t>
      </w:r>
    </w:p>
    <w:p>
      <w:pPr>
        <w:pStyle w:val="ListParagraph"/>
        <w:numPr>
          <w:ilvl w:val="1"/>
          <w:numId w:val="232"/>
        </w:numPr>
        <w:tabs>
          <w:tab w:pos="2024" w:val="left" w:leader="none"/>
          <w:tab w:pos="2025" w:val="left" w:leader="none"/>
        </w:tabs>
        <w:spacing w:line="230" w:lineRule="auto" w:before="213" w:after="0"/>
        <w:ind w:left="1344" w:right="6035" w:firstLine="0"/>
        <w:jc w:val="left"/>
        <w:rPr>
          <w:sz w:val="20"/>
        </w:rPr>
      </w:pPr>
      <w:r>
        <w:rPr>
          <w:rFonts w:ascii="Stone Sans II ITC Std Bk"/>
          <w:b/>
          <w:w w:val="115"/>
          <w:sz w:val="20"/>
        </w:rPr>
        <w:t>Resource Sharing task group </w:t>
      </w:r>
      <w:r>
        <w:rPr>
          <w:w w:val="115"/>
          <w:sz w:val="20"/>
        </w:rPr>
        <w:t>Convenor: The Revd Paul Whittle [2017] Secretary: Mr Chris</w:t>
      </w:r>
      <w:r>
        <w:rPr>
          <w:spacing w:val="18"/>
          <w:w w:val="115"/>
          <w:sz w:val="20"/>
        </w:rPr>
        <w:t> </w:t>
      </w:r>
      <w:r>
        <w:rPr>
          <w:w w:val="115"/>
          <w:sz w:val="20"/>
        </w:rPr>
        <w:t>Atherton</w:t>
      </w:r>
    </w:p>
    <w:p>
      <w:pPr>
        <w:pStyle w:val="BodyText"/>
        <w:spacing w:line="238" w:lineRule="exact"/>
        <w:ind w:left="1344"/>
      </w:pPr>
      <w:r>
        <w:rPr>
          <w:w w:val="120"/>
        </w:rPr>
        <w:t>Treasurer: The Revd Dick Gray</w:t>
      </w:r>
    </w:p>
    <w:p>
      <w:pPr>
        <w:pStyle w:val="BodyText"/>
        <w:tabs>
          <w:tab w:pos="5664" w:val="left" w:leader="none"/>
        </w:tabs>
        <w:spacing w:line="240" w:lineRule="exact"/>
        <w:ind w:left="1344"/>
      </w:pPr>
      <w:r>
        <w:rPr>
          <w:w w:val="115"/>
        </w:rPr>
        <w:t>Miss</w:t>
      </w:r>
      <w:r>
        <w:rPr>
          <w:spacing w:val="3"/>
          <w:w w:val="115"/>
        </w:rPr>
        <w:t> </w:t>
      </w:r>
      <w:r>
        <w:rPr>
          <w:w w:val="115"/>
        </w:rPr>
        <w:t>Margaret</w:t>
      </w:r>
      <w:r>
        <w:rPr>
          <w:spacing w:val="4"/>
          <w:w w:val="115"/>
        </w:rPr>
        <w:t> </w:t>
      </w:r>
      <w:r>
        <w:rPr>
          <w:w w:val="115"/>
        </w:rPr>
        <w:t>Atkinson</w:t>
        <w:tab/>
        <w:t>Mr Mike</w:t>
      </w:r>
      <w:r>
        <w:rPr>
          <w:spacing w:val="10"/>
          <w:w w:val="115"/>
        </w:rPr>
        <w:t> </w:t>
      </w:r>
      <w:r>
        <w:rPr>
          <w:w w:val="115"/>
        </w:rPr>
        <w:t>Gould</w:t>
      </w:r>
    </w:p>
    <w:p>
      <w:pPr>
        <w:tabs>
          <w:tab w:pos="5664" w:val="left" w:leader="none"/>
        </w:tabs>
        <w:spacing w:line="242" w:lineRule="exact" w:before="0"/>
        <w:ind w:left="1344" w:right="0" w:firstLine="0"/>
        <w:jc w:val="left"/>
        <w:rPr>
          <w:sz w:val="20"/>
        </w:rPr>
      </w:pPr>
      <w:r>
        <w:rPr>
          <w:w w:val="115"/>
          <w:sz w:val="20"/>
        </w:rPr>
        <w:t>Mrs Rachel Wakeman</w:t>
        <w:tab/>
        <w:t>[</w:t>
      </w:r>
      <w:r>
        <w:rPr>
          <w:i/>
          <w:w w:val="115"/>
          <w:sz w:val="20"/>
        </w:rPr>
        <w:t>ex officio: </w:t>
      </w:r>
      <w:r>
        <w:rPr>
          <w:w w:val="115"/>
          <w:sz w:val="20"/>
        </w:rPr>
        <w:t>The</w:t>
      </w:r>
      <w:r>
        <w:rPr>
          <w:spacing w:val="6"/>
          <w:w w:val="115"/>
          <w:sz w:val="20"/>
        </w:rPr>
        <w:t> </w:t>
      </w:r>
      <w:r>
        <w:rPr>
          <w:w w:val="115"/>
          <w:sz w:val="20"/>
        </w:rPr>
        <w:t>Treasurer]</w:t>
      </w:r>
    </w:p>
    <w:p>
      <w:pPr>
        <w:pStyle w:val="BodyText"/>
        <w:spacing w:before="4"/>
        <w:rPr>
          <w:sz w:val="18"/>
        </w:rPr>
      </w:pPr>
    </w:p>
    <w:p>
      <w:pPr>
        <w:pStyle w:val="Heading7"/>
        <w:numPr>
          <w:ilvl w:val="1"/>
          <w:numId w:val="232"/>
        </w:numPr>
        <w:tabs>
          <w:tab w:pos="2024" w:val="left" w:leader="none"/>
          <w:tab w:pos="2025" w:val="left" w:leader="none"/>
        </w:tabs>
        <w:spacing w:line="261" w:lineRule="exact" w:before="0" w:after="0"/>
        <w:ind w:left="2024" w:right="0" w:hanging="681"/>
        <w:jc w:val="left"/>
      </w:pPr>
      <w:r>
        <w:rPr>
          <w:w w:val="110"/>
        </w:rPr>
        <w:t>Human Sexuality task</w:t>
      </w:r>
      <w:r>
        <w:rPr>
          <w:spacing w:val="-1"/>
          <w:w w:val="110"/>
        </w:rPr>
        <w:t> </w:t>
      </w:r>
      <w:r>
        <w:rPr>
          <w:w w:val="110"/>
        </w:rPr>
        <w:t>group</w:t>
      </w:r>
    </w:p>
    <w:p>
      <w:pPr>
        <w:pStyle w:val="BodyText"/>
        <w:spacing w:line="233" w:lineRule="exact"/>
        <w:ind w:left="1344"/>
      </w:pPr>
      <w:r>
        <w:rPr>
          <w:w w:val="120"/>
        </w:rPr>
        <w:t>Convenor: The Revd Elizabeth Caswell</w:t>
      </w:r>
    </w:p>
    <w:p>
      <w:pPr>
        <w:pStyle w:val="BodyText"/>
        <w:tabs>
          <w:tab w:pos="5664" w:val="left" w:leader="none"/>
        </w:tabs>
        <w:spacing w:line="240" w:lineRule="exact"/>
        <w:ind w:left="1344"/>
      </w:pPr>
      <w:r>
        <w:rPr>
          <w:w w:val="120"/>
        </w:rPr>
        <w:t>Dr</w:t>
      </w:r>
      <w:r>
        <w:rPr>
          <w:spacing w:val="1"/>
          <w:w w:val="120"/>
        </w:rPr>
        <w:t> </w:t>
      </w:r>
      <w:r>
        <w:rPr>
          <w:w w:val="120"/>
        </w:rPr>
        <w:t>Jacob</w:t>
      </w:r>
      <w:r>
        <w:rPr>
          <w:spacing w:val="2"/>
          <w:w w:val="120"/>
        </w:rPr>
        <w:t> </w:t>
      </w:r>
      <w:r>
        <w:rPr>
          <w:w w:val="120"/>
        </w:rPr>
        <w:t>Addo</w:t>
        <w:tab/>
        <w:t>Ms Karen</w:t>
      </w:r>
      <w:r>
        <w:rPr>
          <w:spacing w:val="3"/>
          <w:w w:val="120"/>
        </w:rPr>
        <w:t> </w:t>
      </w:r>
      <w:r>
        <w:rPr>
          <w:w w:val="120"/>
        </w:rPr>
        <w:t>Campbell</w:t>
      </w:r>
    </w:p>
    <w:p>
      <w:pPr>
        <w:pStyle w:val="BodyText"/>
        <w:tabs>
          <w:tab w:pos="5664" w:val="left" w:leader="none"/>
        </w:tabs>
        <w:spacing w:line="240" w:lineRule="exact"/>
        <w:ind w:left="1344"/>
      </w:pPr>
      <w:r>
        <w:rPr>
          <w:w w:val="115"/>
        </w:rPr>
        <w:t>The Revd</w:t>
      </w:r>
      <w:r>
        <w:rPr>
          <w:spacing w:val="18"/>
          <w:w w:val="115"/>
        </w:rPr>
        <w:t> </w:t>
      </w:r>
      <w:r>
        <w:rPr>
          <w:w w:val="115"/>
        </w:rPr>
        <w:t>John</w:t>
      </w:r>
      <w:r>
        <w:rPr>
          <w:spacing w:val="9"/>
          <w:w w:val="115"/>
        </w:rPr>
        <w:t> </w:t>
      </w:r>
      <w:r>
        <w:rPr>
          <w:w w:val="115"/>
        </w:rPr>
        <w:t>Hardaker</w:t>
        <w:tab/>
        <w:t>Mrs </w:t>
      </w:r>
      <w:r>
        <w:rPr>
          <w:spacing w:val="-3"/>
          <w:w w:val="115"/>
        </w:rPr>
        <w:t>Val</w:t>
      </w:r>
      <w:r>
        <w:rPr>
          <w:spacing w:val="9"/>
          <w:w w:val="115"/>
        </w:rPr>
        <w:t> </w:t>
      </w:r>
      <w:r>
        <w:rPr>
          <w:w w:val="115"/>
        </w:rPr>
        <w:t>Morrison</w:t>
      </w:r>
    </w:p>
    <w:p>
      <w:pPr>
        <w:pStyle w:val="BodyText"/>
        <w:tabs>
          <w:tab w:pos="5664" w:val="left" w:leader="none"/>
        </w:tabs>
        <w:spacing w:line="242" w:lineRule="exact"/>
        <w:ind w:left="1344"/>
      </w:pPr>
      <w:r>
        <w:rPr>
          <w:w w:val="115"/>
        </w:rPr>
        <w:t>The Revd</w:t>
      </w:r>
      <w:r>
        <w:rPr>
          <w:spacing w:val="27"/>
          <w:w w:val="115"/>
        </w:rPr>
        <w:t> </w:t>
      </w:r>
      <w:r>
        <w:rPr>
          <w:w w:val="115"/>
        </w:rPr>
        <w:t>Neil</w:t>
      </w:r>
      <w:r>
        <w:rPr>
          <w:spacing w:val="14"/>
          <w:w w:val="115"/>
        </w:rPr>
        <w:t> </w:t>
      </w:r>
      <w:r>
        <w:rPr>
          <w:w w:val="115"/>
        </w:rPr>
        <w:t>Riches</w:t>
        <w:tab/>
        <w:t>The Revd Justine</w:t>
      </w:r>
      <w:r>
        <w:rPr>
          <w:spacing w:val="13"/>
          <w:w w:val="115"/>
        </w:rPr>
        <w:t> </w:t>
      </w:r>
      <w:r>
        <w:rPr>
          <w:w w:val="115"/>
        </w:rPr>
        <w:t>Wyatt</w:t>
      </w:r>
    </w:p>
    <w:p>
      <w:pPr>
        <w:pStyle w:val="BodyText"/>
        <w:spacing w:before="3"/>
        <w:rPr>
          <w:sz w:val="18"/>
        </w:rPr>
      </w:pPr>
    </w:p>
    <w:p>
      <w:pPr>
        <w:pStyle w:val="Heading7"/>
        <w:numPr>
          <w:ilvl w:val="1"/>
          <w:numId w:val="232"/>
        </w:numPr>
        <w:tabs>
          <w:tab w:pos="2024" w:val="left" w:leader="none"/>
          <w:tab w:pos="2025" w:val="left" w:leader="none"/>
        </w:tabs>
        <w:spacing w:line="261" w:lineRule="exact" w:before="0" w:after="0"/>
        <w:ind w:left="2024" w:right="0" w:hanging="681"/>
        <w:jc w:val="left"/>
      </w:pPr>
      <w:r>
        <w:rPr>
          <w:w w:val="110"/>
        </w:rPr>
        <w:t>The </w:t>
      </w:r>
      <w:r>
        <w:rPr>
          <w:spacing w:val="-4"/>
          <w:w w:val="110"/>
        </w:rPr>
        <w:t>Church’s </w:t>
      </w:r>
      <w:r>
        <w:rPr>
          <w:w w:val="110"/>
        </w:rPr>
        <w:t>engagement with 20-40 year olds task</w:t>
      </w:r>
      <w:r>
        <w:rPr>
          <w:spacing w:val="3"/>
          <w:w w:val="110"/>
        </w:rPr>
        <w:t> </w:t>
      </w:r>
      <w:r>
        <w:rPr>
          <w:w w:val="110"/>
        </w:rPr>
        <w:t>group</w:t>
      </w:r>
    </w:p>
    <w:p>
      <w:pPr>
        <w:pStyle w:val="BodyText"/>
        <w:tabs>
          <w:tab w:pos="5664" w:val="left" w:leader="none"/>
        </w:tabs>
        <w:spacing w:line="233" w:lineRule="exact"/>
        <w:ind w:left="1344"/>
      </w:pPr>
      <w:r>
        <w:rPr>
          <w:w w:val="120"/>
        </w:rPr>
        <w:t>Mr</w:t>
      </w:r>
      <w:r>
        <w:rPr>
          <w:spacing w:val="-11"/>
          <w:w w:val="120"/>
        </w:rPr>
        <w:t> </w:t>
      </w:r>
      <w:r>
        <w:rPr>
          <w:w w:val="120"/>
        </w:rPr>
        <w:t>Stewart</w:t>
      </w:r>
      <w:r>
        <w:rPr>
          <w:spacing w:val="-10"/>
          <w:w w:val="120"/>
        </w:rPr>
        <w:t> </w:t>
      </w:r>
      <w:r>
        <w:rPr>
          <w:w w:val="120"/>
        </w:rPr>
        <w:t>Cutler</w:t>
        <w:tab/>
        <w:t>The Revd David</w:t>
      </w:r>
      <w:r>
        <w:rPr>
          <w:spacing w:val="6"/>
          <w:w w:val="120"/>
        </w:rPr>
        <w:t> </w:t>
      </w:r>
      <w:r>
        <w:rPr>
          <w:w w:val="120"/>
        </w:rPr>
        <w:t>Downing</w:t>
      </w:r>
    </w:p>
    <w:p>
      <w:pPr>
        <w:pStyle w:val="BodyText"/>
        <w:tabs>
          <w:tab w:pos="5664" w:val="left" w:leader="none"/>
        </w:tabs>
        <w:spacing w:line="240" w:lineRule="exact"/>
        <w:ind w:left="1344"/>
      </w:pPr>
      <w:r>
        <w:rPr>
          <w:w w:val="115"/>
        </w:rPr>
        <w:t>Ms</w:t>
      </w:r>
      <w:r>
        <w:rPr>
          <w:spacing w:val="13"/>
          <w:w w:val="115"/>
        </w:rPr>
        <w:t> </w:t>
      </w:r>
      <w:r>
        <w:rPr>
          <w:w w:val="115"/>
        </w:rPr>
        <w:t>Sabrina</w:t>
      </w:r>
      <w:r>
        <w:rPr>
          <w:spacing w:val="14"/>
          <w:w w:val="115"/>
        </w:rPr>
        <w:t> </w:t>
      </w:r>
      <w:r>
        <w:rPr>
          <w:w w:val="115"/>
        </w:rPr>
        <w:t>Groeschel</w:t>
        <w:tab/>
        <w:t>Ms Victoria</w:t>
      </w:r>
      <w:r>
        <w:rPr>
          <w:spacing w:val="10"/>
          <w:w w:val="115"/>
        </w:rPr>
        <w:t> </w:t>
      </w:r>
      <w:r>
        <w:rPr>
          <w:w w:val="115"/>
        </w:rPr>
        <w:t>Paulding</w:t>
      </w:r>
    </w:p>
    <w:p>
      <w:pPr>
        <w:pStyle w:val="BodyText"/>
        <w:tabs>
          <w:tab w:pos="5664" w:val="left" w:leader="none"/>
        </w:tabs>
        <w:spacing w:line="235" w:lineRule="auto" w:before="2"/>
        <w:ind w:left="1344" w:right="3564"/>
      </w:pPr>
      <w:r>
        <w:rPr>
          <w:w w:val="115"/>
        </w:rPr>
        <w:t>Ms</w:t>
      </w:r>
      <w:r>
        <w:rPr>
          <w:spacing w:val="12"/>
          <w:w w:val="115"/>
        </w:rPr>
        <w:t> </w:t>
      </w:r>
      <w:r>
        <w:rPr>
          <w:w w:val="115"/>
        </w:rPr>
        <w:t>Emma</w:t>
      </w:r>
      <w:r>
        <w:rPr>
          <w:spacing w:val="12"/>
          <w:w w:val="115"/>
        </w:rPr>
        <w:t> </w:t>
      </w:r>
      <w:r>
        <w:rPr>
          <w:w w:val="115"/>
        </w:rPr>
        <w:t>Pugh</w:t>
        <w:tab/>
        <w:t>The Revd Mike </w:t>
      </w:r>
      <w:r>
        <w:rPr>
          <w:spacing w:val="-5"/>
          <w:w w:val="115"/>
        </w:rPr>
        <w:t>Walsh </w:t>
      </w:r>
      <w:r>
        <w:rPr>
          <w:w w:val="115"/>
        </w:rPr>
        <w:t>The General</w:t>
      </w:r>
      <w:r>
        <w:rPr>
          <w:spacing w:val="9"/>
          <w:w w:val="115"/>
        </w:rPr>
        <w:t> </w:t>
      </w:r>
      <w:r>
        <w:rPr>
          <w:w w:val="115"/>
        </w:rPr>
        <w:t>Secretary</w:t>
      </w:r>
    </w:p>
    <w:p>
      <w:pPr>
        <w:pStyle w:val="BodyText"/>
        <w:spacing w:before="10"/>
        <w:rPr>
          <w:sz w:val="10"/>
        </w:rPr>
      </w:pPr>
    </w:p>
    <w:p>
      <w:pPr>
        <w:pStyle w:val="Heading7"/>
        <w:numPr>
          <w:ilvl w:val="1"/>
          <w:numId w:val="232"/>
        </w:numPr>
        <w:tabs>
          <w:tab w:pos="2024" w:val="left" w:leader="none"/>
          <w:tab w:pos="2025" w:val="left" w:leader="none"/>
        </w:tabs>
        <w:spacing w:line="261" w:lineRule="exact" w:before="93" w:after="0"/>
        <w:ind w:left="2024" w:right="0" w:hanging="681"/>
        <w:jc w:val="left"/>
      </w:pPr>
      <w:r>
        <w:rPr>
          <w:w w:val="110"/>
        </w:rPr>
        <w:t>Methodist/United Reformed Church faith and order</w:t>
      </w:r>
      <w:r>
        <w:rPr>
          <w:spacing w:val="-3"/>
          <w:w w:val="110"/>
        </w:rPr>
        <w:t> </w:t>
      </w:r>
      <w:r>
        <w:rPr>
          <w:w w:val="110"/>
        </w:rPr>
        <w:t>conversations:</w:t>
      </w:r>
    </w:p>
    <w:p>
      <w:pPr>
        <w:pStyle w:val="BodyText"/>
        <w:tabs>
          <w:tab w:pos="5664" w:val="left" w:leader="none"/>
        </w:tabs>
        <w:spacing w:line="235" w:lineRule="auto"/>
        <w:ind w:left="1344" w:right="3500"/>
      </w:pPr>
      <w:r>
        <w:rPr>
          <w:w w:val="120"/>
        </w:rPr>
        <w:t>The Revd</w:t>
      </w:r>
      <w:r>
        <w:rPr>
          <w:spacing w:val="-21"/>
          <w:w w:val="120"/>
        </w:rPr>
        <w:t> </w:t>
      </w:r>
      <w:r>
        <w:rPr>
          <w:w w:val="120"/>
        </w:rPr>
        <w:t>Sarah</w:t>
      </w:r>
      <w:r>
        <w:rPr>
          <w:spacing w:val="-10"/>
          <w:w w:val="120"/>
        </w:rPr>
        <w:t> </w:t>
      </w:r>
      <w:r>
        <w:rPr>
          <w:w w:val="120"/>
        </w:rPr>
        <w:t>Moore</w:t>
        <w:tab/>
        <w:t>The</w:t>
      </w:r>
      <w:r>
        <w:rPr>
          <w:spacing w:val="-16"/>
          <w:w w:val="120"/>
        </w:rPr>
        <w:t> </w:t>
      </w:r>
      <w:r>
        <w:rPr>
          <w:w w:val="120"/>
        </w:rPr>
        <w:t>Revd</w:t>
      </w:r>
      <w:r>
        <w:rPr>
          <w:spacing w:val="-17"/>
          <w:w w:val="120"/>
        </w:rPr>
        <w:t> </w:t>
      </w:r>
      <w:r>
        <w:rPr>
          <w:w w:val="120"/>
        </w:rPr>
        <w:t>Paul</w:t>
      </w:r>
      <w:r>
        <w:rPr>
          <w:spacing w:val="-16"/>
          <w:w w:val="120"/>
        </w:rPr>
        <w:t> </w:t>
      </w:r>
      <w:r>
        <w:rPr>
          <w:spacing w:val="-3"/>
          <w:w w:val="120"/>
        </w:rPr>
        <w:t>Whittle </w:t>
      </w:r>
      <w:r>
        <w:rPr>
          <w:w w:val="120"/>
        </w:rPr>
        <w:t>The Revd Dr Stephen</w:t>
      </w:r>
      <w:r>
        <w:rPr>
          <w:spacing w:val="6"/>
          <w:w w:val="120"/>
        </w:rPr>
        <w:t> </w:t>
      </w:r>
      <w:r>
        <w:rPr>
          <w:w w:val="120"/>
        </w:rPr>
        <w:t>Orchard</w:t>
      </w:r>
    </w:p>
    <w:p>
      <w:pPr>
        <w:pStyle w:val="BodyText"/>
        <w:spacing w:before="6"/>
        <w:rPr>
          <w:sz w:val="18"/>
        </w:rPr>
      </w:pPr>
    </w:p>
    <w:p>
      <w:pPr>
        <w:pStyle w:val="Heading2"/>
        <w:numPr>
          <w:ilvl w:val="0"/>
          <w:numId w:val="232"/>
        </w:numPr>
        <w:tabs>
          <w:tab w:pos="2024" w:val="left" w:leader="none"/>
          <w:tab w:pos="2025" w:val="left" w:leader="none"/>
        </w:tabs>
        <w:spacing w:line="240" w:lineRule="auto" w:before="0" w:after="0"/>
        <w:ind w:left="2024" w:right="0" w:hanging="681"/>
        <w:jc w:val="left"/>
      </w:pPr>
      <w:r>
        <w:rPr>
          <w:w w:val="110"/>
        </w:rPr>
        <w:t>General Secreteriat</w:t>
      </w:r>
    </w:p>
    <w:p>
      <w:pPr>
        <w:pStyle w:val="ListParagraph"/>
        <w:numPr>
          <w:ilvl w:val="1"/>
          <w:numId w:val="232"/>
        </w:numPr>
        <w:tabs>
          <w:tab w:pos="2024" w:val="left" w:leader="none"/>
          <w:tab w:pos="2025" w:val="left" w:leader="none"/>
        </w:tabs>
        <w:spacing w:line="230" w:lineRule="auto" w:before="75" w:after="0"/>
        <w:ind w:left="1344" w:right="5653" w:firstLine="0"/>
        <w:jc w:val="left"/>
        <w:rPr>
          <w:sz w:val="20"/>
        </w:rPr>
      </w:pPr>
      <w:r>
        <w:rPr>
          <w:rFonts w:ascii="Stone Sans II ITC Std Bk"/>
          <w:b/>
          <w:w w:val="115"/>
          <w:sz w:val="20"/>
        </w:rPr>
        <w:t>Faith and order committee </w:t>
      </w:r>
      <w:r>
        <w:rPr>
          <w:i/>
          <w:w w:val="115"/>
          <w:sz w:val="20"/>
        </w:rPr>
        <w:t>(Members normally serve for six years) </w:t>
      </w:r>
      <w:r>
        <w:rPr>
          <w:w w:val="115"/>
          <w:sz w:val="20"/>
        </w:rPr>
        <w:t>Convenor:</w:t>
      </w:r>
      <w:r>
        <w:rPr>
          <w:spacing w:val="29"/>
          <w:w w:val="115"/>
          <w:sz w:val="20"/>
        </w:rPr>
        <w:t> </w:t>
      </w:r>
      <w:r>
        <w:rPr>
          <w:w w:val="115"/>
          <w:sz w:val="20"/>
        </w:rPr>
        <w:t>The</w:t>
      </w:r>
      <w:r>
        <w:rPr>
          <w:spacing w:val="30"/>
          <w:w w:val="115"/>
          <w:sz w:val="20"/>
        </w:rPr>
        <w:t> </w:t>
      </w:r>
      <w:r>
        <w:rPr>
          <w:w w:val="115"/>
          <w:sz w:val="20"/>
        </w:rPr>
        <w:t>Revd</w:t>
      </w:r>
      <w:r>
        <w:rPr>
          <w:spacing w:val="30"/>
          <w:w w:val="115"/>
          <w:sz w:val="20"/>
        </w:rPr>
        <w:t> </w:t>
      </w:r>
      <w:r>
        <w:rPr>
          <w:w w:val="115"/>
          <w:sz w:val="20"/>
        </w:rPr>
        <w:t>Elizabeth</w:t>
      </w:r>
      <w:r>
        <w:rPr>
          <w:spacing w:val="30"/>
          <w:w w:val="115"/>
          <w:sz w:val="20"/>
        </w:rPr>
        <w:t> </w:t>
      </w:r>
      <w:r>
        <w:rPr>
          <w:w w:val="115"/>
          <w:sz w:val="20"/>
        </w:rPr>
        <w:t>Welch</w:t>
      </w:r>
      <w:r>
        <w:rPr>
          <w:spacing w:val="30"/>
          <w:w w:val="115"/>
          <w:sz w:val="20"/>
        </w:rPr>
        <w:t> </w:t>
      </w:r>
      <w:r>
        <w:rPr>
          <w:w w:val="115"/>
          <w:sz w:val="20"/>
        </w:rPr>
        <w:t>[2017]</w:t>
      </w:r>
    </w:p>
    <w:p>
      <w:pPr>
        <w:pStyle w:val="BodyText"/>
        <w:spacing w:line="235" w:lineRule="auto"/>
        <w:ind w:left="1344" w:right="2295"/>
      </w:pPr>
      <w:r>
        <w:rPr>
          <w:w w:val="120"/>
        </w:rPr>
        <w:t>Convenor-elect: The Revd Dr Alan Spence [2016 and, as convenor, 2017-2023] Secretary: Secretary for Ecumenical and Interfaith Relations</w:t>
      </w:r>
    </w:p>
    <w:p>
      <w:pPr>
        <w:pStyle w:val="BodyText"/>
        <w:spacing w:line="240" w:lineRule="exact"/>
        <w:ind w:left="1344"/>
      </w:pPr>
      <w:r>
        <w:rPr>
          <w:w w:val="120"/>
        </w:rPr>
        <w:t>The Revd Dr Malachie Muneyeza (6) [2018]</w:t>
      </w:r>
    </w:p>
    <w:p>
      <w:pPr>
        <w:pStyle w:val="BodyText"/>
        <w:tabs>
          <w:tab w:pos="5664" w:val="left" w:leader="none"/>
        </w:tabs>
        <w:spacing w:line="240" w:lineRule="exact"/>
        <w:ind w:left="1344"/>
      </w:pPr>
      <w:r>
        <w:rPr>
          <w:w w:val="120"/>
        </w:rPr>
        <w:t>The Revd Tim Meadows</w:t>
      </w:r>
      <w:r>
        <w:rPr>
          <w:spacing w:val="15"/>
          <w:w w:val="120"/>
        </w:rPr>
        <w:t> </w:t>
      </w:r>
      <w:r>
        <w:rPr>
          <w:w w:val="120"/>
        </w:rPr>
        <w:t>(3)</w:t>
      </w:r>
      <w:r>
        <w:rPr>
          <w:spacing w:val="3"/>
          <w:w w:val="120"/>
        </w:rPr>
        <w:t> </w:t>
      </w:r>
      <w:r>
        <w:rPr>
          <w:w w:val="120"/>
        </w:rPr>
        <w:t>[2018]</w:t>
        <w:tab/>
        <w:t>The Revd Dr Catherine Ball (7)</w:t>
      </w:r>
      <w:r>
        <w:rPr>
          <w:spacing w:val="14"/>
          <w:w w:val="120"/>
        </w:rPr>
        <w:t> </w:t>
      </w:r>
      <w:r>
        <w:rPr>
          <w:w w:val="120"/>
        </w:rPr>
        <w:t>[2020]</w:t>
      </w:r>
    </w:p>
    <w:p>
      <w:pPr>
        <w:pStyle w:val="BodyText"/>
        <w:tabs>
          <w:tab w:pos="5664" w:val="left" w:leader="none"/>
        </w:tabs>
        <w:spacing w:line="242" w:lineRule="exact"/>
        <w:ind w:left="1344"/>
      </w:pPr>
      <w:r>
        <w:rPr>
          <w:w w:val="120"/>
        </w:rPr>
        <w:t>Ms Anna Briggs</w:t>
      </w:r>
      <w:r>
        <w:rPr>
          <w:spacing w:val="23"/>
          <w:w w:val="120"/>
        </w:rPr>
        <w:t> </w:t>
      </w:r>
      <w:r>
        <w:rPr>
          <w:w w:val="120"/>
        </w:rPr>
        <w:t>(13)</w:t>
      </w:r>
      <w:r>
        <w:rPr>
          <w:spacing w:val="7"/>
          <w:w w:val="120"/>
        </w:rPr>
        <w:t> </w:t>
      </w:r>
      <w:r>
        <w:rPr>
          <w:w w:val="120"/>
        </w:rPr>
        <w:t>[2020]</w:t>
        <w:tab/>
        <w:t>1</w:t>
      </w:r>
      <w:r>
        <w:rPr>
          <w:spacing w:val="2"/>
          <w:w w:val="120"/>
        </w:rPr>
        <w:t> </w:t>
      </w:r>
      <w:r>
        <w:rPr>
          <w:w w:val="120"/>
        </w:rPr>
        <w:t>vacancy</w:t>
      </w:r>
    </w:p>
    <w:p>
      <w:pPr>
        <w:pStyle w:val="Heading7"/>
        <w:numPr>
          <w:ilvl w:val="1"/>
          <w:numId w:val="232"/>
        </w:numPr>
        <w:tabs>
          <w:tab w:pos="2064" w:val="left" w:leader="none"/>
          <w:tab w:pos="2065" w:val="left" w:leader="none"/>
        </w:tabs>
        <w:spacing w:line="261" w:lineRule="exact" w:before="204" w:after="0"/>
        <w:ind w:left="2064" w:right="0" w:hanging="721"/>
        <w:jc w:val="left"/>
      </w:pPr>
      <w:r>
        <w:rPr>
          <w:w w:val="110"/>
        </w:rPr>
        <w:t>Nominations</w:t>
      </w:r>
      <w:r>
        <w:rPr>
          <w:spacing w:val="-1"/>
          <w:w w:val="110"/>
        </w:rPr>
        <w:t> </w:t>
      </w:r>
      <w:r>
        <w:rPr>
          <w:w w:val="110"/>
        </w:rPr>
        <w:t>committee</w:t>
      </w:r>
    </w:p>
    <w:p>
      <w:pPr>
        <w:spacing w:line="233" w:lineRule="exact" w:before="0"/>
        <w:ind w:left="1344" w:right="0" w:firstLine="0"/>
        <w:jc w:val="left"/>
        <w:rPr>
          <w:i/>
          <w:sz w:val="20"/>
        </w:rPr>
      </w:pPr>
      <w:r>
        <w:rPr>
          <w:i/>
          <w:w w:val="110"/>
          <w:sz w:val="20"/>
        </w:rPr>
        <w:t>(The synods appoint and decide terms for their representation)</w:t>
      </w:r>
    </w:p>
    <w:p>
      <w:pPr>
        <w:pStyle w:val="BodyText"/>
        <w:spacing w:line="235" w:lineRule="auto" w:before="2"/>
        <w:ind w:left="1344" w:right="6471"/>
      </w:pPr>
      <w:r>
        <w:rPr>
          <w:w w:val="115"/>
        </w:rPr>
        <w:t>Convenor: Mrs Irene Wren [2018] Secretary: Mrs Carol Rogers [2017]</w:t>
      </w:r>
    </w:p>
    <w:p>
      <w:pPr>
        <w:pStyle w:val="BodyText"/>
        <w:tabs>
          <w:tab w:pos="5664" w:val="left" w:leader="none"/>
        </w:tabs>
        <w:spacing w:line="240" w:lineRule="exact"/>
        <w:ind w:left="1344"/>
      </w:pPr>
      <w:r>
        <w:rPr>
          <w:w w:val="120"/>
        </w:rPr>
        <w:t>Mrs Melanie Campbell (1)</w:t>
        <w:tab/>
        <w:t>The Revd Martin Smith</w:t>
      </w:r>
      <w:r>
        <w:rPr>
          <w:spacing w:val="7"/>
          <w:w w:val="120"/>
        </w:rPr>
        <w:t> </w:t>
      </w:r>
      <w:r>
        <w:rPr>
          <w:w w:val="120"/>
        </w:rPr>
        <w:t>(2)</w:t>
      </w:r>
    </w:p>
    <w:p>
      <w:pPr>
        <w:pStyle w:val="BodyText"/>
        <w:tabs>
          <w:tab w:pos="5664" w:val="left" w:leader="none"/>
        </w:tabs>
        <w:spacing w:line="240" w:lineRule="exact"/>
        <w:ind w:left="1344"/>
      </w:pPr>
      <w:r>
        <w:rPr>
          <w:w w:val="120"/>
        </w:rPr>
        <w:t>The Revd Robert</w:t>
      </w:r>
      <w:r>
        <w:rPr>
          <w:spacing w:val="-7"/>
          <w:w w:val="120"/>
        </w:rPr>
        <w:t> </w:t>
      </w:r>
      <w:r>
        <w:rPr>
          <w:w w:val="120"/>
        </w:rPr>
        <w:t>Shallcross</w:t>
      </w:r>
      <w:r>
        <w:rPr>
          <w:spacing w:val="-2"/>
          <w:w w:val="120"/>
        </w:rPr>
        <w:t> </w:t>
      </w:r>
      <w:r>
        <w:rPr>
          <w:w w:val="120"/>
        </w:rPr>
        <w:t>(3)</w:t>
        <w:tab/>
        <w:t>Mr Chris Reed</w:t>
      </w:r>
      <w:r>
        <w:rPr>
          <w:spacing w:val="6"/>
          <w:w w:val="120"/>
        </w:rPr>
        <w:t> </w:t>
      </w:r>
      <w:r>
        <w:rPr>
          <w:w w:val="120"/>
        </w:rPr>
        <w:t>(4)</w:t>
      </w:r>
    </w:p>
    <w:p>
      <w:pPr>
        <w:pStyle w:val="BodyText"/>
        <w:tabs>
          <w:tab w:pos="5664" w:val="left" w:leader="none"/>
        </w:tabs>
        <w:spacing w:line="240" w:lineRule="exact"/>
        <w:ind w:left="1344"/>
      </w:pPr>
      <w:r>
        <w:rPr>
          <w:w w:val="120"/>
        </w:rPr>
        <w:t>Mrs Helen</w:t>
      </w:r>
      <w:r>
        <w:rPr>
          <w:spacing w:val="8"/>
          <w:w w:val="120"/>
        </w:rPr>
        <w:t> </w:t>
      </w:r>
      <w:r>
        <w:rPr>
          <w:w w:val="120"/>
        </w:rPr>
        <w:t>Lidgett</w:t>
      </w:r>
      <w:r>
        <w:rPr>
          <w:spacing w:val="4"/>
          <w:w w:val="120"/>
        </w:rPr>
        <w:t> </w:t>
      </w:r>
      <w:r>
        <w:rPr>
          <w:w w:val="120"/>
        </w:rPr>
        <w:t>(5)</w:t>
        <w:tab/>
        <w:t>Mrs Margaret Marshall</w:t>
      </w:r>
      <w:r>
        <w:rPr>
          <w:spacing w:val="2"/>
          <w:w w:val="120"/>
        </w:rPr>
        <w:t> </w:t>
      </w:r>
      <w:r>
        <w:rPr>
          <w:w w:val="120"/>
        </w:rPr>
        <w:t>(6)</w:t>
      </w:r>
    </w:p>
    <w:p>
      <w:pPr>
        <w:pStyle w:val="BodyText"/>
        <w:tabs>
          <w:tab w:pos="5664" w:val="left" w:leader="none"/>
        </w:tabs>
        <w:spacing w:line="240" w:lineRule="exact"/>
        <w:ind w:left="1344"/>
      </w:pPr>
      <w:r>
        <w:rPr>
          <w:w w:val="120"/>
        </w:rPr>
        <w:t>The Revd Paul</w:t>
      </w:r>
      <w:r>
        <w:rPr>
          <w:spacing w:val="-15"/>
          <w:w w:val="120"/>
        </w:rPr>
        <w:t> </w:t>
      </w:r>
      <w:r>
        <w:rPr>
          <w:w w:val="120"/>
        </w:rPr>
        <w:t>Whittle</w:t>
      </w:r>
      <w:r>
        <w:rPr>
          <w:spacing w:val="-5"/>
          <w:w w:val="120"/>
        </w:rPr>
        <w:t> </w:t>
      </w:r>
      <w:r>
        <w:rPr>
          <w:w w:val="120"/>
        </w:rPr>
        <w:t>(7)</w:t>
        <w:tab/>
        <w:t>Mr George Faris</w:t>
      </w:r>
      <w:r>
        <w:rPr>
          <w:spacing w:val="5"/>
          <w:w w:val="120"/>
        </w:rPr>
        <w:t> </w:t>
      </w:r>
      <w:r>
        <w:rPr>
          <w:w w:val="120"/>
        </w:rPr>
        <w:t>(8)</w:t>
      </w:r>
    </w:p>
    <w:p>
      <w:pPr>
        <w:pStyle w:val="BodyText"/>
        <w:tabs>
          <w:tab w:pos="5664" w:val="left" w:leader="none"/>
        </w:tabs>
        <w:spacing w:line="235" w:lineRule="auto" w:before="1"/>
        <w:ind w:left="1344" w:right="3038"/>
      </w:pPr>
      <w:r>
        <w:rPr>
          <w:w w:val="120"/>
        </w:rPr>
        <w:t>Mrs Sue</w:t>
      </w:r>
      <w:r>
        <w:rPr>
          <w:spacing w:val="-5"/>
          <w:w w:val="120"/>
        </w:rPr>
        <w:t> </w:t>
      </w:r>
      <w:r>
        <w:rPr>
          <w:w w:val="120"/>
        </w:rPr>
        <w:t>Brown</w:t>
      </w:r>
      <w:r>
        <w:rPr>
          <w:spacing w:val="-2"/>
          <w:w w:val="120"/>
        </w:rPr>
        <w:t> </w:t>
      </w:r>
      <w:r>
        <w:rPr>
          <w:w w:val="120"/>
        </w:rPr>
        <w:t>(9)</w:t>
        <w:tab/>
        <w:t>Mr Simon Fairnington </w:t>
      </w:r>
      <w:r>
        <w:rPr>
          <w:spacing w:val="-4"/>
          <w:w w:val="120"/>
        </w:rPr>
        <w:t>(10) </w:t>
      </w:r>
      <w:r>
        <w:rPr>
          <w:w w:val="120"/>
        </w:rPr>
        <w:t>The Revd Derrick Sena Dzandu-Hedidor</w:t>
      </w:r>
      <w:r>
        <w:rPr>
          <w:spacing w:val="11"/>
          <w:w w:val="120"/>
        </w:rPr>
        <w:t> </w:t>
      </w:r>
      <w:r>
        <w:rPr>
          <w:w w:val="120"/>
        </w:rPr>
        <w:t>(11)</w:t>
      </w:r>
    </w:p>
    <w:p>
      <w:pPr>
        <w:pStyle w:val="BodyText"/>
        <w:tabs>
          <w:tab w:pos="5664" w:val="left" w:leader="none"/>
        </w:tabs>
        <w:spacing w:line="235" w:lineRule="auto" w:before="2"/>
        <w:ind w:left="1344" w:right="3719"/>
      </w:pPr>
      <w:r>
        <w:rPr>
          <w:w w:val="115"/>
        </w:rPr>
        <w:t>The Revd Shelagh </w:t>
      </w:r>
      <w:r>
        <w:rPr>
          <w:spacing w:val="12"/>
          <w:w w:val="115"/>
        </w:rPr>
        <w:t> </w:t>
      </w:r>
      <w:r>
        <w:rPr>
          <w:w w:val="115"/>
        </w:rPr>
        <w:t>Pollard</w:t>
      </w:r>
      <w:r>
        <w:rPr>
          <w:spacing w:val="22"/>
          <w:w w:val="115"/>
        </w:rPr>
        <w:t> </w:t>
      </w:r>
      <w:r>
        <w:rPr>
          <w:w w:val="115"/>
        </w:rPr>
        <w:t>(12)</w:t>
        <w:tab/>
        <w:t>Mrs Myra Rose </w:t>
      </w:r>
      <w:r>
        <w:rPr>
          <w:spacing w:val="-4"/>
          <w:w w:val="115"/>
        </w:rPr>
        <w:t>(13) </w:t>
      </w:r>
      <w:r>
        <w:rPr>
          <w:w w:val="115"/>
        </w:rPr>
        <w:t>Representative of the GA </w:t>
      </w:r>
      <w:r>
        <w:rPr>
          <w:spacing w:val="-3"/>
          <w:w w:val="115"/>
        </w:rPr>
        <w:t>Moderator’s</w:t>
      </w:r>
      <w:r>
        <w:rPr>
          <w:spacing w:val="31"/>
          <w:w w:val="115"/>
        </w:rPr>
        <w:t> </w:t>
      </w:r>
      <w:r>
        <w:rPr>
          <w:w w:val="115"/>
        </w:rPr>
        <w:t>group</w:t>
      </w:r>
    </w:p>
    <w:p>
      <w:pPr>
        <w:pStyle w:val="BodyText"/>
        <w:spacing w:line="242" w:lineRule="exact"/>
        <w:ind w:left="1344"/>
      </w:pPr>
      <w:r>
        <w:rPr>
          <w:w w:val="120"/>
        </w:rPr>
        <w:t>The General Secretary</w:t>
      </w:r>
    </w:p>
    <w:p>
      <w:pPr>
        <w:pStyle w:val="BodyText"/>
        <w:spacing w:before="5"/>
        <w:rPr>
          <w:sz w:val="19"/>
        </w:rPr>
      </w:pPr>
    </w:p>
    <w:p>
      <w:pPr>
        <w:pStyle w:val="ListParagraph"/>
        <w:numPr>
          <w:ilvl w:val="2"/>
          <w:numId w:val="232"/>
        </w:numPr>
        <w:tabs>
          <w:tab w:pos="2065" w:val="left" w:leader="none"/>
        </w:tabs>
        <w:spacing w:line="223" w:lineRule="auto" w:before="0" w:after="0"/>
        <w:ind w:left="1344" w:right="4454" w:firstLine="0"/>
        <w:jc w:val="left"/>
        <w:rPr>
          <w:rFonts w:ascii="Stone Sans II ITC Std Bk"/>
          <w:b/>
          <w:sz w:val="20"/>
        </w:rPr>
      </w:pPr>
      <w:r>
        <w:rPr>
          <w:rFonts w:ascii="Stone Sans II ITC Std Bk"/>
          <w:b/>
          <w:w w:val="110"/>
          <w:sz w:val="20"/>
        </w:rPr>
        <w:t>Panel for General Assembly appointments </w:t>
      </w:r>
      <w:r>
        <w:rPr>
          <w:i/>
          <w:w w:val="110"/>
          <w:sz w:val="20"/>
        </w:rPr>
        <w:t>(Members usually serve for five years as training is required) </w:t>
      </w:r>
      <w:r>
        <w:rPr>
          <w:rFonts w:ascii="Stone Sans II ITC Std Bk"/>
          <w:b/>
          <w:w w:val="110"/>
          <w:sz w:val="20"/>
        </w:rPr>
        <w:t>Retiring</w:t>
      </w:r>
      <w:r>
        <w:rPr>
          <w:rFonts w:ascii="Stone Sans II ITC Std Bk"/>
          <w:b/>
          <w:spacing w:val="-1"/>
          <w:w w:val="110"/>
          <w:sz w:val="20"/>
        </w:rPr>
        <w:t> </w:t>
      </w:r>
      <w:r>
        <w:rPr>
          <w:rFonts w:ascii="Stone Sans II ITC Std Bk"/>
          <w:b/>
          <w:w w:val="110"/>
          <w:sz w:val="20"/>
        </w:rPr>
        <w:t>2017</w:t>
      </w:r>
    </w:p>
    <w:p>
      <w:pPr>
        <w:pStyle w:val="BodyText"/>
        <w:tabs>
          <w:tab w:pos="5664" w:val="left" w:leader="none"/>
        </w:tabs>
        <w:spacing w:line="230" w:lineRule="exact"/>
        <w:ind w:left="1344"/>
      </w:pPr>
      <w:r>
        <w:rPr>
          <w:w w:val="120"/>
        </w:rPr>
        <w:t>The Revd Stuart</w:t>
      </w:r>
      <w:r>
        <w:rPr>
          <w:spacing w:val="-8"/>
          <w:w w:val="120"/>
        </w:rPr>
        <w:t> </w:t>
      </w:r>
      <w:r>
        <w:rPr>
          <w:w w:val="120"/>
        </w:rPr>
        <w:t>Brock</w:t>
      </w:r>
      <w:r>
        <w:rPr>
          <w:spacing w:val="-2"/>
          <w:w w:val="120"/>
        </w:rPr>
        <w:t> </w:t>
      </w:r>
      <w:r>
        <w:rPr>
          <w:w w:val="120"/>
        </w:rPr>
        <w:t>(1)</w:t>
        <w:tab/>
        <w:t>The Revd Dr Jim Coleman</w:t>
      </w:r>
      <w:r>
        <w:rPr>
          <w:spacing w:val="9"/>
          <w:w w:val="120"/>
        </w:rPr>
        <w:t> </w:t>
      </w:r>
      <w:r>
        <w:rPr>
          <w:w w:val="120"/>
        </w:rPr>
        <w:t>(4)</w:t>
      </w:r>
    </w:p>
    <w:p>
      <w:pPr>
        <w:pStyle w:val="BodyText"/>
        <w:tabs>
          <w:tab w:pos="5664" w:val="left" w:leader="none"/>
        </w:tabs>
        <w:spacing w:line="240" w:lineRule="exact"/>
        <w:ind w:left="1344"/>
      </w:pPr>
      <w:r>
        <w:rPr>
          <w:w w:val="120"/>
        </w:rPr>
        <w:t>The Revd Linda</w:t>
      </w:r>
      <w:r>
        <w:rPr>
          <w:spacing w:val="4"/>
          <w:w w:val="120"/>
        </w:rPr>
        <w:t> </w:t>
      </w:r>
      <w:r>
        <w:rPr>
          <w:w w:val="120"/>
        </w:rPr>
        <w:t>Elliott</w:t>
      </w:r>
      <w:r>
        <w:rPr>
          <w:spacing w:val="1"/>
          <w:w w:val="120"/>
        </w:rPr>
        <w:t> </w:t>
      </w:r>
      <w:r>
        <w:rPr>
          <w:w w:val="120"/>
        </w:rPr>
        <w:t>(12)</w:t>
        <w:tab/>
        <w:t>The Revd Derrick Sena Dzandu-Hedidor</w:t>
      </w:r>
      <w:r>
        <w:rPr>
          <w:spacing w:val="13"/>
          <w:w w:val="120"/>
        </w:rPr>
        <w:t> </w:t>
      </w:r>
      <w:r>
        <w:rPr>
          <w:w w:val="120"/>
        </w:rPr>
        <w:t>(11)</w:t>
      </w:r>
    </w:p>
    <w:p>
      <w:pPr>
        <w:pStyle w:val="BodyText"/>
        <w:tabs>
          <w:tab w:pos="5664" w:val="left" w:leader="none"/>
        </w:tabs>
        <w:spacing w:line="240" w:lineRule="exact"/>
        <w:ind w:left="1344"/>
      </w:pPr>
      <w:r>
        <w:rPr>
          <w:w w:val="120"/>
        </w:rPr>
        <w:t>Dr </w:t>
      </w:r>
      <w:r>
        <w:rPr>
          <w:spacing w:val="-5"/>
          <w:w w:val="120"/>
        </w:rPr>
        <w:t>Tony</w:t>
      </w:r>
      <w:r>
        <w:rPr>
          <w:spacing w:val="3"/>
          <w:w w:val="120"/>
        </w:rPr>
        <w:t> </w:t>
      </w:r>
      <w:r>
        <w:rPr>
          <w:w w:val="120"/>
        </w:rPr>
        <w:t>Jeans</w:t>
      </w:r>
      <w:r>
        <w:rPr>
          <w:spacing w:val="1"/>
          <w:w w:val="120"/>
        </w:rPr>
        <w:t> </w:t>
      </w:r>
      <w:r>
        <w:rPr>
          <w:w w:val="120"/>
        </w:rPr>
        <w:t>(6)</w:t>
        <w:tab/>
        <w:t>Mrs Hilary Miles</w:t>
      </w:r>
      <w:r>
        <w:rPr>
          <w:spacing w:val="5"/>
          <w:w w:val="120"/>
        </w:rPr>
        <w:t> </w:t>
      </w:r>
      <w:r>
        <w:rPr>
          <w:w w:val="120"/>
        </w:rPr>
        <w:t>(11)</w:t>
      </w:r>
    </w:p>
    <w:p>
      <w:pPr>
        <w:pStyle w:val="BodyText"/>
        <w:tabs>
          <w:tab w:pos="5664" w:val="left" w:leader="none"/>
        </w:tabs>
        <w:spacing w:line="234" w:lineRule="exact"/>
        <w:ind w:left="1344"/>
      </w:pPr>
      <w:r>
        <w:rPr>
          <w:w w:val="120"/>
        </w:rPr>
        <w:t>The Revd Peter</w:t>
      </w:r>
      <w:r>
        <w:rPr>
          <w:spacing w:val="-13"/>
          <w:w w:val="120"/>
        </w:rPr>
        <w:t> </w:t>
      </w:r>
      <w:r>
        <w:rPr>
          <w:w w:val="120"/>
        </w:rPr>
        <w:t>Rand</w:t>
      </w:r>
      <w:r>
        <w:rPr>
          <w:spacing w:val="-4"/>
          <w:w w:val="120"/>
        </w:rPr>
        <w:t> </w:t>
      </w:r>
      <w:r>
        <w:rPr>
          <w:w w:val="120"/>
        </w:rPr>
        <w:t>(1)</w:t>
        <w:tab/>
        <w:t>Mr David Clarkson</w:t>
      </w:r>
      <w:r>
        <w:rPr>
          <w:spacing w:val="7"/>
          <w:w w:val="120"/>
        </w:rPr>
        <w:t> </w:t>
      </w:r>
      <w:r>
        <w:rPr>
          <w:w w:val="120"/>
        </w:rPr>
        <w:t>(12)</w:t>
      </w:r>
    </w:p>
    <w:p>
      <w:pPr>
        <w:pStyle w:val="Heading7"/>
        <w:spacing w:line="253" w:lineRule="exact"/>
        <w:ind w:left="1344"/>
      </w:pPr>
      <w:r>
        <w:rPr>
          <w:w w:val="110"/>
        </w:rPr>
        <w:t>Retiring 2018</w:t>
      </w:r>
    </w:p>
    <w:p>
      <w:pPr>
        <w:pStyle w:val="BodyText"/>
        <w:tabs>
          <w:tab w:pos="5664" w:val="left" w:leader="none"/>
        </w:tabs>
        <w:spacing w:line="233" w:lineRule="exact"/>
        <w:ind w:left="1344"/>
      </w:pPr>
      <w:r>
        <w:rPr>
          <w:w w:val="120"/>
        </w:rPr>
        <w:t>The Revd Viv</w:t>
      </w:r>
      <w:r>
        <w:rPr>
          <w:spacing w:val="2"/>
          <w:w w:val="120"/>
        </w:rPr>
        <w:t> </w:t>
      </w:r>
      <w:r>
        <w:rPr>
          <w:w w:val="120"/>
        </w:rPr>
        <w:t>Randles</w:t>
      </w:r>
      <w:r>
        <w:rPr>
          <w:spacing w:val="1"/>
          <w:w w:val="120"/>
        </w:rPr>
        <w:t> </w:t>
      </w:r>
      <w:r>
        <w:rPr>
          <w:w w:val="120"/>
        </w:rPr>
        <w:t>(10)</w:t>
        <w:tab/>
        <w:t>Mrs Helen Renner</w:t>
      </w:r>
      <w:r>
        <w:rPr>
          <w:spacing w:val="4"/>
          <w:w w:val="120"/>
        </w:rPr>
        <w:t> </w:t>
      </w:r>
      <w:r>
        <w:rPr>
          <w:w w:val="120"/>
        </w:rPr>
        <w:t>(3)</w:t>
      </w:r>
    </w:p>
    <w:p>
      <w:pPr>
        <w:pStyle w:val="BodyText"/>
        <w:tabs>
          <w:tab w:pos="5664" w:val="left" w:leader="none"/>
        </w:tabs>
        <w:spacing w:line="240" w:lineRule="exact"/>
        <w:ind w:left="1344"/>
      </w:pPr>
      <w:r>
        <w:rPr>
          <w:w w:val="120"/>
        </w:rPr>
        <w:t>Mr Bill</w:t>
      </w:r>
      <w:r>
        <w:rPr>
          <w:spacing w:val="-1"/>
          <w:w w:val="120"/>
        </w:rPr>
        <w:t> </w:t>
      </w:r>
      <w:r>
        <w:rPr>
          <w:w w:val="120"/>
        </w:rPr>
        <w:t>Robson (13)</w:t>
        <w:tab/>
        <w:t>Mrs Lesley Richmond</w:t>
      </w:r>
      <w:r>
        <w:rPr>
          <w:spacing w:val="6"/>
          <w:w w:val="120"/>
        </w:rPr>
        <w:t> </w:t>
      </w:r>
      <w:r>
        <w:rPr>
          <w:w w:val="120"/>
        </w:rPr>
        <w:t>(13)</w:t>
      </w:r>
    </w:p>
    <w:p>
      <w:pPr>
        <w:pStyle w:val="BodyText"/>
        <w:tabs>
          <w:tab w:pos="5664" w:val="left" w:leader="none"/>
        </w:tabs>
        <w:spacing w:line="240" w:lineRule="exact"/>
        <w:ind w:left="1344"/>
      </w:pPr>
      <w:r>
        <w:rPr>
          <w:w w:val="120"/>
        </w:rPr>
        <w:t>The Revd Liz</w:t>
      </w:r>
      <w:r>
        <w:rPr>
          <w:spacing w:val="13"/>
          <w:w w:val="120"/>
        </w:rPr>
        <w:t> </w:t>
      </w:r>
      <w:r>
        <w:rPr>
          <w:w w:val="120"/>
        </w:rPr>
        <w:t>Shaw</w:t>
      </w:r>
      <w:r>
        <w:rPr>
          <w:spacing w:val="4"/>
          <w:w w:val="120"/>
        </w:rPr>
        <w:t> </w:t>
      </w:r>
      <w:r>
        <w:rPr>
          <w:w w:val="120"/>
        </w:rPr>
        <w:t>(10)</w:t>
        <w:tab/>
        <w:t>The Revd Mike Shrubsole</w:t>
      </w:r>
      <w:r>
        <w:rPr>
          <w:spacing w:val="-9"/>
          <w:w w:val="120"/>
        </w:rPr>
        <w:t> </w:t>
      </w:r>
      <w:r>
        <w:rPr>
          <w:w w:val="120"/>
        </w:rPr>
        <w:t>(9)</w:t>
      </w:r>
    </w:p>
    <w:p>
      <w:pPr>
        <w:pStyle w:val="BodyText"/>
        <w:tabs>
          <w:tab w:pos="5664" w:val="left" w:leader="none"/>
        </w:tabs>
        <w:spacing w:line="242" w:lineRule="exact"/>
        <w:ind w:left="1344"/>
      </w:pPr>
      <w:r>
        <w:rPr>
          <w:w w:val="115"/>
        </w:rPr>
        <w:t>The Revd Martin</w:t>
      </w:r>
      <w:r>
        <w:rPr>
          <w:spacing w:val="50"/>
          <w:w w:val="115"/>
        </w:rPr>
        <w:t> </w:t>
      </w:r>
      <w:r>
        <w:rPr>
          <w:w w:val="115"/>
        </w:rPr>
        <w:t>Smith</w:t>
      </w:r>
      <w:r>
        <w:rPr>
          <w:spacing w:val="17"/>
          <w:w w:val="115"/>
        </w:rPr>
        <w:t> </w:t>
      </w:r>
      <w:r>
        <w:rPr>
          <w:w w:val="115"/>
        </w:rPr>
        <w:t>(2)</w:t>
        <w:tab/>
        <w:t>The Revd Geoffrey Clarke </w:t>
      </w:r>
      <w:r>
        <w:rPr>
          <w:spacing w:val="46"/>
          <w:w w:val="115"/>
        </w:rPr>
        <w:t> </w:t>
      </w:r>
      <w:r>
        <w:rPr>
          <w:w w:val="115"/>
        </w:rPr>
        <w:t>(5)</w:t>
      </w:r>
    </w:p>
    <w:p>
      <w:pPr>
        <w:spacing w:after="0" w:line="242" w:lineRule="exact"/>
        <w:sectPr>
          <w:headerReference w:type="default" r:id="rId542"/>
          <w:pgSz w:w="11910" w:h="16840"/>
          <w:pgMar w:header="0" w:footer="647" w:top="0" w:bottom="840" w:left="640" w:right="0"/>
        </w:sectPr>
      </w:pPr>
    </w:p>
    <w:p>
      <w:pPr>
        <w:pStyle w:val="BodyText"/>
      </w:pPr>
      <w:r>
        <w:rPr/>
        <w:drawing>
          <wp:anchor distT="0" distB="0" distL="0" distR="0" allowOverlap="1" layoutInCell="1" locked="0" behindDoc="1" simplePos="0" relativeHeight="235751424">
            <wp:simplePos x="0" y="0"/>
            <wp:positionH relativeFrom="page">
              <wp:posOffset>0</wp:posOffset>
            </wp:positionH>
            <wp:positionV relativeFrom="page">
              <wp:posOffset>0</wp:posOffset>
            </wp:positionV>
            <wp:extent cx="594067" cy="10692003"/>
            <wp:effectExtent l="0" t="0" r="0" b="0"/>
            <wp:wrapNone/>
            <wp:docPr id="389" name="image71.png"/>
            <wp:cNvGraphicFramePr>
              <a:graphicFrameLocks noChangeAspect="1"/>
            </wp:cNvGraphicFramePr>
            <a:graphic>
              <a:graphicData uri="http://schemas.openxmlformats.org/drawingml/2006/picture">
                <pic:pic>
                  <pic:nvPicPr>
                    <pic:cNvPr id="390" name="image71.png"/>
                    <pic:cNvPicPr/>
                  </pic:nvPicPr>
                  <pic:blipFill>
                    <a:blip r:embed="rId537" cstate="print"/>
                    <a:stretch>
                      <a:fillRect/>
                    </a:stretch>
                  </pic:blipFill>
                  <pic:spPr>
                    <a:xfrm>
                      <a:off x="0" y="0"/>
                      <a:ext cx="594067" cy="10692003"/>
                    </a:xfrm>
                    <a:prstGeom prst="rect">
                      <a:avLst/>
                    </a:prstGeom>
                  </pic:spPr>
                </pic:pic>
              </a:graphicData>
            </a:graphic>
          </wp:anchor>
        </w:drawing>
      </w:r>
      <w:r>
        <w:rPr/>
        <w:pict>
          <v:shape style="position:absolute;margin-left:20.519100pt;margin-top:48.890015pt;width:25.9pt;height:131.3pt;mso-position-horizontal-relative:page;mso-position-vertical-relative:page;z-index:252206080" type="#_x0000_t202" filled="false" stroked="false">
            <v:textbox inset="0,0,0,0" style="layout-flow:vertical">
              <w:txbxContent>
                <w:p>
                  <w:pPr>
                    <w:spacing w:before="27"/>
                    <w:ind w:left="20" w:right="0" w:firstLine="0"/>
                    <w:jc w:val="left"/>
                    <w:rPr>
                      <w:sz w:val="39"/>
                    </w:rPr>
                  </w:pPr>
                  <w:r>
                    <w:rPr>
                      <w:color w:val="FFFFFF"/>
                      <w:w w:val="120"/>
                      <w:sz w:val="39"/>
                    </w:rPr>
                    <w:t>Nominations</w:t>
                  </w:r>
                </w:p>
              </w:txbxContent>
            </v:textbox>
            <w10:wrap type="none"/>
          </v:shape>
        </w:pict>
      </w:r>
    </w:p>
    <w:p>
      <w:pPr>
        <w:pStyle w:val="BodyText"/>
        <w:spacing w:before="7"/>
        <w:rPr>
          <w:sz w:val="21"/>
        </w:rPr>
      </w:pPr>
    </w:p>
    <w:p>
      <w:pPr>
        <w:spacing w:before="106"/>
        <w:ind w:left="607" w:right="0" w:firstLine="0"/>
        <w:jc w:val="left"/>
        <w:rPr>
          <w:sz w:val="26"/>
        </w:rPr>
      </w:pPr>
      <w:r>
        <w:rPr>
          <w:color w:val="7EAABF"/>
          <w:w w:val="115"/>
          <w:sz w:val="26"/>
        </w:rPr>
        <w:t>Nominations</w:t>
      </w:r>
    </w:p>
    <w:p>
      <w:pPr>
        <w:pStyle w:val="Heading7"/>
        <w:spacing w:before="205"/>
        <w:ind w:left="607"/>
      </w:pPr>
      <w:r>
        <w:rPr>
          <w:w w:val="110"/>
        </w:rPr>
        <w:t>Retiring</w:t>
      </w:r>
      <w:r>
        <w:rPr>
          <w:spacing w:val="-3"/>
          <w:w w:val="110"/>
        </w:rPr>
        <w:t> </w:t>
      </w:r>
      <w:r>
        <w:rPr>
          <w:w w:val="110"/>
        </w:rPr>
        <w:t>2019</w:t>
      </w:r>
    </w:p>
    <w:p>
      <w:pPr>
        <w:pStyle w:val="BodyText"/>
        <w:tabs>
          <w:tab w:pos="4927" w:val="left" w:leader="none"/>
        </w:tabs>
        <w:spacing w:line="233" w:lineRule="exact"/>
        <w:ind w:left="607"/>
      </w:pPr>
      <w:r>
        <w:rPr>
          <w:w w:val="120"/>
        </w:rPr>
        <w:t>Mrs Sue</w:t>
      </w:r>
      <w:r>
        <w:rPr>
          <w:spacing w:val="-5"/>
          <w:w w:val="120"/>
        </w:rPr>
        <w:t> </w:t>
      </w:r>
      <w:r>
        <w:rPr>
          <w:w w:val="120"/>
        </w:rPr>
        <w:t>Brown</w:t>
      </w:r>
      <w:r>
        <w:rPr>
          <w:spacing w:val="-2"/>
          <w:w w:val="120"/>
        </w:rPr>
        <w:t> </w:t>
      </w:r>
      <w:r>
        <w:rPr>
          <w:w w:val="120"/>
        </w:rPr>
        <w:t>(9)</w:t>
        <w:tab/>
        <w:t>The Revd Nick Adlem</w:t>
      </w:r>
      <w:r>
        <w:rPr>
          <w:spacing w:val="9"/>
          <w:w w:val="120"/>
        </w:rPr>
        <w:t> </w:t>
      </w:r>
      <w:r>
        <w:rPr>
          <w:w w:val="120"/>
        </w:rPr>
        <w:t>(9)</w:t>
      </w:r>
    </w:p>
    <w:p>
      <w:pPr>
        <w:pStyle w:val="BodyText"/>
        <w:tabs>
          <w:tab w:pos="4927" w:val="left" w:leader="none"/>
        </w:tabs>
        <w:spacing w:line="240" w:lineRule="exact"/>
        <w:ind w:left="607"/>
      </w:pPr>
      <w:r>
        <w:rPr>
          <w:w w:val="120"/>
        </w:rPr>
        <w:t>The Revd Paul</w:t>
      </w:r>
      <w:r>
        <w:rPr>
          <w:spacing w:val="-10"/>
          <w:w w:val="120"/>
        </w:rPr>
        <w:t> </w:t>
      </w:r>
      <w:r>
        <w:rPr>
          <w:w w:val="120"/>
        </w:rPr>
        <w:t>Bedford</w:t>
      </w:r>
      <w:r>
        <w:rPr>
          <w:spacing w:val="-3"/>
          <w:w w:val="120"/>
        </w:rPr>
        <w:t> </w:t>
      </w:r>
      <w:r>
        <w:rPr>
          <w:w w:val="120"/>
        </w:rPr>
        <w:t>(9)</w:t>
        <w:tab/>
        <w:t>The Revd Sohail Ejaz</w:t>
      </w:r>
      <w:r>
        <w:rPr>
          <w:spacing w:val="8"/>
          <w:w w:val="120"/>
        </w:rPr>
        <w:t> </w:t>
      </w:r>
      <w:r>
        <w:rPr>
          <w:w w:val="120"/>
        </w:rPr>
        <w:t>(7)</w:t>
      </w:r>
    </w:p>
    <w:p>
      <w:pPr>
        <w:pStyle w:val="BodyText"/>
        <w:tabs>
          <w:tab w:pos="4927" w:val="left" w:leader="none"/>
        </w:tabs>
        <w:spacing w:line="234" w:lineRule="exact"/>
        <w:ind w:left="607"/>
      </w:pPr>
      <w:r>
        <w:rPr>
          <w:w w:val="120"/>
        </w:rPr>
        <w:t>The Revd Raymond</w:t>
      </w:r>
      <w:r>
        <w:rPr>
          <w:spacing w:val="13"/>
          <w:w w:val="120"/>
        </w:rPr>
        <w:t> </w:t>
      </w:r>
      <w:r>
        <w:rPr>
          <w:w w:val="120"/>
        </w:rPr>
        <w:t>Singh</w:t>
      </w:r>
      <w:r>
        <w:rPr>
          <w:spacing w:val="4"/>
          <w:w w:val="120"/>
        </w:rPr>
        <w:t> </w:t>
      </w:r>
      <w:r>
        <w:rPr>
          <w:w w:val="120"/>
        </w:rPr>
        <w:t>(11)</w:t>
        <w:tab/>
        <w:t>The Revd Reginald Mudenda</w:t>
      </w:r>
      <w:r>
        <w:rPr>
          <w:spacing w:val="9"/>
          <w:w w:val="120"/>
        </w:rPr>
        <w:t> </w:t>
      </w:r>
      <w:r>
        <w:rPr>
          <w:w w:val="120"/>
        </w:rPr>
        <w:t>(11)</w:t>
      </w:r>
    </w:p>
    <w:p>
      <w:pPr>
        <w:pStyle w:val="Heading7"/>
        <w:spacing w:line="253" w:lineRule="exact"/>
        <w:ind w:left="607"/>
      </w:pPr>
      <w:r>
        <w:rPr>
          <w:w w:val="110"/>
        </w:rPr>
        <w:t>Retiring 2020</w:t>
      </w:r>
    </w:p>
    <w:p>
      <w:pPr>
        <w:pStyle w:val="BodyText"/>
        <w:tabs>
          <w:tab w:pos="4927" w:val="left" w:leader="none"/>
        </w:tabs>
        <w:spacing w:line="233" w:lineRule="exact"/>
        <w:ind w:left="607"/>
      </w:pPr>
      <w:r>
        <w:rPr>
          <w:w w:val="120"/>
        </w:rPr>
        <w:t>Mrs Sheana Dudley</w:t>
      </w:r>
      <w:r>
        <w:rPr>
          <w:spacing w:val="1"/>
          <w:w w:val="120"/>
        </w:rPr>
        <w:t> </w:t>
      </w:r>
      <w:r>
        <w:rPr>
          <w:w w:val="120"/>
        </w:rPr>
        <w:t>(4)</w:t>
        <w:tab/>
        <w:t>Mr Clive Curtis</w:t>
      </w:r>
      <w:r>
        <w:rPr>
          <w:spacing w:val="7"/>
          <w:w w:val="120"/>
        </w:rPr>
        <w:t> </w:t>
      </w:r>
      <w:r>
        <w:rPr>
          <w:w w:val="120"/>
        </w:rPr>
        <w:t>(12)</w:t>
      </w:r>
    </w:p>
    <w:p>
      <w:pPr>
        <w:pStyle w:val="BodyText"/>
        <w:tabs>
          <w:tab w:pos="4927" w:val="left" w:leader="none"/>
        </w:tabs>
        <w:spacing w:line="240" w:lineRule="exact"/>
        <w:ind w:left="607"/>
      </w:pPr>
      <w:r>
        <w:rPr>
          <w:w w:val="120"/>
        </w:rPr>
        <w:t>Mrs Gwen</w:t>
      </w:r>
      <w:r>
        <w:rPr>
          <w:spacing w:val="1"/>
          <w:w w:val="120"/>
        </w:rPr>
        <w:t> </w:t>
      </w:r>
      <w:r>
        <w:rPr>
          <w:w w:val="120"/>
        </w:rPr>
        <w:t>Jennings (8)</w:t>
        <w:tab/>
        <w:t>The Revd Dick </w:t>
      </w:r>
      <w:r>
        <w:rPr>
          <w:spacing w:val="-3"/>
          <w:w w:val="120"/>
        </w:rPr>
        <w:t>Gray</w:t>
      </w:r>
      <w:r>
        <w:rPr>
          <w:spacing w:val="31"/>
          <w:w w:val="120"/>
        </w:rPr>
        <w:t> </w:t>
      </w:r>
      <w:r>
        <w:rPr>
          <w:w w:val="120"/>
        </w:rPr>
        <w:t>(8)</w:t>
      </w:r>
    </w:p>
    <w:p>
      <w:pPr>
        <w:pStyle w:val="BodyText"/>
        <w:tabs>
          <w:tab w:pos="4927" w:val="left" w:leader="none"/>
        </w:tabs>
        <w:spacing w:line="234" w:lineRule="exact"/>
        <w:ind w:left="607"/>
      </w:pPr>
      <w:r>
        <w:rPr>
          <w:w w:val="120"/>
        </w:rPr>
        <w:t>The Revd Samuel</w:t>
      </w:r>
      <w:r>
        <w:rPr>
          <w:spacing w:val="9"/>
          <w:w w:val="120"/>
        </w:rPr>
        <w:t> </w:t>
      </w:r>
      <w:r>
        <w:rPr>
          <w:w w:val="120"/>
        </w:rPr>
        <w:t>Silungwe</w:t>
      </w:r>
      <w:r>
        <w:rPr>
          <w:spacing w:val="4"/>
          <w:w w:val="120"/>
        </w:rPr>
        <w:t> </w:t>
      </w:r>
      <w:r>
        <w:rPr>
          <w:w w:val="120"/>
        </w:rPr>
        <w:t>(5)</w:t>
        <w:tab/>
        <w:t>The Revd Bill </w:t>
      </w:r>
      <w:r>
        <w:rPr>
          <w:spacing w:val="-3"/>
          <w:w w:val="120"/>
        </w:rPr>
        <w:t>Young</w:t>
      </w:r>
      <w:r>
        <w:rPr>
          <w:spacing w:val="29"/>
          <w:w w:val="120"/>
        </w:rPr>
        <w:t> </w:t>
      </w:r>
      <w:r>
        <w:rPr>
          <w:w w:val="120"/>
        </w:rPr>
        <w:t>(6)</w:t>
      </w:r>
    </w:p>
    <w:p>
      <w:pPr>
        <w:pStyle w:val="Heading7"/>
        <w:spacing w:line="253" w:lineRule="exact"/>
        <w:ind w:left="607"/>
      </w:pPr>
      <w:r>
        <w:rPr>
          <w:w w:val="110"/>
        </w:rPr>
        <w:t>Retiring 2021</w:t>
      </w:r>
    </w:p>
    <w:p>
      <w:pPr>
        <w:pStyle w:val="BodyText"/>
        <w:tabs>
          <w:tab w:pos="4927" w:val="left" w:leader="none"/>
        </w:tabs>
        <w:spacing w:line="235" w:lineRule="auto"/>
        <w:ind w:left="607" w:right="4360"/>
      </w:pPr>
      <w:r>
        <w:rPr>
          <w:w w:val="120"/>
        </w:rPr>
        <w:t>The Revd David</w:t>
      </w:r>
      <w:r>
        <w:rPr>
          <w:spacing w:val="14"/>
          <w:w w:val="120"/>
        </w:rPr>
        <w:t> </w:t>
      </w:r>
      <w:r>
        <w:rPr>
          <w:w w:val="120"/>
        </w:rPr>
        <w:t>Sebley</w:t>
      </w:r>
      <w:r>
        <w:rPr>
          <w:spacing w:val="5"/>
          <w:w w:val="120"/>
        </w:rPr>
        <w:t> </w:t>
      </w:r>
      <w:r>
        <w:rPr>
          <w:w w:val="120"/>
        </w:rPr>
        <w:t>(7)</w:t>
        <w:tab/>
        <w:t>Mrs </w:t>
      </w:r>
      <w:r>
        <w:rPr>
          <w:spacing w:val="-3"/>
          <w:w w:val="120"/>
        </w:rPr>
        <w:t>Val </w:t>
      </w:r>
      <w:r>
        <w:rPr>
          <w:w w:val="120"/>
        </w:rPr>
        <w:t>Morrison</w:t>
      </w:r>
      <w:r>
        <w:rPr>
          <w:spacing w:val="-26"/>
          <w:w w:val="120"/>
        </w:rPr>
        <w:t> </w:t>
      </w:r>
      <w:r>
        <w:rPr>
          <w:spacing w:val="-6"/>
          <w:w w:val="120"/>
        </w:rPr>
        <w:t>(4) </w:t>
      </w:r>
      <w:r>
        <w:rPr>
          <w:w w:val="120"/>
        </w:rPr>
        <w:t>Mrs Kate </w:t>
      </w:r>
      <w:r>
        <w:rPr>
          <w:spacing w:val="-4"/>
          <w:w w:val="120"/>
        </w:rPr>
        <w:t>Yates</w:t>
      </w:r>
      <w:r>
        <w:rPr>
          <w:spacing w:val="4"/>
          <w:w w:val="120"/>
        </w:rPr>
        <w:t> </w:t>
      </w:r>
      <w:r>
        <w:rPr>
          <w:w w:val="120"/>
        </w:rPr>
        <w:t>(10)</w:t>
      </w:r>
    </w:p>
    <w:p>
      <w:pPr>
        <w:pStyle w:val="BodyText"/>
        <w:rPr>
          <w:sz w:val="18"/>
        </w:rPr>
      </w:pPr>
    </w:p>
    <w:p>
      <w:pPr>
        <w:pStyle w:val="Heading7"/>
        <w:numPr>
          <w:ilvl w:val="1"/>
          <w:numId w:val="232"/>
        </w:numPr>
        <w:tabs>
          <w:tab w:pos="1287" w:val="left" w:leader="none"/>
          <w:tab w:pos="1288" w:val="left" w:leader="none"/>
        </w:tabs>
        <w:spacing w:line="261" w:lineRule="exact" w:before="0" w:after="0"/>
        <w:ind w:left="1287" w:right="0" w:hanging="681"/>
        <w:jc w:val="left"/>
      </w:pPr>
      <w:r>
        <w:rPr>
          <w:w w:val="110"/>
        </w:rPr>
        <w:t>MIND (ministerial incapacity and discipline) advisory</w:t>
      </w:r>
      <w:r>
        <w:rPr>
          <w:spacing w:val="-2"/>
          <w:w w:val="110"/>
        </w:rPr>
        <w:t> </w:t>
      </w:r>
      <w:r>
        <w:rPr>
          <w:w w:val="110"/>
        </w:rPr>
        <w:t>group</w:t>
      </w:r>
    </w:p>
    <w:p>
      <w:pPr>
        <w:pStyle w:val="BodyText"/>
        <w:spacing w:line="235" w:lineRule="auto"/>
        <w:ind w:left="607" w:right="6756"/>
      </w:pPr>
      <w:r>
        <w:rPr>
          <w:w w:val="120"/>
        </w:rPr>
        <w:t>Convenor: The Revd John Durrell [2020] Secretary: Dr Jim Merrilees [2018]</w:t>
      </w:r>
    </w:p>
    <w:p>
      <w:pPr>
        <w:pStyle w:val="BodyText"/>
        <w:tabs>
          <w:tab w:pos="4927" w:val="left" w:leader="none"/>
        </w:tabs>
        <w:spacing w:line="235" w:lineRule="auto"/>
        <w:ind w:left="607" w:right="4285"/>
      </w:pPr>
      <w:r>
        <w:rPr>
          <w:w w:val="115"/>
        </w:rPr>
        <w:t>Convenor of the </w:t>
      </w:r>
      <w:r>
        <w:rPr>
          <w:spacing w:val="9"/>
          <w:w w:val="115"/>
        </w:rPr>
        <w:t> </w:t>
      </w:r>
      <w:r>
        <w:rPr>
          <w:w w:val="115"/>
        </w:rPr>
        <w:t>Assembly</w:t>
      </w:r>
      <w:r>
        <w:rPr>
          <w:spacing w:val="21"/>
          <w:w w:val="115"/>
        </w:rPr>
        <w:t> </w:t>
      </w:r>
      <w:r>
        <w:rPr>
          <w:w w:val="115"/>
        </w:rPr>
        <w:t>commission:</w:t>
        <w:tab/>
        <w:t>Miss Judith </w:t>
      </w:r>
      <w:r>
        <w:rPr>
          <w:spacing w:val="-4"/>
          <w:w w:val="115"/>
        </w:rPr>
        <w:t>Haughton </w:t>
      </w:r>
      <w:r>
        <w:rPr>
          <w:w w:val="115"/>
        </w:rPr>
        <w:t>Secretary of the</w:t>
      </w:r>
      <w:r>
        <w:rPr>
          <w:spacing w:val="46"/>
          <w:w w:val="115"/>
        </w:rPr>
        <w:t> </w:t>
      </w:r>
      <w:r>
        <w:rPr>
          <w:w w:val="115"/>
        </w:rPr>
        <w:t>Assembly</w:t>
      </w:r>
      <w:r>
        <w:rPr>
          <w:spacing w:val="15"/>
          <w:w w:val="115"/>
        </w:rPr>
        <w:t> </w:t>
      </w:r>
      <w:r>
        <w:rPr>
          <w:w w:val="115"/>
        </w:rPr>
        <w:t>commission:</w:t>
        <w:tab/>
        <w:t>Mrs Gwen</w:t>
      </w:r>
      <w:r>
        <w:rPr>
          <w:spacing w:val="22"/>
          <w:w w:val="115"/>
        </w:rPr>
        <w:t> </w:t>
      </w:r>
      <w:r>
        <w:rPr>
          <w:w w:val="115"/>
        </w:rPr>
        <w:t>Jennings</w:t>
      </w:r>
    </w:p>
    <w:p>
      <w:pPr>
        <w:pStyle w:val="BodyText"/>
        <w:spacing w:line="235" w:lineRule="auto"/>
        <w:ind w:left="607" w:right="2416"/>
      </w:pPr>
      <w:r>
        <w:rPr>
          <w:w w:val="120"/>
        </w:rPr>
        <w:t>Convenor of the review commission of the incapacity procedure: Mr Donald Swift Secretary</w:t>
      </w:r>
      <w:r>
        <w:rPr>
          <w:spacing w:val="-12"/>
          <w:w w:val="120"/>
        </w:rPr>
        <w:t> </w:t>
      </w:r>
      <w:r>
        <w:rPr>
          <w:w w:val="120"/>
        </w:rPr>
        <w:t>of</w:t>
      </w:r>
      <w:r>
        <w:rPr>
          <w:spacing w:val="-11"/>
          <w:w w:val="120"/>
        </w:rPr>
        <w:t> </w:t>
      </w:r>
      <w:r>
        <w:rPr>
          <w:w w:val="120"/>
        </w:rPr>
        <w:t>the</w:t>
      </w:r>
      <w:r>
        <w:rPr>
          <w:spacing w:val="-11"/>
          <w:w w:val="120"/>
        </w:rPr>
        <w:t> </w:t>
      </w:r>
      <w:r>
        <w:rPr>
          <w:w w:val="120"/>
        </w:rPr>
        <w:t>review</w:t>
      </w:r>
      <w:r>
        <w:rPr>
          <w:spacing w:val="-12"/>
          <w:w w:val="120"/>
        </w:rPr>
        <w:t> </w:t>
      </w:r>
      <w:r>
        <w:rPr>
          <w:w w:val="120"/>
        </w:rPr>
        <w:t>commission</w:t>
      </w:r>
      <w:r>
        <w:rPr>
          <w:spacing w:val="-11"/>
          <w:w w:val="120"/>
        </w:rPr>
        <w:t> </w:t>
      </w:r>
      <w:r>
        <w:rPr>
          <w:w w:val="120"/>
        </w:rPr>
        <w:t>of</w:t>
      </w:r>
      <w:r>
        <w:rPr>
          <w:spacing w:val="-11"/>
          <w:w w:val="120"/>
        </w:rPr>
        <w:t> </w:t>
      </w:r>
      <w:r>
        <w:rPr>
          <w:w w:val="120"/>
        </w:rPr>
        <w:t>the</w:t>
      </w:r>
      <w:r>
        <w:rPr>
          <w:spacing w:val="-12"/>
          <w:w w:val="120"/>
        </w:rPr>
        <w:t> </w:t>
      </w:r>
      <w:r>
        <w:rPr>
          <w:w w:val="120"/>
        </w:rPr>
        <w:t>incapacity</w:t>
      </w:r>
      <w:r>
        <w:rPr>
          <w:spacing w:val="-11"/>
          <w:w w:val="120"/>
        </w:rPr>
        <w:t> </w:t>
      </w:r>
      <w:r>
        <w:rPr>
          <w:w w:val="120"/>
        </w:rPr>
        <w:t>procedure:</w:t>
      </w:r>
      <w:r>
        <w:rPr>
          <w:spacing w:val="-11"/>
          <w:w w:val="120"/>
        </w:rPr>
        <w:t> </w:t>
      </w:r>
      <w:r>
        <w:rPr>
          <w:w w:val="120"/>
        </w:rPr>
        <w:t>The</w:t>
      </w:r>
      <w:r>
        <w:rPr>
          <w:spacing w:val="-11"/>
          <w:w w:val="120"/>
        </w:rPr>
        <w:t> </w:t>
      </w:r>
      <w:r>
        <w:rPr>
          <w:w w:val="120"/>
        </w:rPr>
        <w:t>Revd</w:t>
      </w:r>
      <w:r>
        <w:rPr>
          <w:spacing w:val="-12"/>
          <w:w w:val="120"/>
        </w:rPr>
        <w:t> </w:t>
      </w:r>
      <w:r>
        <w:rPr>
          <w:spacing w:val="-3"/>
          <w:w w:val="120"/>
        </w:rPr>
        <w:t>Ray</w:t>
      </w:r>
      <w:r>
        <w:rPr>
          <w:spacing w:val="-11"/>
          <w:w w:val="120"/>
        </w:rPr>
        <w:t> </w:t>
      </w:r>
      <w:r>
        <w:rPr>
          <w:w w:val="120"/>
        </w:rPr>
        <w:t>Adams Consultant for ministers and CRCWs: The Revd Ken</w:t>
      </w:r>
      <w:r>
        <w:rPr>
          <w:spacing w:val="7"/>
          <w:w w:val="120"/>
        </w:rPr>
        <w:t> </w:t>
      </w:r>
      <w:r>
        <w:rPr>
          <w:w w:val="120"/>
        </w:rPr>
        <w:t>Chippindale</w:t>
      </w:r>
    </w:p>
    <w:p>
      <w:pPr>
        <w:pStyle w:val="BodyText"/>
        <w:spacing w:line="240" w:lineRule="exact"/>
        <w:ind w:left="607"/>
      </w:pPr>
      <w:r>
        <w:rPr>
          <w:w w:val="120"/>
        </w:rPr>
        <w:t>Consultant for mandated groups: The Revd Alison Davis</w:t>
      </w:r>
    </w:p>
    <w:p>
      <w:pPr>
        <w:pStyle w:val="BodyText"/>
        <w:spacing w:line="235" w:lineRule="auto"/>
        <w:ind w:left="607" w:right="3489"/>
      </w:pPr>
      <w:r>
        <w:rPr>
          <w:w w:val="120"/>
        </w:rPr>
        <w:t>Training Coordinator: Mr Keith Webster Co-opted: Mr Hartley Oldham General</w:t>
      </w:r>
      <w:r>
        <w:rPr>
          <w:spacing w:val="-19"/>
          <w:w w:val="120"/>
        </w:rPr>
        <w:t> </w:t>
      </w:r>
      <w:r>
        <w:rPr>
          <w:w w:val="120"/>
        </w:rPr>
        <w:t>Secretary,</w:t>
      </w:r>
      <w:r>
        <w:rPr>
          <w:spacing w:val="-19"/>
          <w:w w:val="120"/>
        </w:rPr>
        <w:t> </w:t>
      </w:r>
      <w:r>
        <w:rPr>
          <w:w w:val="120"/>
        </w:rPr>
        <w:t>Clerk</w:t>
      </w:r>
      <w:r>
        <w:rPr>
          <w:spacing w:val="-18"/>
          <w:w w:val="120"/>
        </w:rPr>
        <w:t> </w:t>
      </w:r>
      <w:r>
        <w:rPr>
          <w:w w:val="120"/>
        </w:rPr>
        <w:t>to</w:t>
      </w:r>
      <w:r>
        <w:rPr>
          <w:spacing w:val="-19"/>
          <w:w w:val="120"/>
        </w:rPr>
        <w:t> </w:t>
      </w:r>
      <w:r>
        <w:rPr>
          <w:w w:val="120"/>
        </w:rPr>
        <w:t>Assembly,</w:t>
      </w:r>
      <w:r>
        <w:rPr>
          <w:spacing w:val="-19"/>
          <w:w w:val="120"/>
        </w:rPr>
        <w:t> </w:t>
      </w:r>
      <w:r>
        <w:rPr>
          <w:w w:val="120"/>
        </w:rPr>
        <w:t>Secretary</w:t>
      </w:r>
      <w:r>
        <w:rPr>
          <w:spacing w:val="-18"/>
          <w:w w:val="120"/>
        </w:rPr>
        <w:t> </w:t>
      </w:r>
      <w:r>
        <w:rPr>
          <w:w w:val="120"/>
        </w:rPr>
        <w:t>for</w:t>
      </w:r>
      <w:r>
        <w:rPr>
          <w:spacing w:val="-19"/>
          <w:w w:val="120"/>
        </w:rPr>
        <w:t> </w:t>
      </w:r>
      <w:r>
        <w:rPr>
          <w:w w:val="120"/>
        </w:rPr>
        <w:t>Ministries,</w:t>
      </w:r>
      <w:r>
        <w:rPr>
          <w:spacing w:val="-19"/>
          <w:w w:val="120"/>
        </w:rPr>
        <w:t> </w:t>
      </w:r>
      <w:r>
        <w:rPr>
          <w:w w:val="120"/>
        </w:rPr>
        <w:t>legal</w:t>
      </w:r>
      <w:r>
        <w:rPr>
          <w:spacing w:val="-18"/>
          <w:w w:val="120"/>
        </w:rPr>
        <w:t> </w:t>
      </w:r>
      <w:r>
        <w:rPr>
          <w:w w:val="120"/>
        </w:rPr>
        <w:t>adviser</w:t>
      </w:r>
    </w:p>
    <w:p>
      <w:pPr>
        <w:pStyle w:val="BodyText"/>
        <w:spacing w:before="5"/>
        <w:rPr>
          <w:sz w:val="18"/>
        </w:rPr>
      </w:pPr>
    </w:p>
    <w:p>
      <w:pPr>
        <w:pStyle w:val="Heading7"/>
        <w:numPr>
          <w:ilvl w:val="1"/>
          <w:numId w:val="232"/>
        </w:numPr>
        <w:tabs>
          <w:tab w:pos="1327" w:val="left" w:leader="none"/>
          <w:tab w:pos="1328" w:val="left" w:leader="none"/>
        </w:tabs>
        <w:spacing w:line="261" w:lineRule="exact" w:before="0" w:after="0"/>
        <w:ind w:left="1327" w:right="0" w:hanging="721"/>
        <w:jc w:val="left"/>
      </w:pPr>
      <w:r>
        <w:rPr>
          <w:w w:val="110"/>
        </w:rPr>
        <w:t>Disciplinary Process – commission</w:t>
      </w:r>
      <w:r>
        <w:rPr>
          <w:spacing w:val="-1"/>
          <w:w w:val="110"/>
        </w:rPr>
        <w:t> </w:t>
      </w:r>
      <w:r>
        <w:rPr>
          <w:w w:val="110"/>
        </w:rPr>
        <w:t>panel</w:t>
      </w:r>
    </w:p>
    <w:p>
      <w:pPr>
        <w:spacing w:line="235" w:lineRule="auto" w:before="0"/>
        <w:ind w:left="607" w:right="2045" w:firstLine="0"/>
        <w:jc w:val="left"/>
        <w:rPr>
          <w:i/>
          <w:sz w:val="20"/>
        </w:rPr>
      </w:pPr>
      <w:r>
        <w:rPr>
          <w:i/>
          <w:w w:val="110"/>
          <w:sz w:val="20"/>
        </w:rPr>
        <w:t>(Members serve for five years as regular training is required. They may be invited to continue </w:t>
      </w:r>
      <w:r>
        <w:rPr>
          <w:i/>
          <w:w w:val="110"/>
          <w:sz w:val="20"/>
        </w:rPr>
        <w:t>serving beyond this as experience is especially valuable on this panel)</w:t>
      </w:r>
    </w:p>
    <w:p>
      <w:pPr>
        <w:pStyle w:val="BodyText"/>
        <w:spacing w:line="240" w:lineRule="exact"/>
        <w:ind w:left="607"/>
      </w:pPr>
      <w:r>
        <w:rPr>
          <w:w w:val="120"/>
        </w:rPr>
        <w:t>Convenor: Ms Judith Haughton BEM</w:t>
      </w:r>
    </w:p>
    <w:p>
      <w:pPr>
        <w:pStyle w:val="BodyText"/>
        <w:spacing w:line="235" w:lineRule="auto"/>
        <w:ind w:left="607" w:right="6050"/>
      </w:pPr>
      <w:r>
        <w:rPr>
          <w:w w:val="120"/>
        </w:rPr>
        <w:t>Deputy convenor: The Revd Dr Janet Tollington Secretary: Mrs Gwen Jennings [2017] Members:</w:t>
      </w:r>
    </w:p>
    <w:p>
      <w:pPr>
        <w:pStyle w:val="Heading7"/>
        <w:spacing w:line="247" w:lineRule="exact"/>
        <w:ind w:left="607"/>
      </w:pPr>
      <w:r>
        <w:rPr>
          <w:w w:val="110"/>
        </w:rPr>
        <w:t>Retiring 2017</w:t>
      </w:r>
    </w:p>
    <w:p>
      <w:pPr>
        <w:pStyle w:val="BodyText"/>
        <w:tabs>
          <w:tab w:pos="4916" w:val="left" w:leader="none"/>
        </w:tabs>
        <w:spacing w:line="233" w:lineRule="exact"/>
        <w:ind w:left="607"/>
      </w:pPr>
      <w:r>
        <w:rPr>
          <w:w w:val="120"/>
        </w:rPr>
        <w:t>The Revd Colin</w:t>
      </w:r>
      <w:r>
        <w:rPr>
          <w:spacing w:val="12"/>
          <w:w w:val="120"/>
        </w:rPr>
        <w:t> </w:t>
      </w:r>
      <w:r>
        <w:rPr>
          <w:w w:val="120"/>
        </w:rPr>
        <w:t>Offor</w:t>
      </w:r>
      <w:r>
        <w:rPr>
          <w:spacing w:val="4"/>
          <w:w w:val="120"/>
        </w:rPr>
        <w:t> </w:t>
      </w:r>
      <w:r>
        <w:rPr>
          <w:w w:val="120"/>
        </w:rPr>
        <w:t>(1)</w:t>
        <w:tab/>
        <w:t>The Revd Jane Campbell</w:t>
      </w:r>
      <w:r>
        <w:rPr>
          <w:spacing w:val="8"/>
          <w:w w:val="120"/>
        </w:rPr>
        <w:t> </w:t>
      </w:r>
      <w:r>
        <w:rPr>
          <w:w w:val="120"/>
        </w:rPr>
        <w:t>(5)</w:t>
      </w:r>
    </w:p>
    <w:p>
      <w:pPr>
        <w:pStyle w:val="BodyText"/>
        <w:tabs>
          <w:tab w:pos="4916" w:val="left" w:leader="none"/>
        </w:tabs>
        <w:spacing w:line="240" w:lineRule="exact"/>
        <w:ind w:left="607"/>
      </w:pPr>
      <w:r>
        <w:rPr>
          <w:w w:val="120"/>
        </w:rPr>
        <w:t>The Revd Carolyn</w:t>
      </w:r>
      <w:r>
        <w:rPr>
          <w:spacing w:val="11"/>
          <w:w w:val="120"/>
        </w:rPr>
        <w:t> </w:t>
      </w:r>
      <w:r>
        <w:rPr>
          <w:w w:val="120"/>
        </w:rPr>
        <w:t>Smyth</w:t>
      </w:r>
      <w:r>
        <w:rPr>
          <w:spacing w:val="4"/>
          <w:w w:val="120"/>
        </w:rPr>
        <w:t> </w:t>
      </w:r>
      <w:r>
        <w:rPr>
          <w:w w:val="120"/>
        </w:rPr>
        <w:t>(13)</w:t>
        <w:tab/>
        <w:t>Mr Keith Webster</w:t>
      </w:r>
      <w:r>
        <w:rPr>
          <w:spacing w:val="-32"/>
          <w:w w:val="120"/>
        </w:rPr>
        <w:t> </w:t>
      </w:r>
      <w:r>
        <w:rPr>
          <w:w w:val="120"/>
        </w:rPr>
        <w:t>(10)</w:t>
      </w:r>
    </w:p>
    <w:p>
      <w:pPr>
        <w:pStyle w:val="BodyText"/>
        <w:tabs>
          <w:tab w:pos="4927" w:val="left" w:leader="none"/>
        </w:tabs>
        <w:spacing w:line="240" w:lineRule="exact"/>
        <w:ind w:left="607"/>
      </w:pPr>
      <w:r>
        <w:rPr>
          <w:w w:val="120"/>
        </w:rPr>
        <w:t>Mr Douglas</w:t>
      </w:r>
      <w:r>
        <w:rPr>
          <w:spacing w:val="10"/>
          <w:w w:val="120"/>
        </w:rPr>
        <w:t> </w:t>
      </w:r>
      <w:r>
        <w:rPr>
          <w:w w:val="120"/>
        </w:rPr>
        <w:t>Hay</w:t>
      </w:r>
      <w:r>
        <w:rPr>
          <w:spacing w:val="5"/>
          <w:w w:val="120"/>
        </w:rPr>
        <w:t> </w:t>
      </w:r>
      <w:r>
        <w:rPr>
          <w:w w:val="120"/>
        </w:rPr>
        <w:t>(13)</w:t>
        <w:tab/>
        <w:t>The Revd Ian Kirby</w:t>
      </w:r>
      <w:r>
        <w:rPr>
          <w:spacing w:val="4"/>
          <w:w w:val="120"/>
        </w:rPr>
        <w:t> </w:t>
      </w:r>
      <w:r>
        <w:rPr>
          <w:w w:val="120"/>
        </w:rPr>
        <w:t>(8)</w:t>
      </w:r>
    </w:p>
    <w:p>
      <w:pPr>
        <w:pStyle w:val="BodyText"/>
        <w:tabs>
          <w:tab w:pos="4927" w:val="left" w:leader="none"/>
        </w:tabs>
        <w:spacing w:line="240" w:lineRule="exact"/>
        <w:ind w:left="607"/>
      </w:pPr>
      <w:r>
        <w:rPr>
          <w:w w:val="120"/>
        </w:rPr>
        <w:t>The Revd Craig</w:t>
      </w:r>
      <w:r>
        <w:rPr>
          <w:spacing w:val="13"/>
          <w:w w:val="120"/>
        </w:rPr>
        <w:t> </w:t>
      </w:r>
      <w:r>
        <w:rPr>
          <w:w w:val="120"/>
        </w:rPr>
        <w:t>Muir</w:t>
      </w:r>
      <w:r>
        <w:rPr>
          <w:spacing w:val="4"/>
          <w:w w:val="120"/>
        </w:rPr>
        <w:t> </w:t>
      </w:r>
      <w:r>
        <w:rPr>
          <w:w w:val="120"/>
        </w:rPr>
        <w:t>(6)</w:t>
        <w:tab/>
        <w:t>Mr</w:t>
      </w:r>
      <w:r>
        <w:rPr>
          <w:spacing w:val="-19"/>
          <w:w w:val="120"/>
        </w:rPr>
        <w:t> </w:t>
      </w:r>
      <w:r>
        <w:rPr>
          <w:w w:val="120"/>
        </w:rPr>
        <w:t>Alastair</w:t>
      </w:r>
      <w:r>
        <w:rPr>
          <w:spacing w:val="-19"/>
          <w:w w:val="120"/>
        </w:rPr>
        <w:t> </w:t>
      </w:r>
      <w:r>
        <w:rPr>
          <w:w w:val="120"/>
        </w:rPr>
        <w:t>Forsyth</w:t>
      </w:r>
      <w:r>
        <w:rPr>
          <w:spacing w:val="-19"/>
          <w:w w:val="120"/>
        </w:rPr>
        <w:t> </w:t>
      </w:r>
      <w:r>
        <w:rPr>
          <w:w w:val="120"/>
        </w:rPr>
        <w:t>(4)</w:t>
      </w:r>
    </w:p>
    <w:p>
      <w:pPr>
        <w:pStyle w:val="BodyText"/>
        <w:tabs>
          <w:tab w:pos="4927" w:val="left" w:leader="none"/>
        </w:tabs>
        <w:spacing w:line="234" w:lineRule="exact"/>
        <w:ind w:left="607"/>
      </w:pPr>
      <w:r>
        <w:rPr>
          <w:w w:val="120"/>
        </w:rPr>
        <w:t>Mr David</w:t>
      </w:r>
      <w:r>
        <w:rPr>
          <w:spacing w:val="6"/>
          <w:w w:val="120"/>
        </w:rPr>
        <w:t> </w:t>
      </w:r>
      <w:r>
        <w:rPr>
          <w:w w:val="120"/>
        </w:rPr>
        <w:t>Rice</w:t>
      </w:r>
      <w:r>
        <w:rPr>
          <w:spacing w:val="4"/>
          <w:w w:val="120"/>
        </w:rPr>
        <w:t> </w:t>
      </w:r>
      <w:r>
        <w:rPr>
          <w:w w:val="120"/>
        </w:rPr>
        <w:t>(13)</w:t>
        <w:tab/>
        <w:t>The Revd John Bremner</w:t>
      </w:r>
      <w:r>
        <w:rPr>
          <w:spacing w:val="5"/>
          <w:w w:val="120"/>
        </w:rPr>
        <w:t> </w:t>
      </w:r>
      <w:r>
        <w:rPr>
          <w:w w:val="120"/>
        </w:rPr>
        <w:t>(13)</w:t>
      </w:r>
    </w:p>
    <w:p>
      <w:pPr>
        <w:pStyle w:val="Heading7"/>
        <w:spacing w:line="253" w:lineRule="exact"/>
        <w:ind w:left="607"/>
      </w:pPr>
      <w:r>
        <w:rPr>
          <w:w w:val="110"/>
        </w:rPr>
        <w:t>Retiring 2018</w:t>
      </w:r>
    </w:p>
    <w:p>
      <w:pPr>
        <w:pStyle w:val="BodyText"/>
        <w:tabs>
          <w:tab w:pos="4927" w:val="left" w:leader="none"/>
        </w:tabs>
        <w:spacing w:line="235" w:lineRule="auto"/>
        <w:ind w:left="607" w:right="3733"/>
      </w:pPr>
      <w:r>
        <w:rPr>
          <w:w w:val="120"/>
        </w:rPr>
        <w:t>The Revd Pauline</w:t>
      </w:r>
      <w:r>
        <w:rPr>
          <w:spacing w:val="9"/>
          <w:w w:val="120"/>
        </w:rPr>
        <w:t> </w:t>
      </w:r>
      <w:r>
        <w:rPr>
          <w:w w:val="120"/>
        </w:rPr>
        <w:t>Calderwood</w:t>
      </w:r>
      <w:r>
        <w:rPr>
          <w:spacing w:val="3"/>
          <w:w w:val="120"/>
        </w:rPr>
        <w:t> </w:t>
      </w:r>
      <w:r>
        <w:rPr>
          <w:w w:val="120"/>
        </w:rPr>
        <w:t>(4)</w:t>
        <w:tab/>
        <w:t>The Revd Bill Bowman </w:t>
      </w:r>
      <w:r>
        <w:rPr>
          <w:spacing w:val="-4"/>
          <w:w w:val="120"/>
        </w:rPr>
        <w:t>(11) </w:t>
      </w:r>
      <w:r>
        <w:rPr>
          <w:w w:val="120"/>
        </w:rPr>
        <w:t>Mr Peter</w:t>
      </w:r>
      <w:r>
        <w:rPr>
          <w:spacing w:val="-5"/>
          <w:w w:val="120"/>
        </w:rPr>
        <w:t> </w:t>
      </w:r>
      <w:r>
        <w:rPr>
          <w:w w:val="120"/>
        </w:rPr>
        <w:t>Campbell-Smith</w:t>
      </w:r>
      <w:r>
        <w:rPr>
          <w:spacing w:val="-3"/>
          <w:w w:val="120"/>
        </w:rPr>
        <w:t> </w:t>
      </w:r>
      <w:r>
        <w:rPr>
          <w:w w:val="120"/>
        </w:rPr>
        <w:t>(11)</w:t>
        <w:tab/>
        <w:t>Mr Roger </w:t>
      </w:r>
      <w:r>
        <w:rPr>
          <w:spacing w:val="-3"/>
          <w:w w:val="120"/>
        </w:rPr>
        <w:t>Tucker</w:t>
      </w:r>
      <w:r>
        <w:rPr>
          <w:spacing w:val="7"/>
          <w:w w:val="120"/>
        </w:rPr>
        <w:t> </w:t>
      </w:r>
      <w:r>
        <w:rPr>
          <w:w w:val="120"/>
        </w:rPr>
        <w:t>(1)</w:t>
      </w:r>
    </w:p>
    <w:p>
      <w:pPr>
        <w:pStyle w:val="BodyText"/>
        <w:spacing w:line="233" w:lineRule="exact"/>
        <w:ind w:left="607"/>
      </w:pPr>
      <w:r>
        <w:rPr>
          <w:w w:val="120"/>
        </w:rPr>
        <w:t>Mrs Wendy Dunnett (9)</w:t>
      </w:r>
    </w:p>
    <w:p>
      <w:pPr>
        <w:pStyle w:val="Heading7"/>
        <w:spacing w:line="253" w:lineRule="exact"/>
        <w:ind w:left="607"/>
      </w:pPr>
      <w:r>
        <w:rPr>
          <w:w w:val="110"/>
        </w:rPr>
        <w:t>Retiring 2019</w:t>
      </w:r>
    </w:p>
    <w:p>
      <w:pPr>
        <w:pStyle w:val="BodyText"/>
        <w:tabs>
          <w:tab w:pos="4927" w:val="left" w:leader="none"/>
        </w:tabs>
        <w:spacing w:line="233" w:lineRule="exact"/>
        <w:ind w:left="607"/>
      </w:pPr>
      <w:r>
        <w:rPr>
          <w:w w:val="125"/>
        </w:rPr>
        <w:t>The Revd Debbie</w:t>
      </w:r>
      <w:r>
        <w:rPr>
          <w:spacing w:val="-44"/>
          <w:w w:val="125"/>
        </w:rPr>
        <w:t> </w:t>
      </w:r>
      <w:r>
        <w:rPr>
          <w:w w:val="125"/>
        </w:rPr>
        <w:t>Brown</w:t>
      </w:r>
      <w:r>
        <w:rPr>
          <w:spacing w:val="-15"/>
          <w:w w:val="125"/>
        </w:rPr>
        <w:t> </w:t>
      </w:r>
      <w:r>
        <w:rPr>
          <w:w w:val="125"/>
        </w:rPr>
        <w:t>(3)</w:t>
        <w:tab/>
        <w:t>Mrs Sue Bush</w:t>
      </w:r>
      <w:r>
        <w:rPr>
          <w:spacing w:val="-3"/>
          <w:w w:val="125"/>
        </w:rPr>
        <w:t> </w:t>
      </w:r>
      <w:r>
        <w:rPr>
          <w:w w:val="125"/>
        </w:rPr>
        <w:t>(1)</w:t>
      </w:r>
    </w:p>
    <w:p>
      <w:pPr>
        <w:pStyle w:val="BodyText"/>
        <w:tabs>
          <w:tab w:pos="4927" w:val="left" w:leader="none"/>
        </w:tabs>
        <w:spacing w:line="240" w:lineRule="exact"/>
        <w:ind w:left="607"/>
      </w:pPr>
      <w:r>
        <w:rPr>
          <w:w w:val="120"/>
        </w:rPr>
        <w:t>Mrs Mary</w:t>
      </w:r>
      <w:r>
        <w:rPr>
          <w:spacing w:val="8"/>
          <w:w w:val="120"/>
        </w:rPr>
        <w:t> </w:t>
      </w:r>
      <w:r>
        <w:rPr>
          <w:w w:val="120"/>
        </w:rPr>
        <w:t>Cummings</w:t>
      </w:r>
      <w:r>
        <w:rPr>
          <w:spacing w:val="4"/>
          <w:w w:val="120"/>
        </w:rPr>
        <w:t> </w:t>
      </w:r>
      <w:r>
        <w:rPr>
          <w:w w:val="120"/>
        </w:rPr>
        <w:t>(6)</w:t>
        <w:tab/>
        <w:t>Mr Peter Etwell</w:t>
      </w:r>
      <w:r>
        <w:rPr>
          <w:spacing w:val="4"/>
          <w:w w:val="120"/>
        </w:rPr>
        <w:t> </w:t>
      </w:r>
      <w:r>
        <w:rPr>
          <w:w w:val="120"/>
        </w:rPr>
        <w:t>(1)</w:t>
      </w:r>
    </w:p>
    <w:p>
      <w:pPr>
        <w:pStyle w:val="BodyText"/>
        <w:tabs>
          <w:tab w:pos="4927" w:val="left" w:leader="none"/>
        </w:tabs>
        <w:spacing w:line="240" w:lineRule="exact"/>
        <w:ind w:left="607"/>
      </w:pPr>
      <w:r>
        <w:rPr>
          <w:w w:val="120"/>
        </w:rPr>
        <w:t>The Revd Peter</w:t>
      </w:r>
      <w:r>
        <w:rPr>
          <w:spacing w:val="-14"/>
          <w:w w:val="120"/>
        </w:rPr>
        <w:t> </w:t>
      </w:r>
      <w:r>
        <w:rPr>
          <w:w w:val="120"/>
        </w:rPr>
        <w:t>Flint</w:t>
      </w:r>
      <w:r>
        <w:rPr>
          <w:spacing w:val="-5"/>
          <w:w w:val="120"/>
        </w:rPr>
        <w:t> </w:t>
      </w:r>
      <w:r>
        <w:rPr>
          <w:w w:val="120"/>
        </w:rPr>
        <w:t>(11)</w:t>
        <w:tab/>
        <w:t>Mr Andrew Harvey</w:t>
      </w:r>
      <w:r>
        <w:rPr>
          <w:spacing w:val="5"/>
          <w:w w:val="120"/>
        </w:rPr>
        <w:t> </w:t>
      </w:r>
      <w:r>
        <w:rPr>
          <w:w w:val="120"/>
        </w:rPr>
        <w:t>(8)</w:t>
      </w:r>
    </w:p>
    <w:p>
      <w:pPr>
        <w:pStyle w:val="BodyText"/>
        <w:tabs>
          <w:tab w:pos="4927" w:val="left" w:leader="none"/>
        </w:tabs>
        <w:spacing w:line="240" w:lineRule="exact"/>
        <w:ind w:left="607"/>
      </w:pPr>
      <w:r>
        <w:rPr>
          <w:w w:val="120"/>
        </w:rPr>
        <w:t>Mrs Barbara</w:t>
      </w:r>
      <w:r>
        <w:rPr>
          <w:spacing w:val="-10"/>
          <w:w w:val="120"/>
        </w:rPr>
        <w:t> </w:t>
      </w:r>
      <w:r>
        <w:rPr>
          <w:w w:val="120"/>
        </w:rPr>
        <w:t>Goom</w:t>
      </w:r>
      <w:r>
        <w:rPr>
          <w:spacing w:val="-4"/>
          <w:w w:val="120"/>
        </w:rPr>
        <w:t> </w:t>
      </w:r>
      <w:r>
        <w:rPr>
          <w:w w:val="120"/>
        </w:rPr>
        <w:t>(8)</w:t>
        <w:tab/>
        <w:t>The Revd Graham Maskery</w:t>
      </w:r>
      <w:r>
        <w:rPr>
          <w:spacing w:val="5"/>
          <w:w w:val="120"/>
        </w:rPr>
        <w:t> </w:t>
      </w:r>
      <w:r>
        <w:rPr>
          <w:w w:val="120"/>
        </w:rPr>
        <w:t>(2)</w:t>
      </w:r>
    </w:p>
    <w:p>
      <w:pPr>
        <w:pStyle w:val="BodyText"/>
        <w:tabs>
          <w:tab w:pos="4927" w:val="left" w:leader="none"/>
        </w:tabs>
        <w:spacing w:line="240" w:lineRule="exact"/>
        <w:ind w:left="607"/>
      </w:pPr>
      <w:r>
        <w:rPr>
          <w:w w:val="125"/>
        </w:rPr>
        <w:t>The</w:t>
      </w:r>
      <w:r>
        <w:rPr>
          <w:spacing w:val="-18"/>
          <w:w w:val="125"/>
        </w:rPr>
        <w:t> </w:t>
      </w:r>
      <w:r>
        <w:rPr>
          <w:w w:val="125"/>
        </w:rPr>
        <w:t>Revd</w:t>
      </w:r>
      <w:r>
        <w:rPr>
          <w:spacing w:val="-17"/>
          <w:w w:val="125"/>
        </w:rPr>
        <w:t> </w:t>
      </w:r>
      <w:r>
        <w:rPr>
          <w:w w:val="125"/>
        </w:rPr>
        <w:t>Deborah</w:t>
      </w:r>
      <w:r>
        <w:rPr>
          <w:spacing w:val="-18"/>
          <w:w w:val="125"/>
        </w:rPr>
        <w:t> </w:t>
      </w:r>
      <w:r>
        <w:rPr>
          <w:spacing w:val="-3"/>
          <w:w w:val="125"/>
        </w:rPr>
        <w:t>McVey</w:t>
      </w:r>
      <w:r>
        <w:rPr>
          <w:spacing w:val="-17"/>
          <w:w w:val="125"/>
        </w:rPr>
        <w:t> </w:t>
      </w:r>
      <w:r>
        <w:rPr>
          <w:w w:val="125"/>
        </w:rPr>
        <w:t>(7)</w:t>
        <w:tab/>
        <w:t>The Revd Sue</w:t>
      </w:r>
      <w:r>
        <w:rPr>
          <w:spacing w:val="-4"/>
          <w:w w:val="125"/>
        </w:rPr>
        <w:t> </w:t>
      </w:r>
      <w:r>
        <w:rPr>
          <w:w w:val="125"/>
        </w:rPr>
        <w:t>McCoan(6)</w:t>
      </w:r>
    </w:p>
    <w:p>
      <w:pPr>
        <w:pStyle w:val="BodyText"/>
        <w:tabs>
          <w:tab w:pos="4927" w:val="left" w:leader="none"/>
        </w:tabs>
        <w:spacing w:line="235" w:lineRule="auto"/>
        <w:ind w:left="607" w:right="4562"/>
      </w:pPr>
      <w:r>
        <w:rPr>
          <w:w w:val="120"/>
        </w:rPr>
        <w:t>The Revd Sarah</w:t>
      </w:r>
      <w:r>
        <w:rPr>
          <w:spacing w:val="-12"/>
          <w:w w:val="120"/>
        </w:rPr>
        <w:t> </w:t>
      </w:r>
      <w:r>
        <w:rPr>
          <w:w w:val="120"/>
        </w:rPr>
        <w:t>Moore</w:t>
      </w:r>
      <w:r>
        <w:rPr>
          <w:spacing w:val="-4"/>
          <w:w w:val="120"/>
        </w:rPr>
        <w:t> </w:t>
      </w:r>
      <w:r>
        <w:rPr>
          <w:w w:val="120"/>
        </w:rPr>
        <w:t>(2)</w:t>
        <w:tab/>
        <w:t>Mrs Pat Poinen</w:t>
      </w:r>
      <w:r>
        <w:rPr>
          <w:spacing w:val="-32"/>
          <w:w w:val="120"/>
        </w:rPr>
        <w:t> </w:t>
      </w:r>
      <w:r>
        <w:rPr>
          <w:spacing w:val="-5"/>
          <w:w w:val="120"/>
        </w:rPr>
        <w:t>(1) </w:t>
      </w:r>
      <w:r>
        <w:rPr>
          <w:w w:val="120"/>
        </w:rPr>
        <w:t>The Revd Wendy Swan</w:t>
      </w:r>
      <w:r>
        <w:rPr>
          <w:spacing w:val="7"/>
          <w:w w:val="120"/>
        </w:rPr>
        <w:t> </w:t>
      </w:r>
      <w:r>
        <w:rPr>
          <w:w w:val="120"/>
        </w:rPr>
        <w:t>(9)</w:t>
      </w:r>
    </w:p>
    <w:p>
      <w:pPr>
        <w:pStyle w:val="Heading7"/>
        <w:spacing w:line="247" w:lineRule="exact"/>
        <w:ind w:left="607"/>
      </w:pPr>
      <w:r>
        <w:rPr>
          <w:w w:val="110"/>
        </w:rPr>
        <w:t>Retiring 2020</w:t>
      </w:r>
    </w:p>
    <w:p>
      <w:pPr>
        <w:pStyle w:val="BodyText"/>
        <w:tabs>
          <w:tab w:pos="4927" w:val="left" w:leader="none"/>
        </w:tabs>
        <w:spacing w:line="233" w:lineRule="exact"/>
        <w:ind w:left="607"/>
      </w:pPr>
      <w:r>
        <w:rPr>
          <w:w w:val="115"/>
        </w:rPr>
        <w:t>The Revd Martha</w:t>
      </w:r>
      <w:r>
        <w:rPr>
          <w:spacing w:val="47"/>
          <w:w w:val="115"/>
        </w:rPr>
        <w:t> </w:t>
      </w:r>
      <w:r>
        <w:rPr>
          <w:w w:val="115"/>
        </w:rPr>
        <w:t>McInnes</w:t>
      </w:r>
      <w:r>
        <w:rPr>
          <w:spacing w:val="15"/>
          <w:w w:val="115"/>
        </w:rPr>
        <w:t> </w:t>
      </w:r>
      <w:r>
        <w:rPr>
          <w:w w:val="115"/>
        </w:rPr>
        <w:t>(6)</w:t>
        <w:tab/>
        <w:t>The Revd Rachel Poolman</w:t>
      </w:r>
      <w:r>
        <w:rPr>
          <w:spacing w:val="22"/>
          <w:w w:val="115"/>
        </w:rPr>
        <w:t> </w:t>
      </w:r>
      <w:r>
        <w:rPr>
          <w:w w:val="115"/>
        </w:rPr>
        <w:t>(1)</w:t>
      </w:r>
    </w:p>
    <w:p>
      <w:pPr>
        <w:pStyle w:val="BodyText"/>
        <w:tabs>
          <w:tab w:pos="4927" w:val="left" w:leader="none"/>
        </w:tabs>
        <w:spacing w:line="240" w:lineRule="exact"/>
        <w:ind w:left="607"/>
      </w:pPr>
      <w:r>
        <w:rPr>
          <w:w w:val="120"/>
        </w:rPr>
        <w:t>The Revd Hilary</w:t>
      </w:r>
      <w:r>
        <w:rPr>
          <w:spacing w:val="17"/>
          <w:w w:val="120"/>
        </w:rPr>
        <w:t> </w:t>
      </w:r>
      <w:r>
        <w:rPr>
          <w:w w:val="120"/>
        </w:rPr>
        <w:t>Collinson</w:t>
      </w:r>
      <w:r>
        <w:rPr>
          <w:spacing w:val="5"/>
          <w:w w:val="120"/>
        </w:rPr>
        <w:t> </w:t>
      </w:r>
      <w:r>
        <w:rPr>
          <w:w w:val="120"/>
        </w:rPr>
        <w:t>(1)</w:t>
        <w:tab/>
        <w:t>The Revd Peter Stevenson</w:t>
      </w:r>
      <w:r>
        <w:rPr>
          <w:spacing w:val="5"/>
          <w:w w:val="120"/>
        </w:rPr>
        <w:t> </w:t>
      </w:r>
      <w:r>
        <w:rPr>
          <w:w w:val="120"/>
        </w:rPr>
        <w:t>(10)</w:t>
      </w:r>
    </w:p>
    <w:p>
      <w:pPr>
        <w:pStyle w:val="BodyText"/>
        <w:tabs>
          <w:tab w:pos="4927" w:val="left" w:leader="none"/>
        </w:tabs>
        <w:spacing w:line="234" w:lineRule="exact"/>
        <w:ind w:left="607"/>
      </w:pPr>
      <w:r>
        <w:rPr>
          <w:w w:val="120"/>
        </w:rPr>
        <w:t>Mr Patrick</w:t>
      </w:r>
      <w:r>
        <w:rPr>
          <w:spacing w:val="-9"/>
          <w:w w:val="120"/>
        </w:rPr>
        <w:t> </w:t>
      </w:r>
      <w:r>
        <w:rPr>
          <w:w w:val="120"/>
        </w:rPr>
        <w:t>Smyth</w:t>
      </w:r>
      <w:r>
        <w:rPr>
          <w:spacing w:val="-5"/>
          <w:w w:val="120"/>
        </w:rPr>
        <w:t> </w:t>
      </w:r>
      <w:r>
        <w:rPr>
          <w:w w:val="120"/>
        </w:rPr>
        <w:t>(13)</w:t>
        <w:tab/>
        <w:t>Mr Andy Braunston</w:t>
      </w:r>
      <w:r>
        <w:rPr>
          <w:spacing w:val="5"/>
          <w:w w:val="120"/>
        </w:rPr>
        <w:t> </w:t>
      </w:r>
      <w:r>
        <w:rPr>
          <w:w w:val="120"/>
        </w:rPr>
        <w:t>(2)</w:t>
      </w:r>
    </w:p>
    <w:p>
      <w:pPr>
        <w:pStyle w:val="Heading7"/>
        <w:spacing w:line="253" w:lineRule="exact"/>
        <w:ind w:left="607"/>
      </w:pPr>
      <w:r>
        <w:rPr>
          <w:w w:val="110"/>
        </w:rPr>
        <w:t>Retiring 2021</w:t>
      </w:r>
    </w:p>
    <w:p>
      <w:pPr>
        <w:pStyle w:val="BodyText"/>
        <w:tabs>
          <w:tab w:pos="4927" w:val="left" w:leader="none"/>
        </w:tabs>
        <w:spacing w:line="233" w:lineRule="exact"/>
        <w:ind w:left="607"/>
      </w:pPr>
      <w:r>
        <w:rPr>
          <w:w w:val="120"/>
        </w:rPr>
        <w:t>The Revd Kirsty</w:t>
      </w:r>
      <w:r>
        <w:rPr>
          <w:spacing w:val="4"/>
          <w:w w:val="120"/>
        </w:rPr>
        <w:t> </w:t>
      </w:r>
      <w:r>
        <w:rPr>
          <w:w w:val="120"/>
        </w:rPr>
        <w:t>Thorpe</w:t>
      </w:r>
      <w:r>
        <w:rPr>
          <w:spacing w:val="2"/>
          <w:w w:val="120"/>
        </w:rPr>
        <w:t> </w:t>
      </w:r>
      <w:r>
        <w:rPr>
          <w:w w:val="120"/>
        </w:rPr>
        <w:t>(2)</w:t>
        <w:tab/>
        <w:t>The Revd David M Miller</w:t>
      </w:r>
      <w:r>
        <w:rPr>
          <w:spacing w:val="9"/>
          <w:w w:val="120"/>
        </w:rPr>
        <w:t> </w:t>
      </w:r>
      <w:r>
        <w:rPr>
          <w:w w:val="120"/>
        </w:rPr>
        <w:t>(6)</w:t>
      </w:r>
    </w:p>
    <w:p>
      <w:pPr>
        <w:pStyle w:val="BodyText"/>
        <w:tabs>
          <w:tab w:pos="4927" w:val="left" w:leader="none"/>
        </w:tabs>
        <w:spacing w:line="240" w:lineRule="exact"/>
        <w:ind w:left="607"/>
      </w:pPr>
      <w:r>
        <w:rPr>
          <w:w w:val="120"/>
        </w:rPr>
        <w:t>Mrs Diane</w:t>
      </w:r>
      <w:r>
        <w:rPr>
          <w:spacing w:val="-9"/>
          <w:w w:val="120"/>
        </w:rPr>
        <w:t> </w:t>
      </w:r>
      <w:r>
        <w:rPr>
          <w:w w:val="120"/>
        </w:rPr>
        <w:t>Moverley</w:t>
      </w:r>
      <w:r>
        <w:rPr>
          <w:spacing w:val="-5"/>
          <w:w w:val="120"/>
        </w:rPr>
        <w:t> </w:t>
      </w:r>
      <w:r>
        <w:rPr>
          <w:w w:val="120"/>
        </w:rPr>
        <w:t>(12)</w:t>
        <w:tab/>
        <w:t>Mrs Janet Virr</w:t>
      </w:r>
      <w:r>
        <w:rPr>
          <w:spacing w:val="4"/>
          <w:w w:val="120"/>
        </w:rPr>
        <w:t> </w:t>
      </w:r>
      <w:r>
        <w:rPr>
          <w:w w:val="120"/>
        </w:rPr>
        <w:t>(4)</w:t>
      </w:r>
    </w:p>
    <w:p>
      <w:pPr>
        <w:pStyle w:val="BodyText"/>
        <w:tabs>
          <w:tab w:pos="4927" w:val="left" w:leader="none"/>
        </w:tabs>
        <w:spacing w:line="242" w:lineRule="exact"/>
        <w:ind w:left="607"/>
      </w:pPr>
      <w:r>
        <w:rPr>
          <w:w w:val="120"/>
        </w:rPr>
        <w:t>Mr David</w:t>
      </w:r>
      <w:r>
        <w:rPr>
          <w:spacing w:val="-3"/>
          <w:w w:val="120"/>
        </w:rPr>
        <w:t> </w:t>
      </w:r>
      <w:r>
        <w:rPr>
          <w:w w:val="120"/>
        </w:rPr>
        <w:t>Jones</w:t>
      </w:r>
      <w:r>
        <w:rPr>
          <w:spacing w:val="-1"/>
          <w:w w:val="120"/>
        </w:rPr>
        <w:t> </w:t>
      </w:r>
      <w:r>
        <w:rPr>
          <w:w w:val="120"/>
        </w:rPr>
        <w:t>(5)</w:t>
        <w:tab/>
        <w:t>Mr Ian Corless</w:t>
      </w:r>
      <w:r>
        <w:rPr>
          <w:spacing w:val="6"/>
          <w:w w:val="120"/>
        </w:rPr>
        <w:t> </w:t>
      </w:r>
      <w:r>
        <w:rPr>
          <w:w w:val="120"/>
        </w:rPr>
        <w:t>(9)</w:t>
      </w:r>
    </w:p>
    <w:p>
      <w:pPr>
        <w:spacing w:after="0" w:line="242" w:lineRule="exact"/>
        <w:sectPr>
          <w:headerReference w:type="even" r:id="rId543"/>
          <w:footerReference w:type="even" r:id="rId544"/>
          <w:footerReference w:type="default" r:id="rId545"/>
          <w:pgSz w:w="11910" w:h="16840"/>
          <w:pgMar w:header="0" w:footer="647" w:top="0" w:bottom="840" w:left="640" w:right="0"/>
          <w:pgNumType w:start="204"/>
        </w:sectPr>
      </w:pPr>
    </w:p>
    <w:p>
      <w:pPr>
        <w:pStyle w:val="BodyText"/>
      </w:pPr>
      <w:r>
        <w:rPr/>
        <w:drawing>
          <wp:anchor distT="0" distB="0" distL="0" distR="0" allowOverlap="1" layoutInCell="1" locked="0" behindDoc="0" simplePos="0" relativeHeight="252207104">
            <wp:simplePos x="0" y="0"/>
            <wp:positionH relativeFrom="page">
              <wp:posOffset>6974928</wp:posOffset>
            </wp:positionH>
            <wp:positionV relativeFrom="page">
              <wp:posOffset>0</wp:posOffset>
            </wp:positionV>
            <wp:extent cx="585063" cy="10692003"/>
            <wp:effectExtent l="0" t="0" r="0" b="0"/>
            <wp:wrapNone/>
            <wp:docPr id="391" name="image70.png"/>
            <wp:cNvGraphicFramePr>
              <a:graphicFrameLocks noChangeAspect="1"/>
            </wp:cNvGraphicFramePr>
            <a:graphic>
              <a:graphicData uri="http://schemas.openxmlformats.org/drawingml/2006/picture">
                <pic:pic>
                  <pic:nvPicPr>
                    <pic:cNvPr id="392" name="image70.png"/>
                    <pic:cNvPicPr/>
                  </pic:nvPicPr>
                  <pic:blipFill>
                    <a:blip r:embed="rId532" cstate="print"/>
                    <a:stretch>
                      <a:fillRect/>
                    </a:stretch>
                  </pic:blipFill>
                  <pic:spPr>
                    <a:xfrm>
                      <a:off x="0" y="0"/>
                      <a:ext cx="585063" cy="10692003"/>
                    </a:xfrm>
                    <a:prstGeom prst="rect">
                      <a:avLst/>
                    </a:prstGeom>
                  </pic:spPr>
                </pic:pic>
              </a:graphicData>
            </a:graphic>
          </wp:anchor>
        </w:drawing>
      </w:r>
    </w:p>
    <w:p>
      <w:pPr>
        <w:pStyle w:val="BodyText"/>
        <w:spacing w:before="7"/>
        <w:rPr>
          <w:sz w:val="21"/>
        </w:rPr>
      </w:pPr>
    </w:p>
    <w:p>
      <w:pPr>
        <w:spacing w:before="106"/>
        <w:ind w:left="0" w:right="1245" w:firstLine="0"/>
        <w:jc w:val="right"/>
        <w:rPr>
          <w:sz w:val="26"/>
        </w:rPr>
      </w:pPr>
      <w:r>
        <w:rPr/>
        <w:pict>
          <v:shape style="position:absolute;margin-left:554.141174pt;margin-top:22.593945pt;width:25.9pt;height:131.3pt;mso-position-horizontal-relative:page;mso-position-vertical-relative:paragraph;z-index:252208128" type="#_x0000_t202" filled="false" stroked="false">
            <v:textbox inset="0,0,0,0" style="layout-flow:vertical">
              <w:txbxContent>
                <w:p>
                  <w:pPr>
                    <w:spacing w:before="27"/>
                    <w:ind w:left="20" w:right="0" w:firstLine="0"/>
                    <w:jc w:val="left"/>
                    <w:rPr>
                      <w:sz w:val="39"/>
                    </w:rPr>
                  </w:pPr>
                  <w:r>
                    <w:rPr>
                      <w:color w:val="FFFFFF"/>
                      <w:w w:val="120"/>
                      <w:sz w:val="39"/>
                    </w:rPr>
                    <w:t>Nominations</w:t>
                  </w:r>
                </w:p>
              </w:txbxContent>
            </v:textbox>
            <w10:wrap type="none"/>
          </v:shape>
        </w:pict>
      </w:r>
      <w:r>
        <w:rPr>
          <w:color w:val="7EAABF"/>
          <w:w w:val="115"/>
          <w:sz w:val="26"/>
        </w:rPr>
        <w:t>Nominations</w:t>
      </w:r>
    </w:p>
    <w:p>
      <w:pPr>
        <w:pStyle w:val="Heading7"/>
        <w:numPr>
          <w:ilvl w:val="1"/>
          <w:numId w:val="232"/>
        </w:numPr>
        <w:tabs>
          <w:tab w:pos="2024" w:val="left" w:leader="none"/>
          <w:tab w:pos="2025" w:val="left" w:leader="none"/>
        </w:tabs>
        <w:spacing w:line="261" w:lineRule="exact" w:before="205" w:after="0"/>
        <w:ind w:left="2024" w:right="0" w:hanging="681"/>
        <w:jc w:val="left"/>
      </w:pPr>
      <w:r>
        <w:rPr>
          <w:w w:val="110"/>
        </w:rPr>
        <w:t>Standing panel for the incapacity</w:t>
      </w:r>
      <w:r>
        <w:rPr>
          <w:spacing w:val="-2"/>
          <w:w w:val="110"/>
        </w:rPr>
        <w:t> </w:t>
      </w:r>
      <w:r>
        <w:rPr>
          <w:w w:val="110"/>
        </w:rPr>
        <w:t>procedure</w:t>
      </w:r>
    </w:p>
    <w:p>
      <w:pPr>
        <w:spacing w:line="233" w:lineRule="exact" w:before="0"/>
        <w:ind w:left="1344" w:right="0" w:firstLine="0"/>
        <w:jc w:val="left"/>
        <w:rPr>
          <w:i/>
          <w:sz w:val="20"/>
        </w:rPr>
      </w:pPr>
      <w:r>
        <w:rPr>
          <w:i/>
          <w:w w:val="115"/>
          <w:sz w:val="20"/>
        </w:rPr>
        <w:t>(This panel is normally convened by the member with legal experience)</w:t>
      </w:r>
    </w:p>
    <w:p>
      <w:pPr>
        <w:pStyle w:val="BodyText"/>
        <w:spacing w:line="240" w:lineRule="exact"/>
        <w:ind w:left="1344"/>
      </w:pPr>
      <w:r>
        <w:rPr>
          <w:w w:val="115"/>
        </w:rPr>
        <w:t>Secretary: The Revd Ray Adams [2017]</w:t>
      </w:r>
    </w:p>
    <w:p>
      <w:pPr>
        <w:pStyle w:val="BodyText"/>
        <w:spacing w:line="240" w:lineRule="exact"/>
        <w:ind w:left="1344"/>
      </w:pPr>
      <w:r>
        <w:rPr>
          <w:w w:val="120"/>
        </w:rPr>
        <w:t>The Revd Ruth Whitehead (Synod Moderator) [2018]</w:t>
      </w:r>
    </w:p>
    <w:p>
      <w:pPr>
        <w:pStyle w:val="BodyText"/>
        <w:spacing w:line="235" w:lineRule="auto" w:before="2"/>
        <w:ind w:left="1344" w:right="3455"/>
      </w:pPr>
      <w:r>
        <w:rPr>
          <w:w w:val="120"/>
        </w:rPr>
        <w:t>The</w:t>
      </w:r>
      <w:r>
        <w:rPr>
          <w:spacing w:val="-14"/>
          <w:w w:val="120"/>
        </w:rPr>
        <w:t> </w:t>
      </w:r>
      <w:r>
        <w:rPr>
          <w:w w:val="120"/>
        </w:rPr>
        <w:t>Revd</w:t>
      </w:r>
      <w:r>
        <w:rPr>
          <w:spacing w:val="-13"/>
          <w:w w:val="120"/>
        </w:rPr>
        <w:t> </w:t>
      </w:r>
      <w:r>
        <w:rPr>
          <w:w w:val="120"/>
        </w:rPr>
        <w:t>John</w:t>
      </w:r>
      <w:r>
        <w:rPr>
          <w:spacing w:val="-13"/>
          <w:w w:val="120"/>
        </w:rPr>
        <w:t> </w:t>
      </w:r>
      <w:r>
        <w:rPr>
          <w:w w:val="120"/>
        </w:rPr>
        <w:t>Marsh</w:t>
      </w:r>
      <w:r>
        <w:rPr>
          <w:spacing w:val="-13"/>
          <w:w w:val="120"/>
        </w:rPr>
        <w:t> </w:t>
      </w:r>
      <w:r>
        <w:rPr>
          <w:w w:val="120"/>
        </w:rPr>
        <w:t>(Past</w:t>
      </w:r>
      <w:r>
        <w:rPr>
          <w:spacing w:val="-14"/>
          <w:w w:val="120"/>
        </w:rPr>
        <w:t> </w:t>
      </w:r>
      <w:r>
        <w:rPr>
          <w:w w:val="120"/>
        </w:rPr>
        <w:t>Moderator</w:t>
      </w:r>
      <w:r>
        <w:rPr>
          <w:spacing w:val="-13"/>
          <w:w w:val="120"/>
        </w:rPr>
        <w:t> </w:t>
      </w:r>
      <w:r>
        <w:rPr>
          <w:w w:val="120"/>
        </w:rPr>
        <w:t>of</w:t>
      </w:r>
      <w:r>
        <w:rPr>
          <w:spacing w:val="-13"/>
          <w:w w:val="120"/>
        </w:rPr>
        <w:t> </w:t>
      </w:r>
      <w:r>
        <w:rPr>
          <w:w w:val="120"/>
        </w:rPr>
        <w:t>General</w:t>
      </w:r>
      <w:r>
        <w:rPr>
          <w:spacing w:val="-13"/>
          <w:w w:val="120"/>
        </w:rPr>
        <w:t> </w:t>
      </w:r>
      <w:r>
        <w:rPr>
          <w:w w:val="120"/>
        </w:rPr>
        <w:t>Assembly)</w:t>
      </w:r>
      <w:r>
        <w:rPr>
          <w:spacing w:val="-14"/>
          <w:w w:val="120"/>
        </w:rPr>
        <w:t> </w:t>
      </w:r>
      <w:r>
        <w:rPr>
          <w:w w:val="120"/>
        </w:rPr>
        <w:t>[2017] Mr David Nash (legal experience)</w:t>
      </w:r>
      <w:r>
        <w:rPr>
          <w:spacing w:val="11"/>
          <w:w w:val="120"/>
        </w:rPr>
        <w:t> </w:t>
      </w:r>
      <w:r>
        <w:rPr>
          <w:w w:val="120"/>
        </w:rPr>
        <w:t>[2018]</w:t>
      </w:r>
    </w:p>
    <w:p>
      <w:pPr>
        <w:pStyle w:val="BodyText"/>
        <w:spacing w:line="239" w:lineRule="exact"/>
        <w:ind w:left="1344"/>
      </w:pPr>
      <w:r>
        <w:rPr>
          <w:w w:val="125"/>
        </w:rPr>
        <w:t>Dr Ewen Harley (GP) [2018]</w:t>
      </w:r>
    </w:p>
    <w:p>
      <w:pPr>
        <w:pStyle w:val="BodyText"/>
        <w:spacing w:line="243" w:lineRule="exact"/>
        <w:ind w:left="1344"/>
      </w:pPr>
      <w:r>
        <w:rPr>
          <w:w w:val="120"/>
        </w:rPr>
        <w:t>Commission officer for the incapacity procedure: Dr David Westwood [2018]</w:t>
      </w:r>
    </w:p>
    <w:p>
      <w:pPr>
        <w:pStyle w:val="BodyText"/>
        <w:spacing w:before="3"/>
        <w:rPr>
          <w:sz w:val="18"/>
        </w:rPr>
      </w:pPr>
    </w:p>
    <w:p>
      <w:pPr>
        <w:pStyle w:val="Heading7"/>
        <w:numPr>
          <w:ilvl w:val="1"/>
          <w:numId w:val="232"/>
        </w:numPr>
        <w:tabs>
          <w:tab w:pos="2064" w:val="left" w:leader="none"/>
          <w:tab w:pos="2065" w:val="left" w:leader="none"/>
        </w:tabs>
        <w:spacing w:line="261" w:lineRule="exact" w:before="0" w:after="0"/>
        <w:ind w:left="2064" w:right="0" w:hanging="721"/>
        <w:jc w:val="left"/>
      </w:pPr>
      <w:r>
        <w:rPr>
          <w:w w:val="110"/>
        </w:rPr>
        <w:t>Pastoral reference and welfare</w:t>
      </w:r>
      <w:r>
        <w:rPr>
          <w:spacing w:val="-3"/>
          <w:w w:val="110"/>
        </w:rPr>
        <w:t> </w:t>
      </w:r>
      <w:r>
        <w:rPr>
          <w:w w:val="110"/>
        </w:rPr>
        <w:t>committee</w:t>
      </w:r>
    </w:p>
    <w:p>
      <w:pPr>
        <w:pStyle w:val="BodyText"/>
        <w:spacing w:line="233" w:lineRule="exact"/>
        <w:ind w:left="1344"/>
      </w:pPr>
      <w:r>
        <w:rPr>
          <w:w w:val="120"/>
        </w:rPr>
        <w:t>Convenor: Mrs Wilma Frew [2018]</w:t>
      </w:r>
    </w:p>
    <w:p>
      <w:pPr>
        <w:pStyle w:val="BodyText"/>
        <w:spacing w:line="235" w:lineRule="auto" w:before="2"/>
        <w:ind w:left="1344" w:right="4709"/>
      </w:pPr>
      <w:r>
        <w:rPr>
          <w:w w:val="120"/>
        </w:rPr>
        <w:t>Secretary: Deputy General Secretary (Discipleship) The Revd Clare Downing (Synod Moderator) [2018]</w:t>
      </w:r>
    </w:p>
    <w:p>
      <w:pPr>
        <w:pStyle w:val="BodyText"/>
        <w:tabs>
          <w:tab w:pos="5664" w:val="left" w:leader="none"/>
        </w:tabs>
        <w:spacing w:line="240" w:lineRule="exact"/>
        <w:ind w:left="1344"/>
      </w:pPr>
      <w:r>
        <w:rPr>
          <w:w w:val="120"/>
        </w:rPr>
        <w:t>Mr Douglas Hay</w:t>
      </w:r>
      <w:r>
        <w:rPr>
          <w:spacing w:val="25"/>
          <w:w w:val="120"/>
        </w:rPr>
        <w:t> </w:t>
      </w:r>
      <w:r>
        <w:rPr>
          <w:w w:val="120"/>
        </w:rPr>
        <w:t>(13)</w:t>
      </w:r>
      <w:r>
        <w:rPr>
          <w:spacing w:val="8"/>
          <w:w w:val="120"/>
        </w:rPr>
        <w:t> </w:t>
      </w:r>
      <w:r>
        <w:rPr>
          <w:w w:val="120"/>
        </w:rPr>
        <w:t>[2017]</w:t>
        <w:tab/>
        <w:t>Mrs Pam Sharp (9)</w:t>
      </w:r>
      <w:r>
        <w:rPr>
          <w:spacing w:val="7"/>
          <w:w w:val="120"/>
        </w:rPr>
        <w:t> </w:t>
      </w:r>
      <w:r>
        <w:rPr>
          <w:w w:val="120"/>
        </w:rPr>
        <w:t>[2019]</w:t>
      </w:r>
    </w:p>
    <w:p>
      <w:pPr>
        <w:pStyle w:val="BodyText"/>
        <w:spacing w:line="240" w:lineRule="exact"/>
        <w:ind w:left="1344"/>
      </w:pPr>
      <w:r>
        <w:rPr>
          <w:w w:val="120"/>
        </w:rPr>
        <w:t>The Revd Camilla Veitch (6) [2020]</w:t>
      </w:r>
    </w:p>
    <w:p>
      <w:pPr>
        <w:spacing w:line="242" w:lineRule="exact" w:before="0"/>
        <w:ind w:left="1344" w:right="0" w:firstLine="0"/>
        <w:jc w:val="left"/>
        <w:rPr>
          <w:sz w:val="20"/>
        </w:rPr>
      </w:pPr>
      <w:r>
        <w:rPr>
          <w:w w:val="115"/>
          <w:sz w:val="20"/>
        </w:rPr>
        <w:t>[</w:t>
      </w:r>
      <w:r>
        <w:rPr>
          <w:i/>
          <w:w w:val="115"/>
          <w:sz w:val="20"/>
        </w:rPr>
        <w:t>ex officio: </w:t>
      </w:r>
      <w:r>
        <w:rPr>
          <w:w w:val="115"/>
          <w:sz w:val="20"/>
        </w:rPr>
        <w:t>The Treasurer; General Secretary]</w:t>
      </w:r>
    </w:p>
    <w:p>
      <w:pPr>
        <w:pStyle w:val="BodyText"/>
        <w:spacing w:before="8"/>
        <w:rPr>
          <w:sz w:val="22"/>
        </w:rPr>
      </w:pPr>
    </w:p>
    <w:p>
      <w:pPr>
        <w:pStyle w:val="Heading2"/>
        <w:numPr>
          <w:ilvl w:val="0"/>
          <w:numId w:val="232"/>
        </w:numPr>
        <w:tabs>
          <w:tab w:pos="2024" w:val="left" w:leader="none"/>
          <w:tab w:pos="2025" w:val="left" w:leader="none"/>
        </w:tabs>
        <w:spacing w:line="240" w:lineRule="auto" w:before="1" w:after="0"/>
        <w:ind w:left="2024" w:right="0" w:hanging="681"/>
        <w:jc w:val="left"/>
      </w:pPr>
      <w:r>
        <w:rPr>
          <w:w w:val="110"/>
        </w:rPr>
        <w:t>Mission department</w:t>
      </w:r>
    </w:p>
    <w:p>
      <w:pPr>
        <w:pStyle w:val="Heading7"/>
        <w:numPr>
          <w:ilvl w:val="1"/>
          <w:numId w:val="232"/>
        </w:numPr>
        <w:tabs>
          <w:tab w:pos="2024" w:val="left" w:leader="none"/>
          <w:tab w:pos="2025" w:val="left" w:leader="none"/>
        </w:tabs>
        <w:spacing w:line="261" w:lineRule="exact" w:before="66" w:after="0"/>
        <w:ind w:left="2024" w:right="0" w:hanging="681"/>
        <w:jc w:val="left"/>
      </w:pPr>
      <w:r>
        <w:rPr>
          <w:w w:val="110"/>
        </w:rPr>
        <w:t>Mission</w:t>
      </w:r>
      <w:r>
        <w:rPr>
          <w:spacing w:val="-1"/>
          <w:w w:val="110"/>
        </w:rPr>
        <w:t> </w:t>
      </w:r>
      <w:r>
        <w:rPr>
          <w:w w:val="110"/>
        </w:rPr>
        <w:t>committee</w:t>
      </w:r>
    </w:p>
    <w:p>
      <w:pPr>
        <w:pStyle w:val="BodyText"/>
        <w:spacing w:line="235" w:lineRule="auto"/>
        <w:ind w:left="1344" w:right="5336"/>
      </w:pPr>
      <w:r>
        <w:rPr>
          <w:w w:val="120"/>
        </w:rPr>
        <w:t>Convenor: The Revd Tracey Lewis [2016] Convenor-elect: The Revd Bernie Collins [2020] Secretary: Deputy General Secretary (Mission)</w:t>
      </w:r>
    </w:p>
    <w:p>
      <w:pPr>
        <w:pStyle w:val="BodyText"/>
        <w:tabs>
          <w:tab w:pos="5664" w:val="left" w:leader="none"/>
        </w:tabs>
        <w:spacing w:line="240" w:lineRule="exact"/>
        <w:ind w:left="1344"/>
      </w:pPr>
      <w:r>
        <w:rPr>
          <w:w w:val="120"/>
        </w:rPr>
        <w:t>The Revd Ron Forster</w:t>
      </w:r>
      <w:r>
        <w:rPr>
          <w:spacing w:val="-2"/>
          <w:w w:val="120"/>
        </w:rPr>
        <w:t> </w:t>
      </w:r>
      <w:r>
        <w:rPr>
          <w:w w:val="120"/>
        </w:rPr>
        <w:t>(1) [2018]</w:t>
        <w:tab/>
        <w:t>The Revd Stuart Nixon (2)</w:t>
      </w:r>
      <w:r>
        <w:rPr>
          <w:spacing w:val="11"/>
          <w:w w:val="120"/>
        </w:rPr>
        <w:t> </w:t>
      </w:r>
      <w:r>
        <w:rPr>
          <w:w w:val="120"/>
        </w:rPr>
        <w:t>[2018]</w:t>
      </w:r>
    </w:p>
    <w:p>
      <w:pPr>
        <w:pStyle w:val="BodyText"/>
        <w:tabs>
          <w:tab w:pos="5664" w:val="left" w:leader="none"/>
        </w:tabs>
        <w:spacing w:line="240" w:lineRule="exact"/>
        <w:ind w:left="1344"/>
      </w:pPr>
      <w:r>
        <w:rPr>
          <w:w w:val="120"/>
        </w:rPr>
        <w:t>vacant</w:t>
      </w:r>
      <w:r>
        <w:rPr>
          <w:spacing w:val="3"/>
          <w:w w:val="120"/>
        </w:rPr>
        <w:t> </w:t>
      </w:r>
      <w:r>
        <w:rPr>
          <w:w w:val="120"/>
        </w:rPr>
        <w:t>(3)</w:t>
        <w:tab/>
        <w:t>Mr John Cornell (4)</w:t>
      </w:r>
      <w:r>
        <w:rPr>
          <w:spacing w:val="10"/>
          <w:w w:val="120"/>
        </w:rPr>
        <w:t> </w:t>
      </w:r>
      <w:r>
        <w:rPr>
          <w:w w:val="120"/>
        </w:rPr>
        <w:t>[2019]</w:t>
      </w:r>
    </w:p>
    <w:p>
      <w:pPr>
        <w:pStyle w:val="BodyText"/>
        <w:tabs>
          <w:tab w:pos="5664" w:val="left" w:leader="none"/>
        </w:tabs>
        <w:spacing w:line="240" w:lineRule="exact"/>
        <w:ind w:left="1344"/>
      </w:pPr>
      <w:r>
        <w:rPr>
          <w:w w:val="120"/>
        </w:rPr>
        <w:t>The Revd Leslie Moseley</w:t>
      </w:r>
      <w:r>
        <w:rPr>
          <w:spacing w:val="6"/>
          <w:w w:val="120"/>
        </w:rPr>
        <w:t> </w:t>
      </w:r>
      <w:r>
        <w:rPr>
          <w:w w:val="120"/>
        </w:rPr>
        <w:t>(5)</w:t>
      </w:r>
      <w:r>
        <w:rPr>
          <w:spacing w:val="2"/>
          <w:w w:val="120"/>
        </w:rPr>
        <w:t> </w:t>
      </w:r>
      <w:r>
        <w:rPr>
          <w:w w:val="120"/>
        </w:rPr>
        <w:t>[2019]</w:t>
        <w:tab/>
        <w:t>Mr John </w:t>
      </w:r>
      <w:r>
        <w:rPr>
          <w:spacing w:val="-3"/>
          <w:w w:val="120"/>
        </w:rPr>
        <w:t>Davey </w:t>
      </w:r>
      <w:r>
        <w:rPr>
          <w:w w:val="120"/>
        </w:rPr>
        <w:t>(6)</w:t>
      </w:r>
      <w:r>
        <w:rPr>
          <w:spacing w:val="12"/>
          <w:w w:val="120"/>
        </w:rPr>
        <w:t> </w:t>
      </w:r>
      <w:r>
        <w:rPr>
          <w:w w:val="120"/>
        </w:rPr>
        <w:t>[2018]</w:t>
      </w:r>
    </w:p>
    <w:p>
      <w:pPr>
        <w:pStyle w:val="BodyText"/>
        <w:tabs>
          <w:tab w:pos="5664" w:val="left" w:leader="none"/>
        </w:tabs>
        <w:spacing w:line="235" w:lineRule="auto"/>
        <w:ind w:left="1344" w:right="2065"/>
      </w:pPr>
      <w:r>
        <w:rPr>
          <w:w w:val="120"/>
        </w:rPr>
        <w:t>The Revd David Sebley</w:t>
      </w:r>
      <w:r>
        <w:rPr>
          <w:spacing w:val="-1"/>
          <w:w w:val="120"/>
        </w:rPr>
        <w:t> </w:t>
      </w:r>
      <w:r>
        <w:rPr>
          <w:w w:val="120"/>
        </w:rPr>
        <w:t>(7)</w:t>
      </w:r>
      <w:r>
        <w:rPr>
          <w:spacing w:val="-1"/>
          <w:w w:val="120"/>
        </w:rPr>
        <w:t> </w:t>
      </w:r>
      <w:r>
        <w:rPr>
          <w:w w:val="120"/>
        </w:rPr>
        <w:t>[2019]**</w:t>
        <w:tab/>
        <w:t>The Revd Stephen Newell (8) [2018] Mrs Sheila Thatcher</w:t>
      </w:r>
      <w:r>
        <w:rPr>
          <w:spacing w:val="1"/>
          <w:w w:val="120"/>
        </w:rPr>
        <w:t> </w:t>
      </w:r>
      <w:r>
        <w:rPr>
          <w:w w:val="120"/>
        </w:rPr>
        <w:t>(9) [2018]</w:t>
        <w:tab/>
        <w:t>Ms Vivian Andrews (10)</w:t>
      </w:r>
      <w:r>
        <w:rPr>
          <w:spacing w:val="8"/>
          <w:w w:val="120"/>
        </w:rPr>
        <w:t> </w:t>
      </w:r>
      <w:r>
        <w:rPr>
          <w:w w:val="120"/>
        </w:rPr>
        <w:t>[2019]</w:t>
      </w:r>
    </w:p>
    <w:p>
      <w:pPr>
        <w:pStyle w:val="BodyText"/>
        <w:tabs>
          <w:tab w:pos="5664" w:val="left" w:leader="none"/>
        </w:tabs>
        <w:spacing w:line="235" w:lineRule="auto"/>
        <w:ind w:left="1344" w:right="4316"/>
      </w:pPr>
      <w:r>
        <w:rPr>
          <w:w w:val="120"/>
        </w:rPr>
        <w:t>Mr Martin Hayward</w:t>
      </w:r>
      <w:r>
        <w:rPr>
          <w:spacing w:val="-2"/>
          <w:w w:val="120"/>
        </w:rPr>
        <w:t> </w:t>
      </w:r>
      <w:r>
        <w:rPr>
          <w:w w:val="120"/>
        </w:rPr>
        <w:t>(11)</w:t>
      </w:r>
      <w:r>
        <w:rPr>
          <w:spacing w:val="-1"/>
          <w:w w:val="120"/>
        </w:rPr>
        <w:t> </w:t>
      </w:r>
      <w:r>
        <w:rPr>
          <w:w w:val="120"/>
        </w:rPr>
        <w:t>[2019]</w:t>
        <w:tab/>
        <w:t>vacant</w:t>
      </w:r>
      <w:r>
        <w:rPr>
          <w:spacing w:val="-31"/>
          <w:w w:val="120"/>
        </w:rPr>
        <w:t> </w:t>
      </w:r>
      <w:r>
        <w:rPr>
          <w:spacing w:val="-3"/>
          <w:w w:val="120"/>
        </w:rPr>
        <w:t>(12)** </w:t>
      </w:r>
      <w:r>
        <w:rPr>
          <w:w w:val="120"/>
        </w:rPr>
        <w:t>Mr John Collins (13)</w:t>
      </w:r>
      <w:r>
        <w:rPr>
          <w:spacing w:val="9"/>
          <w:w w:val="120"/>
        </w:rPr>
        <w:t> </w:t>
      </w:r>
      <w:r>
        <w:rPr>
          <w:w w:val="120"/>
        </w:rPr>
        <w:t>[2019]</w:t>
      </w:r>
    </w:p>
    <w:p>
      <w:pPr>
        <w:pStyle w:val="BodyText"/>
        <w:spacing w:before="3"/>
        <w:rPr>
          <w:sz w:val="18"/>
        </w:rPr>
      </w:pPr>
    </w:p>
    <w:p>
      <w:pPr>
        <w:pStyle w:val="Heading7"/>
        <w:numPr>
          <w:ilvl w:val="2"/>
          <w:numId w:val="232"/>
        </w:numPr>
        <w:tabs>
          <w:tab w:pos="2025" w:val="left" w:leader="none"/>
        </w:tabs>
        <w:spacing w:line="261" w:lineRule="exact" w:before="0" w:after="0"/>
        <w:ind w:left="2024" w:right="0" w:hanging="681"/>
        <w:jc w:val="left"/>
      </w:pPr>
      <w:r>
        <w:rPr>
          <w:w w:val="110"/>
        </w:rPr>
        <w:t>International exchange reference</w:t>
      </w:r>
      <w:r>
        <w:rPr>
          <w:spacing w:val="-1"/>
          <w:w w:val="110"/>
        </w:rPr>
        <w:t> </w:t>
      </w:r>
      <w:r>
        <w:rPr>
          <w:w w:val="110"/>
        </w:rPr>
        <w:t>group</w:t>
      </w:r>
    </w:p>
    <w:p>
      <w:pPr>
        <w:pStyle w:val="BodyText"/>
        <w:spacing w:line="233" w:lineRule="exact"/>
        <w:ind w:left="1344"/>
      </w:pPr>
      <w:r>
        <w:rPr>
          <w:w w:val="120"/>
        </w:rPr>
        <w:t>Convenor: Mrs Judith North (5) [2020]</w:t>
      </w:r>
    </w:p>
    <w:p>
      <w:pPr>
        <w:pStyle w:val="BodyText"/>
        <w:spacing w:line="235" w:lineRule="auto" w:before="2"/>
        <w:ind w:left="1344" w:right="4800"/>
      </w:pPr>
      <w:r>
        <w:rPr>
          <w:w w:val="120"/>
        </w:rPr>
        <w:t>Members: The Revd Paul Whittle (Synod </w:t>
      </w:r>
      <w:r>
        <w:rPr>
          <w:spacing w:val="-3"/>
          <w:w w:val="120"/>
        </w:rPr>
        <w:t>Moderator) </w:t>
      </w:r>
      <w:r>
        <w:rPr>
          <w:w w:val="120"/>
        </w:rPr>
        <w:t>Ms Angela Bogg [2019]</w:t>
      </w:r>
    </w:p>
    <w:p>
      <w:pPr>
        <w:pStyle w:val="BodyText"/>
        <w:spacing w:line="242" w:lineRule="exact"/>
        <w:ind w:left="1344"/>
      </w:pPr>
      <w:r>
        <w:rPr>
          <w:w w:val="115"/>
        </w:rPr>
        <w:t>Secretary for Global and Intercultural Ministries</w:t>
      </w:r>
    </w:p>
    <w:p>
      <w:pPr>
        <w:pStyle w:val="BodyText"/>
        <w:spacing w:before="3"/>
        <w:rPr>
          <w:sz w:val="18"/>
        </w:rPr>
      </w:pPr>
    </w:p>
    <w:p>
      <w:pPr>
        <w:pStyle w:val="Heading7"/>
        <w:numPr>
          <w:ilvl w:val="2"/>
          <w:numId w:val="232"/>
        </w:numPr>
        <w:tabs>
          <w:tab w:pos="2025" w:val="left" w:leader="none"/>
        </w:tabs>
        <w:spacing w:line="261" w:lineRule="exact" w:before="1" w:after="0"/>
        <w:ind w:left="2024" w:right="0" w:hanging="681"/>
        <w:jc w:val="left"/>
      </w:pPr>
      <w:r>
        <w:rPr>
          <w:w w:val="110"/>
        </w:rPr>
        <w:t>Commitment for Life reference</w:t>
      </w:r>
      <w:r>
        <w:rPr>
          <w:spacing w:val="-2"/>
          <w:w w:val="110"/>
        </w:rPr>
        <w:t> </w:t>
      </w:r>
      <w:r>
        <w:rPr>
          <w:w w:val="110"/>
        </w:rPr>
        <w:t>group</w:t>
      </w:r>
    </w:p>
    <w:p>
      <w:pPr>
        <w:pStyle w:val="BodyText"/>
        <w:spacing w:line="233" w:lineRule="exact"/>
        <w:ind w:left="1344"/>
      </w:pPr>
      <w:r>
        <w:rPr>
          <w:w w:val="120"/>
        </w:rPr>
        <w:t>Convenor: The Revd Alan McGougan [2020]</w:t>
      </w:r>
    </w:p>
    <w:p>
      <w:pPr>
        <w:pStyle w:val="BodyText"/>
        <w:tabs>
          <w:tab w:pos="6384" w:val="left" w:leader="none"/>
        </w:tabs>
        <w:spacing w:line="235" w:lineRule="auto" w:before="1"/>
        <w:ind w:left="1344" w:right="1576"/>
      </w:pPr>
      <w:r>
        <w:rPr>
          <w:w w:val="115"/>
        </w:rPr>
        <w:t>At least two Commitment for </w:t>
      </w:r>
      <w:r>
        <w:rPr>
          <w:spacing w:val="5"/>
          <w:w w:val="115"/>
        </w:rPr>
        <w:t> </w:t>
      </w:r>
      <w:r>
        <w:rPr>
          <w:w w:val="115"/>
        </w:rPr>
        <w:t>Life</w:t>
      </w:r>
      <w:r>
        <w:rPr>
          <w:spacing w:val="12"/>
          <w:w w:val="115"/>
        </w:rPr>
        <w:t> </w:t>
      </w:r>
      <w:r>
        <w:rPr>
          <w:w w:val="115"/>
        </w:rPr>
        <w:t>Advocates</w:t>
        <w:tab/>
        <w:t>Representative from Mission </w:t>
      </w:r>
      <w:r>
        <w:rPr>
          <w:spacing w:val="-5"/>
          <w:w w:val="115"/>
        </w:rPr>
        <w:t>Team </w:t>
      </w:r>
      <w:r>
        <w:rPr>
          <w:w w:val="115"/>
        </w:rPr>
        <w:t>Representative from</w:t>
      </w:r>
      <w:r>
        <w:rPr>
          <w:spacing w:val="26"/>
          <w:w w:val="115"/>
        </w:rPr>
        <w:t> </w:t>
      </w:r>
      <w:r>
        <w:rPr>
          <w:w w:val="115"/>
        </w:rPr>
        <w:t>Mission</w:t>
      </w:r>
      <w:r>
        <w:rPr>
          <w:spacing w:val="13"/>
          <w:w w:val="115"/>
        </w:rPr>
        <w:t> </w:t>
      </w:r>
      <w:r>
        <w:rPr>
          <w:w w:val="115"/>
        </w:rPr>
        <w:t>Committee</w:t>
        <w:tab/>
        <w:t>Representative from Christian Aid Representative of Global Justice</w:t>
      </w:r>
      <w:r>
        <w:rPr>
          <w:spacing w:val="19"/>
          <w:w w:val="115"/>
        </w:rPr>
        <w:t> </w:t>
      </w:r>
      <w:r>
        <w:rPr>
          <w:w w:val="115"/>
        </w:rPr>
        <w:t>Now</w:t>
      </w:r>
    </w:p>
    <w:p>
      <w:pPr>
        <w:pStyle w:val="BodyText"/>
        <w:spacing w:line="243" w:lineRule="exact"/>
        <w:ind w:left="1344"/>
      </w:pPr>
      <w:r>
        <w:rPr>
          <w:w w:val="120"/>
        </w:rPr>
        <w:t>Mrs Linda Mead (Progamme Coordinator, Commitment for Life)</w:t>
      </w:r>
    </w:p>
    <w:p>
      <w:pPr>
        <w:pStyle w:val="BodyText"/>
        <w:spacing w:before="4"/>
        <w:rPr>
          <w:sz w:val="18"/>
        </w:rPr>
      </w:pPr>
    </w:p>
    <w:p>
      <w:pPr>
        <w:pStyle w:val="Heading7"/>
        <w:numPr>
          <w:ilvl w:val="2"/>
          <w:numId w:val="232"/>
        </w:numPr>
        <w:tabs>
          <w:tab w:pos="2025" w:val="left" w:leader="none"/>
        </w:tabs>
        <w:spacing w:line="261" w:lineRule="exact" w:before="0" w:after="0"/>
        <w:ind w:left="2024" w:right="0" w:hanging="681"/>
        <w:jc w:val="left"/>
      </w:pPr>
      <w:r>
        <w:rPr>
          <w:w w:val="110"/>
        </w:rPr>
        <w:t>Methodist/URC Interfaith reference</w:t>
      </w:r>
      <w:r>
        <w:rPr>
          <w:spacing w:val="4"/>
          <w:w w:val="110"/>
        </w:rPr>
        <w:t> </w:t>
      </w:r>
      <w:r>
        <w:rPr>
          <w:w w:val="110"/>
        </w:rPr>
        <w:t>group</w:t>
      </w:r>
    </w:p>
    <w:p>
      <w:pPr>
        <w:spacing w:line="233" w:lineRule="exact" w:before="0"/>
        <w:ind w:left="1344" w:right="0" w:firstLine="0"/>
        <w:jc w:val="left"/>
        <w:rPr>
          <w:i/>
          <w:sz w:val="20"/>
        </w:rPr>
      </w:pPr>
      <w:r>
        <w:rPr>
          <w:i/>
          <w:w w:val="110"/>
          <w:sz w:val="20"/>
        </w:rPr>
        <w:t>(Members</w:t>
      </w:r>
      <w:r>
        <w:rPr>
          <w:i/>
          <w:spacing w:val="9"/>
          <w:w w:val="110"/>
          <w:sz w:val="20"/>
        </w:rPr>
        <w:t> </w:t>
      </w:r>
      <w:r>
        <w:rPr>
          <w:i/>
          <w:w w:val="110"/>
          <w:sz w:val="20"/>
        </w:rPr>
        <w:t>normally</w:t>
      </w:r>
      <w:r>
        <w:rPr>
          <w:i/>
          <w:spacing w:val="9"/>
          <w:w w:val="110"/>
          <w:sz w:val="20"/>
        </w:rPr>
        <w:t> </w:t>
      </w:r>
      <w:r>
        <w:rPr>
          <w:i/>
          <w:w w:val="110"/>
          <w:sz w:val="20"/>
        </w:rPr>
        <w:t>serve</w:t>
      </w:r>
      <w:r>
        <w:rPr>
          <w:i/>
          <w:spacing w:val="10"/>
          <w:w w:val="110"/>
          <w:sz w:val="20"/>
        </w:rPr>
        <w:t> </w:t>
      </w:r>
      <w:r>
        <w:rPr>
          <w:i/>
          <w:w w:val="110"/>
          <w:sz w:val="20"/>
        </w:rPr>
        <w:t>for</w:t>
      </w:r>
      <w:r>
        <w:rPr>
          <w:i/>
          <w:spacing w:val="9"/>
          <w:w w:val="110"/>
          <w:sz w:val="20"/>
        </w:rPr>
        <w:t> </w:t>
      </w:r>
      <w:r>
        <w:rPr>
          <w:i/>
          <w:w w:val="110"/>
          <w:sz w:val="20"/>
        </w:rPr>
        <w:t>six</w:t>
      </w:r>
      <w:r>
        <w:rPr>
          <w:i/>
          <w:spacing w:val="9"/>
          <w:w w:val="110"/>
          <w:sz w:val="20"/>
        </w:rPr>
        <w:t> </w:t>
      </w:r>
      <w:r>
        <w:rPr>
          <w:i/>
          <w:w w:val="110"/>
          <w:sz w:val="20"/>
        </w:rPr>
        <w:t>years</w:t>
      </w:r>
      <w:r>
        <w:rPr>
          <w:i/>
          <w:spacing w:val="10"/>
          <w:w w:val="110"/>
          <w:sz w:val="20"/>
        </w:rPr>
        <w:t> </w:t>
      </w:r>
      <w:r>
        <w:rPr>
          <w:i/>
          <w:w w:val="110"/>
          <w:sz w:val="20"/>
        </w:rPr>
        <w:t>in</w:t>
      </w:r>
      <w:r>
        <w:rPr>
          <w:i/>
          <w:spacing w:val="9"/>
          <w:w w:val="110"/>
          <w:sz w:val="20"/>
        </w:rPr>
        <w:t> </w:t>
      </w:r>
      <w:r>
        <w:rPr>
          <w:i/>
          <w:w w:val="110"/>
          <w:sz w:val="20"/>
        </w:rPr>
        <w:t>parallel</w:t>
      </w:r>
      <w:r>
        <w:rPr>
          <w:i/>
          <w:spacing w:val="9"/>
          <w:w w:val="110"/>
          <w:sz w:val="20"/>
        </w:rPr>
        <w:t> </w:t>
      </w:r>
      <w:r>
        <w:rPr>
          <w:i/>
          <w:w w:val="110"/>
          <w:sz w:val="20"/>
        </w:rPr>
        <w:t>with</w:t>
      </w:r>
      <w:r>
        <w:rPr>
          <w:i/>
          <w:spacing w:val="10"/>
          <w:w w:val="110"/>
          <w:sz w:val="20"/>
        </w:rPr>
        <w:t> </w:t>
      </w:r>
      <w:r>
        <w:rPr>
          <w:i/>
          <w:w w:val="110"/>
          <w:sz w:val="20"/>
        </w:rPr>
        <w:t>Methodist</w:t>
      </w:r>
      <w:r>
        <w:rPr>
          <w:i/>
          <w:spacing w:val="9"/>
          <w:w w:val="110"/>
          <w:sz w:val="20"/>
        </w:rPr>
        <w:t> </w:t>
      </w:r>
      <w:r>
        <w:rPr>
          <w:i/>
          <w:w w:val="110"/>
          <w:sz w:val="20"/>
        </w:rPr>
        <w:t>terms)</w:t>
      </w:r>
    </w:p>
    <w:p>
      <w:pPr>
        <w:pStyle w:val="BodyText"/>
        <w:spacing w:line="240" w:lineRule="exact"/>
        <w:ind w:left="1344"/>
      </w:pPr>
      <w:r>
        <w:rPr>
          <w:w w:val="120"/>
        </w:rPr>
        <w:t>Co-Convenor: The Revd Clare Downing [2019]</w:t>
      </w:r>
    </w:p>
    <w:p>
      <w:pPr>
        <w:pStyle w:val="BodyText"/>
        <w:tabs>
          <w:tab w:pos="6384" w:val="left" w:leader="none"/>
        </w:tabs>
        <w:spacing w:line="240" w:lineRule="exact"/>
        <w:ind w:left="1344"/>
      </w:pPr>
      <w:r>
        <w:rPr>
          <w:w w:val="120"/>
        </w:rPr>
        <w:t>Mr John Mellor (4) [2020]</w:t>
        <w:tab/>
        <w:t>The Revd Ann Jack (10)</w:t>
      </w:r>
      <w:r>
        <w:rPr>
          <w:spacing w:val="10"/>
          <w:w w:val="120"/>
        </w:rPr>
        <w:t> </w:t>
      </w:r>
      <w:r>
        <w:rPr>
          <w:w w:val="120"/>
        </w:rPr>
        <w:t>[2021]</w:t>
      </w:r>
    </w:p>
    <w:p>
      <w:pPr>
        <w:pStyle w:val="BodyText"/>
        <w:spacing w:line="240" w:lineRule="exact"/>
        <w:ind w:left="1344"/>
      </w:pPr>
      <w:r>
        <w:rPr>
          <w:w w:val="125"/>
        </w:rPr>
        <w:t>The Revd Bob Day (2) [2021]</w:t>
      </w:r>
    </w:p>
    <w:p>
      <w:pPr>
        <w:pStyle w:val="BodyText"/>
        <w:spacing w:line="242" w:lineRule="exact"/>
        <w:ind w:left="1344"/>
      </w:pPr>
      <w:r>
        <w:rPr>
          <w:w w:val="115"/>
        </w:rPr>
        <w:t>Secretary for Ecumenical and Interfaith Relations</w:t>
      </w:r>
    </w:p>
    <w:p>
      <w:pPr>
        <w:pStyle w:val="BodyText"/>
        <w:spacing w:before="3"/>
        <w:rPr>
          <w:sz w:val="18"/>
        </w:rPr>
      </w:pPr>
    </w:p>
    <w:p>
      <w:pPr>
        <w:pStyle w:val="Heading7"/>
        <w:numPr>
          <w:ilvl w:val="2"/>
          <w:numId w:val="232"/>
        </w:numPr>
        <w:tabs>
          <w:tab w:pos="2025" w:val="left" w:leader="none"/>
        </w:tabs>
        <w:spacing w:line="261" w:lineRule="exact" w:before="0" w:after="0"/>
        <w:ind w:left="2024" w:right="0" w:hanging="681"/>
        <w:jc w:val="left"/>
      </w:pPr>
      <w:r>
        <w:rPr>
          <w:w w:val="110"/>
        </w:rPr>
        <w:t>Joint Public Issues </w:t>
      </w:r>
      <w:r>
        <w:rPr>
          <w:spacing w:val="-3"/>
          <w:w w:val="110"/>
        </w:rPr>
        <w:t>Team </w:t>
      </w:r>
      <w:r>
        <w:rPr>
          <w:w w:val="110"/>
        </w:rPr>
        <w:t>strategy and policy group</w:t>
      </w:r>
    </w:p>
    <w:p>
      <w:pPr>
        <w:pStyle w:val="BodyText"/>
        <w:spacing w:line="235" w:lineRule="auto"/>
        <w:ind w:left="1344" w:right="2086"/>
      </w:pPr>
      <w:r>
        <w:rPr>
          <w:w w:val="120"/>
        </w:rPr>
        <w:t>Ms</w:t>
      </w:r>
      <w:r>
        <w:rPr>
          <w:spacing w:val="-11"/>
          <w:w w:val="120"/>
        </w:rPr>
        <w:t> </w:t>
      </w:r>
      <w:r>
        <w:rPr>
          <w:w w:val="120"/>
        </w:rPr>
        <w:t>Marie</w:t>
      </w:r>
      <w:r>
        <w:rPr>
          <w:spacing w:val="-10"/>
          <w:w w:val="120"/>
        </w:rPr>
        <w:t> </w:t>
      </w:r>
      <w:r>
        <w:rPr>
          <w:w w:val="120"/>
        </w:rPr>
        <w:t>Trubic</w:t>
      </w:r>
      <w:r>
        <w:rPr>
          <w:spacing w:val="-11"/>
          <w:w w:val="120"/>
        </w:rPr>
        <w:t> </w:t>
      </w:r>
      <w:r>
        <w:rPr>
          <w:w w:val="120"/>
        </w:rPr>
        <w:t>(spokesperson</w:t>
      </w:r>
      <w:r>
        <w:rPr>
          <w:spacing w:val="-10"/>
          <w:w w:val="120"/>
        </w:rPr>
        <w:t> </w:t>
      </w:r>
      <w:r>
        <w:rPr>
          <w:w w:val="120"/>
        </w:rPr>
        <w:t>on</w:t>
      </w:r>
      <w:r>
        <w:rPr>
          <w:spacing w:val="-10"/>
          <w:w w:val="120"/>
        </w:rPr>
        <w:t> </w:t>
      </w:r>
      <w:r>
        <w:rPr>
          <w:w w:val="120"/>
        </w:rPr>
        <w:t>Public</w:t>
      </w:r>
      <w:r>
        <w:rPr>
          <w:spacing w:val="-11"/>
          <w:w w:val="120"/>
        </w:rPr>
        <w:t> </w:t>
      </w:r>
      <w:r>
        <w:rPr>
          <w:w w:val="120"/>
        </w:rPr>
        <w:t>Issues</w:t>
      </w:r>
      <w:r>
        <w:rPr>
          <w:spacing w:val="-10"/>
          <w:w w:val="120"/>
        </w:rPr>
        <w:t> </w:t>
      </w:r>
      <w:r>
        <w:rPr>
          <w:w w:val="120"/>
        </w:rPr>
        <w:t>for</w:t>
      </w:r>
      <w:r>
        <w:rPr>
          <w:spacing w:val="-10"/>
          <w:w w:val="120"/>
        </w:rPr>
        <w:t> </w:t>
      </w:r>
      <w:r>
        <w:rPr>
          <w:w w:val="120"/>
        </w:rPr>
        <w:t>the</w:t>
      </w:r>
      <w:r>
        <w:rPr>
          <w:spacing w:val="-11"/>
          <w:w w:val="120"/>
        </w:rPr>
        <w:t> </w:t>
      </w:r>
      <w:r>
        <w:rPr>
          <w:w w:val="120"/>
        </w:rPr>
        <w:t>United</w:t>
      </w:r>
      <w:r>
        <w:rPr>
          <w:spacing w:val="-10"/>
          <w:w w:val="120"/>
        </w:rPr>
        <w:t> </w:t>
      </w:r>
      <w:r>
        <w:rPr>
          <w:w w:val="120"/>
        </w:rPr>
        <w:t>Reformed</w:t>
      </w:r>
      <w:r>
        <w:rPr>
          <w:spacing w:val="-11"/>
          <w:w w:val="120"/>
        </w:rPr>
        <w:t> </w:t>
      </w:r>
      <w:r>
        <w:rPr>
          <w:w w:val="120"/>
        </w:rPr>
        <w:t>Church) Deputy General Secretary</w:t>
      </w:r>
      <w:r>
        <w:rPr>
          <w:spacing w:val="4"/>
          <w:w w:val="120"/>
        </w:rPr>
        <w:t> </w:t>
      </w:r>
      <w:r>
        <w:rPr>
          <w:w w:val="120"/>
        </w:rPr>
        <w:t>(Mission)</w:t>
      </w:r>
    </w:p>
    <w:p>
      <w:pPr>
        <w:pStyle w:val="BodyText"/>
        <w:spacing w:line="235" w:lineRule="auto"/>
        <w:ind w:left="1344" w:right="1478"/>
      </w:pPr>
      <w:r>
        <w:rPr>
          <w:w w:val="115"/>
        </w:rPr>
        <w:t>(Other members are appointed by the Methodist Church, the Baptist Union of Great Britain and the Church of</w:t>
      </w:r>
      <w:r>
        <w:rPr>
          <w:spacing w:val="26"/>
          <w:w w:val="115"/>
        </w:rPr>
        <w:t> </w:t>
      </w:r>
      <w:r>
        <w:rPr>
          <w:w w:val="115"/>
        </w:rPr>
        <w:t>Scotland)</w:t>
      </w:r>
    </w:p>
    <w:p>
      <w:pPr>
        <w:pStyle w:val="BodyText"/>
        <w:spacing w:before="2"/>
        <w:rPr>
          <w:sz w:val="18"/>
        </w:rPr>
      </w:pPr>
    </w:p>
    <w:p>
      <w:pPr>
        <w:pStyle w:val="Heading7"/>
        <w:numPr>
          <w:ilvl w:val="2"/>
          <w:numId w:val="232"/>
        </w:numPr>
        <w:tabs>
          <w:tab w:pos="2025" w:val="left" w:leader="none"/>
        </w:tabs>
        <w:spacing w:line="261" w:lineRule="exact" w:before="0" w:after="0"/>
        <w:ind w:left="2024" w:right="0" w:hanging="681"/>
        <w:jc w:val="left"/>
      </w:pPr>
      <w:r>
        <w:rPr>
          <w:w w:val="110"/>
        </w:rPr>
        <w:t>Rural Strategy group (United Reformed</w:t>
      </w:r>
      <w:r>
        <w:rPr>
          <w:spacing w:val="-3"/>
          <w:w w:val="110"/>
        </w:rPr>
        <w:t> </w:t>
      </w:r>
      <w:r>
        <w:rPr>
          <w:w w:val="110"/>
        </w:rPr>
        <w:t>Church/Methodist)</w:t>
      </w:r>
    </w:p>
    <w:p>
      <w:pPr>
        <w:pStyle w:val="BodyText"/>
        <w:spacing w:line="235" w:lineRule="exact"/>
        <w:ind w:left="1344"/>
      </w:pPr>
      <w:r>
        <w:rPr>
          <w:w w:val="115"/>
        </w:rPr>
        <w:t>Co-Chair: The Revd Ruth Whitehead; the Revd Ron Forster</w:t>
      </w:r>
    </w:p>
    <w:p>
      <w:pPr>
        <w:spacing w:after="0" w:line="235" w:lineRule="exact"/>
        <w:sectPr>
          <w:headerReference w:type="default" r:id="rId546"/>
          <w:pgSz w:w="11910" w:h="16840"/>
          <w:pgMar w:header="0" w:footer="647" w:top="0" w:bottom="840" w:left="640" w:right="0"/>
        </w:sectPr>
      </w:pPr>
    </w:p>
    <w:p>
      <w:pPr>
        <w:pStyle w:val="BodyText"/>
      </w:pPr>
      <w:r>
        <w:rPr/>
        <w:drawing>
          <wp:anchor distT="0" distB="0" distL="0" distR="0" allowOverlap="1" layoutInCell="1" locked="0" behindDoc="1" simplePos="0" relativeHeight="235755520">
            <wp:simplePos x="0" y="0"/>
            <wp:positionH relativeFrom="page">
              <wp:posOffset>0</wp:posOffset>
            </wp:positionH>
            <wp:positionV relativeFrom="page">
              <wp:posOffset>0</wp:posOffset>
            </wp:positionV>
            <wp:extent cx="594067" cy="10692003"/>
            <wp:effectExtent l="0" t="0" r="0" b="0"/>
            <wp:wrapNone/>
            <wp:docPr id="393" name="image71.png"/>
            <wp:cNvGraphicFramePr>
              <a:graphicFrameLocks noChangeAspect="1"/>
            </wp:cNvGraphicFramePr>
            <a:graphic>
              <a:graphicData uri="http://schemas.openxmlformats.org/drawingml/2006/picture">
                <pic:pic>
                  <pic:nvPicPr>
                    <pic:cNvPr id="394" name="image71.png"/>
                    <pic:cNvPicPr/>
                  </pic:nvPicPr>
                  <pic:blipFill>
                    <a:blip r:embed="rId537" cstate="print"/>
                    <a:stretch>
                      <a:fillRect/>
                    </a:stretch>
                  </pic:blipFill>
                  <pic:spPr>
                    <a:xfrm>
                      <a:off x="0" y="0"/>
                      <a:ext cx="594067" cy="10692003"/>
                    </a:xfrm>
                    <a:prstGeom prst="rect">
                      <a:avLst/>
                    </a:prstGeom>
                  </pic:spPr>
                </pic:pic>
              </a:graphicData>
            </a:graphic>
          </wp:anchor>
        </w:drawing>
      </w:r>
      <w:r>
        <w:rPr/>
        <w:pict>
          <v:shape style="position:absolute;margin-left:20.519100pt;margin-top:48.890015pt;width:25.9pt;height:131.3pt;mso-position-horizontal-relative:page;mso-position-vertical-relative:page;z-index:252210176" type="#_x0000_t202" filled="false" stroked="false">
            <v:textbox inset="0,0,0,0" style="layout-flow:vertical">
              <w:txbxContent>
                <w:p>
                  <w:pPr>
                    <w:spacing w:before="27"/>
                    <w:ind w:left="20" w:right="0" w:firstLine="0"/>
                    <w:jc w:val="left"/>
                    <w:rPr>
                      <w:sz w:val="39"/>
                    </w:rPr>
                  </w:pPr>
                  <w:r>
                    <w:rPr>
                      <w:color w:val="FFFFFF"/>
                      <w:w w:val="120"/>
                      <w:sz w:val="39"/>
                    </w:rPr>
                    <w:t>Nominations</w:t>
                  </w:r>
                </w:p>
              </w:txbxContent>
            </v:textbox>
            <w10:wrap type="none"/>
          </v:shape>
        </w:pict>
      </w:r>
    </w:p>
    <w:p>
      <w:pPr>
        <w:pStyle w:val="BodyText"/>
        <w:spacing w:before="7"/>
        <w:rPr>
          <w:sz w:val="21"/>
        </w:rPr>
      </w:pPr>
    </w:p>
    <w:p>
      <w:pPr>
        <w:spacing w:before="106"/>
        <w:ind w:left="607" w:right="0" w:firstLine="0"/>
        <w:jc w:val="left"/>
        <w:rPr>
          <w:sz w:val="26"/>
        </w:rPr>
      </w:pPr>
      <w:r>
        <w:rPr>
          <w:color w:val="7EAABF"/>
          <w:w w:val="115"/>
          <w:sz w:val="26"/>
        </w:rPr>
        <w:t>Nominations</w:t>
      </w:r>
    </w:p>
    <w:p>
      <w:pPr>
        <w:pStyle w:val="Heading2"/>
        <w:numPr>
          <w:ilvl w:val="0"/>
          <w:numId w:val="232"/>
        </w:numPr>
        <w:tabs>
          <w:tab w:pos="1287" w:val="left" w:leader="none"/>
          <w:tab w:pos="1288" w:val="left" w:leader="none"/>
        </w:tabs>
        <w:spacing w:line="240" w:lineRule="auto" w:before="215" w:after="0"/>
        <w:ind w:left="1287" w:right="0" w:hanging="681"/>
        <w:jc w:val="left"/>
      </w:pPr>
      <w:r>
        <w:rPr>
          <w:w w:val="110"/>
        </w:rPr>
        <w:t>Discipleship department</w:t>
      </w:r>
    </w:p>
    <w:p>
      <w:pPr>
        <w:pStyle w:val="Heading7"/>
        <w:numPr>
          <w:ilvl w:val="1"/>
          <w:numId w:val="232"/>
        </w:numPr>
        <w:tabs>
          <w:tab w:pos="1287" w:val="left" w:leader="none"/>
          <w:tab w:pos="1288" w:val="left" w:leader="none"/>
        </w:tabs>
        <w:spacing w:line="261" w:lineRule="exact" w:before="66" w:after="0"/>
        <w:ind w:left="1287" w:right="0" w:hanging="681"/>
        <w:jc w:val="left"/>
      </w:pPr>
      <w:r>
        <w:rPr>
          <w:w w:val="110"/>
        </w:rPr>
        <w:t>Ministries</w:t>
      </w:r>
      <w:r>
        <w:rPr>
          <w:spacing w:val="-1"/>
          <w:w w:val="110"/>
        </w:rPr>
        <w:t> </w:t>
      </w:r>
      <w:r>
        <w:rPr>
          <w:w w:val="110"/>
        </w:rPr>
        <w:t>committee</w:t>
      </w:r>
    </w:p>
    <w:p>
      <w:pPr>
        <w:pStyle w:val="BodyText"/>
        <w:spacing w:line="233" w:lineRule="exact"/>
        <w:ind w:left="607"/>
      </w:pPr>
      <w:r>
        <w:rPr>
          <w:w w:val="120"/>
        </w:rPr>
        <w:t>Convenor: vacant</w:t>
      </w:r>
    </w:p>
    <w:p>
      <w:pPr>
        <w:pStyle w:val="BodyText"/>
        <w:spacing w:line="240" w:lineRule="exact"/>
        <w:ind w:left="607"/>
      </w:pPr>
      <w:r>
        <w:rPr>
          <w:w w:val="115"/>
        </w:rPr>
        <w:t>Secretary: Secretary for Ministries</w:t>
      </w:r>
    </w:p>
    <w:p>
      <w:pPr>
        <w:pStyle w:val="BodyText"/>
        <w:tabs>
          <w:tab w:pos="5647" w:val="left" w:leader="none"/>
        </w:tabs>
        <w:spacing w:line="240" w:lineRule="exact"/>
        <w:ind w:left="607"/>
      </w:pPr>
      <w:r>
        <w:rPr>
          <w:w w:val="120"/>
        </w:rPr>
        <w:t>The Revd Dr James Coleman</w:t>
      </w:r>
      <w:r>
        <w:rPr>
          <w:spacing w:val="13"/>
          <w:w w:val="120"/>
        </w:rPr>
        <w:t> </w:t>
      </w:r>
      <w:r>
        <w:rPr>
          <w:w w:val="120"/>
        </w:rPr>
        <w:t>(4)</w:t>
      </w:r>
      <w:r>
        <w:rPr>
          <w:spacing w:val="3"/>
          <w:w w:val="120"/>
        </w:rPr>
        <w:t> </w:t>
      </w:r>
      <w:r>
        <w:rPr>
          <w:w w:val="120"/>
        </w:rPr>
        <w:t>[2017]</w:t>
        <w:tab/>
        <w:t>Mrs Jane Woods-Scawen (6)</w:t>
      </w:r>
      <w:r>
        <w:rPr>
          <w:spacing w:val="3"/>
          <w:w w:val="120"/>
        </w:rPr>
        <w:t> </w:t>
      </w:r>
      <w:r>
        <w:rPr>
          <w:w w:val="120"/>
        </w:rPr>
        <w:t>[2017]</w:t>
      </w:r>
    </w:p>
    <w:p>
      <w:pPr>
        <w:pStyle w:val="BodyText"/>
        <w:tabs>
          <w:tab w:pos="5647" w:val="left" w:leader="none"/>
        </w:tabs>
        <w:spacing w:line="240" w:lineRule="exact"/>
        <w:ind w:left="607"/>
      </w:pPr>
      <w:r>
        <w:rPr>
          <w:w w:val="120"/>
        </w:rPr>
        <w:t>The Revd Dr Martin Camroux</w:t>
      </w:r>
      <w:r>
        <w:rPr>
          <w:spacing w:val="18"/>
          <w:w w:val="120"/>
        </w:rPr>
        <w:t> </w:t>
      </w:r>
      <w:r>
        <w:rPr>
          <w:w w:val="120"/>
        </w:rPr>
        <w:t>(7)</w:t>
      </w:r>
      <w:r>
        <w:rPr>
          <w:spacing w:val="3"/>
          <w:w w:val="120"/>
        </w:rPr>
        <w:t> </w:t>
      </w:r>
      <w:r>
        <w:rPr>
          <w:w w:val="120"/>
        </w:rPr>
        <w:t>[2017]</w:t>
        <w:tab/>
        <w:t>Mr Stuart Dew (9)</w:t>
      </w:r>
      <w:r>
        <w:rPr>
          <w:spacing w:val="9"/>
          <w:w w:val="120"/>
        </w:rPr>
        <w:t> </w:t>
      </w:r>
      <w:r>
        <w:rPr>
          <w:w w:val="120"/>
        </w:rPr>
        <w:t>[2018]</w:t>
      </w:r>
    </w:p>
    <w:p>
      <w:pPr>
        <w:pStyle w:val="BodyText"/>
        <w:tabs>
          <w:tab w:pos="5647" w:val="left" w:leader="none"/>
        </w:tabs>
        <w:spacing w:line="235" w:lineRule="auto" w:before="2"/>
        <w:ind w:left="607" w:right="2174"/>
      </w:pPr>
      <w:r>
        <w:rPr>
          <w:w w:val="120"/>
        </w:rPr>
        <w:t>The Revd Sally Thomas</w:t>
      </w:r>
      <w:r>
        <w:rPr>
          <w:spacing w:val="16"/>
          <w:w w:val="120"/>
        </w:rPr>
        <w:t> </w:t>
      </w:r>
      <w:r>
        <w:rPr>
          <w:w w:val="120"/>
        </w:rPr>
        <w:t>(12)</w:t>
      </w:r>
      <w:r>
        <w:rPr>
          <w:spacing w:val="4"/>
          <w:w w:val="120"/>
        </w:rPr>
        <w:t> </w:t>
      </w:r>
      <w:r>
        <w:rPr>
          <w:w w:val="120"/>
        </w:rPr>
        <w:t>[2018]</w:t>
        <w:tab/>
        <w:t>The Revd Allison Claxton (3) </w:t>
      </w:r>
      <w:r>
        <w:rPr>
          <w:spacing w:val="-3"/>
          <w:w w:val="120"/>
        </w:rPr>
        <w:t>[2020] </w:t>
      </w:r>
      <w:r>
        <w:rPr>
          <w:w w:val="120"/>
        </w:rPr>
        <w:t>Mr Andrew Buxton (Leadership in Worship Advocate)</w:t>
      </w:r>
      <w:r>
        <w:rPr>
          <w:spacing w:val="5"/>
          <w:w w:val="120"/>
        </w:rPr>
        <w:t> </w:t>
      </w:r>
      <w:r>
        <w:rPr>
          <w:w w:val="120"/>
        </w:rPr>
        <w:t>[2019]</w:t>
      </w:r>
    </w:p>
    <w:p>
      <w:pPr>
        <w:pStyle w:val="BodyText"/>
        <w:spacing w:line="235" w:lineRule="auto" w:before="2"/>
        <w:ind w:left="607" w:right="6050"/>
      </w:pPr>
      <w:r>
        <w:rPr>
          <w:w w:val="115"/>
        </w:rPr>
        <w:t>The Revd Peter Meek (Synod Moderator) [2018] Convenor, assessment board</w:t>
      </w:r>
    </w:p>
    <w:p>
      <w:pPr>
        <w:pStyle w:val="BodyText"/>
        <w:spacing w:before="5"/>
        <w:rPr>
          <w:sz w:val="18"/>
        </w:rPr>
      </w:pPr>
    </w:p>
    <w:p>
      <w:pPr>
        <w:pStyle w:val="Heading7"/>
        <w:numPr>
          <w:ilvl w:val="2"/>
          <w:numId w:val="232"/>
        </w:numPr>
        <w:tabs>
          <w:tab w:pos="1345" w:val="left" w:leader="none"/>
          <w:tab w:pos="1346" w:val="left" w:leader="none"/>
        </w:tabs>
        <w:spacing w:line="261" w:lineRule="exact" w:before="0" w:after="0"/>
        <w:ind w:left="1345" w:right="0" w:hanging="739"/>
        <w:jc w:val="left"/>
      </w:pPr>
      <w:r>
        <w:rPr>
          <w:w w:val="110"/>
        </w:rPr>
        <w:t>Ministries – accreditation</w:t>
      </w:r>
      <w:r>
        <w:rPr>
          <w:spacing w:val="-1"/>
          <w:w w:val="110"/>
        </w:rPr>
        <w:t> </w:t>
      </w:r>
      <w:r>
        <w:rPr>
          <w:w w:val="110"/>
        </w:rPr>
        <w:t>subcommittee</w:t>
      </w:r>
    </w:p>
    <w:p>
      <w:pPr>
        <w:pStyle w:val="BodyText"/>
        <w:spacing w:line="233" w:lineRule="exact"/>
        <w:ind w:left="607"/>
      </w:pPr>
      <w:r>
        <w:rPr>
          <w:w w:val="120"/>
        </w:rPr>
        <w:t>Convenor: The Revd Fran Ruthven [2017]</w:t>
      </w:r>
    </w:p>
    <w:p>
      <w:pPr>
        <w:pStyle w:val="BodyText"/>
        <w:spacing w:line="235" w:lineRule="auto" w:before="2"/>
        <w:ind w:left="607" w:right="2045"/>
      </w:pPr>
      <w:r>
        <w:rPr>
          <w:w w:val="120"/>
        </w:rPr>
        <w:t>Convenor-elect: The Revd Russell Furley-Smith [2016-2017] as convenor [2017-2021] Secretary: Secretary for Ministries</w:t>
      </w:r>
    </w:p>
    <w:p>
      <w:pPr>
        <w:pStyle w:val="BodyText"/>
        <w:spacing w:line="240" w:lineRule="exact"/>
        <w:ind w:left="607"/>
      </w:pPr>
      <w:r>
        <w:rPr>
          <w:w w:val="125"/>
        </w:rPr>
        <w:t>The Revd Naison Hove (10) [2017]</w:t>
      </w:r>
    </w:p>
    <w:p>
      <w:pPr>
        <w:pStyle w:val="BodyText"/>
        <w:spacing w:line="235" w:lineRule="auto" w:before="2"/>
        <w:ind w:left="607" w:right="7200"/>
      </w:pPr>
      <w:r>
        <w:rPr>
          <w:w w:val="120"/>
        </w:rPr>
        <w:t>The Revd Mark Robinson (4) [2018] Mr Keith Reading (3) [2020]**</w:t>
      </w:r>
    </w:p>
    <w:p>
      <w:pPr>
        <w:pStyle w:val="BodyText"/>
        <w:spacing w:line="235" w:lineRule="auto" w:before="1"/>
        <w:ind w:left="607" w:right="5522"/>
      </w:pPr>
      <w:r>
        <w:rPr>
          <w:w w:val="120"/>
        </w:rPr>
        <w:t>The Revd Andrew Prasad (Synod Moderator) [2020] 1 vacancy</w:t>
      </w:r>
    </w:p>
    <w:p>
      <w:pPr>
        <w:pStyle w:val="BodyText"/>
        <w:spacing w:before="5"/>
        <w:rPr>
          <w:sz w:val="18"/>
        </w:rPr>
      </w:pPr>
    </w:p>
    <w:p>
      <w:pPr>
        <w:pStyle w:val="Heading7"/>
        <w:numPr>
          <w:ilvl w:val="2"/>
          <w:numId w:val="232"/>
        </w:numPr>
        <w:tabs>
          <w:tab w:pos="1288" w:val="left" w:leader="none"/>
        </w:tabs>
        <w:spacing w:line="261" w:lineRule="exact" w:before="0" w:after="0"/>
        <w:ind w:left="1287" w:right="0" w:hanging="681"/>
        <w:jc w:val="left"/>
      </w:pPr>
      <w:r>
        <w:rPr>
          <w:w w:val="110"/>
        </w:rPr>
        <w:t>Ministries – CRCW programme</w:t>
      </w:r>
      <w:r>
        <w:rPr>
          <w:spacing w:val="-2"/>
          <w:w w:val="110"/>
        </w:rPr>
        <w:t> </w:t>
      </w:r>
      <w:r>
        <w:rPr>
          <w:w w:val="110"/>
        </w:rPr>
        <w:t>subcommittee</w:t>
      </w:r>
    </w:p>
    <w:p>
      <w:pPr>
        <w:pStyle w:val="BodyText"/>
        <w:spacing w:line="235" w:lineRule="auto"/>
        <w:ind w:left="607" w:right="6838"/>
      </w:pPr>
      <w:r>
        <w:rPr>
          <w:w w:val="120"/>
        </w:rPr>
        <w:t>Convenor: Mr Simon Loveitt [2020] Secretary: CRCW Development Worker</w:t>
      </w:r>
    </w:p>
    <w:p>
      <w:pPr>
        <w:pStyle w:val="BodyText"/>
        <w:tabs>
          <w:tab w:pos="4927" w:val="left" w:leader="none"/>
        </w:tabs>
        <w:spacing w:line="240" w:lineRule="exact"/>
        <w:ind w:left="607"/>
      </w:pPr>
      <w:r>
        <w:rPr>
          <w:w w:val="120"/>
        </w:rPr>
        <w:t>Mr John Grundy</w:t>
      </w:r>
      <w:r>
        <w:rPr>
          <w:spacing w:val="17"/>
          <w:w w:val="120"/>
        </w:rPr>
        <w:t> </w:t>
      </w:r>
      <w:r>
        <w:rPr>
          <w:w w:val="120"/>
        </w:rPr>
        <w:t>(3)</w:t>
      </w:r>
      <w:r>
        <w:rPr>
          <w:spacing w:val="6"/>
          <w:w w:val="120"/>
        </w:rPr>
        <w:t> </w:t>
      </w:r>
      <w:r>
        <w:rPr>
          <w:w w:val="120"/>
        </w:rPr>
        <w:t>[2017]</w:t>
        <w:tab/>
        <w:t>Mrs Rosie Buxton (12)</w:t>
      </w:r>
      <w:r>
        <w:rPr>
          <w:spacing w:val="7"/>
          <w:w w:val="120"/>
        </w:rPr>
        <w:t> </w:t>
      </w:r>
      <w:r>
        <w:rPr>
          <w:w w:val="120"/>
        </w:rPr>
        <w:t>[2018]</w:t>
      </w:r>
    </w:p>
    <w:p>
      <w:pPr>
        <w:pStyle w:val="BodyText"/>
        <w:tabs>
          <w:tab w:pos="4927" w:val="left" w:leader="none"/>
        </w:tabs>
        <w:spacing w:line="240" w:lineRule="exact"/>
        <w:ind w:left="607"/>
      </w:pPr>
      <w:r>
        <w:rPr>
          <w:w w:val="120"/>
        </w:rPr>
        <w:t>Mr Derek Estill</w:t>
      </w:r>
      <w:r>
        <w:rPr>
          <w:spacing w:val="5"/>
          <w:w w:val="120"/>
        </w:rPr>
        <w:t> </w:t>
      </w:r>
      <w:r>
        <w:rPr>
          <w:w w:val="120"/>
        </w:rPr>
        <w:t>(2)</w:t>
      </w:r>
      <w:r>
        <w:rPr>
          <w:spacing w:val="2"/>
          <w:w w:val="120"/>
        </w:rPr>
        <w:t> </w:t>
      </w:r>
      <w:r>
        <w:rPr>
          <w:w w:val="120"/>
        </w:rPr>
        <w:t>[2019]</w:t>
        <w:tab/>
        <w:t>Mr David Williams (10)</w:t>
      </w:r>
      <w:r>
        <w:rPr>
          <w:spacing w:val="8"/>
          <w:w w:val="120"/>
        </w:rPr>
        <w:t> </w:t>
      </w:r>
      <w:r>
        <w:rPr>
          <w:w w:val="120"/>
        </w:rPr>
        <w:t>[2019]</w:t>
      </w:r>
    </w:p>
    <w:p>
      <w:pPr>
        <w:pStyle w:val="BodyText"/>
        <w:tabs>
          <w:tab w:pos="4927" w:val="left" w:leader="none"/>
        </w:tabs>
        <w:spacing w:line="235" w:lineRule="auto"/>
        <w:ind w:left="607" w:right="5388"/>
      </w:pPr>
      <w:r>
        <w:rPr>
          <w:w w:val="120"/>
        </w:rPr>
        <w:t>The </w:t>
      </w:r>
      <w:r>
        <w:rPr>
          <w:spacing w:val="-4"/>
          <w:w w:val="120"/>
        </w:rPr>
        <w:t>Revd </w:t>
      </w:r>
      <w:r>
        <w:rPr>
          <w:w w:val="120"/>
        </w:rPr>
        <w:t>Ruth</w:t>
      </w:r>
      <w:r>
        <w:rPr>
          <w:spacing w:val="-38"/>
          <w:w w:val="120"/>
        </w:rPr>
        <w:t> </w:t>
      </w:r>
      <w:r>
        <w:rPr>
          <w:spacing w:val="-4"/>
          <w:w w:val="120"/>
        </w:rPr>
        <w:t>Maxey </w:t>
      </w:r>
      <w:r>
        <w:rPr>
          <w:w w:val="120"/>
        </w:rPr>
        <w:t>(5)</w:t>
      </w:r>
      <w:r>
        <w:rPr>
          <w:spacing w:val="-12"/>
          <w:w w:val="120"/>
        </w:rPr>
        <w:t> </w:t>
      </w:r>
      <w:r>
        <w:rPr>
          <w:spacing w:val="-3"/>
          <w:w w:val="120"/>
        </w:rPr>
        <w:t>[2020]**</w:t>
        <w:tab/>
      </w:r>
      <w:r>
        <w:rPr>
          <w:w w:val="120"/>
        </w:rPr>
        <w:t>1 </w:t>
      </w:r>
      <w:r>
        <w:rPr>
          <w:spacing w:val="-3"/>
          <w:w w:val="120"/>
        </w:rPr>
        <w:t>vacancy </w:t>
      </w:r>
      <w:r>
        <w:rPr>
          <w:w w:val="120"/>
        </w:rPr>
        <w:t>The </w:t>
      </w:r>
      <w:r>
        <w:rPr>
          <w:spacing w:val="-4"/>
          <w:w w:val="120"/>
        </w:rPr>
        <w:t>Revd </w:t>
      </w:r>
      <w:r>
        <w:rPr>
          <w:spacing w:val="-3"/>
          <w:w w:val="120"/>
        </w:rPr>
        <w:t>Simon </w:t>
      </w:r>
      <w:r>
        <w:rPr>
          <w:spacing w:val="-4"/>
          <w:w w:val="120"/>
        </w:rPr>
        <w:t>Walkling </w:t>
      </w:r>
      <w:r>
        <w:rPr>
          <w:spacing w:val="-3"/>
          <w:w w:val="120"/>
        </w:rPr>
        <w:t>(Synod </w:t>
      </w:r>
      <w:r>
        <w:rPr>
          <w:spacing w:val="-4"/>
          <w:w w:val="120"/>
        </w:rPr>
        <w:t>Moderator)</w:t>
      </w:r>
      <w:r>
        <w:rPr>
          <w:spacing w:val="1"/>
          <w:w w:val="120"/>
        </w:rPr>
        <w:t> </w:t>
      </w:r>
      <w:r>
        <w:rPr>
          <w:w w:val="120"/>
        </w:rPr>
        <w:t>[2018]</w:t>
      </w:r>
    </w:p>
    <w:p>
      <w:pPr>
        <w:pStyle w:val="BodyText"/>
        <w:spacing w:before="2"/>
        <w:rPr>
          <w:sz w:val="18"/>
        </w:rPr>
      </w:pPr>
    </w:p>
    <w:p>
      <w:pPr>
        <w:pStyle w:val="Heading7"/>
        <w:numPr>
          <w:ilvl w:val="2"/>
          <w:numId w:val="232"/>
        </w:numPr>
        <w:tabs>
          <w:tab w:pos="1288" w:val="left" w:leader="none"/>
        </w:tabs>
        <w:spacing w:line="261" w:lineRule="exact" w:before="0" w:after="0"/>
        <w:ind w:left="1287" w:right="0" w:hanging="681"/>
        <w:jc w:val="left"/>
      </w:pPr>
      <w:r>
        <w:rPr>
          <w:w w:val="110"/>
        </w:rPr>
        <w:t>Ministries – maintenance of ministry</w:t>
      </w:r>
      <w:r>
        <w:rPr>
          <w:spacing w:val="-2"/>
          <w:w w:val="110"/>
        </w:rPr>
        <w:t> </w:t>
      </w:r>
      <w:r>
        <w:rPr>
          <w:w w:val="110"/>
        </w:rPr>
        <w:t>subcommittee</w:t>
      </w:r>
    </w:p>
    <w:p>
      <w:pPr>
        <w:pStyle w:val="BodyText"/>
        <w:spacing w:line="233" w:lineRule="exact"/>
        <w:ind w:left="607"/>
      </w:pPr>
      <w:r>
        <w:rPr>
          <w:w w:val="120"/>
        </w:rPr>
        <w:t>Convenor: The Revd Pamela Ward [2017]</w:t>
      </w:r>
    </w:p>
    <w:p>
      <w:pPr>
        <w:pStyle w:val="BodyText"/>
        <w:tabs>
          <w:tab w:pos="4927" w:val="left" w:leader="none"/>
        </w:tabs>
        <w:spacing w:line="235" w:lineRule="auto" w:before="2"/>
        <w:ind w:left="607" w:right="3839"/>
      </w:pPr>
      <w:r>
        <w:rPr>
          <w:w w:val="120"/>
        </w:rPr>
        <w:t>The Revd Sue</w:t>
      </w:r>
      <w:r>
        <w:rPr>
          <w:spacing w:val="19"/>
          <w:w w:val="120"/>
        </w:rPr>
        <w:t> </w:t>
      </w:r>
      <w:r>
        <w:rPr>
          <w:w w:val="120"/>
        </w:rPr>
        <w:t>Kirkbride(13)</w:t>
      </w:r>
      <w:r>
        <w:rPr>
          <w:spacing w:val="6"/>
          <w:w w:val="120"/>
        </w:rPr>
        <w:t> </w:t>
      </w:r>
      <w:r>
        <w:rPr>
          <w:w w:val="120"/>
        </w:rPr>
        <w:t>[2018]</w:t>
        <w:tab/>
        <w:t>Mr David Black (6) </w:t>
      </w:r>
      <w:r>
        <w:rPr>
          <w:spacing w:val="-3"/>
          <w:w w:val="120"/>
        </w:rPr>
        <w:t>[2018] </w:t>
      </w:r>
      <w:r>
        <w:rPr>
          <w:w w:val="120"/>
        </w:rPr>
        <w:t>Mr Keith Berry</w:t>
      </w:r>
      <w:r>
        <w:rPr>
          <w:spacing w:val="7"/>
          <w:w w:val="120"/>
        </w:rPr>
        <w:t> </w:t>
      </w:r>
      <w:r>
        <w:rPr>
          <w:w w:val="120"/>
        </w:rPr>
        <w:t>(7)</w:t>
      </w:r>
      <w:r>
        <w:rPr>
          <w:spacing w:val="2"/>
          <w:w w:val="120"/>
        </w:rPr>
        <w:t> </w:t>
      </w:r>
      <w:r>
        <w:rPr>
          <w:w w:val="120"/>
        </w:rPr>
        <w:t>[2019]</w:t>
        <w:tab/>
        <w:t>1</w:t>
      </w:r>
      <w:r>
        <w:rPr>
          <w:spacing w:val="2"/>
          <w:w w:val="120"/>
        </w:rPr>
        <w:t> </w:t>
      </w:r>
      <w:r>
        <w:rPr>
          <w:w w:val="120"/>
        </w:rPr>
        <w:t>vacancy</w:t>
      </w:r>
    </w:p>
    <w:p>
      <w:pPr>
        <w:pStyle w:val="BodyText"/>
        <w:spacing w:before="5"/>
        <w:rPr>
          <w:sz w:val="18"/>
        </w:rPr>
      </w:pPr>
    </w:p>
    <w:p>
      <w:pPr>
        <w:pStyle w:val="Heading7"/>
        <w:numPr>
          <w:ilvl w:val="2"/>
          <w:numId w:val="232"/>
        </w:numPr>
        <w:tabs>
          <w:tab w:pos="1288" w:val="left" w:leader="none"/>
        </w:tabs>
        <w:spacing w:line="261" w:lineRule="exact" w:before="1" w:after="0"/>
        <w:ind w:left="1287" w:right="0" w:hanging="681"/>
        <w:jc w:val="left"/>
      </w:pPr>
      <w:r>
        <w:rPr>
          <w:w w:val="110"/>
        </w:rPr>
        <w:t>Ministries – retired ministers’ housing</w:t>
      </w:r>
      <w:r>
        <w:rPr>
          <w:spacing w:val="-2"/>
          <w:w w:val="110"/>
        </w:rPr>
        <w:t> </w:t>
      </w:r>
      <w:r>
        <w:rPr>
          <w:w w:val="110"/>
        </w:rPr>
        <w:t>subcommittee</w:t>
      </w:r>
    </w:p>
    <w:p>
      <w:pPr>
        <w:spacing w:line="235" w:lineRule="auto" w:before="0"/>
        <w:ind w:left="607" w:right="2231" w:firstLine="0"/>
        <w:jc w:val="left"/>
        <w:rPr>
          <w:i/>
          <w:sz w:val="20"/>
        </w:rPr>
      </w:pPr>
      <w:r>
        <w:rPr>
          <w:i/>
          <w:w w:val="110"/>
          <w:sz w:val="20"/>
        </w:rPr>
        <w:t>(Members will normally serve for four years, but appointments may be extended for a further </w:t>
      </w:r>
      <w:r>
        <w:rPr>
          <w:i/>
          <w:w w:val="110"/>
          <w:sz w:val="20"/>
        </w:rPr>
        <w:t>two years)</w:t>
      </w:r>
    </w:p>
    <w:p>
      <w:pPr>
        <w:pStyle w:val="BodyText"/>
        <w:spacing w:line="240" w:lineRule="exact"/>
        <w:ind w:left="607"/>
      </w:pPr>
      <w:r>
        <w:rPr>
          <w:w w:val="120"/>
        </w:rPr>
        <w:t>Convenor: The Revd Anne Bedford [2020]</w:t>
      </w:r>
    </w:p>
    <w:p>
      <w:pPr>
        <w:pStyle w:val="BodyText"/>
        <w:spacing w:line="240" w:lineRule="exact"/>
        <w:ind w:left="607"/>
      </w:pPr>
      <w:r>
        <w:rPr>
          <w:w w:val="115"/>
        </w:rPr>
        <w:t>Secretary: Secretary of Retired Ministers’ Housing Society</w:t>
      </w:r>
    </w:p>
    <w:p>
      <w:pPr>
        <w:pStyle w:val="BodyText"/>
        <w:tabs>
          <w:tab w:pos="4927" w:val="left" w:leader="none"/>
        </w:tabs>
        <w:spacing w:line="235" w:lineRule="auto"/>
        <w:ind w:left="607" w:right="3719"/>
      </w:pPr>
      <w:r>
        <w:rPr>
          <w:w w:val="120"/>
        </w:rPr>
        <w:t>Mr Peter West</w:t>
      </w:r>
      <w:r>
        <w:rPr>
          <w:spacing w:val="-14"/>
          <w:w w:val="120"/>
        </w:rPr>
        <w:t> </w:t>
      </w:r>
      <w:r>
        <w:rPr>
          <w:w w:val="120"/>
        </w:rPr>
        <w:t>(7)</w:t>
      </w:r>
      <w:r>
        <w:rPr>
          <w:spacing w:val="-4"/>
          <w:w w:val="120"/>
        </w:rPr>
        <w:t> </w:t>
      </w:r>
      <w:r>
        <w:rPr>
          <w:w w:val="120"/>
        </w:rPr>
        <w:t>[2019]</w:t>
        <w:tab/>
        <w:t>Malcolm Lindo (10) </w:t>
      </w:r>
      <w:r>
        <w:rPr>
          <w:spacing w:val="-3"/>
          <w:w w:val="120"/>
        </w:rPr>
        <w:t>[2018] </w:t>
      </w:r>
      <w:r>
        <w:rPr>
          <w:w w:val="120"/>
        </w:rPr>
        <w:t>The Revd Ken Summers</w:t>
      </w:r>
      <w:r>
        <w:rPr>
          <w:spacing w:val="5"/>
          <w:w w:val="120"/>
        </w:rPr>
        <w:t> </w:t>
      </w:r>
      <w:r>
        <w:rPr>
          <w:w w:val="120"/>
        </w:rPr>
        <w:t>(3)[2020]**</w:t>
      </w:r>
    </w:p>
    <w:p>
      <w:pPr>
        <w:pStyle w:val="BodyText"/>
        <w:spacing w:line="235" w:lineRule="auto"/>
        <w:ind w:left="607" w:right="5164"/>
      </w:pPr>
      <w:r>
        <w:rPr>
          <w:w w:val="120"/>
        </w:rPr>
        <w:t>The Revd Nicola Furley-Smith (Synod Moderator) [2018] [</w:t>
      </w:r>
      <w:r>
        <w:rPr>
          <w:i/>
          <w:w w:val="120"/>
        </w:rPr>
        <w:t>ex-officio</w:t>
      </w:r>
      <w:r>
        <w:rPr>
          <w:w w:val="120"/>
        </w:rPr>
        <w:t>: Treasurer]</w:t>
      </w:r>
    </w:p>
    <w:p>
      <w:pPr>
        <w:spacing w:line="235" w:lineRule="auto" w:before="0"/>
        <w:ind w:left="607" w:right="2891" w:firstLine="0"/>
        <w:jc w:val="both"/>
        <w:rPr>
          <w:i/>
          <w:sz w:val="20"/>
        </w:rPr>
      </w:pPr>
      <w:r>
        <w:rPr>
          <w:w w:val="110"/>
          <w:sz w:val="20"/>
        </w:rPr>
        <w:t>(</w:t>
      </w:r>
      <w:r>
        <w:rPr>
          <w:i/>
          <w:w w:val="110"/>
          <w:sz w:val="20"/>
        </w:rPr>
        <w:t>Properties are managed by a company viz: </w:t>
      </w:r>
      <w:r>
        <w:rPr>
          <w:w w:val="110"/>
          <w:sz w:val="20"/>
        </w:rPr>
        <w:t>Retired Ministers’ Housing Society Ltd, </w:t>
      </w:r>
      <w:r>
        <w:rPr>
          <w:i/>
          <w:w w:val="110"/>
          <w:sz w:val="20"/>
        </w:rPr>
        <w:t>Details of the members of the board etc may be obtained from the secretary, Mr Andy </w:t>
      </w:r>
      <w:r>
        <w:rPr>
          <w:i/>
          <w:w w:val="110"/>
          <w:sz w:val="20"/>
        </w:rPr>
        <w:t>Bottomley at Church House.)</w:t>
      </w:r>
    </w:p>
    <w:p>
      <w:pPr>
        <w:pStyle w:val="BodyText"/>
        <w:spacing w:before="5"/>
        <w:rPr>
          <w:i/>
          <w:sz w:val="18"/>
        </w:rPr>
      </w:pPr>
    </w:p>
    <w:p>
      <w:pPr>
        <w:pStyle w:val="Heading7"/>
        <w:numPr>
          <w:ilvl w:val="2"/>
          <w:numId w:val="232"/>
        </w:numPr>
        <w:tabs>
          <w:tab w:pos="1328" w:val="left" w:leader="none"/>
        </w:tabs>
        <w:spacing w:line="261" w:lineRule="exact" w:before="0" w:after="0"/>
        <w:ind w:left="1327" w:right="0" w:hanging="721"/>
        <w:jc w:val="left"/>
      </w:pPr>
      <w:r>
        <w:rPr>
          <w:w w:val="110"/>
        </w:rPr>
        <w:t>Assessment</w:t>
      </w:r>
      <w:r>
        <w:rPr>
          <w:spacing w:val="-1"/>
          <w:w w:val="110"/>
        </w:rPr>
        <w:t> </w:t>
      </w:r>
      <w:r>
        <w:rPr>
          <w:w w:val="110"/>
        </w:rPr>
        <w:t>board</w:t>
      </w:r>
    </w:p>
    <w:p>
      <w:pPr>
        <w:pStyle w:val="BodyText"/>
        <w:spacing w:line="235" w:lineRule="auto"/>
        <w:ind w:left="607" w:right="4898"/>
      </w:pPr>
      <w:r>
        <w:rPr>
          <w:w w:val="120"/>
        </w:rPr>
        <w:t>(Members</w:t>
      </w:r>
      <w:r>
        <w:rPr>
          <w:spacing w:val="-17"/>
          <w:w w:val="120"/>
        </w:rPr>
        <w:t> </w:t>
      </w:r>
      <w:r>
        <w:rPr>
          <w:w w:val="120"/>
        </w:rPr>
        <w:t>usually</w:t>
      </w:r>
      <w:r>
        <w:rPr>
          <w:spacing w:val="-16"/>
          <w:w w:val="120"/>
        </w:rPr>
        <w:t> </w:t>
      </w:r>
      <w:r>
        <w:rPr>
          <w:w w:val="120"/>
        </w:rPr>
        <w:t>serve</w:t>
      </w:r>
      <w:r>
        <w:rPr>
          <w:spacing w:val="-16"/>
          <w:w w:val="120"/>
        </w:rPr>
        <w:t> </w:t>
      </w:r>
      <w:r>
        <w:rPr>
          <w:w w:val="120"/>
        </w:rPr>
        <w:t>for</w:t>
      </w:r>
      <w:r>
        <w:rPr>
          <w:spacing w:val="-16"/>
          <w:w w:val="120"/>
        </w:rPr>
        <w:t> </w:t>
      </w:r>
      <w:r>
        <w:rPr>
          <w:w w:val="120"/>
        </w:rPr>
        <w:t>five</w:t>
      </w:r>
      <w:r>
        <w:rPr>
          <w:spacing w:val="-16"/>
          <w:w w:val="120"/>
        </w:rPr>
        <w:t> </w:t>
      </w:r>
      <w:r>
        <w:rPr>
          <w:w w:val="120"/>
        </w:rPr>
        <w:t>years</w:t>
      </w:r>
      <w:r>
        <w:rPr>
          <w:spacing w:val="-16"/>
          <w:w w:val="120"/>
        </w:rPr>
        <w:t> </w:t>
      </w:r>
      <w:r>
        <w:rPr>
          <w:w w:val="120"/>
        </w:rPr>
        <w:t>as</w:t>
      </w:r>
      <w:r>
        <w:rPr>
          <w:spacing w:val="-16"/>
          <w:w w:val="120"/>
        </w:rPr>
        <w:t> </w:t>
      </w:r>
      <w:r>
        <w:rPr>
          <w:w w:val="120"/>
        </w:rPr>
        <w:t>training</w:t>
      </w:r>
      <w:r>
        <w:rPr>
          <w:spacing w:val="-16"/>
          <w:w w:val="120"/>
        </w:rPr>
        <w:t> </w:t>
      </w:r>
      <w:r>
        <w:rPr>
          <w:w w:val="120"/>
        </w:rPr>
        <w:t>is</w:t>
      </w:r>
      <w:r>
        <w:rPr>
          <w:spacing w:val="-16"/>
          <w:w w:val="120"/>
        </w:rPr>
        <w:t> </w:t>
      </w:r>
      <w:r>
        <w:rPr>
          <w:w w:val="120"/>
        </w:rPr>
        <w:t>required) Convenor: Dr Ewan Harley</w:t>
      </w:r>
      <w:r>
        <w:rPr>
          <w:spacing w:val="7"/>
          <w:w w:val="120"/>
        </w:rPr>
        <w:t> </w:t>
      </w:r>
      <w:r>
        <w:rPr>
          <w:w w:val="120"/>
        </w:rPr>
        <w:t>[2019]</w:t>
      </w:r>
    </w:p>
    <w:p>
      <w:pPr>
        <w:pStyle w:val="Heading7"/>
        <w:spacing w:line="247" w:lineRule="exact"/>
        <w:ind w:left="607"/>
      </w:pPr>
      <w:r>
        <w:rPr>
          <w:w w:val="110"/>
        </w:rPr>
        <w:t>Retiring 2017</w:t>
      </w:r>
    </w:p>
    <w:p>
      <w:pPr>
        <w:pStyle w:val="BodyText"/>
        <w:tabs>
          <w:tab w:pos="4916" w:val="left" w:leader="none"/>
        </w:tabs>
        <w:spacing w:line="233" w:lineRule="exact"/>
        <w:ind w:left="607"/>
      </w:pPr>
      <w:r>
        <w:rPr>
          <w:w w:val="120"/>
        </w:rPr>
        <w:t>Ms Alex</w:t>
      </w:r>
      <w:r>
        <w:rPr>
          <w:spacing w:val="-6"/>
          <w:w w:val="120"/>
        </w:rPr>
        <w:t> </w:t>
      </w:r>
      <w:r>
        <w:rPr>
          <w:w w:val="120"/>
        </w:rPr>
        <w:t>Bediako</w:t>
      </w:r>
      <w:r>
        <w:rPr>
          <w:spacing w:val="-3"/>
          <w:w w:val="120"/>
        </w:rPr>
        <w:t> </w:t>
      </w:r>
      <w:r>
        <w:rPr>
          <w:w w:val="120"/>
        </w:rPr>
        <w:t>(10)</w:t>
        <w:tab/>
        <w:t>Mr Bill Gould</w:t>
      </w:r>
      <w:r>
        <w:rPr>
          <w:spacing w:val="7"/>
          <w:w w:val="120"/>
        </w:rPr>
        <w:t> </w:t>
      </w:r>
      <w:r>
        <w:rPr>
          <w:w w:val="120"/>
        </w:rPr>
        <w:t>(3)</w:t>
      </w:r>
    </w:p>
    <w:p>
      <w:pPr>
        <w:pStyle w:val="BodyText"/>
        <w:tabs>
          <w:tab w:pos="4927" w:val="left" w:leader="none"/>
        </w:tabs>
        <w:spacing w:line="234" w:lineRule="exact"/>
        <w:ind w:left="607"/>
      </w:pPr>
      <w:r>
        <w:rPr>
          <w:w w:val="120"/>
        </w:rPr>
        <w:t>The Revd Peter</w:t>
      </w:r>
      <w:r>
        <w:rPr>
          <w:spacing w:val="-10"/>
          <w:w w:val="120"/>
        </w:rPr>
        <w:t> </w:t>
      </w:r>
      <w:r>
        <w:rPr>
          <w:w w:val="120"/>
        </w:rPr>
        <w:t>Henderson</w:t>
      </w:r>
      <w:r>
        <w:rPr>
          <w:spacing w:val="-3"/>
          <w:w w:val="120"/>
        </w:rPr>
        <w:t> </w:t>
      </w:r>
      <w:r>
        <w:rPr>
          <w:w w:val="120"/>
        </w:rPr>
        <w:t>(8)</w:t>
        <w:tab/>
        <w:t>The Revd Shahbaz Javed</w:t>
      </w:r>
      <w:r>
        <w:rPr>
          <w:spacing w:val="7"/>
          <w:w w:val="120"/>
        </w:rPr>
        <w:t> </w:t>
      </w:r>
      <w:r>
        <w:rPr>
          <w:w w:val="120"/>
        </w:rPr>
        <w:t>(10)</w:t>
      </w:r>
    </w:p>
    <w:p>
      <w:pPr>
        <w:pStyle w:val="Heading7"/>
        <w:spacing w:line="253" w:lineRule="exact"/>
        <w:ind w:left="607"/>
      </w:pPr>
      <w:r>
        <w:rPr>
          <w:w w:val="110"/>
        </w:rPr>
        <w:t>Retiring 2018</w:t>
      </w:r>
    </w:p>
    <w:p>
      <w:pPr>
        <w:pStyle w:val="BodyText"/>
        <w:tabs>
          <w:tab w:pos="4927" w:val="left" w:leader="none"/>
        </w:tabs>
        <w:spacing w:line="235" w:lineRule="auto"/>
        <w:ind w:left="607" w:right="3728"/>
      </w:pPr>
      <w:r>
        <w:rPr>
          <w:w w:val="120"/>
        </w:rPr>
        <w:t>The Revd Kim</w:t>
      </w:r>
      <w:r>
        <w:rPr>
          <w:spacing w:val="5"/>
          <w:w w:val="120"/>
        </w:rPr>
        <w:t> </w:t>
      </w:r>
      <w:r>
        <w:rPr>
          <w:w w:val="120"/>
        </w:rPr>
        <w:t>Plumpton</w:t>
      </w:r>
      <w:r>
        <w:rPr>
          <w:spacing w:val="2"/>
          <w:w w:val="120"/>
        </w:rPr>
        <w:t> </w:t>
      </w:r>
      <w:r>
        <w:rPr>
          <w:w w:val="120"/>
        </w:rPr>
        <w:t>(11)</w:t>
        <w:tab/>
        <w:t>The Revd Mary Thomas </w:t>
      </w:r>
      <w:r>
        <w:rPr>
          <w:spacing w:val="-5"/>
          <w:w w:val="120"/>
        </w:rPr>
        <w:t>(9) </w:t>
      </w:r>
      <w:r>
        <w:rPr>
          <w:w w:val="120"/>
        </w:rPr>
        <w:t>The Revd Ruth Allen</w:t>
      </w:r>
      <w:r>
        <w:rPr>
          <w:spacing w:val="7"/>
          <w:w w:val="120"/>
        </w:rPr>
        <w:t> </w:t>
      </w:r>
      <w:r>
        <w:rPr>
          <w:w w:val="120"/>
        </w:rPr>
        <w:t>(5)</w:t>
      </w:r>
    </w:p>
    <w:p>
      <w:pPr>
        <w:pStyle w:val="Heading7"/>
        <w:spacing w:line="247" w:lineRule="exact"/>
        <w:ind w:left="607"/>
      </w:pPr>
      <w:r>
        <w:rPr>
          <w:w w:val="110"/>
        </w:rPr>
        <w:t>Retiring 2019</w:t>
      </w:r>
    </w:p>
    <w:p>
      <w:pPr>
        <w:pStyle w:val="BodyText"/>
        <w:tabs>
          <w:tab w:pos="4927" w:val="left" w:leader="none"/>
        </w:tabs>
        <w:spacing w:line="233" w:lineRule="exact"/>
        <w:ind w:left="607"/>
      </w:pPr>
      <w:r>
        <w:rPr>
          <w:w w:val="115"/>
        </w:rPr>
        <w:t>The Revd Stuart</w:t>
      </w:r>
      <w:r>
        <w:rPr>
          <w:spacing w:val="38"/>
          <w:w w:val="115"/>
        </w:rPr>
        <w:t> </w:t>
      </w:r>
      <w:r>
        <w:rPr>
          <w:w w:val="115"/>
        </w:rPr>
        <w:t>Radcliffe</w:t>
      </w:r>
      <w:r>
        <w:rPr>
          <w:spacing w:val="13"/>
          <w:w w:val="115"/>
        </w:rPr>
        <w:t> </w:t>
      </w:r>
      <w:r>
        <w:rPr>
          <w:w w:val="115"/>
        </w:rPr>
        <w:t>(2)</w:t>
        <w:tab/>
        <w:t>The Revd Sohail Ejaz</w:t>
      </w:r>
      <w:r>
        <w:rPr>
          <w:spacing w:val="22"/>
          <w:w w:val="115"/>
        </w:rPr>
        <w:t> </w:t>
      </w:r>
      <w:r>
        <w:rPr>
          <w:w w:val="115"/>
        </w:rPr>
        <w:t>(7)</w:t>
      </w:r>
    </w:p>
    <w:p>
      <w:pPr>
        <w:pStyle w:val="BodyText"/>
        <w:tabs>
          <w:tab w:pos="4927" w:val="left" w:leader="none"/>
        </w:tabs>
        <w:spacing w:line="242" w:lineRule="exact"/>
        <w:ind w:left="607"/>
      </w:pPr>
      <w:r>
        <w:rPr>
          <w:w w:val="120"/>
        </w:rPr>
        <w:t>The Revd Peter</w:t>
      </w:r>
      <w:r>
        <w:rPr>
          <w:spacing w:val="-13"/>
          <w:w w:val="120"/>
        </w:rPr>
        <w:t> </w:t>
      </w:r>
      <w:r>
        <w:rPr>
          <w:w w:val="120"/>
        </w:rPr>
        <w:t>Rand</w:t>
      </w:r>
      <w:r>
        <w:rPr>
          <w:spacing w:val="-4"/>
          <w:w w:val="120"/>
        </w:rPr>
        <w:t> </w:t>
      </w:r>
      <w:r>
        <w:rPr>
          <w:w w:val="120"/>
        </w:rPr>
        <w:t>(1)</w:t>
        <w:tab/>
        <w:t>Ms Pat Oliver</w:t>
      </w:r>
      <w:r>
        <w:rPr>
          <w:spacing w:val="5"/>
          <w:w w:val="120"/>
        </w:rPr>
        <w:t> </w:t>
      </w:r>
      <w:r>
        <w:rPr>
          <w:w w:val="120"/>
        </w:rPr>
        <w:t>(9)</w:t>
      </w:r>
    </w:p>
    <w:p>
      <w:pPr>
        <w:spacing w:after="0" w:line="242" w:lineRule="exact"/>
        <w:sectPr>
          <w:headerReference w:type="even" r:id="rId547"/>
          <w:footerReference w:type="even" r:id="rId548"/>
          <w:footerReference w:type="default" r:id="rId549"/>
          <w:pgSz w:w="11910" w:h="16840"/>
          <w:pgMar w:header="0" w:footer="647" w:top="0" w:bottom="840" w:left="640" w:right="0"/>
          <w:pgNumType w:start="206"/>
        </w:sectPr>
      </w:pPr>
    </w:p>
    <w:p>
      <w:pPr>
        <w:pStyle w:val="BodyText"/>
      </w:pPr>
      <w:r>
        <w:rPr/>
        <w:drawing>
          <wp:anchor distT="0" distB="0" distL="0" distR="0" allowOverlap="1" layoutInCell="1" locked="0" behindDoc="0" simplePos="0" relativeHeight="252211200">
            <wp:simplePos x="0" y="0"/>
            <wp:positionH relativeFrom="page">
              <wp:posOffset>6974928</wp:posOffset>
            </wp:positionH>
            <wp:positionV relativeFrom="page">
              <wp:posOffset>0</wp:posOffset>
            </wp:positionV>
            <wp:extent cx="585063" cy="10692003"/>
            <wp:effectExtent l="0" t="0" r="0" b="0"/>
            <wp:wrapNone/>
            <wp:docPr id="395" name="image70.png"/>
            <wp:cNvGraphicFramePr>
              <a:graphicFrameLocks noChangeAspect="1"/>
            </wp:cNvGraphicFramePr>
            <a:graphic>
              <a:graphicData uri="http://schemas.openxmlformats.org/drawingml/2006/picture">
                <pic:pic>
                  <pic:nvPicPr>
                    <pic:cNvPr id="396" name="image70.png"/>
                    <pic:cNvPicPr/>
                  </pic:nvPicPr>
                  <pic:blipFill>
                    <a:blip r:embed="rId532" cstate="print"/>
                    <a:stretch>
                      <a:fillRect/>
                    </a:stretch>
                  </pic:blipFill>
                  <pic:spPr>
                    <a:xfrm>
                      <a:off x="0" y="0"/>
                      <a:ext cx="585063" cy="10692003"/>
                    </a:xfrm>
                    <a:prstGeom prst="rect">
                      <a:avLst/>
                    </a:prstGeom>
                  </pic:spPr>
                </pic:pic>
              </a:graphicData>
            </a:graphic>
          </wp:anchor>
        </w:drawing>
      </w:r>
    </w:p>
    <w:p>
      <w:pPr>
        <w:pStyle w:val="BodyText"/>
        <w:spacing w:before="7"/>
        <w:rPr>
          <w:sz w:val="21"/>
        </w:rPr>
      </w:pPr>
    </w:p>
    <w:p>
      <w:pPr>
        <w:spacing w:before="106"/>
        <w:ind w:left="0" w:right="1245" w:firstLine="0"/>
        <w:jc w:val="right"/>
        <w:rPr>
          <w:sz w:val="26"/>
        </w:rPr>
      </w:pPr>
      <w:r>
        <w:rPr/>
        <w:pict>
          <v:shape style="position:absolute;margin-left:554.141174pt;margin-top:22.593945pt;width:25.9pt;height:131.3pt;mso-position-horizontal-relative:page;mso-position-vertical-relative:paragraph;z-index:252212224" type="#_x0000_t202" filled="false" stroked="false">
            <v:textbox inset="0,0,0,0" style="layout-flow:vertical">
              <w:txbxContent>
                <w:p>
                  <w:pPr>
                    <w:spacing w:before="27"/>
                    <w:ind w:left="20" w:right="0" w:firstLine="0"/>
                    <w:jc w:val="left"/>
                    <w:rPr>
                      <w:sz w:val="39"/>
                    </w:rPr>
                  </w:pPr>
                  <w:r>
                    <w:rPr>
                      <w:color w:val="FFFFFF"/>
                      <w:w w:val="120"/>
                      <w:sz w:val="39"/>
                    </w:rPr>
                    <w:t>Nominations</w:t>
                  </w:r>
                </w:p>
              </w:txbxContent>
            </v:textbox>
            <w10:wrap type="none"/>
          </v:shape>
        </w:pict>
      </w:r>
      <w:r>
        <w:rPr>
          <w:color w:val="7EAABF"/>
          <w:w w:val="115"/>
          <w:sz w:val="26"/>
        </w:rPr>
        <w:t>Nominations</w:t>
      </w:r>
    </w:p>
    <w:p>
      <w:pPr>
        <w:pStyle w:val="Heading7"/>
        <w:spacing w:before="205"/>
        <w:ind w:left="1344"/>
      </w:pPr>
      <w:r>
        <w:rPr>
          <w:w w:val="110"/>
        </w:rPr>
        <w:t>Retiring 2020</w:t>
      </w:r>
    </w:p>
    <w:p>
      <w:pPr>
        <w:pStyle w:val="BodyText"/>
        <w:tabs>
          <w:tab w:pos="5664" w:val="left" w:leader="none"/>
        </w:tabs>
        <w:spacing w:line="227" w:lineRule="exact"/>
        <w:ind w:left="1344"/>
      </w:pPr>
      <w:r>
        <w:rPr>
          <w:w w:val="120"/>
        </w:rPr>
        <w:t>The Revd Lesley</w:t>
      </w:r>
      <w:r>
        <w:rPr>
          <w:spacing w:val="6"/>
          <w:w w:val="120"/>
        </w:rPr>
        <w:t> </w:t>
      </w:r>
      <w:r>
        <w:rPr>
          <w:w w:val="120"/>
        </w:rPr>
        <w:t>Charlton</w:t>
      </w:r>
      <w:r>
        <w:rPr>
          <w:spacing w:val="2"/>
          <w:w w:val="120"/>
        </w:rPr>
        <w:t> </w:t>
      </w:r>
      <w:r>
        <w:rPr>
          <w:w w:val="120"/>
        </w:rPr>
        <w:t>(11)</w:t>
        <w:tab/>
        <w:t>Mrs Jill Shelton</w:t>
      </w:r>
      <w:r>
        <w:rPr>
          <w:spacing w:val="5"/>
          <w:w w:val="120"/>
        </w:rPr>
        <w:t> </w:t>
      </w:r>
      <w:r>
        <w:rPr>
          <w:w w:val="120"/>
        </w:rPr>
        <w:t>(12)</w:t>
      </w:r>
    </w:p>
    <w:p>
      <w:pPr>
        <w:pStyle w:val="Heading7"/>
        <w:spacing w:line="253" w:lineRule="exact"/>
        <w:ind w:left="1344"/>
      </w:pPr>
      <w:r>
        <w:rPr>
          <w:w w:val="110"/>
        </w:rPr>
        <w:t>Retiring 2021</w:t>
      </w:r>
    </w:p>
    <w:p>
      <w:pPr>
        <w:pStyle w:val="BodyText"/>
        <w:tabs>
          <w:tab w:pos="5664" w:val="left" w:leader="none"/>
        </w:tabs>
        <w:spacing w:line="235" w:lineRule="auto"/>
        <w:ind w:left="1344" w:right="3079"/>
      </w:pPr>
      <w:r>
        <w:rPr>
          <w:w w:val="120"/>
        </w:rPr>
        <w:t>Ms Karen</w:t>
      </w:r>
      <w:r>
        <w:rPr>
          <w:spacing w:val="8"/>
          <w:w w:val="120"/>
        </w:rPr>
        <w:t> </w:t>
      </w:r>
      <w:r>
        <w:rPr>
          <w:w w:val="120"/>
        </w:rPr>
        <w:t>Campbell</w:t>
      </w:r>
      <w:r>
        <w:rPr>
          <w:spacing w:val="5"/>
          <w:w w:val="120"/>
        </w:rPr>
        <w:t> </w:t>
      </w:r>
      <w:r>
        <w:rPr>
          <w:w w:val="120"/>
        </w:rPr>
        <w:t>(10)</w:t>
        <w:tab/>
        <w:t>The Revd Sue McCoan </w:t>
      </w:r>
      <w:r>
        <w:rPr>
          <w:spacing w:val="-5"/>
          <w:w w:val="120"/>
        </w:rPr>
        <w:t>(6) </w:t>
      </w:r>
      <w:r>
        <w:rPr>
          <w:w w:val="120"/>
        </w:rPr>
        <w:t>2</w:t>
      </w:r>
      <w:r>
        <w:rPr>
          <w:spacing w:val="1"/>
          <w:w w:val="120"/>
        </w:rPr>
        <w:t> </w:t>
      </w:r>
      <w:r>
        <w:rPr>
          <w:w w:val="120"/>
        </w:rPr>
        <w:t>vacancies</w:t>
      </w:r>
    </w:p>
    <w:p>
      <w:pPr>
        <w:pStyle w:val="BodyText"/>
        <w:spacing w:before="8"/>
        <w:rPr>
          <w:sz w:val="18"/>
        </w:rPr>
      </w:pPr>
    </w:p>
    <w:p>
      <w:pPr>
        <w:pStyle w:val="ListParagraph"/>
        <w:numPr>
          <w:ilvl w:val="1"/>
          <w:numId w:val="232"/>
        </w:numPr>
        <w:tabs>
          <w:tab w:pos="2064" w:val="left" w:leader="none"/>
          <w:tab w:pos="2065" w:val="left" w:leader="none"/>
        </w:tabs>
        <w:spacing w:line="230" w:lineRule="auto" w:before="1" w:after="0"/>
        <w:ind w:left="1344" w:right="5345" w:firstLine="0"/>
        <w:jc w:val="left"/>
        <w:rPr>
          <w:sz w:val="20"/>
        </w:rPr>
      </w:pPr>
      <w:r>
        <w:rPr>
          <w:rFonts w:ascii="Stone Sans II ITC Std Bk"/>
          <w:b/>
          <w:w w:val="115"/>
          <w:sz w:val="20"/>
        </w:rPr>
        <w:t>Education</w:t>
      </w:r>
      <w:r>
        <w:rPr>
          <w:rFonts w:ascii="Stone Sans II ITC Std Bk"/>
          <w:b/>
          <w:spacing w:val="-31"/>
          <w:w w:val="115"/>
          <w:sz w:val="20"/>
        </w:rPr>
        <w:t> </w:t>
      </w:r>
      <w:r>
        <w:rPr>
          <w:rFonts w:ascii="Stone Sans II ITC Std Bk"/>
          <w:b/>
          <w:w w:val="115"/>
          <w:sz w:val="20"/>
        </w:rPr>
        <w:t>and</w:t>
      </w:r>
      <w:r>
        <w:rPr>
          <w:rFonts w:ascii="Stone Sans II ITC Std Bk"/>
          <w:b/>
          <w:spacing w:val="-31"/>
          <w:w w:val="115"/>
          <w:sz w:val="20"/>
        </w:rPr>
        <w:t> </w:t>
      </w:r>
      <w:r>
        <w:rPr>
          <w:rFonts w:ascii="Stone Sans II ITC Std Bk"/>
          <w:b/>
          <w:w w:val="115"/>
          <w:sz w:val="20"/>
        </w:rPr>
        <w:t>learning</w:t>
      </w:r>
      <w:r>
        <w:rPr>
          <w:rFonts w:ascii="Stone Sans II ITC Std Bk"/>
          <w:b/>
          <w:spacing w:val="-31"/>
          <w:w w:val="115"/>
          <w:sz w:val="20"/>
        </w:rPr>
        <w:t> </w:t>
      </w:r>
      <w:r>
        <w:rPr>
          <w:rFonts w:ascii="Stone Sans II ITC Std Bk"/>
          <w:b/>
          <w:w w:val="115"/>
          <w:sz w:val="20"/>
        </w:rPr>
        <w:t>committee </w:t>
      </w:r>
      <w:r>
        <w:rPr>
          <w:w w:val="115"/>
          <w:sz w:val="20"/>
        </w:rPr>
        <w:t>Convenor: The Revd Prof Neil Messer [2020] Secretary:</w:t>
      </w:r>
      <w:r>
        <w:rPr>
          <w:spacing w:val="22"/>
          <w:w w:val="115"/>
          <w:sz w:val="20"/>
        </w:rPr>
        <w:t> </w:t>
      </w:r>
      <w:r>
        <w:rPr>
          <w:w w:val="115"/>
          <w:sz w:val="20"/>
        </w:rPr>
        <w:t>Secretary</w:t>
      </w:r>
      <w:r>
        <w:rPr>
          <w:spacing w:val="22"/>
          <w:w w:val="115"/>
          <w:sz w:val="20"/>
        </w:rPr>
        <w:t> </w:t>
      </w:r>
      <w:r>
        <w:rPr>
          <w:w w:val="115"/>
          <w:sz w:val="20"/>
        </w:rPr>
        <w:t>for</w:t>
      </w:r>
      <w:r>
        <w:rPr>
          <w:spacing w:val="22"/>
          <w:w w:val="115"/>
          <w:sz w:val="20"/>
        </w:rPr>
        <w:t> </w:t>
      </w:r>
      <w:r>
        <w:rPr>
          <w:w w:val="115"/>
          <w:sz w:val="20"/>
        </w:rPr>
        <w:t>Education</w:t>
      </w:r>
      <w:r>
        <w:rPr>
          <w:spacing w:val="22"/>
          <w:w w:val="115"/>
          <w:sz w:val="20"/>
        </w:rPr>
        <w:t> </w:t>
      </w:r>
      <w:r>
        <w:rPr>
          <w:w w:val="115"/>
          <w:sz w:val="20"/>
        </w:rPr>
        <w:t>and</w:t>
      </w:r>
      <w:r>
        <w:rPr>
          <w:spacing w:val="22"/>
          <w:w w:val="115"/>
          <w:sz w:val="20"/>
        </w:rPr>
        <w:t> </w:t>
      </w:r>
      <w:r>
        <w:rPr>
          <w:w w:val="115"/>
          <w:sz w:val="20"/>
        </w:rPr>
        <w:t>Learning</w:t>
      </w:r>
    </w:p>
    <w:p>
      <w:pPr>
        <w:pStyle w:val="BodyText"/>
        <w:tabs>
          <w:tab w:pos="5664" w:val="left" w:leader="none"/>
        </w:tabs>
        <w:spacing w:line="238" w:lineRule="exact"/>
        <w:ind w:left="1344"/>
      </w:pPr>
      <w:r>
        <w:rPr>
          <w:w w:val="120"/>
        </w:rPr>
        <w:t>Mrs Sheila Telfer</w:t>
      </w:r>
      <w:r>
        <w:rPr>
          <w:spacing w:val="-4"/>
          <w:w w:val="120"/>
        </w:rPr>
        <w:t> </w:t>
      </w:r>
      <w:r>
        <w:rPr>
          <w:w w:val="120"/>
        </w:rPr>
        <w:t>(4)</w:t>
      </w:r>
      <w:r>
        <w:rPr>
          <w:spacing w:val="-1"/>
          <w:w w:val="120"/>
        </w:rPr>
        <w:t> </w:t>
      </w:r>
      <w:r>
        <w:rPr>
          <w:w w:val="120"/>
        </w:rPr>
        <w:t>[2018]</w:t>
        <w:tab/>
        <w:t>The Revd Ros </w:t>
      </w:r>
      <w:r>
        <w:rPr>
          <w:spacing w:val="-3"/>
          <w:w w:val="120"/>
        </w:rPr>
        <w:t>Lyle </w:t>
      </w:r>
      <w:r>
        <w:rPr>
          <w:w w:val="120"/>
        </w:rPr>
        <w:t>(10)</w:t>
      </w:r>
      <w:r>
        <w:rPr>
          <w:spacing w:val="15"/>
          <w:w w:val="120"/>
        </w:rPr>
        <w:t> </w:t>
      </w:r>
      <w:r>
        <w:rPr>
          <w:w w:val="120"/>
        </w:rPr>
        <w:t>[2018]</w:t>
      </w:r>
    </w:p>
    <w:p>
      <w:pPr>
        <w:pStyle w:val="BodyText"/>
        <w:tabs>
          <w:tab w:pos="5664" w:val="left" w:leader="none"/>
        </w:tabs>
        <w:spacing w:line="235" w:lineRule="auto" w:before="1"/>
        <w:ind w:left="1344" w:right="4503"/>
      </w:pPr>
      <w:r>
        <w:rPr>
          <w:w w:val="120"/>
        </w:rPr>
        <w:t>Mr Robert Pettigrew (3)</w:t>
      </w:r>
      <w:r>
        <w:rPr>
          <w:spacing w:val="1"/>
          <w:w w:val="120"/>
        </w:rPr>
        <w:t> </w:t>
      </w:r>
      <w:r>
        <w:rPr>
          <w:w w:val="120"/>
        </w:rPr>
        <w:t>[2020]</w:t>
        <w:tab/>
        <w:t>2 </w:t>
      </w:r>
      <w:r>
        <w:rPr>
          <w:spacing w:val="-3"/>
          <w:w w:val="120"/>
        </w:rPr>
        <w:t>vacancies </w:t>
      </w:r>
      <w:r>
        <w:rPr>
          <w:w w:val="120"/>
        </w:rPr>
        <w:t>The Revd Dr Jack Dyce (Resource Centre for learning) The Revd David Salsbury (Synod Development</w:t>
      </w:r>
      <w:r>
        <w:rPr>
          <w:spacing w:val="5"/>
          <w:w w:val="120"/>
        </w:rPr>
        <w:t> </w:t>
      </w:r>
      <w:r>
        <w:rPr>
          <w:w w:val="120"/>
        </w:rPr>
        <w:t>Officer)</w:t>
      </w:r>
    </w:p>
    <w:p>
      <w:pPr>
        <w:pStyle w:val="BodyText"/>
        <w:spacing w:before="2"/>
        <w:rPr>
          <w:sz w:val="19"/>
        </w:rPr>
      </w:pPr>
    </w:p>
    <w:p>
      <w:pPr>
        <w:pStyle w:val="ListParagraph"/>
        <w:numPr>
          <w:ilvl w:val="2"/>
          <w:numId w:val="232"/>
        </w:numPr>
        <w:tabs>
          <w:tab w:pos="2065" w:val="left" w:leader="none"/>
        </w:tabs>
        <w:spacing w:line="230" w:lineRule="auto" w:before="0" w:after="0"/>
        <w:ind w:left="1344" w:right="5156" w:firstLine="0"/>
        <w:jc w:val="left"/>
        <w:rPr>
          <w:sz w:val="20"/>
        </w:rPr>
      </w:pPr>
      <w:r>
        <w:rPr>
          <w:rFonts w:ascii="Stone Sans II ITC Std Bk"/>
          <w:b/>
          <w:w w:val="110"/>
          <w:sz w:val="20"/>
        </w:rPr>
        <w:t>Windermere management </w:t>
      </w:r>
      <w:r>
        <w:rPr>
          <w:rFonts w:ascii="Stone Sans II ITC Std Bk"/>
          <w:b/>
          <w:spacing w:val="-3"/>
          <w:w w:val="110"/>
          <w:sz w:val="20"/>
        </w:rPr>
        <w:t>committee </w:t>
      </w:r>
      <w:r>
        <w:rPr>
          <w:w w:val="120"/>
          <w:sz w:val="20"/>
        </w:rPr>
        <w:t>Convenor: The Revd Mitchell Bunting [2017] Minute Secretary: The Revd </w:t>
      </w:r>
      <w:r>
        <w:rPr>
          <w:spacing w:val="-5"/>
          <w:w w:val="120"/>
          <w:sz w:val="20"/>
        </w:rPr>
        <w:t>Tony </w:t>
      </w:r>
      <w:r>
        <w:rPr>
          <w:spacing w:val="-3"/>
          <w:w w:val="120"/>
          <w:sz w:val="20"/>
        </w:rPr>
        <w:t>Haws</w:t>
      </w:r>
      <w:r>
        <w:rPr>
          <w:spacing w:val="-6"/>
          <w:w w:val="120"/>
          <w:sz w:val="20"/>
        </w:rPr>
        <w:t> </w:t>
      </w:r>
      <w:r>
        <w:rPr>
          <w:w w:val="120"/>
          <w:sz w:val="20"/>
        </w:rPr>
        <w:t>[2020]</w:t>
      </w:r>
    </w:p>
    <w:p>
      <w:pPr>
        <w:pStyle w:val="BodyText"/>
        <w:tabs>
          <w:tab w:pos="5664" w:val="left" w:leader="none"/>
        </w:tabs>
        <w:spacing w:line="238" w:lineRule="exact"/>
        <w:ind w:left="1344"/>
      </w:pPr>
      <w:r>
        <w:rPr>
          <w:w w:val="120"/>
        </w:rPr>
        <w:t>Miss Margery Pitcher (2) [2018]</w:t>
        <w:tab/>
        <w:t>Mr Andrew Guthrie (2)</w:t>
      </w:r>
      <w:r>
        <w:rPr>
          <w:spacing w:val="9"/>
          <w:w w:val="120"/>
        </w:rPr>
        <w:t> </w:t>
      </w:r>
      <w:r>
        <w:rPr>
          <w:w w:val="120"/>
        </w:rPr>
        <w:t>[2018]</w:t>
      </w:r>
    </w:p>
    <w:p>
      <w:pPr>
        <w:pStyle w:val="BodyText"/>
        <w:tabs>
          <w:tab w:pos="5664" w:val="left" w:leader="none"/>
        </w:tabs>
        <w:spacing w:line="235" w:lineRule="auto" w:before="2"/>
        <w:ind w:left="1344" w:right="2953"/>
      </w:pPr>
      <w:r>
        <w:rPr>
          <w:w w:val="120"/>
        </w:rPr>
        <w:t>Mr Clifford Patten</w:t>
      </w:r>
      <w:r>
        <w:rPr>
          <w:spacing w:val="-6"/>
          <w:w w:val="120"/>
        </w:rPr>
        <w:t> </w:t>
      </w:r>
      <w:r>
        <w:rPr>
          <w:w w:val="120"/>
        </w:rPr>
        <w:t>(7)</w:t>
      </w:r>
      <w:r>
        <w:rPr>
          <w:spacing w:val="-1"/>
          <w:w w:val="120"/>
        </w:rPr>
        <w:t> </w:t>
      </w:r>
      <w:r>
        <w:rPr>
          <w:w w:val="120"/>
        </w:rPr>
        <w:t>[2019]</w:t>
        <w:tab/>
        <w:t>Mr Kevin Mantle (5) </w:t>
      </w:r>
      <w:r>
        <w:rPr>
          <w:spacing w:val="-3"/>
          <w:w w:val="120"/>
        </w:rPr>
        <w:t>[2018] </w:t>
      </w:r>
      <w:r>
        <w:rPr>
          <w:w w:val="120"/>
        </w:rPr>
        <w:t>Ms Sandra Wellington (Training and Development</w:t>
      </w:r>
      <w:r>
        <w:rPr>
          <w:spacing w:val="-2"/>
          <w:w w:val="120"/>
        </w:rPr>
        <w:t> </w:t>
      </w:r>
      <w:r>
        <w:rPr>
          <w:w w:val="120"/>
        </w:rPr>
        <w:t>Officer)</w:t>
      </w:r>
    </w:p>
    <w:p>
      <w:pPr>
        <w:pStyle w:val="BodyText"/>
        <w:spacing w:line="242" w:lineRule="exact"/>
        <w:ind w:left="1344"/>
      </w:pPr>
      <w:r>
        <w:rPr>
          <w:w w:val="115"/>
        </w:rPr>
        <w:t>Mrs Ruth Clarke (representative of Carver Memorial United Reformed Church)</w:t>
      </w:r>
    </w:p>
    <w:p>
      <w:pPr>
        <w:pStyle w:val="BodyText"/>
        <w:spacing w:before="6"/>
        <w:rPr>
          <w:sz w:val="26"/>
        </w:rPr>
      </w:pPr>
    </w:p>
    <w:p>
      <w:pPr>
        <w:pStyle w:val="Heading7"/>
        <w:numPr>
          <w:ilvl w:val="2"/>
          <w:numId w:val="232"/>
        </w:numPr>
        <w:tabs>
          <w:tab w:pos="2121" w:val="left" w:leader="none"/>
          <w:tab w:pos="2122" w:val="left" w:leader="none"/>
        </w:tabs>
        <w:spacing w:line="261" w:lineRule="exact" w:before="0" w:after="0"/>
        <w:ind w:left="2121" w:right="0" w:hanging="778"/>
        <w:jc w:val="left"/>
      </w:pPr>
      <w:r>
        <w:rPr>
          <w:w w:val="110"/>
        </w:rPr>
        <w:t>Education for Ministry Phase 2 and 3 (EM2/3)</w:t>
      </w:r>
      <w:r>
        <w:rPr>
          <w:spacing w:val="-2"/>
          <w:w w:val="110"/>
        </w:rPr>
        <w:t> </w:t>
      </w:r>
      <w:r>
        <w:rPr>
          <w:w w:val="110"/>
        </w:rPr>
        <w:t>subcommittee</w:t>
      </w:r>
    </w:p>
    <w:p>
      <w:pPr>
        <w:pStyle w:val="BodyText"/>
        <w:spacing w:line="233" w:lineRule="exact"/>
        <w:ind w:left="1344"/>
      </w:pPr>
      <w:r>
        <w:rPr>
          <w:w w:val="120"/>
        </w:rPr>
        <w:t>Convenor: The Revd Dr Robert Pope</w:t>
      </w:r>
    </w:p>
    <w:p>
      <w:pPr>
        <w:pStyle w:val="BodyText"/>
        <w:spacing w:line="235" w:lineRule="auto" w:before="2"/>
        <w:ind w:left="1344" w:right="5070"/>
      </w:pPr>
      <w:r>
        <w:rPr>
          <w:w w:val="120"/>
        </w:rPr>
        <w:t>Programme Officer: The Revd Elizabeth Gray-King The Revd Phil Wall (EM2 Minister)</w:t>
      </w:r>
    </w:p>
    <w:p>
      <w:pPr>
        <w:pStyle w:val="BodyText"/>
        <w:spacing w:line="240" w:lineRule="exact"/>
        <w:ind w:left="1344"/>
      </w:pPr>
      <w:r>
        <w:rPr>
          <w:w w:val="120"/>
        </w:rPr>
        <w:t>Ms Marie Trubic (CRCW)</w:t>
      </w:r>
    </w:p>
    <w:p>
      <w:pPr>
        <w:pStyle w:val="BodyText"/>
        <w:spacing w:line="240" w:lineRule="exact"/>
        <w:ind w:left="1344"/>
      </w:pPr>
      <w:r>
        <w:rPr>
          <w:w w:val="120"/>
        </w:rPr>
        <w:t>The Revd David Downing (EM3 Minister)</w:t>
      </w:r>
    </w:p>
    <w:p>
      <w:pPr>
        <w:pStyle w:val="BodyText"/>
        <w:spacing w:line="235" w:lineRule="auto" w:before="2"/>
        <w:ind w:left="1344" w:right="3646"/>
      </w:pPr>
      <w:r>
        <w:rPr>
          <w:w w:val="120"/>
        </w:rPr>
        <w:t>The Revd Anne Sardeson (Training and Development Officer) The Revd Dr James Coleman (Training and Development Officer) Secretary for Education and Learning</w:t>
      </w:r>
    </w:p>
    <w:p>
      <w:pPr>
        <w:pStyle w:val="BodyText"/>
        <w:spacing w:before="6"/>
        <w:rPr>
          <w:sz w:val="18"/>
        </w:rPr>
      </w:pPr>
    </w:p>
    <w:p>
      <w:pPr>
        <w:pStyle w:val="Heading7"/>
        <w:numPr>
          <w:ilvl w:val="2"/>
          <w:numId w:val="232"/>
        </w:numPr>
        <w:tabs>
          <w:tab w:pos="2122" w:val="left" w:leader="none"/>
          <w:tab w:pos="2123" w:val="left" w:leader="none"/>
        </w:tabs>
        <w:spacing w:line="261" w:lineRule="exact" w:before="0" w:after="0"/>
        <w:ind w:left="2122" w:right="0" w:hanging="779"/>
        <w:jc w:val="left"/>
      </w:pPr>
      <w:r>
        <w:rPr>
          <w:w w:val="110"/>
        </w:rPr>
        <w:t>Education and learning finance</w:t>
      </w:r>
      <w:r>
        <w:rPr>
          <w:spacing w:val="-2"/>
          <w:w w:val="110"/>
        </w:rPr>
        <w:t> </w:t>
      </w:r>
      <w:r>
        <w:rPr>
          <w:w w:val="110"/>
        </w:rPr>
        <w:t>subcommittee</w:t>
      </w:r>
    </w:p>
    <w:p>
      <w:pPr>
        <w:pStyle w:val="BodyText"/>
        <w:spacing w:line="233" w:lineRule="exact"/>
        <w:ind w:left="1344"/>
      </w:pPr>
      <w:r>
        <w:rPr>
          <w:w w:val="120"/>
        </w:rPr>
        <w:t>Chair: Professor Tim Rowland</w:t>
      </w:r>
    </w:p>
    <w:p>
      <w:pPr>
        <w:pStyle w:val="BodyText"/>
        <w:spacing w:line="235" w:lineRule="auto" w:before="1"/>
        <w:ind w:left="1344" w:right="4033"/>
      </w:pPr>
      <w:r>
        <w:rPr>
          <w:w w:val="115"/>
        </w:rPr>
        <w:t>Minute Secretary: Secretary for Education and Learning Members:</w:t>
      </w:r>
    </w:p>
    <w:p>
      <w:pPr>
        <w:spacing w:line="240" w:lineRule="exact" w:before="0"/>
        <w:ind w:left="1344" w:right="0" w:firstLine="0"/>
        <w:jc w:val="left"/>
        <w:rPr>
          <w:sz w:val="20"/>
        </w:rPr>
      </w:pPr>
      <w:r>
        <w:rPr>
          <w:w w:val="115"/>
          <w:sz w:val="20"/>
        </w:rPr>
        <w:t>[</w:t>
      </w:r>
      <w:r>
        <w:rPr>
          <w:i/>
          <w:w w:val="115"/>
          <w:sz w:val="20"/>
        </w:rPr>
        <w:t>Ex-officio</w:t>
      </w:r>
      <w:r>
        <w:rPr>
          <w:w w:val="115"/>
          <w:sz w:val="20"/>
        </w:rPr>
        <w:t>: The Treasurer]</w:t>
      </w:r>
    </w:p>
    <w:p>
      <w:pPr>
        <w:spacing w:line="242" w:lineRule="exact" w:before="0"/>
        <w:ind w:left="1344" w:right="0" w:firstLine="0"/>
        <w:jc w:val="left"/>
        <w:rPr>
          <w:sz w:val="20"/>
        </w:rPr>
      </w:pPr>
      <w:r>
        <w:rPr>
          <w:i/>
          <w:w w:val="115"/>
          <w:sz w:val="20"/>
        </w:rPr>
        <w:t>Staff in attendance</w:t>
      </w:r>
      <w:r>
        <w:rPr>
          <w:w w:val="115"/>
          <w:sz w:val="20"/>
        </w:rPr>
        <w:t>: Chief Finance Officer, Education and Learning Finance</w:t>
      </w:r>
      <w:r>
        <w:rPr>
          <w:spacing w:val="51"/>
          <w:w w:val="115"/>
          <w:sz w:val="20"/>
        </w:rPr>
        <w:t> </w:t>
      </w:r>
      <w:r>
        <w:rPr>
          <w:w w:val="115"/>
          <w:sz w:val="20"/>
        </w:rPr>
        <w:t>Officer</w:t>
      </w:r>
    </w:p>
    <w:p>
      <w:pPr>
        <w:pStyle w:val="BodyText"/>
        <w:spacing w:before="4"/>
        <w:rPr>
          <w:sz w:val="18"/>
        </w:rPr>
      </w:pPr>
    </w:p>
    <w:p>
      <w:pPr>
        <w:pStyle w:val="Heading7"/>
        <w:numPr>
          <w:ilvl w:val="1"/>
          <w:numId w:val="232"/>
        </w:numPr>
        <w:tabs>
          <w:tab w:pos="2024" w:val="left" w:leader="none"/>
          <w:tab w:pos="2025" w:val="left" w:leader="none"/>
        </w:tabs>
        <w:spacing w:line="261" w:lineRule="exact" w:before="0" w:after="0"/>
        <w:ind w:left="2024" w:right="0" w:hanging="681"/>
        <w:jc w:val="left"/>
      </w:pPr>
      <w:r>
        <w:rPr>
          <w:spacing w:val="-3"/>
          <w:w w:val="110"/>
        </w:rPr>
        <w:t>Children’s </w:t>
      </w:r>
      <w:r>
        <w:rPr>
          <w:w w:val="110"/>
        </w:rPr>
        <w:t>and youth work</w:t>
      </w:r>
      <w:r>
        <w:rPr>
          <w:spacing w:val="1"/>
          <w:w w:val="110"/>
        </w:rPr>
        <w:t> </w:t>
      </w:r>
      <w:r>
        <w:rPr>
          <w:w w:val="110"/>
        </w:rPr>
        <w:t>committee</w:t>
      </w:r>
    </w:p>
    <w:p>
      <w:pPr>
        <w:pStyle w:val="BodyText"/>
        <w:spacing w:line="233" w:lineRule="exact"/>
        <w:ind w:left="1344"/>
      </w:pPr>
      <w:r>
        <w:rPr>
          <w:w w:val="120"/>
        </w:rPr>
        <w:t>Convenor: The Revd Tim Meachin [2017]</w:t>
      </w:r>
    </w:p>
    <w:p>
      <w:pPr>
        <w:pStyle w:val="BodyText"/>
        <w:spacing w:line="235" w:lineRule="auto" w:before="2"/>
        <w:ind w:left="1344" w:right="2045"/>
      </w:pPr>
      <w:r>
        <w:rPr>
          <w:w w:val="120"/>
        </w:rPr>
        <w:t>Convenor-elect: The Revd Jenny Mills [2017-2018 and, as convenor, 2018-2022] Secretary: Head of Children’s and Youth Work</w:t>
      </w:r>
    </w:p>
    <w:p>
      <w:pPr>
        <w:pStyle w:val="BodyText"/>
        <w:tabs>
          <w:tab w:pos="5653" w:val="left" w:leader="none"/>
        </w:tabs>
        <w:spacing w:line="240" w:lineRule="exact"/>
        <w:ind w:left="1344"/>
      </w:pPr>
      <w:r>
        <w:rPr>
          <w:w w:val="120"/>
        </w:rPr>
        <w:t>Mrs Lorraine Downer-Mattis</w:t>
      </w:r>
      <w:r>
        <w:rPr>
          <w:spacing w:val="-19"/>
          <w:w w:val="120"/>
        </w:rPr>
        <w:t> </w:t>
      </w:r>
      <w:r>
        <w:rPr>
          <w:w w:val="120"/>
        </w:rPr>
        <w:t>(10)</w:t>
      </w:r>
      <w:r>
        <w:rPr>
          <w:spacing w:val="-6"/>
          <w:w w:val="120"/>
        </w:rPr>
        <w:t> </w:t>
      </w:r>
      <w:r>
        <w:rPr>
          <w:w w:val="120"/>
        </w:rPr>
        <w:t>[2017]</w:t>
        <w:tab/>
        <w:t>Mrs Ruth Roddison (4)</w:t>
      </w:r>
      <w:r>
        <w:rPr>
          <w:spacing w:val="9"/>
          <w:w w:val="120"/>
        </w:rPr>
        <w:t> </w:t>
      </w:r>
      <w:r>
        <w:rPr>
          <w:w w:val="120"/>
        </w:rPr>
        <w:t>[2018]</w:t>
      </w:r>
    </w:p>
    <w:p>
      <w:pPr>
        <w:pStyle w:val="BodyText"/>
        <w:tabs>
          <w:tab w:pos="5664" w:val="left" w:leader="none"/>
        </w:tabs>
        <w:spacing w:line="240" w:lineRule="exact"/>
        <w:ind w:left="1344"/>
      </w:pPr>
      <w:r>
        <w:rPr>
          <w:w w:val="120"/>
        </w:rPr>
        <w:t>The Revd Heather Cadoux</w:t>
      </w:r>
      <w:r>
        <w:rPr>
          <w:spacing w:val="26"/>
          <w:w w:val="120"/>
        </w:rPr>
        <w:t> </w:t>
      </w:r>
      <w:r>
        <w:rPr>
          <w:w w:val="120"/>
        </w:rPr>
        <w:t>(9)</w:t>
      </w:r>
      <w:r>
        <w:rPr>
          <w:spacing w:val="7"/>
          <w:w w:val="120"/>
        </w:rPr>
        <w:t> </w:t>
      </w:r>
      <w:r>
        <w:rPr>
          <w:w w:val="120"/>
        </w:rPr>
        <w:t>[2018]</w:t>
        <w:tab/>
        <w:t>Mrs Alison </w:t>
      </w:r>
      <w:r>
        <w:rPr>
          <w:spacing w:val="-3"/>
          <w:w w:val="120"/>
        </w:rPr>
        <w:t>Tansom </w:t>
      </w:r>
      <w:r>
        <w:rPr>
          <w:w w:val="120"/>
        </w:rPr>
        <w:t>(12)</w:t>
      </w:r>
      <w:r>
        <w:rPr>
          <w:spacing w:val="11"/>
          <w:w w:val="120"/>
        </w:rPr>
        <w:t> </w:t>
      </w:r>
      <w:r>
        <w:rPr>
          <w:w w:val="120"/>
        </w:rPr>
        <w:t>[2018]</w:t>
      </w:r>
    </w:p>
    <w:p>
      <w:pPr>
        <w:pStyle w:val="BodyText"/>
        <w:tabs>
          <w:tab w:pos="5664" w:val="left" w:leader="none"/>
        </w:tabs>
        <w:spacing w:line="240" w:lineRule="exact"/>
        <w:ind w:left="1344"/>
      </w:pPr>
      <w:r>
        <w:rPr>
          <w:w w:val="120"/>
        </w:rPr>
        <w:t>Mr Alan Kendall</w:t>
      </w:r>
      <w:r>
        <w:rPr>
          <w:spacing w:val="9"/>
          <w:w w:val="120"/>
        </w:rPr>
        <w:t> </w:t>
      </w:r>
      <w:r>
        <w:rPr>
          <w:w w:val="120"/>
        </w:rPr>
        <w:t>(4)</w:t>
      </w:r>
      <w:r>
        <w:rPr>
          <w:spacing w:val="3"/>
          <w:w w:val="120"/>
        </w:rPr>
        <w:t> </w:t>
      </w:r>
      <w:r>
        <w:rPr>
          <w:w w:val="120"/>
        </w:rPr>
        <w:t>[2018]</w:t>
        <w:tab/>
        <w:t>Mr Adam Woodhouse (4)</w:t>
      </w:r>
      <w:r>
        <w:rPr>
          <w:spacing w:val="8"/>
          <w:w w:val="120"/>
        </w:rPr>
        <w:t> </w:t>
      </w:r>
      <w:r>
        <w:rPr>
          <w:w w:val="120"/>
        </w:rPr>
        <w:t>[2019]</w:t>
      </w:r>
    </w:p>
    <w:p>
      <w:pPr>
        <w:pStyle w:val="BodyText"/>
        <w:tabs>
          <w:tab w:pos="5664" w:val="left" w:leader="none"/>
        </w:tabs>
        <w:spacing w:line="240" w:lineRule="exact"/>
        <w:ind w:left="1344"/>
      </w:pPr>
      <w:r>
        <w:rPr>
          <w:w w:val="115"/>
        </w:rPr>
        <w:t>Mr Sam Brown </w:t>
      </w:r>
      <w:r>
        <w:rPr>
          <w:spacing w:val="10"/>
          <w:w w:val="115"/>
        </w:rPr>
        <w:t> </w:t>
      </w:r>
      <w:r>
        <w:rPr>
          <w:w w:val="115"/>
        </w:rPr>
        <w:t>(11)</w:t>
      </w:r>
      <w:r>
        <w:rPr>
          <w:spacing w:val="20"/>
          <w:w w:val="115"/>
        </w:rPr>
        <w:t> </w:t>
      </w:r>
      <w:r>
        <w:rPr>
          <w:w w:val="115"/>
        </w:rPr>
        <w:t>[2019]</w:t>
        <w:tab/>
        <w:t>The Revd Jake </w:t>
      </w:r>
      <w:r>
        <w:rPr>
          <w:spacing w:val="-3"/>
          <w:w w:val="115"/>
        </w:rPr>
        <w:t>Tatton </w:t>
      </w:r>
      <w:r>
        <w:rPr>
          <w:w w:val="115"/>
        </w:rPr>
        <w:t>(13) [2020]</w:t>
      </w:r>
      <w:r>
        <w:rPr>
          <w:spacing w:val="37"/>
          <w:w w:val="115"/>
        </w:rPr>
        <w:t> </w:t>
      </w:r>
      <w:r>
        <w:rPr>
          <w:w w:val="115"/>
        </w:rPr>
        <w:t>**</w:t>
      </w:r>
    </w:p>
    <w:p>
      <w:pPr>
        <w:pStyle w:val="BodyText"/>
        <w:spacing w:line="240" w:lineRule="exact"/>
        <w:ind w:left="1344"/>
      </w:pPr>
      <w:r>
        <w:rPr>
          <w:w w:val="120"/>
        </w:rPr>
        <w:t>1 vacancy</w:t>
      </w:r>
    </w:p>
    <w:p>
      <w:pPr>
        <w:pStyle w:val="BodyText"/>
        <w:spacing w:line="240" w:lineRule="exact"/>
        <w:ind w:left="1344"/>
      </w:pPr>
      <w:r>
        <w:rPr>
          <w:w w:val="120"/>
        </w:rPr>
        <w:t>URC Youth Moderator</w:t>
      </w:r>
    </w:p>
    <w:p>
      <w:pPr>
        <w:pStyle w:val="BodyText"/>
        <w:spacing w:line="242" w:lineRule="exact"/>
        <w:ind w:left="1344"/>
      </w:pPr>
      <w:r>
        <w:rPr>
          <w:w w:val="120"/>
        </w:rPr>
        <w:t>URC Youth Moderator-elect</w:t>
      </w:r>
    </w:p>
    <w:p>
      <w:pPr>
        <w:pStyle w:val="BodyText"/>
        <w:spacing w:before="11"/>
        <w:rPr>
          <w:sz w:val="18"/>
        </w:rPr>
      </w:pPr>
    </w:p>
    <w:p>
      <w:pPr>
        <w:pStyle w:val="ListParagraph"/>
        <w:numPr>
          <w:ilvl w:val="2"/>
          <w:numId w:val="232"/>
        </w:numPr>
        <w:tabs>
          <w:tab w:pos="2065" w:val="left" w:leader="none"/>
        </w:tabs>
        <w:spacing w:line="230" w:lineRule="auto" w:before="0" w:after="0"/>
        <w:ind w:left="1344" w:right="5535" w:firstLine="0"/>
        <w:jc w:val="left"/>
        <w:rPr>
          <w:sz w:val="20"/>
        </w:rPr>
      </w:pPr>
      <w:r>
        <w:rPr>
          <w:rFonts w:ascii="Stone Sans II ITC Std Bk"/>
          <w:b/>
          <w:w w:val="110"/>
          <w:sz w:val="20"/>
        </w:rPr>
        <w:t>Pilots management </w:t>
      </w:r>
      <w:r>
        <w:rPr>
          <w:rFonts w:ascii="Stone Sans II ITC Std Bk"/>
          <w:b/>
          <w:spacing w:val="-3"/>
          <w:w w:val="110"/>
          <w:sz w:val="20"/>
        </w:rPr>
        <w:t>subcommittee </w:t>
      </w:r>
      <w:r>
        <w:rPr>
          <w:w w:val="115"/>
          <w:sz w:val="20"/>
        </w:rPr>
        <w:t>Convenor: Mrs Soo  Webster  [2016] Members:</w:t>
      </w:r>
    </w:p>
    <w:p>
      <w:pPr>
        <w:spacing w:line="235" w:lineRule="auto" w:before="0"/>
        <w:ind w:left="1344" w:right="2045" w:firstLine="0"/>
        <w:jc w:val="left"/>
        <w:rPr>
          <w:i/>
          <w:sz w:val="20"/>
        </w:rPr>
      </w:pPr>
      <w:r>
        <w:rPr>
          <w:i/>
          <w:w w:val="110"/>
          <w:sz w:val="20"/>
        </w:rPr>
        <w:t>(Other members of the subcommittee are appointed by the children’s and youth work </w:t>
      </w:r>
      <w:r>
        <w:rPr>
          <w:i/>
          <w:w w:val="110"/>
          <w:sz w:val="20"/>
        </w:rPr>
        <w:t>committee.)</w:t>
      </w:r>
    </w:p>
    <w:p>
      <w:pPr>
        <w:spacing w:after="0" w:line="235" w:lineRule="auto"/>
        <w:jc w:val="left"/>
        <w:rPr>
          <w:sz w:val="20"/>
        </w:rPr>
        <w:sectPr>
          <w:headerReference w:type="default" r:id="rId550"/>
          <w:pgSz w:w="11910" w:h="16840"/>
          <w:pgMar w:header="0" w:footer="647" w:top="0" w:bottom="840" w:left="640" w:right="0"/>
        </w:sectPr>
      </w:pPr>
    </w:p>
    <w:p>
      <w:pPr>
        <w:pStyle w:val="BodyText"/>
        <w:rPr>
          <w:i/>
        </w:rPr>
      </w:pPr>
      <w:r>
        <w:rPr/>
        <w:drawing>
          <wp:anchor distT="0" distB="0" distL="0" distR="0" allowOverlap="1" layoutInCell="1" locked="0" behindDoc="1" simplePos="0" relativeHeight="235759616">
            <wp:simplePos x="0" y="0"/>
            <wp:positionH relativeFrom="page">
              <wp:posOffset>0</wp:posOffset>
            </wp:positionH>
            <wp:positionV relativeFrom="page">
              <wp:posOffset>0</wp:posOffset>
            </wp:positionV>
            <wp:extent cx="594067" cy="10692003"/>
            <wp:effectExtent l="0" t="0" r="0" b="0"/>
            <wp:wrapNone/>
            <wp:docPr id="397" name="image71.png"/>
            <wp:cNvGraphicFramePr>
              <a:graphicFrameLocks noChangeAspect="1"/>
            </wp:cNvGraphicFramePr>
            <a:graphic>
              <a:graphicData uri="http://schemas.openxmlformats.org/drawingml/2006/picture">
                <pic:pic>
                  <pic:nvPicPr>
                    <pic:cNvPr id="398" name="image71.png"/>
                    <pic:cNvPicPr/>
                  </pic:nvPicPr>
                  <pic:blipFill>
                    <a:blip r:embed="rId537" cstate="print"/>
                    <a:stretch>
                      <a:fillRect/>
                    </a:stretch>
                  </pic:blipFill>
                  <pic:spPr>
                    <a:xfrm>
                      <a:off x="0" y="0"/>
                      <a:ext cx="594067" cy="10692003"/>
                    </a:xfrm>
                    <a:prstGeom prst="rect">
                      <a:avLst/>
                    </a:prstGeom>
                  </pic:spPr>
                </pic:pic>
              </a:graphicData>
            </a:graphic>
          </wp:anchor>
        </w:drawing>
      </w:r>
      <w:r>
        <w:rPr/>
        <w:pict>
          <v:shape style="position:absolute;margin-left:20.519100pt;margin-top:48.890015pt;width:25.9pt;height:131.3pt;mso-position-horizontal-relative:page;mso-position-vertical-relative:page;z-index:-267555840" type="#_x0000_t202" filled="false" stroked="false">
            <v:textbox inset="0,0,0,0" style="layout-flow:vertical">
              <w:txbxContent>
                <w:p>
                  <w:pPr>
                    <w:spacing w:before="27"/>
                    <w:ind w:left="20" w:right="0" w:firstLine="0"/>
                    <w:jc w:val="left"/>
                    <w:rPr>
                      <w:sz w:val="39"/>
                    </w:rPr>
                  </w:pPr>
                  <w:r>
                    <w:rPr>
                      <w:color w:val="FFFFFF"/>
                      <w:w w:val="120"/>
                      <w:sz w:val="39"/>
                    </w:rPr>
                    <w:t>Nominations</w:t>
                  </w:r>
                </w:p>
              </w:txbxContent>
            </v:textbox>
            <w10:wrap type="none"/>
          </v:shape>
        </w:pict>
      </w:r>
    </w:p>
    <w:p>
      <w:pPr>
        <w:pStyle w:val="BodyText"/>
        <w:spacing w:before="7"/>
        <w:rPr>
          <w:i/>
          <w:sz w:val="21"/>
        </w:rPr>
      </w:pPr>
    </w:p>
    <w:p>
      <w:pPr>
        <w:spacing w:before="106"/>
        <w:ind w:left="607" w:right="0" w:firstLine="0"/>
        <w:jc w:val="left"/>
        <w:rPr>
          <w:sz w:val="26"/>
        </w:rPr>
      </w:pPr>
      <w:r>
        <w:rPr>
          <w:color w:val="7EAABF"/>
          <w:w w:val="115"/>
          <w:sz w:val="26"/>
        </w:rPr>
        <w:t>Nominations</w:t>
      </w:r>
    </w:p>
    <w:p>
      <w:pPr>
        <w:pStyle w:val="Heading2"/>
        <w:numPr>
          <w:ilvl w:val="0"/>
          <w:numId w:val="232"/>
        </w:numPr>
        <w:tabs>
          <w:tab w:pos="1287" w:val="left" w:leader="none"/>
          <w:tab w:pos="1288" w:val="left" w:leader="none"/>
        </w:tabs>
        <w:spacing w:line="240" w:lineRule="auto" w:before="215" w:after="0"/>
        <w:ind w:left="1287" w:right="0" w:hanging="681"/>
        <w:jc w:val="left"/>
      </w:pPr>
      <w:r>
        <w:rPr>
          <w:w w:val="110"/>
        </w:rPr>
        <w:t>Administration and </w:t>
      </w:r>
      <w:r>
        <w:rPr>
          <w:spacing w:val="-3"/>
          <w:w w:val="110"/>
        </w:rPr>
        <w:t>Resources</w:t>
      </w:r>
      <w:r>
        <w:rPr>
          <w:spacing w:val="4"/>
          <w:w w:val="110"/>
        </w:rPr>
        <w:t> </w:t>
      </w:r>
      <w:r>
        <w:rPr>
          <w:w w:val="110"/>
        </w:rPr>
        <w:t>department</w:t>
      </w:r>
    </w:p>
    <w:p>
      <w:pPr>
        <w:pStyle w:val="ListParagraph"/>
        <w:numPr>
          <w:ilvl w:val="1"/>
          <w:numId w:val="232"/>
        </w:numPr>
        <w:tabs>
          <w:tab w:pos="1002" w:val="left" w:leader="none"/>
          <w:tab w:pos="1327" w:val="left" w:leader="none"/>
        </w:tabs>
        <w:spacing w:line="230" w:lineRule="auto" w:before="75" w:after="0"/>
        <w:ind w:left="607" w:right="6162" w:firstLine="0"/>
        <w:jc w:val="left"/>
        <w:rPr>
          <w:sz w:val="20"/>
        </w:rPr>
      </w:pPr>
      <w:r>
        <w:rPr>
          <w:rFonts w:ascii="Stone Sans II ITC Std Bk"/>
          <w:b/>
          <w:w w:val="115"/>
          <w:sz w:val="20"/>
        </w:rPr>
        <w:t>.</w:t>
        <w:tab/>
      </w:r>
      <w:r>
        <w:rPr>
          <w:rFonts w:ascii="Stone Sans II ITC Std Bk"/>
          <w:b/>
          <w:w w:val="110"/>
          <w:sz w:val="20"/>
        </w:rPr>
        <w:t>Assembly arrangements </w:t>
      </w:r>
      <w:r>
        <w:rPr>
          <w:rFonts w:ascii="Stone Sans II ITC Std Bk"/>
          <w:b/>
          <w:spacing w:val="-3"/>
          <w:w w:val="110"/>
          <w:sz w:val="20"/>
        </w:rPr>
        <w:t>committee </w:t>
      </w:r>
      <w:r>
        <w:rPr>
          <w:w w:val="115"/>
          <w:sz w:val="20"/>
        </w:rPr>
        <w:t>Convenor: The Revd James Breslin [2020] Secretary: Facilities</w:t>
      </w:r>
      <w:r>
        <w:rPr>
          <w:spacing w:val="9"/>
          <w:w w:val="115"/>
          <w:sz w:val="20"/>
        </w:rPr>
        <w:t> </w:t>
      </w:r>
      <w:r>
        <w:rPr>
          <w:w w:val="115"/>
          <w:sz w:val="20"/>
        </w:rPr>
        <w:t>Manager</w:t>
      </w:r>
    </w:p>
    <w:p>
      <w:pPr>
        <w:pStyle w:val="BodyText"/>
        <w:tabs>
          <w:tab w:pos="4927" w:val="left" w:leader="none"/>
        </w:tabs>
        <w:spacing w:line="238" w:lineRule="exact"/>
        <w:ind w:left="607"/>
      </w:pPr>
      <w:r>
        <w:rPr>
          <w:w w:val="115"/>
        </w:rPr>
        <w:t>Assembly</w:t>
      </w:r>
      <w:r>
        <w:rPr>
          <w:spacing w:val="11"/>
          <w:w w:val="115"/>
        </w:rPr>
        <w:t> </w:t>
      </w:r>
      <w:r>
        <w:rPr>
          <w:w w:val="115"/>
        </w:rPr>
        <w:t>Moderators</w:t>
        <w:tab/>
        <w:t>Moderators-elect</w:t>
      </w:r>
    </w:p>
    <w:p>
      <w:pPr>
        <w:pStyle w:val="BodyText"/>
        <w:tabs>
          <w:tab w:pos="4927" w:val="left" w:leader="none"/>
        </w:tabs>
        <w:spacing w:line="235" w:lineRule="auto" w:before="1"/>
        <w:ind w:left="607" w:right="3804"/>
      </w:pPr>
      <w:r>
        <w:rPr>
          <w:w w:val="120"/>
        </w:rPr>
        <w:t>General</w:t>
      </w:r>
      <w:r>
        <w:rPr>
          <w:spacing w:val="-13"/>
          <w:w w:val="120"/>
        </w:rPr>
        <w:t> </w:t>
      </w:r>
      <w:r>
        <w:rPr>
          <w:w w:val="120"/>
        </w:rPr>
        <w:t>Secretary</w:t>
        <w:tab/>
        <w:t>Clerk to General</w:t>
      </w:r>
      <w:r>
        <w:rPr>
          <w:spacing w:val="-20"/>
          <w:w w:val="120"/>
        </w:rPr>
        <w:t> </w:t>
      </w:r>
      <w:r>
        <w:rPr>
          <w:spacing w:val="-3"/>
          <w:w w:val="120"/>
        </w:rPr>
        <w:t>Assembly </w:t>
      </w:r>
      <w:r>
        <w:rPr>
          <w:w w:val="120"/>
        </w:rPr>
        <w:t>Convenor, local arrangements</w:t>
      </w:r>
      <w:r>
        <w:rPr>
          <w:spacing w:val="2"/>
          <w:w w:val="120"/>
        </w:rPr>
        <w:t> </w:t>
      </w:r>
      <w:r>
        <w:rPr>
          <w:w w:val="120"/>
        </w:rPr>
        <w:t>committee</w:t>
      </w:r>
    </w:p>
    <w:p>
      <w:pPr>
        <w:pStyle w:val="BodyText"/>
        <w:spacing w:before="6"/>
        <w:rPr>
          <w:sz w:val="18"/>
        </w:rPr>
      </w:pPr>
    </w:p>
    <w:p>
      <w:pPr>
        <w:pStyle w:val="Heading7"/>
        <w:numPr>
          <w:ilvl w:val="1"/>
          <w:numId w:val="232"/>
        </w:numPr>
        <w:tabs>
          <w:tab w:pos="1327" w:val="left" w:leader="none"/>
          <w:tab w:pos="1328" w:val="left" w:leader="none"/>
        </w:tabs>
        <w:spacing w:line="261" w:lineRule="exact" w:before="0" w:after="0"/>
        <w:ind w:left="1327" w:right="0" w:hanging="721"/>
        <w:jc w:val="left"/>
      </w:pPr>
      <w:r>
        <w:rPr>
          <w:w w:val="110"/>
        </w:rPr>
        <w:t>Communications and editorial</w:t>
      </w:r>
      <w:r>
        <w:rPr>
          <w:spacing w:val="-1"/>
          <w:w w:val="110"/>
        </w:rPr>
        <w:t> </w:t>
      </w:r>
      <w:r>
        <w:rPr>
          <w:w w:val="110"/>
        </w:rPr>
        <w:t>committee</w:t>
      </w:r>
    </w:p>
    <w:p>
      <w:pPr>
        <w:pStyle w:val="BodyText"/>
        <w:spacing w:line="235" w:lineRule="auto"/>
        <w:ind w:left="607" w:right="6471"/>
      </w:pPr>
      <w:r>
        <w:rPr>
          <w:w w:val="120"/>
        </w:rPr>
        <w:t>Convenor: Mr Peter Knowles [2019] Secretary: Head of Communications</w:t>
      </w:r>
    </w:p>
    <w:p>
      <w:pPr>
        <w:pStyle w:val="BodyText"/>
        <w:tabs>
          <w:tab w:pos="4927" w:val="left" w:leader="none"/>
        </w:tabs>
        <w:spacing w:line="240" w:lineRule="exact"/>
        <w:ind w:left="607"/>
      </w:pPr>
      <w:r>
        <w:rPr>
          <w:w w:val="120"/>
        </w:rPr>
        <w:t>Mrs Andrea Varnavides</w:t>
      </w:r>
      <w:r>
        <w:rPr>
          <w:spacing w:val="-14"/>
          <w:w w:val="120"/>
        </w:rPr>
        <w:t> </w:t>
      </w:r>
      <w:r>
        <w:rPr>
          <w:w w:val="120"/>
        </w:rPr>
        <w:t>(4)</w:t>
      </w:r>
      <w:r>
        <w:rPr>
          <w:spacing w:val="-5"/>
          <w:w w:val="120"/>
        </w:rPr>
        <w:t> </w:t>
      </w:r>
      <w:r>
        <w:rPr>
          <w:w w:val="120"/>
        </w:rPr>
        <w:t>[2016]</w:t>
        <w:tab/>
        <w:t>The Revd Peter Cooper (10)</w:t>
      </w:r>
      <w:r>
        <w:rPr>
          <w:spacing w:val="12"/>
          <w:w w:val="120"/>
        </w:rPr>
        <w:t> </w:t>
      </w:r>
      <w:r>
        <w:rPr>
          <w:w w:val="120"/>
        </w:rPr>
        <w:t>[2017]</w:t>
      </w:r>
    </w:p>
    <w:p>
      <w:pPr>
        <w:pStyle w:val="BodyText"/>
        <w:tabs>
          <w:tab w:pos="4927" w:val="left" w:leader="none"/>
        </w:tabs>
        <w:spacing w:line="240" w:lineRule="exact"/>
        <w:ind w:left="607"/>
      </w:pPr>
      <w:r>
        <w:rPr>
          <w:w w:val="120"/>
        </w:rPr>
        <w:t>The Revd Kevin Snyman</w:t>
      </w:r>
      <w:r>
        <w:rPr>
          <w:spacing w:val="17"/>
          <w:w w:val="120"/>
        </w:rPr>
        <w:t> </w:t>
      </w:r>
      <w:r>
        <w:rPr>
          <w:w w:val="120"/>
        </w:rPr>
        <w:t>(12)</w:t>
      </w:r>
      <w:r>
        <w:rPr>
          <w:spacing w:val="5"/>
          <w:w w:val="120"/>
        </w:rPr>
        <w:t> </w:t>
      </w:r>
      <w:r>
        <w:rPr>
          <w:w w:val="120"/>
        </w:rPr>
        <w:t>[2017]</w:t>
        <w:tab/>
        <w:t>Mr Andy Jeens (3)</w:t>
      </w:r>
      <w:r>
        <w:rPr>
          <w:spacing w:val="8"/>
          <w:w w:val="120"/>
        </w:rPr>
        <w:t> </w:t>
      </w:r>
      <w:r>
        <w:rPr>
          <w:w w:val="120"/>
        </w:rPr>
        <w:t>[2017]</w:t>
      </w:r>
    </w:p>
    <w:p>
      <w:pPr>
        <w:pStyle w:val="BodyText"/>
        <w:tabs>
          <w:tab w:pos="4927" w:val="left" w:leader="none"/>
        </w:tabs>
        <w:spacing w:line="240" w:lineRule="exact"/>
        <w:ind w:left="607"/>
      </w:pPr>
      <w:r>
        <w:rPr>
          <w:w w:val="125"/>
        </w:rPr>
        <w:t>The</w:t>
      </w:r>
      <w:r>
        <w:rPr>
          <w:spacing w:val="-14"/>
          <w:w w:val="125"/>
        </w:rPr>
        <w:t> </w:t>
      </w:r>
      <w:r>
        <w:rPr>
          <w:w w:val="125"/>
        </w:rPr>
        <w:t>Revd</w:t>
      </w:r>
      <w:r>
        <w:rPr>
          <w:spacing w:val="-13"/>
          <w:w w:val="125"/>
        </w:rPr>
        <w:t> </w:t>
      </w:r>
      <w:r>
        <w:rPr>
          <w:w w:val="125"/>
        </w:rPr>
        <w:t>Kate</w:t>
      </w:r>
      <w:r>
        <w:rPr>
          <w:spacing w:val="-13"/>
          <w:w w:val="125"/>
        </w:rPr>
        <w:t> </w:t>
      </w:r>
      <w:r>
        <w:rPr>
          <w:spacing w:val="-3"/>
          <w:w w:val="125"/>
        </w:rPr>
        <w:t>Gray</w:t>
      </w:r>
      <w:r>
        <w:rPr>
          <w:spacing w:val="-13"/>
          <w:w w:val="125"/>
        </w:rPr>
        <w:t> </w:t>
      </w:r>
      <w:r>
        <w:rPr>
          <w:w w:val="125"/>
        </w:rPr>
        <w:t>(2)</w:t>
      </w:r>
      <w:r>
        <w:rPr>
          <w:spacing w:val="-13"/>
          <w:w w:val="125"/>
        </w:rPr>
        <w:t> </w:t>
      </w:r>
      <w:r>
        <w:rPr>
          <w:w w:val="125"/>
        </w:rPr>
        <w:t>[2018]</w:t>
        <w:tab/>
        <w:t>The Revd Ashley Evans (10)</w:t>
      </w:r>
      <w:r>
        <w:rPr>
          <w:spacing w:val="-12"/>
          <w:w w:val="125"/>
        </w:rPr>
        <w:t> </w:t>
      </w:r>
      <w:r>
        <w:rPr>
          <w:w w:val="125"/>
        </w:rPr>
        <w:t>[2018]</w:t>
      </w:r>
    </w:p>
    <w:p>
      <w:pPr>
        <w:pStyle w:val="BodyText"/>
        <w:tabs>
          <w:tab w:pos="4927" w:val="left" w:leader="none"/>
        </w:tabs>
        <w:spacing w:line="240" w:lineRule="exact"/>
        <w:ind w:left="607"/>
      </w:pPr>
      <w:r>
        <w:rPr>
          <w:w w:val="125"/>
        </w:rPr>
        <w:t>Ms Rebecca Gudgeon</w:t>
      </w:r>
      <w:r>
        <w:rPr>
          <w:spacing w:val="-31"/>
          <w:w w:val="125"/>
        </w:rPr>
        <w:t> </w:t>
      </w:r>
      <w:r>
        <w:rPr>
          <w:w w:val="125"/>
        </w:rPr>
        <w:t>(2)</w:t>
      </w:r>
      <w:r>
        <w:rPr>
          <w:spacing w:val="-10"/>
          <w:w w:val="125"/>
        </w:rPr>
        <w:t> </w:t>
      </w:r>
      <w:r>
        <w:rPr>
          <w:w w:val="125"/>
        </w:rPr>
        <w:t>[2019]</w:t>
        <w:tab/>
        <w:t>Mrs Heather Carr (1)</w:t>
      </w:r>
      <w:r>
        <w:rPr>
          <w:spacing w:val="-8"/>
          <w:w w:val="125"/>
        </w:rPr>
        <w:t> </w:t>
      </w:r>
      <w:r>
        <w:rPr>
          <w:w w:val="125"/>
        </w:rPr>
        <w:t>[2019]</w:t>
      </w:r>
    </w:p>
    <w:p>
      <w:pPr>
        <w:pStyle w:val="BodyText"/>
        <w:spacing w:line="242" w:lineRule="exact"/>
        <w:ind w:left="607"/>
      </w:pPr>
      <w:r>
        <w:rPr>
          <w:w w:val="120"/>
        </w:rPr>
        <w:t>Mr Tim Llewelyn (9) [2019]</w:t>
      </w:r>
    </w:p>
    <w:p>
      <w:pPr>
        <w:pStyle w:val="BodyText"/>
        <w:spacing w:before="6"/>
        <w:rPr>
          <w:sz w:val="18"/>
        </w:rPr>
      </w:pPr>
    </w:p>
    <w:p>
      <w:pPr>
        <w:pStyle w:val="ListParagraph"/>
        <w:numPr>
          <w:ilvl w:val="1"/>
          <w:numId w:val="232"/>
        </w:numPr>
        <w:tabs>
          <w:tab w:pos="1385" w:val="left" w:leader="none"/>
          <w:tab w:pos="1386" w:val="left" w:leader="none"/>
        </w:tabs>
        <w:spacing w:line="230" w:lineRule="auto" w:before="0" w:after="0"/>
        <w:ind w:left="607" w:right="6715" w:firstLine="0"/>
        <w:jc w:val="left"/>
        <w:rPr>
          <w:sz w:val="20"/>
        </w:rPr>
      </w:pPr>
      <w:r>
        <w:rPr>
          <w:rFonts w:ascii="Stone Sans II ITC Std Bk"/>
          <w:b/>
          <w:w w:val="115"/>
          <w:sz w:val="20"/>
        </w:rPr>
        <w:t>Equalities committee </w:t>
      </w:r>
      <w:r>
        <w:rPr>
          <w:w w:val="115"/>
          <w:sz w:val="20"/>
        </w:rPr>
        <w:t>Convenor: The Revd Helen Mee [2018] Secretary:</w:t>
      </w:r>
      <w:r>
        <w:rPr>
          <w:spacing w:val="20"/>
          <w:w w:val="115"/>
          <w:sz w:val="20"/>
        </w:rPr>
        <w:t> </w:t>
      </w:r>
      <w:r>
        <w:rPr>
          <w:w w:val="115"/>
          <w:sz w:val="20"/>
        </w:rPr>
        <w:t>The</w:t>
      </w:r>
      <w:r>
        <w:rPr>
          <w:spacing w:val="21"/>
          <w:w w:val="115"/>
          <w:sz w:val="20"/>
        </w:rPr>
        <w:t> </w:t>
      </w:r>
      <w:r>
        <w:rPr>
          <w:w w:val="115"/>
          <w:sz w:val="20"/>
        </w:rPr>
        <w:t>Revd</w:t>
      </w:r>
      <w:r>
        <w:rPr>
          <w:spacing w:val="21"/>
          <w:w w:val="115"/>
          <w:sz w:val="20"/>
        </w:rPr>
        <w:t> </w:t>
      </w:r>
      <w:r>
        <w:rPr>
          <w:w w:val="115"/>
          <w:sz w:val="20"/>
        </w:rPr>
        <w:t>Adrian</w:t>
      </w:r>
      <w:r>
        <w:rPr>
          <w:spacing w:val="21"/>
          <w:w w:val="115"/>
          <w:sz w:val="20"/>
        </w:rPr>
        <w:t> </w:t>
      </w:r>
      <w:r>
        <w:rPr>
          <w:w w:val="115"/>
          <w:sz w:val="20"/>
        </w:rPr>
        <w:t>Bulley</w:t>
      </w:r>
      <w:r>
        <w:rPr>
          <w:spacing w:val="21"/>
          <w:w w:val="115"/>
          <w:sz w:val="20"/>
        </w:rPr>
        <w:t> </w:t>
      </w:r>
      <w:r>
        <w:rPr>
          <w:w w:val="115"/>
          <w:sz w:val="20"/>
        </w:rPr>
        <w:t>[2017]</w:t>
      </w:r>
    </w:p>
    <w:p>
      <w:pPr>
        <w:pStyle w:val="BodyText"/>
        <w:tabs>
          <w:tab w:pos="4927" w:val="left" w:leader="none"/>
        </w:tabs>
        <w:spacing w:line="238" w:lineRule="exact"/>
        <w:ind w:left="607"/>
      </w:pPr>
      <w:r>
        <w:rPr>
          <w:w w:val="120"/>
        </w:rPr>
        <w:t>The Revd Susan Flynn</w:t>
      </w:r>
      <w:r>
        <w:rPr>
          <w:spacing w:val="13"/>
          <w:w w:val="120"/>
        </w:rPr>
        <w:t> </w:t>
      </w:r>
      <w:r>
        <w:rPr>
          <w:w w:val="120"/>
        </w:rPr>
        <w:t>(3)</w:t>
      </w:r>
      <w:r>
        <w:rPr>
          <w:spacing w:val="3"/>
          <w:w w:val="120"/>
        </w:rPr>
        <w:t> </w:t>
      </w:r>
      <w:r>
        <w:rPr>
          <w:w w:val="120"/>
        </w:rPr>
        <w:t>[2017]</w:t>
        <w:tab/>
        <w:t>Ms Maria Mills (8)</w:t>
      </w:r>
      <w:r>
        <w:rPr>
          <w:spacing w:val="7"/>
          <w:w w:val="120"/>
        </w:rPr>
        <w:t> </w:t>
      </w:r>
      <w:r>
        <w:rPr>
          <w:w w:val="120"/>
        </w:rPr>
        <w:t>[2017]</w:t>
      </w:r>
    </w:p>
    <w:p>
      <w:pPr>
        <w:pStyle w:val="BodyText"/>
        <w:tabs>
          <w:tab w:pos="4927" w:val="left" w:leader="none"/>
        </w:tabs>
        <w:spacing w:line="240" w:lineRule="exact"/>
        <w:ind w:left="607"/>
      </w:pPr>
      <w:r>
        <w:rPr>
          <w:w w:val="125"/>
        </w:rPr>
        <w:t>Mr Clive Curtis</w:t>
      </w:r>
      <w:r>
        <w:rPr>
          <w:spacing w:val="-23"/>
          <w:w w:val="125"/>
        </w:rPr>
        <w:t> </w:t>
      </w:r>
      <w:r>
        <w:rPr>
          <w:w w:val="125"/>
        </w:rPr>
        <w:t>(12)</w:t>
      </w:r>
      <w:r>
        <w:rPr>
          <w:spacing w:val="-7"/>
          <w:w w:val="125"/>
        </w:rPr>
        <w:t> </w:t>
      </w:r>
      <w:r>
        <w:rPr>
          <w:w w:val="125"/>
        </w:rPr>
        <w:t>[2018]</w:t>
        <w:tab/>
        <w:t>Mrs Ruth Clarke (2)</w:t>
      </w:r>
      <w:r>
        <w:rPr>
          <w:spacing w:val="-7"/>
          <w:w w:val="125"/>
        </w:rPr>
        <w:t> </w:t>
      </w:r>
      <w:r>
        <w:rPr>
          <w:w w:val="125"/>
        </w:rPr>
        <w:t>[2018]</w:t>
      </w:r>
    </w:p>
    <w:p>
      <w:pPr>
        <w:pStyle w:val="BodyText"/>
        <w:tabs>
          <w:tab w:pos="4927" w:val="left" w:leader="none"/>
        </w:tabs>
        <w:spacing w:line="242" w:lineRule="exact"/>
        <w:ind w:left="607"/>
      </w:pPr>
      <w:r>
        <w:rPr>
          <w:w w:val="120"/>
        </w:rPr>
        <w:t>Ms Rosie Martin</w:t>
      </w:r>
      <w:r>
        <w:rPr>
          <w:spacing w:val="-3"/>
          <w:w w:val="120"/>
        </w:rPr>
        <w:t> </w:t>
      </w:r>
      <w:r>
        <w:rPr>
          <w:w w:val="120"/>
        </w:rPr>
        <w:t>(9) [2020]</w:t>
        <w:tab/>
        <w:t>Ms Alex Bediako (10)</w:t>
      </w:r>
      <w:r>
        <w:rPr>
          <w:spacing w:val="7"/>
          <w:w w:val="120"/>
        </w:rPr>
        <w:t> </w:t>
      </w:r>
      <w:r>
        <w:rPr>
          <w:w w:val="120"/>
        </w:rPr>
        <w:t>[2020]</w:t>
      </w:r>
    </w:p>
    <w:p>
      <w:pPr>
        <w:pStyle w:val="BodyText"/>
        <w:rPr>
          <w:sz w:val="19"/>
        </w:rPr>
      </w:pPr>
    </w:p>
    <w:p>
      <w:pPr>
        <w:pStyle w:val="ListParagraph"/>
        <w:numPr>
          <w:ilvl w:val="1"/>
          <w:numId w:val="232"/>
        </w:numPr>
        <w:tabs>
          <w:tab w:pos="1327" w:val="left" w:leader="none"/>
          <w:tab w:pos="1328" w:val="left" w:leader="none"/>
        </w:tabs>
        <w:spacing w:line="230" w:lineRule="auto" w:before="0" w:after="0"/>
        <w:ind w:left="607" w:right="7645" w:firstLine="0"/>
        <w:jc w:val="left"/>
        <w:rPr>
          <w:sz w:val="20"/>
        </w:rPr>
      </w:pPr>
      <w:r>
        <w:rPr>
          <w:rFonts w:ascii="Stone Sans II ITC Std Bk"/>
          <w:b/>
          <w:w w:val="115"/>
          <w:sz w:val="20"/>
        </w:rPr>
        <w:t>Finance committee </w:t>
      </w:r>
      <w:r>
        <w:rPr>
          <w:w w:val="115"/>
          <w:sz w:val="20"/>
        </w:rPr>
        <w:t>Convenor: The Treasurer Secretary: Chief Finance</w:t>
      </w:r>
      <w:r>
        <w:rPr>
          <w:spacing w:val="47"/>
          <w:w w:val="115"/>
          <w:sz w:val="20"/>
        </w:rPr>
        <w:t> </w:t>
      </w:r>
      <w:r>
        <w:rPr>
          <w:w w:val="115"/>
          <w:sz w:val="20"/>
        </w:rPr>
        <w:t>Officer</w:t>
      </w:r>
    </w:p>
    <w:p>
      <w:pPr>
        <w:pStyle w:val="BodyText"/>
        <w:tabs>
          <w:tab w:pos="4927" w:val="left" w:leader="none"/>
        </w:tabs>
        <w:spacing w:line="238" w:lineRule="exact"/>
        <w:ind w:left="607"/>
      </w:pPr>
      <w:r>
        <w:rPr>
          <w:w w:val="120"/>
        </w:rPr>
        <w:t>The Revd Kate Gartside</w:t>
      </w:r>
      <w:r>
        <w:rPr>
          <w:spacing w:val="14"/>
          <w:w w:val="120"/>
        </w:rPr>
        <w:t> </w:t>
      </w:r>
      <w:r>
        <w:rPr>
          <w:w w:val="120"/>
        </w:rPr>
        <w:t>(3)</w:t>
      </w:r>
      <w:r>
        <w:rPr>
          <w:spacing w:val="4"/>
          <w:w w:val="120"/>
        </w:rPr>
        <w:t> </w:t>
      </w:r>
      <w:r>
        <w:rPr>
          <w:w w:val="120"/>
        </w:rPr>
        <w:t>[2017]</w:t>
        <w:tab/>
        <w:t>Mr Ian Simpson (9)</w:t>
      </w:r>
      <w:r>
        <w:rPr>
          <w:spacing w:val="9"/>
          <w:w w:val="120"/>
        </w:rPr>
        <w:t> </w:t>
      </w:r>
      <w:r>
        <w:rPr>
          <w:w w:val="120"/>
        </w:rPr>
        <w:t>[2017]</w:t>
      </w:r>
    </w:p>
    <w:p>
      <w:pPr>
        <w:pStyle w:val="BodyText"/>
        <w:tabs>
          <w:tab w:pos="4927" w:val="left" w:leader="none"/>
        </w:tabs>
        <w:spacing w:line="240" w:lineRule="exact"/>
        <w:ind w:left="607"/>
      </w:pPr>
      <w:r>
        <w:rPr>
          <w:w w:val="120"/>
        </w:rPr>
        <w:t>Mr Richard Turnbull</w:t>
      </w:r>
      <w:r>
        <w:rPr>
          <w:spacing w:val="6"/>
          <w:w w:val="120"/>
        </w:rPr>
        <w:t> </w:t>
      </w:r>
      <w:r>
        <w:rPr>
          <w:w w:val="120"/>
        </w:rPr>
        <w:t>(5)</w:t>
      </w:r>
      <w:r>
        <w:rPr>
          <w:spacing w:val="3"/>
          <w:w w:val="120"/>
        </w:rPr>
        <w:t> </w:t>
      </w:r>
      <w:r>
        <w:rPr>
          <w:w w:val="120"/>
        </w:rPr>
        <w:t>[2017]</w:t>
        <w:tab/>
        <w:t>The Revd David Walton (6)</w:t>
      </w:r>
      <w:r>
        <w:rPr>
          <w:spacing w:val="10"/>
          <w:w w:val="120"/>
        </w:rPr>
        <w:t> </w:t>
      </w:r>
      <w:r>
        <w:rPr>
          <w:w w:val="120"/>
        </w:rPr>
        <w:t>[2018]</w:t>
      </w:r>
    </w:p>
    <w:p>
      <w:pPr>
        <w:pStyle w:val="BodyText"/>
        <w:tabs>
          <w:tab w:pos="4927" w:val="left" w:leader="none"/>
        </w:tabs>
        <w:spacing w:line="240" w:lineRule="exact"/>
        <w:ind w:left="607"/>
      </w:pPr>
      <w:r>
        <w:rPr>
          <w:w w:val="120"/>
        </w:rPr>
        <w:t>The Revd Iain McClaren</w:t>
      </w:r>
      <w:r>
        <w:rPr>
          <w:spacing w:val="16"/>
          <w:w w:val="120"/>
        </w:rPr>
        <w:t> </w:t>
      </w:r>
      <w:r>
        <w:rPr>
          <w:w w:val="120"/>
        </w:rPr>
        <w:t>(11)</w:t>
      </w:r>
      <w:r>
        <w:rPr>
          <w:spacing w:val="5"/>
          <w:w w:val="120"/>
        </w:rPr>
        <w:t> </w:t>
      </w:r>
      <w:r>
        <w:rPr>
          <w:w w:val="120"/>
        </w:rPr>
        <w:t>[2019]</w:t>
        <w:tab/>
        <w:t>Mr Brian Hosier (10)</w:t>
      </w:r>
      <w:r>
        <w:rPr>
          <w:spacing w:val="7"/>
          <w:w w:val="120"/>
        </w:rPr>
        <w:t> </w:t>
      </w:r>
      <w:r>
        <w:rPr>
          <w:w w:val="120"/>
        </w:rPr>
        <w:t>[2019]</w:t>
      </w:r>
    </w:p>
    <w:p>
      <w:pPr>
        <w:pStyle w:val="BodyText"/>
        <w:spacing w:line="242" w:lineRule="exact"/>
        <w:ind w:left="607"/>
      </w:pPr>
      <w:r>
        <w:rPr>
          <w:w w:val="120"/>
        </w:rPr>
        <w:t>Mr Gordon Wanless (1) [2020]</w:t>
      </w:r>
    </w:p>
    <w:p>
      <w:pPr>
        <w:pStyle w:val="BodyText"/>
        <w:spacing w:before="3"/>
        <w:rPr>
          <w:sz w:val="18"/>
        </w:rPr>
      </w:pPr>
    </w:p>
    <w:p>
      <w:pPr>
        <w:pStyle w:val="Heading7"/>
        <w:numPr>
          <w:ilvl w:val="2"/>
          <w:numId w:val="232"/>
        </w:numPr>
        <w:tabs>
          <w:tab w:pos="1328" w:val="left" w:leader="none"/>
        </w:tabs>
        <w:spacing w:line="261" w:lineRule="exact" w:before="0" w:after="0"/>
        <w:ind w:left="1327" w:right="0" w:hanging="721"/>
        <w:jc w:val="left"/>
      </w:pPr>
      <w:r>
        <w:rPr>
          <w:w w:val="110"/>
        </w:rPr>
        <w:t>Stewardship</w:t>
      </w:r>
      <w:r>
        <w:rPr>
          <w:spacing w:val="-1"/>
          <w:w w:val="110"/>
        </w:rPr>
        <w:t> </w:t>
      </w:r>
      <w:r>
        <w:rPr>
          <w:w w:val="110"/>
        </w:rPr>
        <w:t>subcommittee</w:t>
      </w:r>
    </w:p>
    <w:p>
      <w:pPr>
        <w:pStyle w:val="BodyText"/>
        <w:spacing w:line="233" w:lineRule="exact"/>
        <w:ind w:left="607"/>
      </w:pPr>
      <w:r>
        <w:rPr>
          <w:w w:val="120"/>
        </w:rPr>
        <w:t>Convenor: Mr Keith Berry [2017]</w:t>
      </w:r>
    </w:p>
    <w:p>
      <w:pPr>
        <w:pStyle w:val="BodyText"/>
        <w:tabs>
          <w:tab w:pos="4927" w:val="left" w:leader="none"/>
        </w:tabs>
        <w:spacing w:line="240" w:lineRule="exact"/>
        <w:ind w:left="607"/>
      </w:pPr>
      <w:r>
        <w:rPr>
          <w:w w:val="125"/>
        </w:rPr>
        <w:t>Mr Bob Christie</w:t>
      </w:r>
      <w:r>
        <w:rPr>
          <w:spacing w:val="-36"/>
          <w:w w:val="125"/>
        </w:rPr>
        <w:t> </w:t>
      </w:r>
      <w:r>
        <w:rPr>
          <w:w w:val="125"/>
        </w:rPr>
        <w:t>(13)</w:t>
      </w:r>
      <w:r>
        <w:rPr>
          <w:spacing w:val="-12"/>
          <w:w w:val="125"/>
        </w:rPr>
        <w:t> </w:t>
      </w:r>
      <w:r>
        <w:rPr>
          <w:w w:val="125"/>
        </w:rPr>
        <w:t>[2020]</w:t>
        <w:tab/>
        <w:t>Mr David Greatorex (5)</w:t>
      </w:r>
      <w:r>
        <w:rPr>
          <w:spacing w:val="-8"/>
          <w:w w:val="125"/>
        </w:rPr>
        <w:t> </w:t>
      </w:r>
      <w:r>
        <w:rPr>
          <w:w w:val="125"/>
        </w:rPr>
        <w:t>[2020]</w:t>
      </w:r>
    </w:p>
    <w:p>
      <w:pPr>
        <w:pStyle w:val="BodyText"/>
        <w:spacing w:line="242" w:lineRule="exact"/>
        <w:ind w:left="607"/>
      </w:pPr>
      <w:r>
        <w:rPr>
          <w:w w:val="120"/>
        </w:rPr>
        <w:t>2 vacancies</w:t>
      </w:r>
    </w:p>
    <w:p>
      <w:pPr>
        <w:pStyle w:val="BodyText"/>
        <w:spacing w:before="4"/>
        <w:rPr>
          <w:sz w:val="18"/>
        </w:rPr>
      </w:pPr>
    </w:p>
    <w:p>
      <w:pPr>
        <w:pStyle w:val="Heading7"/>
        <w:numPr>
          <w:ilvl w:val="1"/>
          <w:numId w:val="232"/>
        </w:numPr>
        <w:tabs>
          <w:tab w:pos="1287" w:val="left" w:leader="none"/>
          <w:tab w:pos="1288" w:val="left" w:leader="none"/>
        </w:tabs>
        <w:spacing w:line="261" w:lineRule="exact" w:before="0" w:after="0"/>
        <w:ind w:left="1287" w:right="0" w:hanging="681"/>
        <w:jc w:val="left"/>
      </w:pPr>
      <w:r>
        <w:rPr>
          <w:w w:val="110"/>
        </w:rPr>
        <w:t>United Reformed Church</w:t>
      </w:r>
      <w:r>
        <w:rPr>
          <w:spacing w:val="-2"/>
          <w:w w:val="110"/>
        </w:rPr>
        <w:t> </w:t>
      </w:r>
      <w:r>
        <w:rPr>
          <w:w w:val="110"/>
        </w:rPr>
        <w:t>Trust</w:t>
      </w:r>
    </w:p>
    <w:p>
      <w:pPr>
        <w:spacing w:line="235" w:lineRule="auto" w:before="0"/>
        <w:ind w:left="607" w:right="2045" w:firstLine="0"/>
        <w:jc w:val="left"/>
        <w:rPr>
          <w:i/>
          <w:sz w:val="20"/>
        </w:rPr>
      </w:pPr>
      <w:r>
        <w:rPr>
          <w:i/>
          <w:w w:val="110"/>
          <w:sz w:val="20"/>
        </w:rPr>
        <w:t>(Members normally serve for six years. The directors of the Trust appoint new directors from </w:t>
      </w:r>
      <w:r>
        <w:rPr>
          <w:i/>
          <w:w w:val="110"/>
          <w:sz w:val="20"/>
        </w:rPr>
        <w:t>those appointed as members. The members of the Trust elect the chair from among their own number and appoint a secretary and deputy secretary.)</w:t>
      </w:r>
    </w:p>
    <w:p>
      <w:pPr>
        <w:pStyle w:val="BodyText"/>
        <w:spacing w:line="235" w:lineRule="auto"/>
        <w:ind w:left="607" w:right="6863"/>
      </w:pPr>
      <w:r>
        <w:rPr>
          <w:w w:val="115"/>
        </w:rPr>
        <w:t>Chair: The Revd Richard Gray [2018] Secretary: Ms Sandi Hallam-Jones Deputy Secretary: Mr Andy Bottomley Members:</w:t>
      </w:r>
    </w:p>
    <w:p>
      <w:pPr>
        <w:spacing w:line="241" w:lineRule="exact" w:before="0"/>
        <w:ind w:left="607" w:right="0" w:firstLine="0"/>
        <w:jc w:val="left"/>
        <w:rPr>
          <w:i/>
          <w:sz w:val="20"/>
        </w:rPr>
      </w:pPr>
      <w:r>
        <w:rPr>
          <w:i/>
          <w:w w:val="115"/>
          <w:sz w:val="20"/>
        </w:rPr>
        <w:t>Group 1 (Synods 1, 2, 3, 13)</w:t>
      </w:r>
    </w:p>
    <w:p>
      <w:pPr>
        <w:pStyle w:val="BodyText"/>
        <w:spacing w:line="242" w:lineRule="exact"/>
        <w:ind w:left="607"/>
      </w:pPr>
      <w:r>
        <w:rPr>
          <w:w w:val="120"/>
        </w:rPr>
        <w:t>Mr Neil Mackenzie (3) [2016]</w:t>
      </w:r>
    </w:p>
    <w:p>
      <w:pPr>
        <w:pStyle w:val="BodyText"/>
        <w:spacing w:before="1"/>
        <w:rPr>
          <w:sz w:val="19"/>
        </w:rPr>
      </w:pPr>
    </w:p>
    <w:p>
      <w:pPr>
        <w:spacing w:line="242" w:lineRule="exact" w:before="0"/>
        <w:ind w:left="607" w:right="0" w:firstLine="0"/>
        <w:jc w:val="left"/>
        <w:rPr>
          <w:i/>
          <w:sz w:val="20"/>
        </w:rPr>
      </w:pPr>
      <w:r>
        <w:rPr>
          <w:i/>
          <w:w w:val="115"/>
          <w:sz w:val="20"/>
        </w:rPr>
        <w:t>Group 2 </w:t>
      </w:r>
      <w:r>
        <w:rPr>
          <w:w w:val="115"/>
          <w:sz w:val="20"/>
        </w:rPr>
        <w:t>(</w:t>
      </w:r>
      <w:r>
        <w:rPr>
          <w:i/>
          <w:w w:val="115"/>
          <w:sz w:val="20"/>
        </w:rPr>
        <w:t>Synods 6, 8, 9, 12)</w:t>
      </w:r>
    </w:p>
    <w:p>
      <w:pPr>
        <w:pStyle w:val="BodyText"/>
        <w:spacing w:line="240" w:lineRule="exact"/>
        <w:ind w:left="607"/>
      </w:pPr>
      <w:r>
        <w:rPr>
          <w:w w:val="120"/>
        </w:rPr>
        <w:t>Mr Peter Pay (9</w:t>
      </w:r>
      <w:r>
        <w:rPr>
          <w:i/>
          <w:w w:val="120"/>
        </w:rPr>
        <w:t>) </w:t>
      </w:r>
      <w:r>
        <w:rPr>
          <w:w w:val="120"/>
        </w:rPr>
        <w:t>[2018]</w:t>
      </w:r>
    </w:p>
    <w:p>
      <w:pPr>
        <w:pStyle w:val="BodyText"/>
        <w:spacing w:line="240" w:lineRule="exact"/>
        <w:ind w:left="607"/>
      </w:pPr>
      <w:r>
        <w:rPr>
          <w:w w:val="120"/>
        </w:rPr>
        <w:t>Dr Ian Harrison (8) [2017]</w:t>
      </w:r>
    </w:p>
    <w:p>
      <w:pPr>
        <w:pStyle w:val="BodyText"/>
        <w:spacing w:line="242" w:lineRule="exact"/>
        <w:ind w:left="607"/>
      </w:pPr>
      <w:r>
        <w:rPr>
          <w:w w:val="120"/>
        </w:rPr>
        <w:t>The Revd Richard Gray (8) [2018]</w:t>
      </w:r>
    </w:p>
    <w:p>
      <w:pPr>
        <w:pStyle w:val="BodyText"/>
        <w:spacing w:before="4"/>
        <w:rPr>
          <w:sz w:val="19"/>
        </w:rPr>
      </w:pPr>
    </w:p>
    <w:p>
      <w:pPr>
        <w:spacing w:line="242" w:lineRule="exact" w:before="0"/>
        <w:ind w:left="607" w:right="0" w:firstLine="0"/>
        <w:jc w:val="left"/>
        <w:rPr>
          <w:i/>
          <w:sz w:val="20"/>
        </w:rPr>
      </w:pPr>
      <w:r>
        <w:rPr>
          <w:i/>
          <w:w w:val="115"/>
          <w:sz w:val="20"/>
        </w:rPr>
        <w:t>Group 3 (Synods 4, 5, 7, 10, 11)</w:t>
      </w:r>
    </w:p>
    <w:p>
      <w:pPr>
        <w:pStyle w:val="BodyText"/>
        <w:spacing w:line="240" w:lineRule="exact"/>
        <w:ind w:left="607"/>
      </w:pPr>
      <w:r>
        <w:rPr>
          <w:w w:val="120"/>
        </w:rPr>
        <w:t>Mr Alastair Forsyth (4) [2018]</w:t>
      </w:r>
    </w:p>
    <w:p>
      <w:pPr>
        <w:pStyle w:val="BodyText"/>
        <w:spacing w:line="240" w:lineRule="exact"/>
        <w:ind w:left="607"/>
      </w:pPr>
      <w:r>
        <w:rPr>
          <w:w w:val="120"/>
        </w:rPr>
        <w:t>The Revd Michael Davies (11) [2018]</w:t>
      </w:r>
    </w:p>
    <w:p>
      <w:pPr>
        <w:pStyle w:val="BodyText"/>
        <w:spacing w:line="240" w:lineRule="exact"/>
        <w:ind w:left="607"/>
      </w:pPr>
      <w:r>
        <w:rPr>
          <w:w w:val="120"/>
        </w:rPr>
        <w:t>Mr Andrew Summers (10) [2018]</w:t>
      </w:r>
    </w:p>
    <w:p>
      <w:pPr>
        <w:pStyle w:val="BodyText"/>
        <w:spacing w:line="242" w:lineRule="exact"/>
        <w:ind w:left="607"/>
      </w:pPr>
      <w:r>
        <w:rPr>
          <w:w w:val="120"/>
        </w:rPr>
        <w:t>Mrs Margaret Thompson (7) [2018]</w:t>
      </w:r>
    </w:p>
    <w:p>
      <w:pPr>
        <w:spacing w:after="0" w:line="242" w:lineRule="exact"/>
        <w:sectPr>
          <w:headerReference w:type="even" r:id="rId551"/>
          <w:footerReference w:type="even" r:id="rId552"/>
          <w:footerReference w:type="default" r:id="rId553"/>
          <w:pgSz w:w="11910" w:h="16840"/>
          <w:pgMar w:header="0" w:footer="647" w:top="0" w:bottom="840" w:left="640" w:right="0"/>
          <w:pgNumType w:start="208"/>
        </w:sectPr>
      </w:pPr>
    </w:p>
    <w:p>
      <w:pPr>
        <w:pStyle w:val="BodyText"/>
      </w:pPr>
      <w:r>
        <w:rPr/>
        <w:drawing>
          <wp:anchor distT="0" distB="0" distL="0" distR="0" allowOverlap="1" layoutInCell="1" locked="0" behindDoc="0" simplePos="0" relativeHeight="252215296">
            <wp:simplePos x="0" y="0"/>
            <wp:positionH relativeFrom="page">
              <wp:posOffset>6974928</wp:posOffset>
            </wp:positionH>
            <wp:positionV relativeFrom="page">
              <wp:posOffset>0</wp:posOffset>
            </wp:positionV>
            <wp:extent cx="585063" cy="10692003"/>
            <wp:effectExtent l="0" t="0" r="0" b="0"/>
            <wp:wrapNone/>
            <wp:docPr id="399" name="image70.png"/>
            <wp:cNvGraphicFramePr>
              <a:graphicFrameLocks noChangeAspect="1"/>
            </wp:cNvGraphicFramePr>
            <a:graphic>
              <a:graphicData uri="http://schemas.openxmlformats.org/drawingml/2006/picture">
                <pic:pic>
                  <pic:nvPicPr>
                    <pic:cNvPr id="400" name="image70.png"/>
                    <pic:cNvPicPr/>
                  </pic:nvPicPr>
                  <pic:blipFill>
                    <a:blip r:embed="rId532" cstate="print"/>
                    <a:stretch>
                      <a:fillRect/>
                    </a:stretch>
                  </pic:blipFill>
                  <pic:spPr>
                    <a:xfrm>
                      <a:off x="0" y="0"/>
                      <a:ext cx="585063" cy="10692003"/>
                    </a:xfrm>
                    <a:prstGeom prst="rect">
                      <a:avLst/>
                    </a:prstGeom>
                  </pic:spPr>
                </pic:pic>
              </a:graphicData>
            </a:graphic>
          </wp:anchor>
        </w:drawing>
      </w:r>
    </w:p>
    <w:p>
      <w:pPr>
        <w:pStyle w:val="BodyText"/>
        <w:spacing w:before="7"/>
        <w:rPr>
          <w:sz w:val="21"/>
        </w:rPr>
      </w:pPr>
    </w:p>
    <w:p>
      <w:pPr>
        <w:spacing w:before="106"/>
        <w:ind w:left="0" w:right="1245" w:firstLine="0"/>
        <w:jc w:val="right"/>
        <w:rPr>
          <w:sz w:val="26"/>
        </w:rPr>
      </w:pPr>
      <w:r>
        <w:rPr/>
        <w:pict>
          <v:shape style="position:absolute;margin-left:554.141174pt;margin-top:22.593945pt;width:25.9pt;height:131.3pt;mso-position-horizontal-relative:page;mso-position-vertical-relative:paragraph;z-index:252216320" type="#_x0000_t202" filled="false" stroked="false">
            <v:textbox inset="0,0,0,0" style="layout-flow:vertical">
              <w:txbxContent>
                <w:p>
                  <w:pPr>
                    <w:spacing w:before="27"/>
                    <w:ind w:left="20" w:right="0" w:firstLine="0"/>
                    <w:jc w:val="left"/>
                    <w:rPr>
                      <w:sz w:val="39"/>
                    </w:rPr>
                  </w:pPr>
                  <w:r>
                    <w:rPr>
                      <w:color w:val="FFFFFF"/>
                      <w:w w:val="120"/>
                      <w:sz w:val="39"/>
                    </w:rPr>
                    <w:t>Nominations</w:t>
                  </w:r>
                </w:p>
              </w:txbxContent>
            </v:textbox>
            <w10:wrap type="none"/>
          </v:shape>
        </w:pict>
      </w:r>
      <w:r>
        <w:rPr>
          <w:color w:val="7EAABF"/>
          <w:w w:val="115"/>
          <w:sz w:val="26"/>
        </w:rPr>
        <w:t>Nominations</w:t>
      </w:r>
    </w:p>
    <w:p>
      <w:pPr>
        <w:pStyle w:val="BodyText"/>
        <w:spacing w:line="242" w:lineRule="exact" w:before="218"/>
        <w:ind w:left="1344"/>
      </w:pPr>
      <w:r>
        <w:rPr>
          <w:w w:val="115"/>
        </w:rPr>
        <w:t>FURY Appointee: vacant</w:t>
      </w:r>
    </w:p>
    <w:p>
      <w:pPr>
        <w:pStyle w:val="BodyText"/>
        <w:spacing w:line="235" w:lineRule="auto" w:before="1"/>
        <w:ind w:left="1344" w:right="3151"/>
      </w:pPr>
      <w:r>
        <w:rPr>
          <w:w w:val="120"/>
        </w:rPr>
        <w:t>Mission Council nominated members: (to be appointed if necessary) Mr Emmanuel Osae</w:t>
      </w:r>
    </w:p>
    <w:p>
      <w:pPr>
        <w:pStyle w:val="BodyText"/>
        <w:spacing w:line="240" w:lineRule="exact"/>
        <w:ind w:left="1344"/>
      </w:pPr>
      <w:r>
        <w:rPr>
          <w:w w:val="115"/>
        </w:rPr>
        <w:t>Mrs Val Morrison [2018]</w:t>
      </w:r>
    </w:p>
    <w:p>
      <w:pPr>
        <w:spacing w:line="240" w:lineRule="exact" w:before="0"/>
        <w:ind w:left="1344" w:right="0" w:firstLine="0"/>
        <w:jc w:val="left"/>
        <w:rPr>
          <w:sz w:val="20"/>
        </w:rPr>
      </w:pPr>
      <w:r>
        <w:rPr>
          <w:w w:val="115"/>
          <w:sz w:val="20"/>
        </w:rPr>
        <w:t>[</w:t>
      </w:r>
      <w:r>
        <w:rPr>
          <w:i/>
          <w:w w:val="115"/>
          <w:sz w:val="20"/>
        </w:rPr>
        <w:t>ex officio</w:t>
      </w:r>
      <w:r>
        <w:rPr>
          <w:w w:val="115"/>
          <w:sz w:val="20"/>
        </w:rPr>
        <w:t>: Moderators of General Assembly,</w:t>
      </w:r>
    </w:p>
    <w:p>
      <w:pPr>
        <w:pStyle w:val="BodyText"/>
        <w:spacing w:line="235" w:lineRule="auto" w:before="2"/>
        <w:ind w:left="1344" w:right="3169"/>
      </w:pPr>
      <w:r>
        <w:rPr>
          <w:w w:val="120"/>
        </w:rPr>
        <w:t>General Secretary, Deputy General Secretary (Admin and Resources), Treasurer, Clerk to General Assembly</w:t>
      </w:r>
    </w:p>
    <w:p>
      <w:pPr>
        <w:spacing w:line="242" w:lineRule="exact" w:before="0"/>
        <w:ind w:left="1344" w:right="0" w:firstLine="0"/>
        <w:jc w:val="left"/>
        <w:rPr>
          <w:sz w:val="20"/>
        </w:rPr>
      </w:pPr>
      <w:r>
        <w:rPr>
          <w:i/>
          <w:w w:val="115"/>
          <w:sz w:val="20"/>
        </w:rPr>
        <w:t>In attendance: </w:t>
      </w:r>
      <w:r>
        <w:rPr>
          <w:w w:val="115"/>
          <w:sz w:val="20"/>
        </w:rPr>
        <w:t>Convenor, investment committee]</w:t>
      </w:r>
    </w:p>
    <w:p>
      <w:pPr>
        <w:pStyle w:val="BodyText"/>
        <w:spacing w:before="4"/>
        <w:rPr>
          <w:sz w:val="18"/>
        </w:rPr>
      </w:pPr>
    </w:p>
    <w:p>
      <w:pPr>
        <w:pStyle w:val="Heading7"/>
        <w:numPr>
          <w:ilvl w:val="2"/>
          <w:numId w:val="232"/>
        </w:numPr>
        <w:tabs>
          <w:tab w:pos="2025" w:val="left" w:leader="none"/>
        </w:tabs>
        <w:spacing w:line="261" w:lineRule="exact" w:before="0" w:after="0"/>
        <w:ind w:left="2024" w:right="0" w:hanging="681"/>
        <w:jc w:val="left"/>
      </w:pPr>
      <w:r>
        <w:rPr>
          <w:w w:val="110"/>
        </w:rPr>
        <w:t>Church House management</w:t>
      </w:r>
      <w:r>
        <w:rPr>
          <w:spacing w:val="-1"/>
          <w:w w:val="110"/>
        </w:rPr>
        <w:t> </w:t>
      </w:r>
      <w:r>
        <w:rPr>
          <w:w w:val="110"/>
        </w:rPr>
        <w:t>group</w:t>
      </w:r>
    </w:p>
    <w:p>
      <w:pPr>
        <w:pStyle w:val="BodyText"/>
        <w:tabs>
          <w:tab w:pos="5664" w:val="left" w:leader="none"/>
        </w:tabs>
        <w:spacing w:line="235" w:lineRule="auto"/>
        <w:ind w:left="1344" w:right="4064"/>
      </w:pPr>
      <w:r>
        <w:rPr>
          <w:w w:val="120"/>
        </w:rPr>
        <w:t>Convenor: Deputy General Secretary (Admin and</w:t>
      </w:r>
      <w:r>
        <w:rPr>
          <w:spacing w:val="-32"/>
          <w:w w:val="120"/>
        </w:rPr>
        <w:t> </w:t>
      </w:r>
      <w:r>
        <w:rPr>
          <w:w w:val="120"/>
        </w:rPr>
        <w:t>Resources) Mr</w:t>
      </w:r>
      <w:r>
        <w:rPr>
          <w:spacing w:val="-4"/>
          <w:w w:val="120"/>
        </w:rPr>
        <w:t> </w:t>
      </w:r>
      <w:r>
        <w:rPr>
          <w:w w:val="120"/>
        </w:rPr>
        <w:t>Mike</w:t>
      </w:r>
      <w:r>
        <w:rPr>
          <w:spacing w:val="-4"/>
          <w:w w:val="120"/>
        </w:rPr>
        <w:t> </w:t>
      </w:r>
      <w:r>
        <w:rPr>
          <w:w w:val="120"/>
        </w:rPr>
        <w:t>Gould</w:t>
        <w:tab/>
        <w:t>Mr Derek</w:t>
      </w:r>
      <w:r>
        <w:rPr>
          <w:spacing w:val="-31"/>
          <w:w w:val="120"/>
        </w:rPr>
        <w:t> </w:t>
      </w:r>
      <w:r>
        <w:rPr>
          <w:w w:val="120"/>
        </w:rPr>
        <w:t>Jones</w:t>
      </w:r>
    </w:p>
    <w:p>
      <w:pPr>
        <w:pStyle w:val="BodyText"/>
        <w:tabs>
          <w:tab w:pos="5664" w:val="left" w:leader="none"/>
        </w:tabs>
        <w:spacing w:line="235" w:lineRule="auto"/>
        <w:ind w:left="1344" w:right="4138"/>
      </w:pPr>
      <w:r>
        <w:rPr>
          <w:w w:val="115"/>
        </w:rPr>
        <w:t>Mr</w:t>
      </w:r>
      <w:r>
        <w:rPr>
          <w:spacing w:val="15"/>
          <w:w w:val="115"/>
        </w:rPr>
        <w:t> </w:t>
      </w:r>
      <w:r>
        <w:rPr>
          <w:w w:val="115"/>
        </w:rPr>
        <w:t>Doug</w:t>
      </w:r>
      <w:r>
        <w:rPr>
          <w:spacing w:val="16"/>
          <w:w w:val="115"/>
        </w:rPr>
        <w:t> </w:t>
      </w:r>
      <w:r>
        <w:rPr>
          <w:w w:val="115"/>
        </w:rPr>
        <w:t>Maxwell</w:t>
        <w:tab/>
        <w:t>Mr Robert </w:t>
      </w:r>
      <w:r>
        <w:rPr>
          <w:spacing w:val="-4"/>
          <w:w w:val="115"/>
        </w:rPr>
        <w:t>Buss </w:t>
      </w:r>
      <w:r>
        <w:rPr>
          <w:w w:val="115"/>
        </w:rPr>
        <w:t>[</w:t>
      </w:r>
      <w:r>
        <w:rPr>
          <w:i/>
          <w:w w:val="115"/>
        </w:rPr>
        <w:t>ex officio: </w:t>
      </w:r>
      <w:r>
        <w:rPr>
          <w:w w:val="115"/>
        </w:rPr>
        <w:t>General Secretary; Chief Finance</w:t>
      </w:r>
      <w:r>
        <w:rPr>
          <w:spacing w:val="37"/>
          <w:w w:val="115"/>
        </w:rPr>
        <w:t> </w:t>
      </w:r>
      <w:r>
        <w:rPr>
          <w:w w:val="115"/>
        </w:rPr>
        <w:t>Officer)</w:t>
      </w:r>
    </w:p>
    <w:p>
      <w:pPr>
        <w:pStyle w:val="BodyText"/>
        <w:spacing w:before="1"/>
        <w:rPr>
          <w:sz w:val="18"/>
        </w:rPr>
      </w:pPr>
    </w:p>
    <w:p>
      <w:pPr>
        <w:pStyle w:val="Heading7"/>
        <w:numPr>
          <w:ilvl w:val="2"/>
          <w:numId w:val="232"/>
        </w:numPr>
        <w:tabs>
          <w:tab w:pos="2025" w:val="left" w:leader="none"/>
        </w:tabs>
        <w:spacing w:line="261" w:lineRule="exact" w:before="1" w:after="0"/>
        <w:ind w:left="2024" w:right="0" w:hanging="681"/>
        <w:jc w:val="left"/>
      </w:pPr>
      <w:r>
        <w:rPr>
          <w:w w:val="110"/>
        </w:rPr>
        <w:t>Remuneration</w:t>
      </w:r>
      <w:r>
        <w:rPr>
          <w:spacing w:val="-1"/>
          <w:w w:val="110"/>
        </w:rPr>
        <w:t> </w:t>
      </w:r>
      <w:r>
        <w:rPr>
          <w:w w:val="110"/>
        </w:rPr>
        <w:t>subcommittee</w:t>
      </w:r>
    </w:p>
    <w:p>
      <w:pPr>
        <w:pStyle w:val="BodyText"/>
        <w:spacing w:line="233" w:lineRule="exact"/>
        <w:ind w:left="1344"/>
      </w:pPr>
      <w:r>
        <w:rPr>
          <w:w w:val="115"/>
        </w:rPr>
        <w:t>Convenor: Mr William McVey</w:t>
      </w:r>
    </w:p>
    <w:p>
      <w:pPr>
        <w:pStyle w:val="BodyText"/>
        <w:spacing w:line="240" w:lineRule="exact"/>
        <w:ind w:left="1344"/>
      </w:pPr>
      <w:r>
        <w:rPr>
          <w:w w:val="120"/>
        </w:rPr>
        <w:t>Secretary: Deputy General Secretary (Admin and Resources)</w:t>
      </w:r>
    </w:p>
    <w:p>
      <w:pPr>
        <w:pStyle w:val="BodyText"/>
        <w:tabs>
          <w:tab w:pos="5664" w:val="left" w:leader="none"/>
        </w:tabs>
        <w:spacing w:line="235" w:lineRule="auto" w:before="1"/>
        <w:ind w:left="1344" w:right="3151"/>
      </w:pPr>
      <w:r>
        <w:rPr>
          <w:w w:val="115"/>
        </w:rPr>
        <w:t>Ms Carmila Legarda </w:t>
      </w:r>
      <w:r>
        <w:rPr>
          <w:spacing w:val="10"/>
          <w:w w:val="115"/>
        </w:rPr>
        <w:t> </w:t>
      </w:r>
      <w:r>
        <w:rPr>
          <w:w w:val="115"/>
        </w:rPr>
        <w:t>(Methodist</w:t>
      </w:r>
      <w:r>
        <w:rPr>
          <w:spacing w:val="21"/>
          <w:w w:val="115"/>
        </w:rPr>
        <w:t> </w:t>
      </w:r>
      <w:r>
        <w:rPr>
          <w:w w:val="115"/>
        </w:rPr>
        <w:t>HR)</w:t>
        <w:tab/>
        <w:t>Mr William </w:t>
      </w:r>
      <w:r>
        <w:rPr>
          <w:spacing w:val="-3"/>
          <w:w w:val="115"/>
        </w:rPr>
        <w:t>McVey (elder) </w:t>
      </w:r>
      <w:r>
        <w:rPr>
          <w:w w:val="115"/>
        </w:rPr>
        <w:t>Church House staff</w:t>
      </w:r>
      <w:r>
        <w:rPr>
          <w:spacing w:val="14"/>
          <w:w w:val="115"/>
        </w:rPr>
        <w:t> </w:t>
      </w:r>
      <w:r>
        <w:rPr>
          <w:w w:val="115"/>
        </w:rPr>
        <w:t>representative</w:t>
      </w:r>
    </w:p>
    <w:p>
      <w:pPr>
        <w:pStyle w:val="BodyText"/>
        <w:tabs>
          <w:tab w:pos="5664" w:val="left" w:leader="none"/>
        </w:tabs>
        <w:spacing w:line="242" w:lineRule="exact"/>
        <w:ind w:left="1344"/>
      </w:pPr>
      <w:r>
        <w:rPr>
          <w:w w:val="115"/>
        </w:rPr>
        <w:t>Treasurer</w:t>
        <w:tab/>
        <w:t>Chief Finance</w:t>
      </w:r>
      <w:r>
        <w:rPr>
          <w:spacing w:val="9"/>
          <w:w w:val="115"/>
        </w:rPr>
        <w:t> </w:t>
      </w:r>
      <w:r>
        <w:rPr>
          <w:w w:val="115"/>
        </w:rPr>
        <w:t>Officer</w:t>
      </w:r>
    </w:p>
    <w:p>
      <w:pPr>
        <w:pStyle w:val="BodyText"/>
        <w:spacing w:before="4"/>
        <w:rPr>
          <w:sz w:val="18"/>
        </w:rPr>
      </w:pPr>
    </w:p>
    <w:p>
      <w:pPr>
        <w:pStyle w:val="Heading7"/>
        <w:numPr>
          <w:ilvl w:val="1"/>
          <w:numId w:val="232"/>
        </w:numPr>
        <w:tabs>
          <w:tab w:pos="2024" w:val="left" w:leader="none"/>
          <w:tab w:pos="2025" w:val="left" w:leader="none"/>
        </w:tabs>
        <w:spacing w:line="251" w:lineRule="exact" w:before="0" w:after="0"/>
        <w:ind w:left="2024" w:right="0" w:hanging="681"/>
        <w:jc w:val="left"/>
      </w:pPr>
      <w:r>
        <w:rPr>
          <w:w w:val="110"/>
        </w:rPr>
        <w:t>The United Reformed Church Ministers’ Pension Trust</w:t>
      </w:r>
      <w:r>
        <w:rPr>
          <w:spacing w:val="-4"/>
          <w:w w:val="110"/>
        </w:rPr>
        <w:t> </w:t>
      </w:r>
      <w:r>
        <w:rPr>
          <w:w w:val="110"/>
        </w:rPr>
        <w:t>Ltd</w:t>
      </w:r>
    </w:p>
    <w:p>
      <w:pPr>
        <w:spacing w:line="235" w:lineRule="auto" w:before="5"/>
        <w:ind w:left="1344" w:right="1704" w:firstLine="0"/>
        <w:jc w:val="left"/>
        <w:rPr>
          <w:sz w:val="20"/>
        </w:rPr>
      </w:pPr>
      <w:r>
        <w:rPr>
          <w:i/>
          <w:w w:val="110"/>
          <w:sz w:val="20"/>
        </w:rPr>
        <w:t>(Members normally serve for six years. </w:t>
      </w:r>
      <w:r>
        <w:rPr>
          <w:i/>
          <w:spacing w:val="-3"/>
          <w:w w:val="110"/>
          <w:sz w:val="20"/>
        </w:rPr>
        <w:t>Terms </w:t>
      </w:r>
      <w:r>
        <w:rPr>
          <w:i/>
          <w:w w:val="110"/>
          <w:sz w:val="20"/>
        </w:rPr>
        <w:t>run until the AGM in </w:t>
      </w:r>
      <w:r>
        <w:rPr>
          <w:i/>
          <w:spacing w:val="-3"/>
          <w:w w:val="110"/>
          <w:sz w:val="20"/>
        </w:rPr>
        <w:t>September. </w:t>
      </w:r>
      <w:r>
        <w:rPr>
          <w:i/>
          <w:w w:val="110"/>
          <w:sz w:val="20"/>
        </w:rPr>
        <w:t>The directors </w:t>
      </w:r>
      <w:r>
        <w:rPr>
          <w:i/>
          <w:w w:val="110"/>
          <w:sz w:val="20"/>
        </w:rPr>
        <w:t>of the </w:t>
      </w:r>
      <w:r>
        <w:rPr>
          <w:i/>
          <w:spacing w:val="-3"/>
          <w:w w:val="110"/>
          <w:sz w:val="20"/>
        </w:rPr>
        <w:t>Trust </w:t>
      </w:r>
      <w:r>
        <w:rPr>
          <w:i/>
          <w:w w:val="110"/>
          <w:sz w:val="20"/>
        </w:rPr>
        <w:t>appoint new directors from those appointed as members. The board members appoint the company secretary, and elect the  chair  from  among  their  own  number.) </w:t>
      </w:r>
      <w:r>
        <w:rPr>
          <w:w w:val="110"/>
          <w:sz w:val="20"/>
        </w:rPr>
        <w:t>Chair: Mr Richard</w:t>
      </w:r>
      <w:r>
        <w:rPr>
          <w:spacing w:val="23"/>
          <w:w w:val="110"/>
          <w:sz w:val="20"/>
        </w:rPr>
        <w:t> </w:t>
      </w:r>
      <w:r>
        <w:rPr>
          <w:w w:val="110"/>
          <w:sz w:val="20"/>
        </w:rPr>
        <w:t>Nunn</w:t>
      </w:r>
    </w:p>
    <w:p>
      <w:pPr>
        <w:pStyle w:val="BodyText"/>
        <w:spacing w:line="235" w:lineRule="auto" w:before="3"/>
        <w:ind w:left="1344" w:right="6471"/>
      </w:pPr>
      <w:r>
        <w:rPr>
          <w:w w:val="115"/>
        </w:rPr>
        <w:t>Secretary: Ms Sandi Hallam-Jones Members of URC:</w:t>
      </w:r>
    </w:p>
    <w:p>
      <w:pPr>
        <w:pStyle w:val="BodyText"/>
        <w:tabs>
          <w:tab w:pos="5664" w:val="left" w:leader="none"/>
        </w:tabs>
        <w:spacing w:line="235" w:lineRule="auto" w:before="2"/>
        <w:ind w:left="1344" w:right="3079"/>
      </w:pPr>
      <w:r>
        <w:rPr>
          <w:w w:val="115"/>
        </w:rPr>
        <w:t>Miss Margaret</w:t>
      </w:r>
      <w:r>
        <w:rPr>
          <w:spacing w:val="26"/>
          <w:w w:val="115"/>
        </w:rPr>
        <w:t> </w:t>
      </w:r>
      <w:r>
        <w:rPr>
          <w:w w:val="115"/>
        </w:rPr>
        <w:t>Atkinson</w:t>
      </w:r>
      <w:r>
        <w:rPr>
          <w:spacing w:val="14"/>
          <w:w w:val="115"/>
        </w:rPr>
        <w:t> </w:t>
      </w:r>
      <w:r>
        <w:rPr>
          <w:w w:val="115"/>
        </w:rPr>
        <w:t>[2020]</w:t>
        <w:tab/>
        <w:t>Mr Andrew Perkins </w:t>
      </w:r>
      <w:r>
        <w:rPr>
          <w:spacing w:val="-3"/>
          <w:w w:val="115"/>
        </w:rPr>
        <w:t>[2021] </w:t>
      </w:r>
      <w:r>
        <w:rPr>
          <w:w w:val="115"/>
        </w:rPr>
        <w:t>Mrs Bridget Micklem</w:t>
      </w:r>
      <w:r>
        <w:rPr>
          <w:spacing w:val="15"/>
          <w:w w:val="115"/>
        </w:rPr>
        <w:t> </w:t>
      </w:r>
      <w:r>
        <w:rPr>
          <w:w w:val="115"/>
        </w:rPr>
        <w:t>[2022]</w:t>
      </w:r>
    </w:p>
    <w:p>
      <w:pPr>
        <w:pStyle w:val="BodyText"/>
        <w:spacing w:line="240" w:lineRule="exact"/>
        <w:ind w:left="1344"/>
      </w:pPr>
      <w:r>
        <w:rPr>
          <w:w w:val="115"/>
        </w:rPr>
        <w:t>Members of Fund:</w:t>
      </w:r>
    </w:p>
    <w:p>
      <w:pPr>
        <w:pStyle w:val="BodyText"/>
        <w:tabs>
          <w:tab w:pos="5664" w:val="left" w:leader="none"/>
        </w:tabs>
        <w:spacing w:line="235" w:lineRule="auto" w:before="1"/>
        <w:ind w:left="1344" w:right="2426"/>
      </w:pPr>
      <w:r>
        <w:rPr>
          <w:w w:val="120"/>
        </w:rPr>
        <w:t>The Revd James</w:t>
      </w:r>
      <w:r>
        <w:rPr>
          <w:spacing w:val="-25"/>
          <w:w w:val="120"/>
        </w:rPr>
        <w:t> </w:t>
      </w:r>
      <w:r>
        <w:rPr>
          <w:w w:val="120"/>
        </w:rPr>
        <w:t>Breslin</w:t>
      </w:r>
      <w:r>
        <w:rPr>
          <w:spacing w:val="-8"/>
          <w:w w:val="120"/>
        </w:rPr>
        <w:t> </w:t>
      </w:r>
      <w:r>
        <w:rPr>
          <w:w w:val="120"/>
        </w:rPr>
        <w:t>[2021]</w:t>
        <w:tab/>
        <w:t>The Revd Janet Tollington </w:t>
      </w:r>
      <w:r>
        <w:rPr>
          <w:spacing w:val="-3"/>
          <w:w w:val="120"/>
        </w:rPr>
        <w:t>[2021] </w:t>
      </w:r>
      <w:r>
        <w:rPr>
          <w:w w:val="120"/>
        </w:rPr>
        <w:t>The Revd Paul</w:t>
      </w:r>
      <w:r>
        <w:rPr>
          <w:spacing w:val="-12"/>
          <w:w w:val="120"/>
        </w:rPr>
        <w:t> </w:t>
      </w:r>
      <w:r>
        <w:rPr>
          <w:w w:val="120"/>
        </w:rPr>
        <w:t>Bedford</w:t>
      </w:r>
      <w:r>
        <w:rPr>
          <w:spacing w:val="-4"/>
          <w:w w:val="120"/>
        </w:rPr>
        <w:t> </w:t>
      </w:r>
      <w:r>
        <w:rPr>
          <w:w w:val="120"/>
        </w:rPr>
        <w:t>[2022]</w:t>
        <w:tab/>
        <w:t>The Revd Derek Wales [2023] [</w:t>
      </w:r>
      <w:r>
        <w:rPr>
          <w:i/>
          <w:w w:val="120"/>
        </w:rPr>
        <w:t>ex officio: </w:t>
      </w:r>
      <w:r>
        <w:rPr>
          <w:w w:val="120"/>
        </w:rPr>
        <w:t>Treasurer, convenor, pensions</w:t>
      </w:r>
      <w:r>
        <w:rPr>
          <w:spacing w:val="-12"/>
          <w:w w:val="120"/>
        </w:rPr>
        <w:t> </w:t>
      </w:r>
      <w:r>
        <w:rPr>
          <w:w w:val="120"/>
        </w:rPr>
        <w:t>executive</w:t>
      </w:r>
    </w:p>
    <w:p>
      <w:pPr>
        <w:pStyle w:val="BodyText"/>
        <w:spacing w:line="240" w:lineRule="exact"/>
        <w:ind w:left="1344"/>
      </w:pPr>
      <w:r>
        <w:rPr>
          <w:w w:val="115"/>
        </w:rPr>
        <w:t>convenor,</w:t>
      </w:r>
      <w:r>
        <w:rPr>
          <w:spacing w:val="31"/>
          <w:w w:val="115"/>
        </w:rPr>
        <w:t> </w:t>
      </w:r>
      <w:r>
        <w:rPr>
          <w:w w:val="115"/>
        </w:rPr>
        <w:t>maintenance</w:t>
      </w:r>
      <w:r>
        <w:rPr>
          <w:spacing w:val="32"/>
          <w:w w:val="115"/>
        </w:rPr>
        <w:t> </w:t>
      </w:r>
      <w:r>
        <w:rPr>
          <w:w w:val="115"/>
        </w:rPr>
        <w:t>of</w:t>
      </w:r>
      <w:r>
        <w:rPr>
          <w:spacing w:val="31"/>
          <w:w w:val="115"/>
        </w:rPr>
        <w:t> </w:t>
      </w:r>
      <w:r>
        <w:rPr>
          <w:w w:val="115"/>
        </w:rPr>
        <w:t>ministry</w:t>
      </w:r>
      <w:r>
        <w:rPr>
          <w:spacing w:val="32"/>
          <w:w w:val="115"/>
        </w:rPr>
        <w:t> </w:t>
      </w:r>
      <w:r>
        <w:rPr>
          <w:w w:val="115"/>
        </w:rPr>
        <w:t>subcommittee]</w:t>
      </w:r>
    </w:p>
    <w:p>
      <w:pPr>
        <w:spacing w:line="242" w:lineRule="exact" w:before="0"/>
        <w:ind w:left="1344" w:right="0" w:firstLine="0"/>
        <w:jc w:val="left"/>
        <w:rPr>
          <w:sz w:val="20"/>
        </w:rPr>
      </w:pPr>
      <w:r>
        <w:rPr>
          <w:i/>
          <w:w w:val="115"/>
          <w:sz w:val="20"/>
        </w:rPr>
        <w:t>In attendance: </w:t>
      </w:r>
      <w:r>
        <w:rPr>
          <w:w w:val="115"/>
          <w:sz w:val="20"/>
        </w:rPr>
        <w:t>convenor, investment committee</w:t>
      </w:r>
    </w:p>
    <w:p>
      <w:pPr>
        <w:pStyle w:val="BodyText"/>
        <w:spacing w:before="10"/>
        <w:rPr>
          <w:sz w:val="18"/>
        </w:rPr>
      </w:pPr>
    </w:p>
    <w:p>
      <w:pPr>
        <w:pStyle w:val="ListParagraph"/>
        <w:numPr>
          <w:ilvl w:val="1"/>
          <w:numId w:val="232"/>
        </w:numPr>
        <w:tabs>
          <w:tab w:pos="2024" w:val="left" w:leader="none"/>
          <w:tab w:pos="2025" w:val="left" w:leader="none"/>
        </w:tabs>
        <w:spacing w:line="232" w:lineRule="auto" w:before="0" w:after="0"/>
        <w:ind w:left="1344" w:right="6704" w:firstLine="0"/>
        <w:jc w:val="left"/>
        <w:rPr>
          <w:sz w:val="20"/>
        </w:rPr>
      </w:pPr>
      <w:r>
        <w:rPr>
          <w:rFonts w:ascii="Stone Sans II ITC Std Bk"/>
          <w:b/>
          <w:w w:val="115"/>
          <w:sz w:val="20"/>
        </w:rPr>
        <w:t>Pensions executive </w:t>
      </w:r>
      <w:r>
        <w:rPr>
          <w:w w:val="115"/>
          <w:sz w:val="20"/>
        </w:rPr>
        <w:t>Convenor: Dr Chris Evans [2017] Secretary: Pension Fund Manager Members:</w:t>
      </w:r>
    </w:p>
    <w:p>
      <w:pPr>
        <w:pStyle w:val="BodyText"/>
        <w:tabs>
          <w:tab w:pos="4944" w:val="left" w:leader="none"/>
        </w:tabs>
        <w:spacing w:line="236" w:lineRule="exact"/>
        <w:ind w:left="1344"/>
      </w:pPr>
      <w:r>
        <w:rPr>
          <w:w w:val="120"/>
        </w:rPr>
        <w:t>Mrs Madeleine Brand</w:t>
      </w:r>
      <w:r>
        <w:rPr>
          <w:spacing w:val="-33"/>
          <w:w w:val="120"/>
        </w:rPr>
        <w:t> </w:t>
      </w:r>
      <w:r>
        <w:rPr>
          <w:w w:val="120"/>
        </w:rPr>
        <w:t>(9)</w:t>
      </w:r>
      <w:r>
        <w:rPr>
          <w:spacing w:val="-10"/>
          <w:w w:val="120"/>
        </w:rPr>
        <w:t> </w:t>
      </w:r>
      <w:r>
        <w:rPr>
          <w:w w:val="120"/>
        </w:rPr>
        <w:t>[2020]**</w:t>
        <w:tab/>
        <w:t>The Revd </w:t>
      </w:r>
      <w:r>
        <w:rPr>
          <w:spacing w:val="-3"/>
          <w:w w:val="120"/>
        </w:rPr>
        <w:t>Steven </w:t>
      </w:r>
      <w:r>
        <w:rPr>
          <w:w w:val="120"/>
        </w:rPr>
        <w:t>Manders (13)</w:t>
      </w:r>
      <w:r>
        <w:rPr>
          <w:spacing w:val="13"/>
          <w:w w:val="120"/>
        </w:rPr>
        <w:t> </w:t>
      </w:r>
      <w:r>
        <w:rPr>
          <w:w w:val="120"/>
        </w:rPr>
        <w:t>[2020]</w:t>
      </w:r>
    </w:p>
    <w:p>
      <w:pPr>
        <w:pStyle w:val="BodyText"/>
        <w:spacing w:line="235" w:lineRule="auto" w:before="2"/>
        <w:ind w:left="1344" w:right="1478"/>
      </w:pPr>
      <w:r>
        <w:rPr>
          <w:w w:val="115"/>
        </w:rPr>
        <w:t>[</w:t>
      </w:r>
      <w:r>
        <w:rPr>
          <w:i/>
          <w:w w:val="115"/>
        </w:rPr>
        <w:t>ex officio</w:t>
      </w:r>
      <w:r>
        <w:rPr>
          <w:w w:val="115"/>
        </w:rPr>
        <w:t>: Convenor, maintenance of ministry subcommittee; convenor, investment committee; Treasurer]</w:t>
      </w:r>
    </w:p>
    <w:p>
      <w:pPr>
        <w:spacing w:line="235" w:lineRule="auto" w:before="1"/>
        <w:ind w:left="1344" w:right="1217" w:firstLine="0"/>
        <w:jc w:val="left"/>
        <w:rPr>
          <w:i/>
          <w:sz w:val="20"/>
        </w:rPr>
      </w:pPr>
      <w:r>
        <w:rPr>
          <w:i/>
          <w:w w:val="110"/>
          <w:sz w:val="20"/>
        </w:rPr>
        <w:t>(The pensions executive reports to the United Reformed Church Ministers’ Pensions Trust Board, </w:t>
      </w:r>
      <w:r>
        <w:rPr>
          <w:i/>
          <w:w w:val="110"/>
          <w:sz w:val="20"/>
        </w:rPr>
        <w:t>the maintenance of ministry subcommittee and to the finance Committee.)</w:t>
      </w:r>
    </w:p>
    <w:p>
      <w:pPr>
        <w:pStyle w:val="BodyText"/>
        <w:spacing w:before="1"/>
        <w:rPr>
          <w:i/>
          <w:sz w:val="19"/>
        </w:rPr>
      </w:pPr>
    </w:p>
    <w:p>
      <w:pPr>
        <w:pStyle w:val="ListParagraph"/>
        <w:numPr>
          <w:ilvl w:val="1"/>
          <w:numId w:val="232"/>
        </w:numPr>
        <w:tabs>
          <w:tab w:pos="2024" w:val="left" w:leader="none"/>
          <w:tab w:pos="2025" w:val="left" w:leader="none"/>
          <w:tab w:pos="2784" w:val="left" w:leader="none"/>
        </w:tabs>
        <w:spacing w:line="230" w:lineRule="auto" w:before="0" w:after="0"/>
        <w:ind w:left="1344" w:right="6185" w:firstLine="0"/>
        <w:jc w:val="left"/>
        <w:rPr>
          <w:sz w:val="20"/>
        </w:rPr>
      </w:pPr>
      <w:r>
        <w:rPr>
          <w:rFonts w:ascii="Stone Sans II ITC Std Bk"/>
          <w:b/>
          <w:w w:val="115"/>
          <w:sz w:val="20"/>
        </w:rPr>
        <w:t>Investment committee </w:t>
      </w:r>
      <w:r>
        <w:rPr>
          <w:w w:val="115"/>
          <w:sz w:val="20"/>
        </w:rPr>
        <w:t>Convenor:</w:t>
        <w:tab/>
        <w:t>Mr David Martin </w:t>
      </w:r>
      <w:r>
        <w:rPr>
          <w:spacing w:val="-3"/>
          <w:w w:val="115"/>
          <w:sz w:val="20"/>
        </w:rPr>
        <w:t>[2018] </w:t>
      </w:r>
      <w:r>
        <w:rPr>
          <w:w w:val="115"/>
          <w:sz w:val="20"/>
        </w:rPr>
        <w:t>Secretary:</w:t>
        <w:tab/>
        <w:t>Ms Sandi</w:t>
      </w:r>
      <w:r>
        <w:rPr>
          <w:spacing w:val="16"/>
          <w:w w:val="115"/>
          <w:sz w:val="20"/>
        </w:rPr>
        <w:t> </w:t>
      </w:r>
      <w:r>
        <w:rPr>
          <w:w w:val="115"/>
          <w:sz w:val="20"/>
        </w:rPr>
        <w:t>Hallam-Jones</w:t>
      </w:r>
    </w:p>
    <w:p>
      <w:pPr>
        <w:pStyle w:val="BodyText"/>
        <w:tabs>
          <w:tab w:pos="2784" w:val="left" w:leader="none"/>
          <w:tab w:pos="5664" w:val="left" w:leader="none"/>
        </w:tabs>
        <w:spacing w:line="238" w:lineRule="exact"/>
        <w:ind w:left="1344"/>
      </w:pPr>
      <w:r>
        <w:rPr>
          <w:w w:val="115"/>
        </w:rPr>
        <w:t>Members:</w:t>
        <w:tab/>
        <w:t>Mr Andrew</w:t>
      </w:r>
      <w:r>
        <w:rPr>
          <w:spacing w:val="29"/>
          <w:w w:val="115"/>
        </w:rPr>
        <w:t> </w:t>
      </w:r>
      <w:r>
        <w:rPr>
          <w:w w:val="115"/>
        </w:rPr>
        <w:t>Perkins</w:t>
      </w:r>
      <w:r>
        <w:rPr>
          <w:spacing w:val="15"/>
          <w:w w:val="115"/>
        </w:rPr>
        <w:t> </w:t>
      </w:r>
      <w:r>
        <w:rPr>
          <w:w w:val="115"/>
        </w:rPr>
        <w:t>[2017]</w:t>
        <w:tab/>
        <w:t>Mr Brian Hosier</w:t>
      </w:r>
      <w:r>
        <w:rPr>
          <w:spacing w:val="15"/>
          <w:w w:val="115"/>
        </w:rPr>
        <w:t> </w:t>
      </w:r>
      <w:r>
        <w:rPr>
          <w:w w:val="115"/>
        </w:rPr>
        <w:t>[2019]</w:t>
      </w:r>
    </w:p>
    <w:p>
      <w:pPr>
        <w:pStyle w:val="BodyText"/>
        <w:tabs>
          <w:tab w:pos="5664" w:val="left" w:leader="none"/>
        </w:tabs>
        <w:spacing w:line="235" w:lineRule="auto" w:before="2"/>
        <w:ind w:left="1344" w:right="2750" w:firstLine="1440"/>
      </w:pPr>
      <w:r>
        <w:rPr>
          <w:w w:val="120"/>
        </w:rPr>
        <w:t>The Revd Dick</w:t>
      </w:r>
      <w:r>
        <w:rPr>
          <w:spacing w:val="14"/>
          <w:w w:val="120"/>
        </w:rPr>
        <w:t> </w:t>
      </w:r>
      <w:r>
        <w:rPr>
          <w:spacing w:val="-3"/>
          <w:w w:val="120"/>
        </w:rPr>
        <w:t>Gray</w:t>
      </w:r>
      <w:r>
        <w:rPr>
          <w:spacing w:val="5"/>
          <w:w w:val="120"/>
        </w:rPr>
        <w:t> </w:t>
      </w:r>
      <w:r>
        <w:rPr>
          <w:w w:val="120"/>
        </w:rPr>
        <w:t>[2018]</w:t>
        <w:tab/>
        <w:t>The Revd Julian Macro</w:t>
      </w:r>
      <w:r>
        <w:rPr>
          <w:spacing w:val="-29"/>
          <w:w w:val="120"/>
        </w:rPr>
        <w:t> </w:t>
      </w:r>
      <w:r>
        <w:rPr>
          <w:spacing w:val="-3"/>
          <w:w w:val="120"/>
        </w:rPr>
        <w:t>[2020] </w:t>
      </w:r>
      <w:r>
        <w:rPr>
          <w:w w:val="120"/>
        </w:rPr>
        <w:t>[</w:t>
      </w:r>
      <w:r>
        <w:rPr>
          <w:i/>
          <w:w w:val="120"/>
        </w:rPr>
        <w:t>ex officio: </w:t>
      </w:r>
      <w:r>
        <w:rPr>
          <w:w w:val="120"/>
        </w:rPr>
        <w:t>Treasurer, convenor, Pensions</w:t>
      </w:r>
      <w:r>
        <w:rPr>
          <w:spacing w:val="-16"/>
          <w:w w:val="120"/>
        </w:rPr>
        <w:t> </w:t>
      </w:r>
      <w:r>
        <w:rPr>
          <w:w w:val="120"/>
        </w:rPr>
        <w:t>Executive</w:t>
      </w:r>
    </w:p>
    <w:p>
      <w:pPr>
        <w:pStyle w:val="BodyText"/>
        <w:spacing w:line="240" w:lineRule="exact"/>
        <w:ind w:left="1344"/>
      </w:pPr>
      <w:r>
        <w:rPr>
          <w:w w:val="115"/>
        </w:rPr>
        <w:t>chair of United Reformed Church Trust or another director</w:t>
      </w:r>
    </w:p>
    <w:p>
      <w:pPr>
        <w:pStyle w:val="BodyText"/>
        <w:spacing w:line="235" w:lineRule="auto" w:before="2"/>
        <w:ind w:left="1344" w:right="2045"/>
      </w:pPr>
      <w:r>
        <w:rPr>
          <w:w w:val="115"/>
        </w:rPr>
        <w:t>chair of United Reformed Church Ministers’ Pension Trust or another director treasurer, Westminster College]</w:t>
      </w:r>
    </w:p>
    <w:p>
      <w:pPr>
        <w:spacing w:line="242" w:lineRule="exact" w:before="0"/>
        <w:ind w:left="1344" w:right="0" w:firstLine="0"/>
        <w:jc w:val="left"/>
        <w:rPr>
          <w:sz w:val="20"/>
        </w:rPr>
      </w:pPr>
      <w:r>
        <w:rPr>
          <w:i/>
          <w:w w:val="115"/>
          <w:sz w:val="20"/>
        </w:rPr>
        <w:t>In attendance: </w:t>
      </w:r>
      <w:r>
        <w:rPr>
          <w:w w:val="115"/>
          <w:sz w:val="20"/>
        </w:rPr>
        <w:t>Chief Finance Officer</w:t>
      </w:r>
    </w:p>
    <w:p>
      <w:pPr>
        <w:spacing w:after="0" w:line="242" w:lineRule="exact"/>
        <w:jc w:val="left"/>
        <w:rPr>
          <w:sz w:val="20"/>
        </w:rPr>
        <w:sectPr>
          <w:headerReference w:type="default" r:id="rId554"/>
          <w:pgSz w:w="11910" w:h="16840"/>
          <w:pgMar w:header="0" w:footer="647" w:top="0" w:bottom="840" w:left="640" w:right="0"/>
        </w:sectPr>
      </w:pPr>
    </w:p>
    <w:p>
      <w:pPr>
        <w:pStyle w:val="BodyText"/>
      </w:pPr>
      <w:r>
        <w:rPr/>
        <w:drawing>
          <wp:anchor distT="0" distB="0" distL="0" distR="0" allowOverlap="1" layoutInCell="1" locked="0" behindDoc="1" simplePos="0" relativeHeight="235763712">
            <wp:simplePos x="0" y="0"/>
            <wp:positionH relativeFrom="page">
              <wp:posOffset>0</wp:posOffset>
            </wp:positionH>
            <wp:positionV relativeFrom="page">
              <wp:posOffset>0</wp:posOffset>
            </wp:positionV>
            <wp:extent cx="594067" cy="10692003"/>
            <wp:effectExtent l="0" t="0" r="0" b="0"/>
            <wp:wrapNone/>
            <wp:docPr id="401" name="image71.png"/>
            <wp:cNvGraphicFramePr>
              <a:graphicFrameLocks noChangeAspect="1"/>
            </wp:cNvGraphicFramePr>
            <a:graphic>
              <a:graphicData uri="http://schemas.openxmlformats.org/drawingml/2006/picture">
                <pic:pic>
                  <pic:nvPicPr>
                    <pic:cNvPr id="402" name="image71.png"/>
                    <pic:cNvPicPr/>
                  </pic:nvPicPr>
                  <pic:blipFill>
                    <a:blip r:embed="rId537" cstate="print"/>
                    <a:stretch>
                      <a:fillRect/>
                    </a:stretch>
                  </pic:blipFill>
                  <pic:spPr>
                    <a:xfrm>
                      <a:off x="0" y="0"/>
                      <a:ext cx="594067" cy="10692003"/>
                    </a:xfrm>
                    <a:prstGeom prst="rect">
                      <a:avLst/>
                    </a:prstGeom>
                  </pic:spPr>
                </pic:pic>
              </a:graphicData>
            </a:graphic>
          </wp:anchor>
        </w:drawing>
      </w:r>
      <w:r>
        <w:rPr/>
        <w:pict>
          <v:shape style="position:absolute;margin-left:20.519100pt;margin-top:48.890015pt;width:25.9pt;height:131.3pt;mso-position-horizontal-relative:page;mso-position-vertical-relative:page;z-index:252218368" type="#_x0000_t202" filled="false" stroked="false">
            <v:textbox inset="0,0,0,0" style="layout-flow:vertical">
              <w:txbxContent>
                <w:p>
                  <w:pPr>
                    <w:spacing w:before="27"/>
                    <w:ind w:left="20" w:right="0" w:firstLine="0"/>
                    <w:jc w:val="left"/>
                    <w:rPr>
                      <w:sz w:val="39"/>
                    </w:rPr>
                  </w:pPr>
                  <w:r>
                    <w:rPr>
                      <w:color w:val="FFFFFF"/>
                      <w:w w:val="120"/>
                      <w:sz w:val="39"/>
                    </w:rPr>
                    <w:t>Nominations</w:t>
                  </w:r>
                </w:p>
              </w:txbxContent>
            </v:textbox>
            <w10:wrap type="none"/>
          </v:shape>
        </w:pict>
      </w:r>
    </w:p>
    <w:p>
      <w:pPr>
        <w:pStyle w:val="BodyText"/>
        <w:spacing w:before="7"/>
        <w:rPr>
          <w:sz w:val="21"/>
        </w:rPr>
      </w:pPr>
    </w:p>
    <w:p>
      <w:pPr>
        <w:spacing w:before="106"/>
        <w:ind w:left="607" w:right="0" w:firstLine="0"/>
        <w:jc w:val="left"/>
        <w:rPr>
          <w:sz w:val="26"/>
        </w:rPr>
      </w:pPr>
      <w:r>
        <w:rPr>
          <w:color w:val="7EAABF"/>
          <w:w w:val="115"/>
          <w:sz w:val="26"/>
        </w:rPr>
        <w:t>Nominations</w:t>
      </w:r>
    </w:p>
    <w:p>
      <w:pPr>
        <w:pStyle w:val="Heading2"/>
        <w:numPr>
          <w:ilvl w:val="0"/>
          <w:numId w:val="232"/>
        </w:numPr>
        <w:tabs>
          <w:tab w:pos="1287" w:val="left" w:leader="none"/>
          <w:tab w:pos="1288" w:val="left" w:leader="none"/>
        </w:tabs>
        <w:spacing w:line="240" w:lineRule="auto" w:before="215" w:after="0"/>
        <w:ind w:left="1287" w:right="0" w:hanging="681"/>
        <w:jc w:val="left"/>
      </w:pPr>
      <w:r>
        <w:rPr>
          <w:spacing w:val="-3"/>
          <w:w w:val="110"/>
        </w:rPr>
        <w:t>Representatives to </w:t>
      </w:r>
      <w:r>
        <w:rPr>
          <w:w w:val="110"/>
        </w:rPr>
        <w:t>meetings of </w:t>
      </w:r>
      <w:r>
        <w:rPr>
          <w:spacing w:val="-2"/>
          <w:w w:val="110"/>
        </w:rPr>
        <w:t>sister</w:t>
      </w:r>
      <w:r>
        <w:rPr>
          <w:spacing w:val="15"/>
          <w:w w:val="110"/>
        </w:rPr>
        <w:t> </w:t>
      </w:r>
      <w:r>
        <w:rPr>
          <w:w w:val="110"/>
        </w:rPr>
        <w:t>Churches</w:t>
      </w:r>
    </w:p>
    <w:p>
      <w:pPr>
        <w:pStyle w:val="ListParagraph"/>
        <w:numPr>
          <w:ilvl w:val="1"/>
          <w:numId w:val="232"/>
        </w:numPr>
        <w:tabs>
          <w:tab w:pos="1287" w:val="left" w:leader="none"/>
          <w:tab w:pos="1288" w:val="left" w:leader="none"/>
        </w:tabs>
        <w:spacing w:line="255" w:lineRule="exact" w:before="66" w:after="0"/>
        <w:ind w:left="1287" w:right="0" w:hanging="681"/>
        <w:jc w:val="left"/>
        <w:rPr>
          <w:sz w:val="20"/>
        </w:rPr>
      </w:pPr>
      <w:r>
        <w:rPr>
          <w:w w:val="115"/>
          <w:sz w:val="20"/>
        </w:rPr>
        <w:t>Presbyterian Church in</w:t>
      </w:r>
      <w:r>
        <w:rPr>
          <w:spacing w:val="13"/>
          <w:w w:val="115"/>
          <w:sz w:val="20"/>
        </w:rPr>
        <w:t> </w:t>
      </w:r>
      <w:r>
        <w:rPr>
          <w:w w:val="115"/>
          <w:sz w:val="20"/>
        </w:rPr>
        <w:t>Ireland</w:t>
      </w:r>
    </w:p>
    <w:p>
      <w:pPr>
        <w:pStyle w:val="ListParagraph"/>
        <w:numPr>
          <w:ilvl w:val="1"/>
          <w:numId w:val="232"/>
        </w:numPr>
        <w:tabs>
          <w:tab w:pos="1287" w:val="left" w:leader="none"/>
          <w:tab w:pos="1288" w:val="left" w:leader="none"/>
          <w:tab w:pos="5647" w:val="left" w:leader="none"/>
        </w:tabs>
        <w:spacing w:line="240" w:lineRule="exact" w:before="0" w:after="0"/>
        <w:ind w:left="1287" w:right="0" w:hanging="681"/>
        <w:jc w:val="left"/>
        <w:rPr>
          <w:sz w:val="20"/>
        </w:rPr>
      </w:pPr>
      <w:r>
        <w:rPr>
          <w:w w:val="115"/>
          <w:sz w:val="20"/>
        </w:rPr>
        <w:t>General</w:t>
      </w:r>
      <w:r>
        <w:rPr>
          <w:spacing w:val="29"/>
          <w:w w:val="115"/>
          <w:sz w:val="20"/>
        </w:rPr>
        <w:t> </w:t>
      </w:r>
      <w:r>
        <w:rPr>
          <w:w w:val="115"/>
          <w:sz w:val="20"/>
        </w:rPr>
        <w:t>Synod</w:t>
      </w:r>
      <w:r>
        <w:rPr>
          <w:spacing w:val="29"/>
          <w:w w:val="115"/>
          <w:sz w:val="20"/>
        </w:rPr>
        <w:t> </w:t>
      </w:r>
      <w:r>
        <w:rPr>
          <w:w w:val="115"/>
          <w:sz w:val="20"/>
        </w:rPr>
        <w:t>of</w:t>
      </w:r>
      <w:r>
        <w:rPr>
          <w:spacing w:val="29"/>
          <w:w w:val="115"/>
          <w:sz w:val="20"/>
        </w:rPr>
        <w:t> </w:t>
      </w:r>
      <w:r>
        <w:rPr>
          <w:w w:val="115"/>
          <w:sz w:val="20"/>
        </w:rPr>
        <w:t>Church</w:t>
      </w:r>
      <w:r>
        <w:rPr>
          <w:spacing w:val="29"/>
          <w:w w:val="115"/>
          <w:sz w:val="20"/>
        </w:rPr>
        <w:t> </w:t>
      </w:r>
      <w:r>
        <w:rPr>
          <w:w w:val="115"/>
          <w:sz w:val="20"/>
        </w:rPr>
        <w:t>of</w:t>
      </w:r>
      <w:r>
        <w:rPr>
          <w:spacing w:val="29"/>
          <w:w w:val="115"/>
          <w:sz w:val="20"/>
        </w:rPr>
        <w:t> </w:t>
      </w:r>
      <w:r>
        <w:rPr>
          <w:w w:val="115"/>
          <w:sz w:val="20"/>
        </w:rPr>
        <w:t>England</w:t>
        <w:tab/>
        <w:t>The Revd Graham Maskery</w:t>
      </w:r>
      <w:r>
        <w:rPr>
          <w:spacing w:val="26"/>
          <w:w w:val="115"/>
          <w:sz w:val="20"/>
        </w:rPr>
        <w:t> </w:t>
      </w:r>
      <w:r>
        <w:rPr>
          <w:w w:val="115"/>
          <w:sz w:val="20"/>
        </w:rPr>
        <w:t>[2016]</w:t>
      </w:r>
    </w:p>
    <w:p>
      <w:pPr>
        <w:pStyle w:val="ListParagraph"/>
        <w:numPr>
          <w:ilvl w:val="1"/>
          <w:numId w:val="232"/>
        </w:numPr>
        <w:tabs>
          <w:tab w:pos="1287" w:val="left" w:leader="none"/>
          <w:tab w:pos="1288" w:val="left" w:leader="none"/>
          <w:tab w:pos="5647" w:val="left" w:leader="none"/>
        </w:tabs>
        <w:spacing w:line="223" w:lineRule="auto" w:before="0" w:after="0"/>
        <w:ind w:left="6367" w:right="2824" w:hanging="5761"/>
        <w:jc w:val="left"/>
        <w:rPr>
          <w:sz w:val="20"/>
        </w:rPr>
      </w:pPr>
      <w:r>
        <w:rPr>
          <w:w w:val="115"/>
          <w:sz w:val="20"/>
        </w:rPr>
        <w:t>Methodist</w:t>
      </w:r>
      <w:r>
        <w:rPr>
          <w:spacing w:val="48"/>
          <w:w w:val="115"/>
          <w:sz w:val="20"/>
        </w:rPr>
        <w:t> </w:t>
      </w:r>
      <w:r>
        <w:rPr>
          <w:w w:val="115"/>
          <w:sz w:val="20"/>
        </w:rPr>
        <w:t>Conference</w:t>
        <w:tab/>
        <w:t>Secretary for Ecumenical </w:t>
      </w:r>
      <w:r>
        <w:rPr>
          <w:spacing w:val="-5"/>
          <w:w w:val="115"/>
          <w:sz w:val="20"/>
        </w:rPr>
        <w:t>and </w:t>
      </w:r>
      <w:r>
        <w:rPr>
          <w:w w:val="115"/>
          <w:sz w:val="20"/>
        </w:rPr>
        <w:t>Interfaith</w:t>
      </w:r>
      <w:r>
        <w:rPr>
          <w:spacing w:val="2"/>
          <w:w w:val="115"/>
          <w:sz w:val="20"/>
        </w:rPr>
        <w:t> </w:t>
      </w:r>
      <w:r>
        <w:rPr>
          <w:w w:val="115"/>
          <w:sz w:val="20"/>
        </w:rPr>
        <w:t>Relations</w:t>
      </w:r>
    </w:p>
    <w:p>
      <w:pPr>
        <w:pStyle w:val="ListParagraph"/>
        <w:numPr>
          <w:ilvl w:val="1"/>
          <w:numId w:val="232"/>
        </w:numPr>
        <w:tabs>
          <w:tab w:pos="1287" w:val="left" w:leader="none"/>
          <w:tab w:pos="1288" w:val="left" w:leader="none"/>
          <w:tab w:pos="5647" w:val="left" w:leader="none"/>
        </w:tabs>
        <w:spacing w:line="223" w:lineRule="auto" w:before="1" w:after="0"/>
        <w:ind w:left="6367" w:right="2824" w:hanging="5761"/>
        <w:jc w:val="left"/>
        <w:rPr>
          <w:sz w:val="20"/>
        </w:rPr>
      </w:pPr>
      <w:r>
        <w:rPr>
          <w:w w:val="120"/>
          <w:sz w:val="20"/>
        </w:rPr>
        <w:t>Congregational</w:t>
      </w:r>
      <w:r>
        <w:rPr>
          <w:spacing w:val="-4"/>
          <w:w w:val="120"/>
          <w:sz w:val="20"/>
        </w:rPr>
        <w:t> </w:t>
      </w:r>
      <w:r>
        <w:rPr>
          <w:w w:val="120"/>
          <w:sz w:val="20"/>
        </w:rPr>
        <w:t>Federation</w:t>
        <w:tab/>
        <w:t>Secretary</w:t>
      </w:r>
      <w:r>
        <w:rPr>
          <w:spacing w:val="-15"/>
          <w:w w:val="120"/>
          <w:sz w:val="20"/>
        </w:rPr>
        <w:t> </w:t>
      </w:r>
      <w:r>
        <w:rPr>
          <w:w w:val="120"/>
          <w:sz w:val="20"/>
        </w:rPr>
        <w:t>for</w:t>
      </w:r>
      <w:r>
        <w:rPr>
          <w:spacing w:val="-16"/>
          <w:w w:val="120"/>
          <w:sz w:val="20"/>
        </w:rPr>
        <w:t> </w:t>
      </w:r>
      <w:r>
        <w:rPr>
          <w:w w:val="120"/>
          <w:sz w:val="20"/>
        </w:rPr>
        <w:t>Ecumenical</w:t>
      </w:r>
      <w:r>
        <w:rPr>
          <w:spacing w:val="-16"/>
          <w:w w:val="120"/>
          <w:sz w:val="20"/>
        </w:rPr>
        <w:t> </w:t>
      </w:r>
      <w:r>
        <w:rPr>
          <w:spacing w:val="-5"/>
          <w:w w:val="120"/>
          <w:sz w:val="20"/>
        </w:rPr>
        <w:t>and </w:t>
      </w:r>
      <w:r>
        <w:rPr>
          <w:w w:val="120"/>
          <w:sz w:val="20"/>
        </w:rPr>
        <w:t>Interfaith</w:t>
      </w:r>
      <w:r>
        <w:rPr>
          <w:spacing w:val="-13"/>
          <w:w w:val="120"/>
          <w:sz w:val="20"/>
        </w:rPr>
        <w:t> </w:t>
      </w:r>
      <w:r>
        <w:rPr>
          <w:w w:val="120"/>
          <w:sz w:val="20"/>
        </w:rPr>
        <w:t>Relations</w:t>
      </w:r>
    </w:p>
    <w:p>
      <w:pPr>
        <w:pStyle w:val="ListParagraph"/>
        <w:numPr>
          <w:ilvl w:val="1"/>
          <w:numId w:val="232"/>
        </w:numPr>
        <w:tabs>
          <w:tab w:pos="1287" w:val="left" w:leader="none"/>
          <w:tab w:pos="1288" w:val="left" w:leader="none"/>
          <w:tab w:pos="5647" w:val="left" w:leader="none"/>
          <w:tab w:pos="6367" w:val="left" w:leader="none"/>
        </w:tabs>
        <w:spacing w:line="223" w:lineRule="auto" w:before="1" w:after="0"/>
        <w:ind w:left="1287" w:right="2495" w:hanging="681"/>
        <w:jc w:val="left"/>
        <w:rPr>
          <w:sz w:val="20"/>
        </w:rPr>
      </w:pPr>
      <w:r>
        <w:rPr>
          <w:w w:val="115"/>
          <w:sz w:val="20"/>
        </w:rPr>
        <w:t>General Assembly of </w:t>
      </w:r>
      <w:r>
        <w:rPr>
          <w:spacing w:val="12"/>
          <w:w w:val="115"/>
          <w:sz w:val="20"/>
        </w:rPr>
        <w:t> </w:t>
      </w:r>
      <w:r>
        <w:rPr>
          <w:spacing w:val="-3"/>
          <w:w w:val="115"/>
          <w:sz w:val="20"/>
        </w:rPr>
        <w:t>Church</w:t>
      </w:r>
      <w:r>
        <w:rPr>
          <w:spacing w:val="16"/>
          <w:w w:val="115"/>
          <w:sz w:val="20"/>
        </w:rPr>
        <w:t> </w:t>
      </w:r>
      <w:r>
        <w:rPr>
          <w:w w:val="115"/>
          <w:sz w:val="20"/>
        </w:rPr>
        <w:t>of</w:t>
        <w:tab/>
        <w:t>Moderator, Chaplain, and </w:t>
      </w:r>
      <w:r>
        <w:rPr>
          <w:spacing w:val="-3"/>
          <w:w w:val="115"/>
          <w:sz w:val="20"/>
        </w:rPr>
        <w:t>synod Scotland</w:t>
      </w:r>
      <w:r>
        <w:rPr>
          <w:spacing w:val="32"/>
          <w:w w:val="115"/>
          <w:sz w:val="20"/>
        </w:rPr>
        <w:t> </w:t>
      </w:r>
      <w:r>
        <w:rPr>
          <w:spacing w:val="-4"/>
          <w:w w:val="115"/>
          <w:sz w:val="20"/>
        </w:rPr>
        <w:t>[note</w:t>
      </w:r>
      <w:r>
        <w:rPr>
          <w:spacing w:val="33"/>
          <w:w w:val="115"/>
          <w:sz w:val="20"/>
        </w:rPr>
        <w:t> </w:t>
      </w:r>
      <w:r>
        <w:rPr>
          <w:w w:val="115"/>
          <w:sz w:val="20"/>
        </w:rPr>
        <w:t>7]</w:t>
        <w:tab/>
        <w:tab/>
        <w:t>representative</w:t>
      </w:r>
    </w:p>
    <w:p>
      <w:pPr>
        <w:pStyle w:val="ListParagraph"/>
        <w:numPr>
          <w:ilvl w:val="1"/>
          <w:numId w:val="232"/>
        </w:numPr>
        <w:tabs>
          <w:tab w:pos="1287" w:val="left" w:leader="none"/>
          <w:tab w:pos="1288" w:val="left" w:leader="none"/>
          <w:tab w:pos="5647" w:val="left" w:leader="none"/>
        </w:tabs>
        <w:spacing w:line="242" w:lineRule="exact" w:before="0" w:after="0"/>
        <w:ind w:left="1287" w:right="0" w:hanging="681"/>
        <w:jc w:val="left"/>
        <w:rPr>
          <w:sz w:val="20"/>
        </w:rPr>
      </w:pPr>
      <w:r>
        <w:rPr>
          <w:w w:val="120"/>
          <w:sz w:val="20"/>
        </w:rPr>
        <w:t>United Free Church of Scotland</w:t>
      </w:r>
      <w:r>
        <w:rPr>
          <w:spacing w:val="-14"/>
          <w:w w:val="120"/>
          <w:sz w:val="20"/>
        </w:rPr>
        <w:t> </w:t>
      </w:r>
      <w:r>
        <w:rPr>
          <w:w w:val="120"/>
          <w:sz w:val="20"/>
        </w:rPr>
        <w:t>[note</w:t>
      </w:r>
      <w:r>
        <w:rPr>
          <w:spacing w:val="-2"/>
          <w:w w:val="120"/>
          <w:sz w:val="20"/>
        </w:rPr>
        <w:t> </w:t>
      </w:r>
      <w:r>
        <w:rPr>
          <w:w w:val="120"/>
          <w:sz w:val="20"/>
        </w:rPr>
        <w:t>7]</w:t>
        <w:tab/>
        <w:t>synod</w:t>
      </w:r>
      <w:r>
        <w:rPr>
          <w:spacing w:val="1"/>
          <w:w w:val="120"/>
          <w:sz w:val="20"/>
        </w:rPr>
        <w:t> </w:t>
      </w:r>
      <w:r>
        <w:rPr>
          <w:w w:val="120"/>
          <w:sz w:val="20"/>
        </w:rPr>
        <w:t>nomination</w:t>
      </w:r>
    </w:p>
    <w:p>
      <w:pPr>
        <w:pStyle w:val="ListParagraph"/>
        <w:numPr>
          <w:ilvl w:val="1"/>
          <w:numId w:val="232"/>
        </w:numPr>
        <w:tabs>
          <w:tab w:pos="1287" w:val="left" w:leader="none"/>
          <w:tab w:pos="1288" w:val="left" w:leader="none"/>
        </w:tabs>
        <w:spacing w:line="246" w:lineRule="exact" w:before="0" w:after="0"/>
        <w:ind w:left="1287" w:right="0" w:hanging="681"/>
        <w:jc w:val="left"/>
        <w:rPr>
          <w:sz w:val="20"/>
        </w:rPr>
      </w:pPr>
      <w:r>
        <w:rPr>
          <w:w w:val="120"/>
          <w:sz w:val="20"/>
        </w:rPr>
        <w:t>Scottish Assembly of the</w:t>
      </w:r>
      <w:r>
        <w:rPr>
          <w:spacing w:val="6"/>
          <w:w w:val="120"/>
          <w:sz w:val="20"/>
        </w:rPr>
        <w:t> </w:t>
      </w:r>
      <w:r>
        <w:rPr>
          <w:w w:val="120"/>
          <w:sz w:val="20"/>
        </w:rPr>
        <w:t>Congregational</w:t>
      </w:r>
    </w:p>
    <w:p>
      <w:pPr>
        <w:pStyle w:val="BodyText"/>
        <w:tabs>
          <w:tab w:pos="5647" w:val="left" w:leader="none"/>
        </w:tabs>
        <w:spacing w:line="227" w:lineRule="exact"/>
        <w:ind w:left="1287"/>
      </w:pPr>
      <w:r>
        <w:rPr>
          <w:spacing w:val="-3"/>
          <w:w w:val="120"/>
        </w:rPr>
        <w:t>Federation</w:t>
      </w:r>
      <w:r>
        <w:rPr>
          <w:spacing w:val="-9"/>
          <w:w w:val="120"/>
        </w:rPr>
        <w:t> </w:t>
      </w:r>
      <w:r>
        <w:rPr>
          <w:spacing w:val="-4"/>
          <w:w w:val="120"/>
        </w:rPr>
        <w:t>[note</w:t>
      </w:r>
      <w:r>
        <w:rPr>
          <w:spacing w:val="-9"/>
          <w:w w:val="120"/>
        </w:rPr>
        <w:t> </w:t>
      </w:r>
      <w:r>
        <w:rPr>
          <w:w w:val="120"/>
        </w:rPr>
        <w:t>7]</w:t>
        <w:tab/>
      </w:r>
      <w:r>
        <w:rPr>
          <w:spacing w:val="-3"/>
          <w:w w:val="120"/>
        </w:rPr>
        <w:t>synod nomination</w:t>
      </w:r>
    </w:p>
    <w:p>
      <w:pPr>
        <w:pStyle w:val="ListParagraph"/>
        <w:numPr>
          <w:ilvl w:val="1"/>
          <w:numId w:val="232"/>
        </w:numPr>
        <w:tabs>
          <w:tab w:pos="1287" w:val="left" w:leader="none"/>
          <w:tab w:pos="1288" w:val="left" w:leader="none"/>
          <w:tab w:pos="5647" w:val="left" w:leader="none"/>
        </w:tabs>
        <w:spacing w:line="247" w:lineRule="exact" w:before="0" w:after="0"/>
        <w:ind w:left="1287" w:right="0" w:hanging="681"/>
        <w:jc w:val="left"/>
        <w:rPr>
          <w:sz w:val="20"/>
        </w:rPr>
      </w:pPr>
      <w:r>
        <w:rPr>
          <w:w w:val="120"/>
          <w:sz w:val="20"/>
        </w:rPr>
        <w:t>Scottish Episcopal Church</w:t>
      </w:r>
      <w:r>
        <w:rPr>
          <w:spacing w:val="6"/>
          <w:w w:val="120"/>
          <w:sz w:val="20"/>
        </w:rPr>
        <w:t> </w:t>
      </w:r>
      <w:r>
        <w:rPr>
          <w:w w:val="120"/>
          <w:sz w:val="20"/>
        </w:rPr>
        <w:t>[note</w:t>
      </w:r>
      <w:r>
        <w:rPr>
          <w:spacing w:val="2"/>
          <w:w w:val="120"/>
          <w:sz w:val="20"/>
        </w:rPr>
        <w:t> </w:t>
      </w:r>
      <w:r>
        <w:rPr>
          <w:w w:val="120"/>
          <w:sz w:val="20"/>
        </w:rPr>
        <w:t>7]</w:t>
        <w:tab/>
        <w:t>synod</w:t>
      </w:r>
      <w:r>
        <w:rPr>
          <w:spacing w:val="-16"/>
          <w:w w:val="120"/>
          <w:sz w:val="20"/>
        </w:rPr>
        <w:t> </w:t>
      </w:r>
      <w:r>
        <w:rPr>
          <w:w w:val="120"/>
          <w:sz w:val="20"/>
        </w:rPr>
        <w:t>nomination</w:t>
      </w:r>
    </w:p>
    <w:p>
      <w:pPr>
        <w:pStyle w:val="ListParagraph"/>
        <w:numPr>
          <w:ilvl w:val="1"/>
          <w:numId w:val="232"/>
        </w:numPr>
        <w:tabs>
          <w:tab w:pos="1287" w:val="left" w:leader="none"/>
          <w:tab w:pos="1288" w:val="left" w:leader="none"/>
          <w:tab w:pos="5647" w:val="left" w:leader="none"/>
        </w:tabs>
        <w:spacing w:line="240" w:lineRule="exact" w:before="0" w:after="0"/>
        <w:ind w:left="1287" w:right="0" w:hanging="681"/>
        <w:jc w:val="left"/>
        <w:rPr>
          <w:sz w:val="20"/>
        </w:rPr>
      </w:pPr>
      <w:r>
        <w:rPr>
          <w:w w:val="120"/>
          <w:sz w:val="20"/>
        </w:rPr>
        <w:t>Methodist Church in Scotland</w:t>
      </w:r>
      <w:r>
        <w:rPr>
          <w:spacing w:val="-2"/>
          <w:w w:val="120"/>
          <w:sz w:val="20"/>
        </w:rPr>
        <w:t> </w:t>
      </w:r>
      <w:r>
        <w:rPr>
          <w:w w:val="120"/>
          <w:sz w:val="20"/>
        </w:rPr>
        <w:t>[note 7]</w:t>
        <w:tab/>
        <w:t>synod</w:t>
      </w:r>
      <w:r>
        <w:rPr>
          <w:spacing w:val="-16"/>
          <w:w w:val="120"/>
          <w:sz w:val="20"/>
        </w:rPr>
        <w:t> </w:t>
      </w:r>
      <w:r>
        <w:rPr>
          <w:w w:val="120"/>
          <w:sz w:val="20"/>
        </w:rPr>
        <w:t>nomination</w:t>
      </w:r>
    </w:p>
    <w:p>
      <w:pPr>
        <w:pStyle w:val="ListParagraph"/>
        <w:numPr>
          <w:ilvl w:val="1"/>
          <w:numId w:val="232"/>
        </w:numPr>
        <w:tabs>
          <w:tab w:pos="1287" w:val="left" w:leader="none"/>
          <w:tab w:pos="1288" w:val="left" w:leader="none"/>
          <w:tab w:pos="5647" w:val="left" w:leader="none"/>
        </w:tabs>
        <w:spacing w:line="240" w:lineRule="exact" w:before="0" w:after="0"/>
        <w:ind w:left="1287" w:right="0" w:hanging="681"/>
        <w:jc w:val="left"/>
        <w:rPr>
          <w:sz w:val="20"/>
        </w:rPr>
      </w:pPr>
      <w:r>
        <w:rPr>
          <w:w w:val="120"/>
          <w:sz w:val="20"/>
        </w:rPr>
        <w:t>Baptist Union of Scotland</w:t>
      </w:r>
      <w:r>
        <w:rPr>
          <w:spacing w:val="-21"/>
          <w:w w:val="120"/>
          <w:sz w:val="20"/>
        </w:rPr>
        <w:t> </w:t>
      </w:r>
      <w:r>
        <w:rPr>
          <w:w w:val="120"/>
          <w:sz w:val="20"/>
        </w:rPr>
        <w:t>[note</w:t>
      </w:r>
      <w:r>
        <w:rPr>
          <w:spacing w:val="-5"/>
          <w:w w:val="120"/>
          <w:sz w:val="20"/>
        </w:rPr>
        <w:t> </w:t>
      </w:r>
      <w:r>
        <w:rPr>
          <w:w w:val="120"/>
          <w:sz w:val="20"/>
        </w:rPr>
        <w:t>7]</w:t>
        <w:tab/>
        <w:t>synod</w:t>
      </w:r>
      <w:r>
        <w:rPr>
          <w:spacing w:val="-15"/>
          <w:w w:val="120"/>
          <w:sz w:val="20"/>
        </w:rPr>
        <w:t> </w:t>
      </w:r>
      <w:r>
        <w:rPr>
          <w:w w:val="120"/>
          <w:sz w:val="20"/>
        </w:rPr>
        <w:t>nomination</w:t>
      </w:r>
    </w:p>
    <w:p>
      <w:pPr>
        <w:pStyle w:val="ListParagraph"/>
        <w:numPr>
          <w:ilvl w:val="1"/>
          <w:numId w:val="232"/>
        </w:numPr>
        <w:tabs>
          <w:tab w:pos="1287" w:val="left" w:leader="none"/>
          <w:tab w:pos="1288" w:val="left" w:leader="none"/>
          <w:tab w:pos="5647" w:val="left" w:leader="none"/>
        </w:tabs>
        <w:spacing w:line="240" w:lineRule="exact" w:before="0" w:after="0"/>
        <w:ind w:left="1287" w:right="0" w:hanging="681"/>
        <w:jc w:val="left"/>
        <w:rPr>
          <w:sz w:val="20"/>
        </w:rPr>
      </w:pPr>
      <w:r>
        <w:rPr>
          <w:w w:val="120"/>
          <w:sz w:val="20"/>
        </w:rPr>
        <w:t>Presbyterian Church of</w:t>
      </w:r>
      <w:r>
        <w:rPr>
          <w:spacing w:val="-40"/>
          <w:w w:val="120"/>
          <w:sz w:val="20"/>
        </w:rPr>
        <w:t> </w:t>
      </w:r>
      <w:r>
        <w:rPr>
          <w:w w:val="120"/>
          <w:sz w:val="20"/>
        </w:rPr>
        <w:t>Wales</w:t>
      </w:r>
      <w:r>
        <w:rPr>
          <w:spacing w:val="-13"/>
          <w:w w:val="120"/>
          <w:sz w:val="20"/>
        </w:rPr>
        <w:t> </w:t>
      </w:r>
      <w:r>
        <w:rPr>
          <w:w w:val="120"/>
          <w:sz w:val="20"/>
        </w:rPr>
        <w:t>[note7]</w:t>
        <w:tab/>
        <w:t>synod</w:t>
      </w:r>
      <w:r>
        <w:rPr>
          <w:spacing w:val="-16"/>
          <w:w w:val="120"/>
          <w:sz w:val="20"/>
        </w:rPr>
        <w:t> </w:t>
      </w:r>
      <w:r>
        <w:rPr>
          <w:w w:val="120"/>
          <w:sz w:val="20"/>
        </w:rPr>
        <w:t>nomination</w:t>
      </w:r>
    </w:p>
    <w:p>
      <w:pPr>
        <w:pStyle w:val="ListParagraph"/>
        <w:numPr>
          <w:ilvl w:val="1"/>
          <w:numId w:val="232"/>
        </w:numPr>
        <w:tabs>
          <w:tab w:pos="1287" w:val="left" w:leader="none"/>
          <w:tab w:pos="1288" w:val="left" w:leader="none"/>
          <w:tab w:pos="5647" w:val="left" w:leader="none"/>
        </w:tabs>
        <w:spacing w:line="240" w:lineRule="exact" w:before="0" w:after="0"/>
        <w:ind w:left="1287" w:right="0" w:hanging="681"/>
        <w:jc w:val="left"/>
        <w:rPr>
          <w:sz w:val="20"/>
        </w:rPr>
      </w:pPr>
      <w:r>
        <w:rPr>
          <w:w w:val="120"/>
          <w:sz w:val="20"/>
        </w:rPr>
        <w:t>Union of Welsh Independents</w:t>
      </w:r>
      <w:r>
        <w:rPr>
          <w:spacing w:val="-21"/>
          <w:w w:val="120"/>
          <w:sz w:val="20"/>
        </w:rPr>
        <w:t> </w:t>
      </w:r>
      <w:r>
        <w:rPr>
          <w:w w:val="120"/>
          <w:sz w:val="20"/>
        </w:rPr>
        <w:t>[note</w:t>
      </w:r>
      <w:r>
        <w:rPr>
          <w:spacing w:val="-5"/>
          <w:w w:val="120"/>
          <w:sz w:val="20"/>
        </w:rPr>
        <w:t> </w:t>
      </w:r>
      <w:r>
        <w:rPr>
          <w:w w:val="120"/>
          <w:sz w:val="20"/>
        </w:rPr>
        <w:t>7]</w:t>
        <w:tab/>
        <w:t>synod</w:t>
      </w:r>
      <w:r>
        <w:rPr>
          <w:spacing w:val="-15"/>
          <w:w w:val="120"/>
          <w:sz w:val="20"/>
        </w:rPr>
        <w:t> </w:t>
      </w:r>
      <w:r>
        <w:rPr>
          <w:w w:val="120"/>
          <w:sz w:val="20"/>
        </w:rPr>
        <w:t>nomination</w:t>
      </w:r>
    </w:p>
    <w:p>
      <w:pPr>
        <w:pStyle w:val="ListParagraph"/>
        <w:numPr>
          <w:ilvl w:val="1"/>
          <w:numId w:val="232"/>
        </w:numPr>
        <w:tabs>
          <w:tab w:pos="1287" w:val="left" w:leader="none"/>
          <w:tab w:pos="1288" w:val="left" w:leader="none"/>
          <w:tab w:pos="5647" w:val="left" w:leader="none"/>
        </w:tabs>
        <w:spacing w:line="240" w:lineRule="exact" w:before="0" w:after="0"/>
        <w:ind w:left="1287" w:right="0" w:hanging="681"/>
        <w:jc w:val="left"/>
        <w:rPr>
          <w:sz w:val="20"/>
        </w:rPr>
      </w:pPr>
      <w:r>
        <w:rPr>
          <w:w w:val="120"/>
          <w:sz w:val="20"/>
        </w:rPr>
        <w:t>Covenanted</w:t>
      </w:r>
      <w:r>
        <w:rPr>
          <w:spacing w:val="-12"/>
          <w:w w:val="120"/>
          <w:sz w:val="20"/>
        </w:rPr>
        <w:t> </w:t>
      </w:r>
      <w:r>
        <w:rPr>
          <w:w w:val="120"/>
          <w:sz w:val="20"/>
        </w:rPr>
        <w:t>Baptists</w:t>
        <w:tab/>
        <w:t>synod</w:t>
      </w:r>
      <w:r>
        <w:rPr>
          <w:spacing w:val="-16"/>
          <w:w w:val="120"/>
          <w:sz w:val="20"/>
        </w:rPr>
        <w:t> </w:t>
      </w:r>
      <w:r>
        <w:rPr>
          <w:w w:val="120"/>
          <w:sz w:val="20"/>
        </w:rPr>
        <w:t>nomination</w:t>
      </w:r>
    </w:p>
    <w:p>
      <w:pPr>
        <w:pStyle w:val="ListParagraph"/>
        <w:numPr>
          <w:ilvl w:val="1"/>
          <w:numId w:val="232"/>
        </w:numPr>
        <w:tabs>
          <w:tab w:pos="1287" w:val="left" w:leader="none"/>
          <w:tab w:pos="1288" w:val="left" w:leader="none"/>
          <w:tab w:pos="5647" w:val="left" w:leader="none"/>
        </w:tabs>
        <w:spacing w:line="240" w:lineRule="exact" w:before="0" w:after="0"/>
        <w:ind w:left="1287" w:right="0" w:hanging="681"/>
        <w:jc w:val="left"/>
        <w:rPr>
          <w:sz w:val="20"/>
        </w:rPr>
      </w:pPr>
      <w:r>
        <w:rPr>
          <w:w w:val="120"/>
          <w:sz w:val="20"/>
        </w:rPr>
        <w:t>Church in Wales Governing Board</w:t>
      </w:r>
      <w:r>
        <w:rPr>
          <w:spacing w:val="-14"/>
          <w:w w:val="120"/>
          <w:sz w:val="20"/>
        </w:rPr>
        <w:t> </w:t>
      </w:r>
      <w:r>
        <w:rPr>
          <w:w w:val="120"/>
          <w:sz w:val="20"/>
        </w:rPr>
        <w:t>[note</w:t>
      </w:r>
      <w:r>
        <w:rPr>
          <w:spacing w:val="-3"/>
          <w:w w:val="120"/>
          <w:sz w:val="20"/>
        </w:rPr>
        <w:t> </w:t>
      </w:r>
      <w:r>
        <w:rPr>
          <w:w w:val="120"/>
          <w:sz w:val="20"/>
        </w:rPr>
        <w:t>7]</w:t>
        <w:tab/>
        <w:t>synod</w:t>
      </w:r>
      <w:r>
        <w:rPr>
          <w:spacing w:val="2"/>
          <w:w w:val="120"/>
          <w:sz w:val="20"/>
        </w:rPr>
        <w:t> </w:t>
      </w:r>
      <w:r>
        <w:rPr>
          <w:w w:val="120"/>
          <w:sz w:val="20"/>
        </w:rPr>
        <w:t>nomination</w:t>
      </w:r>
    </w:p>
    <w:p>
      <w:pPr>
        <w:pStyle w:val="ListParagraph"/>
        <w:numPr>
          <w:ilvl w:val="1"/>
          <w:numId w:val="232"/>
        </w:numPr>
        <w:tabs>
          <w:tab w:pos="1287" w:val="left" w:leader="none"/>
          <w:tab w:pos="1288" w:val="left" w:leader="none"/>
          <w:tab w:pos="5647" w:val="left" w:leader="none"/>
        </w:tabs>
        <w:spacing w:line="255" w:lineRule="exact" w:before="0" w:after="0"/>
        <w:ind w:left="1287" w:right="0" w:hanging="681"/>
        <w:jc w:val="left"/>
        <w:rPr>
          <w:sz w:val="20"/>
        </w:rPr>
      </w:pPr>
      <w:r>
        <w:rPr>
          <w:w w:val="120"/>
          <w:sz w:val="20"/>
        </w:rPr>
        <w:t>Provincial Synod of the</w:t>
      </w:r>
      <w:r>
        <w:rPr>
          <w:spacing w:val="-31"/>
          <w:w w:val="120"/>
          <w:sz w:val="20"/>
        </w:rPr>
        <w:t> </w:t>
      </w:r>
      <w:r>
        <w:rPr>
          <w:w w:val="120"/>
          <w:sz w:val="20"/>
        </w:rPr>
        <w:t>Moravian</w:t>
      </w:r>
      <w:r>
        <w:rPr>
          <w:spacing w:val="-8"/>
          <w:w w:val="120"/>
          <w:sz w:val="20"/>
        </w:rPr>
        <w:t> </w:t>
      </w:r>
      <w:r>
        <w:rPr>
          <w:w w:val="120"/>
          <w:sz w:val="20"/>
        </w:rPr>
        <w:t>Church</w:t>
        <w:tab/>
        <w:t>The Revd Edward</w:t>
      </w:r>
      <w:r>
        <w:rPr>
          <w:spacing w:val="4"/>
          <w:w w:val="120"/>
          <w:sz w:val="20"/>
        </w:rPr>
        <w:t> </w:t>
      </w:r>
      <w:r>
        <w:rPr>
          <w:w w:val="120"/>
          <w:sz w:val="20"/>
        </w:rPr>
        <w:t>Sanniez</w:t>
      </w:r>
    </w:p>
    <w:p>
      <w:pPr>
        <w:pStyle w:val="BodyText"/>
        <w:spacing w:before="8"/>
        <w:rPr>
          <w:sz w:val="17"/>
        </w:rPr>
      </w:pPr>
    </w:p>
    <w:p>
      <w:pPr>
        <w:pStyle w:val="Heading2"/>
        <w:numPr>
          <w:ilvl w:val="0"/>
          <w:numId w:val="232"/>
        </w:numPr>
        <w:tabs>
          <w:tab w:pos="1287" w:val="left" w:leader="none"/>
          <w:tab w:pos="1288" w:val="left" w:leader="none"/>
        </w:tabs>
        <w:spacing w:line="240" w:lineRule="auto" w:before="0" w:after="0"/>
        <w:ind w:left="1287" w:right="0" w:hanging="681"/>
        <w:jc w:val="left"/>
      </w:pPr>
      <w:r>
        <w:rPr>
          <w:spacing w:val="-3"/>
          <w:w w:val="110"/>
        </w:rPr>
        <w:t>Representatives </w:t>
      </w:r>
      <w:r>
        <w:rPr>
          <w:w w:val="110"/>
        </w:rPr>
        <w:t>on ecumenical church</w:t>
      </w:r>
      <w:r>
        <w:rPr>
          <w:spacing w:val="10"/>
          <w:w w:val="110"/>
        </w:rPr>
        <w:t> </w:t>
      </w:r>
      <w:r>
        <w:rPr>
          <w:w w:val="110"/>
        </w:rPr>
        <w:t>bodies</w:t>
      </w:r>
    </w:p>
    <w:p>
      <w:pPr>
        <w:pStyle w:val="BodyText"/>
        <w:spacing w:line="235" w:lineRule="auto" w:before="83"/>
        <w:ind w:left="607" w:right="2045"/>
      </w:pPr>
      <w:r>
        <w:rPr>
          <w:w w:val="115"/>
        </w:rPr>
        <w:t>The following have been nominated as URC representatives at the major gatherings of the Ecumenical Bodies listed.</w:t>
      </w:r>
    </w:p>
    <w:p>
      <w:pPr>
        <w:pStyle w:val="BodyText"/>
        <w:spacing w:before="5"/>
        <w:rPr>
          <w:sz w:val="18"/>
        </w:rPr>
      </w:pPr>
    </w:p>
    <w:p>
      <w:pPr>
        <w:pStyle w:val="Heading7"/>
        <w:numPr>
          <w:ilvl w:val="1"/>
          <w:numId w:val="232"/>
        </w:numPr>
        <w:tabs>
          <w:tab w:pos="1327" w:val="left" w:leader="none"/>
          <w:tab w:pos="1328" w:val="left" w:leader="none"/>
        </w:tabs>
        <w:spacing w:line="261" w:lineRule="exact" w:before="0" w:after="0"/>
        <w:ind w:left="1327" w:right="0" w:hanging="721"/>
        <w:jc w:val="left"/>
      </w:pPr>
      <w:r>
        <w:rPr>
          <w:w w:val="110"/>
        </w:rPr>
        <w:t>Council for World Mission</w:t>
      </w:r>
      <w:r>
        <w:rPr>
          <w:spacing w:val="-2"/>
          <w:w w:val="110"/>
        </w:rPr>
        <w:t> </w:t>
      </w:r>
      <w:r>
        <w:rPr>
          <w:w w:val="110"/>
        </w:rPr>
        <w:t>(CWM)</w:t>
      </w:r>
    </w:p>
    <w:p>
      <w:pPr>
        <w:pStyle w:val="BodyText"/>
        <w:tabs>
          <w:tab w:pos="4927" w:val="left" w:leader="none"/>
        </w:tabs>
        <w:spacing w:line="233" w:lineRule="exact"/>
        <w:ind w:left="1327"/>
      </w:pPr>
      <w:r>
        <w:rPr>
          <w:w w:val="120"/>
        </w:rPr>
        <w:t>The Revd</w:t>
      </w:r>
      <w:r>
        <w:rPr>
          <w:spacing w:val="-25"/>
          <w:w w:val="120"/>
        </w:rPr>
        <w:t> </w:t>
      </w:r>
      <w:r>
        <w:rPr>
          <w:w w:val="120"/>
        </w:rPr>
        <w:t>Peter</w:t>
      </w:r>
      <w:r>
        <w:rPr>
          <w:spacing w:val="-12"/>
          <w:w w:val="120"/>
        </w:rPr>
        <w:t> </w:t>
      </w:r>
      <w:r>
        <w:rPr>
          <w:w w:val="120"/>
        </w:rPr>
        <w:t>Ball</w:t>
        <w:tab/>
        <w:t>The Revd Zaidie</w:t>
      </w:r>
      <w:r>
        <w:rPr>
          <w:spacing w:val="7"/>
          <w:w w:val="120"/>
        </w:rPr>
        <w:t> </w:t>
      </w:r>
      <w:r>
        <w:rPr>
          <w:w w:val="120"/>
        </w:rPr>
        <w:t>Orr</w:t>
      </w:r>
    </w:p>
    <w:p>
      <w:pPr>
        <w:pStyle w:val="BodyText"/>
        <w:tabs>
          <w:tab w:pos="4927" w:val="left" w:leader="none"/>
        </w:tabs>
        <w:spacing w:line="242" w:lineRule="exact"/>
        <w:ind w:left="1327"/>
      </w:pPr>
      <w:r>
        <w:rPr>
          <w:w w:val="115"/>
        </w:rPr>
        <w:t>Mr</w:t>
      </w:r>
      <w:r>
        <w:rPr>
          <w:spacing w:val="6"/>
          <w:w w:val="115"/>
        </w:rPr>
        <w:t> </w:t>
      </w:r>
      <w:r>
        <w:rPr>
          <w:w w:val="115"/>
        </w:rPr>
        <w:t>Stephen</w:t>
      </w:r>
      <w:r>
        <w:rPr>
          <w:spacing w:val="7"/>
          <w:w w:val="115"/>
        </w:rPr>
        <w:t> </w:t>
      </w:r>
      <w:r>
        <w:rPr>
          <w:w w:val="115"/>
        </w:rPr>
        <w:t>Ball</w:t>
        <w:tab/>
        <w:t>Mr John</w:t>
      </w:r>
      <w:r>
        <w:rPr>
          <w:spacing w:val="8"/>
          <w:w w:val="115"/>
        </w:rPr>
        <w:t> </w:t>
      </w:r>
      <w:r>
        <w:rPr>
          <w:w w:val="115"/>
        </w:rPr>
        <w:t>Ellis</w:t>
      </w:r>
    </w:p>
    <w:p>
      <w:pPr>
        <w:pStyle w:val="BodyText"/>
        <w:spacing w:before="4"/>
        <w:rPr>
          <w:sz w:val="18"/>
        </w:rPr>
      </w:pPr>
    </w:p>
    <w:p>
      <w:pPr>
        <w:pStyle w:val="Heading7"/>
        <w:numPr>
          <w:ilvl w:val="2"/>
          <w:numId w:val="232"/>
        </w:numPr>
        <w:tabs>
          <w:tab w:pos="1328" w:val="left" w:leader="none"/>
        </w:tabs>
        <w:spacing w:line="261" w:lineRule="exact" w:before="0" w:after="0"/>
        <w:ind w:left="1327" w:right="0" w:hanging="721"/>
        <w:jc w:val="left"/>
      </w:pPr>
      <w:r>
        <w:rPr>
          <w:w w:val="110"/>
        </w:rPr>
        <w:t>CWM European Region</w:t>
      </w:r>
      <w:r>
        <w:rPr>
          <w:spacing w:val="-1"/>
          <w:w w:val="110"/>
        </w:rPr>
        <w:t> </w:t>
      </w:r>
      <w:r>
        <w:rPr>
          <w:w w:val="110"/>
        </w:rPr>
        <w:t>Meeting</w:t>
      </w:r>
    </w:p>
    <w:p>
      <w:pPr>
        <w:pStyle w:val="BodyText"/>
        <w:spacing w:line="233" w:lineRule="exact"/>
        <w:ind w:left="1327"/>
      </w:pPr>
      <w:r>
        <w:rPr>
          <w:w w:val="115"/>
        </w:rPr>
        <w:t>The Revd Peter Ball</w:t>
      </w:r>
    </w:p>
    <w:p>
      <w:pPr>
        <w:pStyle w:val="BodyText"/>
        <w:spacing w:line="242" w:lineRule="exact"/>
        <w:ind w:left="1327"/>
      </w:pPr>
      <w:r>
        <w:rPr>
          <w:w w:val="115"/>
        </w:rPr>
        <w:t>Secretary for Global and Intercultural Ministries</w:t>
      </w:r>
    </w:p>
    <w:p>
      <w:pPr>
        <w:pStyle w:val="BodyText"/>
        <w:spacing w:before="3"/>
        <w:rPr>
          <w:sz w:val="18"/>
        </w:rPr>
      </w:pPr>
    </w:p>
    <w:p>
      <w:pPr>
        <w:pStyle w:val="Heading7"/>
        <w:numPr>
          <w:ilvl w:val="1"/>
          <w:numId w:val="232"/>
        </w:numPr>
        <w:tabs>
          <w:tab w:pos="1327" w:val="left" w:leader="none"/>
          <w:tab w:pos="1328" w:val="left" w:leader="none"/>
        </w:tabs>
        <w:spacing w:line="261" w:lineRule="exact" w:before="0" w:after="0"/>
        <w:ind w:left="1327" w:right="0" w:hanging="721"/>
        <w:jc w:val="left"/>
      </w:pPr>
      <w:r>
        <w:rPr>
          <w:w w:val="110"/>
        </w:rPr>
        <w:t>World Communion of Reformed Churches (WCRC) General</w:t>
      </w:r>
      <w:r>
        <w:rPr>
          <w:spacing w:val="-4"/>
          <w:w w:val="110"/>
        </w:rPr>
        <w:t> </w:t>
      </w:r>
      <w:r>
        <w:rPr>
          <w:w w:val="110"/>
        </w:rPr>
        <w:t>Council</w:t>
      </w:r>
    </w:p>
    <w:p>
      <w:pPr>
        <w:pStyle w:val="BodyText"/>
        <w:tabs>
          <w:tab w:pos="4927" w:val="left" w:leader="none"/>
        </w:tabs>
        <w:spacing w:line="235" w:lineRule="auto"/>
        <w:ind w:left="1327" w:right="4285"/>
      </w:pPr>
      <w:r>
        <w:rPr>
          <w:w w:val="115"/>
        </w:rPr>
        <w:t>Ms</w:t>
      </w:r>
      <w:r>
        <w:rPr>
          <w:spacing w:val="14"/>
          <w:w w:val="115"/>
        </w:rPr>
        <w:t> </w:t>
      </w:r>
      <w:r>
        <w:rPr>
          <w:w w:val="115"/>
        </w:rPr>
        <w:t>Camilla</w:t>
      </w:r>
      <w:r>
        <w:rPr>
          <w:spacing w:val="15"/>
          <w:w w:val="115"/>
        </w:rPr>
        <w:t> </w:t>
      </w:r>
      <w:r>
        <w:rPr>
          <w:w w:val="115"/>
        </w:rPr>
        <w:t>Quartey</w:t>
        <w:tab/>
        <w:t>The Revd Dr Phil </w:t>
      </w:r>
      <w:r>
        <w:rPr>
          <w:spacing w:val="-7"/>
          <w:w w:val="115"/>
        </w:rPr>
        <w:t>Wall </w:t>
      </w:r>
      <w:r>
        <w:rPr>
          <w:w w:val="115"/>
        </w:rPr>
        <w:t>Progamme Officer Global and Intercultural</w:t>
      </w:r>
      <w:r>
        <w:rPr>
          <w:spacing w:val="45"/>
          <w:w w:val="115"/>
        </w:rPr>
        <w:t> </w:t>
      </w:r>
      <w:r>
        <w:rPr>
          <w:w w:val="115"/>
        </w:rPr>
        <w:t>Ministries</w:t>
      </w:r>
    </w:p>
    <w:p>
      <w:pPr>
        <w:pStyle w:val="BodyText"/>
        <w:spacing w:before="1"/>
        <w:rPr>
          <w:sz w:val="18"/>
        </w:rPr>
      </w:pPr>
    </w:p>
    <w:p>
      <w:pPr>
        <w:pStyle w:val="Heading7"/>
        <w:numPr>
          <w:ilvl w:val="1"/>
          <w:numId w:val="232"/>
        </w:numPr>
        <w:tabs>
          <w:tab w:pos="1327" w:val="left" w:leader="none"/>
          <w:tab w:pos="1328" w:val="left" w:leader="none"/>
        </w:tabs>
        <w:spacing w:line="261" w:lineRule="exact" w:before="0" w:after="0"/>
        <w:ind w:left="1327" w:right="0" w:hanging="721"/>
        <w:jc w:val="left"/>
      </w:pPr>
      <w:r>
        <w:rPr>
          <w:w w:val="110"/>
        </w:rPr>
        <w:t>Conference of European Churches</w:t>
      </w:r>
      <w:r>
        <w:rPr>
          <w:spacing w:val="-2"/>
          <w:w w:val="110"/>
        </w:rPr>
        <w:t> </w:t>
      </w:r>
      <w:r>
        <w:rPr>
          <w:w w:val="110"/>
        </w:rPr>
        <w:t>Assembly</w:t>
      </w:r>
    </w:p>
    <w:p>
      <w:pPr>
        <w:pStyle w:val="BodyText"/>
        <w:spacing w:line="235" w:lineRule="exact"/>
        <w:ind w:left="1327"/>
      </w:pPr>
      <w:r>
        <w:rPr>
          <w:w w:val="115"/>
        </w:rPr>
        <w:t>Secretary for Ecumenical and Interfaith Relations and one other</w:t>
      </w:r>
    </w:p>
    <w:p>
      <w:pPr>
        <w:pStyle w:val="BodyText"/>
        <w:spacing w:before="3"/>
        <w:rPr>
          <w:sz w:val="18"/>
        </w:rPr>
      </w:pPr>
    </w:p>
    <w:p>
      <w:pPr>
        <w:pStyle w:val="Heading7"/>
        <w:numPr>
          <w:ilvl w:val="1"/>
          <w:numId w:val="232"/>
        </w:numPr>
        <w:tabs>
          <w:tab w:pos="1327" w:val="left" w:leader="none"/>
          <w:tab w:pos="1328" w:val="left" w:leader="none"/>
        </w:tabs>
        <w:spacing w:line="261" w:lineRule="exact" w:before="0" w:after="0"/>
        <w:ind w:left="1327" w:right="0" w:hanging="721"/>
        <w:jc w:val="left"/>
      </w:pPr>
      <w:r>
        <w:rPr>
          <w:w w:val="110"/>
        </w:rPr>
        <w:t>The Disciples Ecumenical Consultative</w:t>
      </w:r>
      <w:r>
        <w:rPr>
          <w:spacing w:val="-2"/>
          <w:w w:val="110"/>
        </w:rPr>
        <w:t> </w:t>
      </w:r>
      <w:r>
        <w:rPr>
          <w:w w:val="110"/>
        </w:rPr>
        <w:t>Council</w:t>
      </w:r>
    </w:p>
    <w:p>
      <w:pPr>
        <w:pStyle w:val="BodyText"/>
        <w:tabs>
          <w:tab w:pos="4927" w:val="left" w:leader="none"/>
        </w:tabs>
        <w:spacing w:line="235" w:lineRule="auto"/>
        <w:ind w:left="1327" w:right="3384"/>
      </w:pPr>
      <w:r>
        <w:rPr>
          <w:w w:val="115"/>
        </w:rPr>
        <w:t>The Revd</w:t>
      </w:r>
      <w:r>
        <w:rPr>
          <w:spacing w:val="16"/>
          <w:w w:val="115"/>
        </w:rPr>
        <w:t> </w:t>
      </w:r>
      <w:r>
        <w:rPr>
          <w:w w:val="115"/>
        </w:rPr>
        <w:t>Rowena</w:t>
      </w:r>
      <w:r>
        <w:rPr>
          <w:spacing w:val="8"/>
          <w:w w:val="115"/>
        </w:rPr>
        <w:t> </w:t>
      </w:r>
      <w:r>
        <w:rPr>
          <w:w w:val="115"/>
        </w:rPr>
        <w:t>Francis</w:t>
        <w:tab/>
        <w:t>The Revd Prof David </w:t>
      </w:r>
      <w:r>
        <w:rPr>
          <w:spacing w:val="-3"/>
          <w:w w:val="115"/>
        </w:rPr>
        <w:t>Thompson </w:t>
      </w:r>
      <w:r>
        <w:rPr>
          <w:w w:val="115"/>
        </w:rPr>
        <w:t>Secretary for Global and Intercultural</w:t>
      </w:r>
      <w:r>
        <w:rPr>
          <w:spacing w:val="25"/>
          <w:w w:val="115"/>
        </w:rPr>
        <w:t> </w:t>
      </w:r>
      <w:r>
        <w:rPr>
          <w:w w:val="115"/>
        </w:rPr>
        <w:t>Ministries</w:t>
      </w:r>
    </w:p>
    <w:p>
      <w:pPr>
        <w:pStyle w:val="BodyText"/>
        <w:rPr>
          <w:sz w:val="18"/>
        </w:rPr>
      </w:pPr>
    </w:p>
    <w:p>
      <w:pPr>
        <w:pStyle w:val="Heading7"/>
        <w:numPr>
          <w:ilvl w:val="1"/>
          <w:numId w:val="232"/>
        </w:numPr>
        <w:tabs>
          <w:tab w:pos="1327" w:val="left" w:leader="none"/>
          <w:tab w:pos="1328" w:val="left" w:leader="none"/>
        </w:tabs>
        <w:spacing w:line="261" w:lineRule="exact" w:before="1" w:after="0"/>
        <w:ind w:left="1327" w:right="0" w:hanging="721"/>
        <w:jc w:val="left"/>
      </w:pPr>
      <w:r>
        <w:rPr>
          <w:w w:val="110"/>
        </w:rPr>
        <w:t>Churches Together in Britain and Ireland (CTBI) Church Leaders’</w:t>
      </w:r>
      <w:r>
        <w:rPr>
          <w:spacing w:val="-6"/>
          <w:w w:val="110"/>
        </w:rPr>
        <w:t> </w:t>
      </w:r>
      <w:r>
        <w:rPr>
          <w:w w:val="110"/>
        </w:rPr>
        <w:t>Meeting</w:t>
      </w:r>
    </w:p>
    <w:p>
      <w:pPr>
        <w:pStyle w:val="BodyText"/>
        <w:spacing w:line="235" w:lineRule="exact"/>
        <w:ind w:left="1327"/>
      </w:pPr>
      <w:r>
        <w:rPr>
          <w:w w:val="115"/>
        </w:rPr>
        <w:t>General Secretary</w:t>
      </w:r>
    </w:p>
    <w:p>
      <w:pPr>
        <w:pStyle w:val="BodyText"/>
        <w:spacing w:before="3"/>
        <w:rPr>
          <w:sz w:val="18"/>
        </w:rPr>
      </w:pPr>
    </w:p>
    <w:p>
      <w:pPr>
        <w:pStyle w:val="Heading7"/>
        <w:numPr>
          <w:ilvl w:val="2"/>
          <w:numId w:val="232"/>
        </w:numPr>
        <w:tabs>
          <w:tab w:pos="1328" w:val="left" w:leader="none"/>
        </w:tabs>
        <w:spacing w:line="261" w:lineRule="exact" w:before="0" w:after="0"/>
        <w:ind w:left="1327" w:right="0" w:hanging="721"/>
        <w:jc w:val="left"/>
      </w:pPr>
      <w:r>
        <w:rPr>
          <w:w w:val="110"/>
        </w:rPr>
        <w:t>CTBI Senior Representatives’</w:t>
      </w:r>
      <w:r>
        <w:rPr>
          <w:spacing w:val="-1"/>
          <w:w w:val="110"/>
        </w:rPr>
        <w:t> </w:t>
      </w:r>
      <w:r>
        <w:rPr>
          <w:w w:val="110"/>
        </w:rPr>
        <w:t>Forum</w:t>
      </w:r>
    </w:p>
    <w:p>
      <w:pPr>
        <w:pStyle w:val="BodyText"/>
        <w:tabs>
          <w:tab w:pos="4207" w:val="left" w:leader="none"/>
        </w:tabs>
        <w:spacing w:line="235" w:lineRule="exact"/>
        <w:ind w:left="1327"/>
      </w:pPr>
      <w:r>
        <w:rPr>
          <w:w w:val="115"/>
        </w:rPr>
        <w:t>General</w:t>
      </w:r>
      <w:r>
        <w:rPr>
          <w:spacing w:val="12"/>
          <w:w w:val="115"/>
        </w:rPr>
        <w:t> </w:t>
      </w:r>
      <w:r>
        <w:rPr>
          <w:w w:val="115"/>
        </w:rPr>
        <w:t>Secretary</w:t>
        <w:tab/>
        <w:t>Secretary for Ecumenical and Interfaith</w:t>
      </w:r>
      <w:r>
        <w:rPr>
          <w:spacing w:val="25"/>
          <w:w w:val="115"/>
        </w:rPr>
        <w:t> </w:t>
      </w:r>
      <w:r>
        <w:rPr>
          <w:w w:val="115"/>
        </w:rPr>
        <w:t>Relations</w:t>
      </w:r>
    </w:p>
    <w:p>
      <w:pPr>
        <w:pStyle w:val="BodyText"/>
        <w:spacing w:before="4"/>
        <w:rPr>
          <w:sz w:val="18"/>
        </w:rPr>
      </w:pPr>
    </w:p>
    <w:p>
      <w:pPr>
        <w:pStyle w:val="Heading7"/>
        <w:numPr>
          <w:ilvl w:val="2"/>
          <w:numId w:val="232"/>
        </w:numPr>
        <w:tabs>
          <w:tab w:pos="1328" w:val="left" w:leader="none"/>
        </w:tabs>
        <w:spacing w:line="261" w:lineRule="exact" w:before="0" w:after="0"/>
        <w:ind w:left="1327" w:right="0" w:hanging="721"/>
        <w:jc w:val="left"/>
      </w:pPr>
      <w:r>
        <w:rPr>
          <w:w w:val="110"/>
        </w:rPr>
        <w:t>CTBI Environmental Issues</w:t>
      </w:r>
      <w:r>
        <w:rPr>
          <w:spacing w:val="-1"/>
          <w:w w:val="110"/>
        </w:rPr>
        <w:t> </w:t>
      </w:r>
      <w:r>
        <w:rPr>
          <w:w w:val="110"/>
        </w:rPr>
        <w:t>Network</w:t>
      </w:r>
    </w:p>
    <w:p>
      <w:pPr>
        <w:pStyle w:val="BodyText"/>
        <w:tabs>
          <w:tab w:pos="4927" w:val="left" w:leader="none"/>
        </w:tabs>
        <w:spacing w:line="235" w:lineRule="exact"/>
        <w:ind w:left="1327"/>
      </w:pPr>
      <w:r>
        <w:rPr>
          <w:w w:val="120"/>
        </w:rPr>
        <w:t>The Revd Dr</w:t>
      </w:r>
      <w:r>
        <w:rPr>
          <w:spacing w:val="2"/>
          <w:w w:val="120"/>
        </w:rPr>
        <w:t> </w:t>
      </w:r>
      <w:r>
        <w:rPr>
          <w:w w:val="120"/>
        </w:rPr>
        <w:t>David Pickering</w:t>
        <w:tab/>
        <w:t>The Revd Mike</w:t>
      </w:r>
      <w:r>
        <w:rPr>
          <w:spacing w:val="4"/>
          <w:w w:val="120"/>
        </w:rPr>
        <w:t> </w:t>
      </w:r>
      <w:r>
        <w:rPr>
          <w:w w:val="120"/>
        </w:rPr>
        <w:t>Shrubsole</w:t>
      </w:r>
    </w:p>
    <w:p>
      <w:pPr>
        <w:pStyle w:val="BodyText"/>
        <w:spacing w:before="3"/>
        <w:rPr>
          <w:sz w:val="18"/>
        </w:rPr>
      </w:pPr>
    </w:p>
    <w:p>
      <w:pPr>
        <w:pStyle w:val="Heading7"/>
        <w:numPr>
          <w:ilvl w:val="2"/>
          <w:numId w:val="232"/>
        </w:numPr>
        <w:tabs>
          <w:tab w:pos="1328" w:val="left" w:leader="none"/>
        </w:tabs>
        <w:spacing w:line="261" w:lineRule="exact" w:before="0" w:after="0"/>
        <w:ind w:left="1327" w:right="0" w:hanging="721"/>
        <w:jc w:val="left"/>
      </w:pPr>
      <w:r>
        <w:rPr>
          <w:w w:val="110"/>
        </w:rPr>
        <w:t>CTBI Stewardship</w:t>
      </w:r>
      <w:r>
        <w:rPr>
          <w:spacing w:val="-1"/>
          <w:w w:val="110"/>
        </w:rPr>
        <w:t> </w:t>
      </w:r>
      <w:r>
        <w:rPr>
          <w:w w:val="110"/>
        </w:rPr>
        <w:t>Network</w:t>
      </w:r>
    </w:p>
    <w:p>
      <w:pPr>
        <w:pStyle w:val="BodyText"/>
        <w:spacing w:line="235" w:lineRule="exact"/>
        <w:ind w:left="1327"/>
      </w:pPr>
      <w:r>
        <w:rPr>
          <w:w w:val="120"/>
        </w:rPr>
        <w:t>Mrs Faith Paulding</w:t>
      </w:r>
    </w:p>
    <w:p>
      <w:pPr>
        <w:pStyle w:val="BodyText"/>
        <w:spacing w:before="4"/>
        <w:rPr>
          <w:sz w:val="18"/>
        </w:rPr>
      </w:pPr>
    </w:p>
    <w:p>
      <w:pPr>
        <w:pStyle w:val="Heading7"/>
        <w:numPr>
          <w:ilvl w:val="2"/>
          <w:numId w:val="232"/>
        </w:numPr>
        <w:tabs>
          <w:tab w:pos="1328" w:val="left" w:leader="none"/>
        </w:tabs>
        <w:spacing w:line="261" w:lineRule="exact" w:before="0" w:after="0"/>
        <w:ind w:left="1327" w:right="0" w:hanging="721"/>
        <w:jc w:val="left"/>
      </w:pPr>
      <w:r>
        <w:rPr>
          <w:w w:val="110"/>
        </w:rPr>
        <w:t>CTBI Consultative Group on Ministry amongst Children</w:t>
      </w:r>
      <w:r>
        <w:rPr>
          <w:spacing w:val="-2"/>
          <w:w w:val="110"/>
        </w:rPr>
        <w:t> </w:t>
      </w:r>
      <w:r>
        <w:rPr>
          <w:w w:val="110"/>
        </w:rPr>
        <w:t>(CGMC)</w:t>
      </w:r>
    </w:p>
    <w:p>
      <w:pPr>
        <w:pStyle w:val="BodyText"/>
        <w:spacing w:line="235" w:lineRule="exact"/>
        <w:ind w:left="1327"/>
      </w:pPr>
      <w:r>
        <w:rPr>
          <w:w w:val="120"/>
        </w:rPr>
        <w:t>Head of Children’s and Youth Work and one other</w:t>
      </w:r>
    </w:p>
    <w:p>
      <w:pPr>
        <w:spacing w:after="0" w:line="235" w:lineRule="exact"/>
        <w:sectPr>
          <w:headerReference w:type="even" r:id="rId555"/>
          <w:footerReference w:type="even" r:id="rId556"/>
          <w:footerReference w:type="default" r:id="rId557"/>
          <w:pgSz w:w="11910" w:h="16840"/>
          <w:pgMar w:header="0" w:footer="647" w:top="0" w:bottom="840" w:left="640" w:right="0"/>
        </w:sectPr>
      </w:pPr>
    </w:p>
    <w:p>
      <w:pPr>
        <w:pStyle w:val="BodyText"/>
      </w:pPr>
      <w:r>
        <w:rPr/>
        <w:drawing>
          <wp:anchor distT="0" distB="0" distL="0" distR="0" allowOverlap="1" layoutInCell="1" locked="0" behindDoc="0" simplePos="0" relativeHeight="252219392">
            <wp:simplePos x="0" y="0"/>
            <wp:positionH relativeFrom="page">
              <wp:posOffset>6974928</wp:posOffset>
            </wp:positionH>
            <wp:positionV relativeFrom="page">
              <wp:posOffset>0</wp:posOffset>
            </wp:positionV>
            <wp:extent cx="585063" cy="10692003"/>
            <wp:effectExtent l="0" t="0" r="0" b="0"/>
            <wp:wrapNone/>
            <wp:docPr id="403" name="image70.png"/>
            <wp:cNvGraphicFramePr>
              <a:graphicFrameLocks noChangeAspect="1"/>
            </wp:cNvGraphicFramePr>
            <a:graphic>
              <a:graphicData uri="http://schemas.openxmlformats.org/drawingml/2006/picture">
                <pic:pic>
                  <pic:nvPicPr>
                    <pic:cNvPr id="404" name="image70.png"/>
                    <pic:cNvPicPr/>
                  </pic:nvPicPr>
                  <pic:blipFill>
                    <a:blip r:embed="rId532" cstate="print"/>
                    <a:stretch>
                      <a:fillRect/>
                    </a:stretch>
                  </pic:blipFill>
                  <pic:spPr>
                    <a:xfrm>
                      <a:off x="0" y="0"/>
                      <a:ext cx="585063" cy="10692003"/>
                    </a:xfrm>
                    <a:prstGeom prst="rect">
                      <a:avLst/>
                    </a:prstGeom>
                  </pic:spPr>
                </pic:pic>
              </a:graphicData>
            </a:graphic>
          </wp:anchor>
        </w:drawing>
      </w:r>
    </w:p>
    <w:p>
      <w:pPr>
        <w:pStyle w:val="BodyText"/>
        <w:spacing w:before="7"/>
        <w:rPr>
          <w:sz w:val="21"/>
        </w:rPr>
      </w:pPr>
    </w:p>
    <w:p>
      <w:pPr>
        <w:spacing w:before="106"/>
        <w:ind w:left="0" w:right="1245" w:firstLine="0"/>
        <w:jc w:val="right"/>
        <w:rPr>
          <w:sz w:val="26"/>
        </w:rPr>
      </w:pPr>
      <w:r>
        <w:rPr/>
        <w:pict>
          <v:shape style="position:absolute;margin-left:554.141174pt;margin-top:22.593945pt;width:25.9pt;height:131.3pt;mso-position-horizontal-relative:page;mso-position-vertical-relative:paragraph;z-index:252220416" type="#_x0000_t202" filled="false" stroked="false">
            <v:textbox inset="0,0,0,0" style="layout-flow:vertical">
              <w:txbxContent>
                <w:p>
                  <w:pPr>
                    <w:spacing w:before="27"/>
                    <w:ind w:left="20" w:right="0" w:firstLine="0"/>
                    <w:jc w:val="left"/>
                    <w:rPr>
                      <w:sz w:val="39"/>
                    </w:rPr>
                  </w:pPr>
                  <w:r>
                    <w:rPr>
                      <w:color w:val="FFFFFF"/>
                      <w:w w:val="120"/>
                      <w:sz w:val="39"/>
                    </w:rPr>
                    <w:t>Nominations</w:t>
                  </w:r>
                </w:p>
              </w:txbxContent>
            </v:textbox>
            <w10:wrap type="none"/>
          </v:shape>
        </w:pict>
      </w:r>
      <w:r>
        <w:rPr>
          <w:color w:val="7EAABF"/>
          <w:w w:val="115"/>
          <w:sz w:val="26"/>
        </w:rPr>
        <w:t>Nominations</w:t>
      </w:r>
    </w:p>
    <w:p>
      <w:pPr>
        <w:pStyle w:val="Heading7"/>
        <w:numPr>
          <w:ilvl w:val="2"/>
          <w:numId w:val="232"/>
        </w:numPr>
        <w:tabs>
          <w:tab w:pos="2065" w:val="left" w:leader="none"/>
        </w:tabs>
        <w:spacing w:line="260" w:lineRule="exact" w:before="205" w:after="0"/>
        <w:ind w:left="2064" w:right="0" w:hanging="721"/>
        <w:jc w:val="left"/>
      </w:pPr>
      <w:r>
        <w:rPr>
          <w:w w:val="110"/>
        </w:rPr>
        <w:t>CTBI Inter-Religious</w:t>
      </w:r>
      <w:r>
        <w:rPr>
          <w:spacing w:val="-1"/>
          <w:w w:val="110"/>
        </w:rPr>
        <w:t> </w:t>
      </w:r>
      <w:r>
        <w:rPr>
          <w:w w:val="110"/>
        </w:rPr>
        <w:t>Network</w:t>
      </w:r>
    </w:p>
    <w:p>
      <w:pPr>
        <w:pStyle w:val="BodyText"/>
        <w:spacing w:line="234" w:lineRule="exact"/>
        <w:ind w:left="2064"/>
      </w:pPr>
      <w:r>
        <w:rPr>
          <w:w w:val="115"/>
        </w:rPr>
        <w:t>Secretary for Ecumenical and Interfaith Relations</w:t>
      </w:r>
    </w:p>
    <w:p>
      <w:pPr>
        <w:pStyle w:val="BodyText"/>
        <w:rPr>
          <w:sz w:val="18"/>
        </w:rPr>
      </w:pPr>
    </w:p>
    <w:p>
      <w:pPr>
        <w:pStyle w:val="Heading7"/>
        <w:numPr>
          <w:ilvl w:val="2"/>
          <w:numId w:val="232"/>
        </w:numPr>
        <w:tabs>
          <w:tab w:pos="2065" w:val="left" w:leader="none"/>
        </w:tabs>
        <w:spacing w:line="260" w:lineRule="exact" w:before="0" w:after="0"/>
        <w:ind w:left="2064" w:right="0" w:hanging="721"/>
        <w:jc w:val="left"/>
      </w:pPr>
      <w:r>
        <w:rPr>
          <w:w w:val="110"/>
        </w:rPr>
        <w:t>CTBI China</w:t>
      </w:r>
      <w:r>
        <w:rPr>
          <w:spacing w:val="-1"/>
          <w:w w:val="110"/>
        </w:rPr>
        <w:t> </w:t>
      </w:r>
      <w:r>
        <w:rPr>
          <w:w w:val="110"/>
        </w:rPr>
        <w:t>Forum</w:t>
      </w:r>
    </w:p>
    <w:p>
      <w:pPr>
        <w:pStyle w:val="BodyText"/>
        <w:spacing w:line="234" w:lineRule="exact"/>
        <w:ind w:left="2064"/>
      </w:pPr>
      <w:r>
        <w:rPr>
          <w:w w:val="120"/>
        </w:rPr>
        <w:t>The Revd John Scott</w:t>
      </w:r>
    </w:p>
    <w:p>
      <w:pPr>
        <w:pStyle w:val="BodyText"/>
        <w:spacing w:before="11"/>
        <w:rPr>
          <w:sz w:val="17"/>
        </w:rPr>
      </w:pPr>
    </w:p>
    <w:p>
      <w:pPr>
        <w:pStyle w:val="Heading7"/>
        <w:numPr>
          <w:ilvl w:val="2"/>
          <w:numId w:val="233"/>
        </w:numPr>
        <w:tabs>
          <w:tab w:pos="2065" w:val="left" w:leader="none"/>
        </w:tabs>
        <w:spacing w:line="260" w:lineRule="exact" w:before="1" w:after="0"/>
        <w:ind w:left="2064" w:right="0" w:hanging="721"/>
        <w:jc w:val="left"/>
      </w:pPr>
      <w:r>
        <w:rPr>
          <w:w w:val="110"/>
        </w:rPr>
        <w:t>CTE Enabling</w:t>
      </w:r>
      <w:r>
        <w:rPr>
          <w:spacing w:val="-1"/>
          <w:w w:val="110"/>
        </w:rPr>
        <w:t> </w:t>
      </w:r>
      <w:r>
        <w:rPr>
          <w:w w:val="110"/>
        </w:rPr>
        <w:t>Group</w:t>
      </w:r>
    </w:p>
    <w:p>
      <w:pPr>
        <w:pStyle w:val="BodyText"/>
        <w:spacing w:line="234" w:lineRule="exact"/>
        <w:ind w:left="2064"/>
      </w:pPr>
      <w:r>
        <w:rPr>
          <w:w w:val="115"/>
        </w:rPr>
        <w:t>Secretary for Ecumenical and Interfaith Relations</w:t>
      </w:r>
    </w:p>
    <w:p>
      <w:pPr>
        <w:pStyle w:val="BodyText"/>
        <w:spacing w:before="11"/>
        <w:rPr>
          <w:sz w:val="17"/>
        </w:rPr>
      </w:pPr>
    </w:p>
    <w:p>
      <w:pPr>
        <w:pStyle w:val="Heading7"/>
        <w:numPr>
          <w:ilvl w:val="2"/>
          <w:numId w:val="233"/>
        </w:numPr>
        <w:tabs>
          <w:tab w:pos="2065" w:val="left" w:leader="none"/>
        </w:tabs>
        <w:spacing w:line="252" w:lineRule="exact" w:before="0" w:after="0"/>
        <w:ind w:left="2064" w:right="0" w:hanging="721"/>
        <w:jc w:val="left"/>
      </w:pPr>
      <w:r>
        <w:rPr>
          <w:w w:val="110"/>
        </w:rPr>
        <w:t>CTE Coordinating Group for Local</w:t>
      </w:r>
      <w:r>
        <w:rPr>
          <w:spacing w:val="-2"/>
          <w:w w:val="110"/>
        </w:rPr>
        <w:t> </w:t>
      </w:r>
      <w:r>
        <w:rPr>
          <w:w w:val="110"/>
        </w:rPr>
        <w:t>Unity</w:t>
      </w:r>
    </w:p>
    <w:p>
      <w:pPr>
        <w:pStyle w:val="BodyText"/>
        <w:spacing w:line="243" w:lineRule="exact"/>
        <w:ind w:left="2064"/>
      </w:pPr>
      <w:r>
        <w:rPr>
          <w:w w:val="120"/>
        </w:rPr>
        <w:t>The Revd Kevin Watson, Secretary for Ecumenical and Interfaith Relations</w:t>
      </w:r>
    </w:p>
    <w:p>
      <w:pPr>
        <w:pStyle w:val="BodyText"/>
        <w:spacing w:before="11"/>
        <w:rPr>
          <w:sz w:val="17"/>
        </w:rPr>
      </w:pPr>
    </w:p>
    <w:p>
      <w:pPr>
        <w:pStyle w:val="Heading7"/>
        <w:numPr>
          <w:ilvl w:val="2"/>
          <w:numId w:val="233"/>
        </w:numPr>
        <w:tabs>
          <w:tab w:pos="2065" w:val="left" w:leader="none"/>
        </w:tabs>
        <w:spacing w:line="260" w:lineRule="exact" w:before="0" w:after="0"/>
        <w:ind w:left="2064" w:right="0" w:hanging="721"/>
        <w:jc w:val="left"/>
      </w:pPr>
      <w:r>
        <w:rPr>
          <w:w w:val="110"/>
        </w:rPr>
        <w:t>CTE Churches Together for</w:t>
      </w:r>
      <w:r>
        <w:rPr>
          <w:spacing w:val="-2"/>
          <w:w w:val="110"/>
        </w:rPr>
        <w:t> </w:t>
      </w:r>
      <w:r>
        <w:rPr>
          <w:w w:val="110"/>
        </w:rPr>
        <w:t>Healing</w:t>
      </w:r>
    </w:p>
    <w:p>
      <w:pPr>
        <w:pStyle w:val="BodyText"/>
        <w:spacing w:line="234" w:lineRule="exact"/>
        <w:ind w:left="2064"/>
      </w:pPr>
      <w:r>
        <w:rPr>
          <w:w w:val="120"/>
        </w:rPr>
        <w:t>The Revd Deborah McVey</w:t>
      </w:r>
    </w:p>
    <w:p>
      <w:pPr>
        <w:pStyle w:val="BodyText"/>
        <w:rPr>
          <w:sz w:val="18"/>
        </w:rPr>
      </w:pPr>
    </w:p>
    <w:p>
      <w:pPr>
        <w:pStyle w:val="Heading7"/>
        <w:numPr>
          <w:ilvl w:val="2"/>
          <w:numId w:val="233"/>
        </w:numPr>
        <w:tabs>
          <w:tab w:pos="2065" w:val="left" w:leader="none"/>
        </w:tabs>
        <w:spacing w:line="260" w:lineRule="exact" w:before="0" w:after="0"/>
        <w:ind w:left="2064" w:right="0" w:hanging="721"/>
        <w:jc w:val="left"/>
      </w:pPr>
      <w:r>
        <w:rPr>
          <w:w w:val="110"/>
        </w:rPr>
        <w:t>CTE Churches’ Theology and Unity</w:t>
      </w:r>
      <w:r>
        <w:rPr>
          <w:spacing w:val="-2"/>
          <w:w w:val="110"/>
        </w:rPr>
        <w:t> </w:t>
      </w:r>
      <w:r>
        <w:rPr>
          <w:w w:val="110"/>
        </w:rPr>
        <w:t>Group</w:t>
      </w:r>
    </w:p>
    <w:p>
      <w:pPr>
        <w:pStyle w:val="BodyText"/>
        <w:spacing w:line="234" w:lineRule="exact"/>
        <w:ind w:left="2064"/>
      </w:pPr>
      <w:r>
        <w:rPr>
          <w:w w:val="115"/>
        </w:rPr>
        <w:t>Secretary for Ecumenical and Interfaith Relations</w:t>
      </w:r>
    </w:p>
    <w:p>
      <w:pPr>
        <w:pStyle w:val="BodyText"/>
        <w:spacing w:before="12"/>
        <w:rPr>
          <w:sz w:val="17"/>
        </w:rPr>
      </w:pPr>
    </w:p>
    <w:p>
      <w:pPr>
        <w:pStyle w:val="Heading7"/>
        <w:numPr>
          <w:ilvl w:val="2"/>
          <w:numId w:val="233"/>
        </w:numPr>
        <w:tabs>
          <w:tab w:pos="2065" w:val="left" w:leader="none"/>
        </w:tabs>
        <w:spacing w:line="260" w:lineRule="exact" w:before="0" w:after="0"/>
        <w:ind w:left="2064" w:right="0" w:hanging="721"/>
        <w:jc w:val="left"/>
      </w:pPr>
      <w:r>
        <w:rPr>
          <w:w w:val="110"/>
        </w:rPr>
        <w:t>CTE Group for</w:t>
      </w:r>
      <w:r>
        <w:rPr>
          <w:spacing w:val="-1"/>
          <w:w w:val="110"/>
        </w:rPr>
        <w:t> </w:t>
      </w:r>
      <w:r>
        <w:rPr>
          <w:w w:val="110"/>
        </w:rPr>
        <w:t>Evangelisation</w:t>
      </w:r>
    </w:p>
    <w:p>
      <w:pPr>
        <w:pStyle w:val="BodyText"/>
        <w:spacing w:line="234" w:lineRule="exact"/>
        <w:ind w:left="2064"/>
      </w:pPr>
      <w:r>
        <w:rPr>
          <w:w w:val="120"/>
        </w:rPr>
        <w:t>Deputy General Secretary (Mission)</w:t>
      </w:r>
    </w:p>
    <w:p>
      <w:pPr>
        <w:pStyle w:val="BodyText"/>
        <w:spacing w:before="11"/>
        <w:rPr>
          <w:sz w:val="17"/>
        </w:rPr>
      </w:pPr>
    </w:p>
    <w:p>
      <w:pPr>
        <w:pStyle w:val="Heading7"/>
        <w:numPr>
          <w:ilvl w:val="2"/>
          <w:numId w:val="233"/>
        </w:numPr>
        <w:tabs>
          <w:tab w:pos="2065" w:val="left" w:leader="none"/>
        </w:tabs>
        <w:spacing w:line="260" w:lineRule="exact" w:before="1" w:after="0"/>
        <w:ind w:left="2064" w:right="0" w:hanging="721"/>
        <w:jc w:val="left"/>
      </w:pPr>
      <w:r>
        <w:rPr>
          <w:w w:val="110"/>
        </w:rPr>
        <w:t>CTE Spirituality Coordinating</w:t>
      </w:r>
      <w:r>
        <w:rPr>
          <w:spacing w:val="-1"/>
          <w:w w:val="110"/>
        </w:rPr>
        <w:t> </w:t>
      </w:r>
      <w:r>
        <w:rPr>
          <w:w w:val="110"/>
        </w:rPr>
        <w:t>Group</w:t>
      </w:r>
    </w:p>
    <w:p>
      <w:pPr>
        <w:pStyle w:val="BodyText"/>
        <w:spacing w:line="234" w:lineRule="exact"/>
        <w:ind w:left="2064"/>
      </w:pPr>
      <w:r>
        <w:rPr>
          <w:w w:val="120"/>
        </w:rPr>
        <w:t>The Revd Sue Henderson</w:t>
      </w:r>
    </w:p>
    <w:p>
      <w:pPr>
        <w:pStyle w:val="BodyText"/>
        <w:spacing w:before="11"/>
        <w:rPr>
          <w:sz w:val="17"/>
        </w:rPr>
      </w:pPr>
    </w:p>
    <w:p>
      <w:pPr>
        <w:pStyle w:val="Heading7"/>
        <w:numPr>
          <w:ilvl w:val="2"/>
          <w:numId w:val="233"/>
        </w:numPr>
        <w:tabs>
          <w:tab w:pos="2065" w:val="left" w:leader="none"/>
        </w:tabs>
        <w:spacing w:line="260" w:lineRule="exact" w:before="0" w:after="0"/>
        <w:ind w:left="2064" w:right="0" w:hanging="721"/>
        <w:jc w:val="left"/>
      </w:pPr>
      <w:r>
        <w:rPr>
          <w:w w:val="110"/>
        </w:rPr>
        <w:t>CTE Minority Ethnic Affairs</w:t>
      </w:r>
      <w:r>
        <w:rPr>
          <w:spacing w:val="-2"/>
          <w:w w:val="110"/>
        </w:rPr>
        <w:t> </w:t>
      </w:r>
      <w:r>
        <w:rPr>
          <w:w w:val="110"/>
        </w:rPr>
        <w:t>Group</w:t>
      </w:r>
    </w:p>
    <w:p>
      <w:pPr>
        <w:pStyle w:val="BodyText"/>
        <w:spacing w:line="234" w:lineRule="exact"/>
        <w:ind w:left="2064"/>
      </w:pPr>
      <w:r>
        <w:rPr>
          <w:w w:val="115"/>
        </w:rPr>
        <w:t>Secretary for Global and Intercultural Ministries</w:t>
      </w:r>
    </w:p>
    <w:p>
      <w:pPr>
        <w:pStyle w:val="BodyText"/>
        <w:rPr>
          <w:sz w:val="18"/>
        </w:rPr>
      </w:pPr>
    </w:p>
    <w:p>
      <w:pPr>
        <w:pStyle w:val="Heading7"/>
        <w:numPr>
          <w:ilvl w:val="2"/>
          <w:numId w:val="233"/>
        </w:numPr>
        <w:tabs>
          <w:tab w:pos="2065" w:val="left" w:leader="none"/>
        </w:tabs>
        <w:spacing w:line="260" w:lineRule="exact" w:before="0" w:after="0"/>
        <w:ind w:left="2064" w:right="0" w:hanging="721"/>
        <w:jc w:val="left"/>
      </w:pPr>
      <w:r>
        <w:rPr>
          <w:w w:val="110"/>
        </w:rPr>
        <w:t>CTE Joint Liturgical</w:t>
      </w:r>
      <w:r>
        <w:rPr>
          <w:spacing w:val="-1"/>
          <w:w w:val="110"/>
        </w:rPr>
        <w:t> </w:t>
      </w:r>
      <w:r>
        <w:rPr>
          <w:w w:val="110"/>
        </w:rPr>
        <w:t>Group</w:t>
      </w:r>
    </w:p>
    <w:p>
      <w:pPr>
        <w:pStyle w:val="BodyText"/>
        <w:spacing w:line="234" w:lineRule="exact"/>
        <w:ind w:left="2064"/>
      </w:pPr>
      <w:r>
        <w:rPr>
          <w:w w:val="115"/>
        </w:rPr>
        <w:t>Vacant</w:t>
      </w:r>
    </w:p>
    <w:p>
      <w:pPr>
        <w:pStyle w:val="BodyText"/>
        <w:spacing w:before="11"/>
        <w:rPr>
          <w:sz w:val="17"/>
        </w:rPr>
      </w:pPr>
    </w:p>
    <w:p>
      <w:pPr>
        <w:pStyle w:val="Heading7"/>
        <w:numPr>
          <w:ilvl w:val="1"/>
          <w:numId w:val="234"/>
        </w:numPr>
        <w:tabs>
          <w:tab w:pos="2064" w:val="left" w:leader="none"/>
          <w:tab w:pos="2065" w:val="left" w:leader="none"/>
        </w:tabs>
        <w:spacing w:line="260" w:lineRule="exact" w:before="1" w:after="0"/>
        <w:ind w:left="2064" w:right="0" w:hanging="721"/>
        <w:jc w:val="left"/>
      </w:pPr>
      <w:r>
        <w:rPr>
          <w:w w:val="110"/>
        </w:rPr>
        <w:t>Action of Churches Together in Scotland (ACTS) Members</w:t>
      </w:r>
      <w:r>
        <w:rPr>
          <w:spacing w:val="-6"/>
          <w:w w:val="110"/>
        </w:rPr>
        <w:t> </w:t>
      </w:r>
      <w:r>
        <w:rPr>
          <w:w w:val="110"/>
        </w:rPr>
        <w:t>Meeting</w:t>
      </w:r>
    </w:p>
    <w:p>
      <w:pPr>
        <w:pStyle w:val="BodyText"/>
        <w:spacing w:line="234" w:lineRule="exact"/>
        <w:ind w:left="2064"/>
      </w:pPr>
      <w:r>
        <w:rPr>
          <w:w w:val="120"/>
        </w:rPr>
        <w:t>[see note 7] Appointed by synod</w:t>
      </w:r>
    </w:p>
    <w:p>
      <w:pPr>
        <w:pStyle w:val="BodyText"/>
        <w:spacing w:before="3"/>
        <w:rPr>
          <w:sz w:val="19"/>
        </w:rPr>
      </w:pPr>
    </w:p>
    <w:p>
      <w:pPr>
        <w:pStyle w:val="ListParagraph"/>
        <w:numPr>
          <w:ilvl w:val="1"/>
          <w:numId w:val="234"/>
        </w:numPr>
        <w:tabs>
          <w:tab w:pos="2064" w:val="left" w:leader="none"/>
          <w:tab w:pos="2065" w:val="left" w:leader="none"/>
        </w:tabs>
        <w:spacing w:line="220" w:lineRule="auto" w:before="0" w:after="0"/>
        <w:ind w:left="2064" w:right="3862" w:hanging="720"/>
        <w:jc w:val="left"/>
        <w:rPr>
          <w:sz w:val="20"/>
        </w:rPr>
      </w:pPr>
      <w:r>
        <w:rPr>
          <w:rFonts w:ascii="Stone Sans II ITC Std Bk"/>
          <w:b/>
          <w:w w:val="115"/>
          <w:sz w:val="20"/>
        </w:rPr>
        <w:t>National</w:t>
      </w:r>
      <w:r>
        <w:rPr>
          <w:rFonts w:ascii="Stone Sans II ITC Std Bk"/>
          <w:b/>
          <w:spacing w:val="-23"/>
          <w:w w:val="115"/>
          <w:sz w:val="20"/>
        </w:rPr>
        <w:t> </w:t>
      </w:r>
      <w:r>
        <w:rPr>
          <w:rFonts w:ascii="Stone Sans II ITC Std Bk"/>
          <w:b/>
          <w:w w:val="115"/>
          <w:sz w:val="20"/>
        </w:rPr>
        <w:t>Sponsoring</w:t>
      </w:r>
      <w:r>
        <w:rPr>
          <w:rFonts w:ascii="Stone Sans II ITC Std Bk"/>
          <w:b/>
          <w:spacing w:val="-23"/>
          <w:w w:val="115"/>
          <w:sz w:val="20"/>
        </w:rPr>
        <w:t> </w:t>
      </w:r>
      <w:r>
        <w:rPr>
          <w:rFonts w:ascii="Stone Sans II ITC Std Bk"/>
          <w:b/>
          <w:w w:val="115"/>
          <w:sz w:val="20"/>
        </w:rPr>
        <w:t>Body</w:t>
      </w:r>
      <w:r>
        <w:rPr>
          <w:rFonts w:ascii="Stone Sans II ITC Std Bk"/>
          <w:b/>
          <w:spacing w:val="-23"/>
          <w:w w:val="115"/>
          <w:sz w:val="20"/>
        </w:rPr>
        <w:t> </w:t>
      </w:r>
      <w:r>
        <w:rPr>
          <w:rFonts w:ascii="Stone Sans II ITC Std Bk"/>
          <w:b/>
          <w:w w:val="115"/>
          <w:sz w:val="20"/>
        </w:rPr>
        <w:t>for</w:t>
      </w:r>
      <w:r>
        <w:rPr>
          <w:rFonts w:ascii="Stone Sans II ITC Std Bk"/>
          <w:b/>
          <w:spacing w:val="-23"/>
          <w:w w:val="115"/>
          <w:sz w:val="20"/>
        </w:rPr>
        <w:t> </w:t>
      </w:r>
      <w:r>
        <w:rPr>
          <w:rFonts w:ascii="Stone Sans II ITC Std Bk"/>
          <w:b/>
          <w:w w:val="115"/>
          <w:sz w:val="20"/>
        </w:rPr>
        <w:t>Scotland</w:t>
      </w:r>
      <w:r>
        <w:rPr>
          <w:rFonts w:ascii="Stone Sans II ITC Std Bk"/>
          <w:b/>
          <w:spacing w:val="-22"/>
          <w:w w:val="115"/>
          <w:sz w:val="20"/>
        </w:rPr>
        <w:t> </w:t>
      </w:r>
      <w:r>
        <w:rPr>
          <w:w w:val="115"/>
          <w:sz w:val="20"/>
        </w:rPr>
        <w:t>[see</w:t>
      </w:r>
      <w:r>
        <w:rPr>
          <w:spacing w:val="-15"/>
          <w:w w:val="115"/>
          <w:sz w:val="20"/>
        </w:rPr>
        <w:t> </w:t>
      </w:r>
      <w:r>
        <w:rPr>
          <w:w w:val="115"/>
          <w:sz w:val="20"/>
        </w:rPr>
        <w:t>note</w:t>
      </w:r>
      <w:r>
        <w:rPr>
          <w:spacing w:val="-15"/>
          <w:w w:val="115"/>
          <w:sz w:val="20"/>
        </w:rPr>
        <w:t> </w:t>
      </w:r>
      <w:r>
        <w:rPr>
          <w:spacing w:val="-7"/>
          <w:w w:val="115"/>
          <w:sz w:val="20"/>
        </w:rPr>
        <w:t>7] </w:t>
      </w:r>
      <w:r>
        <w:rPr>
          <w:w w:val="115"/>
          <w:sz w:val="20"/>
        </w:rPr>
        <w:t>Appointed by</w:t>
      </w:r>
      <w:r>
        <w:rPr>
          <w:spacing w:val="11"/>
          <w:w w:val="115"/>
          <w:sz w:val="20"/>
        </w:rPr>
        <w:t> </w:t>
      </w:r>
      <w:r>
        <w:rPr>
          <w:w w:val="115"/>
          <w:sz w:val="20"/>
        </w:rPr>
        <w:t>synod</w:t>
      </w:r>
    </w:p>
    <w:p>
      <w:pPr>
        <w:pStyle w:val="BodyText"/>
        <w:spacing w:before="9"/>
        <w:rPr>
          <w:sz w:val="19"/>
        </w:rPr>
      </w:pPr>
    </w:p>
    <w:p>
      <w:pPr>
        <w:pStyle w:val="ListParagraph"/>
        <w:numPr>
          <w:ilvl w:val="1"/>
          <w:numId w:val="234"/>
        </w:numPr>
        <w:tabs>
          <w:tab w:pos="2064" w:val="left" w:leader="none"/>
          <w:tab w:pos="2065" w:val="left" w:leader="none"/>
        </w:tabs>
        <w:spacing w:line="220" w:lineRule="auto" w:before="0" w:after="0"/>
        <w:ind w:left="2064" w:right="4027" w:hanging="720"/>
        <w:jc w:val="left"/>
        <w:rPr>
          <w:sz w:val="20"/>
        </w:rPr>
      </w:pPr>
      <w:r>
        <w:rPr>
          <w:rFonts w:ascii="Stone Sans II ITC Std Bk"/>
          <w:b/>
          <w:w w:val="115"/>
          <w:sz w:val="20"/>
        </w:rPr>
        <w:t>Churches</w:t>
      </w:r>
      <w:r>
        <w:rPr>
          <w:rFonts w:ascii="Stone Sans II ITC Std Bk"/>
          <w:b/>
          <w:spacing w:val="-22"/>
          <w:w w:val="115"/>
          <w:sz w:val="20"/>
        </w:rPr>
        <w:t> </w:t>
      </w:r>
      <w:r>
        <w:rPr>
          <w:rFonts w:ascii="Stone Sans II ITC Std Bk"/>
          <w:b/>
          <w:w w:val="115"/>
          <w:sz w:val="20"/>
        </w:rPr>
        <w:t>Together</w:t>
      </w:r>
      <w:r>
        <w:rPr>
          <w:rFonts w:ascii="Stone Sans II ITC Std Bk"/>
          <w:b/>
          <w:spacing w:val="-21"/>
          <w:w w:val="115"/>
          <w:sz w:val="20"/>
        </w:rPr>
        <w:t> </w:t>
      </w:r>
      <w:r>
        <w:rPr>
          <w:rFonts w:ascii="Stone Sans II ITC Std Bk"/>
          <w:b/>
          <w:w w:val="115"/>
          <w:sz w:val="20"/>
        </w:rPr>
        <w:t>in</w:t>
      </w:r>
      <w:r>
        <w:rPr>
          <w:rFonts w:ascii="Stone Sans II ITC Std Bk"/>
          <w:b/>
          <w:spacing w:val="-22"/>
          <w:w w:val="115"/>
          <w:sz w:val="20"/>
        </w:rPr>
        <w:t> </w:t>
      </w:r>
      <w:r>
        <w:rPr>
          <w:rFonts w:ascii="Stone Sans II ITC Std Bk"/>
          <w:b/>
          <w:spacing w:val="-3"/>
          <w:w w:val="115"/>
          <w:sz w:val="20"/>
        </w:rPr>
        <w:t>Wales</w:t>
      </w:r>
      <w:r>
        <w:rPr>
          <w:rFonts w:ascii="Stone Sans II ITC Std Bk"/>
          <w:b/>
          <w:spacing w:val="-21"/>
          <w:w w:val="115"/>
          <w:sz w:val="20"/>
        </w:rPr>
        <w:t> </w:t>
      </w:r>
      <w:r>
        <w:rPr>
          <w:rFonts w:ascii="Stone Sans II ITC Std Bk"/>
          <w:b/>
          <w:w w:val="115"/>
          <w:sz w:val="20"/>
        </w:rPr>
        <w:t>(CYTUN)</w:t>
      </w:r>
      <w:r>
        <w:rPr>
          <w:rFonts w:ascii="Stone Sans II ITC Std Bk"/>
          <w:b/>
          <w:spacing w:val="-22"/>
          <w:w w:val="115"/>
          <w:sz w:val="20"/>
        </w:rPr>
        <w:t> </w:t>
      </w:r>
      <w:r>
        <w:rPr>
          <w:w w:val="115"/>
          <w:sz w:val="20"/>
        </w:rPr>
        <w:t>[see</w:t>
      </w:r>
      <w:r>
        <w:rPr>
          <w:spacing w:val="-14"/>
          <w:w w:val="115"/>
          <w:sz w:val="20"/>
        </w:rPr>
        <w:t> </w:t>
      </w:r>
      <w:r>
        <w:rPr>
          <w:w w:val="115"/>
          <w:sz w:val="20"/>
        </w:rPr>
        <w:t>note</w:t>
      </w:r>
      <w:r>
        <w:rPr>
          <w:spacing w:val="-13"/>
          <w:w w:val="115"/>
          <w:sz w:val="20"/>
        </w:rPr>
        <w:t> </w:t>
      </w:r>
      <w:r>
        <w:rPr>
          <w:spacing w:val="-6"/>
          <w:w w:val="115"/>
          <w:sz w:val="20"/>
        </w:rPr>
        <w:t>7] </w:t>
      </w:r>
      <w:r>
        <w:rPr>
          <w:w w:val="120"/>
          <w:sz w:val="20"/>
        </w:rPr>
        <w:t>Appointed by</w:t>
      </w:r>
      <w:r>
        <w:rPr>
          <w:spacing w:val="4"/>
          <w:w w:val="120"/>
          <w:sz w:val="20"/>
        </w:rPr>
        <w:t> </w:t>
      </w:r>
      <w:r>
        <w:rPr>
          <w:w w:val="120"/>
          <w:sz w:val="20"/>
        </w:rPr>
        <w:t>synod</w:t>
      </w:r>
    </w:p>
    <w:p>
      <w:pPr>
        <w:pStyle w:val="BodyText"/>
        <w:spacing w:before="8"/>
        <w:rPr>
          <w:sz w:val="19"/>
        </w:rPr>
      </w:pPr>
    </w:p>
    <w:p>
      <w:pPr>
        <w:pStyle w:val="ListParagraph"/>
        <w:numPr>
          <w:ilvl w:val="1"/>
          <w:numId w:val="234"/>
        </w:numPr>
        <w:tabs>
          <w:tab w:pos="2064" w:val="left" w:leader="none"/>
          <w:tab w:pos="2065" w:val="left" w:leader="none"/>
        </w:tabs>
        <w:spacing w:line="220" w:lineRule="auto" w:before="1" w:after="0"/>
        <w:ind w:left="2064" w:right="4037" w:hanging="720"/>
        <w:jc w:val="left"/>
        <w:rPr>
          <w:sz w:val="20"/>
        </w:rPr>
      </w:pPr>
      <w:r>
        <w:rPr>
          <w:rFonts w:ascii="Stone Sans II ITC Std Bk"/>
          <w:b/>
          <w:w w:val="115"/>
          <w:sz w:val="20"/>
        </w:rPr>
        <w:t>Commission</w:t>
      </w:r>
      <w:r>
        <w:rPr>
          <w:rFonts w:ascii="Stone Sans II ITC Std Bk"/>
          <w:b/>
          <w:spacing w:val="-27"/>
          <w:w w:val="115"/>
          <w:sz w:val="20"/>
        </w:rPr>
        <w:t> </w:t>
      </w:r>
      <w:r>
        <w:rPr>
          <w:rFonts w:ascii="Stone Sans II ITC Std Bk"/>
          <w:b/>
          <w:w w:val="115"/>
          <w:sz w:val="20"/>
        </w:rPr>
        <w:t>of</w:t>
      </w:r>
      <w:r>
        <w:rPr>
          <w:rFonts w:ascii="Stone Sans II ITC Std Bk"/>
          <w:b/>
          <w:spacing w:val="-26"/>
          <w:w w:val="115"/>
          <w:sz w:val="20"/>
        </w:rPr>
        <w:t> </w:t>
      </w:r>
      <w:r>
        <w:rPr>
          <w:rFonts w:ascii="Stone Sans II ITC Std Bk"/>
          <w:b/>
          <w:w w:val="115"/>
          <w:sz w:val="20"/>
        </w:rPr>
        <w:t>Covenanted</w:t>
      </w:r>
      <w:r>
        <w:rPr>
          <w:rFonts w:ascii="Stone Sans II ITC Std Bk"/>
          <w:b/>
          <w:spacing w:val="-26"/>
          <w:w w:val="115"/>
          <w:sz w:val="20"/>
        </w:rPr>
        <w:t> </w:t>
      </w:r>
      <w:r>
        <w:rPr>
          <w:rFonts w:ascii="Stone Sans II ITC Std Bk"/>
          <w:b/>
          <w:w w:val="115"/>
          <w:sz w:val="20"/>
        </w:rPr>
        <w:t>Churches</w:t>
      </w:r>
      <w:r>
        <w:rPr>
          <w:rFonts w:ascii="Stone Sans II ITC Std Bk"/>
          <w:b/>
          <w:spacing w:val="-26"/>
          <w:w w:val="115"/>
          <w:sz w:val="20"/>
        </w:rPr>
        <w:t> </w:t>
      </w:r>
      <w:r>
        <w:rPr>
          <w:w w:val="115"/>
          <w:sz w:val="20"/>
        </w:rPr>
        <w:t>[see</w:t>
      </w:r>
      <w:r>
        <w:rPr>
          <w:spacing w:val="-19"/>
          <w:w w:val="115"/>
          <w:sz w:val="20"/>
        </w:rPr>
        <w:t> </w:t>
      </w:r>
      <w:r>
        <w:rPr>
          <w:w w:val="115"/>
          <w:sz w:val="20"/>
        </w:rPr>
        <w:t>note</w:t>
      </w:r>
      <w:r>
        <w:rPr>
          <w:spacing w:val="-18"/>
          <w:w w:val="115"/>
          <w:sz w:val="20"/>
        </w:rPr>
        <w:t> </w:t>
      </w:r>
      <w:r>
        <w:rPr>
          <w:spacing w:val="-7"/>
          <w:w w:val="115"/>
          <w:sz w:val="20"/>
        </w:rPr>
        <w:t>7] </w:t>
      </w:r>
      <w:r>
        <w:rPr>
          <w:w w:val="115"/>
          <w:sz w:val="20"/>
        </w:rPr>
        <w:t>2</w:t>
      </w:r>
      <w:r>
        <w:rPr>
          <w:spacing w:val="4"/>
          <w:w w:val="115"/>
          <w:sz w:val="20"/>
        </w:rPr>
        <w:t> </w:t>
      </w:r>
      <w:r>
        <w:rPr>
          <w:w w:val="115"/>
          <w:sz w:val="20"/>
        </w:rPr>
        <w:t>vacancies</w:t>
      </w:r>
    </w:p>
    <w:p>
      <w:pPr>
        <w:pStyle w:val="BodyText"/>
        <w:spacing w:before="4"/>
        <w:rPr>
          <w:sz w:val="18"/>
        </w:rPr>
      </w:pPr>
    </w:p>
    <w:p>
      <w:pPr>
        <w:pStyle w:val="Heading7"/>
        <w:numPr>
          <w:ilvl w:val="1"/>
          <w:numId w:val="234"/>
        </w:numPr>
        <w:tabs>
          <w:tab w:pos="2064" w:val="left" w:leader="none"/>
          <w:tab w:pos="2065" w:val="left" w:leader="none"/>
        </w:tabs>
        <w:spacing w:line="260" w:lineRule="exact" w:before="0" w:after="0"/>
        <w:ind w:left="2064" w:right="0" w:hanging="721"/>
        <w:jc w:val="left"/>
      </w:pPr>
      <w:r>
        <w:rPr>
          <w:w w:val="110"/>
        </w:rPr>
        <w:t>Free Church Education</w:t>
      </w:r>
      <w:r>
        <w:rPr>
          <w:spacing w:val="-2"/>
          <w:w w:val="110"/>
        </w:rPr>
        <w:t> </w:t>
      </w:r>
      <w:r>
        <w:rPr>
          <w:w w:val="110"/>
        </w:rPr>
        <w:t>Committee</w:t>
      </w:r>
    </w:p>
    <w:p>
      <w:pPr>
        <w:pStyle w:val="BodyText"/>
        <w:tabs>
          <w:tab w:pos="5664" w:val="left" w:leader="none"/>
        </w:tabs>
        <w:spacing w:line="234" w:lineRule="exact"/>
        <w:ind w:left="2064"/>
      </w:pPr>
      <w:r>
        <w:rPr>
          <w:w w:val="120"/>
        </w:rPr>
        <w:t>Mr</w:t>
      </w:r>
      <w:r>
        <w:rPr>
          <w:spacing w:val="-6"/>
          <w:w w:val="120"/>
        </w:rPr>
        <w:t> </w:t>
      </w:r>
      <w:r>
        <w:rPr>
          <w:w w:val="120"/>
        </w:rPr>
        <w:t>Graham</w:t>
      </w:r>
      <w:r>
        <w:rPr>
          <w:spacing w:val="-6"/>
          <w:w w:val="120"/>
        </w:rPr>
        <w:t> </w:t>
      </w:r>
      <w:r>
        <w:rPr>
          <w:w w:val="120"/>
        </w:rPr>
        <w:t>Handscombe</w:t>
        <w:tab/>
        <w:t>Mrs Gillian</w:t>
      </w:r>
      <w:r>
        <w:rPr>
          <w:spacing w:val="4"/>
          <w:w w:val="120"/>
        </w:rPr>
        <w:t> </w:t>
      </w:r>
      <w:r>
        <w:rPr>
          <w:w w:val="120"/>
        </w:rPr>
        <w:t>Kingston</w:t>
      </w:r>
    </w:p>
    <w:p>
      <w:pPr>
        <w:pStyle w:val="BodyText"/>
        <w:rPr>
          <w:sz w:val="18"/>
        </w:rPr>
      </w:pPr>
    </w:p>
    <w:p>
      <w:pPr>
        <w:pStyle w:val="Heading7"/>
        <w:numPr>
          <w:ilvl w:val="1"/>
          <w:numId w:val="234"/>
        </w:numPr>
        <w:tabs>
          <w:tab w:pos="2064" w:val="left" w:leader="none"/>
          <w:tab w:pos="2065" w:val="left" w:leader="none"/>
        </w:tabs>
        <w:spacing w:line="260" w:lineRule="exact" w:before="0" w:after="0"/>
        <w:ind w:left="2064" w:right="0" w:hanging="721"/>
        <w:jc w:val="left"/>
      </w:pPr>
      <w:r>
        <w:rPr>
          <w:w w:val="110"/>
        </w:rPr>
        <w:t>European Churches’ Environmental</w:t>
      </w:r>
      <w:r>
        <w:rPr>
          <w:spacing w:val="-2"/>
          <w:w w:val="110"/>
        </w:rPr>
        <w:t> </w:t>
      </w:r>
      <w:r>
        <w:rPr>
          <w:w w:val="110"/>
        </w:rPr>
        <w:t>Network</w:t>
      </w:r>
    </w:p>
    <w:p>
      <w:pPr>
        <w:pStyle w:val="BodyText"/>
        <w:spacing w:line="234" w:lineRule="exact"/>
        <w:ind w:left="2064"/>
      </w:pPr>
      <w:r>
        <w:rPr>
          <w:w w:val="115"/>
        </w:rPr>
        <w:t>Mr Charles Jolly</w:t>
      </w:r>
    </w:p>
    <w:p>
      <w:pPr>
        <w:pStyle w:val="BodyText"/>
        <w:spacing w:before="11"/>
        <w:rPr>
          <w:sz w:val="17"/>
        </w:rPr>
      </w:pPr>
    </w:p>
    <w:p>
      <w:pPr>
        <w:pStyle w:val="Heading7"/>
        <w:numPr>
          <w:ilvl w:val="1"/>
          <w:numId w:val="234"/>
        </w:numPr>
        <w:tabs>
          <w:tab w:pos="2064" w:val="left" w:leader="none"/>
          <w:tab w:pos="2065" w:val="left" w:leader="none"/>
        </w:tabs>
        <w:spacing w:line="260" w:lineRule="exact" w:before="1" w:after="0"/>
        <w:ind w:left="2064" w:right="0" w:hanging="721"/>
        <w:jc w:val="left"/>
      </w:pPr>
      <w:r>
        <w:rPr>
          <w:w w:val="110"/>
        </w:rPr>
        <w:t>Churches’ Refugee</w:t>
      </w:r>
      <w:r>
        <w:rPr>
          <w:spacing w:val="-1"/>
          <w:w w:val="110"/>
        </w:rPr>
        <w:t> </w:t>
      </w:r>
      <w:r>
        <w:rPr>
          <w:w w:val="110"/>
        </w:rPr>
        <w:t>Network</w:t>
      </w:r>
    </w:p>
    <w:p>
      <w:pPr>
        <w:pStyle w:val="BodyText"/>
        <w:spacing w:line="234" w:lineRule="exact"/>
        <w:ind w:left="2064"/>
      </w:pPr>
      <w:r>
        <w:rPr>
          <w:w w:val="120"/>
        </w:rPr>
        <w:t>The Revd Fleur Houston</w:t>
      </w:r>
    </w:p>
    <w:p>
      <w:pPr>
        <w:pStyle w:val="BodyText"/>
        <w:spacing w:before="11"/>
        <w:rPr>
          <w:sz w:val="17"/>
        </w:rPr>
      </w:pPr>
    </w:p>
    <w:p>
      <w:pPr>
        <w:pStyle w:val="Heading7"/>
        <w:numPr>
          <w:ilvl w:val="1"/>
          <w:numId w:val="234"/>
        </w:numPr>
        <w:tabs>
          <w:tab w:pos="2064" w:val="left" w:leader="none"/>
          <w:tab w:pos="2065" w:val="left" w:leader="none"/>
        </w:tabs>
        <w:spacing w:line="260" w:lineRule="exact" w:before="0" w:after="0"/>
        <w:ind w:left="2064" w:right="0" w:hanging="721"/>
        <w:jc w:val="left"/>
      </w:pPr>
      <w:r>
        <w:rPr>
          <w:w w:val="110"/>
        </w:rPr>
        <w:t>Churches’ Committee on Funerals and</w:t>
      </w:r>
      <w:r>
        <w:rPr>
          <w:spacing w:val="-3"/>
          <w:w w:val="110"/>
        </w:rPr>
        <w:t> </w:t>
      </w:r>
      <w:r>
        <w:rPr>
          <w:w w:val="110"/>
        </w:rPr>
        <w:t>Crematoria</w:t>
      </w:r>
    </w:p>
    <w:p>
      <w:pPr>
        <w:pStyle w:val="BodyText"/>
        <w:tabs>
          <w:tab w:pos="5720" w:val="left" w:leader="none"/>
        </w:tabs>
        <w:spacing w:line="234" w:lineRule="exact"/>
        <w:ind w:left="2064"/>
      </w:pPr>
      <w:r>
        <w:rPr>
          <w:w w:val="120"/>
        </w:rPr>
        <w:t>The Revd</w:t>
      </w:r>
      <w:r>
        <w:rPr>
          <w:spacing w:val="-11"/>
          <w:w w:val="120"/>
        </w:rPr>
        <w:t> </w:t>
      </w:r>
      <w:r>
        <w:rPr>
          <w:w w:val="120"/>
        </w:rPr>
        <w:t>Sally</w:t>
      </w:r>
      <w:r>
        <w:rPr>
          <w:spacing w:val="-5"/>
          <w:w w:val="120"/>
        </w:rPr>
        <w:t> </w:t>
      </w:r>
      <w:r>
        <w:rPr>
          <w:w w:val="120"/>
        </w:rPr>
        <w:t>Thomas</w:t>
        <w:tab/>
        <w:t>The Revd Kate</w:t>
      </w:r>
      <w:r>
        <w:rPr>
          <w:spacing w:val="3"/>
          <w:w w:val="120"/>
        </w:rPr>
        <w:t> </w:t>
      </w:r>
      <w:r>
        <w:rPr>
          <w:w w:val="120"/>
        </w:rPr>
        <w:t>Hackett</w:t>
      </w:r>
    </w:p>
    <w:p>
      <w:pPr>
        <w:pStyle w:val="BodyText"/>
        <w:rPr>
          <w:sz w:val="18"/>
        </w:rPr>
      </w:pPr>
    </w:p>
    <w:p>
      <w:pPr>
        <w:pStyle w:val="Heading7"/>
        <w:numPr>
          <w:ilvl w:val="1"/>
          <w:numId w:val="234"/>
        </w:numPr>
        <w:tabs>
          <w:tab w:pos="2024" w:val="left" w:leader="none"/>
          <w:tab w:pos="2025" w:val="left" w:leader="none"/>
        </w:tabs>
        <w:spacing w:line="260" w:lineRule="exact" w:before="0" w:after="0"/>
        <w:ind w:left="2024" w:right="0" w:hanging="681"/>
        <w:jc w:val="left"/>
      </w:pPr>
      <w:r>
        <w:rPr>
          <w:w w:val="110"/>
        </w:rPr>
        <w:t>Churches’ Forum for</w:t>
      </w:r>
      <w:r>
        <w:rPr>
          <w:spacing w:val="-1"/>
          <w:w w:val="110"/>
        </w:rPr>
        <w:t> </w:t>
      </w:r>
      <w:r>
        <w:rPr>
          <w:w w:val="110"/>
        </w:rPr>
        <w:t>Safeguarding</w:t>
      </w:r>
    </w:p>
    <w:p>
      <w:pPr>
        <w:pStyle w:val="BodyText"/>
        <w:spacing w:line="234" w:lineRule="exact"/>
        <w:ind w:left="2064"/>
      </w:pPr>
      <w:r>
        <w:rPr>
          <w:w w:val="120"/>
        </w:rPr>
        <w:t>Safeguarding Officer</w:t>
      </w:r>
    </w:p>
    <w:p>
      <w:pPr>
        <w:pStyle w:val="BodyText"/>
        <w:spacing w:before="12"/>
        <w:rPr>
          <w:sz w:val="17"/>
        </w:rPr>
      </w:pPr>
    </w:p>
    <w:p>
      <w:pPr>
        <w:pStyle w:val="Heading7"/>
        <w:numPr>
          <w:ilvl w:val="1"/>
          <w:numId w:val="234"/>
        </w:numPr>
        <w:tabs>
          <w:tab w:pos="2024" w:val="left" w:leader="none"/>
          <w:tab w:pos="2025" w:val="left" w:leader="none"/>
        </w:tabs>
        <w:spacing w:line="260" w:lineRule="exact" w:before="0" w:after="0"/>
        <w:ind w:left="2024" w:right="0" w:hanging="681"/>
        <w:jc w:val="left"/>
      </w:pPr>
      <w:r>
        <w:rPr>
          <w:w w:val="110"/>
        </w:rPr>
        <w:t>Churches’ Network for</w:t>
      </w:r>
      <w:r>
        <w:rPr>
          <w:spacing w:val="-2"/>
          <w:w w:val="110"/>
        </w:rPr>
        <w:t> </w:t>
      </w:r>
      <w:r>
        <w:rPr>
          <w:w w:val="110"/>
        </w:rPr>
        <w:t>Non-Violence</w:t>
      </w:r>
    </w:p>
    <w:p>
      <w:pPr>
        <w:pStyle w:val="BodyText"/>
        <w:spacing w:line="234" w:lineRule="exact"/>
        <w:ind w:left="2064"/>
      </w:pPr>
      <w:r>
        <w:rPr>
          <w:w w:val="120"/>
        </w:rPr>
        <w:t>Head of Children’s and Youth Work</w:t>
      </w:r>
    </w:p>
    <w:p>
      <w:pPr>
        <w:pStyle w:val="BodyText"/>
        <w:spacing w:before="11"/>
        <w:rPr>
          <w:sz w:val="17"/>
        </w:rPr>
      </w:pPr>
    </w:p>
    <w:p>
      <w:pPr>
        <w:pStyle w:val="Heading7"/>
        <w:numPr>
          <w:ilvl w:val="1"/>
          <w:numId w:val="234"/>
        </w:numPr>
        <w:tabs>
          <w:tab w:pos="2024" w:val="left" w:leader="none"/>
          <w:tab w:pos="2025" w:val="left" w:leader="none"/>
        </w:tabs>
        <w:spacing w:line="261" w:lineRule="exact" w:before="1" w:after="0"/>
        <w:ind w:left="2024" w:right="0" w:hanging="681"/>
        <w:jc w:val="left"/>
      </w:pPr>
      <w:r>
        <w:rPr>
          <w:w w:val="110"/>
        </w:rPr>
        <w:t>Fresh</w:t>
      </w:r>
      <w:r>
        <w:rPr>
          <w:spacing w:val="-1"/>
          <w:w w:val="110"/>
        </w:rPr>
        <w:t> </w:t>
      </w:r>
      <w:r>
        <w:rPr>
          <w:w w:val="110"/>
        </w:rPr>
        <w:t>Expressions</w:t>
      </w:r>
    </w:p>
    <w:p>
      <w:pPr>
        <w:pStyle w:val="BodyText"/>
        <w:spacing w:line="235" w:lineRule="exact"/>
        <w:ind w:left="2024"/>
      </w:pPr>
      <w:r>
        <w:rPr>
          <w:w w:val="120"/>
        </w:rPr>
        <w:t>Deputy General Secretary (Mission)</w:t>
      </w:r>
    </w:p>
    <w:p>
      <w:pPr>
        <w:spacing w:after="0" w:line="235" w:lineRule="exact"/>
        <w:sectPr>
          <w:headerReference w:type="default" r:id="rId558"/>
          <w:pgSz w:w="11910" w:h="16840"/>
          <w:pgMar w:header="0" w:footer="631" w:top="0" w:bottom="820" w:left="640" w:right="0"/>
        </w:sectPr>
      </w:pPr>
    </w:p>
    <w:p>
      <w:pPr>
        <w:pStyle w:val="BodyText"/>
      </w:pPr>
      <w:r>
        <w:rPr/>
        <w:drawing>
          <wp:anchor distT="0" distB="0" distL="0" distR="0" allowOverlap="1" layoutInCell="1" locked="0" behindDoc="1" simplePos="0" relativeHeight="235767808">
            <wp:simplePos x="0" y="0"/>
            <wp:positionH relativeFrom="page">
              <wp:posOffset>0</wp:posOffset>
            </wp:positionH>
            <wp:positionV relativeFrom="page">
              <wp:posOffset>0</wp:posOffset>
            </wp:positionV>
            <wp:extent cx="594067" cy="10692003"/>
            <wp:effectExtent l="0" t="0" r="0" b="0"/>
            <wp:wrapNone/>
            <wp:docPr id="405" name="image71.png"/>
            <wp:cNvGraphicFramePr>
              <a:graphicFrameLocks noChangeAspect="1"/>
            </wp:cNvGraphicFramePr>
            <a:graphic>
              <a:graphicData uri="http://schemas.openxmlformats.org/drawingml/2006/picture">
                <pic:pic>
                  <pic:nvPicPr>
                    <pic:cNvPr id="406" name="image71.png"/>
                    <pic:cNvPicPr/>
                  </pic:nvPicPr>
                  <pic:blipFill>
                    <a:blip r:embed="rId537" cstate="print"/>
                    <a:stretch>
                      <a:fillRect/>
                    </a:stretch>
                  </pic:blipFill>
                  <pic:spPr>
                    <a:xfrm>
                      <a:off x="0" y="0"/>
                      <a:ext cx="594067" cy="10692003"/>
                    </a:xfrm>
                    <a:prstGeom prst="rect">
                      <a:avLst/>
                    </a:prstGeom>
                  </pic:spPr>
                </pic:pic>
              </a:graphicData>
            </a:graphic>
          </wp:anchor>
        </w:drawing>
      </w:r>
      <w:r>
        <w:rPr/>
        <w:pict>
          <v:shape style="position:absolute;margin-left:20.519100pt;margin-top:48.890015pt;width:25.9pt;height:131.3pt;mso-position-horizontal-relative:page;mso-position-vertical-relative:page;z-index:-267547648" type="#_x0000_t202" filled="false" stroked="false">
            <v:textbox inset="0,0,0,0" style="layout-flow:vertical">
              <w:txbxContent>
                <w:p>
                  <w:pPr>
                    <w:spacing w:before="27"/>
                    <w:ind w:left="20" w:right="0" w:firstLine="0"/>
                    <w:jc w:val="left"/>
                    <w:rPr>
                      <w:sz w:val="39"/>
                    </w:rPr>
                  </w:pPr>
                  <w:r>
                    <w:rPr>
                      <w:color w:val="FFFFFF"/>
                      <w:w w:val="120"/>
                      <w:sz w:val="39"/>
                    </w:rPr>
                    <w:t>Nominations</w:t>
                  </w:r>
                </w:p>
              </w:txbxContent>
            </v:textbox>
            <w10:wrap type="none"/>
          </v:shape>
        </w:pict>
      </w:r>
    </w:p>
    <w:p>
      <w:pPr>
        <w:pStyle w:val="BodyText"/>
        <w:spacing w:before="7"/>
        <w:rPr>
          <w:sz w:val="21"/>
        </w:rPr>
      </w:pPr>
    </w:p>
    <w:p>
      <w:pPr>
        <w:spacing w:before="106"/>
        <w:ind w:left="607" w:right="0" w:firstLine="0"/>
        <w:jc w:val="left"/>
        <w:rPr>
          <w:sz w:val="26"/>
        </w:rPr>
      </w:pPr>
      <w:r>
        <w:rPr>
          <w:color w:val="7EAABF"/>
          <w:w w:val="115"/>
          <w:sz w:val="26"/>
        </w:rPr>
        <w:t>Nominations</w:t>
      </w:r>
    </w:p>
    <w:p>
      <w:pPr>
        <w:pStyle w:val="Heading7"/>
        <w:numPr>
          <w:ilvl w:val="1"/>
          <w:numId w:val="234"/>
        </w:numPr>
        <w:tabs>
          <w:tab w:pos="1287" w:val="left" w:leader="none"/>
          <w:tab w:pos="1288" w:val="left" w:leader="none"/>
        </w:tabs>
        <w:spacing w:line="261" w:lineRule="exact" w:before="205" w:after="0"/>
        <w:ind w:left="1287" w:right="0" w:hanging="681"/>
        <w:jc w:val="left"/>
      </w:pPr>
      <w:r>
        <w:rPr>
          <w:w w:val="110"/>
        </w:rPr>
        <w:t>Churches Visitor and </w:t>
      </w:r>
      <w:r>
        <w:rPr>
          <w:spacing w:val="-3"/>
          <w:w w:val="110"/>
        </w:rPr>
        <w:t>Tourism</w:t>
      </w:r>
      <w:r>
        <w:rPr>
          <w:spacing w:val="-1"/>
          <w:w w:val="110"/>
        </w:rPr>
        <w:t> </w:t>
      </w:r>
      <w:r>
        <w:rPr>
          <w:w w:val="110"/>
        </w:rPr>
        <w:t>Association</w:t>
      </w:r>
    </w:p>
    <w:p>
      <w:pPr>
        <w:pStyle w:val="BodyText"/>
        <w:spacing w:line="235" w:lineRule="exact"/>
        <w:ind w:left="1287"/>
      </w:pPr>
      <w:r>
        <w:rPr>
          <w:w w:val="115"/>
        </w:rPr>
        <w:t>Mrs Valerie Jenkins</w:t>
      </w:r>
    </w:p>
    <w:p>
      <w:pPr>
        <w:pStyle w:val="BodyText"/>
        <w:spacing w:before="11"/>
        <w:rPr>
          <w:sz w:val="30"/>
        </w:rPr>
      </w:pPr>
    </w:p>
    <w:p>
      <w:pPr>
        <w:pStyle w:val="Heading2"/>
        <w:numPr>
          <w:ilvl w:val="0"/>
          <w:numId w:val="232"/>
        </w:numPr>
        <w:tabs>
          <w:tab w:pos="1287" w:val="left" w:leader="none"/>
          <w:tab w:pos="1288" w:val="left" w:leader="none"/>
        </w:tabs>
        <w:spacing w:line="213" w:lineRule="auto" w:before="0" w:after="0"/>
        <w:ind w:left="1287" w:right="2797" w:hanging="681"/>
        <w:jc w:val="left"/>
      </w:pPr>
      <w:r>
        <w:rPr>
          <w:spacing w:val="-3"/>
          <w:w w:val="110"/>
        </w:rPr>
        <w:t>Representatives </w:t>
      </w:r>
      <w:r>
        <w:rPr>
          <w:w w:val="110"/>
        </w:rPr>
        <w:t>on formal bi-lateral and multi-lateral committees</w:t>
      </w:r>
    </w:p>
    <w:p>
      <w:pPr>
        <w:pStyle w:val="Heading7"/>
        <w:numPr>
          <w:ilvl w:val="1"/>
          <w:numId w:val="232"/>
        </w:numPr>
        <w:tabs>
          <w:tab w:pos="1287" w:val="left" w:leader="none"/>
          <w:tab w:pos="1288" w:val="left" w:leader="none"/>
        </w:tabs>
        <w:spacing w:line="261" w:lineRule="exact" w:before="75" w:after="0"/>
        <w:ind w:left="1287" w:right="0" w:hanging="681"/>
        <w:jc w:val="left"/>
      </w:pPr>
      <w:r>
        <w:rPr>
          <w:w w:val="110"/>
        </w:rPr>
        <w:t>Methodist/United Reformed Church Liaison</w:t>
      </w:r>
      <w:r>
        <w:rPr>
          <w:spacing w:val="-2"/>
          <w:w w:val="110"/>
        </w:rPr>
        <w:t> </w:t>
      </w:r>
      <w:r>
        <w:rPr>
          <w:w w:val="110"/>
        </w:rPr>
        <w:t>Group</w:t>
      </w:r>
    </w:p>
    <w:p>
      <w:pPr>
        <w:pStyle w:val="BodyText"/>
        <w:tabs>
          <w:tab w:pos="4207" w:val="left" w:leader="none"/>
        </w:tabs>
        <w:spacing w:line="235" w:lineRule="auto"/>
        <w:ind w:left="1287" w:right="3056"/>
      </w:pPr>
      <w:r>
        <w:rPr>
          <w:w w:val="120"/>
        </w:rPr>
        <w:t>Co-Convenor: The Revd Nicola Furley- Smith (Synod Moderator) [2020] The Revd</w:t>
      </w:r>
      <w:r>
        <w:rPr>
          <w:spacing w:val="-2"/>
          <w:w w:val="120"/>
        </w:rPr>
        <w:t> </w:t>
      </w:r>
      <w:r>
        <w:rPr>
          <w:w w:val="120"/>
        </w:rPr>
        <w:t>Kay</w:t>
      </w:r>
      <w:r>
        <w:rPr>
          <w:spacing w:val="-1"/>
          <w:w w:val="120"/>
        </w:rPr>
        <w:t> </w:t>
      </w:r>
      <w:r>
        <w:rPr>
          <w:w w:val="120"/>
        </w:rPr>
        <w:t>Alberg</w:t>
        <w:tab/>
        <w:t>The Revd Roy</w:t>
      </w:r>
      <w:r>
        <w:rPr>
          <w:spacing w:val="2"/>
          <w:w w:val="120"/>
        </w:rPr>
        <w:t> </w:t>
      </w:r>
      <w:r>
        <w:rPr>
          <w:w w:val="120"/>
        </w:rPr>
        <w:t>Fowler</w:t>
      </w:r>
    </w:p>
    <w:p>
      <w:pPr>
        <w:pStyle w:val="BodyText"/>
        <w:tabs>
          <w:tab w:pos="4207" w:val="left" w:leader="none"/>
        </w:tabs>
        <w:spacing w:line="242" w:lineRule="exact"/>
        <w:ind w:left="1287"/>
      </w:pPr>
      <w:r>
        <w:rPr>
          <w:w w:val="120"/>
        </w:rPr>
        <w:t>The Revd</w:t>
      </w:r>
      <w:r>
        <w:rPr>
          <w:spacing w:val="-10"/>
          <w:w w:val="120"/>
        </w:rPr>
        <w:t> </w:t>
      </w:r>
      <w:r>
        <w:rPr>
          <w:w w:val="120"/>
        </w:rPr>
        <w:t>Sally</w:t>
      </w:r>
      <w:r>
        <w:rPr>
          <w:spacing w:val="-5"/>
          <w:w w:val="120"/>
        </w:rPr>
        <w:t> </w:t>
      </w:r>
      <w:r>
        <w:rPr>
          <w:w w:val="120"/>
        </w:rPr>
        <w:t>Thomas</w:t>
        <w:tab/>
        <w:t>Secretary for Ecumenical and Interfaith</w:t>
      </w:r>
      <w:r>
        <w:rPr>
          <w:spacing w:val="-6"/>
          <w:w w:val="120"/>
        </w:rPr>
        <w:t> </w:t>
      </w:r>
      <w:r>
        <w:rPr>
          <w:w w:val="120"/>
        </w:rPr>
        <w:t>Relations</w:t>
      </w:r>
    </w:p>
    <w:p>
      <w:pPr>
        <w:pStyle w:val="BodyText"/>
        <w:spacing w:before="6"/>
        <w:rPr>
          <w:sz w:val="18"/>
        </w:rPr>
      </w:pPr>
    </w:p>
    <w:p>
      <w:pPr>
        <w:pStyle w:val="ListParagraph"/>
        <w:numPr>
          <w:ilvl w:val="2"/>
          <w:numId w:val="232"/>
        </w:numPr>
        <w:tabs>
          <w:tab w:pos="1288" w:val="left" w:leader="none"/>
          <w:tab w:pos="4927" w:val="left" w:leader="none"/>
        </w:tabs>
        <w:spacing w:line="230" w:lineRule="auto" w:before="0" w:after="0"/>
        <w:ind w:left="1287" w:right="3224" w:hanging="681"/>
        <w:jc w:val="left"/>
        <w:rPr>
          <w:sz w:val="20"/>
        </w:rPr>
      </w:pPr>
      <w:r>
        <w:rPr>
          <w:rFonts w:ascii="Stone Sans II ITC Std Bk"/>
          <w:b/>
          <w:w w:val="110"/>
          <w:sz w:val="20"/>
        </w:rPr>
        <w:t>Methodist/ United Reformed Church Strategic Oversight Group </w:t>
      </w:r>
      <w:r>
        <w:rPr>
          <w:w w:val="115"/>
          <w:sz w:val="20"/>
        </w:rPr>
        <w:t>General</w:t>
      </w:r>
      <w:r>
        <w:rPr>
          <w:spacing w:val="21"/>
          <w:w w:val="115"/>
          <w:sz w:val="20"/>
        </w:rPr>
        <w:t> </w:t>
      </w:r>
      <w:r>
        <w:rPr>
          <w:w w:val="115"/>
          <w:sz w:val="20"/>
        </w:rPr>
        <w:t>Secretary</w:t>
        <w:tab/>
        <w:t>An Assembly Moderator Secretary for Ecumenical and Interfaith Relations The</w:t>
      </w:r>
      <w:r>
        <w:rPr>
          <w:spacing w:val="41"/>
          <w:w w:val="115"/>
          <w:sz w:val="20"/>
        </w:rPr>
        <w:t> </w:t>
      </w:r>
      <w:r>
        <w:rPr>
          <w:w w:val="115"/>
          <w:sz w:val="20"/>
        </w:rPr>
        <w:t>Treasurer</w:t>
      </w:r>
    </w:p>
    <w:p>
      <w:pPr>
        <w:pStyle w:val="BodyText"/>
        <w:spacing w:before="2"/>
      </w:pPr>
    </w:p>
    <w:p>
      <w:pPr>
        <w:pStyle w:val="Heading7"/>
        <w:numPr>
          <w:ilvl w:val="1"/>
          <w:numId w:val="232"/>
        </w:numPr>
        <w:tabs>
          <w:tab w:pos="1287" w:val="left" w:leader="none"/>
          <w:tab w:pos="1288" w:val="left" w:leader="none"/>
        </w:tabs>
        <w:spacing w:line="213" w:lineRule="auto" w:before="0" w:after="0"/>
        <w:ind w:left="1287" w:right="3073" w:hanging="681"/>
        <w:jc w:val="left"/>
      </w:pPr>
      <w:r>
        <w:rPr>
          <w:w w:val="110"/>
        </w:rPr>
        <w:t>Church of England/United Reformed Church/ Church of England Bilateral</w:t>
      </w:r>
      <w:r>
        <w:rPr>
          <w:spacing w:val="-1"/>
          <w:w w:val="110"/>
        </w:rPr>
        <w:t> </w:t>
      </w:r>
      <w:r>
        <w:rPr>
          <w:w w:val="110"/>
        </w:rPr>
        <w:t>Dialogue</w:t>
      </w:r>
    </w:p>
    <w:p>
      <w:pPr>
        <w:pStyle w:val="BodyText"/>
        <w:spacing w:line="231" w:lineRule="exact"/>
        <w:ind w:left="1287"/>
      </w:pPr>
      <w:r>
        <w:rPr>
          <w:w w:val="120"/>
        </w:rPr>
        <w:t>The Revd Nicola Furley-Smith The Revd Elizabeth Welch</w:t>
      </w:r>
    </w:p>
    <w:p>
      <w:pPr>
        <w:pStyle w:val="BodyText"/>
        <w:tabs>
          <w:tab w:pos="4927" w:val="left" w:leader="none"/>
        </w:tabs>
        <w:spacing w:line="242" w:lineRule="exact"/>
        <w:ind w:left="1287"/>
      </w:pPr>
      <w:r>
        <w:rPr>
          <w:w w:val="120"/>
        </w:rPr>
        <w:t>The Revd</w:t>
      </w:r>
      <w:r>
        <w:rPr>
          <w:spacing w:val="-10"/>
          <w:w w:val="120"/>
        </w:rPr>
        <w:t> </w:t>
      </w:r>
      <w:r>
        <w:rPr>
          <w:w w:val="120"/>
        </w:rPr>
        <w:t>Tim</w:t>
      </w:r>
      <w:r>
        <w:rPr>
          <w:spacing w:val="-5"/>
          <w:w w:val="120"/>
        </w:rPr>
        <w:t> </w:t>
      </w:r>
      <w:r>
        <w:rPr>
          <w:w w:val="120"/>
        </w:rPr>
        <w:t>Meadows</w:t>
        <w:tab/>
        <w:t>The Revd Dr Julian</w:t>
      </w:r>
      <w:r>
        <w:rPr>
          <w:spacing w:val="5"/>
          <w:w w:val="120"/>
        </w:rPr>
        <w:t> </w:t>
      </w:r>
      <w:r>
        <w:rPr>
          <w:w w:val="120"/>
        </w:rPr>
        <w:t>Templeton</w:t>
      </w:r>
    </w:p>
    <w:p>
      <w:pPr>
        <w:pStyle w:val="BodyText"/>
        <w:spacing w:before="9"/>
        <w:rPr>
          <w:sz w:val="19"/>
        </w:rPr>
      </w:pPr>
    </w:p>
    <w:p>
      <w:pPr>
        <w:pStyle w:val="Heading7"/>
        <w:numPr>
          <w:ilvl w:val="1"/>
          <w:numId w:val="232"/>
        </w:numPr>
        <w:tabs>
          <w:tab w:pos="1287" w:val="left" w:leader="none"/>
          <w:tab w:pos="1288" w:val="left" w:leader="none"/>
        </w:tabs>
        <w:spacing w:line="218" w:lineRule="auto" w:before="1" w:after="0"/>
        <w:ind w:left="1287" w:right="2134" w:hanging="681"/>
        <w:jc w:val="left"/>
        <w:rPr>
          <w:rFonts w:ascii="Calibri"/>
          <w:b w:val="0"/>
        </w:rPr>
      </w:pPr>
      <w:r>
        <w:rPr>
          <w:w w:val="115"/>
        </w:rPr>
        <w:t>EMU Partnership (Scottish Episcopal Church, the Methodist Church in Scotland</w:t>
      </w:r>
      <w:r>
        <w:rPr>
          <w:spacing w:val="-24"/>
          <w:w w:val="115"/>
        </w:rPr>
        <w:t> </w:t>
      </w:r>
      <w:r>
        <w:rPr>
          <w:w w:val="115"/>
        </w:rPr>
        <w:t>and</w:t>
      </w:r>
      <w:r>
        <w:rPr>
          <w:spacing w:val="-24"/>
          <w:w w:val="115"/>
        </w:rPr>
        <w:t> </w:t>
      </w:r>
      <w:r>
        <w:rPr>
          <w:w w:val="115"/>
        </w:rPr>
        <w:t>the</w:t>
      </w:r>
      <w:r>
        <w:rPr>
          <w:spacing w:val="-24"/>
          <w:w w:val="115"/>
        </w:rPr>
        <w:t> </w:t>
      </w:r>
      <w:r>
        <w:rPr>
          <w:w w:val="115"/>
        </w:rPr>
        <w:t>United</w:t>
      </w:r>
      <w:r>
        <w:rPr>
          <w:spacing w:val="-24"/>
          <w:w w:val="115"/>
        </w:rPr>
        <w:t> </w:t>
      </w:r>
      <w:r>
        <w:rPr>
          <w:w w:val="115"/>
        </w:rPr>
        <w:t>Reformed</w:t>
      </w:r>
      <w:r>
        <w:rPr>
          <w:spacing w:val="-24"/>
          <w:w w:val="115"/>
        </w:rPr>
        <w:t> </w:t>
      </w:r>
      <w:r>
        <w:rPr>
          <w:w w:val="115"/>
        </w:rPr>
        <w:t>Church</w:t>
      </w:r>
      <w:r>
        <w:rPr>
          <w:spacing w:val="-24"/>
          <w:w w:val="115"/>
        </w:rPr>
        <w:t> </w:t>
      </w:r>
      <w:r>
        <w:rPr>
          <w:w w:val="115"/>
        </w:rPr>
        <w:t>Synod</w:t>
      </w:r>
      <w:r>
        <w:rPr>
          <w:spacing w:val="-24"/>
          <w:w w:val="115"/>
        </w:rPr>
        <w:t> </w:t>
      </w:r>
      <w:r>
        <w:rPr>
          <w:w w:val="115"/>
        </w:rPr>
        <w:t>of</w:t>
      </w:r>
      <w:r>
        <w:rPr>
          <w:spacing w:val="-24"/>
          <w:w w:val="115"/>
        </w:rPr>
        <w:t> </w:t>
      </w:r>
      <w:r>
        <w:rPr>
          <w:w w:val="115"/>
        </w:rPr>
        <w:t>Scotland)</w:t>
      </w:r>
      <w:r>
        <w:rPr>
          <w:spacing w:val="-24"/>
          <w:w w:val="115"/>
        </w:rPr>
        <w:t> </w:t>
      </w:r>
      <w:r>
        <w:rPr>
          <w:rFonts w:ascii="Calibri"/>
          <w:b w:val="0"/>
          <w:w w:val="115"/>
        </w:rPr>
        <w:t>[see</w:t>
      </w:r>
      <w:r>
        <w:rPr>
          <w:rFonts w:ascii="Calibri"/>
          <w:b w:val="0"/>
          <w:spacing w:val="-17"/>
          <w:w w:val="115"/>
        </w:rPr>
        <w:t> </w:t>
      </w:r>
      <w:r>
        <w:rPr>
          <w:rFonts w:ascii="Calibri"/>
          <w:b w:val="0"/>
          <w:w w:val="115"/>
        </w:rPr>
        <w:t>note</w:t>
      </w:r>
      <w:r>
        <w:rPr>
          <w:rFonts w:ascii="Calibri"/>
          <w:b w:val="0"/>
          <w:spacing w:val="-16"/>
          <w:w w:val="115"/>
        </w:rPr>
        <w:t> </w:t>
      </w:r>
      <w:r>
        <w:rPr>
          <w:rFonts w:ascii="Calibri"/>
          <w:b w:val="0"/>
          <w:w w:val="115"/>
        </w:rPr>
        <w:t>7] Appointed by</w:t>
      </w:r>
      <w:r>
        <w:rPr>
          <w:rFonts w:ascii="Calibri"/>
          <w:b w:val="0"/>
          <w:spacing w:val="10"/>
          <w:w w:val="115"/>
        </w:rPr>
        <w:t> </w:t>
      </w:r>
      <w:r>
        <w:rPr>
          <w:rFonts w:ascii="Calibri"/>
          <w:b w:val="0"/>
          <w:w w:val="115"/>
        </w:rPr>
        <w:t>synod</w:t>
      </w:r>
    </w:p>
    <w:p>
      <w:pPr>
        <w:pStyle w:val="BodyText"/>
        <w:spacing w:before="5"/>
      </w:pPr>
    </w:p>
    <w:p>
      <w:pPr>
        <w:pStyle w:val="ListParagraph"/>
        <w:numPr>
          <w:ilvl w:val="1"/>
          <w:numId w:val="232"/>
        </w:numPr>
        <w:tabs>
          <w:tab w:pos="1287" w:val="left" w:leader="none"/>
          <w:tab w:pos="1288" w:val="left" w:leader="none"/>
          <w:tab w:pos="4927" w:val="left" w:leader="none"/>
        </w:tabs>
        <w:spacing w:line="213" w:lineRule="auto" w:before="0" w:after="0"/>
        <w:ind w:left="1327" w:right="2191" w:hanging="720"/>
        <w:jc w:val="left"/>
        <w:rPr>
          <w:sz w:val="20"/>
        </w:rPr>
      </w:pPr>
      <w:r>
        <w:rPr>
          <w:rFonts w:ascii="Stone Sans II ITC Std Bk"/>
          <w:b/>
          <w:w w:val="110"/>
          <w:sz w:val="20"/>
        </w:rPr>
        <w:t>Conversations between the Community of Protestant Churches in Europe and the Anglican Communion</w:t>
        <w:tab/>
      </w:r>
      <w:r>
        <w:rPr>
          <w:w w:val="110"/>
          <w:sz w:val="20"/>
        </w:rPr>
        <w:t>The Revd Dr Julian</w:t>
      </w:r>
      <w:r>
        <w:rPr>
          <w:spacing w:val="2"/>
          <w:w w:val="110"/>
          <w:sz w:val="20"/>
        </w:rPr>
        <w:t> </w:t>
      </w:r>
      <w:r>
        <w:rPr>
          <w:w w:val="110"/>
          <w:sz w:val="20"/>
        </w:rPr>
        <w:t>Templeton</w:t>
      </w:r>
    </w:p>
    <w:p>
      <w:pPr>
        <w:pStyle w:val="BodyText"/>
        <w:spacing w:before="4"/>
        <w:rPr>
          <w:sz w:val="30"/>
        </w:rPr>
      </w:pPr>
    </w:p>
    <w:p>
      <w:pPr>
        <w:pStyle w:val="Heading2"/>
        <w:numPr>
          <w:ilvl w:val="0"/>
          <w:numId w:val="232"/>
        </w:numPr>
        <w:tabs>
          <w:tab w:pos="1287" w:val="left" w:leader="none"/>
          <w:tab w:pos="1288" w:val="left" w:leader="none"/>
        </w:tabs>
        <w:spacing w:line="213" w:lineRule="auto" w:before="0" w:after="0"/>
        <w:ind w:left="1287" w:right="3069" w:hanging="681"/>
        <w:jc w:val="left"/>
      </w:pPr>
      <w:r>
        <w:rPr>
          <w:spacing w:val="-3"/>
          <w:w w:val="110"/>
        </w:rPr>
        <w:t>Representatives </w:t>
      </w:r>
      <w:r>
        <w:rPr>
          <w:w w:val="110"/>
        </w:rPr>
        <w:t>on </w:t>
      </w:r>
      <w:r>
        <w:rPr>
          <w:spacing w:val="-2"/>
          <w:w w:val="110"/>
        </w:rPr>
        <w:t>governing </w:t>
      </w:r>
      <w:r>
        <w:rPr>
          <w:w w:val="110"/>
        </w:rPr>
        <w:t>bodies of theological colleges, </w:t>
      </w:r>
      <w:r>
        <w:rPr>
          <w:spacing w:val="-3"/>
          <w:w w:val="110"/>
        </w:rPr>
        <w:t>etc</w:t>
      </w:r>
    </w:p>
    <w:p>
      <w:pPr>
        <w:pStyle w:val="Heading7"/>
        <w:numPr>
          <w:ilvl w:val="1"/>
          <w:numId w:val="232"/>
        </w:numPr>
        <w:tabs>
          <w:tab w:pos="1287" w:val="left" w:leader="none"/>
          <w:tab w:pos="1288" w:val="left" w:leader="none"/>
        </w:tabs>
        <w:spacing w:line="261" w:lineRule="exact" w:before="75" w:after="0"/>
        <w:ind w:left="1287" w:right="0" w:hanging="681"/>
        <w:jc w:val="left"/>
      </w:pPr>
      <w:r>
        <w:rPr>
          <w:w w:val="110"/>
        </w:rPr>
        <w:t>Northern</w:t>
      </w:r>
      <w:r>
        <w:rPr>
          <w:spacing w:val="-1"/>
          <w:w w:val="110"/>
        </w:rPr>
        <w:t> </w:t>
      </w:r>
      <w:r>
        <w:rPr>
          <w:w w:val="110"/>
        </w:rPr>
        <w:t>College</w:t>
      </w:r>
    </w:p>
    <w:p>
      <w:pPr>
        <w:pStyle w:val="BodyText"/>
        <w:tabs>
          <w:tab w:pos="4927" w:val="left" w:leader="none"/>
        </w:tabs>
        <w:spacing w:line="233" w:lineRule="exact"/>
        <w:ind w:left="1287"/>
      </w:pPr>
      <w:r>
        <w:rPr>
          <w:w w:val="120"/>
        </w:rPr>
        <w:t>The Revd Dr</w:t>
      </w:r>
      <w:r>
        <w:rPr>
          <w:spacing w:val="-9"/>
          <w:w w:val="120"/>
        </w:rPr>
        <w:t> </w:t>
      </w:r>
      <w:r>
        <w:rPr>
          <w:w w:val="120"/>
        </w:rPr>
        <w:t>Robert</w:t>
      </w:r>
      <w:r>
        <w:rPr>
          <w:spacing w:val="-2"/>
          <w:w w:val="120"/>
        </w:rPr>
        <w:t> </w:t>
      </w:r>
      <w:r>
        <w:rPr>
          <w:w w:val="120"/>
        </w:rPr>
        <w:t>Pope</w:t>
        <w:tab/>
        <w:t>The Revd David</w:t>
      </w:r>
      <w:r>
        <w:rPr>
          <w:spacing w:val="4"/>
          <w:w w:val="120"/>
        </w:rPr>
        <w:t> </w:t>
      </w:r>
      <w:r>
        <w:rPr>
          <w:w w:val="120"/>
        </w:rPr>
        <w:t>Jenkins</w:t>
      </w:r>
    </w:p>
    <w:p>
      <w:pPr>
        <w:pStyle w:val="BodyText"/>
        <w:tabs>
          <w:tab w:pos="4927" w:val="left" w:leader="none"/>
        </w:tabs>
        <w:spacing w:line="235" w:lineRule="auto" w:before="2"/>
        <w:ind w:left="1287" w:right="4856"/>
      </w:pPr>
      <w:r>
        <w:rPr>
          <w:w w:val="115"/>
        </w:rPr>
        <w:t>Mrs</w:t>
      </w:r>
      <w:r>
        <w:rPr>
          <w:spacing w:val="7"/>
          <w:w w:val="115"/>
        </w:rPr>
        <w:t> </w:t>
      </w:r>
      <w:r>
        <w:rPr>
          <w:w w:val="115"/>
        </w:rPr>
        <w:t>Sheila</w:t>
      </w:r>
      <w:r>
        <w:rPr>
          <w:spacing w:val="8"/>
          <w:w w:val="115"/>
        </w:rPr>
        <w:t> </w:t>
      </w:r>
      <w:r>
        <w:rPr>
          <w:w w:val="115"/>
        </w:rPr>
        <w:t>Davies</w:t>
        <w:tab/>
        <w:t>Mr </w:t>
      </w:r>
      <w:r>
        <w:rPr>
          <w:spacing w:val="-3"/>
          <w:w w:val="115"/>
        </w:rPr>
        <w:t>Steve </w:t>
      </w:r>
      <w:r>
        <w:rPr>
          <w:spacing w:val="-6"/>
          <w:w w:val="115"/>
        </w:rPr>
        <w:t>Wood </w:t>
      </w:r>
      <w:r>
        <w:rPr>
          <w:w w:val="115"/>
        </w:rPr>
        <w:t>The Revd Brian</w:t>
      </w:r>
      <w:r>
        <w:rPr>
          <w:spacing w:val="13"/>
          <w:w w:val="115"/>
        </w:rPr>
        <w:t> </w:t>
      </w:r>
      <w:r>
        <w:rPr>
          <w:w w:val="115"/>
        </w:rPr>
        <w:t>Jolly</w:t>
      </w:r>
    </w:p>
    <w:p>
      <w:pPr>
        <w:pStyle w:val="BodyText"/>
        <w:spacing w:line="242" w:lineRule="exact"/>
        <w:ind w:left="1287"/>
      </w:pPr>
      <w:r>
        <w:rPr>
          <w:w w:val="115"/>
        </w:rPr>
        <w:t>In attendance: The Secretary for Education and Learning</w:t>
      </w:r>
    </w:p>
    <w:p>
      <w:pPr>
        <w:pStyle w:val="BodyText"/>
        <w:spacing w:before="3"/>
        <w:rPr>
          <w:sz w:val="18"/>
        </w:rPr>
      </w:pPr>
    </w:p>
    <w:p>
      <w:pPr>
        <w:pStyle w:val="Heading7"/>
        <w:numPr>
          <w:ilvl w:val="2"/>
          <w:numId w:val="232"/>
        </w:numPr>
        <w:tabs>
          <w:tab w:pos="1288" w:val="left" w:leader="none"/>
        </w:tabs>
        <w:spacing w:line="261" w:lineRule="exact" w:before="0" w:after="0"/>
        <w:ind w:left="1287" w:right="0" w:hanging="681"/>
        <w:jc w:val="left"/>
      </w:pPr>
      <w:r>
        <w:rPr>
          <w:w w:val="110"/>
        </w:rPr>
        <w:t>Luther King House Educational</w:t>
      </w:r>
      <w:r>
        <w:rPr>
          <w:spacing w:val="-2"/>
          <w:w w:val="110"/>
        </w:rPr>
        <w:t> </w:t>
      </w:r>
      <w:r>
        <w:rPr>
          <w:w w:val="110"/>
        </w:rPr>
        <w:t>Trust</w:t>
      </w:r>
    </w:p>
    <w:p>
      <w:pPr>
        <w:pStyle w:val="BodyText"/>
        <w:spacing w:line="235" w:lineRule="exact"/>
        <w:ind w:left="1287"/>
      </w:pPr>
      <w:r>
        <w:rPr>
          <w:w w:val="115"/>
        </w:rPr>
        <w:t>Secretary for Education and Learning</w:t>
      </w:r>
    </w:p>
    <w:p>
      <w:pPr>
        <w:pStyle w:val="BodyText"/>
        <w:spacing w:before="4"/>
        <w:rPr>
          <w:sz w:val="18"/>
        </w:rPr>
      </w:pPr>
    </w:p>
    <w:p>
      <w:pPr>
        <w:pStyle w:val="Heading7"/>
        <w:numPr>
          <w:ilvl w:val="1"/>
          <w:numId w:val="232"/>
        </w:numPr>
        <w:tabs>
          <w:tab w:pos="1287" w:val="left" w:leader="none"/>
          <w:tab w:pos="1288" w:val="left" w:leader="none"/>
        </w:tabs>
        <w:spacing w:line="261" w:lineRule="exact" w:before="0" w:after="0"/>
        <w:ind w:left="1287" w:right="0" w:hanging="681"/>
        <w:jc w:val="left"/>
      </w:pPr>
      <w:r>
        <w:rPr>
          <w:w w:val="110"/>
        </w:rPr>
        <w:t>Westminster College: Board of</w:t>
      </w:r>
      <w:r>
        <w:rPr>
          <w:spacing w:val="-2"/>
          <w:w w:val="110"/>
        </w:rPr>
        <w:t> </w:t>
      </w:r>
      <w:r>
        <w:rPr>
          <w:w w:val="110"/>
        </w:rPr>
        <w:t>Governors</w:t>
      </w:r>
    </w:p>
    <w:p>
      <w:pPr>
        <w:pStyle w:val="BodyText"/>
        <w:spacing w:line="235" w:lineRule="auto"/>
        <w:ind w:left="1287" w:right="6471"/>
      </w:pPr>
      <w:r>
        <w:rPr>
          <w:w w:val="120"/>
        </w:rPr>
        <w:t>Convenor: The Revd Nigel Uden Clerk: Mr Chris Wright</w:t>
      </w:r>
    </w:p>
    <w:p>
      <w:pPr>
        <w:pStyle w:val="BodyText"/>
        <w:spacing w:line="240" w:lineRule="exact"/>
        <w:ind w:left="1287"/>
      </w:pPr>
      <w:r>
        <w:rPr>
          <w:w w:val="115"/>
        </w:rPr>
        <w:t>Honorary College Treasurer:</w:t>
      </w:r>
    </w:p>
    <w:p>
      <w:pPr>
        <w:pStyle w:val="BodyText"/>
        <w:spacing w:line="240" w:lineRule="exact"/>
        <w:ind w:left="1287"/>
      </w:pPr>
      <w:r>
        <w:rPr>
          <w:w w:val="115"/>
        </w:rPr>
        <w:t>Members:</w:t>
      </w:r>
    </w:p>
    <w:p>
      <w:pPr>
        <w:pStyle w:val="BodyText"/>
        <w:tabs>
          <w:tab w:pos="4927" w:val="left" w:leader="none"/>
        </w:tabs>
        <w:spacing w:line="240" w:lineRule="exact"/>
        <w:ind w:left="1287"/>
      </w:pPr>
      <w:r>
        <w:rPr>
          <w:w w:val="120"/>
        </w:rPr>
        <w:t>Dr</w:t>
      </w:r>
      <w:r>
        <w:rPr>
          <w:spacing w:val="-13"/>
          <w:w w:val="120"/>
        </w:rPr>
        <w:t> </w:t>
      </w:r>
      <w:r>
        <w:rPr>
          <w:w w:val="120"/>
        </w:rPr>
        <w:t>Jean</w:t>
      </w:r>
      <w:r>
        <w:rPr>
          <w:spacing w:val="-13"/>
          <w:w w:val="120"/>
        </w:rPr>
        <w:t> </w:t>
      </w:r>
      <w:r>
        <w:rPr>
          <w:w w:val="120"/>
        </w:rPr>
        <w:t>Stevenson</w:t>
        <w:tab/>
        <w:t>The Revd Craig</w:t>
      </w:r>
      <w:r>
        <w:rPr>
          <w:spacing w:val="6"/>
          <w:w w:val="120"/>
        </w:rPr>
        <w:t> </w:t>
      </w:r>
      <w:r>
        <w:rPr>
          <w:w w:val="120"/>
        </w:rPr>
        <w:t>Muir</w:t>
      </w:r>
    </w:p>
    <w:p>
      <w:pPr>
        <w:pStyle w:val="BodyText"/>
        <w:tabs>
          <w:tab w:pos="4927" w:val="left" w:leader="none"/>
        </w:tabs>
        <w:spacing w:line="235" w:lineRule="auto"/>
        <w:ind w:left="1287" w:right="4129"/>
      </w:pPr>
      <w:r>
        <w:rPr>
          <w:w w:val="120"/>
        </w:rPr>
        <w:t>The Revd</w:t>
      </w:r>
      <w:r>
        <w:rPr>
          <w:spacing w:val="4"/>
          <w:w w:val="120"/>
        </w:rPr>
        <w:t> </w:t>
      </w:r>
      <w:r>
        <w:rPr>
          <w:w w:val="120"/>
        </w:rPr>
        <w:t>Nigel</w:t>
      </w:r>
      <w:r>
        <w:rPr>
          <w:spacing w:val="3"/>
          <w:w w:val="120"/>
        </w:rPr>
        <w:t> </w:t>
      </w:r>
      <w:r>
        <w:rPr>
          <w:w w:val="120"/>
        </w:rPr>
        <w:t>Appleton</w:t>
        <w:tab/>
        <w:t>Canon Brian Long </w:t>
      </w:r>
      <w:r>
        <w:rPr>
          <w:spacing w:val="-6"/>
          <w:w w:val="120"/>
        </w:rPr>
        <w:t>MBE </w:t>
      </w:r>
      <w:r>
        <w:rPr>
          <w:w w:val="120"/>
        </w:rPr>
        <w:t>The Revd Dr Rick</w:t>
      </w:r>
      <w:r>
        <w:rPr>
          <w:spacing w:val="4"/>
          <w:w w:val="120"/>
        </w:rPr>
        <w:t> </w:t>
      </w:r>
      <w:r>
        <w:rPr>
          <w:w w:val="120"/>
        </w:rPr>
        <w:t>Mearkle</w:t>
      </w:r>
    </w:p>
    <w:p>
      <w:pPr>
        <w:pStyle w:val="BodyText"/>
        <w:spacing w:line="235" w:lineRule="auto"/>
        <w:ind w:left="1287" w:right="2600"/>
      </w:pPr>
      <w:r>
        <w:rPr>
          <w:w w:val="120"/>
        </w:rPr>
        <w:t>The Revd Dr Jane Leach (representing Cambridge Theological Federation) The Revd Prof David Thompson (representing the University of Cambridge) Dr Andrew Salmon (representing Anglia Ruskin University)</w:t>
      </w:r>
    </w:p>
    <w:p>
      <w:pPr>
        <w:spacing w:line="235" w:lineRule="auto" w:before="0"/>
        <w:ind w:left="1287" w:right="2045" w:firstLine="0"/>
        <w:jc w:val="left"/>
        <w:rPr>
          <w:i/>
          <w:sz w:val="20"/>
        </w:rPr>
      </w:pPr>
      <w:r>
        <w:rPr>
          <w:w w:val="115"/>
          <w:sz w:val="20"/>
        </w:rPr>
        <w:t>In attendance: The Secretary for Education and Learning </w:t>
      </w:r>
      <w:r>
        <w:rPr>
          <w:i/>
          <w:w w:val="115"/>
          <w:sz w:val="20"/>
        </w:rPr>
        <w:t>(together with other </w:t>
      </w:r>
      <w:r>
        <w:rPr>
          <w:i/>
          <w:w w:val="115"/>
          <w:sz w:val="20"/>
        </w:rPr>
        <w:t>governors appointed by other bodies)</w:t>
      </w:r>
    </w:p>
    <w:p>
      <w:pPr>
        <w:pStyle w:val="BodyText"/>
        <w:spacing w:before="5"/>
        <w:rPr>
          <w:i/>
          <w:sz w:val="18"/>
        </w:rPr>
      </w:pPr>
    </w:p>
    <w:p>
      <w:pPr>
        <w:pStyle w:val="Heading7"/>
        <w:numPr>
          <w:ilvl w:val="2"/>
          <w:numId w:val="232"/>
        </w:numPr>
        <w:tabs>
          <w:tab w:pos="1288" w:val="left" w:leader="none"/>
        </w:tabs>
        <w:spacing w:line="261" w:lineRule="exact" w:before="0" w:after="0"/>
        <w:ind w:left="1287" w:right="0" w:hanging="681"/>
        <w:jc w:val="left"/>
      </w:pPr>
      <w:r>
        <w:rPr>
          <w:w w:val="110"/>
        </w:rPr>
        <w:t>Cheshunt</w:t>
      </w:r>
      <w:r>
        <w:rPr>
          <w:spacing w:val="-1"/>
          <w:w w:val="110"/>
        </w:rPr>
        <w:t> </w:t>
      </w:r>
      <w:r>
        <w:rPr>
          <w:w w:val="110"/>
        </w:rPr>
        <w:t>Foundation</w:t>
      </w:r>
    </w:p>
    <w:p>
      <w:pPr>
        <w:pStyle w:val="BodyText"/>
        <w:tabs>
          <w:tab w:pos="4927" w:val="left" w:leader="none"/>
        </w:tabs>
        <w:spacing w:line="235" w:lineRule="exact"/>
        <w:ind w:left="1287"/>
      </w:pPr>
      <w:r>
        <w:rPr>
          <w:w w:val="120"/>
        </w:rPr>
        <w:t>Mr</w:t>
      </w:r>
      <w:r>
        <w:rPr>
          <w:spacing w:val="-11"/>
          <w:w w:val="120"/>
        </w:rPr>
        <w:t> </w:t>
      </w:r>
      <w:r>
        <w:rPr>
          <w:w w:val="120"/>
        </w:rPr>
        <w:t>Guy</w:t>
      </w:r>
      <w:r>
        <w:rPr>
          <w:spacing w:val="-10"/>
          <w:w w:val="120"/>
        </w:rPr>
        <w:t> </w:t>
      </w:r>
      <w:r>
        <w:rPr>
          <w:w w:val="120"/>
        </w:rPr>
        <w:t>Morfett</w:t>
        <w:tab/>
        <w:t>The Revd Craig</w:t>
      </w:r>
      <w:r>
        <w:rPr>
          <w:spacing w:val="6"/>
          <w:w w:val="120"/>
        </w:rPr>
        <w:t> </w:t>
      </w:r>
      <w:r>
        <w:rPr>
          <w:w w:val="120"/>
        </w:rPr>
        <w:t>Muir</w:t>
      </w:r>
    </w:p>
    <w:p>
      <w:pPr>
        <w:pStyle w:val="BodyText"/>
        <w:spacing w:before="4"/>
        <w:rPr>
          <w:sz w:val="18"/>
        </w:rPr>
      </w:pPr>
    </w:p>
    <w:p>
      <w:pPr>
        <w:pStyle w:val="Heading7"/>
        <w:numPr>
          <w:ilvl w:val="2"/>
          <w:numId w:val="232"/>
        </w:numPr>
        <w:tabs>
          <w:tab w:pos="1288" w:val="left" w:leader="none"/>
        </w:tabs>
        <w:spacing w:line="261" w:lineRule="exact" w:before="0" w:after="0"/>
        <w:ind w:left="1287" w:right="0" w:hanging="681"/>
        <w:jc w:val="left"/>
      </w:pPr>
      <w:r>
        <w:rPr>
          <w:w w:val="110"/>
        </w:rPr>
        <w:t>Cambridge Theological Federation Governing</w:t>
      </w:r>
      <w:r>
        <w:rPr>
          <w:spacing w:val="-2"/>
          <w:w w:val="110"/>
        </w:rPr>
        <w:t> </w:t>
      </w:r>
      <w:r>
        <w:rPr>
          <w:w w:val="110"/>
        </w:rPr>
        <w:t>Council</w:t>
      </w:r>
    </w:p>
    <w:p>
      <w:pPr>
        <w:pStyle w:val="BodyText"/>
        <w:spacing w:line="235" w:lineRule="exact"/>
        <w:ind w:left="1287"/>
      </w:pPr>
      <w:r>
        <w:rPr>
          <w:w w:val="120"/>
        </w:rPr>
        <w:t>Convenor, Westminster College governors</w:t>
      </w:r>
    </w:p>
    <w:p>
      <w:pPr>
        <w:spacing w:after="0" w:line="235" w:lineRule="exact"/>
        <w:sectPr>
          <w:headerReference w:type="even" r:id="rId559"/>
          <w:footerReference w:type="even" r:id="rId560"/>
          <w:footerReference w:type="default" r:id="rId561"/>
          <w:pgSz w:w="11910" w:h="16840"/>
          <w:pgMar w:header="0" w:footer="647" w:top="0" w:bottom="840" w:left="640" w:right="0"/>
          <w:pgNumType w:start="212"/>
        </w:sectPr>
      </w:pPr>
    </w:p>
    <w:p>
      <w:pPr>
        <w:pStyle w:val="BodyText"/>
      </w:pPr>
      <w:r>
        <w:rPr/>
        <w:drawing>
          <wp:anchor distT="0" distB="0" distL="0" distR="0" allowOverlap="1" layoutInCell="1" locked="0" behindDoc="0" simplePos="0" relativeHeight="252223488">
            <wp:simplePos x="0" y="0"/>
            <wp:positionH relativeFrom="page">
              <wp:posOffset>6974928</wp:posOffset>
            </wp:positionH>
            <wp:positionV relativeFrom="page">
              <wp:posOffset>0</wp:posOffset>
            </wp:positionV>
            <wp:extent cx="585063" cy="10692003"/>
            <wp:effectExtent l="0" t="0" r="0" b="0"/>
            <wp:wrapNone/>
            <wp:docPr id="407" name="image70.png"/>
            <wp:cNvGraphicFramePr>
              <a:graphicFrameLocks noChangeAspect="1"/>
            </wp:cNvGraphicFramePr>
            <a:graphic>
              <a:graphicData uri="http://schemas.openxmlformats.org/drawingml/2006/picture">
                <pic:pic>
                  <pic:nvPicPr>
                    <pic:cNvPr id="408" name="image70.png"/>
                    <pic:cNvPicPr/>
                  </pic:nvPicPr>
                  <pic:blipFill>
                    <a:blip r:embed="rId532" cstate="print"/>
                    <a:stretch>
                      <a:fillRect/>
                    </a:stretch>
                  </pic:blipFill>
                  <pic:spPr>
                    <a:xfrm>
                      <a:off x="0" y="0"/>
                      <a:ext cx="585063" cy="10692003"/>
                    </a:xfrm>
                    <a:prstGeom prst="rect">
                      <a:avLst/>
                    </a:prstGeom>
                  </pic:spPr>
                </pic:pic>
              </a:graphicData>
            </a:graphic>
          </wp:anchor>
        </w:drawing>
      </w:r>
    </w:p>
    <w:p>
      <w:pPr>
        <w:pStyle w:val="BodyText"/>
        <w:spacing w:before="7"/>
        <w:rPr>
          <w:sz w:val="21"/>
        </w:rPr>
      </w:pPr>
    </w:p>
    <w:p>
      <w:pPr>
        <w:spacing w:before="106"/>
        <w:ind w:left="0" w:right="1245" w:firstLine="0"/>
        <w:jc w:val="right"/>
        <w:rPr>
          <w:sz w:val="26"/>
        </w:rPr>
      </w:pPr>
      <w:r>
        <w:rPr/>
        <w:pict>
          <v:shape style="position:absolute;margin-left:554.141174pt;margin-top:22.593945pt;width:25.9pt;height:131.3pt;mso-position-horizontal-relative:page;mso-position-vertical-relative:paragraph;z-index:252224512" type="#_x0000_t202" filled="false" stroked="false">
            <v:textbox inset="0,0,0,0" style="layout-flow:vertical">
              <w:txbxContent>
                <w:p>
                  <w:pPr>
                    <w:spacing w:before="27"/>
                    <w:ind w:left="20" w:right="0" w:firstLine="0"/>
                    <w:jc w:val="left"/>
                    <w:rPr>
                      <w:sz w:val="39"/>
                    </w:rPr>
                  </w:pPr>
                  <w:r>
                    <w:rPr>
                      <w:color w:val="FFFFFF"/>
                      <w:w w:val="120"/>
                      <w:sz w:val="39"/>
                    </w:rPr>
                    <w:t>Nominations</w:t>
                  </w:r>
                </w:p>
              </w:txbxContent>
            </v:textbox>
            <w10:wrap type="none"/>
          </v:shape>
        </w:pict>
      </w:r>
      <w:r>
        <w:rPr>
          <w:color w:val="7EAABF"/>
          <w:w w:val="115"/>
          <w:sz w:val="26"/>
        </w:rPr>
        <w:t>Nominations</w:t>
      </w:r>
    </w:p>
    <w:p>
      <w:pPr>
        <w:pStyle w:val="Heading2"/>
        <w:numPr>
          <w:ilvl w:val="0"/>
          <w:numId w:val="232"/>
        </w:numPr>
        <w:tabs>
          <w:tab w:pos="2024" w:val="left" w:leader="none"/>
          <w:tab w:pos="2025" w:val="left" w:leader="none"/>
        </w:tabs>
        <w:spacing w:line="213" w:lineRule="auto" w:before="243" w:after="0"/>
        <w:ind w:left="1344" w:right="1655" w:firstLine="0"/>
        <w:jc w:val="left"/>
      </w:pPr>
      <w:r>
        <w:rPr>
          <w:w w:val="110"/>
        </w:rPr>
        <w:t>Governors of colleges and schools with which the </w:t>
      </w:r>
      <w:r>
        <w:rPr>
          <w:spacing w:val="-3"/>
          <w:w w:val="110"/>
        </w:rPr>
        <w:t>united </w:t>
      </w:r>
      <w:r>
        <w:rPr>
          <w:w w:val="110"/>
        </w:rPr>
        <w:t>reformed church is</w:t>
      </w:r>
      <w:r>
        <w:rPr>
          <w:spacing w:val="4"/>
          <w:w w:val="110"/>
        </w:rPr>
        <w:t> </w:t>
      </w:r>
      <w:r>
        <w:rPr>
          <w:spacing w:val="-3"/>
          <w:w w:val="110"/>
        </w:rPr>
        <w:t>associated</w:t>
      </w:r>
    </w:p>
    <w:p>
      <w:pPr>
        <w:pStyle w:val="BodyText"/>
        <w:spacing w:before="4"/>
        <w:rPr>
          <w:rFonts w:ascii="Stone Sans II ITC Std Bk"/>
          <w:b/>
          <w:sz w:val="23"/>
        </w:rPr>
      </w:pPr>
    </w:p>
    <w:p>
      <w:pPr>
        <w:pStyle w:val="ListParagraph"/>
        <w:numPr>
          <w:ilvl w:val="1"/>
          <w:numId w:val="232"/>
        </w:numPr>
        <w:tabs>
          <w:tab w:pos="2024" w:val="left" w:leader="none"/>
          <w:tab w:pos="2025" w:val="left" w:leader="none"/>
          <w:tab w:pos="5664" w:val="left" w:leader="none"/>
        </w:tabs>
        <w:spacing w:line="240" w:lineRule="auto" w:before="0" w:after="0"/>
        <w:ind w:left="2024" w:right="0" w:hanging="681"/>
        <w:jc w:val="left"/>
        <w:rPr>
          <w:sz w:val="20"/>
        </w:rPr>
      </w:pPr>
      <w:r>
        <w:rPr>
          <w:rFonts w:ascii="Stone Sans II ITC Std Bk"/>
          <w:b/>
          <w:w w:val="115"/>
          <w:sz w:val="20"/>
        </w:rPr>
        <w:t>Caterham</w:t>
      </w:r>
      <w:r>
        <w:rPr>
          <w:rFonts w:ascii="Stone Sans II ITC Std Bk"/>
          <w:b/>
          <w:spacing w:val="-27"/>
          <w:w w:val="115"/>
          <w:sz w:val="20"/>
        </w:rPr>
        <w:t> </w:t>
      </w:r>
      <w:r>
        <w:rPr>
          <w:rFonts w:ascii="Stone Sans II ITC Std Bk"/>
          <w:b/>
          <w:w w:val="115"/>
          <w:sz w:val="20"/>
        </w:rPr>
        <w:t>School</w:t>
        <w:tab/>
      </w:r>
      <w:r>
        <w:rPr>
          <w:w w:val="115"/>
          <w:sz w:val="20"/>
        </w:rPr>
        <w:t>The Revd Nicola</w:t>
      </w:r>
      <w:r>
        <w:rPr>
          <w:spacing w:val="16"/>
          <w:w w:val="115"/>
          <w:sz w:val="20"/>
        </w:rPr>
        <w:t> </w:t>
      </w:r>
      <w:r>
        <w:rPr>
          <w:w w:val="115"/>
          <w:sz w:val="20"/>
        </w:rPr>
        <w:t>Furley-Smith</w:t>
      </w:r>
    </w:p>
    <w:p>
      <w:pPr>
        <w:pStyle w:val="ListParagraph"/>
        <w:numPr>
          <w:ilvl w:val="1"/>
          <w:numId w:val="232"/>
        </w:numPr>
        <w:tabs>
          <w:tab w:pos="2025" w:val="left" w:leader="none"/>
          <w:tab w:pos="5664" w:val="left" w:leader="none"/>
        </w:tabs>
        <w:spacing w:line="240" w:lineRule="auto" w:before="209" w:after="0"/>
        <w:ind w:left="2024" w:right="0" w:hanging="681"/>
        <w:jc w:val="left"/>
        <w:rPr>
          <w:sz w:val="20"/>
        </w:rPr>
      </w:pPr>
      <w:r>
        <w:rPr>
          <w:rFonts w:ascii="Stone Sans II ITC Std Bk"/>
          <w:b/>
          <w:w w:val="115"/>
          <w:sz w:val="20"/>
        </w:rPr>
        <w:t>Eltham</w:t>
      </w:r>
      <w:r>
        <w:rPr>
          <w:rFonts w:ascii="Stone Sans II ITC Std Bk"/>
          <w:b/>
          <w:spacing w:val="-23"/>
          <w:w w:val="115"/>
          <w:sz w:val="20"/>
        </w:rPr>
        <w:t> </w:t>
      </w:r>
      <w:r>
        <w:rPr>
          <w:rFonts w:ascii="Stone Sans II ITC Std Bk"/>
          <w:b/>
          <w:w w:val="115"/>
          <w:sz w:val="20"/>
        </w:rPr>
        <w:t>College</w:t>
        <w:tab/>
      </w:r>
      <w:r>
        <w:rPr>
          <w:w w:val="115"/>
          <w:sz w:val="20"/>
        </w:rPr>
        <w:t>The Revd Martin</w:t>
      </w:r>
      <w:r>
        <w:rPr>
          <w:spacing w:val="13"/>
          <w:w w:val="115"/>
          <w:sz w:val="20"/>
        </w:rPr>
        <w:t> </w:t>
      </w:r>
      <w:r>
        <w:rPr>
          <w:w w:val="115"/>
          <w:sz w:val="20"/>
        </w:rPr>
        <w:t>Foster</w:t>
      </w:r>
    </w:p>
    <w:p>
      <w:pPr>
        <w:pStyle w:val="ListParagraph"/>
        <w:numPr>
          <w:ilvl w:val="1"/>
          <w:numId w:val="232"/>
        </w:numPr>
        <w:tabs>
          <w:tab w:pos="2025" w:val="left" w:leader="none"/>
          <w:tab w:pos="5664" w:val="left" w:leader="none"/>
        </w:tabs>
        <w:spacing w:line="240" w:lineRule="auto" w:before="210" w:after="0"/>
        <w:ind w:left="2024" w:right="0" w:hanging="681"/>
        <w:jc w:val="left"/>
        <w:rPr>
          <w:sz w:val="20"/>
        </w:rPr>
      </w:pPr>
      <w:r>
        <w:rPr>
          <w:rFonts w:ascii="Stone Sans II ITC Std Bk"/>
          <w:b/>
          <w:w w:val="110"/>
          <w:sz w:val="20"/>
        </w:rPr>
        <w:t>Walthamstow</w:t>
      </w:r>
      <w:r>
        <w:rPr>
          <w:rFonts w:ascii="Stone Sans II ITC Std Bk"/>
          <w:b/>
          <w:spacing w:val="-5"/>
          <w:w w:val="110"/>
          <w:sz w:val="20"/>
        </w:rPr>
        <w:t> </w:t>
      </w:r>
      <w:r>
        <w:rPr>
          <w:rFonts w:ascii="Stone Sans II ITC Std Bk"/>
          <w:b/>
          <w:w w:val="110"/>
          <w:sz w:val="20"/>
        </w:rPr>
        <w:t>Hall</w:t>
        <w:tab/>
      </w:r>
      <w:r>
        <w:rPr>
          <w:w w:val="110"/>
          <w:sz w:val="20"/>
        </w:rPr>
        <w:t>Mrs Isabel</w:t>
      </w:r>
      <w:r>
        <w:rPr>
          <w:spacing w:val="16"/>
          <w:w w:val="110"/>
          <w:sz w:val="20"/>
        </w:rPr>
        <w:t> </w:t>
      </w:r>
      <w:r>
        <w:rPr>
          <w:w w:val="110"/>
          <w:sz w:val="20"/>
        </w:rPr>
        <w:t>Heald</w:t>
      </w:r>
    </w:p>
    <w:p>
      <w:pPr>
        <w:pStyle w:val="Heading7"/>
        <w:numPr>
          <w:ilvl w:val="1"/>
          <w:numId w:val="232"/>
        </w:numPr>
        <w:tabs>
          <w:tab w:pos="2025" w:val="left" w:leader="none"/>
        </w:tabs>
        <w:spacing w:line="261" w:lineRule="exact" w:before="210" w:after="0"/>
        <w:ind w:left="2024" w:right="0" w:hanging="681"/>
        <w:jc w:val="left"/>
      </w:pPr>
      <w:r>
        <w:rPr>
          <w:w w:val="110"/>
        </w:rPr>
        <w:t>Milton Mount</w:t>
      </w:r>
      <w:r>
        <w:rPr>
          <w:spacing w:val="-1"/>
          <w:w w:val="110"/>
        </w:rPr>
        <w:t> </w:t>
      </w:r>
      <w:r>
        <w:rPr>
          <w:w w:val="110"/>
        </w:rPr>
        <w:t>Foundation</w:t>
      </w:r>
    </w:p>
    <w:p>
      <w:pPr>
        <w:pStyle w:val="BodyText"/>
        <w:tabs>
          <w:tab w:pos="5664" w:val="left" w:leader="none"/>
        </w:tabs>
        <w:spacing w:line="233" w:lineRule="exact"/>
        <w:ind w:left="2024"/>
      </w:pPr>
      <w:r>
        <w:rPr>
          <w:w w:val="120"/>
        </w:rPr>
        <w:t>The Revd</w:t>
      </w:r>
      <w:r>
        <w:rPr>
          <w:spacing w:val="-8"/>
          <w:w w:val="120"/>
        </w:rPr>
        <w:t> </w:t>
      </w:r>
      <w:r>
        <w:rPr>
          <w:spacing w:val="-3"/>
          <w:w w:val="120"/>
        </w:rPr>
        <w:t>Val</w:t>
      </w:r>
      <w:r>
        <w:rPr>
          <w:spacing w:val="-4"/>
          <w:w w:val="120"/>
        </w:rPr>
        <w:t> Towler</w:t>
        <w:tab/>
      </w:r>
      <w:r>
        <w:rPr>
          <w:w w:val="120"/>
        </w:rPr>
        <w:t>The Revd Derek</w:t>
      </w:r>
      <w:r>
        <w:rPr>
          <w:spacing w:val="4"/>
          <w:w w:val="120"/>
        </w:rPr>
        <w:t> </w:t>
      </w:r>
      <w:r>
        <w:rPr>
          <w:w w:val="120"/>
        </w:rPr>
        <w:t>Lindfield</w:t>
      </w:r>
    </w:p>
    <w:p>
      <w:pPr>
        <w:pStyle w:val="BodyText"/>
        <w:tabs>
          <w:tab w:pos="5664" w:val="left" w:leader="none"/>
        </w:tabs>
        <w:spacing w:line="235" w:lineRule="auto" w:before="1"/>
        <w:ind w:left="2024" w:right="3384"/>
      </w:pPr>
      <w:r>
        <w:rPr>
          <w:w w:val="115"/>
        </w:rPr>
        <w:t>The Revd</w:t>
      </w:r>
      <w:r>
        <w:rPr>
          <w:spacing w:val="19"/>
          <w:w w:val="115"/>
        </w:rPr>
        <w:t> </w:t>
      </w:r>
      <w:r>
        <w:rPr>
          <w:w w:val="115"/>
        </w:rPr>
        <w:t>Richard</w:t>
      </w:r>
      <w:r>
        <w:rPr>
          <w:spacing w:val="10"/>
          <w:w w:val="115"/>
        </w:rPr>
        <w:t> </w:t>
      </w:r>
      <w:r>
        <w:rPr>
          <w:w w:val="115"/>
        </w:rPr>
        <w:t>Wells</w:t>
        <w:tab/>
        <w:t>The Revd Kevin </w:t>
      </w:r>
      <w:r>
        <w:rPr>
          <w:spacing w:val="-4"/>
          <w:w w:val="115"/>
        </w:rPr>
        <w:t>Swaine </w:t>
      </w:r>
      <w:r>
        <w:rPr>
          <w:w w:val="115"/>
        </w:rPr>
        <w:t>Mr </w:t>
      </w:r>
      <w:r>
        <w:rPr>
          <w:spacing w:val="-3"/>
          <w:w w:val="115"/>
        </w:rPr>
        <w:t>Ray</w:t>
      </w:r>
      <w:r>
        <w:rPr>
          <w:spacing w:val="8"/>
          <w:w w:val="115"/>
        </w:rPr>
        <w:t> </w:t>
      </w:r>
      <w:r>
        <w:rPr>
          <w:w w:val="115"/>
        </w:rPr>
        <w:t>Dunnett</w:t>
      </w:r>
    </w:p>
    <w:p>
      <w:pPr>
        <w:pStyle w:val="BodyText"/>
        <w:spacing w:before="6"/>
        <w:rPr>
          <w:sz w:val="18"/>
        </w:rPr>
      </w:pPr>
    </w:p>
    <w:p>
      <w:pPr>
        <w:pStyle w:val="Heading7"/>
        <w:numPr>
          <w:ilvl w:val="1"/>
          <w:numId w:val="232"/>
        </w:numPr>
        <w:tabs>
          <w:tab w:pos="2025" w:val="left" w:leader="none"/>
        </w:tabs>
        <w:spacing w:line="261" w:lineRule="exact" w:before="0" w:after="0"/>
        <w:ind w:left="2024" w:right="0" w:hanging="681"/>
        <w:jc w:val="left"/>
      </w:pPr>
      <w:r>
        <w:rPr>
          <w:w w:val="110"/>
        </w:rPr>
        <w:t>Silcoates</w:t>
      </w:r>
      <w:r>
        <w:rPr>
          <w:spacing w:val="-1"/>
          <w:w w:val="110"/>
        </w:rPr>
        <w:t> </w:t>
      </w:r>
      <w:r>
        <w:rPr>
          <w:w w:val="110"/>
        </w:rPr>
        <w:t>School</w:t>
      </w:r>
    </w:p>
    <w:p>
      <w:pPr>
        <w:pStyle w:val="BodyText"/>
        <w:tabs>
          <w:tab w:pos="5664" w:val="left" w:leader="none"/>
        </w:tabs>
        <w:spacing w:line="233" w:lineRule="exact"/>
        <w:ind w:left="2024"/>
      </w:pPr>
      <w:r>
        <w:rPr>
          <w:w w:val="120"/>
        </w:rPr>
        <w:t>Dr</w:t>
      </w:r>
      <w:r>
        <w:rPr>
          <w:spacing w:val="-6"/>
          <w:w w:val="120"/>
        </w:rPr>
        <w:t> </w:t>
      </w:r>
      <w:r>
        <w:rPr>
          <w:w w:val="120"/>
        </w:rPr>
        <w:t>Moira</w:t>
      </w:r>
      <w:r>
        <w:rPr>
          <w:spacing w:val="-5"/>
          <w:w w:val="120"/>
        </w:rPr>
        <w:t> </w:t>
      </w:r>
      <w:r>
        <w:rPr>
          <w:w w:val="120"/>
        </w:rPr>
        <w:t>Gallagher</w:t>
        <w:tab/>
        <w:t>The Revd Dr Janet</w:t>
      </w:r>
      <w:r>
        <w:rPr>
          <w:spacing w:val="4"/>
          <w:w w:val="120"/>
        </w:rPr>
        <w:t> </w:t>
      </w:r>
      <w:r>
        <w:rPr>
          <w:w w:val="120"/>
        </w:rPr>
        <w:t>Lees</w:t>
      </w:r>
    </w:p>
    <w:p>
      <w:pPr>
        <w:pStyle w:val="BodyText"/>
        <w:tabs>
          <w:tab w:pos="5664" w:val="left" w:leader="none"/>
        </w:tabs>
        <w:spacing w:line="235" w:lineRule="auto" w:before="2"/>
        <w:ind w:left="2024" w:right="4440"/>
      </w:pPr>
      <w:r>
        <w:rPr>
          <w:w w:val="120"/>
        </w:rPr>
        <w:t>The Revd</w:t>
      </w:r>
      <w:r>
        <w:rPr>
          <w:spacing w:val="-8"/>
          <w:w w:val="120"/>
        </w:rPr>
        <w:t> </w:t>
      </w:r>
      <w:r>
        <w:rPr>
          <w:spacing w:val="-3"/>
          <w:w w:val="120"/>
        </w:rPr>
        <w:t>Steven </w:t>
      </w:r>
      <w:r>
        <w:rPr>
          <w:w w:val="120"/>
        </w:rPr>
        <w:t>Knapton</w:t>
        <w:tab/>
        <w:t>Mrs Sue</w:t>
      </w:r>
      <w:r>
        <w:rPr>
          <w:spacing w:val="-20"/>
          <w:w w:val="120"/>
        </w:rPr>
        <w:t> </w:t>
      </w:r>
      <w:r>
        <w:rPr>
          <w:spacing w:val="-7"/>
          <w:w w:val="120"/>
        </w:rPr>
        <w:t>Lee </w:t>
      </w:r>
      <w:r>
        <w:rPr>
          <w:w w:val="120"/>
        </w:rPr>
        <w:t>Mrs Tessa</w:t>
      </w:r>
      <w:r>
        <w:rPr>
          <w:spacing w:val="1"/>
          <w:w w:val="120"/>
        </w:rPr>
        <w:t> </w:t>
      </w:r>
      <w:r>
        <w:rPr>
          <w:w w:val="120"/>
        </w:rPr>
        <w:t>Henry-Robinson</w:t>
      </w:r>
    </w:p>
    <w:p>
      <w:pPr>
        <w:pStyle w:val="BodyText"/>
        <w:spacing w:before="5"/>
        <w:rPr>
          <w:sz w:val="18"/>
        </w:rPr>
      </w:pPr>
    </w:p>
    <w:p>
      <w:pPr>
        <w:pStyle w:val="ListParagraph"/>
        <w:numPr>
          <w:ilvl w:val="1"/>
          <w:numId w:val="232"/>
        </w:numPr>
        <w:tabs>
          <w:tab w:pos="2025" w:val="left" w:leader="none"/>
          <w:tab w:pos="5664" w:val="left" w:leader="none"/>
        </w:tabs>
        <w:spacing w:line="240" w:lineRule="auto" w:before="0" w:after="0"/>
        <w:ind w:left="2024" w:right="0" w:hanging="681"/>
        <w:jc w:val="left"/>
        <w:rPr>
          <w:sz w:val="20"/>
        </w:rPr>
      </w:pPr>
      <w:r>
        <w:rPr>
          <w:rFonts w:ascii="Stone Sans II ITC Std Bk"/>
          <w:b/>
          <w:spacing w:val="-3"/>
          <w:w w:val="115"/>
          <w:sz w:val="20"/>
        </w:rPr>
        <w:t>Taunton</w:t>
      </w:r>
      <w:r>
        <w:rPr>
          <w:rFonts w:ascii="Stone Sans II ITC Std Bk"/>
          <w:b/>
          <w:spacing w:val="-25"/>
          <w:w w:val="115"/>
          <w:sz w:val="20"/>
        </w:rPr>
        <w:t> </w:t>
      </w:r>
      <w:r>
        <w:rPr>
          <w:rFonts w:ascii="Stone Sans II ITC Std Bk"/>
          <w:b/>
          <w:w w:val="115"/>
          <w:sz w:val="20"/>
        </w:rPr>
        <w:t>School</w:t>
        <w:tab/>
      </w:r>
      <w:r>
        <w:rPr>
          <w:w w:val="115"/>
          <w:sz w:val="20"/>
        </w:rPr>
        <w:t>The Revd Ruth</w:t>
      </w:r>
      <w:r>
        <w:rPr>
          <w:spacing w:val="15"/>
          <w:w w:val="115"/>
          <w:sz w:val="20"/>
        </w:rPr>
        <w:t> </w:t>
      </w:r>
      <w:r>
        <w:rPr>
          <w:w w:val="115"/>
          <w:sz w:val="20"/>
        </w:rPr>
        <w:t>Whitehead</w:t>
      </w:r>
    </w:p>
    <w:p>
      <w:pPr>
        <w:pStyle w:val="ListParagraph"/>
        <w:numPr>
          <w:ilvl w:val="1"/>
          <w:numId w:val="232"/>
        </w:numPr>
        <w:tabs>
          <w:tab w:pos="2025" w:val="left" w:leader="none"/>
          <w:tab w:pos="5664" w:val="left" w:leader="none"/>
        </w:tabs>
        <w:spacing w:line="240" w:lineRule="auto" w:before="210" w:after="0"/>
        <w:ind w:left="2024" w:right="0" w:hanging="681"/>
        <w:jc w:val="left"/>
        <w:rPr>
          <w:sz w:val="20"/>
        </w:rPr>
      </w:pPr>
      <w:r>
        <w:rPr>
          <w:rFonts w:ascii="Stone Sans II ITC Std Bk"/>
          <w:b/>
          <w:w w:val="115"/>
          <w:sz w:val="20"/>
        </w:rPr>
        <w:t>Bishops</w:t>
      </w:r>
      <w:r>
        <w:rPr>
          <w:rFonts w:ascii="Stone Sans II ITC Std Bk"/>
          <w:b/>
          <w:spacing w:val="-29"/>
          <w:w w:val="115"/>
          <w:sz w:val="20"/>
        </w:rPr>
        <w:t> </w:t>
      </w:r>
      <w:r>
        <w:rPr>
          <w:rFonts w:ascii="Stone Sans II ITC Std Bk"/>
          <w:b/>
          <w:w w:val="115"/>
          <w:sz w:val="20"/>
        </w:rPr>
        <w:t>Stortford</w:t>
      </w:r>
      <w:r>
        <w:rPr>
          <w:rFonts w:ascii="Stone Sans II ITC Std Bk"/>
          <w:b/>
          <w:spacing w:val="-29"/>
          <w:w w:val="115"/>
          <w:sz w:val="20"/>
        </w:rPr>
        <w:t> </w:t>
      </w:r>
      <w:r>
        <w:rPr>
          <w:rFonts w:ascii="Stone Sans II ITC Std Bk"/>
          <w:b/>
          <w:w w:val="115"/>
          <w:sz w:val="20"/>
        </w:rPr>
        <w:t>College</w:t>
        <w:tab/>
      </w:r>
      <w:r>
        <w:rPr>
          <w:w w:val="115"/>
          <w:sz w:val="20"/>
        </w:rPr>
        <w:t>Mr Anthony</w:t>
      </w:r>
      <w:r>
        <w:rPr>
          <w:spacing w:val="10"/>
          <w:w w:val="115"/>
          <w:sz w:val="20"/>
        </w:rPr>
        <w:t> </w:t>
      </w:r>
      <w:r>
        <w:rPr>
          <w:spacing w:val="-3"/>
          <w:w w:val="115"/>
          <w:sz w:val="20"/>
        </w:rPr>
        <w:t>Trigg</w:t>
      </w:r>
    </w:p>
    <w:p>
      <w:pPr>
        <w:pStyle w:val="BodyText"/>
        <w:spacing w:before="5"/>
        <w:rPr>
          <w:sz w:val="27"/>
        </w:rPr>
      </w:pPr>
    </w:p>
    <w:p>
      <w:pPr>
        <w:pStyle w:val="Heading2"/>
        <w:numPr>
          <w:ilvl w:val="0"/>
          <w:numId w:val="235"/>
        </w:numPr>
        <w:tabs>
          <w:tab w:pos="2024" w:val="left" w:leader="none"/>
          <w:tab w:pos="2025" w:val="left" w:leader="none"/>
        </w:tabs>
        <w:spacing w:line="321" w:lineRule="exact" w:before="0" w:after="0"/>
        <w:ind w:left="2024" w:right="0" w:hanging="681"/>
        <w:jc w:val="left"/>
      </w:pPr>
      <w:r>
        <w:rPr>
          <w:w w:val="110"/>
        </w:rPr>
        <w:t>Miscellaneous</w:t>
      </w:r>
    </w:p>
    <w:p>
      <w:pPr>
        <w:pStyle w:val="BodyText"/>
        <w:spacing w:line="225" w:lineRule="exact"/>
        <w:ind w:left="1344"/>
      </w:pPr>
      <w:r>
        <w:rPr>
          <w:w w:val="115"/>
        </w:rPr>
        <w:t>The United Reformed Church is represented on a variety of other national organisations</w:t>
      </w:r>
    </w:p>
    <w:p>
      <w:pPr>
        <w:pStyle w:val="BodyText"/>
        <w:spacing w:line="242" w:lineRule="exact"/>
        <w:ind w:left="1344"/>
      </w:pPr>
      <w:r>
        <w:rPr>
          <w:w w:val="115"/>
        </w:rPr>
        <w:t>and committees as follows:</w:t>
      </w:r>
    </w:p>
    <w:p>
      <w:pPr>
        <w:pStyle w:val="Heading7"/>
        <w:numPr>
          <w:ilvl w:val="1"/>
          <w:numId w:val="235"/>
        </w:numPr>
        <w:tabs>
          <w:tab w:pos="2024" w:val="left" w:leader="none"/>
          <w:tab w:pos="2025" w:val="left" w:leader="none"/>
        </w:tabs>
        <w:spacing w:line="261" w:lineRule="exact" w:before="97" w:after="0"/>
        <w:ind w:left="2024" w:right="0" w:hanging="681"/>
        <w:jc w:val="left"/>
      </w:pPr>
      <w:r>
        <w:rPr>
          <w:w w:val="110"/>
        </w:rPr>
        <w:t>Arthur Rank</w:t>
      </w:r>
      <w:r>
        <w:rPr>
          <w:spacing w:val="-1"/>
          <w:w w:val="110"/>
        </w:rPr>
        <w:t> </w:t>
      </w:r>
      <w:r>
        <w:rPr>
          <w:w w:val="110"/>
        </w:rPr>
        <w:t>Centre</w:t>
      </w:r>
    </w:p>
    <w:p>
      <w:pPr>
        <w:pStyle w:val="BodyText"/>
        <w:spacing w:line="235" w:lineRule="exact"/>
        <w:ind w:left="2024"/>
      </w:pPr>
      <w:r>
        <w:rPr>
          <w:w w:val="120"/>
        </w:rPr>
        <w:t>The Revd Elizabeth Caswell</w:t>
      </w:r>
    </w:p>
    <w:p>
      <w:pPr>
        <w:pStyle w:val="BodyText"/>
        <w:spacing w:before="4"/>
        <w:rPr>
          <w:sz w:val="18"/>
        </w:rPr>
      </w:pPr>
    </w:p>
    <w:p>
      <w:pPr>
        <w:pStyle w:val="Heading7"/>
        <w:numPr>
          <w:ilvl w:val="1"/>
          <w:numId w:val="235"/>
        </w:numPr>
        <w:tabs>
          <w:tab w:pos="2025" w:val="left" w:leader="none"/>
        </w:tabs>
        <w:spacing w:line="261" w:lineRule="exact" w:before="0" w:after="0"/>
        <w:ind w:left="2024" w:right="0" w:hanging="681"/>
        <w:jc w:val="left"/>
      </w:pPr>
      <w:r>
        <w:rPr>
          <w:w w:val="110"/>
        </w:rPr>
        <w:t>Churches Legislation Advisory</w:t>
      </w:r>
      <w:r>
        <w:rPr>
          <w:spacing w:val="-1"/>
          <w:w w:val="110"/>
        </w:rPr>
        <w:t> </w:t>
      </w:r>
      <w:r>
        <w:rPr>
          <w:w w:val="110"/>
        </w:rPr>
        <w:t>Service</w:t>
      </w:r>
    </w:p>
    <w:p>
      <w:pPr>
        <w:pStyle w:val="BodyText"/>
        <w:tabs>
          <w:tab w:pos="5664" w:val="left" w:leader="none"/>
        </w:tabs>
        <w:spacing w:line="235" w:lineRule="exact"/>
        <w:ind w:left="2024"/>
      </w:pPr>
      <w:r>
        <w:rPr>
          <w:w w:val="115"/>
        </w:rPr>
        <w:t>Mrs</w:t>
      </w:r>
      <w:r>
        <w:rPr>
          <w:spacing w:val="13"/>
          <w:w w:val="115"/>
        </w:rPr>
        <w:t> </w:t>
      </w:r>
      <w:r>
        <w:rPr>
          <w:w w:val="115"/>
        </w:rPr>
        <w:t>Sheila</w:t>
      </w:r>
      <w:r>
        <w:rPr>
          <w:spacing w:val="13"/>
          <w:w w:val="115"/>
        </w:rPr>
        <w:t> </w:t>
      </w:r>
      <w:r>
        <w:rPr>
          <w:w w:val="115"/>
        </w:rPr>
        <w:t>Duncan</w:t>
        <w:tab/>
        <w:t>General</w:t>
      </w:r>
      <w:r>
        <w:rPr>
          <w:spacing w:val="5"/>
          <w:w w:val="115"/>
        </w:rPr>
        <w:t> </w:t>
      </w:r>
      <w:r>
        <w:rPr>
          <w:w w:val="115"/>
        </w:rPr>
        <w:t>Secretary</w:t>
      </w:r>
    </w:p>
    <w:p>
      <w:pPr>
        <w:pStyle w:val="BodyText"/>
        <w:spacing w:before="3"/>
        <w:rPr>
          <w:sz w:val="18"/>
        </w:rPr>
      </w:pPr>
    </w:p>
    <w:p>
      <w:pPr>
        <w:pStyle w:val="Heading7"/>
        <w:numPr>
          <w:ilvl w:val="1"/>
          <w:numId w:val="235"/>
        </w:numPr>
        <w:tabs>
          <w:tab w:pos="2025" w:val="left" w:leader="none"/>
        </w:tabs>
        <w:spacing w:line="261" w:lineRule="exact" w:before="0" w:after="0"/>
        <w:ind w:left="2024" w:right="0" w:hanging="681"/>
        <w:jc w:val="left"/>
      </w:pPr>
      <w:r>
        <w:rPr>
          <w:w w:val="110"/>
        </w:rPr>
        <w:t>Congregational Fund</w:t>
      </w:r>
      <w:r>
        <w:rPr>
          <w:spacing w:val="-1"/>
          <w:w w:val="110"/>
        </w:rPr>
        <w:t> </w:t>
      </w:r>
      <w:r>
        <w:rPr>
          <w:w w:val="110"/>
        </w:rPr>
        <w:t>Board</w:t>
      </w:r>
    </w:p>
    <w:p>
      <w:pPr>
        <w:pStyle w:val="BodyText"/>
        <w:tabs>
          <w:tab w:pos="5664" w:val="left" w:leader="none"/>
        </w:tabs>
        <w:spacing w:line="233" w:lineRule="exact"/>
        <w:ind w:left="2024"/>
      </w:pPr>
      <w:r>
        <w:rPr>
          <w:w w:val="115"/>
        </w:rPr>
        <w:t>Mr</w:t>
      </w:r>
      <w:r>
        <w:rPr>
          <w:spacing w:val="6"/>
          <w:w w:val="115"/>
        </w:rPr>
        <w:t> </w:t>
      </w:r>
      <w:r>
        <w:rPr>
          <w:w w:val="115"/>
        </w:rPr>
        <w:t>Anthony</w:t>
      </w:r>
      <w:r>
        <w:rPr>
          <w:spacing w:val="6"/>
          <w:w w:val="115"/>
        </w:rPr>
        <w:t> </w:t>
      </w:r>
      <w:r>
        <w:rPr>
          <w:w w:val="115"/>
        </w:rPr>
        <w:t>Bayley</w:t>
        <w:tab/>
        <w:t>The Revd Geoffrey</w:t>
      </w:r>
      <w:r>
        <w:rPr>
          <w:spacing w:val="14"/>
          <w:w w:val="115"/>
        </w:rPr>
        <w:t> </w:t>
      </w:r>
      <w:r>
        <w:rPr>
          <w:w w:val="115"/>
        </w:rPr>
        <w:t>Roper</w:t>
      </w:r>
    </w:p>
    <w:p>
      <w:pPr>
        <w:pStyle w:val="BodyText"/>
        <w:tabs>
          <w:tab w:pos="5664" w:val="left" w:leader="none"/>
        </w:tabs>
        <w:spacing w:line="235" w:lineRule="auto" w:before="2"/>
        <w:ind w:left="2024" w:right="4073"/>
      </w:pPr>
      <w:r>
        <w:rPr>
          <w:w w:val="115"/>
        </w:rPr>
        <w:t>The Revd</w:t>
      </w:r>
      <w:r>
        <w:rPr>
          <w:spacing w:val="24"/>
          <w:w w:val="115"/>
        </w:rPr>
        <w:t> </w:t>
      </w:r>
      <w:r>
        <w:rPr>
          <w:w w:val="115"/>
        </w:rPr>
        <w:t>Eric</w:t>
      </w:r>
      <w:r>
        <w:rPr>
          <w:spacing w:val="12"/>
          <w:w w:val="115"/>
        </w:rPr>
        <w:t> </w:t>
      </w:r>
      <w:r>
        <w:rPr>
          <w:w w:val="115"/>
        </w:rPr>
        <w:t>Allen</w:t>
        <w:tab/>
        <w:t>Mrs Jackie </w:t>
      </w:r>
      <w:r>
        <w:rPr>
          <w:spacing w:val="-7"/>
          <w:w w:val="115"/>
        </w:rPr>
        <w:t>Haws </w:t>
      </w:r>
      <w:r>
        <w:rPr>
          <w:w w:val="115"/>
        </w:rPr>
        <w:t>The Revd Kate</w:t>
      </w:r>
      <w:r>
        <w:rPr>
          <w:spacing w:val="14"/>
          <w:w w:val="115"/>
        </w:rPr>
        <w:t> </w:t>
      </w:r>
      <w:r>
        <w:rPr>
          <w:w w:val="115"/>
        </w:rPr>
        <w:t>Hackett</w:t>
      </w:r>
    </w:p>
    <w:p>
      <w:pPr>
        <w:pStyle w:val="BodyText"/>
        <w:spacing w:before="5"/>
        <w:rPr>
          <w:sz w:val="18"/>
        </w:rPr>
      </w:pPr>
    </w:p>
    <w:p>
      <w:pPr>
        <w:pStyle w:val="Heading7"/>
        <w:numPr>
          <w:ilvl w:val="1"/>
          <w:numId w:val="235"/>
        </w:numPr>
        <w:tabs>
          <w:tab w:pos="2025" w:val="left" w:leader="none"/>
        </w:tabs>
        <w:spacing w:line="261" w:lineRule="exact" w:before="0" w:after="0"/>
        <w:ind w:left="2024" w:right="0" w:hanging="681"/>
        <w:jc w:val="left"/>
      </w:pPr>
      <w:r>
        <w:rPr>
          <w:w w:val="110"/>
        </w:rPr>
        <w:t>Congregational Memorial Hall</w:t>
      </w:r>
      <w:r>
        <w:rPr>
          <w:spacing w:val="-2"/>
          <w:w w:val="110"/>
        </w:rPr>
        <w:t> </w:t>
      </w:r>
      <w:r>
        <w:rPr>
          <w:w w:val="110"/>
        </w:rPr>
        <w:t>Trust</w:t>
      </w:r>
    </w:p>
    <w:p>
      <w:pPr>
        <w:pStyle w:val="BodyText"/>
        <w:tabs>
          <w:tab w:pos="5664" w:val="left" w:leader="none"/>
        </w:tabs>
        <w:spacing w:line="233" w:lineRule="exact"/>
        <w:ind w:left="2024"/>
      </w:pPr>
      <w:r>
        <w:rPr>
          <w:w w:val="115"/>
        </w:rPr>
        <w:t>The Revd</w:t>
      </w:r>
      <w:r>
        <w:rPr>
          <w:spacing w:val="14"/>
          <w:w w:val="115"/>
        </w:rPr>
        <w:t> </w:t>
      </w:r>
      <w:r>
        <w:rPr>
          <w:w w:val="115"/>
        </w:rPr>
        <w:t>Derek</w:t>
      </w:r>
      <w:r>
        <w:rPr>
          <w:spacing w:val="7"/>
          <w:w w:val="115"/>
        </w:rPr>
        <w:t> </w:t>
      </w:r>
      <w:r>
        <w:rPr>
          <w:w w:val="115"/>
        </w:rPr>
        <w:t>Wales</w:t>
        <w:tab/>
        <w:t>Mrs Margaret</w:t>
      </w:r>
      <w:r>
        <w:rPr>
          <w:spacing w:val="10"/>
          <w:w w:val="115"/>
        </w:rPr>
        <w:t> </w:t>
      </w:r>
      <w:r>
        <w:rPr>
          <w:w w:val="115"/>
        </w:rPr>
        <w:t>Thompson</w:t>
      </w:r>
    </w:p>
    <w:p>
      <w:pPr>
        <w:pStyle w:val="BodyText"/>
        <w:tabs>
          <w:tab w:pos="5664" w:val="left" w:leader="none"/>
        </w:tabs>
        <w:spacing w:line="240" w:lineRule="exact"/>
        <w:ind w:left="2024"/>
      </w:pPr>
      <w:r>
        <w:rPr>
          <w:w w:val="120"/>
        </w:rPr>
        <w:t>Mr</w:t>
      </w:r>
      <w:r>
        <w:rPr>
          <w:spacing w:val="-10"/>
          <w:w w:val="120"/>
        </w:rPr>
        <w:t> </w:t>
      </w:r>
      <w:r>
        <w:rPr>
          <w:w w:val="120"/>
        </w:rPr>
        <w:t>Graham</w:t>
      </w:r>
      <w:r>
        <w:rPr>
          <w:spacing w:val="-9"/>
          <w:w w:val="120"/>
        </w:rPr>
        <w:t> </w:t>
      </w:r>
      <w:r>
        <w:rPr>
          <w:w w:val="120"/>
        </w:rPr>
        <w:t>Stacy</w:t>
        <w:tab/>
        <w:t>Dr John</w:t>
      </w:r>
      <w:r>
        <w:rPr>
          <w:spacing w:val="3"/>
          <w:w w:val="120"/>
        </w:rPr>
        <w:t> </w:t>
      </w:r>
      <w:r>
        <w:rPr>
          <w:w w:val="120"/>
        </w:rPr>
        <w:t>Thompson</w:t>
      </w:r>
    </w:p>
    <w:p>
      <w:pPr>
        <w:pStyle w:val="BodyText"/>
        <w:tabs>
          <w:tab w:pos="5664" w:val="left" w:leader="none"/>
        </w:tabs>
        <w:spacing w:line="242" w:lineRule="exact"/>
        <w:ind w:left="2024"/>
      </w:pPr>
      <w:r>
        <w:rPr>
          <w:w w:val="115"/>
        </w:rPr>
        <w:t>Dr</w:t>
      </w:r>
      <w:r>
        <w:rPr>
          <w:spacing w:val="9"/>
          <w:w w:val="115"/>
        </w:rPr>
        <w:t> </w:t>
      </w:r>
      <w:r>
        <w:rPr>
          <w:w w:val="115"/>
        </w:rPr>
        <w:t>Brian</w:t>
      </w:r>
      <w:r>
        <w:rPr>
          <w:spacing w:val="10"/>
          <w:w w:val="115"/>
        </w:rPr>
        <w:t> </w:t>
      </w:r>
      <w:r>
        <w:rPr>
          <w:w w:val="115"/>
        </w:rPr>
        <w:t>Woodhall</w:t>
        <w:tab/>
        <w:t>Mr John</w:t>
      </w:r>
      <w:r>
        <w:rPr>
          <w:spacing w:val="8"/>
          <w:w w:val="115"/>
        </w:rPr>
        <w:t> </w:t>
      </w:r>
      <w:r>
        <w:rPr>
          <w:w w:val="115"/>
        </w:rPr>
        <w:t>Ellis</w:t>
      </w:r>
    </w:p>
    <w:p>
      <w:pPr>
        <w:pStyle w:val="BodyText"/>
        <w:spacing w:before="4"/>
        <w:rPr>
          <w:sz w:val="18"/>
        </w:rPr>
      </w:pPr>
    </w:p>
    <w:p>
      <w:pPr>
        <w:pStyle w:val="Heading7"/>
        <w:numPr>
          <w:ilvl w:val="1"/>
          <w:numId w:val="236"/>
        </w:numPr>
        <w:tabs>
          <w:tab w:pos="2025" w:val="left" w:leader="none"/>
        </w:tabs>
        <w:spacing w:line="261" w:lineRule="exact" w:before="0" w:after="0"/>
        <w:ind w:left="2024" w:right="0" w:hanging="681"/>
        <w:jc w:val="left"/>
      </w:pPr>
      <w:r>
        <w:rPr>
          <w:w w:val="110"/>
        </w:rPr>
        <w:t>English Heritage’s Places of Worship</w:t>
      </w:r>
      <w:r>
        <w:rPr>
          <w:spacing w:val="-3"/>
          <w:w w:val="110"/>
        </w:rPr>
        <w:t> </w:t>
      </w:r>
      <w:r>
        <w:rPr>
          <w:w w:val="110"/>
        </w:rPr>
        <w:t>Forum</w:t>
      </w:r>
    </w:p>
    <w:p>
      <w:pPr>
        <w:pStyle w:val="BodyText"/>
        <w:spacing w:line="235" w:lineRule="exact"/>
        <w:ind w:left="2024"/>
      </w:pPr>
      <w:r>
        <w:rPr>
          <w:w w:val="120"/>
        </w:rPr>
        <w:t>Mr Peter West (Convenor of the Listed Buildings Advisory Group)</w:t>
      </w:r>
    </w:p>
    <w:p>
      <w:pPr>
        <w:pStyle w:val="BodyText"/>
        <w:spacing w:before="3"/>
        <w:rPr>
          <w:sz w:val="18"/>
        </w:rPr>
      </w:pPr>
    </w:p>
    <w:p>
      <w:pPr>
        <w:pStyle w:val="Heading7"/>
        <w:numPr>
          <w:ilvl w:val="1"/>
          <w:numId w:val="236"/>
        </w:numPr>
        <w:tabs>
          <w:tab w:pos="2025" w:val="left" w:leader="none"/>
        </w:tabs>
        <w:spacing w:line="261" w:lineRule="exact" w:before="1" w:after="0"/>
        <w:ind w:left="2024" w:right="0" w:hanging="681"/>
        <w:jc w:val="left"/>
      </w:pPr>
      <w:r>
        <w:rPr>
          <w:w w:val="110"/>
        </w:rPr>
        <w:t>Lord Wharton’s</w:t>
      </w:r>
      <w:r>
        <w:rPr>
          <w:spacing w:val="-1"/>
          <w:w w:val="110"/>
        </w:rPr>
        <w:t> </w:t>
      </w:r>
      <w:r>
        <w:rPr>
          <w:w w:val="110"/>
        </w:rPr>
        <w:t>Charity</w:t>
      </w:r>
    </w:p>
    <w:p>
      <w:pPr>
        <w:pStyle w:val="BodyText"/>
        <w:spacing w:line="235" w:lineRule="exact"/>
        <w:ind w:left="2024"/>
      </w:pPr>
      <w:r>
        <w:rPr>
          <w:w w:val="120"/>
        </w:rPr>
        <w:t>The Revd Derek Lindfield</w:t>
      </w:r>
    </w:p>
    <w:p>
      <w:pPr>
        <w:pStyle w:val="BodyText"/>
        <w:spacing w:before="3"/>
        <w:rPr>
          <w:sz w:val="18"/>
        </w:rPr>
      </w:pPr>
    </w:p>
    <w:p>
      <w:pPr>
        <w:pStyle w:val="Heading7"/>
        <w:numPr>
          <w:ilvl w:val="1"/>
          <w:numId w:val="236"/>
        </w:numPr>
        <w:tabs>
          <w:tab w:pos="2025" w:val="left" w:leader="none"/>
        </w:tabs>
        <w:spacing w:line="261" w:lineRule="exact" w:before="0" w:after="0"/>
        <w:ind w:left="2024" w:right="0" w:hanging="681"/>
        <w:jc w:val="left"/>
      </w:pPr>
      <w:r>
        <w:rPr>
          <w:w w:val="110"/>
        </w:rPr>
        <w:t>Methodist faith and order</w:t>
      </w:r>
      <w:r>
        <w:rPr>
          <w:spacing w:val="-2"/>
          <w:w w:val="110"/>
        </w:rPr>
        <w:t> </w:t>
      </w:r>
      <w:r>
        <w:rPr>
          <w:w w:val="110"/>
        </w:rPr>
        <w:t>committee</w:t>
      </w:r>
    </w:p>
    <w:p>
      <w:pPr>
        <w:pStyle w:val="BodyText"/>
        <w:spacing w:line="235" w:lineRule="exact"/>
        <w:ind w:left="2024"/>
      </w:pPr>
      <w:r>
        <w:rPr>
          <w:w w:val="120"/>
        </w:rPr>
        <w:t>Dr Augur Pearce</w:t>
      </w:r>
    </w:p>
    <w:p>
      <w:pPr>
        <w:pStyle w:val="BodyText"/>
        <w:spacing w:before="3"/>
        <w:rPr>
          <w:sz w:val="18"/>
        </w:rPr>
      </w:pPr>
    </w:p>
    <w:p>
      <w:pPr>
        <w:pStyle w:val="Heading7"/>
        <w:numPr>
          <w:ilvl w:val="1"/>
          <w:numId w:val="236"/>
        </w:numPr>
        <w:tabs>
          <w:tab w:pos="2025" w:val="left" w:leader="none"/>
        </w:tabs>
        <w:spacing w:line="261" w:lineRule="exact" w:before="1" w:after="0"/>
        <w:ind w:left="2024" w:right="0" w:hanging="681"/>
        <w:jc w:val="left"/>
      </w:pPr>
      <w:r>
        <w:rPr>
          <w:w w:val="110"/>
        </w:rPr>
        <w:t>Retired Ministers’ and Widows’</w:t>
      </w:r>
      <w:r>
        <w:rPr>
          <w:spacing w:val="-2"/>
          <w:w w:val="110"/>
        </w:rPr>
        <w:t> </w:t>
      </w:r>
      <w:r>
        <w:rPr>
          <w:w w:val="110"/>
        </w:rPr>
        <w:t>Fund</w:t>
      </w:r>
    </w:p>
    <w:p>
      <w:pPr>
        <w:pStyle w:val="BodyText"/>
        <w:tabs>
          <w:tab w:pos="5664" w:val="left" w:leader="none"/>
        </w:tabs>
        <w:spacing w:line="235" w:lineRule="auto"/>
        <w:ind w:left="2024" w:right="3463"/>
      </w:pPr>
      <w:r>
        <w:rPr>
          <w:w w:val="115"/>
        </w:rPr>
        <w:t>Mr</w:t>
      </w:r>
      <w:r>
        <w:rPr>
          <w:spacing w:val="7"/>
          <w:w w:val="115"/>
        </w:rPr>
        <w:t> </w:t>
      </w:r>
      <w:r>
        <w:rPr>
          <w:w w:val="115"/>
        </w:rPr>
        <w:t>Ken</w:t>
      </w:r>
      <w:r>
        <w:rPr>
          <w:spacing w:val="7"/>
          <w:w w:val="115"/>
        </w:rPr>
        <w:t> </w:t>
      </w:r>
      <w:r>
        <w:rPr>
          <w:w w:val="115"/>
        </w:rPr>
        <w:t>Meekison</w:t>
        <w:tab/>
        <w:t>The Revd Julian </w:t>
      </w:r>
      <w:r>
        <w:rPr>
          <w:spacing w:val="-4"/>
          <w:w w:val="115"/>
        </w:rPr>
        <w:t>Macro </w:t>
      </w:r>
      <w:r>
        <w:rPr>
          <w:w w:val="115"/>
        </w:rPr>
        <w:t>Mr Anthony</w:t>
      </w:r>
      <w:r>
        <w:rPr>
          <w:spacing w:val="8"/>
          <w:w w:val="115"/>
        </w:rPr>
        <w:t> </w:t>
      </w:r>
      <w:r>
        <w:rPr>
          <w:w w:val="115"/>
        </w:rPr>
        <w:t>Bayley</w:t>
      </w:r>
    </w:p>
    <w:p>
      <w:pPr>
        <w:pStyle w:val="BodyText"/>
        <w:rPr>
          <w:sz w:val="18"/>
        </w:rPr>
      </w:pPr>
    </w:p>
    <w:p>
      <w:pPr>
        <w:pStyle w:val="Heading7"/>
        <w:numPr>
          <w:ilvl w:val="1"/>
          <w:numId w:val="236"/>
        </w:numPr>
        <w:tabs>
          <w:tab w:pos="2025" w:val="left" w:leader="none"/>
        </w:tabs>
        <w:spacing w:line="261" w:lineRule="exact" w:before="0" w:after="0"/>
        <w:ind w:left="2024" w:right="0" w:hanging="681"/>
        <w:jc w:val="left"/>
      </w:pPr>
      <w:r>
        <w:rPr>
          <w:w w:val="110"/>
        </w:rPr>
        <w:t>Samuel </w:t>
      </w:r>
      <w:r>
        <w:rPr>
          <w:spacing w:val="-3"/>
          <w:w w:val="110"/>
        </w:rPr>
        <w:t>Robinson’s</w:t>
      </w:r>
      <w:r>
        <w:rPr>
          <w:spacing w:val="-1"/>
          <w:w w:val="110"/>
        </w:rPr>
        <w:t> </w:t>
      </w:r>
      <w:r>
        <w:rPr>
          <w:w w:val="110"/>
        </w:rPr>
        <w:t>Charities</w:t>
      </w:r>
    </w:p>
    <w:p>
      <w:pPr>
        <w:pStyle w:val="BodyText"/>
        <w:spacing w:line="235" w:lineRule="exact"/>
        <w:ind w:left="2024"/>
      </w:pPr>
      <w:r>
        <w:rPr>
          <w:w w:val="115"/>
        </w:rPr>
        <w:t>Mr Tony Alderman</w:t>
      </w:r>
    </w:p>
    <w:p>
      <w:pPr>
        <w:spacing w:after="0" w:line="235" w:lineRule="exact"/>
        <w:sectPr>
          <w:headerReference w:type="default" r:id="rId562"/>
          <w:pgSz w:w="11910" w:h="16840"/>
          <w:pgMar w:header="0" w:footer="560" w:top="0" w:bottom="760" w:left="640" w:right="0"/>
        </w:sectPr>
      </w:pPr>
    </w:p>
    <w:p>
      <w:pPr>
        <w:pStyle w:val="BodyText"/>
      </w:pPr>
      <w:r>
        <w:rPr/>
        <w:drawing>
          <wp:anchor distT="0" distB="0" distL="0" distR="0" allowOverlap="1" layoutInCell="1" locked="0" behindDoc="1" simplePos="0" relativeHeight="235771904">
            <wp:simplePos x="0" y="0"/>
            <wp:positionH relativeFrom="page">
              <wp:posOffset>0</wp:posOffset>
            </wp:positionH>
            <wp:positionV relativeFrom="page">
              <wp:posOffset>0</wp:posOffset>
            </wp:positionV>
            <wp:extent cx="594067" cy="10692003"/>
            <wp:effectExtent l="0" t="0" r="0" b="0"/>
            <wp:wrapNone/>
            <wp:docPr id="409" name="image71.png"/>
            <wp:cNvGraphicFramePr>
              <a:graphicFrameLocks noChangeAspect="1"/>
            </wp:cNvGraphicFramePr>
            <a:graphic>
              <a:graphicData uri="http://schemas.openxmlformats.org/drawingml/2006/picture">
                <pic:pic>
                  <pic:nvPicPr>
                    <pic:cNvPr id="410" name="image71.png"/>
                    <pic:cNvPicPr/>
                  </pic:nvPicPr>
                  <pic:blipFill>
                    <a:blip r:embed="rId537" cstate="print"/>
                    <a:stretch>
                      <a:fillRect/>
                    </a:stretch>
                  </pic:blipFill>
                  <pic:spPr>
                    <a:xfrm>
                      <a:off x="0" y="0"/>
                      <a:ext cx="594067" cy="10692003"/>
                    </a:xfrm>
                    <a:prstGeom prst="rect">
                      <a:avLst/>
                    </a:prstGeom>
                  </pic:spPr>
                </pic:pic>
              </a:graphicData>
            </a:graphic>
          </wp:anchor>
        </w:drawing>
      </w:r>
      <w:r>
        <w:rPr/>
        <w:pict>
          <v:shape style="position:absolute;margin-left:20.519100pt;margin-top:48.890015pt;width:25.9pt;height:131.3pt;mso-position-horizontal-relative:page;mso-position-vertical-relative:page;z-index:-267543552" type="#_x0000_t202" filled="false" stroked="false">
            <v:textbox inset="0,0,0,0" style="layout-flow:vertical">
              <w:txbxContent>
                <w:p>
                  <w:pPr>
                    <w:spacing w:before="27"/>
                    <w:ind w:left="20" w:right="0" w:firstLine="0"/>
                    <w:jc w:val="left"/>
                    <w:rPr>
                      <w:sz w:val="39"/>
                    </w:rPr>
                  </w:pPr>
                  <w:r>
                    <w:rPr>
                      <w:color w:val="FFFFFF"/>
                      <w:w w:val="120"/>
                      <w:sz w:val="39"/>
                    </w:rPr>
                    <w:t>Nominations</w:t>
                  </w:r>
                </w:p>
              </w:txbxContent>
            </v:textbox>
            <w10:wrap type="none"/>
          </v:shape>
        </w:pict>
      </w:r>
    </w:p>
    <w:p>
      <w:pPr>
        <w:pStyle w:val="BodyText"/>
        <w:spacing w:before="7"/>
        <w:rPr>
          <w:sz w:val="21"/>
        </w:rPr>
      </w:pPr>
    </w:p>
    <w:p>
      <w:pPr>
        <w:spacing w:before="106"/>
        <w:ind w:left="607" w:right="0" w:firstLine="0"/>
        <w:jc w:val="left"/>
        <w:rPr>
          <w:sz w:val="26"/>
        </w:rPr>
      </w:pPr>
      <w:r>
        <w:rPr>
          <w:color w:val="7EAABF"/>
          <w:w w:val="115"/>
          <w:sz w:val="26"/>
        </w:rPr>
        <w:t>Nominations</w:t>
      </w:r>
    </w:p>
    <w:p>
      <w:pPr>
        <w:pStyle w:val="Heading7"/>
        <w:numPr>
          <w:ilvl w:val="1"/>
          <w:numId w:val="236"/>
        </w:numPr>
        <w:tabs>
          <w:tab w:pos="1288" w:val="left" w:leader="none"/>
        </w:tabs>
        <w:spacing w:line="261" w:lineRule="exact" w:before="205" w:after="0"/>
        <w:ind w:left="1287" w:right="0" w:hanging="681"/>
        <w:jc w:val="left"/>
      </w:pPr>
      <w:r>
        <w:rPr>
          <w:w w:val="110"/>
        </w:rPr>
        <w:t>Scout Association – URC Faith</w:t>
      </w:r>
      <w:r>
        <w:rPr>
          <w:spacing w:val="-2"/>
          <w:w w:val="110"/>
        </w:rPr>
        <w:t> </w:t>
      </w:r>
      <w:r>
        <w:rPr>
          <w:w w:val="110"/>
        </w:rPr>
        <w:t>Adviser</w:t>
      </w:r>
    </w:p>
    <w:p>
      <w:pPr>
        <w:pStyle w:val="BodyText"/>
        <w:spacing w:line="235" w:lineRule="exact"/>
        <w:ind w:left="1287"/>
      </w:pPr>
      <w:r>
        <w:rPr>
          <w:w w:val="115"/>
        </w:rPr>
        <w:t>The Revd David Marshall-Jones</w:t>
      </w:r>
    </w:p>
    <w:p>
      <w:pPr>
        <w:pStyle w:val="BodyText"/>
        <w:spacing w:before="4"/>
        <w:rPr>
          <w:sz w:val="18"/>
        </w:rPr>
      </w:pPr>
    </w:p>
    <w:p>
      <w:pPr>
        <w:pStyle w:val="Heading7"/>
        <w:numPr>
          <w:ilvl w:val="1"/>
          <w:numId w:val="236"/>
        </w:numPr>
        <w:tabs>
          <w:tab w:pos="1288" w:val="left" w:leader="none"/>
        </w:tabs>
        <w:spacing w:line="261" w:lineRule="exact" w:before="0" w:after="0"/>
        <w:ind w:left="1287" w:right="0" w:hanging="681"/>
        <w:jc w:val="left"/>
      </w:pPr>
      <w:r>
        <w:rPr>
          <w:w w:val="110"/>
        </w:rPr>
        <w:t>United Reformed Church History Society</w:t>
      </w:r>
      <w:r>
        <w:rPr>
          <w:spacing w:val="-2"/>
          <w:w w:val="110"/>
        </w:rPr>
        <w:t> </w:t>
      </w:r>
      <w:r>
        <w:rPr>
          <w:w w:val="110"/>
        </w:rPr>
        <w:t>Council</w:t>
      </w:r>
    </w:p>
    <w:p>
      <w:pPr>
        <w:pStyle w:val="BodyText"/>
        <w:tabs>
          <w:tab w:pos="4927" w:val="left" w:leader="none"/>
        </w:tabs>
        <w:spacing w:line="235" w:lineRule="auto"/>
        <w:ind w:left="1287" w:right="3301"/>
      </w:pPr>
      <w:r>
        <w:rPr>
          <w:w w:val="120"/>
        </w:rPr>
        <w:t>The Revd Dr</w:t>
      </w:r>
      <w:r>
        <w:rPr>
          <w:spacing w:val="-7"/>
          <w:w w:val="120"/>
        </w:rPr>
        <w:t> </w:t>
      </w:r>
      <w:r>
        <w:rPr>
          <w:w w:val="120"/>
        </w:rPr>
        <w:t>Kirsty</w:t>
      </w:r>
      <w:r>
        <w:rPr>
          <w:spacing w:val="-2"/>
          <w:w w:val="120"/>
        </w:rPr>
        <w:t> </w:t>
      </w:r>
      <w:r>
        <w:rPr>
          <w:w w:val="120"/>
        </w:rPr>
        <w:t>Thorpe</w:t>
        <w:tab/>
        <w:t>The Revd Prof David </w:t>
      </w:r>
      <w:r>
        <w:rPr>
          <w:spacing w:val="-3"/>
          <w:w w:val="120"/>
        </w:rPr>
        <w:t>Thompson </w:t>
      </w:r>
      <w:r>
        <w:rPr>
          <w:w w:val="120"/>
        </w:rPr>
        <w:t>The Revd Dr</w:t>
      </w:r>
      <w:r>
        <w:rPr>
          <w:spacing w:val="-30"/>
          <w:w w:val="120"/>
        </w:rPr>
        <w:t> </w:t>
      </w:r>
      <w:r>
        <w:rPr>
          <w:w w:val="120"/>
        </w:rPr>
        <w:t>Michael</w:t>
      </w:r>
      <w:r>
        <w:rPr>
          <w:spacing w:val="-9"/>
          <w:w w:val="120"/>
        </w:rPr>
        <w:t> </w:t>
      </w:r>
      <w:r>
        <w:rPr>
          <w:w w:val="120"/>
        </w:rPr>
        <w:t>Jagessar</w:t>
        <w:tab/>
        <w:t>Mr David</w:t>
      </w:r>
      <w:r>
        <w:rPr>
          <w:spacing w:val="2"/>
          <w:w w:val="120"/>
        </w:rPr>
        <w:t> </w:t>
      </w:r>
      <w:r>
        <w:rPr>
          <w:w w:val="120"/>
        </w:rPr>
        <w:t>Robinson</w:t>
      </w:r>
    </w:p>
    <w:p>
      <w:pPr>
        <w:spacing w:after="0" w:line="235" w:lineRule="auto"/>
        <w:sectPr>
          <w:headerReference w:type="even" r:id="rId563"/>
          <w:footerReference w:type="even" r:id="rId564"/>
          <w:footerReference w:type="default" r:id="rId565"/>
          <w:pgSz w:w="11910" w:h="16840"/>
          <w:pgMar w:header="0" w:footer="647" w:top="0" w:bottom="840" w:left="640" w:right="0"/>
          <w:pgNumType w:start="214"/>
        </w:sectPr>
      </w:pPr>
    </w:p>
    <w:p>
      <w:pPr>
        <w:pStyle w:val="BodyText"/>
      </w:pPr>
      <w:r>
        <w:rPr/>
        <w:drawing>
          <wp:anchor distT="0" distB="0" distL="0" distR="0" allowOverlap="1" layoutInCell="1" locked="0" behindDoc="0" simplePos="0" relativeHeight="252227584">
            <wp:simplePos x="0" y="0"/>
            <wp:positionH relativeFrom="page">
              <wp:posOffset>6974928</wp:posOffset>
            </wp:positionH>
            <wp:positionV relativeFrom="page">
              <wp:posOffset>0</wp:posOffset>
            </wp:positionV>
            <wp:extent cx="585063" cy="10692003"/>
            <wp:effectExtent l="0" t="0" r="0" b="0"/>
            <wp:wrapNone/>
            <wp:docPr id="411" name="image54.png"/>
            <wp:cNvGraphicFramePr>
              <a:graphicFrameLocks noChangeAspect="1"/>
            </wp:cNvGraphicFramePr>
            <a:graphic>
              <a:graphicData uri="http://schemas.openxmlformats.org/drawingml/2006/picture">
                <pic:pic>
                  <pic:nvPicPr>
                    <pic:cNvPr id="412" name="image54.png"/>
                    <pic:cNvPicPr/>
                  </pic:nvPicPr>
                  <pic:blipFill>
                    <a:blip r:embed="rId169" cstate="print"/>
                    <a:stretch>
                      <a:fillRect/>
                    </a:stretch>
                  </pic:blipFill>
                  <pic:spPr>
                    <a:xfrm>
                      <a:off x="0" y="0"/>
                      <a:ext cx="585063" cy="10692003"/>
                    </a:xfrm>
                    <a:prstGeom prst="rect">
                      <a:avLst/>
                    </a:prstGeom>
                  </pic:spPr>
                </pic:pic>
              </a:graphicData>
            </a:graphic>
          </wp:anchor>
        </w:drawing>
      </w:r>
    </w:p>
    <w:p>
      <w:pPr>
        <w:pStyle w:val="BodyText"/>
      </w:pPr>
    </w:p>
    <w:p>
      <w:pPr>
        <w:pStyle w:val="BodyText"/>
      </w:pPr>
    </w:p>
    <w:p>
      <w:pPr>
        <w:pStyle w:val="BodyText"/>
        <w:spacing w:before="5"/>
        <w:rPr>
          <w:sz w:val="28"/>
        </w:rPr>
      </w:pPr>
    </w:p>
    <w:p>
      <w:pPr>
        <w:spacing w:line="213" w:lineRule="auto" w:before="153"/>
        <w:ind w:left="1103" w:right="0" w:firstLine="0"/>
        <w:jc w:val="left"/>
        <w:rPr>
          <w:rFonts w:ascii="Stone Sans II ITC Std X Bd"/>
          <w:b/>
          <w:sz w:val="50"/>
        </w:rPr>
      </w:pPr>
      <w:r>
        <w:rPr/>
        <w:pict>
          <v:shape style="position:absolute;margin-left:554.141174pt;margin-top:-5.989334pt;width:25.9pt;height:305.25pt;mso-position-horizontal-relative:page;mso-position-vertical-relative:paragraph;z-index:252231680" type="#_x0000_t202" filled="false" stroked="false">
            <v:textbox inset="0,0,0,0" style="layout-flow:vertical">
              <w:txbxContent>
                <w:p>
                  <w:pPr>
                    <w:spacing w:before="27"/>
                    <w:ind w:left="20" w:right="0" w:firstLine="0"/>
                    <w:jc w:val="left"/>
                    <w:rPr>
                      <w:sz w:val="39"/>
                    </w:rPr>
                  </w:pPr>
                  <w:r>
                    <w:rPr>
                      <w:color w:val="FFFFFF"/>
                      <w:w w:val="120"/>
                      <w:sz w:val="39"/>
                    </w:rPr>
                    <w:t>Pastoral reference and welfare</w:t>
                  </w:r>
                </w:p>
              </w:txbxContent>
            </v:textbox>
            <w10:wrap type="none"/>
          </v:shape>
        </w:pict>
      </w:r>
      <w:r>
        <w:rPr>
          <w:rFonts w:ascii="Stone Sans II ITC Std X Bd"/>
          <w:b/>
          <w:color w:val="0090D4"/>
          <w:spacing w:val="-12"/>
          <w:w w:val="110"/>
          <w:sz w:val="50"/>
        </w:rPr>
        <w:t>Pastoral </w:t>
      </w:r>
      <w:r>
        <w:rPr>
          <w:rFonts w:ascii="Stone Sans II ITC Std X Bd"/>
          <w:b/>
          <w:color w:val="0090D4"/>
          <w:spacing w:val="-10"/>
          <w:w w:val="110"/>
          <w:sz w:val="50"/>
        </w:rPr>
        <w:t>reference </w:t>
      </w:r>
      <w:r>
        <w:rPr>
          <w:rFonts w:ascii="Stone Sans II ITC Std X Bd"/>
          <w:b/>
          <w:color w:val="0090D4"/>
          <w:spacing w:val="-7"/>
          <w:w w:val="110"/>
          <w:sz w:val="50"/>
        </w:rPr>
        <w:t>and </w:t>
      </w:r>
      <w:r>
        <w:rPr>
          <w:rFonts w:ascii="Stone Sans II ITC Std X Bd"/>
          <w:b/>
          <w:color w:val="0090D4"/>
          <w:spacing w:val="-12"/>
          <w:w w:val="110"/>
          <w:sz w:val="50"/>
        </w:rPr>
        <w:t>welfare </w:t>
      </w:r>
      <w:r>
        <w:rPr>
          <w:rFonts w:ascii="Stone Sans II ITC Std X Bd"/>
          <w:b/>
          <w:color w:val="0090D4"/>
          <w:spacing w:val="-11"/>
          <w:w w:val="110"/>
          <w:sz w:val="50"/>
        </w:rPr>
        <w:t>committee:</w:t>
      </w:r>
    </w:p>
    <w:p>
      <w:pPr>
        <w:spacing w:line="213" w:lineRule="auto" w:before="0"/>
        <w:ind w:left="1103" w:right="2470" w:firstLine="0"/>
        <w:jc w:val="left"/>
        <w:rPr>
          <w:rFonts w:ascii="Stone Sans II ITC Std X Bd"/>
          <w:b/>
          <w:sz w:val="50"/>
        </w:rPr>
      </w:pPr>
      <w:r>
        <w:rPr>
          <w:rFonts w:ascii="Stone Sans II ITC Std X Bd"/>
          <w:b/>
          <w:w w:val="110"/>
          <w:sz w:val="50"/>
        </w:rPr>
        <w:t>Report to General Assembly 2016</w:t>
      </w:r>
    </w:p>
    <w:p>
      <w:pPr>
        <w:pStyle w:val="Heading4"/>
        <w:spacing w:before="322"/>
        <w:ind w:left="1103"/>
      </w:pPr>
      <w:r>
        <w:rPr/>
        <w:pict>
          <v:shape style="position:absolute;margin-left:87.415001pt;margin-top:32.529888pt;width:462.1pt;height:82.75pt;mso-position-horizontal-relative:page;mso-position-vertical-relative:paragraph;z-index:-267541504" coordorigin="1748,651" coordsize="9242,1655" path="m10990,651l4408,651,1748,651,1748,2305,4408,2305,10990,2305,10990,651e" filled="true" fillcolor="#ffffff" stroked="false">
            <v:path arrowok="t"/>
            <v:fill type="solid"/>
            <w10:wrap type="none"/>
          </v:shape>
        </w:pict>
      </w:r>
      <w:r>
        <w:rPr>
          <w:color w:val="7F7F7F"/>
        </w:rPr>
        <w:t>Basic Information</w:t>
      </w:r>
    </w:p>
    <w:tbl>
      <w:tblPr>
        <w:tblW w:w="0" w:type="auto"/>
        <w:jc w:val="left"/>
        <w:tblInd w:w="111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660"/>
        <w:gridCol w:w="6582"/>
      </w:tblGrid>
      <w:tr>
        <w:trPr>
          <w:trHeight w:val="680" w:hRule="atLeast"/>
        </w:trPr>
        <w:tc>
          <w:tcPr>
            <w:tcW w:w="2660" w:type="dxa"/>
          </w:tcPr>
          <w:p>
            <w:pPr>
              <w:pStyle w:val="TableParagraph"/>
              <w:spacing w:line="213" w:lineRule="auto" w:before="151"/>
              <w:ind w:right="595"/>
              <w:rPr>
                <w:rFonts w:ascii="Stone Sans II ITC Std Bk"/>
                <w:b/>
                <w:sz w:val="20"/>
              </w:rPr>
            </w:pPr>
            <w:r>
              <w:rPr>
                <w:rFonts w:ascii="Stone Sans II ITC Std Bk"/>
                <w:b/>
                <w:w w:val="110"/>
                <w:sz w:val="20"/>
              </w:rPr>
              <w:t>Contact name and email address</w:t>
            </w:r>
          </w:p>
        </w:tc>
        <w:tc>
          <w:tcPr>
            <w:tcW w:w="6582" w:type="dxa"/>
          </w:tcPr>
          <w:p>
            <w:pPr>
              <w:pStyle w:val="TableParagraph"/>
              <w:spacing w:before="141"/>
              <w:rPr>
                <w:sz w:val="20"/>
              </w:rPr>
            </w:pPr>
            <w:r>
              <w:rPr>
                <w:w w:val="120"/>
                <w:sz w:val="20"/>
              </w:rPr>
              <w:t>Richard Church: </w:t>
            </w:r>
            <w:hyperlink r:id="rId82">
              <w:r>
                <w:rPr>
                  <w:color w:val="006AB3"/>
                  <w:w w:val="120"/>
                  <w:sz w:val="20"/>
                </w:rPr>
                <w:t>richard.church@urc.org.uk</w:t>
              </w:r>
            </w:hyperlink>
          </w:p>
        </w:tc>
      </w:tr>
      <w:tr>
        <w:trPr>
          <w:trHeight w:val="440" w:hRule="atLeast"/>
        </w:trPr>
        <w:tc>
          <w:tcPr>
            <w:tcW w:w="2660" w:type="dxa"/>
          </w:tcPr>
          <w:p>
            <w:pPr>
              <w:pStyle w:val="TableParagraph"/>
              <w:spacing w:before="128"/>
              <w:rPr>
                <w:rFonts w:ascii="Stone Sans II ITC Std Bk"/>
                <w:b/>
                <w:sz w:val="20"/>
              </w:rPr>
            </w:pPr>
            <w:r>
              <w:rPr>
                <w:rFonts w:ascii="Stone Sans II ITC Std Bk"/>
                <w:b/>
                <w:w w:val="110"/>
                <w:sz w:val="20"/>
              </w:rPr>
              <w:t>Action required</w:t>
            </w:r>
          </w:p>
        </w:tc>
        <w:tc>
          <w:tcPr>
            <w:tcW w:w="6582" w:type="dxa"/>
          </w:tcPr>
          <w:p>
            <w:pPr>
              <w:pStyle w:val="TableParagraph"/>
              <w:spacing w:before="141"/>
              <w:rPr>
                <w:sz w:val="20"/>
              </w:rPr>
            </w:pPr>
            <w:r>
              <w:rPr>
                <w:w w:val="120"/>
                <w:sz w:val="20"/>
              </w:rPr>
              <w:t>For information only</w:t>
            </w:r>
          </w:p>
        </w:tc>
      </w:tr>
      <w:tr>
        <w:trPr>
          <w:trHeight w:val="504" w:hRule="atLeast"/>
        </w:trPr>
        <w:tc>
          <w:tcPr>
            <w:tcW w:w="2660" w:type="dxa"/>
          </w:tcPr>
          <w:p>
            <w:pPr>
              <w:pStyle w:val="TableParagraph"/>
              <w:spacing w:before="128"/>
              <w:rPr>
                <w:rFonts w:ascii="Stone Sans II ITC Std Bk"/>
                <w:b/>
                <w:sz w:val="20"/>
              </w:rPr>
            </w:pPr>
            <w:r>
              <w:rPr>
                <w:rFonts w:ascii="Stone Sans II ITC Std Bk"/>
                <w:b/>
                <w:w w:val="110"/>
                <w:sz w:val="20"/>
              </w:rPr>
              <w:t>Draft resolution(s)</w:t>
            </w:r>
          </w:p>
        </w:tc>
        <w:tc>
          <w:tcPr>
            <w:tcW w:w="6582" w:type="dxa"/>
          </w:tcPr>
          <w:p>
            <w:pPr>
              <w:pStyle w:val="TableParagraph"/>
              <w:spacing w:before="128"/>
              <w:rPr>
                <w:rFonts w:ascii="Stone Sans II ITC Std Bk"/>
                <w:b/>
                <w:sz w:val="20"/>
              </w:rPr>
            </w:pPr>
            <w:r>
              <w:rPr>
                <w:rFonts w:ascii="Stone Sans II ITC Std Bk"/>
                <w:b/>
                <w:w w:val="110"/>
                <w:sz w:val="20"/>
              </w:rPr>
              <w:t>None</w:t>
            </w:r>
          </w:p>
        </w:tc>
      </w:tr>
    </w:tbl>
    <w:p>
      <w:pPr>
        <w:pStyle w:val="BodyText"/>
        <w:spacing w:before="3"/>
        <w:rPr>
          <w:rFonts w:ascii="Stone Sans II ITC Std Bk"/>
          <w:b/>
          <w:sz w:val="29"/>
        </w:rPr>
      </w:pPr>
    </w:p>
    <w:p>
      <w:pPr>
        <w:pStyle w:val="Heading4"/>
        <w:ind w:left="1103"/>
      </w:pPr>
      <w:r>
        <w:rPr/>
        <w:pict>
          <v:shape style="position:absolute;margin-left:87.415001pt;margin-top:16.430372pt;width:462.1pt;height:126.05pt;mso-position-horizontal-relative:page;mso-position-vertical-relative:paragraph;z-index:-267540480" coordorigin="1748,329" coordsize="9242,2521" path="m10990,329l4408,329,1748,329,1748,2849,4408,2849,10990,2849,10990,329e" filled="true" fillcolor="#ffffff" stroked="false">
            <v:path arrowok="t"/>
            <v:fill type="solid"/>
            <w10:wrap type="none"/>
          </v:shape>
        </w:pict>
      </w:r>
      <w:r>
        <w:rPr>
          <w:color w:val="7F7F7F"/>
        </w:rPr>
        <w:t>Summary of Content</w:t>
      </w:r>
    </w:p>
    <w:tbl>
      <w:tblPr>
        <w:tblW w:w="0" w:type="auto"/>
        <w:jc w:val="left"/>
        <w:tblInd w:w="111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660"/>
        <w:gridCol w:w="6582"/>
      </w:tblGrid>
      <w:tr>
        <w:trPr>
          <w:trHeight w:val="680" w:hRule="atLeast"/>
        </w:trPr>
        <w:tc>
          <w:tcPr>
            <w:tcW w:w="2660" w:type="dxa"/>
          </w:tcPr>
          <w:p>
            <w:pPr>
              <w:pStyle w:val="TableParagraph"/>
              <w:spacing w:before="128"/>
              <w:rPr>
                <w:rFonts w:ascii="Stone Sans II ITC Std Bk"/>
                <w:b/>
                <w:sz w:val="20"/>
              </w:rPr>
            </w:pPr>
            <w:r>
              <w:rPr>
                <w:rFonts w:ascii="Stone Sans II ITC Std Bk"/>
                <w:b/>
                <w:w w:val="110"/>
                <w:sz w:val="20"/>
              </w:rPr>
              <w:t>Subject and aim(s)</w:t>
            </w:r>
          </w:p>
        </w:tc>
        <w:tc>
          <w:tcPr>
            <w:tcW w:w="6582" w:type="dxa"/>
          </w:tcPr>
          <w:p>
            <w:pPr>
              <w:pStyle w:val="TableParagraph"/>
              <w:spacing w:line="235" w:lineRule="auto" w:before="145"/>
              <w:ind w:right="769"/>
              <w:rPr>
                <w:sz w:val="20"/>
              </w:rPr>
            </w:pPr>
            <w:r>
              <w:rPr>
                <w:w w:val="120"/>
                <w:sz w:val="20"/>
              </w:rPr>
              <w:t>To report on the work of the committee since the autumn of 2014</w:t>
            </w:r>
          </w:p>
        </w:tc>
      </w:tr>
      <w:tr>
        <w:trPr>
          <w:trHeight w:val="440" w:hRule="atLeast"/>
        </w:trPr>
        <w:tc>
          <w:tcPr>
            <w:tcW w:w="2660" w:type="dxa"/>
          </w:tcPr>
          <w:p>
            <w:pPr>
              <w:pStyle w:val="TableParagraph"/>
              <w:spacing w:before="128"/>
              <w:rPr>
                <w:rFonts w:ascii="Stone Sans II ITC Std Bk"/>
                <w:b/>
                <w:sz w:val="20"/>
              </w:rPr>
            </w:pPr>
            <w:r>
              <w:rPr>
                <w:rFonts w:ascii="Stone Sans II ITC Std Bk"/>
                <w:b/>
                <w:w w:val="110"/>
                <w:sz w:val="20"/>
              </w:rPr>
              <w:t>Main points</w:t>
            </w:r>
          </w:p>
        </w:tc>
        <w:tc>
          <w:tcPr>
            <w:tcW w:w="6582" w:type="dxa"/>
          </w:tcPr>
          <w:p>
            <w:pPr>
              <w:pStyle w:val="TableParagraph"/>
              <w:spacing w:before="141"/>
              <w:rPr>
                <w:sz w:val="20"/>
              </w:rPr>
            </w:pPr>
            <w:r>
              <w:rPr>
                <w:w w:val="120"/>
                <w:sz w:val="20"/>
              </w:rPr>
              <w:t>As above</w:t>
            </w:r>
          </w:p>
        </w:tc>
      </w:tr>
      <w:tr>
        <w:trPr>
          <w:trHeight w:val="680" w:hRule="atLeast"/>
        </w:trPr>
        <w:tc>
          <w:tcPr>
            <w:tcW w:w="2660" w:type="dxa"/>
          </w:tcPr>
          <w:p>
            <w:pPr>
              <w:pStyle w:val="TableParagraph"/>
              <w:spacing w:line="213" w:lineRule="auto" w:before="151"/>
              <w:ind w:right="701"/>
              <w:rPr>
                <w:rFonts w:ascii="Stone Sans II ITC Std Bk"/>
                <w:b/>
                <w:sz w:val="20"/>
              </w:rPr>
            </w:pPr>
            <w:r>
              <w:rPr>
                <w:rFonts w:ascii="Stone Sans II ITC Std Bk"/>
                <w:b/>
                <w:w w:val="110"/>
                <w:sz w:val="20"/>
              </w:rPr>
              <w:t>Previous relevant documents</w:t>
            </w:r>
          </w:p>
        </w:tc>
        <w:tc>
          <w:tcPr>
            <w:tcW w:w="6582" w:type="dxa"/>
          </w:tcPr>
          <w:p>
            <w:pPr>
              <w:pStyle w:val="TableParagraph"/>
              <w:spacing w:before="141"/>
              <w:rPr>
                <w:sz w:val="20"/>
              </w:rPr>
            </w:pPr>
            <w:r>
              <w:rPr>
                <w:w w:val="120"/>
                <w:sz w:val="20"/>
              </w:rPr>
              <w:t>None</w:t>
            </w:r>
          </w:p>
        </w:tc>
      </w:tr>
      <w:tr>
        <w:trPr>
          <w:trHeight w:val="680" w:hRule="atLeast"/>
        </w:trPr>
        <w:tc>
          <w:tcPr>
            <w:tcW w:w="2660" w:type="dxa"/>
          </w:tcPr>
          <w:p>
            <w:pPr>
              <w:pStyle w:val="TableParagraph"/>
              <w:spacing w:line="213" w:lineRule="auto" w:before="151"/>
              <w:ind w:right="576"/>
              <w:rPr>
                <w:rFonts w:ascii="Stone Sans II ITC Std Bk"/>
                <w:b/>
                <w:sz w:val="20"/>
              </w:rPr>
            </w:pPr>
            <w:r>
              <w:rPr>
                <w:rFonts w:ascii="Stone Sans II ITC Std Bk"/>
                <w:b/>
                <w:w w:val="110"/>
                <w:sz w:val="20"/>
              </w:rPr>
              <w:t>Consultation has taken place with...</w:t>
            </w:r>
          </w:p>
        </w:tc>
        <w:tc>
          <w:tcPr>
            <w:tcW w:w="6582" w:type="dxa"/>
          </w:tcPr>
          <w:p>
            <w:pPr>
              <w:pStyle w:val="TableParagraph"/>
              <w:spacing w:before="141"/>
              <w:rPr>
                <w:sz w:val="20"/>
              </w:rPr>
            </w:pPr>
            <w:r>
              <w:rPr>
                <w:w w:val="120"/>
                <w:sz w:val="20"/>
              </w:rPr>
              <w:t>N/A</w:t>
            </w:r>
          </w:p>
        </w:tc>
      </w:tr>
    </w:tbl>
    <w:p>
      <w:pPr>
        <w:pStyle w:val="BodyText"/>
        <w:spacing w:before="3"/>
        <w:rPr>
          <w:rFonts w:ascii="Stone Sans II ITC Std Bk"/>
          <w:b/>
          <w:sz w:val="29"/>
        </w:rPr>
      </w:pPr>
    </w:p>
    <w:p>
      <w:pPr>
        <w:pStyle w:val="Heading4"/>
        <w:spacing w:before="1"/>
        <w:ind w:left="1103"/>
      </w:pPr>
      <w:r>
        <w:rPr/>
        <w:pict>
          <v:shape style="position:absolute;margin-left:87.415001pt;margin-top:16.479883pt;width:462.1pt;height:57.05pt;mso-position-horizontal-relative:page;mso-position-vertical-relative:paragraph;z-index:-267539456" coordorigin="1748,330" coordsize="9242,1141" path="m10990,330l4408,330,1748,330,1748,1470,4408,1470,10990,1470,10990,330e" filled="true" fillcolor="#ffffff" stroked="false">
            <v:path arrowok="t"/>
            <v:fill type="solid"/>
            <w10:wrap type="none"/>
          </v:shape>
        </w:pict>
      </w:r>
      <w:r>
        <w:rPr>
          <w:color w:val="7F7F7F"/>
        </w:rPr>
        <w:t>Summary of Impact</w:t>
      </w:r>
    </w:p>
    <w:tbl>
      <w:tblPr>
        <w:tblW w:w="0" w:type="auto"/>
        <w:jc w:val="left"/>
        <w:tblInd w:w="111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660"/>
        <w:gridCol w:w="6582"/>
      </w:tblGrid>
      <w:tr>
        <w:trPr>
          <w:trHeight w:val="440" w:hRule="atLeast"/>
        </w:trPr>
        <w:tc>
          <w:tcPr>
            <w:tcW w:w="2660" w:type="dxa"/>
          </w:tcPr>
          <w:p>
            <w:pPr>
              <w:pStyle w:val="TableParagraph"/>
              <w:spacing w:before="128"/>
              <w:rPr>
                <w:rFonts w:ascii="Stone Sans II ITC Std Bk"/>
                <w:b/>
                <w:sz w:val="20"/>
              </w:rPr>
            </w:pPr>
            <w:r>
              <w:rPr>
                <w:rFonts w:ascii="Stone Sans II ITC Std Bk"/>
                <w:b/>
                <w:w w:val="110"/>
                <w:sz w:val="20"/>
              </w:rPr>
              <w:t>Financial</w:t>
            </w:r>
          </w:p>
        </w:tc>
        <w:tc>
          <w:tcPr>
            <w:tcW w:w="6582" w:type="dxa"/>
          </w:tcPr>
          <w:p>
            <w:pPr>
              <w:pStyle w:val="TableParagraph"/>
              <w:spacing w:before="141"/>
              <w:rPr>
                <w:sz w:val="20"/>
              </w:rPr>
            </w:pPr>
            <w:r>
              <w:rPr>
                <w:w w:val="120"/>
                <w:sz w:val="20"/>
              </w:rPr>
              <w:t>None</w:t>
            </w:r>
          </w:p>
        </w:tc>
      </w:tr>
      <w:tr>
        <w:trPr>
          <w:trHeight w:val="680" w:hRule="atLeast"/>
        </w:trPr>
        <w:tc>
          <w:tcPr>
            <w:tcW w:w="2660" w:type="dxa"/>
          </w:tcPr>
          <w:p>
            <w:pPr>
              <w:pStyle w:val="TableParagraph"/>
              <w:spacing w:line="255" w:lineRule="exact" w:before="128"/>
              <w:rPr>
                <w:rFonts w:ascii="Stone Sans II ITC Std Bk"/>
                <w:b/>
                <w:sz w:val="20"/>
              </w:rPr>
            </w:pPr>
            <w:r>
              <w:rPr>
                <w:rFonts w:ascii="Stone Sans II ITC Std Bk"/>
                <w:b/>
                <w:w w:val="110"/>
                <w:sz w:val="20"/>
              </w:rPr>
              <w:t>External</w:t>
            </w:r>
          </w:p>
          <w:p>
            <w:pPr>
              <w:pStyle w:val="TableParagraph"/>
              <w:spacing w:line="255" w:lineRule="exact"/>
              <w:rPr>
                <w:rFonts w:ascii="Stone Sans II ITC Std Bk"/>
                <w:b/>
                <w:sz w:val="20"/>
              </w:rPr>
            </w:pPr>
            <w:r>
              <w:rPr>
                <w:rFonts w:ascii="Stone Sans II ITC Std Bk"/>
                <w:b/>
                <w:w w:val="110"/>
                <w:sz w:val="20"/>
              </w:rPr>
              <w:t>(e.g. ecumenical)</w:t>
            </w:r>
          </w:p>
        </w:tc>
        <w:tc>
          <w:tcPr>
            <w:tcW w:w="6582" w:type="dxa"/>
          </w:tcPr>
          <w:p>
            <w:pPr>
              <w:pStyle w:val="TableParagraph"/>
              <w:spacing w:before="141"/>
              <w:rPr>
                <w:sz w:val="20"/>
              </w:rPr>
            </w:pPr>
            <w:r>
              <w:rPr>
                <w:w w:val="125"/>
                <w:sz w:val="20"/>
              </w:rPr>
              <w:t>None.</w:t>
            </w:r>
          </w:p>
        </w:tc>
      </w:tr>
    </w:tbl>
    <w:p>
      <w:pPr>
        <w:spacing w:after="0"/>
        <w:rPr>
          <w:sz w:val="20"/>
        </w:rPr>
        <w:sectPr>
          <w:headerReference w:type="default" r:id="rId566"/>
          <w:pgSz w:w="11910" w:h="16840"/>
          <w:pgMar w:header="0" w:footer="647" w:top="0" w:bottom="840" w:left="640" w:right="0"/>
        </w:sectPr>
      </w:pPr>
    </w:p>
    <w:p>
      <w:pPr>
        <w:pStyle w:val="BodyText"/>
        <w:rPr>
          <w:rFonts w:ascii="Stone Sans II ITC Std Bk"/>
          <w:b/>
        </w:rPr>
      </w:pPr>
      <w:r>
        <w:rPr/>
        <w:drawing>
          <wp:anchor distT="0" distB="0" distL="0" distR="0" allowOverlap="1" layoutInCell="1" locked="0" behindDoc="1" simplePos="0" relativeHeight="235779072">
            <wp:simplePos x="0" y="0"/>
            <wp:positionH relativeFrom="page">
              <wp:posOffset>0</wp:posOffset>
            </wp:positionH>
            <wp:positionV relativeFrom="page">
              <wp:posOffset>0</wp:posOffset>
            </wp:positionV>
            <wp:extent cx="594067" cy="10692003"/>
            <wp:effectExtent l="0" t="0" r="0" b="0"/>
            <wp:wrapNone/>
            <wp:docPr id="413" name="image67.png"/>
            <wp:cNvGraphicFramePr>
              <a:graphicFrameLocks noChangeAspect="1"/>
            </wp:cNvGraphicFramePr>
            <a:graphic>
              <a:graphicData uri="http://schemas.openxmlformats.org/drawingml/2006/picture">
                <pic:pic>
                  <pic:nvPicPr>
                    <pic:cNvPr id="414" name="image67.png"/>
                    <pic:cNvPicPr/>
                  </pic:nvPicPr>
                  <pic:blipFill>
                    <a:blip r:embed="rId184" cstate="print"/>
                    <a:stretch>
                      <a:fillRect/>
                    </a:stretch>
                  </pic:blipFill>
                  <pic:spPr>
                    <a:xfrm>
                      <a:off x="0" y="0"/>
                      <a:ext cx="594067" cy="10692003"/>
                    </a:xfrm>
                    <a:prstGeom prst="rect">
                      <a:avLst/>
                    </a:prstGeom>
                  </pic:spPr>
                </pic:pic>
              </a:graphicData>
            </a:graphic>
          </wp:anchor>
        </w:drawing>
      </w:r>
      <w:r>
        <w:rPr/>
        <w:pict>
          <v:shape style="position:absolute;margin-left:20.519100pt;margin-top:48.890015pt;width:25.9pt;height:305.25pt;mso-position-horizontal-relative:page;mso-position-vertical-relative:page;z-index:-267535360" type="#_x0000_t202" filled="false" stroked="false">
            <v:textbox inset="0,0,0,0" style="layout-flow:vertical">
              <w:txbxContent>
                <w:p>
                  <w:pPr>
                    <w:spacing w:before="27"/>
                    <w:ind w:left="20" w:right="0" w:firstLine="0"/>
                    <w:jc w:val="left"/>
                    <w:rPr>
                      <w:sz w:val="39"/>
                    </w:rPr>
                  </w:pPr>
                  <w:r>
                    <w:rPr>
                      <w:color w:val="FFFFFF"/>
                      <w:w w:val="120"/>
                      <w:sz w:val="39"/>
                    </w:rPr>
                    <w:t>Pastoral reference and welfare</w:t>
                  </w:r>
                </w:p>
              </w:txbxContent>
            </v:textbox>
            <w10:wrap type="none"/>
          </v:shape>
        </w:pict>
      </w:r>
    </w:p>
    <w:p>
      <w:pPr>
        <w:pStyle w:val="BodyText"/>
        <w:rPr>
          <w:rFonts w:ascii="Stone Sans II ITC Std Bk"/>
          <w:b/>
        </w:rPr>
      </w:pPr>
    </w:p>
    <w:p>
      <w:pPr>
        <w:pStyle w:val="BodyText"/>
        <w:rPr>
          <w:rFonts w:ascii="Stone Sans II ITC Std Bk"/>
          <w:b/>
        </w:rPr>
      </w:pPr>
    </w:p>
    <w:p>
      <w:pPr>
        <w:pStyle w:val="BodyText"/>
        <w:spacing w:before="11"/>
        <w:rPr>
          <w:rFonts w:ascii="Stone Sans II ITC Std Bk"/>
          <w:b/>
          <w:sz w:val="19"/>
        </w:rPr>
      </w:pPr>
    </w:p>
    <w:p>
      <w:pPr>
        <w:spacing w:line="213" w:lineRule="auto" w:before="153"/>
        <w:ind w:left="607" w:right="0" w:firstLine="0"/>
        <w:jc w:val="left"/>
        <w:rPr>
          <w:rFonts w:ascii="Stone Sans II ITC Std X Bd"/>
          <w:b/>
          <w:sz w:val="50"/>
        </w:rPr>
      </w:pPr>
      <w:r>
        <w:rPr>
          <w:rFonts w:ascii="Stone Sans II ITC Std X Bd"/>
          <w:b/>
          <w:spacing w:val="-12"/>
          <w:w w:val="110"/>
          <w:sz w:val="50"/>
        </w:rPr>
        <w:t>Pastoral </w:t>
      </w:r>
      <w:r>
        <w:rPr>
          <w:rFonts w:ascii="Stone Sans II ITC Std X Bd"/>
          <w:b/>
          <w:spacing w:val="-10"/>
          <w:w w:val="110"/>
          <w:sz w:val="50"/>
        </w:rPr>
        <w:t>reference </w:t>
      </w:r>
      <w:r>
        <w:rPr>
          <w:rFonts w:ascii="Stone Sans II ITC Std X Bd"/>
          <w:b/>
          <w:spacing w:val="-7"/>
          <w:w w:val="110"/>
          <w:sz w:val="50"/>
        </w:rPr>
        <w:t>and </w:t>
      </w:r>
      <w:r>
        <w:rPr>
          <w:rFonts w:ascii="Stone Sans II ITC Std X Bd"/>
          <w:b/>
          <w:spacing w:val="-12"/>
          <w:w w:val="110"/>
          <w:sz w:val="50"/>
        </w:rPr>
        <w:t>welfare </w:t>
      </w:r>
      <w:r>
        <w:rPr>
          <w:rFonts w:ascii="Stone Sans II ITC Std X Bd"/>
          <w:b/>
          <w:spacing w:val="-10"/>
          <w:w w:val="110"/>
          <w:sz w:val="50"/>
        </w:rPr>
        <w:t>committee</w:t>
      </w:r>
    </w:p>
    <w:p>
      <w:pPr>
        <w:spacing w:line="261" w:lineRule="auto" w:before="157"/>
        <w:ind w:left="834" w:right="2231" w:firstLine="0"/>
        <w:jc w:val="left"/>
        <w:rPr>
          <w:sz w:val="18"/>
        </w:rPr>
      </w:pPr>
      <w:r>
        <w:rPr/>
        <w:pict>
          <v:line style="position:absolute;mso-position-horizontal-relative:page;mso-position-vertical-relative:paragraph;z-index:252233728" from="62.362202pt,9.118153pt" to="62.362202pt,210.378153pt" stroked="true" strokeweight="2pt" strokecolor="#0090d4">
            <v:stroke dashstyle="solid"/>
            <w10:wrap type="none"/>
          </v:line>
        </w:pict>
      </w:r>
      <w:r>
        <w:rPr>
          <w:color w:val="707172"/>
          <w:w w:val="120"/>
          <w:sz w:val="18"/>
        </w:rPr>
        <w:t>The committee considers the cases of ministers and church related community workers </w:t>
      </w:r>
      <w:r>
        <w:rPr>
          <w:color w:val="707172"/>
          <w:spacing w:val="-4"/>
          <w:w w:val="120"/>
          <w:sz w:val="18"/>
        </w:rPr>
        <w:t>(crcws) </w:t>
      </w:r>
      <w:r>
        <w:rPr>
          <w:color w:val="707172"/>
          <w:w w:val="120"/>
          <w:sz w:val="18"/>
        </w:rPr>
        <w:t>which are referred to it by officers or councils of the Church when there is perceived pastoral need. Such response might be</w:t>
      </w:r>
      <w:r>
        <w:rPr>
          <w:color w:val="707172"/>
          <w:spacing w:val="19"/>
          <w:w w:val="120"/>
          <w:sz w:val="18"/>
        </w:rPr>
        <w:t> </w:t>
      </w:r>
      <w:r>
        <w:rPr>
          <w:color w:val="707172"/>
          <w:w w:val="120"/>
          <w:sz w:val="18"/>
        </w:rPr>
        <w:t>needed:</w:t>
      </w:r>
    </w:p>
    <w:p>
      <w:pPr>
        <w:pStyle w:val="ListParagraph"/>
        <w:numPr>
          <w:ilvl w:val="2"/>
          <w:numId w:val="236"/>
        </w:numPr>
        <w:tabs>
          <w:tab w:pos="1287" w:val="left" w:leader="none"/>
          <w:tab w:pos="1288" w:val="left" w:leader="none"/>
        </w:tabs>
        <w:spacing w:line="261" w:lineRule="auto" w:before="2" w:after="0"/>
        <w:ind w:left="1287" w:right="2159" w:hanging="454"/>
        <w:jc w:val="left"/>
        <w:rPr>
          <w:sz w:val="18"/>
        </w:rPr>
      </w:pPr>
      <w:r>
        <w:rPr>
          <w:color w:val="707172"/>
          <w:w w:val="120"/>
          <w:sz w:val="18"/>
        </w:rPr>
        <w:t>when Synod Moderators or synod pastoral committees seek assistance in their pastoral care of ministers, CRCWs and</w:t>
      </w:r>
      <w:r>
        <w:rPr>
          <w:color w:val="707172"/>
          <w:spacing w:val="15"/>
          <w:w w:val="120"/>
          <w:sz w:val="18"/>
        </w:rPr>
        <w:t> </w:t>
      </w:r>
      <w:r>
        <w:rPr>
          <w:color w:val="707172"/>
          <w:w w:val="120"/>
          <w:sz w:val="18"/>
        </w:rPr>
        <w:t>congregations</w:t>
      </w:r>
    </w:p>
    <w:p>
      <w:pPr>
        <w:pStyle w:val="ListParagraph"/>
        <w:numPr>
          <w:ilvl w:val="2"/>
          <w:numId w:val="236"/>
        </w:numPr>
        <w:tabs>
          <w:tab w:pos="1288" w:val="left" w:leader="none"/>
        </w:tabs>
        <w:spacing w:line="261" w:lineRule="auto" w:before="1" w:after="0"/>
        <w:ind w:left="1287" w:right="2281" w:hanging="454"/>
        <w:jc w:val="both"/>
        <w:rPr>
          <w:sz w:val="18"/>
        </w:rPr>
      </w:pPr>
      <w:r>
        <w:rPr>
          <w:color w:val="707172"/>
          <w:w w:val="120"/>
          <w:sz w:val="18"/>
        </w:rPr>
        <w:t>when there is a breakdown in relationship between the minister and congregation or the wider Church which, for whatever reason, does not fall within the pastoral care of the Synod Moderator or the synod pastoral</w:t>
      </w:r>
      <w:r>
        <w:rPr>
          <w:color w:val="707172"/>
          <w:spacing w:val="21"/>
          <w:w w:val="120"/>
          <w:sz w:val="18"/>
        </w:rPr>
        <w:t> </w:t>
      </w:r>
      <w:r>
        <w:rPr>
          <w:color w:val="707172"/>
          <w:w w:val="120"/>
          <w:sz w:val="18"/>
        </w:rPr>
        <w:t>committee</w:t>
      </w:r>
    </w:p>
    <w:p>
      <w:pPr>
        <w:pStyle w:val="ListParagraph"/>
        <w:numPr>
          <w:ilvl w:val="2"/>
          <w:numId w:val="236"/>
        </w:numPr>
        <w:tabs>
          <w:tab w:pos="1288" w:val="left" w:leader="none"/>
        </w:tabs>
        <w:spacing w:line="261" w:lineRule="auto" w:before="1" w:after="0"/>
        <w:ind w:left="1287" w:right="2551" w:hanging="454"/>
        <w:jc w:val="both"/>
        <w:rPr>
          <w:sz w:val="18"/>
        </w:rPr>
      </w:pPr>
      <w:r>
        <w:rPr>
          <w:color w:val="707172"/>
          <w:w w:val="120"/>
          <w:sz w:val="18"/>
        </w:rPr>
        <w:t>when the continuance of a minister’s or crcw’s service within the United Reformed Church is in</w:t>
      </w:r>
      <w:r>
        <w:rPr>
          <w:color w:val="707172"/>
          <w:spacing w:val="7"/>
          <w:w w:val="120"/>
          <w:sz w:val="18"/>
        </w:rPr>
        <w:t> </w:t>
      </w:r>
      <w:r>
        <w:rPr>
          <w:color w:val="707172"/>
          <w:w w:val="120"/>
          <w:sz w:val="18"/>
        </w:rPr>
        <w:t>question</w:t>
      </w:r>
    </w:p>
    <w:p>
      <w:pPr>
        <w:pStyle w:val="ListParagraph"/>
        <w:numPr>
          <w:ilvl w:val="2"/>
          <w:numId w:val="236"/>
        </w:numPr>
        <w:tabs>
          <w:tab w:pos="1288" w:val="left" w:leader="none"/>
        </w:tabs>
        <w:spacing w:line="240" w:lineRule="auto" w:before="1" w:after="0"/>
        <w:ind w:left="1287" w:right="0" w:hanging="454"/>
        <w:jc w:val="both"/>
        <w:rPr>
          <w:sz w:val="18"/>
        </w:rPr>
      </w:pPr>
      <w:r>
        <w:rPr>
          <w:color w:val="707172"/>
          <w:w w:val="120"/>
          <w:sz w:val="18"/>
        </w:rPr>
        <w:t>when financial assistance is sought from welfare</w:t>
      </w:r>
      <w:r>
        <w:rPr>
          <w:color w:val="707172"/>
          <w:spacing w:val="15"/>
          <w:w w:val="120"/>
          <w:sz w:val="18"/>
        </w:rPr>
        <w:t> </w:t>
      </w:r>
      <w:r>
        <w:rPr>
          <w:color w:val="707172"/>
          <w:w w:val="120"/>
          <w:sz w:val="18"/>
        </w:rPr>
        <w:t>funds.</w:t>
      </w:r>
    </w:p>
    <w:p>
      <w:pPr>
        <w:pStyle w:val="BodyText"/>
        <w:spacing w:before="5"/>
      </w:pPr>
    </w:p>
    <w:p>
      <w:pPr>
        <w:spacing w:line="242" w:lineRule="exact" w:before="0"/>
        <w:ind w:left="834" w:right="0" w:firstLine="0"/>
        <w:jc w:val="left"/>
        <w:rPr>
          <w:sz w:val="18"/>
        </w:rPr>
      </w:pPr>
      <w:r>
        <w:rPr>
          <w:rFonts w:ascii="Stone Sans II ITC Std Bk"/>
          <w:b/>
          <w:color w:val="707172"/>
          <w:w w:val="120"/>
          <w:sz w:val="18"/>
        </w:rPr>
        <w:t>Convenor: </w:t>
      </w:r>
      <w:r>
        <w:rPr>
          <w:color w:val="707172"/>
          <w:w w:val="120"/>
          <w:sz w:val="18"/>
        </w:rPr>
        <w:t>Sheila Maxey (to 2015); Wilma Frew (from 2015)</w:t>
      </w:r>
    </w:p>
    <w:p>
      <w:pPr>
        <w:spacing w:line="254" w:lineRule="auto" w:before="0"/>
        <w:ind w:left="834" w:right="2231" w:firstLine="0"/>
        <w:jc w:val="left"/>
        <w:rPr>
          <w:sz w:val="18"/>
        </w:rPr>
      </w:pPr>
      <w:r>
        <w:rPr>
          <w:rFonts w:ascii="Stone Sans II ITC Std Bk" w:hAnsi="Stone Sans II ITC Std Bk"/>
          <w:b/>
          <w:color w:val="707172"/>
          <w:w w:val="125"/>
          <w:sz w:val="18"/>
        </w:rPr>
        <w:t>Members: </w:t>
      </w:r>
      <w:r>
        <w:rPr>
          <w:color w:val="707172"/>
          <w:w w:val="125"/>
          <w:sz w:val="18"/>
        </w:rPr>
        <w:t>Richard Church (Deputy General Secretary [ Discipleship] – secretary from May </w:t>
      </w:r>
      <w:r>
        <w:rPr>
          <w:color w:val="707172"/>
          <w:spacing w:val="-5"/>
          <w:w w:val="125"/>
          <w:sz w:val="18"/>
        </w:rPr>
        <w:t>2015); </w:t>
      </w:r>
      <w:r>
        <w:rPr>
          <w:color w:val="707172"/>
          <w:w w:val="125"/>
          <w:sz w:val="18"/>
        </w:rPr>
        <w:t>Irene Wren </w:t>
      </w:r>
      <w:r>
        <w:rPr>
          <w:color w:val="707172"/>
          <w:spacing w:val="-6"/>
          <w:w w:val="125"/>
          <w:sz w:val="18"/>
        </w:rPr>
        <w:t>(2015); </w:t>
      </w:r>
      <w:r>
        <w:rPr>
          <w:color w:val="707172"/>
          <w:w w:val="125"/>
          <w:sz w:val="18"/>
        </w:rPr>
        <w:t>Gabrielle Pagan </w:t>
      </w:r>
      <w:r>
        <w:rPr>
          <w:color w:val="707172"/>
          <w:spacing w:val="-6"/>
          <w:w w:val="125"/>
          <w:sz w:val="18"/>
        </w:rPr>
        <w:t>(2016); </w:t>
      </w:r>
      <w:r>
        <w:rPr>
          <w:color w:val="707172"/>
          <w:w w:val="125"/>
          <w:sz w:val="18"/>
        </w:rPr>
        <w:t>Clare Downing (from July </w:t>
      </w:r>
      <w:r>
        <w:rPr>
          <w:color w:val="707172"/>
          <w:spacing w:val="-7"/>
          <w:w w:val="125"/>
          <w:sz w:val="18"/>
        </w:rPr>
        <w:t>2013); </w:t>
      </w:r>
      <w:r>
        <w:rPr>
          <w:color w:val="707172"/>
          <w:w w:val="125"/>
          <w:sz w:val="18"/>
        </w:rPr>
        <w:t>Douglas Hay (from July </w:t>
      </w:r>
      <w:r>
        <w:rPr>
          <w:color w:val="707172"/>
          <w:spacing w:val="-7"/>
          <w:w w:val="125"/>
          <w:sz w:val="18"/>
        </w:rPr>
        <w:t>2013); </w:t>
      </w:r>
      <w:r>
        <w:rPr>
          <w:color w:val="707172"/>
          <w:w w:val="125"/>
          <w:sz w:val="18"/>
        </w:rPr>
        <w:t>Pam Sharp (from </w:t>
      </w:r>
      <w:r>
        <w:rPr>
          <w:color w:val="707172"/>
          <w:spacing w:val="-5"/>
          <w:w w:val="125"/>
          <w:sz w:val="18"/>
        </w:rPr>
        <w:t>2015); </w:t>
      </w:r>
      <w:r>
        <w:rPr>
          <w:color w:val="707172"/>
          <w:w w:val="125"/>
          <w:sz w:val="18"/>
        </w:rPr>
        <w:t>Camilla Veitch (from </w:t>
      </w:r>
      <w:r>
        <w:rPr>
          <w:color w:val="707172"/>
          <w:spacing w:val="-5"/>
          <w:w w:val="125"/>
          <w:sz w:val="18"/>
        </w:rPr>
        <w:t>2016)</w:t>
      </w:r>
    </w:p>
    <w:p>
      <w:pPr>
        <w:spacing w:before="6"/>
        <w:ind w:left="834" w:right="0" w:firstLine="0"/>
        <w:jc w:val="left"/>
        <w:rPr>
          <w:sz w:val="18"/>
        </w:rPr>
      </w:pPr>
      <w:r>
        <w:rPr>
          <w:color w:val="707172"/>
          <w:w w:val="120"/>
          <w:sz w:val="18"/>
        </w:rPr>
        <w:t>[ex-officio: Treasurer, General</w:t>
      </w:r>
      <w:r>
        <w:rPr>
          <w:color w:val="707172"/>
          <w:spacing w:val="19"/>
          <w:w w:val="120"/>
          <w:sz w:val="18"/>
        </w:rPr>
        <w:t> </w:t>
      </w:r>
      <w:r>
        <w:rPr>
          <w:color w:val="707172"/>
          <w:w w:val="120"/>
          <w:sz w:val="18"/>
        </w:rPr>
        <w:t>Secretary]</w:t>
      </w:r>
    </w:p>
    <w:p>
      <w:pPr>
        <w:pStyle w:val="BodyText"/>
        <w:rPr>
          <w:sz w:val="22"/>
        </w:rPr>
      </w:pPr>
    </w:p>
    <w:p>
      <w:pPr>
        <w:pStyle w:val="BodyText"/>
        <w:spacing w:before="1"/>
      </w:pPr>
    </w:p>
    <w:p>
      <w:pPr>
        <w:spacing w:before="0"/>
        <w:ind w:left="607" w:right="0" w:firstLine="0"/>
        <w:jc w:val="left"/>
        <w:rPr>
          <w:rFonts w:ascii="Stone Sans II ITC Std Bk"/>
          <w:b/>
          <w:sz w:val="29"/>
        </w:rPr>
      </w:pPr>
      <w:r>
        <w:rPr>
          <w:rFonts w:ascii="Stone Sans II ITC Std Bk"/>
          <w:b/>
          <w:spacing w:val="3"/>
          <w:w w:val="110"/>
          <w:sz w:val="29"/>
        </w:rPr>
        <w:t>Pastoral reference</w:t>
      </w:r>
      <w:r>
        <w:rPr>
          <w:rFonts w:ascii="Stone Sans II ITC Std Bk"/>
          <w:b/>
          <w:spacing w:val="42"/>
          <w:w w:val="110"/>
          <w:sz w:val="29"/>
        </w:rPr>
        <w:t> </w:t>
      </w:r>
      <w:r>
        <w:rPr>
          <w:rFonts w:ascii="Stone Sans II ITC Std Bk"/>
          <w:b/>
          <w:spacing w:val="2"/>
          <w:w w:val="110"/>
          <w:sz w:val="29"/>
        </w:rPr>
        <w:t>work</w:t>
      </w:r>
    </w:p>
    <w:p>
      <w:pPr>
        <w:pStyle w:val="ListParagraph"/>
        <w:numPr>
          <w:ilvl w:val="1"/>
          <w:numId w:val="237"/>
        </w:numPr>
        <w:tabs>
          <w:tab w:pos="1287" w:val="left" w:leader="none"/>
          <w:tab w:pos="1288" w:val="left" w:leader="none"/>
        </w:tabs>
        <w:spacing w:line="235" w:lineRule="auto" w:before="69" w:after="0"/>
        <w:ind w:left="607" w:right="2015" w:firstLine="0"/>
        <w:jc w:val="left"/>
        <w:rPr>
          <w:sz w:val="20"/>
        </w:rPr>
      </w:pPr>
      <w:r>
        <w:rPr>
          <w:w w:val="120"/>
          <w:sz w:val="20"/>
        </w:rPr>
        <w:t>We continue to value the work of the Churches’ Ministerial Counselling Service from which ministers – whether in active service, in training or in retirement – and their families can receive completely confidential support. The Counselling Service grants totalled </w:t>
      </w:r>
      <w:r>
        <w:rPr>
          <w:spacing w:val="-6"/>
          <w:w w:val="120"/>
          <w:sz w:val="20"/>
        </w:rPr>
        <w:t>£12,361 </w:t>
      </w:r>
      <w:r>
        <w:rPr>
          <w:w w:val="120"/>
          <w:sz w:val="20"/>
        </w:rPr>
        <w:t>in </w:t>
      </w:r>
      <w:r>
        <w:rPr>
          <w:spacing w:val="-7"/>
          <w:w w:val="120"/>
          <w:sz w:val="20"/>
        </w:rPr>
        <w:t>2014 </w:t>
      </w:r>
      <w:r>
        <w:rPr>
          <w:w w:val="120"/>
          <w:sz w:val="20"/>
        </w:rPr>
        <w:t>and </w:t>
      </w:r>
      <w:r>
        <w:rPr>
          <w:spacing w:val="-4"/>
          <w:w w:val="120"/>
          <w:sz w:val="20"/>
        </w:rPr>
        <w:t>£8,024 </w:t>
      </w:r>
      <w:r>
        <w:rPr>
          <w:w w:val="120"/>
          <w:sz w:val="20"/>
        </w:rPr>
        <w:t>in</w:t>
      </w:r>
      <w:r>
        <w:rPr>
          <w:spacing w:val="41"/>
          <w:w w:val="120"/>
          <w:sz w:val="20"/>
        </w:rPr>
        <w:t> </w:t>
      </w:r>
      <w:r>
        <w:rPr>
          <w:spacing w:val="-7"/>
          <w:w w:val="120"/>
          <w:sz w:val="20"/>
        </w:rPr>
        <w:t>2015.</w:t>
      </w:r>
    </w:p>
    <w:p>
      <w:pPr>
        <w:pStyle w:val="BodyText"/>
        <w:spacing w:before="11"/>
        <w:rPr>
          <w:sz w:val="19"/>
        </w:rPr>
      </w:pPr>
    </w:p>
    <w:p>
      <w:pPr>
        <w:pStyle w:val="ListParagraph"/>
        <w:numPr>
          <w:ilvl w:val="1"/>
          <w:numId w:val="237"/>
        </w:numPr>
        <w:tabs>
          <w:tab w:pos="1287" w:val="left" w:leader="none"/>
          <w:tab w:pos="1288" w:val="left" w:leader="none"/>
        </w:tabs>
        <w:spacing w:line="235" w:lineRule="auto" w:before="0" w:after="0"/>
        <w:ind w:left="607" w:right="2125" w:firstLine="0"/>
        <w:jc w:val="left"/>
        <w:rPr>
          <w:sz w:val="20"/>
        </w:rPr>
      </w:pPr>
      <w:r>
        <w:rPr>
          <w:w w:val="120"/>
          <w:sz w:val="20"/>
        </w:rPr>
        <w:t>We have responded to various situations of concern that have been referred to us in the past two years in a number of ways depending on the nature of the cases and the issues involved. We have valued the wisdom available to us from the members of the committee who have responded conscientiously and usefully both in committee and by email consultation between</w:t>
      </w:r>
      <w:r>
        <w:rPr>
          <w:spacing w:val="12"/>
          <w:w w:val="120"/>
          <w:sz w:val="20"/>
        </w:rPr>
        <w:t> </w:t>
      </w:r>
      <w:r>
        <w:rPr>
          <w:w w:val="120"/>
          <w:sz w:val="20"/>
        </w:rPr>
        <w:t>meetings.</w:t>
      </w:r>
    </w:p>
    <w:p>
      <w:pPr>
        <w:pStyle w:val="BodyText"/>
      </w:pPr>
    </w:p>
    <w:p>
      <w:pPr>
        <w:pStyle w:val="ListParagraph"/>
        <w:numPr>
          <w:ilvl w:val="1"/>
          <w:numId w:val="237"/>
        </w:numPr>
        <w:tabs>
          <w:tab w:pos="1287" w:val="left" w:leader="none"/>
          <w:tab w:pos="1288" w:val="left" w:leader="none"/>
        </w:tabs>
        <w:spacing w:line="235" w:lineRule="auto" w:before="0" w:after="0"/>
        <w:ind w:left="607" w:right="2071" w:firstLine="0"/>
        <w:jc w:val="left"/>
        <w:rPr>
          <w:sz w:val="20"/>
        </w:rPr>
      </w:pPr>
      <w:r>
        <w:rPr>
          <w:w w:val="120"/>
          <w:sz w:val="20"/>
        </w:rPr>
        <w:t>An issue has risen over the course of the committee’s work of URC ministers who are working for ecumenical or missionary bodies coming to the conclusion of    their fixed- term appointment. Sometimes the process of seeking a new ministry within the URC has taken longer than their existing employment allows. In these cases, their synod moderator has applied for stipend support to cover the interim period before they are able to resume ministry within the URC. These applications have been</w:t>
      </w:r>
      <w:r>
        <w:rPr>
          <w:spacing w:val="46"/>
          <w:w w:val="120"/>
          <w:sz w:val="20"/>
        </w:rPr>
        <w:t> </w:t>
      </w:r>
      <w:r>
        <w:rPr>
          <w:w w:val="120"/>
          <w:sz w:val="20"/>
        </w:rPr>
        <w:t>turned</w:t>
      </w:r>
    </w:p>
    <w:p>
      <w:pPr>
        <w:pStyle w:val="BodyText"/>
        <w:spacing w:line="235" w:lineRule="auto" w:before="4"/>
        <w:ind w:left="607" w:right="2007"/>
      </w:pPr>
      <w:r>
        <w:rPr>
          <w:w w:val="120"/>
        </w:rPr>
        <w:t>down as the committee is not authorised to offer stipend support to anyone not already on the Plan for Partnership. The committee is not altogether comfortable about this circumstance as it could lead to a situation where ministers are less likely to respond to God’s call to exercise ministry within the wider Christian family. However, there seems little we can do about it currently.</w:t>
      </w:r>
    </w:p>
    <w:p>
      <w:pPr>
        <w:pStyle w:val="BodyText"/>
      </w:pPr>
    </w:p>
    <w:p>
      <w:pPr>
        <w:pStyle w:val="ListParagraph"/>
        <w:numPr>
          <w:ilvl w:val="1"/>
          <w:numId w:val="237"/>
        </w:numPr>
        <w:tabs>
          <w:tab w:pos="1287" w:val="left" w:leader="none"/>
          <w:tab w:pos="1288" w:val="left" w:leader="none"/>
        </w:tabs>
        <w:spacing w:line="235" w:lineRule="auto" w:before="0" w:after="0"/>
        <w:ind w:left="607" w:right="2645" w:firstLine="0"/>
        <w:jc w:val="left"/>
        <w:rPr>
          <w:sz w:val="20"/>
        </w:rPr>
      </w:pPr>
      <w:r>
        <w:rPr>
          <w:w w:val="120"/>
          <w:sz w:val="20"/>
        </w:rPr>
        <w:t>In July </w:t>
      </w:r>
      <w:r>
        <w:rPr>
          <w:spacing w:val="-7"/>
          <w:w w:val="120"/>
          <w:sz w:val="20"/>
        </w:rPr>
        <w:t>2015 </w:t>
      </w:r>
      <w:r>
        <w:rPr>
          <w:w w:val="120"/>
          <w:sz w:val="20"/>
        </w:rPr>
        <w:t>we benefited from a half-day training course on the incapacity process, for which we thank the organisers, Keith Webster and Hartley</w:t>
      </w:r>
      <w:r>
        <w:rPr>
          <w:spacing w:val="33"/>
          <w:w w:val="120"/>
          <w:sz w:val="20"/>
        </w:rPr>
        <w:t> </w:t>
      </w:r>
      <w:r>
        <w:rPr>
          <w:w w:val="120"/>
          <w:sz w:val="20"/>
        </w:rPr>
        <w:t>Oldham.</w:t>
      </w:r>
    </w:p>
    <w:p>
      <w:pPr>
        <w:pStyle w:val="BodyText"/>
        <w:spacing w:before="9"/>
        <w:rPr>
          <w:sz w:val="19"/>
        </w:rPr>
      </w:pPr>
    </w:p>
    <w:p>
      <w:pPr>
        <w:pStyle w:val="ListParagraph"/>
        <w:numPr>
          <w:ilvl w:val="1"/>
          <w:numId w:val="237"/>
        </w:numPr>
        <w:tabs>
          <w:tab w:pos="1287" w:val="left" w:leader="none"/>
          <w:tab w:pos="1288" w:val="left" w:leader="none"/>
        </w:tabs>
        <w:spacing w:line="235" w:lineRule="auto" w:before="1" w:after="0"/>
        <w:ind w:left="607" w:right="2018" w:firstLine="0"/>
        <w:jc w:val="left"/>
        <w:rPr>
          <w:sz w:val="20"/>
        </w:rPr>
      </w:pPr>
      <w:r>
        <w:rPr>
          <w:w w:val="120"/>
          <w:sz w:val="20"/>
        </w:rPr>
        <w:t>The committee meets three times a year and present thinking is that to meet less frequently would be</w:t>
      </w:r>
      <w:r>
        <w:rPr>
          <w:spacing w:val="6"/>
          <w:w w:val="120"/>
          <w:sz w:val="20"/>
        </w:rPr>
        <w:t> </w:t>
      </w:r>
      <w:r>
        <w:rPr>
          <w:w w:val="120"/>
          <w:sz w:val="20"/>
        </w:rPr>
        <w:t>unhelpful.</w:t>
      </w:r>
    </w:p>
    <w:p>
      <w:pPr>
        <w:spacing w:after="0" w:line="235" w:lineRule="auto"/>
        <w:jc w:val="left"/>
        <w:rPr>
          <w:sz w:val="20"/>
        </w:rPr>
        <w:sectPr>
          <w:headerReference w:type="even" r:id="rId567"/>
          <w:footerReference w:type="even" r:id="rId568"/>
          <w:footerReference w:type="default" r:id="rId569"/>
          <w:pgSz w:w="11910" w:h="16840"/>
          <w:pgMar w:header="0" w:footer="647" w:top="0" w:bottom="840" w:left="640" w:right="0"/>
          <w:pgNumType w:start="216"/>
        </w:sectPr>
      </w:pPr>
    </w:p>
    <w:p>
      <w:pPr>
        <w:pStyle w:val="BodyText"/>
      </w:pPr>
    </w:p>
    <w:p>
      <w:pPr>
        <w:pStyle w:val="BodyText"/>
        <w:spacing w:before="7"/>
        <w:rPr>
          <w:sz w:val="21"/>
        </w:rPr>
      </w:pPr>
    </w:p>
    <w:p>
      <w:pPr>
        <w:spacing w:after="0"/>
        <w:rPr>
          <w:sz w:val="21"/>
        </w:rPr>
        <w:sectPr>
          <w:headerReference w:type="default" r:id="rId570"/>
          <w:pgSz w:w="11910" w:h="16840"/>
          <w:pgMar w:header="0" w:footer="647" w:top="0" w:bottom="840" w:left="640" w:right="0"/>
        </w:sectPr>
      </w:pPr>
    </w:p>
    <w:p>
      <w:pPr>
        <w:pStyle w:val="BodyText"/>
        <w:spacing w:before="4"/>
        <w:rPr>
          <w:sz w:val="52"/>
        </w:rPr>
      </w:pPr>
    </w:p>
    <w:p>
      <w:pPr>
        <w:spacing w:before="0"/>
        <w:ind w:left="1344" w:right="0" w:firstLine="0"/>
        <w:jc w:val="left"/>
        <w:rPr>
          <w:rFonts w:ascii="Stone Sans II ITC Std Bk"/>
          <w:b/>
          <w:sz w:val="29"/>
        </w:rPr>
      </w:pPr>
      <w:r>
        <w:rPr>
          <w:rFonts w:ascii="Stone Sans II ITC Std Bk"/>
          <w:b/>
          <w:w w:val="110"/>
          <w:sz w:val="29"/>
        </w:rPr>
        <w:t>Welfare grants</w:t>
      </w:r>
    </w:p>
    <w:p>
      <w:pPr>
        <w:pStyle w:val="Heading1"/>
        <w:ind w:left="1344"/>
      </w:pPr>
      <w:bookmarkStart w:name="_TOC_250002" w:id="25"/>
      <w:r>
        <w:rPr/>
        <w:br w:type="column"/>
      </w:r>
      <w:bookmarkEnd w:id="25"/>
      <w:r>
        <w:rPr>
          <w:color w:val="7EAABF"/>
          <w:w w:val="115"/>
        </w:rPr>
        <w:t>Pastoral reference and welfare</w:t>
      </w:r>
    </w:p>
    <w:p>
      <w:pPr>
        <w:spacing w:after="0"/>
        <w:sectPr>
          <w:type w:val="continuous"/>
          <w:pgSz w:w="11910" w:h="16840"/>
          <w:pgMar w:top="1580" w:bottom="280" w:left="640" w:right="0"/>
          <w:cols w:num="2" w:equalWidth="0">
            <w:col w:w="3741" w:space="1278"/>
            <w:col w:w="6251"/>
          </w:cols>
        </w:sectPr>
      </w:pPr>
    </w:p>
    <w:p>
      <w:pPr>
        <w:pStyle w:val="ListParagraph"/>
        <w:numPr>
          <w:ilvl w:val="1"/>
          <w:numId w:val="238"/>
        </w:numPr>
        <w:tabs>
          <w:tab w:pos="2024" w:val="left" w:leader="none"/>
          <w:tab w:pos="2025" w:val="left" w:leader="none"/>
        </w:tabs>
        <w:spacing w:line="235" w:lineRule="auto" w:before="69" w:after="0"/>
        <w:ind w:left="1344" w:right="1500" w:firstLine="0"/>
        <w:jc w:val="left"/>
        <w:rPr>
          <w:sz w:val="20"/>
        </w:rPr>
      </w:pPr>
      <w:r>
        <w:rPr/>
        <w:drawing>
          <wp:anchor distT="0" distB="0" distL="0" distR="0" allowOverlap="1" layoutInCell="1" locked="0" behindDoc="0" simplePos="0" relativeHeight="252235776">
            <wp:simplePos x="0" y="0"/>
            <wp:positionH relativeFrom="page">
              <wp:posOffset>6974928</wp:posOffset>
            </wp:positionH>
            <wp:positionV relativeFrom="page">
              <wp:posOffset>0</wp:posOffset>
            </wp:positionV>
            <wp:extent cx="585063" cy="10692003"/>
            <wp:effectExtent l="0" t="0" r="0" b="0"/>
            <wp:wrapNone/>
            <wp:docPr id="415" name="image54.png"/>
            <wp:cNvGraphicFramePr>
              <a:graphicFrameLocks noChangeAspect="1"/>
            </wp:cNvGraphicFramePr>
            <a:graphic>
              <a:graphicData uri="http://schemas.openxmlformats.org/drawingml/2006/picture">
                <pic:pic>
                  <pic:nvPicPr>
                    <pic:cNvPr id="416" name="image54.png"/>
                    <pic:cNvPicPr/>
                  </pic:nvPicPr>
                  <pic:blipFill>
                    <a:blip r:embed="rId169" cstate="print"/>
                    <a:stretch>
                      <a:fillRect/>
                    </a:stretch>
                  </pic:blipFill>
                  <pic:spPr>
                    <a:xfrm>
                      <a:off x="0" y="0"/>
                      <a:ext cx="585063" cy="10692003"/>
                    </a:xfrm>
                    <a:prstGeom prst="rect">
                      <a:avLst/>
                    </a:prstGeom>
                  </pic:spPr>
                </pic:pic>
              </a:graphicData>
            </a:graphic>
          </wp:anchor>
        </w:drawing>
      </w:r>
      <w:r>
        <w:rPr/>
        <w:pict>
          <v:shape style="position:absolute;margin-left:554.141174pt;margin-top:-28.931347pt;width:25.9pt;height:305.25pt;mso-position-horizontal-relative:page;mso-position-vertical-relative:paragraph;z-index:252236800" type="#_x0000_t202" filled="false" stroked="false">
            <v:textbox inset="0,0,0,0" style="layout-flow:vertical">
              <w:txbxContent>
                <w:p>
                  <w:pPr>
                    <w:spacing w:before="27"/>
                    <w:ind w:left="20" w:right="0" w:firstLine="0"/>
                    <w:jc w:val="left"/>
                    <w:rPr>
                      <w:sz w:val="39"/>
                    </w:rPr>
                  </w:pPr>
                  <w:r>
                    <w:rPr>
                      <w:color w:val="FFFFFF"/>
                      <w:w w:val="120"/>
                      <w:sz w:val="39"/>
                    </w:rPr>
                    <w:t>Pastoral reference and welfare</w:t>
                  </w:r>
                </w:p>
              </w:txbxContent>
            </v:textbox>
            <w10:wrap type="none"/>
          </v:shape>
        </w:pict>
      </w:r>
      <w:r>
        <w:rPr>
          <w:w w:val="120"/>
          <w:sz w:val="20"/>
        </w:rPr>
        <w:t>Each year a letter is sent to all ministers and CRCWs with their payslips, explaining the nature of these funds. New ministers and crcws receive that letter with their first payslip. There are dedicated educational and welfare funds and we make disbursements totalling in the region of £70,000 p.a. This exceeds the income from the dedicated welfare funds and the top up subventions from the </w:t>
      </w:r>
      <w:r>
        <w:rPr>
          <w:spacing w:val="-2"/>
          <w:w w:val="120"/>
          <w:sz w:val="20"/>
        </w:rPr>
        <w:t>M&amp;M </w:t>
      </w:r>
      <w:r>
        <w:rPr>
          <w:w w:val="120"/>
          <w:sz w:val="20"/>
        </w:rPr>
        <w:t>funds</w:t>
      </w:r>
      <w:r>
        <w:rPr>
          <w:spacing w:val="31"/>
          <w:w w:val="120"/>
          <w:sz w:val="20"/>
        </w:rPr>
        <w:t> </w:t>
      </w:r>
      <w:r>
        <w:rPr>
          <w:w w:val="120"/>
          <w:sz w:val="20"/>
        </w:rPr>
        <w:t>were</w:t>
      </w:r>
    </w:p>
    <w:p>
      <w:pPr>
        <w:pStyle w:val="BodyText"/>
        <w:ind w:left="1344"/>
      </w:pPr>
      <w:r>
        <w:rPr>
          <w:w w:val="125"/>
        </w:rPr>
        <w:t>£10,000 in 2014 and £15,000 in 2015.</w:t>
      </w:r>
    </w:p>
    <w:p>
      <w:pPr>
        <w:pStyle w:val="BodyText"/>
        <w:spacing w:before="7"/>
        <w:rPr>
          <w:sz w:val="19"/>
        </w:rPr>
      </w:pPr>
    </w:p>
    <w:p>
      <w:pPr>
        <w:pStyle w:val="ListParagraph"/>
        <w:numPr>
          <w:ilvl w:val="1"/>
          <w:numId w:val="238"/>
        </w:numPr>
        <w:tabs>
          <w:tab w:pos="2024" w:val="left" w:leader="none"/>
          <w:tab w:pos="2025" w:val="left" w:leader="none"/>
        </w:tabs>
        <w:spacing w:line="235" w:lineRule="auto" w:before="1" w:after="0"/>
        <w:ind w:left="1344" w:right="1653" w:firstLine="0"/>
        <w:jc w:val="left"/>
        <w:rPr>
          <w:sz w:val="20"/>
        </w:rPr>
      </w:pPr>
      <w:r>
        <w:rPr>
          <w:spacing w:val="3"/>
          <w:w w:val="120"/>
          <w:sz w:val="20"/>
        </w:rPr>
        <w:t>As </w:t>
      </w:r>
      <w:r>
        <w:rPr>
          <w:w w:val="120"/>
          <w:sz w:val="20"/>
        </w:rPr>
        <w:t>Andrew Grimwade the Chief Finance Officer is retiring this </w:t>
      </w:r>
      <w:r>
        <w:rPr>
          <w:spacing w:val="-4"/>
          <w:w w:val="120"/>
          <w:sz w:val="20"/>
        </w:rPr>
        <w:t>year, </w:t>
      </w:r>
      <w:r>
        <w:rPr>
          <w:w w:val="120"/>
          <w:sz w:val="20"/>
        </w:rPr>
        <w:t>we would like to express our thanks for his assistance to the committee over the</w:t>
      </w:r>
      <w:r>
        <w:rPr>
          <w:spacing w:val="-17"/>
          <w:w w:val="120"/>
          <w:sz w:val="20"/>
        </w:rPr>
        <w:t> </w:t>
      </w:r>
      <w:r>
        <w:rPr>
          <w:w w:val="120"/>
          <w:sz w:val="20"/>
        </w:rPr>
        <w:t>years.</w:t>
      </w:r>
    </w:p>
    <w:p>
      <w:pPr>
        <w:spacing w:after="0" w:line="235" w:lineRule="auto"/>
        <w:jc w:val="left"/>
        <w:rPr>
          <w:sz w:val="20"/>
        </w:rPr>
        <w:sectPr>
          <w:type w:val="continuous"/>
          <w:pgSz w:w="11910" w:h="16840"/>
          <w:pgMar w:top="1580" w:bottom="280" w:left="640" w:right="0"/>
        </w:sectPr>
      </w:pPr>
    </w:p>
    <w:p>
      <w:pPr>
        <w:pStyle w:val="BodyText"/>
      </w:pPr>
      <w:r>
        <w:rPr/>
        <w:pict>
          <v:line style="position:absolute;mso-position-horizontal-relative:page;mso-position-vertical-relative:page;z-index:252238848" from="595.276001pt,.000015pt" to="595.276001pt,841.890015pt" stroked="true" strokeweight="0pt" strokecolor="#d4e9f7">
            <v:stroke dashstyle="solid"/>
            <w10:wrap type="none"/>
          </v:line>
        </w:pict>
      </w:r>
      <w:r>
        <w:rPr/>
        <w:drawing>
          <wp:anchor distT="0" distB="0" distL="0" distR="0" allowOverlap="1" layoutInCell="1" locked="0" behindDoc="1" simplePos="0" relativeHeight="235786240">
            <wp:simplePos x="0" y="0"/>
            <wp:positionH relativeFrom="page">
              <wp:posOffset>0</wp:posOffset>
            </wp:positionH>
            <wp:positionV relativeFrom="page">
              <wp:posOffset>0</wp:posOffset>
            </wp:positionV>
            <wp:extent cx="594067" cy="10692003"/>
            <wp:effectExtent l="0" t="0" r="0" b="0"/>
            <wp:wrapNone/>
            <wp:docPr id="417" name="image67.png"/>
            <wp:cNvGraphicFramePr>
              <a:graphicFrameLocks noChangeAspect="1"/>
            </wp:cNvGraphicFramePr>
            <a:graphic>
              <a:graphicData uri="http://schemas.openxmlformats.org/drawingml/2006/picture">
                <pic:pic>
                  <pic:nvPicPr>
                    <pic:cNvPr id="418" name="image67.png"/>
                    <pic:cNvPicPr/>
                  </pic:nvPicPr>
                  <pic:blipFill>
                    <a:blip r:embed="rId184" cstate="print"/>
                    <a:stretch>
                      <a:fillRect/>
                    </a:stretch>
                  </pic:blipFill>
                  <pic:spPr>
                    <a:xfrm>
                      <a:off x="0" y="0"/>
                      <a:ext cx="594067" cy="10692003"/>
                    </a:xfrm>
                    <a:prstGeom prst="rect">
                      <a:avLst/>
                    </a:prstGeom>
                  </pic:spPr>
                </pic:pic>
              </a:graphicData>
            </a:graphic>
          </wp:anchor>
        </w:drawing>
      </w:r>
      <w:r>
        <w:rPr/>
        <w:pict>
          <v:shape style="position:absolute;margin-left:20.519100pt;margin-top:48.890015pt;width:25.9pt;height:402.9pt;mso-position-horizontal-relative:page;mso-position-vertical-relative:page;z-index:-267528192" type="#_x0000_t202" filled="false" stroked="false">
            <v:textbox inset="0,0,0,0" style="layout-flow:vertical">
              <w:txbxContent>
                <w:p>
                  <w:pPr>
                    <w:spacing w:before="27"/>
                    <w:ind w:left="20" w:right="0" w:firstLine="0"/>
                    <w:jc w:val="left"/>
                    <w:rPr>
                      <w:sz w:val="39"/>
                    </w:rPr>
                  </w:pPr>
                  <w:r>
                    <w:rPr>
                      <w:color w:val="FFFFFF"/>
                      <w:spacing w:val="9"/>
                      <w:w w:val="120"/>
                      <w:sz w:val="39"/>
                    </w:rPr>
                    <w:t>East, Thames </w:t>
                  </w:r>
                  <w:r>
                    <w:rPr>
                      <w:color w:val="FFFFFF"/>
                      <w:spacing w:val="12"/>
                      <w:w w:val="120"/>
                      <w:sz w:val="39"/>
                    </w:rPr>
                    <w:t>North </w:t>
                  </w:r>
                  <w:r>
                    <w:rPr>
                      <w:color w:val="FFFFFF"/>
                      <w:spacing w:val="7"/>
                      <w:w w:val="120"/>
                      <w:sz w:val="39"/>
                    </w:rPr>
                    <w:t>and </w:t>
                  </w:r>
                  <w:r>
                    <w:rPr>
                      <w:color w:val="FFFFFF"/>
                      <w:spacing w:val="9"/>
                      <w:w w:val="120"/>
                      <w:sz w:val="39"/>
                    </w:rPr>
                    <w:t>Wessex</w:t>
                  </w:r>
                  <w:r>
                    <w:rPr>
                      <w:color w:val="FFFFFF"/>
                      <w:spacing w:val="122"/>
                      <w:w w:val="120"/>
                      <w:sz w:val="39"/>
                    </w:rPr>
                    <w:t> </w:t>
                  </w:r>
                  <w:r>
                    <w:rPr>
                      <w:color w:val="FFFFFF"/>
                      <w:spacing w:val="10"/>
                      <w:w w:val="120"/>
                      <w:sz w:val="39"/>
                    </w:rPr>
                    <w:t>Synods</w:t>
                  </w:r>
                </w:p>
              </w:txbxContent>
            </v:textbox>
            <w10:wrap type="none"/>
          </v:shape>
        </w:pict>
      </w:r>
    </w:p>
    <w:p>
      <w:pPr>
        <w:pStyle w:val="BodyText"/>
      </w:pPr>
    </w:p>
    <w:p>
      <w:pPr>
        <w:pStyle w:val="BodyText"/>
      </w:pPr>
    </w:p>
    <w:p>
      <w:pPr>
        <w:pStyle w:val="BodyText"/>
        <w:spacing w:before="5"/>
        <w:rPr>
          <w:sz w:val="28"/>
        </w:rPr>
      </w:pPr>
    </w:p>
    <w:p>
      <w:pPr>
        <w:spacing w:line="213" w:lineRule="auto" w:before="153"/>
        <w:ind w:left="607" w:right="3138" w:firstLine="0"/>
        <w:jc w:val="left"/>
        <w:rPr>
          <w:rFonts w:ascii="Stone Sans II ITC Std X Bd"/>
          <w:b/>
          <w:sz w:val="50"/>
        </w:rPr>
      </w:pPr>
      <w:bookmarkStart w:name="_TOC_250001" w:id="26"/>
      <w:bookmarkEnd w:id="26"/>
      <w:r>
        <w:rPr>
          <w:rFonts w:ascii="Stone Sans II ITC Std X Bd"/>
          <w:b/>
          <w:color w:val="0090D4"/>
          <w:w w:val="110"/>
          <w:sz w:val="50"/>
        </w:rPr>
        <w:t>Eastern, Thames North and Wessex Synods:</w:t>
      </w:r>
    </w:p>
    <w:p>
      <w:pPr>
        <w:spacing w:line="617" w:lineRule="exact" w:before="0"/>
        <w:ind w:left="607" w:right="0" w:firstLine="0"/>
        <w:jc w:val="left"/>
        <w:rPr>
          <w:rFonts w:ascii="Stone Sans II ITC Std X Bd"/>
          <w:b/>
          <w:sz w:val="50"/>
        </w:rPr>
      </w:pPr>
      <w:r>
        <w:rPr>
          <w:rFonts w:ascii="Stone Sans II ITC Std X Bd"/>
          <w:b/>
          <w:w w:val="110"/>
          <w:sz w:val="50"/>
        </w:rPr>
        <w:t>The Palestinian situation</w:t>
      </w:r>
    </w:p>
    <w:p>
      <w:pPr>
        <w:pStyle w:val="Heading4"/>
        <w:spacing w:before="308"/>
      </w:pPr>
      <w:r>
        <w:rPr/>
        <w:pict>
          <v:shape style="position:absolute;margin-left:62.612003pt;margin-top:31.829885pt;width:462.1pt;height:480.75pt;mso-position-horizontal-relative:page;mso-position-vertical-relative:paragraph;z-index:-267529216" coordorigin="1252,637" coordsize="9242,9615" path="m10494,637l3912,637,1252,637,1252,10251,3912,10251,10494,10251,10494,637e" filled="true" fillcolor="#ffffff" stroked="false">
            <v:path arrowok="t"/>
            <v:fill type="solid"/>
            <w10:wrap type="none"/>
          </v:shape>
        </w:pict>
      </w:r>
      <w:r>
        <w:rPr>
          <w:color w:val="7F7F7F"/>
        </w:rPr>
        <w:t>Basic Information</w:t>
      </w:r>
    </w:p>
    <w:tbl>
      <w:tblPr>
        <w:tblW w:w="0" w:type="auto"/>
        <w:jc w:val="left"/>
        <w:tblInd w:w="6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660"/>
        <w:gridCol w:w="6582"/>
      </w:tblGrid>
      <w:tr>
        <w:trPr>
          <w:trHeight w:val="920" w:hRule="atLeast"/>
        </w:trPr>
        <w:tc>
          <w:tcPr>
            <w:tcW w:w="2660" w:type="dxa"/>
          </w:tcPr>
          <w:p>
            <w:pPr>
              <w:pStyle w:val="TableParagraph"/>
              <w:spacing w:line="213" w:lineRule="auto" w:before="151"/>
              <w:ind w:right="595"/>
              <w:rPr>
                <w:rFonts w:ascii="Stone Sans II ITC Std Bk"/>
                <w:b/>
                <w:sz w:val="20"/>
              </w:rPr>
            </w:pPr>
            <w:r>
              <w:rPr>
                <w:rFonts w:ascii="Stone Sans II ITC Std Bk"/>
                <w:b/>
                <w:w w:val="110"/>
                <w:sz w:val="20"/>
              </w:rPr>
              <w:t>Contact name and email address</w:t>
            </w:r>
          </w:p>
        </w:tc>
        <w:tc>
          <w:tcPr>
            <w:tcW w:w="6582" w:type="dxa"/>
          </w:tcPr>
          <w:p>
            <w:pPr>
              <w:pStyle w:val="TableParagraph"/>
              <w:spacing w:line="235" w:lineRule="auto" w:before="145"/>
              <w:ind w:right="384"/>
              <w:rPr>
                <w:sz w:val="20"/>
              </w:rPr>
            </w:pPr>
            <w:r>
              <w:rPr>
                <w:w w:val="120"/>
                <w:sz w:val="20"/>
              </w:rPr>
              <w:t>Eastern, the Revd Paul Whittle: </w:t>
            </w:r>
            <w:hyperlink r:id="rId574">
              <w:r>
                <w:rPr>
                  <w:color w:val="006AB3"/>
                  <w:w w:val="120"/>
                  <w:sz w:val="20"/>
                </w:rPr>
                <w:t>moderator@urceastern.org.uk</w:t>
              </w:r>
            </w:hyperlink>
            <w:r>
              <w:rPr>
                <w:color w:val="006AB3"/>
                <w:w w:val="120"/>
                <w:sz w:val="20"/>
              </w:rPr>
              <w:t> </w:t>
            </w:r>
            <w:r>
              <w:rPr>
                <w:w w:val="120"/>
                <w:sz w:val="20"/>
              </w:rPr>
              <w:t>Thames North, the Revd Jane Weedon: </w:t>
            </w:r>
            <w:hyperlink r:id="rId575">
              <w:r>
                <w:rPr>
                  <w:color w:val="006AB3"/>
                  <w:w w:val="120"/>
                  <w:sz w:val="20"/>
                </w:rPr>
                <w:t>jane@urcwgc.org.uk</w:t>
              </w:r>
            </w:hyperlink>
            <w:r>
              <w:rPr>
                <w:color w:val="006AB3"/>
                <w:w w:val="120"/>
                <w:sz w:val="20"/>
              </w:rPr>
              <w:t> </w:t>
            </w:r>
            <w:r>
              <w:rPr>
                <w:w w:val="120"/>
                <w:sz w:val="20"/>
              </w:rPr>
              <w:t>Wessex, the Revd Nigel Appleton: </w:t>
            </w:r>
            <w:hyperlink r:id="rId576">
              <w:r>
                <w:rPr>
                  <w:color w:val="006AB3"/>
                  <w:w w:val="120"/>
                  <w:sz w:val="20"/>
                </w:rPr>
                <w:t>appletonn@aol.com</w:t>
              </w:r>
            </w:hyperlink>
          </w:p>
        </w:tc>
      </w:tr>
      <w:tr>
        <w:trPr>
          <w:trHeight w:val="440" w:hRule="atLeast"/>
        </w:trPr>
        <w:tc>
          <w:tcPr>
            <w:tcW w:w="2660" w:type="dxa"/>
          </w:tcPr>
          <w:p>
            <w:pPr>
              <w:pStyle w:val="TableParagraph"/>
              <w:spacing w:before="128"/>
              <w:rPr>
                <w:rFonts w:ascii="Stone Sans II ITC Std Bk"/>
                <w:b/>
                <w:sz w:val="20"/>
              </w:rPr>
            </w:pPr>
            <w:r>
              <w:rPr>
                <w:rFonts w:ascii="Stone Sans II ITC Std Bk"/>
                <w:b/>
                <w:w w:val="110"/>
                <w:sz w:val="20"/>
              </w:rPr>
              <w:t>Action required</w:t>
            </w:r>
          </w:p>
        </w:tc>
        <w:tc>
          <w:tcPr>
            <w:tcW w:w="6582" w:type="dxa"/>
          </w:tcPr>
          <w:p>
            <w:pPr>
              <w:pStyle w:val="TableParagraph"/>
              <w:spacing w:before="141"/>
              <w:rPr>
                <w:sz w:val="20"/>
              </w:rPr>
            </w:pPr>
            <w:r>
              <w:rPr>
                <w:w w:val="120"/>
                <w:sz w:val="20"/>
              </w:rPr>
              <w:t>Decision</w:t>
            </w:r>
          </w:p>
        </w:tc>
      </w:tr>
      <w:tr>
        <w:trPr>
          <w:trHeight w:val="8224" w:hRule="atLeast"/>
        </w:trPr>
        <w:tc>
          <w:tcPr>
            <w:tcW w:w="2660" w:type="dxa"/>
          </w:tcPr>
          <w:p>
            <w:pPr>
              <w:pStyle w:val="TableParagraph"/>
              <w:spacing w:before="128"/>
              <w:rPr>
                <w:rFonts w:ascii="Stone Sans II ITC Std Bk"/>
                <w:b/>
                <w:sz w:val="20"/>
              </w:rPr>
            </w:pPr>
            <w:r>
              <w:rPr>
                <w:rFonts w:ascii="Stone Sans II ITC Std Bk"/>
                <w:b/>
                <w:w w:val="110"/>
                <w:sz w:val="20"/>
              </w:rPr>
              <w:t>Draft resolution(s)</w:t>
            </w:r>
          </w:p>
        </w:tc>
        <w:tc>
          <w:tcPr>
            <w:tcW w:w="6582" w:type="dxa"/>
          </w:tcPr>
          <w:p>
            <w:pPr>
              <w:pStyle w:val="TableParagraph"/>
              <w:spacing w:before="139"/>
              <w:rPr>
                <w:rFonts w:ascii="Stone Sans II ITC Std Bk"/>
                <w:b/>
                <w:sz w:val="25"/>
              </w:rPr>
            </w:pPr>
            <w:r>
              <w:rPr>
                <w:rFonts w:ascii="Stone Sans II ITC Std Bk"/>
                <w:b/>
                <w:w w:val="110"/>
                <w:sz w:val="25"/>
              </w:rPr>
              <w:t>Eastern Synod</w:t>
            </w:r>
          </w:p>
          <w:p>
            <w:pPr>
              <w:pStyle w:val="TableParagraph"/>
              <w:spacing w:line="255" w:lineRule="exact" w:before="66"/>
              <w:rPr>
                <w:rFonts w:ascii="Stone Sans II ITC Std Bk"/>
                <w:b/>
                <w:sz w:val="20"/>
              </w:rPr>
            </w:pPr>
            <w:r>
              <w:rPr>
                <w:rFonts w:ascii="Stone Sans II ITC Std Bk"/>
                <w:b/>
                <w:w w:val="110"/>
                <w:sz w:val="20"/>
              </w:rPr>
              <w:t>37A. General Assembly resolves to:</w:t>
            </w:r>
          </w:p>
          <w:p>
            <w:pPr>
              <w:pStyle w:val="TableParagraph"/>
              <w:numPr>
                <w:ilvl w:val="0"/>
                <w:numId w:val="239"/>
              </w:numPr>
              <w:tabs>
                <w:tab w:pos="760" w:val="left" w:leader="none"/>
                <w:tab w:pos="761" w:val="left" w:leader="none"/>
              </w:tabs>
              <w:spacing w:line="213" w:lineRule="auto" w:before="7" w:after="0"/>
              <w:ind w:left="760" w:right="340" w:hanging="681"/>
              <w:jc w:val="left"/>
              <w:rPr>
                <w:rFonts w:ascii="Stone Sans II ITC Std Bk" w:hAnsi="Stone Sans II ITC Std Bk"/>
                <w:b/>
                <w:sz w:val="20"/>
              </w:rPr>
            </w:pPr>
            <w:r>
              <w:rPr>
                <w:rFonts w:ascii="Stone Sans II ITC Std Bk" w:hAnsi="Stone Sans II ITC Std Bk"/>
                <w:b/>
                <w:w w:val="110"/>
                <w:sz w:val="20"/>
              </w:rPr>
              <w:t>commend the Church of Scotland Report ‘The Inheritance of Abraham’ (revised version) for</w:t>
            </w:r>
            <w:r>
              <w:rPr>
                <w:rFonts w:ascii="Stone Sans II ITC Std Bk" w:hAnsi="Stone Sans II ITC Std Bk"/>
                <w:b/>
                <w:spacing w:val="-23"/>
                <w:w w:val="110"/>
                <w:sz w:val="20"/>
              </w:rPr>
              <w:t> </w:t>
            </w:r>
            <w:r>
              <w:rPr>
                <w:rFonts w:ascii="Stone Sans II ITC Std Bk" w:hAnsi="Stone Sans II ITC Std Bk"/>
                <w:b/>
                <w:w w:val="110"/>
                <w:sz w:val="20"/>
              </w:rPr>
              <w:t>study by United Reformed</w:t>
            </w:r>
            <w:r>
              <w:rPr>
                <w:rFonts w:ascii="Stone Sans II ITC Std Bk" w:hAnsi="Stone Sans II ITC Std Bk"/>
                <w:b/>
                <w:spacing w:val="-1"/>
                <w:w w:val="110"/>
                <w:sz w:val="20"/>
              </w:rPr>
              <w:t> </w:t>
            </w:r>
            <w:r>
              <w:rPr>
                <w:rFonts w:ascii="Stone Sans II ITC Std Bk" w:hAnsi="Stone Sans II ITC Std Bk"/>
                <w:b/>
                <w:w w:val="110"/>
                <w:sz w:val="20"/>
              </w:rPr>
              <w:t>churches;</w:t>
            </w:r>
          </w:p>
          <w:p>
            <w:pPr>
              <w:pStyle w:val="TableParagraph"/>
              <w:numPr>
                <w:ilvl w:val="0"/>
                <w:numId w:val="239"/>
              </w:numPr>
              <w:tabs>
                <w:tab w:pos="760" w:val="left" w:leader="none"/>
                <w:tab w:pos="761" w:val="left" w:leader="none"/>
              </w:tabs>
              <w:spacing w:line="213" w:lineRule="auto" w:before="0" w:after="0"/>
              <w:ind w:left="760" w:right="556" w:hanging="681"/>
              <w:jc w:val="left"/>
              <w:rPr>
                <w:rFonts w:ascii="Stone Sans II ITC Std Bk" w:hAnsi="Stone Sans II ITC Std Bk"/>
                <w:b/>
                <w:sz w:val="20"/>
              </w:rPr>
            </w:pPr>
            <w:r>
              <w:rPr>
                <w:rFonts w:ascii="Stone Sans II ITC Std Bk" w:hAnsi="Stone Sans II ITC Std Bk"/>
                <w:b/>
                <w:w w:val="110"/>
                <w:sz w:val="20"/>
              </w:rPr>
              <w:t>endorse the conclusion of ‘The Inheritance of Abraham’ and reject claims that scripture offers any peoples a privileged claim for possession of a particular territory;</w:t>
            </w:r>
          </w:p>
          <w:p>
            <w:pPr>
              <w:pStyle w:val="TableParagraph"/>
              <w:numPr>
                <w:ilvl w:val="0"/>
                <w:numId w:val="239"/>
              </w:numPr>
              <w:tabs>
                <w:tab w:pos="760" w:val="left" w:leader="none"/>
                <w:tab w:pos="761" w:val="left" w:leader="none"/>
              </w:tabs>
              <w:spacing w:line="213" w:lineRule="auto" w:before="0" w:after="0"/>
              <w:ind w:left="760" w:right="154" w:hanging="681"/>
              <w:jc w:val="left"/>
              <w:rPr>
                <w:rFonts w:ascii="Stone Sans II ITC Std Bk" w:hAnsi="Stone Sans II ITC Std Bk"/>
                <w:b/>
                <w:sz w:val="20"/>
              </w:rPr>
            </w:pPr>
            <w:r>
              <w:rPr>
                <w:rFonts w:ascii="Stone Sans II ITC Std Bk" w:hAnsi="Stone Sans II ITC Std Bk"/>
                <w:b/>
                <w:w w:val="110"/>
                <w:sz w:val="20"/>
              </w:rPr>
              <w:t>commend </w:t>
            </w:r>
            <w:r>
              <w:rPr>
                <w:rFonts w:ascii="Stone Sans II ITC Std Bk" w:hAnsi="Stone Sans II ITC Std Bk"/>
                <w:b/>
                <w:spacing w:val="-8"/>
                <w:w w:val="110"/>
                <w:sz w:val="20"/>
              </w:rPr>
              <w:t>‘A </w:t>
            </w:r>
            <w:r>
              <w:rPr>
                <w:rFonts w:ascii="Stone Sans II ITC Std Bk" w:hAnsi="Stone Sans II ITC Std Bk"/>
                <w:b/>
                <w:w w:val="110"/>
                <w:sz w:val="20"/>
              </w:rPr>
              <w:t>Moment of Truth, a word of faith, hope, and love from the heart of Palestinian suffering, Kairos Palestine 2009’ for study by United Reformed churches and encourage the formation of Kairos communities, either within individual congregations or</w:t>
            </w:r>
            <w:r>
              <w:rPr>
                <w:rFonts w:ascii="Stone Sans II ITC Std Bk" w:hAnsi="Stone Sans II ITC Std Bk"/>
                <w:b/>
                <w:spacing w:val="-1"/>
                <w:w w:val="110"/>
                <w:sz w:val="20"/>
              </w:rPr>
              <w:t> </w:t>
            </w:r>
            <w:r>
              <w:rPr>
                <w:rFonts w:ascii="Stone Sans II ITC Std Bk" w:hAnsi="Stone Sans II ITC Std Bk"/>
                <w:b/>
                <w:w w:val="110"/>
                <w:sz w:val="20"/>
              </w:rPr>
              <w:t>ecumenically;</w:t>
            </w:r>
          </w:p>
          <w:p>
            <w:pPr>
              <w:pStyle w:val="TableParagraph"/>
              <w:numPr>
                <w:ilvl w:val="0"/>
                <w:numId w:val="239"/>
              </w:numPr>
              <w:tabs>
                <w:tab w:pos="760" w:val="left" w:leader="none"/>
                <w:tab w:pos="761" w:val="left" w:leader="none"/>
              </w:tabs>
              <w:spacing w:line="213" w:lineRule="auto" w:before="0" w:after="0"/>
              <w:ind w:left="760" w:right="476" w:hanging="681"/>
              <w:jc w:val="left"/>
              <w:rPr>
                <w:rFonts w:ascii="Stone Sans II ITC Std Bk"/>
                <w:b/>
                <w:sz w:val="20"/>
              </w:rPr>
            </w:pPr>
            <w:r>
              <w:rPr>
                <w:rFonts w:ascii="Stone Sans II ITC Std Bk"/>
                <w:b/>
                <w:w w:val="110"/>
                <w:sz w:val="20"/>
              </w:rPr>
              <w:t>urge the UK government and the European Union to do all that is within their power to ensure that human rights are respected and international law is upheld in Israel and the Occupied Palestinian Territories;</w:t>
            </w:r>
          </w:p>
          <w:p>
            <w:pPr>
              <w:pStyle w:val="TableParagraph"/>
              <w:numPr>
                <w:ilvl w:val="0"/>
                <w:numId w:val="239"/>
              </w:numPr>
              <w:tabs>
                <w:tab w:pos="760" w:val="left" w:leader="none"/>
                <w:tab w:pos="761" w:val="left" w:leader="none"/>
              </w:tabs>
              <w:spacing w:line="213" w:lineRule="auto" w:before="0" w:after="0"/>
              <w:ind w:left="760" w:right="211" w:hanging="681"/>
              <w:jc w:val="left"/>
              <w:rPr>
                <w:rFonts w:ascii="Stone Sans II ITC Std Bk"/>
                <w:b/>
                <w:sz w:val="20"/>
              </w:rPr>
            </w:pPr>
            <w:r>
              <w:rPr>
                <w:rFonts w:ascii="Stone Sans II ITC Std Bk"/>
                <w:b/>
                <w:w w:val="110"/>
                <w:sz w:val="20"/>
              </w:rPr>
              <w:t>urge the UK Government and the European Union to exert, through sanctions or other effective means that address the inequality of power between the parties, international pressure on Israel to end the occupation of Palestinian territory and the blockade of Gaza and allow a just peace to be achieved.</w:t>
            </w:r>
          </w:p>
          <w:p>
            <w:pPr>
              <w:pStyle w:val="TableParagraph"/>
              <w:spacing w:before="1"/>
              <w:ind w:left="0"/>
              <w:rPr>
                <w:rFonts w:ascii="Stone Sans II ITC Std Bk"/>
                <w:b/>
                <w:sz w:val="33"/>
              </w:rPr>
            </w:pPr>
          </w:p>
          <w:p>
            <w:pPr>
              <w:pStyle w:val="TableParagraph"/>
              <w:spacing w:before="1"/>
              <w:rPr>
                <w:rFonts w:ascii="Stone Sans II ITC Std Bk"/>
                <w:b/>
                <w:sz w:val="25"/>
              </w:rPr>
            </w:pPr>
            <w:r>
              <w:rPr>
                <w:rFonts w:ascii="Stone Sans II ITC Std Bk"/>
                <w:b/>
                <w:w w:val="110"/>
                <w:sz w:val="25"/>
              </w:rPr>
              <w:t>Thames North Synod</w:t>
            </w:r>
          </w:p>
          <w:p>
            <w:pPr>
              <w:pStyle w:val="TableParagraph"/>
              <w:spacing w:line="213" w:lineRule="auto" w:before="88"/>
              <w:rPr>
                <w:rFonts w:ascii="Stone Sans II ITC Std Bk"/>
                <w:b/>
                <w:sz w:val="20"/>
              </w:rPr>
            </w:pPr>
            <w:r>
              <w:rPr>
                <w:rFonts w:ascii="Stone Sans II ITC Std Bk"/>
                <w:b/>
                <w:w w:val="110"/>
                <w:sz w:val="20"/>
              </w:rPr>
              <w:t>37B. This is identical to paragraphs c), d) and e) of the Eastern Synod resolution.</w:t>
            </w:r>
          </w:p>
        </w:tc>
      </w:tr>
    </w:tbl>
    <w:p>
      <w:pPr>
        <w:pStyle w:val="BodyText"/>
        <w:spacing w:before="6"/>
        <w:rPr>
          <w:rFonts w:ascii="Stone Sans II ITC Std Bk"/>
          <w:b/>
          <w:sz w:val="12"/>
        </w:rPr>
      </w:pPr>
      <w:r>
        <w:rPr/>
        <w:pict>
          <v:shape style="position:absolute;margin-left:62.362pt;margin-top:13.597913pt;width:462.05pt;height:.1pt;mso-position-horizontal-relative:page;mso-position-vertical-relative:paragraph;z-index:-251078656;mso-wrap-distance-left:0;mso-wrap-distance-right:0" coordorigin="1247,272" coordsize="9241,0" path="m1247,272l10488,272e" filled="false" stroked="true" strokeweight="6.375pt" strokecolor="#ffffff">
            <v:path arrowok="t"/>
            <v:stroke dashstyle="solid"/>
            <w10:wrap type="topAndBottom"/>
          </v:shape>
        </w:pict>
      </w:r>
    </w:p>
    <w:p>
      <w:pPr>
        <w:spacing w:after="0"/>
        <w:rPr>
          <w:rFonts w:ascii="Stone Sans II ITC Std Bk"/>
          <w:sz w:val="12"/>
        </w:rPr>
        <w:sectPr>
          <w:headerReference w:type="even" r:id="rId571"/>
          <w:footerReference w:type="even" r:id="rId572"/>
          <w:footerReference w:type="default" r:id="rId573"/>
          <w:pgSz w:w="11910" w:h="16840"/>
          <w:pgMar w:header="0" w:footer="647" w:top="0" w:bottom="840" w:left="640" w:right="0"/>
          <w:pgNumType w:start="218"/>
        </w:sectPr>
      </w:pPr>
    </w:p>
    <w:tbl>
      <w:tblPr>
        <w:tblW w:w="0" w:type="auto"/>
        <w:jc w:val="left"/>
        <w:tblInd w:w="109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660"/>
        <w:gridCol w:w="6582"/>
      </w:tblGrid>
      <w:tr>
        <w:trPr>
          <w:trHeight w:val="4694" w:hRule="atLeast"/>
        </w:trPr>
        <w:tc>
          <w:tcPr>
            <w:tcW w:w="2660" w:type="dxa"/>
            <w:tcBorders>
              <w:top w:val="nil"/>
            </w:tcBorders>
          </w:tcPr>
          <w:p>
            <w:pPr>
              <w:pStyle w:val="TableParagraph"/>
              <w:ind w:left="0"/>
              <w:rPr>
                <w:rFonts w:ascii="Times New Roman"/>
                <w:sz w:val="22"/>
              </w:rPr>
            </w:pPr>
          </w:p>
        </w:tc>
        <w:tc>
          <w:tcPr>
            <w:tcW w:w="6582" w:type="dxa"/>
            <w:tcBorders>
              <w:top w:val="nil"/>
            </w:tcBorders>
          </w:tcPr>
          <w:p>
            <w:pPr>
              <w:pStyle w:val="TableParagraph"/>
              <w:spacing w:before="139"/>
              <w:rPr>
                <w:rFonts w:ascii="Stone Sans II ITC Std Bk"/>
                <w:b/>
                <w:sz w:val="25"/>
              </w:rPr>
            </w:pPr>
            <w:r>
              <w:rPr>
                <w:rFonts w:ascii="Stone Sans II ITC Std Bk"/>
                <w:b/>
                <w:w w:val="110"/>
                <w:sz w:val="25"/>
              </w:rPr>
              <w:t>Wessex Synod</w:t>
            </w:r>
          </w:p>
          <w:p>
            <w:pPr>
              <w:pStyle w:val="TableParagraph"/>
              <w:spacing w:line="255" w:lineRule="exact" w:before="66"/>
              <w:rPr>
                <w:rFonts w:ascii="Stone Sans II ITC Std Bk"/>
                <w:b/>
                <w:sz w:val="20"/>
              </w:rPr>
            </w:pPr>
            <w:r>
              <w:rPr>
                <w:rFonts w:ascii="Stone Sans II ITC Std Bk"/>
                <w:b/>
                <w:w w:val="110"/>
                <w:sz w:val="20"/>
              </w:rPr>
              <w:t>37C. General Assembly resolves to:</w:t>
            </w:r>
          </w:p>
          <w:p>
            <w:pPr>
              <w:pStyle w:val="TableParagraph"/>
              <w:numPr>
                <w:ilvl w:val="0"/>
                <w:numId w:val="240"/>
              </w:numPr>
              <w:tabs>
                <w:tab w:pos="760" w:val="left" w:leader="none"/>
                <w:tab w:pos="761" w:val="left" w:leader="none"/>
              </w:tabs>
              <w:spacing w:line="213" w:lineRule="auto" w:before="7" w:after="0"/>
              <w:ind w:left="760" w:right="590" w:hanging="681"/>
              <w:jc w:val="left"/>
              <w:rPr>
                <w:rFonts w:ascii="Stone Sans II ITC Std Bk" w:hAnsi="Stone Sans II ITC Std Bk"/>
                <w:b/>
                <w:sz w:val="20"/>
              </w:rPr>
            </w:pPr>
            <w:r>
              <w:rPr>
                <w:rFonts w:ascii="Stone Sans II ITC Std Bk" w:hAnsi="Stone Sans II ITC Std Bk"/>
                <w:b/>
                <w:w w:val="110"/>
                <w:sz w:val="20"/>
              </w:rPr>
              <w:t>commend the Church of Scotland Report ‘The Inheritance of Abraham’ (revised version) and </w:t>
            </w:r>
            <w:r>
              <w:rPr>
                <w:rFonts w:ascii="Stone Sans II ITC Std Bk" w:hAnsi="Stone Sans II ITC Std Bk"/>
                <w:b/>
                <w:spacing w:val="-8"/>
                <w:w w:val="110"/>
                <w:sz w:val="20"/>
              </w:rPr>
              <w:t>‘A </w:t>
            </w:r>
            <w:r>
              <w:rPr>
                <w:rFonts w:ascii="Stone Sans II ITC Std Bk" w:hAnsi="Stone Sans II ITC Std Bk"/>
                <w:b/>
                <w:w w:val="110"/>
                <w:sz w:val="20"/>
              </w:rPr>
              <w:t>Moment of Truth, a word of faith, hope, and love from the heart of Palestinian suffering, Kairos Palestine 2009’ for study by United Reformed churches and</w:t>
            </w:r>
            <w:r>
              <w:rPr>
                <w:rFonts w:ascii="Stone Sans II ITC Std Bk" w:hAnsi="Stone Sans II ITC Std Bk"/>
                <w:b/>
                <w:spacing w:val="-1"/>
                <w:w w:val="110"/>
                <w:sz w:val="20"/>
              </w:rPr>
              <w:t> </w:t>
            </w:r>
            <w:r>
              <w:rPr>
                <w:rFonts w:ascii="Stone Sans II ITC Std Bk" w:hAnsi="Stone Sans II ITC Std Bk"/>
                <w:b/>
                <w:w w:val="110"/>
                <w:sz w:val="20"/>
              </w:rPr>
              <w:t>synods.</w:t>
            </w:r>
          </w:p>
          <w:p>
            <w:pPr>
              <w:pStyle w:val="TableParagraph"/>
              <w:numPr>
                <w:ilvl w:val="0"/>
                <w:numId w:val="240"/>
              </w:numPr>
              <w:tabs>
                <w:tab w:pos="760" w:val="left" w:leader="none"/>
                <w:tab w:pos="761" w:val="left" w:leader="none"/>
              </w:tabs>
              <w:spacing w:line="213" w:lineRule="auto" w:before="0" w:after="0"/>
              <w:ind w:left="760" w:right="476" w:hanging="681"/>
              <w:jc w:val="left"/>
              <w:rPr>
                <w:rFonts w:ascii="Stone Sans II ITC Std Bk"/>
                <w:b/>
                <w:sz w:val="20"/>
              </w:rPr>
            </w:pPr>
            <w:r>
              <w:rPr>
                <w:rFonts w:ascii="Stone Sans II ITC Std Bk"/>
                <w:b/>
                <w:w w:val="110"/>
                <w:sz w:val="20"/>
              </w:rPr>
              <w:t>urge the UK government and the European Union to do all that is within their power to ensure that human rights are respected and international law is upheld by all parties in Israel and the Occupied Palestinian</w:t>
            </w:r>
            <w:r>
              <w:rPr>
                <w:rFonts w:ascii="Stone Sans II ITC Std Bk"/>
                <w:b/>
                <w:spacing w:val="-1"/>
                <w:w w:val="110"/>
                <w:sz w:val="20"/>
              </w:rPr>
              <w:t> </w:t>
            </w:r>
            <w:r>
              <w:rPr>
                <w:rFonts w:ascii="Stone Sans II ITC Std Bk"/>
                <w:b/>
                <w:w w:val="110"/>
                <w:sz w:val="20"/>
              </w:rPr>
              <w:t>Territories.</w:t>
            </w:r>
          </w:p>
          <w:p>
            <w:pPr>
              <w:pStyle w:val="TableParagraph"/>
              <w:numPr>
                <w:ilvl w:val="0"/>
                <w:numId w:val="240"/>
              </w:numPr>
              <w:tabs>
                <w:tab w:pos="760" w:val="left" w:leader="none"/>
                <w:tab w:pos="761" w:val="left" w:leader="none"/>
              </w:tabs>
              <w:spacing w:line="213" w:lineRule="auto" w:before="0" w:after="0"/>
              <w:ind w:left="760" w:right="219" w:hanging="681"/>
              <w:jc w:val="left"/>
              <w:rPr>
                <w:rFonts w:ascii="Stone Sans II ITC Std Bk"/>
                <w:b/>
                <w:sz w:val="20"/>
              </w:rPr>
            </w:pPr>
            <w:r>
              <w:rPr>
                <w:rFonts w:ascii="Stone Sans II ITC Std Bk"/>
                <w:b/>
                <w:w w:val="110"/>
                <w:sz w:val="20"/>
              </w:rPr>
              <w:t>develop and deepen our existing work around these issues so as to enable the United Reformed Church to adopt a programme of dialogue and action with partner churches, interfaith partners and public authorities.</w:t>
            </w:r>
          </w:p>
        </w:tc>
      </w:tr>
    </w:tbl>
    <w:p>
      <w:pPr>
        <w:pStyle w:val="BodyText"/>
        <w:spacing w:before="5"/>
        <w:rPr>
          <w:rFonts w:ascii="Stone Sans II ITC Std Bk"/>
          <w:b/>
          <w:sz w:val="22"/>
        </w:rPr>
      </w:pPr>
      <w:r>
        <w:rPr/>
        <w:pict>
          <v:group style="position:absolute;margin-left:86.707001pt;margin-top:.000015pt;width:508.6pt;height:841.9pt;mso-position-horizontal-relative:page;mso-position-vertical-relative:page;z-index:-267527168" coordorigin="1734,0" coordsize="10172,16838">
            <v:shape style="position:absolute;left:10984;top:0;width:922;height:16838" type="#_x0000_t75" stroked="false">
              <v:imagedata r:id="rId169" o:title=""/>
            </v:shape>
            <v:shape style="position:absolute;left:1734;top:1218;width:9242;height:4625" coordorigin="1734,1219" coordsize="9242,4625" path="m10976,1219l4394,1219,1734,1219,1734,5843,4394,5843,10976,5843,10976,1219e" filled="true" fillcolor="#ffffff" stroked="false">
              <v:path arrowok="t"/>
              <v:fill type="solid"/>
            </v:shape>
            <v:line style="position:absolute" from="1743,1155" to="10984,1155" stroked="true" strokeweight="6.375pt" strokecolor="#ffffff">
              <v:stroke dashstyle="solid"/>
            </v:line>
            <w10:wrap type="none"/>
          </v:group>
        </w:pict>
      </w:r>
    </w:p>
    <w:p>
      <w:pPr>
        <w:pStyle w:val="Heading4"/>
        <w:spacing w:before="94"/>
        <w:ind w:left="1089"/>
      </w:pPr>
      <w:r>
        <w:rPr/>
        <w:pict>
          <v:shape style="position:absolute;margin-left:86.707001pt;margin-top:21.12998pt;width:462.1pt;height:126.05pt;mso-position-horizontal-relative:page;mso-position-vertical-relative:paragraph;z-index:-267526144" coordorigin="1734,423" coordsize="9242,2521" path="m10976,423l4394,423,1734,423,1734,2943,4394,2943,10976,2943,10976,423e" filled="true" fillcolor="#ffffff" stroked="false">
            <v:path arrowok="t"/>
            <v:fill type="solid"/>
            <w10:wrap type="none"/>
          </v:shape>
        </w:pict>
      </w:r>
      <w:r>
        <w:rPr/>
        <w:pict>
          <v:shape style="position:absolute;margin-left:554.141174pt;margin-top:-258.640991pt;width:25.9pt;height:402.9pt;mso-position-horizontal-relative:page;mso-position-vertical-relative:paragraph;z-index:252246016" type="#_x0000_t202" filled="false" stroked="false">
            <v:textbox inset="0,0,0,0" style="layout-flow:vertical">
              <w:txbxContent>
                <w:p>
                  <w:pPr>
                    <w:spacing w:before="27"/>
                    <w:ind w:left="20" w:right="0" w:firstLine="0"/>
                    <w:jc w:val="left"/>
                    <w:rPr>
                      <w:sz w:val="39"/>
                    </w:rPr>
                  </w:pPr>
                  <w:r>
                    <w:rPr>
                      <w:color w:val="FFFFFF"/>
                      <w:spacing w:val="9"/>
                      <w:w w:val="120"/>
                      <w:sz w:val="39"/>
                    </w:rPr>
                    <w:t>East, Thames </w:t>
                  </w:r>
                  <w:r>
                    <w:rPr>
                      <w:color w:val="FFFFFF"/>
                      <w:spacing w:val="12"/>
                      <w:w w:val="120"/>
                      <w:sz w:val="39"/>
                    </w:rPr>
                    <w:t>North </w:t>
                  </w:r>
                  <w:r>
                    <w:rPr>
                      <w:color w:val="FFFFFF"/>
                      <w:spacing w:val="7"/>
                      <w:w w:val="120"/>
                      <w:sz w:val="39"/>
                    </w:rPr>
                    <w:t>and </w:t>
                  </w:r>
                  <w:r>
                    <w:rPr>
                      <w:color w:val="FFFFFF"/>
                      <w:spacing w:val="9"/>
                      <w:w w:val="120"/>
                      <w:sz w:val="39"/>
                    </w:rPr>
                    <w:t>Wessex</w:t>
                  </w:r>
                  <w:r>
                    <w:rPr>
                      <w:color w:val="FFFFFF"/>
                      <w:spacing w:val="122"/>
                      <w:w w:val="120"/>
                      <w:sz w:val="39"/>
                    </w:rPr>
                    <w:t> </w:t>
                  </w:r>
                  <w:r>
                    <w:rPr>
                      <w:color w:val="FFFFFF"/>
                      <w:spacing w:val="10"/>
                      <w:w w:val="120"/>
                      <w:sz w:val="39"/>
                    </w:rPr>
                    <w:t>Synods</w:t>
                  </w:r>
                </w:p>
              </w:txbxContent>
            </v:textbox>
            <w10:wrap type="none"/>
          </v:shape>
        </w:pict>
      </w:r>
      <w:r>
        <w:rPr>
          <w:color w:val="7F7F7F"/>
        </w:rPr>
        <w:t>Summary of Content</w:t>
      </w:r>
    </w:p>
    <w:tbl>
      <w:tblPr>
        <w:tblW w:w="0" w:type="auto"/>
        <w:jc w:val="left"/>
        <w:tblInd w:w="109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660"/>
        <w:gridCol w:w="6582"/>
      </w:tblGrid>
      <w:tr>
        <w:trPr>
          <w:trHeight w:val="680" w:hRule="atLeast"/>
        </w:trPr>
        <w:tc>
          <w:tcPr>
            <w:tcW w:w="2660" w:type="dxa"/>
          </w:tcPr>
          <w:p>
            <w:pPr>
              <w:pStyle w:val="TableParagraph"/>
              <w:spacing w:before="128"/>
              <w:rPr>
                <w:rFonts w:ascii="Stone Sans II ITC Std Bk"/>
                <w:b/>
                <w:sz w:val="20"/>
              </w:rPr>
            </w:pPr>
            <w:r>
              <w:rPr>
                <w:rFonts w:ascii="Stone Sans II ITC Std Bk"/>
                <w:b/>
                <w:w w:val="110"/>
                <w:sz w:val="20"/>
              </w:rPr>
              <w:t>Subject and aim(s)</w:t>
            </w:r>
          </w:p>
        </w:tc>
        <w:tc>
          <w:tcPr>
            <w:tcW w:w="6582" w:type="dxa"/>
          </w:tcPr>
          <w:p>
            <w:pPr>
              <w:pStyle w:val="TableParagraph"/>
              <w:spacing w:line="235" w:lineRule="auto" w:before="145"/>
              <w:ind w:right="804"/>
              <w:rPr>
                <w:sz w:val="20"/>
              </w:rPr>
            </w:pPr>
            <w:r>
              <w:rPr>
                <w:w w:val="120"/>
                <w:sz w:val="20"/>
              </w:rPr>
              <w:t>Concern for justice and reconciliation in Israel and the Palestinian territories. A call for study and for action</w:t>
            </w:r>
          </w:p>
        </w:tc>
      </w:tr>
      <w:tr>
        <w:trPr>
          <w:trHeight w:val="440" w:hRule="atLeast"/>
        </w:trPr>
        <w:tc>
          <w:tcPr>
            <w:tcW w:w="2660" w:type="dxa"/>
          </w:tcPr>
          <w:p>
            <w:pPr>
              <w:pStyle w:val="TableParagraph"/>
              <w:spacing w:before="128"/>
              <w:rPr>
                <w:rFonts w:ascii="Stone Sans II ITC Std Bk"/>
                <w:b/>
                <w:sz w:val="20"/>
              </w:rPr>
            </w:pPr>
            <w:r>
              <w:rPr>
                <w:rFonts w:ascii="Stone Sans II ITC Std Bk"/>
                <w:b/>
                <w:w w:val="110"/>
                <w:sz w:val="20"/>
              </w:rPr>
              <w:t>Main points</w:t>
            </w:r>
          </w:p>
        </w:tc>
        <w:tc>
          <w:tcPr>
            <w:tcW w:w="6582" w:type="dxa"/>
          </w:tcPr>
          <w:p>
            <w:pPr>
              <w:pStyle w:val="TableParagraph"/>
              <w:spacing w:before="141"/>
              <w:rPr>
                <w:sz w:val="20"/>
              </w:rPr>
            </w:pPr>
            <w:r>
              <w:rPr>
                <w:w w:val="115"/>
                <w:sz w:val="20"/>
              </w:rPr>
              <w:t>As resolutions</w:t>
            </w:r>
          </w:p>
        </w:tc>
      </w:tr>
      <w:tr>
        <w:trPr>
          <w:trHeight w:val="680" w:hRule="atLeast"/>
        </w:trPr>
        <w:tc>
          <w:tcPr>
            <w:tcW w:w="2660" w:type="dxa"/>
          </w:tcPr>
          <w:p>
            <w:pPr>
              <w:pStyle w:val="TableParagraph"/>
              <w:spacing w:line="213" w:lineRule="auto" w:before="151"/>
              <w:ind w:right="701"/>
              <w:rPr>
                <w:rFonts w:ascii="Stone Sans II ITC Std Bk"/>
                <w:b/>
                <w:sz w:val="20"/>
              </w:rPr>
            </w:pPr>
            <w:r>
              <w:rPr>
                <w:rFonts w:ascii="Stone Sans II ITC Std Bk"/>
                <w:b/>
                <w:w w:val="110"/>
                <w:sz w:val="20"/>
              </w:rPr>
              <w:t>Previous relevant documents</w:t>
            </w:r>
          </w:p>
        </w:tc>
        <w:tc>
          <w:tcPr>
            <w:tcW w:w="6582" w:type="dxa"/>
          </w:tcPr>
          <w:p>
            <w:pPr>
              <w:pStyle w:val="TableParagraph"/>
              <w:spacing w:before="141"/>
              <w:rPr>
                <w:sz w:val="20"/>
              </w:rPr>
            </w:pPr>
            <w:r>
              <w:rPr>
                <w:w w:val="120"/>
                <w:sz w:val="20"/>
              </w:rPr>
              <w:t>None</w:t>
            </w:r>
          </w:p>
        </w:tc>
      </w:tr>
      <w:tr>
        <w:trPr>
          <w:trHeight w:val="680" w:hRule="atLeast"/>
        </w:trPr>
        <w:tc>
          <w:tcPr>
            <w:tcW w:w="2660" w:type="dxa"/>
          </w:tcPr>
          <w:p>
            <w:pPr>
              <w:pStyle w:val="TableParagraph"/>
              <w:spacing w:line="213" w:lineRule="auto" w:before="151"/>
              <w:ind w:right="576"/>
              <w:rPr>
                <w:rFonts w:ascii="Stone Sans II ITC Std Bk"/>
                <w:b/>
                <w:sz w:val="20"/>
              </w:rPr>
            </w:pPr>
            <w:r>
              <w:rPr>
                <w:rFonts w:ascii="Stone Sans II ITC Std Bk"/>
                <w:b/>
                <w:w w:val="110"/>
                <w:sz w:val="20"/>
              </w:rPr>
              <w:t>Consultation has taken place with...</w:t>
            </w:r>
          </w:p>
        </w:tc>
        <w:tc>
          <w:tcPr>
            <w:tcW w:w="6582" w:type="dxa"/>
          </w:tcPr>
          <w:p>
            <w:pPr>
              <w:pStyle w:val="TableParagraph"/>
              <w:ind w:left="0"/>
              <w:rPr>
                <w:rFonts w:ascii="Times New Roman"/>
                <w:sz w:val="22"/>
              </w:rPr>
            </w:pPr>
          </w:p>
        </w:tc>
      </w:tr>
    </w:tbl>
    <w:p>
      <w:pPr>
        <w:pStyle w:val="BodyText"/>
        <w:spacing w:before="3"/>
        <w:rPr>
          <w:rFonts w:ascii="Stone Sans II ITC Std Bk"/>
          <w:b/>
          <w:sz w:val="29"/>
        </w:rPr>
      </w:pPr>
    </w:p>
    <w:p>
      <w:pPr>
        <w:pStyle w:val="Heading4"/>
        <w:ind w:left="1089"/>
      </w:pPr>
      <w:r>
        <w:rPr/>
        <w:pict>
          <v:shape style="position:absolute;margin-left:86.707001pt;margin-top:16.429583pt;width:462.1pt;height:69.05pt;mso-position-horizontal-relative:page;mso-position-vertical-relative:paragraph;z-index:-267525120" coordorigin="1734,329" coordsize="9242,1381" path="m10976,329l4394,329,1734,329,1734,1709,4394,1709,10976,1709,10976,329e" filled="true" fillcolor="#ffffff" stroked="false">
            <v:path arrowok="t"/>
            <v:fill type="solid"/>
            <w10:wrap type="none"/>
          </v:shape>
        </w:pict>
      </w:r>
      <w:r>
        <w:rPr>
          <w:color w:val="7F7F7F"/>
        </w:rPr>
        <w:t>Summary of Impact</w:t>
      </w:r>
    </w:p>
    <w:tbl>
      <w:tblPr>
        <w:tblW w:w="0" w:type="auto"/>
        <w:jc w:val="left"/>
        <w:tblInd w:w="109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660"/>
        <w:gridCol w:w="6582"/>
      </w:tblGrid>
      <w:tr>
        <w:trPr>
          <w:trHeight w:val="440" w:hRule="atLeast"/>
        </w:trPr>
        <w:tc>
          <w:tcPr>
            <w:tcW w:w="2660" w:type="dxa"/>
          </w:tcPr>
          <w:p>
            <w:pPr>
              <w:pStyle w:val="TableParagraph"/>
              <w:spacing w:before="128"/>
              <w:rPr>
                <w:rFonts w:ascii="Stone Sans II ITC Std Bk"/>
                <w:b/>
                <w:sz w:val="20"/>
              </w:rPr>
            </w:pPr>
            <w:r>
              <w:rPr>
                <w:rFonts w:ascii="Stone Sans II ITC Std Bk"/>
                <w:b/>
                <w:w w:val="110"/>
                <w:sz w:val="20"/>
              </w:rPr>
              <w:t>Financial</w:t>
            </w:r>
          </w:p>
        </w:tc>
        <w:tc>
          <w:tcPr>
            <w:tcW w:w="6582" w:type="dxa"/>
          </w:tcPr>
          <w:p>
            <w:pPr>
              <w:pStyle w:val="TableParagraph"/>
              <w:spacing w:before="141"/>
              <w:rPr>
                <w:sz w:val="20"/>
              </w:rPr>
            </w:pPr>
            <w:r>
              <w:rPr>
                <w:w w:val="120"/>
                <w:sz w:val="20"/>
              </w:rPr>
              <w:t>None in relation to the central budget of the Church</w:t>
            </w:r>
          </w:p>
        </w:tc>
      </w:tr>
      <w:tr>
        <w:trPr>
          <w:trHeight w:val="920" w:hRule="atLeast"/>
        </w:trPr>
        <w:tc>
          <w:tcPr>
            <w:tcW w:w="2660" w:type="dxa"/>
          </w:tcPr>
          <w:p>
            <w:pPr>
              <w:pStyle w:val="TableParagraph"/>
              <w:spacing w:line="255" w:lineRule="exact" w:before="128"/>
              <w:rPr>
                <w:rFonts w:ascii="Stone Sans II ITC Std Bk"/>
                <w:b/>
                <w:sz w:val="20"/>
              </w:rPr>
            </w:pPr>
            <w:r>
              <w:rPr>
                <w:rFonts w:ascii="Stone Sans II ITC Std Bk"/>
                <w:b/>
                <w:w w:val="110"/>
                <w:sz w:val="20"/>
              </w:rPr>
              <w:t>External</w:t>
            </w:r>
          </w:p>
          <w:p>
            <w:pPr>
              <w:pStyle w:val="TableParagraph"/>
              <w:spacing w:line="255" w:lineRule="exact"/>
              <w:rPr>
                <w:rFonts w:ascii="Stone Sans II ITC Std Bk"/>
                <w:b/>
                <w:sz w:val="20"/>
              </w:rPr>
            </w:pPr>
            <w:r>
              <w:rPr>
                <w:rFonts w:ascii="Stone Sans II ITC Std Bk"/>
                <w:b/>
                <w:w w:val="110"/>
                <w:sz w:val="20"/>
              </w:rPr>
              <w:t>(e.g. ecumenical)</w:t>
            </w:r>
          </w:p>
        </w:tc>
        <w:tc>
          <w:tcPr>
            <w:tcW w:w="6582" w:type="dxa"/>
          </w:tcPr>
          <w:p>
            <w:pPr>
              <w:pStyle w:val="TableParagraph"/>
              <w:spacing w:line="235" w:lineRule="auto" w:before="145"/>
              <w:ind w:right="280"/>
              <w:rPr>
                <w:sz w:val="20"/>
              </w:rPr>
            </w:pPr>
            <w:r>
              <w:rPr>
                <w:w w:val="120"/>
                <w:sz w:val="20"/>
              </w:rPr>
              <w:t>Any resolution on this matter may influence our partnership and conversation with, in particular, Christians in the Holy Land and both Palestinian and Jewish people in the</w:t>
            </w:r>
            <w:r>
              <w:rPr>
                <w:spacing w:val="20"/>
                <w:w w:val="120"/>
                <w:sz w:val="20"/>
              </w:rPr>
              <w:t> </w:t>
            </w:r>
            <w:r>
              <w:rPr>
                <w:spacing w:val="2"/>
                <w:w w:val="120"/>
                <w:sz w:val="20"/>
              </w:rPr>
              <w:t>UK.</w:t>
            </w:r>
          </w:p>
        </w:tc>
      </w:tr>
    </w:tbl>
    <w:p>
      <w:pPr>
        <w:spacing w:after="0" w:line="235" w:lineRule="auto"/>
        <w:rPr>
          <w:sz w:val="20"/>
        </w:rPr>
        <w:sectPr>
          <w:headerReference w:type="default" r:id="rId577"/>
          <w:pgSz w:w="11910" w:h="16840"/>
          <w:pgMar w:header="0" w:footer="647" w:top="1120" w:bottom="840" w:left="640" w:right="0"/>
        </w:sectPr>
      </w:pPr>
    </w:p>
    <w:p>
      <w:pPr>
        <w:pStyle w:val="BodyText"/>
        <w:rPr>
          <w:rFonts w:ascii="Stone Sans II ITC Std Bk"/>
          <w:b/>
        </w:rPr>
      </w:pPr>
      <w:r>
        <w:rPr/>
        <w:drawing>
          <wp:anchor distT="0" distB="0" distL="0" distR="0" allowOverlap="1" layoutInCell="1" locked="0" behindDoc="1" simplePos="0" relativeHeight="235793408">
            <wp:simplePos x="0" y="0"/>
            <wp:positionH relativeFrom="page">
              <wp:posOffset>0</wp:posOffset>
            </wp:positionH>
            <wp:positionV relativeFrom="page">
              <wp:posOffset>0</wp:posOffset>
            </wp:positionV>
            <wp:extent cx="594067" cy="10692003"/>
            <wp:effectExtent l="0" t="0" r="0" b="0"/>
            <wp:wrapNone/>
            <wp:docPr id="419" name="image67.png"/>
            <wp:cNvGraphicFramePr>
              <a:graphicFrameLocks noChangeAspect="1"/>
            </wp:cNvGraphicFramePr>
            <a:graphic>
              <a:graphicData uri="http://schemas.openxmlformats.org/drawingml/2006/picture">
                <pic:pic>
                  <pic:nvPicPr>
                    <pic:cNvPr id="420" name="image67.png"/>
                    <pic:cNvPicPr/>
                  </pic:nvPicPr>
                  <pic:blipFill>
                    <a:blip r:embed="rId184" cstate="print"/>
                    <a:stretch>
                      <a:fillRect/>
                    </a:stretch>
                  </pic:blipFill>
                  <pic:spPr>
                    <a:xfrm>
                      <a:off x="0" y="0"/>
                      <a:ext cx="594067" cy="10692003"/>
                    </a:xfrm>
                    <a:prstGeom prst="rect">
                      <a:avLst/>
                    </a:prstGeom>
                  </pic:spPr>
                </pic:pic>
              </a:graphicData>
            </a:graphic>
          </wp:anchor>
        </w:drawing>
      </w:r>
      <w:r>
        <w:rPr/>
        <w:pict>
          <v:shape style="position:absolute;margin-left:20.519100pt;margin-top:48.890015pt;width:25.9pt;height:402.9pt;mso-position-horizontal-relative:page;mso-position-vertical-relative:page;z-index:-267522048" type="#_x0000_t202" filled="false" stroked="false">
            <v:textbox inset="0,0,0,0" style="layout-flow:vertical">
              <w:txbxContent>
                <w:p>
                  <w:pPr>
                    <w:spacing w:before="27"/>
                    <w:ind w:left="20" w:right="0" w:firstLine="0"/>
                    <w:jc w:val="left"/>
                    <w:rPr>
                      <w:sz w:val="39"/>
                    </w:rPr>
                  </w:pPr>
                  <w:r>
                    <w:rPr>
                      <w:color w:val="FFFFFF"/>
                      <w:spacing w:val="9"/>
                      <w:w w:val="120"/>
                      <w:sz w:val="39"/>
                    </w:rPr>
                    <w:t>East, Thames </w:t>
                  </w:r>
                  <w:r>
                    <w:rPr>
                      <w:color w:val="FFFFFF"/>
                      <w:spacing w:val="12"/>
                      <w:w w:val="120"/>
                      <w:sz w:val="39"/>
                    </w:rPr>
                    <w:t>North </w:t>
                  </w:r>
                  <w:r>
                    <w:rPr>
                      <w:color w:val="FFFFFF"/>
                      <w:spacing w:val="7"/>
                      <w:w w:val="120"/>
                      <w:sz w:val="39"/>
                    </w:rPr>
                    <w:t>and </w:t>
                  </w:r>
                  <w:r>
                    <w:rPr>
                      <w:color w:val="FFFFFF"/>
                      <w:spacing w:val="9"/>
                      <w:w w:val="120"/>
                      <w:sz w:val="39"/>
                    </w:rPr>
                    <w:t>Wessex</w:t>
                  </w:r>
                  <w:r>
                    <w:rPr>
                      <w:color w:val="FFFFFF"/>
                      <w:spacing w:val="122"/>
                      <w:w w:val="120"/>
                      <w:sz w:val="39"/>
                    </w:rPr>
                    <w:t> </w:t>
                  </w:r>
                  <w:r>
                    <w:rPr>
                      <w:color w:val="FFFFFF"/>
                      <w:spacing w:val="10"/>
                      <w:w w:val="120"/>
                      <w:sz w:val="39"/>
                    </w:rPr>
                    <w:t>Synods</w:t>
                  </w:r>
                </w:p>
              </w:txbxContent>
            </v:textbox>
            <w10:wrap type="none"/>
          </v:shape>
        </w:pict>
      </w:r>
    </w:p>
    <w:p>
      <w:pPr>
        <w:pStyle w:val="BodyText"/>
        <w:rPr>
          <w:rFonts w:ascii="Stone Sans II ITC Std Bk"/>
          <w:b/>
        </w:rPr>
      </w:pPr>
    </w:p>
    <w:p>
      <w:pPr>
        <w:pStyle w:val="BodyText"/>
        <w:rPr>
          <w:rFonts w:ascii="Stone Sans II ITC Std Bk"/>
          <w:b/>
        </w:rPr>
      </w:pPr>
    </w:p>
    <w:p>
      <w:pPr>
        <w:pStyle w:val="BodyText"/>
        <w:spacing w:before="11"/>
        <w:rPr>
          <w:rFonts w:ascii="Stone Sans II ITC Std Bk"/>
          <w:b/>
          <w:sz w:val="19"/>
        </w:rPr>
      </w:pPr>
    </w:p>
    <w:p>
      <w:pPr>
        <w:spacing w:before="98"/>
        <w:ind w:left="607" w:right="0" w:firstLine="0"/>
        <w:jc w:val="left"/>
        <w:rPr>
          <w:rFonts w:ascii="Stone Sans II ITC Std X Bd"/>
          <w:b/>
          <w:sz w:val="50"/>
        </w:rPr>
      </w:pPr>
      <w:r>
        <w:rPr>
          <w:rFonts w:ascii="Stone Sans II ITC Std X Bd"/>
          <w:b/>
          <w:w w:val="110"/>
          <w:sz w:val="50"/>
        </w:rPr>
        <w:t>The Palestinian situation</w:t>
      </w:r>
    </w:p>
    <w:p>
      <w:pPr>
        <w:pStyle w:val="ListParagraph"/>
        <w:numPr>
          <w:ilvl w:val="0"/>
          <w:numId w:val="241"/>
        </w:numPr>
        <w:tabs>
          <w:tab w:pos="1287" w:val="left" w:leader="none"/>
          <w:tab w:pos="1288" w:val="left" w:leader="none"/>
        </w:tabs>
        <w:spacing w:line="235" w:lineRule="auto" w:before="364" w:after="0"/>
        <w:ind w:left="607" w:right="2408" w:firstLine="0"/>
        <w:jc w:val="left"/>
        <w:rPr>
          <w:sz w:val="20"/>
        </w:rPr>
      </w:pPr>
      <w:r>
        <w:rPr>
          <w:w w:val="120"/>
          <w:sz w:val="20"/>
        </w:rPr>
        <w:t>Three of our synods discussed resolutions on Israel-Palestine at meetings in March </w:t>
      </w:r>
      <w:r>
        <w:rPr>
          <w:spacing w:val="-6"/>
          <w:w w:val="120"/>
          <w:sz w:val="20"/>
        </w:rPr>
        <w:t>2016, </w:t>
      </w:r>
      <w:r>
        <w:rPr>
          <w:w w:val="120"/>
          <w:sz w:val="20"/>
        </w:rPr>
        <w:t>and all three decided to bring resolutions to Assembly. The resolutions overlap, but no two of them coincide</w:t>
      </w:r>
      <w:r>
        <w:rPr>
          <w:spacing w:val="16"/>
          <w:w w:val="120"/>
          <w:sz w:val="20"/>
        </w:rPr>
        <w:t> </w:t>
      </w:r>
      <w:r>
        <w:rPr>
          <w:w w:val="120"/>
          <w:sz w:val="20"/>
        </w:rPr>
        <w:t>precisely.</w:t>
      </w:r>
    </w:p>
    <w:p>
      <w:pPr>
        <w:pStyle w:val="BodyText"/>
        <w:spacing w:before="11"/>
        <w:rPr>
          <w:sz w:val="19"/>
        </w:rPr>
      </w:pPr>
    </w:p>
    <w:p>
      <w:pPr>
        <w:pStyle w:val="ListParagraph"/>
        <w:numPr>
          <w:ilvl w:val="0"/>
          <w:numId w:val="241"/>
        </w:numPr>
        <w:tabs>
          <w:tab w:pos="1287" w:val="left" w:leader="none"/>
          <w:tab w:pos="1288" w:val="left" w:leader="none"/>
        </w:tabs>
        <w:spacing w:line="235" w:lineRule="auto" w:before="0" w:after="0"/>
        <w:ind w:left="607" w:right="2258" w:firstLine="0"/>
        <w:jc w:val="left"/>
        <w:rPr>
          <w:sz w:val="20"/>
        </w:rPr>
      </w:pPr>
      <w:r>
        <w:rPr>
          <w:w w:val="120"/>
          <w:sz w:val="20"/>
        </w:rPr>
        <w:t>The Clerk will advise Assembly to consider these under Standing Order </w:t>
      </w:r>
      <w:r>
        <w:rPr>
          <w:spacing w:val="-8"/>
          <w:w w:val="120"/>
          <w:sz w:val="20"/>
        </w:rPr>
        <w:t>4.10. </w:t>
      </w:r>
      <w:r>
        <w:rPr>
          <w:w w:val="120"/>
          <w:sz w:val="20"/>
        </w:rPr>
        <w:t>The three alternative motions would be moved in turn and if Assembly so wished any of the three could be amended as it is considered. In due course Assembly</w:t>
      </w:r>
      <w:r>
        <w:rPr>
          <w:spacing w:val="7"/>
          <w:w w:val="120"/>
          <w:sz w:val="20"/>
        </w:rPr>
        <w:t> </w:t>
      </w:r>
      <w:r>
        <w:rPr>
          <w:w w:val="120"/>
          <w:sz w:val="20"/>
        </w:rPr>
        <w:t>would</w:t>
      </w:r>
    </w:p>
    <w:p>
      <w:pPr>
        <w:pStyle w:val="BodyText"/>
        <w:spacing w:line="235" w:lineRule="auto" w:before="2"/>
        <w:ind w:left="607" w:right="2045"/>
      </w:pPr>
      <w:r>
        <w:rPr>
          <w:w w:val="120"/>
        </w:rPr>
        <w:t>be asked to prefer one of the three, which would then become the resolution to be debated, as Assembly moved towards a decision.</w:t>
      </w:r>
    </w:p>
    <w:p>
      <w:pPr>
        <w:pStyle w:val="BodyText"/>
        <w:spacing w:before="9"/>
        <w:rPr>
          <w:sz w:val="19"/>
        </w:rPr>
      </w:pPr>
    </w:p>
    <w:p>
      <w:pPr>
        <w:pStyle w:val="ListParagraph"/>
        <w:numPr>
          <w:ilvl w:val="0"/>
          <w:numId w:val="241"/>
        </w:numPr>
        <w:tabs>
          <w:tab w:pos="1287" w:val="left" w:leader="none"/>
          <w:tab w:pos="1288" w:val="left" w:leader="none"/>
        </w:tabs>
        <w:spacing w:line="235" w:lineRule="auto" w:before="1" w:after="0"/>
        <w:ind w:left="607" w:right="2148" w:firstLine="0"/>
        <w:jc w:val="left"/>
        <w:rPr>
          <w:sz w:val="20"/>
        </w:rPr>
      </w:pPr>
      <w:r>
        <w:rPr>
          <w:w w:val="120"/>
          <w:sz w:val="20"/>
        </w:rPr>
        <w:t>Eastern Synod accepted all five </w:t>
      </w:r>
      <w:r>
        <w:rPr>
          <w:spacing w:val="2"/>
          <w:w w:val="120"/>
          <w:sz w:val="20"/>
        </w:rPr>
        <w:t>parts </w:t>
      </w:r>
      <w:r>
        <w:rPr>
          <w:w w:val="120"/>
          <w:sz w:val="20"/>
        </w:rPr>
        <w:t>of the resolution put to it, printed above as Resolution </w:t>
      </w:r>
      <w:r>
        <w:rPr>
          <w:spacing w:val="-5"/>
          <w:w w:val="120"/>
          <w:sz w:val="20"/>
        </w:rPr>
        <w:t>37A. </w:t>
      </w:r>
      <w:r>
        <w:rPr>
          <w:w w:val="120"/>
          <w:sz w:val="20"/>
        </w:rPr>
        <w:t>Thames </w:t>
      </w:r>
      <w:r>
        <w:rPr>
          <w:spacing w:val="2"/>
          <w:w w:val="120"/>
          <w:sz w:val="20"/>
        </w:rPr>
        <w:t>North </w:t>
      </w:r>
      <w:r>
        <w:rPr>
          <w:w w:val="120"/>
          <w:sz w:val="20"/>
        </w:rPr>
        <w:t>accepted three </w:t>
      </w:r>
      <w:r>
        <w:rPr>
          <w:spacing w:val="2"/>
          <w:w w:val="120"/>
          <w:sz w:val="20"/>
        </w:rPr>
        <w:t>parts </w:t>
      </w:r>
      <w:r>
        <w:rPr>
          <w:w w:val="120"/>
          <w:sz w:val="20"/>
        </w:rPr>
        <w:t>of the five, and their version is designated Resolution </w:t>
      </w:r>
      <w:r>
        <w:rPr>
          <w:spacing w:val="-4"/>
          <w:w w:val="120"/>
          <w:sz w:val="20"/>
        </w:rPr>
        <w:t>37B. </w:t>
      </w:r>
      <w:r>
        <w:rPr>
          <w:w w:val="120"/>
          <w:sz w:val="20"/>
        </w:rPr>
        <w:t>In Wessex a facilitation group worked on the resolution, so that the synod eventually developed and accepted Resolution </w:t>
      </w:r>
      <w:r>
        <w:rPr>
          <w:spacing w:val="-7"/>
          <w:w w:val="120"/>
          <w:sz w:val="20"/>
        </w:rPr>
        <w:t>37C</w:t>
      </w:r>
      <w:r>
        <w:rPr>
          <w:spacing w:val="37"/>
          <w:w w:val="120"/>
          <w:sz w:val="20"/>
        </w:rPr>
        <w:t> </w:t>
      </w:r>
      <w:r>
        <w:rPr>
          <w:w w:val="120"/>
          <w:sz w:val="20"/>
        </w:rPr>
        <w:t>above.</w:t>
      </w:r>
    </w:p>
    <w:p>
      <w:pPr>
        <w:pStyle w:val="BodyText"/>
        <w:spacing w:before="10"/>
        <w:rPr>
          <w:sz w:val="19"/>
        </w:rPr>
      </w:pPr>
    </w:p>
    <w:p>
      <w:pPr>
        <w:pStyle w:val="ListParagraph"/>
        <w:numPr>
          <w:ilvl w:val="0"/>
          <w:numId w:val="241"/>
        </w:numPr>
        <w:tabs>
          <w:tab w:pos="1287" w:val="left" w:leader="none"/>
          <w:tab w:pos="1288" w:val="left" w:leader="none"/>
        </w:tabs>
        <w:spacing w:line="235" w:lineRule="auto" w:before="1" w:after="0"/>
        <w:ind w:left="607" w:right="2009" w:firstLine="0"/>
        <w:jc w:val="left"/>
        <w:rPr>
          <w:sz w:val="20"/>
        </w:rPr>
      </w:pPr>
      <w:r>
        <w:rPr>
          <w:w w:val="120"/>
          <w:sz w:val="20"/>
        </w:rPr>
        <w:t>The briefing that follows in paragraphs 5-9 was presented to Eastern Synod in March, and is now offered to Assembly as an introduction to the topic, rather than as an exact expression of the concerns of Thames </w:t>
      </w:r>
      <w:r>
        <w:rPr>
          <w:spacing w:val="2"/>
          <w:w w:val="120"/>
          <w:sz w:val="20"/>
        </w:rPr>
        <w:t>North </w:t>
      </w:r>
      <w:r>
        <w:rPr>
          <w:w w:val="120"/>
          <w:sz w:val="20"/>
        </w:rPr>
        <w:t>or</w:t>
      </w:r>
      <w:r>
        <w:rPr>
          <w:spacing w:val="11"/>
          <w:w w:val="120"/>
          <w:sz w:val="20"/>
        </w:rPr>
        <w:t> </w:t>
      </w:r>
      <w:r>
        <w:rPr>
          <w:w w:val="120"/>
          <w:sz w:val="20"/>
        </w:rPr>
        <w:t>Wessex.</w:t>
      </w:r>
    </w:p>
    <w:p>
      <w:pPr>
        <w:pStyle w:val="BodyText"/>
        <w:spacing w:before="10"/>
        <w:rPr>
          <w:sz w:val="19"/>
        </w:rPr>
      </w:pPr>
    </w:p>
    <w:p>
      <w:pPr>
        <w:pStyle w:val="ListParagraph"/>
        <w:numPr>
          <w:ilvl w:val="0"/>
          <w:numId w:val="241"/>
        </w:numPr>
        <w:tabs>
          <w:tab w:pos="1287" w:val="left" w:leader="none"/>
          <w:tab w:pos="1288" w:val="left" w:leader="none"/>
        </w:tabs>
        <w:spacing w:line="235" w:lineRule="auto" w:before="0" w:after="0"/>
        <w:ind w:left="607" w:right="2205" w:firstLine="0"/>
        <w:jc w:val="left"/>
        <w:rPr>
          <w:sz w:val="20"/>
        </w:rPr>
      </w:pPr>
      <w:r>
        <w:rPr>
          <w:w w:val="120"/>
          <w:sz w:val="20"/>
        </w:rPr>
        <w:t>This resolution is based on Kairos Palestine’s appeal made in faith, hope and love by Palestinian Christian leaders in 2009 to religious people in Palestine and worldwide. (The word </w:t>
      </w:r>
      <w:r>
        <w:rPr>
          <w:i/>
          <w:w w:val="120"/>
          <w:sz w:val="20"/>
        </w:rPr>
        <w:t>kairos </w:t>
      </w:r>
      <w:r>
        <w:rPr>
          <w:w w:val="120"/>
          <w:sz w:val="20"/>
        </w:rPr>
        <w:t>means ‘Moment of </w:t>
      </w:r>
      <w:r>
        <w:rPr>
          <w:spacing w:val="-3"/>
          <w:w w:val="120"/>
          <w:sz w:val="20"/>
        </w:rPr>
        <w:t>Truth’ </w:t>
      </w:r>
      <w:r>
        <w:rPr>
          <w:w w:val="120"/>
          <w:sz w:val="20"/>
        </w:rPr>
        <w:t>and the full text can be found at </w:t>
      </w:r>
      <w:hyperlink r:id="rId581">
        <w:r>
          <w:rPr>
            <w:color w:val="006AB3"/>
            <w:w w:val="120"/>
            <w:sz w:val="20"/>
          </w:rPr>
          <w:t>http://kairospalestine.ps/sites/default/files/English.pdf</w:t>
        </w:r>
        <w:r>
          <w:rPr>
            <w:w w:val="120"/>
            <w:sz w:val="20"/>
          </w:rPr>
          <w:t>.)</w:t>
        </w:r>
      </w:hyperlink>
      <w:r>
        <w:rPr>
          <w:w w:val="120"/>
          <w:sz w:val="20"/>
        </w:rPr>
        <w:t> The appeal points to the continuing occupation of Palestinian territories and the faltering peace process, the daily humiliation of the Palestinian population, confiscation of land and deprivation of basic</w:t>
      </w:r>
      <w:r>
        <w:rPr>
          <w:spacing w:val="1"/>
          <w:w w:val="120"/>
          <w:sz w:val="20"/>
        </w:rPr>
        <w:t> </w:t>
      </w:r>
      <w:r>
        <w:rPr>
          <w:w w:val="120"/>
          <w:sz w:val="20"/>
        </w:rPr>
        <w:t>freedoms.</w:t>
      </w:r>
    </w:p>
    <w:p>
      <w:pPr>
        <w:pStyle w:val="BodyText"/>
        <w:spacing w:before="1"/>
      </w:pPr>
    </w:p>
    <w:p>
      <w:pPr>
        <w:pStyle w:val="ListParagraph"/>
        <w:numPr>
          <w:ilvl w:val="0"/>
          <w:numId w:val="241"/>
        </w:numPr>
        <w:tabs>
          <w:tab w:pos="1287" w:val="left" w:leader="none"/>
          <w:tab w:pos="1288" w:val="left" w:leader="none"/>
        </w:tabs>
        <w:spacing w:line="235" w:lineRule="auto" w:before="0" w:after="0"/>
        <w:ind w:left="607" w:right="2214" w:firstLine="0"/>
        <w:jc w:val="left"/>
        <w:rPr>
          <w:sz w:val="20"/>
        </w:rPr>
      </w:pPr>
      <w:r>
        <w:rPr>
          <w:spacing w:val="-3"/>
          <w:w w:val="120"/>
          <w:sz w:val="20"/>
        </w:rPr>
        <w:t>Tragically, </w:t>
      </w:r>
      <w:r>
        <w:rPr>
          <w:w w:val="120"/>
          <w:sz w:val="20"/>
        </w:rPr>
        <w:t>since 2009 the situation has deteriorated further. International attempts at peacemaking have been abandoned and hope is at lower ebb than </w:t>
      </w:r>
      <w:r>
        <w:rPr>
          <w:spacing w:val="-4"/>
          <w:w w:val="120"/>
          <w:sz w:val="20"/>
        </w:rPr>
        <w:t>ever. </w:t>
      </w:r>
      <w:r>
        <w:rPr>
          <w:w w:val="120"/>
          <w:sz w:val="20"/>
        </w:rPr>
        <w:t>The bombardment of Gaza has been followed by Israel’s refusal to allow it to rebuild. Illegal settlements continue to expand in the Occupied Territories with the backing of the Israeli government. The resolution is more relevant than ever</w:t>
      </w:r>
      <w:r>
        <w:rPr>
          <w:spacing w:val="16"/>
          <w:w w:val="120"/>
          <w:sz w:val="20"/>
        </w:rPr>
        <w:t> </w:t>
      </w:r>
      <w:r>
        <w:rPr>
          <w:spacing w:val="-3"/>
          <w:w w:val="120"/>
          <w:sz w:val="20"/>
        </w:rPr>
        <w:t>today.</w:t>
      </w:r>
    </w:p>
    <w:p>
      <w:pPr>
        <w:pStyle w:val="BodyText"/>
        <w:spacing w:before="12"/>
        <w:rPr>
          <w:sz w:val="19"/>
        </w:rPr>
      </w:pPr>
    </w:p>
    <w:p>
      <w:pPr>
        <w:pStyle w:val="ListParagraph"/>
        <w:numPr>
          <w:ilvl w:val="0"/>
          <w:numId w:val="241"/>
        </w:numPr>
        <w:tabs>
          <w:tab w:pos="1287" w:val="left" w:leader="none"/>
          <w:tab w:pos="1288" w:val="left" w:leader="none"/>
        </w:tabs>
        <w:spacing w:line="235" w:lineRule="auto" w:before="0" w:after="0"/>
        <w:ind w:left="607" w:right="2143" w:firstLine="0"/>
        <w:jc w:val="left"/>
        <w:rPr>
          <w:sz w:val="20"/>
        </w:rPr>
      </w:pPr>
      <w:r>
        <w:rPr>
          <w:w w:val="120"/>
          <w:sz w:val="20"/>
        </w:rPr>
        <w:t>At Pentecost </w:t>
      </w:r>
      <w:r>
        <w:rPr>
          <w:spacing w:val="-7"/>
          <w:w w:val="120"/>
          <w:sz w:val="20"/>
        </w:rPr>
        <w:t>2012 </w:t>
      </w:r>
      <w:r>
        <w:rPr>
          <w:w w:val="120"/>
          <w:sz w:val="20"/>
        </w:rPr>
        <w:t>an ecumenical group of Christians known as Kairos Britain met on Iona and produced the Iona Call ‘to seize the kairos moment with conviction and hope’ (text at: </w:t>
      </w:r>
      <w:hyperlink r:id="rId582">
        <w:r>
          <w:rPr>
            <w:color w:val="006AB3"/>
            <w:w w:val="120"/>
            <w:sz w:val="20"/>
          </w:rPr>
          <w:t>https://iona.org.uk/2012/06/07/kairos-palestine/</w:t>
        </w:r>
      </w:hyperlink>
      <w:r>
        <w:rPr>
          <w:w w:val="120"/>
          <w:sz w:val="20"/>
        </w:rPr>
        <w:t>) In May </w:t>
      </w:r>
      <w:r>
        <w:rPr>
          <w:spacing w:val="-8"/>
          <w:w w:val="120"/>
          <w:sz w:val="20"/>
        </w:rPr>
        <w:t>2013 </w:t>
      </w:r>
      <w:r>
        <w:rPr>
          <w:w w:val="120"/>
          <w:sz w:val="20"/>
        </w:rPr>
        <w:t>the Church of Scotland adopted the resolution ‘The Inheritance of Abraham’, also drawing on Kairos Palestine, and pointing out that ‘the political and humanitarian situation in the Holy Land continues to be a source of pain and concern for us </w:t>
      </w:r>
      <w:r>
        <w:rPr>
          <w:spacing w:val="-4"/>
          <w:w w:val="120"/>
          <w:sz w:val="20"/>
        </w:rPr>
        <w:t>all.’ </w:t>
      </w:r>
      <w:r>
        <w:rPr>
          <w:w w:val="120"/>
          <w:sz w:val="20"/>
        </w:rPr>
        <w:t>This may be  read</w:t>
      </w:r>
      <w:r>
        <w:rPr>
          <w:spacing w:val="-30"/>
          <w:w w:val="120"/>
          <w:sz w:val="20"/>
        </w:rPr>
        <w:t> </w:t>
      </w:r>
      <w:r>
        <w:rPr>
          <w:w w:val="120"/>
          <w:sz w:val="20"/>
        </w:rPr>
        <w:t>at:</w:t>
      </w:r>
      <w:r>
        <w:rPr>
          <w:spacing w:val="-30"/>
          <w:w w:val="120"/>
          <w:sz w:val="20"/>
        </w:rPr>
        <w:t> </w:t>
      </w:r>
      <w:hyperlink r:id="rId583">
        <w:r>
          <w:rPr>
            <w:color w:val="006AB3"/>
            <w:w w:val="120"/>
            <w:sz w:val="20"/>
          </w:rPr>
          <w:t>http://www.churchofscotland.org.uk/__data/assets/pdf_file/0010/14050/the_</w:t>
        </w:r>
      </w:hyperlink>
      <w:hyperlink r:id="rId583">
        <w:r>
          <w:rPr>
            <w:color w:val="006AB3"/>
            <w:w w:val="120"/>
            <w:sz w:val="20"/>
          </w:rPr>
          <w:t> Inheritance_of_Abraham.pdf</w:t>
        </w:r>
      </w:hyperlink>
    </w:p>
    <w:p>
      <w:pPr>
        <w:pStyle w:val="BodyText"/>
        <w:spacing w:before="1"/>
      </w:pPr>
    </w:p>
    <w:p>
      <w:pPr>
        <w:pStyle w:val="ListParagraph"/>
        <w:numPr>
          <w:ilvl w:val="0"/>
          <w:numId w:val="241"/>
        </w:numPr>
        <w:tabs>
          <w:tab w:pos="1287" w:val="left" w:leader="none"/>
          <w:tab w:pos="1288" w:val="left" w:leader="none"/>
        </w:tabs>
        <w:spacing w:line="235" w:lineRule="auto" w:before="0" w:after="0"/>
        <w:ind w:left="607" w:right="2097" w:firstLine="0"/>
        <w:jc w:val="left"/>
        <w:rPr>
          <w:sz w:val="20"/>
        </w:rPr>
      </w:pPr>
      <w:r>
        <w:rPr>
          <w:w w:val="120"/>
          <w:sz w:val="20"/>
        </w:rPr>
        <w:t>The motion before Assembly commends the key conclusions of the ‘Inheritance of Abraham’ </w:t>
      </w:r>
      <w:r>
        <w:rPr>
          <w:spacing w:val="2"/>
          <w:w w:val="120"/>
          <w:sz w:val="20"/>
        </w:rPr>
        <w:t>report </w:t>
      </w:r>
      <w:r>
        <w:rPr>
          <w:w w:val="120"/>
          <w:sz w:val="20"/>
        </w:rPr>
        <w:t>and the need to address the inequality in power between Israelis and Palestinians if negotiations are to lead to a just peace for all the people of the Holy Land. It is, in short, a call for justice, reconciliation and peace among all peoples in the Holy Land. It affirms that Christians should not be supporting any claims by any people to an exclusive right to possess particular territory. It calls on the UK</w:t>
      </w:r>
      <w:r>
        <w:rPr>
          <w:spacing w:val="25"/>
          <w:w w:val="120"/>
          <w:sz w:val="20"/>
        </w:rPr>
        <w:t> </w:t>
      </w:r>
      <w:r>
        <w:rPr>
          <w:w w:val="120"/>
          <w:sz w:val="20"/>
        </w:rPr>
        <w:t>government</w:t>
      </w:r>
    </w:p>
    <w:p>
      <w:pPr>
        <w:pStyle w:val="BodyText"/>
        <w:spacing w:line="235" w:lineRule="auto" w:before="5"/>
        <w:ind w:left="607" w:right="2439"/>
      </w:pPr>
      <w:r>
        <w:rPr>
          <w:w w:val="120"/>
        </w:rPr>
        <w:t>and the European Union to do all within their power to ensure that human rights   are respected and international law upheld in Israel and the Occupied Palestinian Territories. This includes the Jewish people living there, for where there is no justice there will be no peace. It encourages support for the actions called for in the</w:t>
      </w:r>
      <w:r>
        <w:rPr>
          <w:spacing w:val="1"/>
          <w:w w:val="120"/>
        </w:rPr>
        <w:t> </w:t>
      </w:r>
      <w:r>
        <w:rPr>
          <w:w w:val="120"/>
        </w:rPr>
        <w:t>Kairos</w:t>
      </w:r>
    </w:p>
    <w:p>
      <w:pPr>
        <w:pStyle w:val="BodyText"/>
        <w:spacing w:line="235" w:lineRule="auto" w:before="3"/>
        <w:ind w:left="607" w:right="2045"/>
      </w:pPr>
      <w:r>
        <w:rPr>
          <w:w w:val="120"/>
        </w:rPr>
        <w:t>Palestine document to achieve these ends, and it calls for churches and communities to undertake study and action towards a lasting peace.</w:t>
      </w:r>
    </w:p>
    <w:p>
      <w:pPr>
        <w:spacing w:after="0" w:line="235" w:lineRule="auto"/>
        <w:sectPr>
          <w:headerReference w:type="even" r:id="rId578"/>
          <w:footerReference w:type="even" r:id="rId579"/>
          <w:footerReference w:type="default" r:id="rId580"/>
          <w:pgSz w:w="11910" w:h="16840"/>
          <w:pgMar w:header="0" w:footer="647" w:top="0" w:bottom="840" w:left="640" w:right="0"/>
        </w:sectPr>
      </w:pPr>
    </w:p>
    <w:p>
      <w:pPr>
        <w:pStyle w:val="BodyText"/>
      </w:pPr>
      <w:r>
        <w:rPr/>
        <w:drawing>
          <wp:anchor distT="0" distB="0" distL="0" distR="0" allowOverlap="1" layoutInCell="1" locked="0" behindDoc="0" simplePos="0" relativeHeight="252249088">
            <wp:simplePos x="0" y="0"/>
            <wp:positionH relativeFrom="page">
              <wp:posOffset>6974928</wp:posOffset>
            </wp:positionH>
            <wp:positionV relativeFrom="page">
              <wp:posOffset>0</wp:posOffset>
            </wp:positionV>
            <wp:extent cx="585063" cy="10692003"/>
            <wp:effectExtent l="0" t="0" r="0" b="0"/>
            <wp:wrapNone/>
            <wp:docPr id="421" name="image54.png"/>
            <wp:cNvGraphicFramePr>
              <a:graphicFrameLocks noChangeAspect="1"/>
            </wp:cNvGraphicFramePr>
            <a:graphic>
              <a:graphicData uri="http://schemas.openxmlformats.org/drawingml/2006/picture">
                <pic:pic>
                  <pic:nvPicPr>
                    <pic:cNvPr id="422" name="image54.png"/>
                    <pic:cNvPicPr/>
                  </pic:nvPicPr>
                  <pic:blipFill>
                    <a:blip r:embed="rId169" cstate="print"/>
                    <a:stretch>
                      <a:fillRect/>
                    </a:stretch>
                  </pic:blipFill>
                  <pic:spPr>
                    <a:xfrm>
                      <a:off x="0" y="0"/>
                      <a:ext cx="585063" cy="10692003"/>
                    </a:xfrm>
                    <a:prstGeom prst="rect">
                      <a:avLst/>
                    </a:prstGeom>
                  </pic:spPr>
                </pic:pic>
              </a:graphicData>
            </a:graphic>
          </wp:anchor>
        </w:drawing>
      </w:r>
    </w:p>
    <w:p>
      <w:pPr>
        <w:pStyle w:val="BodyText"/>
        <w:spacing w:before="7"/>
        <w:rPr>
          <w:sz w:val="21"/>
        </w:rPr>
      </w:pPr>
    </w:p>
    <w:p>
      <w:pPr>
        <w:spacing w:before="106"/>
        <w:ind w:left="5168" w:right="0" w:firstLine="0"/>
        <w:jc w:val="left"/>
        <w:rPr>
          <w:sz w:val="26"/>
        </w:rPr>
      </w:pPr>
      <w:r>
        <w:rPr/>
        <w:pict>
          <v:shape style="position:absolute;margin-left:554.141174pt;margin-top:22.593945pt;width:25.9pt;height:402.9pt;mso-position-horizontal-relative:page;mso-position-vertical-relative:paragraph;z-index:252250112" type="#_x0000_t202" filled="false" stroked="false">
            <v:textbox inset="0,0,0,0" style="layout-flow:vertical">
              <w:txbxContent>
                <w:p>
                  <w:pPr>
                    <w:spacing w:before="27"/>
                    <w:ind w:left="20" w:right="0" w:firstLine="0"/>
                    <w:jc w:val="left"/>
                    <w:rPr>
                      <w:sz w:val="39"/>
                    </w:rPr>
                  </w:pPr>
                  <w:r>
                    <w:rPr>
                      <w:color w:val="FFFFFF"/>
                      <w:spacing w:val="9"/>
                      <w:w w:val="120"/>
                      <w:sz w:val="39"/>
                    </w:rPr>
                    <w:t>East, Thames </w:t>
                  </w:r>
                  <w:r>
                    <w:rPr>
                      <w:color w:val="FFFFFF"/>
                      <w:spacing w:val="12"/>
                      <w:w w:val="120"/>
                      <w:sz w:val="39"/>
                    </w:rPr>
                    <w:t>North </w:t>
                  </w:r>
                  <w:r>
                    <w:rPr>
                      <w:color w:val="FFFFFF"/>
                      <w:spacing w:val="7"/>
                      <w:w w:val="120"/>
                      <w:sz w:val="39"/>
                    </w:rPr>
                    <w:t>and </w:t>
                  </w:r>
                  <w:r>
                    <w:rPr>
                      <w:color w:val="FFFFFF"/>
                      <w:spacing w:val="9"/>
                      <w:w w:val="120"/>
                      <w:sz w:val="39"/>
                    </w:rPr>
                    <w:t>Wessex</w:t>
                  </w:r>
                  <w:r>
                    <w:rPr>
                      <w:color w:val="FFFFFF"/>
                      <w:spacing w:val="122"/>
                      <w:w w:val="120"/>
                      <w:sz w:val="39"/>
                    </w:rPr>
                    <w:t> </w:t>
                  </w:r>
                  <w:r>
                    <w:rPr>
                      <w:color w:val="FFFFFF"/>
                      <w:spacing w:val="10"/>
                      <w:w w:val="120"/>
                      <w:sz w:val="39"/>
                    </w:rPr>
                    <w:t>Synods</w:t>
                  </w:r>
                </w:p>
              </w:txbxContent>
            </v:textbox>
            <w10:wrap type="none"/>
          </v:shape>
        </w:pict>
      </w:r>
      <w:r>
        <w:rPr>
          <w:color w:val="7EAABF"/>
          <w:w w:val="115"/>
          <w:sz w:val="26"/>
        </w:rPr>
        <w:t>East, Thames North and Wessex Synods</w:t>
      </w:r>
    </w:p>
    <w:p>
      <w:pPr>
        <w:spacing w:before="215"/>
        <w:ind w:left="1344" w:right="0" w:firstLine="0"/>
        <w:jc w:val="left"/>
        <w:rPr>
          <w:rFonts w:ascii="Stone Sans II ITC Std Bk"/>
          <w:b/>
          <w:sz w:val="29"/>
        </w:rPr>
      </w:pPr>
      <w:r>
        <w:rPr>
          <w:rFonts w:ascii="Stone Sans II ITC Std Bk"/>
          <w:b/>
          <w:w w:val="110"/>
          <w:sz w:val="29"/>
        </w:rPr>
        <w:t>Notes on Kairos communities</w:t>
      </w:r>
    </w:p>
    <w:p>
      <w:pPr>
        <w:pStyle w:val="ListParagraph"/>
        <w:numPr>
          <w:ilvl w:val="1"/>
          <w:numId w:val="242"/>
        </w:numPr>
        <w:tabs>
          <w:tab w:pos="2024" w:val="left" w:leader="none"/>
          <w:tab w:pos="2025" w:val="left" w:leader="none"/>
        </w:tabs>
        <w:spacing w:line="235" w:lineRule="auto" w:before="69" w:after="0"/>
        <w:ind w:left="1344" w:right="1601" w:firstLine="0"/>
        <w:jc w:val="left"/>
        <w:rPr>
          <w:sz w:val="20"/>
        </w:rPr>
      </w:pPr>
      <w:r>
        <w:rPr>
          <w:w w:val="120"/>
          <w:sz w:val="20"/>
        </w:rPr>
        <w:t>Originating from a gathering of Christians on Iona in Pentecost week </w:t>
      </w:r>
      <w:r>
        <w:rPr>
          <w:spacing w:val="-7"/>
          <w:w w:val="120"/>
          <w:sz w:val="20"/>
        </w:rPr>
        <w:t>2012,   </w:t>
      </w:r>
      <w:r>
        <w:rPr>
          <w:w w:val="120"/>
          <w:sz w:val="20"/>
        </w:rPr>
        <w:t>the document ‘Time for Action’ was published by Kairos Britain as a British Christian response to </w:t>
      </w:r>
      <w:r>
        <w:rPr>
          <w:spacing w:val="-8"/>
          <w:w w:val="120"/>
          <w:sz w:val="20"/>
        </w:rPr>
        <w:t>‘A </w:t>
      </w:r>
      <w:r>
        <w:rPr>
          <w:w w:val="120"/>
          <w:sz w:val="20"/>
        </w:rPr>
        <w:t>Moment of </w:t>
      </w:r>
      <w:r>
        <w:rPr>
          <w:spacing w:val="-3"/>
          <w:w w:val="120"/>
          <w:sz w:val="20"/>
        </w:rPr>
        <w:t>Truth’ </w:t>
      </w:r>
      <w:r>
        <w:rPr>
          <w:w w:val="120"/>
          <w:sz w:val="20"/>
        </w:rPr>
        <w:t>and Kairos Britain was inaugurated as a</w:t>
      </w:r>
      <w:r>
        <w:rPr>
          <w:spacing w:val="23"/>
          <w:w w:val="120"/>
          <w:sz w:val="20"/>
        </w:rPr>
        <w:t> </w:t>
      </w:r>
      <w:r>
        <w:rPr>
          <w:w w:val="120"/>
          <w:sz w:val="20"/>
        </w:rPr>
        <w:t>network</w:t>
      </w:r>
    </w:p>
    <w:p>
      <w:pPr>
        <w:pStyle w:val="BodyText"/>
        <w:spacing w:line="235" w:lineRule="auto" w:before="3"/>
        <w:ind w:left="1344" w:right="1478"/>
      </w:pPr>
      <w:r>
        <w:rPr>
          <w:w w:val="120"/>
        </w:rPr>
        <w:t>of individuals and faith communities supporting the actions called for in the Kairos Palestine document.</w:t>
      </w:r>
    </w:p>
    <w:p>
      <w:pPr>
        <w:pStyle w:val="BodyText"/>
        <w:spacing w:before="9"/>
        <w:rPr>
          <w:sz w:val="19"/>
        </w:rPr>
      </w:pPr>
    </w:p>
    <w:p>
      <w:pPr>
        <w:pStyle w:val="ListParagraph"/>
        <w:numPr>
          <w:ilvl w:val="1"/>
          <w:numId w:val="242"/>
        </w:numPr>
        <w:tabs>
          <w:tab w:pos="2024" w:val="left" w:leader="none"/>
          <w:tab w:pos="2025" w:val="left" w:leader="none"/>
        </w:tabs>
        <w:spacing w:line="235" w:lineRule="auto" w:before="0" w:after="0"/>
        <w:ind w:left="1344" w:right="1428" w:firstLine="0"/>
        <w:jc w:val="left"/>
        <w:rPr>
          <w:sz w:val="20"/>
        </w:rPr>
      </w:pPr>
      <w:r>
        <w:rPr>
          <w:w w:val="120"/>
          <w:sz w:val="20"/>
        </w:rPr>
        <w:t>Kairos Britain calls for establishing of Kairos communities. These can be either ‘Kairos Committed Communities’ or ‘Kairos Active Communities’ </w:t>
      </w:r>
      <w:r>
        <w:rPr>
          <w:spacing w:val="-4"/>
          <w:w w:val="120"/>
          <w:sz w:val="20"/>
        </w:rPr>
        <w:t>(see </w:t>
      </w:r>
      <w:r>
        <w:rPr>
          <w:spacing w:val="-3"/>
          <w:w w:val="120"/>
          <w:sz w:val="20"/>
        </w:rPr>
        <w:t>below). </w:t>
      </w:r>
      <w:r>
        <w:rPr>
          <w:w w:val="120"/>
          <w:sz w:val="20"/>
        </w:rPr>
        <w:t>Kairos Communities can be established within individual congregations or ecumenically, or a whole congregation can become a Kairos</w:t>
      </w:r>
      <w:r>
        <w:rPr>
          <w:spacing w:val="19"/>
          <w:w w:val="120"/>
          <w:sz w:val="20"/>
        </w:rPr>
        <w:t> </w:t>
      </w:r>
      <w:r>
        <w:rPr>
          <w:w w:val="120"/>
          <w:sz w:val="20"/>
        </w:rPr>
        <w:t>Church.</w:t>
      </w:r>
    </w:p>
    <w:p>
      <w:pPr>
        <w:pStyle w:val="BodyText"/>
        <w:spacing w:before="11"/>
        <w:rPr>
          <w:sz w:val="19"/>
        </w:rPr>
      </w:pPr>
    </w:p>
    <w:p>
      <w:pPr>
        <w:pStyle w:val="ListParagraph"/>
        <w:numPr>
          <w:ilvl w:val="1"/>
          <w:numId w:val="242"/>
        </w:numPr>
        <w:tabs>
          <w:tab w:pos="2024" w:val="left" w:leader="none"/>
          <w:tab w:pos="2025" w:val="left" w:leader="none"/>
        </w:tabs>
        <w:spacing w:line="235" w:lineRule="auto" w:before="0" w:after="0"/>
        <w:ind w:left="1344" w:right="1457" w:firstLine="0"/>
        <w:jc w:val="left"/>
        <w:rPr>
          <w:sz w:val="20"/>
        </w:rPr>
      </w:pPr>
      <w:r>
        <w:rPr>
          <w:w w:val="120"/>
          <w:sz w:val="20"/>
        </w:rPr>
        <w:t>Kairos Committed Communities are committed to a just and lasting peace for everyone in Palestine and Israel; they pray for those in Israel and Palestine; they read and endorse the Kairos Palestine and Kairos Britain documents, and encourage others to do so too; and they communicate key themes and messages from these documents wherever</w:t>
      </w:r>
      <w:r>
        <w:rPr>
          <w:spacing w:val="2"/>
          <w:w w:val="120"/>
          <w:sz w:val="20"/>
        </w:rPr>
        <w:t> </w:t>
      </w:r>
      <w:r>
        <w:rPr>
          <w:w w:val="120"/>
          <w:sz w:val="20"/>
        </w:rPr>
        <w:t>possible.</w:t>
      </w:r>
    </w:p>
    <w:p>
      <w:pPr>
        <w:pStyle w:val="BodyText"/>
      </w:pPr>
    </w:p>
    <w:p>
      <w:pPr>
        <w:pStyle w:val="ListParagraph"/>
        <w:numPr>
          <w:ilvl w:val="1"/>
          <w:numId w:val="242"/>
        </w:numPr>
        <w:tabs>
          <w:tab w:pos="2024" w:val="left" w:leader="none"/>
          <w:tab w:pos="2025" w:val="left" w:leader="none"/>
        </w:tabs>
        <w:spacing w:line="235" w:lineRule="auto" w:before="0" w:after="0"/>
        <w:ind w:left="1344" w:right="1347" w:firstLine="0"/>
        <w:jc w:val="left"/>
        <w:rPr>
          <w:sz w:val="20"/>
        </w:rPr>
      </w:pPr>
      <w:r>
        <w:rPr>
          <w:w w:val="120"/>
          <w:sz w:val="20"/>
        </w:rPr>
        <w:t>Kairos Active Communities take their commitment a stage further. They educate and inspire their own members and the wider community and undertake</w:t>
      </w:r>
      <w:r>
        <w:rPr>
          <w:spacing w:val="48"/>
          <w:w w:val="120"/>
          <w:sz w:val="20"/>
        </w:rPr>
        <w:t> </w:t>
      </w:r>
      <w:r>
        <w:rPr>
          <w:w w:val="120"/>
          <w:sz w:val="20"/>
        </w:rPr>
        <w:t>activities</w:t>
      </w:r>
    </w:p>
    <w:p>
      <w:pPr>
        <w:pStyle w:val="BodyText"/>
        <w:spacing w:line="235" w:lineRule="auto" w:before="1"/>
        <w:ind w:left="1344" w:right="1478"/>
      </w:pPr>
      <w:r>
        <w:rPr>
          <w:w w:val="120"/>
        </w:rPr>
        <w:t>(at least three in the first year) that promote a just and lasting peace in Palestine and Israel, including: praying regularly for a just peace; promoting boycott, disinvestment and sanctions of anything associated with Israel’s occupation; engaging with political representatives; organising visits to Israel/Palestine; and supporting the Palestinian economy by selling Palestinian products.</w:t>
      </w:r>
    </w:p>
    <w:p>
      <w:pPr>
        <w:spacing w:after="0" w:line="235" w:lineRule="auto"/>
        <w:sectPr>
          <w:headerReference w:type="default" r:id="rId584"/>
          <w:pgSz w:w="11910" w:h="16840"/>
          <w:pgMar w:header="0" w:footer="647" w:top="0" w:bottom="840" w:left="640" w:right="0"/>
        </w:sectPr>
      </w:pPr>
    </w:p>
    <w:p>
      <w:pPr>
        <w:pStyle w:val="BodyText"/>
      </w:pPr>
      <w:r>
        <w:rPr/>
        <w:drawing>
          <wp:anchor distT="0" distB="0" distL="0" distR="0" allowOverlap="1" layoutInCell="1" locked="0" behindDoc="1" simplePos="0" relativeHeight="235797504">
            <wp:simplePos x="0" y="0"/>
            <wp:positionH relativeFrom="page">
              <wp:posOffset>0</wp:posOffset>
            </wp:positionH>
            <wp:positionV relativeFrom="page">
              <wp:posOffset>0</wp:posOffset>
            </wp:positionV>
            <wp:extent cx="594067" cy="10692003"/>
            <wp:effectExtent l="0" t="0" r="0" b="0"/>
            <wp:wrapNone/>
            <wp:docPr id="423" name="image67.png"/>
            <wp:cNvGraphicFramePr>
              <a:graphicFrameLocks noChangeAspect="1"/>
            </wp:cNvGraphicFramePr>
            <a:graphic>
              <a:graphicData uri="http://schemas.openxmlformats.org/drawingml/2006/picture">
                <pic:pic>
                  <pic:nvPicPr>
                    <pic:cNvPr id="424" name="image67.png"/>
                    <pic:cNvPicPr/>
                  </pic:nvPicPr>
                  <pic:blipFill>
                    <a:blip r:embed="rId184" cstate="print"/>
                    <a:stretch>
                      <a:fillRect/>
                    </a:stretch>
                  </pic:blipFill>
                  <pic:spPr>
                    <a:xfrm>
                      <a:off x="0" y="0"/>
                      <a:ext cx="594067" cy="10692003"/>
                    </a:xfrm>
                    <a:prstGeom prst="rect">
                      <a:avLst/>
                    </a:prstGeom>
                  </pic:spPr>
                </pic:pic>
              </a:graphicData>
            </a:graphic>
          </wp:anchor>
        </w:drawing>
      </w:r>
      <w:r>
        <w:rPr/>
        <w:pict>
          <v:shape style="position:absolute;margin-left:20.519100pt;margin-top:48.890015pt;width:25.9pt;height:164.45pt;mso-position-horizontal-relative:page;mso-position-vertical-relative:page;z-index:-267514880" type="#_x0000_t202" filled="false" stroked="false">
            <v:textbox inset="0,0,0,0" style="layout-flow:vertical">
              <w:txbxContent>
                <w:p>
                  <w:pPr>
                    <w:spacing w:before="27"/>
                    <w:ind w:left="20" w:right="0" w:firstLine="0"/>
                    <w:jc w:val="left"/>
                    <w:rPr>
                      <w:sz w:val="39"/>
                    </w:rPr>
                  </w:pPr>
                  <w:r>
                    <w:rPr>
                      <w:color w:val="FFFFFF"/>
                      <w:w w:val="125"/>
                      <w:sz w:val="39"/>
                    </w:rPr>
                    <w:t>Southern Synod</w:t>
                  </w:r>
                </w:p>
              </w:txbxContent>
            </v:textbox>
            <w10:wrap type="none"/>
          </v:shape>
        </w:pict>
      </w:r>
    </w:p>
    <w:p>
      <w:pPr>
        <w:pStyle w:val="BodyText"/>
      </w:pPr>
    </w:p>
    <w:p>
      <w:pPr>
        <w:pStyle w:val="BodyText"/>
      </w:pPr>
    </w:p>
    <w:p>
      <w:pPr>
        <w:pStyle w:val="BodyText"/>
        <w:spacing w:before="5"/>
        <w:rPr>
          <w:sz w:val="28"/>
        </w:rPr>
      </w:pPr>
    </w:p>
    <w:p>
      <w:pPr>
        <w:spacing w:line="638" w:lineRule="exact" w:before="97"/>
        <w:ind w:left="607" w:right="0" w:firstLine="0"/>
        <w:jc w:val="left"/>
        <w:rPr>
          <w:rFonts w:ascii="Stone Sans II ITC Std X Bd"/>
          <w:b/>
          <w:sz w:val="50"/>
        </w:rPr>
      </w:pPr>
      <w:bookmarkStart w:name="_TOC_250000" w:id="27"/>
      <w:bookmarkEnd w:id="27"/>
      <w:r>
        <w:rPr>
          <w:rFonts w:ascii="Stone Sans II ITC Std X Bd"/>
          <w:b/>
          <w:color w:val="0090D4"/>
          <w:w w:val="110"/>
          <w:sz w:val="50"/>
        </w:rPr>
        <w:t>Southern Synod:</w:t>
      </w:r>
    </w:p>
    <w:p>
      <w:pPr>
        <w:spacing w:line="638" w:lineRule="exact" w:before="0"/>
        <w:ind w:left="607" w:right="0" w:firstLine="0"/>
        <w:jc w:val="left"/>
        <w:rPr>
          <w:rFonts w:ascii="Stone Sans II ITC Std X Bd"/>
          <w:b/>
          <w:sz w:val="50"/>
        </w:rPr>
      </w:pPr>
      <w:r>
        <w:rPr>
          <w:rFonts w:ascii="Stone Sans II ITC Std X Bd"/>
          <w:b/>
          <w:w w:val="110"/>
          <w:sz w:val="50"/>
        </w:rPr>
        <w:t>The budget of the Church</w:t>
      </w:r>
    </w:p>
    <w:p>
      <w:pPr>
        <w:pStyle w:val="Heading4"/>
        <w:spacing w:before="308"/>
      </w:pPr>
      <w:r>
        <w:rPr/>
        <w:pict>
          <v:shape style="position:absolute;margin-left:62.612003pt;margin-top:31.829884pt;width:462.1pt;height:139.550pt;mso-position-horizontal-relative:page;mso-position-vertical-relative:paragraph;z-index:-267517952" coordorigin="1252,637" coordsize="9242,2791" path="m10494,637l3912,637,1252,637,1252,3427,3912,3427,10494,3427,10494,637e" filled="true" fillcolor="#ffffff" stroked="false">
            <v:path arrowok="t"/>
            <v:fill type="solid"/>
            <w10:wrap type="none"/>
          </v:shape>
        </w:pict>
      </w:r>
      <w:r>
        <w:rPr>
          <w:color w:val="7F7F7F"/>
        </w:rPr>
        <w:t>Basic Information</w:t>
      </w:r>
    </w:p>
    <w:tbl>
      <w:tblPr>
        <w:tblW w:w="0" w:type="auto"/>
        <w:jc w:val="left"/>
        <w:tblInd w:w="6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660"/>
        <w:gridCol w:w="6582"/>
      </w:tblGrid>
      <w:tr>
        <w:trPr>
          <w:trHeight w:val="680" w:hRule="atLeast"/>
        </w:trPr>
        <w:tc>
          <w:tcPr>
            <w:tcW w:w="2660" w:type="dxa"/>
          </w:tcPr>
          <w:p>
            <w:pPr>
              <w:pStyle w:val="TableParagraph"/>
              <w:spacing w:line="213" w:lineRule="auto" w:before="151"/>
              <w:ind w:right="595"/>
              <w:rPr>
                <w:rFonts w:ascii="Stone Sans II ITC Std Bk"/>
                <w:b/>
                <w:sz w:val="20"/>
              </w:rPr>
            </w:pPr>
            <w:r>
              <w:rPr>
                <w:rFonts w:ascii="Stone Sans II ITC Std Bk"/>
                <w:b/>
                <w:w w:val="110"/>
                <w:sz w:val="20"/>
              </w:rPr>
              <w:t>Contact name and email address</w:t>
            </w:r>
          </w:p>
        </w:tc>
        <w:tc>
          <w:tcPr>
            <w:tcW w:w="6582" w:type="dxa"/>
          </w:tcPr>
          <w:p>
            <w:pPr>
              <w:pStyle w:val="TableParagraph"/>
              <w:spacing w:before="141"/>
              <w:rPr>
                <w:sz w:val="20"/>
              </w:rPr>
            </w:pPr>
            <w:r>
              <w:rPr>
                <w:w w:val="120"/>
                <w:sz w:val="20"/>
              </w:rPr>
              <w:t>The Revd Dr Alan Spence: </w:t>
            </w:r>
            <w:hyperlink r:id="rId588">
              <w:r>
                <w:rPr>
                  <w:color w:val="006AB3"/>
                  <w:w w:val="120"/>
                  <w:sz w:val="20"/>
                </w:rPr>
                <w:t>alanandsheila@googlemail.com</w:t>
              </w:r>
            </w:hyperlink>
          </w:p>
        </w:tc>
      </w:tr>
      <w:tr>
        <w:trPr>
          <w:trHeight w:val="440" w:hRule="atLeast"/>
        </w:trPr>
        <w:tc>
          <w:tcPr>
            <w:tcW w:w="2660" w:type="dxa"/>
          </w:tcPr>
          <w:p>
            <w:pPr>
              <w:pStyle w:val="TableParagraph"/>
              <w:spacing w:before="128"/>
              <w:rPr>
                <w:rFonts w:ascii="Stone Sans II ITC Std Bk"/>
                <w:b/>
                <w:sz w:val="20"/>
              </w:rPr>
            </w:pPr>
            <w:r>
              <w:rPr>
                <w:rFonts w:ascii="Stone Sans II ITC Std Bk"/>
                <w:b/>
                <w:w w:val="110"/>
                <w:sz w:val="20"/>
              </w:rPr>
              <w:t>Action required</w:t>
            </w:r>
          </w:p>
        </w:tc>
        <w:tc>
          <w:tcPr>
            <w:tcW w:w="6582" w:type="dxa"/>
          </w:tcPr>
          <w:p>
            <w:pPr>
              <w:pStyle w:val="TableParagraph"/>
              <w:spacing w:before="141"/>
              <w:rPr>
                <w:sz w:val="20"/>
              </w:rPr>
            </w:pPr>
            <w:r>
              <w:rPr>
                <w:w w:val="120"/>
                <w:sz w:val="20"/>
              </w:rPr>
              <w:t>Decision</w:t>
            </w:r>
          </w:p>
        </w:tc>
      </w:tr>
      <w:tr>
        <w:trPr>
          <w:trHeight w:val="1640" w:hRule="atLeast"/>
        </w:trPr>
        <w:tc>
          <w:tcPr>
            <w:tcW w:w="2660" w:type="dxa"/>
          </w:tcPr>
          <w:p>
            <w:pPr>
              <w:pStyle w:val="TableParagraph"/>
              <w:spacing w:before="128"/>
              <w:rPr>
                <w:rFonts w:ascii="Stone Sans II ITC Std Bk"/>
                <w:b/>
                <w:sz w:val="20"/>
              </w:rPr>
            </w:pPr>
            <w:r>
              <w:rPr>
                <w:rFonts w:ascii="Stone Sans II ITC Std Bk"/>
                <w:b/>
                <w:w w:val="110"/>
                <w:sz w:val="20"/>
              </w:rPr>
              <w:t>Draft resolution(s)</w:t>
            </w:r>
          </w:p>
        </w:tc>
        <w:tc>
          <w:tcPr>
            <w:tcW w:w="6582" w:type="dxa"/>
          </w:tcPr>
          <w:p>
            <w:pPr>
              <w:pStyle w:val="TableParagraph"/>
              <w:tabs>
                <w:tab w:pos="760" w:val="left" w:leader="none"/>
              </w:tabs>
              <w:spacing w:line="213" w:lineRule="auto" w:before="151"/>
              <w:ind w:right="122"/>
              <w:rPr>
                <w:rFonts w:ascii="Stone Sans II ITC Std Bk"/>
                <w:b/>
                <w:sz w:val="20"/>
              </w:rPr>
            </w:pPr>
            <w:r>
              <w:rPr>
                <w:rFonts w:ascii="Stone Sans II ITC Std Bk"/>
                <w:b/>
                <w:w w:val="110"/>
                <w:sz w:val="20"/>
              </w:rPr>
              <w:t>38.</w:t>
              <w:tab/>
              <w:t>General Assembly resolves that at its future meetings it will, as part of its regular business, receive the budget of the Church for the next financial year for approval. In years when General Assembly does not meet, Mission Council, acting on behalf of Assembly, will receive the annual budget for</w:t>
            </w:r>
            <w:r>
              <w:rPr>
                <w:rFonts w:ascii="Stone Sans II ITC Std Bk"/>
                <w:b/>
                <w:spacing w:val="-1"/>
                <w:w w:val="110"/>
                <w:sz w:val="20"/>
              </w:rPr>
              <w:t> </w:t>
            </w:r>
            <w:r>
              <w:rPr>
                <w:rFonts w:ascii="Stone Sans II ITC Std Bk"/>
                <w:b/>
                <w:w w:val="110"/>
                <w:sz w:val="20"/>
              </w:rPr>
              <w:t>approval.</w:t>
            </w:r>
          </w:p>
        </w:tc>
      </w:tr>
    </w:tbl>
    <w:p>
      <w:pPr>
        <w:pStyle w:val="BodyText"/>
        <w:spacing w:before="4"/>
        <w:rPr>
          <w:rFonts w:ascii="Stone Sans II ITC Std Bk"/>
          <w:b/>
          <w:sz w:val="29"/>
        </w:rPr>
      </w:pPr>
    </w:p>
    <w:p>
      <w:pPr>
        <w:pStyle w:val="Heading4"/>
      </w:pPr>
      <w:r>
        <w:rPr/>
        <w:pict>
          <v:shape style="position:absolute;margin-left:62.612003pt;margin-top:16.430151pt;width:462.1pt;height:186.05pt;mso-position-horizontal-relative:page;mso-position-vertical-relative:paragraph;z-index:-267516928" coordorigin="1252,329" coordsize="9242,3721" path="m10494,329l3912,329,1252,329,1252,4049,3912,4049,10494,4049,10494,329e" filled="true" fillcolor="#ffffff" stroked="false">
            <v:path arrowok="t"/>
            <v:fill type="solid"/>
            <w10:wrap type="none"/>
          </v:shape>
        </w:pict>
      </w:r>
      <w:r>
        <w:rPr>
          <w:color w:val="7F7F7F"/>
        </w:rPr>
        <w:t>Summary of Content</w:t>
      </w:r>
    </w:p>
    <w:tbl>
      <w:tblPr>
        <w:tblW w:w="0" w:type="auto"/>
        <w:jc w:val="left"/>
        <w:tblInd w:w="6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660"/>
        <w:gridCol w:w="6582"/>
      </w:tblGrid>
      <w:tr>
        <w:trPr>
          <w:trHeight w:val="680" w:hRule="atLeast"/>
        </w:trPr>
        <w:tc>
          <w:tcPr>
            <w:tcW w:w="2660" w:type="dxa"/>
          </w:tcPr>
          <w:p>
            <w:pPr>
              <w:pStyle w:val="TableParagraph"/>
              <w:spacing w:before="128"/>
              <w:rPr>
                <w:rFonts w:ascii="Stone Sans II ITC Std Bk"/>
                <w:b/>
                <w:sz w:val="20"/>
              </w:rPr>
            </w:pPr>
            <w:r>
              <w:rPr>
                <w:rFonts w:ascii="Stone Sans II ITC Std Bk"/>
                <w:b/>
                <w:w w:val="110"/>
                <w:sz w:val="20"/>
              </w:rPr>
              <w:t>Subject and aim(s)</w:t>
            </w:r>
          </w:p>
        </w:tc>
        <w:tc>
          <w:tcPr>
            <w:tcW w:w="6582" w:type="dxa"/>
          </w:tcPr>
          <w:p>
            <w:pPr>
              <w:pStyle w:val="TableParagraph"/>
              <w:spacing w:line="235" w:lineRule="auto" w:before="145"/>
              <w:ind w:right="396"/>
              <w:rPr>
                <w:sz w:val="20"/>
              </w:rPr>
            </w:pPr>
            <w:r>
              <w:rPr>
                <w:w w:val="120"/>
                <w:sz w:val="20"/>
              </w:rPr>
              <w:t>The role of the General Assembly in approving the budget of the Church</w:t>
            </w:r>
          </w:p>
        </w:tc>
      </w:tr>
      <w:tr>
        <w:trPr>
          <w:trHeight w:val="1640" w:hRule="atLeast"/>
        </w:trPr>
        <w:tc>
          <w:tcPr>
            <w:tcW w:w="2660" w:type="dxa"/>
          </w:tcPr>
          <w:p>
            <w:pPr>
              <w:pStyle w:val="TableParagraph"/>
              <w:spacing w:before="128"/>
              <w:rPr>
                <w:rFonts w:ascii="Stone Sans II ITC Std Bk"/>
                <w:b/>
                <w:sz w:val="20"/>
              </w:rPr>
            </w:pPr>
            <w:r>
              <w:rPr>
                <w:rFonts w:ascii="Stone Sans II ITC Std Bk"/>
                <w:b/>
                <w:w w:val="110"/>
                <w:sz w:val="20"/>
              </w:rPr>
              <w:t>Main points</w:t>
            </w:r>
          </w:p>
        </w:tc>
        <w:tc>
          <w:tcPr>
            <w:tcW w:w="6582" w:type="dxa"/>
          </w:tcPr>
          <w:p>
            <w:pPr>
              <w:pStyle w:val="TableParagraph"/>
              <w:spacing w:line="235" w:lineRule="auto" w:before="145"/>
              <w:rPr>
                <w:sz w:val="20"/>
              </w:rPr>
            </w:pPr>
            <w:r>
              <w:rPr>
                <w:w w:val="120"/>
                <w:sz w:val="20"/>
              </w:rPr>
              <w:t>For the sake of good financial practice, for the greater ownership by the denomination of the Church’s decisions regarding finance and in accordance with its commitment to conciliarity, Southern Synod believes it is appropriate to legislate that one of the functions of the General Assembly is to receive the Church’s budget for approval in the years that it meets</w:t>
            </w:r>
          </w:p>
        </w:tc>
      </w:tr>
      <w:tr>
        <w:trPr>
          <w:trHeight w:val="680" w:hRule="atLeast"/>
        </w:trPr>
        <w:tc>
          <w:tcPr>
            <w:tcW w:w="2660" w:type="dxa"/>
          </w:tcPr>
          <w:p>
            <w:pPr>
              <w:pStyle w:val="TableParagraph"/>
              <w:spacing w:line="213" w:lineRule="auto" w:before="151"/>
              <w:ind w:right="701"/>
              <w:rPr>
                <w:rFonts w:ascii="Stone Sans II ITC Std Bk"/>
                <w:b/>
                <w:sz w:val="20"/>
              </w:rPr>
            </w:pPr>
            <w:r>
              <w:rPr>
                <w:rFonts w:ascii="Stone Sans II ITC Std Bk"/>
                <w:b/>
                <w:w w:val="110"/>
                <w:sz w:val="20"/>
              </w:rPr>
              <w:t>Previous relevant documents</w:t>
            </w:r>
          </w:p>
        </w:tc>
        <w:tc>
          <w:tcPr>
            <w:tcW w:w="6582" w:type="dxa"/>
          </w:tcPr>
          <w:p>
            <w:pPr>
              <w:pStyle w:val="TableParagraph"/>
              <w:spacing w:before="141"/>
              <w:rPr>
                <w:sz w:val="20"/>
              </w:rPr>
            </w:pPr>
            <w:r>
              <w:rPr>
                <w:w w:val="120"/>
                <w:sz w:val="20"/>
              </w:rPr>
              <w:t>The URC Manual B.2.(6) (ii) (General Assembly functions)</w:t>
            </w:r>
          </w:p>
        </w:tc>
      </w:tr>
      <w:tr>
        <w:trPr>
          <w:trHeight w:val="680" w:hRule="atLeast"/>
        </w:trPr>
        <w:tc>
          <w:tcPr>
            <w:tcW w:w="2660" w:type="dxa"/>
          </w:tcPr>
          <w:p>
            <w:pPr>
              <w:pStyle w:val="TableParagraph"/>
              <w:spacing w:line="213" w:lineRule="auto" w:before="151"/>
              <w:ind w:right="576"/>
              <w:rPr>
                <w:rFonts w:ascii="Stone Sans II ITC Std Bk"/>
                <w:b/>
                <w:sz w:val="20"/>
              </w:rPr>
            </w:pPr>
            <w:r>
              <w:rPr>
                <w:rFonts w:ascii="Stone Sans II ITC Std Bk"/>
                <w:b/>
                <w:w w:val="110"/>
                <w:sz w:val="20"/>
              </w:rPr>
              <w:t>Consultation has taken place with...</w:t>
            </w:r>
          </w:p>
        </w:tc>
        <w:tc>
          <w:tcPr>
            <w:tcW w:w="6582" w:type="dxa"/>
          </w:tcPr>
          <w:p>
            <w:pPr>
              <w:pStyle w:val="TableParagraph"/>
              <w:spacing w:before="141"/>
              <w:rPr>
                <w:sz w:val="20"/>
              </w:rPr>
            </w:pPr>
            <w:r>
              <w:rPr>
                <w:w w:val="120"/>
                <w:sz w:val="20"/>
              </w:rPr>
              <w:t>The Treasurer</w:t>
            </w:r>
          </w:p>
        </w:tc>
      </w:tr>
    </w:tbl>
    <w:p>
      <w:pPr>
        <w:pStyle w:val="BodyText"/>
        <w:spacing w:before="3"/>
        <w:rPr>
          <w:rFonts w:ascii="Stone Sans II ITC Std Bk"/>
          <w:b/>
          <w:sz w:val="29"/>
        </w:rPr>
      </w:pPr>
    </w:p>
    <w:p>
      <w:pPr>
        <w:pStyle w:val="Heading4"/>
      </w:pPr>
      <w:r>
        <w:rPr/>
        <w:pict>
          <v:shape style="position:absolute;margin-left:62.612003pt;margin-top:16.429787pt;width:462.1pt;height:57.05pt;mso-position-horizontal-relative:page;mso-position-vertical-relative:paragraph;z-index:-267515904" coordorigin="1252,329" coordsize="9242,1141" path="m10494,329l3912,329,1252,329,1252,1469,3912,1469,10494,1469,10494,329e" filled="true" fillcolor="#ffffff" stroked="false">
            <v:path arrowok="t"/>
            <v:fill type="solid"/>
            <w10:wrap type="none"/>
          </v:shape>
        </w:pict>
      </w:r>
      <w:r>
        <w:rPr>
          <w:color w:val="7F7F7F"/>
        </w:rPr>
        <w:t>Summary of Impact</w:t>
      </w:r>
    </w:p>
    <w:tbl>
      <w:tblPr>
        <w:tblW w:w="0" w:type="auto"/>
        <w:jc w:val="left"/>
        <w:tblInd w:w="6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660"/>
        <w:gridCol w:w="6582"/>
      </w:tblGrid>
      <w:tr>
        <w:trPr>
          <w:trHeight w:val="440" w:hRule="atLeast"/>
        </w:trPr>
        <w:tc>
          <w:tcPr>
            <w:tcW w:w="2660" w:type="dxa"/>
          </w:tcPr>
          <w:p>
            <w:pPr>
              <w:pStyle w:val="TableParagraph"/>
              <w:spacing w:before="128"/>
              <w:rPr>
                <w:rFonts w:ascii="Stone Sans II ITC Std Bk"/>
                <w:b/>
                <w:sz w:val="20"/>
              </w:rPr>
            </w:pPr>
            <w:r>
              <w:rPr>
                <w:rFonts w:ascii="Stone Sans II ITC Std Bk"/>
                <w:b/>
                <w:w w:val="110"/>
                <w:sz w:val="20"/>
              </w:rPr>
              <w:t>Financial</w:t>
            </w:r>
          </w:p>
        </w:tc>
        <w:tc>
          <w:tcPr>
            <w:tcW w:w="6582" w:type="dxa"/>
          </w:tcPr>
          <w:p>
            <w:pPr>
              <w:pStyle w:val="TableParagraph"/>
              <w:spacing w:before="141"/>
              <w:rPr>
                <w:sz w:val="20"/>
              </w:rPr>
            </w:pPr>
            <w:r>
              <w:rPr>
                <w:w w:val="120"/>
                <w:sz w:val="20"/>
              </w:rPr>
              <w:t>No cost</w:t>
            </w:r>
          </w:p>
        </w:tc>
      </w:tr>
      <w:tr>
        <w:trPr>
          <w:trHeight w:val="680" w:hRule="atLeast"/>
        </w:trPr>
        <w:tc>
          <w:tcPr>
            <w:tcW w:w="2660" w:type="dxa"/>
          </w:tcPr>
          <w:p>
            <w:pPr>
              <w:pStyle w:val="TableParagraph"/>
              <w:spacing w:line="255" w:lineRule="exact" w:before="128"/>
              <w:rPr>
                <w:rFonts w:ascii="Stone Sans II ITC Std Bk"/>
                <w:b/>
                <w:sz w:val="20"/>
              </w:rPr>
            </w:pPr>
            <w:r>
              <w:rPr>
                <w:rFonts w:ascii="Stone Sans II ITC Std Bk"/>
                <w:b/>
                <w:w w:val="110"/>
                <w:sz w:val="20"/>
              </w:rPr>
              <w:t>External</w:t>
            </w:r>
          </w:p>
          <w:p>
            <w:pPr>
              <w:pStyle w:val="TableParagraph"/>
              <w:spacing w:line="255" w:lineRule="exact"/>
              <w:rPr>
                <w:rFonts w:ascii="Stone Sans II ITC Std Bk"/>
                <w:b/>
                <w:sz w:val="20"/>
              </w:rPr>
            </w:pPr>
            <w:r>
              <w:rPr>
                <w:rFonts w:ascii="Stone Sans II ITC Std Bk"/>
                <w:b/>
                <w:w w:val="110"/>
                <w:sz w:val="20"/>
              </w:rPr>
              <w:t>(e.g. ecumenical)</w:t>
            </w:r>
          </w:p>
        </w:tc>
        <w:tc>
          <w:tcPr>
            <w:tcW w:w="6582" w:type="dxa"/>
          </w:tcPr>
          <w:p>
            <w:pPr>
              <w:pStyle w:val="TableParagraph"/>
              <w:spacing w:before="141"/>
              <w:rPr>
                <w:sz w:val="20"/>
              </w:rPr>
            </w:pPr>
            <w:r>
              <w:rPr>
                <w:w w:val="120"/>
                <w:sz w:val="20"/>
              </w:rPr>
              <w:t>Not applicable.</w:t>
            </w:r>
          </w:p>
        </w:tc>
      </w:tr>
    </w:tbl>
    <w:p>
      <w:pPr>
        <w:spacing w:after="0"/>
        <w:rPr>
          <w:sz w:val="20"/>
        </w:rPr>
        <w:sectPr>
          <w:headerReference w:type="even" r:id="rId585"/>
          <w:footerReference w:type="even" r:id="rId586"/>
          <w:footerReference w:type="default" r:id="rId587"/>
          <w:pgSz w:w="11910" w:h="16840"/>
          <w:pgMar w:header="0" w:footer="647" w:top="0" w:bottom="840" w:left="640" w:right="0"/>
          <w:pgNumType w:start="222"/>
        </w:sectPr>
      </w:pPr>
    </w:p>
    <w:p>
      <w:pPr>
        <w:pStyle w:val="BodyText"/>
        <w:rPr>
          <w:rFonts w:ascii="Stone Sans II ITC Std Bk"/>
          <w:b/>
        </w:rPr>
      </w:pPr>
      <w:r>
        <w:rPr/>
        <w:pict>
          <v:shape style="position:absolute;margin-left:0pt;margin-top:.000015pt;width:.1pt;height:841.9pt;mso-position-horizontal-relative:page;mso-position-vertical-relative:page;z-index:252256256" coordorigin="0,0" coordsize="0,16838" path="m0,0l0,16838m0,0l0,16838e" filled="false" stroked="true" strokeweight="0pt" strokecolor="#d4e9f7">
            <v:path arrowok="t"/>
            <v:stroke dashstyle="solid"/>
            <w10:wrap type="none"/>
          </v:shape>
        </w:pict>
      </w:r>
      <w:r>
        <w:rPr/>
        <w:drawing>
          <wp:anchor distT="0" distB="0" distL="0" distR="0" allowOverlap="1" layoutInCell="1" locked="0" behindDoc="0" simplePos="0" relativeHeight="252257280">
            <wp:simplePos x="0" y="0"/>
            <wp:positionH relativeFrom="page">
              <wp:posOffset>6974928</wp:posOffset>
            </wp:positionH>
            <wp:positionV relativeFrom="page">
              <wp:posOffset>0</wp:posOffset>
            </wp:positionV>
            <wp:extent cx="585063" cy="10692003"/>
            <wp:effectExtent l="0" t="0" r="0" b="0"/>
            <wp:wrapNone/>
            <wp:docPr id="425" name="image54.png"/>
            <wp:cNvGraphicFramePr>
              <a:graphicFrameLocks noChangeAspect="1"/>
            </wp:cNvGraphicFramePr>
            <a:graphic>
              <a:graphicData uri="http://schemas.openxmlformats.org/drawingml/2006/picture">
                <pic:pic>
                  <pic:nvPicPr>
                    <pic:cNvPr id="426" name="image54.png"/>
                    <pic:cNvPicPr/>
                  </pic:nvPicPr>
                  <pic:blipFill>
                    <a:blip r:embed="rId169" cstate="print"/>
                    <a:stretch>
                      <a:fillRect/>
                    </a:stretch>
                  </pic:blipFill>
                  <pic:spPr>
                    <a:xfrm>
                      <a:off x="0" y="0"/>
                      <a:ext cx="585063" cy="10692003"/>
                    </a:xfrm>
                    <a:prstGeom prst="rect">
                      <a:avLst/>
                    </a:prstGeom>
                  </pic:spPr>
                </pic:pic>
              </a:graphicData>
            </a:graphic>
          </wp:anchor>
        </w:drawing>
      </w:r>
    </w:p>
    <w:p>
      <w:pPr>
        <w:pStyle w:val="BodyText"/>
        <w:rPr>
          <w:rFonts w:ascii="Stone Sans II ITC Std Bk"/>
          <w:b/>
        </w:rPr>
      </w:pPr>
    </w:p>
    <w:p>
      <w:pPr>
        <w:pStyle w:val="BodyText"/>
        <w:rPr>
          <w:rFonts w:ascii="Stone Sans II ITC Std Bk"/>
          <w:b/>
        </w:rPr>
      </w:pPr>
    </w:p>
    <w:p>
      <w:pPr>
        <w:pStyle w:val="BodyText"/>
        <w:spacing w:before="11"/>
        <w:rPr>
          <w:rFonts w:ascii="Stone Sans II ITC Std Bk"/>
          <w:b/>
          <w:sz w:val="19"/>
        </w:rPr>
      </w:pPr>
    </w:p>
    <w:p>
      <w:pPr>
        <w:spacing w:before="98"/>
        <w:ind w:left="1344" w:right="0" w:firstLine="0"/>
        <w:jc w:val="both"/>
        <w:rPr>
          <w:rFonts w:ascii="Stone Sans II ITC Std X Bd"/>
          <w:b/>
          <w:sz w:val="50"/>
        </w:rPr>
      </w:pPr>
      <w:r>
        <w:rPr/>
        <w:pict>
          <v:shape style="position:absolute;margin-left:554.141174pt;margin-top:-5.948083pt;width:25.9pt;height:164.45pt;mso-position-horizontal-relative:page;mso-position-vertical-relative:paragraph;z-index:252258304" type="#_x0000_t202" filled="false" stroked="false">
            <v:textbox inset="0,0,0,0" style="layout-flow:vertical">
              <w:txbxContent>
                <w:p>
                  <w:pPr>
                    <w:spacing w:before="27"/>
                    <w:ind w:left="20" w:right="0" w:firstLine="0"/>
                    <w:jc w:val="left"/>
                    <w:rPr>
                      <w:sz w:val="39"/>
                    </w:rPr>
                  </w:pPr>
                  <w:r>
                    <w:rPr>
                      <w:color w:val="FFFFFF"/>
                      <w:w w:val="125"/>
                      <w:sz w:val="39"/>
                    </w:rPr>
                    <w:t>Southern Synod</w:t>
                  </w:r>
                </w:p>
              </w:txbxContent>
            </v:textbox>
            <w10:wrap type="none"/>
          </v:shape>
        </w:pict>
      </w:r>
      <w:r>
        <w:rPr>
          <w:rFonts w:ascii="Stone Sans II ITC Std X Bd"/>
          <w:b/>
          <w:w w:val="110"/>
          <w:sz w:val="50"/>
        </w:rPr>
        <w:t>The budget of the Church</w:t>
      </w:r>
    </w:p>
    <w:p>
      <w:pPr>
        <w:pStyle w:val="BodyText"/>
        <w:spacing w:line="235" w:lineRule="auto" w:before="364"/>
        <w:ind w:left="1344" w:right="1489"/>
        <w:jc w:val="both"/>
      </w:pPr>
      <w:r>
        <w:rPr>
          <w:w w:val="120"/>
        </w:rPr>
        <w:t>This resolution was agreed by Southern Synod in March 2016. It will be proposed at Assembly by the Revd Dr Alan Spence and seconded by the Revd Nicola Furley-Smith.</w:t>
      </w:r>
    </w:p>
    <w:p>
      <w:pPr>
        <w:pStyle w:val="BodyText"/>
        <w:spacing w:before="10"/>
        <w:rPr>
          <w:sz w:val="19"/>
        </w:rPr>
      </w:pPr>
    </w:p>
    <w:p>
      <w:pPr>
        <w:pStyle w:val="ListParagraph"/>
        <w:numPr>
          <w:ilvl w:val="0"/>
          <w:numId w:val="243"/>
        </w:numPr>
        <w:tabs>
          <w:tab w:pos="2024" w:val="left" w:leader="none"/>
          <w:tab w:pos="2025" w:val="left" w:leader="none"/>
        </w:tabs>
        <w:spacing w:line="235" w:lineRule="auto" w:before="0" w:after="0"/>
        <w:ind w:left="1344" w:right="1323" w:firstLine="0"/>
        <w:jc w:val="left"/>
        <w:rPr>
          <w:sz w:val="20"/>
        </w:rPr>
      </w:pPr>
      <w:r>
        <w:rPr>
          <w:w w:val="120"/>
          <w:sz w:val="20"/>
        </w:rPr>
        <w:t>Democracy is </w:t>
      </w:r>
      <w:r>
        <w:rPr>
          <w:spacing w:val="2"/>
          <w:w w:val="120"/>
          <w:sz w:val="20"/>
        </w:rPr>
        <w:t>part </w:t>
      </w:r>
      <w:r>
        <w:rPr>
          <w:w w:val="120"/>
          <w:sz w:val="20"/>
        </w:rPr>
        <w:t>of the DNA of the United Reformed Church. The conciliar traditions of our forebears led them to challenge autocratic government, not only in  the church but also in the state, even if it meant going to war with the king. In so doing they played a significant role in shaping democratic government first in Britain and   then across the world. It is a remarkable heritage of which we can be justly proud. But democratic institutions are not always popular. Those concerned with efficiency and good order often find conciliar decision-making to be cumbersome, time-consuming and messy. And so democratic institutions have to be vigorously defended or they will inevitably be undermined by the bureaucratic requirement for greater efficiency along with the ever present centripetal forces of</w:t>
      </w:r>
      <w:r>
        <w:rPr>
          <w:spacing w:val="12"/>
          <w:w w:val="120"/>
          <w:sz w:val="20"/>
        </w:rPr>
        <w:t> </w:t>
      </w:r>
      <w:r>
        <w:rPr>
          <w:spacing w:val="-3"/>
          <w:w w:val="120"/>
          <w:sz w:val="20"/>
        </w:rPr>
        <w:t>power.</w:t>
      </w:r>
    </w:p>
    <w:p>
      <w:pPr>
        <w:pStyle w:val="BodyText"/>
        <w:spacing w:before="3"/>
      </w:pPr>
    </w:p>
    <w:p>
      <w:pPr>
        <w:pStyle w:val="ListParagraph"/>
        <w:numPr>
          <w:ilvl w:val="0"/>
          <w:numId w:val="243"/>
        </w:numPr>
        <w:tabs>
          <w:tab w:pos="2024" w:val="left" w:leader="none"/>
          <w:tab w:pos="2025" w:val="left" w:leader="none"/>
        </w:tabs>
        <w:spacing w:line="235" w:lineRule="auto" w:before="0" w:after="0"/>
        <w:ind w:left="1344" w:right="1366" w:firstLine="0"/>
        <w:jc w:val="left"/>
        <w:rPr>
          <w:sz w:val="20"/>
        </w:rPr>
      </w:pPr>
      <w:r>
        <w:rPr>
          <w:w w:val="120"/>
          <w:sz w:val="20"/>
        </w:rPr>
        <w:t>At the </w:t>
      </w:r>
      <w:r>
        <w:rPr>
          <w:spacing w:val="-7"/>
          <w:w w:val="120"/>
          <w:sz w:val="20"/>
        </w:rPr>
        <w:t>2014 </w:t>
      </w:r>
      <w:r>
        <w:rPr>
          <w:w w:val="120"/>
          <w:sz w:val="20"/>
        </w:rPr>
        <w:t>General Assembly the budget of the Church was not approved or even considered in plenary session but was relegated to an informal discussion in one of the parallel sessions. The question arises: ‘Is this good practice in a conciliar church and, if not, should we formally legislate that the General Assembly receives the budget of the Church for approval whenever it</w:t>
      </w:r>
      <w:r>
        <w:rPr>
          <w:spacing w:val="13"/>
          <w:w w:val="120"/>
          <w:sz w:val="20"/>
        </w:rPr>
        <w:t> </w:t>
      </w:r>
      <w:r>
        <w:rPr>
          <w:w w:val="120"/>
          <w:sz w:val="20"/>
        </w:rPr>
        <w:t>meets?’</w:t>
      </w:r>
    </w:p>
    <w:p>
      <w:pPr>
        <w:pStyle w:val="BodyText"/>
      </w:pPr>
    </w:p>
    <w:p>
      <w:pPr>
        <w:pStyle w:val="ListParagraph"/>
        <w:numPr>
          <w:ilvl w:val="0"/>
          <w:numId w:val="243"/>
        </w:numPr>
        <w:tabs>
          <w:tab w:pos="2024" w:val="left" w:leader="none"/>
          <w:tab w:pos="2025" w:val="left" w:leader="none"/>
        </w:tabs>
        <w:spacing w:line="235" w:lineRule="auto" w:before="0" w:after="0"/>
        <w:ind w:left="1344" w:right="1691" w:firstLine="0"/>
        <w:jc w:val="left"/>
        <w:rPr>
          <w:sz w:val="20"/>
        </w:rPr>
      </w:pPr>
      <w:r>
        <w:rPr>
          <w:w w:val="120"/>
          <w:sz w:val="20"/>
        </w:rPr>
        <w:t>For most church members this is not a strange idea. In their local churches many will have witnessed their elders as trustees of the church bringing the budget to the Annual Church Meeting for approval by the congregation. Generally, on    such occasions, the budget is not to be reformulated or tinkered with, but is</w:t>
      </w:r>
      <w:r>
        <w:rPr>
          <w:spacing w:val="1"/>
          <w:w w:val="120"/>
          <w:sz w:val="20"/>
        </w:rPr>
        <w:t> </w:t>
      </w:r>
      <w:r>
        <w:rPr>
          <w:w w:val="120"/>
          <w:sz w:val="20"/>
        </w:rPr>
        <w:t>put</w:t>
      </w:r>
    </w:p>
    <w:p>
      <w:pPr>
        <w:pStyle w:val="BodyText"/>
        <w:spacing w:line="235" w:lineRule="auto" w:before="3"/>
        <w:ind w:left="1344" w:right="1521"/>
        <w:jc w:val="both"/>
      </w:pPr>
      <w:r>
        <w:rPr>
          <w:w w:val="120"/>
        </w:rPr>
        <w:t>forward so that questions may be asked of it before approval is given. It can be a rich demonstration of conciliarity and transparency. Should this not be the practice of the General Assembly?</w:t>
      </w:r>
    </w:p>
    <w:p>
      <w:pPr>
        <w:pStyle w:val="BodyText"/>
        <w:spacing w:before="10"/>
        <w:rPr>
          <w:sz w:val="19"/>
        </w:rPr>
      </w:pPr>
    </w:p>
    <w:p>
      <w:pPr>
        <w:pStyle w:val="ListParagraph"/>
        <w:numPr>
          <w:ilvl w:val="0"/>
          <w:numId w:val="243"/>
        </w:numPr>
        <w:tabs>
          <w:tab w:pos="2024" w:val="left" w:leader="none"/>
          <w:tab w:pos="2025" w:val="left" w:leader="none"/>
        </w:tabs>
        <w:spacing w:line="235" w:lineRule="auto" w:before="0" w:after="0"/>
        <w:ind w:left="1344" w:right="1343" w:firstLine="0"/>
        <w:jc w:val="left"/>
        <w:rPr>
          <w:sz w:val="20"/>
        </w:rPr>
      </w:pPr>
      <w:r>
        <w:rPr>
          <w:w w:val="120"/>
          <w:sz w:val="20"/>
        </w:rPr>
        <w:t>The widespread sense of disconnect between those in the pew and the wider councils of the church surely has a number of causes. But if all those who attended an Assembly came back to their congregations with a sense of ownership of a transparent, easy</w:t>
      </w:r>
      <w:r>
        <w:rPr>
          <w:spacing w:val="4"/>
          <w:w w:val="120"/>
          <w:sz w:val="20"/>
        </w:rPr>
        <w:t> </w:t>
      </w:r>
      <w:r>
        <w:rPr>
          <w:w w:val="120"/>
          <w:sz w:val="20"/>
        </w:rPr>
        <w:t>to</w:t>
      </w:r>
      <w:r>
        <w:rPr>
          <w:spacing w:val="5"/>
          <w:w w:val="120"/>
          <w:sz w:val="20"/>
        </w:rPr>
        <w:t> </w:t>
      </w:r>
      <w:r>
        <w:rPr>
          <w:w w:val="120"/>
          <w:sz w:val="20"/>
        </w:rPr>
        <w:t>understand</w:t>
      </w:r>
      <w:r>
        <w:rPr>
          <w:spacing w:val="4"/>
          <w:w w:val="120"/>
          <w:sz w:val="20"/>
        </w:rPr>
        <w:t> </w:t>
      </w:r>
      <w:r>
        <w:rPr>
          <w:w w:val="120"/>
          <w:sz w:val="20"/>
        </w:rPr>
        <w:t>budget,</w:t>
      </w:r>
      <w:r>
        <w:rPr>
          <w:spacing w:val="5"/>
          <w:w w:val="120"/>
          <w:sz w:val="20"/>
        </w:rPr>
        <w:t> </w:t>
      </w:r>
      <w:r>
        <w:rPr>
          <w:w w:val="120"/>
          <w:sz w:val="20"/>
        </w:rPr>
        <w:t>that</w:t>
      </w:r>
      <w:r>
        <w:rPr>
          <w:spacing w:val="5"/>
          <w:w w:val="120"/>
          <w:sz w:val="20"/>
        </w:rPr>
        <w:t> </w:t>
      </w:r>
      <w:r>
        <w:rPr>
          <w:w w:val="120"/>
          <w:sz w:val="20"/>
        </w:rPr>
        <w:t>they</w:t>
      </w:r>
      <w:r>
        <w:rPr>
          <w:spacing w:val="4"/>
          <w:w w:val="120"/>
          <w:sz w:val="20"/>
        </w:rPr>
        <w:t> </w:t>
      </w:r>
      <w:r>
        <w:rPr>
          <w:w w:val="120"/>
          <w:sz w:val="20"/>
        </w:rPr>
        <w:t>had</w:t>
      </w:r>
      <w:r>
        <w:rPr>
          <w:spacing w:val="5"/>
          <w:w w:val="120"/>
          <w:sz w:val="20"/>
        </w:rPr>
        <w:t> </w:t>
      </w:r>
      <w:r>
        <w:rPr>
          <w:w w:val="120"/>
          <w:sz w:val="20"/>
        </w:rPr>
        <w:t>approved,</w:t>
      </w:r>
      <w:r>
        <w:rPr>
          <w:spacing w:val="4"/>
          <w:w w:val="120"/>
          <w:sz w:val="20"/>
        </w:rPr>
        <w:t> </w:t>
      </w:r>
      <w:r>
        <w:rPr>
          <w:w w:val="120"/>
          <w:sz w:val="20"/>
        </w:rPr>
        <w:t>would</w:t>
      </w:r>
      <w:r>
        <w:rPr>
          <w:spacing w:val="5"/>
          <w:w w:val="120"/>
          <w:sz w:val="20"/>
        </w:rPr>
        <w:t> </w:t>
      </w:r>
      <w:r>
        <w:rPr>
          <w:w w:val="120"/>
          <w:sz w:val="20"/>
        </w:rPr>
        <w:t>that</w:t>
      </w:r>
      <w:r>
        <w:rPr>
          <w:spacing w:val="5"/>
          <w:w w:val="120"/>
          <w:sz w:val="20"/>
        </w:rPr>
        <w:t> </w:t>
      </w:r>
      <w:r>
        <w:rPr>
          <w:w w:val="120"/>
          <w:sz w:val="20"/>
        </w:rPr>
        <w:t>not</w:t>
      </w:r>
      <w:r>
        <w:rPr>
          <w:spacing w:val="4"/>
          <w:w w:val="120"/>
          <w:sz w:val="20"/>
        </w:rPr>
        <w:t> </w:t>
      </w:r>
      <w:r>
        <w:rPr>
          <w:w w:val="120"/>
          <w:sz w:val="20"/>
        </w:rPr>
        <w:t>be</w:t>
      </w:r>
      <w:r>
        <w:rPr>
          <w:spacing w:val="5"/>
          <w:w w:val="120"/>
          <w:sz w:val="20"/>
        </w:rPr>
        <w:t> </w:t>
      </w:r>
      <w:r>
        <w:rPr>
          <w:w w:val="120"/>
          <w:sz w:val="20"/>
        </w:rPr>
        <w:t>a</w:t>
      </w:r>
      <w:r>
        <w:rPr>
          <w:spacing w:val="4"/>
          <w:w w:val="120"/>
          <w:sz w:val="20"/>
        </w:rPr>
        <w:t> </w:t>
      </w:r>
      <w:r>
        <w:rPr>
          <w:w w:val="120"/>
          <w:sz w:val="20"/>
        </w:rPr>
        <w:t>small</w:t>
      </w:r>
      <w:r>
        <w:rPr>
          <w:spacing w:val="5"/>
          <w:w w:val="120"/>
          <w:sz w:val="20"/>
        </w:rPr>
        <w:t> </w:t>
      </w:r>
      <w:r>
        <w:rPr>
          <w:w w:val="120"/>
          <w:sz w:val="20"/>
        </w:rPr>
        <w:t>step</w:t>
      </w:r>
    </w:p>
    <w:p>
      <w:pPr>
        <w:pStyle w:val="BodyText"/>
        <w:spacing w:line="235" w:lineRule="auto" w:before="3"/>
        <w:ind w:left="1344" w:right="1724"/>
        <w:jc w:val="both"/>
      </w:pPr>
      <w:r>
        <w:rPr>
          <w:w w:val="120"/>
        </w:rPr>
        <w:t>in helping us all feel that we belong? Would not a </w:t>
      </w:r>
      <w:r>
        <w:rPr>
          <w:spacing w:val="2"/>
          <w:w w:val="120"/>
        </w:rPr>
        <w:t>pie-chart </w:t>
      </w:r>
      <w:r>
        <w:rPr>
          <w:w w:val="120"/>
        </w:rPr>
        <w:t>of the </w:t>
      </w:r>
      <w:r>
        <w:rPr>
          <w:spacing w:val="-3"/>
          <w:w w:val="120"/>
        </w:rPr>
        <w:t>church’s </w:t>
      </w:r>
      <w:r>
        <w:rPr>
          <w:w w:val="120"/>
        </w:rPr>
        <w:t>budget in every delegate’s hand help to undermine some of the conspiracy theories being circulated about how ‘the Church is spending our</w:t>
      </w:r>
      <w:r>
        <w:rPr>
          <w:spacing w:val="29"/>
          <w:w w:val="120"/>
        </w:rPr>
        <w:t> </w:t>
      </w:r>
      <w:r>
        <w:rPr>
          <w:w w:val="120"/>
        </w:rPr>
        <w:t>money’?</w:t>
      </w:r>
    </w:p>
    <w:p>
      <w:pPr>
        <w:pStyle w:val="BodyText"/>
        <w:spacing w:before="10"/>
        <w:rPr>
          <w:sz w:val="19"/>
        </w:rPr>
      </w:pPr>
    </w:p>
    <w:p>
      <w:pPr>
        <w:pStyle w:val="ListParagraph"/>
        <w:numPr>
          <w:ilvl w:val="0"/>
          <w:numId w:val="243"/>
        </w:numPr>
        <w:tabs>
          <w:tab w:pos="2024" w:val="left" w:leader="none"/>
          <w:tab w:pos="2025" w:val="left" w:leader="none"/>
        </w:tabs>
        <w:spacing w:line="235" w:lineRule="auto" w:before="0" w:after="0"/>
        <w:ind w:left="1344" w:right="1796" w:firstLine="0"/>
        <w:jc w:val="left"/>
        <w:rPr>
          <w:sz w:val="20"/>
        </w:rPr>
      </w:pPr>
      <w:r>
        <w:rPr>
          <w:w w:val="120"/>
          <w:sz w:val="20"/>
        </w:rPr>
        <w:t>It might be argued that the General Assembly has more important things   to do than spend time asking questions about the </w:t>
      </w:r>
      <w:r>
        <w:rPr>
          <w:spacing w:val="-3"/>
          <w:w w:val="120"/>
          <w:sz w:val="20"/>
        </w:rPr>
        <w:t>church’s </w:t>
      </w:r>
      <w:r>
        <w:rPr>
          <w:w w:val="120"/>
          <w:sz w:val="20"/>
        </w:rPr>
        <w:t>budget. There is much truth in that. But a lack of transparency in financial matters can be very destructive of an organisation. The early church suffered when some members thought</w:t>
      </w:r>
      <w:r>
        <w:rPr>
          <w:spacing w:val="31"/>
          <w:w w:val="120"/>
          <w:sz w:val="20"/>
        </w:rPr>
        <w:t> </w:t>
      </w:r>
      <w:r>
        <w:rPr>
          <w:w w:val="120"/>
          <w:sz w:val="20"/>
        </w:rPr>
        <w:t>that</w:t>
      </w:r>
    </w:p>
    <w:p>
      <w:pPr>
        <w:pStyle w:val="BodyText"/>
        <w:spacing w:line="235" w:lineRule="auto" w:before="3"/>
        <w:ind w:left="1344" w:right="1217"/>
      </w:pPr>
      <w:r>
        <w:rPr>
          <w:w w:val="120"/>
        </w:rPr>
        <w:t>charitable gifts were being unfairly distributed. The American colonies fought for their independence under the slogan ‘no taxation without representation’. (They came from the same Puritan stock as we do and their conciliar instincts were not to be quashed.)</w:t>
      </w:r>
    </w:p>
    <w:p>
      <w:pPr>
        <w:pStyle w:val="BodyText"/>
        <w:spacing w:before="10"/>
        <w:rPr>
          <w:sz w:val="19"/>
        </w:rPr>
      </w:pPr>
    </w:p>
    <w:p>
      <w:pPr>
        <w:pStyle w:val="ListParagraph"/>
        <w:numPr>
          <w:ilvl w:val="0"/>
          <w:numId w:val="243"/>
        </w:numPr>
        <w:tabs>
          <w:tab w:pos="2024" w:val="left" w:leader="none"/>
          <w:tab w:pos="2025" w:val="left" w:leader="none"/>
        </w:tabs>
        <w:spacing w:line="235" w:lineRule="auto" w:before="1" w:after="0"/>
        <w:ind w:left="1344" w:right="1673" w:firstLine="0"/>
        <w:jc w:val="left"/>
        <w:rPr>
          <w:sz w:val="20"/>
        </w:rPr>
      </w:pPr>
      <w:r>
        <w:rPr>
          <w:w w:val="120"/>
          <w:sz w:val="20"/>
        </w:rPr>
        <w:t>Finally, the Scheme of Union of the URC stipulates that the General Assembly is responsible for making decisions on </w:t>
      </w:r>
      <w:r>
        <w:rPr>
          <w:spacing w:val="2"/>
          <w:w w:val="120"/>
          <w:sz w:val="20"/>
        </w:rPr>
        <w:t>reports </w:t>
      </w:r>
      <w:r>
        <w:rPr>
          <w:w w:val="120"/>
          <w:sz w:val="20"/>
        </w:rPr>
        <w:t>and recommendations from its own committees </w:t>
      </w:r>
      <w:r>
        <w:rPr>
          <w:spacing w:val="-4"/>
          <w:w w:val="120"/>
          <w:sz w:val="20"/>
        </w:rPr>
        <w:t>B.2.(6) </w:t>
      </w:r>
      <w:r>
        <w:rPr>
          <w:spacing w:val="-3"/>
          <w:w w:val="120"/>
          <w:sz w:val="20"/>
        </w:rPr>
        <w:t>(ii). </w:t>
      </w:r>
      <w:r>
        <w:rPr>
          <w:w w:val="120"/>
          <w:sz w:val="20"/>
        </w:rPr>
        <w:t>This is the default position of our church and Assembly receiving</w:t>
      </w:r>
      <w:r>
        <w:rPr>
          <w:spacing w:val="5"/>
          <w:w w:val="120"/>
          <w:sz w:val="20"/>
        </w:rPr>
        <w:t> </w:t>
      </w:r>
      <w:r>
        <w:rPr>
          <w:w w:val="120"/>
          <w:sz w:val="20"/>
        </w:rPr>
        <w:t>the</w:t>
      </w:r>
      <w:r>
        <w:rPr>
          <w:spacing w:val="6"/>
          <w:w w:val="120"/>
          <w:sz w:val="20"/>
        </w:rPr>
        <w:t> </w:t>
      </w:r>
      <w:r>
        <w:rPr>
          <w:w w:val="120"/>
          <w:sz w:val="20"/>
        </w:rPr>
        <w:t>budget</w:t>
      </w:r>
      <w:r>
        <w:rPr>
          <w:spacing w:val="5"/>
          <w:w w:val="120"/>
          <w:sz w:val="20"/>
        </w:rPr>
        <w:t> </w:t>
      </w:r>
      <w:r>
        <w:rPr>
          <w:w w:val="120"/>
          <w:sz w:val="20"/>
        </w:rPr>
        <w:t>for</w:t>
      </w:r>
      <w:r>
        <w:rPr>
          <w:spacing w:val="6"/>
          <w:w w:val="120"/>
          <w:sz w:val="20"/>
        </w:rPr>
        <w:t> </w:t>
      </w:r>
      <w:r>
        <w:rPr>
          <w:w w:val="120"/>
          <w:sz w:val="20"/>
        </w:rPr>
        <w:t>approval</w:t>
      </w:r>
      <w:r>
        <w:rPr>
          <w:spacing w:val="5"/>
          <w:w w:val="120"/>
          <w:sz w:val="20"/>
        </w:rPr>
        <w:t> </w:t>
      </w:r>
      <w:r>
        <w:rPr>
          <w:w w:val="120"/>
          <w:sz w:val="20"/>
        </w:rPr>
        <w:t>is</w:t>
      </w:r>
      <w:r>
        <w:rPr>
          <w:spacing w:val="6"/>
          <w:w w:val="120"/>
          <w:sz w:val="20"/>
        </w:rPr>
        <w:t> </w:t>
      </w:r>
      <w:r>
        <w:rPr>
          <w:w w:val="120"/>
          <w:sz w:val="20"/>
        </w:rPr>
        <w:t>surely</w:t>
      </w:r>
      <w:r>
        <w:rPr>
          <w:spacing w:val="5"/>
          <w:w w:val="120"/>
          <w:sz w:val="20"/>
        </w:rPr>
        <w:t> </w:t>
      </w:r>
      <w:r>
        <w:rPr>
          <w:w w:val="120"/>
          <w:sz w:val="20"/>
        </w:rPr>
        <w:t>in</w:t>
      </w:r>
      <w:r>
        <w:rPr>
          <w:spacing w:val="6"/>
          <w:w w:val="120"/>
          <w:sz w:val="20"/>
        </w:rPr>
        <w:t> </w:t>
      </w:r>
      <w:r>
        <w:rPr>
          <w:w w:val="120"/>
          <w:sz w:val="20"/>
        </w:rPr>
        <w:t>full</w:t>
      </w:r>
      <w:r>
        <w:rPr>
          <w:spacing w:val="6"/>
          <w:w w:val="120"/>
          <w:sz w:val="20"/>
        </w:rPr>
        <w:t> </w:t>
      </w:r>
      <w:r>
        <w:rPr>
          <w:w w:val="120"/>
          <w:sz w:val="20"/>
        </w:rPr>
        <w:t>accordance</w:t>
      </w:r>
      <w:r>
        <w:rPr>
          <w:spacing w:val="5"/>
          <w:w w:val="120"/>
          <w:sz w:val="20"/>
        </w:rPr>
        <w:t> </w:t>
      </w:r>
      <w:r>
        <w:rPr>
          <w:w w:val="120"/>
          <w:sz w:val="20"/>
        </w:rPr>
        <w:t>with</w:t>
      </w:r>
      <w:r>
        <w:rPr>
          <w:spacing w:val="6"/>
          <w:w w:val="120"/>
          <w:sz w:val="20"/>
        </w:rPr>
        <w:t> </w:t>
      </w:r>
      <w:r>
        <w:rPr>
          <w:w w:val="120"/>
          <w:sz w:val="20"/>
        </w:rPr>
        <w:t>such</w:t>
      </w:r>
      <w:r>
        <w:rPr>
          <w:spacing w:val="5"/>
          <w:w w:val="120"/>
          <w:sz w:val="20"/>
        </w:rPr>
        <w:t> </w:t>
      </w:r>
      <w:r>
        <w:rPr>
          <w:w w:val="120"/>
          <w:sz w:val="20"/>
        </w:rPr>
        <w:t>a</w:t>
      </w:r>
      <w:r>
        <w:rPr>
          <w:spacing w:val="6"/>
          <w:w w:val="120"/>
          <w:sz w:val="20"/>
        </w:rPr>
        <w:t> </w:t>
      </w:r>
      <w:r>
        <w:rPr>
          <w:w w:val="120"/>
          <w:sz w:val="20"/>
        </w:rPr>
        <w:t>ruling.</w:t>
      </w:r>
    </w:p>
    <w:p>
      <w:pPr>
        <w:spacing w:after="0" w:line="235" w:lineRule="auto"/>
        <w:jc w:val="left"/>
        <w:rPr>
          <w:sz w:val="20"/>
        </w:rPr>
        <w:sectPr>
          <w:headerReference w:type="default" r:id="rId589"/>
          <w:pgSz w:w="11910" w:h="16840"/>
          <w:pgMar w:header="0" w:footer="647" w:top="0" w:bottom="840" w:left="640" w:right="0"/>
        </w:sectPr>
      </w:pPr>
    </w:p>
    <w:p>
      <w:pPr>
        <w:pStyle w:val="BodyText"/>
        <w:spacing w:before="4"/>
        <w:rPr>
          <w:sz w:val="16"/>
        </w:rPr>
      </w:pPr>
      <w:r>
        <w:rPr/>
        <w:drawing>
          <wp:anchor distT="0" distB="0" distL="0" distR="0" allowOverlap="1" layoutInCell="1" locked="0" behindDoc="1" simplePos="0" relativeHeight="235805696">
            <wp:simplePos x="0" y="0"/>
            <wp:positionH relativeFrom="page">
              <wp:posOffset>0</wp:posOffset>
            </wp:positionH>
            <wp:positionV relativeFrom="page">
              <wp:posOffset>0</wp:posOffset>
            </wp:positionV>
            <wp:extent cx="594067" cy="10692003"/>
            <wp:effectExtent l="0" t="0" r="0" b="0"/>
            <wp:wrapNone/>
            <wp:docPr id="427" name="image67.png"/>
            <wp:cNvGraphicFramePr>
              <a:graphicFrameLocks noChangeAspect="1"/>
            </wp:cNvGraphicFramePr>
            <a:graphic>
              <a:graphicData uri="http://schemas.openxmlformats.org/drawingml/2006/picture">
                <pic:pic>
                  <pic:nvPicPr>
                    <pic:cNvPr id="428" name="image67.png"/>
                    <pic:cNvPicPr/>
                  </pic:nvPicPr>
                  <pic:blipFill>
                    <a:blip r:embed="rId184" cstate="print"/>
                    <a:stretch>
                      <a:fillRect/>
                    </a:stretch>
                  </pic:blipFill>
                  <pic:spPr>
                    <a:xfrm>
                      <a:off x="0" y="0"/>
                      <a:ext cx="594067" cy="10692003"/>
                    </a:xfrm>
                    <a:prstGeom prst="rect">
                      <a:avLst/>
                    </a:prstGeom>
                  </pic:spPr>
                </pic:pic>
              </a:graphicData>
            </a:graphic>
          </wp:anchor>
        </w:drawing>
      </w:r>
    </w:p>
    <w:p>
      <w:pPr>
        <w:spacing w:after="0"/>
        <w:rPr>
          <w:sz w:val="16"/>
        </w:rPr>
        <w:sectPr>
          <w:headerReference w:type="even" r:id="rId590"/>
          <w:footerReference w:type="even" r:id="rId591"/>
          <w:pgSz w:w="11910" w:h="16840"/>
          <w:pgMar w:header="0" w:footer="567" w:top="0" w:bottom="760" w:left="640" w:right="0"/>
          <w:pgNumType w:start="224"/>
        </w:sectPr>
      </w:pPr>
    </w:p>
    <w:p>
      <w:pPr>
        <w:pStyle w:val="BodyText"/>
      </w:pPr>
      <w:r>
        <w:rPr/>
        <w:pict>
          <v:rect style="position:absolute;margin-left:0pt;margin-top:.000015pt;width:549.207pt;height:841.89pt;mso-position-horizontal-relative:page;mso-position-vertical-relative:page;z-index:-267509760" filled="true" fillcolor="#e2eed8" stroked="false">
            <v:fill type="solid"/>
            <w10:wrap type="none"/>
          </v:rect>
        </w:pict>
      </w:r>
      <w:r>
        <w:rPr/>
        <w:pict>
          <v:group style="position:absolute;margin-left:0pt;margin-top:.000015pt;width:595.3pt;height:841.9pt;mso-position-horizontal-relative:page;mso-position-vertical-relative:page;z-index:-267508736" coordorigin="0,0" coordsize="11906,16838">
            <v:shape style="position:absolute;left:10984;top:0;width:922;height:16838" type="#_x0000_t75" stroked="false">
              <v:imagedata r:id="rId594" o:title=""/>
            </v:shape>
            <v:shape style="position:absolute;left:0;top:0;width:11906;height:16838" type="#_x0000_t75" stroked="false">
              <v:imagedata r:id="rId595" o:title=""/>
            </v:shape>
            <v:shape style="position:absolute;left:10984;top:0;width:922;height:16838" type="#_x0000_t75" stroked="false">
              <v:imagedata r:id="rId596" o:title=""/>
            </v:shape>
            <v:shape style="position:absolute;left:3440;top:3239;width:1627;height:857" coordorigin="3440,3240" coordsize="1627,857" path="m4200,3240l3904,3307,3663,3454,3500,3601,3440,3668,3643,3916,3790,4043,3952,4090,4200,4097,4282,4090,4363,4072,4444,4043,4521,4007,4596,3966,4624,3948,4200,3948,3993,3904,3824,3808,3711,3712,3669,3668,3811,3507,3914,3424,4027,3393,4200,3389,4645,3389,4612,3368,4538,3327,4459,3292,4376,3264,4289,3246,4200,3240xm5046,3782l4841,3782,5038,3972,5065,3893,5063,3825,5046,3782xm4645,3389l4200,3389,4402,3433,4571,3529,4687,3625,4730,3668,4577,3830,4471,3913,4362,3943,4200,3948,4624,3948,4666,3920,4731,3873,4790,3827,4841,3782,5046,3782,5040,3766,5003,3715,4959,3668,5003,3622,5041,3569,5050,3549,4847,3549,4798,3505,4743,3459,4680,3412,4645,3389xm5039,3362l4847,3549,5050,3549,5065,3510,5067,3441,5039,3362xe" filled="true" fillcolor="#7c7b7b" stroked="false">
              <v:path arrowok="t"/>
              <v:fill type="solid"/>
            </v:shape>
            <v:shape style="position:absolute;left:3135;top:1811;width:2158;height:3246" coordorigin="3136,1811" coordsize="2158,3246" path="m4167,4901l4098,4901,4100,4902,4105,4927,4112,4965,4119,5001,4123,5020,4134,5042,4141,5054,4149,5057,4160,5056,4167,4901xm4373,4687l4177,4687,4187,5057,4232,5049,4261,5032,4278,5014,4283,5006,4279,4986,4280,4969,4282,4959,4286,4952,4295,4943,4310,4932,4320,4809,4326,4747,4328,4725,4328,4725,4373,4725,4373,4687xm4373,3076l4063,3076,4063,4754,4064,4778,4066,4823,4067,4872,4069,4935,4070,4950,4086,4944,4093,4937,4097,4927,4098,4912,4098,4901,4167,4901,4177,4687,4373,4687,4373,3076xm4373,4725l4328,4725,4330,4754,4331,4803,4332,4848,4334,4870,4338,4878,4344,4889,4353,4897,4367,4896,4372,4872,4373,4823,4373,4771,4373,4754,4373,4725xm5159,2746l5086,2746,3234,2746,3219,2751,3217,2761,3223,2774,3229,2785,3254,2791,3306,2796,3363,2802,3404,2807,3405,2812,3345,2816,3316,2818,3259,2821,3195,2827,3145,2834,3138,2844,3136,2853,3136,2862,3136,2866,3139,2886,3151,2930,3165,2953,3178,2963,3183,2965,3275,2986,3275,2989,3261,2992,3245,2999,3238,3013,3261,3017,3356,3025,3377,3028,3363,3032,3333,3036,3300,3042,3280,3049,3273,3055,3269,3069,3270,3076,3360,3077,5211,3076,5215,3069,5226,3054,5218,3045,5202,3037,5175,3029,5151,3022,5141,3019,5158,3016,5190,3011,5222,3006,5241,2998,5266,2981,5279,2966,5287,2943,5293,2904,5282,2893,5273,2887,5260,2884,5237,2880,5191,2876,5031,2864,5053,2862,5117,2862,5185,2852,5217,2824,5204,2816,5147,2791,5135,2784,5136,2779,5154,2774,5157,2771,5167,2763,5160,2754,5159,2746xm5211,3076l4373,3076,5105,3077,5211,3076xm4091,1864l4084,1866,4076,1874,4068,1888,4064,1906,4063,2746,4373,2746,4373,2051,4314,2051,4311,2026,4156,2026,4152,2016,4152,1999,4105,1999,4103,1980,4099,1933,4095,1886,4091,1864xm4352,1908l4342,1908,4331,1935,4322,1984,4316,2030,4314,2051,4373,2051,4372,2026,4372,1999,4373,1924,4369,1921,4362,1913,4352,1908xm4293,1811l4289,1813,4259,1815,4207,1828,4180,1853,4171,1877,4170,1888,4156,2026,4311,2026,4309,2016,4306,1937,4302,1856,4293,1811xm4130,1940l4122,1947,4114,1965,4105,1999,4152,1999,4151,1987,4148,1957,4141,1941,4130,1940xe" filled="true" fillcolor="#000000" stroked="false">
              <v:path arrowok="t"/>
              <v:fill type="solid"/>
            </v:shape>
            <v:shape style="position:absolute;left:5488;top:2368;width:472;height:379" type="#_x0000_t75" stroked="false">
              <v:imagedata r:id="rId171" o:title=""/>
            </v:shape>
            <v:shape style="position:absolute;left:6006;top:2483;width:217;height:269" type="#_x0000_t75" stroked="false">
              <v:imagedata r:id="rId172" o:title=""/>
            </v:shape>
            <v:shape style="position:absolute;left:5496;top:3001;width:314;height:409" coordorigin="5496,3001" coordsize="314,409" path="m5569,3001l5496,3001,5496,3231,5507,3313,5538,3368,5586,3400,5649,3410,5715,3399,5765,3367,5775,3351,5651,3351,5618,3344,5592,3323,5575,3287,5569,3236,5569,3001xm5809,3001l5736,3001,5736,3236,5730,3287,5714,3323,5687,3344,5651,3351,5775,3351,5798,3311,5809,3231,5809,3001xe" filled="true" fillcolor="#000000" stroked="false">
              <v:path arrowok="t"/>
              <v:fill type="solid"/>
            </v:shape>
            <v:shape style="position:absolute;left:5875;top:3106;width:266;height:298" type="#_x0000_t75" stroked="false">
              <v:imagedata r:id="rId173" o:title=""/>
            </v:shape>
            <v:shape style="position:absolute;left:6202;top:2991;width:83;height:412" coordorigin="6203,2992" coordsize="83,412" path="m6280,3113l6207,3113,6207,3404,6280,3404,6280,3113xm6244,2992l6227,2995,6214,3003,6205,3016,6203,3032,6205,3047,6214,3060,6227,3068,6243,3071,6261,3068,6274,3060,6282,3047,6285,3032,6282,3016,6274,3003,6261,2995,6244,2992xe" filled="true" fillcolor="#000000" stroked="false">
              <v:path arrowok="t"/>
              <v:fill type="solid"/>
            </v:shape>
            <v:shape style="position:absolute;left:6330;top:3030;width:183;height:380" type="#_x0000_t75" stroked="false">
              <v:imagedata r:id="rId174" o:title=""/>
            </v:shape>
            <v:shape style="position:absolute;left:6546;top:3106;width:267;height:304" type="#_x0000_t75" stroked="false">
              <v:imagedata r:id="rId175" o:title=""/>
            </v:shape>
            <v:shape style="position:absolute;left:5496;top:2979;width:1646;height:1080" coordorigin="5497,2980" coordsize="1646,1080" path="m5781,4060l5774,4043,5766,4017,5758,3984,5749,3948,5740,3921,5728,3898,5724,3894,5713,3881,5693,3870,5693,3868,5720,3854,5735,3840,5744,3832,5760,3803,5766,3768,5763,3743,5757,3721,5750,3710,5746,3702,5731,3687,5709,3672,5693,3667,5693,3775,5688,3802,5671,3823,5646,3836,5613,3840,5569,3840,5569,3714,5576,3712,5586,3711,5599,3710,5615,3710,5647,3714,5672,3725,5688,3746,5693,3775,5693,3667,5681,3662,5647,3657,5607,3655,5576,3655,5546,3657,5520,3660,5497,3663,5497,4060,5569,4060,5569,3894,5606,3894,5633,3898,5654,3910,5668,3932,5678,3965,5686,3999,5693,4026,5700,4047,5705,4060,5781,4060m7142,3404l7141,3387,7140,3366,7140,3357,7140,3351,7140,3344,7140,3163,7140,3144,7140,2980,7066,2980,7066,3144,7066,3144,7066,3221,7066,3292,7064,3299,7055,3320,7041,3337,7022,3347,7000,3351,6970,3344,6947,3325,6933,3296,6928,3259,6933,3221,6947,3191,6970,3170,7001,3163,7024,3167,7043,3178,7057,3195,7064,3215,7066,3221,7066,3144,7065,3144,7052,3129,7034,3117,7011,3109,6983,3106,6934,3117,6892,3147,6864,3196,6854,3262,6863,3322,6890,3369,6929,3399,6978,3410,7008,3406,7034,3396,7056,3379,7072,3357,7073,3357,7076,3404,7142,3404e" filled="true" fillcolor="#000000" stroked="false">
              <v:path arrowok="t"/>
              <v:fill type="solid"/>
            </v:shape>
            <v:shape style="position:absolute;left:5809;top:3762;width:267;height:304" type="#_x0000_t75" stroked="false">
              <v:imagedata r:id="rId176" o:title=""/>
            </v:shape>
            <v:shape style="position:absolute;left:6098;top:3629;width:198;height:431" coordorigin="6098,3629" coordsize="198,431" path="m6211,3824l6138,3824,6138,4060,6211,4060,6211,3824xm6274,3769l6098,3769,6098,3824,6274,3824,6274,3769xm6248,3629l6229,3631,6209,3636,6190,3644,6173,3657,6157,3678,6146,3702,6140,3729,6138,3754,6138,3769,6210,3769,6210,3754,6213,3729,6221,3708,6236,3694,6259,3688,6291,3688,6296,3637,6286,3634,6275,3631,6262,3630,6248,3629xm6291,3688l6273,3688,6283,3691,6290,3693,6291,3688xe" filled="true" fillcolor="#000000" stroked="false">
              <v:path arrowok="t"/>
              <v:fill type="solid"/>
            </v:shape>
            <v:shape style="position:absolute;left:6646;top:3762;width:166;height:298" type="#_x0000_t75" stroked="false">
              <v:imagedata r:id="rId177" o:title=""/>
            </v:shape>
            <v:shape style="position:absolute;left:6294;top:3762;width:294;height:305" type="#_x0000_t75" stroked="false">
              <v:imagedata r:id="rId178" o:title=""/>
            </v:shape>
            <v:shape style="position:absolute;left:6858;top:3762;width:430;height:298" coordorigin="6858,3762" coordsize="430,298" path="m6921,3769l6858,3769,6859,3787,6860,3809,6861,3830,6861,4060,6932,4060,6932,3880,6933,3871,6936,3864,6944,3849,6955,3836,6970,3826,6989,3823,7276,3823,7272,3816,7096,3816,7094,3812,6924,3812,6921,3769xm7165,3823l6989,3823,7011,3828,7026,3842,7036,3864,7039,3892,7039,4060,7110,4060,7110,3877,7112,3868,7114,3861,7122,3846,7133,3834,7148,3826,7165,3823xm7276,3823l7165,3823,7188,3828,7204,3843,7213,3867,7217,3899,7217,4060,7288,4060,7288,3889,7280,3830,7276,3823xm7191,3762l7174,3763,7159,3767,7145,3773,7133,3780,7123,3787,7114,3795,7105,3805,7097,3816,7272,3816,7258,3791,7226,3769,7191,3762xm7016,3762l6983,3767,6958,3779,6939,3795,6927,3812,7094,3812,7084,3794,7065,3777,7043,3766,7016,3762xe" filled="true" fillcolor="#000000" stroked="false">
              <v:path arrowok="t"/>
              <v:fill type="solid"/>
            </v:shape>
            <v:shape style="position:absolute;left:7347;top:3762;width:267;height:304" type="#_x0000_t75" stroked="false">
              <v:imagedata r:id="rId179" o:title=""/>
            </v:shape>
            <v:shape style="position:absolute;left:5475;top:3635;width:2468;height:1086" coordorigin="5476,3636" coordsize="2468,1086" path="m5788,4325l5773,4319,5751,4313,5724,4309,5690,4307,5621,4316,5562,4344,5516,4388,5486,4447,5476,4519,5485,4588,5511,4644,5553,4686,5610,4712,5680,4722,5715,4720,5744,4716,5767,4710,5784,4704,5775,4661,5772,4646,5756,4652,5736,4657,5715,4660,5693,4661,5634,4651,5590,4622,5562,4576,5553,4516,5563,4452,5592,4406,5637,4378,5693,4368,5717,4369,5738,4373,5756,4378,5772,4384,5776,4368,5788,4325m6098,4545l6090,4486,6085,4479,6077,4465,6066,4447,6034,4425,5997,4419,5984,4419,5971,4422,5959,4426,5947,4432,5936,4439,5927,4447,5918,4456,5911,4465,5910,4465,5910,4292,5836,4292,5836,4716,5910,4716,5910,4534,5910,4526,5913,4520,5921,4504,5933,4491,5949,4482,5969,4479,5995,4484,6012,4500,6022,4523,6025,4553,6025,4716,6098,4716,6098,4545m7943,4060l7942,4043,7941,4023,7941,4014,7940,4007,7940,4000,7940,3981,7940,3819,7940,3800,7940,3636,7867,3636,7867,3800,7867,3884,7867,3941,7866,3949,7865,3956,7856,3977,7841,3993,7823,4003,7801,4007,7770,4000,7748,3981,7734,3952,7729,3915,7734,3877,7748,3847,7771,3827,7802,3819,7825,3823,7843,3835,7857,3851,7865,3871,7866,3877,7867,3884,7867,3800,7866,3800,7853,3785,7835,3773,7812,3765,7784,3762,7734,3773,7693,3803,7664,3852,7654,3918,7664,3979,7690,4026,7729,4056,7778,4066,7808,4063,7835,4052,7857,4036,7873,4014,7874,4014,7877,4060,7943,4060e" filled="true" fillcolor="#000000" stroked="false">
              <v:path arrowok="t"/>
              <v:fill type="solid"/>
            </v:shape>
            <v:shape style="position:absolute;left:6157;top:4425;width:264;height:298" type="#_x0000_t75" stroked="false">
              <v:imagedata r:id="rId180" o:title=""/>
            </v:shape>
            <v:shape style="position:absolute;left:6476;top:4418;width:418;height:303" type="#_x0000_t75" stroked="false">
              <v:imagedata r:id="rId181" o:title=""/>
            </v:shape>
            <v:shape style="position:absolute;left:6941;top:4292;width:263;height:424" coordorigin="6942,4292" coordsize="263,424" path="m7016,4292l6942,4292,6942,4716,7016,4716,7016,4526,7018,4520,7026,4504,7039,4491,7055,4482,7075,4479,7191,4479,7183,4465,7016,4465,7016,4292xm7191,4479l7075,4479,7101,4484,7118,4500,7128,4523,7131,4553,7131,4716,7204,4716,7204,4545,7195,4486,7191,4479xm7103,4419l7089,4419,7076,4422,7064,4426,7053,4432,7042,4439,7032,4447,7024,4456,7017,4465,7183,4465,7172,4447,7140,4425,7103,4419xe" filled="true" fillcolor="#000000" stroked="false">
              <v:path arrowok="t"/>
              <v:fill type="solid"/>
            </v:shape>
            <v:shape style="position:absolute;left:4009;top:3897;width:414;height:199" coordorigin="4009,3898" coordsize="414,199" path="m4018,3914l4009,4064,4058,4078,4109,4088,4160,4094,4212,4097,4268,4093,4321,4083,4373,4068,4423,4052,4415,3948,4194,3948,4148,3945,4103,3939,4059,3928,4018,3914xm4411,3898l4361,3918,4307,3934,4252,3944,4194,3948,4415,3948,4411,3898xe" filled="true" fillcolor="#7c7b7b" stroked="false">
              <v:path arrowok="t"/>
              <v:fill type="solid"/>
            </v:shape>
            <w10:wrap type="none"/>
          </v:group>
        </w:pict>
      </w:r>
      <w:r>
        <w:rPr/>
        <w:pict>
          <v:shape style="position:absolute;margin-left:554.141174pt;margin-top:48.890015pt;width:25.9pt;height:256.4pt;mso-position-horizontal-relative:page;mso-position-vertical-relative:page;z-index:252262400" type="#_x0000_t202" filled="false" stroked="false">
            <v:textbox inset="0,0,0,0" style="layout-flow:vertical">
              <w:txbxContent>
                <w:p>
                  <w:pPr>
                    <w:spacing w:before="27"/>
                    <w:ind w:left="20" w:right="0" w:firstLine="0"/>
                    <w:jc w:val="left"/>
                    <w:rPr>
                      <w:sz w:val="39"/>
                    </w:rPr>
                  </w:pPr>
                  <w:r>
                    <w:rPr>
                      <w:color w:val="FFFFFF"/>
                      <w:spacing w:val="9"/>
                      <w:w w:val="120"/>
                      <w:sz w:val="39"/>
                    </w:rPr>
                    <w:t>Information papers</w:t>
                  </w:r>
                  <w:r>
                    <w:rPr>
                      <w:color w:val="FFFFFF"/>
                      <w:spacing w:val="64"/>
                      <w:w w:val="120"/>
                      <w:sz w:val="39"/>
                    </w:rPr>
                    <w:t> </w:t>
                  </w:r>
                  <w:r>
                    <w:rPr>
                      <w:color w:val="FFFFFF"/>
                      <w:spacing w:val="9"/>
                      <w:w w:val="120"/>
                      <w:sz w:val="39"/>
                    </w:rPr>
                    <w:t>index</w:t>
                  </w:r>
                </w:p>
              </w:txbxContent>
            </v:textbox>
            <w10:wrap type="none"/>
          </v:shape>
        </w:pict>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spacing w:line="206" w:lineRule="auto" w:before="182"/>
        <w:ind w:left="2426" w:right="2045" w:firstLine="0"/>
        <w:jc w:val="left"/>
        <w:rPr>
          <w:rFonts w:ascii="Stone Sans II ITC Std X Bd"/>
          <w:b/>
          <w:sz w:val="65"/>
        </w:rPr>
      </w:pPr>
      <w:r>
        <w:rPr>
          <w:rFonts w:ascii="Stone Sans II ITC Std X Bd"/>
          <w:b/>
          <w:w w:val="110"/>
          <w:sz w:val="65"/>
        </w:rPr>
        <w:t>Information papers index</w:t>
      </w:r>
    </w:p>
    <w:p>
      <w:pPr>
        <w:pStyle w:val="BodyText"/>
        <w:tabs>
          <w:tab w:pos="8042" w:val="right" w:leader="none"/>
        </w:tabs>
        <w:spacing w:before="587"/>
        <w:ind w:left="2426"/>
        <w:rPr>
          <w:rFonts w:ascii="Stone Sans II ITC Std Sm"/>
          <w:b/>
        </w:rPr>
      </w:pPr>
      <w:r>
        <w:rPr>
          <w:rFonts w:ascii="Stone Sans II ITC Std Sm"/>
          <w:b/>
          <w:w w:val="110"/>
        </w:rPr>
        <w:t>URC History Society</w:t>
        <w:tab/>
      </w:r>
      <w:r>
        <w:rPr>
          <w:rFonts w:ascii="Stone Sans II ITC Std Sm"/>
          <w:b/>
          <w:spacing w:val="-3"/>
          <w:w w:val="110"/>
        </w:rPr>
        <w:t>226</w:t>
      </w:r>
    </w:p>
    <w:p>
      <w:pPr>
        <w:pStyle w:val="BodyText"/>
        <w:tabs>
          <w:tab w:pos="8046" w:val="right" w:leader="none"/>
        </w:tabs>
        <w:spacing w:before="9"/>
        <w:ind w:left="2426"/>
        <w:rPr>
          <w:rFonts w:ascii="Stone Sans II ITC Std Sm"/>
          <w:b/>
        </w:rPr>
      </w:pPr>
      <w:r>
        <w:rPr>
          <w:rFonts w:ascii="Stone Sans II ITC Std Sm"/>
          <w:b/>
          <w:w w:val="110"/>
        </w:rPr>
        <w:t>URC</w:t>
      </w:r>
      <w:r>
        <w:rPr>
          <w:rFonts w:ascii="Stone Sans II ITC Std Sm"/>
          <w:b/>
          <w:spacing w:val="-1"/>
          <w:w w:val="110"/>
        </w:rPr>
        <w:t> </w:t>
      </w:r>
      <w:r>
        <w:rPr>
          <w:rFonts w:ascii="Stone Sans II ITC Std Sm"/>
          <w:b/>
          <w:w w:val="110"/>
        </w:rPr>
        <w:t>Music</w:t>
        <w:tab/>
        <w:t>228</w:t>
      </w:r>
    </w:p>
    <w:p>
      <w:pPr>
        <w:pStyle w:val="BodyText"/>
        <w:tabs>
          <w:tab w:pos="8046" w:val="right" w:leader="none"/>
        </w:tabs>
        <w:spacing w:before="10"/>
        <w:ind w:left="2426"/>
        <w:rPr>
          <w:rFonts w:ascii="Stone Sans II ITC Std Sm"/>
          <w:b/>
        </w:rPr>
      </w:pPr>
      <w:r>
        <w:rPr>
          <w:rFonts w:ascii="Stone Sans II ITC Std Sm"/>
          <w:b/>
          <w:w w:val="110"/>
        </w:rPr>
        <w:t>Schools relating to</w:t>
      </w:r>
      <w:r>
        <w:rPr>
          <w:rFonts w:ascii="Stone Sans II ITC Std Sm"/>
          <w:b/>
          <w:spacing w:val="-1"/>
          <w:w w:val="110"/>
        </w:rPr>
        <w:t> </w:t>
      </w:r>
      <w:r>
        <w:rPr>
          <w:rFonts w:ascii="Stone Sans II ITC Std Sm"/>
          <w:b/>
          <w:w w:val="110"/>
        </w:rPr>
        <w:t>the</w:t>
      </w:r>
      <w:r>
        <w:rPr>
          <w:rFonts w:ascii="Stone Sans II ITC Std Sm"/>
          <w:b/>
          <w:spacing w:val="-1"/>
          <w:w w:val="110"/>
        </w:rPr>
        <w:t> </w:t>
      </w:r>
      <w:r>
        <w:rPr>
          <w:rFonts w:ascii="Stone Sans II ITC Std Sm"/>
          <w:b/>
          <w:w w:val="110"/>
        </w:rPr>
        <w:t>URC</w:t>
        <w:tab/>
        <w:t>229</w:t>
      </w:r>
    </w:p>
    <w:p>
      <w:pPr>
        <w:pStyle w:val="BodyText"/>
        <w:tabs>
          <w:tab w:pos="8045" w:val="right" w:leader="none"/>
        </w:tabs>
        <w:spacing w:before="10"/>
        <w:ind w:left="2426"/>
        <w:rPr>
          <w:rFonts w:ascii="Stone Sans II ITC Std Sm" w:hAnsi="Stone Sans II ITC Std Sm"/>
          <w:b/>
        </w:rPr>
      </w:pPr>
      <w:r>
        <w:rPr>
          <w:rFonts w:ascii="Stone Sans II ITC Std Sm" w:hAnsi="Stone Sans II ITC Std Sm"/>
          <w:b/>
          <w:spacing w:val="-3"/>
          <w:w w:val="110"/>
        </w:rPr>
        <w:t>Women’s </w:t>
      </w:r>
      <w:r>
        <w:rPr>
          <w:rFonts w:ascii="Stone Sans II ITC Std Sm" w:hAnsi="Stone Sans II ITC Std Sm"/>
          <w:b/>
          <w:w w:val="110"/>
        </w:rPr>
        <w:t>world day</w:t>
      </w:r>
      <w:r>
        <w:rPr>
          <w:rFonts w:ascii="Stone Sans II ITC Std Sm" w:hAnsi="Stone Sans II ITC Std Sm"/>
          <w:b/>
          <w:spacing w:val="2"/>
          <w:w w:val="110"/>
        </w:rPr>
        <w:t> </w:t>
      </w:r>
      <w:r>
        <w:rPr>
          <w:rFonts w:ascii="Stone Sans II ITC Std Sm" w:hAnsi="Stone Sans II ITC Std Sm"/>
          <w:b/>
          <w:w w:val="110"/>
        </w:rPr>
        <w:t>of</w:t>
      </w:r>
      <w:r>
        <w:rPr>
          <w:rFonts w:ascii="Stone Sans II ITC Std Sm" w:hAnsi="Stone Sans II ITC Std Sm"/>
          <w:b/>
          <w:spacing w:val="-1"/>
          <w:w w:val="110"/>
        </w:rPr>
        <w:t> </w:t>
      </w:r>
      <w:r>
        <w:rPr>
          <w:rFonts w:ascii="Stone Sans II ITC Std Sm" w:hAnsi="Stone Sans II ITC Std Sm"/>
          <w:b/>
          <w:w w:val="110"/>
        </w:rPr>
        <w:t>prayer</w:t>
        <w:tab/>
      </w:r>
      <w:r>
        <w:rPr>
          <w:rFonts w:ascii="Stone Sans II ITC Std Sm" w:hAnsi="Stone Sans II ITC Std Sm"/>
          <w:b/>
          <w:spacing w:val="-4"/>
          <w:w w:val="110"/>
        </w:rPr>
        <w:t>232</w:t>
      </w:r>
    </w:p>
    <w:p>
      <w:pPr>
        <w:pStyle w:val="BodyText"/>
        <w:tabs>
          <w:tab w:pos="8045" w:val="right" w:leader="none"/>
        </w:tabs>
        <w:spacing w:before="9"/>
        <w:ind w:left="2426"/>
        <w:rPr>
          <w:rFonts w:ascii="Stone Sans II ITC Std Sm"/>
          <w:b/>
        </w:rPr>
      </w:pPr>
      <w:r>
        <w:rPr>
          <w:rFonts w:ascii="Stone Sans II ITC Std Sm"/>
          <w:b/>
          <w:w w:val="110"/>
        </w:rPr>
        <w:t>World day of</w:t>
      </w:r>
      <w:r>
        <w:rPr>
          <w:rFonts w:ascii="Stone Sans II ITC Std Sm"/>
          <w:b/>
          <w:spacing w:val="-2"/>
          <w:w w:val="110"/>
        </w:rPr>
        <w:t> </w:t>
      </w:r>
      <w:r>
        <w:rPr>
          <w:rFonts w:ascii="Stone Sans II ITC Std Sm"/>
          <w:b/>
          <w:spacing w:val="-3"/>
          <w:w w:val="110"/>
        </w:rPr>
        <w:t>prayer,</w:t>
      </w:r>
      <w:r>
        <w:rPr>
          <w:rFonts w:ascii="Stone Sans II ITC Std Sm"/>
          <w:b/>
          <w:w w:val="110"/>
        </w:rPr>
        <w:t> Scotland</w:t>
        <w:tab/>
      </w:r>
      <w:r>
        <w:rPr>
          <w:rFonts w:ascii="Stone Sans II ITC Std Sm"/>
          <w:b/>
          <w:spacing w:val="-5"/>
          <w:w w:val="110"/>
        </w:rPr>
        <w:t>233</w:t>
      </w:r>
    </w:p>
    <w:p>
      <w:pPr>
        <w:pStyle w:val="BodyText"/>
        <w:rPr>
          <w:rFonts w:ascii="Stone Sans II ITC Std Sm"/>
          <w:b/>
          <w:sz w:val="30"/>
        </w:rPr>
      </w:pPr>
    </w:p>
    <w:p>
      <w:pPr>
        <w:pStyle w:val="BodyText"/>
        <w:rPr>
          <w:rFonts w:ascii="Stone Sans II ITC Std Sm"/>
          <w:b/>
          <w:sz w:val="30"/>
        </w:rPr>
      </w:pPr>
    </w:p>
    <w:p>
      <w:pPr>
        <w:pStyle w:val="BodyText"/>
        <w:rPr>
          <w:rFonts w:ascii="Stone Sans II ITC Std Sm"/>
          <w:b/>
          <w:sz w:val="30"/>
        </w:rPr>
      </w:pPr>
    </w:p>
    <w:p>
      <w:pPr>
        <w:pStyle w:val="BodyText"/>
        <w:rPr>
          <w:rFonts w:ascii="Stone Sans II ITC Std Sm"/>
          <w:b/>
          <w:sz w:val="30"/>
        </w:rPr>
      </w:pPr>
    </w:p>
    <w:p>
      <w:pPr>
        <w:pStyle w:val="BodyText"/>
        <w:rPr>
          <w:rFonts w:ascii="Stone Sans II ITC Std Sm"/>
          <w:b/>
          <w:sz w:val="30"/>
        </w:rPr>
      </w:pPr>
    </w:p>
    <w:p>
      <w:pPr>
        <w:pStyle w:val="BodyText"/>
        <w:rPr>
          <w:rFonts w:ascii="Stone Sans II ITC Std Sm"/>
          <w:b/>
          <w:sz w:val="30"/>
        </w:rPr>
      </w:pPr>
    </w:p>
    <w:p>
      <w:pPr>
        <w:pStyle w:val="BodyText"/>
        <w:rPr>
          <w:rFonts w:ascii="Stone Sans II ITC Std Sm"/>
          <w:b/>
          <w:sz w:val="30"/>
        </w:rPr>
      </w:pPr>
    </w:p>
    <w:p>
      <w:pPr>
        <w:pStyle w:val="BodyText"/>
        <w:rPr>
          <w:rFonts w:ascii="Stone Sans II ITC Std Sm"/>
          <w:b/>
          <w:sz w:val="30"/>
        </w:rPr>
      </w:pPr>
    </w:p>
    <w:p>
      <w:pPr>
        <w:pStyle w:val="BodyText"/>
        <w:rPr>
          <w:rFonts w:ascii="Stone Sans II ITC Std Sm"/>
          <w:b/>
          <w:sz w:val="30"/>
        </w:rPr>
      </w:pPr>
    </w:p>
    <w:p>
      <w:pPr>
        <w:pStyle w:val="BodyText"/>
        <w:rPr>
          <w:rFonts w:ascii="Stone Sans II ITC Std Sm"/>
          <w:b/>
          <w:sz w:val="30"/>
        </w:rPr>
      </w:pPr>
    </w:p>
    <w:p>
      <w:pPr>
        <w:pStyle w:val="BodyText"/>
        <w:rPr>
          <w:rFonts w:ascii="Stone Sans II ITC Std Sm"/>
          <w:b/>
          <w:sz w:val="30"/>
        </w:rPr>
      </w:pPr>
    </w:p>
    <w:p>
      <w:pPr>
        <w:pStyle w:val="BodyText"/>
        <w:rPr>
          <w:rFonts w:ascii="Stone Sans II ITC Std Sm"/>
          <w:b/>
          <w:sz w:val="30"/>
        </w:rPr>
      </w:pPr>
    </w:p>
    <w:p>
      <w:pPr>
        <w:pStyle w:val="BodyText"/>
        <w:rPr>
          <w:rFonts w:ascii="Stone Sans II ITC Std Sm"/>
          <w:b/>
          <w:sz w:val="30"/>
        </w:rPr>
      </w:pPr>
    </w:p>
    <w:p>
      <w:pPr>
        <w:pStyle w:val="BodyText"/>
        <w:rPr>
          <w:rFonts w:ascii="Stone Sans II ITC Std Sm"/>
          <w:b/>
          <w:sz w:val="30"/>
        </w:rPr>
      </w:pPr>
    </w:p>
    <w:p>
      <w:pPr>
        <w:pStyle w:val="BodyText"/>
        <w:spacing w:before="9"/>
        <w:rPr>
          <w:rFonts w:ascii="Stone Sans II ITC Std Sm"/>
          <w:b/>
          <w:sz w:val="29"/>
        </w:rPr>
      </w:pPr>
    </w:p>
    <w:p>
      <w:pPr>
        <w:pStyle w:val="Heading6"/>
        <w:spacing w:before="1"/>
        <w:ind w:left="3718"/>
        <w:rPr>
          <w:rFonts w:ascii="Stone Sans II ITC Std X Bd" w:hAnsi="Stone Sans II ITC Std X Bd"/>
          <w:b/>
          <w:sz w:val="24"/>
        </w:rPr>
      </w:pPr>
      <w:r>
        <w:rPr>
          <w:color w:val="7EAABF"/>
          <w:w w:val="110"/>
        </w:rPr>
        <w:t>United Reformed Church </w:t>
      </w:r>
      <w:r>
        <w:rPr>
          <w:rFonts w:ascii="Symbol" w:hAnsi="Symbol"/>
          <w:color w:val="7EAABF"/>
          <w:w w:val="110"/>
        </w:rPr>
        <w:t></w:t>
      </w:r>
      <w:r>
        <w:rPr>
          <w:rFonts w:ascii="Times New Roman" w:hAnsi="Times New Roman"/>
          <w:color w:val="7EAABF"/>
          <w:w w:val="110"/>
        </w:rPr>
        <w:t> </w:t>
      </w:r>
      <w:r>
        <w:rPr>
          <w:color w:val="7EAABF"/>
          <w:w w:val="110"/>
        </w:rPr>
        <w:t>General Assembly 2016 </w:t>
      </w:r>
      <w:r>
        <w:rPr>
          <w:rFonts w:ascii="Symbol" w:hAnsi="Symbol"/>
          <w:color w:val="7EAABF"/>
          <w:w w:val="110"/>
        </w:rPr>
        <w:t></w:t>
      </w:r>
      <w:r>
        <w:rPr>
          <w:rFonts w:ascii="Times New Roman" w:hAnsi="Times New Roman"/>
          <w:color w:val="7EAABF"/>
          <w:w w:val="110"/>
        </w:rPr>
        <w:t> </w:t>
      </w:r>
      <w:r>
        <w:rPr>
          <w:rFonts w:ascii="Stone Sans II ITC Std X Bd" w:hAnsi="Stone Sans II ITC Std X Bd"/>
          <w:b/>
          <w:w w:val="110"/>
          <w:sz w:val="24"/>
        </w:rPr>
        <w:t>225</w:t>
      </w:r>
    </w:p>
    <w:p>
      <w:pPr>
        <w:spacing w:after="0"/>
        <w:rPr>
          <w:rFonts w:ascii="Stone Sans II ITC Std X Bd" w:hAnsi="Stone Sans II ITC Std X Bd"/>
          <w:sz w:val="24"/>
        </w:rPr>
        <w:sectPr>
          <w:headerReference w:type="default" r:id="rId592"/>
          <w:footerReference w:type="default" r:id="rId593"/>
          <w:pgSz w:w="11910" w:h="16840"/>
          <w:pgMar w:header="0" w:footer="0" w:top="1580" w:bottom="280" w:left="640" w:right="0"/>
        </w:sectPr>
      </w:pPr>
    </w:p>
    <w:p>
      <w:pPr>
        <w:pStyle w:val="BodyText"/>
        <w:rPr>
          <w:rFonts w:ascii="Stone Sans II ITC Std X Bd"/>
          <w:b/>
        </w:rPr>
      </w:pPr>
      <w:r>
        <w:rPr/>
        <w:drawing>
          <wp:anchor distT="0" distB="0" distL="0" distR="0" allowOverlap="1" layoutInCell="1" locked="0" behindDoc="1" simplePos="0" relativeHeight="235809792">
            <wp:simplePos x="0" y="0"/>
            <wp:positionH relativeFrom="page">
              <wp:posOffset>0</wp:posOffset>
            </wp:positionH>
            <wp:positionV relativeFrom="page">
              <wp:posOffset>0</wp:posOffset>
            </wp:positionV>
            <wp:extent cx="594067" cy="10692003"/>
            <wp:effectExtent l="0" t="0" r="0" b="0"/>
            <wp:wrapNone/>
            <wp:docPr id="429" name="image75.png"/>
            <wp:cNvGraphicFramePr>
              <a:graphicFrameLocks noChangeAspect="1"/>
            </wp:cNvGraphicFramePr>
            <a:graphic>
              <a:graphicData uri="http://schemas.openxmlformats.org/drawingml/2006/picture">
                <pic:pic>
                  <pic:nvPicPr>
                    <pic:cNvPr id="430" name="image75.png"/>
                    <pic:cNvPicPr/>
                  </pic:nvPicPr>
                  <pic:blipFill>
                    <a:blip r:embed="rId600" cstate="print"/>
                    <a:stretch>
                      <a:fillRect/>
                    </a:stretch>
                  </pic:blipFill>
                  <pic:spPr>
                    <a:xfrm>
                      <a:off x="0" y="0"/>
                      <a:ext cx="594067" cy="10692003"/>
                    </a:xfrm>
                    <a:prstGeom prst="rect">
                      <a:avLst/>
                    </a:prstGeom>
                  </pic:spPr>
                </pic:pic>
              </a:graphicData>
            </a:graphic>
          </wp:anchor>
        </w:drawing>
      </w:r>
      <w:r>
        <w:rPr/>
        <w:pict>
          <v:shape style="position:absolute;margin-left:20.519100pt;margin-top:48.890015pt;width:25.9pt;height:199.1pt;mso-position-horizontal-relative:page;mso-position-vertical-relative:page;z-index:-267505664" type="#_x0000_t202" filled="false" stroked="false">
            <v:textbox inset="0,0,0,0" style="layout-flow:vertical">
              <w:txbxContent>
                <w:p>
                  <w:pPr>
                    <w:spacing w:before="27"/>
                    <w:ind w:left="20" w:right="0" w:firstLine="0"/>
                    <w:jc w:val="left"/>
                    <w:rPr>
                      <w:sz w:val="39"/>
                    </w:rPr>
                  </w:pPr>
                  <w:r>
                    <w:rPr>
                      <w:color w:val="FFFFFF"/>
                      <w:w w:val="120"/>
                      <w:sz w:val="39"/>
                    </w:rPr>
                    <w:t>URC history society</w:t>
                  </w:r>
                </w:p>
              </w:txbxContent>
            </v:textbox>
            <w10:wrap type="none"/>
          </v:shape>
        </w:pict>
      </w:r>
    </w:p>
    <w:p>
      <w:pPr>
        <w:pStyle w:val="BodyText"/>
        <w:spacing w:before="7"/>
        <w:rPr>
          <w:rFonts w:ascii="Stone Sans II ITC Std X Bd"/>
          <w:b/>
          <w:sz w:val="17"/>
        </w:rPr>
      </w:pPr>
    </w:p>
    <w:p>
      <w:pPr>
        <w:spacing w:before="107"/>
        <w:ind w:left="607" w:right="0" w:firstLine="0"/>
        <w:jc w:val="left"/>
        <w:rPr>
          <w:sz w:val="26"/>
        </w:rPr>
      </w:pPr>
      <w:r>
        <w:rPr>
          <w:color w:val="7EAABF"/>
          <w:w w:val="115"/>
          <w:sz w:val="26"/>
        </w:rPr>
        <w:t>Information papers</w:t>
      </w:r>
    </w:p>
    <w:p>
      <w:pPr>
        <w:spacing w:line="617" w:lineRule="exact" w:before="245"/>
        <w:ind w:left="607" w:right="0" w:firstLine="0"/>
        <w:jc w:val="left"/>
        <w:rPr>
          <w:rFonts w:ascii="Stone Sans II ITC Std X Bd"/>
          <w:b/>
          <w:sz w:val="50"/>
        </w:rPr>
      </w:pPr>
      <w:bookmarkStart w:name="_GoBack" w:id="28"/>
      <w:bookmarkEnd w:id="28"/>
      <w:r>
        <w:rPr/>
      </w:r>
      <w:r>
        <w:rPr>
          <w:rFonts w:ascii="Stone Sans II ITC Std X Bd"/>
          <w:b/>
          <w:w w:val="110"/>
          <w:sz w:val="50"/>
        </w:rPr>
        <w:t>URC History Society</w:t>
      </w:r>
    </w:p>
    <w:p>
      <w:pPr>
        <w:pStyle w:val="BodyText"/>
        <w:spacing w:line="185" w:lineRule="exact"/>
        <w:ind w:left="6272"/>
      </w:pPr>
      <w:r>
        <w:rPr>
          <w:w w:val="120"/>
        </w:rPr>
        <w:t>Registered Charity No: 279213</w:t>
      </w:r>
    </w:p>
    <w:p>
      <w:pPr>
        <w:pStyle w:val="BodyText"/>
        <w:rPr>
          <w:sz w:val="24"/>
        </w:rPr>
      </w:pPr>
    </w:p>
    <w:p>
      <w:pPr>
        <w:pStyle w:val="ListParagraph"/>
        <w:numPr>
          <w:ilvl w:val="0"/>
          <w:numId w:val="244"/>
        </w:numPr>
        <w:tabs>
          <w:tab w:pos="1287" w:val="left" w:leader="none"/>
          <w:tab w:pos="1288" w:val="left" w:leader="none"/>
        </w:tabs>
        <w:spacing w:line="235" w:lineRule="auto" w:before="187" w:after="0"/>
        <w:ind w:left="607" w:right="2686" w:firstLine="0"/>
        <w:jc w:val="left"/>
        <w:rPr>
          <w:sz w:val="20"/>
        </w:rPr>
      </w:pPr>
      <w:r>
        <w:rPr>
          <w:w w:val="120"/>
          <w:sz w:val="20"/>
        </w:rPr>
        <w:t>Since last reporting to General Assembly, the Society has organised study occasions in two very different locations. The Gurdwara Sri Guru Singh Sabha in Hounslow provided generous hospitality, enabling those present to appreciate something</w:t>
      </w:r>
      <w:r>
        <w:rPr>
          <w:spacing w:val="8"/>
          <w:w w:val="120"/>
          <w:sz w:val="20"/>
        </w:rPr>
        <w:t> </w:t>
      </w:r>
      <w:r>
        <w:rPr>
          <w:w w:val="120"/>
          <w:sz w:val="20"/>
        </w:rPr>
        <w:t>of</w:t>
      </w:r>
      <w:r>
        <w:rPr>
          <w:spacing w:val="9"/>
          <w:w w:val="120"/>
          <w:sz w:val="20"/>
        </w:rPr>
        <w:t> </w:t>
      </w:r>
      <w:r>
        <w:rPr>
          <w:w w:val="120"/>
          <w:sz w:val="20"/>
        </w:rPr>
        <w:t>the</w:t>
      </w:r>
      <w:r>
        <w:rPr>
          <w:spacing w:val="9"/>
          <w:w w:val="120"/>
          <w:sz w:val="20"/>
        </w:rPr>
        <w:t> </w:t>
      </w:r>
      <w:r>
        <w:rPr>
          <w:w w:val="120"/>
          <w:sz w:val="20"/>
        </w:rPr>
        <w:t>Sikh</w:t>
      </w:r>
      <w:r>
        <w:rPr>
          <w:spacing w:val="8"/>
          <w:w w:val="120"/>
          <w:sz w:val="20"/>
        </w:rPr>
        <w:t> </w:t>
      </w:r>
      <w:r>
        <w:rPr>
          <w:w w:val="120"/>
          <w:sz w:val="20"/>
        </w:rPr>
        <w:t>tradition</w:t>
      </w:r>
      <w:r>
        <w:rPr>
          <w:spacing w:val="9"/>
          <w:w w:val="120"/>
          <w:sz w:val="20"/>
        </w:rPr>
        <w:t> </w:t>
      </w:r>
      <w:r>
        <w:rPr>
          <w:w w:val="120"/>
          <w:sz w:val="20"/>
        </w:rPr>
        <w:t>worldwide,</w:t>
      </w:r>
      <w:r>
        <w:rPr>
          <w:spacing w:val="9"/>
          <w:w w:val="120"/>
          <w:sz w:val="20"/>
        </w:rPr>
        <w:t> </w:t>
      </w:r>
      <w:r>
        <w:rPr>
          <w:w w:val="120"/>
          <w:sz w:val="20"/>
        </w:rPr>
        <w:t>and</w:t>
      </w:r>
      <w:r>
        <w:rPr>
          <w:spacing w:val="8"/>
          <w:w w:val="120"/>
          <w:sz w:val="20"/>
        </w:rPr>
        <w:t> </w:t>
      </w:r>
      <w:r>
        <w:rPr>
          <w:w w:val="120"/>
          <w:sz w:val="20"/>
        </w:rPr>
        <w:t>within</w:t>
      </w:r>
      <w:r>
        <w:rPr>
          <w:spacing w:val="9"/>
          <w:w w:val="120"/>
          <w:sz w:val="20"/>
        </w:rPr>
        <w:t> </w:t>
      </w:r>
      <w:r>
        <w:rPr>
          <w:w w:val="120"/>
          <w:sz w:val="20"/>
        </w:rPr>
        <w:t>its</w:t>
      </w:r>
      <w:r>
        <w:rPr>
          <w:spacing w:val="9"/>
          <w:w w:val="120"/>
          <w:sz w:val="20"/>
        </w:rPr>
        <w:t> </w:t>
      </w:r>
      <w:r>
        <w:rPr>
          <w:w w:val="120"/>
          <w:sz w:val="20"/>
        </w:rPr>
        <w:t>particular</w:t>
      </w:r>
      <w:r>
        <w:rPr>
          <w:spacing w:val="8"/>
          <w:w w:val="120"/>
          <w:sz w:val="20"/>
        </w:rPr>
        <w:t> </w:t>
      </w:r>
      <w:r>
        <w:rPr>
          <w:w w:val="120"/>
          <w:sz w:val="20"/>
        </w:rPr>
        <w:t>local</w:t>
      </w:r>
      <w:r>
        <w:rPr>
          <w:spacing w:val="9"/>
          <w:w w:val="120"/>
          <w:sz w:val="20"/>
        </w:rPr>
        <w:t> </w:t>
      </w:r>
      <w:r>
        <w:rPr>
          <w:w w:val="120"/>
          <w:sz w:val="20"/>
        </w:rPr>
        <w:t>setting.</w:t>
      </w:r>
    </w:p>
    <w:p>
      <w:pPr>
        <w:pStyle w:val="BodyText"/>
        <w:spacing w:line="235" w:lineRule="auto" w:before="3"/>
        <w:ind w:left="607" w:right="2045"/>
      </w:pPr>
      <w:r>
        <w:rPr>
          <w:w w:val="120"/>
        </w:rPr>
        <w:t>This visit in 2014 was organised by the Revd Dr John Parry, minister in Chalfont St Giles, whose ministerial service began in Bangladesh with the Council for World Mission.</w:t>
      </w:r>
    </w:p>
    <w:p>
      <w:pPr>
        <w:pStyle w:val="BodyText"/>
        <w:spacing w:line="235" w:lineRule="auto" w:before="1"/>
        <w:ind w:left="607" w:right="2045"/>
      </w:pPr>
      <w:r>
        <w:rPr>
          <w:w w:val="120"/>
        </w:rPr>
        <w:t>Dr Parry used the Annual Lecture to comment on and illustrate the relationships that have emerged between the United Reformed Church and other faith traditions, paying attention to the theological and the pragmatic.</w:t>
      </w:r>
    </w:p>
    <w:p>
      <w:pPr>
        <w:pStyle w:val="BodyText"/>
        <w:spacing w:before="10"/>
        <w:rPr>
          <w:sz w:val="19"/>
        </w:rPr>
      </w:pPr>
    </w:p>
    <w:p>
      <w:pPr>
        <w:pStyle w:val="ListParagraph"/>
        <w:numPr>
          <w:ilvl w:val="0"/>
          <w:numId w:val="244"/>
        </w:numPr>
        <w:tabs>
          <w:tab w:pos="1287" w:val="left" w:leader="none"/>
          <w:tab w:pos="1288" w:val="left" w:leader="none"/>
        </w:tabs>
        <w:spacing w:line="235" w:lineRule="auto" w:before="0" w:after="0"/>
        <w:ind w:left="607" w:right="2007" w:firstLine="0"/>
        <w:jc w:val="left"/>
        <w:rPr>
          <w:sz w:val="20"/>
        </w:rPr>
      </w:pPr>
      <w:r>
        <w:rPr>
          <w:w w:val="125"/>
          <w:sz w:val="20"/>
        </w:rPr>
        <w:t>More</w:t>
      </w:r>
      <w:r>
        <w:rPr>
          <w:spacing w:val="-19"/>
          <w:w w:val="125"/>
          <w:sz w:val="20"/>
        </w:rPr>
        <w:t> </w:t>
      </w:r>
      <w:r>
        <w:rPr>
          <w:w w:val="125"/>
          <w:sz w:val="20"/>
        </w:rPr>
        <w:t>recently</w:t>
      </w:r>
      <w:r>
        <w:rPr>
          <w:spacing w:val="-19"/>
          <w:w w:val="125"/>
          <w:sz w:val="20"/>
        </w:rPr>
        <w:t> </w:t>
      </w:r>
      <w:r>
        <w:rPr>
          <w:w w:val="125"/>
          <w:sz w:val="20"/>
        </w:rPr>
        <w:t>a</w:t>
      </w:r>
      <w:r>
        <w:rPr>
          <w:spacing w:val="-19"/>
          <w:w w:val="125"/>
          <w:sz w:val="20"/>
        </w:rPr>
        <w:t> </w:t>
      </w:r>
      <w:r>
        <w:rPr>
          <w:w w:val="125"/>
          <w:sz w:val="20"/>
        </w:rPr>
        <w:t>residential</w:t>
      </w:r>
      <w:r>
        <w:rPr>
          <w:spacing w:val="-18"/>
          <w:w w:val="125"/>
          <w:sz w:val="20"/>
        </w:rPr>
        <w:t> </w:t>
      </w:r>
      <w:r>
        <w:rPr>
          <w:w w:val="125"/>
          <w:sz w:val="20"/>
        </w:rPr>
        <w:t>study</w:t>
      </w:r>
      <w:r>
        <w:rPr>
          <w:spacing w:val="-19"/>
          <w:w w:val="125"/>
          <w:sz w:val="20"/>
        </w:rPr>
        <w:t> </w:t>
      </w:r>
      <w:r>
        <w:rPr>
          <w:w w:val="125"/>
          <w:sz w:val="20"/>
        </w:rPr>
        <w:t>conference</w:t>
      </w:r>
      <w:r>
        <w:rPr>
          <w:spacing w:val="-19"/>
          <w:w w:val="125"/>
          <w:sz w:val="20"/>
        </w:rPr>
        <w:t> </w:t>
      </w:r>
      <w:r>
        <w:rPr>
          <w:spacing w:val="-3"/>
          <w:w w:val="125"/>
          <w:sz w:val="20"/>
        </w:rPr>
        <w:t>(30</w:t>
      </w:r>
      <w:r>
        <w:rPr>
          <w:spacing w:val="-19"/>
          <w:w w:val="125"/>
          <w:sz w:val="20"/>
        </w:rPr>
        <w:t> </w:t>
      </w:r>
      <w:r>
        <w:rPr>
          <w:w w:val="125"/>
          <w:sz w:val="20"/>
        </w:rPr>
        <w:t>June</w:t>
      </w:r>
      <w:r>
        <w:rPr>
          <w:spacing w:val="-18"/>
          <w:w w:val="125"/>
          <w:sz w:val="20"/>
        </w:rPr>
        <w:t> </w:t>
      </w:r>
      <w:r>
        <w:rPr>
          <w:w w:val="125"/>
          <w:sz w:val="20"/>
        </w:rPr>
        <w:t>to</w:t>
      </w:r>
      <w:r>
        <w:rPr>
          <w:spacing w:val="-19"/>
          <w:w w:val="125"/>
          <w:sz w:val="20"/>
        </w:rPr>
        <w:t> </w:t>
      </w:r>
      <w:r>
        <w:rPr>
          <w:w w:val="125"/>
          <w:sz w:val="20"/>
        </w:rPr>
        <w:t>1</w:t>
      </w:r>
      <w:r>
        <w:rPr>
          <w:spacing w:val="-19"/>
          <w:w w:val="125"/>
          <w:sz w:val="20"/>
        </w:rPr>
        <w:t> </w:t>
      </w:r>
      <w:r>
        <w:rPr>
          <w:w w:val="125"/>
          <w:sz w:val="20"/>
        </w:rPr>
        <w:t>July</w:t>
      </w:r>
      <w:r>
        <w:rPr>
          <w:spacing w:val="-19"/>
          <w:w w:val="125"/>
          <w:sz w:val="20"/>
        </w:rPr>
        <w:t> </w:t>
      </w:r>
      <w:r>
        <w:rPr>
          <w:spacing w:val="-7"/>
          <w:w w:val="125"/>
          <w:sz w:val="20"/>
        </w:rPr>
        <w:t>2015)</w:t>
      </w:r>
      <w:r>
        <w:rPr>
          <w:spacing w:val="-18"/>
          <w:w w:val="125"/>
          <w:sz w:val="20"/>
        </w:rPr>
        <w:t> </w:t>
      </w:r>
      <w:r>
        <w:rPr>
          <w:w w:val="125"/>
          <w:sz w:val="20"/>
        </w:rPr>
        <w:t>was</w:t>
      </w:r>
      <w:r>
        <w:rPr>
          <w:spacing w:val="-19"/>
          <w:w w:val="125"/>
          <w:sz w:val="20"/>
        </w:rPr>
        <w:t> </w:t>
      </w:r>
      <w:r>
        <w:rPr>
          <w:w w:val="125"/>
          <w:sz w:val="20"/>
        </w:rPr>
        <w:t>held</w:t>
      </w:r>
      <w:r>
        <w:rPr>
          <w:spacing w:val="-19"/>
          <w:w w:val="125"/>
          <w:sz w:val="20"/>
        </w:rPr>
        <w:t> </w:t>
      </w:r>
      <w:r>
        <w:rPr>
          <w:w w:val="125"/>
          <w:sz w:val="20"/>
        </w:rPr>
        <w:t>at Westminster</w:t>
      </w:r>
      <w:r>
        <w:rPr>
          <w:spacing w:val="-26"/>
          <w:w w:val="125"/>
          <w:sz w:val="20"/>
        </w:rPr>
        <w:t> </w:t>
      </w:r>
      <w:r>
        <w:rPr>
          <w:w w:val="125"/>
          <w:sz w:val="20"/>
        </w:rPr>
        <w:t>College</w:t>
      </w:r>
      <w:r>
        <w:rPr>
          <w:spacing w:val="-26"/>
          <w:w w:val="125"/>
          <w:sz w:val="20"/>
        </w:rPr>
        <w:t> </w:t>
      </w:r>
      <w:r>
        <w:rPr>
          <w:w w:val="125"/>
          <w:sz w:val="20"/>
        </w:rPr>
        <w:t>Cambridge,</w:t>
      </w:r>
      <w:r>
        <w:rPr>
          <w:spacing w:val="-25"/>
          <w:w w:val="125"/>
          <w:sz w:val="20"/>
        </w:rPr>
        <w:t> </w:t>
      </w:r>
      <w:r>
        <w:rPr>
          <w:w w:val="125"/>
          <w:sz w:val="20"/>
        </w:rPr>
        <w:t>an</w:t>
      </w:r>
      <w:r>
        <w:rPr>
          <w:spacing w:val="-26"/>
          <w:w w:val="125"/>
          <w:sz w:val="20"/>
        </w:rPr>
        <w:t> </w:t>
      </w:r>
      <w:r>
        <w:rPr>
          <w:w w:val="125"/>
          <w:sz w:val="20"/>
        </w:rPr>
        <w:t>appropriate</w:t>
      </w:r>
      <w:r>
        <w:rPr>
          <w:spacing w:val="-25"/>
          <w:w w:val="125"/>
          <w:sz w:val="20"/>
        </w:rPr>
        <w:t> </w:t>
      </w:r>
      <w:r>
        <w:rPr>
          <w:w w:val="125"/>
          <w:sz w:val="20"/>
        </w:rPr>
        <w:t>venue</w:t>
      </w:r>
      <w:r>
        <w:rPr>
          <w:spacing w:val="-26"/>
          <w:w w:val="125"/>
          <w:sz w:val="20"/>
        </w:rPr>
        <w:t> </w:t>
      </w:r>
      <w:r>
        <w:rPr>
          <w:w w:val="125"/>
          <w:sz w:val="20"/>
        </w:rPr>
        <w:t>as</w:t>
      </w:r>
      <w:r>
        <w:rPr>
          <w:spacing w:val="-25"/>
          <w:w w:val="125"/>
          <w:sz w:val="20"/>
        </w:rPr>
        <w:t> </w:t>
      </w:r>
      <w:r>
        <w:rPr>
          <w:w w:val="125"/>
          <w:sz w:val="20"/>
        </w:rPr>
        <w:t>the</w:t>
      </w:r>
      <w:r>
        <w:rPr>
          <w:spacing w:val="-26"/>
          <w:w w:val="125"/>
          <w:sz w:val="20"/>
        </w:rPr>
        <w:t> </w:t>
      </w:r>
      <w:r>
        <w:rPr>
          <w:w w:val="125"/>
          <w:sz w:val="20"/>
        </w:rPr>
        <w:t>Society’s</w:t>
      </w:r>
      <w:r>
        <w:rPr>
          <w:spacing w:val="-25"/>
          <w:w w:val="125"/>
          <w:sz w:val="20"/>
        </w:rPr>
        <w:t> </w:t>
      </w:r>
      <w:r>
        <w:rPr>
          <w:w w:val="125"/>
          <w:sz w:val="20"/>
        </w:rPr>
        <w:t>collections</w:t>
      </w:r>
      <w:r>
        <w:rPr>
          <w:spacing w:val="-26"/>
          <w:w w:val="125"/>
          <w:sz w:val="20"/>
        </w:rPr>
        <w:t> </w:t>
      </w:r>
      <w:r>
        <w:rPr>
          <w:w w:val="125"/>
          <w:sz w:val="20"/>
        </w:rPr>
        <w:t>have been held there since </w:t>
      </w:r>
      <w:r>
        <w:rPr>
          <w:spacing w:val="-4"/>
          <w:w w:val="125"/>
          <w:sz w:val="20"/>
        </w:rPr>
        <w:t>1998, </w:t>
      </w:r>
      <w:r>
        <w:rPr>
          <w:w w:val="125"/>
          <w:sz w:val="20"/>
        </w:rPr>
        <w:t>and following a major redevelopment of the premises, archive</w:t>
      </w:r>
      <w:r>
        <w:rPr>
          <w:spacing w:val="-19"/>
          <w:w w:val="125"/>
          <w:sz w:val="20"/>
        </w:rPr>
        <w:t> </w:t>
      </w:r>
      <w:r>
        <w:rPr>
          <w:w w:val="125"/>
          <w:sz w:val="20"/>
        </w:rPr>
        <w:t>space</w:t>
      </w:r>
      <w:r>
        <w:rPr>
          <w:spacing w:val="-18"/>
          <w:w w:val="125"/>
          <w:sz w:val="20"/>
        </w:rPr>
        <w:t> </w:t>
      </w:r>
      <w:r>
        <w:rPr>
          <w:w w:val="125"/>
          <w:sz w:val="20"/>
        </w:rPr>
        <w:t>to</w:t>
      </w:r>
      <w:r>
        <w:rPr>
          <w:spacing w:val="-18"/>
          <w:w w:val="125"/>
          <w:sz w:val="20"/>
        </w:rPr>
        <w:t> </w:t>
      </w:r>
      <w:r>
        <w:rPr>
          <w:w w:val="125"/>
          <w:sz w:val="20"/>
        </w:rPr>
        <w:t>a</w:t>
      </w:r>
      <w:r>
        <w:rPr>
          <w:spacing w:val="-18"/>
          <w:w w:val="125"/>
          <w:sz w:val="20"/>
        </w:rPr>
        <w:t> </w:t>
      </w:r>
      <w:r>
        <w:rPr>
          <w:w w:val="125"/>
          <w:sz w:val="20"/>
        </w:rPr>
        <w:t>high</w:t>
      </w:r>
      <w:r>
        <w:rPr>
          <w:spacing w:val="-19"/>
          <w:w w:val="125"/>
          <w:sz w:val="20"/>
        </w:rPr>
        <w:t> </w:t>
      </w:r>
      <w:r>
        <w:rPr>
          <w:w w:val="125"/>
          <w:sz w:val="20"/>
        </w:rPr>
        <w:t>specification</w:t>
      </w:r>
      <w:r>
        <w:rPr>
          <w:spacing w:val="-18"/>
          <w:w w:val="125"/>
          <w:sz w:val="20"/>
        </w:rPr>
        <w:t> </w:t>
      </w:r>
      <w:r>
        <w:rPr>
          <w:w w:val="125"/>
          <w:sz w:val="20"/>
        </w:rPr>
        <w:t>has</w:t>
      </w:r>
      <w:r>
        <w:rPr>
          <w:spacing w:val="-18"/>
          <w:w w:val="125"/>
          <w:sz w:val="20"/>
        </w:rPr>
        <w:t> </w:t>
      </w:r>
      <w:r>
        <w:rPr>
          <w:w w:val="125"/>
          <w:sz w:val="20"/>
        </w:rPr>
        <w:t>been</w:t>
      </w:r>
      <w:r>
        <w:rPr>
          <w:spacing w:val="-18"/>
          <w:w w:val="125"/>
          <w:sz w:val="20"/>
        </w:rPr>
        <w:t> </w:t>
      </w:r>
      <w:r>
        <w:rPr>
          <w:w w:val="125"/>
          <w:sz w:val="20"/>
        </w:rPr>
        <w:t>made</w:t>
      </w:r>
      <w:r>
        <w:rPr>
          <w:spacing w:val="-19"/>
          <w:w w:val="125"/>
          <w:sz w:val="20"/>
        </w:rPr>
        <w:t> </w:t>
      </w:r>
      <w:r>
        <w:rPr>
          <w:w w:val="125"/>
          <w:sz w:val="20"/>
        </w:rPr>
        <w:t>available.</w:t>
      </w:r>
      <w:r>
        <w:rPr>
          <w:spacing w:val="-18"/>
          <w:w w:val="125"/>
          <w:sz w:val="20"/>
        </w:rPr>
        <w:t> </w:t>
      </w:r>
      <w:r>
        <w:rPr>
          <w:w w:val="125"/>
          <w:sz w:val="20"/>
        </w:rPr>
        <w:t>One</w:t>
      </w:r>
      <w:r>
        <w:rPr>
          <w:spacing w:val="-18"/>
          <w:w w:val="125"/>
          <w:sz w:val="20"/>
        </w:rPr>
        <w:t> </w:t>
      </w:r>
      <w:r>
        <w:rPr>
          <w:w w:val="125"/>
          <w:sz w:val="20"/>
        </w:rPr>
        <w:t>of</w:t>
      </w:r>
      <w:r>
        <w:rPr>
          <w:spacing w:val="-18"/>
          <w:w w:val="125"/>
          <w:sz w:val="20"/>
        </w:rPr>
        <w:t> </w:t>
      </w:r>
      <w:r>
        <w:rPr>
          <w:w w:val="125"/>
          <w:sz w:val="20"/>
        </w:rPr>
        <w:t>the</w:t>
      </w:r>
      <w:r>
        <w:rPr>
          <w:spacing w:val="-19"/>
          <w:w w:val="125"/>
          <w:sz w:val="20"/>
        </w:rPr>
        <w:t> </w:t>
      </w:r>
      <w:r>
        <w:rPr>
          <w:w w:val="125"/>
          <w:sz w:val="20"/>
        </w:rPr>
        <w:t>sessions</w:t>
      </w:r>
      <w:r>
        <w:rPr>
          <w:spacing w:val="-18"/>
          <w:w w:val="125"/>
          <w:sz w:val="20"/>
        </w:rPr>
        <w:t> </w:t>
      </w:r>
      <w:r>
        <w:rPr>
          <w:w w:val="125"/>
          <w:sz w:val="20"/>
        </w:rPr>
        <w:t>was devoted to a tour of the holdings to illustrate how records from the denominations, which have come together in the United Reformed Church, are housed. Each of the three</w:t>
      </w:r>
      <w:r>
        <w:rPr>
          <w:spacing w:val="-18"/>
          <w:w w:val="125"/>
          <w:sz w:val="20"/>
        </w:rPr>
        <w:t> </w:t>
      </w:r>
      <w:r>
        <w:rPr>
          <w:w w:val="125"/>
          <w:sz w:val="20"/>
        </w:rPr>
        <w:t>strands</w:t>
      </w:r>
      <w:r>
        <w:rPr>
          <w:spacing w:val="-18"/>
          <w:w w:val="125"/>
          <w:sz w:val="20"/>
        </w:rPr>
        <w:t> </w:t>
      </w:r>
      <w:r>
        <w:rPr>
          <w:w w:val="125"/>
          <w:sz w:val="20"/>
        </w:rPr>
        <w:t>was</w:t>
      </w:r>
      <w:r>
        <w:rPr>
          <w:spacing w:val="-18"/>
          <w:w w:val="125"/>
          <w:sz w:val="20"/>
        </w:rPr>
        <w:t> </w:t>
      </w:r>
      <w:r>
        <w:rPr>
          <w:w w:val="125"/>
          <w:sz w:val="20"/>
        </w:rPr>
        <w:t>represented</w:t>
      </w:r>
      <w:r>
        <w:rPr>
          <w:spacing w:val="-18"/>
          <w:w w:val="125"/>
          <w:sz w:val="20"/>
        </w:rPr>
        <w:t> </w:t>
      </w:r>
      <w:r>
        <w:rPr>
          <w:w w:val="125"/>
          <w:sz w:val="20"/>
        </w:rPr>
        <w:t>in</w:t>
      </w:r>
      <w:r>
        <w:rPr>
          <w:spacing w:val="-18"/>
          <w:w w:val="125"/>
          <w:sz w:val="20"/>
        </w:rPr>
        <w:t> </w:t>
      </w:r>
      <w:r>
        <w:rPr>
          <w:w w:val="125"/>
          <w:sz w:val="20"/>
        </w:rPr>
        <w:t>the</w:t>
      </w:r>
      <w:r>
        <w:rPr>
          <w:spacing w:val="-18"/>
          <w:w w:val="125"/>
          <w:sz w:val="20"/>
        </w:rPr>
        <w:t> </w:t>
      </w:r>
      <w:r>
        <w:rPr>
          <w:w w:val="125"/>
          <w:sz w:val="20"/>
        </w:rPr>
        <w:t>papers</w:t>
      </w:r>
      <w:r>
        <w:rPr>
          <w:spacing w:val="-18"/>
          <w:w w:val="125"/>
          <w:sz w:val="20"/>
        </w:rPr>
        <w:t> </w:t>
      </w:r>
      <w:r>
        <w:rPr>
          <w:w w:val="125"/>
          <w:sz w:val="20"/>
        </w:rPr>
        <w:t>on</w:t>
      </w:r>
      <w:r>
        <w:rPr>
          <w:spacing w:val="-18"/>
          <w:w w:val="125"/>
          <w:sz w:val="20"/>
        </w:rPr>
        <w:t> </w:t>
      </w:r>
      <w:r>
        <w:rPr>
          <w:w w:val="125"/>
          <w:sz w:val="20"/>
        </w:rPr>
        <w:t>A</w:t>
      </w:r>
      <w:r>
        <w:rPr>
          <w:spacing w:val="-18"/>
          <w:w w:val="125"/>
          <w:sz w:val="20"/>
        </w:rPr>
        <w:t> </w:t>
      </w:r>
      <w:r>
        <w:rPr>
          <w:w w:val="125"/>
          <w:sz w:val="20"/>
        </w:rPr>
        <w:t>D</w:t>
      </w:r>
      <w:r>
        <w:rPr>
          <w:spacing w:val="-18"/>
          <w:w w:val="125"/>
          <w:sz w:val="20"/>
        </w:rPr>
        <w:t> </w:t>
      </w:r>
      <w:r>
        <w:rPr>
          <w:w w:val="125"/>
          <w:sz w:val="20"/>
        </w:rPr>
        <w:t>Harcus</w:t>
      </w:r>
      <w:r>
        <w:rPr>
          <w:spacing w:val="-18"/>
          <w:w w:val="125"/>
          <w:sz w:val="20"/>
        </w:rPr>
        <w:t> </w:t>
      </w:r>
      <w:r>
        <w:rPr>
          <w:w w:val="125"/>
          <w:sz w:val="20"/>
        </w:rPr>
        <w:t>(Presbyterian),</w:t>
      </w:r>
      <w:r>
        <w:rPr>
          <w:spacing w:val="-18"/>
          <w:w w:val="125"/>
          <w:sz w:val="20"/>
        </w:rPr>
        <w:t> </w:t>
      </w:r>
      <w:r>
        <w:rPr>
          <w:w w:val="125"/>
          <w:sz w:val="20"/>
        </w:rPr>
        <w:t>Arnold</w:t>
      </w:r>
      <w:r>
        <w:rPr>
          <w:spacing w:val="-18"/>
          <w:w w:val="125"/>
          <w:sz w:val="20"/>
        </w:rPr>
        <w:t> </w:t>
      </w:r>
      <w:r>
        <w:rPr>
          <w:w w:val="125"/>
          <w:sz w:val="20"/>
        </w:rPr>
        <w:t>Legg (Congregationalist),</w:t>
      </w:r>
      <w:r>
        <w:rPr>
          <w:spacing w:val="-13"/>
          <w:w w:val="125"/>
          <w:sz w:val="20"/>
        </w:rPr>
        <w:t> </w:t>
      </w:r>
      <w:r>
        <w:rPr>
          <w:w w:val="125"/>
          <w:sz w:val="20"/>
        </w:rPr>
        <w:t>both</w:t>
      </w:r>
      <w:r>
        <w:rPr>
          <w:spacing w:val="-12"/>
          <w:w w:val="125"/>
          <w:sz w:val="20"/>
        </w:rPr>
        <w:t> </w:t>
      </w:r>
      <w:r>
        <w:rPr>
          <w:w w:val="125"/>
          <w:sz w:val="20"/>
        </w:rPr>
        <w:t>of</w:t>
      </w:r>
      <w:r>
        <w:rPr>
          <w:spacing w:val="-12"/>
          <w:w w:val="125"/>
          <w:sz w:val="20"/>
        </w:rPr>
        <w:t> </w:t>
      </w:r>
      <w:r>
        <w:rPr>
          <w:w w:val="125"/>
          <w:sz w:val="20"/>
        </w:rPr>
        <w:t>whom</w:t>
      </w:r>
      <w:r>
        <w:rPr>
          <w:spacing w:val="-12"/>
          <w:w w:val="125"/>
          <w:sz w:val="20"/>
        </w:rPr>
        <w:t> </w:t>
      </w:r>
      <w:r>
        <w:rPr>
          <w:w w:val="125"/>
          <w:sz w:val="20"/>
        </w:rPr>
        <w:t>were</w:t>
      </w:r>
      <w:r>
        <w:rPr>
          <w:spacing w:val="-12"/>
          <w:w w:val="125"/>
          <w:sz w:val="20"/>
        </w:rPr>
        <w:t> </w:t>
      </w:r>
      <w:r>
        <w:rPr>
          <w:w w:val="125"/>
          <w:sz w:val="20"/>
        </w:rPr>
        <w:t>trained</w:t>
      </w:r>
      <w:r>
        <w:rPr>
          <w:spacing w:val="-12"/>
          <w:w w:val="125"/>
          <w:sz w:val="20"/>
        </w:rPr>
        <w:t> </w:t>
      </w:r>
      <w:r>
        <w:rPr>
          <w:w w:val="125"/>
          <w:sz w:val="20"/>
        </w:rPr>
        <w:t>in</w:t>
      </w:r>
      <w:r>
        <w:rPr>
          <w:spacing w:val="-12"/>
          <w:w w:val="125"/>
          <w:sz w:val="20"/>
        </w:rPr>
        <w:t> </w:t>
      </w:r>
      <w:r>
        <w:rPr>
          <w:w w:val="125"/>
          <w:sz w:val="20"/>
        </w:rPr>
        <w:t>Cambridge,</w:t>
      </w:r>
      <w:r>
        <w:rPr>
          <w:spacing w:val="-12"/>
          <w:w w:val="125"/>
          <w:sz w:val="20"/>
        </w:rPr>
        <w:t> </w:t>
      </w:r>
      <w:r>
        <w:rPr>
          <w:w w:val="125"/>
          <w:sz w:val="20"/>
        </w:rPr>
        <w:t>and</w:t>
      </w:r>
      <w:r>
        <w:rPr>
          <w:spacing w:val="-12"/>
          <w:w w:val="125"/>
          <w:sz w:val="20"/>
        </w:rPr>
        <w:t> </w:t>
      </w:r>
      <w:r>
        <w:rPr>
          <w:w w:val="125"/>
          <w:sz w:val="20"/>
        </w:rPr>
        <w:t>on</w:t>
      </w:r>
      <w:r>
        <w:rPr>
          <w:spacing w:val="-12"/>
          <w:w w:val="125"/>
          <w:sz w:val="20"/>
        </w:rPr>
        <w:t> </w:t>
      </w:r>
      <w:r>
        <w:rPr>
          <w:w w:val="125"/>
          <w:sz w:val="20"/>
        </w:rPr>
        <w:t>the</w:t>
      </w:r>
      <w:r>
        <w:rPr>
          <w:spacing w:val="-13"/>
          <w:w w:val="125"/>
          <w:sz w:val="20"/>
        </w:rPr>
        <w:t> </w:t>
      </w:r>
      <w:r>
        <w:rPr>
          <w:w w:val="125"/>
          <w:sz w:val="20"/>
        </w:rPr>
        <w:t>Chilembwe rising</w:t>
      </w:r>
      <w:r>
        <w:rPr>
          <w:spacing w:val="-11"/>
          <w:w w:val="125"/>
          <w:sz w:val="20"/>
        </w:rPr>
        <w:t> </w:t>
      </w:r>
      <w:r>
        <w:rPr>
          <w:w w:val="125"/>
          <w:sz w:val="20"/>
        </w:rPr>
        <w:t>of</w:t>
      </w:r>
      <w:r>
        <w:rPr>
          <w:spacing w:val="-11"/>
          <w:w w:val="125"/>
          <w:sz w:val="20"/>
        </w:rPr>
        <w:t> </w:t>
      </w:r>
      <w:r>
        <w:rPr>
          <w:spacing w:val="-10"/>
          <w:w w:val="125"/>
          <w:sz w:val="20"/>
        </w:rPr>
        <w:t>1915,</w:t>
      </w:r>
      <w:r>
        <w:rPr>
          <w:spacing w:val="-11"/>
          <w:w w:val="125"/>
          <w:sz w:val="20"/>
        </w:rPr>
        <w:t> </w:t>
      </w:r>
      <w:r>
        <w:rPr>
          <w:w w:val="125"/>
          <w:sz w:val="20"/>
        </w:rPr>
        <w:t>which</w:t>
      </w:r>
      <w:r>
        <w:rPr>
          <w:spacing w:val="-11"/>
          <w:w w:val="125"/>
          <w:sz w:val="20"/>
        </w:rPr>
        <w:t> </w:t>
      </w:r>
      <w:r>
        <w:rPr>
          <w:w w:val="125"/>
          <w:sz w:val="20"/>
        </w:rPr>
        <w:t>affected</w:t>
      </w:r>
      <w:r>
        <w:rPr>
          <w:spacing w:val="-11"/>
          <w:w w:val="125"/>
          <w:sz w:val="20"/>
        </w:rPr>
        <w:t> </w:t>
      </w:r>
      <w:r>
        <w:rPr>
          <w:w w:val="125"/>
          <w:sz w:val="20"/>
        </w:rPr>
        <w:t>the</w:t>
      </w:r>
      <w:r>
        <w:rPr>
          <w:spacing w:val="-11"/>
          <w:w w:val="125"/>
          <w:sz w:val="20"/>
        </w:rPr>
        <w:t> </w:t>
      </w:r>
      <w:r>
        <w:rPr>
          <w:w w:val="125"/>
          <w:sz w:val="20"/>
        </w:rPr>
        <w:t>Churches</w:t>
      </w:r>
      <w:r>
        <w:rPr>
          <w:spacing w:val="-10"/>
          <w:w w:val="125"/>
          <w:sz w:val="20"/>
        </w:rPr>
        <w:t> </w:t>
      </w:r>
      <w:r>
        <w:rPr>
          <w:w w:val="125"/>
          <w:sz w:val="20"/>
        </w:rPr>
        <w:t>of</w:t>
      </w:r>
      <w:r>
        <w:rPr>
          <w:spacing w:val="-11"/>
          <w:w w:val="125"/>
          <w:sz w:val="20"/>
        </w:rPr>
        <w:t> </w:t>
      </w:r>
      <w:r>
        <w:rPr>
          <w:w w:val="125"/>
          <w:sz w:val="20"/>
        </w:rPr>
        <w:t>Christ</w:t>
      </w:r>
      <w:r>
        <w:rPr>
          <w:spacing w:val="-11"/>
          <w:w w:val="125"/>
          <w:sz w:val="20"/>
        </w:rPr>
        <w:t> </w:t>
      </w:r>
      <w:r>
        <w:rPr>
          <w:w w:val="125"/>
          <w:sz w:val="20"/>
        </w:rPr>
        <w:t>mission</w:t>
      </w:r>
      <w:r>
        <w:rPr>
          <w:spacing w:val="-11"/>
          <w:w w:val="125"/>
          <w:sz w:val="20"/>
        </w:rPr>
        <w:t> </w:t>
      </w:r>
      <w:r>
        <w:rPr>
          <w:w w:val="125"/>
          <w:sz w:val="20"/>
        </w:rPr>
        <w:t>station</w:t>
      </w:r>
      <w:r>
        <w:rPr>
          <w:spacing w:val="-11"/>
          <w:w w:val="125"/>
          <w:sz w:val="20"/>
        </w:rPr>
        <w:t> </w:t>
      </w:r>
      <w:r>
        <w:rPr>
          <w:w w:val="125"/>
          <w:sz w:val="20"/>
        </w:rPr>
        <w:t>in</w:t>
      </w:r>
      <w:r>
        <w:rPr>
          <w:spacing w:val="-11"/>
          <w:w w:val="125"/>
          <w:sz w:val="20"/>
        </w:rPr>
        <w:t> </w:t>
      </w:r>
      <w:r>
        <w:rPr>
          <w:w w:val="125"/>
          <w:sz w:val="20"/>
        </w:rPr>
        <w:t>Nyasaland.</w:t>
      </w:r>
    </w:p>
    <w:p>
      <w:pPr>
        <w:pStyle w:val="BodyText"/>
        <w:spacing w:line="235" w:lineRule="auto" w:before="7"/>
        <w:ind w:left="607" w:right="2045"/>
      </w:pPr>
      <w:r>
        <w:rPr>
          <w:w w:val="120"/>
        </w:rPr>
        <w:t>Frank Buchman, founder of the Oxford Group also featured in another communication, as a former resident at Westminster.</w:t>
      </w:r>
    </w:p>
    <w:p>
      <w:pPr>
        <w:pStyle w:val="BodyText"/>
        <w:spacing w:before="10"/>
        <w:rPr>
          <w:sz w:val="19"/>
        </w:rPr>
      </w:pPr>
    </w:p>
    <w:p>
      <w:pPr>
        <w:pStyle w:val="ListParagraph"/>
        <w:numPr>
          <w:ilvl w:val="0"/>
          <w:numId w:val="244"/>
        </w:numPr>
        <w:tabs>
          <w:tab w:pos="1287" w:val="left" w:leader="none"/>
          <w:tab w:pos="1288" w:val="left" w:leader="none"/>
        </w:tabs>
        <w:spacing w:line="235" w:lineRule="auto" w:before="0" w:after="0"/>
        <w:ind w:left="607" w:right="2269" w:firstLine="0"/>
        <w:jc w:val="left"/>
        <w:rPr>
          <w:sz w:val="20"/>
        </w:rPr>
      </w:pPr>
      <w:r>
        <w:rPr>
          <w:w w:val="120"/>
          <w:sz w:val="20"/>
        </w:rPr>
        <w:t>The annual lecture, ‘Prophets of the Kingdom or apologists for Empire? Churches and theologians on the way to </w:t>
      </w:r>
      <w:r>
        <w:rPr>
          <w:spacing w:val="-11"/>
          <w:w w:val="120"/>
          <w:sz w:val="20"/>
        </w:rPr>
        <w:t>1914’, </w:t>
      </w:r>
      <w:r>
        <w:rPr>
          <w:w w:val="120"/>
          <w:sz w:val="20"/>
        </w:rPr>
        <w:t>was given by the Revd Dr Keith Clements, formerly General Secretary to the Conference of European Churches. Against a background of imperial expansion and rivalry, he drew attention to groups which sought to foster understanding, Free Churchmen among them, yet war came. Nevertheless, the ‘promise’ of the World Missionary Conference of </w:t>
      </w:r>
      <w:r>
        <w:rPr>
          <w:spacing w:val="-9"/>
          <w:w w:val="120"/>
          <w:sz w:val="20"/>
        </w:rPr>
        <w:t>1910 </w:t>
      </w:r>
      <w:r>
        <w:rPr>
          <w:w w:val="120"/>
          <w:sz w:val="20"/>
        </w:rPr>
        <w:t>sowed seeds that encouraged a radical rethinking of relationships later in the century, and moved some church people to call worldly kingdoms to</w:t>
      </w:r>
      <w:r>
        <w:rPr>
          <w:spacing w:val="26"/>
          <w:w w:val="120"/>
          <w:sz w:val="20"/>
        </w:rPr>
        <w:t> </w:t>
      </w:r>
      <w:r>
        <w:rPr>
          <w:w w:val="120"/>
          <w:sz w:val="20"/>
        </w:rPr>
        <w:t>account.</w:t>
      </w:r>
    </w:p>
    <w:p>
      <w:pPr>
        <w:pStyle w:val="BodyText"/>
        <w:spacing w:before="1"/>
      </w:pPr>
    </w:p>
    <w:p>
      <w:pPr>
        <w:pStyle w:val="ListParagraph"/>
        <w:numPr>
          <w:ilvl w:val="0"/>
          <w:numId w:val="244"/>
        </w:numPr>
        <w:tabs>
          <w:tab w:pos="1287" w:val="left" w:leader="none"/>
          <w:tab w:pos="1288" w:val="left" w:leader="none"/>
        </w:tabs>
        <w:spacing w:line="235" w:lineRule="auto" w:before="1" w:after="0"/>
        <w:ind w:left="607" w:right="2080" w:firstLine="0"/>
        <w:jc w:val="left"/>
        <w:rPr>
          <w:sz w:val="20"/>
        </w:rPr>
      </w:pPr>
      <w:r>
        <w:rPr>
          <w:w w:val="120"/>
          <w:sz w:val="20"/>
        </w:rPr>
        <w:t>Meeting mid-week as an experiment was seen as advantageous for a  conference occasion, since this might assist more ministers to attend. The jubilee of the ordination of the Chairman of the Council, the Revd Geoffrey Roper, was a matter for congratulation. Dr Jean Silvan Evans was also thanked for her commitment to Society activities, and as a trustee for nine years. Later in the </w:t>
      </w:r>
      <w:r>
        <w:rPr>
          <w:spacing w:val="-4"/>
          <w:w w:val="120"/>
          <w:sz w:val="20"/>
        </w:rPr>
        <w:t>year, </w:t>
      </w:r>
      <w:r>
        <w:rPr>
          <w:w w:val="120"/>
          <w:sz w:val="20"/>
        </w:rPr>
        <w:t>news was received of</w:t>
      </w:r>
      <w:r>
        <w:rPr>
          <w:spacing w:val="-12"/>
          <w:w w:val="120"/>
          <w:sz w:val="20"/>
        </w:rPr>
        <w:t> </w:t>
      </w:r>
      <w:r>
        <w:rPr>
          <w:w w:val="120"/>
          <w:sz w:val="20"/>
        </w:rPr>
        <w:t>the</w:t>
      </w:r>
    </w:p>
    <w:p>
      <w:pPr>
        <w:pStyle w:val="BodyText"/>
        <w:spacing w:line="235" w:lineRule="auto" w:before="3"/>
        <w:ind w:left="607" w:right="2032"/>
      </w:pPr>
      <w:r>
        <w:rPr>
          <w:w w:val="120"/>
        </w:rPr>
        <w:t>death of Dr Elaine Kaye, distinguished in her teaching career, as an historian and author, as tutor at Mansfield College, and also appreciated as a council member </w:t>
      </w:r>
      <w:r>
        <w:rPr>
          <w:spacing w:val="-5"/>
          <w:w w:val="120"/>
        </w:rPr>
        <w:t>(1993-97) </w:t>
      </w:r>
      <w:r>
        <w:rPr>
          <w:w w:val="120"/>
        </w:rPr>
        <w:t>and Society President </w:t>
      </w:r>
      <w:r>
        <w:rPr>
          <w:spacing w:val="-7"/>
          <w:w w:val="120"/>
        </w:rPr>
        <w:t>(1997-2001). </w:t>
      </w:r>
      <w:r>
        <w:rPr>
          <w:w w:val="120"/>
        </w:rPr>
        <w:t>The death of the Revd Professor Alan Sell in </w:t>
      </w:r>
      <w:r>
        <w:rPr>
          <w:spacing w:val="2"/>
          <w:w w:val="120"/>
        </w:rPr>
        <w:t>February </w:t>
      </w:r>
      <w:r>
        <w:rPr>
          <w:spacing w:val="-7"/>
          <w:w w:val="120"/>
        </w:rPr>
        <w:t>2016 </w:t>
      </w:r>
      <w:r>
        <w:rPr>
          <w:w w:val="120"/>
        </w:rPr>
        <w:t>has removed a prolific and challenging contributor to the</w:t>
      </w:r>
      <w:r>
        <w:rPr>
          <w:spacing w:val="32"/>
          <w:w w:val="120"/>
        </w:rPr>
        <w:t> </w:t>
      </w:r>
      <w:r>
        <w:rPr>
          <w:i/>
          <w:w w:val="120"/>
        </w:rPr>
        <w:t>Journal</w:t>
      </w:r>
      <w:r>
        <w:rPr>
          <w:w w:val="120"/>
        </w:rPr>
        <w:t>.</w:t>
      </w:r>
    </w:p>
    <w:p>
      <w:pPr>
        <w:pStyle w:val="BodyText"/>
        <w:spacing w:before="11"/>
        <w:rPr>
          <w:sz w:val="19"/>
        </w:rPr>
      </w:pPr>
    </w:p>
    <w:p>
      <w:pPr>
        <w:pStyle w:val="ListParagraph"/>
        <w:numPr>
          <w:ilvl w:val="0"/>
          <w:numId w:val="244"/>
        </w:numPr>
        <w:tabs>
          <w:tab w:pos="1287" w:val="left" w:leader="none"/>
          <w:tab w:pos="1288" w:val="left" w:leader="none"/>
        </w:tabs>
        <w:spacing w:line="235" w:lineRule="auto" w:before="0" w:after="0"/>
        <w:ind w:left="607" w:right="2100" w:firstLine="0"/>
        <w:jc w:val="left"/>
        <w:rPr>
          <w:sz w:val="20"/>
        </w:rPr>
      </w:pPr>
      <w:r>
        <w:rPr>
          <w:w w:val="120"/>
          <w:sz w:val="20"/>
        </w:rPr>
        <w:t>Numbers 4 to 7 of Volume 9 of the </w:t>
      </w:r>
      <w:r>
        <w:rPr>
          <w:i/>
          <w:w w:val="120"/>
          <w:sz w:val="20"/>
        </w:rPr>
        <w:t>Journal </w:t>
      </w:r>
      <w:r>
        <w:rPr>
          <w:w w:val="120"/>
          <w:sz w:val="20"/>
        </w:rPr>
        <w:t>have been published. Congregations anchored in their locality, Professor </w:t>
      </w:r>
      <w:r>
        <w:rPr>
          <w:spacing w:val="-3"/>
          <w:w w:val="120"/>
          <w:sz w:val="20"/>
        </w:rPr>
        <w:t>Sell’s </w:t>
      </w:r>
      <w:r>
        <w:rPr>
          <w:w w:val="120"/>
          <w:sz w:val="20"/>
        </w:rPr>
        <w:t>tribute to List B ministers, and an exploration of the histories of three Nonconformist families who combined industry, philanthropy and Christian citizenship, have featured. These might be themes to be expected, but alongside them have been articles which covered pastoral visiting of prisoners in the Ruhr and a radical Welsh Puritan, William Erbury </w:t>
      </w:r>
      <w:r>
        <w:rPr>
          <w:spacing w:val="-3"/>
          <w:w w:val="120"/>
          <w:sz w:val="20"/>
        </w:rPr>
        <w:t>(whose </w:t>
      </w:r>
      <w:r>
        <w:rPr>
          <w:w w:val="120"/>
          <w:sz w:val="20"/>
        </w:rPr>
        <w:t>tolerant attitude to Jews and Turks was unusual in the seventeenth century). Articles for consideration can be sent at any time to the </w:t>
      </w:r>
      <w:r>
        <w:rPr>
          <w:spacing w:val="-3"/>
          <w:w w:val="120"/>
          <w:sz w:val="20"/>
        </w:rPr>
        <w:t>editor, </w:t>
      </w:r>
      <w:r>
        <w:rPr>
          <w:w w:val="120"/>
          <w:sz w:val="20"/>
        </w:rPr>
        <w:t>the Revd Dr </w:t>
      </w:r>
      <w:r>
        <w:rPr>
          <w:spacing w:val="2"/>
          <w:w w:val="120"/>
          <w:sz w:val="20"/>
        </w:rPr>
        <w:t>Robert</w:t>
      </w:r>
      <w:r>
        <w:rPr>
          <w:spacing w:val="21"/>
          <w:w w:val="120"/>
          <w:sz w:val="20"/>
        </w:rPr>
        <w:t> </w:t>
      </w:r>
      <w:r>
        <w:rPr>
          <w:w w:val="120"/>
          <w:sz w:val="20"/>
        </w:rPr>
        <w:t>Pope.</w:t>
      </w:r>
    </w:p>
    <w:p>
      <w:pPr>
        <w:pStyle w:val="BodyText"/>
        <w:spacing w:before="2"/>
      </w:pPr>
    </w:p>
    <w:p>
      <w:pPr>
        <w:pStyle w:val="ListParagraph"/>
        <w:numPr>
          <w:ilvl w:val="0"/>
          <w:numId w:val="244"/>
        </w:numPr>
        <w:tabs>
          <w:tab w:pos="1287" w:val="left" w:leader="none"/>
          <w:tab w:pos="1288" w:val="left" w:leader="none"/>
        </w:tabs>
        <w:spacing w:line="235" w:lineRule="auto" w:before="0" w:after="0"/>
        <w:ind w:left="607" w:right="2037" w:firstLine="0"/>
        <w:jc w:val="left"/>
        <w:rPr>
          <w:sz w:val="20"/>
        </w:rPr>
      </w:pPr>
      <w:r>
        <w:rPr>
          <w:w w:val="120"/>
          <w:sz w:val="20"/>
        </w:rPr>
        <w:t>Archival deposits have continued. The major task was to transfer papers collected by the Revd Dr George Hood over his long career, together with material connected with Foreign Missions within the Churches of Christ to the School of   Oriental and African Studies in London.</w:t>
      </w:r>
      <w:r>
        <w:rPr>
          <w:spacing w:val="42"/>
          <w:w w:val="120"/>
          <w:sz w:val="20"/>
        </w:rPr>
        <w:t> </w:t>
      </w:r>
      <w:r>
        <w:rPr>
          <w:spacing w:val="-3"/>
          <w:w w:val="120"/>
          <w:sz w:val="20"/>
        </w:rPr>
        <w:t>(See </w:t>
      </w:r>
      <w:hyperlink r:id="rId601">
        <w:r>
          <w:rPr>
            <w:color w:val="006AB3"/>
            <w:spacing w:val="-3"/>
            <w:w w:val="120"/>
            <w:sz w:val="20"/>
          </w:rPr>
          <w:t>http://blogs.soas.ac.uk/archives/2015/07/</w:t>
        </w:r>
      </w:hyperlink>
      <w:r>
        <w:rPr>
          <w:spacing w:val="-3"/>
          <w:w w:val="120"/>
          <w:sz w:val="20"/>
        </w:rPr>
        <w:t>).</w:t>
      </w:r>
    </w:p>
    <w:p>
      <w:pPr>
        <w:spacing w:after="0" w:line="235" w:lineRule="auto"/>
        <w:jc w:val="left"/>
        <w:rPr>
          <w:sz w:val="20"/>
        </w:rPr>
        <w:sectPr>
          <w:headerReference w:type="even" r:id="rId597"/>
          <w:footerReference w:type="even" r:id="rId598"/>
          <w:footerReference w:type="default" r:id="rId599"/>
          <w:pgSz w:w="11910" w:h="16840"/>
          <w:pgMar w:header="0" w:footer="567" w:top="0" w:bottom="760" w:left="640" w:right="0"/>
          <w:pgNumType w:start="226"/>
        </w:sectPr>
      </w:pPr>
    </w:p>
    <w:p>
      <w:pPr>
        <w:pStyle w:val="BodyText"/>
      </w:pPr>
      <w:r>
        <w:rPr/>
        <w:drawing>
          <wp:anchor distT="0" distB="0" distL="0" distR="0" allowOverlap="1" layoutInCell="1" locked="0" behindDoc="0" simplePos="0" relativeHeight="252265472">
            <wp:simplePos x="0" y="0"/>
            <wp:positionH relativeFrom="page">
              <wp:posOffset>6974928</wp:posOffset>
            </wp:positionH>
            <wp:positionV relativeFrom="page">
              <wp:posOffset>0</wp:posOffset>
            </wp:positionV>
            <wp:extent cx="585063" cy="10692003"/>
            <wp:effectExtent l="0" t="0" r="0" b="0"/>
            <wp:wrapNone/>
            <wp:docPr id="431" name="image74.png"/>
            <wp:cNvGraphicFramePr>
              <a:graphicFrameLocks noChangeAspect="1"/>
            </wp:cNvGraphicFramePr>
            <a:graphic>
              <a:graphicData uri="http://schemas.openxmlformats.org/drawingml/2006/picture">
                <pic:pic>
                  <pic:nvPicPr>
                    <pic:cNvPr id="432" name="image74.png"/>
                    <pic:cNvPicPr/>
                  </pic:nvPicPr>
                  <pic:blipFill>
                    <a:blip r:embed="rId596" cstate="print"/>
                    <a:stretch>
                      <a:fillRect/>
                    </a:stretch>
                  </pic:blipFill>
                  <pic:spPr>
                    <a:xfrm>
                      <a:off x="0" y="0"/>
                      <a:ext cx="585063" cy="10692003"/>
                    </a:xfrm>
                    <a:prstGeom prst="rect">
                      <a:avLst/>
                    </a:prstGeom>
                  </pic:spPr>
                </pic:pic>
              </a:graphicData>
            </a:graphic>
          </wp:anchor>
        </w:drawing>
      </w:r>
    </w:p>
    <w:p>
      <w:pPr>
        <w:pStyle w:val="BodyText"/>
        <w:spacing w:before="7"/>
        <w:rPr>
          <w:sz w:val="21"/>
        </w:rPr>
      </w:pPr>
    </w:p>
    <w:p>
      <w:pPr>
        <w:spacing w:before="106"/>
        <w:ind w:left="0" w:right="1245" w:firstLine="0"/>
        <w:jc w:val="right"/>
        <w:rPr>
          <w:sz w:val="26"/>
        </w:rPr>
      </w:pPr>
      <w:r>
        <w:rPr/>
        <w:pict>
          <v:shape style="position:absolute;margin-left:554.141174pt;margin-top:22.593945pt;width:25.9pt;height:199.1pt;mso-position-horizontal-relative:page;mso-position-vertical-relative:paragraph;z-index:252266496" type="#_x0000_t202" filled="false" stroked="false">
            <v:textbox inset="0,0,0,0" style="layout-flow:vertical">
              <w:txbxContent>
                <w:p>
                  <w:pPr>
                    <w:spacing w:before="27"/>
                    <w:ind w:left="20" w:right="0" w:firstLine="0"/>
                    <w:jc w:val="left"/>
                    <w:rPr>
                      <w:sz w:val="39"/>
                    </w:rPr>
                  </w:pPr>
                  <w:r>
                    <w:rPr>
                      <w:color w:val="FFFFFF"/>
                      <w:w w:val="120"/>
                      <w:sz w:val="39"/>
                    </w:rPr>
                    <w:t>URC history society</w:t>
                  </w:r>
                </w:p>
              </w:txbxContent>
            </v:textbox>
            <w10:wrap type="none"/>
          </v:shape>
        </w:pict>
      </w:r>
      <w:r>
        <w:rPr>
          <w:color w:val="7EAABF"/>
          <w:w w:val="115"/>
          <w:sz w:val="26"/>
        </w:rPr>
        <w:t>Information papers</w:t>
      </w:r>
    </w:p>
    <w:p>
      <w:pPr>
        <w:pStyle w:val="BodyText"/>
        <w:spacing w:line="235" w:lineRule="auto" w:before="222"/>
        <w:ind w:left="1344" w:right="1573"/>
      </w:pPr>
      <w:r>
        <w:rPr>
          <w:w w:val="120"/>
        </w:rPr>
        <w:t>In addition, all local congregational records from the Churches of Christ have been sent or taken to the appropriate County Record Office or Heritage Centre. Gifts from members have enhanced the library collection, which continues to complement</w:t>
      </w:r>
    </w:p>
    <w:p>
      <w:pPr>
        <w:pStyle w:val="BodyText"/>
        <w:spacing w:line="235" w:lineRule="auto" w:before="2"/>
        <w:ind w:left="1344" w:right="1478"/>
      </w:pPr>
      <w:r>
        <w:rPr>
          <w:w w:val="120"/>
        </w:rPr>
        <w:t>the other specialist archives of the College. Mrs Helen Weller has been able to use volunteers as assistants in the work of reorganising the collections. She is in a position to offer advice and assistance to visitors, and may be contacted every morning except Fridays by phone (01223 330 620) or by email (</w:t>
      </w:r>
      <w:hyperlink r:id="rId603">
        <w:r>
          <w:rPr>
            <w:color w:val="006AB3"/>
            <w:w w:val="120"/>
          </w:rPr>
          <w:t>hw374@cam.ac.uk</w:t>
        </w:r>
      </w:hyperlink>
      <w:r>
        <w:rPr>
          <w:w w:val="120"/>
        </w:rPr>
        <w:t>).</w:t>
      </w:r>
    </w:p>
    <w:p>
      <w:pPr>
        <w:pStyle w:val="BodyText"/>
        <w:spacing w:before="11"/>
        <w:rPr>
          <w:sz w:val="19"/>
        </w:rPr>
      </w:pPr>
    </w:p>
    <w:p>
      <w:pPr>
        <w:pStyle w:val="ListParagraph"/>
        <w:numPr>
          <w:ilvl w:val="0"/>
          <w:numId w:val="244"/>
        </w:numPr>
        <w:tabs>
          <w:tab w:pos="2024" w:val="left" w:leader="none"/>
          <w:tab w:pos="2025" w:val="left" w:leader="none"/>
        </w:tabs>
        <w:spacing w:line="235" w:lineRule="auto" w:before="0" w:after="0"/>
        <w:ind w:left="1344" w:right="1766" w:firstLine="0"/>
        <w:jc w:val="left"/>
        <w:rPr>
          <w:sz w:val="20"/>
        </w:rPr>
      </w:pPr>
      <w:r>
        <w:rPr>
          <w:w w:val="120"/>
          <w:sz w:val="20"/>
        </w:rPr>
        <w:t>The appointment of a Records Manager, Ms Shahera Begum, at 86 Tavistock Place, has been welcomed by the Society Council, as being very helpful in making   a commitment to the care and preservation of material generated by the</w:t>
      </w:r>
      <w:r>
        <w:rPr>
          <w:spacing w:val="19"/>
          <w:w w:val="120"/>
          <w:sz w:val="20"/>
        </w:rPr>
        <w:t> </w:t>
      </w:r>
      <w:r>
        <w:rPr>
          <w:w w:val="120"/>
          <w:sz w:val="20"/>
        </w:rPr>
        <w:t>United</w:t>
      </w:r>
    </w:p>
    <w:p>
      <w:pPr>
        <w:pStyle w:val="BodyText"/>
        <w:spacing w:line="243" w:lineRule="exact"/>
        <w:ind w:left="1344"/>
      </w:pPr>
      <w:r>
        <w:rPr>
          <w:w w:val="120"/>
        </w:rPr>
        <w:t>Reformed Church, and in a context where paper will not necessarily remain the norm.</w:t>
      </w:r>
    </w:p>
    <w:p>
      <w:pPr>
        <w:pStyle w:val="BodyText"/>
        <w:spacing w:before="7"/>
        <w:rPr>
          <w:sz w:val="19"/>
        </w:rPr>
      </w:pPr>
    </w:p>
    <w:p>
      <w:pPr>
        <w:pStyle w:val="ListParagraph"/>
        <w:numPr>
          <w:ilvl w:val="0"/>
          <w:numId w:val="244"/>
        </w:numPr>
        <w:tabs>
          <w:tab w:pos="2024" w:val="left" w:leader="none"/>
          <w:tab w:pos="2025" w:val="left" w:leader="none"/>
        </w:tabs>
        <w:spacing w:line="235" w:lineRule="auto" w:before="1" w:after="0"/>
        <w:ind w:left="1344" w:right="1404" w:firstLine="0"/>
        <w:jc w:val="left"/>
        <w:rPr>
          <w:sz w:val="20"/>
        </w:rPr>
      </w:pPr>
      <w:r>
        <w:rPr>
          <w:w w:val="120"/>
          <w:sz w:val="20"/>
        </w:rPr>
        <w:t>The Marquis Fund, to further the study and publication of Nonconformist history, is administered by the Society and representatives of Westminster College, Cambridge. Grants may be made to scholars of any denominational affiliation or none, if the criteria are satisfied. Application should be made to the treasurer, using the college address. One application was received in</w:t>
      </w:r>
      <w:r>
        <w:rPr>
          <w:spacing w:val="23"/>
          <w:w w:val="120"/>
          <w:sz w:val="20"/>
        </w:rPr>
        <w:t> </w:t>
      </w:r>
      <w:r>
        <w:rPr>
          <w:spacing w:val="-7"/>
          <w:w w:val="120"/>
          <w:sz w:val="20"/>
        </w:rPr>
        <w:t>2015.</w:t>
      </w:r>
    </w:p>
    <w:p>
      <w:pPr>
        <w:pStyle w:val="BodyText"/>
        <w:spacing w:before="11"/>
        <w:rPr>
          <w:sz w:val="19"/>
        </w:rPr>
      </w:pPr>
    </w:p>
    <w:p>
      <w:pPr>
        <w:pStyle w:val="ListParagraph"/>
        <w:numPr>
          <w:ilvl w:val="0"/>
          <w:numId w:val="244"/>
        </w:numPr>
        <w:tabs>
          <w:tab w:pos="2024" w:val="left" w:leader="none"/>
          <w:tab w:pos="2025" w:val="left" w:leader="none"/>
        </w:tabs>
        <w:spacing w:line="235" w:lineRule="auto" w:before="0" w:after="0"/>
        <w:ind w:left="1344" w:right="1630" w:firstLine="0"/>
        <w:jc w:val="left"/>
        <w:rPr>
          <w:sz w:val="20"/>
        </w:rPr>
      </w:pPr>
      <w:r>
        <w:rPr>
          <w:w w:val="120"/>
          <w:sz w:val="20"/>
        </w:rPr>
        <w:t>The standard subscription rate for membership is £20. For all enquiries about Society membership, including a </w:t>
      </w:r>
      <w:r>
        <w:rPr>
          <w:spacing w:val="-3"/>
          <w:w w:val="120"/>
          <w:sz w:val="20"/>
        </w:rPr>
        <w:t>25% </w:t>
      </w:r>
      <w:r>
        <w:rPr>
          <w:w w:val="120"/>
          <w:sz w:val="20"/>
        </w:rPr>
        <w:t>reduction for students and newly-retired ministers, Mrs Margaret Thompson may be consulted, either by email </w:t>
      </w:r>
      <w:r>
        <w:rPr>
          <w:spacing w:val="-4"/>
          <w:w w:val="120"/>
          <w:sz w:val="20"/>
        </w:rPr>
        <w:t>(</w:t>
      </w:r>
      <w:hyperlink r:id="rId604">
        <w:r>
          <w:rPr>
            <w:color w:val="006AB3"/>
            <w:spacing w:val="-4"/>
            <w:w w:val="120"/>
            <w:sz w:val="20"/>
          </w:rPr>
          <w:t>mt212@cam.</w:t>
        </w:r>
      </w:hyperlink>
      <w:hyperlink r:id="rId604">
        <w:r>
          <w:rPr>
            <w:color w:val="006AB3"/>
            <w:spacing w:val="-4"/>
            <w:w w:val="120"/>
            <w:sz w:val="20"/>
          </w:rPr>
          <w:t> </w:t>
        </w:r>
        <w:r>
          <w:rPr>
            <w:color w:val="006AB3"/>
            <w:spacing w:val="-3"/>
            <w:w w:val="120"/>
            <w:sz w:val="20"/>
          </w:rPr>
          <w:t>ac.uk</w:t>
        </w:r>
      </w:hyperlink>
      <w:r>
        <w:rPr>
          <w:spacing w:val="-3"/>
          <w:w w:val="120"/>
          <w:sz w:val="20"/>
        </w:rPr>
        <w:t>) </w:t>
      </w:r>
      <w:r>
        <w:rPr>
          <w:w w:val="120"/>
          <w:sz w:val="20"/>
        </w:rPr>
        <w:t>or via Westminster College. </w:t>
      </w:r>
      <w:r>
        <w:rPr>
          <w:spacing w:val="2"/>
          <w:w w:val="120"/>
          <w:sz w:val="20"/>
        </w:rPr>
        <w:t>Gift </w:t>
      </w:r>
      <w:r>
        <w:rPr>
          <w:w w:val="120"/>
          <w:sz w:val="20"/>
        </w:rPr>
        <w:t>Aid declarations continue to make a valuable contribution to general</w:t>
      </w:r>
      <w:r>
        <w:rPr>
          <w:spacing w:val="6"/>
          <w:w w:val="120"/>
          <w:sz w:val="20"/>
        </w:rPr>
        <w:t> </w:t>
      </w:r>
      <w:r>
        <w:rPr>
          <w:w w:val="120"/>
          <w:sz w:val="20"/>
        </w:rPr>
        <w:t>finances.</w:t>
      </w:r>
    </w:p>
    <w:p>
      <w:pPr>
        <w:spacing w:after="0" w:line="235" w:lineRule="auto"/>
        <w:jc w:val="left"/>
        <w:rPr>
          <w:sz w:val="20"/>
        </w:rPr>
        <w:sectPr>
          <w:headerReference w:type="default" r:id="rId602"/>
          <w:pgSz w:w="11910" w:h="16840"/>
          <w:pgMar w:header="0" w:footer="647" w:top="0" w:bottom="840" w:left="640" w:right="0"/>
        </w:sectPr>
      </w:pPr>
    </w:p>
    <w:p>
      <w:pPr>
        <w:pStyle w:val="BodyText"/>
      </w:pPr>
      <w:r>
        <w:rPr/>
        <w:drawing>
          <wp:anchor distT="0" distB="0" distL="0" distR="0" allowOverlap="1" layoutInCell="1" locked="0" behindDoc="1" simplePos="0" relativeHeight="235813888">
            <wp:simplePos x="0" y="0"/>
            <wp:positionH relativeFrom="page">
              <wp:posOffset>0</wp:posOffset>
            </wp:positionH>
            <wp:positionV relativeFrom="page">
              <wp:posOffset>0</wp:posOffset>
            </wp:positionV>
            <wp:extent cx="594067" cy="10692003"/>
            <wp:effectExtent l="0" t="0" r="0" b="0"/>
            <wp:wrapNone/>
            <wp:docPr id="433" name="image75.png"/>
            <wp:cNvGraphicFramePr>
              <a:graphicFrameLocks noChangeAspect="1"/>
            </wp:cNvGraphicFramePr>
            <a:graphic>
              <a:graphicData uri="http://schemas.openxmlformats.org/drawingml/2006/picture">
                <pic:pic>
                  <pic:nvPicPr>
                    <pic:cNvPr id="434" name="image75.png"/>
                    <pic:cNvPicPr/>
                  </pic:nvPicPr>
                  <pic:blipFill>
                    <a:blip r:embed="rId600" cstate="print"/>
                    <a:stretch>
                      <a:fillRect/>
                    </a:stretch>
                  </pic:blipFill>
                  <pic:spPr>
                    <a:xfrm>
                      <a:off x="0" y="0"/>
                      <a:ext cx="594067" cy="10692003"/>
                    </a:xfrm>
                    <a:prstGeom prst="rect">
                      <a:avLst/>
                    </a:prstGeom>
                  </pic:spPr>
                </pic:pic>
              </a:graphicData>
            </a:graphic>
          </wp:anchor>
        </w:drawing>
      </w:r>
      <w:r>
        <w:rPr/>
        <w:pict>
          <v:shape style="position:absolute;margin-left:20.519100pt;margin-top:48.890015pt;width:25.9pt;height:111pt;mso-position-horizontal-relative:page;mso-position-vertical-relative:page;z-index:-267501568" type="#_x0000_t202" filled="false" stroked="false">
            <v:textbox inset="0,0,0,0" style="layout-flow:vertical">
              <w:txbxContent>
                <w:p>
                  <w:pPr>
                    <w:spacing w:before="27"/>
                    <w:ind w:left="20" w:right="0" w:firstLine="0"/>
                    <w:jc w:val="left"/>
                    <w:rPr>
                      <w:sz w:val="39"/>
                    </w:rPr>
                  </w:pPr>
                  <w:r>
                    <w:rPr>
                      <w:color w:val="FFFFFF"/>
                      <w:w w:val="125"/>
                      <w:sz w:val="39"/>
                    </w:rPr>
                    <w:t>URC music</w:t>
                  </w:r>
                </w:p>
              </w:txbxContent>
            </v:textbox>
            <w10:wrap type="none"/>
          </v:shape>
        </w:pict>
      </w:r>
    </w:p>
    <w:p>
      <w:pPr>
        <w:pStyle w:val="BodyText"/>
        <w:spacing w:before="7"/>
        <w:rPr>
          <w:sz w:val="21"/>
        </w:rPr>
      </w:pPr>
    </w:p>
    <w:p>
      <w:pPr>
        <w:spacing w:before="106"/>
        <w:ind w:left="607" w:right="0" w:firstLine="0"/>
        <w:jc w:val="left"/>
        <w:rPr>
          <w:sz w:val="26"/>
        </w:rPr>
      </w:pPr>
      <w:r>
        <w:rPr>
          <w:color w:val="7EAABF"/>
          <w:w w:val="115"/>
          <w:sz w:val="26"/>
        </w:rPr>
        <w:t>Information papers</w:t>
      </w:r>
    </w:p>
    <w:p>
      <w:pPr>
        <w:spacing w:before="246"/>
        <w:ind w:left="607" w:right="0" w:firstLine="0"/>
        <w:jc w:val="left"/>
        <w:rPr>
          <w:rFonts w:ascii="Stone Sans II ITC Std X Bd"/>
          <w:b/>
          <w:sz w:val="50"/>
        </w:rPr>
      </w:pPr>
      <w:r>
        <w:rPr>
          <w:rFonts w:ascii="Stone Sans II ITC Std X Bd"/>
          <w:b/>
          <w:w w:val="110"/>
          <w:sz w:val="50"/>
        </w:rPr>
        <w:t>URC Music</w:t>
      </w:r>
    </w:p>
    <w:p>
      <w:pPr>
        <w:pStyle w:val="ListParagraph"/>
        <w:numPr>
          <w:ilvl w:val="0"/>
          <w:numId w:val="245"/>
        </w:numPr>
        <w:tabs>
          <w:tab w:pos="1287" w:val="left" w:leader="none"/>
          <w:tab w:pos="1288" w:val="left" w:leader="none"/>
        </w:tabs>
        <w:spacing w:line="235" w:lineRule="auto" w:before="365" w:after="0"/>
        <w:ind w:left="607" w:right="2165" w:firstLine="0"/>
        <w:jc w:val="left"/>
        <w:rPr>
          <w:sz w:val="20"/>
        </w:rPr>
      </w:pPr>
      <w:r>
        <w:rPr>
          <w:w w:val="120"/>
          <w:sz w:val="20"/>
        </w:rPr>
        <w:t>During </w:t>
      </w:r>
      <w:r>
        <w:rPr>
          <w:spacing w:val="-9"/>
          <w:w w:val="120"/>
          <w:sz w:val="20"/>
        </w:rPr>
        <w:t>2015, </w:t>
      </w:r>
      <w:r>
        <w:rPr>
          <w:w w:val="120"/>
          <w:sz w:val="20"/>
        </w:rPr>
        <w:t>the executive </w:t>
      </w:r>
      <w:r>
        <w:rPr>
          <w:spacing w:val="-3"/>
          <w:w w:val="120"/>
          <w:sz w:val="20"/>
        </w:rPr>
        <w:t>committee </w:t>
      </w:r>
      <w:r>
        <w:rPr>
          <w:w w:val="120"/>
          <w:sz w:val="20"/>
        </w:rPr>
        <w:t>of URC Music has been </w:t>
      </w:r>
      <w:r>
        <w:rPr>
          <w:spacing w:val="-3"/>
          <w:w w:val="120"/>
          <w:sz w:val="20"/>
        </w:rPr>
        <w:t>discussing ways </w:t>
      </w:r>
      <w:r>
        <w:rPr>
          <w:w w:val="120"/>
          <w:sz w:val="20"/>
        </w:rPr>
        <w:t>of </w:t>
      </w:r>
      <w:r>
        <w:rPr>
          <w:spacing w:val="-3"/>
          <w:w w:val="120"/>
          <w:sz w:val="20"/>
        </w:rPr>
        <w:t>achieving </w:t>
      </w:r>
      <w:r>
        <w:rPr>
          <w:w w:val="120"/>
          <w:sz w:val="20"/>
        </w:rPr>
        <w:t>some of the </w:t>
      </w:r>
      <w:r>
        <w:rPr>
          <w:spacing w:val="-3"/>
          <w:w w:val="120"/>
          <w:sz w:val="20"/>
        </w:rPr>
        <w:t>aims </w:t>
      </w:r>
      <w:r>
        <w:rPr>
          <w:w w:val="120"/>
          <w:sz w:val="20"/>
        </w:rPr>
        <w:t>of our </w:t>
      </w:r>
      <w:r>
        <w:rPr>
          <w:spacing w:val="-3"/>
          <w:w w:val="120"/>
          <w:sz w:val="20"/>
        </w:rPr>
        <w:t>organisation, </w:t>
      </w:r>
      <w:r>
        <w:rPr>
          <w:w w:val="120"/>
          <w:sz w:val="20"/>
        </w:rPr>
        <w:t>revised by our new </w:t>
      </w:r>
      <w:r>
        <w:rPr>
          <w:spacing w:val="-3"/>
          <w:w w:val="120"/>
          <w:sz w:val="20"/>
        </w:rPr>
        <w:t>constitution </w:t>
      </w:r>
      <w:r>
        <w:rPr>
          <w:w w:val="120"/>
          <w:sz w:val="20"/>
        </w:rPr>
        <w:t>in</w:t>
      </w:r>
      <w:r>
        <w:rPr>
          <w:spacing w:val="15"/>
          <w:w w:val="120"/>
          <w:sz w:val="20"/>
        </w:rPr>
        <w:t> </w:t>
      </w:r>
      <w:r>
        <w:rPr>
          <w:spacing w:val="-8"/>
          <w:w w:val="120"/>
          <w:sz w:val="20"/>
        </w:rPr>
        <w:t>2014.</w:t>
      </w:r>
    </w:p>
    <w:p>
      <w:pPr>
        <w:pStyle w:val="BodyText"/>
        <w:spacing w:before="9"/>
        <w:rPr>
          <w:sz w:val="19"/>
        </w:rPr>
      </w:pPr>
    </w:p>
    <w:p>
      <w:pPr>
        <w:pStyle w:val="ListParagraph"/>
        <w:numPr>
          <w:ilvl w:val="0"/>
          <w:numId w:val="245"/>
        </w:numPr>
        <w:tabs>
          <w:tab w:pos="1287" w:val="left" w:leader="none"/>
          <w:tab w:pos="1288" w:val="left" w:leader="none"/>
        </w:tabs>
        <w:spacing w:line="235" w:lineRule="auto" w:before="0" w:after="0"/>
        <w:ind w:left="607" w:right="2026" w:firstLine="0"/>
        <w:jc w:val="left"/>
        <w:rPr>
          <w:sz w:val="20"/>
        </w:rPr>
      </w:pPr>
      <w:r>
        <w:rPr>
          <w:w w:val="120"/>
          <w:sz w:val="20"/>
        </w:rPr>
        <w:t>One of our aims is to help influence the training of our worship leaders. The  Revd Fiona Thomas attended one of our committee meetings and helped us to gather information about how music is included during training for ministry. A new committee member, the Revd Matthew Prevett, gave music training sessions for worship leaders and lay preachers courses at Westminster College during the summer vacation. We hope there will be other ways in which URC Music can bring about a higher profile for music included in worship in our</w:t>
      </w:r>
      <w:r>
        <w:rPr>
          <w:spacing w:val="15"/>
          <w:w w:val="120"/>
          <w:sz w:val="20"/>
        </w:rPr>
        <w:t> </w:t>
      </w:r>
      <w:r>
        <w:rPr>
          <w:w w:val="120"/>
          <w:sz w:val="20"/>
        </w:rPr>
        <w:t>churches.</w:t>
      </w:r>
    </w:p>
    <w:p>
      <w:pPr>
        <w:pStyle w:val="BodyText"/>
        <w:spacing w:before="1"/>
      </w:pPr>
    </w:p>
    <w:p>
      <w:pPr>
        <w:pStyle w:val="ListParagraph"/>
        <w:numPr>
          <w:ilvl w:val="0"/>
          <w:numId w:val="245"/>
        </w:numPr>
        <w:tabs>
          <w:tab w:pos="1287" w:val="left" w:leader="none"/>
          <w:tab w:pos="1288" w:val="left" w:leader="none"/>
        </w:tabs>
        <w:spacing w:line="235" w:lineRule="auto" w:before="0" w:after="0"/>
        <w:ind w:left="607" w:right="2095" w:firstLine="0"/>
        <w:jc w:val="left"/>
        <w:rPr>
          <w:sz w:val="20"/>
        </w:rPr>
      </w:pPr>
      <w:r>
        <w:rPr>
          <w:w w:val="120"/>
          <w:sz w:val="20"/>
        </w:rPr>
        <w:t>We are gradually building an advisory panel of people on whom we can call for help, advice and inspiration for all kinds of music in all kinds of situations. Please do get in touch with URC Music if you are willing to be a music adviser in your</w:t>
      </w:r>
      <w:r>
        <w:rPr>
          <w:spacing w:val="40"/>
          <w:w w:val="120"/>
          <w:sz w:val="20"/>
        </w:rPr>
        <w:t> </w:t>
      </w:r>
      <w:r>
        <w:rPr>
          <w:w w:val="120"/>
          <w:sz w:val="20"/>
        </w:rPr>
        <w:t>area.</w:t>
      </w:r>
    </w:p>
    <w:p>
      <w:pPr>
        <w:pStyle w:val="BodyText"/>
        <w:spacing w:before="10"/>
        <w:rPr>
          <w:sz w:val="19"/>
        </w:rPr>
      </w:pPr>
    </w:p>
    <w:p>
      <w:pPr>
        <w:pStyle w:val="ListParagraph"/>
        <w:numPr>
          <w:ilvl w:val="0"/>
          <w:numId w:val="245"/>
        </w:numPr>
        <w:tabs>
          <w:tab w:pos="1287" w:val="left" w:leader="none"/>
          <w:tab w:pos="1288" w:val="left" w:leader="none"/>
        </w:tabs>
        <w:spacing w:line="235" w:lineRule="auto" w:before="1" w:after="0"/>
        <w:ind w:left="607" w:right="2033" w:firstLine="0"/>
        <w:jc w:val="left"/>
        <w:rPr>
          <w:sz w:val="20"/>
        </w:rPr>
      </w:pPr>
      <w:r>
        <w:rPr>
          <w:w w:val="120"/>
          <w:sz w:val="20"/>
        </w:rPr>
        <w:t>Our </w:t>
      </w:r>
      <w:r>
        <w:rPr>
          <w:spacing w:val="-3"/>
          <w:w w:val="120"/>
          <w:sz w:val="20"/>
        </w:rPr>
        <w:t>annual </w:t>
      </w:r>
      <w:r>
        <w:rPr>
          <w:w w:val="120"/>
          <w:sz w:val="20"/>
        </w:rPr>
        <w:t>Music </w:t>
      </w:r>
      <w:r>
        <w:rPr>
          <w:spacing w:val="-3"/>
          <w:w w:val="120"/>
          <w:sz w:val="20"/>
        </w:rPr>
        <w:t>Day </w:t>
      </w:r>
      <w:r>
        <w:rPr>
          <w:w w:val="120"/>
          <w:sz w:val="20"/>
        </w:rPr>
        <w:t>is held in a different synod area each </w:t>
      </w:r>
      <w:r>
        <w:rPr>
          <w:spacing w:val="-3"/>
          <w:w w:val="120"/>
          <w:sz w:val="20"/>
        </w:rPr>
        <w:t>year </w:t>
      </w:r>
      <w:r>
        <w:rPr>
          <w:w w:val="120"/>
          <w:sz w:val="20"/>
        </w:rPr>
        <w:t>so that our </w:t>
      </w:r>
      <w:r>
        <w:rPr>
          <w:spacing w:val="-3"/>
          <w:w w:val="120"/>
          <w:sz w:val="20"/>
        </w:rPr>
        <w:t>far- </w:t>
      </w:r>
      <w:r>
        <w:rPr>
          <w:w w:val="120"/>
          <w:sz w:val="20"/>
        </w:rPr>
        <w:t>flung members, and hopefully other people, can attend at least </w:t>
      </w:r>
      <w:r>
        <w:rPr>
          <w:spacing w:val="-4"/>
          <w:w w:val="120"/>
          <w:sz w:val="20"/>
        </w:rPr>
        <w:t>occasionally. </w:t>
      </w:r>
      <w:r>
        <w:rPr>
          <w:w w:val="120"/>
          <w:sz w:val="20"/>
        </w:rPr>
        <w:t>In </w:t>
      </w:r>
      <w:r>
        <w:rPr>
          <w:spacing w:val="-9"/>
          <w:w w:val="120"/>
          <w:sz w:val="20"/>
        </w:rPr>
        <w:t>2015, </w:t>
      </w:r>
      <w:r>
        <w:rPr>
          <w:w w:val="120"/>
          <w:sz w:val="20"/>
        </w:rPr>
        <w:t>we were given a warm </w:t>
      </w:r>
      <w:r>
        <w:rPr>
          <w:spacing w:val="-3"/>
          <w:w w:val="120"/>
          <w:sz w:val="20"/>
        </w:rPr>
        <w:t>welcome </w:t>
      </w:r>
      <w:r>
        <w:rPr>
          <w:w w:val="120"/>
          <w:sz w:val="20"/>
        </w:rPr>
        <w:t>at Harrogate. Music </w:t>
      </w:r>
      <w:r>
        <w:rPr>
          <w:spacing w:val="-3"/>
          <w:w w:val="120"/>
          <w:sz w:val="20"/>
        </w:rPr>
        <w:t>days </w:t>
      </w:r>
      <w:r>
        <w:rPr>
          <w:w w:val="120"/>
          <w:sz w:val="20"/>
        </w:rPr>
        <w:t>are </w:t>
      </w:r>
      <w:r>
        <w:rPr>
          <w:spacing w:val="-3"/>
          <w:w w:val="120"/>
          <w:sz w:val="20"/>
        </w:rPr>
        <w:t>such </w:t>
      </w:r>
      <w:r>
        <w:rPr>
          <w:w w:val="120"/>
          <w:sz w:val="20"/>
        </w:rPr>
        <w:t>a good </w:t>
      </w:r>
      <w:r>
        <w:rPr>
          <w:spacing w:val="-2"/>
          <w:w w:val="120"/>
          <w:sz w:val="20"/>
        </w:rPr>
        <w:t>way </w:t>
      </w:r>
      <w:r>
        <w:rPr>
          <w:w w:val="120"/>
          <w:sz w:val="20"/>
        </w:rPr>
        <w:t>of bringing people together </w:t>
      </w:r>
      <w:r>
        <w:rPr>
          <w:spacing w:val="-3"/>
          <w:w w:val="120"/>
          <w:sz w:val="20"/>
        </w:rPr>
        <w:t>to </w:t>
      </w:r>
      <w:r>
        <w:rPr>
          <w:w w:val="120"/>
          <w:sz w:val="20"/>
        </w:rPr>
        <w:t>sing, </w:t>
      </w:r>
      <w:r>
        <w:rPr>
          <w:spacing w:val="-3"/>
          <w:w w:val="120"/>
          <w:sz w:val="20"/>
        </w:rPr>
        <w:t>to </w:t>
      </w:r>
      <w:r>
        <w:rPr>
          <w:w w:val="120"/>
          <w:sz w:val="20"/>
        </w:rPr>
        <w:t>play an instrument, </w:t>
      </w:r>
      <w:r>
        <w:rPr>
          <w:spacing w:val="-3"/>
          <w:w w:val="120"/>
          <w:sz w:val="20"/>
        </w:rPr>
        <w:t>to </w:t>
      </w:r>
      <w:r>
        <w:rPr>
          <w:w w:val="120"/>
          <w:sz w:val="20"/>
        </w:rPr>
        <w:t>write new </w:t>
      </w:r>
      <w:r>
        <w:rPr>
          <w:spacing w:val="-3"/>
          <w:w w:val="120"/>
          <w:sz w:val="20"/>
        </w:rPr>
        <w:t>worship </w:t>
      </w:r>
      <w:r>
        <w:rPr>
          <w:w w:val="120"/>
          <w:sz w:val="20"/>
        </w:rPr>
        <w:t>songs and generally </w:t>
      </w:r>
      <w:r>
        <w:rPr>
          <w:spacing w:val="-3"/>
          <w:w w:val="120"/>
          <w:sz w:val="20"/>
        </w:rPr>
        <w:t>to enjoy fellowship </w:t>
      </w:r>
      <w:r>
        <w:rPr>
          <w:w w:val="120"/>
          <w:sz w:val="20"/>
        </w:rPr>
        <w:t>and shared </w:t>
      </w:r>
      <w:r>
        <w:rPr>
          <w:spacing w:val="-3"/>
          <w:w w:val="120"/>
          <w:sz w:val="20"/>
        </w:rPr>
        <w:t>worship. </w:t>
      </w:r>
      <w:r>
        <w:rPr>
          <w:w w:val="120"/>
          <w:sz w:val="20"/>
        </w:rPr>
        <w:t>If </w:t>
      </w:r>
      <w:r>
        <w:rPr>
          <w:spacing w:val="-3"/>
          <w:w w:val="120"/>
          <w:sz w:val="20"/>
        </w:rPr>
        <w:t>you think </w:t>
      </w:r>
      <w:r>
        <w:rPr>
          <w:w w:val="120"/>
          <w:sz w:val="20"/>
        </w:rPr>
        <w:t>that </w:t>
      </w:r>
      <w:r>
        <w:rPr>
          <w:spacing w:val="-3"/>
          <w:w w:val="120"/>
          <w:sz w:val="20"/>
        </w:rPr>
        <w:t>your church could organise </w:t>
      </w:r>
      <w:r>
        <w:rPr>
          <w:w w:val="120"/>
          <w:sz w:val="20"/>
        </w:rPr>
        <w:t>or host something </w:t>
      </w:r>
      <w:r>
        <w:rPr>
          <w:spacing w:val="-3"/>
          <w:w w:val="120"/>
          <w:sz w:val="20"/>
        </w:rPr>
        <w:t>like this, </w:t>
      </w:r>
      <w:r>
        <w:rPr>
          <w:w w:val="120"/>
          <w:sz w:val="20"/>
        </w:rPr>
        <w:t>please do </w:t>
      </w:r>
      <w:r>
        <w:rPr>
          <w:spacing w:val="-4"/>
          <w:w w:val="120"/>
          <w:sz w:val="20"/>
        </w:rPr>
        <w:t>offer. </w:t>
      </w:r>
      <w:r>
        <w:rPr>
          <w:w w:val="120"/>
          <w:sz w:val="20"/>
        </w:rPr>
        <w:t>If a </w:t>
      </w:r>
      <w:r>
        <w:rPr>
          <w:spacing w:val="-3"/>
          <w:w w:val="120"/>
          <w:sz w:val="20"/>
        </w:rPr>
        <w:t>church </w:t>
      </w:r>
      <w:r>
        <w:rPr>
          <w:w w:val="120"/>
          <w:sz w:val="20"/>
        </w:rPr>
        <w:t>in every synod held a </w:t>
      </w:r>
      <w:r>
        <w:rPr>
          <w:spacing w:val="-3"/>
          <w:w w:val="120"/>
          <w:sz w:val="20"/>
        </w:rPr>
        <w:t>music day once </w:t>
      </w:r>
      <w:r>
        <w:rPr>
          <w:w w:val="120"/>
          <w:sz w:val="20"/>
        </w:rPr>
        <w:t>a </w:t>
      </w:r>
      <w:r>
        <w:rPr>
          <w:spacing w:val="-5"/>
          <w:w w:val="120"/>
          <w:sz w:val="20"/>
        </w:rPr>
        <w:t>year, </w:t>
      </w:r>
      <w:r>
        <w:rPr>
          <w:w w:val="120"/>
          <w:sz w:val="20"/>
        </w:rPr>
        <w:t>with help from our synod training officers, we </w:t>
      </w:r>
      <w:r>
        <w:rPr>
          <w:spacing w:val="-3"/>
          <w:w w:val="120"/>
          <w:sz w:val="20"/>
        </w:rPr>
        <w:t>would </w:t>
      </w:r>
      <w:r>
        <w:rPr>
          <w:w w:val="120"/>
          <w:sz w:val="20"/>
        </w:rPr>
        <w:t>be getting</w:t>
      </w:r>
      <w:r>
        <w:rPr>
          <w:spacing w:val="-39"/>
          <w:w w:val="120"/>
          <w:sz w:val="20"/>
        </w:rPr>
        <w:t> </w:t>
      </w:r>
      <w:r>
        <w:rPr>
          <w:w w:val="120"/>
          <w:sz w:val="20"/>
        </w:rPr>
        <w:t>somewhere!</w:t>
      </w:r>
    </w:p>
    <w:p>
      <w:pPr>
        <w:pStyle w:val="BodyText"/>
      </w:pPr>
    </w:p>
    <w:p>
      <w:pPr>
        <w:pStyle w:val="ListParagraph"/>
        <w:numPr>
          <w:ilvl w:val="0"/>
          <w:numId w:val="245"/>
        </w:numPr>
        <w:tabs>
          <w:tab w:pos="1287" w:val="left" w:leader="none"/>
          <w:tab w:pos="1288" w:val="left" w:leader="none"/>
        </w:tabs>
        <w:spacing w:line="235" w:lineRule="auto" w:before="1" w:after="0"/>
        <w:ind w:left="607" w:right="1998" w:firstLine="0"/>
        <w:jc w:val="left"/>
        <w:rPr>
          <w:sz w:val="20"/>
        </w:rPr>
      </w:pPr>
      <w:r>
        <w:rPr>
          <w:w w:val="120"/>
          <w:sz w:val="20"/>
        </w:rPr>
        <w:t>Our magazine, </w:t>
      </w:r>
      <w:r>
        <w:rPr>
          <w:i/>
          <w:w w:val="120"/>
          <w:sz w:val="20"/>
        </w:rPr>
        <w:t>Making a Joyful </w:t>
      </w:r>
      <w:r>
        <w:rPr>
          <w:i/>
          <w:spacing w:val="-4"/>
          <w:w w:val="120"/>
          <w:sz w:val="20"/>
        </w:rPr>
        <w:t>Noise</w:t>
      </w:r>
      <w:r>
        <w:rPr>
          <w:spacing w:val="-4"/>
          <w:w w:val="120"/>
          <w:sz w:val="20"/>
        </w:rPr>
        <w:t>, </w:t>
      </w:r>
      <w:r>
        <w:rPr>
          <w:spacing w:val="-3"/>
          <w:w w:val="120"/>
          <w:sz w:val="20"/>
        </w:rPr>
        <w:t>continues to </w:t>
      </w:r>
      <w:r>
        <w:rPr>
          <w:w w:val="120"/>
          <w:sz w:val="20"/>
        </w:rPr>
        <w:t>be produced twice a </w:t>
      </w:r>
      <w:r>
        <w:rPr>
          <w:spacing w:val="-5"/>
          <w:w w:val="120"/>
          <w:sz w:val="20"/>
        </w:rPr>
        <w:t>year. </w:t>
      </w:r>
      <w:r>
        <w:rPr>
          <w:w w:val="120"/>
          <w:sz w:val="20"/>
        </w:rPr>
        <w:t>Our </w:t>
      </w:r>
      <w:r>
        <w:rPr>
          <w:spacing w:val="-3"/>
          <w:w w:val="120"/>
          <w:sz w:val="20"/>
        </w:rPr>
        <w:t>editor always welcomes </w:t>
      </w:r>
      <w:r>
        <w:rPr>
          <w:w w:val="120"/>
          <w:sz w:val="20"/>
        </w:rPr>
        <w:t>articles about </w:t>
      </w:r>
      <w:r>
        <w:rPr>
          <w:spacing w:val="-3"/>
          <w:w w:val="120"/>
          <w:sz w:val="20"/>
        </w:rPr>
        <w:t>music </w:t>
      </w:r>
      <w:r>
        <w:rPr>
          <w:w w:val="120"/>
          <w:sz w:val="20"/>
        </w:rPr>
        <w:t>happening in our </w:t>
      </w:r>
      <w:r>
        <w:rPr>
          <w:spacing w:val="-3"/>
          <w:w w:val="120"/>
          <w:sz w:val="20"/>
        </w:rPr>
        <w:t>churches </w:t>
      </w:r>
      <w:r>
        <w:rPr>
          <w:w w:val="120"/>
          <w:sz w:val="20"/>
        </w:rPr>
        <w:t>and good </w:t>
      </w:r>
      <w:r>
        <w:rPr>
          <w:spacing w:val="-3"/>
          <w:w w:val="120"/>
          <w:sz w:val="20"/>
        </w:rPr>
        <w:t>photos </w:t>
      </w:r>
      <w:r>
        <w:rPr>
          <w:w w:val="120"/>
          <w:sz w:val="20"/>
        </w:rPr>
        <w:t>are worth a thousand </w:t>
      </w:r>
      <w:r>
        <w:rPr>
          <w:spacing w:val="-3"/>
          <w:w w:val="120"/>
          <w:sz w:val="20"/>
        </w:rPr>
        <w:t>words! </w:t>
      </w:r>
      <w:r>
        <w:rPr>
          <w:w w:val="120"/>
          <w:sz w:val="20"/>
        </w:rPr>
        <w:t>Music is definitely still </w:t>
      </w:r>
      <w:r>
        <w:rPr>
          <w:spacing w:val="-3"/>
          <w:w w:val="120"/>
          <w:sz w:val="20"/>
        </w:rPr>
        <w:t>alive </w:t>
      </w:r>
      <w:r>
        <w:rPr>
          <w:w w:val="120"/>
          <w:sz w:val="20"/>
        </w:rPr>
        <w:t>in our URC </w:t>
      </w:r>
      <w:r>
        <w:rPr>
          <w:spacing w:val="-3"/>
          <w:w w:val="120"/>
          <w:sz w:val="20"/>
        </w:rPr>
        <w:t>worship </w:t>
      </w:r>
      <w:r>
        <w:rPr>
          <w:w w:val="120"/>
          <w:sz w:val="20"/>
        </w:rPr>
        <w:t>traditions but where do we hear about </w:t>
      </w:r>
      <w:r>
        <w:rPr>
          <w:spacing w:val="-4"/>
          <w:w w:val="120"/>
          <w:sz w:val="20"/>
        </w:rPr>
        <w:t>it? </w:t>
      </w:r>
      <w:r>
        <w:rPr>
          <w:spacing w:val="-3"/>
          <w:w w:val="120"/>
          <w:sz w:val="20"/>
        </w:rPr>
        <w:t>We </w:t>
      </w:r>
      <w:r>
        <w:rPr>
          <w:w w:val="120"/>
          <w:sz w:val="20"/>
        </w:rPr>
        <w:t>can do better than we are at the moment </w:t>
      </w:r>
      <w:r>
        <w:rPr>
          <w:spacing w:val="-3"/>
          <w:w w:val="120"/>
          <w:sz w:val="20"/>
        </w:rPr>
        <w:t>to </w:t>
      </w:r>
      <w:r>
        <w:rPr>
          <w:w w:val="120"/>
          <w:sz w:val="20"/>
        </w:rPr>
        <w:t>sing our praises and </w:t>
      </w:r>
      <w:r>
        <w:rPr>
          <w:spacing w:val="-3"/>
          <w:w w:val="120"/>
          <w:sz w:val="20"/>
        </w:rPr>
        <w:t>make </w:t>
      </w:r>
      <w:r>
        <w:rPr>
          <w:w w:val="120"/>
          <w:sz w:val="20"/>
        </w:rPr>
        <w:t>them known </w:t>
      </w:r>
      <w:r>
        <w:rPr>
          <w:spacing w:val="-3"/>
          <w:w w:val="120"/>
          <w:sz w:val="20"/>
        </w:rPr>
        <w:t>to </w:t>
      </w:r>
      <w:r>
        <w:rPr>
          <w:w w:val="120"/>
          <w:sz w:val="20"/>
        </w:rPr>
        <w:t>everyone. If </w:t>
      </w:r>
      <w:r>
        <w:rPr>
          <w:spacing w:val="-3"/>
          <w:w w:val="120"/>
          <w:sz w:val="20"/>
        </w:rPr>
        <w:t>you </w:t>
      </w:r>
      <w:r>
        <w:rPr>
          <w:w w:val="120"/>
          <w:sz w:val="20"/>
        </w:rPr>
        <w:t>are reading </w:t>
      </w:r>
      <w:r>
        <w:rPr>
          <w:spacing w:val="-3"/>
          <w:w w:val="120"/>
          <w:sz w:val="20"/>
        </w:rPr>
        <w:t>this </w:t>
      </w:r>
      <w:r>
        <w:rPr>
          <w:w w:val="120"/>
          <w:sz w:val="20"/>
        </w:rPr>
        <w:t>and </w:t>
      </w:r>
      <w:r>
        <w:rPr>
          <w:spacing w:val="-2"/>
          <w:w w:val="120"/>
          <w:sz w:val="20"/>
        </w:rPr>
        <w:t>thinking </w:t>
      </w:r>
      <w:r>
        <w:rPr>
          <w:w w:val="120"/>
          <w:sz w:val="20"/>
        </w:rPr>
        <w:t>‘I </w:t>
      </w:r>
      <w:r>
        <w:rPr>
          <w:spacing w:val="-3"/>
          <w:w w:val="120"/>
          <w:sz w:val="20"/>
        </w:rPr>
        <w:t>could </w:t>
      </w:r>
      <w:r>
        <w:rPr>
          <w:w w:val="120"/>
          <w:sz w:val="20"/>
        </w:rPr>
        <w:t>write about our fantastic </w:t>
      </w:r>
      <w:r>
        <w:rPr>
          <w:spacing w:val="-3"/>
          <w:w w:val="120"/>
          <w:sz w:val="20"/>
        </w:rPr>
        <w:t>worship </w:t>
      </w:r>
      <w:r>
        <w:rPr>
          <w:spacing w:val="-5"/>
          <w:w w:val="120"/>
          <w:sz w:val="20"/>
        </w:rPr>
        <w:t>band’, </w:t>
      </w:r>
      <w:r>
        <w:rPr>
          <w:w w:val="120"/>
          <w:sz w:val="20"/>
        </w:rPr>
        <w:t>do </w:t>
      </w:r>
      <w:r>
        <w:rPr>
          <w:spacing w:val="-2"/>
          <w:w w:val="120"/>
          <w:sz w:val="20"/>
        </w:rPr>
        <w:t>not </w:t>
      </w:r>
      <w:r>
        <w:rPr>
          <w:w w:val="120"/>
          <w:sz w:val="20"/>
        </w:rPr>
        <w:t>delay but contact</w:t>
      </w:r>
      <w:r>
        <w:rPr>
          <w:spacing w:val="-27"/>
          <w:w w:val="120"/>
          <w:sz w:val="20"/>
        </w:rPr>
        <w:t> </w:t>
      </w:r>
      <w:hyperlink r:id="rId533">
        <w:r>
          <w:rPr>
            <w:color w:val="006AB3"/>
            <w:spacing w:val="-3"/>
            <w:w w:val="120"/>
            <w:sz w:val="20"/>
          </w:rPr>
          <w:t>carannrog@aol.com</w:t>
        </w:r>
      </w:hyperlink>
    </w:p>
    <w:p>
      <w:pPr>
        <w:pStyle w:val="BodyText"/>
      </w:pPr>
    </w:p>
    <w:p>
      <w:pPr>
        <w:pStyle w:val="ListParagraph"/>
        <w:numPr>
          <w:ilvl w:val="0"/>
          <w:numId w:val="245"/>
        </w:numPr>
        <w:tabs>
          <w:tab w:pos="1287" w:val="left" w:leader="none"/>
          <w:tab w:pos="1288" w:val="left" w:leader="none"/>
        </w:tabs>
        <w:spacing w:line="235" w:lineRule="auto" w:before="0" w:after="0"/>
        <w:ind w:left="607" w:right="1986" w:firstLine="0"/>
        <w:jc w:val="left"/>
        <w:rPr>
          <w:sz w:val="20"/>
        </w:rPr>
      </w:pPr>
      <w:r>
        <w:rPr>
          <w:w w:val="120"/>
          <w:sz w:val="20"/>
        </w:rPr>
        <w:t>URC Music does not currently have a coordinator of our Organ Advisory Service. So we are looking for a person with a good working knowledge of pipe organs and also with some knowledge of electronic instruments who can help put churches in touch  with our regional organ advisors. Our regional advisors have a wide range of skills and knowledge, so a </w:t>
      </w:r>
      <w:r>
        <w:rPr>
          <w:spacing w:val="-3"/>
          <w:w w:val="120"/>
          <w:sz w:val="20"/>
        </w:rPr>
        <w:t>church’s </w:t>
      </w:r>
      <w:r>
        <w:rPr>
          <w:w w:val="120"/>
          <w:sz w:val="20"/>
        </w:rPr>
        <w:t>nearest advisor geographically may not necessarily be the one who can give the best help. The role of the Organ Advisory Service is to help churches enhance their worship through the appropriate use of an organ and to get value from their</w:t>
      </w:r>
      <w:r>
        <w:rPr>
          <w:spacing w:val="1"/>
          <w:w w:val="120"/>
          <w:sz w:val="20"/>
        </w:rPr>
        <w:t> </w:t>
      </w:r>
      <w:r>
        <w:rPr>
          <w:w w:val="120"/>
          <w:sz w:val="20"/>
        </w:rPr>
        <w:t>instrument.</w:t>
      </w:r>
    </w:p>
    <w:p>
      <w:pPr>
        <w:pStyle w:val="BodyText"/>
        <w:spacing w:before="2"/>
      </w:pPr>
    </w:p>
    <w:p>
      <w:pPr>
        <w:pStyle w:val="ListParagraph"/>
        <w:numPr>
          <w:ilvl w:val="0"/>
          <w:numId w:val="245"/>
        </w:numPr>
        <w:tabs>
          <w:tab w:pos="1287" w:val="left" w:leader="none"/>
          <w:tab w:pos="1288" w:val="left" w:leader="none"/>
        </w:tabs>
        <w:spacing w:line="235" w:lineRule="auto" w:before="0" w:after="0"/>
        <w:ind w:left="607" w:right="2043" w:firstLine="0"/>
        <w:jc w:val="left"/>
        <w:rPr>
          <w:sz w:val="20"/>
        </w:rPr>
      </w:pPr>
      <w:r>
        <w:rPr>
          <w:w w:val="120"/>
          <w:sz w:val="20"/>
        </w:rPr>
        <w:t>Do have a look at our website </w:t>
      </w:r>
      <w:hyperlink r:id="rId608">
        <w:r>
          <w:rPr>
            <w:color w:val="006AB3"/>
            <w:w w:val="120"/>
            <w:sz w:val="20"/>
          </w:rPr>
          <w:t>www.urcmusic.org.uk</w:t>
        </w:r>
      </w:hyperlink>
      <w:r>
        <w:rPr>
          <w:w w:val="120"/>
          <w:sz w:val="20"/>
        </w:rPr>
        <w:t>. All comments are welcome so just send them to our webmaster by clicking on the ‘comments or questions’ sentence at the foot of every page. Articles about recent or forthcoming musical events in the URC are particularly welcome, especially if they are accompanied by photos.</w:t>
      </w:r>
      <w:hyperlink r:id="rId609">
        <w:r>
          <w:rPr>
            <w:color w:val="006AB3"/>
            <w:w w:val="120"/>
            <w:sz w:val="20"/>
          </w:rPr>
          <w:t> webmaster@urcmusic.org.uk</w:t>
        </w:r>
      </w:hyperlink>
    </w:p>
    <w:p>
      <w:pPr>
        <w:pStyle w:val="BodyText"/>
        <w:spacing w:before="11"/>
        <w:rPr>
          <w:sz w:val="19"/>
        </w:rPr>
      </w:pPr>
    </w:p>
    <w:p>
      <w:pPr>
        <w:pStyle w:val="ListParagraph"/>
        <w:numPr>
          <w:ilvl w:val="0"/>
          <w:numId w:val="245"/>
        </w:numPr>
        <w:tabs>
          <w:tab w:pos="1287" w:val="left" w:leader="none"/>
          <w:tab w:pos="1288" w:val="left" w:leader="none"/>
        </w:tabs>
        <w:spacing w:line="235" w:lineRule="auto" w:before="1" w:after="0"/>
        <w:ind w:left="607" w:right="2496" w:firstLine="0"/>
        <w:jc w:val="left"/>
        <w:rPr>
          <w:sz w:val="20"/>
        </w:rPr>
      </w:pPr>
      <w:r>
        <w:rPr>
          <w:w w:val="120"/>
          <w:sz w:val="20"/>
        </w:rPr>
        <w:t>URC Music has a fund allowing small grants to be made available to support individuals or churches with their music. Why not contact us to find out</w:t>
      </w:r>
      <w:r>
        <w:rPr>
          <w:spacing w:val="29"/>
          <w:w w:val="120"/>
          <w:sz w:val="20"/>
        </w:rPr>
        <w:t> </w:t>
      </w:r>
      <w:r>
        <w:rPr>
          <w:w w:val="120"/>
          <w:sz w:val="20"/>
        </w:rPr>
        <w:t>more?</w:t>
      </w:r>
    </w:p>
    <w:p>
      <w:pPr>
        <w:pStyle w:val="BodyText"/>
        <w:spacing w:before="9"/>
        <w:rPr>
          <w:sz w:val="19"/>
        </w:rPr>
      </w:pPr>
    </w:p>
    <w:p>
      <w:pPr>
        <w:pStyle w:val="ListParagraph"/>
        <w:numPr>
          <w:ilvl w:val="0"/>
          <w:numId w:val="245"/>
        </w:numPr>
        <w:tabs>
          <w:tab w:pos="1287" w:val="left" w:leader="none"/>
          <w:tab w:pos="1288" w:val="left" w:leader="none"/>
        </w:tabs>
        <w:spacing w:line="235" w:lineRule="auto" w:before="0" w:after="0"/>
        <w:ind w:left="607" w:right="2032" w:firstLine="0"/>
        <w:jc w:val="left"/>
        <w:rPr>
          <w:sz w:val="20"/>
        </w:rPr>
      </w:pPr>
      <w:r>
        <w:rPr>
          <w:w w:val="120"/>
          <w:sz w:val="20"/>
        </w:rPr>
        <w:t>Finally, even if you think that nothing much is happening, musically, in your area, you can be certain there is! Surely there cannot be a single church in the URC that does not sing hymns on Sunday mornings? We can all ‘sing up and sing out’ to the </w:t>
      </w:r>
      <w:r>
        <w:rPr>
          <w:spacing w:val="2"/>
          <w:w w:val="120"/>
          <w:sz w:val="20"/>
        </w:rPr>
        <w:t>glory </w:t>
      </w:r>
      <w:r>
        <w:rPr>
          <w:w w:val="120"/>
          <w:sz w:val="20"/>
        </w:rPr>
        <w:t>of God with all the joy and enthusiasm we can</w:t>
      </w:r>
      <w:r>
        <w:rPr>
          <w:spacing w:val="19"/>
          <w:w w:val="120"/>
          <w:sz w:val="20"/>
        </w:rPr>
        <w:t> </w:t>
      </w:r>
      <w:r>
        <w:rPr>
          <w:spacing w:val="-3"/>
          <w:w w:val="120"/>
          <w:sz w:val="20"/>
        </w:rPr>
        <w:t>muster.</w:t>
      </w:r>
    </w:p>
    <w:p>
      <w:pPr>
        <w:pStyle w:val="BodyText"/>
        <w:spacing w:before="11"/>
        <w:rPr>
          <w:sz w:val="19"/>
        </w:rPr>
      </w:pPr>
    </w:p>
    <w:p>
      <w:pPr>
        <w:pStyle w:val="ListParagraph"/>
        <w:numPr>
          <w:ilvl w:val="0"/>
          <w:numId w:val="245"/>
        </w:numPr>
        <w:tabs>
          <w:tab w:pos="1287" w:val="left" w:leader="none"/>
          <w:tab w:pos="1288" w:val="left" w:leader="none"/>
        </w:tabs>
        <w:spacing w:line="235" w:lineRule="auto" w:before="0" w:after="0"/>
        <w:ind w:left="607" w:right="2189" w:firstLine="0"/>
        <w:jc w:val="left"/>
        <w:rPr>
          <w:sz w:val="20"/>
        </w:rPr>
      </w:pPr>
      <w:r>
        <w:rPr>
          <w:w w:val="120"/>
          <w:sz w:val="20"/>
        </w:rPr>
        <w:t>If you would like to become a supporting member of URC Music, do please get in</w:t>
      </w:r>
      <w:r>
        <w:rPr>
          <w:spacing w:val="2"/>
          <w:w w:val="120"/>
          <w:sz w:val="20"/>
        </w:rPr>
        <w:t> </w:t>
      </w:r>
      <w:r>
        <w:rPr>
          <w:w w:val="120"/>
          <w:sz w:val="20"/>
        </w:rPr>
        <w:t>touch.</w:t>
      </w:r>
    </w:p>
    <w:p>
      <w:pPr>
        <w:spacing w:after="0" w:line="235" w:lineRule="auto"/>
        <w:jc w:val="left"/>
        <w:rPr>
          <w:sz w:val="20"/>
        </w:rPr>
        <w:sectPr>
          <w:headerReference w:type="even" r:id="rId605"/>
          <w:footerReference w:type="even" r:id="rId606"/>
          <w:footerReference w:type="default" r:id="rId607"/>
          <w:pgSz w:w="11910" w:h="16840"/>
          <w:pgMar w:header="0" w:footer="647" w:top="0" w:bottom="840" w:left="640" w:right="0"/>
          <w:pgNumType w:start="228"/>
        </w:sectPr>
      </w:pPr>
    </w:p>
    <w:p>
      <w:pPr>
        <w:pStyle w:val="BodyText"/>
      </w:pPr>
      <w:r>
        <w:rPr/>
        <w:drawing>
          <wp:anchor distT="0" distB="0" distL="0" distR="0" allowOverlap="1" layoutInCell="1" locked="0" behindDoc="0" simplePos="0" relativeHeight="252269568">
            <wp:simplePos x="0" y="0"/>
            <wp:positionH relativeFrom="page">
              <wp:posOffset>6974928</wp:posOffset>
            </wp:positionH>
            <wp:positionV relativeFrom="page">
              <wp:posOffset>0</wp:posOffset>
            </wp:positionV>
            <wp:extent cx="585063" cy="10692003"/>
            <wp:effectExtent l="0" t="0" r="0" b="0"/>
            <wp:wrapNone/>
            <wp:docPr id="435" name="image74.png"/>
            <wp:cNvGraphicFramePr>
              <a:graphicFrameLocks noChangeAspect="1"/>
            </wp:cNvGraphicFramePr>
            <a:graphic>
              <a:graphicData uri="http://schemas.openxmlformats.org/drawingml/2006/picture">
                <pic:pic>
                  <pic:nvPicPr>
                    <pic:cNvPr id="436" name="image74.png"/>
                    <pic:cNvPicPr/>
                  </pic:nvPicPr>
                  <pic:blipFill>
                    <a:blip r:embed="rId596" cstate="print"/>
                    <a:stretch>
                      <a:fillRect/>
                    </a:stretch>
                  </pic:blipFill>
                  <pic:spPr>
                    <a:xfrm>
                      <a:off x="0" y="0"/>
                      <a:ext cx="585063" cy="10692003"/>
                    </a:xfrm>
                    <a:prstGeom prst="rect">
                      <a:avLst/>
                    </a:prstGeom>
                  </pic:spPr>
                </pic:pic>
              </a:graphicData>
            </a:graphic>
          </wp:anchor>
        </w:drawing>
      </w:r>
    </w:p>
    <w:p>
      <w:pPr>
        <w:pStyle w:val="BodyText"/>
        <w:spacing w:before="7"/>
        <w:rPr>
          <w:sz w:val="21"/>
        </w:rPr>
      </w:pPr>
    </w:p>
    <w:p>
      <w:pPr>
        <w:spacing w:before="106"/>
        <w:ind w:left="0" w:right="1245" w:firstLine="0"/>
        <w:jc w:val="right"/>
        <w:rPr>
          <w:sz w:val="26"/>
        </w:rPr>
      </w:pPr>
      <w:r>
        <w:rPr/>
        <w:pict>
          <v:shape style="position:absolute;margin-left:554.141174pt;margin-top:22.593945pt;width:25.9pt;height:280.150pt;mso-position-horizontal-relative:page;mso-position-vertical-relative:paragraph;z-index:252270592" type="#_x0000_t202" filled="false" stroked="false">
            <v:textbox inset="0,0,0,0" style="layout-flow:vertical">
              <w:txbxContent>
                <w:p>
                  <w:pPr>
                    <w:spacing w:before="27"/>
                    <w:ind w:left="20" w:right="0" w:firstLine="0"/>
                    <w:jc w:val="left"/>
                    <w:rPr>
                      <w:sz w:val="39"/>
                    </w:rPr>
                  </w:pPr>
                  <w:r>
                    <w:rPr>
                      <w:color w:val="FFFFFF"/>
                      <w:spacing w:val="9"/>
                      <w:w w:val="120"/>
                      <w:sz w:val="39"/>
                    </w:rPr>
                    <w:t>Schools relating </w:t>
                  </w:r>
                  <w:r>
                    <w:rPr>
                      <w:color w:val="FFFFFF"/>
                      <w:spacing w:val="3"/>
                      <w:w w:val="120"/>
                      <w:sz w:val="39"/>
                    </w:rPr>
                    <w:t>to </w:t>
                  </w:r>
                  <w:r>
                    <w:rPr>
                      <w:color w:val="FFFFFF"/>
                      <w:spacing w:val="8"/>
                      <w:w w:val="120"/>
                      <w:sz w:val="39"/>
                    </w:rPr>
                    <w:t>the</w:t>
                  </w:r>
                  <w:r>
                    <w:rPr>
                      <w:color w:val="FFFFFF"/>
                      <w:spacing w:val="73"/>
                      <w:w w:val="120"/>
                      <w:sz w:val="39"/>
                    </w:rPr>
                    <w:t> </w:t>
                  </w:r>
                  <w:r>
                    <w:rPr>
                      <w:color w:val="FFFFFF"/>
                      <w:spacing w:val="6"/>
                      <w:w w:val="120"/>
                      <w:sz w:val="39"/>
                    </w:rPr>
                    <w:t>URC</w:t>
                  </w:r>
                </w:p>
              </w:txbxContent>
            </v:textbox>
            <w10:wrap type="none"/>
          </v:shape>
        </w:pict>
      </w:r>
      <w:r>
        <w:rPr>
          <w:color w:val="7EAABF"/>
          <w:w w:val="115"/>
          <w:sz w:val="26"/>
        </w:rPr>
        <w:t>Information papers</w:t>
      </w:r>
    </w:p>
    <w:p>
      <w:pPr>
        <w:spacing w:before="246"/>
        <w:ind w:left="1344" w:right="0" w:firstLine="0"/>
        <w:jc w:val="left"/>
        <w:rPr>
          <w:rFonts w:ascii="Stone Sans II ITC Std X Bd"/>
          <w:b/>
          <w:sz w:val="50"/>
        </w:rPr>
      </w:pPr>
      <w:r>
        <w:rPr>
          <w:rFonts w:ascii="Stone Sans II ITC Std X Bd"/>
          <w:b/>
          <w:w w:val="110"/>
          <w:sz w:val="50"/>
        </w:rPr>
        <w:t>Schools relating to the URC</w:t>
      </w:r>
    </w:p>
    <w:p>
      <w:pPr>
        <w:pStyle w:val="ListParagraph"/>
        <w:numPr>
          <w:ilvl w:val="1"/>
          <w:numId w:val="245"/>
        </w:numPr>
        <w:tabs>
          <w:tab w:pos="2024" w:val="left" w:leader="none"/>
          <w:tab w:pos="2025" w:val="left" w:leader="none"/>
        </w:tabs>
        <w:spacing w:line="235" w:lineRule="auto" w:before="365" w:after="0"/>
        <w:ind w:left="1344" w:right="1285" w:firstLine="0"/>
        <w:jc w:val="left"/>
        <w:rPr>
          <w:sz w:val="20"/>
        </w:rPr>
      </w:pPr>
      <w:r>
        <w:rPr>
          <w:spacing w:val="-3"/>
          <w:w w:val="120"/>
          <w:sz w:val="20"/>
        </w:rPr>
        <w:t>Twelve </w:t>
      </w:r>
      <w:r>
        <w:rPr>
          <w:w w:val="120"/>
          <w:sz w:val="20"/>
        </w:rPr>
        <w:t>schools in England have significant connections with our Church through their history, trusteeship or governance. Four are local primary schools with relatively small catchment areas, and their church links </w:t>
      </w:r>
      <w:r>
        <w:rPr>
          <w:spacing w:val="-5"/>
          <w:w w:val="120"/>
          <w:sz w:val="20"/>
        </w:rPr>
        <w:t>(e.g. </w:t>
      </w:r>
      <w:r>
        <w:rPr>
          <w:w w:val="120"/>
          <w:sz w:val="20"/>
        </w:rPr>
        <w:t>the nomination of governors) are nurtured locally rather than by Assembly. The other eight are independent schools   with broader catchment, and Assembly has traditionally been involved in appointing governors and receiving </w:t>
      </w:r>
      <w:r>
        <w:rPr>
          <w:spacing w:val="2"/>
          <w:w w:val="120"/>
          <w:sz w:val="20"/>
        </w:rPr>
        <w:t>reports. </w:t>
      </w:r>
      <w:r>
        <w:rPr>
          <w:w w:val="120"/>
          <w:sz w:val="20"/>
        </w:rPr>
        <w:t>The schools are Bournemouth Collegiate, </w:t>
      </w:r>
      <w:r>
        <w:rPr>
          <w:spacing w:val="-3"/>
          <w:w w:val="120"/>
          <w:sz w:val="20"/>
        </w:rPr>
        <w:t>Bishop’s </w:t>
      </w:r>
      <w:r>
        <w:rPr>
          <w:w w:val="120"/>
          <w:sz w:val="20"/>
        </w:rPr>
        <w:t>Stortford College, Caterham, Eltham College, Mill Hill, Silcoates, </w:t>
      </w:r>
      <w:r>
        <w:rPr>
          <w:spacing w:val="-3"/>
          <w:w w:val="120"/>
          <w:sz w:val="20"/>
        </w:rPr>
        <w:t>Taunton </w:t>
      </w:r>
      <w:r>
        <w:rPr>
          <w:w w:val="120"/>
          <w:sz w:val="20"/>
        </w:rPr>
        <w:t>and Walthamstow Hall, and three of them have forwarded </w:t>
      </w:r>
      <w:r>
        <w:rPr>
          <w:spacing w:val="2"/>
          <w:w w:val="120"/>
          <w:sz w:val="20"/>
        </w:rPr>
        <w:t>reports </w:t>
      </w:r>
      <w:r>
        <w:rPr>
          <w:w w:val="120"/>
          <w:sz w:val="20"/>
        </w:rPr>
        <w:t>on their work to this year’s</w:t>
      </w:r>
      <w:r>
        <w:rPr>
          <w:spacing w:val="1"/>
          <w:w w:val="120"/>
          <w:sz w:val="20"/>
        </w:rPr>
        <w:t> </w:t>
      </w:r>
      <w:r>
        <w:rPr>
          <w:w w:val="120"/>
          <w:sz w:val="20"/>
        </w:rPr>
        <w:t>Assembly.</w:t>
      </w:r>
    </w:p>
    <w:p>
      <w:pPr>
        <w:pStyle w:val="BodyText"/>
        <w:rPr>
          <w:sz w:val="24"/>
        </w:rPr>
      </w:pPr>
    </w:p>
    <w:p>
      <w:pPr>
        <w:pStyle w:val="BodyText"/>
        <w:rPr>
          <w:sz w:val="19"/>
        </w:rPr>
      </w:pPr>
    </w:p>
    <w:p>
      <w:pPr>
        <w:spacing w:before="1"/>
        <w:ind w:left="1344" w:right="0" w:firstLine="0"/>
        <w:jc w:val="left"/>
        <w:rPr>
          <w:rFonts w:ascii="Stone Sans II ITC Std X Bd" w:hAnsi="Stone Sans II ITC Std X Bd"/>
          <w:b/>
          <w:sz w:val="50"/>
        </w:rPr>
      </w:pPr>
      <w:r>
        <w:rPr>
          <w:rFonts w:ascii="Stone Sans II ITC Std X Bd" w:hAnsi="Stone Sans II ITC Std X Bd"/>
          <w:b/>
          <w:color w:val="009140"/>
          <w:w w:val="110"/>
          <w:sz w:val="50"/>
        </w:rPr>
        <w:t>Bishop’s Stortford College</w:t>
      </w:r>
    </w:p>
    <w:p>
      <w:pPr>
        <w:pStyle w:val="ListParagraph"/>
        <w:numPr>
          <w:ilvl w:val="1"/>
          <w:numId w:val="246"/>
        </w:numPr>
        <w:tabs>
          <w:tab w:pos="2024" w:val="left" w:leader="none"/>
          <w:tab w:pos="2025" w:val="left" w:leader="none"/>
        </w:tabs>
        <w:spacing w:line="235" w:lineRule="auto" w:before="364" w:after="0"/>
        <w:ind w:left="1344" w:right="1456" w:firstLine="0"/>
        <w:jc w:val="left"/>
        <w:rPr>
          <w:sz w:val="20"/>
        </w:rPr>
      </w:pPr>
      <w:r>
        <w:rPr>
          <w:w w:val="120"/>
          <w:sz w:val="20"/>
        </w:rPr>
        <w:t>Academically, </w:t>
      </w:r>
      <w:r>
        <w:rPr>
          <w:spacing w:val="-3"/>
          <w:w w:val="120"/>
          <w:sz w:val="20"/>
        </w:rPr>
        <w:t>Bishop’s </w:t>
      </w:r>
      <w:r>
        <w:rPr>
          <w:w w:val="120"/>
          <w:sz w:val="20"/>
        </w:rPr>
        <w:t>Stortford College had a record-breaking year in </w:t>
      </w:r>
      <w:r>
        <w:rPr>
          <w:spacing w:val="-7"/>
          <w:w w:val="120"/>
          <w:sz w:val="20"/>
        </w:rPr>
        <w:t>2015, </w:t>
      </w:r>
      <w:r>
        <w:rPr>
          <w:w w:val="120"/>
          <w:sz w:val="20"/>
        </w:rPr>
        <w:t>with GCSE pupils surpassing all previous results at the college, achieving 70% A*–A. </w:t>
      </w:r>
      <w:r>
        <w:rPr>
          <w:spacing w:val="-4"/>
          <w:w w:val="120"/>
          <w:sz w:val="20"/>
        </w:rPr>
        <w:t>57% </w:t>
      </w:r>
      <w:r>
        <w:rPr>
          <w:w w:val="120"/>
          <w:sz w:val="20"/>
        </w:rPr>
        <w:t>of A Level students also achieved A*-A grades, and 82% A*-B. </w:t>
      </w:r>
      <w:r>
        <w:rPr>
          <w:spacing w:val="-5"/>
          <w:w w:val="120"/>
          <w:sz w:val="20"/>
        </w:rPr>
        <w:t>Ten </w:t>
      </w:r>
      <w:r>
        <w:rPr>
          <w:w w:val="120"/>
          <w:sz w:val="20"/>
        </w:rPr>
        <w:t>of our students went on to Oxbridge, and 38 GCSE pupils have joined the College’s </w:t>
      </w:r>
      <w:r>
        <w:rPr>
          <w:spacing w:val="-3"/>
          <w:w w:val="120"/>
          <w:sz w:val="20"/>
        </w:rPr>
        <w:t>‘Ten </w:t>
      </w:r>
      <w:r>
        <w:rPr>
          <w:spacing w:val="-5"/>
          <w:w w:val="120"/>
          <w:sz w:val="20"/>
        </w:rPr>
        <w:t>Club’, </w:t>
      </w:r>
      <w:r>
        <w:rPr>
          <w:w w:val="120"/>
          <w:sz w:val="20"/>
        </w:rPr>
        <w:t>celebrating </w:t>
      </w:r>
      <w:r>
        <w:rPr>
          <w:spacing w:val="-6"/>
          <w:w w:val="120"/>
          <w:sz w:val="20"/>
        </w:rPr>
        <w:t>10 </w:t>
      </w:r>
      <w:r>
        <w:rPr>
          <w:w w:val="120"/>
          <w:sz w:val="20"/>
        </w:rPr>
        <w:t>or more A*-A grades with a distinctive </w:t>
      </w:r>
      <w:r>
        <w:rPr>
          <w:spacing w:val="-5"/>
          <w:w w:val="120"/>
          <w:sz w:val="20"/>
        </w:rPr>
        <w:t>Ten </w:t>
      </w:r>
      <w:r>
        <w:rPr>
          <w:w w:val="120"/>
          <w:sz w:val="20"/>
        </w:rPr>
        <w:t>Club tie, recognisable throughout the</w:t>
      </w:r>
      <w:r>
        <w:rPr>
          <w:spacing w:val="4"/>
          <w:w w:val="120"/>
          <w:sz w:val="20"/>
        </w:rPr>
        <w:t> </w:t>
      </w:r>
      <w:r>
        <w:rPr>
          <w:w w:val="120"/>
          <w:sz w:val="20"/>
        </w:rPr>
        <w:t>college.</w:t>
      </w:r>
    </w:p>
    <w:p>
      <w:pPr>
        <w:pStyle w:val="BodyText"/>
        <w:spacing w:before="1"/>
      </w:pPr>
    </w:p>
    <w:p>
      <w:pPr>
        <w:pStyle w:val="ListParagraph"/>
        <w:numPr>
          <w:ilvl w:val="1"/>
          <w:numId w:val="246"/>
        </w:numPr>
        <w:tabs>
          <w:tab w:pos="2024" w:val="left" w:leader="none"/>
          <w:tab w:pos="2025" w:val="left" w:leader="none"/>
        </w:tabs>
        <w:spacing w:line="235" w:lineRule="auto" w:before="0" w:after="0"/>
        <w:ind w:left="1344" w:right="1398" w:firstLine="0"/>
        <w:jc w:val="left"/>
        <w:rPr>
          <w:sz w:val="20"/>
        </w:rPr>
      </w:pPr>
      <w:r>
        <w:rPr>
          <w:spacing w:val="-3"/>
          <w:w w:val="120"/>
          <w:sz w:val="20"/>
        </w:rPr>
        <w:t>Bishop’s </w:t>
      </w:r>
      <w:r>
        <w:rPr>
          <w:w w:val="120"/>
          <w:sz w:val="20"/>
        </w:rPr>
        <w:t>Stortford College pupils also continue to enjoy sporting success. In </w:t>
      </w:r>
      <w:r>
        <w:rPr>
          <w:spacing w:val="-7"/>
          <w:w w:val="120"/>
          <w:sz w:val="20"/>
        </w:rPr>
        <w:t>2014, </w:t>
      </w:r>
      <w:r>
        <w:rPr>
          <w:w w:val="120"/>
          <w:sz w:val="20"/>
        </w:rPr>
        <w:t>the College Under </w:t>
      </w:r>
      <w:r>
        <w:rPr>
          <w:spacing w:val="-9"/>
          <w:w w:val="120"/>
          <w:sz w:val="20"/>
        </w:rPr>
        <w:t>12 </w:t>
      </w:r>
      <w:r>
        <w:rPr>
          <w:w w:val="120"/>
          <w:sz w:val="20"/>
        </w:rPr>
        <w:t>Girls’ Hockey team were crowned South IAPS Champions.  In April </w:t>
      </w:r>
      <w:r>
        <w:rPr>
          <w:spacing w:val="-7"/>
          <w:w w:val="120"/>
          <w:sz w:val="20"/>
        </w:rPr>
        <w:t>2015 </w:t>
      </w:r>
      <w:r>
        <w:rPr>
          <w:w w:val="120"/>
          <w:sz w:val="20"/>
        </w:rPr>
        <w:t>the </w:t>
      </w:r>
      <w:r>
        <w:rPr>
          <w:spacing w:val="-8"/>
          <w:w w:val="120"/>
          <w:sz w:val="20"/>
        </w:rPr>
        <w:t>U14 </w:t>
      </w:r>
      <w:r>
        <w:rPr>
          <w:w w:val="120"/>
          <w:sz w:val="20"/>
        </w:rPr>
        <w:t>Boys’ Hockey team placed fourth at the National Hockey finals, played at the Queen Elizabeth Olympic Park. It was a great honour and very thrilling  for our pupils to play at this prestigious venue. We also had fantastic netball and rugby seasons: three of our rugby squads went on tour to Italy, and four netball teams were awarded winners’ trophies at the District Netball</w:t>
      </w:r>
      <w:r>
        <w:rPr>
          <w:spacing w:val="15"/>
          <w:w w:val="120"/>
          <w:sz w:val="20"/>
        </w:rPr>
        <w:t> </w:t>
      </w:r>
      <w:r>
        <w:rPr>
          <w:w w:val="120"/>
          <w:sz w:val="20"/>
        </w:rPr>
        <w:t>Tournament.</w:t>
      </w:r>
    </w:p>
    <w:p>
      <w:pPr>
        <w:pStyle w:val="BodyText"/>
        <w:spacing w:before="1"/>
      </w:pPr>
    </w:p>
    <w:p>
      <w:pPr>
        <w:pStyle w:val="ListParagraph"/>
        <w:numPr>
          <w:ilvl w:val="1"/>
          <w:numId w:val="246"/>
        </w:numPr>
        <w:tabs>
          <w:tab w:pos="2024" w:val="left" w:leader="none"/>
          <w:tab w:pos="2025" w:val="left" w:leader="none"/>
        </w:tabs>
        <w:spacing w:line="235" w:lineRule="auto" w:before="0" w:after="0"/>
        <w:ind w:left="1344" w:right="1391" w:firstLine="0"/>
        <w:jc w:val="left"/>
        <w:rPr>
          <w:sz w:val="20"/>
        </w:rPr>
      </w:pPr>
      <w:r>
        <w:rPr>
          <w:w w:val="120"/>
          <w:sz w:val="20"/>
        </w:rPr>
        <w:t>In September </w:t>
      </w:r>
      <w:r>
        <w:rPr>
          <w:spacing w:val="-7"/>
          <w:w w:val="120"/>
          <w:sz w:val="20"/>
        </w:rPr>
        <w:t>2015,  </w:t>
      </w:r>
      <w:r>
        <w:rPr>
          <w:w w:val="120"/>
          <w:sz w:val="20"/>
        </w:rPr>
        <w:t>the College worked with the charity </w:t>
      </w:r>
      <w:r>
        <w:rPr>
          <w:spacing w:val="-3"/>
          <w:w w:val="120"/>
          <w:sz w:val="20"/>
        </w:rPr>
        <w:t>TourAid </w:t>
      </w:r>
      <w:r>
        <w:rPr>
          <w:w w:val="120"/>
          <w:sz w:val="20"/>
        </w:rPr>
        <w:t>to host a  group of children and coaches from Botswana, as </w:t>
      </w:r>
      <w:r>
        <w:rPr>
          <w:spacing w:val="2"/>
          <w:w w:val="120"/>
          <w:sz w:val="20"/>
        </w:rPr>
        <w:t>part </w:t>
      </w:r>
      <w:r>
        <w:rPr>
          <w:w w:val="120"/>
          <w:sz w:val="20"/>
        </w:rPr>
        <w:t>of the Festival of Rugby </w:t>
      </w:r>
      <w:r>
        <w:rPr>
          <w:spacing w:val="-7"/>
          <w:w w:val="120"/>
          <w:sz w:val="20"/>
        </w:rPr>
        <w:t>2015. </w:t>
      </w:r>
      <w:r>
        <w:rPr>
          <w:w w:val="120"/>
          <w:sz w:val="20"/>
        </w:rPr>
        <w:t>The Prep School </w:t>
      </w:r>
      <w:r>
        <w:rPr>
          <w:spacing w:val="-9"/>
          <w:w w:val="120"/>
          <w:sz w:val="20"/>
        </w:rPr>
        <w:t>U13 </w:t>
      </w:r>
      <w:r>
        <w:rPr>
          <w:w w:val="120"/>
          <w:sz w:val="20"/>
        </w:rPr>
        <w:t>rugby team played with the boys from Botswana in a tournament at Henley RFC, and the college was able to present a remarkable £9,000 to </w:t>
      </w:r>
      <w:r>
        <w:rPr>
          <w:spacing w:val="-3"/>
          <w:w w:val="120"/>
          <w:sz w:val="20"/>
        </w:rPr>
        <w:t>TourAid </w:t>
      </w:r>
      <w:r>
        <w:rPr>
          <w:w w:val="120"/>
          <w:sz w:val="20"/>
        </w:rPr>
        <w:t>from their</w:t>
      </w:r>
      <w:r>
        <w:rPr>
          <w:spacing w:val="4"/>
          <w:w w:val="120"/>
          <w:sz w:val="20"/>
        </w:rPr>
        <w:t> </w:t>
      </w:r>
      <w:r>
        <w:rPr>
          <w:w w:val="120"/>
          <w:sz w:val="20"/>
        </w:rPr>
        <w:t>fundraising.</w:t>
      </w:r>
    </w:p>
    <w:p>
      <w:pPr>
        <w:pStyle w:val="BodyText"/>
        <w:spacing w:before="11"/>
        <w:rPr>
          <w:sz w:val="19"/>
        </w:rPr>
      </w:pPr>
    </w:p>
    <w:p>
      <w:pPr>
        <w:pStyle w:val="ListParagraph"/>
        <w:numPr>
          <w:ilvl w:val="1"/>
          <w:numId w:val="246"/>
        </w:numPr>
        <w:tabs>
          <w:tab w:pos="2024" w:val="left" w:leader="none"/>
          <w:tab w:pos="2025" w:val="left" w:leader="none"/>
        </w:tabs>
        <w:spacing w:line="235" w:lineRule="auto" w:before="1" w:after="0"/>
        <w:ind w:left="1344" w:right="1265" w:firstLine="0"/>
        <w:jc w:val="left"/>
        <w:rPr>
          <w:sz w:val="20"/>
        </w:rPr>
      </w:pPr>
      <w:r>
        <w:rPr>
          <w:w w:val="120"/>
          <w:sz w:val="20"/>
        </w:rPr>
        <w:t>With each House in the Senior School supporting their House charity, and events such as Whole College Charity </w:t>
      </w:r>
      <w:r>
        <w:rPr>
          <w:spacing w:val="-4"/>
          <w:w w:val="120"/>
          <w:sz w:val="20"/>
        </w:rPr>
        <w:t>Day, </w:t>
      </w:r>
      <w:r>
        <w:rPr>
          <w:w w:val="120"/>
          <w:sz w:val="20"/>
        </w:rPr>
        <w:t>which last year saw the entire college supporting Inspire Malawi, our pupils are actively involved in fundraising and many charitable activities. The Prep School raised over </w:t>
      </w:r>
      <w:r>
        <w:rPr>
          <w:spacing w:val="-3"/>
          <w:w w:val="120"/>
          <w:sz w:val="20"/>
        </w:rPr>
        <w:t>£12,000 </w:t>
      </w:r>
      <w:r>
        <w:rPr>
          <w:w w:val="120"/>
          <w:sz w:val="20"/>
        </w:rPr>
        <w:t>for the Guide Dogs for the Blind Association last </w:t>
      </w:r>
      <w:r>
        <w:rPr>
          <w:spacing w:val="-4"/>
          <w:w w:val="120"/>
          <w:sz w:val="20"/>
        </w:rPr>
        <w:t>year, </w:t>
      </w:r>
      <w:r>
        <w:rPr>
          <w:w w:val="120"/>
          <w:sz w:val="20"/>
        </w:rPr>
        <w:t>and were thrilled that their </w:t>
      </w:r>
      <w:r>
        <w:rPr>
          <w:spacing w:val="2"/>
          <w:w w:val="120"/>
          <w:sz w:val="20"/>
        </w:rPr>
        <w:t>efforts </w:t>
      </w:r>
      <w:r>
        <w:rPr>
          <w:w w:val="120"/>
          <w:sz w:val="20"/>
        </w:rPr>
        <w:t>were rewarded – they were asked to name the guide dog,</w:t>
      </w:r>
      <w:r>
        <w:rPr>
          <w:spacing w:val="13"/>
          <w:w w:val="120"/>
          <w:sz w:val="20"/>
        </w:rPr>
        <w:t> </w:t>
      </w:r>
      <w:r>
        <w:rPr>
          <w:w w:val="120"/>
          <w:sz w:val="20"/>
        </w:rPr>
        <w:t>Truffle.</w:t>
      </w:r>
    </w:p>
    <w:p>
      <w:pPr>
        <w:pStyle w:val="BodyText"/>
      </w:pPr>
    </w:p>
    <w:p>
      <w:pPr>
        <w:pStyle w:val="ListParagraph"/>
        <w:numPr>
          <w:ilvl w:val="1"/>
          <w:numId w:val="246"/>
        </w:numPr>
        <w:tabs>
          <w:tab w:pos="2024" w:val="left" w:leader="none"/>
          <w:tab w:pos="2025" w:val="left" w:leader="none"/>
        </w:tabs>
        <w:spacing w:line="235" w:lineRule="auto" w:before="0" w:after="0"/>
        <w:ind w:left="1344" w:right="1429" w:firstLine="0"/>
        <w:jc w:val="left"/>
        <w:rPr>
          <w:sz w:val="20"/>
        </w:rPr>
      </w:pPr>
      <w:r>
        <w:rPr>
          <w:w w:val="120"/>
          <w:sz w:val="20"/>
        </w:rPr>
        <w:t>Creative </w:t>
      </w:r>
      <w:r>
        <w:rPr>
          <w:spacing w:val="3"/>
          <w:w w:val="120"/>
          <w:sz w:val="20"/>
        </w:rPr>
        <w:t>arts </w:t>
      </w:r>
      <w:r>
        <w:rPr>
          <w:w w:val="120"/>
          <w:sz w:val="20"/>
        </w:rPr>
        <w:t>are also an important </w:t>
      </w:r>
      <w:r>
        <w:rPr>
          <w:spacing w:val="2"/>
          <w:w w:val="120"/>
          <w:sz w:val="20"/>
        </w:rPr>
        <w:t>part </w:t>
      </w:r>
      <w:r>
        <w:rPr>
          <w:w w:val="120"/>
          <w:sz w:val="20"/>
        </w:rPr>
        <w:t>of life at the college, and the recent Senior School production of </w:t>
      </w:r>
      <w:r>
        <w:rPr>
          <w:i/>
          <w:w w:val="120"/>
          <w:sz w:val="20"/>
        </w:rPr>
        <w:t>Macbeth </w:t>
      </w:r>
      <w:r>
        <w:rPr>
          <w:w w:val="120"/>
          <w:sz w:val="20"/>
        </w:rPr>
        <w:t>received fantastic reviews. In March </w:t>
      </w:r>
      <w:r>
        <w:rPr>
          <w:spacing w:val="-7"/>
          <w:w w:val="120"/>
          <w:sz w:val="20"/>
        </w:rPr>
        <w:t>2015, </w:t>
      </w:r>
      <w:r>
        <w:rPr>
          <w:w w:val="120"/>
          <w:sz w:val="20"/>
        </w:rPr>
        <w:t>the college’s artist in residence built a kiln in front of the </w:t>
      </w:r>
      <w:r>
        <w:rPr>
          <w:spacing w:val="3"/>
          <w:w w:val="120"/>
          <w:sz w:val="20"/>
        </w:rPr>
        <w:t>Art </w:t>
      </w:r>
      <w:r>
        <w:rPr>
          <w:w w:val="120"/>
          <w:sz w:val="20"/>
        </w:rPr>
        <w:t>Centre so that pupils working with ceramics could experiment with raku firing. This has since been repeated as it  was so successful. Musically, our pupils continue to delight audiences with regular performances, such as large-scale choral concerts and lunchtime recitals in</w:t>
      </w:r>
      <w:r>
        <w:rPr>
          <w:spacing w:val="28"/>
          <w:w w:val="120"/>
          <w:sz w:val="20"/>
        </w:rPr>
        <w:t> </w:t>
      </w:r>
      <w:r>
        <w:rPr>
          <w:w w:val="120"/>
          <w:sz w:val="20"/>
        </w:rPr>
        <w:t>the</w:t>
      </w:r>
    </w:p>
    <w:p>
      <w:pPr>
        <w:pStyle w:val="BodyText"/>
        <w:spacing w:before="1"/>
        <w:ind w:left="1344"/>
      </w:pPr>
      <w:r>
        <w:rPr>
          <w:w w:val="120"/>
        </w:rPr>
        <w:t>local community.</w:t>
      </w:r>
    </w:p>
    <w:p>
      <w:pPr>
        <w:pStyle w:val="BodyText"/>
        <w:spacing w:before="7"/>
        <w:rPr>
          <w:sz w:val="19"/>
        </w:rPr>
      </w:pPr>
    </w:p>
    <w:p>
      <w:pPr>
        <w:pStyle w:val="ListParagraph"/>
        <w:numPr>
          <w:ilvl w:val="1"/>
          <w:numId w:val="246"/>
        </w:numPr>
        <w:tabs>
          <w:tab w:pos="2024" w:val="left" w:leader="none"/>
          <w:tab w:pos="2025" w:val="left" w:leader="none"/>
        </w:tabs>
        <w:spacing w:line="235" w:lineRule="auto" w:before="0" w:after="0"/>
        <w:ind w:left="1344" w:right="1740" w:firstLine="0"/>
        <w:jc w:val="left"/>
        <w:rPr>
          <w:sz w:val="20"/>
        </w:rPr>
      </w:pPr>
      <w:r>
        <w:rPr>
          <w:w w:val="120"/>
          <w:sz w:val="20"/>
        </w:rPr>
        <w:t>The Pre-Prep introduced ‘Forest School’ into their curriculum in September </w:t>
      </w:r>
      <w:r>
        <w:rPr>
          <w:spacing w:val="-6"/>
          <w:w w:val="120"/>
          <w:sz w:val="20"/>
        </w:rPr>
        <w:t>2014. </w:t>
      </w:r>
      <w:r>
        <w:rPr>
          <w:w w:val="120"/>
          <w:sz w:val="20"/>
        </w:rPr>
        <w:t>It is set in a magical woodland setting that offers all of our Pre-Prep pupils  the opportunity to develop confidence and self-esteem through hands-on outdoor learning.</w:t>
      </w:r>
    </w:p>
    <w:p>
      <w:pPr>
        <w:spacing w:after="0" w:line="235" w:lineRule="auto"/>
        <w:jc w:val="left"/>
        <w:rPr>
          <w:sz w:val="20"/>
        </w:rPr>
        <w:sectPr>
          <w:headerReference w:type="default" r:id="rId610"/>
          <w:pgSz w:w="11910" w:h="16840"/>
          <w:pgMar w:header="0" w:footer="647" w:top="0" w:bottom="840" w:left="640" w:right="0"/>
        </w:sectPr>
      </w:pPr>
    </w:p>
    <w:p>
      <w:pPr>
        <w:pStyle w:val="BodyText"/>
      </w:pPr>
      <w:r>
        <w:rPr/>
        <w:drawing>
          <wp:anchor distT="0" distB="0" distL="0" distR="0" allowOverlap="1" layoutInCell="1" locked="0" behindDoc="1" simplePos="0" relativeHeight="235817984">
            <wp:simplePos x="0" y="0"/>
            <wp:positionH relativeFrom="page">
              <wp:posOffset>0</wp:posOffset>
            </wp:positionH>
            <wp:positionV relativeFrom="page">
              <wp:posOffset>0</wp:posOffset>
            </wp:positionV>
            <wp:extent cx="594067" cy="10692003"/>
            <wp:effectExtent l="0" t="0" r="0" b="0"/>
            <wp:wrapNone/>
            <wp:docPr id="437" name="image75.png"/>
            <wp:cNvGraphicFramePr>
              <a:graphicFrameLocks noChangeAspect="1"/>
            </wp:cNvGraphicFramePr>
            <a:graphic>
              <a:graphicData uri="http://schemas.openxmlformats.org/drawingml/2006/picture">
                <pic:pic>
                  <pic:nvPicPr>
                    <pic:cNvPr id="438" name="image75.png"/>
                    <pic:cNvPicPr/>
                  </pic:nvPicPr>
                  <pic:blipFill>
                    <a:blip r:embed="rId600" cstate="print"/>
                    <a:stretch>
                      <a:fillRect/>
                    </a:stretch>
                  </pic:blipFill>
                  <pic:spPr>
                    <a:xfrm>
                      <a:off x="0" y="0"/>
                      <a:ext cx="594067" cy="10692003"/>
                    </a:xfrm>
                    <a:prstGeom prst="rect">
                      <a:avLst/>
                    </a:prstGeom>
                  </pic:spPr>
                </pic:pic>
              </a:graphicData>
            </a:graphic>
          </wp:anchor>
        </w:drawing>
      </w:r>
      <w:r>
        <w:rPr/>
        <w:pict>
          <v:shape style="position:absolute;margin-left:20.519100pt;margin-top:48.890015pt;width:25.9pt;height:280.150pt;mso-position-horizontal-relative:page;mso-position-vertical-relative:page;z-index:-267497472" type="#_x0000_t202" filled="false" stroked="false">
            <v:textbox inset="0,0,0,0" style="layout-flow:vertical">
              <w:txbxContent>
                <w:p>
                  <w:pPr>
                    <w:spacing w:before="27"/>
                    <w:ind w:left="20" w:right="0" w:firstLine="0"/>
                    <w:jc w:val="left"/>
                    <w:rPr>
                      <w:sz w:val="39"/>
                    </w:rPr>
                  </w:pPr>
                  <w:r>
                    <w:rPr>
                      <w:color w:val="FFFFFF"/>
                      <w:spacing w:val="9"/>
                      <w:w w:val="120"/>
                      <w:sz w:val="39"/>
                    </w:rPr>
                    <w:t>Schools relating </w:t>
                  </w:r>
                  <w:r>
                    <w:rPr>
                      <w:color w:val="FFFFFF"/>
                      <w:spacing w:val="3"/>
                      <w:w w:val="120"/>
                      <w:sz w:val="39"/>
                    </w:rPr>
                    <w:t>to </w:t>
                  </w:r>
                  <w:r>
                    <w:rPr>
                      <w:color w:val="FFFFFF"/>
                      <w:spacing w:val="8"/>
                      <w:w w:val="120"/>
                      <w:sz w:val="39"/>
                    </w:rPr>
                    <w:t>the</w:t>
                  </w:r>
                  <w:r>
                    <w:rPr>
                      <w:color w:val="FFFFFF"/>
                      <w:spacing w:val="73"/>
                      <w:w w:val="120"/>
                      <w:sz w:val="39"/>
                    </w:rPr>
                    <w:t> </w:t>
                  </w:r>
                  <w:r>
                    <w:rPr>
                      <w:color w:val="FFFFFF"/>
                      <w:spacing w:val="6"/>
                      <w:w w:val="120"/>
                      <w:sz w:val="39"/>
                    </w:rPr>
                    <w:t>URC</w:t>
                  </w:r>
                </w:p>
              </w:txbxContent>
            </v:textbox>
            <w10:wrap type="none"/>
          </v:shape>
        </w:pict>
      </w:r>
    </w:p>
    <w:p>
      <w:pPr>
        <w:pStyle w:val="BodyText"/>
        <w:spacing w:before="7"/>
        <w:rPr>
          <w:sz w:val="21"/>
        </w:rPr>
      </w:pPr>
    </w:p>
    <w:p>
      <w:pPr>
        <w:spacing w:before="106"/>
        <w:ind w:left="607" w:right="0" w:firstLine="0"/>
        <w:jc w:val="left"/>
        <w:rPr>
          <w:sz w:val="26"/>
        </w:rPr>
      </w:pPr>
      <w:r>
        <w:rPr>
          <w:color w:val="7EAABF"/>
          <w:w w:val="115"/>
          <w:sz w:val="26"/>
        </w:rPr>
        <w:t>Information papers</w:t>
      </w:r>
    </w:p>
    <w:p>
      <w:pPr>
        <w:pStyle w:val="BodyText"/>
      </w:pPr>
    </w:p>
    <w:p>
      <w:pPr>
        <w:pStyle w:val="BodyText"/>
        <w:spacing w:before="6"/>
      </w:pPr>
    </w:p>
    <w:p>
      <w:pPr>
        <w:pStyle w:val="ListParagraph"/>
        <w:numPr>
          <w:ilvl w:val="1"/>
          <w:numId w:val="246"/>
        </w:numPr>
        <w:tabs>
          <w:tab w:pos="1287" w:val="left" w:leader="none"/>
          <w:tab w:pos="1288" w:val="left" w:leader="none"/>
        </w:tabs>
        <w:spacing w:line="235" w:lineRule="auto" w:before="0" w:after="0"/>
        <w:ind w:left="607" w:right="2021" w:firstLine="0"/>
        <w:jc w:val="left"/>
        <w:rPr>
          <w:sz w:val="20"/>
        </w:rPr>
      </w:pPr>
      <w:r>
        <w:rPr>
          <w:w w:val="120"/>
          <w:sz w:val="20"/>
        </w:rPr>
        <w:t>In October </w:t>
      </w:r>
      <w:r>
        <w:rPr>
          <w:spacing w:val="-9"/>
          <w:w w:val="120"/>
          <w:sz w:val="20"/>
        </w:rPr>
        <w:t>2015 </w:t>
      </w:r>
      <w:r>
        <w:rPr>
          <w:w w:val="120"/>
          <w:sz w:val="20"/>
        </w:rPr>
        <w:t>we re-launched the </w:t>
      </w:r>
      <w:r>
        <w:rPr>
          <w:spacing w:val="-3"/>
          <w:w w:val="120"/>
          <w:sz w:val="20"/>
        </w:rPr>
        <w:t>college </w:t>
      </w:r>
      <w:r>
        <w:rPr>
          <w:spacing w:val="-4"/>
          <w:w w:val="120"/>
          <w:sz w:val="20"/>
        </w:rPr>
        <w:t>website; </w:t>
      </w:r>
      <w:hyperlink r:id="rId614">
        <w:r>
          <w:rPr>
            <w:color w:val="006AB3"/>
            <w:w w:val="120"/>
            <w:sz w:val="20"/>
          </w:rPr>
          <w:t>www.</w:t>
        </w:r>
      </w:hyperlink>
      <w:hyperlink r:id="rId614">
        <w:r>
          <w:rPr>
            <w:color w:val="006AB3"/>
            <w:w w:val="120"/>
            <w:sz w:val="20"/>
          </w:rPr>
          <w:t> </w:t>
        </w:r>
        <w:r>
          <w:rPr>
            <w:color w:val="006AB3"/>
            <w:spacing w:val="-3"/>
            <w:w w:val="120"/>
            <w:sz w:val="20"/>
          </w:rPr>
          <w:t>bishopsstortfordcollege.org</w:t>
        </w:r>
      </w:hyperlink>
      <w:r>
        <w:rPr>
          <w:spacing w:val="-3"/>
          <w:w w:val="120"/>
          <w:sz w:val="20"/>
        </w:rPr>
        <w:t>. </w:t>
      </w:r>
      <w:r>
        <w:rPr>
          <w:w w:val="120"/>
          <w:sz w:val="20"/>
        </w:rPr>
        <w:t>The improved layout and navigation showcases some of what </w:t>
      </w:r>
      <w:r>
        <w:rPr>
          <w:spacing w:val="-3"/>
          <w:w w:val="120"/>
          <w:sz w:val="20"/>
        </w:rPr>
        <w:t>Bishop’s </w:t>
      </w:r>
      <w:r>
        <w:rPr>
          <w:w w:val="120"/>
          <w:sz w:val="20"/>
        </w:rPr>
        <w:t>Stortford College can offer as well as sharing all of our recent news. It is also a valuable resource for parents and pupils alike with links to VLEs, library resources, SchoolPost and pupil and staff email</w:t>
      </w:r>
      <w:r>
        <w:rPr>
          <w:spacing w:val="12"/>
          <w:w w:val="120"/>
          <w:sz w:val="20"/>
        </w:rPr>
        <w:t> </w:t>
      </w:r>
      <w:r>
        <w:rPr>
          <w:w w:val="120"/>
          <w:sz w:val="20"/>
        </w:rPr>
        <w:t>accounts.</w:t>
      </w:r>
    </w:p>
    <w:p>
      <w:pPr>
        <w:pStyle w:val="BodyText"/>
      </w:pPr>
    </w:p>
    <w:p>
      <w:pPr>
        <w:pStyle w:val="ListParagraph"/>
        <w:numPr>
          <w:ilvl w:val="1"/>
          <w:numId w:val="246"/>
        </w:numPr>
        <w:tabs>
          <w:tab w:pos="1287" w:val="left" w:leader="none"/>
          <w:tab w:pos="1288" w:val="left" w:leader="none"/>
        </w:tabs>
        <w:spacing w:line="235" w:lineRule="auto" w:before="0" w:after="0"/>
        <w:ind w:left="607" w:right="1976" w:firstLine="0"/>
        <w:jc w:val="left"/>
        <w:rPr>
          <w:sz w:val="20"/>
        </w:rPr>
      </w:pPr>
      <w:r>
        <w:rPr>
          <w:w w:val="120"/>
          <w:sz w:val="20"/>
        </w:rPr>
        <w:t>Daily assemblies and regular concerts continue to be held in the Memorial Hall, one of the campus’ most recognisable features. The college continues to be developed, and with planning permission now granted we embark on building two new boarding houses </w:t>
      </w:r>
      <w:r>
        <w:rPr>
          <w:spacing w:val="-4"/>
          <w:w w:val="120"/>
          <w:sz w:val="20"/>
        </w:rPr>
        <w:t>(one </w:t>
      </w:r>
      <w:r>
        <w:rPr>
          <w:w w:val="120"/>
          <w:sz w:val="20"/>
        </w:rPr>
        <w:t>boys and one </w:t>
      </w:r>
      <w:r>
        <w:rPr>
          <w:spacing w:val="-3"/>
          <w:w w:val="120"/>
          <w:sz w:val="20"/>
        </w:rPr>
        <w:t>girls) </w:t>
      </w:r>
      <w:r>
        <w:rPr>
          <w:w w:val="120"/>
          <w:sz w:val="20"/>
        </w:rPr>
        <w:t>and a new boys’ day house. We will also be refurbishing the original school house to create new senior school classrooms and improve facilities for teaching staff. Following the devastating fire of September </w:t>
      </w:r>
      <w:r>
        <w:rPr>
          <w:spacing w:val="-7"/>
          <w:w w:val="120"/>
          <w:sz w:val="20"/>
        </w:rPr>
        <w:t>2015 </w:t>
      </w:r>
      <w:r>
        <w:rPr>
          <w:w w:val="120"/>
          <w:sz w:val="20"/>
        </w:rPr>
        <w:t>in </w:t>
      </w:r>
      <w:r>
        <w:rPr>
          <w:spacing w:val="2"/>
          <w:w w:val="120"/>
          <w:sz w:val="20"/>
        </w:rPr>
        <w:t>Robert </w:t>
      </w:r>
      <w:r>
        <w:rPr>
          <w:w w:val="120"/>
          <w:sz w:val="20"/>
        </w:rPr>
        <w:t>Pearce House, all of the boys and House staff are now temporarily accommodated whilst we await the plans for the building restoration. These development plans will lead us</w:t>
      </w:r>
      <w:r>
        <w:rPr>
          <w:spacing w:val="42"/>
          <w:w w:val="120"/>
          <w:sz w:val="20"/>
        </w:rPr>
        <w:t> </w:t>
      </w:r>
      <w:r>
        <w:rPr>
          <w:w w:val="120"/>
          <w:sz w:val="20"/>
        </w:rPr>
        <w:t>to</w:t>
      </w:r>
    </w:p>
    <w:p>
      <w:pPr>
        <w:pStyle w:val="BodyText"/>
        <w:spacing w:before="2"/>
        <w:ind w:left="607"/>
      </w:pPr>
      <w:r>
        <w:rPr>
          <w:w w:val="120"/>
        </w:rPr>
        <w:t>our 150th anniversary in 2018.</w:t>
      </w:r>
    </w:p>
    <w:p>
      <w:pPr>
        <w:pStyle w:val="BodyText"/>
        <w:rPr>
          <w:sz w:val="24"/>
        </w:rPr>
      </w:pPr>
    </w:p>
    <w:p>
      <w:pPr>
        <w:pStyle w:val="BodyText"/>
        <w:spacing w:before="6"/>
        <w:rPr>
          <w:sz w:val="18"/>
        </w:rPr>
      </w:pPr>
    </w:p>
    <w:p>
      <w:pPr>
        <w:spacing w:before="0"/>
        <w:ind w:left="607" w:right="0" w:firstLine="0"/>
        <w:jc w:val="left"/>
        <w:rPr>
          <w:rFonts w:ascii="Stone Sans II ITC Std X Bd"/>
          <w:b/>
          <w:sz w:val="50"/>
        </w:rPr>
      </w:pPr>
      <w:bookmarkStart w:name="_GoBack" w:id="29"/>
      <w:bookmarkEnd w:id="29"/>
      <w:r>
        <w:rPr/>
      </w:r>
      <w:r>
        <w:rPr>
          <w:rFonts w:ascii="Stone Sans II ITC Std X Bd"/>
          <w:b/>
          <w:color w:val="009140"/>
          <w:w w:val="110"/>
          <w:sz w:val="50"/>
        </w:rPr>
        <w:t>Silcoates School</w:t>
      </w:r>
    </w:p>
    <w:p>
      <w:pPr>
        <w:pStyle w:val="ListParagraph"/>
        <w:numPr>
          <w:ilvl w:val="1"/>
          <w:numId w:val="247"/>
        </w:numPr>
        <w:tabs>
          <w:tab w:pos="1287" w:val="left" w:leader="none"/>
          <w:tab w:pos="1288" w:val="left" w:leader="none"/>
        </w:tabs>
        <w:spacing w:line="235" w:lineRule="auto" w:before="365" w:after="0"/>
        <w:ind w:left="607" w:right="2030" w:firstLine="0"/>
        <w:jc w:val="left"/>
        <w:rPr>
          <w:sz w:val="20"/>
        </w:rPr>
      </w:pPr>
      <w:r>
        <w:rPr>
          <w:w w:val="120"/>
          <w:sz w:val="20"/>
        </w:rPr>
        <w:t>In October </w:t>
      </w:r>
      <w:r>
        <w:rPr>
          <w:spacing w:val="-7"/>
          <w:w w:val="120"/>
          <w:sz w:val="20"/>
        </w:rPr>
        <w:t>2014, </w:t>
      </w:r>
      <w:r>
        <w:rPr>
          <w:w w:val="120"/>
          <w:sz w:val="20"/>
        </w:rPr>
        <w:t>20 of our students went to Tanzania to help with building work and garden projects at a rural school in Babati. In October </w:t>
      </w:r>
      <w:r>
        <w:rPr>
          <w:spacing w:val="-6"/>
          <w:w w:val="120"/>
          <w:sz w:val="20"/>
        </w:rPr>
        <w:t>2016, </w:t>
      </w:r>
      <w:r>
        <w:rPr>
          <w:w w:val="120"/>
          <w:sz w:val="20"/>
        </w:rPr>
        <w:t>50 students will be flying out to help with similar projects at two other schools. Upper Sixth Form student Bethany said, ‘When I went to Babati, I was really impressed with the generosity and kindness of the people there. On one occasion we visited a pig farming project where we shared a meal and learned a local dance, which is an experience I will never</w:t>
      </w:r>
      <w:r>
        <w:rPr>
          <w:spacing w:val="40"/>
          <w:w w:val="120"/>
          <w:sz w:val="20"/>
        </w:rPr>
        <w:t> </w:t>
      </w:r>
      <w:r>
        <w:rPr>
          <w:w w:val="120"/>
          <w:sz w:val="20"/>
        </w:rPr>
        <w:t>forget.’</w:t>
      </w:r>
    </w:p>
    <w:p>
      <w:pPr>
        <w:pStyle w:val="BodyText"/>
      </w:pPr>
    </w:p>
    <w:p>
      <w:pPr>
        <w:pStyle w:val="ListParagraph"/>
        <w:numPr>
          <w:ilvl w:val="1"/>
          <w:numId w:val="247"/>
        </w:numPr>
        <w:tabs>
          <w:tab w:pos="1287" w:val="left" w:leader="none"/>
          <w:tab w:pos="1288" w:val="left" w:leader="none"/>
        </w:tabs>
        <w:spacing w:line="235" w:lineRule="auto" w:before="0" w:after="0"/>
        <w:ind w:left="607" w:right="2157" w:firstLine="0"/>
        <w:jc w:val="left"/>
        <w:rPr>
          <w:sz w:val="20"/>
        </w:rPr>
      </w:pPr>
      <w:r>
        <w:rPr>
          <w:w w:val="120"/>
          <w:sz w:val="20"/>
        </w:rPr>
        <w:t>Another student, Erin, talked about a charity project closer to home, saying, ‘We took </w:t>
      </w:r>
      <w:r>
        <w:rPr>
          <w:spacing w:val="2"/>
          <w:w w:val="120"/>
          <w:sz w:val="20"/>
        </w:rPr>
        <w:t>part </w:t>
      </w:r>
      <w:r>
        <w:rPr>
          <w:w w:val="120"/>
          <w:sz w:val="20"/>
        </w:rPr>
        <w:t>in a Christmas concert at the Yorkshire Cancer Centre in Leeds and I was one of the students who sang a solo. Afterwards, we received an email from</w:t>
      </w:r>
      <w:r>
        <w:rPr>
          <w:spacing w:val="30"/>
          <w:w w:val="120"/>
          <w:sz w:val="20"/>
        </w:rPr>
        <w:t> </w:t>
      </w:r>
      <w:r>
        <w:rPr>
          <w:w w:val="120"/>
          <w:sz w:val="20"/>
        </w:rPr>
        <w:t>someone</w:t>
      </w:r>
    </w:p>
    <w:p>
      <w:pPr>
        <w:pStyle w:val="BodyText"/>
        <w:spacing w:line="235" w:lineRule="auto" w:before="3"/>
        <w:ind w:left="607" w:right="2040"/>
      </w:pPr>
      <w:r>
        <w:rPr>
          <w:w w:val="120"/>
        </w:rPr>
        <w:t>thanking us and saying that they had received some bad news about their diagnosis just before the concert. They were sitting in another room listening and they heard me sing </w:t>
      </w:r>
      <w:r>
        <w:rPr>
          <w:i/>
          <w:w w:val="120"/>
        </w:rPr>
        <w:t>O Holy Night</w:t>
      </w:r>
      <w:r>
        <w:rPr>
          <w:w w:val="120"/>
        </w:rPr>
        <w:t>, which they said had really helped them. I think that’s what charity is really about – not just the money we raise but how we can use the </w:t>
      </w:r>
      <w:r>
        <w:rPr>
          <w:spacing w:val="2"/>
          <w:w w:val="120"/>
        </w:rPr>
        <w:t>gifts </w:t>
      </w:r>
      <w:r>
        <w:rPr>
          <w:w w:val="120"/>
        </w:rPr>
        <w:t>we have to touch other people’s lives in ways we could never</w:t>
      </w:r>
      <w:r>
        <w:rPr>
          <w:spacing w:val="16"/>
          <w:w w:val="120"/>
        </w:rPr>
        <w:t> </w:t>
      </w:r>
      <w:r>
        <w:rPr>
          <w:w w:val="120"/>
        </w:rPr>
        <w:t>imagine.’</w:t>
      </w:r>
    </w:p>
    <w:p>
      <w:pPr>
        <w:pStyle w:val="BodyText"/>
        <w:spacing w:before="11"/>
        <w:rPr>
          <w:sz w:val="19"/>
        </w:rPr>
      </w:pPr>
    </w:p>
    <w:p>
      <w:pPr>
        <w:pStyle w:val="ListParagraph"/>
        <w:numPr>
          <w:ilvl w:val="1"/>
          <w:numId w:val="247"/>
        </w:numPr>
        <w:tabs>
          <w:tab w:pos="1287" w:val="left" w:leader="none"/>
          <w:tab w:pos="1288" w:val="left" w:leader="none"/>
        </w:tabs>
        <w:spacing w:line="235" w:lineRule="auto" w:before="0" w:after="0"/>
        <w:ind w:left="607" w:right="1984" w:firstLine="0"/>
        <w:jc w:val="left"/>
        <w:rPr>
          <w:sz w:val="20"/>
        </w:rPr>
      </w:pPr>
      <w:r>
        <w:rPr>
          <w:w w:val="120"/>
          <w:sz w:val="20"/>
        </w:rPr>
        <w:t>We have developed our peer mentoring scheme at school, training older  students to help offer advice and guidance to young ones. We have also played a  leading role with the anti-bullying work of the Diana Award, with one of our </w:t>
      </w:r>
      <w:r>
        <w:rPr>
          <w:spacing w:val="-4"/>
          <w:w w:val="120"/>
          <w:sz w:val="20"/>
        </w:rPr>
        <w:t>Year </w:t>
      </w:r>
      <w:r>
        <w:rPr>
          <w:spacing w:val="-11"/>
          <w:w w:val="120"/>
          <w:sz w:val="20"/>
        </w:rPr>
        <w:t>11 </w:t>
      </w:r>
      <w:r>
        <w:rPr>
          <w:w w:val="120"/>
          <w:sz w:val="20"/>
        </w:rPr>
        <w:t>students, Alex, appointed as a director on the National </w:t>
      </w:r>
      <w:r>
        <w:rPr>
          <w:spacing w:val="-3"/>
          <w:w w:val="120"/>
          <w:sz w:val="20"/>
        </w:rPr>
        <w:t>Youth </w:t>
      </w:r>
      <w:r>
        <w:rPr>
          <w:w w:val="120"/>
          <w:sz w:val="20"/>
        </w:rPr>
        <w:t>Board. He said, ‘I am delighted to be </w:t>
      </w:r>
      <w:r>
        <w:rPr>
          <w:spacing w:val="2"/>
          <w:w w:val="120"/>
          <w:sz w:val="20"/>
        </w:rPr>
        <w:t>part </w:t>
      </w:r>
      <w:r>
        <w:rPr>
          <w:w w:val="120"/>
          <w:sz w:val="20"/>
        </w:rPr>
        <w:t>of the National Anti-Bullying </w:t>
      </w:r>
      <w:r>
        <w:rPr>
          <w:spacing w:val="-3"/>
          <w:w w:val="120"/>
          <w:sz w:val="20"/>
        </w:rPr>
        <w:t>Youth </w:t>
      </w:r>
      <w:r>
        <w:rPr>
          <w:w w:val="120"/>
          <w:sz w:val="20"/>
        </w:rPr>
        <w:t>Board and I am looking forward to representing young peoples’ views about bullying and sharing best practice to help overcome</w:t>
      </w:r>
      <w:r>
        <w:rPr>
          <w:spacing w:val="2"/>
          <w:w w:val="120"/>
          <w:sz w:val="20"/>
        </w:rPr>
        <w:t> </w:t>
      </w:r>
      <w:r>
        <w:rPr>
          <w:spacing w:val="-4"/>
          <w:w w:val="120"/>
          <w:sz w:val="20"/>
        </w:rPr>
        <w:t>it.’</w:t>
      </w:r>
    </w:p>
    <w:p>
      <w:pPr>
        <w:pStyle w:val="BodyText"/>
        <w:spacing w:before="1"/>
      </w:pPr>
    </w:p>
    <w:p>
      <w:pPr>
        <w:pStyle w:val="ListParagraph"/>
        <w:numPr>
          <w:ilvl w:val="1"/>
          <w:numId w:val="247"/>
        </w:numPr>
        <w:tabs>
          <w:tab w:pos="1287" w:val="left" w:leader="none"/>
          <w:tab w:pos="1288" w:val="left" w:leader="none"/>
        </w:tabs>
        <w:spacing w:line="235" w:lineRule="auto" w:before="0" w:after="0"/>
        <w:ind w:left="607" w:right="2123" w:firstLine="0"/>
        <w:jc w:val="left"/>
        <w:rPr>
          <w:sz w:val="20"/>
        </w:rPr>
      </w:pPr>
      <w:r>
        <w:rPr>
          <w:w w:val="120"/>
          <w:sz w:val="20"/>
        </w:rPr>
        <w:t>We have continued to remember the 100th anniversary of the First World </w:t>
      </w:r>
      <w:r>
        <w:rPr>
          <w:spacing w:val="-4"/>
          <w:w w:val="120"/>
          <w:sz w:val="20"/>
        </w:rPr>
        <w:t>War, </w:t>
      </w:r>
      <w:r>
        <w:rPr>
          <w:w w:val="120"/>
          <w:sz w:val="20"/>
        </w:rPr>
        <w:t>rediscovering the stories of the Old Silcoatians who gave their lives in service of their country. Laura is one of our Heads of School and she reflected, ‘I was honoured to   read the Roll of Honour during our Remembrance Day commemorations in November </w:t>
      </w:r>
      <w:r>
        <w:rPr>
          <w:spacing w:val="-7"/>
          <w:w w:val="120"/>
          <w:sz w:val="20"/>
        </w:rPr>
        <w:t>2015. </w:t>
      </w:r>
      <w:r>
        <w:rPr>
          <w:w w:val="120"/>
          <w:sz w:val="20"/>
        </w:rPr>
        <w:t>I think it is important that we continue to remember the sacrifices they made  and to ensure their </w:t>
      </w:r>
      <w:r>
        <w:rPr>
          <w:spacing w:val="2"/>
          <w:w w:val="120"/>
          <w:sz w:val="20"/>
        </w:rPr>
        <w:t>memory </w:t>
      </w:r>
      <w:r>
        <w:rPr>
          <w:w w:val="120"/>
          <w:sz w:val="20"/>
        </w:rPr>
        <w:t>is not </w:t>
      </w:r>
      <w:r>
        <w:rPr>
          <w:spacing w:val="-3"/>
          <w:w w:val="120"/>
          <w:sz w:val="20"/>
        </w:rPr>
        <w:t>lost.’ </w:t>
      </w:r>
      <w:r>
        <w:rPr>
          <w:w w:val="120"/>
          <w:sz w:val="20"/>
        </w:rPr>
        <w:t>On 1 July </w:t>
      </w:r>
      <w:r>
        <w:rPr>
          <w:spacing w:val="-6"/>
          <w:w w:val="120"/>
          <w:sz w:val="20"/>
        </w:rPr>
        <w:t>2016, </w:t>
      </w:r>
      <w:r>
        <w:rPr>
          <w:w w:val="120"/>
          <w:sz w:val="20"/>
        </w:rPr>
        <w:t>we are holding a special day of activities to remember the first day of the Battle of the</w:t>
      </w:r>
      <w:r>
        <w:rPr>
          <w:spacing w:val="13"/>
          <w:w w:val="120"/>
          <w:sz w:val="20"/>
        </w:rPr>
        <w:t> </w:t>
      </w:r>
      <w:r>
        <w:rPr>
          <w:w w:val="120"/>
          <w:sz w:val="20"/>
        </w:rPr>
        <w:t>Somme.</w:t>
      </w:r>
    </w:p>
    <w:p>
      <w:pPr>
        <w:pStyle w:val="BodyText"/>
        <w:spacing w:before="1"/>
      </w:pPr>
    </w:p>
    <w:p>
      <w:pPr>
        <w:pStyle w:val="ListParagraph"/>
        <w:numPr>
          <w:ilvl w:val="1"/>
          <w:numId w:val="247"/>
        </w:numPr>
        <w:tabs>
          <w:tab w:pos="1287" w:val="left" w:leader="none"/>
          <w:tab w:pos="1288" w:val="left" w:leader="none"/>
        </w:tabs>
        <w:spacing w:line="235" w:lineRule="auto" w:before="0" w:after="0"/>
        <w:ind w:left="607" w:right="2012" w:firstLine="0"/>
        <w:jc w:val="left"/>
        <w:rPr>
          <w:sz w:val="20"/>
        </w:rPr>
      </w:pPr>
      <w:r>
        <w:rPr>
          <w:w w:val="120"/>
          <w:sz w:val="20"/>
        </w:rPr>
        <w:t>For further information about the school, please go to our website – </w:t>
      </w:r>
      <w:hyperlink r:id="rId615">
        <w:r>
          <w:rPr>
            <w:color w:val="006AB3"/>
            <w:w w:val="120"/>
            <w:sz w:val="20"/>
          </w:rPr>
          <w:t>www.</w:t>
        </w:r>
      </w:hyperlink>
      <w:hyperlink r:id="rId615">
        <w:r>
          <w:rPr>
            <w:color w:val="006AB3"/>
            <w:w w:val="120"/>
            <w:sz w:val="20"/>
          </w:rPr>
          <w:t> silcoates.org.uk </w:t>
        </w:r>
      </w:hyperlink>
      <w:r>
        <w:rPr>
          <w:w w:val="120"/>
          <w:sz w:val="20"/>
        </w:rPr>
        <w:t>– where you can read much more about the many and diverse activities that make up life at</w:t>
      </w:r>
      <w:r>
        <w:rPr>
          <w:spacing w:val="7"/>
          <w:w w:val="120"/>
          <w:sz w:val="20"/>
        </w:rPr>
        <w:t> </w:t>
      </w:r>
      <w:r>
        <w:rPr>
          <w:w w:val="120"/>
          <w:sz w:val="20"/>
        </w:rPr>
        <w:t>Silcoates.</w:t>
      </w:r>
    </w:p>
    <w:p>
      <w:pPr>
        <w:spacing w:after="0" w:line="235" w:lineRule="auto"/>
        <w:jc w:val="left"/>
        <w:rPr>
          <w:sz w:val="20"/>
        </w:rPr>
        <w:sectPr>
          <w:headerReference w:type="even" r:id="rId611"/>
          <w:footerReference w:type="even" r:id="rId612"/>
          <w:footerReference w:type="default" r:id="rId613"/>
          <w:pgSz w:w="11910" w:h="16840"/>
          <w:pgMar w:header="0" w:footer="647" w:top="0" w:bottom="840" w:left="640" w:right="0"/>
        </w:sectPr>
      </w:pPr>
    </w:p>
    <w:p>
      <w:pPr>
        <w:pStyle w:val="BodyText"/>
      </w:pPr>
    </w:p>
    <w:p>
      <w:pPr>
        <w:pStyle w:val="BodyText"/>
        <w:spacing w:before="7"/>
        <w:rPr>
          <w:sz w:val="21"/>
        </w:rPr>
      </w:pPr>
    </w:p>
    <w:p>
      <w:pPr>
        <w:spacing w:after="0"/>
        <w:rPr>
          <w:sz w:val="21"/>
        </w:rPr>
        <w:sectPr>
          <w:headerReference w:type="default" r:id="rId616"/>
          <w:pgSz w:w="11910" w:h="16840"/>
          <w:pgMar w:header="0" w:footer="647" w:top="0" w:bottom="840" w:left="640" w:right="0"/>
        </w:sectPr>
      </w:pPr>
    </w:p>
    <w:p>
      <w:pPr>
        <w:pStyle w:val="BodyText"/>
        <w:spacing w:before="10"/>
        <w:rPr>
          <w:sz w:val="54"/>
        </w:rPr>
      </w:pPr>
    </w:p>
    <w:p>
      <w:pPr>
        <w:spacing w:before="0"/>
        <w:ind w:left="1344" w:right="0" w:firstLine="0"/>
        <w:jc w:val="left"/>
        <w:rPr>
          <w:rFonts w:ascii="Stone Sans II ITC Std X Bd"/>
          <w:b/>
          <w:sz w:val="50"/>
        </w:rPr>
      </w:pPr>
      <w:bookmarkStart w:name="_GoBack" w:id="30"/>
      <w:bookmarkEnd w:id="30"/>
      <w:r>
        <w:rPr/>
      </w:r>
      <w:r>
        <w:rPr>
          <w:rFonts w:ascii="Stone Sans II ITC Std X Bd"/>
          <w:b/>
          <w:color w:val="009140"/>
          <w:spacing w:val="-8"/>
          <w:w w:val="110"/>
          <w:sz w:val="50"/>
        </w:rPr>
        <w:t>Walthamstow</w:t>
      </w:r>
      <w:r>
        <w:rPr>
          <w:rFonts w:ascii="Stone Sans II ITC Std X Bd"/>
          <w:b/>
          <w:color w:val="009140"/>
          <w:spacing w:val="91"/>
          <w:w w:val="110"/>
          <w:sz w:val="50"/>
        </w:rPr>
        <w:t> </w:t>
      </w:r>
      <w:r>
        <w:rPr>
          <w:rFonts w:ascii="Stone Sans II ITC Std X Bd"/>
          <w:b/>
          <w:color w:val="009140"/>
          <w:spacing w:val="-7"/>
          <w:w w:val="110"/>
          <w:sz w:val="50"/>
        </w:rPr>
        <w:t>Hall</w:t>
      </w:r>
    </w:p>
    <w:p>
      <w:pPr>
        <w:spacing w:before="106"/>
        <w:ind w:left="1187" w:right="0" w:firstLine="0"/>
        <w:jc w:val="left"/>
        <w:rPr>
          <w:sz w:val="26"/>
        </w:rPr>
      </w:pPr>
      <w:r>
        <w:rPr/>
        <w:br w:type="column"/>
      </w:r>
      <w:r>
        <w:rPr>
          <w:color w:val="7EAABF"/>
          <w:w w:val="115"/>
          <w:sz w:val="26"/>
        </w:rPr>
        <w:t>Information papers</w:t>
      </w:r>
    </w:p>
    <w:p>
      <w:pPr>
        <w:spacing w:after="0"/>
        <w:jc w:val="left"/>
        <w:rPr>
          <w:sz w:val="26"/>
        </w:rPr>
        <w:sectPr>
          <w:type w:val="continuous"/>
          <w:pgSz w:w="11910" w:h="16840"/>
          <w:pgMar w:top="1580" w:bottom="280" w:left="640" w:right="0"/>
          <w:cols w:num="2" w:equalWidth="0">
            <w:col w:w="6464" w:space="40"/>
            <w:col w:w="4766"/>
          </w:cols>
        </w:sectPr>
      </w:pPr>
    </w:p>
    <w:p>
      <w:pPr>
        <w:pStyle w:val="BodyText"/>
        <w:spacing w:before="5"/>
        <w:rPr>
          <w:sz w:val="21"/>
        </w:rPr>
      </w:pPr>
      <w:r>
        <w:rPr/>
        <w:drawing>
          <wp:anchor distT="0" distB="0" distL="0" distR="0" allowOverlap="1" layoutInCell="1" locked="0" behindDoc="0" simplePos="0" relativeHeight="252273664">
            <wp:simplePos x="0" y="0"/>
            <wp:positionH relativeFrom="page">
              <wp:posOffset>6974928</wp:posOffset>
            </wp:positionH>
            <wp:positionV relativeFrom="page">
              <wp:posOffset>0</wp:posOffset>
            </wp:positionV>
            <wp:extent cx="585063" cy="10692003"/>
            <wp:effectExtent l="0" t="0" r="0" b="0"/>
            <wp:wrapNone/>
            <wp:docPr id="439" name="image74.png"/>
            <wp:cNvGraphicFramePr>
              <a:graphicFrameLocks noChangeAspect="1"/>
            </wp:cNvGraphicFramePr>
            <a:graphic>
              <a:graphicData uri="http://schemas.openxmlformats.org/drawingml/2006/picture">
                <pic:pic>
                  <pic:nvPicPr>
                    <pic:cNvPr id="440" name="image74.png"/>
                    <pic:cNvPicPr/>
                  </pic:nvPicPr>
                  <pic:blipFill>
                    <a:blip r:embed="rId596" cstate="print"/>
                    <a:stretch>
                      <a:fillRect/>
                    </a:stretch>
                  </pic:blipFill>
                  <pic:spPr>
                    <a:xfrm>
                      <a:off x="0" y="0"/>
                      <a:ext cx="585063" cy="10692003"/>
                    </a:xfrm>
                    <a:prstGeom prst="rect">
                      <a:avLst/>
                    </a:prstGeom>
                  </pic:spPr>
                </pic:pic>
              </a:graphicData>
            </a:graphic>
          </wp:anchor>
        </w:drawing>
      </w:r>
    </w:p>
    <w:p>
      <w:pPr>
        <w:pStyle w:val="ListParagraph"/>
        <w:numPr>
          <w:ilvl w:val="1"/>
          <w:numId w:val="248"/>
        </w:numPr>
        <w:tabs>
          <w:tab w:pos="2024" w:val="left" w:leader="none"/>
          <w:tab w:pos="2025" w:val="left" w:leader="none"/>
        </w:tabs>
        <w:spacing w:line="235" w:lineRule="auto" w:before="104" w:after="0"/>
        <w:ind w:left="1344" w:right="1679" w:firstLine="0"/>
        <w:jc w:val="left"/>
        <w:rPr>
          <w:sz w:val="20"/>
        </w:rPr>
      </w:pPr>
      <w:r>
        <w:rPr/>
        <w:pict>
          <v:shape style="position:absolute;margin-left:554.141174pt;margin-top:-57.692028pt;width:25.9pt;height:280.150pt;mso-position-horizontal-relative:page;mso-position-vertical-relative:paragraph;z-index:252274688" type="#_x0000_t202" filled="false" stroked="false">
            <v:textbox inset="0,0,0,0" style="layout-flow:vertical">
              <w:txbxContent>
                <w:p>
                  <w:pPr>
                    <w:spacing w:before="27"/>
                    <w:ind w:left="20" w:right="0" w:firstLine="0"/>
                    <w:jc w:val="left"/>
                    <w:rPr>
                      <w:sz w:val="39"/>
                    </w:rPr>
                  </w:pPr>
                  <w:r>
                    <w:rPr>
                      <w:color w:val="FFFFFF"/>
                      <w:spacing w:val="9"/>
                      <w:w w:val="120"/>
                      <w:sz w:val="39"/>
                    </w:rPr>
                    <w:t>Schools relating </w:t>
                  </w:r>
                  <w:r>
                    <w:rPr>
                      <w:color w:val="FFFFFF"/>
                      <w:spacing w:val="3"/>
                      <w:w w:val="120"/>
                      <w:sz w:val="39"/>
                    </w:rPr>
                    <w:t>to </w:t>
                  </w:r>
                  <w:r>
                    <w:rPr>
                      <w:color w:val="FFFFFF"/>
                      <w:spacing w:val="8"/>
                      <w:w w:val="120"/>
                      <w:sz w:val="39"/>
                    </w:rPr>
                    <w:t>the</w:t>
                  </w:r>
                  <w:r>
                    <w:rPr>
                      <w:color w:val="FFFFFF"/>
                      <w:spacing w:val="73"/>
                      <w:w w:val="120"/>
                      <w:sz w:val="39"/>
                    </w:rPr>
                    <w:t> </w:t>
                  </w:r>
                  <w:r>
                    <w:rPr>
                      <w:color w:val="FFFFFF"/>
                      <w:spacing w:val="6"/>
                      <w:w w:val="120"/>
                      <w:sz w:val="39"/>
                    </w:rPr>
                    <w:t>URC</w:t>
                  </w:r>
                </w:p>
              </w:txbxContent>
            </v:textbox>
            <w10:wrap type="none"/>
          </v:shape>
        </w:pict>
      </w:r>
      <w:r>
        <w:rPr>
          <w:w w:val="120"/>
          <w:sz w:val="20"/>
        </w:rPr>
        <w:t>Greetings to the URC from Walthamstow Hall in Sevenoaks! Since I last wrote about life here at </w:t>
      </w:r>
      <w:r>
        <w:rPr>
          <w:i/>
          <w:w w:val="120"/>
          <w:sz w:val="20"/>
        </w:rPr>
        <w:t>Wally Hall </w:t>
      </w:r>
      <w:r>
        <w:rPr>
          <w:w w:val="120"/>
          <w:sz w:val="20"/>
        </w:rPr>
        <w:t>much has</w:t>
      </w:r>
      <w:r>
        <w:rPr>
          <w:spacing w:val="1"/>
          <w:w w:val="120"/>
          <w:sz w:val="20"/>
        </w:rPr>
        <w:t> </w:t>
      </w:r>
      <w:r>
        <w:rPr>
          <w:w w:val="120"/>
          <w:sz w:val="20"/>
        </w:rPr>
        <w:t>happened.</w:t>
      </w:r>
    </w:p>
    <w:p>
      <w:pPr>
        <w:pStyle w:val="BodyText"/>
        <w:spacing w:before="9"/>
        <w:rPr>
          <w:sz w:val="19"/>
        </w:rPr>
      </w:pPr>
    </w:p>
    <w:p>
      <w:pPr>
        <w:pStyle w:val="ListParagraph"/>
        <w:numPr>
          <w:ilvl w:val="1"/>
          <w:numId w:val="248"/>
        </w:numPr>
        <w:tabs>
          <w:tab w:pos="2024" w:val="left" w:leader="none"/>
          <w:tab w:pos="2025" w:val="left" w:leader="none"/>
        </w:tabs>
        <w:spacing w:line="235" w:lineRule="auto" w:before="0" w:after="0"/>
        <w:ind w:left="1344" w:right="1270" w:firstLine="0"/>
        <w:jc w:val="left"/>
        <w:rPr>
          <w:sz w:val="20"/>
        </w:rPr>
      </w:pPr>
      <w:r>
        <w:rPr>
          <w:w w:val="120"/>
          <w:sz w:val="20"/>
        </w:rPr>
        <w:t>The school has continued to grow to a new record high of over 620 pupils,    junior and senior. </w:t>
      </w:r>
      <w:r>
        <w:rPr>
          <w:spacing w:val="-7"/>
          <w:w w:val="120"/>
          <w:sz w:val="20"/>
        </w:rPr>
        <w:t>To </w:t>
      </w:r>
      <w:r>
        <w:rPr>
          <w:w w:val="120"/>
          <w:sz w:val="20"/>
        </w:rPr>
        <w:t>accommodate increasing numbers, in </w:t>
      </w:r>
      <w:r>
        <w:rPr>
          <w:spacing w:val="-7"/>
          <w:w w:val="120"/>
          <w:sz w:val="20"/>
        </w:rPr>
        <w:t>2014 </w:t>
      </w:r>
      <w:r>
        <w:rPr>
          <w:w w:val="120"/>
          <w:sz w:val="20"/>
        </w:rPr>
        <w:t>we built a dedicated dining hall at our Junior School site, and in autumn </w:t>
      </w:r>
      <w:r>
        <w:rPr>
          <w:spacing w:val="-7"/>
          <w:w w:val="120"/>
          <w:sz w:val="20"/>
        </w:rPr>
        <w:t>2015 </w:t>
      </w:r>
      <w:r>
        <w:rPr>
          <w:w w:val="120"/>
          <w:sz w:val="20"/>
        </w:rPr>
        <w:t>opened a new </w:t>
      </w:r>
      <w:r>
        <w:rPr>
          <w:spacing w:val="2"/>
          <w:w w:val="120"/>
          <w:sz w:val="20"/>
        </w:rPr>
        <w:t>sports </w:t>
      </w:r>
      <w:r>
        <w:rPr>
          <w:w w:val="120"/>
          <w:sz w:val="20"/>
        </w:rPr>
        <w:t>hall and centre at our senior school site. The opening ceremony guests of honour were six of the school’s current pupils who either compete for England or Great Britain in their various </w:t>
      </w:r>
      <w:r>
        <w:rPr>
          <w:spacing w:val="2"/>
          <w:w w:val="120"/>
          <w:sz w:val="20"/>
        </w:rPr>
        <w:t>sports, </w:t>
      </w:r>
      <w:r>
        <w:rPr>
          <w:w w:val="120"/>
          <w:sz w:val="20"/>
        </w:rPr>
        <w:t>or hold national record times, or indeed</w:t>
      </w:r>
      <w:r>
        <w:rPr>
          <w:spacing w:val="16"/>
          <w:w w:val="120"/>
          <w:sz w:val="20"/>
        </w:rPr>
        <w:t> </w:t>
      </w:r>
      <w:r>
        <w:rPr>
          <w:w w:val="120"/>
          <w:sz w:val="20"/>
        </w:rPr>
        <w:t>both!</w:t>
      </w:r>
    </w:p>
    <w:p>
      <w:pPr>
        <w:pStyle w:val="BodyText"/>
      </w:pPr>
    </w:p>
    <w:p>
      <w:pPr>
        <w:pStyle w:val="ListParagraph"/>
        <w:numPr>
          <w:ilvl w:val="1"/>
          <w:numId w:val="248"/>
        </w:numPr>
        <w:tabs>
          <w:tab w:pos="2024" w:val="left" w:leader="none"/>
          <w:tab w:pos="2025" w:val="left" w:leader="none"/>
        </w:tabs>
        <w:spacing w:line="235" w:lineRule="auto" w:before="0" w:after="0"/>
        <w:ind w:left="1344" w:right="1284" w:firstLine="0"/>
        <w:jc w:val="left"/>
        <w:rPr>
          <w:sz w:val="20"/>
        </w:rPr>
      </w:pPr>
      <w:r>
        <w:rPr>
          <w:w w:val="120"/>
          <w:sz w:val="20"/>
        </w:rPr>
        <w:t>The next project in the pipeline is a new sixth form centre and additional science laboratories and design technology facilities due to </w:t>
      </w:r>
      <w:r>
        <w:rPr>
          <w:spacing w:val="2"/>
          <w:w w:val="120"/>
          <w:sz w:val="20"/>
        </w:rPr>
        <w:t>start </w:t>
      </w:r>
      <w:r>
        <w:rPr>
          <w:w w:val="120"/>
          <w:sz w:val="20"/>
        </w:rPr>
        <w:t>in summer of this </w:t>
      </w:r>
      <w:r>
        <w:rPr>
          <w:spacing w:val="-4"/>
          <w:w w:val="120"/>
          <w:sz w:val="20"/>
        </w:rPr>
        <w:t>year. </w:t>
      </w:r>
      <w:r>
        <w:rPr>
          <w:w w:val="120"/>
          <w:sz w:val="20"/>
        </w:rPr>
        <w:t>We are proud of the numbers of girls who leave here to study STEM subjects at university, and the longstanding tradition of studying medicine certainly</w:t>
      </w:r>
      <w:r>
        <w:rPr>
          <w:spacing w:val="31"/>
          <w:w w:val="120"/>
          <w:sz w:val="20"/>
        </w:rPr>
        <w:t> </w:t>
      </w:r>
      <w:r>
        <w:rPr>
          <w:w w:val="120"/>
          <w:sz w:val="20"/>
        </w:rPr>
        <w:t>continues.</w:t>
      </w:r>
    </w:p>
    <w:p>
      <w:pPr>
        <w:pStyle w:val="BodyText"/>
        <w:spacing w:before="11"/>
        <w:rPr>
          <w:sz w:val="19"/>
        </w:rPr>
      </w:pPr>
    </w:p>
    <w:p>
      <w:pPr>
        <w:pStyle w:val="ListParagraph"/>
        <w:numPr>
          <w:ilvl w:val="1"/>
          <w:numId w:val="248"/>
        </w:numPr>
        <w:tabs>
          <w:tab w:pos="2024" w:val="left" w:leader="none"/>
          <w:tab w:pos="2025" w:val="left" w:leader="none"/>
        </w:tabs>
        <w:spacing w:line="235" w:lineRule="auto" w:before="0" w:after="0"/>
        <w:ind w:left="1344" w:right="1277" w:firstLine="0"/>
        <w:jc w:val="left"/>
        <w:rPr>
          <w:sz w:val="20"/>
        </w:rPr>
      </w:pPr>
      <w:r>
        <w:rPr>
          <w:w w:val="120"/>
          <w:sz w:val="20"/>
        </w:rPr>
        <w:t>Results remain strong – </w:t>
      </w:r>
      <w:r>
        <w:rPr>
          <w:spacing w:val="-3"/>
          <w:w w:val="120"/>
          <w:sz w:val="20"/>
        </w:rPr>
        <w:t>92% </w:t>
      </w:r>
      <w:r>
        <w:rPr>
          <w:w w:val="120"/>
          <w:sz w:val="20"/>
        </w:rPr>
        <w:t>A*-B at GCSE, and 84% </w:t>
      </w:r>
      <w:r>
        <w:rPr>
          <w:spacing w:val="4"/>
          <w:w w:val="120"/>
          <w:sz w:val="20"/>
        </w:rPr>
        <w:t>A-B </w:t>
      </w:r>
      <w:r>
        <w:rPr>
          <w:w w:val="120"/>
          <w:sz w:val="20"/>
        </w:rPr>
        <w:t>at A Level – and keep us in the top 25 in the league</w:t>
      </w:r>
      <w:r>
        <w:rPr>
          <w:spacing w:val="16"/>
          <w:w w:val="120"/>
          <w:sz w:val="20"/>
        </w:rPr>
        <w:t> </w:t>
      </w:r>
      <w:r>
        <w:rPr>
          <w:w w:val="120"/>
          <w:sz w:val="20"/>
        </w:rPr>
        <w:t>tables.</w:t>
      </w:r>
    </w:p>
    <w:p>
      <w:pPr>
        <w:pStyle w:val="BodyText"/>
        <w:spacing w:before="10"/>
        <w:rPr>
          <w:sz w:val="19"/>
        </w:rPr>
      </w:pPr>
    </w:p>
    <w:p>
      <w:pPr>
        <w:pStyle w:val="ListParagraph"/>
        <w:numPr>
          <w:ilvl w:val="1"/>
          <w:numId w:val="248"/>
        </w:numPr>
        <w:tabs>
          <w:tab w:pos="2024" w:val="left" w:leader="none"/>
          <w:tab w:pos="2025" w:val="left" w:leader="none"/>
        </w:tabs>
        <w:spacing w:line="235" w:lineRule="auto" w:before="0" w:after="0"/>
        <w:ind w:left="1344" w:right="1273" w:firstLine="0"/>
        <w:jc w:val="left"/>
        <w:rPr>
          <w:sz w:val="20"/>
        </w:rPr>
      </w:pPr>
      <w:r>
        <w:rPr>
          <w:w w:val="120"/>
          <w:sz w:val="20"/>
        </w:rPr>
        <w:t>Alumnae continue to support and take an interest in today’s school and we are also extremely blessed to have fantastically committed governors. After over 20 years, our Chair of Governors, Mr Ian Philip retired last January, handing the baton to Mrs Jayne Adams. Our URC representative, Mrs Isabel Heald, continues to play a very full </w:t>
      </w:r>
      <w:r>
        <w:rPr>
          <w:spacing w:val="2"/>
          <w:w w:val="120"/>
          <w:sz w:val="20"/>
        </w:rPr>
        <w:t>part </w:t>
      </w:r>
      <w:r>
        <w:rPr>
          <w:w w:val="120"/>
          <w:sz w:val="20"/>
        </w:rPr>
        <w:t>in the life of the school and we are grateful for her service and that of all those who contribute so much to school life. Long may it</w:t>
      </w:r>
      <w:r>
        <w:rPr>
          <w:spacing w:val="21"/>
          <w:w w:val="120"/>
          <w:sz w:val="20"/>
        </w:rPr>
        <w:t> </w:t>
      </w:r>
      <w:r>
        <w:rPr>
          <w:w w:val="120"/>
          <w:sz w:val="20"/>
        </w:rPr>
        <w:t>continue!</w:t>
      </w:r>
    </w:p>
    <w:p>
      <w:pPr>
        <w:spacing w:after="0" w:line="235" w:lineRule="auto"/>
        <w:jc w:val="left"/>
        <w:rPr>
          <w:sz w:val="20"/>
        </w:rPr>
        <w:sectPr>
          <w:type w:val="continuous"/>
          <w:pgSz w:w="11910" w:h="16840"/>
          <w:pgMar w:top="1580" w:bottom="280" w:left="640" w:right="0"/>
        </w:sectPr>
      </w:pPr>
    </w:p>
    <w:p>
      <w:pPr>
        <w:pStyle w:val="BodyText"/>
      </w:pPr>
      <w:r>
        <w:rPr/>
        <w:drawing>
          <wp:anchor distT="0" distB="0" distL="0" distR="0" allowOverlap="1" layoutInCell="1" locked="0" behindDoc="1" simplePos="0" relativeHeight="235822080">
            <wp:simplePos x="0" y="0"/>
            <wp:positionH relativeFrom="page">
              <wp:posOffset>0</wp:posOffset>
            </wp:positionH>
            <wp:positionV relativeFrom="page">
              <wp:posOffset>0</wp:posOffset>
            </wp:positionV>
            <wp:extent cx="594067" cy="10692003"/>
            <wp:effectExtent l="0" t="0" r="0" b="0"/>
            <wp:wrapNone/>
            <wp:docPr id="441" name="image75.png"/>
            <wp:cNvGraphicFramePr>
              <a:graphicFrameLocks noChangeAspect="1"/>
            </wp:cNvGraphicFramePr>
            <a:graphic>
              <a:graphicData uri="http://schemas.openxmlformats.org/drawingml/2006/picture">
                <pic:pic>
                  <pic:nvPicPr>
                    <pic:cNvPr id="442" name="image75.png"/>
                    <pic:cNvPicPr/>
                  </pic:nvPicPr>
                  <pic:blipFill>
                    <a:blip r:embed="rId600" cstate="print"/>
                    <a:stretch>
                      <a:fillRect/>
                    </a:stretch>
                  </pic:blipFill>
                  <pic:spPr>
                    <a:xfrm>
                      <a:off x="0" y="0"/>
                      <a:ext cx="594067" cy="10692003"/>
                    </a:xfrm>
                    <a:prstGeom prst="rect">
                      <a:avLst/>
                    </a:prstGeom>
                  </pic:spPr>
                </pic:pic>
              </a:graphicData>
            </a:graphic>
          </wp:anchor>
        </w:drawing>
      </w:r>
      <w:r>
        <w:rPr/>
        <w:pict>
          <v:shape style="position:absolute;margin-left:20.519100pt;margin-top:48.890015pt;width:25.9pt;height:296.4pt;mso-position-horizontal-relative:page;mso-position-vertical-relative:page;z-index:-267493376" type="#_x0000_t202" filled="false" stroked="false">
            <v:textbox inset="0,0,0,0" style="layout-flow:vertical">
              <w:txbxContent>
                <w:p>
                  <w:pPr>
                    <w:spacing w:before="27"/>
                    <w:ind w:left="20" w:right="0" w:firstLine="0"/>
                    <w:jc w:val="left"/>
                    <w:rPr>
                      <w:sz w:val="39"/>
                    </w:rPr>
                  </w:pPr>
                  <w:r>
                    <w:rPr>
                      <w:color w:val="FFFFFF"/>
                      <w:w w:val="120"/>
                      <w:sz w:val="39"/>
                    </w:rPr>
                    <w:t>Women’s world day of prayer</w:t>
                  </w:r>
                </w:p>
              </w:txbxContent>
            </v:textbox>
            <w10:wrap type="none"/>
          </v:shape>
        </w:pict>
      </w:r>
    </w:p>
    <w:p>
      <w:pPr>
        <w:pStyle w:val="BodyText"/>
        <w:spacing w:before="7"/>
        <w:rPr>
          <w:sz w:val="21"/>
        </w:rPr>
      </w:pPr>
    </w:p>
    <w:p>
      <w:pPr>
        <w:spacing w:before="106"/>
        <w:ind w:left="607" w:right="0" w:firstLine="0"/>
        <w:jc w:val="left"/>
        <w:rPr>
          <w:sz w:val="26"/>
        </w:rPr>
      </w:pPr>
      <w:r>
        <w:rPr>
          <w:color w:val="7EAABF"/>
          <w:w w:val="115"/>
          <w:sz w:val="26"/>
        </w:rPr>
        <w:t>Information papers</w:t>
      </w:r>
    </w:p>
    <w:p>
      <w:pPr>
        <w:spacing w:before="246"/>
        <w:ind w:left="607" w:right="0" w:firstLine="0"/>
        <w:jc w:val="left"/>
        <w:rPr>
          <w:rFonts w:ascii="Stone Sans II ITC Std X Bd" w:hAnsi="Stone Sans II ITC Std X Bd"/>
          <w:b/>
          <w:sz w:val="50"/>
        </w:rPr>
      </w:pPr>
      <w:r>
        <w:rPr>
          <w:rFonts w:ascii="Stone Sans II ITC Std X Bd" w:hAnsi="Stone Sans II ITC Std X Bd"/>
          <w:b/>
          <w:w w:val="110"/>
          <w:sz w:val="50"/>
        </w:rPr>
        <w:t>Women’s World Day of Prayer,</w:t>
      </w:r>
    </w:p>
    <w:p>
      <w:pPr>
        <w:spacing w:before="35"/>
        <w:ind w:left="607" w:right="0" w:firstLine="0"/>
        <w:jc w:val="left"/>
        <w:rPr>
          <w:rFonts w:ascii="Stone Sans II ITC Std X Bd"/>
          <w:b/>
          <w:sz w:val="39"/>
        </w:rPr>
      </w:pPr>
      <w:r>
        <w:rPr>
          <w:rFonts w:ascii="Stone Sans II ITC Std X Bd"/>
          <w:b/>
          <w:w w:val="115"/>
          <w:sz w:val="39"/>
        </w:rPr>
        <w:t>England, Wales and Northern Ireland</w:t>
      </w:r>
    </w:p>
    <w:p>
      <w:pPr>
        <w:pStyle w:val="ListParagraph"/>
        <w:numPr>
          <w:ilvl w:val="1"/>
          <w:numId w:val="249"/>
        </w:numPr>
        <w:tabs>
          <w:tab w:pos="1287" w:val="left" w:leader="none"/>
          <w:tab w:pos="1288" w:val="left" w:leader="none"/>
        </w:tabs>
        <w:spacing w:line="235" w:lineRule="auto" w:before="402" w:after="0"/>
        <w:ind w:left="607" w:right="2004" w:firstLine="0"/>
        <w:jc w:val="left"/>
        <w:rPr>
          <w:sz w:val="20"/>
        </w:rPr>
      </w:pPr>
      <w:r>
        <w:rPr>
          <w:w w:val="120"/>
          <w:sz w:val="20"/>
        </w:rPr>
        <w:t>The United Reformed Church is involved in one of the biggest grass-roots ecumenical events of the year through </w:t>
      </w:r>
      <w:r>
        <w:rPr>
          <w:spacing w:val="-3"/>
          <w:w w:val="120"/>
          <w:sz w:val="20"/>
        </w:rPr>
        <w:t>Women’s </w:t>
      </w:r>
      <w:r>
        <w:rPr>
          <w:w w:val="120"/>
          <w:sz w:val="20"/>
        </w:rPr>
        <w:t>World Day of Prayer. There are more than 5,000 services on the first Friday in March, across England, Wales and </w:t>
      </w:r>
      <w:r>
        <w:rPr>
          <w:spacing w:val="2"/>
          <w:w w:val="120"/>
          <w:sz w:val="20"/>
        </w:rPr>
        <w:t>Northern </w:t>
      </w:r>
      <w:r>
        <w:rPr>
          <w:w w:val="120"/>
          <w:sz w:val="20"/>
        </w:rPr>
        <w:t>Ireland. Led by groups of women from local churches we celebrate with women around the world in the same words of worship, written by the chosen country.</w:t>
      </w:r>
      <w:r>
        <w:rPr>
          <w:spacing w:val="40"/>
          <w:w w:val="120"/>
          <w:sz w:val="20"/>
        </w:rPr>
        <w:t> </w:t>
      </w:r>
      <w:r>
        <w:rPr>
          <w:w w:val="120"/>
          <w:sz w:val="20"/>
        </w:rPr>
        <w:t>Scotland</w:t>
      </w:r>
    </w:p>
    <w:p>
      <w:pPr>
        <w:pStyle w:val="BodyText"/>
        <w:spacing w:line="235" w:lineRule="auto" w:before="4"/>
        <w:ind w:left="607" w:right="2045"/>
      </w:pPr>
      <w:r>
        <w:rPr>
          <w:w w:val="120"/>
        </w:rPr>
        <w:t>has its own national organisation. The focus is the annual service but the prayer and preparation go on throughout the year.</w:t>
      </w:r>
    </w:p>
    <w:p>
      <w:pPr>
        <w:pStyle w:val="BodyText"/>
        <w:spacing w:before="9"/>
        <w:rPr>
          <w:sz w:val="19"/>
        </w:rPr>
      </w:pPr>
    </w:p>
    <w:p>
      <w:pPr>
        <w:pStyle w:val="ListParagraph"/>
        <w:numPr>
          <w:ilvl w:val="1"/>
          <w:numId w:val="249"/>
        </w:numPr>
        <w:tabs>
          <w:tab w:pos="1287" w:val="left" w:leader="none"/>
          <w:tab w:pos="1288" w:val="left" w:leader="none"/>
        </w:tabs>
        <w:spacing w:line="235" w:lineRule="auto" w:before="1" w:after="0"/>
        <w:ind w:left="607" w:right="2187" w:firstLine="0"/>
        <w:jc w:val="left"/>
        <w:rPr>
          <w:sz w:val="20"/>
        </w:rPr>
      </w:pPr>
      <w:r>
        <w:rPr>
          <w:w w:val="120"/>
          <w:sz w:val="20"/>
        </w:rPr>
        <w:t>The </w:t>
      </w:r>
      <w:r>
        <w:rPr>
          <w:spacing w:val="-3"/>
          <w:w w:val="120"/>
          <w:sz w:val="20"/>
        </w:rPr>
        <w:t>national committee </w:t>
      </w:r>
      <w:r>
        <w:rPr>
          <w:w w:val="120"/>
          <w:sz w:val="20"/>
        </w:rPr>
        <w:t>of </w:t>
      </w:r>
      <w:r>
        <w:rPr>
          <w:spacing w:val="-9"/>
          <w:w w:val="120"/>
          <w:sz w:val="20"/>
        </w:rPr>
        <w:t>15, </w:t>
      </w:r>
      <w:r>
        <w:rPr>
          <w:w w:val="120"/>
          <w:sz w:val="20"/>
        </w:rPr>
        <w:t>representing </w:t>
      </w:r>
      <w:r>
        <w:rPr>
          <w:spacing w:val="-3"/>
          <w:w w:val="120"/>
          <w:sz w:val="20"/>
        </w:rPr>
        <w:t>denominations </w:t>
      </w:r>
      <w:r>
        <w:rPr>
          <w:w w:val="120"/>
          <w:sz w:val="20"/>
        </w:rPr>
        <w:t>in England, Northern Ireland and </w:t>
      </w:r>
      <w:r>
        <w:rPr>
          <w:spacing w:val="-3"/>
          <w:w w:val="120"/>
          <w:sz w:val="20"/>
        </w:rPr>
        <w:t>Wales, </w:t>
      </w:r>
      <w:r>
        <w:rPr>
          <w:w w:val="120"/>
          <w:sz w:val="20"/>
        </w:rPr>
        <w:t>meets </w:t>
      </w:r>
      <w:r>
        <w:rPr>
          <w:spacing w:val="-3"/>
          <w:w w:val="120"/>
          <w:sz w:val="20"/>
        </w:rPr>
        <w:t>bi-monthly. </w:t>
      </w:r>
      <w:r>
        <w:rPr>
          <w:w w:val="120"/>
          <w:sz w:val="20"/>
        </w:rPr>
        <w:t>The </w:t>
      </w:r>
      <w:r>
        <w:rPr>
          <w:spacing w:val="-3"/>
          <w:w w:val="120"/>
          <w:sz w:val="20"/>
        </w:rPr>
        <w:t>administrative </w:t>
      </w:r>
      <w:r>
        <w:rPr>
          <w:w w:val="120"/>
          <w:sz w:val="20"/>
        </w:rPr>
        <w:t>office in </w:t>
      </w:r>
      <w:r>
        <w:rPr>
          <w:spacing w:val="-4"/>
          <w:w w:val="120"/>
          <w:sz w:val="20"/>
        </w:rPr>
        <w:t>Tunbridge</w:t>
      </w:r>
      <w:r>
        <w:rPr>
          <w:spacing w:val="-12"/>
          <w:w w:val="120"/>
          <w:sz w:val="20"/>
        </w:rPr>
        <w:t> </w:t>
      </w:r>
      <w:r>
        <w:rPr>
          <w:spacing w:val="-3"/>
          <w:w w:val="120"/>
          <w:sz w:val="20"/>
        </w:rPr>
        <w:t>Wells</w:t>
      </w:r>
    </w:p>
    <w:p>
      <w:pPr>
        <w:pStyle w:val="BodyText"/>
        <w:spacing w:line="235" w:lineRule="auto" w:before="1"/>
        <w:ind w:left="607" w:right="2304"/>
      </w:pPr>
      <w:r>
        <w:rPr>
          <w:spacing w:val="-3"/>
          <w:w w:val="120"/>
        </w:rPr>
        <w:t>deals </w:t>
      </w:r>
      <w:r>
        <w:rPr>
          <w:w w:val="120"/>
        </w:rPr>
        <w:t>with the running of the </w:t>
      </w:r>
      <w:r>
        <w:rPr>
          <w:spacing w:val="-3"/>
          <w:w w:val="120"/>
        </w:rPr>
        <w:t>organisation. </w:t>
      </w:r>
      <w:r>
        <w:rPr>
          <w:w w:val="120"/>
        </w:rPr>
        <w:t>The </w:t>
      </w:r>
      <w:r>
        <w:rPr>
          <w:spacing w:val="-3"/>
          <w:w w:val="120"/>
        </w:rPr>
        <w:t>committee </w:t>
      </w:r>
      <w:r>
        <w:rPr>
          <w:w w:val="120"/>
        </w:rPr>
        <w:t>begins working on a service </w:t>
      </w:r>
      <w:r>
        <w:rPr>
          <w:spacing w:val="-8"/>
          <w:w w:val="120"/>
        </w:rPr>
        <w:t>18 </w:t>
      </w:r>
      <w:r>
        <w:rPr>
          <w:spacing w:val="-3"/>
          <w:w w:val="120"/>
        </w:rPr>
        <w:t>months </w:t>
      </w:r>
      <w:r>
        <w:rPr>
          <w:w w:val="120"/>
        </w:rPr>
        <w:t>ahead, when they </w:t>
      </w:r>
      <w:r>
        <w:rPr>
          <w:spacing w:val="-3"/>
          <w:w w:val="120"/>
        </w:rPr>
        <w:t>receive </w:t>
      </w:r>
      <w:r>
        <w:rPr>
          <w:w w:val="120"/>
        </w:rPr>
        <w:t>the script from the </w:t>
      </w:r>
      <w:r>
        <w:rPr>
          <w:spacing w:val="-3"/>
          <w:w w:val="120"/>
        </w:rPr>
        <w:t>International Committee </w:t>
      </w:r>
      <w:r>
        <w:rPr>
          <w:w w:val="120"/>
        </w:rPr>
        <w:t>in New </w:t>
      </w:r>
      <w:r>
        <w:rPr>
          <w:spacing w:val="-3"/>
          <w:w w:val="120"/>
        </w:rPr>
        <w:t>York. </w:t>
      </w:r>
      <w:r>
        <w:rPr>
          <w:w w:val="120"/>
        </w:rPr>
        <w:t>The </w:t>
      </w:r>
      <w:r>
        <w:rPr>
          <w:spacing w:val="-3"/>
          <w:w w:val="120"/>
        </w:rPr>
        <w:t>words </w:t>
      </w:r>
      <w:r>
        <w:rPr>
          <w:w w:val="120"/>
        </w:rPr>
        <w:t>of the women of the writing country </w:t>
      </w:r>
      <w:r>
        <w:rPr>
          <w:spacing w:val="-3"/>
          <w:w w:val="120"/>
        </w:rPr>
        <w:t>cannot </w:t>
      </w:r>
      <w:r>
        <w:rPr>
          <w:w w:val="120"/>
        </w:rPr>
        <w:t>be changed, but  the </w:t>
      </w:r>
      <w:r>
        <w:rPr>
          <w:spacing w:val="-3"/>
          <w:w w:val="120"/>
        </w:rPr>
        <w:t>creative </w:t>
      </w:r>
      <w:r>
        <w:rPr>
          <w:w w:val="120"/>
        </w:rPr>
        <w:t>ideas for </w:t>
      </w:r>
      <w:r>
        <w:rPr>
          <w:spacing w:val="-5"/>
          <w:w w:val="120"/>
        </w:rPr>
        <w:t>children’s </w:t>
      </w:r>
      <w:r>
        <w:rPr>
          <w:w w:val="120"/>
        </w:rPr>
        <w:t>activities, Bible </w:t>
      </w:r>
      <w:r>
        <w:rPr>
          <w:spacing w:val="-3"/>
          <w:w w:val="120"/>
        </w:rPr>
        <w:t>background, notes </w:t>
      </w:r>
      <w:r>
        <w:rPr>
          <w:w w:val="120"/>
        </w:rPr>
        <w:t>on the </w:t>
      </w:r>
      <w:r>
        <w:rPr>
          <w:spacing w:val="-4"/>
          <w:w w:val="120"/>
        </w:rPr>
        <w:t>country, </w:t>
      </w:r>
      <w:r>
        <w:rPr>
          <w:spacing w:val="-3"/>
          <w:w w:val="120"/>
        </w:rPr>
        <w:t>music </w:t>
      </w:r>
      <w:r>
        <w:rPr>
          <w:w w:val="120"/>
        </w:rPr>
        <w:t>for the service, CD-ROM pictures with script, </w:t>
      </w:r>
      <w:r>
        <w:rPr>
          <w:spacing w:val="-4"/>
          <w:w w:val="120"/>
        </w:rPr>
        <w:t>Together </w:t>
      </w:r>
      <w:r>
        <w:rPr>
          <w:w w:val="120"/>
        </w:rPr>
        <w:t>in Prayer Magazine, all need </w:t>
      </w:r>
      <w:r>
        <w:rPr>
          <w:spacing w:val="-3"/>
          <w:w w:val="120"/>
        </w:rPr>
        <w:t>to </w:t>
      </w:r>
      <w:r>
        <w:rPr>
          <w:w w:val="120"/>
        </w:rPr>
        <w:t>be </w:t>
      </w:r>
      <w:r>
        <w:rPr>
          <w:spacing w:val="-3"/>
          <w:w w:val="120"/>
        </w:rPr>
        <w:t>chosen, </w:t>
      </w:r>
      <w:r>
        <w:rPr>
          <w:w w:val="120"/>
        </w:rPr>
        <w:t>written and </w:t>
      </w:r>
      <w:r>
        <w:rPr>
          <w:spacing w:val="-3"/>
          <w:w w:val="120"/>
        </w:rPr>
        <w:t>published. </w:t>
      </w:r>
      <w:r>
        <w:rPr>
          <w:w w:val="120"/>
        </w:rPr>
        <w:t>In the </w:t>
      </w:r>
      <w:r>
        <w:rPr>
          <w:spacing w:val="-3"/>
          <w:w w:val="120"/>
        </w:rPr>
        <w:t>autumn </w:t>
      </w:r>
      <w:r>
        <w:rPr>
          <w:w w:val="120"/>
        </w:rPr>
        <w:t>before the service,</w:t>
      </w:r>
      <w:r>
        <w:rPr>
          <w:spacing w:val="-12"/>
          <w:w w:val="120"/>
        </w:rPr>
        <w:t> </w:t>
      </w:r>
      <w:r>
        <w:rPr>
          <w:w w:val="120"/>
        </w:rPr>
        <w:t>the</w:t>
      </w:r>
    </w:p>
    <w:p>
      <w:pPr>
        <w:pStyle w:val="BodyText"/>
        <w:spacing w:line="235" w:lineRule="auto" w:before="5"/>
        <w:ind w:left="607" w:right="2045"/>
      </w:pPr>
      <w:r>
        <w:rPr>
          <w:spacing w:val="-3"/>
          <w:w w:val="120"/>
        </w:rPr>
        <w:t>committee facilitates </w:t>
      </w:r>
      <w:r>
        <w:rPr>
          <w:w w:val="120"/>
        </w:rPr>
        <w:t>preparation </w:t>
      </w:r>
      <w:r>
        <w:rPr>
          <w:spacing w:val="-3"/>
          <w:w w:val="120"/>
        </w:rPr>
        <w:t>days </w:t>
      </w:r>
      <w:r>
        <w:rPr>
          <w:w w:val="120"/>
        </w:rPr>
        <w:t>all </w:t>
      </w:r>
      <w:r>
        <w:rPr>
          <w:spacing w:val="-3"/>
          <w:w w:val="120"/>
        </w:rPr>
        <w:t>over </w:t>
      </w:r>
      <w:r>
        <w:rPr>
          <w:w w:val="120"/>
        </w:rPr>
        <w:t>the </w:t>
      </w:r>
      <w:r>
        <w:rPr>
          <w:spacing w:val="-3"/>
          <w:w w:val="120"/>
        </w:rPr>
        <w:t>countries </w:t>
      </w:r>
      <w:r>
        <w:rPr>
          <w:w w:val="120"/>
        </w:rPr>
        <w:t>where local </w:t>
      </w:r>
      <w:r>
        <w:rPr>
          <w:spacing w:val="-3"/>
          <w:w w:val="120"/>
        </w:rPr>
        <w:t>groups </w:t>
      </w:r>
      <w:r>
        <w:rPr>
          <w:spacing w:val="-4"/>
          <w:w w:val="120"/>
        </w:rPr>
        <w:t>gather, </w:t>
      </w:r>
      <w:r>
        <w:rPr>
          <w:w w:val="120"/>
        </w:rPr>
        <w:t>learn about the writing country and the </w:t>
      </w:r>
      <w:r>
        <w:rPr>
          <w:spacing w:val="-3"/>
          <w:w w:val="120"/>
        </w:rPr>
        <w:t>concerns </w:t>
      </w:r>
      <w:r>
        <w:rPr>
          <w:w w:val="120"/>
        </w:rPr>
        <w:t>of </w:t>
      </w:r>
      <w:r>
        <w:rPr>
          <w:spacing w:val="-3"/>
          <w:w w:val="120"/>
        </w:rPr>
        <w:t>those women, </w:t>
      </w:r>
      <w:r>
        <w:rPr>
          <w:w w:val="120"/>
        </w:rPr>
        <w:t>and plan for the forthcoming service.</w:t>
      </w:r>
    </w:p>
    <w:p>
      <w:pPr>
        <w:pStyle w:val="BodyText"/>
        <w:spacing w:before="10"/>
        <w:rPr>
          <w:sz w:val="19"/>
        </w:rPr>
      </w:pPr>
    </w:p>
    <w:p>
      <w:pPr>
        <w:pStyle w:val="ListParagraph"/>
        <w:numPr>
          <w:ilvl w:val="1"/>
          <w:numId w:val="249"/>
        </w:numPr>
        <w:tabs>
          <w:tab w:pos="1287" w:val="left" w:leader="none"/>
          <w:tab w:pos="1288" w:val="left" w:leader="none"/>
        </w:tabs>
        <w:spacing w:line="235" w:lineRule="auto" w:before="0" w:after="0"/>
        <w:ind w:left="607" w:right="1993" w:firstLine="0"/>
        <w:jc w:val="left"/>
        <w:rPr>
          <w:sz w:val="20"/>
        </w:rPr>
      </w:pPr>
      <w:r>
        <w:rPr>
          <w:w w:val="120"/>
          <w:sz w:val="20"/>
        </w:rPr>
        <w:t>Following the service the committee allocates approximately £250,000 annually in grants to projects large and small around the world. The successful projects will be in sympathy with the theme of the service, supporting women and their</w:t>
      </w:r>
      <w:r>
        <w:rPr>
          <w:spacing w:val="46"/>
          <w:w w:val="120"/>
          <w:sz w:val="20"/>
        </w:rPr>
        <w:t> </w:t>
      </w:r>
      <w:r>
        <w:rPr>
          <w:w w:val="120"/>
          <w:sz w:val="20"/>
        </w:rPr>
        <w:t>concerns.</w:t>
      </w:r>
    </w:p>
    <w:p>
      <w:pPr>
        <w:pStyle w:val="BodyText"/>
        <w:spacing w:before="10"/>
        <w:rPr>
          <w:sz w:val="19"/>
        </w:rPr>
      </w:pPr>
    </w:p>
    <w:p>
      <w:pPr>
        <w:pStyle w:val="ListParagraph"/>
        <w:numPr>
          <w:ilvl w:val="1"/>
          <w:numId w:val="249"/>
        </w:numPr>
        <w:tabs>
          <w:tab w:pos="1287" w:val="left" w:leader="none"/>
          <w:tab w:pos="1288" w:val="left" w:leader="none"/>
        </w:tabs>
        <w:spacing w:line="235" w:lineRule="auto" w:before="0" w:after="0"/>
        <w:ind w:left="607" w:right="2058" w:firstLine="0"/>
        <w:jc w:val="left"/>
        <w:rPr>
          <w:sz w:val="20"/>
        </w:rPr>
      </w:pPr>
      <w:r>
        <w:rPr>
          <w:w w:val="120"/>
          <w:sz w:val="20"/>
        </w:rPr>
        <w:t>We have a website, Facebook page and Twitter account and can respond quickly with prayer to world events and also can provide funds following disasters such as the earthquake in</w:t>
      </w:r>
      <w:r>
        <w:rPr>
          <w:spacing w:val="4"/>
          <w:w w:val="120"/>
          <w:sz w:val="20"/>
        </w:rPr>
        <w:t> </w:t>
      </w:r>
      <w:r>
        <w:rPr>
          <w:w w:val="120"/>
          <w:sz w:val="20"/>
        </w:rPr>
        <w:t>Nepal.</w:t>
      </w:r>
    </w:p>
    <w:p>
      <w:pPr>
        <w:pStyle w:val="BodyText"/>
        <w:spacing w:before="6"/>
        <w:rPr>
          <w:sz w:val="19"/>
        </w:rPr>
      </w:pPr>
    </w:p>
    <w:p>
      <w:pPr>
        <w:pStyle w:val="BodyText"/>
        <w:spacing w:line="242" w:lineRule="exact" w:before="1"/>
        <w:ind w:left="607"/>
      </w:pPr>
      <w:r>
        <w:rPr>
          <w:w w:val="120"/>
        </w:rPr>
        <w:t>2015 ‘Do you know what I have done to you?’</w:t>
      </w:r>
    </w:p>
    <w:p>
      <w:pPr>
        <w:pStyle w:val="BodyText"/>
        <w:spacing w:line="240" w:lineRule="exact"/>
        <w:ind w:left="1287"/>
      </w:pPr>
      <w:r>
        <w:rPr>
          <w:w w:val="120"/>
        </w:rPr>
        <w:t>Prepared by the Christian Women of the Bahamas.</w:t>
      </w:r>
    </w:p>
    <w:p>
      <w:pPr>
        <w:pStyle w:val="BodyText"/>
        <w:spacing w:line="240" w:lineRule="exact"/>
        <w:ind w:left="1287"/>
      </w:pPr>
      <w:r>
        <w:rPr>
          <w:w w:val="120"/>
        </w:rPr>
        <w:t>Based on John 13:1-17 when Jesus washes his disciples’ feet.</w:t>
      </w:r>
    </w:p>
    <w:p>
      <w:pPr>
        <w:pStyle w:val="BodyText"/>
        <w:spacing w:line="235" w:lineRule="auto" w:before="1"/>
        <w:ind w:left="1287" w:right="2045"/>
      </w:pPr>
      <w:r>
        <w:rPr>
          <w:w w:val="120"/>
        </w:rPr>
        <w:t>The service explored the radical love that Jesus showed in breaking conventions and how we, as his disciples, are challenged to follow him. For the women</w:t>
      </w:r>
    </w:p>
    <w:p>
      <w:pPr>
        <w:pStyle w:val="BodyText"/>
        <w:spacing w:line="235" w:lineRule="auto" w:before="2"/>
        <w:ind w:left="1287" w:right="2045"/>
      </w:pPr>
      <w:r>
        <w:rPr>
          <w:w w:val="120"/>
        </w:rPr>
        <w:t>of the Bahamas that meant caring for the needs of vulnerable people in their community: the poor who live ‘over-the-hill’, victims of domestic violence and abuse, refugees and migrants, single mothers, those living with HIV/AIDS, and women with breast cancer.</w:t>
      </w:r>
    </w:p>
    <w:p>
      <w:pPr>
        <w:pStyle w:val="BodyText"/>
        <w:spacing w:before="7"/>
        <w:rPr>
          <w:sz w:val="19"/>
        </w:rPr>
      </w:pPr>
    </w:p>
    <w:p>
      <w:pPr>
        <w:pStyle w:val="BodyText"/>
        <w:spacing w:line="242" w:lineRule="exact"/>
        <w:ind w:left="607"/>
      </w:pPr>
      <w:r>
        <w:rPr>
          <w:w w:val="120"/>
        </w:rPr>
        <w:t>2016 ‘Receive children, receive me’, written by the Christian women of Cuba.</w:t>
      </w:r>
    </w:p>
    <w:p>
      <w:pPr>
        <w:pStyle w:val="BodyText"/>
        <w:spacing w:line="240" w:lineRule="exact"/>
        <w:ind w:left="1287"/>
      </w:pPr>
      <w:r>
        <w:rPr>
          <w:w w:val="120"/>
        </w:rPr>
        <w:t>Based on Mark 10:13-16 when Jesus received the children.</w:t>
      </w:r>
    </w:p>
    <w:p>
      <w:pPr>
        <w:pStyle w:val="BodyText"/>
        <w:spacing w:line="235" w:lineRule="auto" w:before="2"/>
        <w:ind w:left="1287" w:right="2011"/>
      </w:pPr>
      <w:r>
        <w:rPr>
          <w:w w:val="120"/>
        </w:rPr>
        <w:t>The service celebrated the high level of health-care and education for children    in Cuba. Women are valued in society and have positions of responsibility as well as caring for the family. Older women had kept the faith and passed it on to the young. In recognising the children, Jesus teaches an open-hearted acceptance of our neighbours and a vision of the kingdom that values each</w:t>
      </w:r>
      <w:r>
        <w:rPr>
          <w:spacing w:val="50"/>
          <w:w w:val="120"/>
        </w:rPr>
        <w:t> </w:t>
      </w:r>
      <w:r>
        <w:rPr>
          <w:w w:val="120"/>
        </w:rPr>
        <w:t>individual.</w:t>
      </w:r>
    </w:p>
    <w:p>
      <w:pPr>
        <w:pStyle w:val="BodyText"/>
        <w:spacing w:before="11"/>
        <w:rPr>
          <w:sz w:val="19"/>
        </w:rPr>
      </w:pPr>
    </w:p>
    <w:p>
      <w:pPr>
        <w:pStyle w:val="BodyText"/>
        <w:tabs>
          <w:tab w:pos="1287" w:val="left" w:leader="none"/>
        </w:tabs>
        <w:spacing w:line="235" w:lineRule="auto" w:before="1"/>
        <w:ind w:left="607" w:right="2785"/>
      </w:pPr>
      <w:r>
        <w:rPr>
          <w:spacing w:val="-9"/>
          <w:w w:val="120"/>
        </w:rPr>
        <w:t>2017</w:t>
        <w:tab/>
      </w:r>
      <w:r>
        <w:rPr>
          <w:spacing w:val="-5"/>
          <w:w w:val="120"/>
        </w:rPr>
        <w:t>‘Am </w:t>
      </w:r>
      <w:r>
        <w:rPr>
          <w:w w:val="120"/>
        </w:rPr>
        <w:t>I being unfair to </w:t>
      </w:r>
      <w:r>
        <w:rPr>
          <w:spacing w:val="-5"/>
          <w:w w:val="120"/>
        </w:rPr>
        <w:t>you?’, </w:t>
      </w:r>
      <w:r>
        <w:rPr>
          <w:w w:val="120"/>
        </w:rPr>
        <w:t>to be prepared by the Christian women of the Philippines.</w:t>
      </w:r>
    </w:p>
    <w:p>
      <w:pPr>
        <w:spacing w:after="0" w:line="235" w:lineRule="auto"/>
        <w:sectPr>
          <w:headerReference w:type="even" r:id="rId617"/>
          <w:footerReference w:type="even" r:id="rId618"/>
          <w:footerReference w:type="default" r:id="rId619"/>
          <w:pgSz w:w="11910" w:h="16840"/>
          <w:pgMar w:header="0" w:footer="647" w:top="0" w:bottom="840" w:left="640" w:right="0"/>
          <w:pgNumType w:start="232"/>
        </w:sectPr>
      </w:pPr>
    </w:p>
    <w:p>
      <w:pPr>
        <w:pStyle w:val="BodyText"/>
      </w:pPr>
      <w:r>
        <w:rPr/>
        <w:drawing>
          <wp:anchor distT="0" distB="0" distL="0" distR="0" allowOverlap="1" layoutInCell="1" locked="0" behindDoc="0" simplePos="0" relativeHeight="252277760">
            <wp:simplePos x="0" y="0"/>
            <wp:positionH relativeFrom="page">
              <wp:posOffset>6974928</wp:posOffset>
            </wp:positionH>
            <wp:positionV relativeFrom="page">
              <wp:posOffset>0</wp:posOffset>
            </wp:positionV>
            <wp:extent cx="585063" cy="10692003"/>
            <wp:effectExtent l="0" t="0" r="0" b="0"/>
            <wp:wrapNone/>
            <wp:docPr id="443" name="image74.png"/>
            <wp:cNvGraphicFramePr>
              <a:graphicFrameLocks noChangeAspect="1"/>
            </wp:cNvGraphicFramePr>
            <a:graphic>
              <a:graphicData uri="http://schemas.openxmlformats.org/drawingml/2006/picture">
                <pic:pic>
                  <pic:nvPicPr>
                    <pic:cNvPr id="444" name="image74.png"/>
                    <pic:cNvPicPr/>
                  </pic:nvPicPr>
                  <pic:blipFill>
                    <a:blip r:embed="rId596" cstate="print"/>
                    <a:stretch>
                      <a:fillRect/>
                    </a:stretch>
                  </pic:blipFill>
                  <pic:spPr>
                    <a:xfrm>
                      <a:off x="0" y="0"/>
                      <a:ext cx="585063" cy="10692003"/>
                    </a:xfrm>
                    <a:prstGeom prst="rect">
                      <a:avLst/>
                    </a:prstGeom>
                  </pic:spPr>
                </pic:pic>
              </a:graphicData>
            </a:graphic>
          </wp:anchor>
        </w:drawing>
      </w:r>
    </w:p>
    <w:p>
      <w:pPr>
        <w:pStyle w:val="BodyText"/>
        <w:spacing w:before="7"/>
        <w:rPr>
          <w:sz w:val="21"/>
        </w:rPr>
      </w:pPr>
    </w:p>
    <w:p>
      <w:pPr>
        <w:spacing w:before="106"/>
        <w:ind w:left="0" w:right="1245" w:firstLine="0"/>
        <w:jc w:val="right"/>
        <w:rPr>
          <w:sz w:val="26"/>
        </w:rPr>
      </w:pPr>
      <w:r>
        <w:rPr/>
        <w:pict>
          <v:shape style="position:absolute;margin-left:554.141174pt;margin-top:22.593945pt;width:25.9pt;height:302.350pt;mso-position-horizontal-relative:page;mso-position-vertical-relative:paragraph;z-index:252278784" type="#_x0000_t202" filled="false" stroked="false">
            <v:textbox inset="0,0,0,0" style="layout-flow:vertical">
              <w:txbxContent>
                <w:p>
                  <w:pPr>
                    <w:spacing w:before="27"/>
                    <w:ind w:left="20" w:right="0" w:firstLine="0"/>
                    <w:jc w:val="left"/>
                    <w:rPr>
                      <w:sz w:val="39"/>
                    </w:rPr>
                  </w:pPr>
                  <w:r>
                    <w:rPr>
                      <w:color w:val="FFFFFF"/>
                      <w:w w:val="120"/>
                      <w:sz w:val="39"/>
                    </w:rPr>
                    <w:t>World day of prayer, Scotland</w:t>
                  </w:r>
                </w:p>
              </w:txbxContent>
            </v:textbox>
            <w10:wrap type="none"/>
          </v:shape>
        </w:pict>
      </w:r>
      <w:r>
        <w:rPr>
          <w:color w:val="7EAABF"/>
          <w:w w:val="115"/>
          <w:sz w:val="26"/>
        </w:rPr>
        <w:t>Information papers</w:t>
      </w:r>
    </w:p>
    <w:p>
      <w:pPr>
        <w:spacing w:before="246"/>
        <w:ind w:left="1344" w:right="0" w:firstLine="0"/>
        <w:jc w:val="left"/>
        <w:rPr>
          <w:rFonts w:ascii="Stone Sans II ITC Std X Bd"/>
          <w:b/>
          <w:sz w:val="50"/>
        </w:rPr>
      </w:pPr>
      <w:r>
        <w:rPr>
          <w:rFonts w:ascii="Stone Sans II ITC Std X Bd"/>
          <w:b/>
          <w:w w:val="110"/>
          <w:sz w:val="50"/>
        </w:rPr>
        <w:t>World Day of Prayer, Scotland</w:t>
      </w:r>
    </w:p>
    <w:p>
      <w:pPr>
        <w:pStyle w:val="ListParagraph"/>
        <w:numPr>
          <w:ilvl w:val="1"/>
          <w:numId w:val="250"/>
        </w:numPr>
        <w:tabs>
          <w:tab w:pos="2024" w:val="left" w:leader="none"/>
          <w:tab w:pos="2025" w:val="left" w:leader="none"/>
        </w:tabs>
        <w:spacing w:line="235" w:lineRule="auto" w:before="365" w:after="0"/>
        <w:ind w:left="1344" w:right="1569" w:firstLine="0"/>
        <w:jc w:val="left"/>
        <w:rPr>
          <w:sz w:val="20"/>
        </w:rPr>
      </w:pPr>
      <w:r>
        <w:rPr>
          <w:w w:val="120"/>
          <w:sz w:val="20"/>
        </w:rPr>
        <w:t>The first World Day of Prayer was held in Scotland in </w:t>
      </w:r>
      <w:r>
        <w:rPr>
          <w:spacing w:val="-6"/>
          <w:w w:val="120"/>
          <w:sz w:val="20"/>
        </w:rPr>
        <w:t>1930, </w:t>
      </w:r>
      <w:r>
        <w:rPr>
          <w:w w:val="120"/>
          <w:sz w:val="20"/>
        </w:rPr>
        <w:t>with the theme ‘May Jesus is Lifted </w:t>
      </w:r>
      <w:r>
        <w:rPr>
          <w:spacing w:val="-7"/>
          <w:w w:val="120"/>
          <w:sz w:val="20"/>
        </w:rPr>
        <w:t>Up’. </w:t>
      </w:r>
      <w:r>
        <w:rPr>
          <w:w w:val="120"/>
          <w:sz w:val="20"/>
        </w:rPr>
        <w:t>Since then a World Day of Prayer has been held every year in Scotland.</w:t>
      </w:r>
      <w:r>
        <w:rPr>
          <w:spacing w:val="-4"/>
          <w:w w:val="120"/>
          <w:sz w:val="20"/>
        </w:rPr>
        <w:t> </w:t>
      </w:r>
      <w:r>
        <w:rPr>
          <w:w w:val="120"/>
          <w:sz w:val="20"/>
        </w:rPr>
        <w:t>In</w:t>
      </w:r>
      <w:r>
        <w:rPr>
          <w:spacing w:val="-3"/>
          <w:w w:val="120"/>
          <w:sz w:val="20"/>
        </w:rPr>
        <w:t> </w:t>
      </w:r>
      <w:r>
        <w:rPr>
          <w:w w:val="120"/>
          <w:sz w:val="20"/>
        </w:rPr>
        <w:t>the</w:t>
      </w:r>
      <w:r>
        <w:rPr>
          <w:spacing w:val="-3"/>
          <w:w w:val="120"/>
          <w:sz w:val="20"/>
        </w:rPr>
        <w:t> </w:t>
      </w:r>
      <w:r>
        <w:rPr>
          <w:w w:val="120"/>
          <w:sz w:val="20"/>
        </w:rPr>
        <w:t>last</w:t>
      </w:r>
      <w:r>
        <w:rPr>
          <w:spacing w:val="-4"/>
          <w:w w:val="120"/>
          <w:sz w:val="20"/>
        </w:rPr>
        <w:t> </w:t>
      </w:r>
      <w:r>
        <w:rPr>
          <w:w w:val="120"/>
          <w:sz w:val="20"/>
        </w:rPr>
        <w:t>three</w:t>
      </w:r>
      <w:r>
        <w:rPr>
          <w:spacing w:val="-3"/>
          <w:w w:val="120"/>
          <w:sz w:val="20"/>
        </w:rPr>
        <w:t> </w:t>
      </w:r>
      <w:r>
        <w:rPr>
          <w:w w:val="120"/>
          <w:sz w:val="20"/>
        </w:rPr>
        <w:t>years</w:t>
      </w:r>
      <w:r>
        <w:rPr>
          <w:spacing w:val="-3"/>
          <w:w w:val="120"/>
          <w:sz w:val="20"/>
        </w:rPr>
        <w:t> </w:t>
      </w:r>
      <w:r>
        <w:rPr>
          <w:w w:val="120"/>
          <w:sz w:val="20"/>
        </w:rPr>
        <w:t>the</w:t>
      </w:r>
      <w:r>
        <w:rPr>
          <w:spacing w:val="-4"/>
          <w:w w:val="120"/>
          <w:sz w:val="20"/>
        </w:rPr>
        <w:t> </w:t>
      </w:r>
      <w:r>
        <w:rPr>
          <w:w w:val="120"/>
          <w:sz w:val="20"/>
        </w:rPr>
        <w:t>committee</w:t>
      </w:r>
      <w:r>
        <w:rPr>
          <w:spacing w:val="-3"/>
          <w:w w:val="120"/>
          <w:sz w:val="20"/>
        </w:rPr>
        <w:t> </w:t>
      </w:r>
      <w:r>
        <w:rPr>
          <w:w w:val="120"/>
          <w:sz w:val="20"/>
        </w:rPr>
        <w:t>has</w:t>
      </w:r>
      <w:r>
        <w:rPr>
          <w:spacing w:val="-3"/>
          <w:w w:val="120"/>
          <w:sz w:val="20"/>
        </w:rPr>
        <w:t> </w:t>
      </w:r>
      <w:r>
        <w:rPr>
          <w:w w:val="120"/>
          <w:sz w:val="20"/>
        </w:rPr>
        <w:t>made</w:t>
      </w:r>
      <w:r>
        <w:rPr>
          <w:spacing w:val="-3"/>
          <w:w w:val="120"/>
          <w:sz w:val="20"/>
        </w:rPr>
        <w:t> </w:t>
      </w:r>
      <w:r>
        <w:rPr>
          <w:w w:val="120"/>
          <w:sz w:val="20"/>
        </w:rPr>
        <w:t>great</w:t>
      </w:r>
      <w:r>
        <w:rPr>
          <w:spacing w:val="-4"/>
          <w:w w:val="120"/>
          <w:sz w:val="20"/>
        </w:rPr>
        <w:t> </w:t>
      </w:r>
      <w:r>
        <w:rPr>
          <w:spacing w:val="2"/>
          <w:w w:val="120"/>
          <w:sz w:val="20"/>
        </w:rPr>
        <w:t>efforts</w:t>
      </w:r>
      <w:r>
        <w:rPr>
          <w:spacing w:val="-3"/>
          <w:w w:val="120"/>
          <w:sz w:val="20"/>
        </w:rPr>
        <w:t> </w:t>
      </w:r>
      <w:r>
        <w:rPr>
          <w:w w:val="120"/>
          <w:sz w:val="20"/>
        </w:rPr>
        <w:t>to</w:t>
      </w:r>
      <w:r>
        <w:rPr>
          <w:spacing w:val="-3"/>
          <w:w w:val="120"/>
          <w:sz w:val="20"/>
        </w:rPr>
        <w:t> </w:t>
      </w:r>
      <w:r>
        <w:rPr>
          <w:w w:val="120"/>
          <w:sz w:val="20"/>
        </w:rPr>
        <w:t>increase</w:t>
      </w:r>
      <w:r>
        <w:rPr>
          <w:spacing w:val="-4"/>
          <w:w w:val="120"/>
          <w:sz w:val="20"/>
        </w:rPr>
        <w:t> </w:t>
      </w:r>
      <w:r>
        <w:rPr>
          <w:w w:val="120"/>
          <w:sz w:val="20"/>
        </w:rPr>
        <w:t>the</w:t>
      </w:r>
    </w:p>
    <w:p>
      <w:pPr>
        <w:pStyle w:val="BodyText"/>
        <w:spacing w:line="235" w:lineRule="auto" w:before="2"/>
        <w:ind w:left="1344" w:right="1217"/>
      </w:pPr>
      <w:r>
        <w:rPr>
          <w:w w:val="120"/>
        </w:rPr>
        <w:t>number of denominations on the committee and we now have more than 18 members, with more than ten denominations represented. All are volunteers, including the office bearers. The service is always planned and prepared by women because in many countries of the world women are in a submissive role to men. However in Scotland the title of Women’s World Day of Prayer has been changed to World Day of Prayer.</w:t>
      </w:r>
    </w:p>
    <w:p>
      <w:pPr>
        <w:pStyle w:val="BodyText"/>
        <w:spacing w:before="11"/>
        <w:rPr>
          <w:sz w:val="19"/>
        </w:rPr>
      </w:pPr>
    </w:p>
    <w:p>
      <w:pPr>
        <w:pStyle w:val="ListParagraph"/>
        <w:numPr>
          <w:ilvl w:val="1"/>
          <w:numId w:val="250"/>
        </w:numPr>
        <w:tabs>
          <w:tab w:pos="2024" w:val="left" w:leader="none"/>
          <w:tab w:pos="2025" w:val="left" w:leader="none"/>
        </w:tabs>
        <w:spacing w:line="235" w:lineRule="auto" w:before="1" w:after="0"/>
        <w:ind w:left="1344" w:right="1373" w:firstLine="0"/>
        <w:jc w:val="left"/>
        <w:rPr>
          <w:sz w:val="20"/>
        </w:rPr>
      </w:pPr>
      <w:r>
        <w:rPr>
          <w:w w:val="120"/>
          <w:sz w:val="20"/>
        </w:rPr>
        <w:t>The committee </w:t>
      </w:r>
      <w:r>
        <w:rPr>
          <w:spacing w:val="3"/>
          <w:w w:val="120"/>
          <w:sz w:val="20"/>
        </w:rPr>
        <w:t>try </w:t>
      </w:r>
      <w:r>
        <w:rPr>
          <w:w w:val="120"/>
          <w:sz w:val="20"/>
        </w:rPr>
        <w:t>to remain faithful to the country planning the service. The committee receive a detailed </w:t>
      </w:r>
      <w:r>
        <w:rPr>
          <w:spacing w:val="2"/>
          <w:w w:val="120"/>
          <w:sz w:val="20"/>
        </w:rPr>
        <w:t>report </w:t>
      </w:r>
      <w:r>
        <w:rPr>
          <w:w w:val="120"/>
          <w:sz w:val="20"/>
        </w:rPr>
        <w:t>about the planning country, particularly the social and health problems they are facing, and this helps us embrace the ethos behind the service. The committee </w:t>
      </w:r>
      <w:r>
        <w:rPr>
          <w:spacing w:val="2"/>
          <w:w w:val="120"/>
          <w:sz w:val="20"/>
        </w:rPr>
        <w:t>start </w:t>
      </w:r>
      <w:r>
        <w:rPr>
          <w:w w:val="120"/>
          <w:sz w:val="20"/>
        </w:rPr>
        <w:t>the preparation by taking two days in</w:t>
      </w:r>
      <w:r>
        <w:rPr>
          <w:spacing w:val="20"/>
          <w:w w:val="120"/>
          <w:sz w:val="20"/>
        </w:rPr>
        <w:t> </w:t>
      </w:r>
      <w:r>
        <w:rPr>
          <w:w w:val="120"/>
          <w:sz w:val="20"/>
        </w:rPr>
        <w:t>retreat.</w:t>
      </w:r>
    </w:p>
    <w:p>
      <w:pPr>
        <w:pStyle w:val="BodyText"/>
        <w:spacing w:before="11"/>
        <w:rPr>
          <w:sz w:val="19"/>
        </w:rPr>
      </w:pPr>
    </w:p>
    <w:p>
      <w:pPr>
        <w:pStyle w:val="ListParagraph"/>
        <w:numPr>
          <w:ilvl w:val="1"/>
          <w:numId w:val="250"/>
        </w:numPr>
        <w:tabs>
          <w:tab w:pos="2024" w:val="left" w:leader="none"/>
          <w:tab w:pos="2025" w:val="left" w:leader="none"/>
        </w:tabs>
        <w:spacing w:line="235" w:lineRule="auto" w:before="0" w:after="0"/>
        <w:ind w:left="1344" w:right="1528" w:firstLine="0"/>
        <w:jc w:val="left"/>
        <w:rPr>
          <w:sz w:val="20"/>
        </w:rPr>
      </w:pPr>
      <w:r>
        <w:rPr>
          <w:w w:val="120"/>
          <w:sz w:val="20"/>
        </w:rPr>
        <w:t>Many </w:t>
      </w:r>
      <w:r>
        <w:rPr>
          <w:spacing w:val="2"/>
          <w:w w:val="120"/>
          <w:sz w:val="20"/>
        </w:rPr>
        <w:t>people </w:t>
      </w:r>
      <w:r>
        <w:rPr>
          <w:w w:val="120"/>
          <w:sz w:val="20"/>
        </w:rPr>
        <w:t>attending the </w:t>
      </w:r>
      <w:r>
        <w:rPr>
          <w:spacing w:val="2"/>
          <w:w w:val="120"/>
          <w:sz w:val="20"/>
        </w:rPr>
        <w:t>services </w:t>
      </w:r>
      <w:r>
        <w:rPr>
          <w:w w:val="120"/>
          <w:sz w:val="20"/>
        </w:rPr>
        <w:t>comment on the </w:t>
      </w:r>
      <w:r>
        <w:rPr>
          <w:spacing w:val="2"/>
          <w:w w:val="120"/>
          <w:sz w:val="20"/>
        </w:rPr>
        <w:t>novelty </w:t>
      </w:r>
      <w:r>
        <w:rPr>
          <w:w w:val="120"/>
          <w:sz w:val="20"/>
        </w:rPr>
        <w:t>of a responsive </w:t>
      </w:r>
      <w:r>
        <w:rPr>
          <w:spacing w:val="2"/>
          <w:w w:val="120"/>
          <w:sz w:val="20"/>
        </w:rPr>
        <w:t>service</w:t>
      </w:r>
      <w:r>
        <w:rPr>
          <w:spacing w:val="10"/>
          <w:w w:val="120"/>
          <w:sz w:val="20"/>
        </w:rPr>
        <w:t> </w:t>
      </w:r>
      <w:r>
        <w:rPr>
          <w:w w:val="120"/>
          <w:sz w:val="20"/>
        </w:rPr>
        <w:t>with</w:t>
      </w:r>
      <w:r>
        <w:rPr>
          <w:spacing w:val="10"/>
          <w:w w:val="120"/>
          <w:sz w:val="20"/>
        </w:rPr>
        <w:t> </w:t>
      </w:r>
      <w:r>
        <w:rPr>
          <w:w w:val="120"/>
          <w:sz w:val="20"/>
        </w:rPr>
        <w:t>unusual</w:t>
      </w:r>
      <w:r>
        <w:rPr>
          <w:spacing w:val="10"/>
          <w:w w:val="120"/>
          <w:sz w:val="20"/>
        </w:rPr>
        <w:t> </w:t>
      </w:r>
      <w:r>
        <w:rPr>
          <w:w w:val="120"/>
          <w:sz w:val="20"/>
        </w:rPr>
        <w:t>hymns,</w:t>
      </w:r>
      <w:r>
        <w:rPr>
          <w:spacing w:val="10"/>
          <w:w w:val="120"/>
          <w:sz w:val="20"/>
        </w:rPr>
        <w:t> </w:t>
      </w:r>
      <w:r>
        <w:rPr>
          <w:spacing w:val="2"/>
          <w:w w:val="120"/>
          <w:sz w:val="20"/>
        </w:rPr>
        <w:t>bright</w:t>
      </w:r>
      <w:r>
        <w:rPr>
          <w:spacing w:val="10"/>
          <w:w w:val="120"/>
          <w:sz w:val="20"/>
        </w:rPr>
        <w:t> </w:t>
      </w:r>
      <w:r>
        <w:rPr>
          <w:w w:val="120"/>
          <w:sz w:val="20"/>
        </w:rPr>
        <w:t>colours</w:t>
      </w:r>
      <w:r>
        <w:rPr>
          <w:spacing w:val="10"/>
          <w:w w:val="120"/>
          <w:sz w:val="20"/>
        </w:rPr>
        <w:t> </w:t>
      </w:r>
      <w:r>
        <w:rPr>
          <w:w w:val="120"/>
          <w:sz w:val="20"/>
        </w:rPr>
        <w:t>and</w:t>
      </w:r>
      <w:r>
        <w:rPr>
          <w:spacing w:val="10"/>
          <w:w w:val="120"/>
          <w:sz w:val="20"/>
        </w:rPr>
        <w:t> </w:t>
      </w:r>
      <w:r>
        <w:rPr>
          <w:w w:val="120"/>
          <w:sz w:val="20"/>
        </w:rPr>
        <w:t>different</w:t>
      </w:r>
      <w:r>
        <w:rPr>
          <w:spacing w:val="11"/>
          <w:w w:val="120"/>
          <w:sz w:val="20"/>
        </w:rPr>
        <w:t> </w:t>
      </w:r>
      <w:r>
        <w:rPr>
          <w:spacing w:val="2"/>
          <w:w w:val="120"/>
          <w:sz w:val="20"/>
        </w:rPr>
        <w:t>themes.</w:t>
      </w:r>
      <w:r>
        <w:rPr>
          <w:spacing w:val="10"/>
          <w:w w:val="120"/>
          <w:sz w:val="20"/>
        </w:rPr>
        <w:t> </w:t>
      </w:r>
      <w:r>
        <w:rPr>
          <w:w w:val="120"/>
          <w:sz w:val="20"/>
        </w:rPr>
        <w:t>This</w:t>
      </w:r>
      <w:r>
        <w:rPr>
          <w:spacing w:val="10"/>
          <w:w w:val="120"/>
          <w:sz w:val="20"/>
        </w:rPr>
        <w:t> </w:t>
      </w:r>
      <w:r>
        <w:rPr>
          <w:w w:val="120"/>
          <w:sz w:val="20"/>
        </w:rPr>
        <w:t>year</w:t>
      </w:r>
      <w:r>
        <w:rPr>
          <w:spacing w:val="10"/>
          <w:w w:val="120"/>
          <w:sz w:val="20"/>
        </w:rPr>
        <w:t> </w:t>
      </w:r>
      <w:r>
        <w:rPr>
          <w:w w:val="120"/>
          <w:sz w:val="20"/>
        </w:rPr>
        <w:t>the</w:t>
      </w:r>
    </w:p>
    <w:p>
      <w:pPr>
        <w:pStyle w:val="BodyText"/>
        <w:spacing w:line="235" w:lineRule="auto" w:before="1"/>
        <w:ind w:left="1344" w:right="1573"/>
      </w:pPr>
      <w:r>
        <w:rPr>
          <w:spacing w:val="2"/>
          <w:w w:val="120"/>
        </w:rPr>
        <w:t>service </w:t>
      </w:r>
      <w:r>
        <w:rPr>
          <w:w w:val="120"/>
        </w:rPr>
        <w:t>is </w:t>
      </w:r>
      <w:r>
        <w:rPr>
          <w:spacing w:val="2"/>
          <w:w w:val="120"/>
        </w:rPr>
        <w:t>written </w:t>
      </w:r>
      <w:r>
        <w:rPr>
          <w:w w:val="120"/>
        </w:rPr>
        <w:t>by </w:t>
      </w:r>
      <w:r>
        <w:rPr>
          <w:spacing w:val="2"/>
          <w:w w:val="120"/>
        </w:rPr>
        <w:t>Christian </w:t>
      </w:r>
      <w:r>
        <w:rPr>
          <w:w w:val="120"/>
        </w:rPr>
        <w:t>Women </w:t>
      </w:r>
      <w:r>
        <w:rPr>
          <w:spacing w:val="2"/>
          <w:w w:val="120"/>
        </w:rPr>
        <w:t>from </w:t>
      </w:r>
      <w:r>
        <w:rPr>
          <w:w w:val="120"/>
        </w:rPr>
        <w:t>the Philippines. </w:t>
      </w:r>
      <w:r>
        <w:rPr>
          <w:spacing w:val="2"/>
          <w:w w:val="120"/>
        </w:rPr>
        <w:t>The collections along  </w:t>
      </w:r>
      <w:r>
        <w:rPr>
          <w:w w:val="120"/>
        </w:rPr>
        <w:t>with </w:t>
      </w:r>
      <w:r>
        <w:rPr>
          <w:spacing w:val="2"/>
          <w:w w:val="120"/>
        </w:rPr>
        <w:t>monies from </w:t>
      </w:r>
      <w:r>
        <w:rPr>
          <w:w w:val="120"/>
        </w:rPr>
        <w:t>the </w:t>
      </w:r>
      <w:r>
        <w:rPr>
          <w:spacing w:val="2"/>
          <w:w w:val="120"/>
        </w:rPr>
        <w:t>sale </w:t>
      </w:r>
      <w:r>
        <w:rPr>
          <w:w w:val="120"/>
        </w:rPr>
        <w:t>of </w:t>
      </w:r>
      <w:r>
        <w:rPr>
          <w:spacing w:val="2"/>
          <w:w w:val="120"/>
        </w:rPr>
        <w:t>calendars, notelets, badges </w:t>
      </w:r>
      <w:r>
        <w:rPr>
          <w:w w:val="120"/>
        </w:rPr>
        <w:t>and </w:t>
      </w:r>
      <w:r>
        <w:rPr>
          <w:spacing w:val="2"/>
          <w:w w:val="120"/>
        </w:rPr>
        <w:t>pendants </w:t>
      </w:r>
      <w:r>
        <w:rPr>
          <w:w w:val="120"/>
        </w:rPr>
        <w:t>are donated  to the following charities: </w:t>
      </w:r>
      <w:r>
        <w:rPr>
          <w:spacing w:val="3"/>
          <w:w w:val="120"/>
        </w:rPr>
        <w:t>Feed </w:t>
      </w:r>
      <w:r>
        <w:rPr>
          <w:w w:val="120"/>
        </w:rPr>
        <w:t>the Minds, </w:t>
      </w:r>
      <w:r>
        <w:rPr>
          <w:spacing w:val="2"/>
          <w:w w:val="120"/>
        </w:rPr>
        <w:t>The </w:t>
      </w:r>
      <w:r>
        <w:rPr>
          <w:w w:val="120"/>
        </w:rPr>
        <w:t>Scottish </w:t>
      </w:r>
      <w:r>
        <w:rPr>
          <w:spacing w:val="2"/>
          <w:w w:val="120"/>
        </w:rPr>
        <w:t>Bible Society </w:t>
      </w:r>
      <w:r>
        <w:rPr>
          <w:w w:val="120"/>
        </w:rPr>
        <w:t>and a </w:t>
      </w:r>
      <w:r>
        <w:rPr>
          <w:spacing w:val="2"/>
          <w:w w:val="120"/>
        </w:rPr>
        <w:t>charity </w:t>
      </w:r>
      <w:r>
        <w:rPr>
          <w:w w:val="120"/>
        </w:rPr>
        <w:t>of the planning</w:t>
      </w:r>
      <w:r>
        <w:rPr>
          <w:spacing w:val="13"/>
          <w:w w:val="120"/>
        </w:rPr>
        <w:t> </w:t>
      </w:r>
      <w:r>
        <w:rPr>
          <w:w w:val="120"/>
        </w:rPr>
        <w:t>country.</w:t>
      </w:r>
    </w:p>
    <w:p>
      <w:pPr>
        <w:pStyle w:val="BodyText"/>
        <w:spacing w:before="11"/>
        <w:rPr>
          <w:sz w:val="19"/>
        </w:rPr>
      </w:pPr>
    </w:p>
    <w:p>
      <w:pPr>
        <w:pStyle w:val="ListParagraph"/>
        <w:numPr>
          <w:ilvl w:val="1"/>
          <w:numId w:val="250"/>
        </w:numPr>
        <w:tabs>
          <w:tab w:pos="2024" w:val="left" w:leader="none"/>
          <w:tab w:pos="2025" w:val="left" w:leader="none"/>
        </w:tabs>
        <w:spacing w:line="235" w:lineRule="auto" w:before="0" w:after="0"/>
        <w:ind w:left="1344" w:right="1596" w:firstLine="0"/>
        <w:jc w:val="left"/>
        <w:rPr>
          <w:sz w:val="20"/>
        </w:rPr>
      </w:pPr>
      <w:r>
        <w:rPr>
          <w:w w:val="120"/>
          <w:sz w:val="20"/>
        </w:rPr>
        <w:t>Donations are also sent to European and International organisations to enable delegates from poorer countries to attend the</w:t>
      </w:r>
      <w:r>
        <w:rPr>
          <w:spacing w:val="12"/>
          <w:w w:val="120"/>
          <w:sz w:val="20"/>
        </w:rPr>
        <w:t> </w:t>
      </w:r>
      <w:r>
        <w:rPr>
          <w:w w:val="120"/>
          <w:sz w:val="20"/>
        </w:rPr>
        <w:t>conferences.</w:t>
      </w:r>
    </w:p>
    <w:p>
      <w:pPr>
        <w:pStyle w:val="BodyText"/>
        <w:spacing w:before="10"/>
        <w:rPr>
          <w:sz w:val="19"/>
        </w:rPr>
      </w:pPr>
    </w:p>
    <w:p>
      <w:pPr>
        <w:pStyle w:val="ListParagraph"/>
        <w:numPr>
          <w:ilvl w:val="1"/>
          <w:numId w:val="250"/>
        </w:numPr>
        <w:tabs>
          <w:tab w:pos="2024" w:val="left" w:leader="none"/>
          <w:tab w:pos="2025" w:val="left" w:leader="none"/>
        </w:tabs>
        <w:spacing w:line="235" w:lineRule="auto" w:before="0" w:after="0"/>
        <w:ind w:left="1344" w:right="1666" w:firstLine="0"/>
        <w:jc w:val="left"/>
        <w:rPr>
          <w:sz w:val="20"/>
        </w:rPr>
      </w:pPr>
      <w:r>
        <w:rPr>
          <w:w w:val="120"/>
          <w:sz w:val="20"/>
        </w:rPr>
        <w:t>We </w:t>
      </w:r>
      <w:r>
        <w:rPr>
          <w:spacing w:val="3"/>
          <w:w w:val="120"/>
          <w:sz w:val="20"/>
        </w:rPr>
        <w:t>try </w:t>
      </w:r>
      <w:r>
        <w:rPr>
          <w:w w:val="120"/>
          <w:sz w:val="20"/>
        </w:rPr>
        <w:t>to send at least two representatives to these conferences </w:t>
      </w:r>
      <w:r>
        <w:rPr>
          <w:spacing w:val="4"/>
          <w:w w:val="120"/>
          <w:sz w:val="20"/>
        </w:rPr>
        <w:t>.As </w:t>
      </w:r>
      <w:r>
        <w:rPr>
          <w:w w:val="120"/>
          <w:sz w:val="20"/>
        </w:rPr>
        <w:t>well as attending meetings and participating in decision making delegates are expected to give a presentation, visit projects, and link up with partners from other countries. This year our prayer partners are from Croatia and Hungary and we have also linked up with the committees in England, Wales, </w:t>
      </w:r>
      <w:r>
        <w:rPr>
          <w:spacing w:val="2"/>
          <w:w w:val="120"/>
          <w:sz w:val="20"/>
        </w:rPr>
        <w:t>Northern </w:t>
      </w:r>
      <w:r>
        <w:rPr>
          <w:w w:val="120"/>
          <w:sz w:val="20"/>
        </w:rPr>
        <w:t>Ireland and Eire. This has been particularly useful for sharing ideas and we are looking forward to meeting</w:t>
      </w:r>
      <w:r>
        <w:rPr>
          <w:spacing w:val="49"/>
          <w:w w:val="120"/>
          <w:sz w:val="20"/>
        </w:rPr>
        <w:t> </w:t>
      </w:r>
      <w:r>
        <w:rPr>
          <w:w w:val="120"/>
          <w:sz w:val="20"/>
        </w:rPr>
        <w:t>up.</w:t>
      </w:r>
    </w:p>
    <w:p>
      <w:pPr>
        <w:pStyle w:val="BodyText"/>
      </w:pPr>
    </w:p>
    <w:p>
      <w:pPr>
        <w:pStyle w:val="ListParagraph"/>
        <w:numPr>
          <w:ilvl w:val="1"/>
          <w:numId w:val="250"/>
        </w:numPr>
        <w:tabs>
          <w:tab w:pos="2024" w:val="left" w:leader="none"/>
          <w:tab w:pos="2025" w:val="left" w:leader="none"/>
        </w:tabs>
        <w:spacing w:line="235" w:lineRule="auto" w:before="0" w:after="0"/>
        <w:ind w:left="1344" w:right="1726" w:firstLine="0"/>
        <w:jc w:val="left"/>
        <w:rPr>
          <w:sz w:val="20"/>
        </w:rPr>
      </w:pPr>
      <w:r>
        <w:rPr>
          <w:w w:val="120"/>
          <w:sz w:val="20"/>
        </w:rPr>
        <w:t>Ruth</w:t>
      </w:r>
      <w:r>
        <w:rPr>
          <w:spacing w:val="-5"/>
          <w:w w:val="120"/>
          <w:sz w:val="20"/>
        </w:rPr>
        <w:t> </w:t>
      </w:r>
      <w:r>
        <w:rPr>
          <w:w w:val="120"/>
          <w:sz w:val="20"/>
        </w:rPr>
        <w:t>Laing’s</w:t>
      </w:r>
      <w:r>
        <w:rPr>
          <w:spacing w:val="-4"/>
          <w:w w:val="120"/>
          <w:sz w:val="20"/>
        </w:rPr>
        <w:t> </w:t>
      </w:r>
      <w:r>
        <w:rPr>
          <w:w w:val="120"/>
          <w:sz w:val="20"/>
        </w:rPr>
        <w:t>five</w:t>
      </w:r>
      <w:r>
        <w:rPr>
          <w:spacing w:val="-4"/>
          <w:w w:val="120"/>
          <w:sz w:val="20"/>
        </w:rPr>
        <w:t> </w:t>
      </w:r>
      <w:r>
        <w:rPr>
          <w:w w:val="120"/>
          <w:sz w:val="20"/>
        </w:rPr>
        <w:t>year</w:t>
      </w:r>
      <w:r>
        <w:rPr>
          <w:spacing w:val="-5"/>
          <w:w w:val="120"/>
          <w:sz w:val="20"/>
        </w:rPr>
        <w:t> </w:t>
      </w:r>
      <w:r>
        <w:rPr>
          <w:w w:val="120"/>
          <w:sz w:val="20"/>
        </w:rPr>
        <w:t>term</w:t>
      </w:r>
      <w:r>
        <w:rPr>
          <w:spacing w:val="-4"/>
          <w:w w:val="120"/>
          <w:sz w:val="20"/>
        </w:rPr>
        <w:t> </w:t>
      </w:r>
      <w:r>
        <w:rPr>
          <w:w w:val="120"/>
          <w:sz w:val="20"/>
        </w:rPr>
        <w:t>as</w:t>
      </w:r>
      <w:r>
        <w:rPr>
          <w:spacing w:val="-4"/>
          <w:w w:val="120"/>
          <w:sz w:val="20"/>
        </w:rPr>
        <w:t> </w:t>
      </w:r>
      <w:r>
        <w:rPr>
          <w:w w:val="120"/>
          <w:sz w:val="20"/>
        </w:rPr>
        <w:t>the</w:t>
      </w:r>
      <w:r>
        <w:rPr>
          <w:spacing w:val="-4"/>
          <w:w w:val="120"/>
          <w:sz w:val="20"/>
        </w:rPr>
        <w:t> </w:t>
      </w:r>
      <w:r>
        <w:rPr>
          <w:w w:val="120"/>
          <w:sz w:val="20"/>
        </w:rPr>
        <w:t>URC</w:t>
      </w:r>
      <w:r>
        <w:rPr>
          <w:spacing w:val="-5"/>
          <w:w w:val="120"/>
          <w:sz w:val="20"/>
        </w:rPr>
        <w:t> </w:t>
      </w:r>
      <w:r>
        <w:rPr>
          <w:w w:val="120"/>
          <w:sz w:val="20"/>
        </w:rPr>
        <w:t>representative</w:t>
      </w:r>
      <w:r>
        <w:rPr>
          <w:spacing w:val="-4"/>
          <w:w w:val="120"/>
          <w:sz w:val="20"/>
        </w:rPr>
        <w:t> </w:t>
      </w:r>
      <w:r>
        <w:rPr>
          <w:w w:val="120"/>
          <w:sz w:val="20"/>
        </w:rPr>
        <w:t>finishes</w:t>
      </w:r>
      <w:r>
        <w:rPr>
          <w:spacing w:val="-4"/>
          <w:w w:val="120"/>
          <w:sz w:val="20"/>
        </w:rPr>
        <w:t> </w:t>
      </w:r>
      <w:r>
        <w:rPr>
          <w:w w:val="120"/>
          <w:sz w:val="20"/>
        </w:rPr>
        <w:t>this</w:t>
      </w:r>
      <w:r>
        <w:rPr>
          <w:spacing w:val="-5"/>
          <w:w w:val="120"/>
          <w:sz w:val="20"/>
        </w:rPr>
        <w:t> </w:t>
      </w:r>
      <w:r>
        <w:rPr>
          <w:w w:val="120"/>
          <w:sz w:val="20"/>
        </w:rPr>
        <w:t>year</w:t>
      </w:r>
      <w:r>
        <w:rPr>
          <w:spacing w:val="-4"/>
          <w:w w:val="120"/>
          <w:sz w:val="20"/>
        </w:rPr>
        <w:t> </w:t>
      </w:r>
      <w:r>
        <w:rPr>
          <w:w w:val="120"/>
          <w:sz w:val="20"/>
        </w:rPr>
        <w:t>so</w:t>
      </w:r>
      <w:r>
        <w:rPr>
          <w:spacing w:val="-4"/>
          <w:w w:val="120"/>
          <w:sz w:val="20"/>
        </w:rPr>
        <w:t> </w:t>
      </w:r>
      <w:r>
        <w:rPr>
          <w:w w:val="120"/>
          <w:sz w:val="20"/>
        </w:rPr>
        <w:t>the search is on for her</w:t>
      </w:r>
      <w:r>
        <w:rPr>
          <w:spacing w:val="8"/>
          <w:w w:val="120"/>
          <w:sz w:val="20"/>
        </w:rPr>
        <w:t> </w:t>
      </w:r>
      <w:r>
        <w:rPr>
          <w:w w:val="120"/>
          <w:sz w:val="20"/>
        </w:rPr>
        <w:t>replacement.</w:t>
      </w:r>
    </w:p>
    <w:p>
      <w:pPr>
        <w:pStyle w:val="BodyText"/>
        <w:spacing w:before="9"/>
        <w:rPr>
          <w:sz w:val="19"/>
        </w:rPr>
      </w:pPr>
    </w:p>
    <w:p>
      <w:pPr>
        <w:pStyle w:val="ListParagraph"/>
        <w:numPr>
          <w:ilvl w:val="1"/>
          <w:numId w:val="250"/>
        </w:numPr>
        <w:tabs>
          <w:tab w:pos="2024" w:val="left" w:leader="none"/>
          <w:tab w:pos="2025" w:val="left" w:leader="none"/>
        </w:tabs>
        <w:spacing w:line="235" w:lineRule="auto" w:before="1" w:after="0"/>
        <w:ind w:left="1344" w:right="1310" w:firstLine="0"/>
        <w:jc w:val="left"/>
        <w:rPr>
          <w:sz w:val="20"/>
        </w:rPr>
      </w:pPr>
      <w:r>
        <w:rPr>
          <w:w w:val="120"/>
          <w:sz w:val="20"/>
        </w:rPr>
        <w:t>For more information please look on The Scottish World Day of Prayer website at</w:t>
      </w:r>
      <w:hyperlink r:id="rId621">
        <w:r>
          <w:rPr>
            <w:color w:val="006AB3"/>
            <w:w w:val="120"/>
            <w:sz w:val="20"/>
          </w:rPr>
          <w:t> www.wdpscotland.org.uk</w:t>
        </w:r>
      </w:hyperlink>
    </w:p>
    <w:p>
      <w:pPr>
        <w:spacing w:after="0" w:line="235" w:lineRule="auto"/>
        <w:jc w:val="left"/>
        <w:rPr>
          <w:sz w:val="20"/>
        </w:rPr>
        <w:sectPr>
          <w:headerReference w:type="default" r:id="rId620"/>
          <w:pgSz w:w="11910" w:h="16840"/>
          <w:pgMar w:header="0" w:footer="647" w:top="0" w:bottom="840" w:left="640" w:right="0"/>
        </w:sectPr>
      </w:pPr>
    </w:p>
    <w:p>
      <w:pPr>
        <w:pStyle w:val="BodyText"/>
      </w:pPr>
      <w:r>
        <w:rPr/>
        <w:drawing>
          <wp:anchor distT="0" distB="0" distL="0" distR="0" allowOverlap="1" layoutInCell="1" locked="0" behindDoc="1" simplePos="0" relativeHeight="235826176">
            <wp:simplePos x="0" y="0"/>
            <wp:positionH relativeFrom="page">
              <wp:posOffset>0</wp:posOffset>
            </wp:positionH>
            <wp:positionV relativeFrom="page">
              <wp:posOffset>0</wp:posOffset>
            </wp:positionV>
            <wp:extent cx="594067" cy="10692003"/>
            <wp:effectExtent l="0" t="0" r="0" b="0"/>
            <wp:wrapNone/>
            <wp:docPr id="445" name="image75.png"/>
            <wp:cNvGraphicFramePr>
              <a:graphicFrameLocks noChangeAspect="1"/>
            </wp:cNvGraphicFramePr>
            <a:graphic>
              <a:graphicData uri="http://schemas.openxmlformats.org/drawingml/2006/picture">
                <pic:pic>
                  <pic:nvPicPr>
                    <pic:cNvPr id="446" name="image75.png"/>
                    <pic:cNvPicPr/>
                  </pic:nvPicPr>
                  <pic:blipFill>
                    <a:blip r:embed="rId600" cstate="print"/>
                    <a:stretch>
                      <a:fillRect/>
                    </a:stretch>
                  </pic:blipFill>
                  <pic:spPr>
                    <a:xfrm>
                      <a:off x="0" y="0"/>
                      <a:ext cx="594067" cy="10692003"/>
                    </a:xfrm>
                    <a:prstGeom prst="rect">
                      <a:avLst/>
                    </a:prstGeom>
                  </pic:spPr>
                </pic:pic>
              </a:graphicData>
            </a:graphic>
          </wp:anchor>
        </w:drawing>
      </w:r>
    </w:p>
    <w:p>
      <w:pPr>
        <w:pStyle w:val="BodyText"/>
        <w:spacing w:before="7"/>
        <w:rPr>
          <w:sz w:val="21"/>
        </w:rPr>
      </w:pPr>
    </w:p>
    <w:p>
      <w:pPr>
        <w:spacing w:before="106"/>
        <w:ind w:left="607" w:right="0" w:firstLine="0"/>
        <w:jc w:val="left"/>
        <w:rPr>
          <w:sz w:val="26"/>
        </w:rPr>
      </w:pPr>
      <w:r>
        <w:rPr>
          <w:color w:val="7EAABF"/>
          <w:w w:val="115"/>
          <w:sz w:val="26"/>
        </w:rPr>
        <w:t>Information papers</w:t>
      </w:r>
    </w:p>
    <w:p>
      <w:pPr>
        <w:spacing w:after="0"/>
        <w:jc w:val="left"/>
        <w:rPr>
          <w:sz w:val="26"/>
        </w:rPr>
        <w:sectPr>
          <w:headerReference w:type="even" r:id="rId622"/>
          <w:footerReference w:type="even" r:id="rId623"/>
          <w:pgSz w:w="11910" w:h="16840"/>
          <w:pgMar w:header="0" w:footer="647" w:top="0" w:bottom="840" w:left="640" w:right="0"/>
          <w:pgNumType w:start="234"/>
        </w:sectPr>
      </w:pPr>
    </w:p>
    <w:p>
      <w:pPr>
        <w:pStyle w:val="BodyText"/>
      </w:pPr>
      <w:r>
        <w:rPr/>
        <w:pict>
          <v:rect style="position:absolute;margin-left:0pt;margin-top:.000015pt;width:549.207pt;height:841.89pt;mso-position-horizontal-relative:page;mso-position-vertical-relative:page;z-index:-267489280" filled="true" fillcolor="#e2d9ea" stroked="false">
            <v:fill type="solid"/>
            <w10:wrap type="none"/>
          </v:rect>
        </w:pict>
      </w:r>
      <w:r>
        <w:rPr/>
        <w:pict>
          <v:group style="position:absolute;margin-left:0pt;margin-top:.000015pt;width:595.3pt;height:841.9pt;mso-position-horizontal-relative:page;mso-position-vertical-relative:page;z-index:-267488256" coordorigin="0,0" coordsize="11906,16838">
            <v:shape style="position:absolute;left:10984;top:0;width:922;height:16838" type="#_x0000_t75" stroked="false">
              <v:imagedata r:id="rId626" o:title=""/>
            </v:shape>
            <v:shape style="position:absolute;left:0;top:0;width:11906;height:16838" type="#_x0000_t75" stroked="false">
              <v:imagedata r:id="rId595" o:title=""/>
            </v:shape>
            <v:shape style="position:absolute;left:3440;top:3239;width:1627;height:857" coordorigin="3440,3240" coordsize="1627,857" path="m4200,3240l3904,3307,3663,3454,3500,3601,3440,3668,3643,3916,3790,4043,3952,4090,4200,4097,4282,4090,4363,4072,4444,4043,4521,4007,4596,3966,4624,3948,4200,3948,3993,3904,3824,3808,3711,3712,3669,3668,3811,3507,3914,3424,4027,3393,4200,3389,4645,3389,4612,3368,4538,3327,4459,3292,4376,3264,4289,3246,4200,3240xm5046,3782l4841,3782,5038,3972,5065,3893,5063,3825,5046,3782xm4645,3389l4200,3389,4402,3433,4571,3529,4687,3625,4730,3668,4577,3830,4471,3913,4362,3943,4200,3948,4624,3948,4666,3920,4731,3873,4790,3827,4841,3782,5046,3782,5040,3766,5003,3715,4959,3668,5003,3622,5041,3569,5050,3549,4847,3549,4798,3505,4743,3459,4680,3412,4645,3389xm5039,3362l4847,3549,5050,3549,5065,3510,5067,3441,5039,3362xe" filled="true" fillcolor="#7c7b7b" stroked="false">
              <v:path arrowok="t"/>
              <v:fill type="solid"/>
            </v:shape>
            <v:shape style="position:absolute;left:3135;top:1811;width:2158;height:3246" coordorigin="3136,1811" coordsize="2158,3246" path="m4167,4901l4098,4901,4100,4902,4105,4927,4112,4965,4119,5001,4123,5020,4134,5042,4141,5054,4149,5057,4160,5056,4167,4901xm4373,4687l4177,4687,4187,5057,4232,5049,4261,5032,4278,5014,4283,5006,4279,4986,4280,4969,4282,4959,4286,4952,4295,4943,4310,4932,4320,4809,4326,4747,4328,4725,4328,4725,4373,4725,4373,4687xm4373,3076l4063,3076,4063,4754,4064,4778,4066,4823,4067,4872,4069,4935,4070,4950,4086,4944,4093,4937,4097,4927,4098,4912,4098,4901,4167,4901,4177,4687,4373,4687,4373,3076xm4373,4725l4328,4725,4330,4754,4331,4803,4332,4848,4334,4870,4338,4878,4344,4889,4353,4897,4367,4896,4372,4872,4373,4823,4373,4771,4373,4754,4373,4725xm5159,2746l5086,2746,3234,2746,3219,2751,3217,2761,3223,2774,3229,2785,3254,2791,3306,2796,3363,2802,3404,2807,3405,2812,3345,2816,3316,2818,3259,2821,3195,2827,3145,2834,3138,2844,3136,2853,3136,2862,3136,2866,3139,2886,3151,2930,3165,2953,3178,2963,3183,2965,3275,2986,3275,2989,3261,2992,3245,2999,3238,3013,3261,3017,3356,3025,3377,3028,3363,3032,3333,3036,3300,3042,3280,3049,3273,3055,3269,3069,3270,3076,3360,3077,5211,3076,5215,3069,5226,3054,5218,3045,5202,3037,5175,3029,5151,3022,5141,3019,5158,3016,5190,3011,5222,3006,5241,2998,5266,2981,5279,2966,5287,2943,5293,2904,5282,2893,5273,2887,5260,2884,5237,2880,5191,2876,5031,2864,5053,2862,5117,2862,5185,2852,5217,2824,5204,2816,5147,2791,5135,2784,5136,2779,5154,2774,5157,2771,5167,2763,5160,2754,5159,2746xm5211,3076l4373,3076,5105,3077,5211,3076xm4091,1864l4084,1866,4076,1874,4068,1888,4064,1906,4063,2746,4373,2746,4373,2051,4314,2051,4311,2026,4156,2026,4152,2016,4152,1999,4105,1999,4103,1980,4099,1933,4095,1886,4091,1864xm4352,1908l4342,1908,4331,1935,4322,1984,4316,2030,4314,2051,4373,2051,4372,2026,4372,1999,4373,1924,4369,1921,4362,1913,4352,1908xm4293,1811l4289,1813,4259,1815,4207,1828,4180,1853,4171,1877,4170,1888,4156,2026,4311,2026,4309,2016,4306,1937,4302,1856,4293,1811xm4130,1940l4122,1947,4114,1965,4105,1999,4152,1999,4151,1987,4148,1957,4141,1941,4130,1940xe" filled="true" fillcolor="#000000" stroked="false">
              <v:path arrowok="t"/>
              <v:fill type="solid"/>
            </v:shape>
            <v:shape style="position:absolute;left:5488;top:2368;width:472;height:379" type="#_x0000_t75" stroked="false">
              <v:imagedata r:id="rId171" o:title=""/>
            </v:shape>
            <v:shape style="position:absolute;left:6006;top:2483;width:217;height:269" type="#_x0000_t75" stroked="false">
              <v:imagedata r:id="rId172" o:title=""/>
            </v:shape>
            <v:shape style="position:absolute;left:5496;top:3001;width:314;height:409" coordorigin="5496,3001" coordsize="314,409" path="m5569,3001l5496,3001,5496,3231,5507,3313,5538,3368,5586,3400,5649,3410,5715,3399,5765,3367,5775,3351,5651,3351,5618,3344,5592,3323,5575,3287,5569,3236,5569,3001xm5809,3001l5736,3001,5736,3236,5730,3287,5714,3323,5687,3344,5651,3351,5775,3351,5798,3311,5809,3231,5809,3001xe" filled="true" fillcolor="#000000" stroked="false">
              <v:path arrowok="t"/>
              <v:fill type="solid"/>
            </v:shape>
            <v:shape style="position:absolute;left:5875;top:3106;width:266;height:298" type="#_x0000_t75" stroked="false">
              <v:imagedata r:id="rId173" o:title=""/>
            </v:shape>
            <v:shape style="position:absolute;left:6202;top:2991;width:83;height:412" coordorigin="6203,2992" coordsize="83,412" path="m6280,3113l6207,3113,6207,3404,6280,3404,6280,3113xm6244,2992l6227,2995,6214,3003,6205,3016,6203,3032,6205,3047,6214,3060,6227,3068,6243,3071,6261,3068,6274,3060,6282,3047,6285,3032,6282,3016,6274,3003,6261,2995,6244,2992xe" filled="true" fillcolor="#000000" stroked="false">
              <v:path arrowok="t"/>
              <v:fill type="solid"/>
            </v:shape>
            <v:shape style="position:absolute;left:6330;top:3030;width:183;height:380" type="#_x0000_t75" stroked="false">
              <v:imagedata r:id="rId174" o:title=""/>
            </v:shape>
            <v:shape style="position:absolute;left:6546;top:3106;width:267;height:304" type="#_x0000_t75" stroked="false">
              <v:imagedata r:id="rId175" o:title=""/>
            </v:shape>
            <v:shape style="position:absolute;left:5496;top:2979;width:1646;height:1080" coordorigin="5497,2980" coordsize="1646,1080" path="m5781,4060l5774,4043,5766,4017,5758,3984,5749,3948,5740,3921,5728,3898,5724,3894,5713,3881,5693,3870,5693,3868,5720,3854,5735,3840,5744,3832,5760,3803,5766,3768,5763,3743,5757,3721,5750,3710,5746,3702,5731,3687,5709,3672,5693,3667,5693,3775,5688,3802,5671,3823,5646,3836,5613,3840,5569,3840,5569,3714,5576,3712,5586,3711,5599,3710,5615,3710,5647,3714,5672,3725,5688,3746,5693,3775,5693,3667,5681,3662,5647,3657,5607,3655,5576,3655,5546,3657,5520,3660,5497,3663,5497,4060,5569,4060,5569,3894,5606,3894,5633,3898,5654,3910,5668,3932,5678,3965,5686,3999,5693,4026,5700,4047,5705,4060,5781,4060m7142,3404l7141,3387,7140,3366,7140,3357,7140,3351,7140,3344,7140,3163,7140,3144,7140,2980,7066,2980,7066,3144,7066,3144,7066,3221,7066,3292,7064,3299,7055,3320,7041,3337,7022,3347,7000,3351,6970,3344,6947,3325,6933,3296,6928,3259,6933,3221,6947,3191,6970,3170,7001,3163,7024,3167,7043,3178,7057,3195,7064,3215,7066,3221,7066,3144,7065,3144,7052,3129,7034,3117,7011,3109,6983,3106,6934,3117,6892,3147,6864,3196,6854,3262,6863,3322,6890,3369,6929,3399,6978,3410,7008,3406,7034,3396,7056,3379,7072,3357,7073,3357,7076,3404,7142,3404e" filled="true" fillcolor="#000000" stroked="false">
              <v:path arrowok="t"/>
              <v:fill type="solid"/>
            </v:shape>
            <v:shape style="position:absolute;left:5809;top:3762;width:267;height:304" type="#_x0000_t75" stroked="false">
              <v:imagedata r:id="rId176" o:title=""/>
            </v:shape>
            <v:shape style="position:absolute;left:6098;top:3629;width:198;height:431" coordorigin="6098,3629" coordsize="198,431" path="m6211,3824l6138,3824,6138,4060,6211,4060,6211,3824xm6274,3769l6098,3769,6098,3824,6274,3824,6274,3769xm6248,3629l6229,3631,6209,3636,6190,3644,6173,3657,6157,3678,6146,3702,6140,3729,6138,3754,6138,3769,6210,3769,6210,3754,6213,3729,6221,3708,6236,3694,6259,3688,6291,3688,6296,3637,6286,3634,6275,3631,6262,3630,6248,3629xm6291,3688l6273,3688,6283,3691,6290,3693,6291,3688xe" filled="true" fillcolor="#000000" stroked="false">
              <v:path arrowok="t"/>
              <v:fill type="solid"/>
            </v:shape>
            <v:shape style="position:absolute;left:6294;top:3762;width:294;height:305" type="#_x0000_t75" stroked="false">
              <v:imagedata r:id="rId178" o:title=""/>
            </v:shape>
            <v:shape style="position:absolute;left:6646;top:3762;width:166;height:298" type="#_x0000_t75" stroked="false">
              <v:imagedata r:id="rId177" o:title=""/>
            </v:shape>
            <v:shape style="position:absolute;left:6858;top:3762;width:430;height:298" coordorigin="6858,3762" coordsize="430,298" path="m6921,3769l6858,3769,6859,3787,6860,3809,6861,3830,6861,4060,6932,4060,6932,3880,6933,3871,6936,3864,6944,3849,6955,3836,6970,3826,6989,3823,7276,3823,7272,3816,7096,3816,7094,3812,6924,3812,6921,3769xm7165,3823l6989,3823,7011,3828,7026,3842,7036,3864,7039,3892,7039,4060,7110,4060,7110,3877,7112,3868,7114,3861,7122,3846,7133,3834,7148,3826,7165,3823xm7276,3823l7165,3823,7188,3828,7204,3843,7213,3867,7217,3899,7217,4060,7288,4060,7288,3889,7280,3830,7276,3823xm7191,3762l7174,3763,7159,3767,7145,3773,7133,3780,7123,3787,7114,3795,7105,3805,7097,3816,7272,3816,7258,3791,7226,3769,7191,3762xm7016,3762l6983,3767,6958,3779,6939,3795,6927,3812,7094,3812,7084,3794,7065,3777,7043,3766,7016,3762xe" filled="true" fillcolor="#000000" stroked="false">
              <v:path arrowok="t"/>
              <v:fill type="solid"/>
            </v:shape>
            <v:shape style="position:absolute;left:7347;top:3762;width:267;height:304" type="#_x0000_t75" stroked="false">
              <v:imagedata r:id="rId179" o:title=""/>
            </v:shape>
            <v:shape style="position:absolute;left:5475;top:3635;width:2468;height:1086" coordorigin="5476,3636" coordsize="2468,1086" path="m5788,4325l5773,4319,5751,4313,5724,4309,5690,4307,5621,4316,5562,4344,5516,4388,5486,4447,5476,4519,5485,4588,5511,4644,5553,4686,5610,4712,5680,4722,5715,4720,5744,4716,5767,4710,5784,4704,5775,4661,5772,4646,5756,4652,5736,4657,5715,4660,5693,4661,5634,4651,5590,4622,5562,4576,5553,4516,5563,4452,5592,4406,5637,4378,5693,4368,5717,4369,5738,4373,5756,4378,5772,4384,5776,4368,5788,4325m6098,4545l6090,4486,6085,4479,6077,4465,6066,4447,6034,4425,5997,4419,5984,4419,5971,4422,5959,4426,5947,4432,5936,4439,5927,4447,5918,4456,5911,4465,5910,4465,5910,4292,5836,4292,5836,4716,5910,4716,5910,4534,5910,4526,5913,4520,5921,4504,5933,4491,5949,4482,5969,4479,5995,4484,6012,4500,6022,4523,6025,4553,6025,4716,6098,4716,6098,4545m7943,4060l7942,4043,7941,4023,7941,4014,7940,4007,7940,4000,7940,3981,7940,3819,7940,3800,7940,3636,7867,3636,7867,3800,7867,3884,7867,3941,7866,3949,7865,3956,7856,3977,7841,3993,7823,4003,7801,4007,7770,4000,7748,3981,7734,3952,7729,3915,7734,3877,7748,3847,7771,3827,7802,3819,7825,3823,7843,3835,7857,3851,7865,3871,7866,3877,7867,3884,7867,3800,7866,3800,7853,3785,7835,3773,7812,3765,7784,3762,7734,3773,7693,3803,7664,3852,7654,3918,7664,3979,7690,4026,7729,4056,7778,4066,7808,4063,7835,4052,7857,4036,7873,4014,7874,4014,7877,4060,7943,4060e" filled="true" fillcolor="#000000" stroked="false">
              <v:path arrowok="t"/>
              <v:fill type="solid"/>
            </v:shape>
            <v:shape style="position:absolute;left:6157;top:4425;width:264;height:298" type="#_x0000_t75" stroked="false">
              <v:imagedata r:id="rId180" o:title=""/>
            </v:shape>
            <v:shape style="position:absolute;left:6476;top:4418;width:418;height:303" type="#_x0000_t75" stroked="false">
              <v:imagedata r:id="rId181" o:title=""/>
            </v:shape>
            <v:shape style="position:absolute;left:6941;top:4292;width:263;height:424" coordorigin="6942,4292" coordsize="263,424" path="m7016,4292l6942,4292,6942,4716,7016,4716,7016,4526,7018,4520,7026,4504,7039,4491,7055,4482,7075,4479,7191,4479,7183,4465,7016,4465,7016,4292xm7191,4479l7075,4479,7101,4484,7118,4500,7128,4523,7131,4553,7131,4716,7204,4716,7204,4545,7195,4486,7191,4479xm7103,4419l7089,4419,7076,4422,7064,4426,7053,4432,7042,4439,7032,4447,7024,4456,7017,4465,7183,4465,7172,4447,7140,4425,7103,4419xe" filled="true" fillcolor="#000000" stroked="false">
              <v:path arrowok="t"/>
              <v:fill type="solid"/>
            </v:shape>
            <v:shape style="position:absolute;left:4009;top:3897;width:414;height:199" coordorigin="4009,3898" coordsize="414,199" path="m4018,3914l4009,4064,4058,4078,4109,4088,4160,4094,4212,4097,4268,4093,4321,4083,4373,4068,4423,4052,4415,3948,4194,3948,4148,3945,4103,3939,4059,3928,4018,3914xm4411,3898l4361,3918,4307,3934,4252,3944,4194,3948,4415,3948,4411,3898xe" filled="true" fillcolor="#7c7b7b" stroked="false">
              <v:path arrowok="t"/>
              <v:fill type="solid"/>
            </v:shape>
            <w10:wrap type="none"/>
          </v:group>
        </w:pict>
      </w:r>
      <w:r>
        <w:rPr/>
        <w:pict>
          <v:shape style="position:absolute;margin-left:554.141174pt;margin-top:48.890015pt;width:25.9pt;height:117.85pt;mso-position-horizontal-relative:page;mso-position-vertical-relative:page;z-index:252282880" type="#_x0000_t202" filled="false" stroked="false">
            <v:textbox inset="0,0,0,0" style="layout-flow:vertical">
              <w:txbxContent>
                <w:p>
                  <w:pPr>
                    <w:spacing w:before="27"/>
                    <w:ind w:left="20" w:right="0" w:firstLine="0"/>
                    <w:jc w:val="left"/>
                    <w:rPr>
                      <w:sz w:val="39"/>
                    </w:rPr>
                  </w:pPr>
                  <w:r>
                    <w:rPr>
                      <w:color w:val="FFFFFF"/>
                      <w:w w:val="120"/>
                      <w:sz w:val="39"/>
                    </w:rPr>
                    <w:t>Resolutions</w:t>
                  </w:r>
                </w:p>
              </w:txbxContent>
            </v:textbox>
            <w10:wrap type="none"/>
          </v:shape>
        </w:pict>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spacing w:before="89"/>
        <w:ind w:left="2426" w:right="0" w:firstLine="0"/>
        <w:jc w:val="left"/>
        <w:rPr>
          <w:rFonts w:ascii="Stone Sans II ITC Std X Bd"/>
          <w:b/>
          <w:sz w:val="65"/>
        </w:rPr>
      </w:pPr>
      <w:r>
        <w:rPr>
          <w:rFonts w:ascii="Stone Sans II ITC Std X Bd"/>
          <w:b/>
          <w:w w:val="110"/>
          <w:sz w:val="65"/>
        </w:rPr>
        <w:t>Resolutions</w:t>
      </w:r>
    </w:p>
    <w:p>
      <w:pPr>
        <w:pStyle w:val="BodyText"/>
        <w:rPr>
          <w:rFonts w:ascii="Stone Sans II ITC Std X Bd"/>
          <w:b/>
          <w:sz w:val="82"/>
        </w:rPr>
      </w:pPr>
    </w:p>
    <w:p>
      <w:pPr>
        <w:pStyle w:val="BodyText"/>
        <w:rPr>
          <w:rFonts w:ascii="Stone Sans II ITC Std X Bd"/>
          <w:b/>
          <w:sz w:val="82"/>
        </w:rPr>
      </w:pPr>
    </w:p>
    <w:p>
      <w:pPr>
        <w:pStyle w:val="BodyText"/>
        <w:rPr>
          <w:rFonts w:ascii="Stone Sans II ITC Std X Bd"/>
          <w:b/>
          <w:sz w:val="82"/>
        </w:rPr>
      </w:pPr>
    </w:p>
    <w:p>
      <w:pPr>
        <w:pStyle w:val="BodyText"/>
        <w:rPr>
          <w:rFonts w:ascii="Stone Sans II ITC Std X Bd"/>
          <w:b/>
          <w:sz w:val="82"/>
        </w:rPr>
      </w:pPr>
    </w:p>
    <w:p>
      <w:pPr>
        <w:pStyle w:val="BodyText"/>
        <w:rPr>
          <w:rFonts w:ascii="Stone Sans II ITC Std X Bd"/>
          <w:b/>
          <w:sz w:val="82"/>
        </w:rPr>
      </w:pPr>
    </w:p>
    <w:p>
      <w:pPr>
        <w:pStyle w:val="BodyText"/>
        <w:rPr>
          <w:rFonts w:ascii="Stone Sans II ITC Std X Bd"/>
          <w:b/>
          <w:sz w:val="82"/>
        </w:rPr>
      </w:pPr>
    </w:p>
    <w:p>
      <w:pPr>
        <w:pStyle w:val="BodyText"/>
        <w:rPr>
          <w:rFonts w:ascii="Stone Sans II ITC Std X Bd"/>
          <w:b/>
          <w:sz w:val="82"/>
        </w:rPr>
      </w:pPr>
    </w:p>
    <w:p>
      <w:pPr>
        <w:pStyle w:val="BodyText"/>
        <w:spacing w:before="8"/>
        <w:rPr>
          <w:rFonts w:ascii="Stone Sans II ITC Std X Bd"/>
          <w:b/>
          <w:sz w:val="75"/>
        </w:rPr>
      </w:pPr>
    </w:p>
    <w:p>
      <w:pPr>
        <w:pStyle w:val="Heading6"/>
        <w:spacing w:before="0"/>
        <w:ind w:left="3718"/>
        <w:rPr>
          <w:rFonts w:ascii="Stone Sans II ITC Std X Bd" w:hAnsi="Stone Sans II ITC Std X Bd"/>
          <w:b/>
          <w:sz w:val="24"/>
        </w:rPr>
      </w:pPr>
      <w:r>
        <w:rPr>
          <w:color w:val="7EAABF"/>
          <w:w w:val="110"/>
        </w:rPr>
        <w:t>United Reformed Church </w:t>
      </w:r>
      <w:r>
        <w:rPr>
          <w:rFonts w:ascii="Symbol" w:hAnsi="Symbol"/>
          <w:color w:val="7EAABF"/>
          <w:w w:val="110"/>
        </w:rPr>
        <w:t></w:t>
      </w:r>
      <w:r>
        <w:rPr>
          <w:rFonts w:ascii="Times New Roman" w:hAnsi="Times New Roman"/>
          <w:color w:val="7EAABF"/>
          <w:w w:val="110"/>
        </w:rPr>
        <w:t> </w:t>
      </w:r>
      <w:r>
        <w:rPr>
          <w:color w:val="7EAABF"/>
          <w:w w:val="110"/>
        </w:rPr>
        <w:t>General Assembly 2016 </w:t>
      </w:r>
      <w:r>
        <w:rPr>
          <w:rFonts w:ascii="Symbol" w:hAnsi="Symbol"/>
          <w:color w:val="7EAABF"/>
          <w:w w:val="110"/>
        </w:rPr>
        <w:t></w:t>
      </w:r>
      <w:r>
        <w:rPr>
          <w:rFonts w:ascii="Times New Roman" w:hAnsi="Times New Roman"/>
          <w:color w:val="7EAABF"/>
          <w:w w:val="110"/>
        </w:rPr>
        <w:t> </w:t>
      </w:r>
      <w:r>
        <w:rPr>
          <w:rFonts w:ascii="Stone Sans II ITC Std X Bd" w:hAnsi="Stone Sans II ITC Std X Bd"/>
          <w:b/>
          <w:w w:val="110"/>
          <w:sz w:val="24"/>
        </w:rPr>
        <w:t>235</w:t>
      </w:r>
    </w:p>
    <w:p>
      <w:pPr>
        <w:spacing w:after="0"/>
        <w:rPr>
          <w:rFonts w:ascii="Stone Sans II ITC Std X Bd" w:hAnsi="Stone Sans II ITC Std X Bd"/>
          <w:sz w:val="24"/>
        </w:rPr>
        <w:sectPr>
          <w:headerReference w:type="default" r:id="rId624"/>
          <w:footerReference w:type="default" r:id="rId625"/>
          <w:pgSz w:w="11910" w:h="16840"/>
          <w:pgMar w:header="0" w:footer="0" w:top="1580" w:bottom="280" w:left="640" w:right="0"/>
        </w:sectPr>
      </w:pPr>
    </w:p>
    <w:p>
      <w:pPr>
        <w:pStyle w:val="BodyText"/>
        <w:rPr>
          <w:rFonts w:ascii="Stone Sans II ITC Std X Bd"/>
          <w:b/>
        </w:rPr>
      </w:pPr>
      <w:r>
        <w:rPr/>
        <w:drawing>
          <wp:anchor distT="0" distB="0" distL="0" distR="0" allowOverlap="1" layoutInCell="1" locked="0" behindDoc="1" simplePos="0" relativeHeight="235832320">
            <wp:simplePos x="0" y="0"/>
            <wp:positionH relativeFrom="page">
              <wp:posOffset>0</wp:posOffset>
            </wp:positionH>
            <wp:positionV relativeFrom="page">
              <wp:posOffset>0</wp:posOffset>
            </wp:positionV>
            <wp:extent cx="594067" cy="10692003"/>
            <wp:effectExtent l="0" t="0" r="0" b="0"/>
            <wp:wrapNone/>
            <wp:docPr id="447" name="image77.png"/>
            <wp:cNvGraphicFramePr>
              <a:graphicFrameLocks noChangeAspect="1"/>
            </wp:cNvGraphicFramePr>
            <a:graphic>
              <a:graphicData uri="http://schemas.openxmlformats.org/drawingml/2006/picture">
                <pic:pic>
                  <pic:nvPicPr>
                    <pic:cNvPr id="448" name="image77.png"/>
                    <pic:cNvPicPr/>
                  </pic:nvPicPr>
                  <pic:blipFill>
                    <a:blip r:embed="rId630" cstate="print"/>
                    <a:stretch>
                      <a:fillRect/>
                    </a:stretch>
                  </pic:blipFill>
                  <pic:spPr>
                    <a:xfrm>
                      <a:off x="0" y="0"/>
                      <a:ext cx="594067" cy="10692003"/>
                    </a:xfrm>
                    <a:prstGeom prst="rect">
                      <a:avLst/>
                    </a:prstGeom>
                  </pic:spPr>
                </pic:pic>
              </a:graphicData>
            </a:graphic>
          </wp:anchor>
        </w:drawing>
      </w:r>
      <w:r>
        <w:rPr/>
        <w:pict>
          <v:shape style="position:absolute;margin-left:20.519100pt;margin-top:48.890015pt;width:25.9pt;height:157.35pt;mso-position-horizontal-relative:page;mso-position-vertical-relative:page;z-index:-267482112" type="#_x0000_t202" filled="false" stroked="false">
            <v:textbox inset="0,0,0,0" style="layout-flow:vertical">
              <w:txbxContent>
                <w:p>
                  <w:pPr>
                    <w:spacing w:before="27"/>
                    <w:ind w:left="20" w:right="0" w:firstLine="0"/>
                    <w:jc w:val="left"/>
                    <w:rPr>
                      <w:sz w:val="39"/>
                    </w:rPr>
                  </w:pPr>
                  <w:r>
                    <w:rPr>
                      <w:color w:val="FFFFFF"/>
                      <w:w w:val="120"/>
                      <w:sz w:val="39"/>
                    </w:rPr>
                    <w:t>Resolutions 1-3</w:t>
                  </w:r>
                </w:p>
              </w:txbxContent>
            </v:textbox>
            <w10:wrap type="none"/>
          </v:shape>
        </w:pict>
      </w:r>
    </w:p>
    <w:p>
      <w:pPr>
        <w:pStyle w:val="BodyText"/>
        <w:rPr>
          <w:rFonts w:ascii="Stone Sans II ITC Std X Bd"/>
          <w:b/>
        </w:rPr>
      </w:pPr>
    </w:p>
    <w:p>
      <w:pPr>
        <w:pStyle w:val="BodyText"/>
        <w:rPr>
          <w:rFonts w:ascii="Stone Sans II ITC Std X Bd"/>
          <w:b/>
        </w:rPr>
      </w:pPr>
    </w:p>
    <w:p>
      <w:pPr>
        <w:pStyle w:val="BodyText"/>
        <w:spacing w:before="11"/>
        <w:rPr>
          <w:rFonts w:ascii="Stone Sans II ITC Std X Bd"/>
          <w:b/>
          <w:sz w:val="19"/>
        </w:rPr>
      </w:pPr>
    </w:p>
    <w:p>
      <w:pPr>
        <w:spacing w:before="98"/>
        <w:ind w:left="748" w:right="0" w:firstLine="0"/>
        <w:jc w:val="left"/>
        <w:rPr>
          <w:rFonts w:ascii="Stone Sans II ITC Std X Bd"/>
          <w:b/>
          <w:sz w:val="50"/>
        </w:rPr>
      </w:pPr>
      <w:r>
        <w:rPr>
          <w:rFonts w:ascii="Stone Sans II ITC Std X Bd"/>
          <w:b/>
          <w:w w:val="110"/>
          <w:sz w:val="50"/>
        </w:rPr>
        <w:t>RESOLUTIONS</w:t>
      </w:r>
    </w:p>
    <w:p>
      <w:pPr>
        <w:pStyle w:val="BodyText"/>
        <w:spacing w:before="12"/>
        <w:rPr>
          <w:rFonts w:ascii="Stone Sans II ITC Std X Bd"/>
          <w:b/>
          <w:sz w:val="28"/>
        </w:rPr>
      </w:pPr>
      <w:r>
        <w:rPr/>
        <w:pict>
          <v:shape style="position:absolute;margin-left:56.209pt;margin-top:21.979pt;width:465.85pt;height:91.8pt;mso-position-horizontal-relative:page;mso-position-vertical-relative:paragraph;z-index:-251032576;mso-wrap-distance-left:0;mso-wrap-distance-right:0" type="#_x0000_t202" filled="false" stroked="true" strokeweight="1pt" strokecolor="#000000">
            <v:textbox inset="0,0,0,0">
              <w:txbxContent>
                <w:p>
                  <w:pPr>
                    <w:spacing w:line="631" w:lineRule="exact" w:before="84"/>
                    <w:ind w:left="254" w:right="0" w:firstLine="0"/>
                    <w:jc w:val="left"/>
                    <w:rPr>
                      <w:rFonts w:ascii="Stone Sans II ITC Std Bk"/>
                      <w:b/>
                      <w:sz w:val="47"/>
                    </w:rPr>
                  </w:pPr>
                  <w:r>
                    <w:rPr>
                      <w:color w:val="7B4290"/>
                      <w:w w:val="115"/>
                      <w:sz w:val="39"/>
                    </w:rPr>
                    <w:t>Resolution </w:t>
                  </w:r>
                  <w:r>
                    <w:rPr>
                      <w:rFonts w:ascii="Stone Sans II ITC Std Bk"/>
                      <w:b/>
                      <w:color w:val="7B4290"/>
                      <w:w w:val="115"/>
                      <w:sz w:val="47"/>
                    </w:rPr>
                    <w:t>1</w:t>
                  </w:r>
                </w:p>
                <w:p>
                  <w:pPr>
                    <w:spacing w:line="266" w:lineRule="exact" w:before="0"/>
                    <w:ind w:left="254" w:right="0" w:firstLine="0"/>
                    <w:jc w:val="left"/>
                    <w:rPr>
                      <w:sz w:val="20"/>
                    </w:rPr>
                  </w:pPr>
                  <w:r>
                    <w:rPr>
                      <w:rFonts w:ascii="Stone Sans II ITC Std Bk" w:hAnsi="Stone Sans II ITC Std Bk"/>
                      <w:b/>
                      <w:w w:val="110"/>
                      <w:sz w:val="20"/>
                    </w:rPr>
                    <w:t>Mission Council: Walking the Way – living the life of Jesus today </w:t>
                  </w:r>
                  <w:r>
                    <w:rPr>
                      <w:w w:val="110"/>
                      <w:sz w:val="20"/>
                    </w:rPr>
                    <w:t>(p.11)</w:t>
                  </w:r>
                </w:p>
                <w:p>
                  <w:pPr>
                    <w:pStyle w:val="BodyText"/>
                    <w:spacing w:before="7"/>
                    <w:rPr>
                      <w:sz w:val="18"/>
                    </w:rPr>
                  </w:pPr>
                </w:p>
                <w:p>
                  <w:pPr>
                    <w:pStyle w:val="BodyText"/>
                    <w:spacing w:line="235" w:lineRule="auto"/>
                    <w:ind w:left="254" w:right="634"/>
                  </w:pPr>
                  <w:r>
                    <w:rPr>
                      <w:w w:val="120"/>
                    </w:rPr>
                    <w:t>General Assembly welcomes the work of the Walking the Way steering group and commends it to the wider Church.</w:t>
                  </w:r>
                </w:p>
              </w:txbxContent>
            </v:textbox>
            <v:stroke dashstyle="solid"/>
            <w10:wrap type="topAndBottom"/>
          </v:shape>
        </w:pict>
      </w:r>
      <w:r>
        <w:rPr/>
        <w:pict>
          <v:shape style="position:absolute;margin-left:56.209pt;margin-top:123.096001pt;width:465.85pt;height:93pt;mso-position-horizontal-relative:page;mso-position-vertical-relative:paragraph;z-index:-251031552;mso-wrap-distance-left:0;mso-wrap-distance-right:0" type="#_x0000_t202" filled="false" stroked="true" strokeweight="1pt" strokecolor="#000000">
            <v:textbox inset="0,0,0,0">
              <w:txbxContent>
                <w:p>
                  <w:pPr>
                    <w:spacing w:line="631" w:lineRule="exact" w:before="75"/>
                    <w:ind w:left="254" w:right="0" w:firstLine="0"/>
                    <w:jc w:val="left"/>
                    <w:rPr>
                      <w:rFonts w:ascii="Stone Sans II ITC Std Bk"/>
                      <w:b/>
                      <w:sz w:val="47"/>
                    </w:rPr>
                  </w:pPr>
                  <w:r>
                    <w:rPr>
                      <w:color w:val="7B4290"/>
                      <w:w w:val="115"/>
                      <w:sz w:val="39"/>
                    </w:rPr>
                    <w:t>Resolution </w:t>
                  </w:r>
                  <w:r>
                    <w:rPr>
                      <w:rFonts w:ascii="Stone Sans II ITC Std Bk"/>
                      <w:b/>
                      <w:color w:val="7B4290"/>
                      <w:w w:val="115"/>
                      <w:sz w:val="47"/>
                    </w:rPr>
                    <w:t>2</w:t>
                  </w:r>
                </w:p>
                <w:p>
                  <w:pPr>
                    <w:spacing w:line="266" w:lineRule="exact" w:before="0"/>
                    <w:ind w:left="254" w:right="0" w:firstLine="0"/>
                    <w:jc w:val="left"/>
                    <w:rPr>
                      <w:sz w:val="20"/>
                    </w:rPr>
                  </w:pPr>
                  <w:r>
                    <w:rPr>
                      <w:rFonts w:ascii="Stone Sans II ITC Std Bk"/>
                      <w:b/>
                      <w:w w:val="115"/>
                      <w:sz w:val="20"/>
                    </w:rPr>
                    <w:t>Mission Council: Nomination of Treasurer </w:t>
                  </w:r>
                  <w:r>
                    <w:rPr>
                      <w:w w:val="115"/>
                      <w:sz w:val="20"/>
                    </w:rPr>
                    <w:t>(p.18)</w:t>
                  </w:r>
                </w:p>
                <w:p>
                  <w:pPr>
                    <w:pStyle w:val="BodyText"/>
                    <w:spacing w:before="7"/>
                    <w:rPr>
                      <w:sz w:val="18"/>
                    </w:rPr>
                  </w:pPr>
                </w:p>
                <w:p>
                  <w:pPr>
                    <w:pStyle w:val="BodyText"/>
                    <w:spacing w:line="235" w:lineRule="auto"/>
                    <w:ind w:left="254" w:right="634"/>
                  </w:pPr>
                  <w:r>
                    <w:rPr>
                      <w:w w:val="120"/>
                    </w:rPr>
                    <w:t>General Assembly appoints Mr Ian Hardie as Treasurer of the Church from 1 July 2017 for six years.</w:t>
                  </w:r>
                </w:p>
              </w:txbxContent>
            </v:textbox>
            <v:stroke dashstyle="solid"/>
            <w10:wrap type="topAndBottom"/>
          </v:shape>
        </w:pict>
      </w:r>
    </w:p>
    <w:p>
      <w:pPr>
        <w:pStyle w:val="BodyText"/>
        <w:spacing w:before="4"/>
        <w:rPr>
          <w:rFonts w:ascii="Stone Sans II ITC Std X Bd"/>
          <w:b/>
          <w:sz w:val="7"/>
        </w:rPr>
      </w:pPr>
    </w:p>
    <w:p>
      <w:pPr>
        <w:pStyle w:val="BodyText"/>
        <w:spacing w:before="12"/>
        <w:rPr>
          <w:rFonts w:ascii="Stone Sans II ITC Std X Bd"/>
          <w:b/>
          <w:sz w:val="12"/>
        </w:rPr>
      </w:pPr>
    </w:p>
    <w:p>
      <w:pPr>
        <w:spacing w:line="631" w:lineRule="exact" w:before="86"/>
        <w:ind w:left="748" w:right="0" w:firstLine="0"/>
        <w:jc w:val="left"/>
        <w:rPr>
          <w:rFonts w:ascii="Stone Sans II ITC Std Bk"/>
          <w:b/>
          <w:sz w:val="47"/>
        </w:rPr>
      </w:pPr>
      <w:r>
        <w:rPr/>
        <w:pict>
          <v:group style="position:absolute;margin-left:51.023998pt;margin-top:.012793pt;width:483.35pt;height:475.75pt;mso-position-horizontal-relative:page;mso-position-vertical-relative:paragraph;z-index:-267483136" coordorigin="1020,0" coordsize="9667,9515">
            <v:rect style="position:absolute;left:1124;top:10;width:9317;height:9467" filled="false" stroked="true" strokeweight="1pt" strokecolor="#000000">
              <v:stroke dashstyle="solid"/>
            </v:rect>
            <v:rect style="position:absolute;left:1020;top:9250;width:9667;height:265" filled="true" fillcolor="#ffffff" stroked="false">
              <v:fill type="solid"/>
            </v:rect>
            <w10:wrap type="none"/>
          </v:group>
        </w:pict>
      </w:r>
      <w:r>
        <w:rPr>
          <w:color w:val="7B4290"/>
          <w:w w:val="115"/>
          <w:sz w:val="39"/>
        </w:rPr>
        <w:t>Resolution </w:t>
      </w:r>
      <w:r>
        <w:rPr>
          <w:rFonts w:ascii="Stone Sans II ITC Std Bk"/>
          <w:b/>
          <w:color w:val="7B4290"/>
          <w:w w:val="115"/>
          <w:sz w:val="47"/>
        </w:rPr>
        <w:t>3</w:t>
      </w:r>
    </w:p>
    <w:p>
      <w:pPr>
        <w:pStyle w:val="Heading7"/>
        <w:spacing w:line="213" w:lineRule="auto" w:before="18"/>
        <w:ind w:left="748" w:right="1704"/>
        <w:rPr>
          <w:rFonts w:ascii="Calibri"/>
          <w:b w:val="0"/>
        </w:rPr>
      </w:pPr>
      <w:r>
        <w:rPr>
          <w:w w:val="110"/>
        </w:rPr>
        <w:t>Mission Council: Appeal, reference and constitutional review between councils of the Church </w:t>
      </w:r>
      <w:r>
        <w:rPr>
          <w:rFonts w:ascii="Calibri"/>
          <w:b w:val="0"/>
          <w:w w:val="110"/>
        </w:rPr>
        <w:t>(p.20)</w:t>
      </w:r>
    </w:p>
    <w:p>
      <w:pPr>
        <w:pStyle w:val="BodyText"/>
        <w:spacing w:before="9"/>
        <w:rPr>
          <w:sz w:val="18"/>
        </w:rPr>
      </w:pPr>
    </w:p>
    <w:p>
      <w:pPr>
        <w:pStyle w:val="BodyText"/>
        <w:ind w:left="748"/>
      </w:pPr>
      <w:r>
        <w:rPr>
          <w:w w:val="120"/>
        </w:rPr>
        <w:t>General Assembly adopts the following amendments to the Structure of the URC;</w:t>
      </w:r>
    </w:p>
    <w:p>
      <w:pPr>
        <w:pStyle w:val="BodyText"/>
        <w:spacing w:before="4"/>
        <w:rPr>
          <w:sz w:val="18"/>
        </w:rPr>
      </w:pPr>
    </w:p>
    <w:p>
      <w:pPr>
        <w:pStyle w:val="Heading7"/>
        <w:numPr>
          <w:ilvl w:val="0"/>
          <w:numId w:val="251"/>
        </w:numPr>
        <w:tabs>
          <w:tab w:pos="2088" w:val="left" w:leader="none"/>
          <w:tab w:pos="2089" w:val="left" w:leader="none"/>
        </w:tabs>
        <w:spacing w:line="261" w:lineRule="exact" w:before="0" w:after="0"/>
        <w:ind w:left="2088" w:right="0" w:hanging="887"/>
        <w:jc w:val="left"/>
      </w:pPr>
      <w:r>
        <w:rPr>
          <w:w w:val="110"/>
        </w:rPr>
        <w:t>Appeal, Reference and Constitutional</w:t>
      </w:r>
      <w:r>
        <w:rPr>
          <w:spacing w:val="-2"/>
          <w:w w:val="110"/>
        </w:rPr>
        <w:t> </w:t>
      </w:r>
      <w:r>
        <w:rPr>
          <w:w w:val="110"/>
        </w:rPr>
        <w:t>Review</w:t>
      </w:r>
    </w:p>
    <w:p>
      <w:pPr>
        <w:pStyle w:val="ListParagraph"/>
        <w:numPr>
          <w:ilvl w:val="1"/>
          <w:numId w:val="251"/>
        </w:numPr>
        <w:tabs>
          <w:tab w:pos="2088" w:val="left" w:leader="none"/>
          <w:tab w:pos="2089" w:val="left" w:leader="none"/>
        </w:tabs>
        <w:spacing w:line="235" w:lineRule="auto" w:before="0" w:after="0"/>
        <w:ind w:left="1202" w:right="1845" w:firstLine="0"/>
        <w:jc w:val="left"/>
        <w:rPr>
          <w:sz w:val="20"/>
        </w:rPr>
      </w:pPr>
      <w:r>
        <w:rPr>
          <w:w w:val="120"/>
          <w:sz w:val="20"/>
        </w:rPr>
        <w:t>Any decision of a Church Meeting within an area of ecumenical  experiment may be taken by way of appeal to the area meeting. A decision of any other Church Meeting may be taken by way of appeal to the synod on which the local church concerned is represented. Any decision of an ecumenical area meeting having implications for the United Reformed Church or any </w:t>
      </w:r>
      <w:r>
        <w:rPr>
          <w:spacing w:val="2"/>
          <w:w w:val="120"/>
          <w:sz w:val="20"/>
        </w:rPr>
        <w:t>part </w:t>
      </w:r>
      <w:r>
        <w:rPr>
          <w:w w:val="120"/>
          <w:sz w:val="20"/>
        </w:rPr>
        <w:t>thereof</w:t>
      </w:r>
      <w:r>
        <w:rPr>
          <w:spacing w:val="27"/>
          <w:w w:val="120"/>
          <w:sz w:val="20"/>
        </w:rPr>
        <w:t> </w:t>
      </w:r>
      <w:r>
        <w:rPr>
          <w:w w:val="120"/>
          <w:sz w:val="20"/>
        </w:rPr>
        <w:t>may</w:t>
      </w:r>
    </w:p>
    <w:p>
      <w:pPr>
        <w:pStyle w:val="BodyText"/>
        <w:spacing w:line="235" w:lineRule="auto"/>
        <w:ind w:left="1202" w:right="2045"/>
      </w:pPr>
      <w:r>
        <w:rPr>
          <w:w w:val="120"/>
        </w:rPr>
        <w:t>be taken by way of appeal to the synod on which local churches in the area are represented. Any decision of a synod may be taken by way of appeal to the General Assembly.</w:t>
      </w:r>
    </w:p>
    <w:p>
      <w:pPr>
        <w:pStyle w:val="BodyText"/>
        <w:spacing w:before="9"/>
        <w:rPr>
          <w:sz w:val="19"/>
        </w:rPr>
      </w:pPr>
    </w:p>
    <w:p>
      <w:pPr>
        <w:pStyle w:val="ListParagraph"/>
        <w:numPr>
          <w:ilvl w:val="1"/>
          <w:numId w:val="251"/>
        </w:numPr>
        <w:tabs>
          <w:tab w:pos="2088" w:val="left" w:leader="none"/>
          <w:tab w:pos="2089" w:val="left" w:leader="none"/>
        </w:tabs>
        <w:spacing w:line="235" w:lineRule="auto" w:before="0" w:after="0"/>
        <w:ind w:left="1202" w:right="1967" w:firstLine="0"/>
        <w:jc w:val="left"/>
        <w:rPr>
          <w:sz w:val="20"/>
        </w:rPr>
      </w:pPr>
      <w:r>
        <w:rPr>
          <w:w w:val="120"/>
          <w:sz w:val="20"/>
        </w:rPr>
        <w:t>A Church Meeting may itself refer any dispute or difference arising within the local church for resolution by the synod. An ecumenical area meeting may refer any dispute or difference arising within the area for resolution by the synod. A synod may refer any dispute or difference arising within the province or nation under its oversight for resolution by the General</w:t>
      </w:r>
      <w:r>
        <w:rPr>
          <w:spacing w:val="18"/>
          <w:w w:val="120"/>
          <w:sz w:val="20"/>
        </w:rPr>
        <w:t> </w:t>
      </w:r>
      <w:r>
        <w:rPr>
          <w:w w:val="120"/>
          <w:sz w:val="20"/>
        </w:rPr>
        <w:t>Assembly.</w:t>
      </w:r>
    </w:p>
    <w:p>
      <w:pPr>
        <w:pStyle w:val="BodyText"/>
        <w:spacing w:before="12"/>
        <w:rPr>
          <w:sz w:val="19"/>
        </w:rPr>
      </w:pPr>
    </w:p>
    <w:p>
      <w:pPr>
        <w:pStyle w:val="ListParagraph"/>
        <w:numPr>
          <w:ilvl w:val="1"/>
          <w:numId w:val="251"/>
        </w:numPr>
        <w:tabs>
          <w:tab w:pos="2088" w:val="left" w:leader="none"/>
          <w:tab w:pos="2089" w:val="left" w:leader="none"/>
        </w:tabs>
        <w:spacing w:line="235" w:lineRule="auto" w:before="0" w:after="0"/>
        <w:ind w:left="1202" w:right="1873" w:firstLine="0"/>
        <w:jc w:val="left"/>
        <w:rPr>
          <w:sz w:val="20"/>
        </w:rPr>
      </w:pPr>
      <w:r>
        <w:rPr>
          <w:w w:val="120"/>
          <w:sz w:val="20"/>
        </w:rPr>
        <w:t>The synod may declare any decision of a Church Meeting within the province or nation under its oversight, or any decision of an ecumenical area meeting within that province or nation having implications for the United  Reformed Church or any </w:t>
      </w:r>
      <w:r>
        <w:rPr>
          <w:spacing w:val="2"/>
          <w:w w:val="120"/>
          <w:sz w:val="20"/>
        </w:rPr>
        <w:t>part </w:t>
      </w:r>
      <w:r>
        <w:rPr>
          <w:w w:val="120"/>
          <w:sz w:val="20"/>
        </w:rPr>
        <w:t>thereof, which is </w:t>
      </w:r>
      <w:r>
        <w:rPr>
          <w:spacing w:val="-6"/>
          <w:w w:val="120"/>
          <w:sz w:val="20"/>
        </w:rPr>
        <w:t>(or </w:t>
      </w:r>
      <w:r>
        <w:rPr>
          <w:w w:val="120"/>
          <w:sz w:val="20"/>
        </w:rPr>
        <w:t>has been reached by a procedure) incompatible with the Basis of Union, the Structure of the URC, the constitution of the ecumenical area (where applicable) or any rule or resolution of Assembly binding on the local church or the ecumenical area to be a nullity. The General Assembly may declare any decision of a Synod to be a nullity on analogous grounds. The review of any decision with a view to declaring it a nullity shall be known as constitutional</w:t>
      </w:r>
      <w:r>
        <w:rPr>
          <w:spacing w:val="5"/>
          <w:w w:val="120"/>
          <w:sz w:val="20"/>
        </w:rPr>
        <w:t> </w:t>
      </w:r>
      <w:r>
        <w:rPr>
          <w:w w:val="120"/>
          <w:sz w:val="20"/>
        </w:rPr>
        <w:t>review.</w:t>
      </w:r>
    </w:p>
    <w:p>
      <w:pPr>
        <w:pStyle w:val="BodyText"/>
        <w:spacing w:before="3"/>
      </w:pPr>
    </w:p>
    <w:p>
      <w:pPr>
        <w:pStyle w:val="ListParagraph"/>
        <w:numPr>
          <w:ilvl w:val="1"/>
          <w:numId w:val="251"/>
        </w:numPr>
        <w:tabs>
          <w:tab w:pos="2088" w:val="left" w:leader="none"/>
          <w:tab w:pos="2089" w:val="left" w:leader="none"/>
        </w:tabs>
        <w:spacing w:line="235" w:lineRule="auto" w:before="0" w:after="0"/>
        <w:ind w:left="1202" w:right="2212" w:firstLine="0"/>
        <w:jc w:val="left"/>
        <w:rPr>
          <w:sz w:val="20"/>
        </w:rPr>
      </w:pPr>
      <w:r>
        <w:rPr>
          <w:w w:val="120"/>
          <w:sz w:val="20"/>
        </w:rPr>
        <w:t>Appeals, references and constitutional review under this paragraph shall be subject to conditions and processes laid down by the Assembly in Rules of Procedure, which shall allow scope for the subject-matter of an appeal</w:t>
      </w:r>
      <w:r>
        <w:rPr>
          <w:spacing w:val="7"/>
          <w:w w:val="120"/>
          <w:sz w:val="20"/>
        </w:rPr>
        <w:t> </w:t>
      </w:r>
      <w:r>
        <w:rPr>
          <w:w w:val="120"/>
          <w:sz w:val="20"/>
        </w:rPr>
        <w:t>to</w:t>
      </w:r>
    </w:p>
    <w:p>
      <w:pPr>
        <w:spacing w:after="0" w:line="235" w:lineRule="auto"/>
        <w:jc w:val="left"/>
        <w:rPr>
          <w:sz w:val="20"/>
        </w:rPr>
        <w:sectPr>
          <w:headerReference w:type="even" r:id="rId627"/>
          <w:footerReference w:type="even" r:id="rId628"/>
          <w:footerReference w:type="default" r:id="rId629"/>
          <w:pgSz w:w="11910" w:h="16840"/>
          <w:pgMar w:header="0" w:footer="647" w:top="0" w:bottom="840" w:left="640" w:right="0"/>
          <w:pgNumType w:start="236"/>
        </w:sectPr>
      </w:pPr>
    </w:p>
    <w:p>
      <w:pPr>
        <w:spacing w:before="94"/>
        <w:ind w:left="0" w:right="1245" w:firstLine="0"/>
        <w:jc w:val="right"/>
        <w:rPr>
          <w:sz w:val="26"/>
        </w:rPr>
      </w:pPr>
      <w:r>
        <w:rPr/>
        <w:pict>
          <v:group style="position:absolute;margin-left:65.180000pt;margin-top:.000015pt;width:530.1pt;height:841.9pt;mso-position-horizontal-relative:page;mso-position-vertical-relative:page;z-index:-267480064" coordorigin="1304,0" coordsize="10602,16838">
            <v:shape style="position:absolute;left:1634;top:1002;width:9317;height:13346" coordorigin="1634,1002" coordsize="9317,13346" path="m1634,14347l10951,14347,10951,5769,1634,5769,1634,14347xm1634,3278l10951,3278,10951,1002,1634,1002,1634,3278xe" filled="false" stroked="true" strokeweight="1pt" strokecolor="#000000">
              <v:path arrowok="t"/>
              <v:stroke dashstyle="solid"/>
            </v:shape>
            <v:shape style="position:absolute;left:10984;top:0;width:922;height:16838" type="#_x0000_t75" stroked="false">
              <v:imagedata r:id="rId626" o:title=""/>
            </v:shape>
            <v:rect style="position:absolute;left:1303;top:912;width:9667;height:199" filled="true" fillcolor="#ffffff" stroked="false">
              <v:fill type="solid"/>
            </v:rect>
            <w10:wrap type="none"/>
          </v:group>
        </w:pict>
      </w:r>
      <w:r>
        <w:rPr/>
        <w:pict>
          <v:shape style="position:absolute;margin-left:554.141174pt;margin-top:21.993946pt;width:25.9pt;height:157.35pt;mso-position-horizontal-relative:page;mso-position-vertical-relative:paragraph;z-index:252291072" type="#_x0000_t202" filled="false" stroked="false">
            <v:textbox inset="0,0,0,0" style="layout-flow:vertical">
              <w:txbxContent>
                <w:p>
                  <w:pPr>
                    <w:spacing w:before="27"/>
                    <w:ind w:left="20" w:right="0" w:firstLine="0"/>
                    <w:jc w:val="left"/>
                    <w:rPr>
                      <w:sz w:val="39"/>
                    </w:rPr>
                  </w:pPr>
                  <w:r>
                    <w:rPr>
                      <w:color w:val="FFFFFF"/>
                      <w:w w:val="120"/>
                      <w:sz w:val="39"/>
                    </w:rPr>
                    <w:t>Resolutions 3-5</w:t>
                  </w:r>
                </w:p>
              </w:txbxContent>
            </v:textbox>
            <w10:wrap type="none"/>
          </v:shape>
        </w:pict>
      </w:r>
      <w:r>
        <w:rPr>
          <w:color w:val="7EAABF"/>
          <w:w w:val="110"/>
          <w:sz w:val="26"/>
        </w:rPr>
        <w:t>Resolutions</w:t>
      </w:r>
    </w:p>
    <w:p>
      <w:pPr>
        <w:pStyle w:val="BodyText"/>
        <w:spacing w:line="235" w:lineRule="auto" w:before="221"/>
        <w:ind w:left="1797" w:right="1478"/>
      </w:pPr>
      <w:r>
        <w:rPr>
          <w:w w:val="120"/>
        </w:rPr>
        <w:t>be resolved by mediation where appropriate. A wider council determining an appeal or reference may either substitute its own decision for that of the more local council, or remit the issue to the more local council for reconsideration. No procedure governed by this paragraph shall be used to review decisions reached under the ministerial disciplinary process or the incapacity procedure.</w:t>
      </w:r>
    </w:p>
    <w:p>
      <w:pPr>
        <w:pStyle w:val="BodyText"/>
        <w:spacing w:before="12"/>
        <w:rPr>
          <w:sz w:val="19"/>
        </w:rPr>
      </w:pPr>
    </w:p>
    <w:p>
      <w:pPr>
        <w:pStyle w:val="ListParagraph"/>
        <w:numPr>
          <w:ilvl w:val="1"/>
          <w:numId w:val="251"/>
        </w:numPr>
        <w:tabs>
          <w:tab w:pos="2684" w:val="left" w:leader="none"/>
          <w:tab w:pos="2685" w:val="left" w:leader="none"/>
        </w:tabs>
        <w:spacing w:line="235" w:lineRule="auto" w:before="0" w:after="0"/>
        <w:ind w:left="1797" w:right="1549" w:firstLine="0"/>
        <w:jc w:val="left"/>
        <w:rPr>
          <w:sz w:val="20"/>
        </w:rPr>
      </w:pPr>
      <w:r>
        <w:rPr>
          <w:w w:val="120"/>
          <w:sz w:val="20"/>
        </w:rPr>
        <w:t>The decision of the General Assembly on any matter which has come before it on appeal, reference or constitutional review shall be final and</w:t>
      </w:r>
      <w:r>
        <w:rPr>
          <w:spacing w:val="47"/>
          <w:w w:val="120"/>
          <w:sz w:val="20"/>
        </w:rPr>
        <w:t> </w:t>
      </w:r>
      <w:r>
        <w:rPr>
          <w:w w:val="120"/>
          <w:sz w:val="20"/>
        </w:rPr>
        <w:t>binding.</w:t>
      </w:r>
    </w:p>
    <w:p>
      <w:pPr>
        <w:pStyle w:val="BodyText"/>
        <w:rPr>
          <w:sz w:val="27"/>
        </w:rPr>
      </w:pPr>
      <w:r>
        <w:rPr/>
        <w:pict>
          <v:shape style="position:absolute;margin-left:81.721001pt;margin-top:18.966946pt;width:465.85pt;height:105.1pt;mso-position-horizontal-relative:page;mso-position-vertical-relative:paragraph;z-index:-251027456;mso-wrap-distance-left:0;mso-wrap-distance-right:0" type="#_x0000_t202" filled="false" stroked="true" strokeweight="1pt" strokecolor="#000000">
            <v:textbox inset="0,0,0,0">
              <w:txbxContent>
                <w:p>
                  <w:pPr>
                    <w:spacing w:line="631" w:lineRule="exact" w:before="82"/>
                    <w:ind w:left="339" w:right="0" w:firstLine="0"/>
                    <w:jc w:val="left"/>
                    <w:rPr>
                      <w:rFonts w:ascii="Stone Sans II ITC Std Bk"/>
                      <w:b/>
                      <w:sz w:val="47"/>
                    </w:rPr>
                  </w:pPr>
                  <w:r>
                    <w:rPr>
                      <w:color w:val="7B4290"/>
                      <w:w w:val="115"/>
                      <w:sz w:val="39"/>
                    </w:rPr>
                    <w:t>Resolution </w:t>
                  </w:r>
                  <w:r>
                    <w:rPr>
                      <w:rFonts w:ascii="Stone Sans II ITC Std Bk"/>
                      <w:b/>
                      <w:color w:val="7B4290"/>
                      <w:w w:val="115"/>
                      <w:sz w:val="47"/>
                    </w:rPr>
                    <w:t>4</w:t>
                  </w:r>
                </w:p>
                <w:p>
                  <w:pPr>
                    <w:spacing w:line="213" w:lineRule="auto" w:before="18"/>
                    <w:ind w:left="339" w:right="0" w:firstLine="0"/>
                    <w:jc w:val="left"/>
                    <w:rPr>
                      <w:sz w:val="20"/>
                    </w:rPr>
                  </w:pPr>
                  <w:r>
                    <w:rPr>
                      <w:rFonts w:ascii="Stone Sans II ITC Std Bk"/>
                      <w:b/>
                      <w:w w:val="110"/>
                      <w:sz w:val="20"/>
                    </w:rPr>
                    <w:t>Mission Council: Appeal, reference and constitutional review between councils of the Church </w:t>
                  </w:r>
                  <w:r>
                    <w:rPr>
                      <w:w w:val="110"/>
                      <w:sz w:val="20"/>
                    </w:rPr>
                    <w:t>(p.20)</w:t>
                  </w:r>
                </w:p>
                <w:p>
                  <w:pPr>
                    <w:pStyle w:val="BodyText"/>
                    <w:rPr>
                      <w:sz w:val="19"/>
                    </w:rPr>
                  </w:pPr>
                </w:p>
                <w:p>
                  <w:pPr>
                    <w:pStyle w:val="BodyText"/>
                    <w:spacing w:line="235" w:lineRule="auto" w:before="1"/>
                    <w:ind w:left="339" w:right="634"/>
                  </w:pPr>
                  <w:r>
                    <w:rPr>
                      <w:w w:val="120"/>
                    </w:rPr>
                    <w:t>General Assembly directs Mission Council to amend the Rules of Procedure, in order that the Structure changes may be appropriately implemented in practice.</w:t>
                  </w:r>
                </w:p>
              </w:txbxContent>
            </v:textbox>
            <v:stroke dashstyle="solid"/>
            <w10:wrap type="topAndBottom"/>
          </v:shape>
        </w:pict>
      </w:r>
    </w:p>
    <w:p>
      <w:pPr>
        <w:pStyle w:val="BodyText"/>
        <w:spacing w:before="8"/>
        <w:rPr>
          <w:sz w:val="14"/>
        </w:rPr>
      </w:pPr>
    </w:p>
    <w:p>
      <w:pPr>
        <w:spacing w:line="631" w:lineRule="exact" w:before="86"/>
        <w:ind w:left="1344" w:right="0" w:firstLine="0"/>
        <w:jc w:val="left"/>
        <w:rPr>
          <w:rFonts w:ascii="Stone Sans II ITC Std Bk"/>
          <w:b/>
          <w:sz w:val="47"/>
        </w:rPr>
      </w:pPr>
      <w:r>
        <w:rPr>
          <w:color w:val="7B4290"/>
          <w:w w:val="115"/>
          <w:sz w:val="39"/>
        </w:rPr>
        <w:t>Resolution </w:t>
      </w:r>
      <w:r>
        <w:rPr>
          <w:rFonts w:ascii="Stone Sans II ITC Std Bk"/>
          <w:b/>
          <w:color w:val="7B4290"/>
          <w:w w:val="115"/>
          <w:sz w:val="47"/>
        </w:rPr>
        <w:t>5</w:t>
      </w:r>
    </w:p>
    <w:p>
      <w:pPr>
        <w:pStyle w:val="Heading7"/>
        <w:spacing w:line="266" w:lineRule="exact"/>
        <w:ind w:left="1344"/>
        <w:rPr>
          <w:rFonts w:ascii="Calibri"/>
          <w:b w:val="0"/>
        </w:rPr>
      </w:pPr>
      <w:r>
        <w:rPr>
          <w:w w:val="110"/>
        </w:rPr>
        <w:t>Mission Council: Resolutions referred to synods (B): ministerial candidacy </w:t>
      </w:r>
      <w:r>
        <w:rPr>
          <w:rFonts w:ascii="Calibri"/>
          <w:b w:val="0"/>
          <w:w w:val="110"/>
        </w:rPr>
        <w:t>(p.27)</w:t>
      </w:r>
    </w:p>
    <w:p>
      <w:pPr>
        <w:pStyle w:val="BodyText"/>
        <w:rPr>
          <w:sz w:val="19"/>
        </w:rPr>
      </w:pPr>
    </w:p>
    <w:p>
      <w:pPr>
        <w:pStyle w:val="Heading7"/>
        <w:spacing w:line="213" w:lineRule="auto"/>
        <w:ind w:left="1344" w:right="1478"/>
      </w:pPr>
      <w:r>
        <w:rPr>
          <w:w w:val="110"/>
        </w:rPr>
        <w:t>General Assembly resolves to make the following changes to the Structure: Functions of synods:</w:t>
      </w:r>
    </w:p>
    <w:p>
      <w:pPr>
        <w:pStyle w:val="Heading7"/>
        <w:spacing w:line="238" w:lineRule="exact"/>
        <w:ind w:left="1344"/>
      </w:pPr>
      <w:r>
        <w:rPr>
          <w:w w:val="110"/>
        </w:rPr>
        <w:t>2(4)(A)(xvi) Present version:</w:t>
      </w:r>
    </w:p>
    <w:p>
      <w:pPr>
        <w:pStyle w:val="BodyText"/>
        <w:spacing w:line="235" w:lineRule="auto"/>
        <w:ind w:left="1344" w:right="1478"/>
      </w:pPr>
      <w:r>
        <w:rPr>
          <w:w w:val="120"/>
        </w:rPr>
        <w:t>to give oversight to candidates for the Ministries of Word and Sacraments and church related community work and to candidates for any form of full-time service in the Church at home and abroad, and, in the case of candidates for the above ministries, determine their eligibility for a call</w:t>
      </w:r>
    </w:p>
    <w:p>
      <w:pPr>
        <w:pStyle w:val="Heading7"/>
        <w:spacing w:line="242" w:lineRule="exact"/>
        <w:ind w:left="1344"/>
      </w:pPr>
      <w:r>
        <w:rPr>
          <w:w w:val="110"/>
        </w:rPr>
        <w:t>New version:</w:t>
      </w:r>
    </w:p>
    <w:p>
      <w:pPr>
        <w:pStyle w:val="Heading7"/>
        <w:spacing w:line="213" w:lineRule="auto" w:before="2"/>
        <w:ind w:left="1344" w:right="1339"/>
      </w:pPr>
      <w:r>
        <w:rPr>
          <w:w w:val="110"/>
        </w:rPr>
        <w:t>to consider on the recommendation of local churches applications for recognition as candidates for the Ministries of Word and Sacraments and church related community work and to transmit them, if approved, to the Assembly for decision, and, in partnership with the relevant Resource Centre for Learning, to give pastoral care to such candidates during their training.</w:t>
      </w:r>
    </w:p>
    <w:p>
      <w:pPr>
        <w:pStyle w:val="Heading7"/>
        <w:spacing w:line="255" w:lineRule="exact" w:before="214"/>
        <w:ind w:left="1344"/>
      </w:pPr>
      <w:r>
        <w:rPr>
          <w:w w:val="110"/>
        </w:rPr>
        <w:t>Functions of Ecumenical United Areas:</w:t>
      </w:r>
    </w:p>
    <w:p>
      <w:pPr>
        <w:pStyle w:val="Heading7"/>
        <w:spacing w:line="246" w:lineRule="exact"/>
        <w:ind w:left="1344"/>
      </w:pPr>
      <w:r>
        <w:rPr>
          <w:w w:val="110"/>
        </w:rPr>
        <w:t>2(5)(A)(vi) Present version:</w:t>
      </w:r>
    </w:p>
    <w:p>
      <w:pPr>
        <w:pStyle w:val="BodyText"/>
        <w:spacing w:line="235" w:lineRule="auto"/>
        <w:ind w:left="1344" w:right="1217"/>
      </w:pPr>
      <w:r>
        <w:rPr>
          <w:w w:val="120"/>
        </w:rPr>
        <w:t>to consider, on the recommendation of Local Churches, applications for recognition as candidates for the Ministries of Word and Sacraments and church related community work and to transmit them, if approved, to the synod for decision.</w:t>
      </w:r>
    </w:p>
    <w:p>
      <w:pPr>
        <w:pStyle w:val="Heading7"/>
        <w:spacing w:line="241" w:lineRule="exact"/>
        <w:ind w:left="1344"/>
      </w:pPr>
      <w:r>
        <w:rPr>
          <w:w w:val="110"/>
        </w:rPr>
        <w:t>New version:</w:t>
      </w:r>
    </w:p>
    <w:p>
      <w:pPr>
        <w:pStyle w:val="Heading7"/>
        <w:spacing w:line="213" w:lineRule="auto" w:before="2"/>
        <w:ind w:left="1344" w:right="1217"/>
      </w:pPr>
      <w:r>
        <w:rPr>
          <w:w w:val="110"/>
        </w:rPr>
        <w:t>to consider, on the recommendation of Local Churches, applications for recognition as candidates for the Ministries of Word and Sacraments and church related community work and to transmit them to the synod.</w:t>
      </w:r>
    </w:p>
    <w:p>
      <w:pPr>
        <w:pStyle w:val="BodyText"/>
        <w:spacing w:before="13"/>
        <w:rPr>
          <w:rFonts w:ascii="Stone Sans II ITC Std Bk"/>
          <w:b/>
          <w:sz w:val="15"/>
        </w:rPr>
      </w:pPr>
    </w:p>
    <w:p>
      <w:pPr>
        <w:pStyle w:val="Heading7"/>
        <w:spacing w:line="255" w:lineRule="exact"/>
        <w:ind w:left="1344"/>
      </w:pPr>
      <w:r>
        <w:rPr>
          <w:w w:val="110"/>
        </w:rPr>
        <w:t>Functions of General Assembly:</w:t>
      </w:r>
    </w:p>
    <w:p>
      <w:pPr>
        <w:pStyle w:val="Heading7"/>
        <w:spacing w:line="240" w:lineRule="exact"/>
        <w:ind w:left="1344"/>
      </w:pPr>
      <w:r>
        <w:rPr>
          <w:w w:val="110"/>
        </w:rPr>
        <w:t>New function [numbering to be determined]:</w:t>
      </w:r>
    </w:p>
    <w:p>
      <w:pPr>
        <w:pStyle w:val="Heading7"/>
        <w:spacing w:line="213" w:lineRule="auto" w:before="7"/>
        <w:ind w:left="1344" w:right="1704"/>
      </w:pPr>
      <w:r>
        <w:rPr>
          <w:w w:val="110"/>
        </w:rPr>
        <w:t>to consider, on the recommendation of synods, applications for recognition as candidates for the Ministries of Word and Sacraments and church related community work, to oversee their training, and to determine their eligibility for a call.</w:t>
      </w:r>
    </w:p>
    <w:p>
      <w:pPr>
        <w:spacing w:after="0" w:line="213" w:lineRule="auto"/>
        <w:sectPr>
          <w:headerReference w:type="default" r:id="rId631"/>
          <w:pgSz w:w="11910" w:h="16840"/>
          <w:pgMar w:header="0" w:footer="647" w:top="520" w:bottom="840" w:left="640" w:right="0"/>
        </w:sectPr>
      </w:pPr>
    </w:p>
    <w:p>
      <w:pPr>
        <w:pStyle w:val="BodyText"/>
        <w:rPr>
          <w:rFonts w:ascii="Stone Sans II ITC Std Bk"/>
          <w:b/>
        </w:rPr>
      </w:pPr>
      <w:r>
        <w:rPr/>
        <w:drawing>
          <wp:anchor distT="0" distB="0" distL="0" distR="0" allowOverlap="1" layoutInCell="1" locked="0" behindDoc="1" simplePos="0" relativeHeight="235840512">
            <wp:simplePos x="0" y="0"/>
            <wp:positionH relativeFrom="page">
              <wp:posOffset>0</wp:posOffset>
            </wp:positionH>
            <wp:positionV relativeFrom="page">
              <wp:posOffset>0</wp:posOffset>
            </wp:positionV>
            <wp:extent cx="594067" cy="10692003"/>
            <wp:effectExtent l="0" t="0" r="0" b="0"/>
            <wp:wrapNone/>
            <wp:docPr id="449" name="image77.png"/>
            <wp:cNvGraphicFramePr>
              <a:graphicFrameLocks noChangeAspect="1"/>
            </wp:cNvGraphicFramePr>
            <a:graphic>
              <a:graphicData uri="http://schemas.openxmlformats.org/drawingml/2006/picture">
                <pic:pic>
                  <pic:nvPicPr>
                    <pic:cNvPr id="450" name="image77.png"/>
                    <pic:cNvPicPr/>
                  </pic:nvPicPr>
                  <pic:blipFill>
                    <a:blip r:embed="rId630" cstate="print"/>
                    <a:stretch>
                      <a:fillRect/>
                    </a:stretch>
                  </pic:blipFill>
                  <pic:spPr>
                    <a:xfrm>
                      <a:off x="0" y="0"/>
                      <a:ext cx="594067" cy="10692003"/>
                    </a:xfrm>
                    <a:prstGeom prst="rect">
                      <a:avLst/>
                    </a:prstGeom>
                  </pic:spPr>
                </pic:pic>
              </a:graphicData>
            </a:graphic>
          </wp:anchor>
        </w:drawing>
      </w:r>
      <w:r>
        <w:rPr/>
        <w:pict>
          <v:shape style="position:absolute;margin-left:20.519100pt;margin-top:48.890015pt;width:25.9pt;height:157.35pt;mso-position-horizontal-relative:page;mso-position-vertical-relative:page;z-index:-267474944" type="#_x0000_t202" filled="false" stroked="false">
            <v:textbox inset="0,0,0,0" style="layout-flow:vertical">
              <w:txbxContent>
                <w:p>
                  <w:pPr>
                    <w:spacing w:before="27"/>
                    <w:ind w:left="20" w:right="0" w:firstLine="0"/>
                    <w:jc w:val="left"/>
                    <w:rPr>
                      <w:sz w:val="39"/>
                    </w:rPr>
                  </w:pPr>
                  <w:r>
                    <w:rPr>
                      <w:color w:val="FFFFFF"/>
                      <w:w w:val="120"/>
                      <w:sz w:val="39"/>
                    </w:rPr>
                    <w:t>Resolutions 6-7</w:t>
                  </w:r>
                </w:p>
              </w:txbxContent>
            </v:textbox>
            <w10:wrap type="none"/>
          </v:shape>
        </w:pict>
      </w:r>
    </w:p>
    <w:p>
      <w:pPr>
        <w:pStyle w:val="BodyText"/>
        <w:spacing w:before="7"/>
        <w:rPr>
          <w:rFonts w:ascii="Stone Sans II ITC Std Bk"/>
          <w:b/>
          <w:sz w:val="17"/>
        </w:rPr>
      </w:pPr>
    </w:p>
    <w:p>
      <w:pPr>
        <w:spacing w:before="107"/>
        <w:ind w:left="607" w:right="0" w:firstLine="0"/>
        <w:jc w:val="left"/>
        <w:rPr>
          <w:sz w:val="26"/>
        </w:rPr>
      </w:pPr>
      <w:r>
        <w:rPr>
          <w:color w:val="7EAABF"/>
          <w:w w:val="115"/>
          <w:sz w:val="26"/>
        </w:rPr>
        <w:t>Resolutions</w:t>
      </w:r>
    </w:p>
    <w:p>
      <w:pPr>
        <w:pStyle w:val="BodyText"/>
        <w:spacing w:before="7"/>
        <w:rPr>
          <w:sz w:val="9"/>
        </w:rPr>
      </w:pPr>
      <w:r>
        <w:rPr/>
        <w:pict>
          <v:shape style="position:absolute;margin-left:56.209pt;margin-top:8.309859pt;width:465.85pt;height:250.35pt;mso-position-horizontal-relative:page;mso-position-vertical-relative:paragraph;z-index:-251024384;mso-wrap-distance-left:0;mso-wrap-distance-right:0" type="#_x0000_t202" filled="false" stroked="true" strokeweight="1pt" strokecolor="#000000">
            <v:textbox inset="0,0,0,0">
              <w:txbxContent>
                <w:p>
                  <w:pPr>
                    <w:spacing w:line="631" w:lineRule="exact" w:before="78"/>
                    <w:ind w:left="240" w:right="0" w:firstLine="0"/>
                    <w:jc w:val="left"/>
                    <w:rPr>
                      <w:rFonts w:ascii="Stone Sans II ITC Std Bk"/>
                      <w:b/>
                      <w:sz w:val="47"/>
                    </w:rPr>
                  </w:pPr>
                  <w:r>
                    <w:rPr>
                      <w:color w:val="7B4290"/>
                      <w:w w:val="115"/>
                      <w:sz w:val="39"/>
                    </w:rPr>
                    <w:t>Resolution </w:t>
                  </w:r>
                  <w:r>
                    <w:rPr>
                      <w:rFonts w:ascii="Stone Sans II ITC Std Bk"/>
                      <w:b/>
                      <w:color w:val="7B4290"/>
                      <w:w w:val="115"/>
                      <w:sz w:val="47"/>
                    </w:rPr>
                    <w:t>6</w:t>
                  </w:r>
                </w:p>
                <w:p>
                  <w:pPr>
                    <w:spacing w:line="266" w:lineRule="exact" w:before="0"/>
                    <w:ind w:left="240" w:right="0" w:firstLine="0"/>
                    <w:jc w:val="left"/>
                    <w:rPr>
                      <w:sz w:val="20"/>
                    </w:rPr>
                  </w:pPr>
                  <w:r>
                    <w:rPr>
                      <w:rFonts w:ascii="Stone Sans II ITC Std Bk"/>
                      <w:b/>
                      <w:w w:val="110"/>
                      <w:sz w:val="20"/>
                    </w:rPr>
                    <w:t>Mission Council: Resolutions referred to synods (C): National Synods </w:t>
                  </w:r>
                  <w:r>
                    <w:rPr>
                      <w:w w:val="110"/>
                      <w:sz w:val="20"/>
                    </w:rPr>
                    <w:t>(p.29)</w:t>
                  </w:r>
                </w:p>
                <w:p>
                  <w:pPr>
                    <w:pStyle w:val="BodyText"/>
                    <w:spacing w:before="12"/>
                    <w:rPr>
                      <w:sz w:val="18"/>
                    </w:rPr>
                  </w:pPr>
                </w:p>
                <w:p>
                  <w:pPr>
                    <w:spacing w:line="213" w:lineRule="auto" w:before="0"/>
                    <w:ind w:left="240" w:right="893" w:firstLine="0"/>
                    <w:jc w:val="left"/>
                    <w:rPr>
                      <w:rFonts w:ascii="Stone Sans II ITC Std Bk"/>
                      <w:b/>
                      <w:sz w:val="20"/>
                    </w:rPr>
                  </w:pPr>
                  <w:r>
                    <w:rPr>
                      <w:rFonts w:ascii="Stone Sans II ITC Std Bk"/>
                      <w:b/>
                      <w:w w:val="110"/>
                      <w:sz w:val="20"/>
                    </w:rPr>
                    <w:t>General Assembly resolves to make the following changes to Paragraph 2(4) A(xxii) of the Structure.</w:t>
                  </w:r>
                </w:p>
                <w:p>
                  <w:pPr>
                    <w:spacing w:line="238" w:lineRule="exact" w:before="0"/>
                    <w:ind w:left="240" w:right="0" w:firstLine="0"/>
                    <w:jc w:val="left"/>
                    <w:rPr>
                      <w:rFonts w:ascii="Stone Sans II ITC Std Bk"/>
                      <w:b/>
                      <w:sz w:val="20"/>
                    </w:rPr>
                  </w:pPr>
                  <w:r>
                    <w:rPr>
                      <w:rFonts w:ascii="Stone Sans II ITC Std Bk"/>
                      <w:b/>
                      <w:w w:val="110"/>
                      <w:sz w:val="20"/>
                    </w:rPr>
                    <w:t>Present version:</w:t>
                  </w:r>
                </w:p>
                <w:p>
                  <w:pPr>
                    <w:pStyle w:val="BodyText"/>
                    <w:spacing w:line="235" w:lineRule="auto"/>
                    <w:ind w:left="240" w:right="634"/>
                  </w:pPr>
                  <w:r>
                    <w:rPr>
                      <w:w w:val="115"/>
                    </w:rPr>
                    <w:t>to seek to expand the range and deepen the nature of the Christian common life and witness in each local community, and in Scotland and Wales to undertake responsibility for national ecumenical relationships on behalf of the whole United Reformed Church, subject to the final authority of the General Assembly</w:t>
                  </w:r>
                </w:p>
                <w:p>
                  <w:pPr>
                    <w:spacing w:line="242" w:lineRule="exact" w:before="0"/>
                    <w:ind w:left="240" w:right="0" w:firstLine="0"/>
                    <w:jc w:val="left"/>
                    <w:rPr>
                      <w:rFonts w:ascii="Stone Sans II ITC Std Bk"/>
                      <w:b/>
                      <w:sz w:val="20"/>
                    </w:rPr>
                  </w:pPr>
                  <w:r>
                    <w:rPr>
                      <w:rFonts w:ascii="Stone Sans II ITC Std Bk"/>
                      <w:b/>
                      <w:w w:val="110"/>
                      <w:sz w:val="20"/>
                    </w:rPr>
                    <w:t>New version:</w:t>
                  </w:r>
                </w:p>
                <w:p>
                  <w:pPr>
                    <w:numPr>
                      <w:ilvl w:val="0"/>
                      <w:numId w:val="252"/>
                    </w:numPr>
                    <w:tabs>
                      <w:tab w:pos="920" w:val="left" w:leader="none"/>
                      <w:tab w:pos="921" w:val="left" w:leader="none"/>
                    </w:tabs>
                    <w:spacing w:line="213" w:lineRule="auto" w:before="2"/>
                    <w:ind w:left="240" w:right="1162" w:firstLine="0"/>
                    <w:jc w:val="left"/>
                    <w:rPr>
                      <w:rFonts w:ascii="Stone Sans II ITC Std Bk"/>
                      <w:b/>
                      <w:sz w:val="20"/>
                    </w:rPr>
                  </w:pPr>
                  <w:r>
                    <w:rPr>
                      <w:rFonts w:ascii="Stone Sans II ITC Std Bk"/>
                      <w:b/>
                      <w:w w:val="110"/>
                      <w:sz w:val="20"/>
                    </w:rPr>
                    <w:t>to seek to expand the range and deepen the nature of the Christian common life and witness in each local community,</w:t>
                  </w:r>
                  <w:r>
                    <w:rPr>
                      <w:rFonts w:ascii="Stone Sans II ITC Std Bk"/>
                      <w:b/>
                      <w:spacing w:val="-3"/>
                      <w:w w:val="110"/>
                      <w:sz w:val="20"/>
                    </w:rPr>
                    <w:t> </w:t>
                  </w:r>
                  <w:r>
                    <w:rPr>
                      <w:rFonts w:ascii="Stone Sans II ITC Std Bk"/>
                      <w:b/>
                      <w:w w:val="110"/>
                      <w:sz w:val="20"/>
                    </w:rPr>
                    <w:t>and</w:t>
                  </w:r>
                </w:p>
                <w:p>
                  <w:pPr>
                    <w:numPr>
                      <w:ilvl w:val="0"/>
                      <w:numId w:val="252"/>
                    </w:numPr>
                    <w:tabs>
                      <w:tab w:pos="920" w:val="left" w:leader="none"/>
                      <w:tab w:pos="921" w:val="left" w:leader="none"/>
                    </w:tabs>
                    <w:spacing w:line="213" w:lineRule="auto" w:before="0"/>
                    <w:ind w:left="240" w:right="544" w:firstLine="0"/>
                    <w:jc w:val="left"/>
                    <w:rPr>
                      <w:rFonts w:ascii="Stone Sans II ITC Std Bk" w:hAnsi="Stone Sans II ITC Std Bk"/>
                      <w:b/>
                      <w:sz w:val="20"/>
                    </w:rPr>
                  </w:pPr>
                  <w:r>
                    <w:rPr>
                      <w:rFonts w:ascii="Stone Sans II ITC Std Bk" w:hAnsi="Stone Sans II ITC Std Bk"/>
                      <w:b/>
                      <w:w w:val="110"/>
                      <w:sz w:val="20"/>
                    </w:rPr>
                    <w:t>in Scotland and Wales to speak and act on behalf of the whole United Reformed Church in public affairs or the conduct of ecumenical relationships specific to the nation concerned, in the General Assembly’s name but without prejudice to the Assembly’s right to speak and act in the same field on behalf of the church either in England or throughout Great</w:t>
                  </w:r>
                  <w:r>
                    <w:rPr>
                      <w:rFonts w:ascii="Stone Sans II ITC Std Bk" w:hAnsi="Stone Sans II ITC Std Bk"/>
                      <w:b/>
                      <w:spacing w:val="1"/>
                      <w:w w:val="110"/>
                      <w:sz w:val="20"/>
                    </w:rPr>
                    <w:t> </w:t>
                  </w:r>
                  <w:r>
                    <w:rPr>
                      <w:rFonts w:ascii="Stone Sans II ITC Std Bk" w:hAnsi="Stone Sans II ITC Std Bk"/>
                      <w:b/>
                      <w:w w:val="110"/>
                      <w:sz w:val="20"/>
                    </w:rPr>
                    <w:t>Britain.</w:t>
                  </w:r>
                </w:p>
              </w:txbxContent>
            </v:textbox>
            <v:stroke dashstyle="solid"/>
            <w10:wrap type="topAndBottom"/>
          </v:shape>
        </w:pict>
      </w:r>
    </w:p>
    <w:p>
      <w:pPr>
        <w:pStyle w:val="BodyText"/>
        <w:spacing w:before="3"/>
        <w:rPr>
          <w:sz w:val="12"/>
        </w:rPr>
      </w:pPr>
    </w:p>
    <w:p>
      <w:pPr>
        <w:spacing w:line="631" w:lineRule="exact" w:before="86"/>
        <w:ind w:left="734" w:right="0" w:firstLine="0"/>
        <w:jc w:val="left"/>
        <w:rPr>
          <w:rFonts w:ascii="Stone Sans II ITC Std Bk"/>
          <w:b/>
          <w:sz w:val="47"/>
        </w:rPr>
      </w:pPr>
      <w:r>
        <w:rPr/>
        <w:pict>
          <v:group style="position:absolute;margin-left:51.023998pt;margin-top:-.897812pt;width:483.35pt;height:481.45pt;mso-position-horizontal-relative:page;mso-position-vertical-relative:paragraph;z-index:-267476992" coordorigin="1020,-18" coordsize="9667,9629">
            <v:rect style="position:absolute;left:1124;top:-8;width:9317;height:9477" filled="false" stroked="true" strokeweight="1pt" strokecolor="#000000">
              <v:stroke dashstyle="solid"/>
            </v:rect>
            <v:rect style="position:absolute;left:1020;top:9104;width:9667;height:506" filled="true" fillcolor="#ffffff" stroked="false">
              <v:fill type="solid"/>
            </v:rect>
            <w10:wrap type="none"/>
          </v:group>
        </w:pict>
      </w:r>
      <w:r>
        <w:rPr>
          <w:color w:val="7B4290"/>
          <w:w w:val="115"/>
          <w:sz w:val="39"/>
        </w:rPr>
        <w:t>Resolution </w:t>
      </w:r>
      <w:r>
        <w:rPr>
          <w:rFonts w:ascii="Stone Sans II ITC Std Bk"/>
          <w:b/>
          <w:color w:val="7B4290"/>
          <w:w w:val="115"/>
          <w:sz w:val="47"/>
        </w:rPr>
        <w:t>7</w:t>
      </w:r>
    </w:p>
    <w:p>
      <w:pPr>
        <w:pStyle w:val="Heading7"/>
        <w:spacing w:line="213" w:lineRule="auto" w:before="18"/>
        <w:ind w:left="734" w:right="2045"/>
        <w:rPr>
          <w:rFonts w:ascii="Calibri"/>
          <w:b w:val="0"/>
        </w:rPr>
      </w:pPr>
      <w:r>
        <w:rPr>
          <w:w w:val="110"/>
        </w:rPr>
        <w:t>Mission Council: Resolutions referred to synods (D): the marriage of same-sex couples </w:t>
      </w:r>
      <w:r>
        <w:rPr>
          <w:rFonts w:ascii="Calibri"/>
          <w:b w:val="0"/>
          <w:w w:val="110"/>
        </w:rPr>
        <w:t>(p.32)</w:t>
      </w:r>
    </w:p>
    <w:p>
      <w:pPr>
        <w:pStyle w:val="BodyText"/>
        <w:spacing w:before="1"/>
        <w:rPr>
          <w:sz w:val="19"/>
        </w:rPr>
      </w:pPr>
    </w:p>
    <w:p>
      <w:pPr>
        <w:pStyle w:val="ListParagraph"/>
        <w:numPr>
          <w:ilvl w:val="2"/>
          <w:numId w:val="249"/>
        </w:numPr>
        <w:tabs>
          <w:tab w:pos="1414" w:val="left" w:leader="none"/>
          <w:tab w:pos="1416" w:val="left" w:leader="none"/>
        </w:tabs>
        <w:spacing w:line="235" w:lineRule="auto" w:before="0" w:after="0"/>
        <w:ind w:left="734" w:right="1963" w:firstLine="0"/>
        <w:jc w:val="left"/>
        <w:rPr>
          <w:sz w:val="20"/>
        </w:rPr>
      </w:pPr>
      <w:r>
        <w:rPr>
          <w:w w:val="120"/>
          <w:sz w:val="20"/>
        </w:rPr>
        <w:t>In keeping with the 2007 commitment on Human Sexuality, General Assembly does not consider it appropriate to express a single view on behalf of the whole United Reformed Church on the matter of the marriage of same-sex</w:t>
      </w:r>
      <w:r>
        <w:rPr>
          <w:spacing w:val="20"/>
          <w:w w:val="120"/>
          <w:sz w:val="20"/>
        </w:rPr>
        <w:t> </w:t>
      </w:r>
      <w:r>
        <w:rPr>
          <w:w w:val="120"/>
          <w:sz w:val="20"/>
        </w:rPr>
        <w:t>couples.</w:t>
      </w:r>
    </w:p>
    <w:p>
      <w:pPr>
        <w:pStyle w:val="BodyText"/>
        <w:spacing w:before="10"/>
        <w:rPr>
          <w:sz w:val="19"/>
        </w:rPr>
      </w:pPr>
    </w:p>
    <w:p>
      <w:pPr>
        <w:pStyle w:val="ListParagraph"/>
        <w:numPr>
          <w:ilvl w:val="2"/>
          <w:numId w:val="249"/>
        </w:numPr>
        <w:tabs>
          <w:tab w:pos="1414" w:val="left" w:leader="none"/>
          <w:tab w:pos="1416" w:val="left" w:leader="none"/>
        </w:tabs>
        <w:spacing w:line="235" w:lineRule="auto" w:before="0" w:after="0"/>
        <w:ind w:left="734" w:right="1870" w:firstLine="0"/>
        <w:jc w:val="left"/>
        <w:rPr>
          <w:sz w:val="20"/>
        </w:rPr>
      </w:pPr>
      <w:r>
        <w:rPr>
          <w:w w:val="120"/>
          <w:sz w:val="20"/>
        </w:rPr>
        <w:t>General Assembly declares that the Church Meeting of each Local Church of the United Reformed Church in England and Wales is the relevant governing authority for the purpose of giving consent for the trustees of its building to seek the registration of that building for religious marriage ceremonies of same-sex couples, in accordance with the provisions of Section </w:t>
      </w:r>
      <w:r>
        <w:rPr>
          <w:spacing w:val="-7"/>
          <w:w w:val="120"/>
          <w:sz w:val="20"/>
        </w:rPr>
        <w:t>26A(1) </w:t>
      </w:r>
      <w:r>
        <w:rPr>
          <w:w w:val="120"/>
          <w:sz w:val="20"/>
        </w:rPr>
        <w:t>of the Marriage Act </w:t>
      </w:r>
      <w:r>
        <w:rPr>
          <w:spacing w:val="-6"/>
          <w:w w:val="120"/>
          <w:sz w:val="20"/>
        </w:rPr>
        <w:t>1949 </w:t>
      </w:r>
      <w:r>
        <w:rPr>
          <w:w w:val="120"/>
          <w:sz w:val="20"/>
        </w:rPr>
        <w:t>as amended by the Marriage (Same Sex </w:t>
      </w:r>
      <w:r>
        <w:rPr>
          <w:spacing w:val="-3"/>
          <w:w w:val="120"/>
          <w:sz w:val="20"/>
        </w:rPr>
        <w:t>Couples) </w:t>
      </w:r>
      <w:r>
        <w:rPr>
          <w:w w:val="120"/>
          <w:sz w:val="20"/>
        </w:rPr>
        <w:t>Act</w:t>
      </w:r>
      <w:r>
        <w:rPr>
          <w:spacing w:val="13"/>
          <w:w w:val="120"/>
          <w:sz w:val="20"/>
        </w:rPr>
        <w:t> </w:t>
      </w:r>
      <w:r>
        <w:rPr>
          <w:spacing w:val="-7"/>
          <w:w w:val="120"/>
          <w:sz w:val="20"/>
        </w:rPr>
        <w:t>2013.</w:t>
      </w:r>
    </w:p>
    <w:p>
      <w:pPr>
        <w:pStyle w:val="BodyText"/>
      </w:pPr>
    </w:p>
    <w:p>
      <w:pPr>
        <w:pStyle w:val="ListParagraph"/>
        <w:numPr>
          <w:ilvl w:val="2"/>
          <w:numId w:val="249"/>
        </w:numPr>
        <w:tabs>
          <w:tab w:pos="1414" w:val="left" w:leader="none"/>
          <w:tab w:pos="1416" w:val="left" w:leader="none"/>
        </w:tabs>
        <w:spacing w:line="235" w:lineRule="auto" w:before="1" w:after="0"/>
        <w:ind w:left="734" w:right="2137" w:firstLine="0"/>
        <w:jc w:val="left"/>
        <w:rPr>
          <w:sz w:val="20"/>
        </w:rPr>
      </w:pPr>
      <w:r>
        <w:rPr>
          <w:w w:val="120"/>
          <w:sz w:val="20"/>
        </w:rPr>
        <w:t>In the case of Local Ecumenical Partnerships and Union Churches, where the constitution makes no provision for a Church or Congregational Meeting (including     a Special or Extraordinary General Meeting) the relevant governing authority of the United Reformed Church under Section </w:t>
      </w:r>
      <w:r>
        <w:rPr>
          <w:spacing w:val="-7"/>
          <w:w w:val="120"/>
          <w:sz w:val="20"/>
        </w:rPr>
        <w:t>26A(1) </w:t>
      </w:r>
      <w:r>
        <w:rPr>
          <w:w w:val="120"/>
          <w:sz w:val="20"/>
        </w:rPr>
        <w:t>of the Marriage Act </w:t>
      </w:r>
      <w:r>
        <w:rPr>
          <w:spacing w:val="-6"/>
          <w:w w:val="120"/>
          <w:sz w:val="20"/>
        </w:rPr>
        <w:t>1949 </w:t>
      </w:r>
      <w:r>
        <w:rPr>
          <w:w w:val="120"/>
          <w:sz w:val="20"/>
        </w:rPr>
        <w:t>as amended by the Marriage (Same Sex </w:t>
      </w:r>
      <w:r>
        <w:rPr>
          <w:spacing w:val="-3"/>
          <w:w w:val="120"/>
          <w:sz w:val="20"/>
        </w:rPr>
        <w:t>Couples) </w:t>
      </w:r>
      <w:r>
        <w:rPr>
          <w:w w:val="120"/>
          <w:sz w:val="20"/>
        </w:rPr>
        <w:t>Act </w:t>
      </w:r>
      <w:r>
        <w:rPr>
          <w:spacing w:val="-8"/>
          <w:w w:val="120"/>
          <w:sz w:val="20"/>
        </w:rPr>
        <w:t>2013 </w:t>
      </w:r>
      <w:r>
        <w:rPr>
          <w:w w:val="120"/>
          <w:sz w:val="20"/>
        </w:rPr>
        <w:t>is the council which represents the widest gathering of members of that Church or Partnership. In case of doubt</w:t>
      </w:r>
      <w:r>
        <w:rPr>
          <w:spacing w:val="53"/>
          <w:w w:val="120"/>
          <w:sz w:val="20"/>
        </w:rPr>
        <w:t> </w:t>
      </w:r>
      <w:r>
        <w:rPr>
          <w:w w:val="120"/>
          <w:sz w:val="20"/>
        </w:rPr>
        <w:t>the</w:t>
      </w:r>
    </w:p>
    <w:p>
      <w:pPr>
        <w:pStyle w:val="BodyText"/>
        <w:spacing w:line="235" w:lineRule="auto" w:before="4"/>
        <w:ind w:left="734" w:right="2045"/>
      </w:pPr>
      <w:r>
        <w:rPr>
          <w:w w:val="120"/>
        </w:rPr>
        <w:t>council to act in this matter shall be jointly determined, in light of the LEP constitution and any sharing agreement, by the Moderator and Clerk of the synod on which that Church is represented.</w:t>
      </w:r>
    </w:p>
    <w:p>
      <w:pPr>
        <w:pStyle w:val="BodyText"/>
        <w:spacing w:before="10"/>
        <w:rPr>
          <w:sz w:val="19"/>
        </w:rPr>
      </w:pPr>
    </w:p>
    <w:p>
      <w:pPr>
        <w:pStyle w:val="ListParagraph"/>
        <w:numPr>
          <w:ilvl w:val="2"/>
          <w:numId w:val="249"/>
        </w:numPr>
        <w:tabs>
          <w:tab w:pos="1414" w:val="left" w:leader="none"/>
          <w:tab w:pos="1416" w:val="left" w:leader="none"/>
        </w:tabs>
        <w:spacing w:line="235" w:lineRule="auto" w:before="0" w:after="0"/>
        <w:ind w:left="734" w:right="1909" w:firstLine="0"/>
        <w:jc w:val="left"/>
        <w:rPr>
          <w:sz w:val="20"/>
        </w:rPr>
      </w:pPr>
      <w:r>
        <w:rPr>
          <w:w w:val="120"/>
          <w:sz w:val="20"/>
        </w:rPr>
        <w:t>Noting that Mission </w:t>
      </w:r>
      <w:r>
        <w:rPr>
          <w:spacing w:val="-3"/>
          <w:w w:val="120"/>
          <w:sz w:val="20"/>
        </w:rPr>
        <w:t>Council </w:t>
      </w:r>
      <w:r>
        <w:rPr>
          <w:w w:val="120"/>
          <w:sz w:val="20"/>
        </w:rPr>
        <w:t>has already </w:t>
      </w:r>
      <w:r>
        <w:rPr>
          <w:spacing w:val="-3"/>
          <w:w w:val="120"/>
          <w:sz w:val="20"/>
        </w:rPr>
        <w:t>recognised, </w:t>
      </w:r>
      <w:r>
        <w:rPr>
          <w:w w:val="120"/>
          <w:sz w:val="20"/>
        </w:rPr>
        <w:t>on behalf of General </w:t>
      </w:r>
      <w:r>
        <w:rPr>
          <w:spacing w:val="-3"/>
          <w:w w:val="120"/>
          <w:sz w:val="20"/>
        </w:rPr>
        <w:t>Assembly, </w:t>
      </w:r>
      <w:r>
        <w:rPr>
          <w:w w:val="120"/>
          <w:sz w:val="20"/>
        </w:rPr>
        <w:t>‘that if a future Assembly were </w:t>
      </w:r>
      <w:r>
        <w:rPr>
          <w:spacing w:val="-3"/>
          <w:w w:val="120"/>
          <w:sz w:val="20"/>
        </w:rPr>
        <w:t>to </w:t>
      </w:r>
      <w:r>
        <w:rPr>
          <w:w w:val="120"/>
          <w:sz w:val="20"/>
        </w:rPr>
        <w:t>allow for ministers and members of the </w:t>
      </w:r>
      <w:r>
        <w:rPr>
          <w:spacing w:val="-3"/>
          <w:w w:val="120"/>
          <w:sz w:val="20"/>
        </w:rPr>
        <w:t>United </w:t>
      </w:r>
      <w:r>
        <w:rPr>
          <w:w w:val="120"/>
          <w:sz w:val="20"/>
        </w:rPr>
        <w:t>Reformed </w:t>
      </w:r>
      <w:r>
        <w:rPr>
          <w:spacing w:val="-3"/>
          <w:w w:val="120"/>
          <w:sz w:val="20"/>
        </w:rPr>
        <w:t>Church to </w:t>
      </w:r>
      <w:r>
        <w:rPr>
          <w:w w:val="120"/>
          <w:sz w:val="20"/>
        </w:rPr>
        <w:t>solemnise same-sex marriages under Scots </w:t>
      </w:r>
      <w:r>
        <w:rPr>
          <w:spacing w:val="-4"/>
          <w:w w:val="120"/>
          <w:sz w:val="20"/>
        </w:rPr>
        <w:t>Law, </w:t>
      </w:r>
      <w:r>
        <w:rPr>
          <w:w w:val="120"/>
          <w:sz w:val="20"/>
        </w:rPr>
        <w:t>the </w:t>
      </w:r>
      <w:r>
        <w:rPr>
          <w:spacing w:val="-3"/>
          <w:w w:val="120"/>
          <w:sz w:val="20"/>
        </w:rPr>
        <w:t>Synod </w:t>
      </w:r>
      <w:r>
        <w:rPr>
          <w:w w:val="120"/>
          <w:sz w:val="20"/>
        </w:rPr>
        <w:t>of </w:t>
      </w:r>
      <w:r>
        <w:rPr>
          <w:spacing w:val="-3"/>
          <w:w w:val="120"/>
          <w:sz w:val="20"/>
        </w:rPr>
        <w:t>Scotland </w:t>
      </w:r>
      <w:r>
        <w:rPr>
          <w:w w:val="120"/>
          <w:sz w:val="20"/>
        </w:rPr>
        <w:t>would be the appropriate </w:t>
      </w:r>
      <w:r>
        <w:rPr>
          <w:spacing w:val="-3"/>
          <w:w w:val="120"/>
          <w:sz w:val="20"/>
        </w:rPr>
        <w:t>council </w:t>
      </w:r>
      <w:r>
        <w:rPr>
          <w:w w:val="120"/>
          <w:sz w:val="20"/>
        </w:rPr>
        <w:t>of the URC </w:t>
      </w:r>
      <w:r>
        <w:rPr>
          <w:spacing w:val="-3"/>
          <w:w w:val="120"/>
          <w:sz w:val="20"/>
        </w:rPr>
        <w:t>to </w:t>
      </w:r>
      <w:r>
        <w:rPr>
          <w:w w:val="120"/>
          <w:sz w:val="20"/>
        </w:rPr>
        <w:t>approach the Registrar General for </w:t>
      </w:r>
      <w:r>
        <w:rPr>
          <w:spacing w:val="-4"/>
          <w:w w:val="120"/>
          <w:sz w:val="20"/>
        </w:rPr>
        <w:t>Scotland’, </w:t>
      </w:r>
      <w:r>
        <w:rPr>
          <w:w w:val="120"/>
          <w:sz w:val="20"/>
        </w:rPr>
        <w:t>the General Assembly confirms that it now lies </w:t>
      </w:r>
      <w:r>
        <w:rPr>
          <w:spacing w:val="-2"/>
          <w:w w:val="120"/>
          <w:sz w:val="20"/>
        </w:rPr>
        <w:t>within </w:t>
      </w:r>
      <w:r>
        <w:rPr>
          <w:w w:val="120"/>
          <w:sz w:val="20"/>
        </w:rPr>
        <w:t>the</w:t>
      </w:r>
      <w:r>
        <w:rPr>
          <w:spacing w:val="-39"/>
          <w:w w:val="120"/>
          <w:sz w:val="20"/>
        </w:rPr>
        <w:t> </w:t>
      </w:r>
      <w:r>
        <w:rPr>
          <w:spacing w:val="-3"/>
          <w:w w:val="120"/>
          <w:sz w:val="20"/>
        </w:rPr>
        <w:t>competence</w:t>
      </w:r>
    </w:p>
    <w:p>
      <w:pPr>
        <w:pStyle w:val="BodyText"/>
        <w:spacing w:line="235" w:lineRule="auto" w:before="4"/>
        <w:ind w:left="734" w:right="2096"/>
      </w:pPr>
      <w:r>
        <w:rPr>
          <w:w w:val="120"/>
        </w:rPr>
        <w:t>of the National Synod of Scotland to nominate under Section 9(1A) of the Marriage (Scotland) Act 1977 as amended by the Marriage and Civil Partnership (Scotland) Act 2014 members of the United Reformed Church who have indicated their willingness in writing to the synod to be approved celebrants for the marriages of same-sex couples in Scotland.)</w:t>
      </w:r>
    </w:p>
    <w:p>
      <w:pPr>
        <w:spacing w:after="0" w:line="235" w:lineRule="auto"/>
        <w:sectPr>
          <w:headerReference w:type="even" r:id="rId632"/>
          <w:footerReference w:type="even" r:id="rId633"/>
          <w:footerReference w:type="default" r:id="rId634"/>
          <w:pgSz w:w="11910" w:h="16840"/>
          <w:pgMar w:header="0" w:footer="647" w:top="0" w:bottom="840" w:left="640" w:right="0"/>
          <w:pgNumType w:start="238"/>
        </w:sectPr>
      </w:pPr>
    </w:p>
    <w:p>
      <w:pPr>
        <w:spacing w:before="94"/>
        <w:ind w:left="0" w:right="1245" w:firstLine="0"/>
        <w:jc w:val="right"/>
        <w:rPr>
          <w:sz w:val="26"/>
        </w:rPr>
      </w:pPr>
      <w:r>
        <w:rPr/>
        <w:pict>
          <v:group style="position:absolute;margin-left:65.180000pt;margin-top:.000015pt;width:530.1pt;height:841.9pt;mso-position-horizontal-relative:page;mso-position-vertical-relative:page;z-index:-267469824" coordorigin="1304,0" coordsize="10602,16838">
            <v:shape style="position:absolute;left:1648;top:979;width:9372;height:11496" coordorigin="1649,979" coordsize="9372,11496" path="m1649,3032l10966,3032,10966,979,1649,979,1649,3032xm1703,12475l11020,12475,11020,10356,1703,10356,1703,12475xe" filled="false" stroked="true" strokeweight="1pt" strokecolor="#000000">
              <v:path arrowok="t"/>
              <v:stroke dashstyle="solid"/>
            </v:shape>
            <v:shape style="position:absolute;left:10984;top:0;width:922;height:16838" type="#_x0000_t75" stroked="false">
              <v:imagedata r:id="rId626" o:title=""/>
            </v:shape>
            <v:rect style="position:absolute;left:1303;top:912;width:9667;height:199" filled="true" fillcolor="#ffffff" stroked="false">
              <v:fill type="solid"/>
            </v:rect>
            <w10:wrap type="none"/>
          </v:group>
        </w:pict>
      </w:r>
      <w:r>
        <w:rPr/>
        <w:pict>
          <v:shape style="position:absolute;margin-left:554.141174pt;margin-top:21.993946pt;width:25.9pt;height:170.3pt;mso-position-horizontal-relative:page;mso-position-vertical-relative:paragraph;z-index:252301312" type="#_x0000_t202" filled="false" stroked="false">
            <v:textbox inset="0,0,0,0" style="layout-flow:vertical">
              <w:txbxContent>
                <w:p>
                  <w:pPr>
                    <w:spacing w:before="27"/>
                    <w:ind w:left="20" w:right="0" w:firstLine="0"/>
                    <w:jc w:val="left"/>
                    <w:rPr>
                      <w:sz w:val="39"/>
                    </w:rPr>
                  </w:pPr>
                  <w:r>
                    <w:rPr>
                      <w:color w:val="FFFFFF"/>
                      <w:w w:val="120"/>
                      <w:sz w:val="39"/>
                    </w:rPr>
                    <w:t>Resolutions 7-12</w:t>
                  </w:r>
                </w:p>
              </w:txbxContent>
            </v:textbox>
            <w10:wrap type="none"/>
          </v:shape>
        </w:pict>
      </w:r>
      <w:r>
        <w:rPr>
          <w:color w:val="7EAABF"/>
          <w:w w:val="110"/>
          <w:sz w:val="26"/>
        </w:rPr>
        <w:t>Resolutions</w:t>
      </w:r>
    </w:p>
    <w:p>
      <w:pPr>
        <w:pStyle w:val="ListParagraph"/>
        <w:numPr>
          <w:ilvl w:val="2"/>
          <w:numId w:val="249"/>
        </w:numPr>
        <w:tabs>
          <w:tab w:pos="2024" w:val="left" w:leader="none"/>
          <w:tab w:pos="2025" w:val="left" w:leader="none"/>
        </w:tabs>
        <w:spacing w:line="235" w:lineRule="auto" w:before="221" w:after="0"/>
        <w:ind w:left="1344" w:right="1269" w:firstLine="0"/>
        <w:jc w:val="left"/>
        <w:rPr>
          <w:sz w:val="20"/>
        </w:rPr>
      </w:pPr>
      <w:r>
        <w:rPr>
          <w:w w:val="120"/>
          <w:sz w:val="20"/>
        </w:rPr>
        <w:t>The General Assembly recalls that the trusts on which Local Church buildings are commonly held empower the Church Meeting to direct in what ways such a building is or is not to be used for public worship and ancillary</w:t>
      </w:r>
      <w:r>
        <w:rPr>
          <w:spacing w:val="31"/>
          <w:w w:val="120"/>
          <w:sz w:val="20"/>
        </w:rPr>
        <w:t> </w:t>
      </w:r>
      <w:r>
        <w:rPr>
          <w:w w:val="120"/>
          <w:sz w:val="20"/>
        </w:rPr>
        <w:t>purposes.</w:t>
      </w:r>
    </w:p>
    <w:p>
      <w:pPr>
        <w:pStyle w:val="BodyText"/>
        <w:spacing w:before="10"/>
        <w:rPr>
          <w:sz w:val="19"/>
        </w:rPr>
      </w:pPr>
    </w:p>
    <w:p>
      <w:pPr>
        <w:pStyle w:val="ListParagraph"/>
        <w:numPr>
          <w:ilvl w:val="2"/>
          <w:numId w:val="249"/>
        </w:numPr>
        <w:tabs>
          <w:tab w:pos="2024" w:val="left" w:leader="none"/>
          <w:tab w:pos="2025" w:val="left" w:leader="none"/>
        </w:tabs>
        <w:spacing w:line="235" w:lineRule="auto" w:before="0" w:after="0"/>
        <w:ind w:left="1344" w:right="1244" w:firstLine="0"/>
        <w:jc w:val="left"/>
        <w:rPr>
          <w:sz w:val="20"/>
        </w:rPr>
      </w:pPr>
      <w:r>
        <w:rPr>
          <w:w w:val="120"/>
          <w:sz w:val="20"/>
        </w:rPr>
        <w:t>The General Assembly authorises the General Secretary, the Clerk, or any Deputy General Secretary to sign and furnish a copy of this resolution </w:t>
      </w:r>
      <w:r>
        <w:rPr>
          <w:spacing w:val="-6"/>
          <w:w w:val="120"/>
          <w:sz w:val="20"/>
        </w:rPr>
        <w:t>(or </w:t>
      </w:r>
      <w:r>
        <w:rPr>
          <w:w w:val="120"/>
          <w:sz w:val="20"/>
        </w:rPr>
        <w:t>a relevant extract) in the name of the Assembly, whenever such a copy may be required by</w:t>
      </w:r>
      <w:r>
        <w:rPr>
          <w:spacing w:val="31"/>
          <w:w w:val="120"/>
          <w:sz w:val="20"/>
        </w:rPr>
        <w:t> </w:t>
      </w:r>
      <w:r>
        <w:rPr>
          <w:spacing w:val="-3"/>
          <w:w w:val="120"/>
          <w:sz w:val="20"/>
        </w:rPr>
        <w:t>law.</w:t>
      </w:r>
    </w:p>
    <w:p>
      <w:pPr>
        <w:pStyle w:val="BodyText"/>
        <w:spacing w:before="6"/>
        <w:rPr>
          <w:sz w:val="28"/>
        </w:rPr>
      </w:pPr>
      <w:r>
        <w:rPr/>
        <w:pict>
          <v:shape style="position:absolute;margin-left:83.138pt;margin-top:19.888836pt;width:465.85pt;height:92.4pt;mso-position-horizontal-relative:page;mso-position-vertical-relative:paragraph;z-index:-251020288;mso-wrap-distance-left:0;mso-wrap-distance-right:0" type="#_x0000_t202" filled="false" stroked="true" strokeweight="1pt" strokecolor="#000000">
            <v:textbox inset="0,0,0,0">
              <w:txbxContent>
                <w:p>
                  <w:pPr>
                    <w:spacing w:line="631" w:lineRule="exact" w:before="64"/>
                    <w:ind w:left="311" w:right="0" w:firstLine="0"/>
                    <w:jc w:val="left"/>
                    <w:rPr>
                      <w:rFonts w:ascii="Stone Sans II ITC Std Bk"/>
                      <w:b/>
                      <w:sz w:val="47"/>
                    </w:rPr>
                  </w:pPr>
                  <w:r>
                    <w:rPr>
                      <w:color w:val="7B4290"/>
                      <w:w w:val="115"/>
                      <w:sz w:val="39"/>
                    </w:rPr>
                    <w:t>Resolution </w:t>
                  </w:r>
                  <w:r>
                    <w:rPr>
                      <w:rFonts w:ascii="Stone Sans II ITC Std Bk"/>
                      <w:b/>
                      <w:color w:val="7B4290"/>
                      <w:w w:val="115"/>
                      <w:sz w:val="47"/>
                    </w:rPr>
                    <w:t>8</w:t>
                  </w:r>
                </w:p>
                <w:p>
                  <w:pPr>
                    <w:spacing w:line="266" w:lineRule="exact" w:before="0"/>
                    <w:ind w:left="311" w:right="0" w:firstLine="0"/>
                    <w:jc w:val="left"/>
                    <w:rPr>
                      <w:sz w:val="20"/>
                    </w:rPr>
                  </w:pPr>
                  <w:r>
                    <w:rPr>
                      <w:rFonts w:ascii="Stone Sans II ITC Std Bk"/>
                      <w:b/>
                      <w:w w:val="115"/>
                      <w:sz w:val="20"/>
                    </w:rPr>
                    <w:t>Church changes: Report </w:t>
                  </w:r>
                  <w:r>
                    <w:rPr>
                      <w:w w:val="115"/>
                      <w:sz w:val="20"/>
                    </w:rPr>
                    <w:t>(p.47)</w:t>
                  </w:r>
                </w:p>
                <w:p>
                  <w:pPr>
                    <w:pStyle w:val="BodyText"/>
                    <w:spacing w:before="6"/>
                    <w:rPr>
                      <w:sz w:val="18"/>
                    </w:rPr>
                  </w:pPr>
                </w:p>
                <w:p>
                  <w:pPr>
                    <w:pStyle w:val="BodyText"/>
                    <w:spacing w:line="235" w:lineRule="auto" w:before="1"/>
                    <w:ind w:left="311" w:right="634"/>
                  </w:pPr>
                  <w:r>
                    <w:rPr>
                      <w:w w:val="120"/>
                    </w:rPr>
                    <w:t>General Assembly notes the closures listed, with praise to God for the worship and witness offered by these fellowships across the years.</w:t>
                  </w:r>
                </w:p>
              </w:txbxContent>
            </v:textbox>
            <v:stroke dashstyle="solid"/>
            <w10:wrap type="topAndBottom"/>
          </v:shape>
        </w:pict>
      </w:r>
      <w:r>
        <w:rPr/>
        <w:pict>
          <v:shape style="position:absolute;margin-left:84.138pt;margin-top:124.342834pt;width:462.45pt;height:123.25pt;mso-position-horizontal-relative:page;mso-position-vertical-relative:paragraph;z-index:-251019264;mso-wrap-distance-left:0;mso-wrap-distance-right:0" type="#_x0000_t202" filled="false" stroked="true" strokeweight="1pt" strokecolor="#000000">
            <v:textbox inset="0,0,0,0">
              <w:txbxContent>
                <w:p>
                  <w:pPr>
                    <w:spacing w:line="631" w:lineRule="exact" w:before="49"/>
                    <w:ind w:left="291" w:right="0" w:firstLine="0"/>
                    <w:jc w:val="left"/>
                    <w:rPr>
                      <w:rFonts w:ascii="Stone Sans II ITC Std Bk"/>
                      <w:b/>
                      <w:sz w:val="47"/>
                    </w:rPr>
                  </w:pPr>
                  <w:r>
                    <w:rPr>
                      <w:color w:val="7B4290"/>
                      <w:w w:val="115"/>
                      <w:sz w:val="39"/>
                    </w:rPr>
                    <w:t>Resolution </w:t>
                  </w:r>
                  <w:r>
                    <w:rPr>
                      <w:rFonts w:ascii="Stone Sans II ITC Std Bk"/>
                      <w:b/>
                      <w:color w:val="7B4290"/>
                      <w:w w:val="115"/>
                      <w:sz w:val="47"/>
                    </w:rPr>
                    <w:t>9</w:t>
                  </w:r>
                </w:p>
                <w:p>
                  <w:pPr>
                    <w:spacing w:line="266" w:lineRule="exact" w:before="0"/>
                    <w:ind w:left="291" w:right="0" w:firstLine="0"/>
                    <w:jc w:val="left"/>
                    <w:rPr>
                      <w:sz w:val="20"/>
                    </w:rPr>
                  </w:pPr>
                  <w:r>
                    <w:rPr>
                      <w:rFonts w:ascii="Stone Sans II ITC Std Bk"/>
                      <w:b/>
                      <w:w w:val="115"/>
                      <w:sz w:val="20"/>
                    </w:rPr>
                    <w:t>Assembly arrangements committee: Report </w:t>
                  </w:r>
                  <w:r>
                    <w:rPr>
                      <w:w w:val="115"/>
                      <w:sz w:val="20"/>
                    </w:rPr>
                    <w:t>(p.50)</w:t>
                  </w:r>
                </w:p>
                <w:p>
                  <w:pPr>
                    <w:pStyle w:val="BodyText"/>
                    <w:spacing w:before="6"/>
                    <w:rPr>
                      <w:sz w:val="18"/>
                    </w:rPr>
                  </w:pPr>
                </w:p>
                <w:p>
                  <w:pPr>
                    <w:pStyle w:val="BodyText"/>
                    <w:spacing w:line="235" w:lineRule="auto"/>
                    <w:ind w:left="291" w:right="423"/>
                  </w:pPr>
                  <w:r>
                    <w:rPr>
                      <w:w w:val="120"/>
                    </w:rPr>
                    <w:t>In order that the </w:t>
                  </w:r>
                  <w:r>
                    <w:rPr>
                      <w:i/>
                      <w:w w:val="120"/>
                    </w:rPr>
                    <w:t>Book of Reports </w:t>
                  </w:r>
                  <w:r>
                    <w:rPr>
                      <w:w w:val="120"/>
                    </w:rPr>
                    <w:t>should be as accessible as possible, General Assembly requests that every </w:t>
                  </w:r>
                  <w:r>
                    <w:rPr>
                      <w:spacing w:val="2"/>
                      <w:w w:val="120"/>
                    </w:rPr>
                    <w:t>report </w:t>
                  </w:r>
                  <w:r>
                    <w:rPr>
                      <w:w w:val="120"/>
                    </w:rPr>
                    <w:t>on which a decision is invited should include a</w:t>
                  </w:r>
                  <w:r>
                    <w:rPr>
                      <w:spacing w:val="53"/>
                      <w:w w:val="120"/>
                    </w:rPr>
                    <w:t> </w:t>
                  </w:r>
                  <w:r>
                    <w:rPr>
                      <w:w w:val="120"/>
                    </w:rPr>
                    <w:t>summary</w:t>
                  </w:r>
                </w:p>
                <w:p>
                  <w:pPr>
                    <w:pStyle w:val="BodyText"/>
                    <w:spacing w:line="235" w:lineRule="auto" w:before="1"/>
                    <w:ind w:left="291" w:right="698"/>
                  </w:pPr>
                  <w:r>
                    <w:rPr>
                      <w:w w:val="120"/>
                    </w:rPr>
                    <w:t>of its main points in not more than 250 words on a cover sheet. Assembly gives to the General Secretary, as editor, authority to vary this guideline in appropriately exceptional cases.</w:t>
                  </w:r>
                </w:p>
              </w:txbxContent>
            </v:textbox>
            <v:stroke dashstyle="solid"/>
            <w10:wrap type="topAndBottom"/>
          </v:shape>
        </w:pict>
      </w:r>
      <w:r>
        <w:rPr/>
        <w:pict>
          <v:shape style="position:absolute;margin-left:85.556pt;margin-top:260.874847pt;width:462.45pt;height:102.65pt;mso-position-horizontal-relative:page;mso-position-vertical-relative:paragraph;z-index:-251018240;mso-wrap-distance-left:0;mso-wrap-distance-right:0" type="#_x0000_t202" filled="false" stroked="true" strokeweight="1pt" strokecolor="#000000">
            <v:textbox inset="0,0,0,0">
              <w:txbxContent>
                <w:p>
                  <w:pPr>
                    <w:spacing w:line="631" w:lineRule="exact" w:before="111"/>
                    <w:ind w:left="263" w:right="0" w:firstLine="0"/>
                    <w:jc w:val="left"/>
                    <w:rPr>
                      <w:rFonts w:ascii="Stone Sans II ITC Std Bk"/>
                      <w:b/>
                      <w:sz w:val="47"/>
                    </w:rPr>
                  </w:pPr>
                  <w:r>
                    <w:rPr>
                      <w:color w:val="7B4290"/>
                      <w:spacing w:val="-5"/>
                      <w:w w:val="115"/>
                      <w:sz w:val="39"/>
                    </w:rPr>
                    <w:t>Resolution </w:t>
                  </w:r>
                  <w:r>
                    <w:rPr>
                      <w:rFonts w:ascii="Stone Sans II ITC Std Bk"/>
                      <w:b/>
                      <w:color w:val="7B4290"/>
                      <w:spacing w:val="-32"/>
                      <w:w w:val="115"/>
                      <w:sz w:val="47"/>
                    </w:rPr>
                    <w:t>10</w:t>
                  </w:r>
                </w:p>
                <w:p>
                  <w:pPr>
                    <w:spacing w:line="266" w:lineRule="exact" w:before="0"/>
                    <w:ind w:left="263" w:right="0" w:firstLine="0"/>
                    <w:jc w:val="left"/>
                    <w:rPr>
                      <w:sz w:val="20"/>
                    </w:rPr>
                  </w:pPr>
                  <w:r>
                    <w:rPr>
                      <w:rFonts w:ascii="Stone Sans II ITC Std Bk"/>
                      <w:b/>
                      <w:w w:val="115"/>
                      <w:sz w:val="20"/>
                    </w:rPr>
                    <w:t>Assembly arrangements committee: Report </w:t>
                  </w:r>
                  <w:r>
                    <w:rPr>
                      <w:w w:val="115"/>
                      <w:sz w:val="20"/>
                    </w:rPr>
                    <w:t>(p.50)</w:t>
                  </w:r>
                </w:p>
                <w:p>
                  <w:pPr>
                    <w:pStyle w:val="BodyText"/>
                    <w:spacing w:before="6"/>
                    <w:rPr>
                      <w:sz w:val="18"/>
                    </w:rPr>
                  </w:pPr>
                </w:p>
                <w:p>
                  <w:pPr>
                    <w:pStyle w:val="BodyText"/>
                    <w:spacing w:line="235" w:lineRule="auto" w:before="1"/>
                    <w:ind w:left="263" w:right="698"/>
                  </w:pPr>
                  <w:r>
                    <w:rPr>
                      <w:w w:val="120"/>
                    </w:rPr>
                    <w:t>Assembly agrees that the General Assembly in 2018 will meet in the Albert Hall, Nottingham from 6 to 9 July 2018 or at such other place or on such other date as may be necessary.</w:t>
                  </w:r>
                </w:p>
              </w:txbxContent>
            </v:textbox>
            <v:stroke dashstyle="solid"/>
            <w10:wrap type="topAndBottom"/>
          </v:shape>
        </w:pict>
      </w:r>
    </w:p>
    <w:p>
      <w:pPr>
        <w:pStyle w:val="BodyText"/>
        <w:spacing w:before="7"/>
        <w:rPr>
          <w:sz w:val="12"/>
        </w:rPr>
      </w:pPr>
    </w:p>
    <w:p>
      <w:pPr>
        <w:pStyle w:val="BodyText"/>
        <w:spacing w:before="6"/>
        <w:rPr>
          <w:sz w:val="14"/>
        </w:rPr>
      </w:pPr>
    </w:p>
    <w:p>
      <w:pPr>
        <w:pStyle w:val="BodyText"/>
        <w:spacing w:before="1"/>
        <w:rPr>
          <w:sz w:val="21"/>
        </w:rPr>
      </w:pPr>
    </w:p>
    <w:p>
      <w:pPr>
        <w:spacing w:line="631" w:lineRule="exact" w:before="86"/>
        <w:ind w:left="1344" w:right="0" w:firstLine="0"/>
        <w:jc w:val="left"/>
        <w:rPr>
          <w:rFonts w:ascii="Stone Sans II ITC Std Bk"/>
          <w:b/>
          <w:sz w:val="47"/>
        </w:rPr>
      </w:pPr>
      <w:r>
        <w:rPr>
          <w:color w:val="7B4290"/>
          <w:spacing w:val="-5"/>
          <w:w w:val="115"/>
          <w:sz w:val="39"/>
        </w:rPr>
        <w:t>Resolution </w:t>
      </w:r>
      <w:r>
        <w:rPr>
          <w:rFonts w:ascii="Stone Sans II ITC Std Bk"/>
          <w:b/>
          <w:color w:val="7B4290"/>
          <w:spacing w:val="-61"/>
          <w:w w:val="115"/>
          <w:sz w:val="47"/>
        </w:rPr>
        <w:t>11</w:t>
      </w:r>
    </w:p>
    <w:p>
      <w:pPr>
        <w:pStyle w:val="Heading7"/>
        <w:spacing w:line="266" w:lineRule="exact"/>
        <w:ind w:left="1344"/>
        <w:rPr>
          <w:rFonts w:ascii="Calibri"/>
          <w:b w:val="0"/>
        </w:rPr>
      </w:pPr>
      <w:r>
        <w:rPr>
          <w:w w:val="110"/>
        </w:rPr>
        <w:t>Communications and editorial committee: Towards resourcing the Church </w:t>
      </w:r>
      <w:r>
        <w:rPr>
          <w:rFonts w:ascii="Calibri"/>
          <w:b w:val="0"/>
          <w:w w:val="110"/>
        </w:rPr>
        <w:t>(p.60)</w:t>
      </w:r>
    </w:p>
    <w:p>
      <w:pPr>
        <w:pStyle w:val="BodyText"/>
        <w:spacing w:before="6"/>
        <w:rPr>
          <w:sz w:val="18"/>
        </w:rPr>
      </w:pPr>
    </w:p>
    <w:p>
      <w:pPr>
        <w:pStyle w:val="BodyText"/>
        <w:spacing w:line="235" w:lineRule="auto"/>
        <w:ind w:left="1344" w:right="1694"/>
      </w:pPr>
      <w:r>
        <w:rPr>
          <w:w w:val="120"/>
        </w:rPr>
        <w:t>General Assembly changes the name of the communication and editorial committee to the communications committee with immediate effect, and authorises any consequent changes.</w:t>
      </w:r>
    </w:p>
    <w:p>
      <w:pPr>
        <w:pStyle w:val="BodyText"/>
        <w:spacing w:before="4"/>
        <w:rPr>
          <w:sz w:val="26"/>
        </w:rPr>
      </w:pPr>
      <w:r>
        <w:rPr/>
        <w:pict>
          <v:shape style="position:absolute;margin-left:83.847pt;margin-top:18.564837pt;width:465.85pt;height:92.4pt;mso-position-horizontal-relative:page;mso-position-vertical-relative:paragraph;z-index:-251017216;mso-wrap-distance-left:0;mso-wrap-distance-right:0" type="#_x0000_t202" filled="false" stroked="true" strokeweight="1pt" strokecolor="#000000">
            <v:textbox inset="0,0,0,0">
              <w:txbxContent>
                <w:p>
                  <w:pPr>
                    <w:spacing w:line="631" w:lineRule="exact" w:before="90"/>
                    <w:ind w:left="297" w:right="0" w:firstLine="0"/>
                    <w:jc w:val="left"/>
                    <w:rPr>
                      <w:rFonts w:ascii="Stone Sans II ITC Std Bk"/>
                      <w:b/>
                      <w:sz w:val="47"/>
                    </w:rPr>
                  </w:pPr>
                  <w:r>
                    <w:rPr>
                      <w:color w:val="7B4290"/>
                      <w:spacing w:val="-5"/>
                      <w:w w:val="115"/>
                      <w:sz w:val="39"/>
                    </w:rPr>
                    <w:t>Resolution </w:t>
                  </w:r>
                  <w:r>
                    <w:rPr>
                      <w:rFonts w:ascii="Stone Sans II ITC Std Bk"/>
                      <w:b/>
                      <w:color w:val="7B4290"/>
                      <w:spacing w:val="-48"/>
                      <w:w w:val="115"/>
                      <w:sz w:val="47"/>
                    </w:rPr>
                    <w:t>12</w:t>
                  </w:r>
                </w:p>
                <w:p>
                  <w:pPr>
                    <w:spacing w:line="266" w:lineRule="exact" w:before="0"/>
                    <w:ind w:left="297" w:right="0" w:firstLine="0"/>
                    <w:jc w:val="left"/>
                    <w:rPr>
                      <w:sz w:val="20"/>
                    </w:rPr>
                  </w:pPr>
                  <w:r>
                    <w:rPr>
                      <w:rFonts w:ascii="Stone Sans II ITC Std Bk"/>
                      <w:b/>
                      <w:w w:val="110"/>
                      <w:sz w:val="20"/>
                    </w:rPr>
                    <w:t>Communications and editorial committee: Towards resourcing the Church </w:t>
                  </w:r>
                  <w:r>
                    <w:rPr>
                      <w:w w:val="110"/>
                      <w:sz w:val="20"/>
                    </w:rPr>
                    <w:t>(p.60)</w:t>
                  </w:r>
                </w:p>
                <w:p>
                  <w:pPr>
                    <w:pStyle w:val="BodyText"/>
                    <w:spacing w:before="6"/>
                    <w:rPr>
                      <w:sz w:val="18"/>
                    </w:rPr>
                  </w:pPr>
                </w:p>
                <w:p>
                  <w:pPr>
                    <w:pStyle w:val="BodyText"/>
                    <w:spacing w:line="235" w:lineRule="auto" w:before="1"/>
                    <w:ind w:left="297" w:right="1212"/>
                  </w:pPr>
                  <w:r>
                    <w:rPr>
                      <w:w w:val="120"/>
                    </w:rPr>
                    <w:t>General Assembly commends iChurch, as its preferred website supplier, to local churches, affiliated groups and the synods.</w:t>
                  </w:r>
                </w:p>
              </w:txbxContent>
            </v:textbox>
            <v:stroke dashstyle="solid"/>
            <w10:wrap type="topAndBottom"/>
          </v:shape>
        </w:pict>
      </w:r>
    </w:p>
    <w:p>
      <w:pPr>
        <w:spacing w:after="0"/>
        <w:rPr>
          <w:sz w:val="26"/>
        </w:rPr>
        <w:sectPr>
          <w:headerReference w:type="default" r:id="rId635"/>
          <w:pgSz w:w="11910" w:h="16840"/>
          <w:pgMar w:header="0" w:footer="647" w:top="520" w:bottom="840" w:left="640" w:right="0"/>
        </w:sectPr>
      </w:pPr>
    </w:p>
    <w:p>
      <w:pPr>
        <w:pStyle w:val="BodyText"/>
      </w:pPr>
      <w:r>
        <w:rPr/>
        <w:drawing>
          <wp:anchor distT="0" distB="0" distL="0" distR="0" allowOverlap="1" layoutInCell="1" locked="0" behindDoc="1" simplePos="0" relativeHeight="235870208">
            <wp:simplePos x="0" y="0"/>
            <wp:positionH relativeFrom="page">
              <wp:posOffset>0</wp:posOffset>
            </wp:positionH>
            <wp:positionV relativeFrom="page">
              <wp:posOffset>0</wp:posOffset>
            </wp:positionV>
            <wp:extent cx="594067" cy="10692003"/>
            <wp:effectExtent l="0" t="0" r="0" b="0"/>
            <wp:wrapNone/>
            <wp:docPr id="451" name="image77.png"/>
            <wp:cNvGraphicFramePr>
              <a:graphicFrameLocks noChangeAspect="1"/>
            </wp:cNvGraphicFramePr>
            <a:graphic>
              <a:graphicData uri="http://schemas.openxmlformats.org/drawingml/2006/picture">
                <pic:pic>
                  <pic:nvPicPr>
                    <pic:cNvPr id="452" name="image77.png"/>
                    <pic:cNvPicPr/>
                  </pic:nvPicPr>
                  <pic:blipFill>
                    <a:blip r:embed="rId630" cstate="print"/>
                    <a:stretch>
                      <a:fillRect/>
                    </a:stretch>
                  </pic:blipFill>
                  <pic:spPr>
                    <a:xfrm>
                      <a:off x="0" y="0"/>
                      <a:ext cx="594067" cy="10692003"/>
                    </a:xfrm>
                    <a:prstGeom prst="rect">
                      <a:avLst/>
                    </a:prstGeom>
                  </pic:spPr>
                </pic:pic>
              </a:graphicData>
            </a:graphic>
          </wp:anchor>
        </w:drawing>
      </w:r>
      <w:r>
        <w:rPr/>
        <w:pict>
          <v:shape style="position:absolute;margin-left:20.519100pt;margin-top:48.890015pt;width:25.9pt;height:183.25pt;mso-position-horizontal-relative:page;mso-position-vertical-relative:page;z-index:-267445248" type="#_x0000_t202" filled="false" stroked="false">
            <v:textbox inset="0,0,0,0" style="layout-flow:vertical">
              <w:txbxContent>
                <w:p>
                  <w:pPr>
                    <w:spacing w:before="27"/>
                    <w:ind w:left="20" w:right="0" w:firstLine="0"/>
                    <w:jc w:val="left"/>
                    <w:rPr>
                      <w:sz w:val="39"/>
                    </w:rPr>
                  </w:pPr>
                  <w:r>
                    <w:rPr>
                      <w:color w:val="FFFFFF"/>
                      <w:w w:val="120"/>
                      <w:sz w:val="39"/>
                    </w:rPr>
                    <w:t>Resolutions 13-16</w:t>
                  </w:r>
                </w:p>
              </w:txbxContent>
            </v:textbox>
            <w10:wrap type="none"/>
          </v:shape>
        </w:pict>
      </w:r>
    </w:p>
    <w:p>
      <w:pPr>
        <w:pStyle w:val="BodyText"/>
        <w:spacing w:before="7"/>
        <w:rPr>
          <w:sz w:val="21"/>
        </w:rPr>
      </w:pPr>
    </w:p>
    <w:p>
      <w:pPr>
        <w:spacing w:before="106"/>
        <w:ind w:left="607" w:right="0" w:firstLine="0"/>
        <w:jc w:val="left"/>
        <w:rPr>
          <w:sz w:val="26"/>
        </w:rPr>
      </w:pPr>
      <w:r>
        <w:rPr>
          <w:color w:val="7EAABF"/>
          <w:w w:val="115"/>
          <w:sz w:val="26"/>
        </w:rPr>
        <w:t>Resolutions</w:t>
      </w:r>
    </w:p>
    <w:p>
      <w:pPr>
        <w:pStyle w:val="BodyText"/>
        <w:spacing w:before="3"/>
        <w:rPr>
          <w:sz w:val="14"/>
        </w:rPr>
      </w:pPr>
      <w:r>
        <w:rPr/>
        <w:pict>
          <v:group style="position:absolute;margin-left:55.709pt;margin-top:10.675446pt;width:466.85pt;height:163pt;mso-position-horizontal-relative:page;mso-position-vertical-relative:paragraph;z-index:-251006976;mso-wrap-distance-left:0;mso-wrap-distance-right:0" coordorigin="1114,214" coordsize="9337,3260">
            <v:rect style="position:absolute;left:1124;top:223;width:9317;height:3240" filled="false" stroked="true" strokeweight="1pt" strokecolor="#000000">
              <v:stroke dashstyle="solid"/>
            </v:rect>
            <v:shape style="position:absolute;left:1374;top:3092;width:8340;height:240" type="#_x0000_t202" filled="false" stroked="false">
              <v:textbox inset="0,0,0,0">
                <w:txbxContent>
                  <w:p>
                    <w:pPr>
                      <w:spacing w:line="240" w:lineRule="exact" w:before="0"/>
                      <w:ind w:left="0" w:right="0" w:firstLine="0"/>
                      <w:jc w:val="left"/>
                      <w:rPr>
                        <w:sz w:val="20"/>
                      </w:rPr>
                    </w:pPr>
                    <w:r>
                      <w:rPr>
                        <w:w w:val="120"/>
                        <w:sz w:val="20"/>
                      </w:rPr>
                      <w:t>necessary consultation and drafting work to enable Mission Council to fulfil this task.</w:t>
                    </w:r>
                  </w:p>
                </w:txbxContent>
              </v:textbox>
              <w10:wrap type="none"/>
            </v:shape>
            <v:shape style="position:absolute;left:2055;top:2852;width:7848;height:240" type="#_x0000_t202" filled="false" stroked="false">
              <v:textbox inset="0,0,0,0">
                <w:txbxContent>
                  <w:p>
                    <w:pPr>
                      <w:spacing w:line="240" w:lineRule="exact" w:before="0"/>
                      <w:ind w:left="0" w:right="0" w:firstLine="0"/>
                      <w:jc w:val="left"/>
                      <w:rPr>
                        <w:sz w:val="20"/>
                      </w:rPr>
                    </w:pPr>
                    <w:r>
                      <w:rPr>
                        <w:w w:val="120"/>
                        <w:sz w:val="20"/>
                      </w:rPr>
                      <w:t>instructs the ministries and education and learning committees to carry out the</w:t>
                    </w:r>
                  </w:p>
                </w:txbxContent>
              </v:textbox>
              <w10:wrap type="none"/>
            </v:shape>
            <v:shape style="position:absolute;left:1374;top:2852;width:228;height:240" type="#_x0000_t202" filled="false" stroked="false">
              <v:textbox inset="0,0,0,0">
                <w:txbxContent>
                  <w:p>
                    <w:pPr>
                      <w:spacing w:line="240" w:lineRule="exact" w:before="0"/>
                      <w:ind w:left="0" w:right="0" w:firstLine="0"/>
                      <w:jc w:val="left"/>
                      <w:rPr>
                        <w:sz w:val="20"/>
                      </w:rPr>
                    </w:pPr>
                    <w:r>
                      <w:rPr>
                        <w:w w:val="135"/>
                        <w:sz w:val="20"/>
                      </w:rPr>
                      <w:t>b)</w:t>
                    </w:r>
                  </w:p>
                </w:txbxContent>
              </v:textbox>
              <w10:wrap type="none"/>
            </v:shape>
            <v:shape style="position:absolute;left:1374;top:2372;width:2250;height:240" type="#_x0000_t202" filled="false" stroked="false">
              <v:textbox inset="0,0,0,0">
                <w:txbxContent>
                  <w:p>
                    <w:pPr>
                      <w:spacing w:line="240" w:lineRule="exact" w:before="0"/>
                      <w:ind w:left="0" w:right="0" w:firstLine="0"/>
                      <w:jc w:val="left"/>
                      <w:rPr>
                        <w:sz w:val="20"/>
                      </w:rPr>
                    </w:pPr>
                    <w:r>
                      <w:rPr>
                        <w:w w:val="120"/>
                        <w:sz w:val="20"/>
                      </w:rPr>
                      <w:t>Word and Sacraments;</w:t>
                    </w:r>
                  </w:p>
                </w:txbxContent>
              </v:textbox>
              <w10:wrap type="none"/>
            </v:shape>
            <v:shape style="position:absolute;left:2055;top:2132;width:7856;height:240" type="#_x0000_t202" filled="false" stroked="false">
              <v:textbox inset="0,0,0,0">
                <w:txbxContent>
                  <w:p>
                    <w:pPr>
                      <w:spacing w:line="240" w:lineRule="exact" w:before="0"/>
                      <w:ind w:left="0" w:right="0" w:firstLine="0"/>
                      <w:jc w:val="left"/>
                      <w:rPr>
                        <w:sz w:val="20"/>
                      </w:rPr>
                    </w:pPr>
                    <w:r>
                      <w:rPr>
                        <w:w w:val="120"/>
                        <w:sz w:val="20"/>
                      </w:rPr>
                      <w:t>directs Mission Council to agree a statement on the expectations of ministers of</w:t>
                    </w:r>
                  </w:p>
                </w:txbxContent>
              </v:textbox>
              <w10:wrap type="none"/>
            </v:shape>
            <v:shape style="position:absolute;left:1374;top:2132;width:205;height:240" type="#_x0000_t202" filled="false" stroked="false">
              <v:textbox inset="0,0,0,0">
                <w:txbxContent>
                  <w:p>
                    <w:pPr>
                      <w:spacing w:line="240" w:lineRule="exact" w:before="0"/>
                      <w:ind w:left="0" w:right="0" w:firstLine="0"/>
                      <w:jc w:val="left"/>
                      <w:rPr>
                        <w:sz w:val="20"/>
                      </w:rPr>
                    </w:pPr>
                    <w:r>
                      <w:rPr>
                        <w:w w:val="130"/>
                        <w:sz w:val="20"/>
                      </w:rPr>
                      <w:t>a)</w:t>
                    </w:r>
                  </w:p>
                </w:txbxContent>
              </v:textbox>
              <w10:wrap type="none"/>
            </v:shape>
            <v:shape style="position:absolute;left:1374;top:307;width:8940;height:1586" type="#_x0000_t202" filled="false" stroked="false">
              <v:textbox inset="0,0,0,0">
                <w:txbxContent>
                  <w:p>
                    <w:pPr>
                      <w:spacing w:line="617" w:lineRule="exact" w:before="0"/>
                      <w:ind w:left="0" w:right="0" w:firstLine="0"/>
                      <w:jc w:val="left"/>
                      <w:rPr>
                        <w:rFonts w:ascii="Stone Sans II ITC Std Bk"/>
                        <w:b/>
                        <w:sz w:val="47"/>
                      </w:rPr>
                    </w:pPr>
                    <w:r>
                      <w:rPr>
                        <w:color w:val="7B4290"/>
                        <w:spacing w:val="-5"/>
                        <w:w w:val="115"/>
                        <w:sz w:val="39"/>
                      </w:rPr>
                      <w:t>Resolution </w:t>
                    </w:r>
                    <w:r>
                      <w:rPr>
                        <w:rFonts w:ascii="Stone Sans II ITC Std Bk"/>
                        <w:b/>
                        <w:color w:val="7B4290"/>
                        <w:spacing w:val="-51"/>
                        <w:w w:val="115"/>
                        <w:sz w:val="47"/>
                      </w:rPr>
                      <w:t>13</w:t>
                    </w:r>
                  </w:p>
                  <w:p>
                    <w:pPr>
                      <w:spacing w:line="257" w:lineRule="exact" w:before="0"/>
                      <w:ind w:left="0" w:right="0" w:firstLine="0"/>
                      <w:jc w:val="left"/>
                      <w:rPr>
                        <w:rFonts w:ascii="Stone Sans II ITC Std Bk"/>
                        <w:b/>
                        <w:sz w:val="20"/>
                      </w:rPr>
                    </w:pPr>
                    <w:r>
                      <w:rPr>
                        <w:rFonts w:ascii="Stone Sans II ITC Std Bk"/>
                        <w:b/>
                        <w:w w:val="110"/>
                        <w:sz w:val="20"/>
                      </w:rPr>
                      <w:t>Education and learning committee: Twenty first century expectations for ministry</w:t>
                    </w:r>
                  </w:p>
                  <w:p>
                    <w:pPr>
                      <w:spacing w:line="235" w:lineRule="exact" w:before="0"/>
                      <w:ind w:left="0" w:right="0" w:firstLine="0"/>
                      <w:jc w:val="left"/>
                      <w:rPr>
                        <w:sz w:val="20"/>
                      </w:rPr>
                    </w:pPr>
                    <w:r>
                      <w:rPr>
                        <w:w w:val="130"/>
                        <w:sz w:val="20"/>
                      </w:rPr>
                      <w:t>(p.78)</w:t>
                    </w:r>
                  </w:p>
                  <w:p>
                    <w:pPr>
                      <w:spacing w:line="240" w:lineRule="auto" w:before="3"/>
                      <w:rPr>
                        <w:sz w:val="19"/>
                      </w:rPr>
                    </w:pPr>
                  </w:p>
                  <w:p>
                    <w:pPr>
                      <w:spacing w:line="240" w:lineRule="exact" w:before="1"/>
                      <w:ind w:left="0" w:right="0" w:firstLine="0"/>
                      <w:jc w:val="left"/>
                      <w:rPr>
                        <w:sz w:val="20"/>
                      </w:rPr>
                    </w:pPr>
                    <w:r>
                      <w:rPr>
                        <w:w w:val="120"/>
                        <w:sz w:val="20"/>
                      </w:rPr>
                      <w:t>In the light of the discussion of the papers on expectations of ministers, General Assembly:</w:t>
                    </w:r>
                  </w:p>
                </w:txbxContent>
              </v:textbox>
              <w10:wrap type="none"/>
            </v:shape>
            <w10:wrap type="topAndBottom"/>
          </v:group>
        </w:pict>
      </w:r>
      <w:r>
        <w:rPr/>
        <w:pict>
          <v:group style="position:absolute;margin-left:55.709pt;margin-top:184.886444pt;width:466.85pt;height:297.8pt;mso-position-horizontal-relative:page;mso-position-vertical-relative:paragraph;z-index:-250995712;mso-wrap-distance-left:0;mso-wrap-distance-right:0" coordorigin="1114,3698" coordsize="9337,5956">
            <v:rect style="position:absolute;left:1124;top:3707;width:9317;height:5936" filled="false" stroked="true" strokeweight="1pt" strokecolor="#000000">
              <v:stroke dashstyle="solid"/>
            </v:rect>
            <v:shape style="position:absolute;left:1374;top:8526;width:9035;height:960" type="#_x0000_t202" filled="false" stroked="false">
              <v:textbox inset="0,0,0,0">
                <w:txbxContent>
                  <w:p>
                    <w:pPr>
                      <w:spacing w:line="235" w:lineRule="auto" w:before="3"/>
                      <w:ind w:left="0" w:right="-15" w:firstLine="0"/>
                      <w:jc w:val="left"/>
                      <w:rPr>
                        <w:sz w:val="20"/>
                      </w:rPr>
                    </w:pPr>
                    <w:r>
                      <w:rPr>
                        <w:w w:val="120"/>
                        <w:sz w:val="20"/>
                      </w:rPr>
                      <w:t>congregation concerned, should be for an initial period of three to five years (according to synod judgement), including a probationary year on first appointment, with the possibility of renewal. Before renewal there should be consultation by the synod with the congregation, and a review of its needs.</w:t>
                    </w:r>
                  </w:p>
                </w:txbxContent>
              </v:textbox>
              <w10:wrap type="none"/>
            </v:shape>
            <v:shape style="position:absolute;left:2055;top:8286;width:8301;height:240" type="#_x0000_t202" filled="false" stroked="false">
              <v:textbox inset="0,0,0,0">
                <w:txbxContent>
                  <w:p>
                    <w:pPr>
                      <w:spacing w:line="240" w:lineRule="exact" w:before="0"/>
                      <w:ind w:left="0" w:right="0" w:firstLine="0"/>
                      <w:jc w:val="left"/>
                      <w:rPr>
                        <w:sz w:val="20"/>
                      </w:rPr>
                    </w:pPr>
                    <w:r>
                      <w:rPr>
                        <w:w w:val="120"/>
                        <w:sz w:val="20"/>
                      </w:rPr>
                      <w:t>authorisation</w:t>
                    </w:r>
                    <w:r>
                      <w:rPr>
                        <w:spacing w:val="-8"/>
                        <w:w w:val="120"/>
                        <w:sz w:val="20"/>
                      </w:rPr>
                      <w:t> </w:t>
                    </w:r>
                    <w:r>
                      <w:rPr>
                        <w:w w:val="120"/>
                        <w:sz w:val="20"/>
                      </w:rPr>
                      <w:t>for</w:t>
                    </w:r>
                    <w:r>
                      <w:rPr>
                        <w:spacing w:val="-8"/>
                        <w:w w:val="120"/>
                        <w:sz w:val="20"/>
                      </w:rPr>
                      <w:t> </w:t>
                    </w:r>
                    <w:r>
                      <w:rPr>
                        <w:w w:val="120"/>
                        <w:sz w:val="20"/>
                      </w:rPr>
                      <w:t>such</w:t>
                    </w:r>
                    <w:r>
                      <w:rPr>
                        <w:spacing w:val="-7"/>
                        <w:w w:val="120"/>
                        <w:sz w:val="20"/>
                      </w:rPr>
                      <w:t> </w:t>
                    </w:r>
                    <w:r>
                      <w:rPr>
                        <w:w w:val="120"/>
                        <w:sz w:val="20"/>
                      </w:rPr>
                      <w:t>presidency</w:t>
                    </w:r>
                    <w:r>
                      <w:rPr>
                        <w:spacing w:val="-8"/>
                        <w:w w:val="120"/>
                        <w:sz w:val="20"/>
                      </w:rPr>
                      <w:t> </w:t>
                    </w:r>
                    <w:r>
                      <w:rPr>
                        <w:w w:val="120"/>
                        <w:sz w:val="20"/>
                      </w:rPr>
                      <w:t>by</w:t>
                    </w:r>
                    <w:r>
                      <w:rPr>
                        <w:spacing w:val="-8"/>
                        <w:w w:val="120"/>
                        <w:sz w:val="20"/>
                      </w:rPr>
                      <w:t> </w:t>
                    </w:r>
                    <w:r>
                      <w:rPr>
                        <w:w w:val="120"/>
                        <w:sz w:val="20"/>
                      </w:rPr>
                      <w:t>the</w:t>
                    </w:r>
                    <w:r>
                      <w:rPr>
                        <w:spacing w:val="-7"/>
                        <w:w w:val="120"/>
                        <w:sz w:val="20"/>
                      </w:rPr>
                      <w:t> </w:t>
                    </w:r>
                    <w:r>
                      <w:rPr>
                        <w:w w:val="120"/>
                        <w:sz w:val="20"/>
                      </w:rPr>
                      <w:t>synod,</w:t>
                    </w:r>
                    <w:r>
                      <w:rPr>
                        <w:spacing w:val="-8"/>
                        <w:w w:val="120"/>
                        <w:sz w:val="20"/>
                      </w:rPr>
                      <w:t> </w:t>
                    </w:r>
                    <w:r>
                      <w:rPr>
                        <w:w w:val="120"/>
                        <w:sz w:val="20"/>
                      </w:rPr>
                      <w:t>normally</w:t>
                    </w:r>
                    <w:r>
                      <w:rPr>
                        <w:spacing w:val="-8"/>
                        <w:w w:val="120"/>
                        <w:sz w:val="20"/>
                      </w:rPr>
                      <w:t> </w:t>
                    </w:r>
                    <w:r>
                      <w:rPr>
                        <w:w w:val="120"/>
                        <w:sz w:val="20"/>
                      </w:rPr>
                      <w:t>of</w:t>
                    </w:r>
                    <w:r>
                      <w:rPr>
                        <w:spacing w:val="-7"/>
                        <w:w w:val="120"/>
                        <w:sz w:val="20"/>
                      </w:rPr>
                      <w:t> </w:t>
                    </w:r>
                    <w:r>
                      <w:rPr>
                        <w:w w:val="120"/>
                        <w:sz w:val="20"/>
                      </w:rPr>
                      <w:t>members</w:t>
                    </w:r>
                    <w:r>
                      <w:rPr>
                        <w:spacing w:val="-8"/>
                        <w:w w:val="120"/>
                        <w:sz w:val="20"/>
                      </w:rPr>
                      <w:t> </w:t>
                    </w:r>
                    <w:r>
                      <w:rPr>
                        <w:w w:val="120"/>
                        <w:sz w:val="20"/>
                      </w:rPr>
                      <w:t>from</w:t>
                    </w:r>
                    <w:r>
                      <w:rPr>
                        <w:spacing w:val="-7"/>
                        <w:w w:val="120"/>
                        <w:sz w:val="20"/>
                      </w:rPr>
                      <w:t> </w:t>
                    </w:r>
                    <w:r>
                      <w:rPr>
                        <w:spacing w:val="-2"/>
                        <w:w w:val="120"/>
                        <w:sz w:val="20"/>
                      </w:rPr>
                      <w:t>within</w:t>
                    </w:r>
                    <w:r>
                      <w:rPr>
                        <w:spacing w:val="-8"/>
                        <w:w w:val="120"/>
                        <w:sz w:val="20"/>
                      </w:rPr>
                      <w:t> </w:t>
                    </w:r>
                    <w:r>
                      <w:rPr>
                        <w:w w:val="120"/>
                        <w:sz w:val="20"/>
                      </w:rPr>
                      <w:t>the</w:t>
                    </w:r>
                  </w:p>
                </w:txbxContent>
              </v:textbox>
              <w10:wrap type="none"/>
            </v:shape>
            <v:shape style="position:absolute;left:1374;top:8286;width:204;height:240" type="#_x0000_t202" filled="false" stroked="false">
              <v:textbox inset="0,0,0,0">
                <w:txbxContent>
                  <w:p>
                    <w:pPr>
                      <w:spacing w:line="240" w:lineRule="exact" w:before="0"/>
                      <w:ind w:left="0" w:right="0" w:firstLine="0"/>
                      <w:jc w:val="left"/>
                      <w:rPr>
                        <w:sz w:val="20"/>
                      </w:rPr>
                    </w:pPr>
                    <w:r>
                      <w:rPr>
                        <w:w w:val="135"/>
                        <w:sz w:val="20"/>
                      </w:rPr>
                      <w:t>c)</w:t>
                    </w:r>
                  </w:p>
                </w:txbxContent>
              </v:textbox>
              <w10:wrap type="none"/>
            </v:shape>
            <v:shape style="position:absolute;left:1374;top:7326;width:8882;height:720" type="#_x0000_t202" filled="false" stroked="false">
              <v:textbox inset="0,0,0,0">
                <w:txbxContent>
                  <w:p>
                    <w:pPr>
                      <w:spacing w:line="242" w:lineRule="exact" w:before="0"/>
                      <w:ind w:left="0" w:right="0" w:firstLine="0"/>
                      <w:jc w:val="left"/>
                      <w:rPr>
                        <w:sz w:val="20"/>
                      </w:rPr>
                    </w:pPr>
                    <w:r>
                      <w:rPr>
                        <w:w w:val="120"/>
                        <w:sz w:val="20"/>
                      </w:rPr>
                      <w:t>accredited lay preacher) authorised by the synod, in accordance with the provisions of</w:t>
                    </w:r>
                  </w:p>
                  <w:p>
                    <w:pPr>
                      <w:spacing w:line="235" w:lineRule="auto" w:before="1"/>
                      <w:ind w:left="0" w:right="0" w:firstLine="0"/>
                      <w:jc w:val="left"/>
                      <w:rPr>
                        <w:sz w:val="20"/>
                      </w:rPr>
                    </w:pPr>
                    <w:r>
                      <w:rPr>
                        <w:w w:val="120"/>
                        <w:sz w:val="20"/>
                      </w:rPr>
                      <w:t>§25 of the Basis of Union: elders of the local church and accredited lay preachers regularly conducting worship there should be considered first;</w:t>
                    </w:r>
                  </w:p>
                </w:txbxContent>
              </v:textbox>
              <w10:wrap type="none"/>
            </v:shape>
            <v:shape style="position:absolute;left:2055;top:7086;width:7551;height:240" type="#_x0000_t202" filled="false" stroked="false">
              <v:textbox inset="0,0,0,0">
                <w:txbxContent>
                  <w:p>
                    <w:pPr>
                      <w:spacing w:line="240" w:lineRule="exact" w:before="0"/>
                      <w:ind w:left="0" w:right="0" w:firstLine="0"/>
                      <w:jc w:val="left"/>
                      <w:rPr>
                        <w:sz w:val="20"/>
                      </w:rPr>
                    </w:pPr>
                    <w:r>
                      <w:rPr>
                        <w:w w:val="120"/>
                        <w:sz w:val="20"/>
                      </w:rPr>
                      <w:t>if such a minister is not available, the Church Meeting may invite an elder (or</w:t>
                    </w:r>
                  </w:p>
                </w:txbxContent>
              </v:textbox>
              <w10:wrap type="none"/>
            </v:shape>
            <v:shape style="position:absolute;left:1374;top:7086;width:228;height:240" type="#_x0000_t202" filled="false" stroked="false">
              <v:textbox inset="0,0,0,0">
                <w:txbxContent>
                  <w:p>
                    <w:pPr>
                      <w:spacing w:line="240" w:lineRule="exact" w:before="0"/>
                      <w:ind w:left="0" w:right="0" w:firstLine="0"/>
                      <w:jc w:val="left"/>
                      <w:rPr>
                        <w:sz w:val="20"/>
                      </w:rPr>
                    </w:pPr>
                    <w:r>
                      <w:rPr>
                        <w:w w:val="135"/>
                        <w:sz w:val="20"/>
                      </w:rPr>
                      <w:t>b)</w:t>
                    </w:r>
                  </w:p>
                </w:txbxContent>
              </v:textbox>
              <w10:wrap type="none"/>
            </v:shape>
            <v:shape style="position:absolute;left:1374;top:6606;width:5763;height:240" type="#_x0000_t202" filled="false" stroked="false">
              <v:textbox inset="0,0,0,0">
                <w:txbxContent>
                  <w:p>
                    <w:pPr>
                      <w:spacing w:line="240" w:lineRule="exact" w:before="0"/>
                      <w:ind w:left="0" w:right="0" w:firstLine="0"/>
                      <w:jc w:val="left"/>
                      <w:rPr>
                        <w:sz w:val="20"/>
                      </w:rPr>
                    </w:pPr>
                    <w:r>
                      <w:rPr>
                        <w:w w:val="120"/>
                        <w:sz w:val="20"/>
                      </w:rPr>
                      <w:t>a retired minister who has expressed willingness to do so);</w:t>
                    </w:r>
                  </w:p>
                </w:txbxContent>
              </v:textbox>
              <w10:wrap type="none"/>
            </v:shape>
            <v:shape style="position:absolute;left:2055;top:6366;width:8312;height:240" type="#_x0000_t202" filled="false" stroked="false">
              <v:textbox inset="0,0,0,0">
                <w:txbxContent>
                  <w:p>
                    <w:pPr>
                      <w:spacing w:line="240" w:lineRule="exact" w:before="0"/>
                      <w:ind w:left="0" w:right="0" w:firstLine="0"/>
                      <w:jc w:val="left"/>
                      <w:rPr>
                        <w:sz w:val="20"/>
                      </w:rPr>
                    </w:pPr>
                    <w:r>
                      <w:rPr>
                        <w:w w:val="120"/>
                        <w:sz w:val="20"/>
                      </w:rPr>
                      <w:t>the Church Meeting may invite another Minister of Word and Sacraments (including</w:t>
                    </w:r>
                  </w:p>
                </w:txbxContent>
              </v:textbox>
              <w10:wrap type="none"/>
            </v:shape>
            <v:shape style="position:absolute;left:1374;top:6366;width:205;height:240" type="#_x0000_t202" filled="false" stroked="false">
              <v:textbox inset="0,0,0,0">
                <w:txbxContent>
                  <w:p>
                    <w:pPr>
                      <w:spacing w:line="240" w:lineRule="exact" w:before="0"/>
                      <w:ind w:left="0" w:right="0" w:firstLine="0"/>
                      <w:jc w:val="left"/>
                      <w:rPr>
                        <w:sz w:val="20"/>
                      </w:rPr>
                    </w:pPr>
                    <w:r>
                      <w:rPr>
                        <w:w w:val="130"/>
                        <w:sz w:val="20"/>
                      </w:rPr>
                      <w:t>a)</w:t>
                    </w:r>
                  </w:p>
                </w:txbxContent>
              </v:textbox>
              <w10:wrap type="none"/>
            </v:shape>
            <v:shape style="position:absolute;left:1374;top:3820;width:8388;height:2306" type="#_x0000_t202" filled="false" stroked="false">
              <v:textbox inset="0,0,0,0">
                <w:txbxContent>
                  <w:p>
                    <w:pPr>
                      <w:spacing w:line="617" w:lineRule="exact" w:before="0"/>
                      <w:ind w:left="0" w:right="0" w:firstLine="0"/>
                      <w:jc w:val="left"/>
                      <w:rPr>
                        <w:rFonts w:ascii="Stone Sans II ITC Std Bk"/>
                        <w:b/>
                        <w:sz w:val="47"/>
                      </w:rPr>
                    </w:pPr>
                    <w:r>
                      <w:rPr>
                        <w:color w:val="7B4290"/>
                        <w:spacing w:val="-5"/>
                        <w:w w:val="115"/>
                        <w:sz w:val="39"/>
                      </w:rPr>
                      <w:t>Resolution </w:t>
                    </w:r>
                    <w:r>
                      <w:rPr>
                        <w:rFonts w:ascii="Stone Sans II ITC Std Bk"/>
                        <w:b/>
                        <w:color w:val="7B4290"/>
                        <w:spacing w:val="-43"/>
                        <w:w w:val="115"/>
                        <w:sz w:val="47"/>
                      </w:rPr>
                      <w:t>14</w:t>
                    </w:r>
                  </w:p>
                  <w:p>
                    <w:pPr>
                      <w:spacing w:line="266" w:lineRule="exact" w:before="0"/>
                      <w:ind w:left="0" w:right="0" w:firstLine="0"/>
                      <w:jc w:val="left"/>
                      <w:rPr>
                        <w:sz w:val="20"/>
                      </w:rPr>
                    </w:pPr>
                    <w:r>
                      <w:rPr>
                        <w:rFonts w:ascii="Stone Sans II ITC Std Bk"/>
                        <w:b/>
                        <w:w w:val="110"/>
                        <w:sz w:val="20"/>
                      </w:rPr>
                      <w:t>Faith and order committee: Authorised elders </w:t>
                    </w:r>
                    <w:r>
                      <w:rPr>
                        <w:w w:val="110"/>
                        <w:sz w:val="20"/>
                      </w:rPr>
                      <w:t>(p.90)</w:t>
                    </w:r>
                  </w:p>
                  <w:p>
                    <w:pPr>
                      <w:spacing w:line="240" w:lineRule="auto" w:before="6"/>
                      <w:rPr>
                        <w:sz w:val="18"/>
                      </w:rPr>
                    </w:pPr>
                  </w:p>
                  <w:p>
                    <w:pPr>
                      <w:spacing w:line="235" w:lineRule="auto" w:before="0"/>
                      <w:ind w:left="0" w:right="0" w:firstLine="0"/>
                      <w:jc w:val="left"/>
                      <w:rPr>
                        <w:sz w:val="20"/>
                      </w:rPr>
                    </w:pPr>
                    <w:r>
                      <w:rPr>
                        <w:w w:val="120"/>
                        <w:sz w:val="20"/>
                      </w:rPr>
                      <w:t>General Assembly agrees that the existing guidance on Presidency at the Sacraments (</w:t>
                    </w:r>
                    <w:r>
                      <w:rPr>
                        <w:i/>
                        <w:w w:val="120"/>
                        <w:sz w:val="20"/>
                      </w:rPr>
                      <w:t>The Manual</w:t>
                    </w:r>
                    <w:r>
                      <w:rPr>
                        <w:w w:val="120"/>
                        <w:sz w:val="20"/>
                      </w:rPr>
                      <w:t>, Section F) be amended to read:</w:t>
                    </w:r>
                  </w:p>
                  <w:p>
                    <w:pPr>
                      <w:spacing w:line="240" w:lineRule="auto" w:before="9"/>
                      <w:rPr>
                        <w:sz w:val="19"/>
                      </w:rPr>
                    </w:pPr>
                  </w:p>
                  <w:p>
                    <w:pPr>
                      <w:spacing w:line="235" w:lineRule="auto" w:before="1"/>
                      <w:ind w:left="0" w:right="0" w:firstLine="0"/>
                      <w:jc w:val="left"/>
                      <w:rPr>
                        <w:sz w:val="20"/>
                      </w:rPr>
                    </w:pPr>
                    <w:r>
                      <w:rPr>
                        <w:w w:val="120"/>
                        <w:sz w:val="20"/>
                      </w:rPr>
                      <w:t>The pattern of presidency at the sacraments if the minister in pastoral charge is not available should be as follows –</w:t>
                    </w:r>
                  </w:p>
                </w:txbxContent>
              </v:textbox>
              <w10:wrap type="none"/>
            </v:shape>
            <w10:wrap type="topAndBottom"/>
          </v:group>
        </w:pict>
      </w:r>
      <w:r>
        <w:rPr/>
        <w:pict>
          <v:shape style="position:absolute;margin-left:57.209pt;margin-top:494.362457pt;width:465.85pt;height:115.95pt;mso-position-horizontal-relative:page;mso-position-vertical-relative:paragraph;z-index:-250994688;mso-wrap-distance-left:0;mso-wrap-distance-right:0" type="#_x0000_t202" filled="false" stroked="true" strokeweight="1pt" strokecolor="#000000">
            <v:textbox inset="0,0,0,0">
              <w:txbxContent>
                <w:p>
                  <w:pPr>
                    <w:spacing w:line="631" w:lineRule="exact" w:before="62"/>
                    <w:ind w:left="220" w:right="0" w:firstLine="0"/>
                    <w:jc w:val="left"/>
                    <w:rPr>
                      <w:rFonts w:ascii="Stone Sans II ITC Std Bk"/>
                      <w:b/>
                      <w:sz w:val="47"/>
                    </w:rPr>
                  </w:pPr>
                  <w:r>
                    <w:rPr>
                      <w:color w:val="7B4290"/>
                      <w:spacing w:val="-5"/>
                      <w:w w:val="115"/>
                      <w:sz w:val="39"/>
                    </w:rPr>
                    <w:t>Resolution </w:t>
                  </w:r>
                  <w:r>
                    <w:rPr>
                      <w:rFonts w:ascii="Stone Sans II ITC Std Bk"/>
                      <w:b/>
                      <w:color w:val="7B4290"/>
                      <w:spacing w:val="-46"/>
                      <w:w w:val="115"/>
                      <w:sz w:val="47"/>
                    </w:rPr>
                    <w:t>15</w:t>
                  </w:r>
                </w:p>
                <w:p>
                  <w:pPr>
                    <w:spacing w:line="266" w:lineRule="exact" w:before="0"/>
                    <w:ind w:left="220" w:right="0" w:firstLine="0"/>
                    <w:jc w:val="left"/>
                    <w:rPr>
                      <w:sz w:val="20"/>
                    </w:rPr>
                  </w:pPr>
                  <w:r>
                    <w:rPr>
                      <w:rFonts w:ascii="Stone Sans II ITC Std Bk"/>
                      <w:b/>
                      <w:w w:val="110"/>
                      <w:sz w:val="20"/>
                    </w:rPr>
                    <w:t>Faith and order committee: Authorised elders </w:t>
                  </w:r>
                  <w:r>
                    <w:rPr>
                      <w:w w:val="110"/>
                      <w:sz w:val="20"/>
                    </w:rPr>
                    <w:t>(p.90)</w:t>
                  </w:r>
                </w:p>
                <w:p>
                  <w:pPr>
                    <w:pStyle w:val="BodyText"/>
                    <w:spacing w:before="6"/>
                    <w:rPr>
                      <w:sz w:val="18"/>
                    </w:rPr>
                  </w:pPr>
                </w:p>
                <w:p>
                  <w:pPr>
                    <w:pStyle w:val="BodyText"/>
                    <w:spacing w:line="235" w:lineRule="auto"/>
                    <w:ind w:left="220" w:right="396"/>
                  </w:pPr>
                  <w:r>
                    <w:rPr>
                      <w:w w:val="120"/>
                    </w:rPr>
                    <w:t>General Assembly agrees that synods are recommended to provide regular support and guidance for each church without an authorised elder within its membership; and also for authorised elders, for example by holding an annual meeting where experiences can be shared.</w:t>
                  </w:r>
                </w:p>
              </w:txbxContent>
            </v:textbox>
            <v:stroke dashstyle="solid"/>
            <w10:wrap type="topAndBottom"/>
          </v:shape>
        </w:pict>
      </w:r>
      <w:r>
        <w:rPr/>
        <w:pict>
          <v:shape style="position:absolute;margin-left:58.209pt;margin-top:621.104431pt;width:465.85pt;height:105.95pt;mso-position-horizontal-relative:page;mso-position-vertical-relative:paragraph;z-index:-250993664;mso-wrap-distance-left:0;mso-wrap-distance-right:0" type="#_x0000_t202" filled="false" stroked="true" strokeweight="1pt" strokecolor="#000000">
            <v:textbox inset="0,0,0,0">
              <w:txbxContent>
                <w:p>
                  <w:pPr>
                    <w:spacing w:line="631" w:lineRule="exact" w:before="80"/>
                    <w:ind w:left="200" w:right="0" w:firstLine="0"/>
                    <w:jc w:val="left"/>
                    <w:rPr>
                      <w:rFonts w:ascii="Stone Sans II ITC Std Bk"/>
                      <w:b/>
                      <w:sz w:val="47"/>
                    </w:rPr>
                  </w:pPr>
                  <w:r>
                    <w:rPr>
                      <w:color w:val="7B4290"/>
                      <w:spacing w:val="-5"/>
                      <w:w w:val="115"/>
                      <w:sz w:val="39"/>
                    </w:rPr>
                    <w:t>Resolution </w:t>
                  </w:r>
                  <w:r>
                    <w:rPr>
                      <w:rFonts w:ascii="Stone Sans II ITC Std Bk"/>
                      <w:b/>
                      <w:color w:val="7B4290"/>
                      <w:spacing w:val="-38"/>
                      <w:w w:val="115"/>
                      <w:sz w:val="47"/>
                    </w:rPr>
                    <w:t>16</w:t>
                  </w:r>
                </w:p>
                <w:p>
                  <w:pPr>
                    <w:spacing w:line="266" w:lineRule="exact" w:before="0"/>
                    <w:ind w:left="200" w:right="0" w:firstLine="0"/>
                    <w:jc w:val="left"/>
                    <w:rPr>
                      <w:sz w:val="20"/>
                    </w:rPr>
                  </w:pPr>
                  <w:r>
                    <w:rPr>
                      <w:rFonts w:ascii="Stone Sans II ITC Std Bk"/>
                      <w:b/>
                      <w:w w:val="110"/>
                      <w:sz w:val="20"/>
                    </w:rPr>
                    <w:t>Faith and order committee: Authorised elders </w:t>
                  </w:r>
                  <w:r>
                    <w:rPr>
                      <w:w w:val="110"/>
                      <w:sz w:val="20"/>
                    </w:rPr>
                    <w:t>(p.90)</w:t>
                  </w:r>
                </w:p>
                <w:p>
                  <w:pPr>
                    <w:pStyle w:val="BodyText"/>
                    <w:spacing w:before="6"/>
                    <w:rPr>
                      <w:sz w:val="18"/>
                    </w:rPr>
                  </w:pPr>
                </w:p>
                <w:p>
                  <w:pPr>
                    <w:pStyle w:val="BodyText"/>
                    <w:spacing w:line="235" w:lineRule="auto" w:before="1"/>
                    <w:ind w:left="200" w:right="235"/>
                  </w:pPr>
                  <w:r>
                    <w:rPr>
                      <w:w w:val="120"/>
                    </w:rPr>
                    <w:t>General Assembly agrees that the ministries committee be invited to develop a specific code of conduct for authorised elders and lay preachers; and that those concerned agree to be bound by it before embarking on their ministry.</w:t>
                  </w:r>
                </w:p>
              </w:txbxContent>
            </v:textbox>
            <v:stroke dashstyle="solid"/>
            <w10:wrap type="topAndBottom"/>
          </v:shape>
        </w:pict>
      </w:r>
    </w:p>
    <w:p>
      <w:pPr>
        <w:pStyle w:val="BodyText"/>
        <w:spacing w:before="9"/>
        <w:rPr>
          <w:sz w:val="12"/>
        </w:rPr>
      </w:pPr>
    </w:p>
    <w:p>
      <w:pPr>
        <w:pStyle w:val="BodyText"/>
        <w:spacing w:before="9"/>
        <w:rPr>
          <w:sz w:val="12"/>
        </w:rPr>
      </w:pPr>
    </w:p>
    <w:p>
      <w:pPr>
        <w:pStyle w:val="BodyText"/>
        <w:spacing w:before="6"/>
        <w:rPr>
          <w:sz w:val="10"/>
        </w:rPr>
      </w:pPr>
    </w:p>
    <w:p>
      <w:pPr>
        <w:spacing w:after="0"/>
        <w:rPr>
          <w:sz w:val="10"/>
        </w:rPr>
        <w:sectPr>
          <w:headerReference w:type="even" r:id="rId636"/>
          <w:footerReference w:type="even" r:id="rId637"/>
          <w:footerReference w:type="default" r:id="rId638"/>
          <w:pgSz w:w="11910" w:h="16840"/>
          <w:pgMar w:header="0" w:footer="647" w:top="0" w:bottom="840" w:left="640" w:right="0"/>
        </w:sectPr>
      </w:pPr>
    </w:p>
    <w:p>
      <w:pPr>
        <w:spacing w:before="94"/>
        <w:ind w:left="0" w:right="1245" w:firstLine="0"/>
        <w:jc w:val="right"/>
        <w:rPr>
          <w:sz w:val="26"/>
        </w:rPr>
      </w:pPr>
      <w:r>
        <w:rPr/>
        <w:pict>
          <v:group style="position:absolute;margin-left:81.260002pt;margin-top:.000015pt;width:514.0500pt;height:841.9pt;mso-position-horizontal-relative:page;mso-position-vertical-relative:page;z-index:-267438080" coordorigin="1625,0" coordsize="10281,16838">
            <v:shape style="position:absolute;left:10984;top:0;width:922;height:16838" type="#_x0000_t75" stroked="false">
              <v:imagedata r:id="rId626" o:title=""/>
            </v:shape>
            <v:shape style="position:absolute;left:1682;top:13780;width:9317;height:2119" type="#_x0000_t202" filled="false" stroked="true" strokeweight="1pt" strokecolor="#000000">
              <v:textbox inset="0,0,0,0">
                <w:txbxContent>
                  <w:p>
                    <w:pPr>
                      <w:spacing w:line="631" w:lineRule="exact" w:before="89"/>
                      <w:ind w:left="291" w:right="0" w:firstLine="0"/>
                      <w:jc w:val="left"/>
                      <w:rPr>
                        <w:rFonts w:ascii="Stone Sans II ITC Std Bk"/>
                        <w:b/>
                        <w:sz w:val="47"/>
                      </w:rPr>
                    </w:pPr>
                    <w:r>
                      <w:rPr>
                        <w:color w:val="7B4290"/>
                        <w:w w:val="115"/>
                        <w:sz w:val="39"/>
                      </w:rPr>
                      <w:t>Resolution </w:t>
                    </w:r>
                    <w:r>
                      <w:rPr>
                        <w:rFonts w:ascii="Stone Sans II ITC Std Bk"/>
                        <w:b/>
                        <w:color w:val="7B4290"/>
                        <w:w w:val="115"/>
                        <w:sz w:val="47"/>
                      </w:rPr>
                      <w:t>22</w:t>
                    </w:r>
                  </w:p>
                  <w:p>
                    <w:pPr>
                      <w:spacing w:line="266" w:lineRule="exact" w:before="0"/>
                      <w:ind w:left="291" w:right="0" w:firstLine="0"/>
                      <w:jc w:val="left"/>
                      <w:rPr>
                        <w:sz w:val="20"/>
                      </w:rPr>
                    </w:pPr>
                    <w:r>
                      <w:rPr>
                        <w:rFonts w:ascii="Stone Sans II ITC Std Bk"/>
                        <w:b/>
                        <w:w w:val="110"/>
                        <w:sz w:val="20"/>
                      </w:rPr>
                      <w:t>Faith and order committee: What Is the Spirit Saying to the Churches? </w:t>
                    </w:r>
                    <w:r>
                      <w:rPr>
                        <w:spacing w:val="-11"/>
                        <w:w w:val="110"/>
                        <w:sz w:val="20"/>
                      </w:rPr>
                      <w:t>(p.119)</w:t>
                    </w:r>
                  </w:p>
                  <w:p>
                    <w:pPr>
                      <w:spacing w:line="240" w:lineRule="auto" w:before="6"/>
                      <w:rPr>
                        <w:sz w:val="18"/>
                      </w:rPr>
                    </w:pPr>
                  </w:p>
                  <w:p>
                    <w:pPr>
                      <w:spacing w:line="235" w:lineRule="auto" w:before="0"/>
                      <w:ind w:left="291" w:right="0" w:firstLine="0"/>
                      <w:jc w:val="left"/>
                      <w:rPr>
                        <w:sz w:val="20"/>
                      </w:rPr>
                    </w:pPr>
                    <w:r>
                      <w:rPr>
                        <w:w w:val="120"/>
                        <w:sz w:val="20"/>
                      </w:rPr>
                      <w:t>General Assembly encourages local churches to be proactive in sharing their good news stories via the communications department, the creative use of social media, synod gatherings and whatever other opportunities present themselves or can be created.</w:t>
                    </w:r>
                  </w:p>
                </w:txbxContent>
              </v:textbox>
              <v:stroke dashstyle="solid"/>
              <w10:wrap type="none"/>
            </v:shape>
            <v:shape style="position:absolute;left:1676;top:11206;width:9317;height:2365" type="#_x0000_t202" filled="false" stroked="true" strokeweight="1pt" strokecolor="#000000">
              <v:textbox inset="0,0,0,0">
                <w:txbxContent>
                  <w:p>
                    <w:pPr>
                      <w:spacing w:line="631" w:lineRule="exact" w:before="149"/>
                      <w:ind w:left="297" w:right="0" w:firstLine="0"/>
                      <w:jc w:val="left"/>
                      <w:rPr>
                        <w:rFonts w:ascii="Stone Sans II ITC Std Bk"/>
                        <w:b/>
                        <w:sz w:val="47"/>
                      </w:rPr>
                    </w:pPr>
                    <w:r>
                      <w:rPr>
                        <w:color w:val="7B4290"/>
                        <w:w w:val="115"/>
                        <w:sz w:val="39"/>
                      </w:rPr>
                      <w:t>Resolution </w:t>
                    </w:r>
                    <w:r>
                      <w:rPr>
                        <w:rFonts w:ascii="Stone Sans II ITC Std Bk"/>
                        <w:b/>
                        <w:color w:val="7B4290"/>
                        <w:w w:val="115"/>
                        <w:sz w:val="47"/>
                      </w:rPr>
                      <w:t>21</w:t>
                    </w:r>
                  </w:p>
                  <w:p>
                    <w:pPr>
                      <w:spacing w:line="266" w:lineRule="exact" w:before="0"/>
                      <w:ind w:left="297" w:right="0" w:firstLine="0"/>
                      <w:jc w:val="left"/>
                      <w:rPr>
                        <w:sz w:val="20"/>
                      </w:rPr>
                    </w:pPr>
                    <w:r>
                      <w:rPr>
                        <w:rFonts w:ascii="Stone Sans II ITC Std Bk"/>
                        <w:b/>
                        <w:w w:val="110"/>
                        <w:sz w:val="20"/>
                      </w:rPr>
                      <w:t>Faith and order committee: What Is the Spirit Saying to the Churches? </w:t>
                    </w:r>
                    <w:r>
                      <w:rPr>
                        <w:spacing w:val="-11"/>
                        <w:w w:val="110"/>
                        <w:sz w:val="20"/>
                      </w:rPr>
                      <w:t>(p.119)</w:t>
                    </w:r>
                  </w:p>
                  <w:p>
                    <w:pPr>
                      <w:spacing w:line="240" w:lineRule="auto" w:before="6"/>
                      <w:rPr>
                        <w:sz w:val="18"/>
                      </w:rPr>
                    </w:pPr>
                  </w:p>
                  <w:p>
                    <w:pPr>
                      <w:spacing w:line="235" w:lineRule="auto" w:before="1"/>
                      <w:ind w:left="297" w:right="235" w:firstLine="0"/>
                      <w:jc w:val="left"/>
                      <w:rPr>
                        <w:sz w:val="20"/>
                      </w:rPr>
                    </w:pPr>
                    <w:r>
                      <w:rPr>
                        <w:w w:val="120"/>
                        <w:sz w:val="20"/>
                      </w:rPr>
                      <w:t>General Assembly affirms ‘What Is the Spirit Saying </w:t>
                    </w:r>
                    <w:r>
                      <w:rPr>
                        <w:spacing w:val="-3"/>
                        <w:w w:val="120"/>
                        <w:sz w:val="20"/>
                      </w:rPr>
                      <w:t>to </w:t>
                    </w:r>
                    <w:r>
                      <w:rPr>
                        <w:w w:val="120"/>
                        <w:sz w:val="20"/>
                      </w:rPr>
                      <w:t>the </w:t>
                    </w:r>
                    <w:r>
                      <w:rPr>
                        <w:spacing w:val="-3"/>
                        <w:w w:val="120"/>
                        <w:sz w:val="20"/>
                      </w:rPr>
                      <w:t>Churches?’ </w:t>
                    </w:r>
                    <w:r>
                      <w:rPr>
                        <w:w w:val="120"/>
                        <w:sz w:val="20"/>
                      </w:rPr>
                      <w:t>and </w:t>
                    </w:r>
                    <w:r>
                      <w:rPr>
                        <w:spacing w:val="-3"/>
                        <w:w w:val="120"/>
                        <w:sz w:val="20"/>
                      </w:rPr>
                      <w:t>invites </w:t>
                    </w:r>
                    <w:r>
                      <w:rPr>
                        <w:w w:val="120"/>
                        <w:sz w:val="20"/>
                      </w:rPr>
                      <w:t>local churches, synods and General </w:t>
                    </w:r>
                    <w:r>
                      <w:rPr>
                        <w:spacing w:val="-3"/>
                        <w:w w:val="120"/>
                        <w:sz w:val="20"/>
                      </w:rPr>
                      <w:t>Assembly, </w:t>
                    </w:r>
                    <w:r>
                      <w:rPr>
                        <w:w w:val="120"/>
                        <w:sz w:val="20"/>
                      </w:rPr>
                      <w:t>and their </w:t>
                    </w:r>
                    <w:r>
                      <w:rPr>
                        <w:spacing w:val="-3"/>
                        <w:w w:val="120"/>
                        <w:sz w:val="20"/>
                      </w:rPr>
                      <w:t>committees, to continue </w:t>
                    </w:r>
                    <w:r>
                      <w:rPr>
                        <w:w w:val="120"/>
                        <w:sz w:val="20"/>
                      </w:rPr>
                      <w:t>prayerfully </w:t>
                    </w:r>
                    <w:r>
                      <w:rPr>
                        <w:spacing w:val="-3"/>
                        <w:w w:val="120"/>
                        <w:sz w:val="20"/>
                      </w:rPr>
                      <w:t>to </w:t>
                    </w:r>
                    <w:r>
                      <w:rPr>
                        <w:w w:val="120"/>
                        <w:sz w:val="20"/>
                      </w:rPr>
                      <w:t>ask </w:t>
                    </w:r>
                    <w:r>
                      <w:rPr>
                        <w:spacing w:val="-3"/>
                        <w:w w:val="120"/>
                        <w:sz w:val="20"/>
                      </w:rPr>
                      <w:t>this </w:t>
                    </w:r>
                    <w:r>
                      <w:rPr>
                        <w:w w:val="120"/>
                        <w:sz w:val="20"/>
                      </w:rPr>
                      <w:t>question, looking at the points of celebration in their life and the </w:t>
                    </w:r>
                    <w:r>
                      <w:rPr>
                        <w:spacing w:val="-3"/>
                        <w:w w:val="120"/>
                        <w:sz w:val="20"/>
                      </w:rPr>
                      <w:t>possibilities </w:t>
                    </w:r>
                    <w:r>
                      <w:rPr>
                        <w:w w:val="120"/>
                        <w:sz w:val="20"/>
                      </w:rPr>
                      <w:t>and challenges in front of the </w:t>
                    </w:r>
                    <w:r>
                      <w:rPr>
                        <w:spacing w:val="-3"/>
                        <w:w w:val="120"/>
                        <w:sz w:val="20"/>
                      </w:rPr>
                      <w:t>Church.</w:t>
                    </w:r>
                  </w:p>
                </w:txbxContent>
              </v:textbox>
              <v:stroke dashstyle="solid"/>
              <w10:wrap type="none"/>
            </v:shape>
            <v:shape style="position:absolute;left:1676;top:8434;width:9317;height:2563" type="#_x0000_t202" filled="false" stroked="true" strokeweight="1pt" strokecolor="#000000">
              <v:textbox inset="0,0,0,0">
                <w:txbxContent>
                  <w:p>
                    <w:pPr>
                      <w:spacing w:line="631" w:lineRule="exact" w:before="128"/>
                      <w:ind w:left="297" w:right="0" w:firstLine="0"/>
                      <w:jc w:val="left"/>
                      <w:rPr>
                        <w:rFonts w:ascii="Stone Sans II ITC Std Bk"/>
                        <w:b/>
                        <w:sz w:val="47"/>
                      </w:rPr>
                    </w:pPr>
                    <w:r>
                      <w:rPr>
                        <w:color w:val="7B4290"/>
                        <w:w w:val="115"/>
                        <w:sz w:val="39"/>
                      </w:rPr>
                      <w:t>Resolution </w:t>
                    </w:r>
                    <w:r>
                      <w:rPr>
                        <w:rFonts w:ascii="Stone Sans II ITC Std Bk"/>
                        <w:b/>
                        <w:color w:val="7B4290"/>
                        <w:w w:val="115"/>
                        <w:sz w:val="47"/>
                      </w:rPr>
                      <w:t>20</w:t>
                    </w:r>
                  </w:p>
                  <w:p>
                    <w:pPr>
                      <w:spacing w:line="213" w:lineRule="auto" w:before="18"/>
                      <w:ind w:left="297" w:right="0" w:firstLine="0"/>
                      <w:jc w:val="left"/>
                      <w:rPr>
                        <w:sz w:val="20"/>
                      </w:rPr>
                    </w:pPr>
                    <w:r>
                      <w:rPr>
                        <w:rFonts w:ascii="Stone Sans II ITC Std Bk" w:hAnsi="Stone Sans II ITC Std Bk"/>
                        <w:b/>
                        <w:w w:val="110"/>
                        <w:sz w:val="20"/>
                      </w:rPr>
                      <w:t>Faith and order committee: A Response to the World Council of Churches convergence document, ‘The Church: Towards a common Vision’ </w:t>
                    </w:r>
                    <w:r>
                      <w:rPr>
                        <w:w w:val="110"/>
                        <w:sz w:val="20"/>
                      </w:rPr>
                      <w:t>(p.108)</w:t>
                    </w:r>
                  </w:p>
                  <w:p>
                    <w:pPr>
                      <w:spacing w:line="240" w:lineRule="auto" w:before="1"/>
                      <w:rPr>
                        <w:sz w:val="19"/>
                      </w:rPr>
                    </w:pPr>
                  </w:p>
                  <w:p>
                    <w:pPr>
                      <w:spacing w:line="235" w:lineRule="auto" w:before="0"/>
                      <w:ind w:left="297" w:right="893" w:firstLine="0"/>
                      <w:jc w:val="left"/>
                      <w:rPr>
                        <w:sz w:val="20"/>
                      </w:rPr>
                    </w:pPr>
                    <w:r>
                      <w:rPr>
                        <w:w w:val="120"/>
                        <w:sz w:val="20"/>
                      </w:rPr>
                      <w:t>General Assembly commends the document ‘The Church: Towards a Common Vision’ for ongoing reflection in the church; takes note of the faith and order</w:t>
                    </w:r>
                  </w:p>
                  <w:p>
                    <w:pPr>
                      <w:spacing w:line="235" w:lineRule="auto" w:before="2"/>
                      <w:ind w:left="297" w:right="0" w:firstLine="0"/>
                      <w:jc w:val="left"/>
                      <w:rPr>
                        <w:sz w:val="20"/>
                      </w:rPr>
                    </w:pPr>
                    <w:r>
                      <w:rPr>
                        <w:w w:val="120"/>
                        <w:sz w:val="20"/>
                      </w:rPr>
                      <w:t>committee response and invites comments on that response by the end of October for consideration for inclusion in the submission to the World Council.</w:t>
                    </w:r>
                  </w:p>
                </w:txbxContent>
              </v:textbox>
              <v:stroke dashstyle="solid"/>
              <w10:wrap type="none"/>
            </v:shape>
            <v:shape style="position:absolute;left:1662;top:5902;width:9317;height:2365" type="#_x0000_t202" filled="false" stroked="true" strokeweight="1pt" strokecolor="#000000">
              <v:textbox inset="0,0,0,0">
                <w:txbxContent>
                  <w:p>
                    <w:pPr>
                      <w:spacing w:line="631" w:lineRule="exact" w:before="107"/>
                      <w:ind w:left="311" w:right="0" w:firstLine="0"/>
                      <w:jc w:val="left"/>
                      <w:rPr>
                        <w:rFonts w:ascii="Stone Sans II ITC Std Bk"/>
                        <w:b/>
                        <w:sz w:val="47"/>
                      </w:rPr>
                    </w:pPr>
                    <w:r>
                      <w:rPr>
                        <w:color w:val="7B4290"/>
                        <w:spacing w:val="-5"/>
                        <w:w w:val="115"/>
                        <w:sz w:val="39"/>
                      </w:rPr>
                      <w:t>Resolution </w:t>
                    </w:r>
                    <w:r>
                      <w:rPr>
                        <w:rFonts w:ascii="Stone Sans II ITC Std Bk"/>
                        <w:b/>
                        <w:color w:val="7B4290"/>
                        <w:spacing w:val="-39"/>
                        <w:w w:val="115"/>
                        <w:sz w:val="47"/>
                      </w:rPr>
                      <w:t>19</w:t>
                    </w:r>
                  </w:p>
                  <w:p>
                    <w:pPr>
                      <w:spacing w:line="266" w:lineRule="exact" w:before="0"/>
                      <w:ind w:left="311" w:right="0" w:firstLine="0"/>
                      <w:jc w:val="left"/>
                      <w:rPr>
                        <w:sz w:val="20"/>
                      </w:rPr>
                    </w:pPr>
                    <w:r>
                      <w:rPr>
                        <w:rFonts w:ascii="Stone Sans II ITC Std Bk"/>
                        <w:b/>
                        <w:w w:val="110"/>
                        <w:sz w:val="20"/>
                      </w:rPr>
                      <w:t>Faith and order committee: Authorised elders </w:t>
                    </w:r>
                    <w:r>
                      <w:rPr>
                        <w:w w:val="110"/>
                        <w:sz w:val="20"/>
                      </w:rPr>
                      <w:t>(p.90)</w:t>
                    </w:r>
                  </w:p>
                  <w:p>
                    <w:pPr>
                      <w:spacing w:line="240" w:lineRule="auto" w:before="6"/>
                      <w:rPr>
                        <w:sz w:val="18"/>
                      </w:rPr>
                    </w:pPr>
                  </w:p>
                  <w:p>
                    <w:pPr>
                      <w:spacing w:line="235" w:lineRule="auto" w:before="0"/>
                      <w:ind w:left="311" w:right="932" w:firstLine="0"/>
                      <w:jc w:val="left"/>
                      <w:rPr>
                        <w:sz w:val="20"/>
                      </w:rPr>
                    </w:pPr>
                    <w:r>
                      <w:rPr>
                        <w:w w:val="120"/>
                        <w:sz w:val="20"/>
                      </w:rPr>
                      <w:t>General Assembly agrees that further attention be given by the ministries and education and learning committees to the possibility of expanding the concept of non-stipendiary ministry to include once more the original pattern of team non- stipendiary ministry.</w:t>
                    </w:r>
                  </w:p>
                </w:txbxContent>
              </v:textbox>
              <v:stroke dashstyle="solid"/>
              <w10:wrap type="none"/>
            </v:shape>
            <v:shape style="position:absolute;left:1662;top:3572;width:9317;height:2119" type="#_x0000_t202" filled="false" stroked="true" strokeweight="1pt" strokecolor="#000000">
              <v:textbox inset="0,0,0,0">
                <w:txbxContent>
                  <w:p>
                    <w:pPr>
                      <w:spacing w:line="631" w:lineRule="exact" w:before="124"/>
                      <w:ind w:left="311" w:right="0" w:firstLine="0"/>
                      <w:jc w:val="left"/>
                      <w:rPr>
                        <w:rFonts w:ascii="Stone Sans II ITC Std Bk"/>
                        <w:b/>
                        <w:sz w:val="47"/>
                      </w:rPr>
                    </w:pPr>
                    <w:r>
                      <w:rPr>
                        <w:color w:val="7B4290"/>
                        <w:spacing w:val="-5"/>
                        <w:w w:val="115"/>
                        <w:sz w:val="39"/>
                      </w:rPr>
                      <w:t>Resolution </w:t>
                    </w:r>
                    <w:r>
                      <w:rPr>
                        <w:rFonts w:ascii="Stone Sans II ITC Std Bk"/>
                        <w:b/>
                        <w:color w:val="7B4290"/>
                        <w:spacing w:val="-35"/>
                        <w:w w:val="115"/>
                        <w:sz w:val="47"/>
                      </w:rPr>
                      <w:t>18</w:t>
                    </w:r>
                  </w:p>
                  <w:p>
                    <w:pPr>
                      <w:spacing w:line="266" w:lineRule="exact" w:before="0"/>
                      <w:ind w:left="311" w:right="0" w:firstLine="0"/>
                      <w:jc w:val="left"/>
                      <w:rPr>
                        <w:sz w:val="20"/>
                      </w:rPr>
                    </w:pPr>
                    <w:r>
                      <w:rPr>
                        <w:rFonts w:ascii="Stone Sans II ITC Std Bk"/>
                        <w:b/>
                        <w:w w:val="110"/>
                        <w:sz w:val="20"/>
                      </w:rPr>
                      <w:t>Faith and order committee: Authorised elders </w:t>
                    </w:r>
                    <w:r>
                      <w:rPr>
                        <w:w w:val="110"/>
                        <w:sz w:val="20"/>
                      </w:rPr>
                      <w:t>(p.90)</w:t>
                    </w:r>
                  </w:p>
                  <w:p>
                    <w:pPr>
                      <w:spacing w:line="240" w:lineRule="auto" w:before="6"/>
                      <w:rPr>
                        <w:sz w:val="18"/>
                      </w:rPr>
                    </w:pPr>
                  </w:p>
                  <w:p>
                    <w:pPr>
                      <w:spacing w:line="235" w:lineRule="auto" w:before="0"/>
                      <w:ind w:left="311" w:right="1103" w:firstLine="0"/>
                      <w:jc w:val="both"/>
                      <w:rPr>
                        <w:sz w:val="20"/>
                      </w:rPr>
                    </w:pPr>
                    <w:r>
                      <w:rPr>
                        <w:w w:val="120"/>
                        <w:sz w:val="20"/>
                      </w:rPr>
                      <w:t>General Assembly agrees that the education and learning committee be invited to prepare an Assembly syllabus for the preparation of authorised elders and lay preachers, drawing on existing synod resources.</w:t>
                    </w:r>
                  </w:p>
                </w:txbxContent>
              </v:textbox>
              <v:stroke dashstyle="solid"/>
              <w10:wrap type="none"/>
            </v:shape>
            <v:shape style="position:absolute;left:1635;top:1158;width:9317;height:2234" type="#_x0000_t202" filled="false" stroked="true" strokeweight="1pt" strokecolor="#000000">
              <v:textbox inset="0,0,0,0">
                <w:txbxContent>
                  <w:p>
                    <w:pPr>
                      <w:spacing w:line="631" w:lineRule="exact" w:before="45"/>
                      <w:ind w:left="339" w:right="0" w:firstLine="0"/>
                      <w:jc w:val="left"/>
                      <w:rPr>
                        <w:rFonts w:ascii="Stone Sans II ITC Std Bk"/>
                        <w:b/>
                        <w:sz w:val="47"/>
                      </w:rPr>
                    </w:pPr>
                    <w:r>
                      <w:rPr>
                        <w:color w:val="7B4290"/>
                        <w:spacing w:val="-5"/>
                        <w:w w:val="115"/>
                        <w:sz w:val="39"/>
                      </w:rPr>
                      <w:t>Resolution </w:t>
                    </w:r>
                    <w:r>
                      <w:rPr>
                        <w:rFonts w:ascii="Stone Sans II ITC Std Bk"/>
                        <w:b/>
                        <w:color w:val="7B4290"/>
                        <w:spacing w:val="-59"/>
                        <w:w w:val="115"/>
                        <w:sz w:val="47"/>
                      </w:rPr>
                      <w:t>17</w:t>
                    </w:r>
                  </w:p>
                  <w:p>
                    <w:pPr>
                      <w:spacing w:line="266" w:lineRule="exact" w:before="0"/>
                      <w:ind w:left="339" w:right="0" w:firstLine="0"/>
                      <w:jc w:val="left"/>
                      <w:rPr>
                        <w:sz w:val="20"/>
                      </w:rPr>
                    </w:pPr>
                    <w:r>
                      <w:rPr>
                        <w:rFonts w:ascii="Stone Sans II ITC Std Bk"/>
                        <w:b/>
                        <w:w w:val="110"/>
                        <w:sz w:val="20"/>
                      </w:rPr>
                      <w:t>Faith and order committee: Authorised elders </w:t>
                    </w:r>
                    <w:r>
                      <w:rPr>
                        <w:w w:val="110"/>
                        <w:sz w:val="20"/>
                      </w:rPr>
                      <w:t>(p.90)</w:t>
                    </w:r>
                  </w:p>
                  <w:p>
                    <w:pPr>
                      <w:spacing w:line="240" w:lineRule="auto" w:before="6"/>
                      <w:rPr>
                        <w:sz w:val="18"/>
                      </w:rPr>
                    </w:pPr>
                  </w:p>
                  <w:p>
                    <w:pPr>
                      <w:spacing w:line="235" w:lineRule="auto" w:before="0"/>
                      <w:ind w:left="339" w:right="202" w:firstLine="0"/>
                      <w:jc w:val="left"/>
                      <w:rPr>
                        <w:sz w:val="20"/>
                      </w:rPr>
                    </w:pPr>
                    <w:r>
                      <w:rPr>
                        <w:w w:val="120"/>
                        <w:sz w:val="20"/>
                      </w:rPr>
                      <w:t>General Assembly agrees that a list of those authorised elders and </w:t>
                    </w:r>
                    <w:r>
                      <w:rPr>
                        <w:spacing w:val="-2"/>
                        <w:w w:val="120"/>
                        <w:sz w:val="20"/>
                      </w:rPr>
                      <w:t>lay </w:t>
                    </w:r>
                    <w:r>
                      <w:rPr>
                        <w:w w:val="120"/>
                        <w:sz w:val="20"/>
                      </w:rPr>
                      <w:t>preachers whose authority </w:t>
                    </w:r>
                    <w:r>
                      <w:rPr>
                        <w:spacing w:val="-3"/>
                        <w:w w:val="120"/>
                        <w:sz w:val="20"/>
                      </w:rPr>
                      <w:t>to </w:t>
                    </w:r>
                    <w:r>
                      <w:rPr>
                        <w:w w:val="120"/>
                        <w:sz w:val="20"/>
                      </w:rPr>
                      <w:t>serve has been withdrawn be maintained by the General Secretariat, </w:t>
                    </w:r>
                    <w:r>
                      <w:rPr>
                        <w:spacing w:val="-3"/>
                        <w:w w:val="120"/>
                        <w:sz w:val="20"/>
                      </w:rPr>
                      <w:t>to avoid </w:t>
                    </w:r>
                    <w:r>
                      <w:rPr>
                        <w:w w:val="120"/>
                        <w:sz w:val="20"/>
                      </w:rPr>
                      <w:t>the possibility of </w:t>
                    </w:r>
                    <w:r>
                      <w:rPr>
                        <w:spacing w:val="-3"/>
                        <w:w w:val="120"/>
                        <w:sz w:val="20"/>
                      </w:rPr>
                      <w:t>any </w:t>
                    </w:r>
                    <w:r>
                      <w:rPr>
                        <w:w w:val="120"/>
                        <w:sz w:val="20"/>
                      </w:rPr>
                      <w:t>individual </w:t>
                    </w:r>
                    <w:r>
                      <w:rPr>
                        <w:spacing w:val="-3"/>
                        <w:w w:val="120"/>
                        <w:sz w:val="20"/>
                      </w:rPr>
                      <w:t>exercising this </w:t>
                    </w:r>
                    <w:r>
                      <w:rPr>
                        <w:w w:val="120"/>
                        <w:sz w:val="20"/>
                      </w:rPr>
                      <w:t>ministry unhelpfully in one place and then moving elsewhere without the previous difficulty being addressed </w:t>
                    </w:r>
                    <w:r>
                      <w:rPr>
                        <w:spacing w:val="-3"/>
                        <w:w w:val="120"/>
                        <w:sz w:val="20"/>
                      </w:rPr>
                      <w:t>to </w:t>
                    </w:r>
                    <w:r>
                      <w:rPr>
                        <w:spacing w:val="2"/>
                        <w:w w:val="120"/>
                        <w:sz w:val="20"/>
                      </w:rPr>
                      <w:t>try </w:t>
                    </w:r>
                    <w:r>
                      <w:rPr>
                        <w:w w:val="120"/>
                        <w:sz w:val="20"/>
                      </w:rPr>
                      <w:t>again.</w:t>
                    </w:r>
                  </w:p>
                </w:txbxContent>
              </v:textbox>
              <v:stroke dashstyle="solid"/>
              <w10:wrap type="none"/>
            </v:shape>
            <w10:wrap type="none"/>
          </v:group>
        </w:pict>
      </w:r>
      <w:r>
        <w:rPr/>
        <w:pict>
          <v:shape style="position:absolute;margin-left:554.141174pt;margin-top:21.993946pt;width:25.9pt;height:183.25pt;mso-position-horizontal-relative:page;mso-position-vertical-relative:paragraph;z-index:252333056" type="#_x0000_t202" filled="false" stroked="false">
            <v:textbox inset="0,0,0,0" style="layout-flow:vertical">
              <w:txbxContent>
                <w:p>
                  <w:pPr>
                    <w:spacing w:before="27"/>
                    <w:ind w:left="20" w:right="0" w:firstLine="0"/>
                    <w:jc w:val="left"/>
                    <w:rPr>
                      <w:sz w:val="39"/>
                    </w:rPr>
                  </w:pPr>
                  <w:r>
                    <w:rPr>
                      <w:color w:val="FFFFFF"/>
                      <w:w w:val="120"/>
                      <w:sz w:val="39"/>
                    </w:rPr>
                    <w:t>Resolutions 17-22</w:t>
                  </w:r>
                </w:p>
              </w:txbxContent>
            </v:textbox>
            <w10:wrap type="none"/>
          </v:shape>
        </w:pict>
      </w:r>
      <w:r>
        <w:rPr>
          <w:color w:val="7EAABF"/>
          <w:w w:val="110"/>
          <w:sz w:val="26"/>
        </w:rPr>
        <w:t>Resolutions</w:t>
      </w:r>
    </w:p>
    <w:p>
      <w:pPr>
        <w:spacing w:after="0"/>
        <w:jc w:val="right"/>
        <w:rPr>
          <w:sz w:val="26"/>
        </w:rPr>
        <w:sectPr>
          <w:headerReference w:type="default" r:id="rId639"/>
          <w:pgSz w:w="11910" w:h="16840"/>
          <w:pgMar w:header="0" w:footer="647" w:top="520" w:bottom="840" w:left="640" w:right="0"/>
        </w:sectPr>
      </w:pPr>
    </w:p>
    <w:p>
      <w:pPr>
        <w:pStyle w:val="BodyText"/>
      </w:pPr>
      <w:r>
        <w:rPr/>
        <w:drawing>
          <wp:anchor distT="0" distB="0" distL="0" distR="0" allowOverlap="1" layoutInCell="1" locked="0" behindDoc="1" simplePos="0" relativeHeight="235894784">
            <wp:simplePos x="0" y="0"/>
            <wp:positionH relativeFrom="page">
              <wp:posOffset>0</wp:posOffset>
            </wp:positionH>
            <wp:positionV relativeFrom="page">
              <wp:posOffset>0</wp:posOffset>
            </wp:positionV>
            <wp:extent cx="594067" cy="10692003"/>
            <wp:effectExtent l="0" t="0" r="0" b="0"/>
            <wp:wrapNone/>
            <wp:docPr id="453" name="image77.png"/>
            <wp:cNvGraphicFramePr>
              <a:graphicFrameLocks noChangeAspect="1"/>
            </wp:cNvGraphicFramePr>
            <a:graphic>
              <a:graphicData uri="http://schemas.openxmlformats.org/drawingml/2006/picture">
                <pic:pic>
                  <pic:nvPicPr>
                    <pic:cNvPr id="454" name="image77.png"/>
                    <pic:cNvPicPr/>
                  </pic:nvPicPr>
                  <pic:blipFill>
                    <a:blip r:embed="rId630" cstate="print"/>
                    <a:stretch>
                      <a:fillRect/>
                    </a:stretch>
                  </pic:blipFill>
                  <pic:spPr>
                    <a:xfrm>
                      <a:off x="0" y="0"/>
                      <a:ext cx="594067" cy="10692003"/>
                    </a:xfrm>
                    <a:prstGeom prst="rect">
                      <a:avLst/>
                    </a:prstGeom>
                  </pic:spPr>
                </pic:pic>
              </a:graphicData>
            </a:graphic>
          </wp:anchor>
        </w:drawing>
      </w:r>
      <w:r>
        <w:rPr/>
        <w:pict>
          <v:shape style="position:absolute;margin-left:20.519100pt;margin-top:48.890015pt;width:25.9pt;height:183.25pt;mso-position-horizontal-relative:page;mso-position-vertical-relative:page;z-index:-267420672" type="#_x0000_t202" filled="false" stroked="false">
            <v:textbox inset="0,0,0,0" style="layout-flow:vertical">
              <w:txbxContent>
                <w:p>
                  <w:pPr>
                    <w:spacing w:before="27"/>
                    <w:ind w:left="20" w:right="0" w:firstLine="0"/>
                    <w:jc w:val="left"/>
                    <w:rPr>
                      <w:sz w:val="39"/>
                    </w:rPr>
                  </w:pPr>
                  <w:r>
                    <w:rPr>
                      <w:color w:val="FFFFFF"/>
                      <w:w w:val="120"/>
                      <w:sz w:val="39"/>
                    </w:rPr>
                    <w:t>Resolutions 23-27</w:t>
                  </w:r>
                </w:p>
              </w:txbxContent>
            </v:textbox>
            <w10:wrap type="none"/>
          </v:shape>
        </w:pict>
      </w:r>
    </w:p>
    <w:p>
      <w:pPr>
        <w:pStyle w:val="BodyText"/>
        <w:spacing w:before="7"/>
        <w:rPr>
          <w:sz w:val="21"/>
        </w:rPr>
      </w:pPr>
    </w:p>
    <w:p>
      <w:pPr>
        <w:spacing w:before="106"/>
        <w:ind w:left="607" w:right="0" w:firstLine="0"/>
        <w:jc w:val="left"/>
        <w:rPr>
          <w:sz w:val="26"/>
        </w:rPr>
      </w:pPr>
      <w:r>
        <w:rPr>
          <w:color w:val="7EAABF"/>
          <w:w w:val="115"/>
          <w:sz w:val="26"/>
        </w:rPr>
        <w:t>Resolutions</w:t>
      </w:r>
    </w:p>
    <w:p>
      <w:pPr>
        <w:pStyle w:val="BodyText"/>
        <w:spacing w:before="8"/>
        <w:rPr>
          <w:sz w:val="9"/>
        </w:rPr>
      </w:pPr>
      <w:r>
        <w:rPr/>
        <w:pict>
          <v:shape style="position:absolute;margin-left:56.209pt;margin-top:8.346445pt;width:465.85pt;height:128.15pt;mso-position-horizontal-relative:page;mso-position-vertical-relative:paragraph;z-index:-250982400;mso-wrap-distance-left:0;mso-wrap-distance-right:0" type="#_x0000_t202" filled="false" stroked="true" strokeweight="1pt" strokecolor="#000000">
            <v:textbox inset="0,0,0,0">
              <w:txbxContent>
                <w:p>
                  <w:pPr>
                    <w:spacing w:line="631" w:lineRule="exact" w:before="115"/>
                    <w:ind w:left="240" w:right="0" w:firstLine="0"/>
                    <w:jc w:val="left"/>
                    <w:rPr>
                      <w:rFonts w:ascii="Stone Sans II ITC Std Bk"/>
                      <w:b/>
                      <w:sz w:val="47"/>
                    </w:rPr>
                  </w:pPr>
                  <w:r>
                    <w:rPr>
                      <w:color w:val="7B4290"/>
                      <w:w w:val="115"/>
                      <w:sz w:val="39"/>
                    </w:rPr>
                    <w:t>Resolution </w:t>
                  </w:r>
                  <w:r>
                    <w:rPr>
                      <w:rFonts w:ascii="Stone Sans II ITC Std Bk"/>
                      <w:b/>
                      <w:color w:val="7B4290"/>
                      <w:w w:val="115"/>
                      <w:sz w:val="47"/>
                    </w:rPr>
                    <w:t>23</w:t>
                  </w:r>
                </w:p>
                <w:p>
                  <w:pPr>
                    <w:spacing w:line="266" w:lineRule="exact" w:before="0"/>
                    <w:ind w:left="240" w:right="0" w:firstLine="0"/>
                    <w:jc w:val="left"/>
                    <w:rPr>
                      <w:sz w:val="20"/>
                    </w:rPr>
                  </w:pPr>
                  <w:r>
                    <w:rPr>
                      <w:rFonts w:ascii="Stone Sans II ITC Std Bk"/>
                      <w:b/>
                      <w:w w:val="110"/>
                      <w:sz w:val="20"/>
                    </w:rPr>
                    <w:t>Faith and order committee: What Is the Spirit Saying to the Churches? </w:t>
                  </w:r>
                  <w:r>
                    <w:rPr>
                      <w:spacing w:val="-11"/>
                      <w:w w:val="110"/>
                      <w:sz w:val="20"/>
                    </w:rPr>
                    <w:t>(p.119)</w:t>
                  </w:r>
                </w:p>
                <w:p>
                  <w:pPr>
                    <w:pStyle w:val="BodyText"/>
                    <w:spacing w:before="6"/>
                    <w:rPr>
                      <w:sz w:val="18"/>
                    </w:rPr>
                  </w:pPr>
                </w:p>
                <w:p>
                  <w:pPr>
                    <w:pStyle w:val="BodyText"/>
                    <w:spacing w:line="235" w:lineRule="auto" w:before="1"/>
                    <w:ind w:left="240" w:right="579"/>
                  </w:pPr>
                  <w:r>
                    <w:rPr>
                      <w:w w:val="120"/>
                    </w:rPr>
                    <w:t>General Assembly </w:t>
                  </w:r>
                  <w:r>
                    <w:rPr>
                      <w:spacing w:val="-3"/>
                      <w:w w:val="120"/>
                    </w:rPr>
                    <w:t>invites </w:t>
                  </w:r>
                  <w:r>
                    <w:rPr>
                      <w:w w:val="120"/>
                    </w:rPr>
                    <w:t>the faith and order </w:t>
                  </w:r>
                  <w:r>
                    <w:rPr>
                      <w:spacing w:val="-3"/>
                      <w:w w:val="120"/>
                    </w:rPr>
                    <w:t>committee </w:t>
                  </w:r>
                  <w:r>
                    <w:rPr>
                      <w:w w:val="120"/>
                    </w:rPr>
                    <w:t>in </w:t>
                  </w:r>
                  <w:r>
                    <w:rPr>
                      <w:spacing w:val="-3"/>
                      <w:w w:val="120"/>
                    </w:rPr>
                    <w:t>consultation </w:t>
                  </w:r>
                  <w:r>
                    <w:rPr>
                      <w:w w:val="120"/>
                    </w:rPr>
                    <w:t>with other relevant bodies </w:t>
                  </w:r>
                  <w:r>
                    <w:rPr>
                      <w:spacing w:val="-3"/>
                      <w:w w:val="120"/>
                    </w:rPr>
                    <w:t>to </w:t>
                  </w:r>
                  <w:r>
                    <w:rPr>
                      <w:w w:val="120"/>
                    </w:rPr>
                    <w:t>undertake work arising out of </w:t>
                  </w:r>
                  <w:r>
                    <w:rPr>
                      <w:spacing w:val="-3"/>
                      <w:w w:val="120"/>
                    </w:rPr>
                    <w:t>this </w:t>
                  </w:r>
                  <w:r>
                    <w:rPr>
                      <w:w w:val="120"/>
                    </w:rPr>
                    <w:t>report and on </w:t>
                  </w:r>
                  <w:r>
                    <w:rPr>
                      <w:spacing w:val="-9"/>
                      <w:w w:val="120"/>
                    </w:rPr>
                    <w:t>‘A </w:t>
                  </w:r>
                  <w:r>
                    <w:rPr>
                      <w:spacing w:val="-3"/>
                      <w:w w:val="120"/>
                    </w:rPr>
                    <w:t>Statement Concerning </w:t>
                  </w:r>
                  <w:r>
                    <w:rPr>
                      <w:w w:val="120"/>
                    </w:rPr>
                    <w:t>the </w:t>
                  </w:r>
                  <w:r>
                    <w:rPr>
                      <w:spacing w:val="-3"/>
                      <w:w w:val="120"/>
                    </w:rPr>
                    <w:t>Nature, Faith </w:t>
                  </w:r>
                  <w:r>
                    <w:rPr>
                      <w:w w:val="120"/>
                    </w:rPr>
                    <w:t>and Order of the </w:t>
                  </w:r>
                  <w:r>
                    <w:rPr>
                      <w:spacing w:val="-3"/>
                      <w:w w:val="120"/>
                    </w:rPr>
                    <w:t>United </w:t>
                  </w:r>
                  <w:r>
                    <w:rPr>
                      <w:w w:val="120"/>
                    </w:rPr>
                    <w:t>Reformed </w:t>
                  </w:r>
                  <w:r>
                    <w:rPr>
                      <w:spacing w:val="-5"/>
                      <w:w w:val="120"/>
                    </w:rPr>
                    <w:t>Church’, </w:t>
                  </w:r>
                  <w:r>
                    <w:rPr>
                      <w:spacing w:val="-3"/>
                      <w:w w:val="120"/>
                    </w:rPr>
                    <w:t>to </w:t>
                  </w:r>
                  <w:r>
                    <w:rPr>
                      <w:w w:val="120"/>
                    </w:rPr>
                    <w:t>produce further </w:t>
                  </w:r>
                  <w:r>
                    <w:rPr>
                      <w:spacing w:val="-3"/>
                      <w:w w:val="120"/>
                    </w:rPr>
                    <w:t>resources </w:t>
                  </w:r>
                  <w:r>
                    <w:rPr>
                      <w:w w:val="120"/>
                    </w:rPr>
                    <w:t>for study and </w:t>
                  </w:r>
                  <w:r>
                    <w:rPr>
                      <w:spacing w:val="-3"/>
                      <w:w w:val="120"/>
                    </w:rPr>
                    <w:t>worship, to </w:t>
                  </w:r>
                  <w:r>
                    <w:rPr>
                      <w:w w:val="120"/>
                    </w:rPr>
                    <w:t>help churches in their reflection on ‘What is the Spirit saying </w:t>
                  </w:r>
                  <w:r>
                    <w:rPr>
                      <w:spacing w:val="-3"/>
                      <w:w w:val="120"/>
                    </w:rPr>
                    <w:t>to </w:t>
                  </w:r>
                  <w:r>
                    <w:rPr>
                      <w:w w:val="120"/>
                    </w:rPr>
                    <w:t>the </w:t>
                  </w:r>
                  <w:r>
                    <w:rPr>
                      <w:spacing w:val="-3"/>
                      <w:w w:val="120"/>
                    </w:rPr>
                    <w:t>churches?’</w:t>
                  </w:r>
                </w:p>
              </w:txbxContent>
            </v:textbox>
            <v:stroke dashstyle="solid"/>
            <w10:wrap type="topAndBottom"/>
          </v:shape>
        </w:pict>
      </w:r>
      <w:r>
        <w:rPr/>
        <w:pict>
          <v:group style="position:absolute;margin-left:55.709pt;margin-top:145.79245pt;width:466.85pt;height:179.75pt;mso-position-horizontal-relative:page;mso-position-vertical-relative:paragraph;z-index:-250972160;mso-wrap-distance-left:0;mso-wrap-distance-right:0" coordorigin="1114,2916" coordsize="9337,3595">
            <v:rect style="position:absolute;left:1124;top:2925;width:9317;height:3575" filled="false" stroked="true" strokeweight="1pt" strokecolor="#000000">
              <v:stroke dashstyle="solid"/>
            </v:rect>
            <v:shape style="position:absolute;left:1374;top:6126;width:3991;height:240" type="#_x0000_t202" filled="false" stroked="false">
              <v:textbox inset="0,0,0,0">
                <w:txbxContent>
                  <w:p>
                    <w:pPr>
                      <w:spacing w:line="240" w:lineRule="exact" w:before="0"/>
                      <w:ind w:left="0" w:right="0" w:firstLine="0"/>
                      <w:jc w:val="left"/>
                      <w:rPr>
                        <w:sz w:val="20"/>
                      </w:rPr>
                    </w:pPr>
                    <w:r>
                      <w:rPr>
                        <w:w w:val="125"/>
                        <w:sz w:val="20"/>
                      </w:rPr>
                      <w:t>meeting</w:t>
                    </w:r>
                    <w:r>
                      <w:rPr>
                        <w:spacing w:val="-17"/>
                        <w:w w:val="125"/>
                        <w:sz w:val="20"/>
                      </w:rPr>
                      <w:t> </w:t>
                    </w:r>
                    <w:r>
                      <w:rPr>
                        <w:w w:val="125"/>
                        <w:sz w:val="20"/>
                      </w:rPr>
                      <w:t>of</w:t>
                    </w:r>
                    <w:r>
                      <w:rPr>
                        <w:spacing w:val="-17"/>
                        <w:w w:val="125"/>
                        <w:sz w:val="20"/>
                      </w:rPr>
                      <w:t> </w:t>
                    </w:r>
                    <w:r>
                      <w:rPr>
                        <w:w w:val="125"/>
                        <w:sz w:val="20"/>
                      </w:rPr>
                      <w:t>Mission</w:t>
                    </w:r>
                    <w:r>
                      <w:rPr>
                        <w:spacing w:val="-17"/>
                        <w:w w:val="125"/>
                        <w:sz w:val="20"/>
                      </w:rPr>
                      <w:t> </w:t>
                    </w:r>
                    <w:r>
                      <w:rPr>
                        <w:w w:val="125"/>
                        <w:sz w:val="20"/>
                      </w:rPr>
                      <w:t>Council</w:t>
                    </w:r>
                    <w:r>
                      <w:rPr>
                        <w:spacing w:val="-17"/>
                        <w:w w:val="125"/>
                        <w:sz w:val="20"/>
                      </w:rPr>
                      <w:t> </w:t>
                    </w:r>
                    <w:r>
                      <w:rPr>
                        <w:w w:val="125"/>
                        <w:sz w:val="20"/>
                      </w:rPr>
                      <w:t>in</w:t>
                    </w:r>
                    <w:r>
                      <w:rPr>
                        <w:spacing w:val="-17"/>
                        <w:w w:val="125"/>
                        <w:sz w:val="20"/>
                      </w:rPr>
                      <w:t> </w:t>
                    </w:r>
                    <w:r>
                      <w:rPr>
                        <w:w w:val="125"/>
                        <w:sz w:val="20"/>
                      </w:rPr>
                      <w:t>May</w:t>
                    </w:r>
                    <w:r>
                      <w:rPr>
                        <w:spacing w:val="-17"/>
                        <w:w w:val="125"/>
                        <w:sz w:val="20"/>
                      </w:rPr>
                      <w:t> </w:t>
                    </w:r>
                    <w:r>
                      <w:rPr>
                        <w:spacing w:val="-12"/>
                        <w:w w:val="125"/>
                        <w:sz w:val="20"/>
                      </w:rPr>
                      <w:t>2017.</w:t>
                    </w:r>
                  </w:p>
                </w:txbxContent>
              </v:textbox>
              <w10:wrap type="none"/>
            </v:shape>
            <v:shape style="position:absolute;left:2055;top:5886;width:7905;height:240" type="#_x0000_t202" filled="false" stroked="false">
              <v:textbox inset="0,0,0,0">
                <w:txbxContent>
                  <w:p>
                    <w:pPr>
                      <w:spacing w:line="240" w:lineRule="exact" w:before="0"/>
                      <w:ind w:left="0" w:right="0" w:firstLine="0"/>
                      <w:jc w:val="left"/>
                      <w:rPr>
                        <w:sz w:val="20"/>
                      </w:rPr>
                    </w:pPr>
                    <w:r>
                      <w:rPr>
                        <w:w w:val="120"/>
                        <w:sz w:val="20"/>
                      </w:rPr>
                      <w:t>instructs the faith and order committee to bring proposals for such a plan to the</w:t>
                    </w:r>
                  </w:p>
                </w:txbxContent>
              </v:textbox>
              <w10:wrap type="none"/>
            </v:shape>
            <v:shape style="position:absolute;left:1374;top:5886;width:204;height:240" type="#_x0000_t202" filled="false" stroked="false">
              <v:textbox inset="0,0,0,0">
                <w:txbxContent>
                  <w:p>
                    <w:pPr>
                      <w:spacing w:line="240" w:lineRule="exact" w:before="0"/>
                      <w:ind w:left="0" w:right="0" w:firstLine="0"/>
                      <w:jc w:val="left"/>
                      <w:rPr>
                        <w:sz w:val="20"/>
                      </w:rPr>
                    </w:pPr>
                    <w:r>
                      <w:rPr>
                        <w:w w:val="135"/>
                        <w:sz w:val="20"/>
                      </w:rPr>
                      <w:t>c)</w:t>
                    </w:r>
                  </w:p>
                </w:txbxContent>
              </v:textbox>
              <w10:wrap type="none"/>
            </v:shape>
            <v:shape style="position:absolute;left:1374;top:5406;width:6511;height:240" type="#_x0000_t202" filled="false" stroked="false">
              <v:textbox inset="0,0,0,0">
                <w:txbxContent>
                  <w:p>
                    <w:pPr>
                      <w:spacing w:line="240" w:lineRule="exact" w:before="0"/>
                      <w:ind w:left="0" w:right="0" w:firstLine="0"/>
                      <w:jc w:val="left"/>
                      <w:rPr>
                        <w:sz w:val="20"/>
                      </w:rPr>
                    </w:pPr>
                    <w:r>
                      <w:rPr>
                        <w:w w:val="120"/>
                        <w:sz w:val="20"/>
                      </w:rPr>
                      <w:t>principles, in consultation with the law and polity advisory group;</w:t>
                    </w:r>
                  </w:p>
                </w:txbxContent>
              </v:textbox>
              <w10:wrap type="none"/>
            </v:shape>
            <v:shape style="position:absolute;left:2055;top:5166;width:7638;height:240" type="#_x0000_t202" filled="false" stroked="false">
              <v:textbox inset="0,0,0,0">
                <w:txbxContent>
                  <w:p>
                    <w:pPr>
                      <w:spacing w:line="240" w:lineRule="exact" w:before="0"/>
                      <w:ind w:left="0" w:right="0" w:firstLine="0"/>
                      <w:jc w:val="left"/>
                      <w:rPr>
                        <w:sz w:val="20"/>
                      </w:rPr>
                    </w:pPr>
                    <w:r>
                      <w:rPr>
                        <w:w w:val="120"/>
                        <w:sz w:val="20"/>
                      </w:rPr>
                      <w:t>instructs the faith and order committee to prepare a plan to implement these</w:t>
                    </w:r>
                  </w:p>
                </w:txbxContent>
              </v:textbox>
              <w10:wrap type="none"/>
            </v:shape>
            <v:shape style="position:absolute;left:1374;top:5166;width:228;height:240" type="#_x0000_t202" filled="false" stroked="false">
              <v:textbox inset="0,0,0,0">
                <w:txbxContent>
                  <w:p>
                    <w:pPr>
                      <w:spacing w:line="240" w:lineRule="exact" w:before="0"/>
                      <w:ind w:left="0" w:right="0" w:firstLine="0"/>
                      <w:jc w:val="left"/>
                      <w:rPr>
                        <w:sz w:val="20"/>
                      </w:rPr>
                    </w:pPr>
                    <w:r>
                      <w:rPr>
                        <w:w w:val="135"/>
                        <w:sz w:val="20"/>
                      </w:rPr>
                      <w:t>b)</w:t>
                    </w:r>
                  </w:p>
                </w:txbxContent>
              </v:textbox>
              <w10:wrap type="none"/>
            </v:shape>
            <v:shape style="position:absolute;left:2055;top:4686;width:6328;height:240" type="#_x0000_t202" filled="false" stroked="false">
              <v:textbox inset="0,0,0,0">
                <w:txbxContent>
                  <w:p>
                    <w:pPr>
                      <w:spacing w:line="240" w:lineRule="exact" w:before="0"/>
                      <w:ind w:left="0" w:right="0" w:firstLine="0"/>
                      <w:jc w:val="left"/>
                      <w:rPr>
                        <w:sz w:val="20"/>
                      </w:rPr>
                    </w:pPr>
                    <w:r>
                      <w:rPr>
                        <w:w w:val="120"/>
                        <w:sz w:val="20"/>
                      </w:rPr>
                      <w:t>welcomes the principles embodied in the Wider Fold proposals;</w:t>
                    </w:r>
                  </w:p>
                </w:txbxContent>
              </v:textbox>
              <w10:wrap type="none"/>
            </v:shape>
            <v:shape style="position:absolute;left:1374;top:4686;width:205;height:240" type="#_x0000_t202" filled="false" stroked="false">
              <v:textbox inset="0,0,0,0">
                <w:txbxContent>
                  <w:p>
                    <w:pPr>
                      <w:spacing w:line="240" w:lineRule="exact" w:before="0"/>
                      <w:ind w:left="0" w:right="0" w:firstLine="0"/>
                      <w:jc w:val="left"/>
                      <w:rPr>
                        <w:sz w:val="20"/>
                      </w:rPr>
                    </w:pPr>
                    <w:r>
                      <w:rPr>
                        <w:w w:val="130"/>
                        <w:sz w:val="20"/>
                      </w:rPr>
                      <w:t>a)</w:t>
                    </w:r>
                  </w:p>
                </w:txbxContent>
              </v:textbox>
              <w10:wrap type="none"/>
            </v:shape>
            <v:shape style="position:absolute;left:1374;top:3100;width:5404;height:1346" type="#_x0000_t202" filled="false" stroked="false">
              <v:textbox inset="0,0,0,0">
                <w:txbxContent>
                  <w:p>
                    <w:pPr>
                      <w:spacing w:line="617" w:lineRule="exact" w:before="0"/>
                      <w:ind w:left="0" w:right="0" w:firstLine="0"/>
                      <w:jc w:val="left"/>
                      <w:rPr>
                        <w:rFonts w:ascii="Stone Sans II ITC Std Bk"/>
                        <w:b/>
                        <w:sz w:val="47"/>
                      </w:rPr>
                    </w:pPr>
                    <w:r>
                      <w:rPr>
                        <w:color w:val="7B4290"/>
                        <w:w w:val="115"/>
                        <w:sz w:val="39"/>
                      </w:rPr>
                      <w:t>Resolution </w:t>
                    </w:r>
                    <w:r>
                      <w:rPr>
                        <w:rFonts w:ascii="Stone Sans II ITC Std Bk"/>
                        <w:b/>
                        <w:color w:val="7B4290"/>
                        <w:w w:val="115"/>
                        <w:sz w:val="47"/>
                      </w:rPr>
                      <w:t>24</w:t>
                    </w:r>
                  </w:p>
                  <w:p>
                    <w:pPr>
                      <w:spacing w:line="266" w:lineRule="exact" w:before="0"/>
                      <w:ind w:left="0" w:right="0" w:firstLine="0"/>
                      <w:jc w:val="left"/>
                      <w:rPr>
                        <w:sz w:val="20"/>
                      </w:rPr>
                    </w:pPr>
                    <w:r>
                      <w:rPr>
                        <w:rFonts w:ascii="Stone Sans II ITC Std Bk"/>
                        <w:b/>
                        <w:w w:val="110"/>
                        <w:sz w:val="20"/>
                      </w:rPr>
                      <w:t>Faith and order committee: The Wider Fold </w:t>
                    </w:r>
                    <w:r>
                      <w:rPr>
                        <w:w w:val="110"/>
                        <w:sz w:val="20"/>
                      </w:rPr>
                      <w:t>(p.128)</w:t>
                    </w:r>
                  </w:p>
                  <w:p>
                    <w:pPr>
                      <w:spacing w:line="240" w:lineRule="auto" w:before="2"/>
                      <w:rPr>
                        <w:sz w:val="18"/>
                      </w:rPr>
                    </w:pPr>
                  </w:p>
                  <w:p>
                    <w:pPr>
                      <w:spacing w:line="240" w:lineRule="exact" w:before="0"/>
                      <w:ind w:left="0" w:right="0" w:firstLine="0"/>
                      <w:jc w:val="left"/>
                      <w:rPr>
                        <w:sz w:val="20"/>
                      </w:rPr>
                    </w:pPr>
                    <w:r>
                      <w:rPr>
                        <w:w w:val="120"/>
                        <w:sz w:val="20"/>
                      </w:rPr>
                      <w:t>General Assembly:</w:t>
                    </w:r>
                  </w:p>
                </w:txbxContent>
              </v:textbox>
              <w10:wrap type="none"/>
            </v:shape>
            <w10:wrap type="topAndBottom"/>
          </v:group>
        </w:pict>
      </w:r>
      <w:r>
        <w:rPr/>
        <w:pict>
          <v:shape style="position:absolute;margin-left:57.209pt;margin-top:336.19046pt;width:465.85pt;height:122.95pt;mso-position-horizontal-relative:page;mso-position-vertical-relative:paragraph;z-index:-250971136;mso-wrap-distance-left:0;mso-wrap-distance-right:0" type="#_x0000_t202" filled="false" stroked="true" strokeweight="1pt" strokecolor="#000000">
            <v:textbox inset="0,0,0,0">
              <w:txbxContent>
                <w:p>
                  <w:pPr>
                    <w:spacing w:line="631" w:lineRule="exact" w:before="105"/>
                    <w:ind w:left="220" w:right="0" w:firstLine="0"/>
                    <w:jc w:val="left"/>
                    <w:rPr>
                      <w:rFonts w:ascii="Stone Sans II ITC Std Bk"/>
                      <w:b/>
                      <w:sz w:val="47"/>
                    </w:rPr>
                  </w:pPr>
                  <w:r>
                    <w:rPr>
                      <w:color w:val="7B4290"/>
                      <w:w w:val="115"/>
                      <w:sz w:val="39"/>
                    </w:rPr>
                    <w:t>Resolution </w:t>
                  </w:r>
                  <w:r>
                    <w:rPr>
                      <w:rFonts w:ascii="Stone Sans II ITC Std Bk"/>
                      <w:b/>
                      <w:color w:val="7B4290"/>
                      <w:w w:val="115"/>
                      <w:sz w:val="47"/>
                    </w:rPr>
                    <w:t>25</w:t>
                  </w:r>
                </w:p>
                <w:p>
                  <w:pPr>
                    <w:spacing w:line="266" w:lineRule="exact" w:before="0"/>
                    <w:ind w:left="220" w:right="0" w:firstLine="0"/>
                    <w:jc w:val="left"/>
                    <w:rPr>
                      <w:sz w:val="20"/>
                    </w:rPr>
                  </w:pPr>
                  <w:r>
                    <w:rPr>
                      <w:rFonts w:ascii="Stone Sans II ITC Std Bk"/>
                      <w:b/>
                      <w:w w:val="110"/>
                      <w:sz w:val="20"/>
                    </w:rPr>
                    <w:t>Faith and order committee: Unity, Identity and Mission </w:t>
                  </w:r>
                  <w:r>
                    <w:rPr>
                      <w:w w:val="110"/>
                      <w:sz w:val="20"/>
                    </w:rPr>
                    <w:t>(p.131)</w:t>
                  </w:r>
                </w:p>
                <w:p>
                  <w:pPr>
                    <w:pStyle w:val="BodyText"/>
                    <w:spacing w:before="6"/>
                    <w:rPr>
                      <w:sz w:val="18"/>
                    </w:rPr>
                  </w:pPr>
                </w:p>
                <w:p>
                  <w:pPr>
                    <w:pStyle w:val="BodyText"/>
                    <w:spacing w:line="235" w:lineRule="auto" w:before="1"/>
                    <w:ind w:left="220"/>
                  </w:pPr>
                  <w:r>
                    <w:rPr>
                      <w:w w:val="120"/>
                    </w:rPr>
                    <w:t>Assembly welcomes the report of the Church of England/ United Reformed Church conversations, agrees the recommendations and instructs the nominations committee, having consulted with the faith and order committee and any other relevant parties, to nominate members for the proposed steering group.</w:t>
                  </w:r>
                </w:p>
              </w:txbxContent>
            </v:textbox>
            <v:stroke dashstyle="solid"/>
            <w10:wrap type="topAndBottom"/>
          </v:shape>
        </w:pict>
      </w:r>
      <w:r>
        <w:rPr/>
        <w:pict>
          <v:shape style="position:absolute;margin-left:57.626999pt;margin-top:470.385437pt;width:465.85pt;height:93pt;mso-position-horizontal-relative:page;mso-position-vertical-relative:paragraph;z-index:-250970112;mso-wrap-distance-left:0;mso-wrap-distance-right:0" type="#_x0000_t202" filled="false" stroked="true" strokeweight="1pt" strokecolor="#000000">
            <v:textbox inset="0,0,0,0">
              <w:txbxContent>
                <w:p>
                  <w:pPr>
                    <w:spacing w:line="631" w:lineRule="exact" w:before="75"/>
                    <w:ind w:left="212" w:right="0" w:firstLine="0"/>
                    <w:jc w:val="left"/>
                    <w:rPr>
                      <w:rFonts w:ascii="Stone Sans II ITC Std Bk"/>
                      <w:b/>
                      <w:sz w:val="47"/>
                    </w:rPr>
                  </w:pPr>
                  <w:r>
                    <w:rPr>
                      <w:color w:val="7B4290"/>
                      <w:w w:val="115"/>
                      <w:sz w:val="39"/>
                    </w:rPr>
                    <w:t>Resolution </w:t>
                  </w:r>
                  <w:r>
                    <w:rPr>
                      <w:rFonts w:ascii="Stone Sans II ITC Std Bk"/>
                      <w:b/>
                      <w:color w:val="7B4290"/>
                      <w:w w:val="115"/>
                      <w:sz w:val="47"/>
                    </w:rPr>
                    <w:t>26</w:t>
                  </w:r>
                </w:p>
                <w:p>
                  <w:pPr>
                    <w:spacing w:line="266" w:lineRule="exact" w:before="0"/>
                    <w:ind w:left="212" w:right="0" w:firstLine="0"/>
                    <w:jc w:val="left"/>
                    <w:rPr>
                      <w:sz w:val="20"/>
                    </w:rPr>
                  </w:pPr>
                  <w:r>
                    <w:rPr>
                      <w:rFonts w:ascii="Stone Sans II ITC Std Bk" w:hAnsi="Stone Sans II ITC Std Bk"/>
                      <w:b/>
                      <w:w w:val="110"/>
                      <w:sz w:val="20"/>
                    </w:rPr>
                    <w:t>Finance committee: Churches’ Mutual Credit Union </w:t>
                  </w:r>
                  <w:r>
                    <w:rPr>
                      <w:w w:val="110"/>
                      <w:sz w:val="20"/>
                    </w:rPr>
                    <w:t>(p.138)</w:t>
                  </w:r>
                </w:p>
                <w:p>
                  <w:pPr>
                    <w:pStyle w:val="BodyText"/>
                    <w:spacing w:before="6"/>
                    <w:rPr>
                      <w:sz w:val="18"/>
                    </w:rPr>
                  </w:pPr>
                </w:p>
                <w:p>
                  <w:pPr>
                    <w:pStyle w:val="BodyText"/>
                    <w:spacing w:line="235" w:lineRule="auto"/>
                    <w:ind w:left="212"/>
                  </w:pPr>
                  <w:r>
                    <w:rPr>
                      <w:w w:val="120"/>
                    </w:rPr>
                    <w:t>General Assembly welcomes the participation of the United Reformed Church in the Churches’ Mutual Credit Union.</w:t>
                  </w:r>
                </w:p>
              </w:txbxContent>
            </v:textbox>
            <v:stroke dashstyle="solid"/>
            <w10:wrap type="topAndBottom"/>
          </v:shape>
        </w:pict>
      </w:r>
      <w:r>
        <w:rPr/>
        <w:pict>
          <v:shape style="position:absolute;margin-left:57.980999pt;margin-top:576.057434pt;width:465.85pt;height:93pt;mso-position-horizontal-relative:page;mso-position-vertical-relative:paragraph;z-index:-250969088;mso-wrap-distance-left:0;mso-wrap-distance-right:0" type="#_x0000_t202" filled="false" stroked="true" strokeweight="1pt" strokecolor="#000000">
            <v:textbox inset="0,0,0,0">
              <w:txbxContent>
                <w:p>
                  <w:pPr>
                    <w:spacing w:line="631" w:lineRule="exact" w:before="75"/>
                    <w:ind w:left="205" w:right="0" w:firstLine="0"/>
                    <w:jc w:val="left"/>
                    <w:rPr>
                      <w:rFonts w:ascii="Stone Sans II ITC Std Bk"/>
                      <w:b/>
                      <w:sz w:val="47"/>
                    </w:rPr>
                  </w:pPr>
                  <w:r>
                    <w:rPr>
                      <w:color w:val="7B4290"/>
                      <w:w w:val="115"/>
                      <w:sz w:val="39"/>
                    </w:rPr>
                    <w:t>Resolution </w:t>
                  </w:r>
                  <w:r>
                    <w:rPr>
                      <w:rFonts w:ascii="Stone Sans II ITC Std Bk"/>
                      <w:b/>
                      <w:color w:val="7B4290"/>
                      <w:w w:val="115"/>
                      <w:sz w:val="47"/>
                    </w:rPr>
                    <w:t>27</w:t>
                  </w:r>
                </w:p>
                <w:p>
                  <w:pPr>
                    <w:spacing w:line="266" w:lineRule="exact" w:before="0"/>
                    <w:ind w:left="205" w:right="0" w:firstLine="0"/>
                    <w:jc w:val="left"/>
                    <w:rPr>
                      <w:sz w:val="20"/>
                    </w:rPr>
                  </w:pPr>
                  <w:r>
                    <w:rPr>
                      <w:rFonts w:ascii="Stone Sans II ITC Std Bk"/>
                      <w:b/>
                      <w:w w:val="115"/>
                      <w:sz w:val="20"/>
                    </w:rPr>
                    <w:t>Finance committee: Annual accounts </w:t>
                  </w:r>
                  <w:r>
                    <w:rPr>
                      <w:w w:val="115"/>
                      <w:sz w:val="20"/>
                    </w:rPr>
                    <w:t>(p.141)</w:t>
                  </w:r>
                </w:p>
                <w:p>
                  <w:pPr>
                    <w:pStyle w:val="BodyText"/>
                    <w:spacing w:before="6"/>
                    <w:rPr>
                      <w:sz w:val="18"/>
                    </w:rPr>
                  </w:pPr>
                </w:p>
                <w:p>
                  <w:pPr>
                    <w:pStyle w:val="BodyText"/>
                    <w:spacing w:line="235" w:lineRule="auto"/>
                    <w:ind w:left="205" w:right="396"/>
                  </w:pPr>
                  <w:r>
                    <w:rPr>
                      <w:w w:val="120"/>
                    </w:rPr>
                    <w:t>General Assembly notes the trustees’ report and financial statements for the year ended 31 December 2015.</w:t>
                  </w:r>
                </w:p>
              </w:txbxContent>
            </v:textbox>
            <v:stroke dashstyle="solid"/>
            <w10:wrap type="topAndBottom"/>
          </v:shape>
        </w:pict>
      </w:r>
    </w:p>
    <w:p>
      <w:pPr>
        <w:pStyle w:val="BodyText"/>
        <w:spacing w:before="10"/>
        <w:rPr>
          <w:sz w:val="8"/>
        </w:rPr>
      </w:pPr>
    </w:p>
    <w:p>
      <w:pPr>
        <w:pStyle w:val="BodyText"/>
        <w:spacing w:before="1"/>
        <w:rPr>
          <w:sz w:val="11"/>
        </w:rPr>
      </w:pPr>
    </w:p>
    <w:p>
      <w:pPr>
        <w:pStyle w:val="BodyText"/>
        <w:spacing w:before="3"/>
        <w:rPr>
          <w:sz w:val="11"/>
        </w:rPr>
      </w:pPr>
    </w:p>
    <w:p>
      <w:pPr>
        <w:pStyle w:val="BodyText"/>
        <w:spacing w:before="7"/>
        <w:rPr>
          <w:sz w:val="13"/>
        </w:rPr>
      </w:pPr>
    </w:p>
    <w:p>
      <w:pPr>
        <w:spacing w:after="0"/>
        <w:rPr>
          <w:sz w:val="13"/>
        </w:rPr>
        <w:sectPr>
          <w:headerReference w:type="even" r:id="rId640"/>
          <w:footerReference w:type="even" r:id="rId641"/>
          <w:footerReference w:type="default" r:id="rId642"/>
          <w:pgSz w:w="11910" w:h="16840"/>
          <w:pgMar w:header="0" w:footer="647" w:top="0" w:bottom="840" w:left="640" w:right="0"/>
          <w:pgNumType w:start="242"/>
        </w:sectPr>
      </w:pPr>
    </w:p>
    <w:p>
      <w:pPr>
        <w:spacing w:before="94"/>
        <w:ind w:left="0" w:right="1245" w:firstLine="0"/>
        <w:jc w:val="right"/>
        <w:rPr>
          <w:sz w:val="26"/>
        </w:rPr>
      </w:pPr>
      <w:r>
        <w:rPr/>
        <w:pict>
          <v:group style="position:absolute;margin-left:81.694pt;margin-top:.000015pt;width:513.6pt;height:841.9pt;mso-position-horizontal-relative:page;mso-position-vertical-relative:page;z-index:-267416576" coordorigin="1634,0" coordsize="10272,16838">
            <v:rect style="position:absolute;left:1643;top:3874;width:9317;height:6670" filled="false" stroked="true" strokeweight="1.0pt" strokecolor="#000000">
              <v:stroke dashstyle="solid"/>
            </v:rect>
            <v:shape style="position:absolute;left:10984;top:0;width:922;height:16838" type="#_x0000_t75" stroked="false">
              <v:imagedata r:id="rId626" o:title=""/>
            </v:shape>
            <w10:wrap type="none"/>
          </v:group>
        </w:pict>
      </w:r>
      <w:r>
        <w:rPr>
          <w:color w:val="7EAABF"/>
          <w:w w:val="110"/>
          <w:sz w:val="26"/>
        </w:rPr>
        <w:t>Resolutions</w:t>
      </w:r>
    </w:p>
    <w:p>
      <w:pPr>
        <w:pStyle w:val="BodyText"/>
        <w:spacing w:before="12"/>
        <w:rPr>
          <w:sz w:val="9"/>
        </w:rPr>
      </w:pPr>
      <w:r>
        <w:rPr/>
        <w:pict>
          <v:shape style="position:absolute;margin-left:82.194pt;margin-top:8.547859pt;width:465.85pt;height:126.95pt;mso-position-horizontal-relative:page;mso-position-vertical-relative:paragraph;z-index:-250966016;mso-wrap-distance-left:0;mso-wrap-distance-right:0" type="#_x0000_t202" filled="false" stroked="true" strokeweight="1pt" strokecolor="#000000">
            <v:textbox inset="0,0,0,0">
              <w:txbxContent>
                <w:p>
                  <w:pPr>
                    <w:spacing w:line="631" w:lineRule="exact" w:before="54"/>
                    <w:ind w:left="330" w:right="0" w:firstLine="0"/>
                    <w:jc w:val="left"/>
                    <w:rPr>
                      <w:rFonts w:ascii="Stone Sans II ITC Std Bk"/>
                      <w:b/>
                      <w:sz w:val="47"/>
                    </w:rPr>
                  </w:pPr>
                  <w:r>
                    <w:rPr>
                      <w:color w:val="7B4290"/>
                      <w:w w:val="115"/>
                      <w:sz w:val="39"/>
                    </w:rPr>
                    <w:t>Resolution </w:t>
                  </w:r>
                  <w:r>
                    <w:rPr>
                      <w:rFonts w:ascii="Stone Sans II ITC Std Bk"/>
                      <w:b/>
                      <w:color w:val="7B4290"/>
                      <w:w w:val="115"/>
                      <w:sz w:val="47"/>
                    </w:rPr>
                    <w:t>28</w:t>
                  </w:r>
                </w:p>
                <w:p>
                  <w:pPr>
                    <w:spacing w:line="266" w:lineRule="exact" w:before="0"/>
                    <w:ind w:left="330" w:right="0" w:firstLine="0"/>
                    <w:jc w:val="left"/>
                    <w:rPr>
                      <w:sz w:val="20"/>
                    </w:rPr>
                  </w:pPr>
                  <w:r>
                    <w:rPr>
                      <w:rFonts w:ascii="Stone Sans II ITC Std Bk"/>
                      <w:b/>
                      <w:w w:val="110"/>
                      <w:sz w:val="20"/>
                    </w:rPr>
                    <w:t>Ministries committee: Stipendiary minister numbers and deployment </w:t>
                  </w:r>
                  <w:r>
                    <w:rPr>
                      <w:w w:val="110"/>
                      <w:sz w:val="20"/>
                    </w:rPr>
                    <w:t>(p.154)</w:t>
                  </w:r>
                </w:p>
                <w:p>
                  <w:pPr>
                    <w:pStyle w:val="BodyText"/>
                    <w:spacing w:before="6"/>
                    <w:rPr>
                      <w:sz w:val="18"/>
                    </w:rPr>
                  </w:pPr>
                </w:p>
                <w:p>
                  <w:pPr>
                    <w:pStyle w:val="BodyText"/>
                    <w:spacing w:line="235" w:lineRule="auto"/>
                    <w:ind w:left="330" w:right="729"/>
                  </w:pPr>
                  <w:r>
                    <w:rPr>
                      <w:w w:val="120"/>
                    </w:rPr>
                    <w:t>General Assembly notes the projections for numbers of stipendiary ministers likely to be available and stipendiary posts likely to be fundable through the Ministry and</w:t>
                  </w:r>
                </w:p>
                <w:p>
                  <w:pPr>
                    <w:pStyle w:val="BodyText"/>
                    <w:spacing w:line="235" w:lineRule="auto" w:before="2"/>
                    <w:ind w:left="330" w:right="579"/>
                  </w:pPr>
                  <w:r>
                    <w:rPr>
                      <w:w w:val="120"/>
                    </w:rPr>
                    <w:t>Mission Fund until 2025, and urges synods to use the principles outlined in ‘Challenge to the Church’ in deploying the stipendiary posts allocated to them, alongside non- stipendiary ministers, elders, local church leaders and other lay ministries.</w:t>
                  </w:r>
                </w:p>
              </w:txbxContent>
            </v:textbox>
            <v:stroke dashstyle="solid"/>
            <w10:wrap type="topAndBottom"/>
          </v:shape>
        </w:pict>
      </w:r>
    </w:p>
    <w:p>
      <w:pPr>
        <w:pStyle w:val="BodyText"/>
        <w:rPr>
          <w:sz w:val="16"/>
        </w:rPr>
      </w:pPr>
    </w:p>
    <w:p>
      <w:pPr>
        <w:spacing w:line="631" w:lineRule="exact" w:before="85"/>
        <w:ind w:left="1344" w:right="0" w:firstLine="0"/>
        <w:jc w:val="left"/>
        <w:rPr>
          <w:rFonts w:ascii="Stone Sans II ITC Std Bk"/>
          <w:b/>
          <w:sz w:val="47"/>
        </w:rPr>
      </w:pPr>
      <w:r>
        <w:rPr/>
        <w:pict>
          <v:shape style="position:absolute;margin-left:554.141174pt;margin-top:-145.759933pt;width:25.9pt;height:183.25pt;mso-position-horizontal-relative:page;mso-position-vertical-relative:paragraph;z-index:252354560" type="#_x0000_t202" filled="false" stroked="false">
            <v:textbox inset="0,0,0,0" style="layout-flow:vertical">
              <w:txbxContent>
                <w:p>
                  <w:pPr>
                    <w:spacing w:before="27"/>
                    <w:ind w:left="20" w:right="0" w:firstLine="0"/>
                    <w:jc w:val="left"/>
                    <w:rPr>
                      <w:sz w:val="39"/>
                    </w:rPr>
                  </w:pPr>
                  <w:r>
                    <w:rPr>
                      <w:color w:val="FFFFFF"/>
                      <w:w w:val="120"/>
                      <w:sz w:val="39"/>
                    </w:rPr>
                    <w:t>Resolutions 28-31</w:t>
                  </w:r>
                </w:p>
              </w:txbxContent>
            </v:textbox>
            <w10:wrap type="none"/>
          </v:shape>
        </w:pict>
      </w:r>
      <w:r>
        <w:rPr>
          <w:color w:val="7B4290"/>
          <w:w w:val="115"/>
          <w:sz w:val="39"/>
        </w:rPr>
        <w:t>Resolution </w:t>
      </w:r>
      <w:r>
        <w:rPr>
          <w:rFonts w:ascii="Stone Sans II ITC Std Bk"/>
          <w:b/>
          <w:color w:val="7B4290"/>
          <w:w w:val="115"/>
          <w:sz w:val="47"/>
        </w:rPr>
        <w:t>29</w:t>
      </w:r>
    </w:p>
    <w:p>
      <w:pPr>
        <w:pStyle w:val="Heading7"/>
        <w:spacing w:line="266" w:lineRule="exact"/>
        <w:ind w:left="1344"/>
        <w:rPr>
          <w:rFonts w:ascii="Calibri"/>
          <w:b w:val="0"/>
        </w:rPr>
      </w:pPr>
      <w:r>
        <w:rPr>
          <w:w w:val="110"/>
        </w:rPr>
        <w:t>Ministries committee: Stipendiary minister numbers and deployment </w:t>
      </w:r>
      <w:r>
        <w:rPr>
          <w:rFonts w:ascii="Calibri"/>
          <w:b w:val="0"/>
          <w:w w:val="110"/>
        </w:rPr>
        <w:t>(p.154)</w:t>
      </w:r>
    </w:p>
    <w:p>
      <w:pPr>
        <w:pStyle w:val="BodyText"/>
        <w:spacing w:before="6"/>
        <w:rPr>
          <w:sz w:val="18"/>
        </w:rPr>
      </w:pPr>
    </w:p>
    <w:p>
      <w:pPr>
        <w:pStyle w:val="BodyText"/>
        <w:spacing w:line="235" w:lineRule="auto"/>
        <w:ind w:left="1344" w:right="1217"/>
      </w:pPr>
      <w:r>
        <w:rPr>
          <w:w w:val="120"/>
        </w:rPr>
        <w:t>General Assembly instructs the ministries committee to apply the following formula for the allocation of stipendiary ministry posts to synods from January 2017:</w:t>
      </w:r>
    </w:p>
    <w:p>
      <w:pPr>
        <w:pStyle w:val="BodyText"/>
        <w:spacing w:before="10"/>
        <w:rPr>
          <w:sz w:val="19"/>
        </w:rPr>
      </w:pPr>
    </w:p>
    <w:p>
      <w:pPr>
        <w:pStyle w:val="ListParagraph"/>
        <w:numPr>
          <w:ilvl w:val="0"/>
          <w:numId w:val="253"/>
        </w:numPr>
        <w:tabs>
          <w:tab w:pos="2024" w:val="left" w:leader="none"/>
          <w:tab w:pos="2025" w:val="left" w:leader="none"/>
        </w:tabs>
        <w:spacing w:line="235" w:lineRule="auto" w:before="0" w:after="0"/>
        <w:ind w:left="1344" w:right="1573" w:firstLine="0"/>
        <w:jc w:val="left"/>
        <w:rPr>
          <w:sz w:val="20"/>
        </w:rPr>
      </w:pPr>
      <w:r>
        <w:rPr>
          <w:w w:val="120"/>
          <w:sz w:val="20"/>
        </w:rPr>
        <w:t>Assembly reaffirms its aim of funding at least </w:t>
      </w:r>
      <w:r>
        <w:rPr>
          <w:spacing w:val="-3"/>
          <w:w w:val="120"/>
          <w:sz w:val="20"/>
        </w:rPr>
        <w:t>26 </w:t>
      </w:r>
      <w:r>
        <w:rPr>
          <w:w w:val="120"/>
          <w:sz w:val="20"/>
        </w:rPr>
        <w:t>stipendiary CRCWs across   the URC with a minimum of two CRCWs per synod. While the total number of CRCW stipends paid remains below </w:t>
      </w:r>
      <w:r>
        <w:rPr>
          <w:spacing w:val="-3"/>
          <w:w w:val="120"/>
          <w:sz w:val="20"/>
        </w:rPr>
        <w:t>26, </w:t>
      </w:r>
      <w:r>
        <w:rPr>
          <w:w w:val="120"/>
          <w:sz w:val="20"/>
        </w:rPr>
        <w:t>synods may have three stipendiary CRCWs in their synod for a limited period without it affecting their overall deployment numbers or number of stipends allocated for the ministry of Word and Sacraments. Each CRCW post shall require approval by the church related community work programme subcommittee on the basis of an application by the relevant</w:t>
      </w:r>
      <w:r>
        <w:rPr>
          <w:spacing w:val="25"/>
          <w:w w:val="120"/>
          <w:sz w:val="20"/>
        </w:rPr>
        <w:t> </w:t>
      </w:r>
      <w:r>
        <w:rPr>
          <w:w w:val="120"/>
          <w:sz w:val="20"/>
        </w:rPr>
        <w:t>synod.</w:t>
      </w:r>
    </w:p>
    <w:p>
      <w:pPr>
        <w:pStyle w:val="BodyText"/>
        <w:spacing w:before="1"/>
      </w:pPr>
    </w:p>
    <w:p>
      <w:pPr>
        <w:pStyle w:val="ListParagraph"/>
        <w:numPr>
          <w:ilvl w:val="0"/>
          <w:numId w:val="253"/>
        </w:numPr>
        <w:tabs>
          <w:tab w:pos="2024" w:val="left" w:leader="none"/>
          <w:tab w:pos="2025" w:val="left" w:leader="none"/>
        </w:tabs>
        <w:spacing w:line="235" w:lineRule="auto" w:before="0" w:after="0"/>
        <w:ind w:left="1344" w:right="1254" w:firstLine="0"/>
        <w:jc w:val="left"/>
        <w:rPr>
          <w:sz w:val="20"/>
        </w:rPr>
      </w:pPr>
      <w:r>
        <w:rPr>
          <w:w w:val="120"/>
          <w:sz w:val="20"/>
        </w:rPr>
        <w:t>Up to 8% of the available stipendiary posts for ministers of Word and Sacraments shall be allocated as special category ministry posts, each post to be approved by the accreditation subcommittee on the basis of an application by the relevant</w:t>
      </w:r>
      <w:r>
        <w:rPr>
          <w:spacing w:val="32"/>
          <w:w w:val="120"/>
          <w:sz w:val="20"/>
        </w:rPr>
        <w:t> </w:t>
      </w:r>
      <w:r>
        <w:rPr>
          <w:w w:val="120"/>
          <w:sz w:val="20"/>
        </w:rPr>
        <w:t>synod.</w:t>
      </w:r>
    </w:p>
    <w:p>
      <w:pPr>
        <w:pStyle w:val="BodyText"/>
        <w:spacing w:before="10"/>
        <w:rPr>
          <w:sz w:val="19"/>
        </w:rPr>
      </w:pPr>
    </w:p>
    <w:p>
      <w:pPr>
        <w:pStyle w:val="ListParagraph"/>
        <w:numPr>
          <w:ilvl w:val="0"/>
          <w:numId w:val="253"/>
        </w:numPr>
        <w:tabs>
          <w:tab w:pos="2024" w:val="left" w:leader="none"/>
          <w:tab w:pos="2025" w:val="left" w:leader="none"/>
        </w:tabs>
        <w:spacing w:line="235" w:lineRule="auto" w:before="0" w:after="0"/>
        <w:ind w:left="1344" w:right="1463" w:firstLine="0"/>
        <w:jc w:val="left"/>
        <w:rPr>
          <w:sz w:val="20"/>
        </w:rPr>
      </w:pPr>
      <w:r>
        <w:rPr>
          <w:w w:val="120"/>
          <w:sz w:val="20"/>
        </w:rPr>
        <w:t>All remaining stipendiary posts for both ministries shall be allocated to synods on the basis of a formula with a weighting of 60% for the number of members in each synod and 40% for the number of congregations in each synod. This formula shall be reapplied annually on the basis of the latest information</w:t>
      </w:r>
      <w:r>
        <w:rPr>
          <w:spacing w:val="11"/>
          <w:w w:val="120"/>
          <w:sz w:val="20"/>
        </w:rPr>
        <w:t> </w:t>
      </w:r>
      <w:r>
        <w:rPr>
          <w:w w:val="120"/>
          <w:sz w:val="20"/>
        </w:rPr>
        <w:t>available.</w:t>
      </w:r>
    </w:p>
    <w:p>
      <w:pPr>
        <w:pStyle w:val="BodyText"/>
        <w:spacing w:before="11"/>
        <w:rPr>
          <w:sz w:val="19"/>
        </w:rPr>
      </w:pPr>
    </w:p>
    <w:p>
      <w:pPr>
        <w:pStyle w:val="ListParagraph"/>
        <w:numPr>
          <w:ilvl w:val="0"/>
          <w:numId w:val="253"/>
        </w:numPr>
        <w:tabs>
          <w:tab w:pos="2024" w:val="left" w:leader="none"/>
          <w:tab w:pos="2025" w:val="left" w:leader="none"/>
        </w:tabs>
        <w:spacing w:line="235" w:lineRule="auto" w:before="0" w:after="0"/>
        <w:ind w:left="1344" w:right="1361" w:firstLine="0"/>
        <w:jc w:val="left"/>
        <w:rPr>
          <w:sz w:val="20"/>
        </w:rPr>
      </w:pPr>
      <w:r>
        <w:rPr>
          <w:w w:val="120"/>
          <w:sz w:val="20"/>
        </w:rPr>
        <w:t>Each synod shall remain responsible for making its own allocation of stipendiary posts across the</w:t>
      </w:r>
      <w:r>
        <w:rPr>
          <w:spacing w:val="6"/>
          <w:w w:val="120"/>
          <w:sz w:val="20"/>
        </w:rPr>
        <w:t> </w:t>
      </w:r>
      <w:r>
        <w:rPr>
          <w:w w:val="120"/>
          <w:sz w:val="20"/>
        </w:rPr>
        <w:t>synod.</w:t>
      </w:r>
    </w:p>
    <w:p>
      <w:pPr>
        <w:pStyle w:val="BodyText"/>
        <w:spacing w:before="11"/>
        <w:rPr>
          <w:sz w:val="28"/>
        </w:rPr>
      </w:pPr>
      <w:r>
        <w:rPr/>
        <w:pict>
          <v:shape style="position:absolute;margin-left:81.721001pt;margin-top:20.091194pt;width:465.85pt;height:148.8pt;mso-position-horizontal-relative:page;mso-position-vertical-relative:paragraph;z-index:-250964992;mso-wrap-distance-left:0;mso-wrap-distance-right:0" type="#_x0000_t202" filled="false" stroked="true" strokeweight="1pt" strokecolor="#000000">
            <v:textbox inset="0,0,0,0">
              <w:txbxContent>
                <w:p>
                  <w:pPr>
                    <w:spacing w:line="631" w:lineRule="exact" w:before="20"/>
                    <w:ind w:left="339" w:right="0" w:firstLine="0"/>
                    <w:jc w:val="left"/>
                    <w:rPr>
                      <w:rFonts w:ascii="Stone Sans II ITC Std Bk"/>
                      <w:b/>
                      <w:sz w:val="47"/>
                    </w:rPr>
                  </w:pPr>
                  <w:r>
                    <w:rPr>
                      <w:color w:val="7B4290"/>
                      <w:w w:val="115"/>
                      <w:sz w:val="39"/>
                    </w:rPr>
                    <w:t>Resolution </w:t>
                  </w:r>
                  <w:r>
                    <w:rPr>
                      <w:rFonts w:ascii="Stone Sans II ITC Std Bk"/>
                      <w:b/>
                      <w:color w:val="7B4290"/>
                      <w:w w:val="115"/>
                      <w:sz w:val="47"/>
                    </w:rPr>
                    <w:t>30</w:t>
                  </w:r>
                </w:p>
                <w:p>
                  <w:pPr>
                    <w:spacing w:line="266" w:lineRule="exact" w:before="0"/>
                    <w:ind w:left="339" w:right="0" w:firstLine="0"/>
                    <w:jc w:val="left"/>
                    <w:rPr>
                      <w:sz w:val="20"/>
                    </w:rPr>
                  </w:pPr>
                  <w:r>
                    <w:rPr>
                      <w:rFonts w:ascii="Stone Sans II ITC Std Bk"/>
                      <w:b/>
                      <w:w w:val="115"/>
                      <w:sz w:val="20"/>
                    </w:rPr>
                    <w:t>Ministries committee: Assessment procedure </w:t>
                  </w:r>
                  <w:r>
                    <w:rPr>
                      <w:w w:val="115"/>
                      <w:sz w:val="20"/>
                    </w:rPr>
                    <w:t>(p.162)</w:t>
                  </w:r>
                </w:p>
                <w:p>
                  <w:pPr>
                    <w:pStyle w:val="BodyText"/>
                    <w:spacing w:before="6"/>
                    <w:rPr>
                      <w:sz w:val="18"/>
                    </w:rPr>
                  </w:pPr>
                </w:p>
                <w:p>
                  <w:pPr>
                    <w:pStyle w:val="BodyText"/>
                    <w:spacing w:line="235" w:lineRule="auto"/>
                    <w:ind w:left="339" w:right="396"/>
                  </w:pPr>
                  <w:r>
                    <w:rPr>
                      <w:w w:val="120"/>
                    </w:rPr>
                    <w:t>General Assembly confirms the procedure shown on pages 164-166 of the </w:t>
                  </w:r>
                  <w:r>
                    <w:rPr>
                      <w:i/>
                      <w:w w:val="120"/>
                    </w:rPr>
                    <w:t>Book of </w:t>
                  </w:r>
                  <w:r>
                    <w:rPr>
                      <w:i/>
                      <w:w w:val="120"/>
                    </w:rPr>
                    <w:t>Reports </w:t>
                  </w:r>
                  <w:r>
                    <w:rPr>
                      <w:w w:val="120"/>
                    </w:rPr>
                    <w:t>to General Assembly 2016 for applications for candidacy for the ministry of Word and Sacraments and the ministry of church related community work within the United Reformed Church, and delegates to the ministries and education and learning committees’ authority to make such minor amendments to the administration of this procedure as may from time to time be required, while reserving the right to make major changes of substance.</w:t>
                  </w:r>
                </w:p>
              </w:txbxContent>
            </v:textbox>
            <v:stroke dashstyle="solid"/>
            <w10:wrap type="topAndBottom"/>
          </v:shape>
        </w:pict>
      </w:r>
      <w:r>
        <w:rPr/>
        <w:pict>
          <v:shape style="position:absolute;margin-left:81.721001pt;margin-top:179.545197pt;width:465.85pt;height:93.25pt;mso-position-horizontal-relative:page;mso-position-vertical-relative:paragraph;z-index:-250963968;mso-wrap-distance-left:0;mso-wrap-distance-right:0" type="#_x0000_t202" filled="false" stroked="true" strokeweight="1pt" strokecolor="#000000">
            <v:textbox inset="0,0,0,0">
              <w:txbxContent>
                <w:p>
                  <w:pPr>
                    <w:spacing w:line="631" w:lineRule="exact" w:before="104"/>
                    <w:ind w:left="339" w:right="0" w:firstLine="0"/>
                    <w:jc w:val="left"/>
                    <w:rPr>
                      <w:rFonts w:ascii="Stone Sans II ITC Std Bk"/>
                      <w:b/>
                      <w:sz w:val="47"/>
                    </w:rPr>
                  </w:pPr>
                  <w:r>
                    <w:rPr>
                      <w:color w:val="7B4290"/>
                      <w:spacing w:val="-5"/>
                      <w:w w:val="115"/>
                      <w:sz w:val="39"/>
                    </w:rPr>
                    <w:t>Resolution </w:t>
                  </w:r>
                  <w:r>
                    <w:rPr>
                      <w:rFonts w:ascii="Stone Sans II ITC Std Bk"/>
                      <w:b/>
                      <w:color w:val="7B4290"/>
                      <w:spacing w:val="-40"/>
                      <w:w w:val="115"/>
                      <w:sz w:val="47"/>
                    </w:rPr>
                    <w:t>31</w:t>
                  </w:r>
                </w:p>
                <w:p>
                  <w:pPr>
                    <w:spacing w:line="266" w:lineRule="exact" w:before="0"/>
                    <w:ind w:left="339" w:right="0" w:firstLine="0"/>
                    <w:jc w:val="left"/>
                    <w:rPr>
                      <w:sz w:val="20"/>
                    </w:rPr>
                  </w:pPr>
                  <w:r>
                    <w:rPr>
                      <w:rFonts w:ascii="Stone Sans II ITC Std Bk"/>
                      <w:b/>
                      <w:w w:val="110"/>
                      <w:sz w:val="20"/>
                    </w:rPr>
                    <w:t>Mission committee: Environmental Policy for the United Reformed Church </w:t>
                  </w:r>
                  <w:r>
                    <w:rPr>
                      <w:w w:val="110"/>
                      <w:sz w:val="20"/>
                    </w:rPr>
                    <w:t>(p.185)</w:t>
                  </w:r>
                </w:p>
                <w:p>
                  <w:pPr>
                    <w:pStyle w:val="BodyText"/>
                    <w:spacing w:before="6"/>
                    <w:rPr>
                      <w:sz w:val="18"/>
                    </w:rPr>
                  </w:pPr>
                </w:p>
                <w:p>
                  <w:pPr>
                    <w:pStyle w:val="BodyText"/>
                    <w:spacing w:line="235" w:lineRule="auto"/>
                    <w:ind w:left="339" w:right="634"/>
                  </w:pPr>
                  <w:r>
                    <w:rPr>
                      <w:w w:val="120"/>
                    </w:rPr>
                    <w:t>General Assembly adopts the Environmental Policy, and encourages all committees, synods and local churches to do their best to implement it.</w:t>
                  </w:r>
                </w:p>
              </w:txbxContent>
            </v:textbox>
            <v:stroke dashstyle="solid"/>
            <w10:wrap type="topAndBottom"/>
          </v:shape>
        </w:pict>
      </w:r>
    </w:p>
    <w:p>
      <w:pPr>
        <w:pStyle w:val="BodyText"/>
        <w:spacing w:before="3"/>
        <w:rPr>
          <w:sz w:val="10"/>
        </w:rPr>
      </w:pPr>
    </w:p>
    <w:p>
      <w:pPr>
        <w:spacing w:after="0"/>
        <w:rPr>
          <w:sz w:val="10"/>
        </w:rPr>
        <w:sectPr>
          <w:headerReference w:type="default" r:id="rId643"/>
          <w:pgSz w:w="11910" w:h="16840"/>
          <w:pgMar w:header="0" w:footer="647" w:top="520" w:bottom="840" w:left="640" w:right="0"/>
        </w:sectPr>
      </w:pPr>
    </w:p>
    <w:p>
      <w:pPr>
        <w:pStyle w:val="BodyText"/>
      </w:pPr>
      <w:r>
        <w:rPr/>
        <w:drawing>
          <wp:anchor distT="0" distB="0" distL="0" distR="0" allowOverlap="1" layoutInCell="1" locked="0" behindDoc="1" simplePos="0" relativeHeight="235928576">
            <wp:simplePos x="0" y="0"/>
            <wp:positionH relativeFrom="page">
              <wp:posOffset>0</wp:posOffset>
            </wp:positionH>
            <wp:positionV relativeFrom="page">
              <wp:posOffset>0</wp:posOffset>
            </wp:positionV>
            <wp:extent cx="594067" cy="10692003"/>
            <wp:effectExtent l="0" t="0" r="0" b="0"/>
            <wp:wrapNone/>
            <wp:docPr id="455" name="image77.png"/>
            <wp:cNvGraphicFramePr>
              <a:graphicFrameLocks noChangeAspect="1"/>
            </wp:cNvGraphicFramePr>
            <a:graphic>
              <a:graphicData uri="http://schemas.openxmlformats.org/drawingml/2006/picture">
                <pic:pic>
                  <pic:nvPicPr>
                    <pic:cNvPr id="456" name="image77.png"/>
                    <pic:cNvPicPr/>
                  </pic:nvPicPr>
                  <pic:blipFill>
                    <a:blip r:embed="rId630" cstate="print"/>
                    <a:stretch>
                      <a:fillRect/>
                    </a:stretch>
                  </pic:blipFill>
                  <pic:spPr>
                    <a:xfrm>
                      <a:off x="0" y="0"/>
                      <a:ext cx="594067" cy="10692003"/>
                    </a:xfrm>
                    <a:prstGeom prst="rect">
                      <a:avLst/>
                    </a:prstGeom>
                  </pic:spPr>
                </pic:pic>
              </a:graphicData>
            </a:graphic>
          </wp:anchor>
        </w:drawing>
      </w:r>
      <w:r>
        <w:rPr/>
        <w:pict>
          <v:shape style="position:absolute;margin-left:20.519100pt;margin-top:48.890015pt;width:25.9pt;height:183.25pt;mso-position-horizontal-relative:page;mso-position-vertical-relative:page;z-index:-267386880" type="#_x0000_t202" filled="false" stroked="false">
            <v:textbox inset="0,0,0,0" style="layout-flow:vertical">
              <w:txbxContent>
                <w:p>
                  <w:pPr>
                    <w:spacing w:before="27"/>
                    <w:ind w:left="20" w:right="0" w:firstLine="0"/>
                    <w:jc w:val="left"/>
                    <w:rPr>
                      <w:sz w:val="39"/>
                    </w:rPr>
                  </w:pPr>
                  <w:r>
                    <w:rPr>
                      <w:color w:val="FFFFFF"/>
                      <w:w w:val="120"/>
                      <w:sz w:val="39"/>
                    </w:rPr>
                    <w:t>Resolutions 32-33</w:t>
                  </w:r>
                </w:p>
              </w:txbxContent>
            </v:textbox>
            <w10:wrap type="none"/>
          </v:shape>
        </w:pict>
      </w:r>
    </w:p>
    <w:p>
      <w:pPr>
        <w:pStyle w:val="BodyText"/>
        <w:spacing w:before="7"/>
        <w:rPr>
          <w:sz w:val="21"/>
        </w:rPr>
      </w:pPr>
    </w:p>
    <w:p>
      <w:pPr>
        <w:spacing w:before="106"/>
        <w:ind w:left="607" w:right="0" w:firstLine="0"/>
        <w:jc w:val="left"/>
        <w:rPr>
          <w:sz w:val="26"/>
        </w:rPr>
      </w:pPr>
      <w:r>
        <w:rPr>
          <w:color w:val="7EAABF"/>
          <w:w w:val="115"/>
          <w:sz w:val="26"/>
        </w:rPr>
        <w:t>Resolutions</w:t>
      </w:r>
    </w:p>
    <w:p>
      <w:pPr>
        <w:pStyle w:val="BodyText"/>
        <w:spacing w:before="3"/>
        <w:rPr>
          <w:sz w:val="14"/>
        </w:rPr>
      </w:pPr>
      <w:r>
        <w:rPr/>
        <w:pict>
          <v:group style="position:absolute;margin-left:55.709pt;margin-top:10.683445pt;width:466.85pt;height:322.45pt;mso-position-horizontal-relative:page;mso-position-vertical-relative:paragraph;z-index:-250948608;mso-wrap-distance-left:0;mso-wrap-distance-right:0" coordorigin="1114,214" coordsize="9337,6449">
            <v:rect style="position:absolute;left:1124;top:223;width:9317;height:6429" filled="false" stroked="true" strokeweight="1pt" strokecolor="#000000">
              <v:stroke dashstyle="solid"/>
            </v:rect>
            <v:shape style="position:absolute;left:1374;top:6060;width:8589;height:480" type="#_x0000_t202" filled="false" stroked="false">
              <v:textbox inset="0,0,0,0">
                <w:txbxContent>
                  <w:p>
                    <w:pPr>
                      <w:spacing w:line="235" w:lineRule="auto" w:before="3"/>
                      <w:ind w:left="0" w:right="0" w:firstLine="0"/>
                      <w:jc w:val="left"/>
                      <w:rPr>
                        <w:sz w:val="20"/>
                      </w:rPr>
                    </w:pPr>
                    <w:r>
                      <w:rPr>
                        <w:w w:val="120"/>
                        <w:sz w:val="20"/>
                      </w:rPr>
                      <w:t>relevant bodies within the United Reformed Church regarding decisions relating to the investment of Church funds in fossil fuels.</w:t>
                    </w:r>
                  </w:p>
                </w:txbxContent>
              </v:textbox>
              <w10:wrap type="none"/>
            </v:shape>
            <v:shape style="position:absolute;left:2055;top:5820;width:7886;height:240" type="#_x0000_t202" filled="false" stroked="false">
              <v:textbox inset="0,0,0,0">
                <w:txbxContent>
                  <w:p>
                    <w:pPr>
                      <w:spacing w:line="240" w:lineRule="exact" w:before="0"/>
                      <w:ind w:left="0" w:right="0" w:firstLine="0"/>
                      <w:jc w:val="left"/>
                      <w:rPr>
                        <w:sz w:val="20"/>
                      </w:rPr>
                    </w:pPr>
                    <w:r>
                      <w:rPr>
                        <w:w w:val="120"/>
                        <w:sz w:val="20"/>
                      </w:rPr>
                      <w:t>liaise with the United Reformed Church investment committee, and to assist the</w:t>
                    </w:r>
                  </w:p>
                </w:txbxContent>
              </v:textbox>
              <w10:wrap type="none"/>
            </v:shape>
            <v:shape style="position:absolute;left:1374;top:5820;width:240;height:240" type="#_x0000_t202" filled="false" stroked="false">
              <v:textbox inset="0,0,0,0">
                <w:txbxContent>
                  <w:p>
                    <w:pPr>
                      <w:spacing w:line="240" w:lineRule="exact" w:before="0"/>
                      <w:ind w:left="0" w:right="0" w:firstLine="0"/>
                      <w:jc w:val="left"/>
                      <w:rPr>
                        <w:sz w:val="20"/>
                      </w:rPr>
                    </w:pPr>
                    <w:r>
                      <w:rPr>
                        <w:w w:val="135"/>
                        <w:sz w:val="20"/>
                      </w:rPr>
                      <w:t>d)</w:t>
                    </w:r>
                  </w:p>
                </w:txbxContent>
              </v:textbox>
              <w10:wrap type="none"/>
            </v:shape>
            <v:shape style="position:absolute;left:1374;top:5100;width:7968;height:480" type="#_x0000_t202" filled="false" stroked="false">
              <v:textbox inset="0,0,0,0">
                <w:txbxContent>
                  <w:p>
                    <w:pPr>
                      <w:spacing w:line="235" w:lineRule="auto" w:before="3"/>
                      <w:ind w:left="0" w:right="0" w:firstLine="0"/>
                      <w:jc w:val="left"/>
                      <w:rPr>
                        <w:sz w:val="20"/>
                      </w:rPr>
                    </w:pPr>
                    <w:r>
                      <w:rPr>
                        <w:w w:val="120"/>
                        <w:sz w:val="20"/>
                      </w:rPr>
                      <w:t>footprint, enabling a benchmark to be set against which future reductions in this footprint may be made; and</w:t>
                    </w:r>
                  </w:p>
                </w:txbxContent>
              </v:textbox>
              <w10:wrap type="none"/>
            </v:shape>
            <v:shape style="position:absolute;left:2055;top:4860;width:7286;height:240" type="#_x0000_t202" filled="false" stroked="false">
              <v:textbox inset="0,0,0,0">
                <w:txbxContent>
                  <w:p>
                    <w:pPr>
                      <w:spacing w:line="240" w:lineRule="exact" w:before="0"/>
                      <w:ind w:left="0" w:right="0" w:firstLine="0"/>
                      <w:jc w:val="left"/>
                      <w:rPr>
                        <w:sz w:val="20"/>
                      </w:rPr>
                    </w:pPr>
                    <w:r>
                      <w:rPr>
                        <w:w w:val="120"/>
                        <w:sz w:val="20"/>
                      </w:rPr>
                      <w:t>commission a suitable individual or body to calculate the Church’s carbon</w:t>
                    </w:r>
                  </w:p>
                </w:txbxContent>
              </v:textbox>
              <w10:wrap type="none"/>
            </v:shape>
            <v:shape style="position:absolute;left:1374;top:4860;width:204;height:240" type="#_x0000_t202" filled="false" stroked="false">
              <v:textbox inset="0,0,0,0">
                <w:txbxContent>
                  <w:p>
                    <w:pPr>
                      <w:spacing w:line="240" w:lineRule="exact" w:before="0"/>
                      <w:ind w:left="0" w:right="0" w:firstLine="0"/>
                      <w:jc w:val="left"/>
                      <w:rPr>
                        <w:sz w:val="20"/>
                      </w:rPr>
                    </w:pPr>
                    <w:r>
                      <w:rPr>
                        <w:w w:val="135"/>
                        <w:sz w:val="20"/>
                      </w:rPr>
                      <w:t>c)</w:t>
                    </w:r>
                  </w:p>
                </w:txbxContent>
              </v:textbox>
              <w10:wrap type="none"/>
            </v:shape>
            <v:shape style="position:absolute;left:2055;top:4380;width:7872;height:240" type="#_x0000_t202" filled="false" stroked="false">
              <v:textbox inset="0,0,0,0">
                <w:txbxContent>
                  <w:p>
                    <w:pPr>
                      <w:spacing w:line="240" w:lineRule="exact" w:before="0"/>
                      <w:ind w:left="0" w:right="0" w:firstLine="0"/>
                      <w:jc w:val="left"/>
                      <w:rPr>
                        <w:sz w:val="20"/>
                      </w:rPr>
                    </w:pPr>
                    <w:r>
                      <w:rPr>
                        <w:w w:val="120"/>
                        <w:sz w:val="20"/>
                      </w:rPr>
                      <w:t>consider the budgetary implications of implementing the Environmental Policy;</w:t>
                    </w:r>
                  </w:p>
                </w:txbxContent>
              </v:textbox>
              <w10:wrap type="none"/>
            </v:shape>
            <v:shape style="position:absolute;left:1374;top:4380;width:228;height:240" type="#_x0000_t202" filled="false" stroked="false">
              <v:textbox inset="0,0,0,0">
                <w:txbxContent>
                  <w:p>
                    <w:pPr>
                      <w:spacing w:line="240" w:lineRule="exact" w:before="0"/>
                      <w:ind w:left="0" w:right="0" w:firstLine="0"/>
                      <w:jc w:val="left"/>
                      <w:rPr>
                        <w:sz w:val="20"/>
                      </w:rPr>
                    </w:pPr>
                    <w:r>
                      <w:rPr>
                        <w:w w:val="135"/>
                        <w:sz w:val="20"/>
                      </w:rPr>
                      <w:t>b)</w:t>
                    </w:r>
                  </w:p>
                </w:txbxContent>
              </v:textbox>
              <w10:wrap type="none"/>
            </v:shape>
            <v:shape style="position:absolute;left:1374;top:3900;width:4609;height:240" type="#_x0000_t202" filled="false" stroked="false">
              <v:textbox inset="0,0,0,0">
                <w:txbxContent>
                  <w:p>
                    <w:pPr>
                      <w:spacing w:line="240" w:lineRule="exact" w:before="0"/>
                      <w:ind w:left="0" w:right="0" w:firstLine="0"/>
                      <w:jc w:val="left"/>
                      <w:rPr>
                        <w:sz w:val="20"/>
                      </w:rPr>
                    </w:pPr>
                    <w:r>
                      <w:rPr>
                        <w:w w:val="120"/>
                        <w:sz w:val="20"/>
                      </w:rPr>
                      <w:t>themes contained in the Environmental Policy;</w:t>
                    </w:r>
                  </w:p>
                </w:txbxContent>
              </v:textbox>
              <w10:wrap type="none"/>
            </v:shape>
            <v:shape style="position:absolute;left:2055;top:3660;width:7781;height:240" type="#_x0000_t202" filled="false" stroked="false">
              <v:textbox inset="0,0,0,0">
                <w:txbxContent>
                  <w:p>
                    <w:pPr>
                      <w:spacing w:line="240" w:lineRule="exact" w:before="0"/>
                      <w:ind w:left="0" w:right="0" w:firstLine="0"/>
                      <w:jc w:val="left"/>
                      <w:rPr>
                        <w:sz w:val="20"/>
                      </w:rPr>
                    </w:pPr>
                    <w:r>
                      <w:rPr>
                        <w:w w:val="120"/>
                        <w:sz w:val="20"/>
                      </w:rPr>
                      <w:t>compile, produce or commission resources for worship and teaching related to</w:t>
                    </w:r>
                  </w:p>
                </w:txbxContent>
              </v:textbox>
              <w10:wrap type="none"/>
            </v:shape>
            <v:shape style="position:absolute;left:1374;top:3660;width:205;height:240" type="#_x0000_t202" filled="false" stroked="false">
              <v:textbox inset="0,0,0,0">
                <w:txbxContent>
                  <w:p>
                    <w:pPr>
                      <w:spacing w:line="240" w:lineRule="exact" w:before="0"/>
                      <w:ind w:left="0" w:right="0" w:firstLine="0"/>
                      <w:jc w:val="left"/>
                      <w:rPr>
                        <w:sz w:val="20"/>
                      </w:rPr>
                    </w:pPr>
                    <w:r>
                      <w:rPr>
                        <w:w w:val="130"/>
                        <w:sz w:val="20"/>
                      </w:rPr>
                      <w:t>a)</w:t>
                    </w:r>
                  </w:p>
                </w:txbxContent>
              </v:textbox>
              <w10:wrap type="none"/>
            </v:shape>
            <v:shape style="position:absolute;left:1374;top:395;width:8445;height:3026" type="#_x0000_t202" filled="false" stroked="false">
              <v:textbox inset="0,0,0,0">
                <w:txbxContent>
                  <w:p>
                    <w:pPr>
                      <w:spacing w:line="617" w:lineRule="exact" w:before="0"/>
                      <w:ind w:left="0" w:right="0" w:firstLine="0"/>
                      <w:jc w:val="left"/>
                      <w:rPr>
                        <w:rFonts w:ascii="Stone Sans II ITC Std Bk"/>
                        <w:b/>
                        <w:sz w:val="47"/>
                      </w:rPr>
                    </w:pPr>
                    <w:r>
                      <w:rPr>
                        <w:color w:val="7B4290"/>
                        <w:w w:val="115"/>
                        <w:sz w:val="39"/>
                      </w:rPr>
                      <w:t>Resolution </w:t>
                    </w:r>
                    <w:r>
                      <w:rPr>
                        <w:rFonts w:ascii="Stone Sans II ITC Std Bk"/>
                        <w:b/>
                        <w:color w:val="7B4290"/>
                        <w:w w:val="115"/>
                        <w:sz w:val="47"/>
                      </w:rPr>
                      <w:t>32</w:t>
                    </w:r>
                  </w:p>
                  <w:p>
                    <w:pPr>
                      <w:spacing w:line="257" w:lineRule="exact" w:before="0"/>
                      <w:ind w:left="0" w:right="0" w:firstLine="0"/>
                      <w:jc w:val="left"/>
                      <w:rPr>
                        <w:rFonts w:ascii="Stone Sans II ITC Std Bk"/>
                        <w:b/>
                        <w:sz w:val="20"/>
                      </w:rPr>
                    </w:pPr>
                    <w:r>
                      <w:rPr>
                        <w:rFonts w:ascii="Stone Sans II ITC Std Bk"/>
                        <w:b/>
                        <w:w w:val="110"/>
                        <w:sz w:val="20"/>
                      </w:rPr>
                      <w:t>Mission committee: Environmental Policy for the United Reformed Church</w:t>
                    </w:r>
                  </w:p>
                  <w:p>
                    <w:pPr>
                      <w:spacing w:line="235" w:lineRule="exact" w:before="0"/>
                      <w:ind w:left="0" w:right="0" w:firstLine="0"/>
                      <w:jc w:val="left"/>
                      <w:rPr>
                        <w:sz w:val="20"/>
                      </w:rPr>
                    </w:pPr>
                    <w:r>
                      <w:rPr>
                        <w:w w:val="130"/>
                        <w:sz w:val="20"/>
                      </w:rPr>
                      <w:t>(p.185)</w:t>
                    </w:r>
                  </w:p>
                  <w:p>
                    <w:pPr>
                      <w:spacing w:line="240" w:lineRule="auto" w:before="7"/>
                      <w:rPr>
                        <w:sz w:val="19"/>
                      </w:rPr>
                    </w:pPr>
                  </w:p>
                  <w:p>
                    <w:pPr>
                      <w:spacing w:line="235" w:lineRule="auto" w:before="0"/>
                      <w:ind w:left="0" w:right="0" w:firstLine="0"/>
                      <w:jc w:val="left"/>
                      <w:rPr>
                        <w:sz w:val="20"/>
                      </w:rPr>
                    </w:pPr>
                    <w:r>
                      <w:rPr>
                        <w:w w:val="120"/>
                        <w:sz w:val="20"/>
                      </w:rPr>
                      <w:t>General Assembly resolves to appoint a task group until 31 July 2022 in the first instance, of four persons, to be appointed by the nominations committee and funded from the mission committee budget, to monitor the United Reformed Church’s progress toward meeting its commitment to reduce its carbon footprint, reporting to the mission committee.</w:t>
                    </w:r>
                  </w:p>
                  <w:p>
                    <w:pPr>
                      <w:spacing w:line="240" w:lineRule="auto" w:before="8"/>
                      <w:rPr>
                        <w:sz w:val="19"/>
                      </w:rPr>
                    </w:pPr>
                  </w:p>
                  <w:p>
                    <w:pPr>
                      <w:spacing w:line="240" w:lineRule="exact" w:before="0"/>
                      <w:ind w:left="0" w:right="0" w:firstLine="0"/>
                      <w:jc w:val="left"/>
                      <w:rPr>
                        <w:sz w:val="20"/>
                      </w:rPr>
                    </w:pPr>
                    <w:r>
                      <w:rPr>
                        <w:w w:val="120"/>
                        <w:sz w:val="20"/>
                      </w:rPr>
                      <w:t>The task group’s specific remit shall be to:</w:t>
                    </w:r>
                  </w:p>
                </w:txbxContent>
              </v:textbox>
              <w10:wrap type="none"/>
            </v:shape>
            <w10:wrap type="topAndBottom"/>
          </v:group>
        </w:pict>
      </w:r>
      <w:r>
        <w:rPr/>
        <w:pict>
          <v:group style="position:absolute;margin-left:55.709pt;margin-top:344.456451pt;width:466.85pt;height:253.25pt;mso-position-horizontal-relative:page;mso-position-vertical-relative:paragraph;z-index:-250935296;mso-wrap-distance-left:0;mso-wrap-distance-right:0" coordorigin="1114,6889" coordsize="9337,5065">
            <v:rect style="position:absolute;left:1124;top:6899;width:9317;height:5045" filled="false" stroked="true" strokeweight="1pt" strokecolor="#000000">
              <v:stroke dashstyle="solid"/>
            </v:rect>
            <v:shape style="position:absolute;left:2055;top:11494;width:7974;height:240" type="#_x0000_t202" filled="false" stroked="false">
              <v:textbox inset="0,0,0,0">
                <w:txbxContent>
                  <w:p>
                    <w:pPr>
                      <w:spacing w:line="240" w:lineRule="exact" w:before="0"/>
                      <w:ind w:left="0" w:right="0" w:firstLine="0"/>
                      <w:jc w:val="left"/>
                      <w:rPr>
                        <w:sz w:val="20"/>
                      </w:rPr>
                    </w:pPr>
                    <w:r>
                      <w:rPr>
                        <w:w w:val="120"/>
                        <w:sz w:val="20"/>
                      </w:rPr>
                      <w:t>Urges church members to engage with their Member of Parliament on this issue.</w:t>
                    </w:r>
                  </w:p>
                </w:txbxContent>
              </v:textbox>
              <w10:wrap type="none"/>
            </v:shape>
            <v:shape style="position:absolute;left:1374;top:11494;width:240;height:240" type="#_x0000_t202" filled="false" stroked="false">
              <v:textbox inset="0,0,0,0">
                <w:txbxContent>
                  <w:p>
                    <w:pPr>
                      <w:spacing w:line="240" w:lineRule="exact" w:before="0"/>
                      <w:ind w:left="0" w:right="0" w:firstLine="0"/>
                      <w:jc w:val="left"/>
                      <w:rPr>
                        <w:sz w:val="20"/>
                      </w:rPr>
                    </w:pPr>
                    <w:r>
                      <w:rPr>
                        <w:w w:val="135"/>
                        <w:sz w:val="20"/>
                      </w:rPr>
                      <w:t>d)</w:t>
                    </w:r>
                  </w:p>
                </w:txbxContent>
              </v:textbox>
              <w10:wrap type="none"/>
            </v:shape>
            <v:shape style="position:absolute;left:1374;top:11014;width:6186;height:240" type="#_x0000_t202" filled="false" stroked="false">
              <v:textbox inset="0,0,0,0">
                <w:txbxContent>
                  <w:p>
                    <w:pPr>
                      <w:spacing w:line="240" w:lineRule="exact" w:before="0"/>
                      <w:ind w:left="0" w:right="0" w:firstLine="0"/>
                      <w:jc w:val="left"/>
                      <w:rPr>
                        <w:sz w:val="20"/>
                      </w:rPr>
                    </w:pPr>
                    <w:r>
                      <w:rPr>
                        <w:w w:val="120"/>
                        <w:sz w:val="20"/>
                      </w:rPr>
                      <w:t>possible with partner churches and organisations to achieve it;</w:t>
                    </w:r>
                  </w:p>
                </w:txbxContent>
              </v:textbox>
              <w10:wrap type="none"/>
            </v:shape>
            <v:shape style="position:absolute;left:2055;top:10774;width:7970;height:240" type="#_x0000_t202" filled="false" stroked="false">
              <v:textbox inset="0,0,0,0">
                <w:txbxContent>
                  <w:p>
                    <w:pPr>
                      <w:spacing w:line="240" w:lineRule="exact" w:before="0"/>
                      <w:ind w:left="0" w:right="0" w:firstLine="0"/>
                      <w:jc w:val="left"/>
                      <w:rPr>
                        <w:sz w:val="20"/>
                      </w:rPr>
                    </w:pPr>
                    <w:r>
                      <w:rPr>
                        <w:w w:val="120"/>
                        <w:sz w:val="20"/>
                      </w:rPr>
                      <w:t>Mandates the mission committee to make this call widely known, working where</w:t>
                    </w:r>
                  </w:p>
                </w:txbxContent>
              </v:textbox>
              <w10:wrap type="none"/>
            </v:shape>
            <v:shape style="position:absolute;left:1374;top:10774;width:204;height:240" type="#_x0000_t202" filled="false" stroked="false">
              <v:textbox inset="0,0,0,0">
                <w:txbxContent>
                  <w:p>
                    <w:pPr>
                      <w:spacing w:line="240" w:lineRule="exact" w:before="0"/>
                      <w:ind w:left="0" w:right="0" w:firstLine="0"/>
                      <w:jc w:val="left"/>
                      <w:rPr>
                        <w:sz w:val="20"/>
                      </w:rPr>
                    </w:pPr>
                    <w:r>
                      <w:rPr>
                        <w:w w:val="135"/>
                        <w:sz w:val="20"/>
                      </w:rPr>
                      <w:t>c)</w:t>
                    </w:r>
                  </w:p>
                </w:txbxContent>
              </v:textbox>
              <w10:wrap type="none"/>
            </v:shape>
            <v:shape style="position:absolute;left:1374;top:10054;width:8027;height:480" type="#_x0000_t202" filled="false" stroked="false">
              <v:textbox inset="0,0,0,0">
                <w:txbxContent>
                  <w:p>
                    <w:pPr>
                      <w:spacing w:line="235" w:lineRule="auto" w:before="3"/>
                      <w:ind w:left="0" w:right="0" w:firstLine="0"/>
                      <w:jc w:val="left"/>
                      <w:rPr>
                        <w:sz w:val="20"/>
                      </w:rPr>
                    </w:pPr>
                    <w:r>
                      <w:rPr>
                        <w:w w:val="120"/>
                        <w:sz w:val="20"/>
                      </w:rPr>
                      <w:t>negotiation of a Nuclear Weapons Ban Treaty to bring about the elimination of all nuclear weapons;</w:t>
                    </w:r>
                  </w:p>
                </w:txbxContent>
              </v:textbox>
              <w10:wrap type="none"/>
            </v:shape>
            <v:shape style="position:absolute;left:2055;top:9814;width:6963;height:240" type="#_x0000_t202" filled="false" stroked="false">
              <v:textbox inset="0,0,0,0">
                <w:txbxContent>
                  <w:p>
                    <w:pPr>
                      <w:spacing w:line="240" w:lineRule="exact" w:before="0"/>
                      <w:ind w:left="0" w:right="0" w:firstLine="0"/>
                      <w:jc w:val="left"/>
                      <w:rPr>
                        <w:sz w:val="20"/>
                      </w:rPr>
                    </w:pPr>
                    <w:r>
                      <w:rPr>
                        <w:w w:val="120"/>
                        <w:sz w:val="20"/>
                      </w:rPr>
                      <w:t>Remains opposed to the costly replacement of Trident and calls for the</w:t>
                    </w:r>
                  </w:p>
                </w:txbxContent>
              </v:textbox>
              <w10:wrap type="none"/>
            </v:shape>
            <v:shape style="position:absolute;left:1374;top:9814;width:228;height:240" type="#_x0000_t202" filled="false" stroked="false">
              <v:textbox inset="0,0,0,0">
                <w:txbxContent>
                  <w:p>
                    <w:pPr>
                      <w:spacing w:line="240" w:lineRule="exact" w:before="0"/>
                      <w:ind w:left="0" w:right="0" w:firstLine="0"/>
                      <w:jc w:val="left"/>
                      <w:rPr>
                        <w:sz w:val="20"/>
                      </w:rPr>
                    </w:pPr>
                    <w:r>
                      <w:rPr>
                        <w:w w:val="135"/>
                        <w:sz w:val="20"/>
                      </w:rPr>
                      <w:t>b)</w:t>
                    </w:r>
                  </w:p>
                </w:txbxContent>
              </v:textbox>
              <w10:wrap type="none"/>
            </v:shape>
            <v:shape style="position:absolute;left:1374;top:9334;width:1749;height:240" type="#_x0000_t202" filled="false" stroked="false">
              <v:textbox inset="0,0,0,0">
                <w:txbxContent>
                  <w:p>
                    <w:pPr>
                      <w:spacing w:line="240" w:lineRule="exact" w:before="0"/>
                      <w:ind w:left="0" w:right="0" w:firstLine="0"/>
                      <w:jc w:val="left"/>
                      <w:rPr>
                        <w:sz w:val="20"/>
                      </w:rPr>
                    </w:pPr>
                    <w:r>
                      <w:rPr>
                        <w:w w:val="120"/>
                        <w:sz w:val="20"/>
                      </w:rPr>
                      <w:t>nuclear weapons;</w:t>
                    </w:r>
                  </w:p>
                </w:txbxContent>
              </v:textbox>
              <w10:wrap type="none"/>
            </v:shape>
            <v:shape style="position:absolute;left:2055;top:9094;width:7836;height:240" type="#_x0000_t202" filled="false" stroked="false">
              <v:textbox inset="0,0,0,0">
                <w:txbxContent>
                  <w:p>
                    <w:pPr>
                      <w:spacing w:line="240" w:lineRule="exact" w:before="0"/>
                      <w:ind w:left="0" w:right="0" w:firstLine="0"/>
                      <w:jc w:val="left"/>
                      <w:rPr>
                        <w:sz w:val="20"/>
                      </w:rPr>
                    </w:pPr>
                    <w:r>
                      <w:rPr>
                        <w:w w:val="120"/>
                        <w:sz w:val="20"/>
                      </w:rPr>
                      <w:t>Welcomes the current international focus on the humanitarian consequences of</w:t>
                    </w:r>
                  </w:p>
                </w:txbxContent>
              </v:textbox>
              <w10:wrap type="none"/>
            </v:shape>
            <v:shape style="position:absolute;left:1374;top:9094;width:205;height:240" type="#_x0000_t202" filled="false" stroked="false">
              <v:textbox inset="0,0,0,0">
                <w:txbxContent>
                  <w:p>
                    <w:pPr>
                      <w:spacing w:line="240" w:lineRule="exact" w:before="0"/>
                      <w:ind w:left="0" w:right="0" w:firstLine="0"/>
                      <w:jc w:val="left"/>
                      <w:rPr>
                        <w:sz w:val="20"/>
                      </w:rPr>
                    </w:pPr>
                    <w:r>
                      <w:rPr>
                        <w:w w:val="130"/>
                        <w:sz w:val="20"/>
                      </w:rPr>
                      <w:t>a)</w:t>
                    </w:r>
                  </w:p>
                </w:txbxContent>
              </v:textbox>
              <w10:wrap type="none"/>
            </v:shape>
            <v:shape style="position:absolute;left:1374;top:7028;width:8694;height:1826" type="#_x0000_t202" filled="false" stroked="false">
              <v:textbox inset="0,0,0,0">
                <w:txbxContent>
                  <w:p>
                    <w:pPr>
                      <w:spacing w:line="617" w:lineRule="exact" w:before="0"/>
                      <w:ind w:left="0" w:right="0" w:firstLine="0"/>
                      <w:jc w:val="left"/>
                      <w:rPr>
                        <w:rFonts w:ascii="Stone Sans II ITC Std Bk"/>
                        <w:b/>
                        <w:sz w:val="47"/>
                      </w:rPr>
                    </w:pPr>
                    <w:r>
                      <w:rPr>
                        <w:color w:val="7B4290"/>
                        <w:spacing w:val="-5"/>
                        <w:w w:val="115"/>
                        <w:sz w:val="39"/>
                      </w:rPr>
                      <w:t>Resolution </w:t>
                    </w:r>
                    <w:r>
                      <w:rPr>
                        <w:rFonts w:ascii="Stone Sans II ITC Std Bk"/>
                        <w:b/>
                        <w:color w:val="7B4290"/>
                        <w:spacing w:val="-32"/>
                        <w:w w:val="115"/>
                        <w:sz w:val="47"/>
                      </w:rPr>
                      <w:t>33</w:t>
                    </w:r>
                  </w:p>
                  <w:p>
                    <w:pPr>
                      <w:spacing w:line="257" w:lineRule="exact" w:before="0"/>
                      <w:ind w:left="0" w:right="0" w:firstLine="0"/>
                      <w:jc w:val="left"/>
                      <w:rPr>
                        <w:rFonts w:ascii="Stone Sans II ITC Std Bk"/>
                        <w:b/>
                        <w:sz w:val="20"/>
                      </w:rPr>
                    </w:pPr>
                    <w:r>
                      <w:rPr>
                        <w:rFonts w:ascii="Stone Sans II ITC Std Bk"/>
                        <w:b/>
                        <w:w w:val="110"/>
                        <w:sz w:val="20"/>
                      </w:rPr>
                      <w:t>Mission committee: Support for a new international Nuclear Weapons Ban Treaty</w:t>
                    </w:r>
                  </w:p>
                  <w:p>
                    <w:pPr>
                      <w:spacing w:line="235" w:lineRule="exact" w:before="0"/>
                      <w:ind w:left="0" w:right="0" w:firstLine="0"/>
                      <w:jc w:val="left"/>
                      <w:rPr>
                        <w:sz w:val="20"/>
                      </w:rPr>
                    </w:pPr>
                    <w:r>
                      <w:rPr>
                        <w:w w:val="130"/>
                        <w:sz w:val="20"/>
                      </w:rPr>
                      <w:t>(p.191)</w:t>
                    </w:r>
                  </w:p>
                  <w:p>
                    <w:pPr>
                      <w:spacing w:line="240" w:lineRule="auto" w:before="7"/>
                      <w:rPr>
                        <w:sz w:val="19"/>
                      </w:rPr>
                    </w:pPr>
                  </w:p>
                  <w:p>
                    <w:pPr>
                      <w:spacing w:line="235" w:lineRule="auto" w:before="0"/>
                      <w:ind w:left="0" w:right="0" w:firstLine="0"/>
                      <w:jc w:val="left"/>
                      <w:rPr>
                        <w:sz w:val="20"/>
                      </w:rPr>
                    </w:pPr>
                    <w:r>
                      <w:rPr>
                        <w:w w:val="120"/>
                        <w:sz w:val="20"/>
                      </w:rPr>
                      <w:t>General Assembly, recalling the resolution on Trident adopted by Mission Council in 2006:</w:t>
                    </w:r>
                  </w:p>
                </w:txbxContent>
              </v:textbox>
              <w10:wrap type="none"/>
            </v:shape>
            <w10:wrap type="topAndBottom"/>
          </v:group>
        </w:pict>
      </w:r>
    </w:p>
    <w:p>
      <w:pPr>
        <w:pStyle w:val="BodyText"/>
        <w:rPr>
          <w:sz w:val="13"/>
        </w:rPr>
      </w:pPr>
    </w:p>
    <w:p>
      <w:pPr>
        <w:spacing w:after="0"/>
        <w:rPr>
          <w:sz w:val="13"/>
        </w:rPr>
        <w:sectPr>
          <w:headerReference w:type="even" r:id="rId644"/>
          <w:footerReference w:type="even" r:id="rId645"/>
          <w:footerReference w:type="default" r:id="rId646"/>
          <w:pgSz w:w="11910" w:h="16840"/>
          <w:pgMar w:header="0" w:footer="647" w:top="0" w:bottom="840" w:left="640" w:right="0"/>
          <w:pgNumType w:start="244"/>
        </w:sectPr>
      </w:pPr>
    </w:p>
    <w:p>
      <w:pPr>
        <w:pStyle w:val="BodyText"/>
        <w:spacing w:before="9"/>
        <w:rPr>
          <w:sz w:val="70"/>
        </w:rPr>
      </w:pPr>
    </w:p>
    <w:p>
      <w:pPr>
        <w:spacing w:line="635" w:lineRule="exact" w:before="0"/>
        <w:ind w:left="1344" w:right="0" w:firstLine="0"/>
        <w:jc w:val="left"/>
        <w:rPr>
          <w:rFonts w:ascii="Stone Sans II ITC Std Bk"/>
          <w:b/>
          <w:sz w:val="47"/>
        </w:rPr>
      </w:pPr>
      <w:r>
        <w:rPr/>
        <w:pict>
          <v:shape style="position:absolute;margin-left:554.141174pt;margin-top:-21.206703pt;width:25.9pt;height:183.25pt;mso-position-horizontal-relative:page;mso-position-vertical-relative:paragraph;z-index:252393472" type="#_x0000_t202" filled="false" stroked="false">
            <v:textbox inset="0,0,0,0" style="layout-flow:vertical">
              <w:txbxContent>
                <w:p>
                  <w:pPr>
                    <w:spacing w:before="27"/>
                    <w:ind w:left="20" w:right="0" w:firstLine="0"/>
                    <w:jc w:val="left"/>
                    <w:rPr>
                      <w:sz w:val="39"/>
                    </w:rPr>
                  </w:pPr>
                  <w:r>
                    <w:rPr>
                      <w:color w:val="FFFFFF"/>
                      <w:w w:val="120"/>
                      <w:sz w:val="39"/>
                    </w:rPr>
                    <w:t>Resolutions 34-36</w:t>
                  </w:r>
                </w:p>
              </w:txbxContent>
            </v:textbox>
            <w10:wrap type="none"/>
          </v:shape>
        </w:pict>
      </w:r>
      <w:r>
        <w:rPr>
          <w:color w:val="7B4290"/>
          <w:spacing w:val="-5"/>
          <w:w w:val="115"/>
          <w:sz w:val="39"/>
        </w:rPr>
        <w:t>Resolution</w:t>
      </w:r>
      <w:r>
        <w:rPr>
          <w:color w:val="7B4290"/>
          <w:spacing w:val="64"/>
          <w:w w:val="115"/>
          <w:sz w:val="39"/>
        </w:rPr>
        <w:t> </w:t>
      </w:r>
      <w:r>
        <w:rPr>
          <w:rFonts w:ascii="Stone Sans II ITC Std Bk"/>
          <w:b/>
          <w:color w:val="7B4290"/>
          <w:spacing w:val="-9"/>
          <w:w w:val="115"/>
          <w:sz w:val="47"/>
        </w:rPr>
        <w:t>34</w:t>
      </w:r>
    </w:p>
    <w:p>
      <w:pPr>
        <w:spacing w:before="94"/>
        <w:ind w:left="1344" w:right="0" w:firstLine="0"/>
        <w:jc w:val="left"/>
        <w:rPr>
          <w:sz w:val="26"/>
        </w:rPr>
      </w:pPr>
      <w:r>
        <w:rPr/>
        <w:br w:type="column"/>
      </w:r>
      <w:r>
        <w:rPr>
          <w:color w:val="7EAABF"/>
          <w:w w:val="115"/>
          <w:sz w:val="26"/>
        </w:rPr>
        <w:t>Resolutions</w:t>
      </w:r>
    </w:p>
    <w:p>
      <w:pPr>
        <w:spacing w:after="0"/>
        <w:jc w:val="left"/>
        <w:rPr>
          <w:sz w:val="26"/>
        </w:rPr>
        <w:sectPr>
          <w:headerReference w:type="default" r:id="rId647"/>
          <w:pgSz w:w="11910" w:h="16840"/>
          <w:pgMar w:header="0" w:footer="647" w:top="520" w:bottom="840" w:left="640" w:right="0"/>
          <w:cols w:num="2" w:equalWidth="0">
            <w:col w:w="4137" w:space="3140"/>
            <w:col w:w="3993"/>
          </w:cols>
        </w:sectPr>
      </w:pPr>
    </w:p>
    <w:p>
      <w:pPr>
        <w:pStyle w:val="Heading7"/>
        <w:spacing w:line="213" w:lineRule="auto" w:before="15"/>
        <w:ind w:left="1344" w:right="2195"/>
        <w:jc w:val="both"/>
        <w:rPr>
          <w:rFonts w:ascii="Calibri"/>
          <w:b w:val="0"/>
        </w:rPr>
      </w:pPr>
      <w:r>
        <w:rPr/>
        <w:pict>
          <v:group style="position:absolute;margin-left:81.694pt;margin-top:.000015pt;width:513.6pt;height:841.9pt;mso-position-horizontal-relative:page;mso-position-vertical-relative:page;z-index:-267377664" coordorigin="1634,0" coordsize="10272,16838">
            <v:shape style="position:absolute;left:1643;top:1120;width:9317;height:12883" coordorigin="1644,1120" coordsize="9317,12883" path="m1644,14002l10961,14002,10961,11419,1644,11419,1644,14002xm1644,8919l10961,8919,10961,1120,1644,1120,1644,8919xe" filled="false" stroked="true" strokeweight="1pt" strokecolor="#000000">
              <v:path arrowok="t"/>
              <v:stroke dashstyle="solid"/>
            </v:shape>
            <v:shape style="position:absolute;left:10984;top:0;width:922;height:16838" type="#_x0000_t75" stroked="false">
              <v:imagedata r:id="rId626" o:title=""/>
            </v:shape>
            <w10:wrap type="none"/>
          </v:group>
        </w:pict>
      </w:r>
      <w:r>
        <w:rPr>
          <w:w w:val="110"/>
        </w:rPr>
        <w:t>Mission committee: Resolution on peace and reunification of the Korean Peninsula </w:t>
      </w:r>
      <w:r>
        <w:rPr>
          <w:rFonts w:ascii="Calibri"/>
          <w:b w:val="0"/>
          <w:w w:val="110"/>
        </w:rPr>
        <w:t>(p.196)</w:t>
      </w:r>
    </w:p>
    <w:p>
      <w:pPr>
        <w:pStyle w:val="BodyText"/>
        <w:spacing w:before="1"/>
        <w:rPr>
          <w:sz w:val="19"/>
        </w:rPr>
      </w:pPr>
    </w:p>
    <w:p>
      <w:pPr>
        <w:pStyle w:val="ListParagraph"/>
        <w:numPr>
          <w:ilvl w:val="0"/>
          <w:numId w:val="254"/>
        </w:numPr>
        <w:tabs>
          <w:tab w:pos="2024" w:val="left" w:leader="none"/>
          <w:tab w:pos="2025" w:val="left" w:leader="none"/>
        </w:tabs>
        <w:spacing w:line="235" w:lineRule="auto" w:before="0" w:after="0"/>
        <w:ind w:left="1344" w:right="1408" w:firstLine="0"/>
        <w:jc w:val="left"/>
        <w:rPr>
          <w:sz w:val="20"/>
        </w:rPr>
      </w:pPr>
      <w:r>
        <w:rPr>
          <w:w w:val="120"/>
          <w:sz w:val="20"/>
        </w:rPr>
        <w:t>The General Assembly of the United Reformed Church welcomes the statement produced by the Ecumenical Forum on Peace in </w:t>
      </w:r>
      <w:r>
        <w:rPr>
          <w:spacing w:val="2"/>
          <w:w w:val="120"/>
          <w:sz w:val="20"/>
        </w:rPr>
        <w:t>North </w:t>
      </w:r>
      <w:r>
        <w:rPr>
          <w:w w:val="120"/>
          <w:sz w:val="20"/>
        </w:rPr>
        <w:t>East Asia meeting in Seoul on  </w:t>
      </w:r>
      <w:r>
        <w:rPr>
          <w:spacing w:val="-9"/>
          <w:w w:val="120"/>
          <w:sz w:val="20"/>
        </w:rPr>
        <w:t>12 </w:t>
      </w:r>
      <w:r>
        <w:rPr>
          <w:w w:val="120"/>
          <w:sz w:val="20"/>
        </w:rPr>
        <w:t>September</w:t>
      </w:r>
      <w:r>
        <w:rPr>
          <w:spacing w:val="13"/>
          <w:w w:val="120"/>
          <w:sz w:val="20"/>
        </w:rPr>
        <w:t> </w:t>
      </w:r>
      <w:r>
        <w:rPr>
          <w:spacing w:val="-7"/>
          <w:w w:val="120"/>
          <w:sz w:val="20"/>
        </w:rPr>
        <w:t>2015.</w:t>
      </w:r>
    </w:p>
    <w:p>
      <w:pPr>
        <w:pStyle w:val="BodyText"/>
        <w:spacing w:before="10"/>
        <w:rPr>
          <w:sz w:val="19"/>
        </w:rPr>
      </w:pPr>
    </w:p>
    <w:p>
      <w:pPr>
        <w:pStyle w:val="ListParagraph"/>
        <w:numPr>
          <w:ilvl w:val="0"/>
          <w:numId w:val="254"/>
        </w:numPr>
        <w:tabs>
          <w:tab w:pos="2025" w:val="left" w:leader="none"/>
        </w:tabs>
        <w:spacing w:line="235" w:lineRule="auto" w:before="0" w:after="0"/>
        <w:ind w:left="1344" w:right="1749" w:firstLine="0"/>
        <w:jc w:val="both"/>
        <w:rPr>
          <w:sz w:val="20"/>
        </w:rPr>
      </w:pPr>
      <w:r>
        <w:rPr>
          <w:w w:val="120"/>
          <w:sz w:val="20"/>
        </w:rPr>
        <w:t>The General Assembly faithfully joins its ecumenical partners, especially the Presbyterian Church of Korea (PCK) and the Presbyterian Church in the Republic of Korea</w:t>
      </w:r>
      <w:r>
        <w:rPr>
          <w:spacing w:val="2"/>
          <w:w w:val="120"/>
          <w:sz w:val="20"/>
        </w:rPr>
        <w:t> </w:t>
      </w:r>
      <w:r>
        <w:rPr>
          <w:w w:val="120"/>
          <w:sz w:val="20"/>
        </w:rPr>
        <w:t>(PROK),</w:t>
      </w:r>
    </w:p>
    <w:p>
      <w:pPr>
        <w:pStyle w:val="ListParagraph"/>
        <w:numPr>
          <w:ilvl w:val="0"/>
          <w:numId w:val="255"/>
        </w:numPr>
        <w:tabs>
          <w:tab w:pos="2024" w:val="left" w:leader="none"/>
          <w:tab w:pos="2025" w:val="left" w:leader="none"/>
        </w:tabs>
        <w:spacing w:line="235" w:lineRule="auto" w:before="3" w:after="0"/>
        <w:ind w:left="2024" w:right="1463" w:hanging="681"/>
        <w:jc w:val="left"/>
        <w:rPr>
          <w:sz w:val="20"/>
        </w:rPr>
      </w:pPr>
      <w:r>
        <w:rPr>
          <w:w w:val="120"/>
          <w:sz w:val="20"/>
        </w:rPr>
        <w:t>in affirming the ‘Statement on Peace and Reunification of the Korean</w:t>
      </w:r>
      <w:r>
        <w:rPr>
          <w:spacing w:val="-36"/>
          <w:w w:val="120"/>
          <w:sz w:val="20"/>
        </w:rPr>
        <w:t> </w:t>
      </w:r>
      <w:r>
        <w:rPr>
          <w:w w:val="120"/>
          <w:sz w:val="20"/>
        </w:rPr>
        <w:t>Peninsula’ that was adopted by the 10th Assembly of the World Council of</w:t>
      </w:r>
      <w:r>
        <w:rPr>
          <w:spacing w:val="50"/>
          <w:w w:val="120"/>
          <w:sz w:val="20"/>
        </w:rPr>
        <w:t> </w:t>
      </w:r>
      <w:r>
        <w:rPr>
          <w:w w:val="120"/>
          <w:sz w:val="20"/>
        </w:rPr>
        <w:t>Churches;</w:t>
      </w:r>
    </w:p>
    <w:p>
      <w:pPr>
        <w:pStyle w:val="ListParagraph"/>
        <w:numPr>
          <w:ilvl w:val="0"/>
          <w:numId w:val="255"/>
        </w:numPr>
        <w:tabs>
          <w:tab w:pos="2024" w:val="left" w:leader="none"/>
          <w:tab w:pos="2025" w:val="left" w:leader="none"/>
        </w:tabs>
        <w:spacing w:line="235" w:lineRule="auto" w:before="1" w:after="0"/>
        <w:ind w:left="2024" w:right="1370" w:hanging="681"/>
        <w:jc w:val="left"/>
        <w:rPr>
          <w:sz w:val="20"/>
        </w:rPr>
      </w:pPr>
      <w:r>
        <w:rPr>
          <w:w w:val="120"/>
          <w:sz w:val="20"/>
        </w:rPr>
        <w:t>in supporting the communiqué that was issued by the </w:t>
      </w:r>
      <w:r>
        <w:rPr>
          <w:spacing w:val="-3"/>
          <w:w w:val="120"/>
          <w:sz w:val="20"/>
        </w:rPr>
        <w:t>WCC </w:t>
      </w:r>
      <w:r>
        <w:rPr>
          <w:w w:val="120"/>
          <w:sz w:val="20"/>
        </w:rPr>
        <w:t>International Consultation on Peace, Justice and Reconciliation on the Korean Peninsula at the Ecumenical Institute in</w:t>
      </w:r>
      <w:r>
        <w:rPr>
          <w:spacing w:val="6"/>
          <w:w w:val="120"/>
          <w:sz w:val="20"/>
        </w:rPr>
        <w:t> </w:t>
      </w:r>
      <w:r>
        <w:rPr>
          <w:spacing w:val="-6"/>
          <w:w w:val="120"/>
          <w:sz w:val="20"/>
        </w:rPr>
        <w:t>2014.</w:t>
      </w:r>
    </w:p>
    <w:p>
      <w:pPr>
        <w:pStyle w:val="BodyText"/>
        <w:spacing w:before="10"/>
        <w:rPr>
          <w:sz w:val="19"/>
        </w:rPr>
      </w:pPr>
    </w:p>
    <w:p>
      <w:pPr>
        <w:pStyle w:val="ListParagraph"/>
        <w:numPr>
          <w:ilvl w:val="0"/>
          <w:numId w:val="254"/>
        </w:numPr>
        <w:tabs>
          <w:tab w:pos="2024" w:val="left" w:leader="none"/>
          <w:tab w:pos="2025" w:val="left" w:leader="none"/>
        </w:tabs>
        <w:spacing w:line="235" w:lineRule="auto" w:before="0" w:after="0"/>
        <w:ind w:left="1344" w:right="1705" w:firstLine="0"/>
        <w:jc w:val="both"/>
        <w:rPr>
          <w:sz w:val="20"/>
        </w:rPr>
      </w:pPr>
      <w:r>
        <w:rPr>
          <w:w w:val="120"/>
          <w:sz w:val="20"/>
        </w:rPr>
        <w:t>The General Assembly dedicates itself to accompany its Korean partners, the Presbyterian</w:t>
      </w:r>
      <w:r>
        <w:rPr>
          <w:spacing w:val="7"/>
          <w:w w:val="120"/>
          <w:sz w:val="20"/>
        </w:rPr>
        <w:t> </w:t>
      </w:r>
      <w:r>
        <w:rPr>
          <w:w w:val="120"/>
          <w:sz w:val="20"/>
        </w:rPr>
        <w:t>Church</w:t>
      </w:r>
      <w:r>
        <w:rPr>
          <w:spacing w:val="7"/>
          <w:w w:val="120"/>
          <w:sz w:val="20"/>
        </w:rPr>
        <w:t> </w:t>
      </w:r>
      <w:r>
        <w:rPr>
          <w:w w:val="120"/>
          <w:sz w:val="20"/>
        </w:rPr>
        <w:t>of</w:t>
      </w:r>
      <w:r>
        <w:rPr>
          <w:spacing w:val="7"/>
          <w:w w:val="120"/>
          <w:sz w:val="20"/>
        </w:rPr>
        <w:t> </w:t>
      </w:r>
      <w:r>
        <w:rPr>
          <w:w w:val="120"/>
          <w:sz w:val="20"/>
        </w:rPr>
        <w:t>Korea</w:t>
      </w:r>
      <w:r>
        <w:rPr>
          <w:spacing w:val="7"/>
          <w:w w:val="120"/>
          <w:sz w:val="20"/>
        </w:rPr>
        <w:t> </w:t>
      </w:r>
      <w:r>
        <w:rPr>
          <w:w w:val="120"/>
          <w:sz w:val="20"/>
        </w:rPr>
        <w:t>(PCK)</w:t>
      </w:r>
      <w:r>
        <w:rPr>
          <w:spacing w:val="7"/>
          <w:w w:val="120"/>
          <w:sz w:val="20"/>
        </w:rPr>
        <w:t> </w:t>
      </w:r>
      <w:r>
        <w:rPr>
          <w:w w:val="120"/>
          <w:sz w:val="20"/>
        </w:rPr>
        <w:t>and</w:t>
      </w:r>
      <w:r>
        <w:rPr>
          <w:spacing w:val="7"/>
          <w:w w:val="120"/>
          <w:sz w:val="20"/>
        </w:rPr>
        <w:t> </w:t>
      </w:r>
      <w:r>
        <w:rPr>
          <w:w w:val="120"/>
          <w:sz w:val="20"/>
        </w:rPr>
        <w:t>the</w:t>
      </w:r>
      <w:r>
        <w:rPr>
          <w:spacing w:val="7"/>
          <w:w w:val="120"/>
          <w:sz w:val="20"/>
        </w:rPr>
        <w:t> </w:t>
      </w:r>
      <w:r>
        <w:rPr>
          <w:w w:val="120"/>
          <w:sz w:val="20"/>
        </w:rPr>
        <w:t>Presbyterian</w:t>
      </w:r>
      <w:r>
        <w:rPr>
          <w:spacing w:val="7"/>
          <w:w w:val="120"/>
          <w:sz w:val="20"/>
        </w:rPr>
        <w:t> </w:t>
      </w:r>
      <w:r>
        <w:rPr>
          <w:w w:val="120"/>
          <w:sz w:val="20"/>
        </w:rPr>
        <w:t>Church</w:t>
      </w:r>
      <w:r>
        <w:rPr>
          <w:spacing w:val="7"/>
          <w:w w:val="120"/>
          <w:sz w:val="20"/>
        </w:rPr>
        <w:t> </w:t>
      </w:r>
      <w:r>
        <w:rPr>
          <w:w w:val="120"/>
          <w:sz w:val="20"/>
        </w:rPr>
        <w:t>in</w:t>
      </w:r>
      <w:r>
        <w:rPr>
          <w:spacing w:val="7"/>
          <w:w w:val="120"/>
          <w:sz w:val="20"/>
        </w:rPr>
        <w:t> </w:t>
      </w:r>
      <w:r>
        <w:rPr>
          <w:w w:val="120"/>
          <w:sz w:val="20"/>
        </w:rPr>
        <w:t>the</w:t>
      </w:r>
      <w:r>
        <w:rPr>
          <w:spacing w:val="7"/>
          <w:w w:val="120"/>
          <w:sz w:val="20"/>
        </w:rPr>
        <w:t> </w:t>
      </w:r>
      <w:r>
        <w:rPr>
          <w:w w:val="120"/>
          <w:sz w:val="20"/>
        </w:rPr>
        <w:t>Republic</w:t>
      </w:r>
    </w:p>
    <w:p>
      <w:pPr>
        <w:pStyle w:val="BodyText"/>
        <w:spacing w:line="235" w:lineRule="auto" w:before="2"/>
        <w:ind w:left="1344" w:right="2250"/>
        <w:jc w:val="both"/>
      </w:pPr>
      <w:r>
        <w:rPr>
          <w:w w:val="120"/>
        </w:rPr>
        <w:t>of Korea (PROK) as they seek the reconciliation and restoration of families and communities long divided by conflict and hostility, so that social, spiritual and psychological healing can occur between the people of Korea.</w:t>
      </w:r>
    </w:p>
    <w:p>
      <w:pPr>
        <w:pStyle w:val="BodyText"/>
        <w:spacing w:before="10"/>
        <w:rPr>
          <w:sz w:val="19"/>
        </w:rPr>
      </w:pPr>
    </w:p>
    <w:p>
      <w:pPr>
        <w:pStyle w:val="ListParagraph"/>
        <w:numPr>
          <w:ilvl w:val="0"/>
          <w:numId w:val="254"/>
        </w:numPr>
        <w:tabs>
          <w:tab w:pos="2024" w:val="left" w:leader="none"/>
          <w:tab w:pos="2025" w:val="left" w:leader="none"/>
        </w:tabs>
        <w:spacing w:line="235" w:lineRule="auto" w:before="0" w:after="0"/>
        <w:ind w:left="1344" w:right="1433" w:firstLine="0"/>
        <w:jc w:val="left"/>
        <w:rPr>
          <w:sz w:val="20"/>
        </w:rPr>
      </w:pPr>
      <w:r>
        <w:rPr>
          <w:w w:val="120"/>
          <w:sz w:val="20"/>
        </w:rPr>
        <w:t>The General Assembly of the United Reformed Church continues to support ecumenical engagements towards peace and reconciliation of the Korean Peninsula. These actions include promoting the campaign to finally replace the Armistice Agreement of </w:t>
      </w:r>
      <w:r>
        <w:rPr>
          <w:spacing w:val="-8"/>
          <w:w w:val="120"/>
          <w:sz w:val="20"/>
        </w:rPr>
        <w:t>1953 </w:t>
      </w:r>
      <w:r>
        <w:rPr>
          <w:w w:val="120"/>
          <w:sz w:val="20"/>
        </w:rPr>
        <w:t>with a Peace </w:t>
      </w:r>
      <w:r>
        <w:rPr>
          <w:spacing w:val="-4"/>
          <w:w w:val="120"/>
          <w:sz w:val="20"/>
        </w:rPr>
        <w:t>Treaty, </w:t>
      </w:r>
      <w:r>
        <w:rPr>
          <w:w w:val="120"/>
          <w:sz w:val="20"/>
        </w:rPr>
        <w:t>joining with Christians around the globe in recognising and providing worship resources and actively raising these initiatives with ecumenical partners in the</w:t>
      </w:r>
      <w:r>
        <w:rPr>
          <w:spacing w:val="8"/>
          <w:w w:val="120"/>
          <w:sz w:val="20"/>
        </w:rPr>
        <w:t> </w:t>
      </w:r>
      <w:r>
        <w:rPr>
          <w:spacing w:val="2"/>
          <w:w w:val="120"/>
          <w:sz w:val="20"/>
        </w:rPr>
        <w:t>UK.</w:t>
      </w:r>
    </w:p>
    <w:p>
      <w:pPr>
        <w:pStyle w:val="BodyText"/>
        <w:spacing w:before="8"/>
        <w:rPr>
          <w:sz w:val="25"/>
        </w:rPr>
      </w:pPr>
      <w:r>
        <w:rPr/>
        <w:pict>
          <v:shape style="position:absolute;margin-left:82.194pt;margin-top:18.122881pt;width:465.85pt;height:105.1pt;mso-position-horizontal-relative:page;mso-position-vertical-relative:paragraph;z-index:-250932224;mso-wrap-distance-left:0;mso-wrap-distance-right:0" type="#_x0000_t202" filled="false" stroked="true" strokeweight="1pt" strokecolor="#000000">
            <v:textbox inset="0,0,0,0">
              <w:txbxContent>
                <w:p>
                  <w:pPr>
                    <w:spacing w:line="631" w:lineRule="exact" w:before="102"/>
                    <w:ind w:left="330" w:right="0" w:firstLine="0"/>
                    <w:jc w:val="left"/>
                    <w:rPr>
                      <w:rFonts w:ascii="Stone Sans II ITC Std Bk"/>
                      <w:b/>
                      <w:sz w:val="47"/>
                    </w:rPr>
                  </w:pPr>
                  <w:r>
                    <w:rPr>
                      <w:color w:val="7B4290"/>
                      <w:w w:val="115"/>
                      <w:sz w:val="39"/>
                    </w:rPr>
                    <w:t>Resolution </w:t>
                  </w:r>
                  <w:r>
                    <w:rPr>
                      <w:rFonts w:ascii="Stone Sans II ITC Std Bk"/>
                      <w:b/>
                      <w:color w:val="7B4290"/>
                      <w:w w:val="115"/>
                      <w:sz w:val="47"/>
                    </w:rPr>
                    <w:t>35</w:t>
                  </w:r>
                </w:p>
                <w:p>
                  <w:pPr>
                    <w:spacing w:line="266" w:lineRule="exact" w:before="0"/>
                    <w:ind w:left="330" w:right="0" w:firstLine="0"/>
                    <w:jc w:val="left"/>
                    <w:rPr>
                      <w:sz w:val="20"/>
                    </w:rPr>
                  </w:pPr>
                  <w:r>
                    <w:rPr>
                      <w:rFonts w:ascii="Stone Sans II ITC Std Bk"/>
                      <w:b/>
                      <w:w w:val="110"/>
                      <w:sz w:val="20"/>
                    </w:rPr>
                    <w:t>Nominations committee: Report to General Assembly </w:t>
                  </w:r>
                  <w:r>
                    <w:rPr>
                      <w:w w:val="110"/>
                      <w:sz w:val="20"/>
                    </w:rPr>
                    <w:t>(p.199)</w:t>
                  </w:r>
                </w:p>
                <w:p>
                  <w:pPr>
                    <w:pStyle w:val="BodyText"/>
                    <w:spacing w:before="6"/>
                    <w:rPr>
                      <w:sz w:val="18"/>
                    </w:rPr>
                  </w:pPr>
                </w:p>
                <w:p>
                  <w:pPr>
                    <w:pStyle w:val="BodyText"/>
                    <w:spacing w:line="235" w:lineRule="auto"/>
                    <w:ind w:left="330" w:right="329"/>
                    <w:jc w:val="both"/>
                  </w:pPr>
                  <w:r>
                    <w:rPr>
                      <w:w w:val="120"/>
                    </w:rPr>
                    <w:t>General Assembly appoints committees and representatives of the Church as set out on pages </w:t>
                  </w:r>
                  <w:r>
                    <w:rPr>
                      <w:spacing w:val="-7"/>
                      <w:w w:val="120"/>
                    </w:rPr>
                    <w:t>202-214 </w:t>
                  </w:r>
                  <w:r>
                    <w:rPr>
                      <w:w w:val="120"/>
                    </w:rPr>
                    <w:t>of the </w:t>
                  </w:r>
                  <w:r>
                    <w:rPr>
                      <w:i/>
                      <w:w w:val="120"/>
                    </w:rPr>
                    <w:t>Book of Reports</w:t>
                  </w:r>
                  <w:r>
                    <w:rPr>
                      <w:w w:val="120"/>
                    </w:rPr>
                    <w:t>, subject to the additions and corrections contained in the supplementary </w:t>
                  </w:r>
                  <w:r>
                    <w:rPr>
                      <w:spacing w:val="2"/>
                      <w:w w:val="120"/>
                    </w:rPr>
                    <w:t>report </w:t>
                  </w:r>
                  <w:r>
                    <w:rPr>
                      <w:w w:val="120"/>
                    </w:rPr>
                    <w:t>to Assembly.</w:t>
                  </w:r>
                </w:p>
              </w:txbxContent>
            </v:textbox>
            <v:stroke dashstyle="solid"/>
            <w10:wrap type="topAndBottom"/>
          </v:shape>
        </w:pict>
      </w:r>
      <w:r>
        <w:rPr/>
        <w:pict>
          <v:shape style="position:absolute;margin-left:99.212601pt;margin-top:140.127487pt;width:324.6pt;height:43.3pt;mso-position-horizontal-relative:page;mso-position-vertical-relative:paragraph;z-index:-250931200;mso-wrap-distance-left:0;mso-wrap-distance-right:0" type="#_x0000_t202" filled="false" stroked="false">
            <v:textbox inset="0,0,0,0">
              <w:txbxContent>
                <w:p>
                  <w:pPr>
                    <w:spacing w:line="617" w:lineRule="exact" w:before="0"/>
                    <w:ind w:left="0" w:right="0" w:firstLine="0"/>
                    <w:jc w:val="left"/>
                    <w:rPr>
                      <w:rFonts w:ascii="Stone Sans II ITC Std Bk"/>
                      <w:b/>
                      <w:sz w:val="47"/>
                    </w:rPr>
                  </w:pPr>
                  <w:r>
                    <w:rPr>
                      <w:color w:val="7B4290"/>
                      <w:w w:val="115"/>
                      <w:sz w:val="39"/>
                    </w:rPr>
                    <w:t>Resolution </w:t>
                  </w:r>
                  <w:r>
                    <w:rPr>
                      <w:rFonts w:ascii="Stone Sans II ITC Std Bk"/>
                      <w:b/>
                      <w:color w:val="7B4290"/>
                      <w:w w:val="115"/>
                      <w:sz w:val="47"/>
                    </w:rPr>
                    <w:t>36</w:t>
                  </w:r>
                </w:p>
                <w:p>
                  <w:pPr>
                    <w:spacing w:line="249" w:lineRule="exact" w:before="0"/>
                    <w:ind w:left="0" w:right="0" w:firstLine="0"/>
                    <w:jc w:val="left"/>
                    <w:rPr>
                      <w:sz w:val="20"/>
                    </w:rPr>
                  </w:pPr>
                  <w:r>
                    <w:rPr>
                      <w:rFonts w:ascii="Stone Sans II ITC Std Bk"/>
                      <w:b/>
                      <w:w w:val="110"/>
                      <w:sz w:val="20"/>
                    </w:rPr>
                    <w:t>Nominations committee: Report to General Assembly </w:t>
                  </w:r>
                  <w:r>
                    <w:rPr>
                      <w:w w:val="110"/>
                      <w:sz w:val="20"/>
                    </w:rPr>
                    <w:t>(p.199)</w:t>
                  </w:r>
                </w:p>
              </w:txbxContent>
            </v:textbox>
            <w10:wrap type="topAndBottom"/>
          </v:shape>
        </w:pict>
      </w:r>
      <w:r>
        <w:rPr/>
        <w:pict>
          <v:shape style="position:absolute;margin-left:99.212601pt;margin-top:195.402084pt;width:10.25pt;height:12pt;mso-position-horizontal-relative:page;mso-position-vertical-relative:paragraph;z-index:-250930176;mso-wrap-distance-left:0;mso-wrap-distance-right:0" type="#_x0000_t202" filled="false" stroked="false">
            <v:textbox inset="0,0,0,0">
              <w:txbxContent>
                <w:p>
                  <w:pPr>
                    <w:pStyle w:val="BodyText"/>
                    <w:spacing w:line="240" w:lineRule="exact"/>
                  </w:pPr>
                  <w:r>
                    <w:rPr>
                      <w:w w:val="130"/>
                    </w:rPr>
                    <w:t>a)</w:t>
                  </w:r>
                </w:p>
              </w:txbxContent>
            </v:textbox>
            <w10:wrap type="topAndBottom"/>
          </v:shape>
        </w:pict>
      </w:r>
      <w:r>
        <w:rPr/>
        <w:pict>
          <v:shape style="position:absolute;margin-left:133.224594pt;margin-top:195.402084pt;width:377.4pt;height:12pt;mso-position-horizontal-relative:page;mso-position-vertical-relative:paragraph;z-index:-250929152;mso-wrap-distance-left:0;mso-wrap-distance-right:0" type="#_x0000_t202" filled="false" stroked="false">
            <v:textbox inset="0,0,0,0">
              <w:txbxContent>
                <w:p>
                  <w:pPr>
                    <w:pStyle w:val="BodyText"/>
                    <w:spacing w:line="240" w:lineRule="exact"/>
                  </w:pPr>
                  <w:r>
                    <w:rPr>
                      <w:w w:val="120"/>
                    </w:rPr>
                    <w:t>General Assembly appoints Mr Ian Hardie as Deputy Treasurer of the Church</w:t>
                  </w:r>
                </w:p>
              </w:txbxContent>
            </v:textbox>
            <w10:wrap type="topAndBottom"/>
          </v:shape>
        </w:pict>
      </w:r>
    </w:p>
    <w:p>
      <w:pPr>
        <w:pStyle w:val="BodyText"/>
        <w:spacing w:before="7"/>
        <w:rPr>
          <w:sz w:val="22"/>
        </w:rPr>
      </w:pPr>
    </w:p>
    <w:p>
      <w:pPr>
        <w:pStyle w:val="BodyText"/>
        <w:spacing w:before="5"/>
        <w:rPr>
          <w:sz w:val="16"/>
        </w:rPr>
      </w:pPr>
    </w:p>
    <w:p>
      <w:pPr>
        <w:pStyle w:val="BodyText"/>
        <w:spacing w:line="239" w:lineRule="exact"/>
        <w:ind w:left="1344"/>
      </w:pPr>
      <w:r>
        <w:rPr>
          <w:position w:val="-4"/>
        </w:rPr>
        <w:pict>
          <v:shape style="width:202.8pt;height:12pt;mso-position-horizontal-relative:char;mso-position-vertical-relative:line" type="#_x0000_t202" filled="false" stroked="false">
            <w10:anchorlock/>
            <v:textbox inset="0,0,0,0">
              <w:txbxContent>
                <w:p>
                  <w:pPr>
                    <w:pStyle w:val="BodyText"/>
                    <w:spacing w:line="240" w:lineRule="exact"/>
                  </w:pPr>
                  <w:r>
                    <w:rPr>
                      <w:w w:val="120"/>
                    </w:rPr>
                    <w:t>with immediate effect until 30 June </w:t>
                  </w:r>
                  <w:r>
                    <w:rPr>
                      <w:spacing w:val="-12"/>
                      <w:w w:val="120"/>
                    </w:rPr>
                    <w:t>2017.</w:t>
                  </w:r>
                </w:p>
              </w:txbxContent>
            </v:textbox>
          </v:shape>
        </w:pict>
      </w:r>
      <w:r>
        <w:rPr>
          <w:position w:val="-4"/>
        </w:rPr>
      </w:r>
    </w:p>
    <w:p>
      <w:pPr>
        <w:pStyle w:val="BodyText"/>
        <w:spacing w:before="6"/>
        <w:rPr>
          <w:sz w:val="16"/>
        </w:rPr>
      </w:pPr>
      <w:r>
        <w:rPr/>
        <w:pict>
          <v:shape style="position:absolute;margin-left:99.212601pt;margin-top:11.301201pt;width:11.4pt;height:12pt;mso-position-horizontal-relative:page;mso-position-vertical-relative:paragraph;z-index:-250927104;mso-wrap-distance-left:0;mso-wrap-distance-right:0" type="#_x0000_t202" filled="false" stroked="false">
            <v:textbox inset="0,0,0,0">
              <w:txbxContent>
                <w:p>
                  <w:pPr>
                    <w:pStyle w:val="BodyText"/>
                    <w:spacing w:line="240" w:lineRule="exact"/>
                  </w:pPr>
                  <w:r>
                    <w:rPr>
                      <w:w w:val="135"/>
                    </w:rPr>
                    <w:t>b)</w:t>
                  </w:r>
                </w:p>
              </w:txbxContent>
            </v:textbox>
            <w10:wrap type="topAndBottom"/>
          </v:shape>
        </w:pict>
      </w:r>
      <w:r>
        <w:rPr/>
        <w:pict>
          <v:shape style="position:absolute;margin-left:133.224594pt;margin-top:11.301201pt;width:368.15pt;height:12pt;mso-position-horizontal-relative:page;mso-position-vertical-relative:paragraph;z-index:-250926080;mso-wrap-distance-left:0;mso-wrap-distance-right:0" type="#_x0000_t202" filled="false" stroked="false">
            <v:textbox inset="0,0,0,0">
              <w:txbxContent>
                <w:p>
                  <w:pPr>
                    <w:pStyle w:val="BodyText"/>
                    <w:spacing w:line="240" w:lineRule="exact"/>
                  </w:pPr>
                  <w:r>
                    <w:rPr>
                      <w:w w:val="120"/>
                    </w:rPr>
                    <w:t>General Assembly appoints the Revd John Piper as Deputy Treasurer of the</w:t>
                  </w:r>
                </w:p>
              </w:txbxContent>
            </v:textbox>
            <w10:wrap type="topAndBottom"/>
          </v:shape>
        </w:pict>
      </w:r>
    </w:p>
    <w:p>
      <w:pPr>
        <w:pStyle w:val="BodyText"/>
        <w:spacing w:line="239" w:lineRule="exact"/>
        <w:ind w:left="1344"/>
      </w:pPr>
      <w:r>
        <w:rPr>
          <w:position w:val="-4"/>
        </w:rPr>
        <w:pict>
          <v:shape style="width:190.5pt;height:12pt;mso-position-horizontal-relative:char;mso-position-vertical-relative:line" type="#_x0000_t202" filled="false" stroked="false">
            <w10:anchorlock/>
            <v:textbox inset="0,0,0,0">
              <w:txbxContent>
                <w:p>
                  <w:pPr>
                    <w:pStyle w:val="BodyText"/>
                    <w:spacing w:line="240" w:lineRule="exact"/>
                  </w:pPr>
                  <w:r>
                    <w:rPr>
                      <w:w w:val="120"/>
                    </w:rPr>
                    <w:t>Church from 1 July 2017 for four years.</w:t>
                  </w:r>
                </w:p>
              </w:txbxContent>
            </v:textbox>
          </v:shape>
        </w:pict>
      </w:r>
      <w:r>
        <w:rPr>
          <w:position w:val="-4"/>
        </w:rPr>
      </w:r>
    </w:p>
    <w:p>
      <w:pPr>
        <w:spacing w:after="0" w:line="239" w:lineRule="exact"/>
        <w:sectPr>
          <w:type w:val="continuous"/>
          <w:pgSz w:w="11910" w:h="16840"/>
          <w:pgMar w:top="1580" w:bottom="280" w:left="640" w:right="0"/>
        </w:sectPr>
      </w:pPr>
    </w:p>
    <w:p>
      <w:pPr>
        <w:pStyle w:val="BodyText"/>
      </w:pPr>
      <w:r>
        <w:rPr/>
        <w:drawing>
          <wp:anchor distT="0" distB="0" distL="0" distR="0" allowOverlap="1" layoutInCell="1" locked="0" behindDoc="1" simplePos="0" relativeHeight="235971584">
            <wp:simplePos x="0" y="0"/>
            <wp:positionH relativeFrom="page">
              <wp:posOffset>0</wp:posOffset>
            </wp:positionH>
            <wp:positionV relativeFrom="page">
              <wp:posOffset>0</wp:posOffset>
            </wp:positionV>
            <wp:extent cx="594067" cy="10692003"/>
            <wp:effectExtent l="0" t="0" r="0" b="0"/>
            <wp:wrapNone/>
            <wp:docPr id="457" name="image77.png"/>
            <wp:cNvGraphicFramePr>
              <a:graphicFrameLocks noChangeAspect="1"/>
            </wp:cNvGraphicFramePr>
            <a:graphic>
              <a:graphicData uri="http://schemas.openxmlformats.org/drawingml/2006/picture">
                <pic:pic>
                  <pic:nvPicPr>
                    <pic:cNvPr id="458" name="image77.png"/>
                    <pic:cNvPicPr/>
                  </pic:nvPicPr>
                  <pic:blipFill>
                    <a:blip r:embed="rId630" cstate="print"/>
                    <a:stretch>
                      <a:fillRect/>
                    </a:stretch>
                  </pic:blipFill>
                  <pic:spPr>
                    <a:xfrm>
                      <a:off x="0" y="0"/>
                      <a:ext cx="594067" cy="10692003"/>
                    </a:xfrm>
                    <a:prstGeom prst="rect">
                      <a:avLst/>
                    </a:prstGeom>
                  </pic:spPr>
                </pic:pic>
              </a:graphicData>
            </a:graphic>
          </wp:anchor>
        </w:drawing>
      </w:r>
      <w:r>
        <w:rPr/>
        <w:pict>
          <v:shape style="position:absolute;margin-left:20.519100pt;margin-top:48.890015pt;width:25.9pt;height:183.25pt;mso-position-horizontal-relative:page;mso-position-vertical-relative:page;z-index:252426240" type="#_x0000_t202" filled="false" stroked="false">
            <v:textbox inset="0,0,0,0" style="layout-flow:vertical">
              <w:txbxContent>
                <w:p>
                  <w:pPr>
                    <w:spacing w:before="27"/>
                    <w:ind w:left="20" w:right="0" w:firstLine="0"/>
                    <w:jc w:val="left"/>
                    <w:rPr>
                      <w:sz w:val="39"/>
                    </w:rPr>
                  </w:pPr>
                  <w:r>
                    <w:rPr>
                      <w:color w:val="FFFFFF"/>
                      <w:w w:val="120"/>
                      <w:sz w:val="39"/>
                    </w:rPr>
                    <w:t>Resolutions 37-38</w:t>
                  </w:r>
                </w:p>
              </w:txbxContent>
            </v:textbox>
            <w10:wrap type="none"/>
          </v:shape>
        </w:pict>
      </w:r>
    </w:p>
    <w:p>
      <w:pPr>
        <w:pStyle w:val="BodyText"/>
        <w:spacing w:before="7"/>
        <w:rPr>
          <w:sz w:val="21"/>
        </w:rPr>
      </w:pPr>
    </w:p>
    <w:p>
      <w:pPr>
        <w:spacing w:before="106"/>
        <w:ind w:left="607" w:right="0" w:firstLine="0"/>
        <w:jc w:val="left"/>
        <w:rPr>
          <w:sz w:val="26"/>
        </w:rPr>
      </w:pPr>
      <w:r>
        <w:rPr/>
        <w:pict>
          <v:group style="position:absolute;margin-left:55.000999pt;margin-top:24.022945pt;width:466.85pt;height:302.6pt;mso-position-horizontal-relative:page;mso-position-vertical-relative:paragraph;z-index:-250905600;mso-wrap-distance-left:0;mso-wrap-distance-right:0" coordorigin="1100,480" coordsize="9337,6052">
            <v:rect style="position:absolute;left:1110;top:490;width:9317;height:6032" filled="false" stroked="true" strokeweight="1pt" strokecolor="#000000">
              <v:stroke dashstyle="solid"/>
            </v:rect>
            <v:shape style="position:absolute;left:1388;top:5725;width:8350;height:720" type="#_x0000_t202" filled="false" stroked="false">
              <v:textbox inset="0,0,0,0">
                <w:txbxContent>
                  <w:p>
                    <w:pPr>
                      <w:spacing w:line="235" w:lineRule="auto" w:before="3"/>
                      <w:ind w:left="0" w:right="0" w:firstLine="0"/>
                      <w:jc w:val="left"/>
                      <w:rPr>
                        <w:sz w:val="20"/>
                      </w:rPr>
                    </w:pPr>
                    <w:r>
                      <w:rPr>
                        <w:w w:val="120"/>
                        <w:sz w:val="20"/>
                      </w:rPr>
                      <w:t>or other effective means that address the inequality of power between the parties, international pressure on Israel to end the occupation of Palestinian territory and the blockade of Gaza and allow a just peace to be achieved.</w:t>
                    </w:r>
                  </w:p>
                </w:txbxContent>
              </v:textbox>
              <w10:wrap type="none"/>
            </v:shape>
            <v:shape style="position:absolute;left:2069;top:5485;width:7713;height:240" type="#_x0000_t202" filled="false" stroked="false">
              <v:textbox inset="0,0,0,0">
                <w:txbxContent>
                  <w:p>
                    <w:pPr>
                      <w:spacing w:line="240" w:lineRule="exact" w:before="0"/>
                      <w:ind w:left="0" w:right="0" w:firstLine="0"/>
                      <w:jc w:val="left"/>
                      <w:rPr>
                        <w:sz w:val="20"/>
                      </w:rPr>
                    </w:pPr>
                    <w:r>
                      <w:rPr>
                        <w:w w:val="120"/>
                        <w:sz w:val="20"/>
                      </w:rPr>
                      <w:t>urge the UK Government and the European Union to exert, through sanctions</w:t>
                    </w:r>
                  </w:p>
                </w:txbxContent>
              </v:textbox>
              <w10:wrap type="none"/>
            </v:shape>
            <v:shape style="position:absolute;left:1388;top:5485;width:210;height:240" type="#_x0000_t202" filled="false" stroked="false">
              <v:textbox inset="0,0,0,0">
                <w:txbxContent>
                  <w:p>
                    <w:pPr>
                      <w:spacing w:line="240" w:lineRule="exact" w:before="0"/>
                      <w:ind w:left="0" w:right="0" w:firstLine="0"/>
                      <w:jc w:val="left"/>
                      <w:rPr>
                        <w:sz w:val="20"/>
                      </w:rPr>
                    </w:pPr>
                    <w:r>
                      <w:rPr>
                        <w:w w:val="130"/>
                        <w:sz w:val="20"/>
                      </w:rPr>
                      <w:t>e)</w:t>
                    </w:r>
                  </w:p>
                </w:txbxContent>
              </v:textbox>
              <w10:wrap type="none"/>
            </v:shape>
            <v:shape style="position:absolute;left:1388;top:4805;width:8205;height:480" type="#_x0000_t202" filled="false" stroked="false">
              <v:textbox inset="0,0,0,0">
                <w:txbxContent>
                  <w:p>
                    <w:pPr>
                      <w:spacing w:line="235" w:lineRule="auto" w:before="3"/>
                      <w:ind w:left="0" w:right="0" w:firstLine="0"/>
                      <w:jc w:val="left"/>
                      <w:rPr>
                        <w:sz w:val="20"/>
                      </w:rPr>
                    </w:pPr>
                    <w:r>
                      <w:rPr>
                        <w:w w:val="120"/>
                        <w:sz w:val="20"/>
                      </w:rPr>
                      <w:t>power to ensure that human rights are respected and international law is upheld in Israel and the Occupied Palestinian Territories;</w:t>
                    </w:r>
                  </w:p>
                </w:txbxContent>
              </v:textbox>
              <w10:wrap type="none"/>
            </v:shape>
            <v:shape style="position:absolute;left:2069;top:4565;width:7655;height:240" type="#_x0000_t202" filled="false" stroked="false">
              <v:textbox inset="0,0,0,0">
                <w:txbxContent>
                  <w:p>
                    <w:pPr>
                      <w:spacing w:line="240" w:lineRule="exact" w:before="0"/>
                      <w:ind w:left="0" w:right="0" w:firstLine="0"/>
                      <w:jc w:val="left"/>
                      <w:rPr>
                        <w:sz w:val="20"/>
                      </w:rPr>
                    </w:pPr>
                    <w:r>
                      <w:rPr>
                        <w:w w:val="120"/>
                        <w:sz w:val="20"/>
                      </w:rPr>
                      <w:t>urge the UK government and the European Union to do all that is within their</w:t>
                    </w:r>
                  </w:p>
                </w:txbxContent>
              </v:textbox>
              <w10:wrap type="none"/>
            </v:shape>
            <v:shape style="position:absolute;left:1388;top:4565;width:240;height:240" type="#_x0000_t202" filled="false" stroked="false">
              <v:textbox inset="0,0,0,0">
                <w:txbxContent>
                  <w:p>
                    <w:pPr>
                      <w:spacing w:line="240" w:lineRule="exact" w:before="0"/>
                      <w:ind w:left="0" w:right="0" w:firstLine="0"/>
                      <w:jc w:val="left"/>
                      <w:rPr>
                        <w:sz w:val="20"/>
                      </w:rPr>
                    </w:pPr>
                    <w:r>
                      <w:rPr>
                        <w:w w:val="135"/>
                        <w:sz w:val="20"/>
                      </w:rPr>
                      <w:t>d)</w:t>
                    </w:r>
                  </w:p>
                </w:txbxContent>
              </v:textbox>
              <w10:wrap type="none"/>
            </v:shape>
            <v:shape style="position:absolute;left:1388;top:3645;width:8633;height:720" type="#_x0000_t202" filled="false" stroked="false">
              <v:textbox inset="0,0,0,0">
                <w:txbxContent>
                  <w:p>
                    <w:pPr>
                      <w:spacing w:line="235" w:lineRule="auto" w:before="3"/>
                      <w:ind w:left="0" w:right="18" w:firstLine="0"/>
                      <w:jc w:val="both"/>
                      <w:rPr>
                        <w:sz w:val="20"/>
                      </w:rPr>
                    </w:pPr>
                    <w:r>
                      <w:rPr>
                        <w:w w:val="120"/>
                        <w:sz w:val="20"/>
                      </w:rPr>
                      <w:t>Palestinian suffering, Kairos Palestine 2009’ for study by United Reformed churches and encourage the formation of Kairos communities, either within individual congregations or ecumenically;</w:t>
                    </w:r>
                  </w:p>
                </w:txbxContent>
              </v:textbox>
              <w10:wrap type="none"/>
            </v:shape>
            <v:shape style="position:absolute;left:2069;top:3405;width:7888;height:240" type="#_x0000_t202" filled="false" stroked="false">
              <v:textbox inset="0,0,0,0">
                <w:txbxContent>
                  <w:p>
                    <w:pPr>
                      <w:spacing w:line="240" w:lineRule="exact" w:before="0"/>
                      <w:ind w:left="0" w:right="0" w:firstLine="0"/>
                      <w:jc w:val="left"/>
                      <w:rPr>
                        <w:sz w:val="20"/>
                      </w:rPr>
                    </w:pPr>
                    <w:r>
                      <w:rPr>
                        <w:w w:val="120"/>
                        <w:sz w:val="20"/>
                      </w:rPr>
                      <w:t>commend ‘A Moment of Truth, a word of faith, hope, and love from the heart of</w:t>
                    </w:r>
                  </w:p>
                </w:txbxContent>
              </v:textbox>
              <w10:wrap type="none"/>
            </v:shape>
            <v:shape style="position:absolute;left:1388;top:3405;width:204;height:240" type="#_x0000_t202" filled="false" stroked="false">
              <v:textbox inset="0,0,0,0">
                <w:txbxContent>
                  <w:p>
                    <w:pPr>
                      <w:spacing w:line="240" w:lineRule="exact" w:before="0"/>
                      <w:ind w:left="0" w:right="0" w:firstLine="0"/>
                      <w:jc w:val="left"/>
                      <w:rPr>
                        <w:sz w:val="20"/>
                      </w:rPr>
                    </w:pPr>
                    <w:r>
                      <w:rPr>
                        <w:w w:val="135"/>
                        <w:sz w:val="20"/>
                      </w:rPr>
                      <w:t>c)</w:t>
                    </w:r>
                  </w:p>
                </w:txbxContent>
              </v:textbox>
              <w10:wrap type="none"/>
            </v:shape>
            <v:shape style="position:absolute;left:1388;top:2965;width:8356;height:240" type="#_x0000_t202" filled="false" stroked="false">
              <v:textbox inset="0,0,0,0">
                <w:txbxContent>
                  <w:p>
                    <w:pPr>
                      <w:spacing w:line="240" w:lineRule="exact" w:before="0"/>
                      <w:ind w:left="0" w:right="0" w:firstLine="0"/>
                      <w:jc w:val="left"/>
                      <w:rPr>
                        <w:sz w:val="20"/>
                      </w:rPr>
                    </w:pPr>
                    <w:r>
                      <w:rPr>
                        <w:w w:val="120"/>
                        <w:sz w:val="20"/>
                      </w:rPr>
                      <w:t>scripture offers any peoples a privileged claim for possession of a particular territory;</w:t>
                    </w:r>
                  </w:p>
                </w:txbxContent>
              </v:textbox>
              <w10:wrap type="none"/>
            </v:shape>
            <v:shape style="position:absolute;left:2069;top:2725;width:7671;height:240" type="#_x0000_t202" filled="false" stroked="false">
              <v:textbox inset="0,0,0,0">
                <w:txbxContent>
                  <w:p>
                    <w:pPr>
                      <w:spacing w:line="240" w:lineRule="exact" w:before="0"/>
                      <w:ind w:left="0" w:right="0" w:firstLine="0"/>
                      <w:jc w:val="left"/>
                      <w:rPr>
                        <w:sz w:val="20"/>
                      </w:rPr>
                    </w:pPr>
                    <w:r>
                      <w:rPr>
                        <w:w w:val="120"/>
                        <w:sz w:val="20"/>
                      </w:rPr>
                      <w:t>endorse the conclusion of ‘The Inheritance of Abraham’ and reject claims that</w:t>
                    </w:r>
                  </w:p>
                </w:txbxContent>
              </v:textbox>
              <w10:wrap type="none"/>
            </v:shape>
            <v:shape style="position:absolute;left:1388;top:2725;width:228;height:240" type="#_x0000_t202" filled="false" stroked="false">
              <v:textbox inset="0,0,0,0">
                <w:txbxContent>
                  <w:p>
                    <w:pPr>
                      <w:spacing w:line="240" w:lineRule="exact" w:before="0"/>
                      <w:ind w:left="0" w:right="0" w:firstLine="0"/>
                      <w:jc w:val="left"/>
                      <w:rPr>
                        <w:sz w:val="20"/>
                      </w:rPr>
                    </w:pPr>
                    <w:r>
                      <w:rPr>
                        <w:w w:val="135"/>
                        <w:sz w:val="20"/>
                      </w:rPr>
                      <w:t>b)</w:t>
                    </w:r>
                  </w:p>
                </w:txbxContent>
              </v:textbox>
              <w10:wrap type="none"/>
            </v:shape>
            <v:shape style="position:absolute;left:1388;top:2285;width:4791;height:240" type="#_x0000_t202" filled="false" stroked="false">
              <v:textbox inset="0,0,0,0">
                <w:txbxContent>
                  <w:p>
                    <w:pPr>
                      <w:spacing w:line="240" w:lineRule="exact" w:before="0"/>
                      <w:ind w:left="0" w:right="0" w:firstLine="0"/>
                      <w:jc w:val="left"/>
                      <w:rPr>
                        <w:sz w:val="20"/>
                      </w:rPr>
                    </w:pPr>
                    <w:r>
                      <w:rPr>
                        <w:w w:val="120"/>
                        <w:sz w:val="20"/>
                      </w:rPr>
                      <w:t>version) for study by United Reformed churches;</w:t>
                    </w:r>
                  </w:p>
                </w:txbxContent>
              </v:textbox>
              <w10:wrap type="none"/>
            </v:shape>
            <v:shape style="position:absolute;left:2069;top:2045;width:7850;height:240" type="#_x0000_t202" filled="false" stroked="false">
              <v:textbox inset="0,0,0,0">
                <w:txbxContent>
                  <w:p>
                    <w:pPr>
                      <w:spacing w:line="240" w:lineRule="exact" w:before="0"/>
                      <w:ind w:left="0" w:right="0" w:firstLine="0"/>
                      <w:jc w:val="left"/>
                      <w:rPr>
                        <w:sz w:val="20"/>
                      </w:rPr>
                    </w:pPr>
                    <w:r>
                      <w:rPr>
                        <w:w w:val="120"/>
                        <w:sz w:val="20"/>
                      </w:rPr>
                      <w:t>commend the Church of Scotland Report ‘The Inheritance of Abraham’ (revised</w:t>
                    </w:r>
                  </w:p>
                </w:txbxContent>
              </v:textbox>
              <w10:wrap type="none"/>
            </v:shape>
            <v:shape style="position:absolute;left:1388;top:2045;width:205;height:240" type="#_x0000_t202" filled="false" stroked="false">
              <v:textbox inset="0,0,0,0">
                <w:txbxContent>
                  <w:p>
                    <w:pPr>
                      <w:spacing w:line="240" w:lineRule="exact" w:before="0"/>
                      <w:ind w:left="0" w:right="0" w:firstLine="0"/>
                      <w:jc w:val="left"/>
                      <w:rPr>
                        <w:sz w:val="20"/>
                      </w:rPr>
                    </w:pPr>
                    <w:r>
                      <w:rPr>
                        <w:w w:val="130"/>
                        <w:sz w:val="20"/>
                      </w:rPr>
                      <w:t>a)</w:t>
                    </w:r>
                  </w:p>
                </w:txbxContent>
              </v:textbox>
              <w10:wrap type="none"/>
            </v:shape>
            <v:shape style="position:absolute;left:1388;top:559;width:5071;height:1286" type="#_x0000_t202" filled="false" stroked="false">
              <v:textbox inset="0,0,0,0">
                <w:txbxContent>
                  <w:p>
                    <w:pPr>
                      <w:spacing w:line="617" w:lineRule="exact" w:before="0"/>
                      <w:ind w:left="0" w:right="0" w:firstLine="0"/>
                      <w:jc w:val="left"/>
                      <w:rPr>
                        <w:rFonts w:ascii="Stone Sans II ITC Std Bk"/>
                        <w:b/>
                        <w:sz w:val="47"/>
                      </w:rPr>
                    </w:pPr>
                    <w:r>
                      <w:rPr>
                        <w:color w:val="7B4290"/>
                        <w:spacing w:val="-5"/>
                        <w:w w:val="115"/>
                        <w:sz w:val="39"/>
                      </w:rPr>
                      <w:t>Resolution </w:t>
                    </w:r>
                    <w:r>
                      <w:rPr>
                        <w:rFonts w:ascii="Stone Sans II ITC Std Bk"/>
                        <w:b/>
                        <w:color w:val="7B4290"/>
                        <w:spacing w:val="-43"/>
                        <w:w w:val="115"/>
                        <w:sz w:val="47"/>
                      </w:rPr>
                      <w:t>37A</w:t>
                    </w:r>
                  </w:p>
                  <w:p>
                    <w:pPr>
                      <w:spacing w:line="266" w:lineRule="exact" w:before="0"/>
                      <w:ind w:left="0" w:right="0" w:firstLine="0"/>
                      <w:jc w:val="left"/>
                      <w:rPr>
                        <w:sz w:val="20"/>
                      </w:rPr>
                    </w:pPr>
                    <w:r>
                      <w:rPr>
                        <w:rFonts w:ascii="Stone Sans II ITC Std Bk"/>
                        <w:b/>
                        <w:w w:val="115"/>
                        <w:sz w:val="20"/>
                      </w:rPr>
                      <w:t>Eastern</w:t>
                    </w:r>
                    <w:r>
                      <w:rPr>
                        <w:rFonts w:ascii="Stone Sans II ITC Std Bk"/>
                        <w:b/>
                        <w:spacing w:val="-20"/>
                        <w:w w:val="115"/>
                        <w:sz w:val="20"/>
                      </w:rPr>
                      <w:t> </w:t>
                    </w:r>
                    <w:r>
                      <w:rPr>
                        <w:rFonts w:ascii="Stone Sans II ITC Std Bk"/>
                        <w:b/>
                        <w:w w:val="115"/>
                        <w:sz w:val="20"/>
                      </w:rPr>
                      <w:t>Synod:</w:t>
                    </w:r>
                    <w:r>
                      <w:rPr>
                        <w:rFonts w:ascii="Stone Sans II ITC Std Bk"/>
                        <w:b/>
                        <w:spacing w:val="-19"/>
                        <w:w w:val="115"/>
                        <w:sz w:val="20"/>
                      </w:rPr>
                      <w:t> </w:t>
                    </w:r>
                    <w:r>
                      <w:rPr>
                        <w:rFonts w:ascii="Stone Sans II ITC Std Bk"/>
                        <w:b/>
                        <w:w w:val="115"/>
                        <w:sz w:val="20"/>
                      </w:rPr>
                      <w:t>The</w:t>
                    </w:r>
                    <w:r>
                      <w:rPr>
                        <w:rFonts w:ascii="Stone Sans II ITC Std Bk"/>
                        <w:b/>
                        <w:spacing w:val="-19"/>
                        <w:w w:val="115"/>
                        <w:sz w:val="20"/>
                      </w:rPr>
                      <w:t> </w:t>
                    </w:r>
                    <w:r>
                      <w:rPr>
                        <w:rFonts w:ascii="Stone Sans II ITC Std Bk"/>
                        <w:b/>
                        <w:w w:val="115"/>
                        <w:sz w:val="20"/>
                      </w:rPr>
                      <w:t>Palestinian</w:t>
                    </w:r>
                    <w:r>
                      <w:rPr>
                        <w:rFonts w:ascii="Stone Sans II ITC Std Bk"/>
                        <w:b/>
                        <w:spacing w:val="-19"/>
                        <w:w w:val="115"/>
                        <w:sz w:val="20"/>
                      </w:rPr>
                      <w:t> </w:t>
                    </w:r>
                    <w:r>
                      <w:rPr>
                        <w:rFonts w:ascii="Stone Sans II ITC Std Bk"/>
                        <w:b/>
                        <w:w w:val="115"/>
                        <w:sz w:val="20"/>
                      </w:rPr>
                      <w:t>situation</w:t>
                    </w:r>
                    <w:r>
                      <w:rPr>
                        <w:rFonts w:ascii="Stone Sans II ITC Std Bk"/>
                        <w:b/>
                        <w:spacing w:val="-20"/>
                        <w:w w:val="115"/>
                        <w:sz w:val="20"/>
                      </w:rPr>
                      <w:t> </w:t>
                    </w:r>
                    <w:r>
                      <w:rPr>
                        <w:spacing w:val="-6"/>
                        <w:w w:val="115"/>
                        <w:sz w:val="20"/>
                      </w:rPr>
                      <w:t>(p.218)</w:t>
                    </w:r>
                  </w:p>
                  <w:p>
                    <w:pPr>
                      <w:spacing w:line="240" w:lineRule="exact" w:before="162"/>
                      <w:ind w:left="0" w:right="0" w:firstLine="0"/>
                      <w:jc w:val="left"/>
                      <w:rPr>
                        <w:sz w:val="20"/>
                      </w:rPr>
                    </w:pPr>
                    <w:r>
                      <w:rPr>
                        <w:w w:val="120"/>
                        <w:sz w:val="20"/>
                      </w:rPr>
                      <w:t>General Assembly resolves to:</w:t>
                    </w:r>
                  </w:p>
                </w:txbxContent>
              </v:textbox>
              <w10:wrap type="none"/>
            </v:shape>
            <w10:wrap type="topAndBottom"/>
          </v:group>
        </w:pict>
      </w:r>
      <w:r>
        <w:rPr/>
        <w:pict>
          <v:shape style="position:absolute;margin-left:55.500999pt;margin-top:334.437958pt;width:465.85pt;height:76.05pt;mso-position-horizontal-relative:page;mso-position-vertical-relative:paragraph;z-index:-250904576;mso-wrap-distance-left:0;mso-wrap-distance-right:0" type="#_x0000_t202" filled="false" stroked="true" strokeweight="1pt" strokecolor="#000000">
            <v:textbox inset="0,0,0,0">
              <w:txbxContent>
                <w:p>
                  <w:pPr>
                    <w:spacing w:line="631" w:lineRule="exact" w:before="40"/>
                    <w:ind w:left="268" w:right="0" w:firstLine="0"/>
                    <w:jc w:val="left"/>
                    <w:rPr>
                      <w:rFonts w:ascii="Stone Sans II ITC Std Bk"/>
                      <w:b/>
                      <w:sz w:val="47"/>
                    </w:rPr>
                  </w:pPr>
                  <w:r>
                    <w:rPr>
                      <w:color w:val="7B4290"/>
                      <w:w w:val="115"/>
                      <w:sz w:val="39"/>
                    </w:rPr>
                    <w:t>Resolution </w:t>
                  </w:r>
                  <w:r>
                    <w:rPr>
                      <w:rFonts w:ascii="Stone Sans II ITC Std Bk"/>
                      <w:b/>
                      <w:color w:val="7B4290"/>
                      <w:w w:val="115"/>
                      <w:sz w:val="47"/>
                    </w:rPr>
                    <w:t>37B</w:t>
                  </w:r>
                </w:p>
                <w:p>
                  <w:pPr>
                    <w:spacing w:line="266" w:lineRule="exact" w:before="0"/>
                    <w:ind w:left="268" w:right="0" w:firstLine="0"/>
                    <w:jc w:val="left"/>
                    <w:rPr>
                      <w:sz w:val="20"/>
                    </w:rPr>
                  </w:pPr>
                  <w:r>
                    <w:rPr>
                      <w:rFonts w:ascii="Stone Sans II ITC Std Bk"/>
                      <w:b/>
                      <w:w w:val="110"/>
                      <w:sz w:val="20"/>
                    </w:rPr>
                    <w:t>Thames North Synod: The Palestinian situation </w:t>
                  </w:r>
                  <w:r>
                    <w:rPr>
                      <w:w w:val="110"/>
                      <w:sz w:val="20"/>
                    </w:rPr>
                    <w:t>(p.218)</w:t>
                  </w:r>
                </w:p>
                <w:p>
                  <w:pPr>
                    <w:pStyle w:val="BodyText"/>
                    <w:spacing w:before="182"/>
                    <w:ind w:left="268"/>
                  </w:pPr>
                  <w:r>
                    <w:rPr>
                      <w:w w:val="120"/>
                    </w:rPr>
                    <w:t>This is identical to paragraphs c), d) and e) of the Eastern Synod resolution.</w:t>
                  </w:r>
                </w:p>
              </w:txbxContent>
            </v:textbox>
            <v:stroke dashstyle="solid"/>
            <w10:wrap type="topAndBottom"/>
          </v:shape>
        </w:pict>
      </w:r>
      <w:r>
        <w:rPr/>
        <w:pict>
          <v:group style="position:absolute;margin-left:56.000999pt;margin-top:418.741943pt;width:466.85pt;height:227.5pt;mso-position-horizontal-relative:page;mso-position-vertical-relative:paragraph;z-index:-250893312;mso-wrap-distance-left:0;mso-wrap-distance-right:0" coordorigin="1120,8375" coordsize="9337,4550">
            <v:rect style="position:absolute;left:1130;top:8384;width:9317;height:4530" filled="false" stroked="true" strokeweight="1pt" strokecolor="#000000">
              <v:stroke dashstyle="solid"/>
            </v:rect>
            <v:shape style="position:absolute;left:1388;top:12292;width:8371;height:480" type="#_x0000_t202" filled="false" stroked="false">
              <v:textbox inset="0,0,0,0">
                <w:txbxContent>
                  <w:p>
                    <w:pPr>
                      <w:spacing w:line="235" w:lineRule="auto" w:before="3"/>
                      <w:ind w:left="0" w:right="0" w:firstLine="0"/>
                      <w:jc w:val="left"/>
                      <w:rPr>
                        <w:sz w:val="20"/>
                      </w:rPr>
                    </w:pPr>
                    <w:r>
                      <w:rPr>
                        <w:w w:val="120"/>
                        <w:sz w:val="20"/>
                      </w:rPr>
                      <w:t>United Reformed Church to adopt a programme of dialogue and action with partner churches, interfaith partners and public authorities.</w:t>
                    </w:r>
                  </w:p>
                </w:txbxContent>
              </v:textbox>
              <w10:wrap type="none"/>
            </v:shape>
            <v:shape style="position:absolute;left:2069;top:12052;width:7717;height:240" type="#_x0000_t202" filled="false" stroked="false">
              <v:textbox inset="0,0,0,0">
                <w:txbxContent>
                  <w:p>
                    <w:pPr>
                      <w:spacing w:line="240" w:lineRule="exact" w:before="0"/>
                      <w:ind w:left="0" w:right="0" w:firstLine="0"/>
                      <w:jc w:val="left"/>
                      <w:rPr>
                        <w:sz w:val="20"/>
                      </w:rPr>
                    </w:pPr>
                    <w:r>
                      <w:rPr>
                        <w:w w:val="120"/>
                        <w:sz w:val="20"/>
                      </w:rPr>
                      <w:t>develop and deepen our existing work around these issues so as to enable</w:t>
                    </w:r>
                    <w:r>
                      <w:rPr>
                        <w:spacing w:val="51"/>
                        <w:w w:val="120"/>
                        <w:sz w:val="20"/>
                      </w:rPr>
                      <w:t> </w:t>
                    </w:r>
                    <w:r>
                      <w:rPr>
                        <w:w w:val="120"/>
                        <w:sz w:val="20"/>
                      </w:rPr>
                      <w:t>the</w:t>
                    </w:r>
                  </w:p>
                </w:txbxContent>
              </v:textbox>
              <w10:wrap type="none"/>
            </v:shape>
            <v:shape style="position:absolute;left:1388;top:12052;width:204;height:240" type="#_x0000_t202" filled="false" stroked="false">
              <v:textbox inset="0,0,0,0">
                <w:txbxContent>
                  <w:p>
                    <w:pPr>
                      <w:spacing w:line="240" w:lineRule="exact" w:before="0"/>
                      <w:ind w:left="0" w:right="0" w:firstLine="0"/>
                      <w:jc w:val="left"/>
                      <w:rPr>
                        <w:sz w:val="20"/>
                      </w:rPr>
                    </w:pPr>
                    <w:r>
                      <w:rPr>
                        <w:w w:val="135"/>
                        <w:sz w:val="20"/>
                      </w:rPr>
                      <w:t>c)</w:t>
                    </w:r>
                  </w:p>
                </w:txbxContent>
              </v:textbox>
              <w10:wrap type="none"/>
            </v:shape>
            <v:shape style="position:absolute;left:1388;top:11372;width:8543;height:480" type="#_x0000_t202" filled="false" stroked="false">
              <v:textbox inset="0,0,0,0">
                <w:txbxContent>
                  <w:p>
                    <w:pPr>
                      <w:spacing w:line="235" w:lineRule="auto" w:before="3"/>
                      <w:ind w:left="0" w:right="0" w:firstLine="0"/>
                      <w:jc w:val="left"/>
                      <w:rPr>
                        <w:sz w:val="20"/>
                      </w:rPr>
                    </w:pPr>
                    <w:r>
                      <w:rPr>
                        <w:w w:val="120"/>
                        <w:sz w:val="20"/>
                      </w:rPr>
                      <w:t>power to ensure that human rights are respected and international law is upheld by all parties in Israel and the Occupied Palestinian Territories.</w:t>
                    </w:r>
                  </w:p>
                </w:txbxContent>
              </v:textbox>
              <w10:wrap type="none"/>
            </v:shape>
            <v:shape style="position:absolute;left:2069;top:11132;width:7655;height:240" type="#_x0000_t202" filled="false" stroked="false">
              <v:textbox inset="0,0,0,0">
                <w:txbxContent>
                  <w:p>
                    <w:pPr>
                      <w:spacing w:line="240" w:lineRule="exact" w:before="0"/>
                      <w:ind w:left="0" w:right="0" w:firstLine="0"/>
                      <w:jc w:val="left"/>
                      <w:rPr>
                        <w:sz w:val="20"/>
                      </w:rPr>
                    </w:pPr>
                    <w:r>
                      <w:rPr>
                        <w:w w:val="120"/>
                        <w:sz w:val="20"/>
                      </w:rPr>
                      <w:t>urge the UK government and the European Union to do all that is within their</w:t>
                    </w:r>
                  </w:p>
                </w:txbxContent>
              </v:textbox>
              <w10:wrap type="none"/>
            </v:shape>
            <v:shape style="position:absolute;left:1388;top:11132;width:228;height:240" type="#_x0000_t202" filled="false" stroked="false">
              <v:textbox inset="0,0,0,0">
                <w:txbxContent>
                  <w:p>
                    <w:pPr>
                      <w:spacing w:line="240" w:lineRule="exact" w:before="0"/>
                      <w:ind w:left="0" w:right="0" w:firstLine="0"/>
                      <w:jc w:val="left"/>
                      <w:rPr>
                        <w:sz w:val="20"/>
                      </w:rPr>
                    </w:pPr>
                    <w:r>
                      <w:rPr>
                        <w:w w:val="135"/>
                        <w:sz w:val="20"/>
                      </w:rPr>
                      <w:t>b)</w:t>
                    </w:r>
                  </w:p>
                </w:txbxContent>
              </v:textbox>
              <w10:wrap type="none"/>
            </v:shape>
            <v:shape style="position:absolute;left:1388;top:10212;width:8201;height:720" type="#_x0000_t202" filled="false" stroked="false">
              <v:textbox inset="0,0,0,0">
                <w:txbxContent>
                  <w:p>
                    <w:pPr>
                      <w:spacing w:line="235" w:lineRule="auto" w:before="3"/>
                      <w:ind w:left="0" w:right="0" w:firstLine="0"/>
                      <w:jc w:val="left"/>
                      <w:rPr>
                        <w:sz w:val="20"/>
                      </w:rPr>
                    </w:pPr>
                    <w:r>
                      <w:rPr>
                        <w:w w:val="120"/>
                        <w:sz w:val="20"/>
                      </w:rPr>
                      <w:t>version) and ‘A Moment of Truth, a word of faith, hope, and love from the heart of Palestinian suffering, Kairos Palestine 2009’ for study by United Reformed churches and synods.</w:t>
                    </w:r>
                  </w:p>
                </w:txbxContent>
              </v:textbox>
              <w10:wrap type="none"/>
            </v:shape>
            <v:shape style="position:absolute;left:2069;top:9972;width:7849;height:240" type="#_x0000_t202" filled="false" stroked="false">
              <v:textbox inset="0,0,0,0">
                <w:txbxContent>
                  <w:p>
                    <w:pPr>
                      <w:spacing w:line="240" w:lineRule="exact" w:before="0"/>
                      <w:ind w:left="0" w:right="0" w:firstLine="0"/>
                      <w:jc w:val="left"/>
                      <w:rPr>
                        <w:sz w:val="20"/>
                      </w:rPr>
                    </w:pPr>
                    <w:r>
                      <w:rPr>
                        <w:w w:val="120"/>
                        <w:sz w:val="20"/>
                      </w:rPr>
                      <w:t>commend the Church of Scotland Report ‘The Inheritance of Abraham’ (revised</w:t>
                    </w:r>
                  </w:p>
                </w:txbxContent>
              </v:textbox>
              <w10:wrap type="none"/>
            </v:shape>
            <v:shape style="position:absolute;left:1388;top:9972;width:205;height:240" type="#_x0000_t202" filled="false" stroked="false">
              <v:textbox inset="0,0,0,0">
                <w:txbxContent>
                  <w:p>
                    <w:pPr>
                      <w:spacing w:line="240" w:lineRule="exact" w:before="0"/>
                      <w:ind w:left="0" w:right="0" w:firstLine="0"/>
                      <w:jc w:val="left"/>
                      <w:rPr>
                        <w:sz w:val="20"/>
                      </w:rPr>
                    </w:pPr>
                    <w:r>
                      <w:rPr>
                        <w:w w:val="130"/>
                        <w:sz w:val="20"/>
                      </w:rPr>
                      <w:t>a)</w:t>
                    </w:r>
                  </w:p>
                </w:txbxContent>
              </v:textbox>
              <w10:wrap type="none"/>
            </v:shape>
            <v:shape style="position:absolute;left:1388;top:8466;width:5050;height:1306" type="#_x0000_t202" filled="false" stroked="false">
              <v:textbox inset="0,0,0,0">
                <w:txbxContent>
                  <w:p>
                    <w:pPr>
                      <w:spacing w:line="617" w:lineRule="exact" w:before="0"/>
                      <w:ind w:left="0" w:right="0" w:firstLine="0"/>
                      <w:jc w:val="left"/>
                      <w:rPr>
                        <w:rFonts w:ascii="Stone Sans II ITC Std Bk"/>
                        <w:b/>
                        <w:sz w:val="47"/>
                      </w:rPr>
                    </w:pPr>
                    <w:r>
                      <w:rPr>
                        <w:color w:val="7B4290"/>
                        <w:w w:val="115"/>
                        <w:sz w:val="39"/>
                      </w:rPr>
                      <w:t>Resolution </w:t>
                    </w:r>
                    <w:r>
                      <w:rPr>
                        <w:rFonts w:ascii="Stone Sans II ITC Std Bk"/>
                        <w:b/>
                        <w:color w:val="7B4290"/>
                        <w:w w:val="115"/>
                        <w:sz w:val="47"/>
                      </w:rPr>
                      <w:t>37C</w:t>
                    </w:r>
                  </w:p>
                  <w:p>
                    <w:pPr>
                      <w:spacing w:line="266" w:lineRule="exact" w:before="0"/>
                      <w:ind w:left="0" w:right="0" w:firstLine="0"/>
                      <w:jc w:val="left"/>
                      <w:rPr>
                        <w:sz w:val="20"/>
                      </w:rPr>
                    </w:pPr>
                    <w:r>
                      <w:rPr>
                        <w:rFonts w:ascii="Stone Sans II ITC Std Bk"/>
                        <w:b/>
                        <w:w w:val="115"/>
                        <w:sz w:val="20"/>
                      </w:rPr>
                      <w:t>Wessex</w:t>
                    </w:r>
                    <w:r>
                      <w:rPr>
                        <w:rFonts w:ascii="Stone Sans II ITC Std Bk"/>
                        <w:b/>
                        <w:spacing w:val="-20"/>
                        <w:w w:val="115"/>
                        <w:sz w:val="20"/>
                      </w:rPr>
                      <w:t> </w:t>
                    </w:r>
                    <w:r>
                      <w:rPr>
                        <w:rFonts w:ascii="Stone Sans II ITC Std Bk"/>
                        <w:b/>
                        <w:w w:val="115"/>
                        <w:sz w:val="20"/>
                      </w:rPr>
                      <w:t>Synod:</w:t>
                    </w:r>
                    <w:r>
                      <w:rPr>
                        <w:rFonts w:ascii="Stone Sans II ITC Std Bk"/>
                        <w:b/>
                        <w:spacing w:val="-20"/>
                        <w:w w:val="115"/>
                        <w:sz w:val="20"/>
                      </w:rPr>
                      <w:t> </w:t>
                    </w:r>
                    <w:r>
                      <w:rPr>
                        <w:rFonts w:ascii="Stone Sans II ITC Std Bk"/>
                        <w:b/>
                        <w:w w:val="115"/>
                        <w:sz w:val="20"/>
                      </w:rPr>
                      <w:t>The</w:t>
                    </w:r>
                    <w:r>
                      <w:rPr>
                        <w:rFonts w:ascii="Stone Sans II ITC Std Bk"/>
                        <w:b/>
                        <w:spacing w:val="-20"/>
                        <w:w w:val="115"/>
                        <w:sz w:val="20"/>
                      </w:rPr>
                      <w:t> </w:t>
                    </w:r>
                    <w:r>
                      <w:rPr>
                        <w:rFonts w:ascii="Stone Sans II ITC Std Bk"/>
                        <w:b/>
                        <w:w w:val="115"/>
                        <w:sz w:val="20"/>
                      </w:rPr>
                      <w:t>Palestinian</w:t>
                    </w:r>
                    <w:r>
                      <w:rPr>
                        <w:rFonts w:ascii="Stone Sans II ITC Std Bk"/>
                        <w:b/>
                        <w:spacing w:val="-20"/>
                        <w:w w:val="115"/>
                        <w:sz w:val="20"/>
                      </w:rPr>
                      <w:t> </w:t>
                    </w:r>
                    <w:r>
                      <w:rPr>
                        <w:rFonts w:ascii="Stone Sans II ITC Std Bk"/>
                        <w:b/>
                        <w:w w:val="115"/>
                        <w:sz w:val="20"/>
                      </w:rPr>
                      <w:t>situation</w:t>
                    </w:r>
                    <w:r>
                      <w:rPr>
                        <w:rFonts w:ascii="Stone Sans II ITC Std Bk"/>
                        <w:b/>
                        <w:spacing w:val="-22"/>
                        <w:w w:val="115"/>
                        <w:sz w:val="20"/>
                      </w:rPr>
                      <w:t> </w:t>
                    </w:r>
                    <w:r>
                      <w:rPr>
                        <w:spacing w:val="-6"/>
                        <w:w w:val="115"/>
                        <w:sz w:val="20"/>
                      </w:rPr>
                      <w:t>(p.218)</w:t>
                    </w:r>
                  </w:p>
                  <w:p>
                    <w:pPr>
                      <w:spacing w:line="240" w:lineRule="exact" w:before="182"/>
                      <w:ind w:left="0" w:right="0" w:firstLine="0"/>
                      <w:jc w:val="left"/>
                      <w:rPr>
                        <w:sz w:val="20"/>
                      </w:rPr>
                    </w:pPr>
                    <w:r>
                      <w:rPr>
                        <w:w w:val="120"/>
                        <w:sz w:val="20"/>
                      </w:rPr>
                      <w:t>General Assembly resolves to:</w:t>
                    </w:r>
                  </w:p>
                </w:txbxContent>
              </v:textbox>
              <w10:wrap type="none"/>
            </v:shape>
            <w10:wrap type="topAndBottom"/>
          </v:group>
        </w:pict>
      </w:r>
      <w:r>
        <w:rPr/>
        <w:pict>
          <v:shape style="position:absolute;margin-left:56.500999pt;margin-top:655.695923pt;width:465.85pt;height:111.95pt;mso-position-horizontal-relative:page;mso-position-vertical-relative:paragraph;z-index:-250892288;mso-wrap-distance-left:0;mso-wrap-distance-right:0" type="#_x0000_t202" filled="false" stroked="true" strokeweight="1pt" strokecolor="#000000">
            <v:textbox inset="0,0,0,0">
              <w:txbxContent>
                <w:p>
                  <w:pPr>
                    <w:spacing w:line="631" w:lineRule="exact" w:before="41"/>
                    <w:ind w:left="248" w:right="0" w:firstLine="0"/>
                    <w:jc w:val="left"/>
                    <w:rPr>
                      <w:rFonts w:ascii="Stone Sans II ITC Std Bk"/>
                      <w:b/>
                      <w:sz w:val="47"/>
                    </w:rPr>
                  </w:pPr>
                  <w:r>
                    <w:rPr>
                      <w:color w:val="7B4290"/>
                      <w:w w:val="115"/>
                      <w:sz w:val="39"/>
                    </w:rPr>
                    <w:t>Resolution </w:t>
                  </w:r>
                  <w:r>
                    <w:rPr>
                      <w:rFonts w:ascii="Stone Sans II ITC Std Bk"/>
                      <w:b/>
                      <w:color w:val="7B4290"/>
                      <w:w w:val="115"/>
                      <w:sz w:val="47"/>
                    </w:rPr>
                    <w:t>38</w:t>
                  </w:r>
                </w:p>
                <w:p>
                  <w:pPr>
                    <w:spacing w:line="266" w:lineRule="exact" w:before="0"/>
                    <w:ind w:left="248" w:right="0" w:firstLine="0"/>
                    <w:jc w:val="left"/>
                    <w:rPr>
                      <w:sz w:val="20"/>
                    </w:rPr>
                  </w:pPr>
                  <w:r>
                    <w:rPr>
                      <w:rFonts w:ascii="Stone Sans II ITC Std Bk"/>
                      <w:b/>
                      <w:w w:val="110"/>
                      <w:sz w:val="20"/>
                    </w:rPr>
                    <w:t>Southern</w:t>
                  </w:r>
                  <w:r>
                    <w:rPr>
                      <w:rFonts w:ascii="Stone Sans II ITC Std Bk"/>
                      <w:b/>
                      <w:spacing w:val="18"/>
                      <w:w w:val="110"/>
                      <w:sz w:val="20"/>
                    </w:rPr>
                    <w:t> </w:t>
                  </w:r>
                  <w:r>
                    <w:rPr>
                      <w:rFonts w:ascii="Stone Sans II ITC Std Bk"/>
                      <w:b/>
                      <w:w w:val="110"/>
                      <w:sz w:val="20"/>
                    </w:rPr>
                    <w:t>Synod:</w:t>
                  </w:r>
                  <w:r>
                    <w:rPr>
                      <w:rFonts w:ascii="Stone Sans II ITC Std Bk"/>
                      <w:b/>
                      <w:spacing w:val="19"/>
                      <w:w w:val="110"/>
                      <w:sz w:val="20"/>
                    </w:rPr>
                    <w:t> </w:t>
                  </w:r>
                  <w:r>
                    <w:rPr>
                      <w:rFonts w:ascii="Stone Sans II ITC Std Bk"/>
                      <w:b/>
                      <w:w w:val="110"/>
                      <w:sz w:val="20"/>
                    </w:rPr>
                    <w:t>The</w:t>
                  </w:r>
                  <w:r>
                    <w:rPr>
                      <w:rFonts w:ascii="Stone Sans II ITC Std Bk"/>
                      <w:b/>
                      <w:spacing w:val="19"/>
                      <w:w w:val="110"/>
                      <w:sz w:val="20"/>
                    </w:rPr>
                    <w:t> </w:t>
                  </w:r>
                  <w:r>
                    <w:rPr>
                      <w:rFonts w:ascii="Stone Sans II ITC Std Bk"/>
                      <w:b/>
                      <w:w w:val="110"/>
                      <w:sz w:val="20"/>
                    </w:rPr>
                    <w:t>budget</w:t>
                  </w:r>
                  <w:r>
                    <w:rPr>
                      <w:rFonts w:ascii="Stone Sans II ITC Std Bk"/>
                      <w:b/>
                      <w:spacing w:val="19"/>
                      <w:w w:val="110"/>
                      <w:sz w:val="20"/>
                    </w:rPr>
                    <w:t> </w:t>
                  </w:r>
                  <w:r>
                    <w:rPr>
                      <w:rFonts w:ascii="Stone Sans II ITC Std Bk"/>
                      <w:b/>
                      <w:w w:val="110"/>
                      <w:sz w:val="20"/>
                    </w:rPr>
                    <w:t>of</w:t>
                  </w:r>
                  <w:r>
                    <w:rPr>
                      <w:rFonts w:ascii="Stone Sans II ITC Std Bk"/>
                      <w:b/>
                      <w:spacing w:val="19"/>
                      <w:w w:val="110"/>
                      <w:sz w:val="20"/>
                    </w:rPr>
                    <w:t> </w:t>
                  </w:r>
                  <w:r>
                    <w:rPr>
                      <w:rFonts w:ascii="Stone Sans II ITC Std Bk"/>
                      <w:b/>
                      <w:w w:val="110"/>
                      <w:sz w:val="20"/>
                    </w:rPr>
                    <w:t>the</w:t>
                  </w:r>
                  <w:r>
                    <w:rPr>
                      <w:rFonts w:ascii="Stone Sans II ITC Std Bk"/>
                      <w:b/>
                      <w:spacing w:val="18"/>
                      <w:w w:val="110"/>
                      <w:sz w:val="20"/>
                    </w:rPr>
                    <w:t> </w:t>
                  </w:r>
                  <w:r>
                    <w:rPr>
                      <w:rFonts w:ascii="Stone Sans II ITC Std Bk"/>
                      <w:b/>
                      <w:w w:val="110"/>
                      <w:sz w:val="20"/>
                    </w:rPr>
                    <w:t>Church</w:t>
                  </w:r>
                  <w:r>
                    <w:rPr>
                      <w:rFonts w:ascii="Stone Sans II ITC Std Bk"/>
                      <w:b/>
                      <w:spacing w:val="17"/>
                      <w:w w:val="110"/>
                      <w:sz w:val="20"/>
                    </w:rPr>
                    <w:t> </w:t>
                  </w:r>
                  <w:r>
                    <w:rPr>
                      <w:spacing w:val="-3"/>
                      <w:w w:val="110"/>
                      <w:sz w:val="20"/>
                    </w:rPr>
                    <w:t>(p.222)</w:t>
                  </w:r>
                </w:p>
                <w:p>
                  <w:pPr>
                    <w:pStyle w:val="BodyText"/>
                    <w:spacing w:line="235" w:lineRule="auto" w:before="186"/>
                    <w:ind w:left="248" w:right="721"/>
                  </w:pPr>
                  <w:r>
                    <w:rPr>
                      <w:w w:val="120"/>
                    </w:rPr>
                    <w:t>General Assembly resolves that at its future meetings it will, as </w:t>
                  </w:r>
                  <w:r>
                    <w:rPr>
                      <w:spacing w:val="2"/>
                      <w:w w:val="120"/>
                    </w:rPr>
                    <w:t>part </w:t>
                  </w:r>
                  <w:r>
                    <w:rPr>
                      <w:w w:val="120"/>
                    </w:rPr>
                    <w:t>of its regular business, receive the budget of the Church for the next financial year for approval.   In years when General Assembly does not meet, Mission Council, acting on behalf of Assembly, will receive the annual budget for</w:t>
                  </w:r>
                  <w:r>
                    <w:rPr>
                      <w:spacing w:val="17"/>
                      <w:w w:val="120"/>
                    </w:rPr>
                    <w:t> </w:t>
                  </w:r>
                  <w:r>
                    <w:rPr>
                      <w:w w:val="120"/>
                    </w:rPr>
                    <w:t>approval.</w:t>
                  </w:r>
                </w:p>
              </w:txbxContent>
            </v:textbox>
            <v:stroke dashstyle="solid"/>
            <w10:wrap type="topAndBottom"/>
          </v:shape>
        </w:pict>
      </w:r>
      <w:r>
        <w:rPr>
          <w:color w:val="7EAABF"/>
          <w:w w:val="115"/>
          <w:sz w:val="26"/>
        </w:rPr>
        <w:t>Resolutions</w:t>
      </w:r>
    </w:p>
    <w:p>
      <w:pPr>
        <w:pStyle w:val="BodyText"/>
        <w:spacing w:before="5"/>
        <w:rPr>
          <w:sz w:val="6"/>
        </w:rPr>
      </w:pPr>
    </w:p>
    <w:p>
      <w:pPr>
        <w:pStyle w:val="BodyText"/>
        <w:spacing w:before="2"/>
        <w:rPr>
          <w:sz w:val="7"/>
        </w:rPr>
      </w:pPr>
    </w:p>
    <w:p>
      <w:pPr>
        <w:pStyle w:val="BodyText"/>
        <w:spacing w:before="1"/>
        <w:rPr>
          <w:sz w:val="9"/>
        </w:rPr>
      </w:pPr>
    </w:p>
    <w:p>
      <w:pPr>
        <w:spacing w:after="0"/>
        <w:rPr>
          <w:sz w:val="9"/>
        </w:rPr>
        <w:sectPr>
          <w:headerReference w:type="even" r:id="rId648"/>
          <w:footerReference w:type="even" r:id="rId649"/>
          <w:footerReference w:type="default" r:id="rId650"/>
          <w:pgSz w:w="11910" w:h="16840"/>
          <w:pgMar w:header="0" w:footer="647" w:top="0" w:bottom="840" w:left="640" w:right="0"/>
          <w:pgNumType w:start="246"/>
        </w:sectPr>
      </w:pPr>
    </w:p>
    <w:p>
      <w:pPr>
        <w:pStyle w:val="BodyText"/>
      </w:pPr>
      <w:r>
        <w:rPr/>
        <w:drawing>
          <wp:anchor distT="0" distB="0" distL="0" distR="0" allowOverlap="1" layoutInCell="1" locked="0" behindDoc="0" simplePos="0" relativeHeight="252427264">
            <wp:simplePos x="0" y="0"/>
            <wp:positionH relativeFrom="page">
              <wp:posOffset>6974928</wp:posOffset>
            </wp:positionH>
            <wp:positionV relativeFrom="page">
              <wp:posOffset>0</wp:posOffset>
            </wp:positionV>
            <wp:extent cx="585063" cy="10692003"/>
            <wp:effectExtent l="0" t="0" r="0" b="0"/>
            <wp:wrapNone/>
            <wp:docPr id="459" name="image78.png"/>
            <wp:cNvGraphicFramePr>
              <a:graphicFrameLocks noChangeAspect="1"/>
            </wp:cNvGraphicFramePr>
            <a:graphic>
              <a:graphicData uri="http://schemas.openxmlformats.org/drawingml/2006/picture">
                <pic:pic>
                  <pic:nvPicPr>
                    <pic:cNvPr id="460" name="image78.png"/>
                    <pic:cNvPicPr/>
                  </pic:nvPicPr>
                  <pic:blipFill>
                    <a:blip r:embed="rId652" cstate="print"/>
                    <a:stretch>
                      <a:fillRect/>
                    </a:stretch>
                  </pic:blipFill>
                  <pic:spPr>
                    <a:xfrm>
                      <a:off x="0" y="0"/>
                      <a:ext cx="585063" cy="10692003"/>
                    </a:xfrm>
                    <a:prstGeom prst="rect">
                      <a:avLst/>
                    </a:prstGeom>
                  </pic:spPr>
                </pic:pic>
              </a:graphicData>
            </a:graphic>
          </wp:anchor>
        </w:drawing>
      </w:r>
    </w:p>
    <w:p>
      <w:pPr>
        <w:pStyle w:val="BodyText"/>
      </w:pPr>
    </w:p>
    <w:p>
      <w:pPr>
        <w:pStyle w:val="BodyText"/>
      </w:pPr>
    </w:p>
    <w:p>
      <w:pPr>
        <w:pStyle w:val="BodyText"/>
        <w:spacing w:before="5"/>
        <w:rPr>
          <w:sz w:val="28"/>
        </w:rPr>
      </w:pPr>
    </w:p>
    <w:p>
      <w:pPr>
        <w:spacing w:line="213" w:lineRule="auto" w:before="153"/>
        <w:ind w:left="1344" w:right="3519" w:firstLine="0"/>
        <w:jc w:val="left"/>
        <w:rPr>
          <w:rFonts w:ascii="Stone Sans II ITC Std X Bd"/>
          <w:b/>
          <w:sz w:val="50"/>
        </w:rPr>
      </w:pPr>
      <w:r>
        <w:rPr/>
        <w:pict>
          <v:shape style="position:absolute;margin-left:554.141174pt;margin-top:-5.989334pt;width:25.9pt;height:168.3pt;mso-position-horizontal-relative:page;mso-position-vertical-relative:paragraph;z-index:252428288" type="#_x0000_t202" filled="false" stroked="false">
            <v:textbox inset="0,0,0,0" style="layout-flow:vertical">
              <w:txbxContent>
                <w:p>
                  <w:pPr>
                    <w:spacing w:before="27"/>
                    <w:ind w:left="20" w:right="0" w:firstLine="0"/>
                    <w:jc w:val="left"/>
                    <w:rPr>
                      <w:sz w:val="39"/>
                    </w:rPr>
                  </w:pPr>
                  <w:r>
                    <w:rPr>
                      <w:color w:val="FFFFFF"/>
                      <w:w w:val="125"/>
                      <w:sz w:val="39"/>
                    </w:rPr>
                    <w:t>Standing Orders</w:t>
                  </w:r>
                </w:p>
              </w:txbxContent>
            </v:textbox>
            <w10:wrap type="none"/>
          </v:shape>
        </w:pict>
      </w:r>
      <w:r>
        <w:rPr>
          <w:rFonts w:ascii="Stone Sans II ITC Std X Bd"/>
          <w:b/>
          <w:w w:val="110"/>
          <w:sz w:val="50"/>
        </w:rPr>
        <w:t>The Standing Orders of General Assembly</w:t>
      </w:r>
    </w:p>
    <w:p>
      <w:pPr>
        <w:pStyle w:val="BodyText"/>
        <w:spacing w:before="12"/>
        <w:rPr>
          <w:rFonts w:ascii="Stone Sans II ITC Std X Bd"/>
          <w:b/>
          <w:sz w:val="48"/>
        </w:rPr>
      </w:pPr>
    </w:p>
    <w:p>
      <w:pPr>
        <w:pStyle w:val="ListParagraph"/>
        <w:numPr>
          <w:ilvl w:val="0"/>
          <w:numId w:val="256"/>
        </w:numPr>
        <w:tabs>
          <w:tab w:pos="2024" w:val="left" w:leader="none"/>
          <w:tab w:pos="2025" w:val="left" w:leader="none"/>
        </w:tabs>
        <w:spacing w:line="240" w:lineRule="auto" w:before="0" w:after="0"/>
        <w:ind w:left="2024" w:right="0" w:hanging="681"/>
        <w:jc w:val="left"/>
        <w:rPr>
          <w:rFonts w:ascii="Stone Sans II ITC Std Bk"/>
          <w:b/>
          <w:sz w:val="29"/>
        </w:rPr>
      </w:pPr>
      <w:r>
        <w:rPr>
          <w:rFonts w:ascii="Stone Sans II ITC Std Bk"/>
          <w:b/>
          <w:spacing w:val="4"/>
          <w:w w:val="110"/>
          <w:sz w:val="29"/>
        </w:rPr>
        <w:t>The agenda </w:t>
      </w:r>
      <w:r>
        <w:rPr>
          <w:rFonts w:ascii="Stone Sans II ITC Std Bk"/>
          <w:b/>
          <w:w w:val="110"/>
          <w:sz w:val="29"/>
        </w:rPr>
        <w:t>of </w:t>
      </w:r>
      <w:r>
        <w:rPr>
          <w:rFonts w:ascii="Stone Sans II ITC Std Bk"/>
          <w:b/>
          <w:spacing w:val="2"/>
          <w:w w:val="110"/>
          <w:sz w:val="29"/>
        </w:rPr>
        <w:t>the</w:t>
      </w:r>
      <w:r>
        <w:rPr>
          <w:rFonts w:ascii="Stone Sans II ITC Std Bk"/>
          <w:b/>
          <w:spacing w:val="43"/>
          <w:w w:val="110"/>
          <w:sz w:val="29"/>
        </w:rPr>
        <w:t> </w:t>
      </w:r>
      <w:r>
        <w:rPr>
          <w:rFonts w:ascii="Stone Sans II ITC Std Bk"/>
          <w:b/>
          <w:spacing w:val="4"/>
          <w:w w:val="110"/>
          <w:sz w:val="29"/>
        </w:rPr>
        <w:t>Assembly</w:t>
      </w:r>
    </w:p>
    <w:p>
      <w:pPr>
        <w:pStyle w:val="ListParagraph"/>
        <w:numPr>
          <w:ilvl w:val="1"/>
          <w:numId w:val="256"/>
        </w:numPr>
        <w:tabs>
          <w:tab w:pos="2024" w:val="left" w:leader="none"/>
          <w:tab w:pos="2025" w:val="left" w:leader="none"/>
        </w:tabs>
        <w:spacing w:line="235" w:lineRule="auto" w:before="69" w:after="0"/>
        <w:ind w:left="1344" w:right="1462" w:firstLine="0"/>
        <w:jc w:val="left"/>
        <w:rPr>
          <w:sz w:val="20"/>
        </w:rPr>
      </w:pPr>
      <w:r>
        <w:rPr>
          <w:w w:val="120"/>
          <w:sz w:val="20"/>
        </w:rPr>
        <w:t>At its meetings the Assembly shall consider reports and draft motions prepared by its committees which include the Mission Council or by synods, and motions and amendments of which due notice has been given submitted by individual members of the</w:t>
      </w:r>
      <w:r>
        <w:rPr>
          <w:spacing w:val="1"/>
          <w:w w:val="120"/>
          <w:sz w:val="20"/>
        </w:rPr>
        <w:t> </w:t>
      </w:r>
      <w:r>
        <w:rPr>
          <w:w w:val="120"/>
          <w:sz w:val="20"/>
        </w:rPr>
        <w:t>Assembly.</w:t>
      </w:r>
    </w:p>
    <w:p>
      <w:pPr>
        <w:pStyle w:val="BodyText"/>
        <w:spacing w:before="11"/>
        <w:rPr>
          <w:sz w:val="19"/>
        </w:rPr>
      </w:pPr>
    </w:p>
    <w:p>
      <w:pPr>
        <w:pStyle w:val="ListParagraph"/>
        <w:numPr>
          <w:ilvl w:val="1"/>
          <w:numId w:val="256"/>
        </w:numPr>
        <w:tabs>
          <w:tab w:pos="2024" w:val="left" w:leader="none"/>
          <w:tab w:pos="2025" w:val="left" w:leader="none"/>
        </w:tabs>
        <w:spacing w:line="235" w:lineRule="auto" w:before="0" w:after="0"/>
        <w:ind w:left="1344" w:right="1244" w:firstLine="0"/>
        <w:jc w:val="left"/>
        <w:rPr>
          <w:sz w:val="20"/>
        </w:rPr>
      </w:pPr>
      <w:r>
        <w:rPr>
          <w:w w:val="120"/>
          <w:sz w:val="20"/>
        </w:rPr>
        <w:t>For the good ordering of General </w:t>
      </w:r>
      <w:r>
        <w:rPr>
          <w:spacing w:val="-4"/>
          <w:w w:val="120"/>
          <w:sz w:val="20"/>
        </w:rPr>
        <w:t>Assembly’s </w:t>
      </w:r>
      <w:r>
        <w:rPr>
          <w:w w:val="120"/>
          <w:sz w:val="20"/>
        </w:rPr>
        <w:t>time, the Moderators for that Assembly, in consultation with the General Secretary and the Clerk, shall group the draft motions into three groups which shall determine the manner in which the Assembly  shall consider them: A – en bloc, B – majority voting, and C– consensus. All matters covered by paragraphs 3(1) &amp; (2) of the Structure of the United Reformed Church shall be placed in Group B. In the case of any other matter the Moderator may rule at any time that a motion be taken from Group B and placed in Group C. At the same time the grouping of draft motions is published any matters already known to be urgent under Standing Order 2.3 shall also be published, with reasons</w:t>
      </w:r>
      <w:r>
        <w:rPr>
          <w:spacing w:val="31"/>
          <w:w w:val="120"/>
          <w:sz w:val="20"/>
        </w:rPr>
        <w:t> </w:t>
      </w:r>
      <w:r>
        <w:rPr>
          <w:w w:val="120"/>
          <w:sz w:val="20"/>
        </w:rPr>
        <w:t>given.</w:t>
      </w:r>
    </w:p>
    <w:p>
      <w:pPr>
        <w:pStyle w:val="BodyText"/>
        <w:spacing w:before="3"/>
      </w:pPr>
    </w:p>
    <w:p>
      <w:pPr>
        <w:pStyle w:val="ListParagraph"/>
        <w:numPr>
          <w:ilvl w:val="1"/>
          <w:numId w:val="256"/>
        </w:numPr>
        <w:tabs>
          <w:tab w:pos="2024" w:val="left" w:leader="none"/>
          <w:tab w:pos="2025" w:val="left" w:leader="none"/>
        </w:tabs>
        <w:spacing w:line="235" w:lineRule="auto" w:before="0" w:after="0"/>
        <w:ind w:left="1344" w:right="1306" w:firstLine="0"/>
        <w:jc w:val="left"/>
        <w:rPr>
          <w:sz w:val="20"/>
        </w:rPr>
      </w:pPr>
      <w:r>
        <w:rPr>
          <w:w w:val="120"/>
          <w:sz w:val="20"/>
        </w:rPr>
        <w:t>The motions in group A shall be taken en bloc. Notice in writing to the effect   that one or more of the motions included in group A should be considered separately may be given to the General Secretary by the close of business on the first day of the meeting of the Assembly. If such notice, which must be signed by at least six members of the Assembly, is duly received, then the motion(s) in question shall be removed from group </w:t>
      </w:r>
      <w:r>
        <w:rPr>
          <w:spacing w:val="3"/>
          <w:w w:val="120"/>
          <w:sz w:val="20"/>
        </w:rPr>
        <w:t>A. </w:t>
      </w:r>
      <w:r>
        <w:rPr>
          <w:w w:val="120"/>
          <w:sz w:val="20"/>
        </w:rPr>
        <w:t>It shall be for the Moderators, in consultation with the General Secretary and the Clerk, to determine in which of groups B and C any such separated motions should be placed. When the single motion to approve group A is before the Assembly, the vote shall be taken immediately, the motion being determined by a majority of the votes of members of the Assembly present and voting as indicated by a show of voting</w:t>
      </w:r>
      <w:r>
        <w:rPr>
          <w:spacing w:val="45"/>
          <w:w w:val="120"/>
          <w:sz w:val="20"/>
        </w:rPr>
        <w:t> </w:t>
      </w:r>
      <w:r>
        <w:rPr>
          <w:w w:val="120"/>
          <w:sz w:val="20"/>
        </w:rPr>
        <w:t>cards.</w:t>
      </w:r>
    </w:p>
    <w:p>
      <w:pPr>
        <w:pStyle w:val="BodyText"/>
        <w:spacing w:before="3"/>
      </w:pPr>
    </w:p>
    <w:p>
      <w:pPr>
        <w:pStyle w:val="ListParagraph"/>
        <w:numPr>
          <w:ilvl w:val="1"/>
          <w:numId w:val="256"/>
        </w:numPr>
        <w:tabs>
          <w:tab w:pos="2024" w:val="left" w:leader="none"/>
          <w:tab w:pos="2025" w:val="left" w:leader="none"/>
        </w:tabs>
        <w:spacing w:line="235" w:lineRule="auto" w:before="0" w:after="0"/>
        <w:ind w:left="1344" w:right="1832" w:firstLine="0"/>
        <w:jc w:val="left"/>
        <w:rPr>
          <w:sz w:val="20"/>
        </w:rPr>
      </w:pPr>
      <w:r>
        <w:rPr>
          <w:w w:val="120"/>
          <w:sz w:val="20"/>
        </w:rPr>
        <w:t>The motions in group B shall be determined by majority vote, and Standing Order 2 shall not</w:t>
      </w:r>
      <w:r>
        <w:rPr>
          <w:spacing w:val="8"/>
          <w:w w:val="120"/>
          <w:sz w:val="20"/>
        </w:rPr>
        <w:t> </w:t>
      </w:r>
      <w:r>
        <w:rPr>
          <w:spacing w:val="-3"/>
          <w:w w:val="120"/>
          <w:sz w:val="20"/>
        </w:rPr>
        <w:t>apply.</w:t>
      </w:r>
    </w:p>
    <w:p>
      <w:pPr>
        <w:pStyle w:val="BodyText"/>
        <w:spacing w:before="9"/>
        <w:rPr>
          <w:sz w:val="19"/>
        </w:rPr>
      </w:pPr>
    </w:p>
    <w:p>
      <w:pPr>
        <w:pStyle w:val="ListParagraph"/>
        <w:numPr>
          <w:ilvl w:val="1"/>
          <w:numId w:val="256"/>
        </w:numPr>
        <w:tabs>
          <w:tab w:pos="2024" w:val="left" w:leader="none"/>
          <w:tab w:pos="2025" w:val="left" w:leader="none"/>
        </w:tabs>
        <w:spacing w:line="235" w:lineRule="auto" w:before="1" w:after="0"/>
        <w:ind w:left="1344" w:right="1392" w:firstLine="0"/>
        <w:jc w:val="left"/>
        <w:rPr>
          <w:sz w:val="20"/>
        </w:rPr>
      </w:pPr>
      <w:r>
        <w:rPr>
          <w:w w:val="120"/>
          <w:sz w:val="20"/>
        </w:rPr>
        <w:t>The motions in group C shall be considered by means of the consensus decision making process set out in Standing Order</w:t>
      </w:r>
      <w:r>
        <w:rPr>
          <w:spacing w:val="18"/>
          <w:w w:val="120"/>
          <w:sz w:val="20"/>
        </w:rPr>
        <w:t> </w:t>
      </w:r>
      <w:r>
        <w:rPr>
          <w:w w:val="120"/>
          <w:sz w:val="20"/>
        </w:rPr>
        <w:t>2.</w:t>
      </w:r>
    </w:p>
    <w:p>
      <w:pPr>
        <w:pStyle w:val="BodyText"/>
        <w:spacing w:before="9"/>
        <w:rPr>
          <w:sz w:val="19"/>
        </w:rPr>
      </w:pPr>
    </w:p>
    <w:p>
      <w:pPr>
        <w:pStyle w:val="ListParagraph"/>
        <w:numPr>
          <w:ilvl w:val="1"/>
          <w:numId w:val="256"/>
        </w:numPr>
        <w:tabs>
          <w:tab w:pos="2025" w:val="left" w:leader="none"/>
        </w:tabs>
        <w:spacing w:line="235" w:lineRule="auto" w:before="0" w:after="0"/>
        <w:ind w:left="1344" w:right="1301" w:firstLine="0"/>
        <w:jc w:val="both"/>
        <w:rPr>
          <w:sz w:val="20"/>
        </w:rPr>
      </w:pPr>
      <w:r>
        <w:rPr>
          <w:w w:val="120"/>
          <w:sz w:val="20"/>
        </w:rPr>
        <w:t>The Assembly arrangements committee shall prepare before each meeting of the Assembly a draft order of business, and submit it to the Assembly as early as convenient in the</w:t>
      </w:r>
      <w:r>
        <w:rPr>
          <w:spacing w:val="4"/>
          <w:w w:val="120"/>
          <w:sz w:val="20"/>
        </w:rPr>
        <w:t> </w:t>
      </w:r>
      <w:r>
        <w:rPr>
          <w:w w:val="120"/>
          <w:sz w:val="20"/>
        </w:rPr>
        <w:t>programme.</w:t>
      </w:r>
    </w:p>
    <w:p>
      <w:pPr>
        <w:pStyle w:val="BodyText"/>
        <w:spacing w:before="10"/>
        <w:rPr>
          <w:sz w:val="19"/>
        </w:rPr>
      </w:pPr>
    </w:p>
    <w:p>
      <w:pPr>
        <w:pStyle w:val="ListParagraph"/>
        <w:numPr>
          <w:ilvl w:val="1"/>
          <w:numId w:val="256"/>
        </w:numPr>
        <w:tabs>
          <w:tab w:pos="2024" w:val="left" w:leader="none"/>
          <w:tab w:pos="2025" w:val="left" w:leader="none"/>
        </w:tabs>
        <w:spacing w:line="235" w:lineRule="auto" w:before="0" w:after="0"/>
        <w:ind w:left="1344" w:right="1444" w:firstLine="0"/>
        <w:jc w:val="left"/>
        <w:rPr>
          <w:sz w:val="20"/>
        </w:rPr>
      </w:pPr>
      <w:r>
        <w:rPr>
          <w:w w:val="120"/>
          <w:sz w:val="20"/>
        </w:rPr>
        <w:t>Motions arising from a report which </w:t>
      </w:r>
      <w:r>
        <w:rPr>
          <w:spacing w:val="-3"/>
          <w:w w:val="120"/>
          <w:sz w:val="20"/>
        </w:rPr>
        <w:t>have </w:t>
      </w:r>
      <w:r>
        <w:rPr>
          <w:w w:val="120"/>
          <w:sz w:val="20"/>
        </w:rPr>
        <w:t>been duly seconded and submitted  by individual members of Assembly under Standing Order 4.2 shall be taken at a point in the business determined by the Moderator on the advice of the convenor of the Assembly arrangements</w:t>
      </w:r>
      <w:r>
        <w:rPr>
          <w:spacing w:val="3"/>
          <w:w w:val="120"/>
          <w:sz w:val="20"/>
        </w:rPr>
        <w:t> </w:t>
      </w:r>
      <w:r>
        <w:rPr>
          <w:w w:val="120"/>
          <w:sz w:val="20"/>
        </w:rPr>
        <w:t>committee.</w:t>
      </w:r>
    </w:p>
    <w:p>
      <w:pPr>
        <w:pStyle w:val="BodyText"/>
        <w:spacing w:before="11"/>
        <w:rPr>
          <w:sz w:val="19"/>
        </w:rPr>
      </w:pPr>
    </w:p>
    <w:p>
      <w:pPr>
        <w:pStyle w:val="ListParagraph"/>
        <w:numPr>
          <w:ilvl w:val="1"/>
          <w:numId w:val="256"/>
        </w:numPr>
        <w:tabs>
          <w:tab w:pos="2025" w:val="left" w:leader="none"/>
        </w:tabs>
        <w:spacing w:line="235" w:lineRule="auto" w:before="0" w:after="0"/>
        <w:ind w:left="1344" w:right="1687" w:firstLine="0"/>
        <w:jc w:val="both"/>
        <w:rPr>
          <w:sz w:val="20"/>
        </w:rPr>
      </w:pPr>
      <w:r>
        <w:rPr>
          <w:w w:val="120"/>
          <w:sz w:val="20"/>
        </w:rPr>
        <w:t>If notice has been given of two or more motions on the same subject, or two or more amendments to the same motion, these shall be taken in the order decided by the Moderator on the advice of the</w:t>
      </w:r>
      <w:r>
        <w:rPr>
          <w:spacing w:val="16"/>
          <w:w w:val="120"/>
          <w:sz w:val="20"/>
        </w:rPr>
        <w:t> </w:t>
      </w:r>
      <w:r>
        <w:rPr>
          <w:w w:val="120"/>
          <w:sz w:val="20"/>
        </w:rPr>
        <w:t>Clerk.</w:t>
      </w:r>
    </w:p>
    <w:p>
      <w:pPr>
        <w:pStyle w:val="BodyText"/>
        <w:spacing w:before="11"/>
        <w:rPr>
          <w:sz w:val="19"/>
        </w:rPr>
      </w:pPr>
    </w:p>
    <w:p>
      <w:pPr>
        <w:pStyle w:val="ListParagraph"/>
        <w:numPr>
          <w:ilvl w:val="1"/>
          <w:numId w:val="256"/>
        </w:numPr>
        <w:tabs>
          <w:tab w:pos="2024" w:val="left" w:leader="none"/>
          <w:tab w:pos="2025" w:val="left" w:leader="none"/>
        </w:tabs>
        <w:spacing w:line="235" w:lineRule="auto" w:before="0" w:after="0"/>
        <w:ind w:left="1344" w:right="2078" w:firstLine="0"/>
        <w:jc w:val="left"/>
        <w:rPr>
          <w:sz w:val="20"/>
        </w:rPr>
      </w:pPr>
      <w:r>
        <w:rPr>
          <w:w w:val="120"/>
          <w:sz w:val="20"/>
        </w:rPr>
        <w:t>The Convenor of the Assembly arrangements committee </w:t>
      </w:r>
      <w:r>
        <w:rPr>
          <w:spacing w:val="-5"/>
          <w:w w:val="120"/>
          <w:sz w:val="20"/>
        </w:rPr>
        <w:t>may, </w:t>
      </w:r>
      <w:r>
        <w:rPr>
          <w:w w:val="120"/>
          <w:sz w:val="20"/>
        </w:rPr>
        <w:t>during the meeting of the Assembly, propose that the order of business be</w:t>
      </w:r>
      <w:r>
        <w:rPr>
          <w:spacing w:val="33"/>
          <w:w w:val="120"/>
          <w:sz w:val="20"/>
        </w:rPr>
        <w:t> </w:t>
      </w:r>
      <w:r>
        <w:rPr>
          <w:w w:val="120"/>
          <w:sz w:val="20"/>
        </w:rPr>
        <w:t>changed.</w:t>
      </w:r>
    </w:p>
    <w:p>
      <w:pPr>
        <w:spacing w:after="0" w:line="235" w:lineRule="auto"/>
        <w:jc w:val="left"/>
        <w:rPr>
          <w:sz w:val="20"/>
        </w:rPr>
        <w:sectPr>
          <w:headerReference w:type="default" r:id="rId651"/>
          <w:pgSz w:w="11910" w:h="16840"/>
          <w:pgMar w:header="0" w:footer="647" w:top="0" w:bottom="840" w:left="640" w:right="0"/>
        </w:sectPr>
      </w:pPr>
    </w:p>
    <w:p>
      <w:pPr>
        <w:pStyle w:val="BodyText"/>
      </w:pPr>
      <w:r>
        <w:rPr/>
        <w:drawing>
          <wp:anchor distT="0" distB="0" distL="0" distR="0" allowOverlap="1" layoutInCell="1" locked="0" behindDoc="1" simplePos="0" relativeHeight="235975680">
            <wp:simplePos x="0" y="0"/>
            <wp:positionH relativeFrom="page">
              <wp:posOffset>0</wp:posOffset>
            </wp:positionH>
            <wp:positionV relativeFrom="page">
              <wp:posOffset>0</wp:posOffset>
            </wp:positionV>
            <wp:extent cx="594067" cy="10692003"/>
            <wp:effectExtent l="0" t="0" r="0" b="0"/>
            <wp:wrapNone/>
            <wp:docPr id="461" name="image79.png"/>
            <wp:cNvGraphicFramePr>
              <a:graphicFrameLocks noChangeAspect="1"/>
            </wp:cNvGraphicFramePr>
            <a:graphic>
              <a:graphicData uri="http://schemas.openxmlformats.org/drawingml/2006/picture">
                <pic:pic>
                  <pic:nvPicPr>
                    <pic:cNvPr id="462" name="image79.png"/>
                    <pic:cNvPicPr/>
                  </pic:nvPicPr>
                  <pic:blipFill>
                    <a:blip r:embed="rId656" cstate="print"/>
                    <a:stretch>
                      <a:fillRect/>
                    </a:stretch>
                  </pic:blipFill>
                  <pic:spPr>
                    <a:xfrm>
                      <a:off x="0" y="0"/>
                      <a:ext cx="594067" cy="10692003"/>
                    </a:xfrm>
                    <a:prstGeom prst="rect">
                      <a:avLst/>
                    </a:prstGeom>
                  </pic:spPr>
                </pic:pic>
              </a:graphicData>
            </a:graphic>
          </wp:anchor>
        </w:drawing>
      </w:r>
      <w:r>
        <w:rPr/>
        <w:pict>
          <v:shape style="position:absolute;margin-left:20.519100pt;margin-top:48.890015pt;width:25.9pt;height:168.3pt;mso-position-horizontal-relative:page;mso-position-vertical-relative:page;z-index:-267339776" type="#_x0000_t202" filled="false" stroked="false">
            <v:textbox inset="0,0,0,0" style="layout-flow:vertical">
              <w:txbxContent>
                <w:p>
                  <w:pPr>
                    <w:spacing w:before="27"/>
                    <w:ind w:left="20" w:right="0" w:firstLine="0"/>
                    <w:jc w:val="left"/>
                    <w:rPr>
                      <w:sz w:val="39"/>
                    </w:rPr>
                  </w:pPr>
                  <w:r>
                    <w:rPr>
                      <w:color w:val="FFFFFF"/>
                      <w:w w:val="125"/>
                      <w:sz w:val="39"/>
                    </w:rPr>
                    <w:t>Standing Orders</w:t>
                  </w:r>
                </w:p>
              </w:txbxContent>
            </v:textbox>
            <w10:wrap type="none"/>
          </v:shape>
        </w:pict>
      </w:r>
    </w:p>
    <w:p>
      <w:pPr>
        <w:pStyle w:val="BodyText"/>
        <w:spacing w:before="7"/>
        <w:rPr>
          <w:sz w:val="21"/>
        </w:rPr>
      </w:pPr>
    </w:p>
    <w:p>
      <w:pPr>
        <w:spacing w:before="106"/>
        <w:ind w:left="607" w:right="0" w:firstLine="0"/>
        <w:jc w:val="left"/>
        <w:rPr>
          <w:sz w:val="26"/>
        </w:rPr>
      </w:pPr>
      <w:r>
        <w:rPr>
          <w:color w:val="7EAABF"/>
          <w:w w:val="120"/>
          <w:sz w:val="26"/>
        </w:rPr>
        <w:t>Standing Orders</w:t>
      </w:r>
    </w:p>
    <w:p>
      <w:pPr>
        <w:pStyle w:val="ListParagraph"/>
        <w:numPr>
          <w:ilvl w:val="0"/>
          <w:numId w:val="256"/>
        </w:numPr>
        <w:tabs>
          <w:tab w:pos="1287" w:val="left" w:leader="none"/>
          <w:tab w:pos="1288" w:val="left" w:leader="none"/>
        </w:tabs>
        <w:spacing w:line="240" w:lineRule="auto" w:before="215" w:after="0"/>
        <w:ind w:left="1287" w:right="0" w:hanging="681"/>
        <w:jc w:val="left"/>
        <w:rPr>
          <w:rFonts w:ascii="Stone Sans II ITC Std Bk"/>
          <w:b/>
          <w:sz w:val="29"/>
        </w:rPr>
      </w:pPr>
      <w:r>
        <w:rPr>
          <w:rFonts w:ascii="Stone Sans II ITC Std Bk"/>
          <w:b/>
          <w:spacing w:val="3"/>
          <w:w w:val="110"/>
          <w:sz w:val="29"/>
        </w:rPr>
        <w:t>Consensus decision</w:t>
      </w:r>
      <w:r>
        <w:rPr>
          <w:rFonts w:ascii="Stone Sans II ITC Std Bk"/>
          <w:b/>
          <w:spacing w:val="22"/>
          <w:w w:val="110"/>
          <w:sz w:val="29"/>
        </w:rPr>
        <w:t> </w:t>
      </w:r>
      <w:r>
        <w:rPr>
          <w:rFonts w:ascii="Stone Sans II ITC Std Bk"/>
          <w:b/>
          <w:spacing w:val="3"/>
          <w:w w:val="110"/>
          <w:sz w:val="29"/>
        </w:rPr>
        <w:t>making</w:t>
      </w:r>
    </w:p>
    <w:p>
      <w:pPr>
        <w:pStyle w:val="ListParagraph"/>
        <w:numPr>
          <w:ilvl w:val="1"/>
          <w:numId w:val="256"/>
        </w:numPr>
        <w:tabs>
          <w:tab w:pos="1287" w:val="left" w:leader="none"/>
          <w:tab w:pos="1288" w:val="left" w:leader="none"/>
        </w:tabs>
        <w:spacing w:line="235" w:lineRule="auto" w:before="69" w:after="0"/>
        <w:ind w:left="607" w:right="2237" w:firstLine="0"/>
        <w:jc w:val="left"/>
        <w:rPr>
          <w:sz w:val="20"/>
        </w:rPr>
      </w:pPr>
      <w:r>
        <w:rPr>
          <w:w w:val="120"/>
          <w:sz w:val="20"/>
        </w:rPr>
        <w:t>Those motions in group C shall be determined by a process of decision making by consensus. For these purposes the following Standing Order 2 will apply and the Standing Orders 4, 5.4, 5.5, 5.6, 6.2, 6.3, 6.5 will not</w:t>
      </w:r>
      <w:r>
        <w:rPr>
          <w:spacing w:val="52"/>
          <w:w w:val="120"/>
          <w:sz w:val="20"/>
        </w:rPr>
        <w:t> </w:t>
      </w:r>
      <w:r>
        <w:rPr>
          <w:spacing w:val="-3"/>
          <w:w w:val="120"/>
          <w:sz w:val="20"/>
        </w:rPr>
        <w:t>apply.</w:t>
      </w:r>
    </w:p>
    <w:p>
      <w:pPr>
        <w:pStyle w:val="BodyText"/>
        <w:spacing w:before="7"/>
        <w:rPr>
          <w:sz w:val="19"/>
        </w:rPr>
      </w:pPr>
    </w:p>
    <w:p>
      <w:pPr>
        <w:pStyle w:val="ListParagraph"/>
        <w:numPr>
          <w:ilvl w:val="1"/>
          <w:numId w:val="256"/>
        </w:numPr>
        <w:tabs>
          <w:tab w:pos="1287" w:val="left" w:leader="none"/>
          <w:tab w:pos="1288" w:val="left" w:leader="none"/>
        </w:tabs>
        <w:spacing w:line="242" w:lineRule="exact" w:before="0" w:after="0"/>
        <w:ind w:left="1287" w:right="0" w:hanging="681"/>
        <w:jc w:val="left"/>
        <w:rPr>
          <w:sz w:val="20"/>
        </w:rPr>
      </w:pPr>
      <w:r>
        <w:rPr>
          <w:w w:val="120"/>
          <w:sz w:val="20"/>
        </w:rPr>
        <w:t>The process of</w:t>
      </w:r>
      <w:r>
        <w:rPr>
          <w:spacing w:val="5"/>
          <w:w w:val="120"/>
          <w:sz w:val="20"/>
        </w:rPr>
        <w:t> </w:t>
      </w:r>
      <w:r>
        <w:rPr>
          <w:w w:val="120"/>
          <w:sz w:val="20"/>
        </w:rPr>
        <w:t>consensus:</w:t>
      </w:r>
    </w:p>
    <w:p>
      <w:pPr>
        <w:pStyle w:val="ListParagraph"/>
        <w:numPr>
          <w:ilvl w:val="2"/>
          <w:numId w:val="256"/>
        </w:numPr>
        <w:tabs>
          <w:tab w:pos="1288" w:val="left" w:leader="none"/>
        </w:tabs>
        <w:spacing w:line="235" w:lineRule="auto" w:before="2" w:after="0"/>
        <w:ind w:left="1287" w:right="2331" w:hanging="681"/>
        <w:jc w:val="left"/>
        <w:rPr>
          <w:sz w:val="20"/>
        </w:rPr>
      </w:pPr>
      <w:r>
        <w:rPr>
          <w:w w:val="120"/>
          <w:sz w:val="20"/>
        </w:rPr>
        <w:t>Consensus means a decision of the council reached unanimously, or where a small minority of members of the council is willing to accept a proposal that is not their first</w:t>
      </w:r>
      <w:r>
        <w:rPr>
          <w:spacing w:val="4"/>
          <w:w w:val="120"/>
          <w:sz w:val="20"/>
        </w:rPr>
        <w:t> </w:t>
      </w:r>
      <w:r>
        <w:rPr>
          <w:w w:val="120"/>
          <w:sz w:val="20"/>
        </w:rPr>
        <w:t>preference.</w:t>
      </w:r>
    </w:p>
    <w:p>
      <w:pPr>
        <w:pStyle w:val="ListParagraph"/>
        <w:numPr>
          <w:ilvl w:val="2"/>
          <w:numId w:val="256"/>
        </w:numPr>
        <w:tabs>
          <w:tab w:pos="1288" w:val="left" w:leader="none"/>
        </w:tabs>
        <w:spacing w:line="235" w:lineRule="auto" w:before="2" w:after="0"/>
        <w:ind w:left="1287" w:right="2194" w:hanging="681"/>
        <w:jc w:val="left"/>
        <w:rPr>
          <w:sz w:val="20"/>
        </w:rPr>
      </w:pPr>
      <w:r>
        <w:rPr>
          <w:w w:val="120"/>
          <w:sz w:val="20"/>
        </w:rPr>
        <w:t>Passed, recognising disagreement, means a decision of the council where, after careful consideration of the options, a small number is unable to accept the majority opinion but agree to stand aside so that the matter may be</w:t>
      </w:r>
      <w:r>
        <w:rPr>
          <w:spacing w:val="12"/>
          <w:w w:val="120"/>
          <w:sz w:val="20"/>
        </w:rPr>
        <w:t> </w:t>
      </w:r>
      <w:r>
        <w:rPr>
          <w:w w:val="120"/>
          <w:sz w:val="20"/>
        </w:rPr>
        <w:t>resolved.</w:t>
      </w:r>
    </w:p>
    <w:p>
      <w:pPr>
        <w:pStyle w:val="ListParagraph"/>
        <w:numPr>
          <w:ilvl w:val="2"/>
          <w:numId w:val="256"/>
        </w:numPr>
        <w:tabs>
          <w:tab w:pos="1288" w:val="left" w:leader="none"/>
        </w:tabs>
        <w:spacing w:line="235" w:lineRule="auto" w:before="2" w:after="0"/>
        <w:ind w:left="1287" w:right="2174" w:hanging="681"/>
        <w:jc w:val="left"/>
        <w:rPr>
          <w:sz w:val="20"/>
        </w:rPr>
      </w:pPr>
      <w:r>
        <w:rPr>
          <w:w w:val="120"/>
          <w:sz w:val="20"/>
        </w:rPr>
        <w:t>At each stage of the process the Moderator will clarify the nature of the</w:t>
      </w:r>
      <w:r>
        <w:rPr>
          <w:spacing w:val="-37"/>
          <w:w w:val="120"/>
          <w:sz w:val="20"/>
        </w:rPr>
        <w:t> </w:t>
      </w:r>
      <w:r>
        <w:rPr>
          <w:w w:val="120"/>
          <w:sz w:val="20"/>
        </w:rPr>
        <w:t>session, that is whether it is for information, discussion or decision</w:t>
      </w:r>
      <w:r>
        <w:rPr>
          <w:spacing w:val="17"/>
          <w:w w:val="120"/>
          <w:sz w:val="20"/>
        </w:rPr>
        <w:t> </w:t>
      </w:r>
      <w:r>
        <w:rPr>
          <w:w w:val="120"/>
          <w:sz w:val="20"/>
        </w:rPr>
        <w:t>making.</w:t>
      </w:r>
    </w:p>
    <w:p>
      <w:pPr>
        <w:pStyle w:val="BodyText"/>
        <w:spacing w:before="6"/>
        <w:rPr>
          <w:sz w:val="19"/>
        </w:rPr>
      </w:pPr>
    </w:p>
    <w:p>
      <w:pPr>
        <w:pStyle w:val="ListParagraph"/>
        <w:numPr>
          <w:ilvl w:val="1"/>
          <w:numId w:val="256"/>
        </w:numPr>
        <w:tabs>
          <w:tab w:pos="1287" w:val="left" w:leader="none"/>
          <w:tab w:pos="1288" w:val="left" w:leader="none"/>
        </w:tabs>
        <w:spacing w:line="242" w:lineRule="exact" w:before="0" w:after="0"/>
        <w:ind w:left="1287" w:right="0" w:hanging="681"/>
        <w:jc w:val="left"/>
        <w:rPr>
          <w:sz w:val="20"/>
        </w:rPr>
      </w:pPr>
      <w:r>
        <w:rPr>
          <w:w w:val="120"/>
          <w:sz w:val="20"/>
        </w:rPr>
        <w:t>The information</w:t>
      </w:r>
      <w:r>
        <w:rPr>
          <w:spacing w:val="3"/>
          <w:w w:val="120"/>
          <w:sz w:val="20"/>
        </w:rPr>
        <w:t> </w:t>
      </w:r>
      <w:r>
        <w:rPr>
          <w:w w:val="120"/>
          <w:sz w:val="20"/>
        </w:rPr>
        <w:t>session:</w:t>
      </w:r>
    </w:p>
    <w:p>
      <w:pPr>
        <w:pStyle w:val="BodyText"/>
        <w:spacing w:line="235" w:lineRule="auto" w:before="2"/>
        <w:ind w:left="607" w:right="2274"/>
      </w:pPr>
      <w:r>
        <w:rPr>
          <w:w w:val="120"/>
        </w:rPr>
        <w:t>This session aims to inform the Assembly on the issue to be considered. At the </w:t>
      </w:r>
      <w:r>
        <w:rPr>
          <w:spacing w:val="2"/>
          <w:w w:val="120"/>
        </w:rPr>
        <w:t>start </w:t>
      </w:r>
      <w:r>
        <w:rPr>
          <w:w w:val="120"/>
        </w:rPr>
        <w:t>of this session, if the Moderator judges that the matter before the Assembly is</w:t>
      </w:r>
      <w:r>
        <w:rPr>
          <w:spacing w:val="-29"/>
          <w:w w:val="120"/>
        </w:rPr>
        <w:t> </w:t>
      </w:r>
      <w:r>
        <w:rPr>
          <w:w w:val="120"/>
        </w:rPr>
        <w:t>urgent, requiring decision during the current meeting of the Assembly, s/he shall inform the Assembly that this is the case and advise that if following the Consensus procedures there is continuing disagreement it may be necessary to move to a majority</w:t>
      </w:r>
      <w:r>
        <w:rPr>
          <w:spacing w:val="35"/>
          <w:w w:val="120"/>
        </w:rPr>
        <w:t> </w:t>
      </w:r>
      <w:r>
        <w:rPr>
          <w:w w:val="120"/>
        </w:rPr>
        <w:t>decision</w:t>
      </w:r>
    </w:p>
    <w:p>
      <w:pPr>
        <w:pStyle w:val="BodyText"/>
        <w:spacing w:line="235" w:lineRule="auto" w:before="3"/>
        <w:ind w:left="607" w:right="2045"/>
      </w:pPr>
      <w:r>
        <w:rPr>
          <w:w w:val="120"/>
        </w:rPr>
        <w:t>under Standing Order 2.5.9.7. A range of options may be presented by different people who shall speak in favour of their option. Those presenting issues, reports or proposals may speak for no more than five minutes unless the Assembly agrees to an</w:t>
      </w:r>
      <w:r>
        <w:rPr>
          <w:spacing w:val="-24"/>
          <w:w w:val="120"/>
        </w:rPr>
        <w:t> </w:t>
      </w:r>
      <w:r>
        <w:rPr>
          <w:w w:val="120"/>
        </w:rPr>
        <w:t>extension</w:t>
      </w:r>
    </w:p>
    <w:p>
      <w:pPr>
        <w:pStyle w:val="BodyText"/>
        <w:spacing w:line="235" w:lineRule="auto" w:before="2"/>
        <w:ind w:left="607" w:right="2360"/>
      </w:pPr>
      <w:r>
        <w:rPr>
          <w:w w:val="120"/>
        </w:rPr>
        <w:t>of time. Members of Assembly are then free to ask questions on the issue or seek for clarification or further information.</w:t>
      </w:r>
    </w:p>
    <w:p>
      <w:pPr>
        <w:pStyle w:val="BodyText"/>
        <w:spacing w:before="6"/>
        <w:rPr>
          <w:sz w:val="19"/>
        </w:rPr>
      </w:pPr>
    </w:p>
    <w:p>
      <w:pPr>
        <w:pStyle w:val="ListParagraph"/>
        <w:numPr>
          <w:ilvl w:val="1"/>
          <w:numId w:val="256"/>
        </w:numPr>
        <w:tabs>
          <w:tab w:pos="1287" w:val="left" w:leader="none"/>
          <w:tab w:pos="1288" w:val="left" w:leader="none"/>
        </w:tabs>
        <w:spacing w:line="242" w:lineRule="exact" w:before="0" w:after="0"/>
        <w:ind w:left="1287" w:right="0" w:hanging="681"/>
        <w:jc w:val="left"/>
        <w:rPr>
          <w:sz w:val="20"/>
        </w:rPr>
      </w:pPr>
      <w:r>
        <w:rPr>
          <w:w w:val="120"/>
          <w:sz w:val="20"/>
        </w:rPr>
        <w:t>The discussion</w:t>
      </w:r>
      <w:r>
        <w:rPr>
          <w:spacing w:val="3"/>
          <w:w w:val="120"/>
          <w:sz w:val="20"/>
        </w:rPr>
        <w:t> </w:t>
      </w:r>
      <w:r>
        <w:rPr>
          <w:w w:val="120"/>
          <w:sz w:val="20"/>
        </w:rPr>
        <w:t>session:</w:t>
      </w:r>
    </w:p>
    <w:p>
      <w:pPr>
        <w:pStyle w:val="BodyText"/>
        <w:spacing w:line="235" w:lineRule="auto" w:before="2"/>
        <w:ind w:left="607" w:right="2045"/>
      </w:pPr>
      <w:r>
        <w:rPr>
          <w:w w:val="120"/>
        </w:rPr>
        <w:t>This is the opportunity for discussion of various viewpoints and vigorous debate on different opinions. Speakers may speak for no more than three minutes.</w:t>
      </w:r>
    </w:p>
    <w:p>
      <w:pPr>
        <w:pStyle w:val="ListParagraph"/>
        <w:numPr>
          <w:ilvl w:val="2"/>
          <w:numId w:val="256"/>
        </w:numPr>
        <w:tabs>
          <w:tab w:pos="1288" w:val="left" w:leader="none"/>
        </w:tabs>
        <w:spacing w:line="235" w:lineRule="auto" w:before="1" w:after="0"/>
        <w:ind w:left="1287" w:right="1998" w:hanging="681"/>
        <w:jc w:val="left"/>
        <w:rPr>
          <w:sz w:val="20"/>
        </w:rPr>
      </w:pPr>
      <w:r>
        <w:rPr>
          <w:w w:val="120"/>
          <w:sz w:val="20"/>
        </w:rPr>
        <w:t>The methods used may include </w:t>
      </w:r>
      <w:r>
        <w:rPr>
          <w:spacing w:val="-3"/>
          <w:w w:val="120"/>
          <w:sz w:val="20"/>
        </w:rPr>
        <w:t>prayer, </w:t>
      </w:r>
      <w:r>
        <w:rPr>
          <w:w w:val="120"/>
          <w:sz w:val="20"/>
        </w:rPr>
        <w:t>buzz groups, group discussions, speeches to the whole council, time for thinking during a break etc. The Moderator may invite Assembly to indicate opinions by the use of coloured cards at this stage. (See paragraph 2.8 for more information on the use of coloured</w:t>
      </w:r>
      <w:r>
        <w:rPr>
          <w:spacing w:val="31"/>
          <w:w w:val="120"/>
          <w:sz w:val="20"/>
        </w:rPr>
        <w:t> </w:t>
      </w:r>
      <w:r>
        <w:rPr>
          <w:w w:val="120"/>
          <w:sz w:val="20"/>
        </w:rPr>
        <w:t>cards.)</w:t>
      </w:r>
    </w:p>
    <w:p>
      <w:pPr>
        <w:pStyle w:val="ListParagraph"/>
        <w:numPr>
          <w:ilvl w:val="2"/>
          <w:numId w:val="256"/>
        </w:numPr>
        <w:tabs>
          <w:tab w:pos="1288" w:val="left" w:leader="none"/>
        </w:tabs>
        <w:spacing w:line="235" w:lineRule="auto" w:before="3" w:after="0"/>
        <w:ind w:left="1287" w:right="2207" w:hanging="681"/>
        <w:jc w:val="both"/>
        <w:rPr>
          <w:sz w:val="20"/>
        </w:rPr>
      </w:pPr>
      <w:r>
        <w:rPr>
          <w:w w:val="120"/>
          <w:sz w:val="20"/>
        </w:rPr>
        <w:t>The Moderator shall ensure that those who </w:t>
      </w:r>
      <w:r>
        <w:rPr>
          <w:spacing w:val="-3"/>
          <w:w w:val="120"/>
          <w:sz w:val="20"/>
        </w:rPr>
        <w:t>have </w:t>
      </w:r>
      <w:r>
        <w:rPr>
          <w:w w:val="120"/>
          <w:sz w:val="20"/>
        </w:rPr>
        <w:t>different backgrounds or who disagree or who are unsure are given space to contribute to the debate, as well as those who are</w:t>
      </w:r>
      <w:r>
        <w:rPr>
          <w:spacing w:val="6"/>
          <w:w w:val="120"/>
          <w:sz w:val="20"/>
        </w:rPr>
        <w:t> </w:t>
      </w:r>
      <w:r>
        <w:rPr>
          <w:w w:val="120"/>
          <w:sz w:val="20"/>
        </w:rPr>
        <w:t>enthusiastic.</w:t>
      </w:r>
    </w:p>
    <w:p>
      <w:pPr>
        <w:pStyle w:val="ListParagraph"/>
        <w:numPr>
          <w:ilvl w:val="2"/>
          <w:numId w:val="256"/>
        </w:numPr>
        <w:tabs>
          <w:tab w:pos="1288" w:val="left" w:leader="none"/>
        </w:tabs>
        <w:spacing w:line="235" w:lineRule="auto" w:before="3" w:after="0"/>
        <w:ind w:left="1287" w:right="2783" w:hanging="681"/>
        <w:jc w:val="left"/>
        <w:rPr>
          <w:sz w:val="20"/>
        </w:rPr>
      </w:pPr>
      <w:r>
        <w:rPr>
          <w:w w:val="120"/>
          <w:sz w:val="20"/>
        </w:rPr>
        <w:t>The Assembly may meet around tables so that small group discussion can happen quickly and</w:t>
      </w:r>
      <w:r>
        <w:rPr>
          <w:spacing w:val="6"/>
          <w:w w:val="120"/>
          <w:sz w:val="20"/>
        </w:rPr>
        <w:t> </w:t>
      </w:r>
      <w:r>
        <w:rPr>
          <w:spacing w:val="-3"/>
          <w:w w:val="120"/>
          <w:sz w:val="20"/>
        </w:rPr>
        <w:t>easily.</w:t>
      </w:r>
    </w:p>
    <w:p>
      <w:pPr>
        <w:pStyle w:val="ListParagraph"/>
        <w:numPr>
          <w:ilvl w:val="2"/>
          <w:numId w:val="256"/>
        </w:numPr>
        <w:tabs>
          <w:tab w:pos="1288" w:val="left" w:leader="none"/>
        </w:tabs>
        <w:spacing w:line="235" w:lineRule="auto" w:before="1" w:after="0"/>
        <w:ind w:left="1287" w:right="2521" w:hanging="681"/>
        <w:jc w:val="left"/>
        <w:rPr>
          <w:sz w:val="20"/>
        </w:rPr>
      </w:pPr>
      <w:r>
        <w:rPr>
          <w:w w:val="120"/>
          <w:sz w:val="20"/>
        </w:rPr>
        <w:t>As the discussion session proceeds possible </w:t>
      </w:r>
      <w:r>
        <w:rPr>
          <w:spacing w:val="-3"/>
          <w:w w:val="120"/>
          <w:sz w:val="20"/>
        </w:rPr>
        <w:t>ways </w:t>
      </w:r>
      <w:r>
        <w:rPr>
          <w:w w:val="120"/>
          <w:sz w:val="20"/>
        </w:rPr>
        <w:t>forward for the Church are developed until a specific proposal is</w:t>
      </w:r>
      <w:r>
        <w:rPr>
          <w:spacing w:val="14"/>
          <w:w w:val="120"/>
          <w:sz w:val="20"/>
        </w:rPr>
        <w:t> </w:t>
      </w:r>
      <w:r>
        <w:rPr>
          <w:w w:val="120"/>
          <w:sz w:val="20"/>
        </w:rPr>
        <w:t>reached.</w:t>
      </w:r>
    </w:p>
    <w:p>
      <w:pPr>
        <w:pStyle w:val="BodyText"/>
        <w:spacing w:before="6"/>
        <w:rPr>
          <w:sz w:val="19"/>
        </w:rPr>
      </w:pPr>
    </w:p>
    <w:p>
      <w:pPr>
        <w:pStyle w:val="ListParagraph"/>
        <w:numPr>
          <w:ilvl w:val="1"/>
          <w:numId w:val="256"/>
        </w:numPr>
        <w:tabs>
          <w:tab w:pos="1288" w:val="left" w:leader="none"/>
        </w:tabs>
        <w:spacing w:line="242" w:lineRule="exact" w:before="0" w:after="0"/>
        <w:ind w:left="1287" w:right="0" w:hanging="681"/>
        <w:jc w:val="both"/>
        <w:rPr>
          <w:sz w:val="20"/>
        </w:rPr>
      </w:pPr>
      <w:r>
        <w:rPr>
          <w:w w:val="120"/>
          <w:sz w:val="20"/>
        </w:rPr>
        <w:t>The decision</w:t>
      </w:r>
      <w:r>
        <w:rPr>
          <w:spacing w:val="4"/>
          <w:w w:val="120"/>
          <w:sz w:val="20"/>
        </w:rPr>
        <w:t> </w:t>
      </w:r>
      <w:r>
        <w:rPr>
          <w:w w:val="120"/>
          <w:sz w:val="20"/>
        </w:rPr>
        <w:t>session:</w:t>
      </w:r>
    </w:p>
    <w:p>
      <w:pPr>
        <w:pStyle w:val="BodyText"/>
        <w:spacing w:line="235" w:lineRule="auto" w:before="2"/>
        <w:ind w:left="607" w:right="2216"/>
        <w:jc w:val="both"/>
      </w:pPr>
      <w:r>
        <w:rPr>
          <w:w w:val="120"/>
        </w:rPr>
        <w:t>Only those Assembly members present may contribute to this session, they may speak for no more than three minutes.</w:t>
      </w:r>
    </w:p>
    <w:p>
      <w:pPr>
        <w:pStyle w:val="ListParagraph"/>
        <w:numPr>
          <w:ilvl w:val="2"/>
          <w:numId w:val="256"/>
        </w:numPr>
        <w:tabs>
          <w:tab w:pos="1288" w:val="left" w:leader="none"/>
        </w:tabs>
        <w:spacing w:line="235" w:lineRule="auto" w:before="1" w:after="0"/>
        <w:ind w:left="1287" w:right="2089" w:hanging="681"/>
        <w:jc w:val="both"/>
        <w:rPr>
          <w:sz w:val="20"/>
        </w:rPr>
      </w:pPr>
      <w:r>
        <w:rPr>
          <w:w w:val="120"/>
          <w:sz w:val="20"/>
        </w:rPr>
        <w:t>Discussion continues with speakers outlining the advantages and disadvantages of the proposal. At all times, speakers are encouraged to suggest a </w:t>
      </w:r>
      <w:r>
        <w:rPr>
          <w:spacing w:val="-3"/>
          <w:w w:val="120"/>
          <w:sz w:val="20"/>
        </w:rPr>
        <w:t>way </w:t>
      </w:r>
      <w:r>
        <w:rPr>
          <w:w w:val="120"/>
          <w:sz w:val="20"/>
        </w:rPr>
        <w:t>forward for the Assembly, rather than merely speaking with passion for a</w:t>
      </w:r>
      <w:r>
        <w:rPr>
          <w:spacing w:val="-29"/>
          <w:w w:val="120"/>
          <w:sz w:val="20"/>
        </w:rPr>
        <w:t> </w:t>
      </w:r>
      <w:r>
        <w:rPr>
          <w:w w:val="120"/>
          <w:sz w:val="20"/>
        </w:rPr>
        <w:t>pre-determined </w:t>
      </w:r>
      <w:r>
        <w:rPr>
          <w:spacing w:val="-3"/>
          <w:w w:val="120"/>
          <w:sz w:val="20"/>
        </w:rPr>
        <w:t>view.</w:t>
      </w:r>
    </w:p>
    <w:p>
      <w:pPr>
        <w:pStyle w:val="ListParagraph"/>
        <w:numPr>
          <w:ilvl w:val="2"/>
          <w:numId w:val="256"/>
        </w:numPr>
        <w:tabs>
          <w:tab w:pos="1288" w:val="left" w:leader="none"/>
        </w:tabs>
        <w:spacing w:line="235" w:lineRule="auto" w:before="3" w:after="0"/>
        <w:ind w:left="1287" w:right="2199" w:hanging="681"/>
        <w:jc w:val="left"/>
        <w:rPr>
          <w:sz w:val="20"/>
        </w:rPr>
      </w:pPr>
      <w:r>
        <w:rPr>
          <w:w w:val="120"/>
          <w:sz w:val="20"/>
        </w:rPr>
        <w:t>Minor changes of wording may be agreed as the discussion proceeds. It is important to hear from those indicating disquiet or disapproval as well as those who are</w:t>
      </w:r>
      <w:r>
        <w:rPr>
          <w:spacing w:val="3"/>
          <w:w w:val="120"/>
          <w:sz w:val="20"/>
        </w:rPr>
        <w:t> </w:t>
      </w:r>
      <w:r>
        <w:rPr>
          <w:w w:val="120"/>
          <w:sz w:val="20"/>
        </w:rPr>
        <w:t>enthusiastic.</w:t>
      </w:r>
    </w:p>
    <w:p>
      <w:pPr>
        <w:pStyle w:val="ListParagraph"/>
        <w:numPr>
          <w:ilvl w:val="2"/>
          <w:numId w:val="256"/>
        </w:numPr>
        <w:tabs>
          <w:tab w:pos="1288" w:val="left" w:leader="none"/>
        </w:tabs>
        <w:spacing w:line="235" w:lineRule="auto" w:before="2" w:after="0"/>
        <w:ind w:left="1287" w:right="2168" w:hanging="681"/>
        <w:jc w:val="left"/>
        <w:rPr>
          <w:sz w:val="20"/>
        </w:rPr>
      </w:pPr>
      <w:r>
        <w:rPr>
          <w:w w:val="120"/>
          <w:sz w:val="20"/>
        </w:rPr>
        <w:t>The proposal shall be displayed throughout the discussion in such a </w:t>
      </w:r>
      <w:r>
        <w:rPr>
          <w:spacing w:val="-3"/>
          <w:w w:val="120"/>
          <w:sz w:val="20"/>
        </w:rPr>
        <w:t>way </w:t>
      </w:r>
      <w:r>
        <w:rPr>
          <w:w w:val="120"/>
          <w:sz w:val="20"/>
        </w:rPr>
        <w:t>that all can see the text and any progressively agreed changes to</w:t>
      </w:r>
      <w:r>
        <w:rPr>
          <w:spacing w:val="23"/>
          <w:w w:val="120"/>
          <w:sz w:val="20"/>
        </w:rPr>
        <w:t> </w:t>
      </w:r>
      <w:r>
        <w:rPr>
          <w:w w:val="120"/>
          <w:sz w:val="20"/>
        </w:rPr>
        <w:t>it.</w:t>
      </w:r>
    </w:p>
    <w:p>
      <w:pPr>
        <w:pStyle w:val="ListParagraph"/>
        <w:numPr>
          <w:ilvl w:val="2"/>
          <w:numId w:val="256"/>
        </w:numPr>
        <w:tabs>
          <w:tab w:pos="1288" w:val="left" w:leader="none"/>
        </w:tabs>
        <w:spacing w:line="235" w:lineRule="auto" w:before="2" w:after="0"/>
        <w:ind w:left="1287" w:right="2695" w:hanging="681"/>
        <w:jc w:val="left"/>
        <w:rPr>
          <w:sz w:val="20"/>
        </w:rPr>
      </w:pPr>
      <w:r>
        <w:rPr>
          <w:w w:val="120"/>
          <w:sz w:val="20"/>
        </w:rPr>
        <w:t>If a major new insight is expressed, the Moderator may determine that it</w:t>
      </w:r>
      <w:r>
        <w:rPr>
          <w:spacing w:val="-35"/>
          <w:w w:val="120"/>
          <w:sz w:val="20"/>
        </w:rPr>
        <w:t> </w:t>
      </w:r>
      <w:r>
        <w:rPr>
          <w:w w:val="120"/>
          <w:sz w:val="20"/>
        </w:rPr>
        <w:t>is appropriate to move back into a discussion</w:t>
      </w:r>
      <w:r>
        <w:rPr>
          <w:spacing w:val="12"/>
          <w:w w:val="120"/>
          <w:sz w:val="20"/>
        </w:rPr>
        <w:t> </w:t>
      </w:r>
      <w:r>
        <w:rPr>
          <w:w w:val="120"/>
          <w:sz w:val="20"/>
        </w:rPr>
        <w:t>session.</w:t>
      </w:r>
    </w:p>
    <w:p>
      <w:pPr>
        <w:pStyle w:val="ListParagraph"/>
        <w:numPr>
          <w:ilvl w:val="2"/>
          <w:numId w:val="256"/>
        </w:numPr>
        <w:tabs>
          <w:tab w:pos="1288" w:val="left" w:leader="none"/>
        </w:tabs>
        <w:spacing w:line="235" w:lineRule="auto" w:before="1" w:after="0"/>
        <w:ind w:left="1287" w:right="2133" w:hanging="681"/>
        <w:jc w:val="left"/>
        <w:rPr>
          <w:sz w:val="20"/>
        </w:rPr>
      </w:pPr>
      <w:r>
        <w:rPr>
          <w:w w:val="120"/>
          <w:sz w:val="20"/>
        </w:rPr>
        <w:t>After summing up where the Assembly seems to be heading, the Moderator checks whether the Assembly is nearing consensus using one or more questions such as the</w:t>
      </w:r>
      <w:r>
        <w:rPr>
          <w:spacing w:val="6"/>
          <w:w w:val="120"/>
          <w:sz w:val="20"/>
        </w:rPr>
        <w:t> </w:t>
      </w:r>
      <w:r>
        <w:rPr>
          <w:w w:val="120"/>
          <w:sz w:val="20"/>
        </w:rPr>
        <w:t>following:</w:t>
      </w:r>
    </w:p>
    <w:p>
      <w:pPr>
        <w:spacing w:after="0" w:line="235" w:lineRule="auto"/>
        <w:jc w:val="left"/>
        <w:rPr>
          <w:sz w:val="20"/>
        </w:rPr>
        <w:sectPr>
          <w:headerReference w:type="even" r:id="rId653"/>
          <w:footerReference w:type="even" r:id="rId654"/>
          <w:footerReference w:type="default" r:id="rId655"/>
          <w:pgSz w:w="11910" w:h="16840"/>
          <w:pgMar w:header="0" w:footer="647" w:top="0" w:bottom="840" w:left="640" w:right="0"/>
          <w:pgNumType w:start="248"/>
        </w:sectPr>
      </w:pPr>
    </w:p>
    <w:p>
      <w:pPr>
        <w:pStyle w:val="BodyText"/>
      </w:pPr>
      <w:r>
        <w:rPr/>
        <w:drawing>
          <wp:anchor distT="0" distB="0" distL="0" distR="0" allowOverlap="1" layoutInCell="1" locked="0" behindDoc="0" simplePos="0" relativeHeight="252431360">
            <wp:simplePos x="0" y="0"/>
            <wp:positionH relativeFrom="page">
              <wp:posOffset>6974928</wp:posOffset>
            </wp:positionH>
            <wp:positionV relativeFrom="page">
              <wp:posOffset>0</wp:posOffset>
            </wp:positionV>
            <wp:extent cx="585076" cy="10692003"/>
            <wp:effectExtent l="0" t="0" r="0" b="0"/>
            <wp:wrapNone/>
            <wp:docPr id="463" name="image80.png"/>
            <wp:cNvGraphicFramePr>
              <a:graphicFrameLocks noChangeAspect="1"/>
            </wp:cNvGraphicFramePr>
            <a:graphic>
              <a:graphicData uri="http://schemas.openxmlformats.org/drawingml/2006/picture">
                <pic:pic>
                  <pic:nvPicPr>
                    <pic:cNvPr id="464" name="image80.png"/>
                    <pic:cNvPicPr/>
                  </pic:nvPicPr>
                  <pic:blipFill>
                    <a:blip r:embed="rId658" cstate="print"/>
                    <a:stretch>
                      <a:fillRect/>
                    </a:stretch>
                  </pic:blipFill>
                  <pic:spPr>
                    <a:xfrm>
                      <a:off x="0" y="0"/>
                      <a:ext cx="585076" cy="10692003"/>
                    </a:xfrm>
                    <a:prstGeom prst="rect">
                      <a:avLst/>
                    </a:prstGeom>
                  </pic:spPr>
                </pic:pic>
              </a:graphicData>
            </a:graphic>
          </wp:anchor>
        </w:drawing>
      </w:r>
    </w:p>
    <w:p>
      <w:pPr>
        <w:pStyle w:val="BodyText"/>
        <w:spacing w:before="7"/>
        <w:rPr>
          <w:sz w:val="21"/>
        </w:rPr>
      </w:pPr>
    </w:p>
    <w:p>
      <w:pPr>
        <w:spacing w:before="106"/>
        <w:ind w:left="0" w:right="1245" w:firstLine="0"/>
        <w:jc w:val="right"/>
        <w:rPr>
          <w:sz w:val="26"/>
        </w:rPr>
      </w:pPr>
      <w:r>
        <w:rPr/>
        <w:pict>
          <v:shape style="position:absolute;margin-left:554.141174pt;margin-top:22.593945pt;width:25.9pt;height:168.3pt;mso-position-horizontal-relative:page;mso-position-vertical-relative:paragraph;z-index:252432384" type="#_x0000_t202" filled="false" stroked="false">
            <v:textbox inset="0,0,0,0" style="layout-flow:vertical">
              <w:txbxContent>
                <w:p>
                  <w:pPr>
                    <w:spacing w:before="27"/>
                    <w:ind w:left="20" w:right="0" w:firstLine="0"/>
                    <w:jc w:val="left"/>
                    <w:rPr>
                      <w:sz w:val="39"/>
                    </w:rPr>
                  </w:pPr>
                  <w:r>
                    <w:rPr>
                      <w:color w:val="FFFFFF"/>
                      <w:w w:val="125"/>
                      <w:sz w:val="39"/>
                    </w:rPr>
                    <w:t>Standing Orders</w:t>
                  </w:r>
                </w:p>
              </w:txbxContent>
            </v:textbox>
            <w10:wrap type="none"/>
          </v:shape>
        </w:pict>
      </w:r>
      <w:r>
        <w:rPr>
          <w:color w:val="7EAABF"/>
          <w:w w:val="120"/>
          <w:sz w:val="26"/>
        </w:rPr>
        <w:t>Standing Orders</w:t>
      </w:r>
    </w:p>
    <w:p>
      <w:pPr>
        <w:pStyle w:val="ListParagraph"/>
        <w:numPr>
          <w:ilvl w:val="3"/>
          <w:numId w:val="256"/>
        </w:numPr>
        <w:tabs>
          <w:tab w:pos="2724" w:val="left" w:leader="none"/>
        </w:tabs>
        <w:spacing w:line="235" w:lineRule="auto" w:before="222" w:after="0"/>
        <w:ind w:left="2704" w:right="1880" w:hanging="720"/>
        <w:jc w:val="left"/>
        <w:rPr>
          <w:sz w:val="20"/>
        </w:rPr>
      </w:pPr>
      <w:r>
        <w:rPr>
          <w:w w:val="120"/>
          <w:sz w:val="20"/>
        </w:rPr>
        <w:t>What is your response to this proposal? (inviting a show of indicator cards)</w:t>
      </w:r>
    </w:p>
    <w:p>
      <w:pPr>
        <w:pStyle w:val="ListParagraph"/>
        <w:numPr>
          <w:ilvl w:val="3"/>
          <w:numId w:val="256"/>
        </w:numPr>
        <w:tabs>
          <w:tab w:pos="2738" w:val="left" w:leader="none"/>
        </w:tabs>
        <w:spacing w:line="240" w:lineRule="exact" w:before="0" w:after="0"/>
        <w:ind w:left="2737" w:right="0" w:hanging="754"/>
        <w:jc w:val="left"/>
        <w:rPr>
          <w:sz w:val="20"/>
        </w:rPr>
      </w:pPr>
      <w:r>
        <w:rPr>
          <w:w w:val="120"/>
          <w:sz w:val="20"/>
        </w:rPr>
        <w:t>Do you believe we </w:t>
      </w:r>
      <w:r>
        <w:rPr>
          <w:spacing w:val="-3"/>
          <w:w w:val="120"/>
          <w:sz w:val="20"/>
        </w:rPr>
        <w:t>have </w:t>
      </w:r>
      <w:r>
        <w:rPr>
          <w:w w:val="120"/>
          <w:sz w:val="20"/>
        </w:rPr>
        <w:t>consensus in support of this</w:t>
      </w:r>
      <w:r>
        <w:rPr>
          <w:spacing w:val="45"/>
          <w:w w:val="120"/>
          <w:sz w:val="20"/>
        </w:rPr>
        <w:t> </w:t>
      </w:r>
      <w:r>
        <w:rPr>
          <w:w w:val="120"/>
          <w:sz w:val="20"/>
        </w:rPr>
        <w:t>proposal?</w:t>
      </w:r>
    </w:p>
    <w:p>
      <w:pPr>
        <w:pStyle w:val="ListParagraph"/>
        <w:numPr>
          <w:ilvl w:val="3"/>
          <w:numId w:val="256"/>
        </w:numPr>
        <w:tabs>
          <w:tab w:pos="2738" w:val="left" w:leader="none"/>
        </w:tabs>
        <w:spacing w:line="240" w:lineRule="exact" w:before="0" w:after="0"/>
        <w:ind w:left="2737" w:right="0" w:hanging="754"/>
        <w:jc w:val="left"/>
        <w:rPr>
          <w:sz w:val="20"/>
        </w:rPr>
      </w:pPr>
      <w:r>
        <w:rPr>
          <w:w w:val="120"/>
          <w:sz w:val="20"/>
        </w:rPr>
        <w:t>Do you believe we </w:t>
      </w:r>
      <w:r>
        <w:rPr>
          <w:spacing w:val="-3"/>
          <w:w w:val="120"/>
          <w:sz w:val="20"/>
        </w:rPr>
        <w:t>have </w:t>
      </w:r>
      <w:r>
        <w:rPr>
          <w:w w:val="120"/>
          <w:sz w:val="20"/>
        </w:rPr>
        <w:t>consensus not to support this</w:t>
      </w:r>
      <w:r>
        <w:rPr>
          <w:spacing w:val="45"/>
          <w:w w:val="120"/>
          <w:sz w:val="20"/>
        </w:rPr>
        <w:t> </w:t>
      </w:r>
      <w:r>
        <w:rPr>
          <w:w w:val="120"/>
          <w:sz w:val="20"/>
        </w:rPr>
        <w:t>proposal?</w:t>
      </w:r>
    </w:p>
    <w:p>
      <w:pPr>
        <w:pStyle w:val="ListParagraph"/>
        <w:numPr>
          <w:ilvl w:val="2"/>
          <w:numId w:val="256"/>
        </w:numPr>
        <w:tabs>
          <w:tab w:pos="2025" w:val="left" w:leader="none"/>
        </w:tabs>
        <w:spacing w:line="240" w:lineRule="exact" w:before="0" w:after="0"/>
        <w:ind w:left="2024" w:right="0" w:hanging="681"/>
        <w:jc w:val="left"/>
        <w:rPr>
          <w:sz w:val="20"/>
        </w:rPr>
      </w:pPr>
      <w:r>
        <w:rPr>
          <w:w w:val="120"/>
          <w:sz w:val="20"/>
        </w:rPr>
        <w:t>If there is strong but not unanimous</w:t>
      </w:r>
      <w:r>
        <w:rPr>
          <w:spacing w:val="14"/>
          <w:w w:val="120"/>
          <w:sz w:val="20"/>
        </w:rPr>
        <w:t> </w:t>
      </w:r>
      <w:r>
        <w:rPr>
          <w:w w:val="120"/>
          <w:sz w:val="20"/>
        </w:rPr>
        <w:t>support:</w:t>
      </w:r>
    </w:p>
    <w:p>
      <w:pPr>
        <w:pStyle w:val="ListParagraph"/>
        <w:numPr>
          <w:ilvl w:val="3"/>
          <w:numId w:val="256"/>
        </w:numPr>
        <w:tabs>
          <w:tab w:pos="2724" w:val="left" w:leader="none"/>
        </w:tabs>
        <w:spacing w:line="240" w:lineRule="exact" w:before="0" w:after="0"/>
        <w:ind w:left="2723" w:right="0" w:hanging="740"/>
        <w:jc w:val="left"/>
        <w:rPr>
          <w:sz w:val="20"/>
        </w:rPr>
      </w:pPr>
      <w:r>
        <w:rPr>
          <w:w w:val="120"/>
          <w:sz w:val="20"/>
        </w:rPr>
        <w:t>Who supports the</w:t>
      </w:r>
      <w:r>
        <w:rPr>
          <w:spacing w:val="5"/>
          <w:w w:val="120"/>
          <w:sz w:val="20"/>
        </w:rPr>
        <w:t> </w:t>
      </w:r>
      <w:r>
        <w:rPr>
          <w:w w:val="120"/>
          <w:sz w:val="20"/>
        </w:rPr>
        <w:t>proposal?</w:t>
      </w:r>
    </w:p>
    <w:p>
      <w:pPr>
        <w:pStyle w:val="ListParagraph"/>
        <w:numPr>
          <w:ilvl w:val="3"/>
          <w:numId w:val="256"/>
        </w:numPr>
        <w:tabs>
          <w:tab w:pos="2738" w:val="left" w:leader="none"/>
        </w:tabs>
        <w:spacing w:line="235" w:lineRule="auto" w:before="1" w:after="0"/>
        <w:ind w:left="2704" w:right="1502" w:hanging="720"/>
        <w:jc w:val="left"/>
        <w:rPr>
          <w:sz w:val="20"/>
        </w:rPr>
      </w:pPr>
      <w:r>
        <w:rPr>
          <w:w w:val="120"/>
          <w:sz w:val="20"/>
        </w:rPr>
        <w:t>Who does not support the proposal as your first option, but is prepared to accept it? Are you prepared to </w:t>
      </w:r>
      <w:r>
        <w:rPr>
          <w:spacing w:val="-3"/>
          <w:w w:val="120"/>
          <w:sz w:val="20"/>
        </w:rPr>
        <w:t>have </w:t>
      </w:r>
      <w:r>
        <w:rPr>
          <w:w w:val="120"/>
          <w:sz w:val="20"/>
        </w:rPr>
        <w:t>the issue declared resolved by consensus?</w:t>
      </w:r>
    </w:p>
    <w:p>
      <w:pPr>
        <w:pStyle w:val="ListParagraph"/>
        <w:numPr>
          <w:ilvl w:val="3"/>
          <w:numId w:val="256"/>
        </w:numPr>
        <w:tabs>
          <w:tab w:pos="2738" w:val="left" w:leader="none"/>
        </w:tabs>
        <w:spacing w:line="240" w:lineRule="exact" w:before="0" w:after="0"/>
        <w:ind w:left="2737" w:right="0" w:hanging="754"/>
        <w:jc w:val="left"/>
        <w:rPr>
          <w:sz w:val="20"/>
        </w:rPr>
      </w:pPr>
      <w:r>
        <w:rPr>
          <w:w w:val="120"/>
          <w:sz w:val="20"/>
        </w:rPr>
        <w:t>Who is not prepared to accept the</w:t>
      </w:r>
      <w:r>
        <w:rPr>
          <w:spacing w:val="13"/>
          <w:w w:val="120"/>
          <w:sz w:val="20"/>
        </w:rPr>
        <w:t> </w:t>
      </w:r>
      <w:r>
        <w:rPr>
          <w:w w:val="120"/>
          <w:sz w:val="20"/>
        </w:rPr>
        <w:t>proposal?</w:t>
      </w:r>
    </w:p>
    <w:p>
      <w:pPr>
        <w:pStyle w:val="ListParagraph"/>
        <w:numPr>
          <w:ilvl w:val="2"/>
          <w:numId w:val="256"/>
        </w:numPr>
        <w:tabs>
          <w:tab w:pos="2025" w:val="left" w:leader="none"/>
        </w:tabs>
        <w:spacing w:line="235" w:lineRule="auto" w:before="2" w:after="0"/>
        <w:ind w:left="2024" w:right="1500" w:hanging="681"/>
        <w:jc w:val="left"/>
        <w:rPr>
          <w:sz w:val="20"/>
        </w:rPr>
      </w:pPr>
      <w:r>
        <w:rPr>
          <w:w w:val="120"/>
          <w:sz w:val="20"/>
        </w:rPr>
        <w:t>Where some members of Assembly indicate an unwillingness to accept a proposal there shall be further discussion and then the Moderator shall seek to ascertain that they accept that they </w:t>
      </w:r>
      <w:r>
        <w:rPr>
          <w:spacing w:val="-3"/>
          <w:w w:val="120"/>
          <w:sz w:val="20"/>
        </w:rPr>
        <w:t>have </w:t>
      </w:r>
      <w:r>
        <w:rPr>
          <w:w w:val="120"/>
          <w:sz w:val="20"/>
        </w:rPr>
        <w:t>been heard and agree to live with the outcome.</w:t>
      </w:r>
    </w:p>
    <w:p>
      <w:pPr>
        <w:pStyle w:val="ListParagraph"/>
        <w:numPr>
          <w:ilvl w:val="2"/>
          <w:numId w:val="256"/>
        </w:numPr>
        <w:tabs>
          <w:tab w:pos="2025" w:val="left" w:leader="none"/>
        </w:tabs>
        <w:spacing w:line="241" w:lineRule="exact" w:before="0" w:after="0"/>
        <w:ind w:left="2024" w:right="0" w:hanging="681"/>
        <w:jc w:val="left"/>
        <w:rPr>
          <w:sz w:val="20"/>
        </w:rPr>
      </w:pPr>
      <w:r>
        <w:rPr>
          <w:w w:val="120"/>
          <w:sz w:val="20"/>
        </w:rPr>
        <w:t>The Moderator shall</w:t>
      </w:r>
      <w:r>
        <w:rPr>
          <w:spacing w:val="5"/>
          <w:w w:val="120"/>
          <w:sz w:val="20"/>
        </w:rPr>
        <w:t> </w:t>
      </w:r>
      <w:r>
        <w:rPr>
          <w:w w:val="120"/>
          <w:sz w:val="20"/>
        </w:rPr>
        <w:t>ask:</w:t>
      </w:r>
    </w:p>
    <w:p>
      <w:pPr>
        <w:pStyle w:val="ListParagraph"/>
        <w:numPr>
          <w:ilvl w:val="3"/>
          <w:numId w:val="256"/>
        </w:numPr>
        <w:tabs>
          <w:tab w:pos="2724" w:val="left" w:leader="none"/>
        </w:tabs>
        <w:spacing w:line="235" w:lineRule="auto" w:before="2" w:after="0"/>
        <w:ind w:left="2704" w:right="2211" w:hanging="720"/>
        <w:jc w:val="left"/>
        <w:rPr>
          <w:sz w:val="20"/>
        </w:rPr>
      </w:pPr>
      <w:r>
        <w:rPr>
          <w:w w:val="120"/>
          <w:sz w:val="20"/>
        </w:rPr>
        <w:t>Are you prepared to </w:t>
      </w:r>
      <w:r>
        <w:rPr>
          <w:spacing w:val="-3"/>
          <w:w w:val="120"/>
          <w:sz w:val="20"/>
        </w:rPr>
        <w:t>have </w:t>
      </w:r>
      <w:r>
        <w:rPr>
          <w:w w:val="120"/>
          <w:sz w:val="20"/>
        </w:rPr>
        <w:t>the issue declared passed, recognising disagreement?</w:t>
      </w:r>
    </w:p>
    <w:p>
      <w:pPr>
        <w:pStyle w:val="BodyText"/>
        <w:spacing w:line="240" w:lineRule="exact"/>
        <w:ind w:left="1984"/>
      </w:pPr>
      <w:r>
        <w:rPr>
          <w:w w:val="120"/>
        </w:rPr>
        <w:t>If so they may choose to record their dissent.</w:t>
      </w:r>
    </w:p>
    <w:p>
      <w:pPr>
        <w:pStyle w:val="ListParagraph"/>
        <w:numPr>
          <w:ilvl w:val="3"/>
          <w:numId w:val="256"/>
        </w:numPr>
        <w:tabs>
          <w:tab w:pos="2738" w:val="left" w:leader="none"/>
        </w:tabs>
        <w:spacing w:line="240" w:lineRule="exact" w:before="0" w:after="0"/>
        <w:ind w:left="2737" w:right="0" w:hanging="754"/>
        <w:jc w:val="left"/>
        <w:rPr>
          <w:sz w:val="20"/>
        </w:rPr>
      </w:pPr>
      <w:r>
        <w:rPr>
          <w:w w:val="120"/>
          <w:sz w:val="20"/>
        </w:rPr>
        <w:t>Who is not prepared to accept the</w:t>
      </w:r>
      <w:r>
        <w:rPr>
          <w:spacing w:val="13"/>
          <w:w w:val="120"/>
          <w:sz w:val="20"/>
        </w:rPr>
        <w:t> </w:t>
      </w:r>
      <w:r>
        <w:rPr>
          <w:w w:val="120"/>
          <w:sz w:val="20"/>
        </w:rPr>
        <w:t>proposal?</w:t>
      </w:r>
    </w:p>
    <w:p>
      <w:pPr>
        <w:pStyle w:val="ListParagraph"/>
        <w:numPr>
          <w:ilvl w:val="2"/>
          <w:numId w:val="256"/>
        </w:numPr>
        <w:tabs>
          <w:tab w:pos="2025" w:val="left" w:leader="none"/>
        </w:tabs>
        <w:spacing w:line="240" w:lineRule="exact" w:before="0" w:after="0"/>
        <w:ind w:left="2024" w:right="0" w:hanging="681"/>
        <w:jc w:val="left"/>
        <w:rPr>
          <w:sz w:val="20"/>
        </w:rPr>
      </w:pPr>
      <w:r>
        <w:rPr>
          <w:w w:val="125"/>
          <w:sz w:val="20"/>
        </w:rPr>
        <w:t>Continuing</w:t>
      </w:r>
      <w:r>
        <w:rPr>
          <w:spacing w:val="-1"/>
          <w:w w:val="125"/>
          <w:sz w:val="20"/>
        </w:rPr>
        <w:t> </w:t>
      </w:r>
      <w:r>
        <w:rPr>
          <w:w w:val="125"/>
          <w:sz w:val="20"/>
        </w:rPr>
        <w:t>disagreement:</w:t>
      </w:r>
    </w:p>
    <w:p>
      <w:pPr>
        <w:pStyle w:val="BodyText"/>
        <w:spacing w:line="235" w:lineRule="auto" w:before="2"/>
        <w:ind w:left="2024" w:right="1478" w:hanging="1"/>
      </w:pPr>
      <w:r>
        <w:rPr>
          <w:w w:val="120"/>
        </w:rPr>
        <w:t>Assembly may, at the discretion of the Moderator, look for further possibilities including:</w:t>
      </w:r>
    </w:p>
    <w:p>
      <w:pPr>
        <w:pStyle w:val="ListParagraph"/>
        <w:numPr>
          <w:ilvl w:val="3"/>
          <w:numId w:val="256"/>
        </w:numPr>
        <w:tabs>
          <w:tab w:pos="2724" w:val="left" w:leader="none"/>
        </w:tabs>
        <w:spacing w:line="235" w:lineRule="auto" w:before="1" w:after="0"/>
        <w:ind w:left="2704" w:right="1655" w:hanging="720"/>
        <w:jc w:val="left"/>
        <w:rPr>
          <w:sz w:val="20"/>
        </w:rPr>
      </w:pPr>
      <w:r>
        <w:rPr>
          <w:w w:val="120"/>
          <w:sz w:val="20"/>
        </w:rPr>
        <w:t>adjourning the discussion to another time or place perhaps with more work before</w:t>
      </w:r>
      <w:r>
        <w:rPr>
          <w:spacing w:val="3"/>
          <w:w w:val="120"/>
          <w:sz w:val="20"/>
        </w:rPr>
        <w:t> </w:t>
      </w:r>
      <w:r>
        <w:rPr>
          <w:w w:val="120"/>
          <w:sz w:val="20"/>
        </w:rPr>
        <w:t>reconsideration;</w:t>
      </w:r>
    </w:p>
    <w:p>
      <w:pPr>
        <w:pStyle w:val="ListParagraph"/>
        <w:numPr>
          <w:ilvl w:val="3"/>
          <w:numId w:val="256"/>
        </w:numPr>
        <w:tabs>
          <w:tab w:pos="2738" w:val="left" w:leader="none"/>
        </w:tabs>
        <w:spacing w:line="235" w:lineRule="auto" w:before="1" w:after="0"/>
        <w:ind w:left="2704" w:right="1849" w:hanging="720"/>
        <w:jc w:val="left"/>
        <w:rPr>
          <w:sz w:val="20"/>
        </w:rPr>
      </w:pPr>
      <w:r>
        <w:rPr>
          <w:w w:val="120"/>
          <w:sz w:val="20"/>
        </w:rPr>
        <w:t>asking the Moderator to continue to work on the issue with relevant people until the next</w:t>
      </w:r>
      <w:r>
        <w:rPr>
          <w:spacing w:val="8"/>
          <w:w w:val="120"/>
          <w:sz w:val="20"/>
        </w:rPr>
        <w:t> </w:t>
      </w:r>
      <w:r>
        <w:rPr>
          <w:w w:val="120"/>
          <w:sz w:val="20"/>
        </w:rPr>
        <w:t>Assembly;</w:t>
      </w:r>
    </w:p>
    <w:p>
      <w:pPr>
        <w:pStyle w:val="ListParagraph"/>
        <w:numPr>
          <w:ilvl w:val="3"/>
          <w:numId w:val="256"/>
        </w:numPr>
        <w:tabs>
          <w:tab w:pos="2738" w:val="left" w:leader="none"/>
        </w:tabs>
        <w:spacing w:line="240" w:lineRule="exact" w:before="0" w:after="0"/>
        <w:ind w:left="2737" w:right="0" w:hanging="754"/>
        <w:jc w:val="left"/>
        <w:rPr>
          <w:sz w:val="20"/>
        </w:rPr>
      </w:pPr>
      <w:r>
        <w:rPr>
          <w:w w:val="120"/>
          <w:sz w:val="20"/>
        </w:rPr>
        <w:t>referring the issue to another council or group to deal</w:t>
      </w:r>
      <w:r>
        <w:rPr>
          <w:spacing w:val="23"/>
          <w:w w:val="120"/>
          <w:sz w:val="20"/>
        </w:rPr>
        <w:t> </w:t>
      </w:r>
      <w:r>
        <w:rPr>
          <w:w w:val="120"/>
          <w:sz w:val="20"/>
        </w:rPr>
        <w:t>with;</w:t>
      </w:r>
    </w:p>
    <w:p>
      <w:pPr>
        <w:pStyle w:val="ListParagraph"/>
        <w:numPr>
          <w:ilvl w:val="3"/>
          <w:numId w:val="256"/>
        </w:numPr>
        <w:tabs>
          <w:tab w:pos="2738" w:val="left" w:leader="none"/>
        </w:tabs>
        <w:spacing w:line="240" w:lineRule="exact" w:before="0" w:after="0"/>
        <w:ind w:left="2737" w:right="0" w:hanging="754"/>
        <w:jc w:val="left"/>
        <w:rPr>
          <w:sz w:val="20"/>
        </w:rPr>
      </w:pPr>
      <w:r>
        <w:rPr>
          <w:w w:val="120"/>
          <w:sz w:val="20"/>
        </w:rPr>
        <w:t>deciding the issue is unnecessary/inappropriate to continue dealing</w:t>
      </w:r>
      <w:r>
        <w:rPr>
          <w:spacing w:val="31"/>
          <w:w w:val="120"/>
          <w:sz w:val="20"/>
        </w:rPr>
        <w:t> </w:t>
      </w:r>
      <w:r>
        <w:rPr>
          <w:w w:val="120"/>
          <w:sz w:val="20"/>
        </w:rPr>
        <w:t>with;</w:t>
      </w:r>
    </w:p>
    <w:p>
      <w:pPr>
        <w:pStyle w:val="ListParagraph"/>
        <w:numPr>
          <w:ilvl w:val="3"/>
          <w:numId w:val="256"/>
        </w:numPr>
        <w:tabs>
          <w:tab w:pos="2738" w:val="left" w:leader="none"/>
        </w:tabs>
        <w:spacing w:line="235" w:lineRule="auto" w:before="2" w:after="0"/>
        <w:ind w:left="2704" w:right="1718" w:hanging="720"/>
        <w:jc w:val="left"/>
        <w:rPr>
          <w:sz w:val="20"/>
        </w:rPr>
      </w:pPr>
      <w:r>
        <w:rPr>
          <w:w w:val="120"/>
          <w:sz w:val="20"/>
        </w:rPr>
        <w:t>declaring that there are diverse views which Christians may hold with equal</w:t>
      </w:r>
      <w:r>
        <w:rPr>
          <w:spacing w:val="2"/>
          <w:w w:val="120"/>
          <w:sz w:val="20"/>
        </w:rPr>
        <w:t> </w:t>
      </w:r>
      <w:r>
        <w:rPr>
          <w:w w:val="120"/>
          <w:sz w:val="20"/>
        </w:rPr>
        <w:t>integrity;</w:t>
      </w:r>
    </w:p>
    <w:p>
      <w:pPr>
        <w:pStyle w:val="ListParagraph"/>
        <w:numPr>
          <w:ilvl w:val="3"/>
          <w:numId w:val="256"/>
        </w:numPr>
        <w:tabs>
          <w:tab w:pos="2738" w:val="left" w:leader="none"/>
        </w:tabs>
        <w:spacing w:line="235" w:lineRule="auto" w:before="2" w:after="0"/>
        <w:ind w:left="2704" w:right="1698" w:hanging="720"/>
        <w:jc w:val="left"/>
        <w:rPr>
          <w:sz w:val="20"/>
        </w:rPr>
      </w:pPr>
      <w:r>
        <w:rPr>
          <w:w w:val="120"/>
          <w:sz w:val="20"/>
        </w:rPr>
        <w:t>if the issue has previously been notified as urgent, moving to majority decision;</w:t>
      </w:r>
    </w:p>
    <w:p>
      <w:pPr>
        <w:pStyle w:val="ListParagraph"/>
        <w:numPr>
          <w:ilvl w:val="3"/>
          <w:numId w:val="256"/>
        </w:numPr>
        <w:tabs>
          <w:tab w:pos="2738" w:val="left" w:leader="none"/>
        </w:tabs>
        <w:spacing w:line="235" w:lineRule="auto" w:before="1" w:after="0"/>
        <w:ind w:left="2704" w:right="1426" w:hanging="720"/>
        <w:jc w:val="left"/>
        <w:rPr>
          <w:sz w:val="20"/>
        </w:rPr>
      </w:pPr>
      <w:r>
        <w:rPr>
          <w:w w:val="120"/>
          <w:sz w:val="20"/>
        </w:rPr>
        <w:t>in the event of urgency not previously notified, moving to majority decision; in that event, the Moderator shall give her/his reasons, and</w:t>
      </w:r>
      <w:r>
        <w:rPr>
          <w:spacing w:val="-28"/>
          <w:w w:val="120"/>
          <w:sz w:val="20"/>
        </w:rPr>
        <w:t> </w:t>
      </w:r>
      <w:r>
        <w:rPr>
          <w:w w:val="120"/>
          <w:sz w:val="20"/>
        </w:rPr>
        <w:t>test the mind of Assembly in forming her/his</w:t>
      </w:r>
      <w:r>
        <w:rPr>
          <w:spacing w:val="19"/>
          <w:w w:val="120"/>
          <w:sz w:val="20"/>
        </w:rPr>
        <w:t> </w:t>
      </w:r>
      <w:r>
        <w:rPr>
          <w:w w:val="120"/>
          <w:sz w:val="20"/>
        </w:rPr>
        <w:t>judgement.</w:t>
      </w:r>
    </w:p>
    <w:p>
      <w:pPr>
        <w:pStyle w:val="BodyText"/>
        <w:spacing w:before="6"/>
        <w:rPr>
          <w:sz w:val="19"/>
        </w:rPr>
      </w:pPr>
    </w:p>
    <w:p>
      <w:pPr>
        <w:pStyle w:val="ListParagraph"/>
        <w:numPr>
          <w:ilvl w:val="1"/>
          <w:numId w:val="256"/>
        </w:numPr>
        <w:tabs>
          <w:tab w:pos="2024" w:val="left" w:leader="none"/>
          <w:tab w:pos="2025" w:val="left" w:leader="none"/>
        </w:tabs>
        <w:spacing w:line="242" w:lineRule="exact" w:before="1" w:after="0"/>
        <w:ind w:left="2024" w:right="0" w:hanging="681"/>
        <w:jc w:val="left"/>
        <w:rPr>
          <w:sz w:val="20"/>
        </w:rPr>
      </w:pPr>
      <w:r>
        <w:rPr>
          <w:w w:val="120"/>
          <w:sz w:val="20"/>
        </w:rPr>
        <w:t>The</w:t>
      </w:r>
      <w:r>
        <w:rPr>
          <w:spacing w:val="1"/>
          <w:w w:val="120"/>
          <w:sz w:val="20"/>
        </w:rPr>
        <w:t> </w:t>
      </w:r>
      <w:r>
        <w:rPr>
          <w:w w:val="120"/>
          <w:sz w:val="20"/>
        </w:rPr>
        <w:t>Moderator</w:t>
      </w:r>
    </w:p>
    <w:p>
      <w:pPr>
        <w:pStyle w:val="ListParagraph"/>
        <w:numPr>
          <w:ilvl w:val="2"/>
          <w:numId w:val="256"/>
        </w:numPr>
        <w:tabs>
          <w:tab w:pos="2025" w:val="left" w:leader="none"/>
        </w:tabs>
        <w:spacing w:line="235" w:lineRule="auto" w:before="1" w:after="0"/>
        <w:ind w:left="2024" w:right="4903" w:hanging="681"/>
        <w:jc w:val="left"/>
        <w:rPr>
          <w:sz w:val="20"/>
        </w:rPr>
      </w:pPr>
      <w:r>
        <w:rPr>
          <w:w w:val="120"/>
          <w:sz w:val="20"/>
        </w:rPr>
        <w:t>The role of the Moderator is very important. The</w:t>
      </w:r>
      <w:r>
        <w:rPr>
          <w:spacing w:val="1"/>
          <w:w w:val="120"/>
          <w:sz w:val="20"/>
        </w:rPr>
        <w:t> </w:t>
      </w:r>
      <w:r>
        <w:rPr>
          <w:w w:val="120"/>
          <w:sz w:val="20"/>
        </w:rPr>
        <w:t>Moderator:</w:t>
      </w:r>
    </w:p>
    <w:p>
      <w:pPr>
        <w:pStyle w:val="ListParagraph"/>
        <w:numPr>
          <w:ilvl w:val="3"/>
          <w:numId w:val="256"/>
        </w:numPr>
        <w:tabs>
          <w:tab w:pos="2709" w:val="left" w:leader="none"/>
        </w:tabs>
        <w:spacing w:line="240" w:lineRule="exact" w:before="0" w:after="0"/>
        <w:ind w:left="2708" w:right="0" w:hanging="725"/>
        <w:jc w:val="left"/>
        <w:rPr>
          <w:sz w:val="20"/>
        </w:rPr>
      </w:pPr>
      <w:r>
        <w:rPr>
          <w:w w:val="120"/>
          <w:sz w:val="20"/>
        </w:rPr>
        <w:t>assists the Assembly to discern the will of God as far as</w:t>
      </w:r>
      <w:r>
        <w:rPr>
          <w:spacing w:val="14"/>
          <w:w w:val="120"/>
          <w:sz w:val="20"/>
        </w:rPr>
        <w:t> </w:t>
      </w:r>
      <w:r>
        <w:rPr>
          <w:w w:val="120"/>
          <w:sz w:val="20"/>
        </w:rPr>
        <w:t>possible</w:t>
      </w:r>
    </w:p>
    <w:p>
      <w:pPr>
        <w:pStyle w:val="ListParagraph"/>
        <w:numPr>
          <w:ilvl w:val="3"/>
          <w:numId w:val="256"/>
        </w:numPr>
        <w:tabs>
          <w:tab w:pos="2724" w:val="left" w:leader="none"/>
        </w:tabs>
        <w:spacing w:line="240" w:lineRule="exact" w:before="0" w:after="0"/>
        <w:ind w:left="2723" w:right="0" w:hanging="740"/>
        <w:jc w:val="left"/>
        <w:rPr>
          <w:sz w:val="20"/>
        </w:rPr>
      </w:pPr>
      <w:r>
        <w:rPr>
          <w:w w:val="120"/>
          <w:sz w:val="20"/>
        </w:rPr>
        <w:t>is alert to the guidance of the Holy Spirit as members</w:t>
      </w:r>
      <w:r>
        <w:rPr>
          <w:spacing w:val="26"/>
          <w:w w:val="120"/>
          <w:sz w:val="20"/>
        </w:rPr>
        <w:t> </w:t>
      </w:r>
      <w:r>
        <w:rPr>
          <w:w w:val="120"/>
          <w:sz w:val="20"/>
        </w:rPr>
        <w:t>contribute</w:t>
      </w:r>
    </w:p>
    <w:p>
      <w:pPr>
        <w:pStyle w:val="ListParagraph"/>
        <w:numPr>
          <w:ilvl w:val="3"/>
          <w:numId w:val="256"/>
        </w:numPr>
        <w:tabs>
          <w:tab w:pos="2724" w:val="left" w:leader="none"/>
        </w:tabs>
        <w:spacing w:line="240" w:lineRule="exact" w:before="0" w:after="0"/>
        <w:ind w:left="2723" w:right="0" w:hanging="740"/>
        <w:jc w:val="left"/>
        <w:rPr>
          <w:sz w:val="20"/>
        </w:rPr>
      </w:pPr>
      <w:r>
        <w:rPr>
          <w:w w:val="120"/>
          <w:sz w:val="20"/>
        </w:rPr>
        <w:t>pauses for </w:t>
      </w:r>
      <w:r>
        <w:rPr>
          <w:spacing w:val="-3"/>
          <w:w w:val="120"/>
          <w:sz w:val="20"/>
        </w:rPr>
        <w:t>prayer </w:t>
      </w:r>
      <w:r>
        <w:rPr>
          <w:w w:val="120"/>
          <w:sz w:val="20"/>
        </w:rPr>
        <w:t>or buzz group reflection as</w:t>
      </w:r>
      <w:r>
        <w:rPr>
          <w:spacing w:val="20"/>
          <w:w w:val="120"/>
          <w:sz w:val="20"/>
        </w:rPr>
        <w:t> </w:t>
      </w:r>
      <w:r>
        <w:rPr>
          <w:w w:val="120"/>
          <w:sz w:val="20"/>
        </w:rPr>
        <w:t>appropriate</w:t>
      </w:r>
    </w:p>
    <w:p>
      <w:pPr>
        <w:pStyle w:val="ListParagraph"/>
        <w:numPr>
          <w:ilvl w:val="3"/>
          <w:numId w:val="256"/>
        </w:numPr>
        <w:tabs>
          <w:tab w:pos="2724" w:val="left" w:leader="none"/>
        </w:tabs>
        <w:spacing w:line="240" w:lineRule="exact" w:before="0" w:after="0"/>
        <w:ind w:left="2723" w:right="0" w:hanging="740"/>
        <w:jc w:val="left"/>
        <w:rPr>
          <w:sz w:val="20"/>
        </w:rPr>
      </w:pPr>
      <w:r>
        <w:rPr>
          <w:w w:val="120"/>
          <w:sz w:val="20"/>
        </w:rPr>
        <w:t>encourages trust and integrity in</w:t>
      </w:r>
      <w:r>
        <w:rPr>
          <w:spacing w:val="12"/>
          <w:w w:val="120"/>
          <w:sz w:val="20"/>
        </w:rPr>
        <w:t> </w:t>
      </w:r>
      <w:r>
        <w:rPr>
          <w:w w:val="120"/>
          <w:sz w:val="20"/>
        </w:rPr>
        <w:t>contributions</w:t>
      </w:r>
    </w:p>
    <w:p>
      <w:pPr>
        <w:pStyle w:val="ListParagraph"/>
        <w:numPr>
          <w:ilvl w:val="3"/>
          <w:numId w:val="256"/>
        </w:numPr>
        <w:tabs>
          <w:tab w:pos="2724" w:val="left" w:leader="none"/>
        </w:tabs>
        <w:spacing w:line="235" w:lineRule="auto" w:before="2" w:after="0"/>
        <w:ind w:left="2704" w:right="1871" w:hanging="720"/>
        <w:jc w:val="left"/>
        <w:rPr>
          <w:sz w:val="20"/>
        </w:rPr>
      </w:pPr>
      <w:r>
        <w:rPr>
          <w:w w:val="120"/>
          <w:sz w:val="20"/>
        </w:rPr>
        <w:t>ensures care and support for those whose honesty or minority voice makes them</w:t>
      </w:r>
      <w:r>
        <w:rPr>
          <w:spacing w:val="3"/>
          <w:w w:val="120"/>
          <w:sz w:val="20"/>
        </w:rPr>
        <w:t> </w:t>
      </w:r>
      <w:r>
        <w:rPr>
          <w:w w:val="120"/>
          <w:sz w:val="20"/>
        </w:rPr>
        <w:t>vulnerable</w:t>
      </w:r>
    </w:p>
    <w:p>
      <w:pPr>
        <w:pStyle w:val="ListParagraph"/>
        <w:numPr>
          <w:ilvl w:val="3"/>
          <w:numId w:val="256"/>
        </w:numPr>
        <w:tabs>
          <w:tab w:pos="2724" w:val="left" w:leader="none"/>
        </w:tabs>
        <w:spacing w:line="235" w:lineRule="auto" w:before="2" w:after="0"/>
        <w:ind w:left="2704" w:right="1688" w:hanging="720"/>
        <w:jc w:val="left"/>
        <w:rPr>
          <w:sz w:val="20"/>
        </w:rPr>
      </w:pPr>
      <w:r>
        <w:rPr>
          <w:w w:val="120"/>
          <w:sz w:val="20"/>
        </w:rPr>
        <w:t>invites members to respond to speeches showing indicator cards, and reflects the mood of the meeting as it becomes</w:t>
      </w:r>
      <w:r>
        <w:rPr>
          <w:spacing w:val="15"/>
          <w:w w:val="120"/>
          <w:sz w:val="20"/>
        </w:rPr>
        <w:t> </w:t>
      </w:r>
      <w:r>
        <w:rPr>
          <w:w w:val="120"/>
          <w:sz w:val="20"/>
        </w:rPr>
        <w:t>apparent</w:t>
      </w:r>
    </w:p>
    <w:p>
      <w:pPr>
        <w:pStyle w:val="ListParagraph"/>
        <w:numPr>
          <w:ilvl w:val="3"/>
          <w:numId w:val="256"/>
        </w:numPr>
        <w:tabs>
          <w:tab w:pos="2724" w:val="left" w:leader="none"/>
        </w:tabs>
        <w:spacing w:line="235" w:lineRule="auto" w:before="1" w:after="0"/>
        <w:ind w:left="2704" w:right="1517" w:hanging="720"/>
        <w:jc w:val="left"/>
        <w:rPr>
          <w:sz w:val="20"/>
        </w:rPr>
      </w:pPr>
      <w:r>
        <w:rPr>
          <w:w w:val="120"/>
          <w:sz w:val="20"/>
        </w:rPr>
        <w:t>suggests or encourages creative modifications of a proposal, picking up insights</w:t>
      </w:r>
      <w:r>
        <w:rPr>
          <w:spacing w:val="2"/>
          <w:w w:val="120"/>
          <w:sz w:val="20"/>
        </w:rPr>
        <w:t> </w:t>
      </w:r>
      <w:r>
        <w:rPr>
          <w:w w:val="120"/>
          <w:sz w:val="20"/>
        </w:rPr>
        <w:t>expressed</w:t>
      </w:r>
    </w:p>
    <w:p>
      <w:pPr>
        <w:pStyle w:val="ListParagraph"/>
        <w:numPr>
          <w:ilvl w:val="3"/>
          <w:numId w:val="256"/>
        </w:numPr>
        <w:tabs>
          <w:tab w:pos="2724" w:val="left" w:leader="none"/>
        </w:tabs>
        <w:spacing w:line="235" w:lineRule="auto" w:before="2" w:after="0"/>
        <w:ind w:left="2704" w:right="2211" w:hanging="720"/>
        <w:jc w:val="left"/>
        <w:rPr>
          <w:sz w:val="20"/>
        </w:rPr>
      </w:pPr>
      <w:r>
        <w:rPr>
          <w:w w:val="120"/>
          <w:sz w:val="20"/>
        </w:rPr>
        <w:t>summarises discussion from time to time to assist in focusing</w:t>
      </w:r>
      <w:r>
        <w:rPr>
          <w:spacing w:val="-20"/>
          <w:w w:val="120"/>
          <w:sz w:val="20"/>
        </w:rPr>
        <w:t> </w:t>
      </w:r>
      <w:r>
        <w:rPr>
          <w:w w:val="120"/>
          <w:sz w:val="20"/>
        </w:rPr>
        <w:t>the discussion.</w:t>
      </w:r>
    </w:p>
    <w:p>
      <w:pPr>
        <w:pStyle w:val="BodyText"/>
        <w:spacing w:before="5"/>
        <w:rPr>
          <w:sz w:val="19"/>
        </w:rPr>
      </w:pPr>
    </w:p>
    <w:p>
      <w:pPr>
        <w:pStyle w:val="ListParagraph"/>
        <w:numPr>
          <w:ilvl w:val="1"/>
          <w:numId w:val="256"/>
        </w:numPr>
        <w:tabs>
          <w:tab w:pos="2024" w:val="left" w:leader="none"/>
          <w:tab w:pos="2025" w:val="left" w:leader="none"/>
        </w:tabs>
        <w:spacing w:line="242" w:lineRule="exact" w:before="0" w:after="0"/>
        <w:ind w:left="2024" w:right="0" w:hanging="681"/>
        <w:jc w:val="left"/>
        <w:rPr>
          <w:sz w:val="20"/>
        </w:rPr>
      </w:pPr>
      <w:r>
        <w:rPr>
          <w:w w:val="120"/>
          <w:sz w:val="20"/>
        </w:rPr>
        <w:t>The Assembly and Moderator may be assisted by a facilitation</w:t>
      </w:r>
      <w:r>
        <w:rPr>
          <w:spacing w:val="18"/>
          <w:w w:val="120"/>
          <w:sz w:val="20"/>
        </w:rPr>
        <w:t> </w:t>
      </w:r>
      <w:r>
        <w:rPr>
          <w:w w:val="120"/>
          <w:sz w:val="20"/>
        </w:rPr>
        <w:t>group.</w:t>
      </w:r>
    </w:p>
    <w:p>
      <w:pPr>
        <w:pStyle w:val="BodyText"/>
        <w:spacing w:line="240" w:lineRule="exact"/>
        <w:ind w:left="1344"/>
      </w:pPr>
      <w:r>
        <w:rPr>
          <w:w w:val="120"/>
        </w:rPr>
        <w:t>This will be appointed at the beginning of each Assembly by the Assembly. It will:</w:t>
      </w:r>
    </w:p>
    <w:p>
      <w:pPr>
        <w:pStyle w:val="ListParagraph"/>
        <w:numPr>
          <w:ilvl w:val="2"/>
          <w:numId w:val="256"/>
        </w:numPr>
        <w:tabs>
          <w:tab w:pos="2025" w:val="left" w:leader="none"/>
        </w:tabs>
        <w:spacing w:line="240" w:lineRule="exact" w:before="0" w:after="0"/>
        <w:ind w:left="2024" w:right="0" w:hanging="681"/>
        <w:jc w:val="left"/>
        <w:rPr>
          <w:sz w:val="20"/>
        </w:rPr>
      </w:pPr>
      <w:r>
        <w:rPr>
          <w:w w:val="120"/>
          <w:sz w:val="20"/>
        </w:rPr>
        <w:t>enable group work, collate responses from groups and report back to the</w:t>
      </w:r>
      <w:r>
        <w:rPr>
          <w:spacing w:val="45"/>
          <w:w w:val="120"/>
          <w:sz w:val="20"/>
        </w:rPr>
        <w:t> </w:t>
      </w:r>
      <w:r>
        <w:rPr>
          <w:w w:val="120"/>
          <w:sz w:val="20"/>
        </w:rPr>
        <w:t>council</w:t>
      </w:r>
    </w:p>
    <w:p>
      <w:pPr>
        <w:pStyle w:val="ListParagraph"/>
        <w:numPr>
          <w:ilvl w:val="2"/>
          <w:numId w:val="256"/>
        </w:numPr>
        <w:tabs>
          <w:tab w:pos="2025" w:val="left" w:leader="none"/>
        </w:tabs>
        <w:spacing w:line="240" w:lineRule="exact" w:before="0" w:after="0"/>
        <w:ind w:left="2024" w:right="0" w:hanging="681"/>
        <w:jc w:val="left"/>
        <w:rPr>
          <w:sz w:val="20"/>
        </w:rPr>
      </w:pPr>
      <w:r>
        <w:rPr>
          <w:w w:val="120"/>
          <w:sz w:val="20"/>
        </w:rPr>
        <w:t>help and support the</w:t>
      </w:r>
      <w:r>
        <w:rPr>
          <w:spacing w:val="8"/>
          <w:w w:val="120"/>
          <w:sz w:val="20"/>
        </w:rPr>
        <w:t> </w:t>
      </w:r>
      <w:r>
        <w:rPr>
          <w:w w:val="120"/>
          <w:sz w:val="20"/>
        </w:rPr>
        <w:t>Moderator</w:t>
      </w:r>
    </w:p>
    <w:p>
      <w:pPr>
        <w:pStyle w:val="ListParagraph"/>
        <w:numPr>
          <w:ilvl w:val="2"/>
          <w:numId w:val="256"/>
        </w:numPr>
        <w:tabs>
          <w:tab w:pos="2025" w:val="left" w:leader="none"/>
        </w:tabs>
        <w:spacing w:line="242" w:lineRule="exact" w:before="0" w:after="0"/>
        <w:ind w:left="2024" w:right="0" w:hanging="681"/>
        <w:jc w:val="left"/>
        <w:rPr>
          <w:sz w:val="20"/>
        </w:rPr>
      </w:pPr>
      <w:r>
        <w:rPr>
          <w:w w:val="120"/>
          <w:sz w:val="20"/>
        </w:rPr>
        <w:t>be responsible for providing the wording of the text under</w:t>
      </w:r>
      <w:r>
        <w:rPr>
          <w:spacing w:val="31"/>
          <w:w w:val="120"/>
          <w:sz w:val="20"/>
        </w:rPr>
        <w:t> </w:t>
      </w:r>
      <w:r>
        <w:rPr>
          <w:w w:val="120"/>
          <w:sz w:val="20"/>
        </w:rPr>
        <w:t>discussion.</w:t>
      </w:r>
    </w:p>
    <w:p>
      <w:pPr>
        <w:spacing w:after="0" w:line="242" w:lineRule="exact"/>
        <w:jc w:val="left"/>
        <w:rPr>
          <w:sz w:val="20"/>
        </w:rPr>
        <w:sectPr>
          <w:headerReference w:type="default" r:id="rId657"/>
          <w:pgSz w:w="11910" w:h="16840"/>
          <w:pgMar w:header="0" w:footer="647" w:top="0" w:bottom="840" w:left="640" w:right="0"/>
        </w:sectPr>
      </w:pPr>
    </w:p>
    <w:p>
      <w:pPr>
        <w:pStyle w:val="BodyText"/>
      </w:pPr>
      <w:r>
        <w:rPr/>
        <w:drawing>
          <wp:anchor distT="0" distB="0" distL="0" distR="0" allowOverlap="1" layoutInCell="1" locked="0" behindDoc="1" simplePos="0" relativeHeight="235979776">
            <wp:simplePos x="0" y="0"/>
            <wp:positionH relativeFrom="page">
              <wp:posOffset>0</wp:posOffset>
            </wp:positionH>
            <wp:positionV relativeFrom="page">
              <wp:posOffset>0</wp:posOffset>
            </wp:positionV>
            <wp:extent cx="594067" cy="10692003"/>
            <wp:effectExtent l="0" t="0" r="0" b="0"/>
            <wp:wrapNone/>
            <wp:docPr id="465" name="image79.png"/>
            <wp:cNvGraphicFramePr>
              <a:graphicFrameLocks noChangeAspect="1"/>
            </wp:cNvGraphicFramePr>
            <a:graphic>
              <a:graphicData uri="http://schemas.openxmlformats.org/drawingml/2006/picture">
                <pic:pic>
                  <pic:nvPicPr>
                    <pic:cNvPr id="466" name="image79.png"/>
                    <pic:cNvPicPr/>
                  </pic:nvPicPr>
                  <pic:blipFill>
                    <a:blip r:embed="rId656" cstate="print"/>
                    <a:stretch>
                      <a:fillRect/>
                    </a:stretch>
                  </pic:blipFill>
                  <pic:spPr>
                    <a:xfrm>
                      <a:off x="0" y="0"/>
                      <a:ext cx="594067" cy="10692003"/>
                    </a:xfrm>
                    <a:prstGeom prst="rect">
                      <a:avLst/>
                    </a:prstGeom>
                  </pic:spPr>
                </pic:pic>
              </a:graphicData>
            </a:graphic>
          </wp:anchor>
        </w:drawing>
      </w:r>
      <w:r>
        <w:rPr/>
        <w:pict>
          <v:shape style="position:absolute;margin-left:20.519100pt;margin-top:48.890015pt;width:25.9pt;height:168.3pt;mso-position-horizontal-relative:page;mso-position-vertical-relative:page;z-index:252434432" type="#_x0000_t202" filled="false" stroked="false">
            <v:textbox inset="0,0,0,0" style="layout-flow:vertical">
              <w:txbxContent>
                <w:p>
                  <w:pPr>
                    <w:spacing w:before="27"/>
                    <w:ind w:left="20" w:right="0" w:firstLine="0"/>
                    <w:jc w:val="left"/>
                    <w:rPr>
                      <w:sz w:val="39"/>
                    </w:rPr>
                  </w:pPr>
                  <w:r>
                    <w:rPr>
                      <w:color w:val="FFFFFF"/>
                      <w:w w:val="125"/>
                      <w:sz w:val="39"/>
                    </w:rPr>
                    <w:t>Standing Orders</w:t>
                  </w:r>
                </w:p>
              </w:txbxContent>
            </v:textbox>
            <w10:wrap type="none"/>
          </v:shape>
        </w:pict>
      </w:r>
    </w:p>
    <w:p>
      <w:pPr>
        <w:pStyle w:val="BodyText"/>
        <w:spacing w:before="7"/>
        <w:rPr>
          <w:sz w:val="21"/>
        </w:rPr>
      </w:pPr>
    </w:p>
    <w:p>
      <w:pPr>
        <w:spacing w:before="106"/>
        <w:ind w:left="607" w:right="0" w:firstLine="0"/>
        <w:jc w:val="left"/>
        <w:rPr>
          <w:sz w:val="26"/>
        </w:rPr>
      </w:pPr>
      <w:r>
        <w:rPr>
          <w:color w:val="7EAABF"/>
          <w:w w:val="120"/>
          <w:sz w:val="26"/>
        </w:rPr>
        <w:t>Standing Orders</w:t>
      </w:r>
    </w:p>
    <w:p>
      <w:pPr>
        <w:pStyle w:val="ListParagraph"/>
        <w:numPr>
          <w:ilvl w:val="1"/>
          <w:numId w:val="256"/>
        </w:numPr>
        <w:tabs>
          <w:tab w:pos="1287" w:val="left" w:leader="none"/>
          <w:tab w:pos="1288" w:val="left" w:leader="none"/>
        </w:tabs>
        <w:spacing w:line="242" w:lineRule="exact" w:before="218" w:after="0"/>
        <w:ind w:left="1287" w:right="0" w:hanging="681"/>
        <w:jc w:val="left"/>
        <w:rPr>
          <w:sz w:val="20"/>
        </w:rPr>
      </w:pPr>
      <w:r>
        <w:rPr>
          <w:w w:val="120"/>
          <w:sz w:val="20"/>
        </w:rPr>
        <w:t>Coloured</w:t>
      </w:r>
      <w:r>
        <w:rPr>
          <w:spacing w:val="2"/>
          <w:w w:val="120"/>
          <w:sz w:val="20"/>
        </w:rPr>
        <w:t> </w:t>
      </w:r>
      <w:r>
        <w:rPr>
          <w:w w:val="120"/>
          <w:sz w:val="20"/>
        </w:rPr>
        <w:t>cards</w:t>
      </w:r>
    </w:p>
    <w:p>
      <w:pPr>
        <w:pStyle w:val="ListParagraph"/>
        <w:numPr>
          <w:ilvl w:val="2"/>
          <w:numId w:val="256"/>
        </w:numPr>
        <w:tabs>
          <w:tab w:pos="1288" w:val="left" w:leader="none"/>
        </w:tabs>
        <w:spacing w:line="235" w:lineRule="auto" w:before="1" w:after="0"/>
        <w:ind w:left="1287" w:right="2624" w:hanging="681"/>
        <w:jc w:val="left"/>
        <w:rPr>
          <w:sz w:val="20"/>
        </w:rPr>
      </w:pPr>
      <w:r>
        <w:rPr>
          <w:w w:val="120"/>
          <w:sz w:val="20"/>
        </w:rPr>
        <w:t>Coloured cards are not essential in consensus decision making but they are helpful.</w:t>
      </w:r>
    </w:p>
    <w:p>
      <w:pPr>
        <w:pStyle w:val="ListParagraph"/>
        <w:numPr>
          <w:ilvl w:val="2"/>
          <w:numId w:val="256"/>
        </w:numPr>
        <w:tabs>
          <w:tab w:pos="1288" w:val="left" w:leader="none"/>
        </w:tabs>
        <w:spacing w:line="240" w:lineRule="exact" w:before="0" w:after="0"/>
        <w:ind w:left="1287" w:right="0" w:hanging="681"/>
        <w:jc w:val="left"/>
        <w:rPr>
          <w:sz w:val="20"/>
        </w:rPr>
      </w:pPr>
      <w:r>
        <w:rPr>
          <w:w w:val="120"/>
          <w:sz w:val="20"/>
        </w:rPr>
        <w:t>Each member receives two</w:t>
      </w:r>
      <w:r>
        <w:rPr>
          <w:spacing w:val="7"/>
          <w:w w:val="120"/>
          <w:sz w:val="20"/>
        </w:rPr>
        <w:t> </w:t>
      </w:r>
      <w:r>
        <w:rPr>
          <w:w w:val="120"/>
          <w:sz w:val="20"/>
        </w:rPr>
        <w:t>cards:</w:t>
      </w:r>
    </w:p>
    <w:p>
      <w:pPr>
        <w:pStyle w:val="ListParagraph"/>
        <w:numPr>
          <w:ilvl w:val="3"/>
          <w:numId w:val="256"/>
        </w:numPr>
        <w:tabs>
          <w:tab w:pos="2066" w:val="left" w:leader="none"/>
        </w:tabs>
        <w:spacing w:line="235" w:lineRule="auto" w:before="2" w:after="0"/>
        <w:ind w:left="1327" w:right="2433" w:firstLine="0"/>
        <w:jc w:val="left"/>
        <w:rPr>
          <w:sz w:val="20"/>
        </w:rPr>
      </w:pPr>
      <w:r>
        <w:rPr>
          <w:w w:val="120"/>
          <w:sz w:val="20"/>
        </w:rPr>
        <w:t>Orange – held at the end of a speech, so that the Moderator can see, indicates warmth towards a point of view or approval of a</w:t>
      </w:r>
      <w:r>
        <w:rPr>
          <w:spacing w:val="9"/>
          <w:w w:val="120"/>
          <w:sz w:val="20"/>
        </w:rPr>
        <w:t> </w:t>
      </w:r>
      <w:r>
        <w:rPr>
          <w:w w:val="120"/>
          <w:sz w:val="20"/>
        </w:rPr>
        <w:t>proposal.</w:t>
      </w:r>
    </w:p>
    <w:p>
      <w:pPr>
        <w:pStyle w:val="ListParagraph"/>
        <w:numPr>
          <w:ilvl w:val="3"/>
          <w:numId w:val="256"/>
        </w:numPr>
        <w:tabs>
          <w:tab w:pos="2081" w:val="left" w:leader="none"/>
        </w:tabs>
        <w:spacing w:line="235" w:lineRule="auto" w:before="2" w:after="0"/>
        <w:ind w:left="1327" w:right="2565" w:firstLine="0"/>
        <w:jc w:val="left"/>
        <w:rPr>
          <w:sz w:val="20"/>
        </w:rPr>
      </w:pPr>
      <w:r>
        <w:rPr>
          <w:w w:val="120"/>
          <w:sz w:val="20"/>
        </w:rPr>
        <w:t>Blue – held at the end of a speech, so that the Moderator can see, indicates coolness about what has been heard or disapproval of a</w:t>
      </w:r>
      <w:r>
        <w:rPr>
          <w:spacing w:val="16"/>
          <w:w w:val="120"/>
          <w:sz w:val="20"/>
        </w:rPr>
        <w:t> </w:t>
      </w:r>
      <w:r>
        <w:rPr>
          <w:w w:val="120"/>
          <w:sz w:val="20"/>
        </w:rPr>
        <w:t>proposal.</w:t>
      </w:r>
    </w:p>
    <w:p>
      <w:pPr>
        <w:pStyle w:val="ListParagraph"/>
        <w:numPr>
          <w:ilvl w:val="2"/>
          <w:numId w:val="256"/>
        </w:numPr>
        <w:tabs>
          <w:tab w:pos="1288" w:val="left" w:leader="none"/>
        </w:tabs>
        <w:spacing w:line="235" w:lineRule="auto" w:before="1" w:after="0"/>
        <w:ind w:left="1287" w:right="2340" w:hanging="681"/>
        <w:jc w:val="left"/>
        <w:rPr>
          <w:sz w:val="20"/>
        </w:rPr>
      </w:pPr>
      <w:r>
        <w:rPr>
          <w:w w:val="120"/>
          <w:sz w:val="20"/>
        </w:rPr>
        <w:t>Cards held crossed indicate to the Moderator it is time to move on to the next subject.</w:t>
      </w:r>
    </w:p>
    <w:p>
      <w:pPr>
        <w:pStyle w:val="ListParagraph"/>
        <w:numPr>
          <w:ilvl w:val="2"/>
          <w:numId w:val="256"/>
        </w:numPr>
        <w:tabs>
          <w:tab w:pos="1288" w:val="left" w:leader="none"/>
        </w:tabs>
        <w:spacing w:line="235" w:lineRule="auto" w:before="2" w:after="0"/>
        <w:ind w:left="1287" w:right="2152" w:hanging="681"/>
        <w:jc w:val="both"/>
        <w:rPr>
          <w:sz w:val="20"/>
        </w:rPr>
      </w:pPr>
      <w:r>
        <w:rPr>
          <w:w w:val="120"/>
          <w:sz w:val="20"/>
        </w:rPr>
        <w:t>Cards should be shown only at the invitation of the Moderator and held so that the Moderator can see them. They indicate response to what has just been said. They help the Moderator to gauge the strength of feeling for various ideas, and to invite speeches from those who are unsure or cool towards the</w:t>
      </w:r>
      <w:r>
        <w:rPr>
          <w:spacing w:val="2"/>
          <w:w w:val="120"/>
          <w:sz w:val="20"/>
        </w:rPr>
        <w:t> </w:t>
      </w:r>
      <w:r>
        <w:rPr>
          <w:w w:val="120"/>
          <w:sz w:val="20"/>
        </w:rPr>
        <w:t>proposal.</w:t>
      </w:r>
    </w:p>
    <w:p>
      <w:pPr>
        <w:pStyle w:val="BodyText"/>
        <w:spacing w:before="7"/>
        <w:rPr>
          <w:sz w:val="19"/>
        </w:rPr>
      </w:pPr>
    </w:p>
    <w:p>
      <w:pPr>
        <w:pStyle w:val="ListParagraph"/>
        <w:numPr>
          <w:ilvl w:val="1"/>
          <w:numId w:val="256"/>
        </w:numPr>
        <w:tabs>
          <w:tab w:pos="1287" w:val="left" w:leader="none"/>
          <w:tab w:pos="1288" w:val="left" w:leader="none"/>
        </w:tabs>
        <w:spacing w:line="242" w:lineRule="exact" w:before="0" w:after="0"/>
        <w:ind w:left="1287" w:right="0" w:hanging="681"/>
        <w:jc w:val="left"/>
        <w:rPr>
          <w:sz w:val="20"/>
        </w:rPr>
      </w:pPr>
      <w:r>
        <w:rPr>
          <w:w w:val="120"/>
          <w:sz w:val="20"/>
        </w:rPr>
        <w:t>Changes of</w:t>
      </w:r>
      <w:r>
        <w:rPr>
          <w:spacing w:val="4"/>
          <w:w w:val="120"/>
          <w:sz w:val="20"/>
        </w:rPr>
        <w:t> </w:t>
      </w:r>
      <w:r>
        <w:rPr>
          <w:w w:val="120"/>
          <w:sz w:val="20"/>
        </w:rPr>
        <w:t>order</w:t>
      </w:r>
    </w:p>
    <w:p>
      <w:pPr>
        <w:pStyle w:val="BodyText"/>
        <w:spacing w:line="235" w:lineRule="auto" w:before="2"/>
        <w:ind w:left="607" w:right="2045"/>
      </w:pPr>
      <w:r>
        <w:rPr>
          <w:w w:val="120"/>
        </w:rPr>
        <w:t>Changes of order may be raised by any member of Assembly at any time during the meeting and must refer to the proceedings of the council. The Moderator asks the member to state their change of order. The Moderator rules on it immediately, or asks for a decision by the Assembly via a simple majority vote.</w:t>
      </w:r>
    </w:p>
    <w:p>
      <w:pPr>
        <w:pStyle w:val="BodyText"/>
        <w:spacing w:before="7"/>
        <w:rPr>
          <w:sz w:val="19"/>
        </w:rPr>
      </w:pPr>
    </w:p>
    <w:p>
      <w:pPr>
        <w:pStyle w:val="BodyText"/>
        <w:spacing w:line="242" w:lineRule="exact"/>
        <w:ind w:left="607"/>
      </w:pPr>
      <w:r>
        <w:rPr>
          <w:w w:val="120"/>
        </w:rPr>
        <w:t>Changes of order include:</w:t>
      </w:r>
    </w:p>
    <w:p>
      <w:pPr>
        <w:pStyle w:val="ListParagraph"/>
        <w:numPr>
          <w:ilvl w:val="2"/>
          <w:numId w:val="256"/>
        </w:numPr>
        <w:tabs>
          <w:tab w:pos="1288" w:val="left" w:leader="none"/>
        </w:tabs>
        <w:spacing w:line="240" w:lineRule="exact" w:before="0" w:after="0"/>
        <w:ind w:left="1287" w:right="0" w:hanging="681"/>
        <w:jc w:val="left"/>
        <w:rPr>
          <w:sz w:val="20"/>
        </w:rPr>
      </w:pPr>
      <w:r>
        <w:rPr>
          <w:w w:val="120"/>
          <w:sz w:val="20"/>
        </w:rPr>
        <w:t>Out of order – the speaker is digressing from the matter being</w:t>
      </w:r>
      <w:r>
        <w:rPr>
          <w:spacing w:val="31"/>
          <w:w w:val="120"/>
          <w:sz w:val="20"/>
        </w:rPr>
        <w:t> </w:t>
      </w:r>
      <w:r>
        <w:rPr>
          <w:w w:val="120"/>
          <w:sz w:val="20"/>
        </w:rPr>
        <w:t>discussed.</w:t>
      </w:r>
    </w:p>
    <w:p>
      <w:pPr>
        <w:pStyle w:val="ListParagraph"/>
        <w:numPr>
          <w:ilvl w:val="2"/>
          <w:numId w:val="256"/>
        </w:numPr>
        <w:tabs>
          <w:tab w:pos="1288" w:val="left" w:leader="none"/>
        </w:tabs>
        <w:spacing w:line="235" w:lineRule="auto" w:before="2" w:after="0"/>
        <w:ind w:left="1287" w:right="1981" w:hanging="681"/>
        <w:jc w:val="left"/>
        <w:rPr>
          <w:sz w:val="20"/>
        </w:rPr>
      </w:pPr>
      <w:r>
        <w:rPr>
          <w:w w:val="120"/>
          <w:sz w:val="20"/>
        </w:rPr>
        <w:t>Closed session – that the matter in hand is sensitive and should be conducted in private. This is voted on immediately without discussion. It can be raised more than once during a discussion. If it is agreed, all those who are not members of the council must leave. Members must treat the subsequent discussion in the strictest confidence and must not divulge its content or process to</w:t>
      </w:r>
      <w:r>
        <w:rPr>
          <w:spacing w:val="35"/>
          <w:w w:val="120"/>
          <w:sz w:val="20"/>
        </w:rPr>
        <w:t> </w:t>
      </w:r>
      <w:r>
        <w:rPr>
          <w:w w:val="120"/>
          <w:sz w:val="20"/>
        </w:rPr>
        <w:t>non-members.</w:t>
      </w:r>
    </w:p>
    <w:p>
      <w:pPr>
        <w:pStyle w:val="ListParagraph"/>
        <w:numPr>
          <w:ilvl w:val="2"/>
          <w:numId w:val="256"/>
        </w:numPr>
        <w:tabs>
          <w:tab w:pos="1288" w:val="left" w:leader="none"/>
        </w:tabs>
        <w:spacing w:line="235" w:lineRule="auto" w:before="3" w:after="0"/>
        <w:ind w:left="1287" w:right="2304" w:hanging="681"/>
        <w:jc w:val="left"/>
        <w:rPr>
          <w:sz w:val="20"/>
        </w:rPr>
      </w:pPr>
      <w:r>
        <w:rPr>
          <w:w w:val="120"/>
          <w:sz w:val="20"/>
        </w:rPr>
        <w:t>Adjournment of the discussion – this is voted on immediately without further discussion. It can be proposed more than once in a discussion. It cannot be brought by a person who has already spoken. When the discussion is resumed the person whose speech was interrupted has the right to speak</w:t>
      </w:r>
      <w:r>
        <w:rPr>
          <w:spacing w:val="12"/>
          <w:w w:val="120"/>
          <w:sz w:val="20"/>
        </w:rPr>
        <w:t> </w:t>
      </w:r>
      <w:r>
        <w:rPr>
          <w:w w:val="120"/>
          <w:sz w:val="20"/>
        </w:rPr>
        <w:t>first.</w:t>
      </w:r>
    </w:p>
    <w:p>
      <w:pPr>
        <w:pStyle w:val="ListParagraph"/>
        <w:numPr>
          <w:ilvl w:val="2"/>
          <w:numId w:val="256"/>
        </w:numPr>
        <w:tabs>
          <w:tab w:pos="1288" w:val="left" w:leader="none"/>
        </w:tabs>
        <w:spacing w:line="235" w:lineRule="auto" w:before="3" w:after="0"/>
        <w:ind w:left="1287" w:right="2135" w:hanging="681"/>
        <w:jc w:val="left"/>
        <w:rPr>
          <w:sz w:val="20"/>
        </w:rPr>
      </w:pPr>
      <w:r>
        <w:rPr>
          <w:w w:val="120"/>
          <w:sz w:val="20"/>
        </w:rPr>
        <w:t>Personal explanation – a member feeling that some material part of their</w:t>
      </w:r>
      <w:r>
        <w:rPr>
          <w:spacing w:val="-36"/>
          <w:w w:val="120"/>
          <w:sz w:val="20"/>
        </w:rPr>
        <w:t> </w:t>
      </w:r>
      <w:r>
        <w:rPr>
          <w:w w:val="120"/>
          <w:sz w:val="20"/>
        </w:rPr>
        <w:t>former speech has been misunderstood or is being grossly misinterpreted by a later speaker may ask to make a personal</w:t>
      </w:r>
      <w:r>
        <w:rPr>
          <w:spacing w:val="7"/>
          <w:w w:val="120"/>
          <w:sz w:val="20"/>
        </w:rPr>
        <w:t> </w:t>
      </w:r>
      <w:r>
        <w:rPr>
          <w:w w:val="120"/>
          <w:sz w:val="20"/>
        </w:rPr>
        <w:t>explanation.</w:t>
      </w:r>
    </w:p>
    <w:p>
      <w:pPr>
        <w:pStyle w:val="ListParagraph"/>
        <w:numPr>
          <w:ilvl w:val="2"/>
          <w:numId w:val="256"/>
        </w:numPr>
        <w:tabs>
          <w:tab w:pos="1288" w:val="left" w:leader="none"/>
        </w:tabs>
        <w:spacing w:line="235" w:lineRule="auto" w:before="3" w:after="0"/>
        <w:ind w:left="1287" w:right="2558" w:hanging="681"/>
        <w:jc w:val="left"/>
        <w:rPr>
          <w:sz w:val="20"/>
        </w:rPr>
      </w:pPr>
      <w:r>
        <w:rPr>
          <w:w w:val="120"/>
          <w:sz w:val="20"/>
        </w:rPr>
        <w:t>Objection – a member may raise an objection if the remarks of a speaker are deemed offensive or derogatory. On such an objection being raised the Moderator</w:t>
      </w:r>
      <w:r>
        <w:rPr>
          <w:spacing w:val="-9"/>
          <w:w w:val="120"/>
          <w:sz w:val="20"/>
        </w:rPr>
        <w:t> </w:t>
      </w:r>
      <w:r>
        <w:rPr>
          <w:w w:val="120"/>
          <w:sz w:val="20"/>
        </w:rPr>
        <w:t>shall</w:t>
      </w:r>
      <w:r>
        <w:rPr>
          <w:spacing w:val="-8"/>
          <w:w w:val="120"/>
          <w:sz w:val="20"/>
        </w:rPr>
        <w:t> </w:t>
      </w:r>
      <w:r>
        <w:rPr>
          <w:w w:val="120"/>
          <w:sz w:val="20"/>
        </w:rPr>
        <w:t>immediately</w:t>
      </w:r>
      <w:r>
        <w:rPr>
          <w:spacing w:val="-8"/>
          <w:w w:val="120"/>
          <w:sz w:val="20"/>
        </w:rPr>
        <w:t> </w:t>
      </w:r>
      <w:r>
        <w:rPr>
          <w:w w:val="120"/>
          <w:sz w:val="20"/>
        </w:rPr>
        <w:t>rule</w:t>
      </w:r>
      <w:r>
        <w:rPr>
          <w:spacing w:val="-8"/>
          <w:w w:val="120"/>
          <w:sz w:val="20"/>
        </w:rPr>
        <w:t> </w:t>
      </w:r>
      <w:r>
        <w:rPr>
          <w:w w:val="120"/>
          <w:sz w:val="20"/>
        </w:rPr>
        <w:t>as</w:t>
      </w:r>
      <w:r>
        <w:rPr>
          <w:spacing w:val="-8"/>
          <w:w w:val="120"/>
          <w:sz w:val="20"/>
        </w:rPr>
        <w:t> </w:t>
      </w:r>
      <w:r>
        <w:rPr>
          <w:w w:val="120"/>
          <w:sz w:val="20"/>
        </w:rPr>
        <w:t>to</w:t>
      </w:r>
      <w:r>
        <w:rPr>
          <w:spacing w:val="-8"/>
          <w:w w:val="120"/>
          <w:sz w:val="20"/>
        </w:rPr>
        <w:t> </w:t>
      </w:r>
      <w:r>
        <w:rPr>
          <w:w w:val="120"/>
          <w:sz w:val="20"/>
        </w:rPr>
        <w:t>whether</w:t>
      </w:r>
      <w:r>
        <w:rPr>
          <w:spacing w:val="-9"/>
          <w:w w:val="120"/>
          <w:sz w:val="20"/>
        </w:rPr>
        <w:t> </w:t>
      </w:r>
      <w:r>
        <w:rPr>
          <w:w w:val="120"/>
          <w:sz w:val="20"/>
        </w:rPr>
        <w:t>the</w:t>
      </w:r>
      <w:r>
        <w:rPr>
          <w:spacing w:val="-8"/>
          <w:w w:val="120"/>
          <w:sz w:val="20"/>
        </w:rPr>
        <w:t> </w:t>
      </w:r>
      <w:r>
        <w:rPr>
          <w:w w:val="120"/>
          <w:sz w:val="20"/>
        </w:rPr>
        <w:t>remarks</w:t>
      </w:r>
      <w:r>
        <w:rPr>
          <w:spacing w:val="-8"/>
          <w:w w:val="120"/>
          <w:sz w:val="20"/>
        </w:rPr>
        <w:t> </w:t>
      </w:r>
      <w:r>
        <w:rPr>
          <w:w w:val="120"/>
          <w:sz w:val="20"/>
        </w:rPr>
        <w:t>are</w:t>
      </w:r>
      <w:r>
        <w:rPr>
          <w:spacing w:val="-8"/>
          <w:w w:val="120"/>
          <w:sz w:val="20"/>
        </w:rPr>
        <w:t> </w:t>
      </w:r>
      <w:r>
        <w:rPr>
          <w:w w:val="120"/>
          <w:sz w:val="20"/>
        </w:rPr>
        <w:t>offensive</w:t>
      </w:r>
      <w:r>
        <w:rPr>
          <w:spacing w:val="-8"/>
          <w:w w:val="120"/>
          <w:sz w:val="20"/>
        </w:rPr>
        <w:t> </w:t>
      </w:r>
      <w:r>
        <w:rPr>
          <w:w w:val="120"/>
          <w:sz w:val="20"/>
        </w:rPr>
        <w:t>or</w:t>
      </w:r>
    </w:p>
    <w:p>
      <w:pPr>
        <w:pStyle w:val="BodyText"/>
        <w:spacing w:line="235" w:lineRule="auto" w:before="2"/>
        <w:ind w:left="1287" w:right="2045"/>
      </w:pPr>
      <w:r>
        <w:rPr>
          <w:w w:val="120"/>
        </w:rPr>
        <w:t>derogatory and if the ruling is in favour of the objection may require the speaker to withdraw the remark. Should the speaker refuse to do so the Moderator may require the speaker to terminate their speech immediately.</w:t>
      </w:r>
    </w:p>
    <w:p>
      <w:pPr>
        <w:pStyle w:val="BodyText"/>
        <w:rPr>
          <w:sz w:val="24"/>
        </w:rPr>
      </w:pPr>
    </w:p>
    <w:p>
      <w:pPr>
        <w:pStyle w:val="BodyText"/>
        <w:spacing w:before="10"/>
        <w:rPr>
          <w:sz w:val="17"/>
        </w:rPr>
      </w:pPr>
    </w:p>
    <w:p>
      <w:pPr>
        <w:pStyle w:val="ListParagraph"/>
        <w:numPr>
          <w:ilvl w:val="0"/>
          <w:numId w:val="256"/>
        </w:numPr>
        <w:tabs>
          <w:tab w:pos="1287" w:val="left" w:leader="none"/>
          <w:tab w:pos="1288" w:val="left" w:leader="none"/>
        </w:tabs>
        <w:spacing w:line="240" w:lineRule="auto" w:before="0" w:after="0"/>
        <w:ind w:left="1287" w:right="0" w:hanging="681"/>
        <w:jc w:val="left"/>
        <w:rPr>
          <w:rFonts w:ascii="Stone Sans II ITC Std Bk"/>
          <w:b/>
          <w:sz w:val="29"/>
        </w:rPr>
      </w:pPr>
      <w:r>
        <w:rPr>
          <w:rFonts w:ascii="Stone Sans II ITC Std Bk"/>
          <w:b/>
          <w:spacing w:val="3"/>
          <w:w w:val="110"/>
          <w:sz w:val="29"/>
        </w:rPr>
        <w:t>Presentation </w:t>
      </w:r>
      <w:r>
        <w:rPr>
          <w:rFonts w:ascii="Stone Sans II ITC Std Bk"/>
          <w:b/>
          <w:w w:val="110"/>
          <w:sz w:val="29"/>
        </w:rPr>
        <w:t>of</w:t>
      </w:r>
      <w:r>
        <w:rPr>
          <w:rFonts w:ascii="Stone Sans II ITC Std Bk"/>
          <w:b/>
          <w:spacing w:val="22"/>
          <w:w w:val="110"/>
          <w:sz w:val="29"/>
        </w:rPr>
        <w:t> </w:t>
      </w:r>
      <w:r>
        <w:rPr>
          <w:rFonts w:ascii="Stone Sans II ITC Std Bk"/>
          <w:b/>
          <w:spacing w:val="3"/>
          <w:w w:val="110"/>
          <w:sz w:val="29"/>
        </w:rPr>
        <w:t>business</w:t>
      </w:r>
    </w:p>
    <w:p>
      <w:pPr>
        <w:pStyle w:val="ListParagraph"/>
        <w:numPr>
          <w:ilvl w:val="1"/>
          <w:numId w:val="256"/>
        </w:numPr>
        <w:tabs>
          <w:tab w:pos="1287" w:val="left" w:leader="none"/>
          <w:tab w:pos="1288" w:val="left" w:leader="none"/>
        </w:tabs>
        <w:spacing w:line="235" w:lineRule="auto" w:before="69" w:after="0"/>
        <w:ind w:left="607" w:right="2010" w:firstLine="0"/>
        <w:jc w:val="left"/>
        <w:rPr>
          <w:sz w:val="20"/>
        </w:rPr>
      </w:pPr>
      <w:r>
        <w:rPr>
          <w:w w:val="120"/>
          <w:sz w:val="20"/>
        </w:rPr>
        <w:t>All reports of committees, together with the draft motions arising therefrom, shall be delivered to the General Secretary by a date to be determined, so that they may be printed and circulated to members in time for consideration before the date of the Assembly</w:t>
      </w:r>
      <w:r>
        <w:rPr>
          <w:spacing w:val="2"/>
          <w:w w:val="120"/>
          <w:sz w:val="20"/>
        </w:rPr>
        <w:t> </w:t>
      </w:r>
      <w:r>
        <w:rPr>
          <w:w w:val="120"/>
          <w:sz w:val="20"/>
        </w:rPr>
        <w:t>meeting.</w:t>
      </w:r>
    </w:p>
    <w:p>
      <w:pPr>
        <w:pStyle w:val="BodyText"/>
        <w:spacing w:before="11"/>
        <w:rPr>
          <w:sz w:val="19"/>
        </w:rPr>
      </w:pPr>
    </w:p>
    <w:p>
      <w:pPr>
        <w:pStyle w:val="ListParagraph"/>
        <w:numPr>
          <w:ilvl w:val="1"/>
          <w:numId w:val="256"/>
        </w:numPr>
        <w:tabs>
          <w:tab w:pos="1287" w:val="left" w:leader="none"/>
          <w:tab w:pos="1288" w:val="left" w:leader="none"/>
        </w:tabs>
        <w:spacing w:line="235" w:lineRule="auto" w:before="1" w:after="0"/>
        <w:ind w:left="607" w:right="2359" w:firstLine="0"/>
        <w:jc w:val="left"/>
        <w:rPr>
          <w:sz w:val="20"/>
        </w:rPr>
      </w:pPr>
      <w:r>
        <w:rPr>
          <w:w w:val="120"/>
          <w:sz w:val="20"/>
        </w:rPr>
        <w:t>A synod may deliver to the General Secretary not less than 12 weeks before the commencement of the meeting of the Assembly notice in writing of a motion</w:t>
      </w:r>
      <w:r>
        <w:rPr>
          <w:spacing w:val="40"/>
          <w:w w:val="120"/>
          <w:sz w:val="20"/>
        </w:rPr>
        <w:t> </w:t>
      </w:r>
      <w:r>
        <w:rPr>
          <w:w w:val="120"/>
          <w:sz w:val="20"/>
        </w:rPr>
        <w:t>for</w:t>
      </w:r>
    </w:p>
    <w:p>
      <w:pPr>
        <w:pStyle w:val="BodyText"/>
        <w:spacing w:line="235" w:lineRule="auto" w:before="1"/>
        <w:ind w:left="607" w:right="1478"/>
      </w:pPr>
      <w:r>
        <w:rPr>
          <w:w w:val="120"/>
        </w:rPr>
        <w:t>consideration at the Assembly. This notice shall include the names of those appointed to propose and second the motion at the Assembly.</w:t>
      </w:r>
    </w:p>
    <w:p>
      <w:pPr>
        <w:pStyle w:val="BodyText"/>
        <w:spacing w:before="9"/>
        <w:rPr>
          <w:sz w:val="19"/>
        </w:rPr>
      </w:pPr>
    </w:p>
    <w:p>
      <w:pPr>
        <w:pStyle w:val="ListParagraph"/>
        <w:numPr>
          <w:ilvl w:val="1"/>
          <w:numId w:val="256"/>
        </w:numPr>
        <w:tabs>
          <w:tab w:pos="1287" w:val="left" w:leader="none"/>
          <w:tab w:pos="1288" w:val="left" w:leader="none"/>
        </w:tabs>
        <w:spacing w:line="235" w:lineRule="auto" w:before="1" w:after="0"/>
        <w:ind w:left="607" w:right="2118" w:firstLine="0"/>
        <w:jc w:val="left"/>
        <w:rPr>
          <w:sz w:val="20"/>
        </w:rPr>
      </w:pPr>
      <w:r>
        <w:rPr>
          <w:w w:val="120"/>
          <w:sz w:val="20"/>
        </w:rPr>
        <w:t>A local church wishing to put forward a motion for consideration by the General Assembly shall submit the motion to its synod for consideration and, if the synod so decides, transmission to the Assembly, at such time as will enable the synod to comply with Standing Order 3.2</w:t>
      </w:r>
      <w:r>
        <w:rPr>
          <w:spacing w:val="10"/>
          <w:w w:val="120"/>
          <w:sz w:val="20"/>
        </w:rPr>
        <w:t> </w:t>
      </w:r>
      <w:r>
        <w:rPr>
          <w:w w:val="120"/>
          <w:sz w:val="20"/>
        </w:rPr>
        <w:t>above.</w:t>
      </w:r>
    </w:p>
    <w:p>
      <w:pPr>
        <w:spacing w:after="0" w:line="235" w:lineRule="auto"/>
        <w:jc w:val="left"/>
        <w:rPr>
          <w:sz w:val="20"/>
        </w:rPr>
        <w:sectPr>
          <w:headerReference w:type="even" r:id="rId659"/>
          <w:footerReference w:type="even" r:id="rId660"/>
          <w:footerReference w:type="default" r:id="rId661"/>
          <w:pgSz w:w="11910" w:h="16840"/>
          <w:pgMar w:header="0" w:footer="647" w:top="0" w:bottom="840" w:left="640" w:right="0"/>
        </w:sectPr>
      </w:pPr>
    </w:p>
    <w:p>
      <w:pPr>
        <w:pStyle w:val="BodyText"/>
      </w:pPr>
      <w:r>
        <w:rPr/>
        <w:drawing>
          <wp:anchor distT="0" distB="0" distL="0" distR="0" allowOverlap="1" layoutInCell="1" locked="0" behindDoc="0" simplePos="0" relativeHeight="252435456">
            <wp:simplePos x="0" y="0"/>
            <wp:positionH relativeFrom="page">
              <wp:posOffset>6974928</wp:posOffset>
            </wp:positionH>
            <wp:positionV relativeFrom="page">
              <wp:posOffset>0</wp:posOffset>
            </wp:positionV>
            <wp:extent cx="585076" cy="10692003"/>
            <wp:effectExtent l="0" t="0" r="0" b="0"/>
            <wp:wrapNone/>
            <wp:docPr id="467" name="image80.png"/>
            <wp:cNvGraphicFramePr>
              <a:graphicFrameLocks noChangeAspect="1"/>
            </wp:cNvGraphicFramePr>
            <a:graphic>
              <a:graphicData uri="http://schemas.openxmlformats.org/drawingml/2006/picture">
                <pic:pic>
                  <pic:nvPicPr>
                    <pic:cNvPr id="468" name="image80.png"/>
                    <pic:cNvPicPr/>
                  </pic:nvPicPr>
                  <pic:blipFill>
                    <a:blip r:embed="rId658" cstate="print"/>
                    <a:stretch>
                      <a:fillRect/>
                    </a:stretch>
                  </pic:blipFill>
                  <pic:spPr>
                    <a:xfrm>
                      <a:off x="0" y="0"/>
                      <a:ext cx="585076" cy="10692003"/>
                    </a:xfrm>
                    <a:prstGeom prst="rect">
                      <a:avLst/>
                    </a:prstGeom>
                  </pic:spPr>
                </pic:pic>
              </a:graphicData>
            </a:graphic>
          </wp:anchor>
        </w:drawing>
      </w:r>
    </w:p>
    <w:p>
      <w:pPr>
        <w:pStyle w:val="BodyText"/>
        <w:spacing w:before="7"/>
        <w:rPr>
          <w:sz w:val="21"/>
        </w:rPr>
      </w:pPr>
    </w:p>
    <w:p>
      <w:pPr>
        <w:spacing w:before="106"/>
        <w:ind w:left="0" w:right="1245" w:firstLine="0"/>
        <w:jc w:val="right"/>
        <w:rPr>
          <w:sz w:val="26"/>
        </w:rPr>
      </w:pPr>
      <w:r>
        <w:rPr/>
        <w:pict>
          <v:shape style="position:absolute;margin-left:554.141174pt;margin-top:22.593945pt;width:25.9pt;height:168.3pt;mso-position-horizontal-relative:page;mso-position-vertical-relative:paragraph;z-index:252436480" type="#_x0000_t202" filled="false" stroked="false">
            <v:textbox inset="0,0,0,0" style="layout-flow:vertical">
              <w:txbxContent>
                <w:p>
                  <w:pPr>
                    <w:spacing w:before="27"/>
                    <w:ind w:left="20" w:right="0" w:firstLine="0"/>
                    <w:jc w:val="left"/>
                    <w:rPr>
                      <w:sz w:val="39"/>
                    </w:rPr>
                  </w:pPr>
                  <w:r>
                    <w:rPr>
                      <w:color w:val="FFFFFF"/>
                      <w:w w:val="125"/>
                      <w:sz w:val="39"/>
                    </w:rPr>
                    <w:t>Standing Orders</w:t>
                  </w:r>
                </w:p>
              </w:txbxContent>
            </v:textbox>
            <w10:wrap type="none"/>
          </v:shape>
        </w:pict>
      </w:r>
      <w:r>
        <w:rPr>
          <w:color w:val="7EAABF"/>
          <w:w w:val="120"/>
          <w:sz w:val="26"/>
        </w:rPr>
        <w:t>Standing Orders</w:t>
      </w:r>
    </w:p>
    <w:p>
      <w:pPr>
        <w:pStyle w:val="ListParagraph"/>
        <w:numPr>
          <w:ilvl w:val="1"/>
          <w:numId w:val="256"/>
        </w:numPr>
        <w:tabs>
          <w:tab w:pos="2024" w:val="left" w:leader="none"/>
          <w:tab w:pos="2025" w:val="left" w:leader="none"/>
        </w:tabs>
        <w:spacing w:line="235" w:lineRule="auto" w:before="222" w:after="0"/>
        <w:ind w:left="1344" w:right="1458" w:firstLine="0"/>
        <w:jc w:val="left"/>
        <w:rPr>
          <w:sz w:val="20"/>
        </w:rPr>
      </w:pPr>
      <w:r>
        <w:rPr>
          <w:w w:val="120"/>
          <w:sz w:val="20"/>
        </w:rPr>
        <w:t>A member of the Assembly may deliver to the General Secretary not less than 21 days before the date of the meeting of the Assembly a notice in writing of a motion (which notice must include the name of a seconder) to be included in the Assembly agenda. If the subject matter of such a notice of motion appears to the</w:t>
      </w:r>
      <w:r>
        <w:rPr>
          <w:spacing w:val="13"/>
          <w:w w:val="120"/>
          <w:sz w:val="20"/>
        </w:rPr>
        <w:t> </w:t>
      </w:r>
      <w:r>
        <w:rPr>
          <w:w w:val="120"/>
          <w:sz w:val="20"/>
        </w:rPr>
        <w:t>General</w:t>
      </w:r>
    </w:p>
    <w:p>
      <w:pPr>
        <w:pStyle w:val="BodyText"/>
        <w:spacing w:line="235" w:lineRule="auto" w:before="3"/>
        <w:ind w:left="1344" w:right="1217"/>
      </w:pPr>
      <w:r>
        <w:rPr>
          <w:w w:val="120"/>
        </w:rPr>
        <w:t>Secretary to be an infringement of the rights of a synod through which the matter could properly have been raised, the General Secretary shall inform the member accordingly and bring the matter before the Assembly arrangements committee which shall advise the Assembly as to the procedure to be followed.</w:t>
      </w:r>
    </w:p>
    <w:p>
      <w:pPr>
        <w:pStyle w:val="BodyText"/>
        <w:spacing w:before="10"/>
        <w:rPr>
          <w:sz w:val="19"/>
        </w:rPr>
      </w:pPr>
    </w:p>
    <w:p>
      <w:pPr>
        <w:pStyle w:val="ListParagraph"/>
        <w:numPr>
          <w:ilvl w:val="1"/>
          <w:numId w:val="256"/>
        </w:numPr>
        <w:tabs>
          <w:tab w:pos="2024" w:val="left" w:leader="none"/>
          <w:tab w:pos="2025" w:val="left" w:leader="none"/>
        </w:tabs>
        <w:spacing w:line="235" w:lineRule="auto" w:before="1" w:after="0"/>
        <w:ind w:left="1344" w:right="1445" w:firstLine="0"/>
        <w:jc w:val="left"/>
        <w:rPr>
          <w:sz w:val="20"/>
        </w:rPr>
      </w:pPr>
      <w:r>
        <w:rPr>
          <w:w w:val="120"/>
          <w:sz w:val="20"/>
        </w:rPr>
        <w:t>Proposals for amendments to the Basis and Structure of the URC, which may be made by the Mission Council or a committee of the General Assembly or a synod, shall be in the hands of the General Secretary not later than 12 weeks before the opening  of the Assembly. The General Secretary, in addition to the normal advice to members of the Assembly, shall, as quickly as possible, inform all Synod Clerks of the proposed amendment.</w:t>
      </w:r>
    </w:p>
    <w:p>
      <w:pPr>
        <w:pStyle w:val="BodyText"/>
      </w:pPr>
    </w:p>
    <w:p>
      <w:pPr>
        <w:pStyle w:val="ListParagraph"/>
        <w:numPr>
          <w:ilvl w:val="1"/>
          <w:numId w:val="256"/>
        </w:numPr>
        <w:tabs>
          <w:tab w:pos="2024" w:val="left" w:leader="none"/>
          <w:tab w:pos="2025" w:val="left" w:leader="none"/>
        </w:tabs>
        <w:spacing w:line="235" w:lineRule="auto" w:before="0" w:after="0"/>
        <w:ind w:left="1344" w:right="2270" w:firstLine="0"/>
        <w:jc w:val="left"/>
        <w:rPr>
          <w:sz w:val="20"/>
        </w:rPr>
      </w:pPr>
      <w:r>
        <w:rPr>
          <w:w w:val="120"/>
          <w:sz w:val="20"/>
        </w:rPr>
        <w:t>It shall not be in order, whether in en bloc business, majority voting, or consensus decision-making, to move a motion or amendment</w:t>
      </w:r>
      <w:r>
        <w:rPr>
          <w:spacing w:val="27"/>
          <w:w w:val="120"/>
          <w:sz w:val="20"/>
        </w:rPr>
        <w:t> </w:t>
      </w:r>
      <w:r>
        <w:rPr>
          <w:w w:val="120"/>
          <w:sz w:val="20"/>
        </w:rPr>
        <w:t>which:</w:t>
      </w:r>
    </w:p>
    <w:p>
      <w:pPr>
        <w:pStyle w:val="ListParagraph"/>
        <w:numPr>
          <w:ilvl w:val="2"/>
          <w:numId w:val="256"/>
        </w:numPr>
        <w:tabs>
          <w:tab w:pos="2025" w:val="left" w:leader="none"/>
        </w:tabs>
        <w:spacing w:line="240" w:lineRule="exact" w:before="0" w:after="0"/>
        <w:ind w:left="2024" w:right="0" w:hanging="681"/>
        <w:jc w:val="left"/>
        <w:rPr>
          <w:sz w:val="20"/>
        </w:rPr>
      </w:pPr>
      <w:r>
        <w:rPr>
          <w:w w:val="120"/>
          <w:sz w:val="20"/>
        </w:rPr>
        <w:t>contravenes any part of the Basis of Union,</w:t>
      </w:r>
      <w:r>
        <w:rPr>
          <w:spacing w:val="11"/>
          <w:w w:val="120"/>
          <w:sz w:val="20"/>
        </w:rPr>
        <w:t> </w:t>
      </w:r>
      <w:r>
        <w:rPr>
          <w:w w:val="120"/>
          <w:sz w:val="20"/>
        </w:rPr>
        <w:t>or</w:t>
      </w:r>
    </w:p>
    <w:p>
      <w:pPr>
        <w:pStyle w:val="ListParagraph"/>
        <w:numPr>
          <w:ilvl w:val="2"/>
          <w:numId w:val="256"/>
        </w:numPr>
        <w:tabs>
          <w:tab w:pos="2025" w:val="left" w:leader="none"/>
        </w:tabs>
        <w:spacing w:line="235" w:lineRule="auto" w:before="2" w:after="0"/>
        <w:ind w:left="2024" w:right="2356" w:hanging="681"/>
        <w:jc w:val="left"/>
        <w:rPr>
          <w:sz w:val="20"/>
        </w:rPr>
      </w:pPr>
      <w:r>
        <w:rPr>
          <w:w w:val="120"/>
          <w:sz w:val="20"/>
        </w:rPr>
        <w:t>involves the Church in expenditure without prior consideration by the appropriate committee,</w:t>
      </w:r>
      <w:r>
        <w:rPr>
          <w:spacing w:val="4"/>
          <w:w w:val="120"/>
          <w:sz w:val="20"/>
        </w:rPr>
        <w:t> </w:t>
      </w:r>
      <w:r>
        <w:rPr>
          <w:w w:val="120"/>
          <w:sz w:val="20"/>
        </w:rPr>
        <w:t>or</w:t>
      </w:r>
    </w:p>
    <w:p>
      <w:pPr>
        <w:pStyle w:val="ListParagraph"/>
        <w:numPr>
          <w:ilvl w:val="2"/>
          <w:numId w:val="256"/>
        </w:numPr>
        <w:tabs>
          <w:tab w:pos="2025" w:val="left" w:leader="none"/>
        </w:tabs>
        <w:spacing w:line="240" w:lineRule="exact" w:before="0" w:after="0"/>
        <w:ind w:left="2024" w:right="0" w:hanging="681"/>
        <w:jc w:val="left"/>
        <w:rPr>
          <w:sz w:val="20"/>
        </w:rPr>
      </w:pPr>
      <w:r>
        <w:rPr>
          <w:w w:val="120"/>
          <w:sz w:val="20"/>
        </w:rPr>
        <w:t>pre-empts discussion of a matter to be considered later in the agenda,</w:t>
      </w:r>
      <w:r>
        <w:rPr>
          <w:spacing w:val="22"/>
          <w:w w:val="120"/>
          <w:sz w:val="20"/>
        </w:rPr>
        <w:t> </w:t>
      </w:r>
      <w:r>
        <w:rPr>
          <w:w w:val="120"/>
          <w:sz w:val="20"/>
        </w:rPr>
        <w:t>or</w:t>
      </w:r>
    </w:p>
    <w:p>
      <w:pPr>
        <w:pStyle w:val="ListParagraph"/>
        <w:numPr>
          <w:ilvl w:val="2"/>
          <w:numId w:val="256"/>
        </w:numPr>
        <w:tabs>
          <w:tab w:pos="2025" w:val="left" w:leader="none"/>
        </w:tabs>
        <w:spacing w:line="235" w:lineRule="auto" w:before="1" w:after="0"/>
        <w:ind w:left="2024" w:right="1260" w:hanging="681"/>
        <w:jc w:val="left"/>
        <w:rPr>
          <w:sz w:val="20"/>
        </w:rPr>
      </w:pPr>
      <w:r>
        <w:rPr>
          <w:w w:val="120"/>
          <w:sz w:val="20"/>
        </w:rPr>
        <w:t>amends or reverses a decision reached by the Assembly at its preceding two meetings unless the Moderator, Clerk and General Secretary together decide  that changed circumstances or new evidence justify earlier reconsideration of the matter,</w:t>
      </w:r>
      <w:r>
        <w:rPr>
          <w:spacing w:val="1"/>
          <w:w w:val="120"/>
          <w:sz w:val="20"/>
        </w:rPr>
        <w:t> </w:t>
      </w:r>
      <w:r>
        <w:rPr>
          <w:w w:val="120"/>
          <w:sz w:val="20"/>
        </w:rPr>
        <w:t>or</w:t>
      </w:r>
    </w:p>
    <w:p>
      <w:pPr>
        <w:pStyle w:val="ListParagraph"/>
        <w:numPr>
          <w:ilvl w:val="2"/>
          <w:numId w:val="256"/>
        </w:numPr>
        <w:tabs>
          <w:tab w:pos="2025" w:val="left" w:leader="none"/>
        </w:tabs>
        <w:spacing w:line="235" w:lineRule="auto" w:before="3" w:after="0"/>
        <w:ind w:left="2024" w:right="1634" w:hanging="681"/>
        <w:jc w:val="left"/>
        <w:rPr>
          <w:sz w:val="20"/>
        </w:rPr>
      </w:pPr>
      <w:r>
        <w:rPr>
          <w:w w:val="120"/>
          <w:sz w:val="20"/>
        </w:rPr>
        <w:t>is not related to the report of a committee and has not been the subject of 21 </w:t>
      </w:r>
      <w:r>
        <w:rPr>
          <w:spacing w:val="-3"/>
          <w:w w:val="120"/>
          <w:sz w:val="20"/>
        </w:rPr>
        <w:t>days’ </w:t>
      </w:r>
      <w:r>
        <w:rPr>
          <w:w w:val="120"/>
          <w:sz w:val="20"/>
        </w:rPr>
        <w:t>notice under</w:t>
      </w:r>
      <w:r>
        <w:rPr>
          <w:spacing w:val="10"/>
          <w:w w:val="120"/>
          <w:sz w:val="20"/>
        </w:rPr>
        <w:t> </w:t>
      </w:r>
      <w:r>
        <w:rPr>
          <w:w w:val="120"/>
          <w:sz w:val="20"/>
        </w:rPr>
        <w:t>3.6.5.</w:t>
      </w:r>
    </w:p>
    <w:p>
      <w:pPr>
        <w:pStyle w:val="BodyText"/>
        <w:spacing w:line="235" w:lineRule="auto" w:before="2"/>
        <w:ind w:left="1344" w:right="1693"/>
      </w:pPr>
      <w:r>
        <w:rPr>
          <w:w w:val="120"/>
        </w:rPr>
        <w:t>The decision of the Moderator (in the case of </w:t>
      </w:r>
      <w:r>
        <w:rPr>
          <w:spacing w:val="-3"/>
          <w:w w:val="120"/>
        </w:rPr>
        <w:t>3.6.1, </w:t>
      </w:r>
      <w:r>
        <w:rPr>
          <w:w w:val="120"/>
        </w:rPr>
        <w:t>3.6.2, 3.6.3, and 3.6.5) and of  the Moderator with the Clerk and the General Secretary (in the case of 3.6.4) on the application of this Standing Order shall be</w:t>
      </w:r>
      <w:r>
        <w:rPr>
          <w:spacing w:val="17"/>
          <w:w w:val="120"/>
        </w:rPr>
        <w:t> </w:t>
      </w:r>
      <w:r>
        <w:rPr>
          <w:w w:val="120"/>
        </w:rPr>
        <w:t>final.</w:t>
      </w:r>
    </w:p>
    <w:p>
      <w:pPr>
        <w:pStyle w:val="BodyText"/>
        <w:rPr>
          <w:sz w:val="24"/>
        </w:rPr>
      </w:pPr>
    </w:p>
    <w:p>
      <w:pPr>
        <w:pStyle w:val="BodyText"/>
        <w:spacing w:before="10"/>
        <w:rPr>
          <w:sz w:val="17"/>
        </w:rPr>
      </w:pPr>
    </w:p>
    <w:p>
      <w:pPr>
        <w:pStyle w:val="ListParagraph"/>
        <w:numPr>
          <w:ilvl w:val="0"/>
          <w:numId w:val="256"/>
        </w:numPr>
        <w:tabs>
          <w:tab w:pos="2024" w:val="left" w:leader="none"/>
          <w:tab w:pos="2025" w:val="left" w:leader="none"/>
        </w:tabs>
        <w:spacing w:line="240" w:lineRule="auto" w:before="1" w:after="0"/>
        <w:ind w:left="2024" w:right="0" w:hanging="681"/>
        <w:jc w:val="left"/>
        <w:rPr>
          <w:rFonts w:ascii="Stone Sans II ITC Std Bk"/>
          <w:b/>
          <w:sz w:val="29"/>
        </w:rPr>
      </w:pPr>
      <w:r>
        <w:rPr>
          <w:rFonts w:ascii="Stone Sans II ITC Std Bk"/>
          <w:b/>
          <w:spacing w:val="3"/>
          <w:w w:val="110"/>
          <w:sz w:val="29"/>
        </w:rPr>
        <w:t>Motions and</w:t>
      </w:r>
      <w:r>
        <w:rPr>
          <w:rFonts w:ascii="Stone Sans II ITC Std Bk"/>
          <w:b/>
          <w:spacing w:val="22"/>
          <w:w w:val="110"/>
          <w:sz w:val="29"/>
        </w:rPr>
        <w:t> </w:t>
      </w:r>
      <w:r>
        <w:rPr>
          <w:rFonts w:ascii="Stone Sans II ITC Std Bk"/>
          <w:b/>
          <w:spacing w:val="4"/>
          <w:w w:val="110"/>
          <w:sz w:val="29"/>
        </w:rPr>
        <w:t>amendments</w:t>
      </w:r>
    </w:p>
    <w:p>
      <w:pPr>
        <w:pStyle w:val="ListParagraph"/>
        <w:numPr>
          <w:ilvl w:val="1"/>
          <w:numId w:val="256"/>
        </w:numPr>
        <w:tabs>
          <w:tab w:pos="2024" w:val="left" w:leader="none"/>
          <w:tab w:pos="2025" w:val="left" w:leader="none"/>
        </w:tabs>
        <w:spacing w:line="235" w:lineRule="auto" w:before="69" w:after="0"/>
        <w:ind w:left="1344" w:right="1379" w:firstLine="0"/>
        <w:jc w:val="left"/>
        <w:rPr>
          <w:sz w:val="20"/>
        </w:rPr>
      </w:pPr>
      <w:r>
        <w:rPr>
          <w:w w:val="120"/>
          <w:sz w:val="20"/>
        </w:rPr>
        <w:t>A report presented to the Assembly by a committee or synod, under Standing Order </w:t>
      </w:r>
      <w:r>
        <w:rPr>
          <w:spacing w:val="-4"/>
          <w:w w:val="120"/>
          <w:sz w:val="20"/>
        </w:rPr>
        <w:t>1.1, </w:t>
      </w:r>
      <w:r>
        <w:rPr>
          <w:w w:val="120"/>
          <w:sz w:val="20"/>
        </w:rPr>
        <w:t>shall be received for debate, unless notice has been duly given under Standing Order 3.4 of a motion to refer back to that committee or synod the whole or part of the report and its attached motion(s). Such a motion for reference back shall be debated and voted upon before the relevant report is itself debated. </w:t>
      </w:r>
      <w:r>
        <w:rPr>
          <w:spacing w:val="-7"/>
          <w:w w:val="120"/>
          <w:sz w:val="20"/>
        </w:rPr>
        <w:t>To </w:t>
      </w:r>
      <w:r>
        <w:rPr>
          <w:w w:val="120"/>
          <w:sz w:val="20"/>
        </w:rPr>
        <w:t>carry such a motion two-thirds of the votes cast must be given in its </w:t>
      </w:r>
      <w:r>
        <w:rPr>
          <w:spacing w:val="-3"/>
          <w:w w:val="120"/>
          <w:sz w:val="20"/>
        </w:rPr>
        <w:t>favour. </w:t>
      </w:r>
      <w:r>
        <w:rPr>
          <w:w w:val="120"/>
          <w:sz w:val="20"/>
        </w:rPr>
        <w:t>When a report has been received for debate, and before any motions consequent upon it are proposed, any member may speak to a matter arising from the report which is not the subject</w:t>
      </w:r>
      <w:r>
        <w:rPr>
          <w:spacing w:val="10"/>
          <w:w w:val="120"/>
          <w:sz w:val="20"/>
        </w:rPr>
        <w:t> </w:t>
      </w:r>
      <w:r>
        <w:rPr>
          <w:w w:val="120"/>
          <w:sz w:val="20"/>
        </w:rPr>
        <w:t>of</w:t>
      </w:r>
    </w:p>
    <w:p>
      <w:pPr>
        <w:pStyle w:val="BodyText"/>
        <w:spacing w:before="2"/>
        <w:ind w:left="1344"/>
      </w:pPr>
      <w:r>
        <w:rPr>
          <w:w w:val="120"/>
        </w:rPr>
        <w:t>a motion.</w:t>
      </w:r>
    </w:p>
    <w:p>
      <w:pPr>
        <w:pStyle w:val="BodyText"/>
        <w:spacing w:before="7"/>
        <w:rPr>
          <w:sz w:val="19"/>
        </w:rPr>
      </w:pPr>
    </w:p>
    <w:p>
      <w:pPr>
        <w:pStyle w:val="ListParagraph"/>
        <w:numPr>
          <w:ilvl w:val="1"/>
          <w:numId w:val="256"/>
        </w:numPr>
        <w:tabs>
          <w:tab w:pos="2024" w:val="left" w:leader="none"/>
          <w:tab w:pos="2025" w:val="left" w:leader="none"/>
        </w:tabs>
        <w:spacing w:line="235" w:lineRule="auto" w:before="0" w:after="0"/>
        <w:ind w:left="1344" w:right="1555" w:firstLine="0"/>
        <w:jc w:val="left"/>
        <w:rPr>
          <w:sz w:val="20"/>
        </w:rPr>
      </w:pPr>
      <w:r>
        <w:rPr>
          <w:w w:val="120"/>
          <w:sz w:val="20"/>
        </w:rPr>
        <w:t>During the meeting of the Assembly and on the report of a committee, notice (including the names of proposer and seconder) shall be given to the Clerk of any new motions which arise from the material of the report, and of any amendments which affect the substance of motions already presented. The Moderator shall decide whether such motion or amendment requires to be circulated in writing to members before it is discussed by the Assembly. During the course of the debate a new motion or amendment may be stated orally without supporting speech in order to ascertain whether a member is willing to second</w:t>
      </w:r>
      <w:r>
        <w:rPr>
          <w:spacing w:val="16"/>
          <w:w w:val="120"/>
          <w:sz w:val="20"/>
        </w:rPr>
        <w:t> </w:t>
      </w:r>
      <w:r>
        <w:rPr>
          <w:w w:val="120"/>
          <w:sz w:val="20"/>
        </w:rPr>
        <w:t>it.</w:t>
      </w:r>
    </w:p>
    <w:p>
      <w:pPr>
        <w:pStyle w:val="BodyText"/>
        <w:spacing w:before="2"/>
      </w:pPr>
    </w:p>
    <w:p>
      <w:pPr>
        <w:pStyle w:val="ListParagraph"/>
        <w:numPr>
          <w:ilvl w:val="1"/>
          <w:numId w:val="256"/>
        </w:numPr>
        <w:tabs>
          <w:tab w:pos="2024" w:val="left" w:leader="none"/>
          <w:tab w:pos="2025" w:val="left" w:leader="none"/>
        </w:tabs>
        <w:spacing w:line="235" w:lineRule="auto" w:before="0" w:after="0"/>
        <w:ind w:left="1344" w:right="1455" w:firstLine="0"/>
        <w:jc w:val="left"/>
        <w:rPr>
          <w:sz w:val="20"/>
        </w:rPr>
      </w:pPr>
      <w:r>
        <w:rPr>
          <w:w w:val="120"/>
          <w:sz w:val="20"/>
        </w:rPr>
        <w:t>No motion or amendment shall be spoken to by its proposer, debated, or put  to the Assembly unless it is known that there is a seconder, the exception to this being motions presented on behalf of a committee, of which printed notice has been</w:t>
      </w:r>
      <w:r>
        <w:rPr>
          <w:spacing w:val="52"/>
          <w:w w:val="120"/>
          <w:sz w:val="20"/>
        </w:rPr>
        <w:t> </w:t>
      </w:r>
      <w:r>
        <w:rPr>
          <w:w w:val="120"/>
          <w:sz w:val="20"/>
        </w:rPr>
        <w:t>given.</w:t>
      </w:r>
    </w:p>
    <w:p>
      <w:pPr>
        <w:pStyle w:val="BodyText"/>
        <w:spacing w:before="10"/>
        <w:rPr>
          <w:sz w:val="19"/>
        </w:rPr>
      </w:pPr>
    </w:p>
    <w:p>
      <w:pPr>
        <w:pStyle w:val="ListParagraph"/>
        <w:numPr>
          <w:ilvl w:val="1"/>
          <w:numId w:val="256"/>
        </w:numPr>
        <w:tabs>
          <w:tab w:pos="2024" w:val="left" w:leader="none"/>
          <w:tab w:pos="2025" w:val="left" w:leader="none"/>
        </w:tabs>
        <w:spacing w:line="235" w:lineRule="auto" w:before="1" w:after="0"/>
        <w:ind w:left="1344" w:right="1798" w:firstLine="0"/>
        <w:jc w:val="left"/>
        <w:rPr>
          <w:sz w:val="20"/>
        </w:rPr>
      </w:pPr>
      <w:r>
        <w:rPr>
          <w:w w:val="120"/>
          <w:sz w:val="20"/>
        </w:rPr>
        <w:t>A seconder may second without speaking and, by declaring the intention of doing so, reserves the right of speaking until a later period in the</w:t>
      </w:r>
      <w:r>
        <w:rPr>
          <w:spacing w:val="45"/>
          <w:w w:val="120"/>
          <w:sz w:val="20"/>
        </w:rPr>
        <w:t> </w:t>
      </w:r>
      <w:r>
        <w:rPr>
          <w:w w:val="120"/>
          <w:sz w:val="20"/>
        </w:rPr>
        <w:t>debate.</w:t>
      </w:r>
    </w:p>
    <w:p>
      <w:pPr>
        <w:spacing w:after="0" w:line="235" w:lineRule="auto"/>
        <w:jc w:val="left"/>
        <w:rPr>
          <w:sz w:val="20"/>
        </w:rPr>
        <w:sectPr>
          <w:headerReference w:type="default" r:id="rId662"/>
          <w:pgSz w:w="11910" w:h="16840"/>
          <w:pgMar w:header="0" w:footer="647" w:top="0" w:bottom="840" w:left="640" w:right="0"/>
        </w:sectPr>
      </w:pPr>
    </w:p>
    <w:p>
      <w:pPr>
        <w:pStyle w:val="BodyText"/>
      </w:pPr>
      <w:r>
        <w:rPr/>
        <w:drawing>
          <wp:anchor distT="0" distB="0" distL="0" distR="0" allowOverlap="1" layoutInCell="1" locked="0" behindDoc="1" simplePos="0" relativeHeight="235983872">
            <wp:simplePos x="0" y="0"/>
            <wp:positionH relativeFrom="page">
              <wp:posOffset>0</wp:posOffset>
            </wp:positionH>
            <wp:positionV relativeFrom="page">
              <wp:posOffset>0</wp:posOffset>
            </wp:positionV>
            <wp:extent cx="594067" cy="10692003"/>
            <wp:effectExtent l="0" t="0" r="0" b="0"/>
            <wp:wrapNone/>
            <wp:docPr id="469" name="image79.png"/>
            <wp:cNvGraphicFramePr>
              <a:graphicFrameLocks noChangeAspect="1"/>
            </wp:cNvGraphicFramePr>
            <a:graphic>
              <a:graphicData uri="http://schemas.openxmlformats.org/drawingml/2006/picture">
                <pic:pic>
                  <pic:nvPicPr>
                    <pic:cNvPr id="470" name="image79.png"/>
                    <pic:cNvPicPr/>
                  </pic:nvPicPr>
                  <pic:blipFill>
                    <a:blip r:embed="rId656" cstate="print"/>
                    <a:stretch>
                      <a:fillRect/>
                    </a:stretch>
                  </pic:blipFill>
                  <pic:spPr>
                    <a:xfrm>
                      <a:off x="0" y="0"/>
                      <a:ext cx="594067" cy="10692003"/>
                    </a:xfrm>
                    <a:prstGeom prst="rect">
                      <a:avLst/>
                    </a:prstGeom>
                  </pic:spPr>
                </pic:pic>
              </a:graphicData>
            </a:graphic>
          </wp:anchor>
        </w:drawing>
      </w:r>
      <w:r>
        <w:rPr/>
        <w:pict>
          <v:shape style="position:absolute;margin-left:20.519100pt;margin-top:48.890015pt;width:25.9pt;height:168.3pt;mso-position-horizontal-relative:page;mso-position-vertical-relative:page;z-index:-267331584" type="#_x0000_t202" filled="false" stroked="false">
            <v:textbox inset="0,0,0,0" style="layout-flow:vertical">
              <w:txbxContent>
                <w:p>
                  <w:pPr>
                    <w:spacing w:before="27"/>
                    <w:ind w:left="20" w:right="0" w:firstLine="0"/>
                    <w:jc w:val="left"/>
                    <w:rPr>
                      <w:sz w:val="39"/>
                    </w:rPr>
                  </w:pPr>
                  <w:r>
                    <w:rPr>
                      <w:color w:val="FFFFFF"/>
                      <w:w w:val="125"/>
                      <w:sz w:val="39"/>
                    </w:rPr>
                    <w:t>Standing Orders</w:t>
                  </w:r>
                </w:p>
              </w:txbxContent>
            </v:textbox>
            <w10:wrap type="none"/>
          </v:shape>
        </w:pict>
      </w:r>
    </w:p>
    <w:p>
      <w:pPr>
        <w:pStyle w:val="BodyText"/>
        <w:spacing w:before="7"/>
        <w:rPr>
          <w:sz w:val="21"/>
        </w:rPr>
      </w:pPr>
    </w:p>
    <w:p>
      <w:pPr>
        <w:spacing w:before="106"/>
        <w:ind w:left="607" w:right="0" w:firstLine="0"/>
        <w:jc w:val="left"/>
        <w:rPr>
          <w:sz w:val="26"/>
        </w:rPr>
      </w:pPr>
      <w:r>
        <w:rPr>
          <w:color w:val="7EAABF"/>
          <w:w w:val="120"/>
          <w:sz w:val="26"/>
        </w:rPr>
        <w:t>Standing Orders</w:t>
      </w:r>
    </w:p>
    <w:p>
      <w:pPr>
        <w:pStyle w:val="ListParagraph"/>
        <w:numPr>
          <w:ilvl w:val="1"/>
          <w:numId w:val="256"/>
        </w:numPr>
        <w:tabs>
          <w:tab w:pos="1287" w:val="left" w:leader="none"/>
          <w:tab w:pos="1288" w:val="left" w:leader="none"/>
        </w:tabs>
        <w:spacing w:line="235" w:lineRule="auto" w:before="222" w:after="0"/>
        <w:ind w:left="607" w:right="2347" w:firstLine="0"/>
        <w:jc w:val="left"/>
        <w:rPr>
          <w:sz w:val="20"/>
        </w:rPr>
      </w:pPr>
      <w:r>
        <w:rPr>
          <w:w w:val="120"/>
          <w:sz w:val="20"/>
        </w:rPr>
        <w:t>An amendment shall be either to omit words or to insert words or to do both, but no amendment shall be in order which has the effect of introducing an irrelevant proposal or of negating the motion. The Moderator may rule that a proposed amendment should be treated as an alternative motion under Standing Order</w:t>
      </w:r>
      <w:r>
        <w:rPr>
          <w:spacing w:val="52"/>
          <w:w w:val="120"/>
          <w:sz w:val="20"/>
        </w:rPr>
        <w:t> </w:t>
      </w:r>
      <w:r>
        <w:rPr>
          <w:spacing w:val="-3"/>
          <w:w w:val="120"/>
          <w:sz w:val="20"/>
        </w:rPr>
        <w:t>4.10.</w:t>
      </w:r>
    </w:p>
    <w:p>
      <w:pPr>
        <w:pStyle w:val="BodyText"/>
        <w:spacing w:before="10"/>
        <w:rPr>
          <w:sz w:val="19"/>
        </w:rPr>
      </w:pPr>
    </w:p>
    <w:p>
      <w:pPr>
        <w:pStyle w:val="ListParagraph"/>
        <w:numPr>
          <w:ilvl w:val="1"/>
          <w:numId w:val="256"/>
        </w:numPr>
        <w:tabs>
          <w:tab w:pos="1287" w:val="left" w:leader="none"/>
          <w:tab w:pos="1288" w:val="left" w:leader="none"/>
        </w:tabs>
        <w:spacing w:line="235" w:lineRule="auto" w:before="1" w:after="0"/>
        <w:ind w:left="607" w:right="2271" w:firstLine="0"/>
        <w:jc w:val="left"/>
        <w:rPr>
          <w:sz w:val="20"/>
        </w:rPr>
      </w:pPr>
      <w:r>
        <w:rPr>
          <w:w w:val="120"/>
          <w:sz w:val="20"/>
        </w:rPr>
        <w:t>If an amendment is carried, the motion as amended shall take the place of the original motion and shall become the substantive motion upon which any further amendment may be moved. If an amendment is rejected a further amendment with a different outcome may be</w:t>
      </w:r>
      <w:r>
        <w:rPr>
          <w:spacing w:val="7"/>
          <w:w w:val="120"/>
          <w:sz w:val="20"/>
        </w:rPr>
        <w:t> </w:t>
      </w:r>
      <w:r>
        <w:rPr>
          <w:w w:val="120"/>
          <w:sz w:val="20"/>
        </w:rPr>
        <w:t>moved.</w:t>
      </w:r>
    </w:p>
    <w:p>
      <w:pPr>
        <w:pStyle w:val="BodyText"/>
        <w:spacing w:before="10"/>
        <w:rPr>
          <w:sz w:val="19"/>
        </w:rPr>
      </w:pPr>
    </w:p>
    <w:p>
      <w:pPr>
        <w:pStyle w:val="ListParagraph"/>
        <w:numPr>
          <w:ilvl w:val="1"/>
          <w:numId w:val="256"/>
        </w:numPr>
        <w:tabs>
          <w:tab w:pos="1287" w:val="left" w:leader="none"/>
          <w:tab w:pos="1288" w:val="left" w:leader="none"/>
        </w:tabs>
        <w:spacing w:line="235" w:lineRule="auto" w:before="1" w:after="0"/>
        <w:ind w:left="607" w:right="1992" w:firstLine="0"/>
        <w:jc w:val="left"/>
        <w:rPr>
          <w:sz w:val="20"/>
        </w:rPr>
      </w:pPr>
      <w:r>
        <w:rPr>
          <w:w w:val="120"/>
          <w:sz w:val="20"/>
        </w:rPr>
        <w:t>An amendment which has been moved and seconded shall be disposed of before any further amendment may be moved, but notice may be given of intention to move a further amendment should the one before the Assembly be</w:t>
      </w:r>
      <w:r>
        <w:rPr>
          <w:spacing w:val="17"/>
          <w:w w:val="120"/>
          <w:sz w:val="20"/>
        </w:rPr>
        <w:t> </w:t>
      </w:r>
      <w:r>
        <w:rPr>
          <w:w w:val="120"/>
          <w:sz w:val="20"/>
        </w:rPr>
        <w:t>rejected.</w:t>
      </w:r>
    </w:p>
    <w:p>
      <w:pPr>
        <w:pStyle w:val="BodyText"/>
        <w:spacing w:before="10"/>
        <w:rPr>
          <w:sz w:val="19"/>
        </w:rPr>
      </w:pPr>
    </w:p>
    <w:p>
      <w:pPr>
        <w:pStyle w:val="ListParagraph"/>
        <w:numPr>
          <w:ilvl w:val="1"/>
          <w:numId w:val="256"/>
        </w:numPr>
        <w:tabs>
          <w:tab w:pos="1287" w:val="left" w:leader="none"/>
          <w:tab w:pos="1288" w:val="left" w:leader="none"/>
        </w:tabs>
        <w:spacing w:line="235" w:lineRule="auto" w:before="0" w:after="0"/>
        <w:ind w:left="607" w:right="2383" w:firstLine="0"/>
        <w:jc w:val="left"/>
        <w:rPr>
          <w:sz w:val="20"/>
        </w:rPr>
      </w:pPr>
      <w:r>
        <w:rPr>
          <w:w w:val="120"/>
          <w:sz w:val="20"/>
        </w:rPr>
        <w:t>The mover </w:t>
      </w:r>
      <w:r>
        <w:rPr>
          <w:spacing w:val="-5"/>
          <w:w w:val="120"/>
          <w:sz w:val="20"/>
        </w:rPr>
        <w:t>may, </w:t>
      </w:r>
      <w:r>
        <w:rPr>
          <w:w w:val="120"/>
          <w:sz w:val="20"/>
        </w:rPr>
        <w:t>with the concurrence of the seconder and the consent of the Assembly, alter the motion or amendment</w:t>
      </w:r>
      <w:r>
        <w:rPr>
          <w:spacing w:val="11"/>
          <w:w w:val="120"/>
          <w:sz w:val="20"/>
        </w:rPr>
        <w:t> </w:t>
      </w:r>
      <w:r>
        <w:rPr>
          <w:w w:val="120"/>
          <w:sz w:val="20"/>
        </w:rPr>
        <w:t>proposed.</w:t>
      </w:r>
    </w:p>
    <w:p>
      <w:pPr>
        <w:pStyle w:val="BodyText"/>
        <w:spacing w:before="9"/>
        <w:rPr>
          <w:sz w:val="19"/>
        </w:rPr>
      </w:pPr>
    </w:p>
    <w:p>
      <w:pPr>
        <w:pStyle w:val="ListParagraph"/>
        <w:numPr>
          <w:ilvl w:val="1"/>
          <w:numId w:val="256"/>
        </w:numPr>
        <w:tabs>
          <w:tab w:pos="1287" w:val="left" w:leader="none"/>
          <w:tab w:pos="1288" w:val="left" w:leader="none"/>
        </w:tabs>
        <w:spacing w:line="235" w:lineRule="auto" w:before="0" w:after="0"/>
        <w:ind w:left="607" w:right="2073" w:firstLine="0"/>
        <w:jc w:val="left"/>
        <w:rPr>
          <w:sz w:val="20"/>
        </w:rPr>
      </w:pPr>
      <w:r>
        <w:rPr>
          <w:w w:val="120"/>
          <w:sz w:val="20"/>
        </w:rPr>
        <w:t>A motion or amendment may be withdrawn by the proposer with the concurrence of the seconder and the consent of the Assembly. Any such consent shall be signified without discussion. It shall not be in order for any member to speak upon it after the proposer has asked permission to withdraw unless such permission shall </w:t>
      </w:r>
      <w:r>
        <w:rPr>
          <w:spacing w:val="-3"/>
          <w:w w:val="120"/>
          <w:sz w:val="20"/>
        </w:rPr>
        <w:t>have </w:t>
      </w:r>
      <w:r>
        <w:rPr>
          <w:w w:val="120"/>
          <w:sz w:val="20"/>
        </w:rPr>
        <w:t>been</w:t>
      </w:r>
      <w:r>
        <w:rPr>
          <w:spacing w:val="1"/>
          <w:w w:val="120"/>
          <w:sz w:val="20"/>
        </w:rPr>
        <w:t> </w:t>
      </w:r>
      <w:r>
        <w:rPr>
          <w:w w:val="120"/>
          <w:sz w:val="20"/>
        </w:rPr>
        <w:t>refused.</w:t>
      </w:r>
    </w:p>
    <w:p>
      <w:pPr>
        <w:pStyle w:val="BodyText"/>
      </w:pPr>
    </w:p>
    <w:p>
      <w:pPr>
        <w:pStyle w:val="ListParagraph"/>
        <w:numPr>
          <w:ilvl w:val="1"/>
          <w:numId w:val="256"/>
        </w:numPr>
        <w:tabs>
          <w:tab w:pos="1287" w:val="left" w:leader="none"/>
          <w:tab w:pos="1288" w:val="left" w:leader="none"/>
        </w:tabs>
        <w:spacing w:line="235" w:lineRule="auto" w:before="0" w:after="0"/>
        <w:ind w:left="607" w:right="2017" w:firstLine="0"/>
        <w:jc w:val="left"/>
        <w:rPr>
          <w:sz w:val="20"/>
        </w:rPr>
      </w:pPr>
      <w:r>
        <w:rPr>
          <w:w w:val="120"/>
          <w:sz w:val="20"/>
        </w:rPr>
        <w:t>Alternative (but not directly negative) motions may be moved and seconded in competition with a motion before the Assembly. After any amendments duly moved under Standing Orders 4.5, 4.6 and 4.7 </w:t>
      </w:r>
      <w:r>
        <w:rPr>
          <w:spacing w:val="-3"/>
          <w:w w:val="120"/>
          <w:sz w:val="20"/>
        </w:rPr>
        <w:t>have </w:t>
      </w:r>
      <w:r>
        <w:rPr>
          <w:w w:val="120"/>
          <w:sz w:val="20"/>
        </w:rPr>
        <w:t>been dealt with and debate on the alternative motions has ended, the movers shall reply to the debate in reverse order to that in which they spoke initially. The first vote shall be a vote in favour of each of the motions, put in the order in which they were proposed, the result not being announced for one until it is announced for all. If any of them obtains a majority of those</w:t>
      </w:r>
      <w:r>
        <w:rPr>
          <w:spacing w:val="7"/>
          <w:w w:val="120"/>
          <w:sz w:val="20"/>
        </w:rPr>
        <w:t> </w:t>
      </w:r>
      <w:r>
        <w:rPr>
          <w:w w:val="120"/>
          <w:sz w:val="20"/>
        </w:rPr>
        <w:t>voting,</w:t>
      </w:r>
    </w:p>
    <w:p>
      <w:pPr>
        <w:pStyle w:val="BodyText"/>
        <w:spacing w:line="235" w:lineRule="auto" w:before="5"/>
        <w:ind w:left="607" w:right="2007"/>
      </w:pPr>
      <w:r>
        <w:rPr>
          <w:w w:val="120"/>
        </w:rPr>
        <w:t>it becomes the sole motion before the Assembly. If none of them does so, the motion having the fewest votes is discarded. Should the lowest two be equal, the Moderator gives a casting vote. The voting process is repeated until one motion achieves a majority of those voting. Once a sole motion remains, votes for and against that motion shall be taken in the normal way and in accordance with Standing Order 7.</w:t>
      </w:r>
    </w:p>
    <w:p>
      <w:pPr>
        <w:pStyle w:val="BodyText"/>
        <w:rPr>
          <w:sz w:val="24"/>
        </w:rPr>
      </w:pPr>
    </w:p>
    <w:p>
      <w:pPr>
        <w:pStyle w:val="BodyText"/>
        <w:rPr>
          <w:sz w:val="18"/>
        </w:rPr>
      </w:pPr>
    </w:p>
    <w:p>
      <w:pPr>
        <w:pStyle w:val="ListParagraph"/>
        <w:numPr>
          <w:ilvl w:val="0"/>
          <w:numId w:val="256"/>
        </w:numPr>
        <w:tabs>
          <w:tab w:pos="1287" w:val="left" w:leader="none"/>
          <w:tab w:pos="1288" w:val="left" w:leader="none"/>
        </w:tabs>
        <w:spacing w:line="240" w:lineRule="auto" w:before="0" w:after="0"/>
        <w:ind w:left="1287" w:right="0" w:hanging="681"/>
        <w:jc w:val="left"/>
        <w:rPr>
          <w:rFonts w:ascii="Stone Sans II ITC Std Bk"/>
          <w:b/>
          <w:sz w:val="29"/>
        </w:rPr>
      </w:pPr>
      <w:r>
        <w:rPr>
          <w:rFonts w:ascii="Stone Sans II ITC Std Bk"/>
          <w:b/>
          <w:spacing w:val="4"/>
          <w:w w:val="110"/>
          <w:sz w:val="29"/>
        </w:rPr>
        <w:t>Timing </w:t>
      </w:r>
      <w:r>
        <w:rPr>
          <w:rFonts w:ascii="Stone Sans II ITC Std Bk"/>
          <w:b/>
          <w:w w:val="110"/>
          <w:sz w:val="29"/>
        </w:rPr>
        <w:t>of </w:t>
      </w:r>
      <w:r>
        <w:rPr>
          <w:rFonts w:ascii="Stone Sans II ITC Std Bk"/>
          <w:b/>
          <w:spacing w:val="4"/>
          <w:w w:val="110"/>
          <w:sz w:val="29"/>
        </w:rPr>
        <w:t>speeches </w:t>
      </w:r>
      <w:r>
        <w:rPr>
          <w:rFonts w:ascii="Stone Sans II ITC Std Bk"/>
          <w:b/>
          <w:spacing w:val="3"/>
          <w:w w:val="110"/>
          <w:sz w:val="29"/>
        </w:rPr>
        <w:t>and </w:t>
      </w:r>
      <w:r>
        <w:rPr>
          <w:rFonts w:ascii="Stone Sans II ITC Std Bk"/>
          <w:b/>
          <w:w w:val="110"/>
          <w:sz w:val="29"/>
        </w:rPr>
        <w:t>of </w:t>
      </w:r>
      <w:r>
        <w:rPr>
          <w:rFonts w:ascii="Stone Sans II ITC Std Bk"/>
          <w:b/>
          <w:spacing w:val="3"/>
          <w:w w:val="110"/>
          <w:sz w:val="29"/>
        </w:rPr>
        <w:t>other</w:t>
      </w:r>
      <w:r>
        <w:rPr>
          <w:rFonts w:ascii="Stone Sans II ITC Std Bk"/>
          <w:b/>
          <w:spacing w:val="67"/>
          <w:w w:val="110"/>
          <w:sz w:val="29"/>
        </w:rPr>
        <w:t> </w:t>
      </w:r>
      <w:r>
        <w:rPr>
          <w:rFonts w:ascii="Stone Sans II ITC Std Bk"/>
          <w:b/>
          <w:spacing w:val="3"/>
          <w:w w:val="110"/>
          <w:sz w:val="29"/>
        </w:rPr>
        <w:t>business</w:t>
      </w:r>
    </w:p>
    <w:p>
      <w:pPr>
        <w:pStyle w:val="ListParagraph"/>
        <w:numPr>
          <w:ilvl w:val="1"/>
          <w:numId w:val="256"/>
        </w:numPr>
        <w:tabs>
          <w:tab w:pos="1287" w:val="left" w:leader="none"/>
          <w:tab w:pos="1288" w:val="left" w:leader="none"/>
        </w:tabs>
        <w:spacing w:line="235" w:lineRule="auto" w:before="69" w:after="0"/>
        <w:ind w:left="607" w:right="2175" w:firstLine="0"/>
        <w:jc w:val="left"/>
        <w:rPr>
          <w:sz w:val="20"/>
        </w:rPr>
      </w:pPr>
      <w:r>
        <w:rPr>
          <w:spacing w:val="-3"/>
          <w:w w:val="120"/>
          <w:sz w:val="20"/>
        </w:rPr>
        <w:t>Save </w:t>
      </w:r>
      <w:r>
        <w:rPr>
          <w:w w:val="120"/>
          <w:sz w:val="20"/>
        </w:rPr>
        <w:t>by prior agreement of the officers of the Assembly, speeches made in the presentation of reports concerning past work of Assembly committees which are to be open to question, comment or discussion shall not exceed five</w:t>
      </w:r>
      <w:r>
        <w:rPr>
          <w:spacing w:val="22"/>
          <w:w w:val="120"/>
          <w:sz w:val="20"/>
        </w:rPr>
        <w:t> </w:t>
      </w:r>
      <w:r>
        <w:rPr>
          <w:w w:val="120"/>
          <w:sz w:val="20"/>
        </w:rPr>
        <w:t>minutes.</w:t>
      </w:r>
    </w:p>
    <w:p>
      <w:pPr>
        <w:pStyle w:val="BodyText"/>
        <w:spacing w:before="10"/>
        <w:rPr>
          <w:sz w:val="19"/>
        </w:rPr>
      </w:pPr>
    </w:p>
    <w:p>
      <w:pPr>
        <w:pStyle w:val="ListParagraph"/>
        <w:numPr>
          <w:ilvl w:val="1"/>
          <w:numId w:val="256"/>
        </w:numPr>
        <w:tabs>
          <w:tab w:pos="1287" w:val="left" w:leader="none"/>
          <w:tab w:pos="1288" w:val="left" w:leader="none"/>
        </w:tabs>
        <w:spacing w:line="235" w:lineRule="auto" w:before="1" w:after="0"/>
        <w:ind w:left="607" w:right="1992" w:firstLine="0"/>
        <w:jc w:val="left"/>
        <w:rPr>
          <w:sz w:val="20"/>
        </w:rPr>
      </w:pPr>
      <w:r>
        <w:rPr>
          <w:spacing w:val="-3"/>
          <w:w w:val="120"/>
          <w:sz w:val="20"/>
        </w:rPr>
        <w:t>Save </w:t>
      </w:r>
      <w:r>
        <w:rPr>
          <w:w w:val="120"/>
          <w:sz w:val="20"/>
        </w:rPr>
        <w:t>by the prior agreement of the officers of the Assembly, speeches made in support of the motions from any Assembly committee, including the Mission Council, or from any synod shall not in aggregate exceed 45 minutes, nor shall speeches in support of any particular committee or synod motion exceed 12 minutes, (e.g. a committee   with three motions may not exceed 36 minutes). The proposers of any other motion of which</w:t>
      </w:r>
      <w:r>
        <w:rPr>
          <w:spacing w:val="5"/>
          <w:w w:val="120"/>
          <w:sz w:val="20"/>
        </w:rPr>
        <w:t> </w:t>
      </w:r>
      <w:r>
        <w:rPr>
          <w:w w:val="120"/>
          <w:sz w:val="20"/>
        </w:rPr>
        <w:t>due</w:t>
      </w:r>
      <w:r>
        <w:rPr>
          <w:spacing w:val="5"/>
          <w:w w:val="120"/>
          <w:sz w:val="20"/>
        </w:rPr>
        <w:t> </w:t>
      </w:r>
      <w:r>
        <w:rPr>
          <w:w w:val="120"/>
          <w:sz w:val="20"/>
        </w:rPr>
        <w:t>notice</w:t>
      </w:r>
      <w:r>
        <w:rPr>
          <w:spacing w:val="5"/>
          <w:w w:val="120"/>
          <w:sz w:val="20"/>
        </w:rPr>
        <w:t> </w:t>
      </w:r>
      <w:r>
        <w:rPr>
          <w:w w:val="120"/>
          <w:sz w:val="20"/>
        </w:rPr>
        <w:t>has</w:t>
      </w:r>
      <w:r>
        <w:rPr>
          <w:spacing w:val="5"/>
          <w:w w:val="120"/>
          <w:sz w:val="20"/>
        </w:rPr>
        <w:t> </w:t>
      </w:r>
      <w:r>
        <w:rPr>
          <w:w w:val="120"/>
          <w:sz w:val="20"/>
        </w:rPr>
        <w:t>been</w:t>
      </w:r>
      <w:r>
        <w:rPr>
          <w:spacing w:val="5"/>
          <w:w w:val="120"/>
          <w:sz w:val="20"/>
        </w:rPr>
        <w:t> </w:t>
      </w:r>
      <w:r>
        <w:rPr>
          <w:w w:val="120"/>
          <w:sz w:val="20"/>
        </w:rPr>
        <w:t>given</w:t>
      </w:r>
      <w:r>
        <w:rPr>
          <w:spacing w:val="6"/>
          <w:w w:val="120"/>
          <w:sz w:val="20"/>
        </w:rPr>
        <w:t> </w:t>
      </w:r>
      <w:r>
        <w:rPr>
          <w:w w:val="120"/>
          <w:sz w:val="20"/>
        </w:rPr>
        <w:t>shall</w:t>
      </w:r>
      <w:r>
        <w:rPr>
          <w:spacing w:val="5"/>
          <w:w w:val="120"/>
          <w:sz w:val="20"/>
        </w:rPr>
        <w:t> </w:t>
      </w:r>
      <w:r>
        <w:rPr>
          <w:w w:val="120"/>
          <w:sz w:val="20"/>
        </w:rPr>
        <w:t>be</w:t>
      </w:r>
      <w:r>
        <w:rPr>
          <w:spacing w:val="5"/>
          <w:w w:val="120"/>
          <w:sz w:val="20"/>
        </w:rPr>
        <w:t> </w:t>
      </w:r>
      <w:r>
        <w:rPr>
          <w:w w:val="120"/>
          <w:sz w:val="20"/>
        </w:rPr>
        <w:t>allowed</w:t>
      </w:r>
      <w:r>
        <w:rPr>
          <w:spacing w:val="5"/>
          <w:w w:val="120"/>
          <w:sz w:val="20"/>
        </w:rPr>
        <w:t> </w:t>
      </w:r>
      <w:r>
        <w:rPr>
          <w:w w:val="120"/>
          <w:sz w:val="20"/>
        </w:rPr>
        <w:t>an</w:t>
      </w:r>
      <w:r>
        <w:rPr>
          <w:spacing w:val="5"/>
          <w:w w:val="120"/>
          <w:sz w:val="20"/>
        </w:rPr>
        <w:t> </w:t>
      </w:r>
      <w:r>
        <w:rPr>
          <w:w w:val="120"/>
          <w:sz w:val="20"/>
        </w:rPr>
        <w:t>aggregate</w:t>
      </w:r>
      <w:r>
        <w:rPr>
          <w:spacing w:val="5"/>
          <w:w w:val="120"/>
          <w:sz w:val="20"/>
        </w:rPr>
        <w:t> </w:t>
      </w:r>
      <w:r>
        <w:rPr>
          <w:w w:val="120"/>
          <w:sz w:val="20"/>
        </w:rPr>
        <w:t>of</w:t>
      </w:r>
      <w:r>
        <w:rPr>
          <w:spacing w:val="6"/>
          <w:w w:val="120"/>
          <w:sz w:val="20"/>
        </w:rPr>
        <w:t> </w:t>
      </w:r>
      <w:r>
        <w:rPr>
          <w:w w:val="120"/>
          <w:sz w:val="20"/>
        </w:rPr>
        <w:t>ten</w:t>
      </w:r>
      <w:r>
        <w:rPr>
          <w:spacing w:val="5"/>
          <w:w w:val="120"/>
          <w:sz w:val="20"/>
        </w:rPr>
        <w:t> </w:t>
      </w:r>
      <w:r>
        <w:rPr>
          <w:w w:val="120"/>
          <w:sz w:val="20"/>
        </w:rPr>
        <w:t>minutes,</w:t>
      </w:r>
      <w:r>
        <w:rPr>
          <w:spacing w:val="5"/>
          <w:w w:val="120"/>
          <w:sz w:val="20"/>
        </w:rPr>
        <w:t> </w:t>
      </w:r>
      <w:r>
        <w:rPr>
          <w:w w:val="120"/>
          <w:sz w:val="20"/>
        </w:rPr>
        <w:t>unless</w:t>
      </w:r>
    </w:p>
    <w:p>
      <w:pPr>
        <w:pStyle w:val="BodyText"/>
        <w:spacing w:line="235" w:lineRule="auto" w:before="4"/>
        <w:ind w:left="607" w:right="2324"/>
      </w:pPr>
      <w:r>
        <w:rPr>
          <w:w w:val="120"/>
        </w:rPr>
        <w:t>a longer period be recommended by the officers of the Assembly or determined by the Moderator. Each subsequent speaker in any debate shall be allowed five minutes unless the Moderator shall determine otherwise; it shall, in particular, be open to the Moderator to determine that all speeches in a debate or from a particular point in a debate shall be of not more than three minutes.</w:t>
      </w:r>
    </w:p>
    <w:p>
      <w:pPr>
        <w:pStyle w:val="BodyText"/>
        <w:spacing w:before="12"/>
        <w:rPr>
          <w:sz w:val="19"/>
        </w:rPr>
      </w:pPr>
    </w:p>
    <w:p>
      <w:pPr>
        <w:pStyle w:val="ListParagraph"/>
        <w:numPr>
          <w:ilvl w:val="1"/>
          <w:numId w:val="256"/>
        </w:numPr>
        <w:tabs>
          <w:tab w:pos="1287" w:val="left" w:leader="none"/>
          <w:tab w:pos="1288" w:val="left" w:leader="none"/>
        </w:tabs>
        <w:spacing w:line="235" w:lineRule="auto" w:before="0" w:after="0"/>
        <w:ind w:left="607" w:right="2013" w:firstLine="0"/>
        <w:jc w:val="left"/>
        <w:rPr>
          <w:sz w:val="20"/>
        </w:rPr>
      </w:pPr>
      <w:r>
        <w:rPr>
          <w:w w:val="120"/>
          <w:sz w:val="20"/>
        </w:rPr>
        <w:t>When a speech is made on behalf of a committee, it shall be so stated. Otherwise a speaker shall begin by giving name and accreditation to the</w:t>
      </w:r>
      <w:r>
        <w:rPr>
          <w:spacing w:val="34"/>
          <w:w w:val="120"/>
          <w:sz w:val="20"/>
        </w:rPr>
        <w:t> </w:t>
      </w:r>
      <w:r>
        <w:rPr>
          <w:w w:val="120"/>
          <w:sz w:val="20"/>
        </w:rPr>
        <w:t>Assembly.</w:t>
      </w:r>
    </w:p>
    <w:p>
      <w:pPr>
        <w:pStyle w:val="BodyText"/>
        <w:spacing w:before="9"/>
        <w:rPr>
          <w:sz w:val="19"/>
        </w:rPr>
      </w:pPr>
    </w:p>
    <w:p>
      <w:pPr>
        <w:pStyle w:val="ListParagraph"/>
        <w:numPr>
          <w:ilvl w:val="1"/>
          <w:numId w:val="256"/>
        </w:numPr>
        <w:tabs>
          <w:tab w:pos="1287" w:val="left" w:leader="none"/>
          <w:tab w:pos="1288" w:val="left" w:leader="none"/>
        </w:tabs>
        <w:spacing w:line="235" w:lineRule="auto" w:before="0" w:after="0"/>
        <w:ind w:left="607" w:right="2524" w:firstLine="0"/>
        <w:jc w:val="left"/>
        <w:rPr>
          <w:sz w:val="20"/>
        </w:rPr>
      </w:pPr>
      <w:r>
        <w:rPr>
          <w:w w:val="120"/>
          <w:sz w:val="20"/>
        </w:rPr>
        <w:t>Secretaries of committees and full-time executive secretaries who are not members of Assembly may speak on the report of a committee for which they</w:t>
      </w:r>
      <w:r>
        <w:rPr>
          <w:spacing w:val="-6"/>
          <w:w w:val="120"/>
          <w:sz w:val="20"/>
        </w:rPr>
        <w:t> </w:t>
      </w:r>
      <w:r>
        <w:rPr>
          <w:spacing w:val="-3"/>
          <w:w w:val="120"/>
          <w:sz w:val="20"/>
        </w:rPr>
        <w:t>have</w:t>
      </w:r>
    </w:p>
    <w:p>
      <w:pPr>
        <w:spacing w:after="0" w:line="235" w:lineRule="auto"/>
        <w:jc w:val="left"/>
        <w:rPr>
          <w:sz w:val="20"/>
        </w:rPr>
        <w:sectPr>
          <w:headerReference w:type="even" r:id="rId663"/>
          <w:footerReference w:type="even" r:id="rId664"/>
          <w:footerReference w:type="default" r:id="rId665"/>
          <w:pgSz w:w="11910" w:h="16840"/>
          <w:pgMar w:header="0" w:footer="647" w:top="0" w:bottom="840" w:left="640" w:right="0"/>
          <w:pgNumType w:start="252"/>
        </w:sectPr>
      </w:pPr>
    </w:p>
    <w:p>
      <w:pPr>
        <w:pStyle w:val="BodyText"/>
      </w:pPr>
      <w:r>
        <w:rPr/>
        <w:drawing>
          <wp:anchor distT="0" distB="0" distL="0" distR="0" allowOverlap="1" layoutInCell="1" locked="0" behindDoc="0" simplePos="0" relativeHeight="252439552">
            <wp:simplePos x="0" y="0"/>
            <wp:positionH relativeFrom="page">
              <wp:posOffset>6974928</wp:posOffset>
            </wp:positionH>
            <wp:positionV relativeFrom="page">
              <wp:posOffset>0</wp:posOffset>
            </wp:positionV>
            <wp:extent cx="585076" cy="10692003"/>
            <wp:effectExtent l="0" t="0" r="0" b="0"/>
            <wp:wrapNone/>
            <wp:docPr id="471" name="image80.png"/>
            <wp:cNvGraphicFramePr>
              <a:graphicFrameLocks noChangeAspect="1"/>
            </wp:cNvGraphicFramePr>
            <a:graphic>
              <a:graphicData uri="http://schemas.openxmlformats.org/drawingml/2006/picture">
                <pic:pic>
                  <pic:nvPicPr>
                    <pic:cNvPr id="472" name="image80.png"/>
                    <pic:cNvPicPr/>
                  </pic:nvPicPr>
                  <pic:blipFill>
                    <a:blip r:embed="rId658" cstate="print"/>
                    <a:stretch>
                      <a:fillRect/>
                    </a:stretch>
                  </pic:blipFill>
                  <pic:spPr>
                    <a:xfrm>
                      <a:off x="0" y="0"/>
                      <a:ext cx="585076" cy="10692003"/>
                    </a:xfrm>
                    <a:prstGeom prst="rect">
                      <a:avLst/>
                    </a:prstGeom>
                  </pic:spPr>
                </pic:pic>
              </a:graphicData>
            </a:graphic>
          </wp:anchor>
        </w:drawing>
      </w:r>
    </w:p>
    <w:p>
      <w:pPr>
        <w:pStyle w:val="BodyText"/>
        <w:spacing w:before="7"/>
        <w:rPr>
          <w:sz w:val="21"/>
        </w:rPr>
      </w:pPr>
    </w:p>
    <w:p>
      <w:pPr>
        <w:spacing w:before="106"/>
        <w:ind w:left="0" w:right="1245" w:firstLine="0"/>
        <w:jc w:val="right"/>
        <w:rPr>
          <w:sz w:val="26"/>
        </w:rPr>
      </w:pPr>
      <w:r>
        <w:rPr/>
        <w:pict>
          <v:shape style="position:absolute;margin-left:554.141174pt;margin-top:22.593945pt;width:25.9pt;height:168.3pt;mso-position-horizontal-relative:page;mso-position-vertical-relative:paragraph;z-index:252440576" type="#_x0000_t202" filled="false" stroked="false">
            <v:textbox inset="0,0,0,0" style="layout-flow:vertical">
              <w:txbxContent>
                <w:p>
                  <w:pPr>
                    <w:spacing w:before="27"/>
                    <w:ind w:left="20" w:right="0" w:firstLine="0"/>
                    <w:jc w:val="left"/>
                    <w:rPr>
                      <w:sz w:val="39"/>
                    </w:rPr>
                  </w:pPr>
                  <w:r>
                    <w:rPr>
                      <w:color w:val="FFFFFF"/>
                      <w:w w:val="125"/>
                      <w:sz w:val="39"/>
                    </w:rPr>
                    <w:t>Standing Orders</w:t>
                  </w:r>
                </w:p>
              </w:txbxContent>
            </v:textbox>
            <w10:wrap type="none"/>
          </v:shape>
        </w:pict>
      </w:r>
      <w:r>
        <w:rPr>
          <w:color w:val="7EAABF"/>
          <w:w w:val="120"/>
          <w:sz w:val="26"/>
        </w:rPr>
        <w:t>Standing Orders</w:t>
      </w:r>
    </w:p>
    <w:p>
      <w:pPr>
        <w:pStyle w:val="BodyText"/>
        <w:spacing w:line="235" w:lineRule="auto" w:before="222"/>
        <w:ind w:left="1344" w:right="1478"/>
      </w:pPr>
      <w:r>
        <w:rPr>
          <w:w w:val="120"/>
        </w:rPr>
        <w:t>responsibility at the request of the convenor concerned. They may speak on other reports with the consent of the Moderator.</w:t>
      </w:r>
    </w:p>
    <w:p>
      <w:pPr>
        <w:pStyle w:val="BodyText"/>
        <w:spacing w:before="9"/>
        <w:rPr>
          <w:sz w:val="19"/>
        </w:rPr>
      </w:pPr>
    </w:p>
    <w:p>
      <w:pPr>
        <w:pStyle w:val="ListParagraph"/>
        <w:numPr>
          <w:ilvl w:val="1"/>
          <w:numId w:val="256"/>
        </w:numPr>
        <w:tabs>
          <w:tab w:pos="2024" w:val="left" w:leader="none"/>
          <w:tab w:pos="2025" w:val="left" w:leader="none"/>
        </w:tabs>
        <w:spacing w:line="235" w:lineRule="auto" w:before="0" w:after="0"/>
        <w:ind w:left="1344" w:right="1357" w:firstLine="0"/>
        <w:jc w:val="left"/>
        <w:rPr>
          <w:sz w:val="20"/>
        </w:rPr>
      </w:pPr>
      <w:r>
        <w:rPr>
          <w:w w:val="120"/>
          <w:sz w:val="20"/>
        </w:rPr>
        <w:t>In each debate, whether on a motion or on an amendment, no one shall address the Assembly more than once, except that at the close of each debate the proposer of the motion or the amendment, as the case may be, shall </w:t>
      </w:r>
      <w:r>
        <w:rPr>
          <w:spacing w:val="-3"/>
          <w:w w:val="120"/>
          <w:sz w:val="20"/>
        </w:rPr>
        <w:t>have </w:t>
      </w:r>
      <w:r>
        <w:rPr>
          <w:w w:val="120"/>
          <w:sz w:val="20"/>
        </w:rPr>
        <w:t>the right to </w:t>
      </w:r>
      <w:r>
        <w:rPr>
          <w:spacing w:val="-3"/>
          <w:w w:val="120"/>
          <w:sz w:val="20"/>
        </w:rPr>
        <w:t>reply, </w:t>
      </w:r>
      <w:r>
        <w:rPr>
          <w:w w:val="120"/>
          <w:sz w:val="20"/>
        </w:rPr>
        <w:t>but must strictly confine the reply to answering previous speakers and must not introduce new matters. Such reply shall close the debate on the motion or the</w:t>
      </w:r>
      <w:r>
        <w:rPr>
          <w:spacing w:val="24"/>
          <w:w w:val="120"/>
          <w:sz w:val="20"/>
        </w:rPr>
        <w:t> </w:t>
      </w:r>
      <w:r>
        <w:rPr>
          <w:w w:val="120"/>
          <w:sz w:val="20"/>
        </w:rPr>
        <w:t>amendment.</w:t>
      </w:r>
    </w:p>
    <w:p>
      <w:pPr>
        <w:pStyle w:val="BodyText"/>
        <w:spacing w:before="12"/>
        <w:rPr>
          <w:sz w:val="19"/>
        </w:rPr>
      </w:pPr>
    </w:p>
    <w:p>
      <w:pPr>
        <w:pStyle w:val="ListParagraph"/>
        <w:numPr>
          <w:ilvl w:val="1"/>
          <w:numId w:val="256"/>
        </w:numPr>
        <w:tabs>
          <w:tab w:pos="2025" w:val="left" w:leader="none"/>
        </w:tabs>
        <w:spacing w:line="235" w:lineRule="auto" w:before="0" w:after="0"/>
        <w:ind w:left="1344" w:right="1373" w:firstLine="0"/>
        <w:jc w:val="both"/>
        <w:rPr>
          <w:sz w:val="20"/>
        </w:rPr>
      </w:pPr>
      <w:r>
        <w:rPr>
          <w:w w:val="120"/>
          <w:sz w:val="20"/>
        </w:rPr>
        <w:t>The foregoing Standing Order (5.5) shall not prevent the asking or answering of a question which arises from the matter before the Assembly or from a speech made in the debate upon</w:t>
      </w:r>
      <w:r>
        <w:rPr>
          <w:spacing w:val="6"/>
          <w:w w:val="120"/>
          <w:sz w:val="20"/>
        </w:rPr>
        <w:t> </w:t>
      </w:r>
      <w:r>
        <w:rPr>
          <w:w w:val="120"/>
          <w:sz w:val="20"/>
        </w:rPr>
        <w:t>it.</w:t>
      </w:r>
    </w:p>
    <w:p>
      <w:pPr>
        <w:pStyle w:val="BodyText"/>
        <w:rPr>
          <w:sz w:val="24"/>
        </w:rPr>
      </w:pPr>
    </w:p>
    <w:p>
      <w:pPr>
        <w:pStyle w:val="BodyText"/>
        <w:spacing w:before="10"/>
        <w:rPr>
          <w:sz w:val="17"/>
        </w:rPr>
      </w:pPr>
    </w:p>
    <w:p>
      <w:pPr>
        <w:pStyle w:val="ListParagraph"/>
        <w:numPr>
          <w:ilvl w:val="0"/>
          <w:numId w:val="256"/>
        </w:numPr>
        <w:tabs>
          <w:tab w:pos="2025" w:val="left" w:leader="none"/>
        </w:tabs>
        <w:spacing w:line="240" w:lineRule="auto" w:before="1" w:after="0"/>
        <w:ind w:left="2024" w:right="0" w:hanging="681"/>
        <w:jc w:val="both"/>
        <w:rPr>
          <w:rFonts w:ascii="Stone Sans II ITC Std Bk"/>
          <w:b/>
          <w:sz w:val="29"/>
        </w:rPr>
      </w:pPr>
      <w:r>
        <w:rPr>
          <w:rFonts w:ascii="Stone Sans II ITC Std Bk"/>
          <w:b/>
          <w:spacing w:val="3"/>
          <w:w w:val="110"/>
          <w:sz w:val="29"/>
        </w:rPr>
        <w:t>Closure </w:t>
      </w:r>
      <w:r>
        <w:rPr>
          <w:rFonts w:ascii="Stone Sans II ITC Std Bk"/>
          <w:b/>
          <w:w w:val="110"/>
          <w:sz w:val="29"/>
        </w:rPr>
        <w:t>of</w:t>
      </w:r>
      <w:r>
        <w:rPr>
          <w:rFonts w:ascii="Stone Sans II ITC Std Bk"/>
          <w:b/>
          <w:spacing w:val="22"/>
          <w:w w:val="110"/>
          <w:sz w:val="29"/>
        </w:rPr>
        <w:t> </w:t>
      </w:r>
      <w:r>
        <w:rPr>
          <w:rFonts w:ascii="Stone Sans II ITC Std Bk"/>
          <w:b/>
          <w:spacing w:val="2"/>
          <w:w w:val="110"/>
          <w:sz w:val="29"/>
        </w:rPr>
        <w:t>debate</w:t>
      </w:r>
    </w:p>
    <w:p>
      <w:pPr>
        <w:pStyle w:val="ListParagraph"/>
        <w:numPr>
          <w:ilvl w:val="1"/>
          <w:numId w:val="256"/>
        </w:numPr>
        <w:tabs>
          <w:tab w:pos="2024" w:val="left" w:leader="none"/>
          <w:tab w:pos="2025" w:val="left" w:leader="none"/>
        </w:tabs>
        <w:spacing w:line="235" w:lineRule="auto" w:before="69" w:after="0"/>
        <w:ind w:left="1344" w:right="1245" w:firstLine="0"/>
        <w:jc w:val="left"/>
        <w:rPr>
          <w:sz w:val="20"/>
        </w:rPr>
      </w:pPr>
      <w:r>
        <w:rPr>
          <w:w w:val="120"/>
          <w:sz w:val="20"/>
        </w:rPr>
        <w:t>A member of Assembly may deliver to the General Secretary not less than 21 days before the date of the meeting of the Assembly a notice in writing of a motion that the General Assembly, for the better consideration of a specified resolution and its related documents, goes into a committee of the whole Assembly. Provided that the Moderator, Clerk and General Secretary together decide that this rule may appropriately be applied in the case of the said resolution, the motion shall be presented immediately following the opening speeches in support of the primary motion. For such a motion to be   carried, two thirds of the votes cast must be given in its </w:t>
      </w:r>
      <w:r>
        <w:rPr>
          <w:spacing w:val="-3"/>
          <w:w w:val="120"/>
          <w:sz w:val="20"/>
        </w:rPr>
        <w:t>favour. </w:t>
      </w:r>
      <w:r>
        <w:rPr>
          <w:w w:val="120"/>
          <w:sz w:val="20"/>
        </w:rPr>
        <w:t>Committee procedure enables members to speak more than once and exploratory votes to be taken on particular</w:t>
      </w:r>
      <w:r>
        <w:rPr>
          <w:spacing w:val="7"/>
          <w:w w:val="120"/>
          <w:sz w:val="20"/>
        </w:rPr>
        <w:t> </w:t>
      </w:r>
      <w:r>
        <w:rPr>
          <w:w w:val="120"/>
          <w:sz w:val="20"/>
        </w:rPr>
        <w:t>points</w:t>
      </w:r>
      <w:r>
        <w:rPr>
          <w:spacing w:val="7"/>
          <w:w w:val="120"/>
          <w:sz w:val="20"/>
        </w:rPr>
        <w:t> </w:t>
      </w:r>
      <w:r>
        <w:rPr>
          <w:w w:val="120"/>
          <w:sz w:val="20"/>
        </w:rPr>
        <w:t>or</w:t>
      </w:r>
      <w:r>
        <w:rPr>
          <w:spacing w:val="7"/>
          <w:w w:val="120"/>
          <w:sz w:val="20"/>
        </w:rPr>
        <w:t> </w:t>
      </w:r>
      <w:r>
        <w:rPr>
          <w:w w:val="120"/>
          <w:sz w:val="20"/>
        </w:rPr>
        <w:t>suggested</w:t>
      </w:r>
      <w:r>
        <w:rPr>
          <w:spacing w:val="7"/>
          <w:w w:val="120"/>
          <w:sz w:val="20"/>
        </w:rPr>
        <w:t> </w:t>
      </w:r>
      <w:r>
        <w:rPr>
          <w:w w:val="120"/>
          <w:sz w:val="20"/>
        </w:rPr>
        <w:t>changes.</w:t>
      </w:r>
      <w:r>
        <w:rPr>
          <w:spacing w:val="8"/>
          <w:w w:val="120"/>
          <w:sz w:val="20"/>
        </w:rPr>
        <w:t> </w:t>
      </w:r>
      <w:r>
        <w:rPr>
          <w:w w:val="120"/>
          <w:sz w:val="20"/>
        </w:rPr>
        <w:t>The</w:t>
      </w:r>
      <w:r>
        <w:rPr>
          <w:spacing w:val="7"/>
          <w:w w:val="120"/>
          <w:sz w:val="20"/>
        </w:rPr>
        <w:t> </w:t>
      </w:r>
      <w:r>
        <w:rPr>
          <w:w w:val="120"/>
          <w:sz w:val="20"/>
        </w:rPr>
        <w:t>number</w:t>
      </w:r>
      <w:r>
        <w:rPr>
          <w:spacing w:val="7"/>
          <w:w w:val="120"/>
          <w:sz w:val="20"/>
        </w:rPr>
        <w:t> </w:t>
      </w:r>
      <w:r>
        <w:rPr>
          <w:w w:val="120"/>
          <w:sz w:val="20"/>
        </w:rPr>
        <w:t>and</w:t>
      </w:r>
      <w:r>
        <w:rPr>
          <w:spacing w:val="7"/>
          <w:w w:val="120"/>
          <w:sz w:val="20"/>
        </w:rPr>
        <w:t> </w:t>
      </w:r>
      <w:r>
        <w:rPr>
          <w:w w:val="120"/>
          <w:sz w:val="20"/>
        </w:rPr>
        <w:t>length</w:t>
      </w:r>
      <w:r>
        <w:rPr>
          <w:spacing w:val="8"/>
          <w:w w:val="120"/>
          <w:sz w:val="20"/>
        </w:rPr>
        <w:t> </w:t>
      </w:r>
      <w:r>
        <w:rPr>
          <w:w w:val="120"/>
          <w:sz w:val="20"/>
        </w:rPr>
        <w:t>of</w:t>
      </w:r>
      <w:r>
        <w:rPr>
          <w:spacing w:val="7"/>
          <w:w w:val="120"/>
          <w:sz w:val="20"/>
        </w:rPr>
        <w:t> </w:t>
      </w:r>
      <w:r>
        <w:rPr>
          <w:w w:val="120"/>
          <w:sz w:val="20"/>
        </w:rPr>
        <w:t>speeches</w:t>
      </w:r>
      <w:r>
        <w:rPr>
          <w:spacing w:val="7"/>
          <w:w w:val="120"/>
          <w:sz w:val="20"/>
        </w:rPr>
        <w:t> </w:t>
      </w:r>
      <w:r>
        <w:rPr>
          <w:w w:val="120"/>
          <w:sz w:val="20"/>
        </w:rPr>
        <w:t>shall</w:t>
      </w:r>
      <w:r>
        <w:rPr>
          <w:spacing w:val="7"/>
          <w:w w:val="120"/>
          <w:sz w:val="20"/>
        </w:rPr>
        <w:t> </w:t>
      </w:r>
      <w:r>
        <w:rPr>
          <w:w w:val="120"/>
          <w:sz w:val="20"/>
        </w:rPr>
        <w:t>be</w:t>
      </w:r>
    </w:p>
    <w:p>
      <w:pPr>
        <w:pStyle w:val="BodyText"/>
        <w:spacing w:line="235" w:lineRule="auto" w:before="7"/>
        <w:ind w:left="1344" w:right="1544"/>
      </w:pPr>
      <w:r>
        <w:rPr>
          <w:w w:val="120"/>
        </w:rPr>
        <w:t>at the discretion of the Moderator. After discussion in committee and decision on any proposed changes the Clerk shall draw the attention of the Assembly to any changes to the original text which have been agreed. The Moderator shall then declare the</w:t>
      </w:r>
    </w:p>
    <w:p>
      <w:pPr>
        <w:pStyle w:val="BodyText"/>
        <w:spacing w:line="235" w:lineRule="auto" w:before="2"/>
        <w:ind w:left="1344" w:right="1217"/>
      </w:pPr>
      <w:r>
        <w:rPr>
          <w:w w:val="120"/>
        </w:rPr>
        <w:t>committee stage to be ended, and the Assembly shall proceed to hear a closing speech from the mover of the motion under discussion and proceed to a vote on the motion, subject to any further motion under Standing Order 6. The decision of the Moderator with the Clerk and the General Secretary on the application of this Standing Order shall be final.</w:t>
      </w:r>
    </w:p>
    <w:p>
      <w:pPr>
        <w:pStyle w:val="BodyText"/>
      </w:pPr>
    </w:p>
    <w:p>
      <w:pPr>
        <w:pStyle w:val="ListParagraph"/>
        <w:numPr>
          <w:ilvl w:val="1"/>
          <w:numId w:val="256"/>
        </w:numPr>
        <w:tabs>
          <w:tab w:pos="2024" w:val="left" w:leader="none"/>
          <w:tab w:pos="2025" w:val="left" w:leader="none"/>
        </w:tabs>
        <w:spacing w:line="235" w:lineRule="auto" w:before="0" w:after="0"/>
        <w:ind w:left="1344" w:right="1261" w:firstLine="0"/>
        <w:jc w:val="left"/>
        <w:rPr>
          <w:sz w:val="20"/>
        </w:rPr>
      </w:pPr>
      <w:r>
        <w:rPr>
          <w:w w:val="120"/>
          <w:sz w:val="20"/>
        </w:rPr>
        <w:t>In the course of the business any member may move that the question under consideration be not put. This motion takes precedence over every motion before the Assembly. As soon as the member has given reasons for proposing it and it has been seconded and the proposer of the motion or amendment under consideration has been allowed opportunity to comment on the reasons put forward, the vote upon it shall be taken, unless it appears to the Moderator that an unfair use is being made of this rule. Should the motion be carried the business shall immediately end and the Assembly shall proceed to the next</w:t>
      </w:r>
      <w:r>
        <w:rPr>
          <w:spacing w:val="8"/>
          <w:w w:val="120"/>
          <w:sz w:val="20"/>
        </w:rPr>
        <w:t> </w:t>
      </w:r>
      <w:r>
        <w:rPr>
          <w:w w:val="120"/>
          <w:sz w:val="20"/>
        </w:rPr>
        <w:t>business.</w:t>
      </w:r>
    </w:p>
    <w:p>
      <w:pPr>
        <w:pStyle w:val="BodyText"/>
        <w:spacing w:before="1"/>
      </w:pPr>
    </w:p>
    <w:p>
      <w:pPr>
        <w:pStyle w:val="ListParagraph"/>
        <w:numPr>
          <w:ilvl w:val="1"/>
          <w:numId w:val="256"/>
        </w:numPr>
        <w:tabs>
          <w:tab w:pos="2024" w:val="left" w:leader="none"/>
          <w:tab w:pos="2025" w:val="left" w:leader="none"/>
        </w:tabs>
        <w:spacing w:line="235" w:lineRule="auto" w:before="1" w:after="0"/>
        <w:ind w:left="1344" w:right="1292" w:firstLine="0"/>
        <w:jc w:val="left"/>
        <w:rPr>
          <w:sz w:val="20"/>
        </w:rPr>
      </w:pPr>
      <w:r>
        <w:rPr>
          <w:w w:val="120"/>
          <w:sz w:val="20"/>
        </w:rPr>
        <w:t>In the course of any discussion, any member may move that the question be now put. This is sometimes described as ‘the closure motion’. If the Moderator senses that there is a wish or need to close a debate, the Moderator may ask whether any member wishes so to move; the Moderator may not simply declare a debate closed. Provided that it appears to the Moderator that the motion is a fair use of this rule, the vote shall be taken upon it immediately it has been seconded. When an amendment is under discussion, this motion shall apply only to that amendment. </w:t>
      </w:r>
      <w:r>
        <w:rPr>
          <w:spacing w:val="-7"/>
          <w:w w:val="120"/>
          <w:sz w:val="20"/>
        </w:rPr>
        <w:t>To </w:t>
      </w:r>
      <w:r>
        <w:rPr>
          <w:w w:val="120"/>
          <w:sz w:val="20"/>
        </w:rPr>
        <w:t>carry this motion, two- thirds of the votes cast must be given in its </w:t>
      </w:r>
      <w:r>
        <w:rPr>
          <w:spacing w:val="-3"/>
          <w:w w:val="120"/>
          <w:sz w:val="20"/>
        </w:rPr>
        <w:t>favour. </w:t>
      </w:r>
      <w:r>
        <w:rPr>
          <w:w w:val="120"/>
          <w:sz w:val="20"/>
        </w:rPr>
        <w:t>The mover of the original motion or amendment, as the case may be, retains the right of reply before the vote is taken on the motion or</w:t>
      </w:r>
      <w:r>
        <w:rPr>
          <w:spacing w:val="6"/>
          <w:w w:val="120"/>
          <w:sz w:val="20"/>
        </w:rPr>
        <w:t> </w:t>
      </w:r>
      <w:r>
        <w:rPr>
          <w:w w:val="120"/>
          <w:sz w:val="20"/>
        </w:rPr>
        <w:t>amendment.</w:t>
      </w:r>
    </w:p>
    <w:p>
      <w:pPr>
        <w:pStyle w:val="BodyText"/>
        <w:spacing w:before="3"/>
      </w:pPr>
    </w:p>
    <w:p>
      <w:pPr>
        <w:pStyle w:val="ListParagraph"/>
        <w:numPr>
          <w:ilvl w:val="1"/>
          <w:numId w:val="256"/>
        </w:numPr>
        <w:tabs>
          <w:tab w:pos="2024" w:val="left" w:leader="none"/>
          <w:tab w:pos="2025" w:val="left" w:leader="none"/>
        </w:tabs>
        <w:spacing w:line="235" w:lineRule="auto" w:before="0" w:after="0"/>
        <w:ind w:left="1344" w:right="1244" w:firstLine="0"/>
        <w:jc w:val="left"/>
        <w:rPr>
          <w:sz w:val="20"/>
        </w:rPr>
      </w:pPr>
      <w:r>
        <w:rPr>
          <w:w w:val="120"/>
          <w:sz w:val="20"/>
        </w:rPr>
        <w:t>During the course of a debate on a motion any member may move that decision on this motion be deferred to the next Assembly. This rule does not apply to debates on amendments since the Assembly needs to decide the final form of a motion before it can responsibly vote on deferral. The motion then takes precedence over other</w:t>
      </w:r>
      <w:r>
        <w:rPr>
          <w:spacing w:val="9"/>
          <w:w w:val="120"/>
          <w:sz w:val="20"/>
        </w:rPr>
        <w:t> </w:t>
      </w:r>
      <w:r>
        <w:rPr>
          <w:w w:val="120"/>
          <w:sz w:val="20"/>
        </w:rPr>
        <w:t>business.</w:t>
      </w:r>
    </w:p>
    <w:p>
      <w:pPr>
        <w:pStyle w:val="BodyText"/>
        <w:spacing w:line="243" w:lineRule="exact"/>
        <w:ind w:left="1344"/>
      </w:pPr>
      <w:r>
        <w:rPr>
          <w:w w:val="120"/>
        </w:rPr>
        <w:t>As soon as the member has given reasons for proposing it and it has been seconded</w:t>
      </w:r>
    </w:p>
    <w:p>
      <w:pPr>
        <w:spacing w:after="0" w:line="243" w:lineRule="exact"/>
        <w:sectPr>
          <w:headerReference w:type="default" r:id="rId666"/>
          <w:pgSz w:w="11910" w:h="16840"/>
          <w:pgMar w:header="0" w:footer="647" w:top="0" w:bottom="840" w:left="640" w:right="0"/>
        </w:sectPr>
      </w:pPr>
    </w:p>
    <w:p>
      <w:pPr>
        <w:pStyle w:val="BodyText"/>
      </w:pPr>
      <w:r>
        <w:rPr/>
        <w:drawing>
          <wp:anchor distT="0" distB="0" distL="0" distR="0" allowOverlap="1" layoutInCell="1" locked="0" behindDoc="1" simplePos="0" relativeHeight="235987968">
            <wp:simplePos x="0" y="0"/>
            <wp:positionH relativeFrom="page">
              <wp:posOffset>0</wp:posOffset>
            </wp:positionH>
            <wp:positionV relativeFrom="page">
              <wp:posOffset>0</wp:posOffset>
            </wp:positionV>
            <wp:extent cx="594067" cy="10692003"/>
            <wp:effectExtent l="0" t="0" r="0" b="0"/>
            <wp:wrapNone/>
            <wp:docPr id="473" name="image79.png"/>
            <wp:cNvGraphicFramePr>
              <a:graphicFrameLocks noChangeAspect="1"/>
            </wp:cNvGraphicFramePr>
            <a:graphic>
              <a:graphicData uri="http://schemas.openxmlformats.org/drawingml/2006/picture">
                <pic:pic>
                  <pic:nvPicPr>
                    <pic:cNvPr id="474" name="image79.png"/>
                    <pic:cNvPicPr/>
                  </pic:nvPicPr>
                  <pic:blipFill>
                    <a:blip r:embed="rId656" cstate="print"/>
                    <a:stretch>
                      <a:fillRect/>
                    </a:stretch>
                  </pic:blipFill>
                  <pic:spPr>
                    <a:xfrm>
                      <a:off x="0" y="0"/>
                      <a:ext cx="594067" cy="10692003"/>
                    </a:xfrm>
                    <a:prstGeom prst="rect">
                      <a:avLst/>
                    </a:prstGeom>
                  </pic:spPr>
                </pic:pic>
              </a:graphicData>
            </a:graphic>
          </wp:anchor>
        </w:drawing>
      </w:r>
      <w:r>
        <w:rPr/>
        <w:pict>
          <v:shape style="position:absolute;margin-left:20.519100pt;margin-top:48.890015pt;width:25.9pt;height:168.3pt;mso-position-horizontal-relative:page;mso-position-vertical-relative:page;z-index:-267327488" type="#_x0000_t202" filled="false" stroked="false">
            <v:textbox inset="0,0,0,0" style="layout-flow:vertical">
              <w:txbxContent>
                <w:p>
                  <w:pPr>
                    <w:spacing w:before="27"/>
                    <w:ind w:left="20" w:right="0" w:firstLine="0"/>
                    <w:jc w:val="left"/>
                    <w:rPr>
                      <w:sz w:val="39"/>
                    </w:rPr>
                  </w:pPr>
                  <w:r>
                    <w:rPr>
                      <w:color w:val="FFFFFF"/>
                      <w:w w:val="125"/>
                      <w:sz w:val="39"/>
                    </w:rPr>
                    <w:t>Standing Orders</w:t>
                  </w:r>
                </w:p>
              </w:txbxContent>
            </v:textbox>
            <w10:wrap type="none"/>
          </v:shape>
        </w:pict>
      </w:r>
    </w:p>
    <w:p>
      <w:pPr>
        <w:pStyle w:val="BodyText"/>
        <w:spacing w:before="7"/>
        <w:rPr>
          <w:sz w:val="21"/>
        </w:rPr>
      </w:pPr>
    </w:p>
    <w:p>
      <w:pPr>
        <w:spacing w:before="106"/>
        <w:ind w:left="607" w:right="0" w:firstLine="0"/>
        <w:jc w:val="left"/>
        <w:rPr>
          <w:sz w:val="26"/>
        </w:rPr>
      </w:pPr>
      <w:r>
        <w:rPr>
          <w:color w:val="7EAABF"/>
          <w:w w:val="120"/>
          <w:sz w:val="26"/>
        </w:rPr>
        <w:t>Standing Orders</w:t>
      </w:r>
    </w:p>
    <w:p>
      <w:pPr>
        <w:pStyle w:val="BodyText"/>
        <w:spacing w:line="235" w:lineRule="auto" w:before="222"/>
        <w:ind w:left="607" w:right="2311"/>
      </w:pPr>
      <w:r>
        <w:rPr>
          <w:w w:val="120"/>
        </w:rPr>
        <w:t>and the proposer of the motion under consideration has been allowed opportunity  to comment on the reasons put forward, the vote upon it shall be taken, unless it appears</w:t>
      </w:r>
      <w:r>
        <w:rPr>
          <w:spacing w:val="-3"/>
          <w:w w:val="120"/>
        </w:rPr>
        <w:t> </w:t>
      </w:r>
      <w:r>
        <w:rPr>
          <w:w w:val="120"/>
        </w:rPr>
        <w:t>to</w:t>
      </w:r>
      <w:r>
        <w:rPr>
          <w:spacing w:val="-3"/>
          <w:w w:val="120"/>
        </w:rPr>
        <w:t> </w:t>
      </w:r>
      <w:r>
        <w:rPr>
          <w:w w:val="120"/>
        </w:rPr>
        <w:t>the</w:t>
      </w:r>
      <w:r>
        <w:rPr>
          <w:spacing w:val="-3"/>
          <w:w w:val="120"/>
        </w:rPr>
        <w:t> </w:t>
      </w:r>
      <w:r>
        <w:rPr>
          <w:w w:val="120"/>
        </w:rPr>
        <w:t>Moderator</w:t>
      </w:r>
      <w:r>
        <w:rPr>
          <w:spacing w:val="-3"/>
          <w:w w:val="120"/>
        </w:rPr>
        <w:t> </w:t>
      </w:r>
      <w:r>
        <w:rPr>
          <w:w w:val="120"/>
        </w:rPr>
        <w:t>that</w:t>
      </w:r>
      <w:r>
        <w:rPr>
          <w:spacing w:val="-2"/>
          <w:w w:val="120"/>
        </w:rPr>
        <w:t> </w:t>
      </w:r>
      <w:r>
        <w:rPr>
          <w:w w:val="120"/>
        </w:rPr>
        <w:t>an</w:t>
      </w:r>
      <w:r>
        <w:rPr>
          <w:spacing w:val="-3"/>
          <w:w w:val="120"/>
        </w:rPr>
        <w:t> </w:t>
      </w:r>
      <w:r>
        <w:rPr>
          <w:w w:val="120"/>
        </w:rPr>
        <w:t>unfair</w:t>
      </w:r>
      <w:r>
        <w:rPr>
          <w:spacing w:val="-3"/>
          <w:w w:val="120"/>
        </w:rPr>
        <w:t> </w:t>
      </w:r>
      <w:r>
        <w:rPr>
          <w:w w:val="120"/>
        </w:rPr>
        <w:t>use</w:t>
      </w:r>
      <w:r>
        <w:rPr>
          <w:spacing w:val="-3"/>
          <w:w w:val="120"/>
        </w:rPr>
        <w:t> </w:t>
      </w:r>
      <w:r>
        <w:rPr>
          <w:w w:val="120"/>
        </w:rPr>
        <w:t>is</w:t>
      </w:r>
      <w:r>
        <w:rPr>
          <w:spacing w:val="-3"/>
          <w:w w:val="120"/>
        </w:rPr>
        <w:t> </w:t>
      </w:r>
      <w:r>
        <w:rPr>
          <w:w w:val="120"/>
        </w:rPr>
        <w:t>being</w:t>
      </w:r>
      <w:r>
        <w:rPr>
          <w:spacing w:val="-2"/>
          <w:w w:val="120"/>
        </w:rPr>
        <w:t> </w:t>
      </w:r>
      <w:r>
        <w:rPr>
          <w:w w:val="120"/>
        </w:rPr>
        <w:t>made</w:t>
      </w:r>
      <w:r>
        <w:rPr>
          <w:spacing w:val="-3"/>
          <w:w w:val="120"/>
        </w:rPr>
        <w:t> </w:t>
      </w:r>
      <w:r>
        <w:rPr>
          <w:w w:val="120"/>
        </w:rPr>
        <w:t>of</w:t>
      </w:r>
      <w:r>
        <w:rPr>
          <w:spacing w:val="-3"/>
          <w:w w:val="120"/>
        </w:rPr>
        <w:t> </w:t>
      </w:r>
      <w:r>
        <w:rPr>
          <w:w w:val="120"/>
        </w:rPr>
        <w:t>this</w:t>
      </w:r>
      <w:r>
        <w:rPr>
          <w:spacing w:val="-3"/>
          <w:w w:val="120"/>
        </w:rPr>
        <w:t> </w:t>
      </w:r>
      <w:r>
        <w:rPr>
          <w:w w:val="120"/>
        </w:rPr>
        <w:t>rule</w:t>
      </w:r>
      <w:r>
        <w:rPr>
          <w:spacing w:val="-3"/>
          <w:w w:val="120"/>
        </w:rPr>
        <w:t> </w:t>
      </w:r>
      <w:r>
        <w:rPr>
          <w:w w:val="120"/>
        </w:rPr>
        <w:t>or</w:t>
      </w:r>
      <w:r>
        <w:rPr>
          <w:spacing w:val="-2"/>
          <w:w w:val="120"/>
        </w:rPr>
        <w:t> </w:t>
      </w:r>
      <w:r>
        <w:rPr>
          <w:w w:val="120"/>
        </w:rPr>
        <w:t>that</w:t>
      </w:r>
      <w:r>
        <w:rPr>
          <w:spacing w:val="-3"/>
          <w:w w:val="120"/>
        </w:rPr>
        <w:t> </w:t>
      </w:r>
      <w:r>
        <w:rPr>
          <w:w w:val="120"/>
        </w:rPr>
        <w:t>deferral would </w:t>
      </w:r>
      <w:r>
        <w:rPr>
          <w:spacing w:val="-3"/>
          <w:w w:val="120"/>
        </w:rPr>
        <w:t>have </w:t>
      </w:r>
      <w:r>
        <w:rPr>
          <w:w w:val="120"/>
        </w:rPr>
        <w:t>the effect of annulling the motion. </w:t>
      </w:r>
      <w:r>
        <w:rPr>
          <w:spacing w:val="-7"/>
          <w:w w:val="120"/>
        </w:rPr>
        <w:t>To </w:t>
      </w:r>
      <w:r>
        <w:rPr>
          <w:w w:val="120"/>
        </w:rPr>
        <w:t>carry this motion, two-thirds of the votes cast must be given in its </w:t>
      </w:r>
      <w:r>
        <w:rPr>
          <w:spacing w:val="-3"/>
          <w:w w:val="120"/>
        </w:rPr>
        <w:t>favour. </w:t>
      </w:r>
      <w:r>
        <w:rPr>
          <w:w w:val="120"/>
        </w:rPr>
        <w:t>At the discretion of the Moderator, the</w:t>
      </w:r>
      <w:r>
        <w:rPr>
          <w:spacing w:val="-16"/>
          <w:w w:val="120"/>
        </w:rPr>
        <w:t> </w:t>
      </w:r>
      <w:r>
        <w:rPr>
          <w:w w:val="120"/>
        </w:rPr>
        <w:t>General</w:t>
      </w:r>
    </w:p>
    <w:p>
      <w:pPr>
        <w:pStyle w:val="BodyText"/>
        <w:spacing w:line="235" w:lineRule="auto" w:before="3"/>
        <w:ind w:left="607" w:right="2118"/>
      </w:pPr>
      <w:r>
        <w:rPr>
          <w:w w:val="120"/>
        </w:rPr>
        <w:t>Secretary may be instructed by a further motion, duly seconded, to refer the matter for consideration by other councils and/or by one or more committees of the Assembly.</w:t>
      </w:r>
    </w:p>
    <w:p>
      <w:pPr>
        <w:pStyle w:val="BodyText"/>
        <w:spacing w:line="235" w:lineRule="auto" w:before="2"/>
        <w:ind w:left="607" w:right="2354"/>
      </w:pPr>
      <w:r>
        <w:rPr>
          <w:w w:val="120"/>
        </w:rPr>
        <w:t>The General Secretary shall provide for the deferred motion to be represented at the next meeting of the General Assembly.</w:t>
      </w:r>
    </w:p>
    <w:p>
      <w:pPr>
        <w:pStyle w:val="BodyText"/>
        <w:spacing w:before="9"/>
        <w:rPr>
          <w:sz w:val="19"/>
        </w:rPr>
      </w:pPr>
    </w:p>
    <w:p>
      <w:pPr>
        <w:pStyle w:val="ListParagraph"/>
        <w:numPr>
          <w:ilvl w:val="1"/>
          <w:numId w:val="256"/>
        </w:numPr>
        <w:tabs>
          <w:tab w:pos="1287" w:val="left" w:leader="none"/>
          <w:tab w:pos="1288" w:val="left" w:leader="none"/>
        </w:tabs>
        <w:spacing w:line="235" w:lineRule="auto" w:before="0" w:after="0"/>
        <w:ind w:left="607" w:right="2074" w:firstLine="0"/>
        <w:jc w:val="left"/>
        <w:rPr>
          <w:sz w:val="20"/>
        </w:rPr>
      </w:pPr>
      <w:r>
        <w:rPr>
          <w:w w:val="120"/>
          <w:sz w:val="20"/>
        </w:rPr>
        <w:t>The motions described in Standing Orders 6.2, 6.3 and 6.4 above are exceptions to Standing Order 4.3, in that they may be moved and spoken to without the proposer having first obtained and announced the consent of a seconder. They must, </w:t>
      </w:r>
      <w:r>
        <w:rPr>
          <w:spacing w:val="-3"/>
          <w:w w:val="120"/>
          <w:sz w:val="20"/>
        </w:rPr>
        <w:t>however, </w:t>
      </w:r>
      <w:r>
        <w:rPr>
          <w:w w:val="120"/>
          <w:sz w:val="20"/>
        </w:rPr>
        <w:t>be seconded before being put to the vote. Precedence as between motions under </w:t>
      </w:r>
      <w:r>
        <w:rPr>
          <w:spacing w:val="-4"/>
          <w:w w:val="120"/>
          <w:sz w:val="20"/>
        </w:rPr>
        <w:t>6.1, </w:t>
      </w:r>
      <w:r>
        <w:rPr>
          <w:w w:val="120"/>
          <w:sz w:val="20"/>
        </w:rPr>
        <w:t>6.2, 6.3 and 6.4 is determined by the fact that after one of them is before the Assembly no other motion can be moved until that one has been dealt</w:t>
      </w:r>
      <w:r>
        <w:rPr>
          <w:spacing w:val="28"/>
          <w:w w:val="120"/>
          <w:sz w:val="20"/>
        </w:rPr>
        <w:t> </w:t>
      </w:r>
      <w:r>
        <w:rPr>
          <w:w w:val="120"/>
          <w:sz w:val="20"/>
        </w:rPr>
        <w:t>with.</w:t>
      </w:r>
    </w:p>
    <w:p>
      <w:pPr>
        <w:pStyle w:val="BodyText"/>
        <w:rPr>
          <w:sz w:val="24"/>
        </w:rPr>
      </w:pPr>
    </w:p>
    <w:p>
      <w:pPr>
        <w:pStyle w:val="BodyText"/>
        <w:spacing w:before="1"/>
        <w:rPr>
          <w:sz w:val="18"/>
        </w:rPr>
      </w:pPr>
    </w:p>
    <w:p>
      <w:pPr>
        <w:pStyle w:val="ListParagraph"/>
        <w:numPr>
          <w:ilvl w:val="0"/>
          <w:numId w:val="256"/>
        </w:numPr>
        <w:tabs>
          <w:tab w:pos="1287" w:val="left" w:leader="none"/>
          <w:tab w:pos="1288" w:val="left" w:leader="none"/>
        </w:tabs>
        <w:spacing w:line="240" w:lineRule="auto" w:before="0" w:after="0"/>
        <w:ind w:left="1287" w:right="0" w:hanging="681"/>
        <w:jc w:val="left"/>
        <w:rPr>
          <w:rFonts w:ascii="Stone Sans II ITC Std Bk"/>
          <w:b/>
          <w:sz w:val="29"/>
        </w:rPr>
      </w:pPr>
      <w:r>
        <w:rPr>
          <w:rFonts w:ascii="Stone Sans II ITC Std Bk"/>
          <w:b/>
          <w:w w:val="110"/>
          <w:sz w:val="29"/>
        </w:rPr>
        <w:t>Voting</w:t>
      </w:r>
    </w:p>
    <w:p>
      <w:pPr>
        <w:pStyle w:val="ListParagraph"/>
        <w:numPr>
          <w:ilvl w:val="1"/>
          <w:numId w:val="256"/>
        </w:numPr>
        <w:tabs>
          <w:tab w:pos="1287" w:val="left" w:leader="none"/>
          <w:tab w:pos="1288" w:val="left" w:leader="none"/>
        </w:tabs>
        <w:spacing w:line="235" w:lineRule="auto" w:before="69" w:after="0"/>
        <w:ind w:left="607" w:right="2477" w:firstLine="0"/>
        <w:jc w:val="left"/>
        <w:rPr>
          <w:sz w:val="20"/>
        </w:rPr>
      </w:pPr>
      <w:r>
        <w:rPr>
          <w:w w:val="120"/>
          <w:sz w:val="20"/>
        </w:rPr>
        <w:t>Voting on any motion whose effect is to alter, add to, modify or supersede the Basis, the Structure and any other form or expression of the polity and</w:t>
      </w:r>
      <w:r>
        <w:rPr>
          <w:spacing w:val="-6"/>
          <w:w w:val="120"/>
          <w:sz w:val="20"/>
        </w:rPr>
        <w:t> </w:t>
      </w:r>
      <w:r>
        <w:rPr>
          <w:w w:val="120"/>
          <w:sz w:val="20"/>
        </w:rPr>
        <w:t>doctrinal</w:t>
      </w:r>
    </w:p>
    <w:p>
      <w:pPr>
        <w:pStyle w:val="BodyText"/>
        <w:spacing w:line="235" w:lineRule="auto" w:before="2"/>
        <w:ind w:left="607" w:right="2045"/>
      </w:pPr>
      <w:r>
        <w:rPr>
          <w:w w:val="120"/>
        </w:rPr>
        <w:t>formulations of the United Reformed Church, is governed by paragraph 3(1) and (2) of the Structure.</w:t>
      </w:r>
    </w:p>
    <w:p>
      <w:pPr>
        <w:pStyle w:val="BodyText"/>
        <w:spacing w:before="9"/>
        <w:rPr>
          <w:sz w:val="19"/>
        </w:rPr>
      </w:pPr>
    </w:p>
    <w:p>
      <w:pPr>
        <w:pStyle w:val="ListParagraph"/>
        <w:numPr>
          <w:ilvl w:val="1"/>
          <w:numId w:val="256"/>
        </w:numPr>
        <w:tabs>
          <w:tab w:pos="1287" w:val="left" w:leader="none"/>
          <w:tab w:pos="1288" w:val="left" w:leader="none"/>
        </w:tabs>
        <w:spacing w:line="235" w:lineRule="auto" w:before="0" w:after="0"/>
        <w:ind w:left="607" w:right="2210" w:firstLine="0"/>
        <w:jc w:val="left"/>
        <w:rPr>
          <w:sz w:val="20"/>
        </w:rPr>
      </w:pPr>
      <w:r>
        <w:rPr>
          <w:w w:val="120"/>
          <w:sz w:val="20"/>
        </w:rPr>
        <w:t>Other motions before the Assembly, not subject to the consensus process, shall be determined by a majority of the votes of members of the Assembly present and voting as indicated by a show of voting cards,</w:t>
      </w:r>
      <w:r>
        <w:rPr>
          <w:spacing w:val="23"/>
          <w:w w:val="120"/>
          <w:sz w:val="20"/>
        </w:rPr>
        <w:t> </w:t>
      </w:r>
      <w:r>
        <w:rPr>
          <w:w w:val="120"/>
          <w:sz w:val="20"/>
        </w:rPr>
        <w:t>except:</w:t>
      </w:r>
    </w:p>
    <w:p>
      <w:pPr>
        <w:pStyle w:val="ListParagraph"/>
        <w:numPr>
          <w:ilvl w:val="2"/>
          <w:numId w:val="256"/>
        </w:numPr>
        <w:tabs>
          <w:tab w:pos="1288" w:val="left" w:leader="none"/>
        </w:tabs>
        <w:spacing w:line="235" w:lineRule="auto" w:before="2" w:after="0"/>
        <w:ind w:left="1287" w:right="2474" w:hanging="681"/>
        <w:jc w:val="left"/>
        <w:rPr>
          <w:sz w:val="20"/>
        </w:rPr>
      </w:pPr>
      <w:r>
        <w:rPr>
          <w:w w:val="120"/>
          <w:sz w:val="20"/>
        </w:rPr>
        <w:t>if the Assembly decides before the vote that a paper ballot be the method of voting</w:t>
      </w:r>
      <w:r>
        <w:rPr>
          <w:spacing w:val="2"/>
          <w:w w:val="120"/>
          <w:sz w:val="20"/>
        </w:rPr>
        <w:t> </w:t>
      </w:r>
      <w:r>
        <w:rPr>
          <w:w w:val="120"/>
          <w:sz w:val="20"/>
        </w:rPr>
        <w:t>or</w:t>
      </w:r>
    </w:p>
    <w:p>
      <w:pPr>
        <w:pStyle w:val="ListParagraph"/>
        <w:numPr>
          <w:ilvl w:val="2"/>
          <w:numId w:val="256"/>
        </w:numPr>
        <w:tabs>
          <w:tab w:pos="1288" w:val="left" w:leader="none"/>
        </w:tabs>
        <w:spacing w:line="235" w:lineRule="auto" w:before="2" w:after="0"/>
        <w:ind w:left="1287" w:right="2030" w:hanging="681"/>
        <w:jc w:val="left"/>
        <w:rPr>
          <w:sz w:val="20"/>
        </w:rPr>
      </w:pPr>
      <w:r>
        <w:rPr>
          <w:w w:val="120"/>
          <w:sz w:val="20"/>
        </w:rPr>
        <w:t>if the show of cards indicates a very close vote, and the Moderator decides, or a member of Assembly proposes and the Assembly agrees, that a paper ballot shall be the method of</w:t>
      </w:r>
      <w:r>
        <w:rPr>
          <w:spacing w:val="8"/>
          <w:w w:val="120"/>
          <w:sz w:val="20"/>
        </w:rPr>
        <w:t> </w:t>
      </w:r>
      <w:r>
        <w:rPr>
          <w:w w:val="120"/>
          <w:sz w:val="20"/>
        </w:rPr>
        <w:t>voting.</w:t>
      </w:r>
    </w:p>
    <w:p>
      <w:pPr>
        <w:pStyle w:val="BodyText"/>
        <w:spacing w:before="10"/>
        <w:rPr>
          <w:sz w:val="19"/>
        </w:rPr>
      </w:pPr>
    </w:p>
    <w:p>
      <w:pPr>
        <w:pStyle w:val="ListParagraph"/>
        <w:numPr>
          <w:ilvl w:val="1"/>
          <w:numId w:val="256"/>
        </w:numPr>
        <w:tabs>
          <w:tab w:pos="1287" w:val="left" w:leader="none"/>
          <w:tab w:pos="1288" w:val="left" w:leader="none"/>
        </w:tabs>
        <w:spacing w:line="235" w:lineRule="auto" w:before="0" w:after="0"/>
        <w:ind w:left="607" w:right="2032" w:firstLine="0"/>
        <w:jc w:val="left"/>
        <w:rPr>
          <w:sz w:val="20"/>
        </w:rPr>
      </w:pPr>
      <w:r>
        <w:rPr>
          <w:spacing w:val="-7"/>
          <w:w w:val="120"/>
          <w:sz w:val="20"/>
        </w:rPr>
        <w:t>To </w:t>
      </w:r>
      <w:r>
        <w:rPr>
          <w:w w:val="120"/>
          <w:sz w:val="20"/>
        </w:rPr>
        <w:t>provide for voting in the case of a paper ballot, and to assist in taking a count of votes when the Moderator decides this is necessary, the nominations committee</w:t>
      </w:r>
      <w:r>
        <w:rPr>
          <w:spacing w:val="-28"/>
          <w:w w:val="120"/>
          <w:sz w:val="20"/>
        </w:rPr>
        <w:t> </w:t>
      </w:r>
      <w:r>
        <w:rPr>
          <w:w w:val="120"/>
          <w:sz w:val="20"/>
        </w:rPr>
        <w:t>shall appoint tellers for each</w:t>
      </w:r>
      <w:r>
        <w:rPr>
          <w:spacing w:val="6"/>
          <w:w w:val="120"/>
          <w:sz w:val="20"/>
        </w:rPr>
        <w:t> </w:t>
      </w:r>
      <w:r>
        <w:rPr>
          <w:w w:val="120"/>
          <w:sz w:val="20"/>
        </w:rPr>
        <w:t>Assembly.</w:t>
      </w:r>
    </w:p>
    <w:p>
      <w:pPr>
        <w:pStyle w:val="BodyText"/>
        <w:spacing w:before="10"/>
        <w:rPr>
          <w:sz w:val="19"/>
        </w:rPr>
      </w:pPr>
    </w:p>
    <w:p>
      <w:pPr>
        <w:pStyle w:val="ListParagraph"/>
        <w:numPr>
          <w:ilvl w:val="1"/>
          <w:numId w:val="256"/>
        </w:numPr>
        <w:tabs>
          <w:tab w:pos="1287" w:val="left" w:leader="none"/>
          <w:tab w:pos="1288" w:val="left" w:leader="none"/>
        </w:tabs>
        <w:spacing w:line="235" w:lineRule="auto" w:before="0" w:after="0"/>
        <w:ind w:left="607" w:right="2778" w:firstLine="0"/>
        <w:jc w:val="left"/>
        <w:rPr>
          <w:sz w:val="20"/>
        </w:rPr>
      </w:pPr>
      <w:r>
        <w:rPr>
          <w:w w:val="120"/>
          <w:sz w:val="20"/>
        </w:rPr>
        <w:t>Any electronic voting system approved by the Assembly arrangements committee shall be deemed to meet the requirements of these Standing</w:t>
      </w:r>
      <w:r>
        <w:rPr>
          <w:spacing w:val="24"/>
          <w:w w:val="120"/>
          <w:sz w:val="20"/>
        </w:rPr>
        <w:t> </w:t>
      </w:r>
      <w:r>
        <w:rPr>
          <w:w w:val="120"/>
          <w:sz w:val="20"/>
        </w:rPr>
        <w:t>Orders.</w:t>
      </w:r>
    </w:p>
    <w:p>
      <w:pPr>
        <w:pStyle w:val="BodyText"/>
        <w:rPr>
          <w:sz w:val="24"/>
        </w:rPr>
      </w:pPr>
    </w:p>
    <w:p>
      <w:pPr>
        <w:pStyle w:val="BodyText"/>
        <w:spacing w:before="10"/>
        <w:rPr>
          <w:sz w:val="17"/>
        </w:rPr>
      </w:pPr>
    </w:p>
    <w:p>
      <w:pPr>
        <w:pStyle w:val="ListParagraph"/>
        <w:numPr>
          <w:ilvl w:val="0"/>
          <w:numId w:val="256"/>
        </w:numPr>
        <w:tabs>
          <w:tab w:pos="1287" w:val="left" w:leader="none"/>
          <w:tab w:pos="1288" w:val="left" w:leader="none"/>
        </w:tabs>
        <w:spacing w:line="240" w:lineRule="auto" w:before="0" w:after="0"/>
        <w:ind w:left="1287" w:right="0" w:hanging="681"/>
        <w:jc w:val="left"/>
        <w:rPr>
          <w:rFonts w:ascii="Stone Sans II ITC Std Bk"/>
          <w:b/>
          <w:sz w:val="29"/>
        </w:rPr>
      </w:pPr>
      <w:r>
        <w:rPr>
          <w:rFonts w:ascii="Stone Sans II ITC Std Bk"/>
          <w:b/>
          <w:spacing w:val="3"/>
          <w:w w:val="110"/>
          <w:sz w:val="29"/>
        </w:rPr>
        <w:t>Questions</w:t>
      </w:r>
    </w:p>
    <w:p>
      <w:pPr>
        <w:pStyle w:val="ListParagraph"/>
        <w:numPr>
          <w:ilvl w:val="1"/>
          <w:numId w:val="256"/>
        </w:numPr>
        <w:tabs>
          <w:tab w:pos="1287" w:val="left" w:leader="none"/>
          <w:tab w:pos="1288" w:val="left" w:leader="none"/>
        </w:tabs>
        <w:spacing w:line="235" w:lineRule="auto" w:before="69" w:after="0"/>
        <w:ind w:left="607" w:right="2384" w:firstLine="0"/>
        <w:jc w:val="left"/>
        <w:rPr>
          <w:sz w:val="20"/>
        </w:rPr>
      </w:pPr>
      <w:r>
        <w:rPr>
          <w:w w:val="120"/>
          <w:sz w:val="20"/>
        </w:rPr>
        <w:t>A member </w:t>
      </w:r>
      <w:r>
        <w:rPr>
          <w:spacing w:val="-5"/>
          <w:w w:val="120"/>
          <w:sz w:val="20"/>
        </w:rPr>
        <w:t>may, </w:t>
      </w:r>
      <w:r>
        <w:rPr>
          <w:w w:val="120"/>
          <w:sz w:val="20"/>
        </w:rPr>
        <w:t>if two </w:t>
      </w:r>
      <w:r>
        <w:rPr>
          <w:spacing w:val="-3"/>
          <w:w w:val="120"/>
          <w:sz w:val="20"/>
        </w:rPr>
        <w:t>days’ </w:t>
      </w:r>
      <w:r>
        <w:rPr>
          <w:w w:val="120"/>
          <w:sz w:val="20"/>
        </w:rPr>
        <w:t>notice in writing has been given to the General Secretary, ask the Moderator or the convenor of any committee any question on any matter relating to the business of the Assembly to which no reference is made in any report before the</w:t>
      </w:r>
      <w:r>
        <w:rPr>
          <w:spacing w:val="5"/>
          <w:w w:val="120"/>
          <w:sz w:val="20"/>
        </w:rPr>
        <w:t> </w:t>
      </w:r>
      <w:r>
        <w:rPr>
          <w:w w:val="120"/>
          <w:sz w:val="20"/>
        </w:rPr>
        <w:t>Assembly.</w:t>
      </w:r>
    </w:p>
    <w:p>
      <w:pPr>
        <w:pStyle w:val="BodyText"/>
        <w:spacing w:before="11"/>
        <w:rPr>
          <w:sz w:val="19"/>
        </w:rPr>
      </w:pPr>
    </w:p>
    <w:p>
      <w:pPr>
        <w:pStyle w:val="ListParagraph"/>
        <w:numPr>
          <w:ilvl w:val="1"/>
          <w:numId w:val="256"/>
        </w:numPr>
        <w:tabs>
          <w:tab w:pos="1287" w:val="left" w:leader="none"/>
          <w:tab w:pos="1288" w:val="left" w:leader="none"/>
        </w:tabs>
        <w:spacing w:line="235" w:lineRule="auto" w:before="0" w:after="0"/>
        <w:ind w:left="607" w:right="2393" w:firstLine="0"/>
        <w:jc w:val="left"/>
        <w:rPr>
          <w:sz w:val="20"/>
        </w:rPr>
      </w:pPr>
      <w:r>
        <w:rPr>
          <w:w w:val="120"/>
          <w:sz w:val="20"/>
        </w:rPr>
        <w:t>A member </w:t>
      </w:r>
      <w:r>
        <w:rPr>
          <w:spacing w:val="-5"/>
          <w:w w:val="120"/>
          <w:sz w:val="20"/>
        </w:rPr>
        <w:t>may, </w:t>
      </w:r>
      <w:r>
        <w:rPr>
          <w:w w:val="120"/>
          <w:sz w:val="20"/>
        </w:rPr>
        <w:t>when given opportunity by the Moderator, ask the presenter of any report before the Assembly a question seeking additional information or explanation relating to matters contained within the</w:t>
      </w:r>
      <w:r>
        <w:rPr>
          <w:spacing w:val="14"/>
          <w:w w:val="120"/>
          <w:sz w:val="20"/>
        </w:rPr>
        <w:t> </w:t>
      </w:r>
      <w:r>
        <w:rPr>
          <w:w w:val="120"/>
          <w:sz w:val="20"/>
        </w:rPr>
        <w:t>report.</w:t>
      </w:r>
    </w:p>
    <w:p>
      <w:pPr>
        <w:pStyle w:val="BodyText"/>
        <w:spacing w:before="11"/>
        <w:rPr>
          <w:sz w:val="19"/>
        </w:rPr>
      </w:pPr>
    </w:p>
    <w:p>
      <w:pPr>
        <w:pStyle w:val="ListParagraph"/>
        <w:numPr>
          <w:ilvl w:val="1"/>
          <w:numId w:val="256"/>
        </w:numPr>
        <w:tabs>
          <w:tab w:pos="1287" w:val="left" w:leader="none"/>
          <w:tab w:pos="1288" w:val="left" w:leader="none"/>
        </w:tabs>
        <w:spacing w:line="235" w:lineRule="auto" w:before="0" w:after="0"/>
        <w:ind w:left="607" w:right="2266" w:firstLine="0"/>
        <w:jc w:val="left"/>
        <w:rPr>
          <w:sz w:val="20"/>
        </w:rPr>
      </w:pPr>
      <w:r>
        <w:rPr>
          <w:w w:val="120"/>
          <w:sz w:val="20"/>
        </w:rPr>
        <w:t>Questions asked under Standing Orders </w:t>
      </w:r>
      <w:r>
        <w:rPr>
          <w:spacing w:val="-5"/>
          <w:w w:val="120"/>
          <w:sz w:val="20"/>
        </w:rPr>
        <w:t>8.1 </w:t>
      </w:r>
      <w:r>
        <w:rPr>
          <w:w w:val="120"/>
          <w:sz w:val="20"/>
        </w:rPr>
        <w:t>and 8.2 shall be put and answered without</w:t>
      </w:r>
      <w:r>
        <w:rPr>
          <w:spacing w:val="2"/>
          <w:w w:val="120"/>
          <w:sz w:val="20"/>
        </w:rPr>
        <w:t> </w:t>
      </w:r>
      <w:r>
        <w:rPr>
          <w:w w:val="120"/>
          <w:sz w:val="20"/>
        </w:rPr>
        <w:t>discussion.</w:t>
      </w:r>
    </w:p>
    <w:p>
      <w:pPr>
        <w:pStyle w:val="BodyText"/>
        <w:spacing w:before="1"/>
        <w:rPr>
          <w:sz w:val="22"/>
        </w:rPr>
      </w:pPr>
    </w:p>
    <w:p>
      <w:pPr>
        <w:pStyle w:val="ListParagraph"/>
        <w:numPr>
          <w:ilvl w:val="0"/>
          <w:numId w:val="256"/>
        </w:numPr>
        <w:tabs>
          <w:tab w:pos="1287" w:val="left" w:leader="none"/>
          <w:tab w:pos="1288" w:val="left" w:leader="none"/>
        </w:tabs>
        <w:spacing w:line="240" w:lineRule="auto" w:before="1" w:after="0"/>
        <w:ind w:left="1287" w:right="0" w:hanging="681"/>
        <w:jc w:val="left"/>
        <w:rPr>
          <w:rFonts w:ascii="Stone Sans II ITC Std Bk"/>
          <w:b/>
          <w:sz w:val="29"/>
        </w:rPr>
      </w:pPr>
      <w:r>
        <w:rPr>
          <w:rFonts w:ascii="Stone Sans II ITC Std Bk"/>
          <w:b/>
          <w:spacing w:val="3"/>
          <w:w w:val="110"/>
          <w:sz w:val="29"/>
        </w:rPr>
        <w:t>Points </w:t>
      </w:r>
      <w:r>
        <w:rPr>
          <w:rFonts w:ascii="Stone Sans II ITC Std Bk"/>
          <w:b/>
          <w:w w:val="110"/>
          <w:sz w:val="29"/>
        </w:rPr>
        <w:t>of order, </w:t>
      </w:r>
      <w:r>
        <w:rPr>
          <w:rFonts w:ascii="Stone Sans II ITC Std Bk"/>
          <w:b/>
          <w:spacing w:val="4"/>
          <w:w w:val="110"/>
          <w:sz w:val="29"/>
        </w:rPr>
        <w:t>personal </w:t>
      </w:r>
      <w:r>
        <w:rPr>
          <w:rFonts w:ascii="Stone Sans II ITC Std Bk"/>
          <w:b/>
          <w:spacing w:val="3"/>
          <w:w w:val="110"/>
          <w:sz w:val="29"/>
        </w:rPr>
        <w:t>explanations,</w:t>
      </w:r>
      <w:r>
        <w:rPr>
          <w:rFonts w:ascii="Stone Sans II ITC Std Bk"/>
          <w:b/>
          <w:spacing w:val="61"/>
          <w:w w:val="110"/>
          <w:sz w:val="29"/>
        </w:rPr>
        <w:t> </w:t>
      </w:r>
      <w:r>
        <w:rPr>
          <w:rFonts w:ascii="Stone Sans II ITC Std Bk"/>
          <w:b/>
          <w:spacing w:val="2"/>
          <w:w w:val="110"/>
          <w:sz w:val="29"/>
        </w:rPr>
        <w:t>dissent</w:t>
      </w:r>
    </w:p>
    <w:p>
      <w:pPr>
        <w:pStyle w:val="ListParagraph"/>
        <w:numPr>
          <w:ilvl w:val="1"/>
          <w:numId w:val="256"/>
        </w:numPr>
        <w:tabs>
          <w:tab w:pos="1287" w:val="left" w:leader="none"/>
          <w:tab w:pos="1288" w:val="left" w:leader="none"/>
        </w:tabs>
        <w:spacing w:line="235" w:lineRule="auto" w:before="69" w:after="0"/>
        <w:ind w:left="607" w:right="2249" w:firstLine="0"/>
        <w:jc w:val="left"/>
        <w:rPr>
          <w:sz w:val="20"/>
        </w:rPr>
      </w:pPr>
      <w:r>
        <w:rPr>
          <w:w w:val="120"/>
          <w:sz w:val="20"/>
        </w:rPr>
        <w:t>A member shall </w:t>
      </w:r>
      <w:r>
        <w:rPr>
          <w:spacing w:val="-3"/>
          <w:w w:val="120"/>
          <w:sz w:val="20"/>
        </w:rPr>
        <w:t>have </w:t>
      </w:r>
      <w:r>
        <w:rPr>
          <w:w w:val="120"/>
          <w:sz w:val="20"/>
        </w:rPr>
        <w:t>the right to rise and call attention to a point of order, and immediately on this being done any other member addressing the Assembly</w:t>
      </w:r>
      <w:r>
        <w:rPr>
          <w:spacing w:val="46"/>
          <w:w w:val="120"/>
          <w:sz w:val="20"/>
        </w:rPr>
        <w:t> </w:t>
      </w:r>
      <w:r>
        <w:rPr>
          <w:w w:val="120"/>
          <w:sz w:val="20"/>
        </w:rPr>
        <w:t>shall</w:t>
      </w:r>
    </w:p>
    <w:p>
      <w:pPr>
        <w:spacing w:after="0" w:line="235" w:lineRule="auto"/>
        <w:jc w:val="left"/>
        <w:rPr>
          <w:sz w:val="20"/>
        </w:rPr>
        <w:sectPr>
          <w:headerReference w:type="even" r:id="rId667"/>
          <w:footerReference w:type="even" r:id="rId668"/>
          <w:footerReference w:type="default" r:id="rId669"/>
          <w:pgSz w:w="11910" w:h="16840"/>
          <w:pgMar w:header="0" w:footer="647" w:top="0" w:bottom="840" w:left="640" w:right="0"/>
          <w:pgNumType w:start="254"/>
        </w:sectPr>
      </w:pPr>
    </w:p>
    <w:p>
      <w:pPr>
        <w:pStyle w:val="BodyText"/>
      </w:pPr>
      <w:r>
        <w:rPr/>
        <w:drawing>
          <wp:anchor distT="0" distB="0" distL="0" distR="0" allowOverlap="1" layoutInCell="1" locked="0" behindDoc="0" simplePos="0" relativeHeight="252443648">
            <wp:simplePos x="0" y="0"/>
            <wp:positionH relativeFrom="page">
              <wp:posOffset>6974928</wp:posOffset>
            </wp:positionH>
            <wp:positionV relativeFrom="page">
              <wp:posOffset>0</wp:posOffset>
            </wp:positionV>
            <wp:extent cx="585076" cy="10692003"/>
            <wp:effectExtent l="0" t="0" r="0" b="0"/>
            <wp:wrapNone/>
            <wp:docPr id="475" name="image80.png"/>
            <wp:cNvGraphicFramePr>
              <a:graphicFrameLocks noChangeAspect="1"/>
            </wp:cNvGraphicFramePr>
            <a:graphic>
              <a:graphicData uri="http://schemas.openxmlformats.org/drawingml/2006/picture">
                <pic:pic>
                  <pic:nvPicPr>
                    <pic:cNvPr id="476" name="image80.png"/>
                    <pic:cNvPicPr/>
                  </pic:nvPicPr>
                  <pic:blipFill>
                    <a:blip r:embed="rId658" cstate="print"/>
                    <a:stretch>
                      <a:fillRect/>
                    </a:stretch>
                  </pic:blipFill>
                  <pic:spPr>
                    <a:xfrm>
                      <a:off x="0" y="0"/>
                      <a:ext cx="585076" cy="10692003"/>
                    </a:xfrm>
                    <a:prstGeom prst="rect">
                      <a:avLst/>
                    </a:prstGeom>
                  </pic:spPr>
                </pic:pic>
              </a:graphicData>
            </a:graphic>
          </wp:anchor>
        </w:drawing>
      </w:r>
    </w:p>
    <w:p>
      <w:pPr>
        <w:pStyle w:val="BodyText"/>
        <w:spacing w:before="7"/>
        <w:rPr>
          <w:sz w:val="21"/>
        </w:rPr>
      </w:pPr>
    </w:p>
    <w:p>
      <w:pPr>
        <w:spacing w:before="106"/>
        <w:ind w:left="0" w:right="1245" w:firstLine="0"/>
        <w:jc w:val="right"/>
        <w:rPr>
          <w:sz w:val="26"/>
        </w:rPr>
      </w:pPr>
      <w:r>
        <w:rPr/>
        <w:pict>
          <v:shape style="position:absolute;margin-left:554.141174pt;margin-top:22.593945pt;width:25.9pt;height:168.3pt;mso-position-horizontal-relative:page;mso-position-vertical-relative:paragraph;z-index:252444672" type="#_x0000_t202" filled="false" stroked="false">
            <v:textbox inset="0,0,0,0" style="layout-flow:vertical">
              <w:txbxContent>
                <w:p>
                  <w:pPr>
                    <w:spacing w:before="27"/>
                    <w:ind w:left="20" w:right="0" w:firstLine="0"/>
                    <w:jc w:val="left"/>
                    <w:rPr>
                      <w:sz w:val="39"/>
                    </w:rPr>
                  </w:pPr>
                  <w:r>
                    <w:rPr>
                      <w:color w:val="FFFFFF"/>
                      <w:w w:val="125"/>
                      <w:sz w:val="39"/>
                    </w:rPr>
                    <w:t>Standing Orders</w:t>
                  </w:r>
                </w:p>
              </w:txbxContent>
            </v:textbox>
            <w10:wrap type="none"/>
          </v:shape>
        </w:pict>
      </w:r>
      <w:r>
        <w:rPr>
          <w:color w:val="7EAABF"/>
          <w:w w:val="120"/>
          <w:sz w:val="26"/>
        </w:rPr>
        <w:t>Standing Orders</w:t>
      </w:r>
    </w:p>
    <w:p>
      <w:pPr>
        <w:pStyle w:val="BodyText"/>
        <w:spacing w:line="235" w:lineRule="auto" w:before="222"/>
        <w:ind w:left="1344" w:right="1217"/>
      </w:pPr>
      <w:r>
        <w:rPr>
          <w:w w:val="120"/>
        </w:rPr>
        <w:t>cease speaking until the Moderator has determined the question of order. The decision on any point of order rests entirely with the Moderator. Any member calling to order unnecessarily is liable to censure of the Assembly.</w:t>
      </w:r>
    </w:p>
    <w:p>
      <w:pPr>
        <w:pStyle w:val="BodyText"/>
        <w:spacing w:before="10"/>
        <w:rPr>
          <w:sz w:val="19"/>
        </w:rPr>
      </w:pPr>
    </w:p>
    <w:p>
      <w:pPr>
        <w:pStyle w:val="ListParagraph"/>
        <w:numPr>
          <w:ilvl w:val="1"/>
          <w:numId w:val="256"/>
        </w:numPr>
        <w:tabs>
          <w:tab w:pos="2025" w:val="left" w:leader="none"/>
        </w:tabs>
        <w:spacing w:line="235" w:lineRule="auto" w:before="0" w:after="0"/>
        <w:ind w:left="1344" w:right="1540" w:firstLine="0"/>
        <w:jc w:val="both"/>
        <w:rPr>
          <w:sz w:val="20"/>
        </w:rPr>
      </w:pPr>
      <w:r>
        <w:rPr>
          <w:w w:val="120"/>
          <w:sz w:val="20"/>
        </w:rPr>
        <w:t>A member feeling that some material part of a former speech by such member at the same meeting has been misunderstood or is being grossly misinterpreted</w:t>
      </w:r>
      <w:r>
        <w:rPr>
          <w:spacing w:val="45"/>
          <w:w w:val="120"/>
          <w:sz w:val="20"/>
        </w:rPr>
        <w:t> </w:t>
      </w:r>
      <w:r>
        <w:rPr>
          <w:w w:val="120"/>
          <w:sz w:val="20"/>
        </w:rPr>
        <w:t>by</w:t>
      </w:r>
    </w:p>
    <w:p>
      <w:pPr>
        <w:pStyle w:val="BodyText"/>
        <w:spacing w:line="235" w:lineRule="auto" w:before="1"/>
        <w:ind w:left="1344" w:right="1764"/>
        <w:jc w:val="both"/>
      </w:pPr>
      <w:r>
        <w:rPr>
          <w:w w:val="120"/>
        </w:rPr>
        <w:t>a</w:t>
      </w:r>
      <w:r>
        <w:rPr>
          <w:spacing w:val="-6"/>
          <w:w w:val="120"/>
        </w:rPr>
        <w:t> </w:t>
      </w:r>
      <w:r>
        <w:rPr>
          <w:w w:val="120"/>
        </w:rPr>
        <w:t>later</w:t>
      </w:r>
      <w:r>
        <w:rPr>
          <w:spacing w:val="-5"/>
          <w:w w:val="120"/>
        </w:rPr>
        <w:t> </w:t>
      </w:r>
      <w:r>
        <w:rPr>
          <w:w w:val="120"/>
        </w:rPr>
        <w:t>speaker</w:t>
      </w:r>
      <w:r>
        <w:rPr>
          <w:spacing w:val="-5"/>
          <w:w w:val="120"/>
        </w:rPr>
        <w:t> </w:t>
      </w:r>
      <w:r>
        <w:rPr>
          <w:w w:val="120"/>
        </w:rPr>
        <w:t>may</w:t>
      </w:r>
      <w:r>
        <w:rPr>
          <w:spacing w:val="-5"/>
          <w:w w:val="120"/>
        </w:rPr>
        <w:t> </w:t>
      </w:r>
      <w:r>
        <w:rPr>
          <w:w w:val="120"/>
        </w:rPr>
        <w:t>rise</w:t>
      </w:r>
      <w:r>
        <w:rPr>
          <w:spacing w:val="-5"/>
          <w:w w:val="120"/>
        </w:rPr>
        <w:t> </w:t>
      </w:r>
      <w:r>
        <w:rPr>
          <w:w w:val="120"/>
        </w:rPr>
        <w:t>and</w:t>
      </w:r>
      <w:r>
        <w:rPr>
          <w:spacing w:val="-5"/>
          <w:w w:val="120"/>
        </w:rPr>
        <w:t> </w:t>
      </w:r>
      <w:r>
        <w:rPr>
          <w:w w:val="120"/>
        </w:rPr>
        <w:t>request</w:t>
      </w:r>
      <w:r>
        <w:rPr>
          <w:spacing w:val="-5"/>
          <w:w w:val="120"/>
        </w:rPr>
        <w:t> </w:t>
      </w:r>
      <w:r>
        <w:rPr>
          <w:w w:val="120"/>
        </w:rPr>
        <w:t>the</w:t>
      </w:r>
      <w:r>
        <w:rPr>
          <w:spacing w:val="-6"/>
          <w:w w:val="120"/>
        </w:rPr>
        <w:t> </w:t>
      </w:r>
      <w:r>
        <w:rPr>
          <w:spacing w:val="-3"/>
          <w:w w:val="120"/>
        </w:rPr>
        <w:t>Moderator’s</w:t>
      </w:r>
      <w:r>
        <w:rPr>
          <w:spacing w:val="-5"/>
          <w:w w:val="120"/>
        </w:rPr>
        <w:t> </w:t>
      </w:r>
      <w:r>
        <w:rPr>
          <w:w w:val="120"/>
        </w:rPr>
        <w:t>permission</w:t>
      </w:r>
      <w:r>
        <w:rPr>
          <w:spacing w:val="-5"/>
          <w:w w:val="120"/>
        </w:rPr>
        <w:t> </w:t>
      </w:r>
      <w:r>
        <w:rPr>
          <w:w w:val="120"/>
        </w:rPr>
        <w:t>to</w:t>
      </w:r>
      <w:r>
        <w:rPr>
          <w:spacing w:val="-5"/>
          <w:w w:val="120"/>
        </w:rPr>
        <w:t> </w:t>
      </w:r>
      <w:r>
        <w:rPr>
          <w:w w:val="120"/>
        </w:rPr>
        <w:t>make</w:t>
      </w:r>
      <w:r>
        <w:rPr>
          <w:spacing w:val="-5"/>
          <w:w w:val="120"/>
        </w:rPr>
        <w:t> </w:t>
      </w:r>
      <w:r>
        <w:rPr>
          <w:w w:val="120"/>
        </w:rPr>
        <w:t>a</w:t>
      </w:r>
      <w:r>
        <w:rPr>
          <w:spacing w:val="-5"/>
          <w:w w:val="120"/>
        </w:rPr>
        <w:t> </w:t>
      </w:r>
      <w:r>
        <w:rPr>
          <w:w w:val="120"/>
        </w:rPr>
        <w:t>personal explanation. If the Moderator so permits, a member so rising shall be entitled to be heard</w:t>
      </w:r>
      <w:r>
        <w:rPr>
          <w:spacing w:val="1"/>
          <w:w w:val="120"/>
        </w:rPr>
        <w:t> </w:t>
      </w:r>
      <w:r>
        <w:rPr>
          <w:w w:val="120"/>
        </w:rPr>
        <w:t>forthwith.</w:t>
      </w:r>
    </w:p>
    <w:p>
      <w:pPr>
        <w:pStyle w:val="BodyText"/>
        <w:spacing w:before="10"/>
        <w:rPr>
          <w:sz w:val="19"/>
        </w:rPr>
      </w:pPr>
    </w:p>
    <w:p>
      <w:pPr>
        <w:pStyle w:val="ListParagraph"/>
        <w:numPr>
          <w:ilvl w:val="1"/>
          <w:numId w:val="256"/>
        </w:numPr>
        <w:tabs>
          <w:tab w:pos="2024" w:val="left" w:leader="none"/>
          <w:tab w:pos="2025" w:val="left" w:leader="none"/>
        </w:tabs>
        <w:spacing w:line="235" w:lineRule="auto" w:before="1" w:after="0"/>
        <w:ind w:left="1344" w:right="1302" w:firstLine="0"/>
        <w:jc w:val="left"/>
        <w:rPr>
          <w:sz w:val="20"/>
        </w:rPr>
      </w:pPr>
      <w:r>
        <w:rPr>
          <w:w w:val="120"/>
          <w:sz w:val="20"/>
        </w:rPr>
        <w:t>The right to record in the minutes a dissent from any decision of the Assembly shall only be granted to a member by the Moderator if the reason stated, either verbally at the time or later in writing, appears to the Moderator to fall within the provisions of paragraph 10 of the Basis of</w:t>
      </w:r>
      <w:r>
        <w:rPr>
          <w:spacing w:val="11"/>
          <w:w w:val="120"/>
          <w:sz w:val="20"/>
        </w:rPr>
        <w:t> </w:t>
      </w:r>
      <w:r>
        <w:rPr>
          <w:w w:val="120"/>
          <w:sz w:val="20"/>
        </w:rPr>
        <w:t>Union.</w:t>
      </w:r>
    </w:p>
    <w:p>
      <w:pPr>
        <w:pStyle w:val="BodyText"/>
        <w:spacing w:before="10"/>
        <w:rPr>
          <w:sz w:val="19"/>
        </w:rPr>
      </w:pPr>
    </w:p>
    <w:p>
      <w:pPr>
        <w:pStyle w:val="ListParagraph"/>
        <w:numPr>
          <w:ilvl w:val="1"/>
          <w:numId w:val="256"/>
        </w:numPr>
        <w:tabs>
          <w:tab w:pos="2025" w:val="left" w:leader="none"/>
        </w:tabs>
        <w:spacing w:line="235" w:lineRule="auto" w:before="1" w:after="0"/>
        <w:ind w:left="1344" w:right="1584" w:firstLine="0"/>
        <w:jc w:val="both"/>
        <w:rPr>
          <w:sz w:val="20"/>
        </w:rPr>
      </w:pPr>
      <w:r>
        <w:rPr>
          <w:w w:val="120"/>
          <w:sz w:val="20"/>
        </w:rPr>
        <w:t>The decision of the Moderator on a point of order, or on the admissibility of a personal explanation, or on the right to </w:t>
      </w:r>
      <w:r>
        <w:rPr>
          <w:spacing w:val="-3"/>
          <w:w w:val="120"/>
          <w:sz w:val="20"/>
        </w:rPr>
        <w:t>have </w:t>
      </w:r>
      <w:r>
        <w:rPr>
          <w:w w:val="120"/>
          <w:sz w:val="20"/>
        </w:rPr>
        <w:t>a dissent recorded, shall not be open to discussion.</w:t>
      </w:r>
    </w:p>
    <w:p>
      <w:pPr>
        <w:pStyle w:val="BodyText"/>
        <w:rPr>
          <w:sz w:val="24"/>
        </w:rPr>
      </w:pPr>
    </w:p>
    <w:p>
      <w:pPr>
        <w:pStyle w:val="BodyText"/>
        <w:spacing w:before="10"/>
        <w:rPr>
          <w:sz w:val="17"/>
        </w:rPr>
      </w:pPr>
    </w:p>
    <w:p>
      <w:pPr>
        <w:pStyle w:val="ListParagraph"/>
        <w:numPr>
          <w:ilvl w:val="0"/>
          <w:numId w:val="256"/>
        </w:numPr>
        <w:tabs>
          <w:tab w:pos="2025" w:val="left" w:leader="none"/>
        </w:tabs>
        <w:spacing w:line="240" w:lineRule="auto" w:before="0" w:after="0"/>
        <w:ind w:left="2024" w:right="0" w:hanging="681"/>
        <w:jc w:val="left"/>
        <w:rPr>
          <w:rFonts w:ascii="Stone Sans II ITC Std Bk"/>
          <w:b/>
          <w:sz w:val="29"/>
        </w:rPr>
      </w:pPr>
      <w:r>
        <w:rPr>
          <w:rFonts w:ascii="Stone Sans II ITC Std Bk"/>
          <w:b/>
          <w:spacing w:val="3"/>
          <w:w w:val="110"/>
          <w:sz w:val="29"/>
        </w:rPr>
        <w:t>Admission </w:t>
      </w:r>
      <w:r>
        <w:rPr>
          <w:rFonts w:ascii="Stone Sans II ITC Std Bk"/>
          <w:b/>
          <w:w w:val="110"/>
          <w:sz w:val="29"/>
        </w:rPr>
        <w:t>of </w:t>
      </w:r>
      <w:r>
        <w:rPr>
          <w:rFonts w:ascii="Stone Sans II ITC Std Bk"/>
          <w:b/>
          <w:spacing w:val="3"/>
          <w:w w:val="110"/>
          <w:sz w:val="29"/>
        </w:rPr>
        <w:t>public and</w:t>
      </w:r>
      <w:r>
        <w:rPr>
          <w:rFonts w:ascii="Stone Sans II ITC Std Bk"/>
          <w:b/>
          <w:spacing w:val="45"/>
          <w:w w:val="110"/>
          <w:sz w:val="29"/>
        </w:rPr>
        <w:t> </w:t>
      </w:r>
      <w:r>
        <w:rPr>
          <w:rFonts w:ascii="Stone Sans II ITC Std Bk"/>
          <w:b/>
          <w:spacing w:val="3"/>
          <w:w w:val="110"/>
          <w:sz w:val="29"/>
        </w:rPr>
        <w:t>press</w:t>
      </w:r>
    </w:p>
    <w:p>
      <w:pPr>
        <w:pStyle w:val="ListParagraph"/>
        <w:numPr>
          <w:ilvl w:val="1"/>
          <w:numId w:val="256"/>
        </w:numPr>
        <w:tabs>
          <w:tab w:pos="2025" w:val="left" w:leader="none"/>
        </w:tabs>
        <w:spacing w:line="235" w:lineRule="auto" w:before="69" w:after="0"/>
        <w:ind w:left="1344" w:right="1426" w:firstLine="0"/>
        <w:jc w:val="both"/>
        <w:rPr>
          <w:sz w:val="20"/>
        </w:rPr>
      </w:pPr>
      <w:r>
        <w:rPr>
          <w:w w:val="120"/>
          <w:sz w:val="20"/>
        </w:rPr>
        <w:t>Members of the public and representatives of the press shall be admitted to the Assembly unless the Assembly otherwise decides, and they shall occupy such places as are assigned to</w:t>
      </w:r>
      <w:r>
        <w:rPr>
          <w:spacing w:val="5"/>
          <w:w w:val="120"/>
          <w:sz w:val="20"/>
        </w:rPr>
        <w:t> </w:t>
      </w:r>
      <w:r>
        <w:rPr>
          <w:w w:val="120"/>
          <w:sz w:val="20"/>
        </w:rPr>
        <w:t>them.</w:t>
      </w:r>
    </w:p>
    <w:p>
      <w:pPr>
        <w:pStyle w:val="BodyText"/>
        <w:rPr>
          <w:sz w:val="24"/>
        </w:rPr>
      </w:pPr>
    </w:p>
    <w:p>
      <w:pPr>
        <w:pStyle w:val="BodyText"/>
        <w:spacing w:before="11"/>
        <w:rPr>
          <w:sz w:val="17"/>
        </w:rPr>
      </w:pPr>
    </w:p>
    <w:p>
      <w:pPr>
        <w:pStyle w:val="ListParagraph"/>
        <w:numPr>
          <w:ilvl w:val="0"/>
          <w:numId w:val="256"/>
        </w:numPr>
        <w:tabs>
          <w:tab w:pos="2024" w:val="left" w:leader="none"/>
          <w:tab w:pos="2025" w:val="left" w:leader="none"/>
        </w:tabs>
        <w:spacing w:line="240" w:lineRule="auto" w:before="0" w:after="0"/>
        <w:ind w:left="2024" w:right="0" w:hanging="681"/>
        <w:jc w:val="left"/>
        <w:rPr>
          <w:rFonts w:ascii="Stone Sans II ITC Std Bk"/>
          <w:b/>
          <w:sz w:val="29"/>
        </w:rPr>
      </w:pPr>
      <w:r>
        <w:rPr>
          <w:rFonts w:ascii="Stone Sans II ITC Std Bk"/>
          <w:b/>
          <w:spacing w:val="3"/>
          <w:w w:val="110"/>
          <w:sz w:val="29"/>
        </w:rPr>
        <w:t>Circulation </w:t>
      </w:r>
      <w:r>
        <w:rPr>
          <w:rFonts w:ascii="Stone Sans II ITC Std Bk"/>
          <w:b/>
          <w:w w:val="110"/>
          <w:sz w:val="29"/>
        </w:rPr>
        <w:t>of</w:t>
      </w:r>
      <w:r>
        <w:rPr>
          <w:rFonts w:ascii="Stone Sans II ITC Std Bk"/>
          <w:b/>
          <w:spacing w:val="22"/>
          <w:w w:val="110"/>
          <w:sz w:val="29"/>
        </w:rPr>
        <w:t> </w:t>
      </w:r>
      <w:r>
        <w:rPr>
          <w:rFonts w:ascii="Stone Sans II ITC Std Bk"/>
          <w:b/>
          <w:spacing w:val="4"/>
          <w:w w:val="110"/>
          <w:sz w:val="29"/>
        </w:rPr>
        <w:t>documents</w:t>
      </w:r>
    </w:p>
    <w:p>
      <w:pPr>
        <w:pStyle w:val="ListParagraph"/>
        <w:numPr>
          <w:ilvl w:val="1"/>
          <w:numId w:val="256"/>
        </w:numPr>
        <w:tabs>
          <w:tab w:pos="2024" w:val="left" w:leader="none"/>
          <w:tab w:pos="2025" w:val="left" w:leader="none"/>
        </w:tabs>
        <w:spacing w:line="235" w:lineRule="auto" w:before="69" w:after="0"/>
        <w:ind w:left="1344" w:right="1629" w:firstLine="0"/>
        <w:jc w:val="left"/>
        <w:rPr>
          <w:sz w:val="20"/>
        </w:rPr>
      </w:pPr>
      <w:r>
        <w:rPr>
          <w:w w:val="120"/>
          <w:sz w:val="20"/>
        </w:rPr>
        <w:t>Only documents authorised by the General Secretary in consultation with the convenor of the Assembly arrangements committee may be distributed within the building in which the Assembly is</w:t>
      </w:r>
      <w:r>
        <w:rPr>
          <w:spacing w:val="17"/>
          <w:w w:val="120"/>
          <w:sz w:val="20"/>
        </w:rPr>
        <w:t> </w:t>
      </w:r>
      <w:r>
        <w:rPr>
          <w:w w:val="120"/>
          <w:sz w:val="20"/>
        </w:rPr>
        <w:t>meeting.</w:t>
      </w:r>
    </w:p>
    <w:p>
      <w:pPr>
        <w:pStyle w:val="BodyText"/>
        <w:rPr>
          <w:sz w:val="24"/>
        </w:rPr>
      </w:pPr>
    </w:p>
    <w:p>
      <w:pPr>
        <w:pStyle w:val="BodyText"/>
        <w:spacing w:before="11"/>
        <w:rPr>
          <w:sz w:val="17"/>
        </w:rPr>
      </w:pPr>
    </w:p>
    <w:p>
      <w:pPr>
        <w:pStyle w:val="ListParagraph"/>
        <w:numPr>
          <w:ilvl w:val="0"/>
          <w:numId w:val="256"/>
        </w:numPr>
        <w:tabs>
          <w:tab w:pos="2025" w:val="left" w:leader="none"/>
        </w:tabs>
        <w:spacing w:line="240" w:lineRule="auto" w:before="0" w:after="0"/>
        <w:ind w:left="2024" w:right="0" w:hanging="681"/>
        <w:jc w:val="left"/>
        <w:rPr>
          <w:rFonts w:ascii="Stone Sans II ITC Std Bk"/>
          <w:b/>
          <w:sz w:val="29"/>
        </w:rPr>
      </w:pPr>
      <w:r>
        <w:rPr>
          <w:rFonts w:ascii="Stone Sans II ITC Std Bk"/>
          <w:b/>
          <w:spacing w:val="3"/>
          <w:w w:val="110"/>
          <w:sz w:val="29"/>
        </w:rPr>
        <w:t>Closed</w:t>
      </w:r>
      <w:r>
        <w:rPr>
          <w:rFonts w:ascii="Stone Sans II ITC Std Bk"/>
          <w:b/>
          <w:spacing w:val="12"/>
          <w:w w:val="110"/>
          <w:sz w:val="29"/>
        </w:rPr>
        <w:t> </w:t>
      </w:r>
      <w:r>
        <w:rPr>
          <w:rFonts w:ascii="Stone Sans II ITC Std Bk"/>
          <w:b/>
          <w:spacing w:val="3"/>
          <w:w w:val="110"/>
          <w:sz w:val="29"/>
        </w:rPr>
        <w:t>session</w:t>
      </w:r>
    </w:p>
    <w:p>
      <w:pPr>
        <w:pStyle w:val="ListParagraph"/>
        <w:numPr>
          <w:ilvl w:val="1"/>
          <w:numId w:val="256"/>
        </w:numPr>
        <w:tabs>
          <w:tab w:pos="2024" w:val="left" w:leader="none"/>
          <w:tab w:pos="2025" w:val="left" w:leader="none"/>
        </w:tabs>
        <w:spacing w:line="235" w:lineRule="auto" w:before="69" w:after="0"/>
        <w:ind w:left="1344" w:right="1339" w:firstLine="0"/>
        <w:jc w:val="left"/>
        <w:rPr>
          <w:sz w:val="20"/>
        </w:rPr>
      </w:pPr>
      <w:r>
        <w:rPr>
          <w:w w:val="120"/>
          <w:sz w:val="20"/>
        </w:rPr>
        <w:t>A closed session is one in which the business is highly sensitive. Only members  of Assembly, the legal adviser, and any technical or venue staff required to enable Assembly to meet safely may be present. Neither content nor process may be divulged to non-members, </w:t>
      </w:r>
      <w:r>
        <w:rPr>
          <w:spacing w:val="-3"/>
          <w:w w:val="120"/>
          <w:sz w:val="20"/>
        </w:rPr>
        <w:t>save </w:t>
      </w:r>
      <w:r>
        <w:rPr>
          <w:w w:val="120"/>
          <w:sz w:val="20"/>
        </w:rPr>
        <w:t>specific information authorised by the Moderator in consultation with</w:t>
      </w:r>
      <w:r>
        <w:rPr>
          <w:spacing w:val="4"/>
          <w:w w:val="120"/>
          <w:sz w:val="20"/>
        </w:rPr>
        <w:t> </w:t>
      </w:r>
      <w:r>
        <w:rPr>
          <w:w w:val="120"/>
          <w:sz w:val="20"/>
        </w:rPr>
        <w:t>the</w:t>
      </w:r>
      <w:r>
        <w:rPr>
          <w:spacing w:val="5"/>
          <w:w w:val="120"/>
          <w:sz w:val="20"/>
        </w:rPr>
        <w:t> </w:t>
      </w:r>
      <w:r>
        <w:rPr>
          <w:w w:val="120"/>
          <w:sz w:val="20"/>
        </w:rPr>
        <w:t>Clerk</w:t>
      </w:r>
      <w:r>
        <w:rPr>
          <w:spacing w:val="4"/>
          <w:w w:val="120"/>
          <w:sz w:val="20"/>
        </w:rPr>
        <w:t> </w:t>
      </w:r>
      <w:r>
        <w:rPr>
          <w:w w:val="120"/>
          <w:sz w:val="20"/>
        </w:rPr>
        <w:t>and</w:t>
      </w:r>
      <w:r>
        <w:rPr>
          <w:spacing w:val="5"/>
          <w:w w:val="120"/>
          <w:sz w:val="20"/>
        </w:rPr>
        <w:t> </w:t>
      </w:r>
      <w:r>
        <w:rPr>
          <w:w w:val="120"/>
          <w:sz w:val="20"/>
        </w:rPr>
        <w:t>the</w:t>
      </w:r>
      <w:r>
        <w:rPr>
          <w:spacing w:val="5"/>
          <w:w w:val="120"/>
          <w:sz w:val="20"/>
        </w:rPr>
        <w:t> </w:t>
      </w:r>
      <w:r>
        <w:rPr>
          <w:w w:val="120"/>
          <w:sz w:val="20"/>
        </w:rPr>
        <w:t>legal</w:t>
      </w:r>
      <w:r>
        <w:rPr>
          <w:spacing w:val="4"/>
          <w:w w:val="120"/>
          <w:sz w:val="20"/>
        </w:rPr>
        <w:t> </w:t>
      </w:r>
      <w:r>
        <w:rPr>
          <w:w w:val="120"/>
          <w:sz w:val="20"/>
        </w:rPr>
        <w:t>adviser.</w:t>
      </w:r>
      <w:r>
        <w:rPr>
          <w:spacing w:val="5"/>
          <w:w w:val="120"/>
          <w:sz w:val="20"/>
        </w:rPr>
        <w:t> </w:t>
      </w:r>
      <w:r>
        <w:rPr>
          <w:w w:val="120"/>
          <w:sz w:val="20"/>
        </w:rPr>
        <w:t>No</w:t>
      </w:r>
      <w:r>
        <w:rPr>
          <w:spacing w:val="4"/>
          <w:w w:val="120"/>
          <w:sz w:val="20"/>
        </w:rPr>
        <w:t> </w:t>
      </w:r>
      <w:r>
        <w:rPr>
          <w:w w:val="120"/>
          <w:sz w:val="20"/>
        </w:rPr>
        <w:t>social</w:t>
      </w:r>
      <w:r>
        <w:rPr>
          <w:spacing w:val="5"/>
          <w:w w:val="120"/>
          <w:sz w:val="20"/>
        </w:rPr>
        <w:t> </w:t>
      </w:r>
      <w:r>
        <w:rPr>
          <w:w w:val="120"/>
          <w:sz w:val="20"/>
        </w:rPr>
        <w:t>media</w:t>
      </w:r>
      <w:r>
        <w:rPr>
          <w:spacing w:val="5"/>
          <w:w w:val="120"/>
          <w:sz w:val="20"/>
        </w:rPr>
        <w:t> </w:t>
      </w:r>
      <w:r>
        <w:rPr>
          <w:w w:val="120"/>
          <w:sz w:val="20"/>
        </w:rPr>
        <w:t>in</w:t>
      </w:r>
      <w:r>
        <w:rPr>
          <w:spacing w:val="4"/>
          <w:w w:val="120"/>
          <w:sz w:val="20"/>
        </w:rPr>
        <w:t> </w:t>
      </w:r>
      <w:r>
        <w:rPr>
          <w:w w:val="120"/>
          <w:sz w:val="20"/>
        </w:rPr>
        <w:t>any</w:t>
      </w:r>
      <w:r>
        <w:rPr>
          <w:spacing w:val="5"/>
          <w:w w:val="120"/>
          <w:sz w:val="20"/>
        </w:rPr>
        <w:t> </w:t>
      </w:r>
      <w:r>
        <w:rPr>
          <w:w w:val="120"/>
          <w:sz w:val="20"/>
        </w:rPr>
        <w:t>form</w:t>
      </w:r>
      <w:r>
        <w:rPr>
          <w:spacing w:val="4"/>
          <w:w w:val="120"/>
          <w:sz w:val="20"/>
        </w:rPr>
        <w:t> </w:t>
      </w:r>
      <w:r>
        <w:rPr>
          <w:w w:val="120"/>
          <w:sz w:val="20"/>
        </w:rPr>
        <w:t>may</w:t>
      </w:r>
      <w:r>
        <w:rPr>
          <w:spacing w:val="5"/>
          <w:w w:val="120"/>
          <w:sz w:val="20"/>
        </w:rPr>
        <w:t> </w:t>
      </w:r>
      <w:r>
        <w:rPr>
          <w:w w:val="120"/>
          <w:sz w:val="20"/>
        </w:rPr>
        <w:t>be</w:t>
      </w:r>
      <w:r>
        <w:rPr>
          <w:spacing w:val="5"/>
          <w:w w:val="120"/>
          <w:sz w:val="20"/>
        </w:rPr>
        <w:t> </w:t>
      </w:r>
      <w:r>
        <w:rPr>
          <w:w w:val="120"/>
          <w:sz w:val="20"/>
        </w:rPr>
        <w:t>used</w:t>
      </w:r>
      <w:r>
        <w:rPr>
          <w:spacing w:val="4"/>
          <w:w w:val="120"/>
          <w:sz w:val="20"/>
        </w:rPr>
        <w:t> </w:t>
      </w:r>
      <w:r>
        <w:rPr>
          <w:w w:val="120"/>
          <w:sz w:val="20"/>
        </w:rPr>
        <w:t>during</w:t>
      </w:r>
    </w:p>
    <w:p>
      <w:pPr>
        <w:pStyle w:val="BodyText"/>
        <w:spacing w:line="235" w:lineRule="auto" w:before="4"/>
        <w:ind w:left="1344" w:right="1478"/>
      </w:pPr>
      <w:r>
        <w:rPr>
          <w:w w:val="120"/>
        </w:rPr>
        <w:t>a closed session, nor to report upon such closed session. Any live streaming must be switched off. Minutes will be taken, but these will be held </w:t>
      </w:r>
      <w:r>
        <w:rPr>
          <w:i/>
          <w:w w:val="120"/>
        </w:rPr>
        <w:t>in retentis </w:t>
      </w:r>
      <w:r>
        <w:rPr>
          <w:w w:val="120"/>
        </w:rPr>
        <w:t>by the Clerk, and shall not be made available to non-members.</w:t>
      </w:r>
    </w:p>
    <w:p>
      <w:pPr>
        <w:pStyle w:val="BodyText"/>
        <w:spacing w:before="10"/>
        <w:rPr>
          <w:sz w:val="19"/>
        </w:rPr>
      </w:pPr>
    </w:p>
    <w:p>
      <w:pPr>
        <w:pStyle w:val="ListParagraph"/>
        <w:numPr>
          <w:ilvl w:val="1"/>
          <w:numId w:val="256"/>
        </w:numPr>
        <w:tabs>
          <w:tab w:pos="2024" w:val="left" w:leader="none"/>
          <w:tab w:pos="2025" w:val="left" w:leader="none"/>
        </w:tabs>
        <w:spacing w:line="235" w:lineRule="auto" w:before="0" w:after="0"/>
        <w:ind w:left="1344" w:right="1314" w:firstLine="0"/>
        <w:jc w:val="left"/>
        <w:rPr>
          <w:sz w:val="20"/>
        </w:rPr>
      </w:pPr>
      <w:r>
        <w:rPr>
          <w:w w:val="120"/>
          <w:sz w:val="20"/>
        </w:rPr>
        <w:t>A closed session may be called for at any time in any decision-making mode, and voted upon by the Assembly, requiring a simple majority. This motion takes precedence over every motion before the Assembly. As soon as the member has given reasons for proposing it and it has been seconded, and the proposer of the motion or amendment under consideration has been allowed opportunity to comment on the reasons put forward, the vote upon it shall be taken, unless it appears to the Moderator that an unfair use is being made of this rule. Should the motion be carried the business shall immediately pause while non-members leave the</w:t>
      </w:r>
      <w:r>
        <w:rPr>
          <w:spacing w:val="10"/>
          <w:w w:val="120"/>
          <w:sz w:val="20"/>
        </w:rPr>
        <w:t> </w:t>
      </w:r>
      <w:r>
        <w:rPr>
          <w:w w:val="120"/>
          <w:sz w:val="20"/>
        </w:rPr>
        <w:t>room.</w:t>
      </w:r>
    </w:p>
    <w:p>
      <w:pPr>
        <w:pStyle w:val="BodyText"/>
        <w:spacing w:before="1"/>
      </w:pPr>
    </w:p>
    <w:p>
      <w:pPr>
        <w:pStyle w:val="ListParagraph"/>
        <w:numPr>
          <w:ilvl w:val="1"/>
          <w:numId w:val="256"/>
        </w:numPr>
        <w:tabs>
          <w:tab w:pos="2024" w:val="left" w:leader="none"/>
          <w:tab w:pos="2025" w:val="left" w:leader="none"/>
        </w:tabs>
        <w:spacing w:line="235" w:lineRule="auto" w:before="1" w:after="0"/>
        <w:ind w:left="1344" w:right="1318" w:firstLine="0"/>
        <w:jc w:val="left"/>
        <w:rPr>
          <w:sz w:val="20"/>
        </w:rPr>
      </w:pPr>
      <w:r>
        <w:rPr>
          <w:w w:val="120"/>
          <w:sz w:val="20"/>
        </w:rPr>
        <w:t>If a matter is known to be highly sensitive in advance, then the Assembly officers, consulting the legal adviser if necessary, may announce in advance that a certain piece of business will be conducted in a closed session giving their</w:t>
      </w:r>
      <w:r>
        <w:rPr>
          <w:spacing w:val="35"/>
          <w:w w:val="120"/>
          <w:sz w:val="20"/>
        </w:rPr>
        <w:t> </w:t>
      </w:r>
      <w:r>
        <w:rPr>
          <w:w w:val="120"/>
          <w:sz w:val="20"/>
        </w:rPr>
        <w:t>reasons.</w:t>
      </w:r>
    </w:p>
    <w:p>
      <w:pPr>
        <w:pStyle w:val="BodyText"/>
        <w:spacing w:before="10"/>
        <w:rPr>
          <w:sz w:val="19"/>
        </w:rPr>
      </w:pPr>
    </w:p>
    <w:p>
      <w:pPr>
        <w:pStyle w:val="ListParagraph"/>
        <w:numPr>
          <w:ilvl w:val="1"/>
          <w:numId w:val="256"/>
        </w:numPr>
        <w:tabs>
          <w:tab w:pos="2024" w:val="left" w:leader="none"/>
          <w:tab w:pos="2025" w:val="left" w:leader="none"/>
        </w:tabs>
        <w:spacing w:line="235" w:lineRule="auto" w:before="0" w:after="0"/>
        <w:ind w:left="1344" w:right="1288" w:firstLine="0"/>
        <w:jc w:val="left"/>
        <w:rPr>
          <w:sz w:val="20"/>
        </w:rPr>
      </w:pPr>
      <w:r>
        <w:rPr>
          <w:w w:val="120"/>
          <w:sz w:val="20"/>
        </w:rPr>
        <w:t>Where possible a closed session will begin after a break, in which event everyone must leave the hall. Once the hall is </w:t>
      </w:r>
      <w:r>
        <w:rPr>
          <w:spacing w:val="-3"/>
          <w:w w:val="120"/>
          <w:sz w:val="20"/>
        </w:rPr>
        <w:t>empty, </w:t>
      </w:r>
      <w:r>
        <w:rPr>
          <w:w w:val="120"/>
          <w:sz w:val="20"/>
        </w:rPr>
        <w:t>only those entitled to be present shall</w:t>
      </w:r>
      <w:r>
        <w:rPr>
          <w:spacing w:val="39"/>
          <w:w w:val="120"/>
          <w:sz w:val="20"/>
        </w:rPr>
        <w:t> </w:t>
      </w:r>
      <w:r>
        <w:rPr>
          <w:w w:val="120"/>
          <w:sz w:val="20"/>
        </w:rPr>
        <w:t>be</w:t>
      </w:r>
    </w:p>
    <w:p>
      <w:pPr>
        <w:spacing w:after="0" w:line="235" w:lineRule="auto"/>
        <w:jc w:val="left"/>
        <w:rPr>
          <w:sz w:val="20"/>
        </w:rPr>
        <w:sectPr>
          <w:headerReference w:type="default" r:id="rId670"/>
          <w:pgSz w:w="11910" w:h="16840"/>
          <w:pgMar w:header="0" w:footer="647" w:top="0" w:bottom="840" w:left="640" w:right="0"/>
        </w:sectPr>
      </w:pPr>
    </w:p>
    <w:p>
      <w:pPr>
        <w:pStyle w:val="BodyText"/>
      </w:pPr>
      <w:r>
        <w:rPr/>
        <w:drawing>
          <wp:anchor distT="0" distB="0" distL="0" distR="0" allowOverlap="1" layoutInCell="1" locked="0" behindDoc="1" simplePos="0" relativeHeight="235992064">
            <wp:simplePos x="0" y="0"/>
            <wp:positionH relativeFrom="page">
              <wp:posOffset>0</wp:posOffset>
            </wp:positionH>
            <wp:positionV relativeFrom="page">
              <wp:posOffset>0</wp:posOffset>
            </wp:positionV>
            <wp:extent cx="594067" cy="10692003"/>
            <wp:effectExtent l="0" t="0" r="0" b="0"/>
            <wp:wrapNone/>
            <wp:docPr id="477" name="image79.png"/>
            <wp:cNvGraphicFramePr>
              <a:graphicFrameLocks noChangeAspect="1"/>
            </wp:cNvGraphicFramePr>
            <a:graphic>
              <a:graphicData uri="http://schemas.openxmlformats.org/drawingml/2006/picture">
                <pic:pic>
                  <pic:nvPicPr>
                    <pic:cNvPr id="478" name="image79.png"/>
                    <pic:cNvPicPr/>
                  </pic:nvPicPr>
                  <pic:blipFill>
                    <a:blip r:embed="rId656" cstate="print"/>
                    <a:stretch>
                      <a:fillRect/>
                    </a:stretch>
                  </pic:blipFill>
                  <pic:spPr>
                    <a:xfrm>
                      <a:off x="0" y="0"/>
                      <a:ext cx="594067" cy="10692003"/>
                    </a:xfrm>
                    <a:prstGeom prst="rect">
                      <a:avLst/>
                    </a:prstGeom>
                  </pic:spPr>
                </pic:pic>
              </a:graphicData>
            </a:graphic>
          </wp:anchor>
        </w:drawing>
      </w:r>
      <w:r>
        <w:rPr/>
        <w:pict>
          <v:shape style="position:absolute;margin-left:20.519100pt;margin-top:48.890015pt;width:25.9pt;height:168.3pt;mso-position-horizontal-relative:page;mso-position-vertical-relative:page;z-index:-267323392" type="#_x0000_t202" filled="false" stroked="false">
            <v:textbox inset="0,0,0,0" style="layout-flow:vertical">
              <w:txbxContent>
                <w:p>
                  <w:pPr>
                    <w:spacing w:before="27"/>
                    <w:ind w:left="20" w:right="0" w:firstLine="0"/>
                    <w:jc w:val="left"/>
                    <w:rPr>
                      <w:sz w:val="39"/>
                    </w:rPr>
                  </w:pPr>
                  <w:r>
                    <w:rPr>
                      <w:color w:val="FFFFFF"/>
                      <w:w w:val="125"/>
                      <w:sz w:val="39"/>
                    </w:rPr>
                    <w:t>Standing Orders</w:t>
                  </w:r>
                </w:p>
              </w:txbxContent>
            </v:textbox>
            <w10:wrap type="none"/>
          </v:shape>
        </w:pict>
      </w:r>
    </w:p>
    <w:p>
      <w:pPr>
        <w:pStyle w:val="BodyText"/>
        <w:spacing w:before="7"/>
        <w:rPr>
          <w:sz w:val="21"/>
        </w:rPr>
      </w:pPr>
    </w:p>
    <w:p>
      <w:pPr>
        <w:spacing w:before="106"/>
        <w:ind w:left="607" w:right="0" w:firstLine="0"/>
        <w:jc w:val="left"/>
        <w:rPr>
          <w:sz w:val="26"/>
        </w:rPr>
      </w:pPr>
      <w:r>
        <w:rPr>
          <w:color w:val="7EAABF"/>
          <w:w w:val="120"/>
          <w:sz w:val="26"/>
        </w:rPr>
        <w:t>Standing Orders</w:t>
      </w:r>
    </w:p>
    <w:p>
      <w:pPr>
        <w:pStyle w:val="BodyText"/>
        <w:spacing w:line="235" w:lineRule="auto" w:before="222"/>
        <w:ind w:left="607" w:right="1794"/>
      </w:pPr>
      <w:r>
        <w:rPr>
          <w:w w:val="120"/>
        </w:rPr>
        <w:t>admitted. Members of Assembly may leave the hall during a closed session, but if they do so they may not be re-admitted.</w:t>
      </w:r>
    </w:p>
    <w:p>
      <w:pPr>
        <w:pStyle w:val="BodyText"/>
        <w:rPr>
          <w:sz w:val="24"/>
        </w:rPr>
      </w:pPr>
    </w:p>
    <w:p>
      <w:pPr>
        <w:pStyle w:val="BodyText"/>
        <w:spacing w:before="1"/>
        <w:rPr>
          <w:sz w:val="22"/>
        </w:rPr>
      </w:pPr>
    </w:p>
    <w:p>
      <w:pPr>
        <w:pStyle w:val="ListParagraph"/>
        <w:numPr>
          <w:ilvl w:val="0"/>
          <w:numId w:val="256"/>
        </w:numPr>
        <w:tabs>
          <w:tab w:pos="1288" w:val="left" w:leader="none"/>
        </w:tabs>
        <w:spacing w:line="196" w:lineRule="auto" w:before="0" w:after="0"/>
        <w:ind w:left="1287" w:right="2641" w:hanging="681"/>
        <w:jc w:val="left"/>
        <w:rPr>
          <w:rFonts w:ascii="Stone Sans II ITC Std Bk"/>
          <w:b/>
          <w:sz w:val="29"/>
        </w:rPr>
      </w:pPr>
      <w:r>
        <w:rPr>
          <w:rFonts w:ascii="Stone Sans II ITC Std Bk"/>
          <w:b/>
          <w:spacing w:val="2"/>
          <w:w w:val="110"/>
          <w:sz w:val="29"/>
        </w:rPr>
        <w:t>Use </w:t>
      </w:r>
      <w:r>
        <w:rPr>
          <w:rFonts w:ascii="Stone Sans II ITC Std Bk"/>
          <w:b/>
          <w:w w:val="110"/>
          <w:sz w:val="29"/>
        </w:rPr>
        <w:t>of </w:t>
      </w:r>
      <w:r>
        <w:rPr>
          <w:rFonts w:ascii="Stone Sans II ITC Std Bk"/>
          <w:b/>
          <w:spacing w:val="4"/>
          <w:w w:val="110"/>
          <w:sz w:val="29"/>
        </w:rPr>
        <w:t>Electronic </w:t>
      </w:r>
      <w:r>
        <w:rPr>
          <w:rFonts w:ascii="Stone Sans II ITC Std Bk"/>
          <w:b/>
          <w:spacing w:val="2"/>
          <w:w w:val="110"/>
          <w:sz w:val="29"/>
        </w:rPr>
        <w:t>devices </w:t>
      </w:r>
      <w:r>
        <w:rPr>
          <w:rFonts w:ascii="Stone Sans II ITC Std Bk"/>
          <w:b/>
          <w:spacing w:val="3"/>
          <w:w w:val="110"/>
          <w:sz w:val="29"/>
        </w:rPr>
        <w:t>and communications during </w:t>
      </w:r>
      <w:r>
        <w:rPr>
          <w:rFonts w:ascii="Stone Sans II ITC Std Bk"/>
          <w:b/>
          <w:spacing w:val="2"/>
          <w:w w:val="110"/>
          <w:sz w:val="29"/>
        </w:rPr>
        <w:t>the </w:t>
      </w:r>
      <w:r>
        <w:rPr>
          <w:rFonts w:ascii="Stone Sans II ITC Std Bk"/>
          <w:b/>
          <w:spacing w:val="3"/>
          <w:w w:val="110"/>
          <w:sz w:val="29"/>
        </w:rPr>
        <w:t>course </w:t>
      </w:r>
      <w:r>
        <w:rPr>
          <w:rFonts w:ascii="Stone Sans II ITC Std Bk"/>
          <w:b/>
          <w:w w:val="110"/>
          <w:sz w:val="29"/>
        </w:rPr>
        <w:t>of</w:t>
      </w:r>
      <w:r>
        <w:rPr>
          <w:rFonts w:ascii="Stone Sans II ITC Std Bk"/>
          <w:b/>
          <w:spacing w:val="44"/>
          <w:w w:val="110"/>
          <w:sz w:val="29"/>
        </w:rPr>
        <w:t> </w:t>
      </w:r>
      <w:r>
        <w:rPr>
          <w:rFonts w:ascii="Stone Sans II ITC Std Bk"/>
          <w:b/>
          <w:spacing w:val="2"/>
          <w:w w:val="110"/>
          <w:sz w:val="29"/>
        </w:rPr>
        <w:t>debate</w:t>
      </w:r>
    </w:p>
    <w:p>
      <w:pPr>
        <w:pStyle w:val="ListParagraph"/>
        <w:numPr>
          <w:ilvl w:val="1"/>
          <w:numId w:val="256"/>
        </w:numPr>
        <w:tabs>
          <w:tab w:pos="1287" w:val="left" w:leader="none"/>
          <w:tab w:pos="1288" w:val="left" w:leader="none"/>
        </w:tabs>
        <w:spacing w:line="235" w:lineRule="auto" w:before="86" w:after="0"/>
        <w:ind w:left="607" w:right="1960" w:firstLine="0"/>
        <w:jc w:val="left"/>
        <w:rPr>
          <w:sz w:val="20"/>
        </w:rPr>
      </w:pPr>
      <w:r>
        <w:rPr>
          <w:w w:val="120"/>
          <w:sz w:val="20"/>
        </w:rPr>
        <w:t>Although many meetings take place in wi-fi enabled rooms, and many attending will </w:t>
      </w:r>
      <w:r>
        <w:rPr>
          <w:spacing w:val="-3"/>
          <w:w w:val="120"/>
          <w:sz w:val="20"/>
        </w:rPr>
        <w:t>have </w:t>
      </w:r>
      <w:r>
        <w:rPr>
          <w:w w:val="120"/>
          <w:sz w:val="20"/>
        </w:rPr>
        <w:t>access to systems of electronic communication and to social media sites during business sessions, their primary responsibility is to attend to the business and participate in the decision making. Those present must refrain both from posting on social media sites during business sessions and from commenting upon partially completed business. It is the responsibility of the communications and editorial </w:t>
      </w:r>
      <w:r>
        <w:rPr>
          <w:spacing w:val="-3"/>
          <w:w w:val="120"/>
          <w:sz w:val="20"/>
        </w:rPr>
        <w:t>committee’s </w:t>
      </w:r>
      <w:r>
        <w:rPr>
          <w:w w:val="120"/>
          <w:sz w:val="20"/>
        </w:rPr>
        <w:t>staff to make official announcements. This restriction is only in place when in session; those attending are free to join in the online debates during breaks and after the close of business. All electronic devices must be silent when a meeting is in</w:t>
      </w:r>
      <w:r>
        <w:rPr>
          <w:spacing w:val="21"/>
          <w:w w:val="120"/>
          <w:sz w:val="20"/>
        </w:rPr>
        <w:t> </w:t>
      </w:r>
      <w:r>
        <w:rPr>
          <w:w w:val="120"/>
          <w:sz w:val="20"/>
        </w:rPr>
        <w:t>session.</w:t>
      </w:r>
    </w:p>
    <w:p>
      <w:pPr>
        <w:pStyle w:val="BodyText"/>
        <w:spacing w:before="2"/>
      </w:pPr>
    </w:p>
    <w:p>
      <w:pPr>
        <w:pStyle w:val="ListParagraph"/>
        <w:numPr>
          <w:ilvl w:val="1"/>
          <w:numId w:val="256"/>
        </w:numPr>
        <w:tabs>
          <w:tab w:pos="1287" w:val="left" w:leader="none"/>
          <w:tab w:pos="1288" w:val="left" w:leader="none"/>
        </w:tabs>
        <w:spacing w:line="235" w:lineRule="auto" w:before="0" w:after="0"/>
        <w:ind w:left="607" w:right="1919" w:firstLine="0"/>
        <w:jc w:val="left"/>
        <w:rPr>
          <w:sz w:val="20"/>
        </w:rPr>
      </w:pPr>
      <w:r>
        <w:rPr>
          <w:w w:val="120"/>
          <w:sz w:val="20"/>
        </w:rPr>
        <w:t>Everything written and shared on social media sites at any time is the sole responsibility of the author, and is subject to the same defamation </w:t>
      </w:r>
      <w:r>
        <w:rPr>
          <w:spacing w:val="-3"/>
          <w:w w:val="120"/>
          <w:sz w:val="20"/>
        </w:rPr>
        <w:t>laws </w:t>
      </w:r>
      <w:r>
        <w:rPr>
          <w:w w:val="120"/>
          <w:sz w:val="20"/>
        </w:rPr>
        <w:t>as any other</w:t>
      </w:r>
      <w:r>
        <w:rPr>
          <w:spacing w:val="-31"/>
          <w:w w:val="120"/>
          <w:sz w:val="20"/>
        </w:rPr>
        <w:t> </w:t>
      </w:r>
      <w:r>
        <w:rPr>
          <w:w w:val="120"/>
          <w:sz w:val="20"/>
        </w:rPr>
        <w:t>form of written</w:t>
      </w:r>
      <w:r>
        <w:rPr>
          <w:spacing w:val="4"/>
          <w:w w:val="120"/>
          <w:sz w:val="20"/>
        </w:rPr>
        <w:t> </w:t>
      </w:r>
      <w:r>
        <w:rPr>
          <w:w w:val="120"/>
          <w:sz w:val="20"/>
        </w:rPr>
        <w:t>communication.</w:t>
      </w:r>
    </w:p>
    <w:p>
      <w:pPr>
        <w:pStyle w:val="BodyText"/>
        <w:rPr>
          <w:sz w:val="24"/>
        </w:rPr>
      </w:pPr>
    </w:p>
    <w:p>
      <w:pPr>
        <w:pStyle w:val="BodyText"/>
        <w:spacing w:before="11"/>
        <w:rPr>
          <w:sz w:val="17"/>
        </w:rPr>
      </w:pPr>
    </w:p>
    <w:p>
      <w:pPr>
        <w:pStyle w:val="ListParagraph"/>
        <w:numPr>
          <w:ilvl w:val="0"/>
          <w:numId w:val="256"/>
        </w:numPr>
        <w:tabs>
          <w:tab w:pos="1288" w:val="left" w:leader="none"/>
        </w:tabs>
        <w:spacing w:line="240" w:lineRule="auto" w:before="0" w:after="0"/>
        <w:ind w:left="1287" w:right="0" w:hanging="681"/>
        <w:jc w:val="left"/>
        <w:rPr>
          <w:rFonts w:ascii="Stone Sans II ITC Std Bk"/>
          <w:b/>
          <w:sz w:val="29"/>
        </w:rPr>
      </w:pPr>
      <w:r>
        <w:rPr>
          <w:rFonts w:ascii="Stone Sans II ITC Std Bk"/>
          <w:b/>
          <w:spacing w:val="3"/>
          <w:w w:val="110"/>
          <w:sz w:val="29"/>
        </w:rPr>
        <w:t>Record </w:t>
      </w:r>
      <w:r>
        <w:rPr>
          <w:rFonts w:ascii="Stone Sans II ITC Std Bk"/>
          <w:b/>
          <w:w w:val="110"/>
          <w:sz w:val="29"/>
        </w:rPr>
        <w:t>of </w:t>
      </w:r>
      <w:r>
        <w:rPr>
          <w:rFonts w:ascii="Stone Sans II ITC Std Bk"/>
          <w:b/>
          <w:spacing w:val="2"/>
          <w:w w:val="110"/>
          <w:sz w:val="29"/>
        </w:rPr>
        <w:t>the</w:t>
      </w:r>
      <w:r>
        <w:rPr>
          <w:rFonts w:ascii="Stone Sans II ITC Std Bk"/>
          <w:b/>
          <w:spacing w:val="34"/>
          <w:w w:val="110"/>
          <w:sz w:val="29"/>
        </w:rPr>
        <w:t> </w:t>
      </w:r>
      <w:r>
        <w:rPr>
          <w:rFonts w:ascii="Stone Sans II ITC Std Bk"/>
          <w:b/>
          <w:spacing w:val="4"/>
          <w:w w:val="110"/>
          <w:sz w:val="29"/>
        </w:rPr>
        <w:t>Assembly</w:t>
      </w:r>
    </w:p>
    <w:p>
      <w:pPr>
        <w:pStyle w:val="ListParagraph"/>
        <w:numPr>
          <w:ilvl w:val="1"/>
          <w:numId w:val="256"/>
        </w:numPr>
        <w:tabs>
          <w:tab w:pos="1287" w:val="left" w:leader="none"/>
          <w:tab w:pos="1288" w:val="left" w:leader="none"/>
        </w:tabs>
        <w:spacing w:line="235" w:lineRule="auto" w:before="69" w:after="0"/>
        <w:ind w:left="607" w:right="2311" w:firstLine="0"/>
        <w:jc w:val="left"/>
        <w:rPr>
          <w:sz w:val="20"/>
        </w:rPr>
      </w:pPr>
      <w:r>
        <w:rPr>
          <w:w w:val="120"/>
          <w:sz w:val="20"/>
        </w:rPr>
        <w:t>A record of attendance at the meetings of the Assembly shall be kept in such a manner as the Assembly arrangements committee may</w:t>
      </w:r>
      <w:r>
        <w:rPr>
          <w:spacing w:val="7"/>
          <w:w w:val="120"/>
          <w:sz w:val="20"/>
        </w:rPr>
        <w:t> </w:t>
      </w:r>
      <w:r>
        <w:rPr>
          <w:w w:val="120"/>
          <w:sz w:val="20"/>
        </w:rPr>
        <w:t>determine.</w:t>
      </w:r>
    </w:p>
    <w:p>
      <w:pPr>
        <w:pStyle w:val="BodyText"/>
        <w:spacing w:before="9"/>
        <w:rPr>
          <w:sz w:val="19"/>
        </w:rPr>
      </w:pPr>
    </w:p>
    <w:p>
      <w:pPr>
        <w:pStyle w:val="ListParagraph"/>
        <w:numPr>
          <w:ilvl w:val="1"/>
          <w:numId w:val="256"/>
        </w:numPr>
        <w:tabs>
          <w:tab w:pos="1287" w:val="left" w:leader="none"/>
          <w:tab w:pos="1288" w:val="left" w:leader="none"/>
        </w:tabs>
        <w:spacing w:line="235" w:lineRule="auto" w:before="0" w:after="0"/>
        <w:ind w:left="607" w:right="1895" w:firstLine="0"/>
        <w:jc w:val="left"/>
        <w:rPr>
          <w:sz w:val="20"/>
        </w:rPr>
      </w:pPr>
      <w:r>
        <w:rPr>
          <w:w w:val="120"/>
          <w:sz w:val="20"/>
        </w:rPr>
        <w:t>The draft minutes of each </w:t>
      </w:r>
      <w:r>
        <w:rPr>
          <w:spacing w:val="-7"/>
          <w:w w:val="120"/>
          <w:sz w:val="20"/>
        </w:rPr>
        <w:t>day’s </w:t>
      </w:r>
      <w:r>
        <w:rPr>
          <w:w w:val="120"/>
          <w:sz w:val="20"/>
        </w:rPr>
        <w:t>proceedings shall be made available in an appropriate form normally on the following </w:t>
      </w:r>
      <w:r>
        <w:rPr>
          <w:spacing w:val="-5"/>
          <w:w w:val="120"/>
          <w:sz w:val="20"/>
        </w:rPr>
        <w:t>day. </w:t>
      </w:r>
      <w:r>
        <w:rPr>
          <w:w w:val="120"/>
          <w:sz w:val="20"/>
        </w:rPr>
        <w:t>They shall, after any necessary correction, be approved at the opening of a subsequent session. Concerning the minutes of the closing day of the Assembly the Clerk shall submit a motion approving their insertion in the full minutes of the Assembly after review and any necessary correction by the officers of the Assembly. Before such a motion is voted upon, any member may ask to </w:t>
      </w:r>
      <w:r>
        <w:rPr>
          <w:spacing w:val="-3"/>
          <w:w w:val="120"/>
          <w:sz w:val="20"/>
        </w:rPr>
        <w:t>have </w:t>
      </w:r>
      <w:r>
        <w:rPr>
          <w:w w:val="120"/>
          <w:sz w:val="20"/>
        </w:rPr>
        <w:t>read out the written minute on any particular</w:t>
      </w:r>
      <w:r>
        <w:rPr>
          <w:spacing w:val="18"/>
          <w:w w:val="120"/>
          <w:sz w:val="20"/>
        </w:rPr>
        <w:t> </w:t>
      </w:r>
      <w:r>
        <w:rPr>
          <w:w w:val="120"/>
          <w:sz w:val="20"/>
        </w:rPr>
        <w:t>item.</w:t>
      </w:r>
    </w:p>
    <w:p>
      <w:pPr>
        <w:pStyle w:val="BodyText"/>
        <w:spacing w:before="1"/>
      </w:pPr>
    </w:p>
    <w:p>
      <w:pPr>
        <w:pStyle w:val="ListParagraph"/>
        <w:numPr>
          <w:ilvl w:val="1"/>
          <w:numId w:val="256"/>
        </w:numPr>
        <w:tabs>
          <w:tab w:pos="1287" w:val="left" w:leader="none"/>
          <w:tab w:pos="1288" w:val="left" w:leader="none"/>
        </w:tabs>
        <w:spacing w:line="235" w:lineRule="auto" w:before="0" w:after="0"/>
        <w:ind w:left="607" w:right="2357" w:firstLine="0"/>
        <w:jc w:val="left"/>
        <w:rPr>
          <w:sz w:val="20"/>
        </w:rPr>
      </w:pPr>
      <w:r>
        <w:rPr>
          <w:w w:val="120"/>
          <w:sz w:val="20"/>
        </w:rPr>
        <w:t>A signed copy of the minutes shall be preserved in the custody of the General Secretary as the official record of the </w:t>
      </w:r>
      <w:r>
        <w:rPr>
          <w:spacing w:val="-4"/>
          <w:w w:val="120"/>
          <w:sz w:val="20"/>
        </w:rPr>
        <w:t>Assembly’s</w:t>
      </w:r>
      <w:r>
        <w:rPr>
          <w:spacing w:val="15"/>
          <w:w w:val="120"/>
          <w:sz w:val="20"/>
        </w:rPr>
        <w:t> </w:t>
      </w:r>
      <w:r>
        <w:rPr>
          <w:w w:val="120"/>
          <w:sz w:val="20"/>
        </w:rPr>
        <w:t>proceedings.</w:t>
      </w:r>
    </w:p>
    <w:p>
      <w:pPr>
        <w:pStyle w:val="BodyText"/>
        <w:spacing w:before="10"/>
        <w:rPr>
          <w:sz w:val="19"/>
        </w:rPr>
      </w:pPr>
    </w:p>
    <w:p>
      <w:pPr>
        <w:pStyle w:val="ListParagraph"/>
        <w:numPr>
          <w:ilvl w:val="1"/>
          <w:numId w:val="256"/>
        </w:numPr>
        <w:tabs>
          <w:tab w:pos="1287" w:val="left" w:leader="none"/>
          <w:tab w:pos="1288" w:val="left" w:leader="none"/>
        </w:tabs>
        <w:spacing w:line="235" w:lineRule="auto" w:before="0" w:after="0"/>
        <w:ind w:left="607" w:right="1868" w:firstLine="0"/>
        <w:jc w:val="left"/>
        <w:rPr>
          <w:sz w:val="20"/>
        </w:rPr>
      </w:pPr>
      <w:r>
        <w:rPr>
          <w:w w:val="120"/>
          <w:sz w:val="20"/>
        </w:rPr>
        <w:t>As soon as possible after the Assembly meeting ends, the substance of the minutes together with any other relevant papers shall be published as a </w:t>
      </w:r>
      <w:r>
        <w:rPr>
          <w:i/>
          <w:w w:val="120"/>
          <w:sz w:val="20"/>
        </w:rPr>
        <w:t>Record of Assembly </w:t>
      </w:r>
      <w:r>
        <w:rPr>
          <w:w w:val="120"/>
          <w:sz w:val="20"/>
        </w:rPr>
        <w:t>and a copy sent to every member of the Assembly, each Synod and Local</w:t>
      </w:r>
      <w:r>
        <w:rPr>
          <w:spacing w:val="37"/>
          <w:w w:val="120"/>
          <w:sz w:val="20"/>
        </w:rPr>
        <w:t> </w:t>
      </w:r>
      <w:r>
        <w:rPr>
          <w:w w:val="120"/>
          <w:sz w:val="20"/>
        </w:rPr>
        <w:t>Church.</w:t>
      </w:r>
    </w:p>
    <w:p>
      <w:pPr>
        <w:pStyle w:val="BodyText"/>
        <w:rPr>
          <w:sz w:val="24"/>
        </w:rPr>
      </w:pPr>
    </w:p>
    <w:p>
      <w:pPr>
        <w:pStyle w:val="BodyText"/>
        <w:spacing w:before="11"/>
        <w:rPr>
          <w:sz w:val="17"/>
        </w:rPr>
      </w:pPr>
    </w:p>
    <w:p>
      <w:pPr>
        <w:pStyle w:val="ListParagraph"/>
        <w:numPr>
          <w:ilvl w:val="0"/>
          <w:numId w:val="256"/>
        </w:numPr>
        <w:tabs>
          <w:tab w:pos="1288" w:val="left" w:leader="none"/>
        </w:tabs>
        <w:spacing w:line="240" w:lineRule="auto" w:before="0" w:after="0"/>
        <w:ind w:left="1287" w:right="0" w:hanging="681"/>
        <w:jc w:val="left"/>
        <w:rPr>
          <w:rFonts w:ascii="Stone Sans II ITC Std Bk"/>
          <w:b/>
          <w:sz w:val="29"/>
        </w:rPr>
      </w:pPr>
      <w:r>
        <w:rPr>
          <w:rFonts w:ascii="Stone Sans II ITC Std Bk"/>
          <w:b/>
          <w:spacing w:val="3"/>
          <w:w w:val="110"/>
          <w:sz w:val="29"/>
        </w:rPr>
        <w:t>Suspension and amendment </w:t>
      </w:r>
      <w:r>
        <w:rPr>
          <w:rFonts w:ascii="Stone Sans II ITC Std Bk"/>
          <w:b/>
          <w:w w:val="110"/>
          <w:sz w:val="29"/>
        </w:rPr>
        <w:t>of </w:t>
      </w:r>
      <w:r>
        <w:rPr>
          <w:rFonts w:ascii="Stone Sans II ITC Std Bk"/>
          <w:b/>
          <w:spacing w:val="3"/>
          <w:w w:val="110"/>
          <w:sz w:val="29"/>
        </w:rPr>
        <w:t>Standing</w:t>
      </w:r>
      <w:r>
        <w:rPr>
          <w:rFonts w:ascii="Stone Sans II ITC Std Bk"/>
          <w:b/>
          <w:spacing w:val="60"/>
          <w:w w:val="110"/>
          <w:sz w:val="29"/>
        </w:rPr>
        <w:t> </w:t>
      </w:r>
      <w:r>
        <w:rPr>
          <w:rFonts w:ascii="Stone Sans II ITC Std Bk"/>
          <w:b/>
          <w:spacing w:val="4"/>
          <w:w w:val="110"/>
          <w:sz w:val="29"/>
        </w:rPr>
        <w:t>Orders</w:t>
      </w:r>
    </w:p>
    <w:p>
      <w:pPr>
        <w:pStyle w:val="ListParagraph"/>
        <w:numPr>
          <w:ilvl w:val="1"/>
          <w:numId w:val="256"/>
        </w:numPr>
        <w:tabs>
          <w:tab w:pos="1287" w:val="left" w:leader="none"/>
          <w:tab w:pos="1288" w:val="left" w:leader="none"/>
        </w:tabs>
        <w:spacing w:line="235" w:lineRule="auto" w:before="69" w:after="0"/>
        <w:ind w:left="607" w:right="2038" w:firstLine="0"/>
        <w:jc w:val="left"/>
        <w:rPr>
          <w:sz w:val="20"/>
        </w:rPr>
      </w:pPr>
      <w:r>
        <w:rPr>
          <w:w w:val="120"/>
          <w:sz w:val="20"/>
        </w:rPr>
        <w:t>In any case of urgency or upon proposal of a motion of which due notice has been given, any one or more of the Standing Orders may be suspended at any meeting, provided that three-fourths of the members of the Assembly present and voting</w:t>
      </w:r>
      <w:r>
        <w:rPr>
          <w:spacing w:val="10"/>
          <w:w w:val="120"/>
          <w:sz w:val="20"/>
        </w:rPr>
        <w:t> </w:t>
      </w:r>
      <w:r>
        <w:rPr>
          <w:w w:val="120"/>
          <w:sz w:val="20"/>
        </w:rPr>
        <w:t>shall</w:t>
      </w:r>
    </w:p>
    <w:p>
      <w:pPr>
        <w:pStyle w:val="BodyText"/>
        <w:spacing w:line="243" w:lineRule="exact"/>
        <w:ind w:left="607"/>
      </w:pPr>
      <w:r>
        <w:rPr>
          <w:w w:val="120"/>
        </w:rPr>
        <w:t>so decide.</w:t>
      </w:r>
    </w:p>
    <w:p>
      <w:pPr>
        <w:pStyle w:val="BodyText"/>
        <w:spacing w:before="7"/>
        <w:rPr>
          <w:sz w:val="19"/>
        </w:rPr>
      </w:pPr>
    </w:p>
    <w:p>
      <w:pPr>
        <w:pStyle w:val="ListParagraph"/>
        <w:numPr>
          <w:ilvl w:val="1"/>
          <w:numId w:val="256"/>
        </w:numPr>
        <w:tabs>
          <w:tab w:pos="1287" w:val="left" w:leader="none"/>
          <w:tab w:pos="1288" w:val="left" w:leader="none"/>
        </w:tabs>
        <w:spacing w:line="235" w:lineRule="auto" w:before="1" w:after="0"/>
        <w:ind w:left="607" w:right="2449" w:firstLine="0"/>
        <w:jc w:val="left"/>
        <w:rPr>
          <w:sz w:val="20"/>
        </w:rPr>
      </w:pPr>
      <w:r>
        <w:rPr>
          <w:w w:val="120"/>
          <w:sz w:val="20"/>
        </w:rPr>
        <w:t>Motions to amend the Standing Orders shall be referred to the Clerk of the Assembly for report before being voted on by the Assembly (or, in case of urgency, by the Mission Council). The Clerk of the Assembly </w:t>
      </w:r>
      <w:r>
        <w:rPr>
          <w:spacing w:val="-5"/>
          <w:w w:val="120"/>
          <w:sz w:val="20"/>
        </w:rPr>
        <w:t>may, </w:t>
      </w:r>
      <w:r>
        <w:rPr>
          <w:w w:val="120"/>
          <w:sz w:val="20"/>
        </w:rPr>
        <w:t>from time-to-time, suggest amendments.</w:t>
      </w:r>
    </w:p>
    <w:p>
      <w:pPr>
        <w:pStyle w:val="BodyText"/>
        <w:rPr>
          <w:sz w:val="24"/>
        </w:rPr>
      </w:pPr>
    </w:p>
    <w:p>
      <w:pPr>
        <w:spacing w:line="242" w:lineRule="exact" w:before="186"/>
        <w:ind w:left="607" w:right="0" w:firstLine="0"/>
        <w:jc w:val="left"/>
        <w:rPr>
          <w:i/>
          <w:sz w:val="20"/>
        </w:rPr>
      </w:pPr>
      <w:r>
        <w:rPr>
          <w:i/>
          <w:w w:val="115"/>
          <w:sz w:val="20"/>
        </w:rPr>
        <w:t>Updated 21 March 2016</w:t>
      </w:r>
    </w:p>
    <w:p>
      <w:pPr>
        <w:spacing w:line="242" w:lineRule="exact" w:before="0"/>
        <w:ind w:left="607" w:right="0" w:firstLine="0"/>
        <w:jc w:val="left"/>
        <w:rPr>
          <w:i/>
          <w:sz w:val="20"/>
        </w:rPr>
      </w:pPr>
      <w:r>
        <w:rPr>
          <w:i/>
          <w:w w:val="110"/>
          <w:sz w:val="20"/>
        </w:rPr>
        <w:t>Michael Hopkins, the Clerk of the General Assembly</w:t>
      </w:r>
    </w:p>
    <w:p>
      <w:pPr>
        <w:spacing w:after="0" w:line="242" w:lineRule="exact"/>
        <w:jc w:val="left"/>
        <w:rPr>
          <w:sz w:val="20"/>
        </w:rPr>
        <w:sectPr>
          <w:headerReference w:type="even" r:id="rId671"/>
          <w:footerReference w:type="even" r:id="rId672"/>
          <w:footerReference w:type="default" r:id="rId673"/>
          <w:pgSz w:w="11910" w:h="16840"/>
          <w:pgMar w:header="0" w:footer="647" w:top="0" w:bottom="840" w:left="640" w:right="0"/>
          <w:pgNumType w:start="256"/>
        </w:sectPr>
      </w:pPr>
    </w:p>
    <w:p>
      <w:pPr>
        <w:pStyle w:val="BodyText"/>
        <w:rPr>
          <w:i/>
        </w:rPr>
      </w:pPr>
      <w:r>
        <w:rPr/>
        <w:pict>
          <v:shape style="position:absolute;margin-left:306.612915pt;margin-top:746.530762pt;width:10.1pt;height:11pt;mso-position-horizontal-relative:page;mso-position-vertical-relative:page;z-index:-267307008" type="#_x0000_t202" filled="false" stroked="false">
            <v:textbox inset="0,0,0,0">
              <w:txbxContent>
                <w:p>
                  <w:pPr>
                    <w:spacing w:line="219" w:lineRule="exact" w:before="0"/>
                    <w:ind w:left="0" w:right="0" w:firstLine="0"/>
                    <w:jc w:val="left"/>
                    <w:rPr>
                      <w:rFonts w:ascii="Trebuchet MS"/>
                      <w:sz w:val="19"/>
                    </w:rPr>
                  </w:pPr>
                  <w:r>
                    <w:rPr>
                      <w:rFonts w:ascii="Trebuchet MS"/>
                      <w:sz w:val="19"/>
                    </w:rPr>
                    <w:t>11</w:t>
                  </w:r>
                </w:p>
              </w:txbxContent>
            </v:textbox>
            <w10:wrap type="none"/>
          </v:shape>
        </w:pict>
      </w:r>
      <w:r>
        <w:rPr/>
        <w:pict>
          <v:group style="position:absolute;margin-left:154.002106pt;margin-top:0pt;width:441.3pt;height:841.9pt;mso-position-horizontal-relative:page;mso-position-vertical-relative:page;z-index:-267296768" coordorigin="3080,0" coordsize="8826,16838">
            <v:shape style="position:absolute;left:10984;top:0;width:922;height:16838" type="#_x0000_t75" stroked="false">
              <v:imagedata r:id="rId658" o:title=""/>
            </v:shape>
            <v:shape style="position:absolute;left:7676;top:14322;width:3812;height:1308" type="#_x0000_t202" filled="true" fillcolor="#c7f2e0" stroked="true" strokeweight=".69pt" strokecolor="#000000">
              <v:textbox inset="0,0,0,0">
                <w:txbxContent>
                  <w:p>
                    <w:pPr>
                      <w:spacing w:line="242" w:lineRule="auto" w:before="61"/>
                      <w:ind w:left="138" w:right="237" w:firstLine="0"/>
                      <w:jc w:val="left"/>
                      <w:rPr>
                        <w:rFonts w:ascii="Arial"/>
                        <w:b/>
                        <w:sz w:val="19"/>
                      </w:rPr>
                    </w:pPr>
                    <w:r>
                      <w:rPr>
                        <w:rFonts w:ascii="Arial"/>
                        <w:sz w:val="19"/>
                      </w:rPr>
                      <w:t>If yes are they prepared to have the issue declared passed, recognising disagreement? If so they may choose to record their dissent and the proposal is </w:t>
                    </w:r>
                    <w:r>
                      <w:rPr>
                        <w:rFonts w:ascii="Arial"/>
                        <w:b/>
                        <w:sz w:val="19"/>
                        <w:u w:val="single"/>
                      </w:rPr>
                      <w:t>Passed recognising disagreement.</w:t>
                    </w:r>
                  </w:p>
                </w:txbxContent>
              </v:textbox>
              <v:fill type="solid"/>
              <v:stroke dashstyle="solid"/>
              <w10:wrap type="none"/>
            </v:shape>
            <v:shape style="position:absolute;left:7418;top:13434;width:4037;height:617" type="#_x0000_t202" filled="true" fillcolor="#c7f2e0" stroked="true" strokeweight=".69pt" strokecolor="#000000">
              <v:textbox inset="0,0,0,0">
                <w:txbxContent>
                  <w:p>
                    <w:pPr>
                      <w:spacing w:line="237" w:lineRule="auto" w:before="67"/>
                      <w:ind w:left="137" w:right="219" w:firstLine="0"/>
                      <w:jc w:val="left"/>
                      <w:rPr>
                        <w:rFonts w:ascii="Arial"/>
                        <w:sz w:val="19"/>
                      </w:rPr>
                    </w:pPr>
                    <w:r>
                      <w:rPr>
                        <w:rFonts w:ascii="Arial"/>
                        <w:sz w:val="19"/>
                      </w:rPr>
                      <w:t>... Do they accept that they have been heard and agree to live with the outcome?</w:t>
                    </w:r>
                  </w:p>
                </w:txbxContent>
              </v:textbox>
              <v:fill type="solid"/>
              <v:stroke dashstyle="solid"/>
              <w10:wrap type="none"/>
            </v:shape>
            <v:shape style="position:absolute;left:7676;top:12605;width:3637;height:562" type="#_x0000_t202" filled="true" fillcolor="#c7f2e0" stroked="true" strokeweight=".69pt" strokecolor="#000000">
              <v:textbox inset="0,0,0,0">
                <w:txbxContent>
                  <w:p>
                    <w:pPr>
                      <w:spacing w:line="242" w:lineRule="auto" w:before="65"/>
                      <w:ind w:left="133" w:right="193" w:firstLine="0"/>
                      <w:jc w:val="left"/>
                      <w:rPr>
                        <w:rFonts w:ascii="Arial" w:hAnsi="Arial"/>
                        <w:sz w:val="19"/>
                      </w:rPr>
                    </w:pPr>
                    <w:r>
                      <w:rPr>
                        <w:rFonts w:ascii="Arial" w:hAnsi="Arial"/>
                        <w:sz w:val="19"/>
                      </w:rPr>
                      <w:t>If blue remain then more discussion and they are then asked …</w:t>
                    </w:r>
                  </w:p>
                </w:txbxContent>
              </v:textbox>
              <v:fill type="solid"/>
              <v:stroke dashstyle="solid"/>
              <w10:wrap type="none"/>
            </v:shape>
            <v:shape style="position:absolute;left:7335;top:11312;width:4107;height:1045" type="#_x0000_t202" filled="true" fillcolor="#c7f2e0" stroked="true" strokeweight=".69pt" strokecolor="#000000">
              <v:textbox inset="0,0,0,0">
                <w:txbxContent>
                  <w:p>
                    <w:pPr>
                      <w:spacing w:line="240" w:lineRule="auto" w:before="65"/>
                      <w:ind w:left="133" w:right="150" w:firstLine="0"/>
                      <w:jc w:val="left"/>
                      <w:rPr>
                        <w:rFonts w:ascii="Arial"/>
                        <w:sz w:val="19"/>
                      </w:rPr>
                    </w:pPr>
                    <w:r>
                      <w:rPr>
                        <w:rFonts w:ascii="Arial"/>
                        <w:sz w:val="19"/>
                      </w:rPr>
                      <w:t>Further discussion and if blue willing to turn orange </w:t>
                    </w:r>
                    <w:r>
                      <w:rPr>
                        <w:rFonts w:ascii="Arial"/>
                        <w:b/>
                        <w:sz w:val="19"/>
                        <w:u w:val="single"/>
                      </w:rPr>
                      <w:t>consensus reached</w:t>
                    </w:r>
                    <w:r>
                      <w:rPr>
                        <w:rFonts w:ascii="Arial"/>
                        <w:b/>
                        <w:sz w:val="19"/>
                      </w:rPr>
                      <w:t> i.e. if there is  </w:t>
                    </w:r>
                    <w:r>
                      <w:rPr>
                        <w:rFonts w:ascii="Arial"/>
                        <w:sz w:val="19"/>
                      </w:rPr>
                      <w:t>a small minority of members willing to accept a proposal that is not their first</w:t>
                    </w:r>
                    <w:r>
                      <w:rPr>
                        <w:rFonts w:ascii="Arial"/>
                        <w:spacing w:val="7"/>
                        <w:sz w:val="19"/>
                      </w:rPr>
                      <w:t> </w:t>
                    </w:r>
                    <w:r>
                      <w:rPr>
                        <w:rFonts w:ascii="Arial"/>
                        <w:sz w:val="19"/>
                      </w:rPr>
                      <w:t>preference.</w:t>
                    </w:r>
                  </w:p>
                </w:txbxContent>
              </v:textbox>
              <v:fill type="solid"/>
              <v:stroke dashstyle="solid"/>
              <w10:wrap type="none"/>
            </v:shape>
            <v:shape style="position:absolute;left:3722;top:8799;width:5359;height:852" type="#_x0000_t202" filled="true" fillcolor="#f9fdd1" stroked="true" strokeweight=".69pt" strokecolor="#000000">
              <v:textbox inset="0,0,0,0">
                <w:txbxContent>
                  <w:p>
                    <w:pPr>
                      <w:spacing w:line="244" w:lineRule="auto" w:before="61"/>
                      <w:ind w:left="133" w:right="188" w:firstLine="0"/>
                      <w:jc w:val="both"/>
                      <w:rPr>
                        <w:rFonts w:ascii="Arial"/>
                        <w:sz w:val="19"/>
                      </w:rPr>
                    </w:pPr>
                    <w:r>
                      <w:rPr>
                        <w:rFonts w:ascii="Arial"/>
                        <w:sz w:val="19"/>
                      </w:rPr>
                      <w:t>The Moderator tests the reactions of the meeting to various contributions and when it seems right tests the mood of the meeting on the proposal as it is at this stage.</w:t>
                    </w:r>
                  </w:p>
                </w:txbxContent>
              </v:textbox>
              <v:fill type="solid"/>
              <v:stroke dashstyle="solid"/>
              <w10:wrap type="none"/>
            </v:shape>
            <v:shape style="position:absolute;left:4684;top:7929;width:3457;height:663" type="#_x0000_t202" filled="true" fillcolor="#f9fdd1" stroked="true" strokeweight=".69pt" strokecolor="#000000">
              <v:textbox inset="0,0,0,0">
                <w:txbxContent>
                  <w:p>
                    <w:pPr>
                      <w:spacing w:line="244" w:lineRule="auto" w:before="65"/>
                      <w:ind w:left="133" w:right="0" w:firstLine="0"/>
                      <w:jc w:val="left"/>
                      <w:rPr>
                        <w:rFonts w:ascii="Tahoma"/>
                        <w:sz w:val="19"/>
                      </w:rPr>
                    </w:pPr>
                    <w:r>
                      <w:rPr>
                        <w:rFonts w:ascii="Arial"/>
                        <w:sz w:val="19"/>
                      </w:rPr>
                      <w:t>Minor changes of wording may be agreed as the discussion proceeds</w:t>
                    </w:r>
                    <w:r>
                      <w:rPr>
                        <w:rFonts w:ascii="Tahoma"/>
                        <w:sz w:val="19"/>
                      </w:rPr>
                      <w:t>.</w:t>
                    </w:r>
                  </w:p>
                </w:txbxContent>
              </v:textbox>
              <v:fill type="solid"/>
              <v:stroke dashstyle="solid"/>
              <w10:wrap type="none"/>
            </v:shape>
            <v:shape style="position:absolute;left:3086;top:6677;width:6417;height:1009" type="#_x0000_t202" filled="true" fillcolor="#f7fdd1" stroked="true" strokeweight=".69pt" strokecolor="#000000">
              <v:textbox inset="0,0,0,0">
                <w:txbxContent>
                  <w:p>
                    <w:pPr>
                      <w:spacing w:line="242" w:lineRule="auto" w:before="61"/>
                      <w:ind w:left="138" w:right="159" w:firstLine="0"/>
                      <w:jc w:val="left"/>
                      <w:rPr>
                        <w:rFonts w:ascii="Arial"/>
                        <w:sz w:val="19"/>
                      </w:rPr>
                    </w:pPr>
                    <w:r>
                      <w:rPr>
                        <w:rFonts w:ascii="Arial"/>
                        <w:sz w:val="19"/>
                      </w:rPr>
                      <w:t>The discussion continues but now with speakers outlining the advantages and disadvantages of the proposal. Speakers are encouraged to suggest a way forward rather than merely speaking with passion for a pre-determined view.</w:t>
                    </w:r>
                  </w:p>
                </w:txbxContent>
              </v:textbox>
              <v:fill type="solid"/>
              <v:stroke dashstyle="solid"/>
              <w10:wrap type="none"/>
            </v:shape>
            <v:shape style="position:absolute;left:4504;top:5332;width:3835;height:1073" type="#_x0000_t202" filled="true" fillcolor="#f9e8f0" stroked="true" strokeweight=".69pt" strokecolor="#000000">
              <v:textbox inset="0,0,0,0">
                <w:txbxContent>
                  <w:p>
                    <w:pPr>
                      <w:spacing w:line="242" w:lineRule="auto" w:before="65"/>
                      <w:ind w:left="777" w:right="0" w:hanging="640"/>
                      <w:jc w:val="left"/>
                      <w:rPr>
                        <w:rFonts w:ascii="Arial"/>
                        <w:sz w:val="19"/>
                      </w:rPr>
                    </w:pPr>
                    <w:r>
                      <w:rPr>
                        <w:rFonts w:ascii="Arial"/>
                        <w:sz w:val="19"/>
                      </w:rPr>
                      <w:t>This time might include such things as: Prayer</w:t>
                    </w:r>
                  </w:p>
                  <w:p>
                    <w:pPr>
                      <w:spacing w:before="1"/>
                      <w:ind w:left="1257" w:right="0" w:firstLine="0"/>
                      <w:jc w:val="left"/>
                      <w:rPr>
                        <w:rFonts w:ascii="Arial"/>
                        <w:sz w:val="19"/>
                      </w:rPr>
                    </w:pPr>
                    <w:r>
                      <w:rPr>
                        <w:rFonts w:ascii="Arial"/>
                        <w:sz w:val="19"/>
                      </w:rPr>
                      <w:t>Chance to share stories</w:t>
                    </w:r>
                  </w:p>
                  <w:p>
                    <w:pPr>
                      <w:spacing w:before="3"/>
                      <w:ind w:left="2589" w:right="0" w:firstLine="0"/>
                      <w:jc w:val="left"/>
                      <w:rPr>
                        <w:rFonts w:ascii="Arial"/>
                        <w:sz w:val="19"/>
                      </w:rPr>
                    </w:pPr>
                    <w:r>
                      <w:rPr>
                        <w:rFonts w:ascii="Arial"/>
                        <w:sz w:val="19"/>
                      </w:rPr>
                      <w:t>Buzz groups</w:t>
                    </w:r>
                  </w:p>
                </w:txbxContent>
              </v:textbox>
              <v:fill type="solid"/>
              <v:stroke dashstyle="solid"/>
              <w10:wrap type="none"/>
            </v:shape>
            <v:shape style="position:absolute;left:3915;top:4274;width:5165;height:811" type="#_x0000_t202" filled="true" fillcolor="#f9e8f0" stroked="true" strokeweight=".69pt" strokecolor="#000000">
              <v:textbox inset="0,0,0,0">
                <w:txbxContent>
                  <w:p>
                    <w:pPr>
                      <w:spacing w:line="242" w:lineRule="auto" w:before="65"/>
                      <w:ind w:left="138" w:right="227" w:firstLine="0"/>
                      <w:jc w:val="left"/>
                      <w:rPr>
                        <w:rFonts w:ascii="Arial" w:hAnsi="Arial"/>
                        <w:sz w:val="19"/>
                      </w:rPr>
                    </w:pPr>
                    <w:r>
                      <w:rPr>
                        <w:rFonts w:ascii="Arial" w:hAnsi="Arial"/>
                        <w:sz w:val="19"/>
                      </w:rPr>
                      <w:t>This is the opportunity for discussion of various viewpoints and vigorous debate on different opinions. The aim is to clarify a proposal – if it is not already clear.</w:t>
                    </w:r>
                  </w:p>
                </w:txbxContent>
              </v:textbox>
              <v:fill type="solid"/>
              <v:stroke dashstyle="solid"/>
              <w10:wrap type="none"/>
            </v:shape>
            <w10:wrap type="none"/>
          </v:group>
        </w:pict>
      </w:r>
      <w:r>
        <w:rPr/>
        <w:pict>
          <v:group style="position:absolute;margin-left:325.125885pt;margin-top:707.748535pt;width:58pt;height:30.85pt;mso-position-horizontal-relative:page;mso-position-vertical-relative:page;z-index:252476416" coordorigin="6503,14155" coordsize="1160,617">
            <v:rect style="position:absolute;left:6739;top:14159;width:686;height:604" filled="true" fillcolor="#c7f2e0" stroked="false">
              <v:fill type="solid"/>
            </v:rect>
            <v:rect style="position:absolute;left:6741;top:14161;width:686;height:604" filled="false" stroked="true" strokeweight=".69pt" strokecolor="#000000">
              <v:stroke dashstyle="solid"/>
            </v:rect>
            <v:line style="position:absolute" from="7663,14668" to="7598,14668" stroked="true" strokeweight=".69pt" strokecolor="#000000">
              <v:stroke dashstyle="solid"/>
            </v:line>
            <v:shape style="position:absolute;left:7450;top:14594;width:152;height:152" coordorigin="7451,14595" coordsize="152,152" path="m7603,14595l7451,14668,7603,14746,7603,14595xe" filled="true" fillcolor="#000000" stroked="false">
              <v:path arrowok="t"/>
              <v:fill type="solid"/>
            </v:shape>
            <v:line style="position:absolute" from="6760,14668" to="6645,14668" stroked="true" strokeweight=".69pt" strokecolor="#000000">
              <v:stroke dashstyle="solid"/>
            </v:line>
            <v:shape style="position:absolute;left:6502;top:14594;width:148;height:152" coordorigin="6503,14595" coordsize="148,152" path="m6650,14595l6503,14668,6650,14746,6650,14595xe" filled="true" fillcolor="#000000" stroked="false">
              <v:path arrowok="t"/>
              <v:fill type="solid"/>
            </v:shape>
            <v:shape style="position:absolute;left:6502;top:14154;width:1160;height:617" type="#_x0000_t202" filled="false" stroked="false">
              <v:textbox inset="0,0,0,0">
                <w:txbxContent>
                  <w:p>
                    <w:pPr>
                      <w:spacing w:line="242" w:lineRule="auto" w:before="75"/>
                      <w:ind w:left="384" w:right="513" w:firstLine="0"/>
                      <w:jc w:val="left"/>
                      <w:rPr>
                        <w:rFonts w:ascii="Arial"/>
                        <w:sz w:val="19"/>
                      </w:rPr>
                    </w:pPr>
                    <w:r>
                      <w:rPr>
                        <w:rFonts w:ascii="Arial"/>
                        <w:sz w:val="19"/>
                      </w:rPr>
                      <w:t>If No</w:t>
                    </w:r>
                  </w:p>
                </w:txbxContent>
              </v:textbox>
              <w10:wrap type="none"/>
            </v:shape>
            <w10:wrap type="none"/>
          </v:group>
        </w:pict>
      </w:r>
      <w:r>
        <w:rPr/>
        <w:pict>
          <v:group style="position:absolute;margin-left:468.9758pt;margin-top:704.411011pt;width:7.6pt;height:12pt;mso-position-horizontal-relative:page;mso-position-vertical-relative:page;z-index:252477440" coordorigin="9380,14088" coordsize="152,240">
            <v:line style="position:absolute" from="9453,14088" to="9453,14176" stroked="true" strokeweight=".69pt" strokecolor="#000000">
              <v:stroke dashstyle="solid"/>
            </v:line>
            <v:shape style="position:absolute;left:9379;top:14175;width:152;height:152" coordorigin="9380,14176" coordsize="152,152" path="m9531,14176l9380,14176,9458,14328,9531,14176xe" filled="true" fillcolor="#000000" stroked="false">
              <v:path arrowok="t"/>
              <v:fill type="solid"/>
            </v:shape>
            <w10:wrap type="none"/>
          </v:group>
        </w:pict>
      </w:r>
      <w:r>
        <w:rPr/>
        <w:pict>
          <v:group style="position:absolute;margin-left:37.195801pt;margin-top:732.950806pt;width:50.9pt;height:51.8pt;mso-position-horizontal-relative:page;mso-position-vertical-relative:page;z-index:252488704" coordorigin="744,14659" coordsize="1018,1036">
            <v:shape style="position:absolute;left:750;top:14665;width:1004;height:1022" coordorigin="751,14666" coordsize="1004,1022" path="m1754,15177l1749,15252,1733,15324,1708,15392,1673,15455,1631,15512,1582,15563,1526,15606,1464,15640,1397,15666,1327,15682,1253,15688,1178,15682,1108,15666,1041,15640,979,15606,923,15563,874,15512,832,15455,797,15392,772,15324,756,15252,751,15177,756,15101,772,15029,797,14961,832,14899,874,14842,923,14791,979,14748,1041,14713,1108,14688,1178,14671,1253,14666,1327,14671,1397,14688,1464,14713,1526,14748,1582,14791,1631,14842,1673,14899,1708,14961,1733,15029,1749,15101,1754,15177xe" filled="false" stroked="true" strokeweight=".69pt" strokecolor="#000000">
              <v:path arrowok="t"/>
              <v:stroke dashstyle="solid"/>
            </v:shape>
            <v:shape style="position:absolute;left:743;top:14659;width:1018;height:1036" type="#_x0000_t202" filled="false" stroked="false">
              <v:textbox inset="0,0,0,0">
                <w:txbxContent>
                  <w:p>
                    <w:pPr>
                      <w:spacing w:line="240" w:lineRule="auto" w:before="1"/>
                      <w:rPr>
                        <w:sz w:val="17"/>
                      </w:rPr>
                    </w:pPr>
                  </w:p>
                  <w:p>
                    <w:pPr>
                      <w:spacing w:before="0"/>
                      <w:ind w:left="260" w:right="0" w:firstLine="0"/>
                      <w:jc w:val="left"/>
                      <w:rPr>
                        <w:sz w:val="17"/>
                      </w:rPr>
                    </w:pPr>
                    <w:r>
                      <w:rPr>
                        <w:sz w:val="17"/>
                      </w:rPr>
                      <w:t>2.5.9.7</w:t>
                    </w:r>
                  </w:p>
                </w:txbxContent>
              </v:textbox>
              <w10:wrap type="none"/>
            </v:shape>
            <w10:wrap type="none"/>
          </v:group>
        </w:pict>
      </w:r>
      <w:r>
        <w:rPr/>
        <w:pict>
          <v:group style="position:absolute;margin-left:332.030792pt;margin-top:749.292603pt;width:48.15pt;height:27.2pt;mso-position-horizontal-relative:page;mso-position-vertical-relative:page;z-index:252490752" coordorigin="6641,14986" coordsize="963,544">
            <v:shape style="position:absolute;left:6647;top:14992;width:949;height:530" coordorigin="6648,14993" coordsize="949,530" path="m7596,15257l7559,15360,7515,15405,7457,15445,7387,15477,7306,15501,7217,15517,7122,15522,7026,15517,6937,15501,6857,15477,6786,15445,6728,15405,6685,15360,6648,15257,6657,15204,6728,15109,6786,15070,6857,15038,6937,15014,7026,14998,7122,14993,7217,14998,7306,15014,7387,15038,7457,15070,7515,15109,7559,15154,7596,15257xe" filled="false" stroked="true" strokeweight=".69pt" strokecolor="#000000">
              <v:path arrowok="t"/>
              <v:stroke dashstyle="solid"/>
            </v:shape>
            <v:shape style="position:absolute;left:6640;top:14985;width:963;height:544" type="#_x0000_t202" filled="false" stroked="false">
              <v:textbox inset="0,0,0,0">
                <w:txbxContent>
                  <w:p>
                    <w:pPr>
                      <w:spacing w:before="148"/>
                      <w:ind w:left="250" w:right="0" w:firstLine="0"/>
                      <w:jc w:val="left"/>
                      <w:rPr>
                        <w:sz w:val="20"/>
                      </w:rPr>
                    </w:pPr>
                    <w:r>
                      <w:rPr>
                        <w:w w:val="105"/>
                        <w:sz w:val="20"/>
                      </w:rPr>
                      <w:t>2.5.8</w:t>
                    </w:r>
                  </w:p>
                </w:txbxContent>
              </v:textbox>
              <w10:wrap type="none"/>
            </v:shape>
            <w10:wrap type="none"/>
          </v:group>
        </w:pict>
      </w:r>
    </w:p>
    <w:p>
      <w:pPr>
        <w:pStyle w:val="BodyText"/>
        <w:spacing w:before="7"/>
        <w:rPr>
          <w:i/>
          <w:sz w:val="21"/>
        </w:rPr>
      </w:pPr>
    </w:p>
    <w:p>
      <w:pPr>
        <w:spacing w:before="106"/>
        <w:ind w:left="0" w:right="1245" w:firstLine="0"/>
        <w:jc w:val="right"/>
        <w:rPr>
          <w:sz w:val="26"/>
        </w:rPr>
      </w:pPr>
      <w:r>
        <w:rPr>
          <w:color w:val="7EAABF"/>
          <w:w w:val="120"/>
          <w:sz w:val="26"/>
        </w:rPr>
        <w:t>Standing Orders</w:t>
      </w:r>
    </w:p>
    <w:p>
      <w:pPr>
        <w:pStyle w:val="BodyText"/>
        <w:spacing w:before="4"/>
        <w:rPr>
          <w:sz w:val="13"/>
        </w:rPr>
      </w:pPr>
    </w:p>
    <w:p>
      <w:pPr>
        <w:pStyle w:val="Heading7"/>
        <w:spacing w:line="240" w:lineRule="auto" w:before="107"/>
        <w:ind w:left="1267" w:right="1347"/>
        <w:jc w:val="center"/>
        <w:rPr>
          <w:rFonts w:ascii="Calibri" w:hAnsi="Calibri"/>
        </w:rPr>
      </w:pPr>
      <w:r>
        <w:rPr/>
        <w:pict>
          <v:shape style="position:absolute;margin-left:554.141174pt;margin-top:-6.673743pt;width:25.9pt;height:168.3pt;mso-position-horizontal-relative:page;mso-position-vertical-relative:paragraph;z-index:252494848" type="#_x0000_t202" filled="false" stroked="false">
            <v:textbox inset="0,0,0,0" style="layout-flow:vertical">
              <w:txbxContent>
                <w:p>
                  <w:pPr>
                    <w:spacing w:before="27"/>
                    <w:ind w:left="20" w:right="0" w:firstLine="0"/>
                    <w:jc w:val="left"/>
                    <w:rPr>
                      <w:sz w:val="39"/>
                    </w:rPr>
                  </w:pPr>
                  <w:r>
                    <w:rPr>
                      <w:color w:val="FFFFFF"/>
                      <w:w w:val="125"/>
                      <w:sz w:val="39"/>
                    </w:rPr>
                    <w:t>Standing Orders</w:t>
                  </w:r>
                </w:p>
              </w:txbxContent>
            </v:textbox>
            <w10:wrap type="none"/>
          </v:shape>
        </w:pict>
      </w:r>
      <w:r>
        <w:rPr>
          <w:rFonts w:ascii="Calibri" w:hAnsi="Calibri"/>
          <w:w w:val="105"/>
        </w:rPr>
        <w:t>Flow Chart to guide the use of Standing Order 2 – Consensus Decision Making</w:t>
      </w:r>
    </w:p>
    <w:p>
      <w:pPr>
        <w:pStyle w:val="Heading7"/>
        <w:spacing w:line="240" w:lineRule="auto" w:before="13"/>
        <w:ind w:left="1270" w:right="1347"/>
        <w:jc w:val="center"/>
        <w:rPr>
          <w:rFonts w:ascii="Calibri" w:hAnsi="Calibri"/>
        </w:rPr>
      </w:pPr>
      <w:r>
        <w:rPr/>
        <w:pict>
          <v:shape style="position:absolute;margin-left:220.403pt;margin-top:93.148819pt;width:203.95pt;height:30.85pt;mso-position-horizontal-relative:page;mso-position-vertical-relative:paragraph;z-index:252491776" type="#_x0000_t202" filled="true" fillcolor="#e9eaf9" stroked="true" strokeweight=".69pt" strokecolor="#000000">
            <v:textbox inset="0,0,0,0">
              <w:txbxContent>
                <w:p>
                  <w:pPr>
                    <w:spacing w:line="242" w:lineRule="auto" w:before="61"/>
                    <w:ind w:left="138" w:right="0" w:firstLine="0"/>
                    <w:jc w:val="left"/>
                    <w:rPr>
                      <w:rFonts w:ascii="Arial"/>
                      <w:sz w:val="19"/>
                    </w:rPr>
                  </w:pPr>
                  <w:r>
                    <w:rPr>
                      <w:rFonts w:ascii="Arial"/>
                      <w:sz w:val="19"/>
                    </w:rPr>
                    <w:t>Opportunity is provided for questions to be asked or clarification sought.</w:t>
                  </w:r>
                </w:p>
              </w:txbxContent>
            </v:textbox>
            <v:fill type="solid"/>
            <v:stroke dashstyle="solid"/>
            <w10:wrap type="none"/>
          </v:shape>
        </w:pict>
      </w:r>
      <w:r>
        <w:rPr>
          <w:rFonts w:ascii="Calibri" w:hAnsi="Calibri"/>
          <w:w w:val="105"/>
        </w:rPr>
        <w:t>NB – this flowchart is only for exploration, and is not definitive. The words always take precedence</w:t>
      </w:r>
    </w:p>
    <w:p>
      <w:pPr>
        <w:pStyle w:val="BodyText"/>
        <w:rPr>
          <w:b/>
        </w:rPr>
      </w:pPr>
    </w:p>
    <w:p>
      <w:pPr>
        <w:pStyle w:val="BodyText"/>
        <w:rPr>
          <w:b/>
          <w:sz w:val="12"/>
        </w:rPr>
      </w:pPr>
      <w:r>
        <w:rPr/>
        <w:pict>
          <v:shape style="position:absolute;margin-left:68.037102pt;margin-top:18.162981pt;width:68.6pt;height:29pt;mso-position-horizontal-relative:page;mso-position-vertical-relative:paragraph;z-index:-250868736;mso-wrap-distance-left:0;mso-wrap-distance-right:0" type="#_x0000_t202" filled="true" fillcolor="#e9eaf9" stroked="true" strokeweight=".69pt" strokecolor="#000000">
            <v:textbox inset="0,0,0,0">
              <w:txbxContent>
                <w:p>
                  <w:pPr>
                    <w:spacing w:line="242" w:lineRule="auto" w:before="61"/>
                    <w:ind w:left="138" w:right="155" w:firstLine="0"/>
                    <w:jc w:val="left"/>
                    <w:rPr>
                      <w:rFonts w:ascii="Arial"/>
                      <w:b/>
                      <w:sz w:val="19"/>
                    </w:rPr>
                  </w:pPr>
                  <w:r>
                    <w:rPr>
                      <w:rFonts w:ascii="Arial"/>
                      <w:b/>
                      <w:sz w:val="19"/>
                    </w:rPr>
                    <w:t>Stage 1: Information</w:t>
                  </w:r>
                </w:p>
              </w:txbxContent>
            </v:textbox>
            <v:fill type="solid"/>
            <v:stroke dashstyle="solid"/>
            <w10:wrap type="topAndBottom"/>
          </v:shape>
        </w:pict>
      </w:r>
      <w:r>
        <w:rPr/>
        <w:pict>
          <v:shape style="position:absolute;margin-left:204.0616pt;margin-top:9.646981pt;width:232.95pt;height:41.45pt;mso-position-horizontal-relative:page;mso-position-vertical-relative:paragraph;z-index:-250867712;mso-wrap-distance-left:0;mso-wrap-distance-right:0" type="#_x0000_t202" filled="true" fillcolor="#e9eaf9" stroked="true" strokeweight=".69pt" strokecolor="#000000">
            <v:textbox inset="0,0,0,0">
              <w:txbxContent>
                <w:p>
                  <w:pPr>
                    <w:spacing w:line="242" w:lineRule="auto" w:before="61"/>
                    <w:ind w:left="138" w:right="274" w:firstLine="0"/>
                    <w:jc w:val="both"/>
                    <w:rPr>
                      <w:rFonts w:ascii="Arial"/>
                      <w:sz w:val="19"/>
                    </w:rPr>
                  </w:pPr>
                  <w:r>
                    <w:rPr>
                      <w:rFonts w:ascii="Arial"/>
                      <w:sz w:val="19"/>
                    </w:rPr>
                    <w:t>The matter to be considered is outlined with some background information. A range of options might be presented.</w:t>
                  </w:r>
                </w:p>
              </w:txbxContent>
            </v:textbox>
            <v:fill type="solid"/>
            <v:stroke dashstyle="solid"/>
            <w10:wrap type="topAndBottom"/>
          </v:shape>
        </w:pict>
      </w:r>
    </w:p>
    <w:p>
      <w:pPr>
        <w:pStyle w:val="BodyText"/>
        <w:ind w:left="5595"/>
      </w:pPr>
      <w:r>
        <w:rPr/>
        <w:pict>
          <v:group style="width:7.6pt;height:14.05pt;mso-position-horizontal-relative:char;mso-position-vertical-relative:line" coordorigin="0,0" coordsize="152,281">
            <v:line style="position:absolute" from="74,0" to="74,129" stroked="true" strokeweight=".69pt" strokecolor="#000000">
              <v:stroke dashstyle="solid"/>
            </v:line>
            <v:shape style="position:absolute;left:0;top:128;width:152;height:152" coordorigin="0,129" coordsize="152,152" path="m152,129l0,133,83,281,152,129xe" filled="true" fillcolor="#000000" stroked="false">
              <v:path arrowok="t"/>
              <v:fill type="solid"/>
            </v:shape>
          </v:group>
        </w:pict>
      </w:r>
      <w:r>
        <w:rPr/>
      </w:r>
    </w:p>
    <w:p>
      <w:pPr>
        <w:pStyle w:val="BodyText"/>
        <w:rPr>
          <w:b/>
        </w:rPr>
      </w:pPr>
    </w:p>
    <w:p>
      <w:pPr>
        <w:pStyle w:val="BodyText"/>
        <w:spacing w:before="6"/>
        <w:rPr>
          <w:b/>
          <w:sz w:val="26"/>
        </w:rPr>
      </w:pPr>
      <w:r>
        <w:rPr/>
        <w:pict>
          <v:group style="position:absolute;margin-left:312.006714pt;margin-top:18.496569pt;width:7.6pt;height:15.9pt;mso-position-horizontal-relative:page;mso-position-vertical-relative:paragraph;z-index:-250865664;mso-wrap-distance-left:0;mso-wrap-distance-right:0" coordorigin="6240,370" coordsize="152,318">
            <v:line style="position:absolute" from="6314,370" to="6314,540" stroked="true" strokeweight=".69pt" strokecolor="#000000">
              <v:stroke dashstyle="solid"/>
            </v:line>
            <v:shape style="position:absolute;left:6240;top:540;width:152;height:148" coordorigin="6240,540" coordsize="152,148" path="m6392,540l6240,540,6318,688,6392,540xe" filled="true" fillcolor="#000000" stroked="false">
              <v:path arrowok="t"/>
              <v:fill type="solid"/>
            </v:shape>
            <w10:wrap type="topAndBottom"/>
          </v:group>
        </w:pict>
      </w:r>
      <w:r>
        <w:rPr/>
        <w:pict>
          <v:shape style="position:absolute;margin-left:67.116402pt;margin-top:45.42527pt;width:66.75pt;height:29pt;mso-position-horizontal-relative:page;mso-position-vertical-relative:paragraph;z-index:-250864640;mso-wrap-distance-left:0;mso-wrap-distance-right:0" type="#_x0000_t202" filled="true" fillcolor="#f9e8f0" stroked="true" strokeweight=".69pt" strokecolor="#000000">
            <v:textbox inset="0,0,0,0">
              <w:txbxContent>
                <w:p>
                  <w:pPr>
                    <w:spacing w:line="242" w:lineRule="auto" w:before="61"/>
                    <w:ind w:left="138" w:right="149" w:firstLine="0"/>
                    <w:jc w:val="left"/>
                    <w:rPr>
                      <w:rFonts w:ascii="Arial"/>
                      <w:b/>
                      <w:sz w:val="19"/>
                    </w:rPr>
                  </w:pPr>
                  <w:r>
                    <w:rPr>
                      <w:rFonts w:ascii="Arial"/>
                      <w:b/>
                      <w:sz w:val="19"/>
                    </w:rPr>
                    <w:t>Stage 2: Discussion</w:t>
                  </w:r>
                </w:p>
              </w:txbxContent>
            </v:textbox>
            <v:fill type="solid"/>
            <v:stroke dashstyle="solid"/>
            <w10:wrap type="topAndBottom"/>
          </v:shape>
        </w:pict>
      </w:r>
    </w:p>
    <w:p>
      <w:pPr>
        <w:pStyle w:val="BodyText"/>
        <w:spacing w:before="11"/>
        <w:rPr>
          <w:b/>
          <w:sz w:val="11"/>
        </w:rPr>
      </w:pPr>
    </w:p>
    <w:p>
      <w:pPr>
        <w:pStyle w:val="BodyText"/>
        <w:spacing w:line="227" w:lineRule="exact"/>
        <w:ind w:left="5604"/>
      </w:pPr>
      <w:r>
        <w:rPr>
          <w:position w:val="-4"/>
        </w:rPr>
        <w:pict>
          <v:group style="width:7.6pt;height:11.05pt;mso-position-horizontal-relative:char;mso-position-vertical-relative:line" coordorigin="0,0" coordsize="152,221">
            <v:line style="position:absolute" from="74,0" to="74,64" stroked="true" strokeweight=".69pt" strokecolor="#000000">
              <v:stroke dashstyle="solid"/>
            </v:line>
            <v:shape style="position:absolute;left:0;top:64;width:152;height:157" coordorigin="0,64" coordsize="152,157" path="m0,64l74,221,152,69,0,64xe" filled="true" fillcolor="#000000" stroked="false">
              <v:path arrowok="t"/>
              <v:fill type="solid"/>
            </v:shape>
          </v:group>
        </w:pict>
      </w:r>
      <w:r>
        <w:rPr>
          <w:position w:val="-4"/>
        </w:rPr>
      </w:r>
    </w:p>
    <w:p>
      <w:pPr>
        <w:pStyle w:val="BodyText"/>
        <w:rPr>
          <w:b/>
        </w:rPr>
      </w:pPr>
    </w:p>
    <w:p>
      <w:pPr>
        <w:pStyle w:val="BodyText"/>
        <w:rPr>
          <w:b/>
        </w:rPr>
      </w:pPr>
    </w:p>
    <w:p>
      <w:pPr>
        <w:pStyle w:val="BodyText"/>
        <w:rPr>
          <w:b/>
        </w:rPr>
      </w:pPr>
    </w:p>
    <w:p>
      <w:pPr>
        <w:pStyle w:val="BodyText"/>
        <w:rPr>
          <w:b/>
          <w:sz w:val="27"/>
        </w:rPr>
      </w:pPr>
      <w:r>
        <w:rPr/>
        <w:pict>
          <v:group style="position:absolute;margin-left:311.776489pt;margin-top:18.816807pt;width:7.6pt;height:10.6pt;mso-position-horizontal-relative:page;mso-position-vertical-relative:paragraph;z-index:-250862592;mso-wrap-distance-left:0;mso-wrap-distance-right:0" coordorigin="6236,376" coordsize="152,212">
            <v:line style="position:absolute" from="6309,376" to="6309,441" stroked="true" strokeweight=".69pt" strokecolor="#000000">
              <v:stroke dashstyle="solid"/>
            </v:line>
            <v:shape style="position:absolute;left:6235;top:440;width:152;height:148" coordorigin="6236,441" coordsize="152,148" path="m6387,441l6236,441,6309,588,6387,441xe" filled="true" fillcolor="#000000" stroked="false">
              <v:path arrowok="t"/>
              <v:fill type="solid"/>
            </v:shape>
            <w10:wrap type="topAndBottom"/>
          </v:group>
        </w:pict>
      </w:r>
    </w:p>
    <w:p>
      <w:pPr>
        <w:pStyle w:val="BodyText"/>
        <w:spacing w:before="12"/>
        <w:rPr>
          <w:b/>
          <w:sz w:val="7"/>
        </w:rPr>
      </w:pPr>
    </w:p>
    <w:p>
      <w:pPr>
        <w:pStyle w:val="BodyText"/>
        <w:ind w:left="713"/>
      </w:pPr>
      <w:r>
        <w:rPr>
          <w:position w:val="0"/>
        </w:rPr>
        <w:pict>
          <v:shape style="width:55.95pt;height:30.4pt;mso-position-horizontal-relative:char;mso-position-vertical-relative:line" type="#_x0000_t202" filled="true" fillcolor="#f7fdd1" stroked="true" strokeweight=".69pt" strokecolor="#000000">
            <w10:anchorlock/>
            <v:textbox inset="0,0,0,0">
              <w:txbxContent>
                <w:p>
                  <w:pPr>
                    <w:spacing w:line="247" w:lineRule="auto" w:before="61"/>
                    <w:ind w:left="138" w:right="155" w:firstLine="0"/>
                    <w:jc w:val="left"/>
                    <w:rPr>
                      <w:rFonts w:ascii="Arial"/>
                      <w:b/>
                      <w:sz w:val="19"/>
                    </w:rPr>
                  </w:pPr>
                  <w:r>
                    <w:rPr>
                      <w:rFonts w:ascii="Arial"/>
                      <w:b/>
                      <w:sz w:val="19"/>
                    </w:rPr>
                    <w:t>Stage 3: Decision</w:t>
                  </w:r>
                </w:p>
              </w:txbxContent>
            </v:textbox>
            <v:fill type="solid"/>
            <v:stroke dashstyle="solid"/>
          </v:shape>
        </w:pict>
      </w:r>
      <w:r>
        <w:rPr>
          <w:position w:val="0"/>
        </w:rPr>
      </w:r>
    </w:p>
    <w:p>
      <w:pPr>
        <w:pStyle w:val="BodyText"/>
        <w:spacing w:before="3"/>
        <w:rPr>
          <w:b/>
          <w:sz w:val="19"/>
        </w:rPr>
      </w:pPr>
      <w:r>
        <w:rPr/>
        <w:pict>
          <v:group style="position:absolute;margin-left:312.236786pt;margin-top:14.054439pt;width:7.6pt;height:10.6pt;mso-position-horizontal-relative:page;mso-position-vertical-relative:paragraph;z-index:-250860544;mso-wrap-distance-left:0;mso-wrap-distance-right:0" coordorigin="6245,281" coordsize="152,212">
            <v:line style="position:absolute" from="6318,281" to="6318,346" stroked="true" strokeweight=".69pt" strokecolor="#000000">
              <v:stroke dashstyle="solid"/>
            </v:line>
            <v:shape style="position:absolute;left:6244;top:345;width:152;height:148" coordorigin="6245,346" coordsize="152,148" path="m6397,346l6245,346,6318,493,6397,346xe" filled="true" fillcolor="#000000" stroked="false">
              <v:path arrowok="t"/>
              <v:fill type="solid"/>
            </v:shape>
            <w10:wrap type="topAndBottom"/>
          </v:group>
        </w:pict>
      </w:r>
    </w:p>
    <w:p>
      <w:pPr>
        <w:pStyle w:val="BodyText"/>
        <w:rPr>
          <w:b/>
        </w:rPr>
      </w:pPr>
    </w:p>
    <w:p>
      <w:pPr>
        <w:pStyle w:val="BodyText"/>
        <w:rPr>
          <w:b/>
        </w:rPr>
      </w:pPr>
    </w:p>
    <w:p>
      <w:pPr>
        <w:pStyle w:val="BodyText"/>
        <w:spacing w:before="9"/>
        <w:rPr>
          <w:b/>
          <w:sz w:val="10"/>
        </w:rPr>
      </w:pPr>
      <w:r>
        <w:rPr/>
        <w:pict>
          <v:group style="position:absolute;margin-left:312.236786pt;margin-top:8.890238pt;width:7.6pt;height:9pt;mso-position-horizontal-relative:page;mso-position-vertical-relative:paragraph;z-index:-250859520;mso-wrap-distance-left:0;mso-wrap-distance-right:0" coordorigin="6245,178" coordsize="152,180">
            <v:line style="position:absolute" from="6318,178" to="6318,205" stroked="true" strokeweight=".69pt" strokecolor="#000000">
              <v:stroke dashstyle="solid"/>
            </v:line>
            <v:shape style="position:absolute;left:6244;top:205;width:152;height:152" coordorigin="6245,205" coordsize="152,152" path="m6397,205l6245,205,6318,357,6397,205xe" filled="true" fillcolor="#000000" stroked="false">
              <v:path arrowok="t"/>
              <v:fill type="solid"/>
            </v:shape>
            <w10:wrap type="topAndBottom"/>
          </v:group>
        </w:pict>
      </w:r>
    </w:p>
    <w:p>
      <w:pPr>
        <w:pStyle w:val="BodyText"/>
        <w:rPr>
          <w:b/>
        </w:rPr>
      </w:pPr>
    </w:p>
    <w:p>
      <w:pPr>
        <w:pStyle w:val="BodyText"/>
        <w:rPr>
          <w:b/>
        </w:rPr>
      </w:pPr>
    </w:p>
    <w:p>
      <w:pPr>
        <w:pStyle w:val="BodyText"/>
        <w:rPr>
          <w:b/>
        </w:rPr>
      </w:pPr>
    </w:p>
    <w:p>
      <w:pPr>
        <w:pStyle w:val="BodyText"/>
        <w:spacing w:before="2"/>
        <w:rPr>
          <w:b/>
        </w:rPr>
      </w:pPr>
      <w:r>
        <w:rPr/>
        <w:pict>
          <v:group style="position:absolute;margin-left:184.153pt;margin-top:14.290806pt;width:164.8pt;height:57.35pt;mso-position-horizontal-relative:page;mso-position-vertical-relative:paragraph;z-index:-250856448;mso-wrap-distance-left:0;mso-wrap-distance-right:0" coordorigin="3683,286" coordsize="3296,1147">
            <v:line style="position:absolute" from="5448,587" to="4965,587" stroked="true" strokeweight=".69pt" strokecolor="#000000">
              <v:stroke dashstyle="solid"/>
            </v:line>
            <v:line style="position:absolute" from="4965,587" to="4965,721" stroked="true" strokeweight=".69pt" strokecolor="#000000">
              <v:stroke dashstyle="solid"/>
            </v:line>
            <v:shape style="position:absolute;left:4891;top:720;width:152;height:148" coordorigin="4891,721" coordsize="152,148" path="m5043,721l4891,721,4965,868,5043,721xe" filled="true" fillcolor="#000000" stroked="false">
              <v:path arrowok="t"/>
              <v:fill type="solid"/>
            </v:shape>
            <v:shape style="position:absolute;left:5420;top:292;width:1552;height:401" type="#_x0000_t202" filled="true" fillcolor="#c7f2e0" stroked="true" strokeweight=".69pt" strokecolor="#000000">
              <v:textbox inset="0,0,0,0">
                <w:txbxContent>
                  <w:p>
                    <w:pPr>
                      <w:spacing w:before="70"/>
                      <w:ind w:left="138" w:right="0" w:firstLine="0"/>
                      <w:jc w:val="left"/>
                      <w:rPr>
                        <w:rFonts w:ascii="Arial" w:hAnsi="Arial"/>
                        <w:sz w:val="19"/>
                      </w:rPr>
                    </w:pPr>
                    <w:r>
                      <w:rPr>
                        <w:rFonts w:ascii="Arial" w:hAnsi="Arial"/>
                        <w:sz w:val="19"/>
                      </w:rPr>
                      <w:t>Options are…</w:t>
                    </w:r>
                  </w:p>
                </w:txbxContent>
              </v:textbox>
              <v:fill type="solid"/>
              <v:stroke dashstyle="solid"/>
              <w10:wrap type="none"/>
            </v:shape>
            <v:shape style="position:absolute;left:3689;top:831;width:2178;height:594" type="#_x0000_t202" filled="true" fillcolor="#c7f2e0" stroked="true" strokeweight=".69pt" strokecolor="#000000">
              <v:textbox inset="0,0,0,0">
                <w:txbxContent>
                  <w:p>
                    <w:pPr>
                      <w:spacing w:line="242" w:lineRule="auto" w:before="65"/>
                      <w:ind w:left="138" w:right="168" w:firstLine="0"/>
                      <w:jc w:val="left"/>
                      <w:rPr>
                        <w:rFonts w:ascii="Arial"/>
                        <w:sz w:val="19"/>
                      </w:rPr>
                    </w:pPr>
                    <w:r>
                      <w:rPr>
                        <w:rFonts w:ascii="Arial"/>
                        <w:sz w:val="19"/>
                      </w:rPr>
                      <w:t>All show orange (feel warm to the proposal)</w:t>
                    </w:r>
                  </w:p>
                </w:txbxContent>
              </v:textbox>
              <v:fill type="solid"/>
              <v:stroke dashstyle="solid"/>
              <w10:wrap type="none"/>
            </v:shape>
            <w10:wrap type="topAndBottom"/>
          </v:group>
        </w:pict>
      </w:r>
      <w:r>
        <w:rPr/>
        <w:pict>
          <v:group style="position:absolute;margin-left:349.868103pt;margin-top:28.791006pt;width:195.45pt;height:44.7pt;mso-position-horizontal-relative:page;mso-position-vertical-relative:paragraph;z-index:-250854400;mso-wrap-distance-left:0;mso-wrap-distance-right:0" coordorigin="6997,576" coordsize="3909,894">
            <v:line style="position:absolute" from="7492,587" to="7004,583" stroked="true" strokeweight=".69pt" strokecolor="#000000">
              <v:stroke dashstyle="solid"/>
            </v:line>
            <v:line style="position:absolute" from="7492,587" to="7492,716" stroked="true" strokeweight=".69pt" strokecolor="#000000">
              <v:stroke dashstyle="solid"/>
            </v:line>
            <v:shape style="position:absolute;left:7418;top:716;width:152;height:152" coordorigin="7419,716" coordsize="152,152" path="m7570,716l7419,721,7497,868,7570,716xe" filled="true" fillcolor="#000000" stroked="false">
              <v:path arrowok="t"/>
              <v:fill type="solid"/>
            </v:shape>
            <v:shape style="position:absolute;left:7142;top:831;width:3757;height:631" type="#_x0000_t202" filled="true" fillcolor="#c7f2e0" stroked="true" strokeweight=".69pt" strokecolor="#000000">
              <v:textbox inset="0,0,0,0">
                <w:txbxContent>
                  <w:p>
                    <w:pPr>
                      <w:spacing w:line="242" w:lineRule="auto" w:before="65"/>
                      <w:ind w:left="138" w:right="12" w:firstLine="0"/>
                      <w:jc w:val="left"/>
                      <w:rPr>
                        <w:rFonts w:ascii="Arial"/>
                        <w:sz w:val="19"/>
                      </w:rPr>
                    </w:pPr>
                    <w:r>
                      <w:rPr>
                        <w:rFonts w:ascii="Arial"/>
                        <w:sz w:val="19"/>
                      </w:rPr>
                      <w:t>Some blue (feeling cold to the proposal and not inclined or willing to accept it)</w:t>
                    </w:r>
                  </w:p>
                </w:txbxContent>
              </v:textbox>
              <v:fill type="solid"/>
              <v:stroke dashstyle="solid"/>
              <w10:wrap type="none"/>
            </v:shape>
            <w10:wrap type="topAndBottom"/>
          </v:group>
        </w:pict>
      </w:r>
    </w:p>
    <w:p>
      <w:pPr>
        <w:pStyle w:val="Heading7"/>
        <w:spacing w:line="240" w:lineRule="auto" w:before="2"/>
        <w:ind w:left="845"/>
        <w:rPr>
          <w:rFonts w:ascii="Calibri"/>
        </w:rPr>
      </w:pPr>
      <w:r>
        <w:rPr>
          <w:rFonts w:ascii="Calibri"/>
          <w:w w:val="105"/>
        </w:rPr>
        <w:t>---------------------------------------------------------------------------------------------------------------------------------------------------</w:t>
      </w:r>
    </w:p>
    <w:p>
      <w:pPr>
        <w:pStyle w:val="BodyText"/>
        <w:spacing w:before="96"/>
        <w:ind w:left="1921"/>
      </w:pPr>
      <w:r>
        <w:rPr/>
        <w:pict>
          <v:group style="position:absolute;margin-left:463.221802pt;margin-top:-12.492128pt;width:7.6pt;height:13.85pt;mso-position-horizontal-relative:page;mso-position-vertical-relative:paragraph;z-index:-267295744" coordorigin="9264,-250" coordsize="152,277">
            <v:line style="position:absolute" from="9338,-250" to="9338,-121" stroked="true" strokeweight=".69pt" strokecolor="#000000">
              <v:stroke dashstyle="solid"/>
            </v:line>
            <v:shape style="position:absolute;left:9264;top:-121;width:152;height:148" coordorigin="9264,-121" coordsize="152,148" path="m9416,-121l9264,-121,9338,26,9416,-121xe" filled="true" fillcolor="#000000" stroked="false">
              <v:path arrowok="t"/>
              <v:fill type="solid"/>
            </v:shape>
            <w10:wrap type="none"/>
          </v:group>
        </w:pict>
      </w:r>
      <w:r>
        <w:rPr/>
        <w:pict>
          <v:group style="position:absolute;margin-left:240.657104pt;margin-top:-12.492128pt;width:7.6pt;height:13.85pt;mso-position-horizontal-relative:page;mso-position-vertical-relative:paragraph;z-index:-267291648" coordorigin="4813,-250" coordsize="152,277">
            <v:line style="position:absolute" from="4887,-250" to="4887,-121" stroked="true" strokeweight=".69pt" strokecolor="#000000">
              <v:stroke dashstyle="solid"/>
            </v:line>
            <v:shape style="position:absolute;left:4813;top:-121;width:152;height:148" coordorigin="4813,-121" coordsize="152,148" path="m4965,-121l4813,-121,4891,26,4965,-121xe" filled="true" fillcolor="#000000" stroked="false">
              <v:path arrowok="t"/>
              <v:fill type="solid"/>
            </v:shape>
            <w10:wrap type="none"/>
          </v:group>
        </w:pict>
      </w:r>
      <w:r>
        <w:rPr/>
        <w:pict>
          <v:group style="position:absolute;margin-left:312.006714pt;margin-top:-81.310028pt;width:7.6pt;height:10.85pt;mso-position-horizontal-relative:page;mso-position-vertical-relative:paragraph;z-index:-267290624" coordorigin="6240,-1626" coordsize="152,217">
            <v:line style="position:absolute" from="6314,-1626" to="6314,-1562" stroked="true" strokeweight=".69pt" strokecolor="#000000">
              <v:stroke dashstyle="solid"/>
            </v:line>
            <v:shape style="position:absolute;left:6240;top:-1562;width:152;height:152" coordorigin="6240,-1562" coordsize="152,152" path="m6392,-1562l6240,-1562,6318,-1410,6392,-1562xe" filled="true" fillcolor="#000000" stroked="false">
              <v:path arrowok="t"/>
              <v:fill type="solid"/>
            </v:shape>
            <w10:wrap type="none"/>
          </v:group>
        </w:pict>
      </w:r>
      <w:r>
        <w:rPr/>
        <w:pict>
          <v:group style="position:absolute;margin-left:463.221802pt;margin-top:55.174873pt;width:7.6pt;height:10.6pt;mso-position-horizontal-relative:page;mso-position-vertical-relative:paragraph;z-index:252480512" coordorigin="9264,1103" coordsize="152,212">
            <v:line style="position:absolute" from="9338,1103" to="9338,1168" stroked="true" strokeweight=".69pt" strokecolor="#000000">
              <v:stroke dashstyle="solid"/>
            </v:line>
            <v:shape style="position:absolute;left:9264;top:1167;width:152;height:148" coordorigin="9264,1168" coordsize="152,148" path="m9416,1168l9264,1168,9338,1315,9416,1168xe" filled="true" fillcolor="#000000" stroked="false">
              <v:path arrowok="t"/>
              <v:fill type="solid"/>
            </v:shape>
            <w10:wrap type="none"/>
          </v:group>
        </w:pict>
      </w:r>
      <w:r>
        <w:rPr/>
        <w:pict>
          <v:group style="position:absolute;margin-left:463.221802pt;margin-top:95.683075pt;width:7.6pt;height:10.6pt;mso-position-horizontal-relative:page;mso-position-vertical-relative:paragraph;z-index:252481536" coordorigin="9264,1914" coordsize="152,212">
            <v:line style="position:absolute" from="9338,1914" to="9338,1978" stroked="true" strokeweight=".69pt" strokecolor="#000000">
              <v:stroke dashstyle="solid"/>
            </v:line>
            <v:shape style="position:absolute;left:9264;top:1978;width:152;height:148" coordorigin="9264,1978" coordsize="152,148" path="m9416,1978l9264,1978,9338,2125,9416,1978xe" filled="true" fillcolor="#000000" stroked="false">
              <v:path arrowok="t"/>
              <v:fill type="solid"/>
            </v:shape>
            <w10:wrap type="none"/>
          </v:group>
        </w:pict>
      </w:r>
      <w:r>
        <w:rPr/>
        <w:pict>
          <v:group style="position:absolute;margin-left:44.560799pt;margin-top:59.548073pt;width:43.5pt;height:43.5pt;mso-position-horizontal-relative:page;mso-position-vertical-relative:paragraph;z-index:252483584" coordorigin="891,1191" coordsize="870,870">
            <v:shape style="position:absolute;left:898;top:1197;width:857;height:857" coordorigin="898,1198" coordsize="857,857" path="m1754,1626l1747,1703,1728,1775,1696,1842,1654,1902,1602,1953,1542,1996,1476,2027,1403,2047,1326,2054,1249,2047,1177,2027,1110,1996,1050,1953,999,1902,957,1842,925,1775,905,1703,898,1626,905,1549,925,1477,957,1410,999,1350,1050,1299,1110,1256,1177,1225,1249,1205,1326,1198,1403,1205,1476,1225,1542,1256,1602,1299,1654,1350,1696,1410,1728,1477,1747,1549,1754,1626xe" filled="false" stroked="true" strokeweight=".69pt" strokecolor="#000000">
              <v:path arrowok="t"/>
              <v:stroke dashstyle="solid"/>
            </v:shape>
            <v:shape style="position:absolute;left:891;top:1190;width:870;height:870" type="#_x0000_t202" filled="false" stroked="false">
              <v:textbox inset="0,0,0,0">
                <w:txbxContent>
                  <w:p>
                    <w:pPr>
                      <w:spacing w:before="189"/>
                      <w:ind w:left="237" w:right="0" w:firstLine="0"/>
                      <w:jc w:val="left"/>
                      <w:rPr>
                        <w:sz w:val="19"/>
                      </w:rPr>
                    </w:pPr>
                    <w:r>
                      <w:rPr>
                        <w:sz w:val="19"/>
                      </w:rPr>
                      <w:t>2.5.9</w:t>
                    </w:r>
                  </w:p>
                </w:txbxContent>
              </v:textbox>
              <w10:wrap type="none"/>
            </v:shape>
            <w10:wrap type="none"/>
          </v:group>
        </w:pict>
      </w:r>
      <w:r>
        <w:rPr/>
        <w:pict>
          <v:group style="position:absolute;margin-left:113.608498pt;margin-top:-5.586828pt;width:50.45pt;height:47.45pt;mso-position-horizontal-relative:page;mso-position-vertical-relative:paragraph;z-index:-267285504" coordorigin="2272,-112" coordsize="1009,949">
            <v:shape style="position:absolute;left:2279;top:-105;width:995;height:935" coordorigin="2279,-105" coordsize="995,935" path="m2776,-105l2696,-99,2619,-81,2548,-53,2483,-15,2425,32,2375,86,2335,148,2304,215,2286,287,2279,362,2286,438,2304,510,2335,577,2375,638,2425,693,2483,739,2548,777,2619,806,2696,823,2776,830,2857,823,2933,806,3005,777,3070,739,3128,693,3177,638,3218,577,3248,510,3267,438,3273,362,3267,287,3248,215,3218,148,3177,86,3128,32,3070,-15,3005,-53,2933,-81,2857,-99,2776,-105xe" filled="true" fillcolor="#ffffff" stroked="false">
              <v:path arrowok="t"/>
              <v:fill type="solid"/>
            </v:shape>
            <v:shape style="position:absolute;left:2279;top:-105;width:995;height:935" coordorigin="2279,-105" coordsize="995,935" path="m3273,362l3267,438,3248,510,3218,577,3177,638,3128,693,3070,739,3005,777,2933,806,2857,823,2776,830,2696,823,2619,806,2548,777,2483,739,2425,693,2375,638,2335,577,2304,510,2286,438,2279,362,2286,287,2304,215,2335,148,2375,86,2425,32,2483,-15,2548,-53,2619,-81,2696,-99,2776,-105,2857,-99,2933,-81,3005,-53,3070,-15,3128,32,3177,86,3218,148,3248,215,3267,287,3273,362xe" filled="false" stroked="true" strokeweight=".69pt" strokecolor="#000000">
              <v:path arrowok="t"/>
              <v:stroke dashstyle="solid"/>
            </v:shape>
            <w10:wrap type="none"/>
          </v:group>
        </w:pict>
      </w:r>
      <w:r>
        <w:rPr/>
        <w:pict>
          <v:group style="position:absolute;margin-left:320.983398pt;margin-top:-.523428pt;width:44.2pt;height:44.2pt;mso-position-horizontal-relative:page;mso-position-vertical-relative:paragraph;z-index:252486656" coordorigin="6420,-10" coordsize="884,884">
            <v:shape style="position:absolute;left:6426;top:-4;width:870;height:870" coordorigin="6427,-4" coordsize="870,870" path="m7297,431l7290,510,7269,583,7237,651,7194,712,7142,764,7081,807,7013,839,6940,859,6862,866,6783,859,6710,839,6642,807,6581,764,6529,712,6486,651,6454,583,6434,510,6427,431,6434,353,6454,280,6486,212,6529,151,6581,99,6642,56,6710,24,6783,3,6862,-4,6940,3,7013,24,7081,56,7142,99,7194,151,7237,212,7269,280,7290,353,7297,431xe" filled="false" stroked="true" strokeweight=".69pt" strokecolor="#000000">
              <v:path arrowok="t"/>
              <v:stroke dashstyle="solid"/>
            </v:shape>
            <v:shape style="position:absolute;left:6419;top:-11;width:884;height:884" type="#_x0000_t202" filled="false" stroked="false">
              <v:textbox inset="0,0,0,0">
                <w:txbxContent>
                  <w:p>
                    <w:pPr>
                      <w:spacing w:before="185"/>
                      <w:ind w:left="237" w:right="0" w:firstLine="0"/>
                      <w:jc w:val="left"/>
                      <w:rPr>
                        <w:sz w:val="19"/>
                      </w:rPr>
                    </w:pPr>
                    <w:r>
                      <w:rPr>
                        <w:sz w:val="19"/>
                      </w:rPr>
                      <w:t>2.5.6</w:t>
                    </w:r>
                  </w:p>
                </w:txbxContent>
              </v:textbox>
              <w10:wrap type="none"/>
            </v:shape>
            <w10:wrap type="none"/>
          </v:group>
        </w:pict>
      </w:r>
      <w:r>
        <w:rPr/>
        <w:pict>
          <v:shape style="position:absolute;margin-left:91.053101pt;margin-top:55.174873pt;width:233.85pt;height:152.6pt;mso-position-horizontal-relative:page;mso-position-vertical-relative:paragraph;z-index:252492800" type="#_x0000_t202" filled="true" fillcolor="#c7f2e0" stroked="true" strokeweight=".69pt" strokecolor="#000000">
            <v:textbox inset="0,0,0,0">
              <w:txbxContent>
                <w:p>
                  <w:pPr>
                    <w:spacing w:before="65"/>
                    <w:ind w:left="138" w:right="0" w:firstLine="0"/>
                    <w:jc w:val="left"/>
                    <w:rPr>
                      <w:rFonts w:ascii="Arial"/>
                      <w:sz w:val="19"/>
                    </w:rPr>
                  </w:pPr>
                  <w:r>
                    <w:rPr>
                      <w:rFonts w:ascii="Arial"/>
                      <w:sz w:val="19"/>
                    </w:rPr>
                    <w:t>One of such options as these are pursued for</w:t>
                  </w:r>
                </w:p>
                <w:p>
                  <w:pPr>
                    <w:spacing w:before="3"/>
                    <w:ind w:left="138" w:right="0" w:firstLine="0"/>
                    <w:jc w:val="left"/>
                    <w:rPr>
                      <w:rFonts w:ascii="Arial" w:hAnsi="Arial"/>
                      <w:b/>
                      <w:sz w:val="19"/>
                    </w:rPr>
                  </w:pPr>
                  <w:r>
                    <w:rPr>
                      <w:rFonts w:ascii="Arial" w:hAnsi="Arial"/>
                      <w:b/>
                      <w:sz w:val="19"/>
                      <w:u w:val="single"/>
                    </w:rPr>
                    <w:t>further reflection and deliberation –</w:t>
                  </w:r>
                </w:p>
                <w:p>
                  <w:pPr>
                    <w:spacing w:line="242" w:lineRule="auto" w:before="2"/>
                    <w:ind w:left="138" w:right="241" w:firstLine="0"/>
                    <w:jc w:val="left"/>
                    <w:rPr>
                      <w:rFonts w:ascii="Arial"/>
                      <w:sz w:val="19"/>
                    </w:rPr>
                  </w:pPr>
                  <w:r>
                    <w:rPr>
                      <w:rFonts w:ascii="Arial"/>
                      <w:sz w:val="19"/>
                    </w:rPr>
                    <w:t>+ adjourning the discussion to another time or place perhaps with more work before reconsideration;</w:t>
                  </w:r>
                </w:p>
                <w:p>
                  <w:pPr>
                    <w:spacing w:before="1"/>
                    <w:ind w:left="138" w:right="0" w:firstLine="0"/>
                    <w:jc w:val="left"/>
                    <w:rPr>
                      <w:rFonts w:ascii="Arial"/>
                      <w:sz w:val="19"/>
                    </w:rPr>
                  </w:pPr>
                  <w:r>
                    <w:rPr>
                      <w:rFonts w:ascii="Arial"/>
                      <w:sz w:val="19"/>
                    </w:rPr>
                    <w:t>+ referring the issue to another council or group ..</w:t>
                  </w:r>
                </w:p>
                <w:p>
                  <w:pPr>
                    <w:spacing w:line="237" w:lineRule="auto" w:before="5"/>
                    <w:ind w:left="138" w:right="241" w:firstLine="0"/>
                    <w:jc w:val="left"/>
                    <w:rPr>
                      <w:rFonts w:ascii="Arial"/>
                      <w:sz w:val="19"/>
                    </w:rPr>
                  </w:pPr>
                  <w:r>
                    <w:rPr>
                      <w:rFonts w:ascii="Arial"/>
                      <w:sz w:val="19"/>
                    </w:rPr>
                    <w:t>+ deciding the issue is unnecessary/inappropriate to continue dealing with;</w:t>
                  </w:r>
                </w:p>
                <w:p>
                  <w:pPr>
                    <w:spacing w:line="242" w:lineRule="auto" w:before="3"/>
                    <w:ind w:left="138" w:right="0" w:firstLine="0"/>
                    <w:jc w:val="left"/>
                    <w:rPr>
                      <w:rFonts w:ascii="Arial"/>
                      <w:sz w:val="19"/>
                    </w:rPr>
                  </w:pPr>
                  <w:r>
                    <w:rPr>
                      <w:rFonts w:ascii="Arial"/>
                      <w:sz w:val="19"/>
                    </w:rPr>
                    <w:t>v) declaring that there are diverse views which Christians may hold with equal integrity;</w:t>
                  </w:r>
                </w:p>
                <w:p>
                  <w:pPr>
                    <w:pStyle w:val="BodyText"/>
                    <w:spacing w:before="3"/>
                    <w:rPr>
                      <w:rFonts w:ascii="Arial"/>
                      <w:sz w:val="19"/>
                    </w:rPr>
                  </w:pPr>
                </w:p>
                <w:p>
                  <w:pPr>
                    <w:spacing w:before="0"/>
                    <w:ind w:left="138" w:right="0" w:firstLine="0"/>
                    <w:jc w:val="left"/>
                    <w:rPr>
                      <w:rFonts w:ascii="Arial"/>
                      <w:sz w:val="19"/>
                    </w:rPr>
                  </w:pPr>
                  <w:r>
                    <w:rPr>
                      <w:rFonts w:ascii="Arial"/>
                      <w:b/>
                      <w:sz w:val="19"/>
                      <w:u w:val="single"/>
                    </w:rPr>
                    <w:t>OR</w:t>
                  </w:r>
                  <w:r>
                    <w:rPr>
                      <w:rFonts w:ascii="Arial"/>
                      <w:b/>
                      <w:sz w:val="19"/>
                    </w:rPr>
                    <w:t> </w:t>
                  </w:r>
                  <w:r>
                    <w:rPr>
                      <w:rFonts w:ascii="Arial"/>
                      <w:sz w:val="19"/>
                    </w:rPr>
                    <w:t>after consultation the Moderator can agree to</w:t>
                  </w:r>
                </w:p>
                <w:p>
                  <w:pPr>
                    <w:spacing w:before="7"/>
                    <w:ind w:left="138" w:right="0" w:firstLine="0"/>
                    <w:jc w:val="left"/>
                    <w:rPr>
                      <w:rFonts w:ascii="Arial"/>
                      <w:b/>
                      <w:sz w:val="19"/>
                    </w:rPr>
                  </w:pPr>
                  <w:r>
                    <w:rPr>
                      <w:rFonts w:ascii="Arial"/>
                      <w:b/>
                      <w:sz w:val="19"/>
                      <w:u w:val="single"/>
                    </w:rPr>
                    <w:t>move to majority decision making</w:t>
                  </w:r>
                </w:p>
              </w:txbxContent>
            </v:textbox>
            <v:fill type="solid"/>
            <v:stroke dashstyle="solid"/>
            <w10:wrap type="none"/>
          </v:shape>
        </w:pict>
      </w:r>
      <w:r>
        <w:rPr/>
        <w:pict>
          <v:shape style="position:absolute;margin-left:165.624893pt;margin-top:-.523828pt;width:148.25pt;height:40.3pt;mso-position-horizontal-relative:page;mso-position-vertical-relative:paragraph;z-index:252493824" type="#_x0000_t202" filled="true" fillcolor="#c7f2e0" stroked="true" strokeweight=".69pt" strokecolor="#000000">
            <v:textbox inset="0,0,0,0">
              <w:txbxContent>
                <w:p>
                  <w:pPr>
                    <w:spacing w:line="240" w:lineRule="auto" w:before="65"/>
                    <w:ind w:left="133" w:right="0" w:firstLine="0"/>
                    <w:jc w:val="left"/>
                    <w:rPr>
                      <w:rFonts w:ascii="Arial"/>
                      <w:sz w:val="19"/>
                    </w:rPr>
                  </w:pPr>
                  <w:r>
                    <w:rPr>
                      <w:rFonts w:ascii="Arial"/>
                      <w:b/>
                      <w:sz w:val="19"/>
                      <w:u w:val="single"/>
                    </w:rPr>
                    <w:t>Consensus reached.</w:t>
                  </w:r>
                  <w:r>
                    <w:rPr>
                      <w:rFonts w:ascii="Arial"/>
                      <w:b/>
                      <w:sz w:val="19"/>
                    </w:rPr>
                    <w:t> </w:t>
                  </w:r>
                  <w:r>
                    <w:rPr>
                      <w:rFonts w:ascii="Arial"/>
                      <w:sz w:val="19"/>
                    </w:rPr>
                    <w:t>This means a decision of the council reached unanimously.</w:t>
                  </w:r>
                </w:p>
              </w:txbxContent>
            </v:textbox>
            <v:fill type="solid"/>
            <v:stroke dashstyle="solid"/>
            <w10:wrap type="none"/>
          </v:shape>
        </w:pict>
      </w:r>
      <w:r>
        <w:rPr>
          <w:w w:val="105"/>
        </w:rPr>
        <w:t>2.5.5</w:t>
      </w:r>
    </w:p>
    <w:p>
      <w:pPr>
        <w:spacing w:after="0"/>
        <w:sectPr>
          <w:headerReference w:type="default" r:id="rId674"/>
          <w:pgSz w:w="11910" w:h="16840"/>
          <w:pgMar w:header="0" w:footer="647" w:top="0" w:bottom="840" w:left="640" w:right="0"/>
        </w:sectPr>
      </w:pPr>
    </w:p>
    <w:p>
      <w:pPr>
        <w:pStyle w:val="BodyText"/>
        <w:spacing w:before="4"/>
        <w:rPr>
          <w:sz w:val="16"/>
        </w:rPr>
      </w:pPr>
      <w:r>
        <w:rPr/>
        <w:drawing>
          <wp:anchor distT="0" distB="0" distL="0" distR="0" allowOverlap="1" layoutInCell="1" locked="0" behindDoc="1" simplePos="0" relativeHeight="236042240">
            <wp:simplePos x="0" y="0"/>
            <wp:positionH relativeFrom="page">
              <wp:posOffset>0</wp:posOffset>
            </wp:positionH>
            <wp:positionV relativeFrom="page">
              <wp:posOffset>0</wp:posOffset>
            </wp:positionV>
            <wp:extent cx="594067" cy="10692003"/>
            <wp:effectExtent l="0" t="0" r="0" b="0"/>
            <wp:wrapNone/>
            <wp:docPr id="479" name="image81.png"/>
            <wp:cNvGraphicFramePr>
              <a:graphicFrameLocks noChangeAspect="1"/>
            </wp:cNvGraphicFramePr>
            <a:graphic>
              <a:graphicData uri="http://schemas.openxmlformats.org/drawingml/2006/picture">
                <pic:pic>
                  <pic:nvPicPr>
                    <pic:cNvPr id="480" name="image81.png"/>
                    <pic:cNvPicPr/>
                  </pic:nvPicPr>
                  <pic:blipFill>
                    <a:blip r:embed="rId678" cstate="print"/>
                    <a:stretch>
                      <a:fillRect/>
                    </a:stretch>
                  </pic:blipFill>
                  <pic:spPr>
                    <a:xfrm>
                      <a:off x="0" y="0"/>
                      <a:ext cx="594067" cy="10692003"/>
                    </a:xfrm>
                    <a:prstGeom prst="rect">
                      <a:avLst/>
                    </a:prstGeom>
                  </pic:spPr>
                </pic:pic>
              </a:graphicData>
            </a:graphic>
          </wp:anchor>
        </w:drawing>
      </w:r>
    </w:p>
    <w:p>
      <w:pPr>
        <w:spacing w:after="0"/>
        <w:rPr>
          <w:sz w:val="16"/>
        </w:rPr>
        <w:sectPr>
          <w:headerReference w:type="even" r:id="rId675"/>
          <w:footerReference w:type="even" r:id="rId676"/>
          <w:footerReference w:type="default" r:id="rId677"/>
          <w:pgSz w:w="11910" w:h="16840"/>
          <w:pgMar w:header="0" w:footer="567" w:top="0" w:bottom="760" w:left="640" w:right="0"/>
          <w:pgNumType w:start="258"/>
        </w:sectPr>
      </w:pPr>
    </w:p>
    <w:p>
      <w:pPr>
        <w:pStyle w:val="BodyText"/>
        <w:spacing w:before="4"/>
        <w:rPr>
          <w:sz w:val="16"/>
        </w:rPr>
      </w:pPr>
      <w:r>
        <w:rPr/>
        <w:drawing>
          <wp:anchor distT="0" distB="0" distL="0" distR="0" allowOverlap="1" layoutInCell="1" locked="0" behindDoc="0" simplePos="0" relativeHeight="252496896">
            <wp:simplePos x="0" y="0"/>
            <wp:positionH relativeFrom="page">
              <wp:posOffset>6974928</wp:posOffset>
            </wp:positionH>
            <wp:positionV relativeFrom="page">
              <wp:posOffset>0</wp:posOffset>
            </wp:positionV>
            <wp:extent cx="585063" cy="10692003"/>
            <wp:effectExtent l="0" t="0" r="0" b="0"/>
            <wp:wrapNone/>
            <wp:docPr id="481" name="image78.png"/>
            <wp:cNvGraphicFramePr>
              <a:graphicFrameLocks noChangeAspect="1"/>
            </wp:cNvGraphicFramePr>
            <a:graphic>
              <a:graphicData uri="http://schemas.openxmlformats.org/drawingml/2006/picture">
                <pic:pic>
                  <pic:nvPicPr>
                    <pic:cNvPr id="482" name="image78.png"/>
                    <pic:cNvPicPr/>
                  </pic:nvPicPr>
                  <pic:blipFill>
                    <a:blip r:embed="rId652" cstate="print"/>
                    <a:stretch>
                      <a:fillRect/>
                    </a:stretch>
                  </pic:blipFill>
                  <pic:spPr>
                    <a:xfrm>
                      <a:off x="0" y="0"/>
                      <a:ext cx="585063" cy="10692003"/>
                    </a:xfrm>
                    <a:prstGeom prst="rect">
                      <a:avLst/>
                    </a:prstGeom>
                  </pic:spPr>
                </pic:pic>
              </a:graphicData>
            </a:graphic>
          </wp:anchor>
        </w:drawing>
      </w:r>
    </w:p>
    <w:p>
      <w:pPr>
        <w:spacing w:after="0"/>
        <w:rPr>
          <w:sz w:val="16"/>
        </w:rPr>
        <w:sectPr>
          <w:headerReference w:type="default" r:id="rId679"/>
          <w:pgSz w:w="11910" w:h="16840"/>
          <w:pgMar w:header="0" w:footer="567" w:top="0" w:bottom="760" w:left="640" w:right="0"/>
        </w:sectPr>
      </w:pPr>
    </w:p>
    <w:p>
      <w:pPr>
        <w:pStyle w:val="BodyText"/>
        <w:spacing w:before="4"/>
        <w:rPr>
          <w:sz w:val="16"/>
        </w:rPr>
      </w:pPr>
      <w:r>
        <w:rPr/>
        <w:drawing>
          <wp:anchor distT="0" distB="0" distL="0" distR="0" allowOverlap="1" layoutInCell="1" locked="0" behindDoc="1" simplePos="0" relativeHeight="236044288">
            <wp:simplePos x="0" y="0"/>
            <wp:positionH relativeFrom="page">
              <wp:posOffset>0</wp:posOffset>
            </wp:positionH>
            <wp:positionV relativeFrom="page">
              <wp:posOffset>0</wp:posOffset>
            </wp:positionV>
            <wp:extent cx="594067" cy="10692003"/>
            <wp:effectExtent l="0" t="0" r="0" b="0"/>
            <wp:wrapNone/>
            <wp:docPr id="483" name="image81.png"/>
            <wp:cNvGraphicFramePr>
              <a:graphicFrameLocks noChangeAspect="1"/>
            </wp:cNvGraphicFramePr>
            <a:graphic>
              <a:graphicData uri="http://schemas.openxmlformats.org/drawingml/2006/picture">
                <pic:pic>
                  <pic:nvPicPr>
                    <pic:cNvPr id="484" name="image81.png"/>
                    <pic:cNvPicPr/>
                  </pic:nvPicPr>
                  <pic:blipFill>
                    <a:blip r:embed="rId678" cstate="print"/>
                    <a:stretch>
                      <a:fillRect/>
                    </a:stretch>
                  </pic:blipFill>
                  <pic:spPr>
                    <a:xfrm>
                      <a:off x="0" y="0"/>
                      <a:ext cx="594067" cy="10692003"/>
                    </a:xfrm>
                    <a:prstGeom prst="rect">
                      <a:avLst/>
                    </a:prstGeom>
                  </pic:spPr>
                </pic:pic>
              </a:graphicData>
            </a:graphic>
          </wp:anchor>
        </w:drawing>
      </w:r>
    </w:p>
    <w:sectPr>
      <w:headerReference w:type="even" r:id="rId680"/>
      <w:footerReference w:type="even" r:id="rId681"/>
      <w:pgSz w:w="11910" w:h="16840"/>
      <w:pgMar w:header="0" w:footer="567" w:top="0" w:bottom="760" w:left="640" w:right="0"/>
    </w:sectPr>
  </w:body>
</w:document>
</file>

<file path=word/fontTable.xml><?xml version="1.0" encoding="utf-8"?>
<w:fonts xmlns:r="http://schemas.openxmlformats.org/officeDocument/2006/relationships" xmlns:w="http://schemas.openxmlformats.org/wordprocessingml/2006/main">
  <w:font w:name="Times New Roman">
    <w:altName w:val="Times New Roman"/>
    <w:charset w:val="0"/>
    <w:family w:val="roman"/>
    <w:pitch w:val="variable"/>
  </w:font>
  <w:font w:name="Stone Sans II ITC Std X Bd">
    <w:altName w:val="Stone Sans II ITC Std X Bd"/>
    <w:charset w:val="0"/>
    <w:family w:val="swiss"/>
    <w:pitch w:val="variable"/>
  </w:font>
  <w:font w:name="Calibri">
    <w:altName w:val="Calibri"/>
    <w:charset w:val="0"/>
    <w:family w:val="swiss"/>
    <w:pitch w:val="variable"/>
  </w:font>
  <w:font w:name="Stone Sans II ITC Std Bk">
    <w:altName w:val="Stone Sans II ITC Std Bk"/>
    <w:charset w:val="0"/>
    <w:family w:val="swiss"/>
    <w:pitch w:val="variable"/>
  </w:font>
  <w:font w:name="Stone Sans II ITC Std Sm">
    <w:altName w:val="Stone Sans II ITC Std Sm"/>
    <w:charset w:val="0"/>
    <w:family w:val="swiss"/>
    <w:pitch w:val="variable"/>
  </w:font>
  <w:font w:name="Symbol">
    <w:altName w:val="Symbol"/>
    <w:charset w:val="2"/>
    <w:family w:val="roman"/>
    <w:pitch w:val="variable"/>
  </w:font>
  <w:font w:name="Arial">
    <w:altName w:val="Arial"/>
    <w:charset w:val="0"/>
    <w:family w:val="swiss"/>
    <w:pitch w:val="variable"/>
  </w:font>
  <w:font w:name="Tahoma">
    <w:altName w:val="Tahoma"/>
    <w:charset w:val="0"/>
    <w:family w:val="swiss"/>
    <w:pitch w:val="variable"/>
  </w:font>
  <w:font w:name="Myriad Pro">
    <w:altName w:val="Myriad Pro"/>
    <w:charset w:val="0"/>
    <w:family w:val="swiss"/>
    <w:pitch w:val="variable"/>
  </w:font>
  <w:font w:name="Trebuchet MS">
    <w:altName w:val="Trebuchet MS"/>
    <w:charset w:val="0"/>
    <w:family w:val="swiss"/>
    <w:pitch w:val="variable"/>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59.362202pt;margin-top:798.53833pt;width:311.4pt;height:17.45pt;mso-position-horizontal-relative:page;mso-position-vertical-relative:page;z-index:-268107776" type="#_x0000_t202" filled="false" stroked="false">
          <v:textbox inset="0,0,0,0">
            <w:txbxContent>
              <w:p>
                <w:pPr>
                  <w:spacing w:before="16"/>
                  <w:ind w:left="60" w:right="0" w:firstLine="0"/>
                  <w:jc w:val="left"/>
                  <w:rPr>
                    <w:sz w:val="23"/>
                  </w:rPr>
                </w:pPr>
                <w:r>
                  <w:rPr/>
                  <w:fldChar w:fldCharType="begin"/>
                </w:r>
                <w:r>
                  <w:rPr>
                    <w:rFonts w:ascii="Stone Sans II ITC Std X Bd" w:hAnsi="Stone Sans II ITC Std X Bd"/>
                    <w:b/>
                    <w:w w:val="110"/>
                    <w:sz w:val="24"/>
                  </w:rPr>
                  <w:instrText> PAGE </w:instrText>
                </w:r>
                <w:r>
                  <w:rPr/>
                  <w:fldChar w:fldCharType="separate"/>
                </w:r>
                <w:r>
                  <w:rPr/>
                  <w:t>10</w:t>
                </w:r>
                <w:r>
                  <w:rPr/>
                  <w:fldChar w:fldCharType="end"/>
                </w:r>
                <w:r>
                  <w:rPr>
                    <w:rFonts w:ascii="Stone Sans II ITC Std X Bd" w:hAnsi="Stone Sans II ITC Std X Bd"/>
                    <w:b/>
                    <w:w w:val="110"/>
                    <w:sz w:val="24"/>
                  </w:rPr>
                  <w:t> </w:t>
                </w:r>
                <w:r>
                  <w:rPr>
                    <w:rFonts w:ascii="Symbol" w:hAnsi="Symbol"/>
                    <w:color w:val="7EAABF"/>
                    <w:w w:val="110"/>
                    <w:sz w:val="23"/>
                  </w:rPr>
                  <w:t></w:t>
                </w:r>
                <w:r>
                  <w:rPr>
                    <w:rFonts w:ascii="Times New Roman" w:hAnsi="Times New Roman"/>
                    <w:color w:val="7EAABF"/>
                    <w:w w:val="110"/>
                    <w:sz w:val="23"/>
                  </w:rPr>
                  <w:t> </w:t>
                </w:r>
                <w:r>
                  <w:rPr>
                    <w:color w:val="7EAABF"/>
                    <w:w w:val="110"/>
                    <w:sz w:val="23"/>
                  </w:rPr>
                  <w:t>United Reformed Church </w:t>
                </w:r>
                <w:r>
                  <w:rPr>
                    <w:rFonts w:ascii="Symbol" w:hAnsi="Symbol"/>
                    <w:color w:val="7EAABF"/>
                    <w:w w:val="110"/>
                    <w:sz w:val="23"/>
                  </w:rPr>
                  <w:t></w:t>
                </w:r>
                <w:r>
                  <w:rPr>
                    <w:rFonts w:ascii="Times New Roman" w:hAnsi="Times New Roman"/>
                    <w:color w:val="7EAABF"/>
                    <w:w w:val="110"/>
                    <w:sz w:val="23"/>
                  </w:rPr>
                  <w:t> </w:t>
                </w:r>
                <w:r>
                  <w:rPr>
                    <w:color w:val="7EAABF"/>
                    <w:w w:val="110"/>
                    <w:sz w:val="23"/>
                  </w:rPr>
                  <w:t>General Assembly 2016</w:t>
                </w:r>
              </w:p>
            </w:txbxContent>
          </v:textbox>
          <w10:wrap type="none"/>
        </v:shape>
      </w:pict>
    </w:r>
  </w:p>
</w:ftr>
</file>

<file path=word/footer1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10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216.907196pt;margin-top:798.53833pt;width:319.05pt;height:17.45pt;mso-position-horizontal-relative:page;mso-position-vertical-relative:page;z-index:-268014592" type="#_x0000_t202" filled="false" stroked="false">
          <v:textbox inset="0,0,0,0">
            <w:txbxContent>
              <w:p>
                <w:pPr>
                  <w:spacing w:before="16"/>
                  <w:ind w:left="20" w:right="0" w:firstLine="0"/>
                  <w:jc w:val="left"/>
                  <w:rPr>
                    <w:rFonts w:ascii="Stone Sans II ITC Std X Bd" w:hAnsi="Stone Sans II ITC Std X Bd"/>
                    <w:b/>
                    <w:sz w:val="24"/>
                  </w:rPr>
                </w:pPr>
                <w:r>
                  <w:rPr>
                    <w:color w:val="7EAABF"/>
                    <w:w w:val="110"/>
                    <w:sz w:val="23"/>
                  </w:rPr>
                  <w:t>United Reformed Church </w:t>
                </w:r>
                <w:r>
                  <w:rPr>
                    <w:rFonts w:ascii="Symbol" w:hAnsi="Symbol"/>
                    <w:color w:val="7EAABF"/>
                    <w:w w:val="110"/>
                    <w:sz w:val="23"/>
                  </w:rPr>
                  <w:t></w:t>
                </w:r>
                <w:r>
                  <w:rPr>
                    <w:rFonts w:ascii="Times New Roman" w:hAnsi="Times New Roman"/>
                    <w:color w:val="7EAABF"/>
                    <w:w w:val="110"/>
                    <w:sz w:val="23"/>
                  </w:rPr>
                  <w:t> </w:t>
                </w:r>
                <w:r>
                  <w:rPr>
                    <w:color w:val="7EAABF"/>
                    <w:w w:val="110"/>
                    <w:sz w:val="23"/>
                  </w:rPr>
                  <w:t>General Assembly 2016 </w:t>
                </w:r>
                <w:r>
                  <w:rPr>
                    <w:rFonts w:ascii="Symbol" w:hAnsi="Symbol"/>
                    <w:color w:val="7EAABF"/>
                    <w:w w:val="110"/>
                    <w:sz w:val="23"/>
                  </w:rPr>
                  <w:t></w:t>
                </w:r>
                <w:r>
                  <w:rPr>
                    <w:rFonts w:ascii="Times New Roman" w:hAnsi="Times New Roman"/>
                    <w:color w:val="7EAABF"/>
                    <w:w w:val="110"/>
                    <w:sz w:val="23"/>
                  </w:rPr>
                  <w:t> </w:t>
                </w:r>
                <w:r>
                  <w:rPr/>
                  <w:fldChar w:fldCharType="begin"/>
                </w:r>
                <w:r>
                  <w:rPr>
                    <w:rFonts w:ascii="Stone Sans II ITC Std X Bd" w:hAnsi="Stone Sans II ITC Std X Bd"/>
                    <w:b/>
                    <w:w w:val="110"/>
                    <w:sz w:val="24"/>
                  </w:rPr>
                  <w:instrText> PAGE </w:instrText>
                </w:r>
                <w:r>
                  <w:rPr/>
                  <w:fldChar w:fldCharType="separate"/>
                </w:r>
                <w:r>
                  <w:rPr/>
                  <w:t>105</w:t>
                </w:r>
                <w:r>
                  <w:rPr/>
                  <w:fldChar w:fldCharType="end"/>
                </w:r>
              </w:p>
            </w:txbxContent>
          </v:textbox>
          <w10:wrap type="none"/>
        </v:shape>
      </w:pict>
    </w:r>
  </w:p>
</w:ftr>
</file>

<file path=word/footer10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59.362202pt;margin-top:798.53833pt;width:319.05pt;height:17.45pt;mso-position-horizontal-relative:page;mso-position-vertical-relative:page;z-index:-268013568" type="#_x0000_t202" filled="false" stroked="false">
          <v:textbox inset="0,0,0,0">
            <w:txbxContent>
              <w:p>
                <w:pPr>
                  <w:spacing w:before="16"/>
                  <w:ind w:left="60" w:right="0" w:firstLine="0"/>
                  <w:jc w:val="left"/>
                  <w:rPr>
                    <w:sz w:val="23"/>
                  </w:rPr>
                </w:pPr>
                <w:r>
                  <w:rPr/>
                  <w:fldChar w:fldCharType="begin"/>
                </w:r>
                <w:r>
                  <w:rPr>
                    <w:rFonts w:ascii="Stone Sans II ITC Std X Bd" w:hAnsi="Stone Sans II ITC Std X Bd"/>
                    <w:b/>
                    <w:w w:val="110"/>
                    <w:sz w:val="24"/>
                  </w:rPr>
                  <w:instrText> PAGE </w:instrText>
                </w:r>
                <w:r>
                  <w:rPr/>
                  <w:fldChar w:fldCharType="separate"/>
                </w:r>
                <w:r>
                  <w:rPr/>
                  <w:t>106</w:t>
                </w:r>
                <w:r>
                  <w:rPr/>
                  <w:fldChar w:fldCharType="end"/>
                </w:r>
                <w:r>
                  <w:rPr>
                    <w:rFonts w:ascii="Stone Sans II ITC Std X Bd" w:hAnsi="Stone Sans II ITC Std X Bd"/>
                    <w:b/>
                    <w:w w:val="110"/>
                    <w:sz w:val="24"/>
                  </w:rPr>
                  <w:t> </w:t>
                </w:r>
                <w:r>
                  <w:rPr>
                    <w:rFonts w:ascii="Symbol" w:hAnsi="Symbol"/>
                    <w:color w:val="7EAABF"/>
                    <w:w w:val="110"/>
                    <w:sz w:val="23"/>
                  </w:rPr>
                  <w:t></w:t>
                </w:r>
                <w:r>
                  <w:rPr>
                    <w:rFonts w:ascii="Times New Roman" w:hAnsi="Times New Roman"/>
                    <w:color w:val="7EAABF"/>
                    <w:w w:val="110"/>
                    <w:sz w:val="23"/>
                  </w:rPr>
                  <w:t> </w:t>
                </w:r>
                <w:r>
                  <w:rPr>
                    <w:color w:val="7EAABF"/>
                    <w:w w:val="110"/>
                    <w:sz w:val="23"/>
                  </w:rPr>
                  <w:t>United Reformed Church </w:t>
                </w:r>
                <w:r>
                  <w:rPr>
                    <w:rFonts w:ascii="Symbol" w:hAnsi="Symbol"/>
                    <w:color w:val="7EAABF"/>
                    <w:w w:val="110"/>
                    <w:sz w:val="23"/>
                  </w:rPr>
                  <w:t></w:t>
                </w:r>
                <w:r>
                  <w:rPr>
                    <w:rFonts w:ascii="Times New Roman" w:hAnsi="Times New Roman"/>
                    <w:color w:val="7EAABF"/>
                    <w:w w:val="110"/>
                    <w:sz w:val="23"/>
                  </w:rPr>
                  <w:t> </w:t>
                </w:r>
                <w:r>
                  <w:rPr>
                    <w:color w:val="7EAABF"/>
                    <w:w w:val="110"/>
                    <w:sz w:val="23"/>
                  </w:rPr>
                  <w:t>General Assembly 2016</w:t>
                </w:r>
              </w:p>
            </w:txbxContent>
          </v:textbox>
          <w10:wrap type="none"/>
        </v:shape>
      </w:pict>
    </w:r>
  </w:p>
</w:ftr>
</file>

<file path=word/footer10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216.907196pt;margin-top:798.53833pt;width:319.05pt;height:17.45pt;mso-position-horizontal-relative:page;mso-position-vertical-relative:page;z-index:-268012544" type="#_x0000_t202" filled="false" stroked="false">
          <v:textbox inset="0,0,0,0">
            <w:txbxContent>
              <w:p>
                <w:pPr>
                  <w:spacing w:before="16"/>
                  <w:ind w:left="20" w:right="0" w:firstLine="0"/>
                  <w:jc w:val="left"/>
                  <w:rPr>
                    <w:rFonts w:ascii="Stone Sans II ITC Std X Bd" w:hAnsi="Stone Sans II ITC Std X Bd"/>
                    <w:b/>
                    <w:sz w:val="24"/>
                  </w:rPr>
                </w:pPr>
                <w:r>
                  <w:rPr>
                    <w:color w:val="7EAABF"/>
                    <w:w w:val="110"/>
                    <w:sz w:val="23"/>
                  </w:rPr>
                  <w:t>United Reformed Church </w:t>
                </w:r>
                <w:r>
                  <w:rPr>
                    <w:rFonts w:ascii="Symbol" w:hAnsi="Symbol"/>
                    <w:color w:val="7EAABF"/>
                    <w:w w:val="110"/>
                    <w:sz w:val="23"/>
                  </w:rPr>
                  <w:t></w:t>
                </w:r>
                <w:r>
                  <w:rPr>
                    <w:rFonts w:ascii="Times New Roman" w:hAnsi="Times New Roman"/>
                    <w:color w:val="7EAABF"/>
                    <w:w w:val="110"/>
                    <w:sz w:val="23"/>
                  </w:rPr>
                  <w:t> </w:t>
                </w:r>
                <w:r>
                  <w:rPr>
                    <w:color w:val="7EAABF"/>
                    <w:w w:val="110"/>
                    <w:sz w:val="23"/>
                  </w:rPr>
                  <w:t>General Assembly 2016 </w:t>
                </w:r>
                <w:r>
                  <w:rPr>
                    <w:rFonts w:ascii="Symbol" w:hAnsi="Symbol"/>
                    <w:color w:val="7EAABF"/>
                    <w:w w:val="110"/>
                    <w:sz w:val="23"/>
                  </w:rPr>
                  <w:t></w:t>
                </w:r>
                <w:r>
                  <w:rPr>
                    <w:rFonts w:ascii="Times New Roman" w:hAnsi="Times New Roman"/>
                    <w:color w:val="7EAABF"/>
                    <w:w w:val="110"/>
                    <w:sz w:val="23"/>
                  </w:rPr>
                  <w:t> </w:t>
                </w:r>
                <w:r>
                  <w:rPr/>
                  <w:fldChar w:fldCharType="begin"/>
                </w:r>
                <w:r>
                  <w:rPr>
                    <w:rFonts w:ascii="Stone Sans II ITC Std X Bd" w:hAnsi="Stone Sans II ITC Std X Bd"/>
                    <w:b/>
                    <w:w w:val="110"/>
                    <w:sz w:val="24"/>
                  </w:rPr>
                  <w:instrText> PAGE </w:instrText>
                </w:r>
                <w:r>
                  <w:rPr/>
                  <w:fldChar w:fldCharType="separate"/>
                </w:r>
                <w:r>
                  <w:rPr/>
                  <w:t>107</w:t>
                </w:r>
                <w:r>
                  <w:rPr/>
                  <w:fldChar w:fldCharType="end"/>
                </w:r>
              </w:p>
            </w:txbxContent>
          </v:textbox>
          <w10:wrap type="none"/>
        </v:shape>
      </w:pict>
    </w:r>
  </w:p>
</w:ftr>
</file>

<file path=word/footer10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10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216.907196pt;margin-top:798.53833pt;width:319.05pt;height:17.45pt;mso-position-horizontal-relative:page;mso-position-vertical-relative:page;z-index:-268010496" type="#_x0000_t202" filled="false" stroked="false">
          <v:textbox inset="0,0,0,0">
            <w:txbxContent>
              <w:p>
                <w:pPr>
                  <w:spacing w:before="16"/>
                  <w:ind w:left="20" w:right="0" w:firstLine="0"/>
                  <w:jc w:val="left"/>
                  <w:rPr>
                    <w:rFonts w:ascii="Stone Sans II ITC Std X Bd" w:hAnsi="Stone Sans II ITC Std X Bd"/>
                    <w:b/>
                    <w:sz w:val="24"/>
                  </w:rPr>
                </w:pPr>
                <w:r>
                  <w:rPr>
                    <w:color w:val="7EAABF"/>
                    <w:w w:val="110"/>
                    <w:sz w:val="23"/>
                  </w:rPr>
                  <w:t>United Reformed Church </w:t>
                </w:r>
                <w:r>
                  <w:rPr>
                    <w:rFonts w:ascii="Symbol" w:hAnsi="Symbol"/>
                    <w:color w:val="7EAABF"/>
                    <w:w w:val="110"/>
                    <w:sz w:val="23"/>
                  </w:rPr>
                  <w:t></w:t>
                </w:r>
                <w:r>
                  <w:rPr>
                    <w:rFonts w:ascii="Times New Roman" w:hAnsi="Times New Roman"/>
                    <w:color w:val="7EAABF"/>
                    <w:w w:val="110"/>
                    <w:sz w:val="23"/>
                  </w:rPr>
                  <w:t> </w:t>
                </w:r>
                <w:r>
                  <w:rPr>
                    <w:color w:val="7EAABF"/>
                    <w:w w:val="110"/>
                    <w:sz w:val="23"/>
                  </w:rPr>
                  <w:t>General Assembly 2016 </w:t>
                </w:r>
                <w:r>
                  <w:rPr>
                    <w:rFonts w:ascii="Symbol" w:hAnsi="Symbol"/>
                    <w:color w:val="7EAABF"/>
                    <w:w w:val="110"/>
                    <w:sz w:val="23"/>
                  </w:rPr>
                  <w:t></w:t>
                </w:r>
                <w:r>
                  <w:rPr>
                    <w:rFonts w:ascii="Times New Roman" w:hAnsi="Times New Roman"/>
                    <w:color w:val="7EAABF"/>
                    <w:w w:val="110"/>
                    <w:sz w:val="23"/>
                  </w:rPr>
                  <w:t> </w:t>
                </w:r>
                <w:r>
                  <w:rPr/>
                  <w:fldChar w:fldCharType="begin"/>
                </w:r>
                <w:r>
                  <w:rPr>
                    <w:rFonts w:ascii="Stone Sans II ITC Std X Bd" w:hAnsi="Stone Sans II ITC Std X Bd"/>
                    <w:b/>
                    <w:w w:val="110"/>
                    <w:sz w:val="24"/>
                  </w:rPr>
                  <w:instrText> PAGE </w:instrText>
                </w:r>
                <w:r>
                  <w:rPr/>
                  <w:fldChar w:fldCharType="separate"/>
                </w:r>
                <w:r>
                  <w:rPr/>
                  <w:t>109</w:t>
                </w:r>
                <w:r>
                  <w:rPr/>
                  <w:fldChar w:fldCharType="end"/>
                </w:r>
              </w:p>
            </w:txbxContent>
          </v:textbox>
          <w10:wrap type="none"/>
        </v:shape>
      </w:pict>
    </w:r>
  </w:p>
</w:ftr>
</file>

<file path=word/footer10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59.362202pt;margin-top:798.53833pt;width:319.05pt;height:17.45pt;mso-position-horizontal-relative:page;mso-position-vertical-relative:page;z-index:-268009472" type="#_x0000_t202" filled="false" stroked="false">
          <v:textbox inset="0,0,0,0">
            <w:txbxContent>
              <w:p>
                <w:pPr>
                  <w:spacing w:before="16"/>
                  <w:ind w:left="60" w:right="0" w:firstLine="0"/>
                  <w:jc w:val="left"/>
                  <w:rPr>
                    <w:sz w:val="23"/>
                  </w:rPr>
                </w:pPr>
                <w:r>
                  <w:rPr/>
                  <w:fldChar w:fldCharType="begin"/>
                </w:r>
                <w:r>
                  <w:rPr>
                    <w:rFonts w:ascii="Stone Sans II ITC Std X Bd" w:hAnsi="Stone Sans II ITC Std X Bd"/>
                    <w:b/>
                    <w:w w:val="110"/>
                    <w:sz w:val="24"/>
                  </w:rPr>
                  <w:instrText> PAGE </w:instrText>
                </w:r>
                <w:r>
                  <w:rPr/>
                  <w:fldChar w:fldCharType="separate"/>
                </w:r>
                <w:r>
                  <w:rPr/>
                  <w:t>110</w:t>
                </w:r>
                <w:r>
                  <w:rPr/>
                  <w:fldChar w:fldCharType="end"/>
                </w:r>
                <w:r>
                  <w:rPr>
                    <w:rFonts w:ascii="Stone Sans II ITC Std X Bd" w:hAnsi="Stone Sans II ITC Std X Bd"/>
                    <w:b/>
                    <w:w w:val="110"/>
                    <w:sz w:val="24"/>
                  </w:rPr>
                  <w:t> </w:t>
                </w:r>
                <w:r>
                  <w:rPr>
                    <w:rFonts w:ascii="Symbol" w:hAnsi="Symbol"/>
                    <w:color w:val="7EAABF"/>
                    <w:w w:val="110"/>
                    <w:sz w:val="23"/>
                  </w:rPr>
                  <w:t></w:t>
                </w:r>
                <w:r>
                  <w:rPr>
                    <w:rFonts w:ascii="Times New Roman" w:hAnsi="Times New Roman"/>
                    <w:color w:val="7EAABF"/>
                    <w:w w:val="110"/>
                    <w:sz w:val="23"/>
                  </w:rPr>
                  <w:t> </w:t>
                </w:r>
                <w:r>
                  <w:rPr>
                    <w:color w:val="7EAABF"/>
                    <w:w w:val="110"/>
                    <w:sz w:val="23"/>
                  </w:rPr>
                  <w:t>United Reformed Church </w:t>
                </w:r>
                <w:r>
                  <w:rPr>
                    <w:rFonts w:ascii="Symbol" w:hAnsi="Symbol"/>
                    <w:color w:val="7EAABF"/>
                    <w:w w:val="110"/>
                    <w:sz w:val="23"/>
                  </w:rPr>
                  <w:t></w:t>
                </w:r>
                <w:r>
                  <w:rPr>
                    <w:rFonts w:ascii="Times New Roman" w:hAnsi="Times New Roman"/>
                    <w:color w:val="7EAABF"/>
                    <w:w w:val="110"/>
                    <w:sz w:val="23"/>
                  </w:rPr>
                  <w:t> </w:t>
                </w:r>
                <w:r>
                  <w:rPr>
                    <w:color w:val="7EAABF"/>
                    <w:w w:val="110"/>
                    <w:sz w:val="23"/>
                  </w:rPr>
                  <w:t>General Assembly 2016</w:t>
                </w:r>
              </w:p>
            </w:txbxContent>
          </v:textbox>
          <w10:wrap type="none"/>
        </v:shape>
      </w:pict>
    </w:r>
  </w:p>
</w:ftr>
</file>

<file path=word/footer10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216.907196pt;margin-top:798.53833pt;width:317.05pt;height:17.45pt;mso-position-horizontal-relative:page;mso-position-vertical-relative:page;z-index:-268008448" type="#_x0000_t202" filled="false" stroked="false">
          <v:textbox inset="0,0,0,0">
            <w:txbxContent>
              <w:p>
                <w:pPr>
                  <w:spacing w:before="16"/>
                  <w:ind w:left="20" w:right="0" w:firstLine="0"/>
                  <w:jc w:val="left"/>
                  <w:rPr>
                    <w:rFonts w:ascii="Stone Sans II ITC Std X Bd" w:hAnsi="Stone Sans II ITC Std X Bd"/>
                    <w:b/>
                    <w:sz w:val="24"/>
                  </w:rPr>
                </w:pPr>
                <w:r>
                  <w:rPr>
                    <w:color w:val="7EAABF"/>
                    <w:w w:val="110"/>
                    <w:sz w:val="23"/>
                  </w:rPr>
                  <w:t>United Reformed Church </w:t>
                </w:r>
                <w:r>
                  <w:rPr>
                    <w:rFonts w:ascii="Symbol" w:hAnsi="Symbol"/>
                    <w:color w:val="7EAABF"/>
                    <w:w w:val="110"/>
                    <w:sz w:val="23"/>
                  </w:rPr>
                  <w:t></w:t>
                </w:r>
                <w:r>
                  <w:rPr>
                    <w:rFonts w:ascii="Times New Roman" w:hAnsi="Times New Roman"/>
                    <w:color w:val="7EAABF"/>
                    <w:w w:val="110"/>
                    <w:sz w:val="23"/>
                  </w:rPr>
                  <w:t> </w:t>
                </w:r>
                <w:r>
                  <w:rPr>
                    <w:color w:val="7EAABF"/>
                    <w:w w:val="110"/>
                    <w:sz w:val="23"/>
                  </w:rPr>
                  <w:t>General Assembly 2016 </w:t>
                </w:r>
                <w:r>
                  <w:rPr>
                    <w:rFonts w:ascii="Symbol" w:hAnsi="Symbol"/>
                    <w:color w:val="7EAABF"/>
                    <w:w w:val="110"/>
                    <w:sz w:val="23"/>
                  </w:rPr>
                  <w:t></w:t>
                </w:r>
                <w:r>
                  <w:rPr>
                    <w:rFonts w:ascii="Times New Roman" w:hAnsi="Times New Roman"/>
                    <w:color w:val="7EAABF"/>
                    <w:w w:val="110"/>
                    <w:sz w:val="23"/>
                  </w:rPr>
                  <w:t> </w:t>
                </w:r>
                <w:r>
                  <w:rPr>
                    <w:rFonts w:ascii="Stone Sans II ITC Std X Bd" w:hAnsi="Stone Sans II ITC Std X Bd"/>
                    <w:b/>
                    <w:w w:val="110"/>
                    <w:sz w:val="24"/>
                  </w:rPr>
                  <w:t>111</w:t>
                </w:r>
              </w:p>
            </w:txbxContent>
          </v:textbox>
          <w10:wrap type="none"/>
        </v:shape>
      </w:pict>
    </w:r>
  </w:p>
</w:ftr>
</file>

<file path=word/footer10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59.362202pt;margin-top:798.53833pt;width:319.05pt;height:17.45pt;mso-position-horizontal-relative:page;mso-position-vertical-relative:page;z-index:-268007424" type="#_x0000_t202" filled="false" stroked="false">
          <v:textbox inset="0,0,0,0">
            <w:txbxContent>
              <w:p>
                <w:pPr>
                  <w:spacing w:before="16"/>
                  <w:ind w:left="60" w:right="0" w:firstLine="0"/>
                  <w:jc w:val="left"/>
                  <w:rPr>
                    <w:sz w:val="23"/>
                  </w:rPr>
                </w:pPr>
                <w:r>
                  <w:rPr>
                    <w:rFonts w:ascii="Stone Sans II ITC Std X Bd" w:hAnsi="Stone Sans II ITC Std X Bd"/>
                    <w:b/>
                    <w:w w:val="110"/>
                    <w:sz w:val="24"/>
                  </w:rPr>
                  <w:t>112</w:t>
                </w:r>
                <w:r>
                  <w:rPr>
                    <w:rFonts w:ascii="Stone Sans II ITC Std X Bd" w:hAnsi="Stone Sans II ITC Std X Bd"/>
                    <w:b/>
                    <w:w w:val="110"/>
                    <w:sz w:val="24"/>
                  </w:rPr>
                  <w:t> </w:t>
                </w:r>
                <w:r>
                  <w:rPr>
                    <w:rFonts w:ascii="Symbol" w:hAnsi="Symbol"/>
                    <w:color w:val="7EAABF"/>
                    <w:w w:val="110"/>
                    <w:sz w:val="23"/>
                  </w:rPr>
                  <w:t></w:t>
                </w:r>
                <w:r>
                  <w:rPr>
                    <w:rFonts w:ascii="Times New Roman" w:hAnsi="Times New Roman"/>
                    <w:color w:val="7EAABF"/>
                    <w:w w:val="110"/>
                    <w:sz w:val="23"/>
                  </w:rPr>
                  <w:t> </w:t>
                </w:r>
                <w:r>
                  <w:rPr>
                    <w:color w:val="7EAABF"/>
                    <w:w w:val="110"/>
                    <w:sz w:val="23"/>
                  </w:rPr>
                  <w:t>United Reformed Church </w:t>
                </w:r>
                <w:r>
                  <w:rPr>
                    <w:rFonts w:ascii="Symbol" w:hAnsi="Symbol"/>
                    <w:color w:val="7EAABF"/>
                    <w:w w:val="110"/>
                    <w:sz w:val="23"/>
                  </w:rPr>
                  <w:t></w:t>
                </w:r>
                <w:r>
                  <w:rPr>
                    <w:rFonts w:ascii="Times New Roman" w:hAnsi="Times New Roman"/>
                    <w:color w:val="7EAABF"/>
                    <w:w w:val="110"/>
                    <w:sz w:val="23"/>
                  </w:rPr>
                  <w:t> </w:t>
                </w:r>
                <w:r>
                  <w:rPr>
                    <w:color w:val="7EAABF"/>
                    <w:w w:val="110"/>
                    <w:sz w:val="23"/>
                  </w:rPr>
                  <w:t>General Assembly 2016</w:t>
                </w:r>
              </w:p>
            </w:txbxContent>
          </v:textbox>
          <w10:wrap type="none"/>
        </v:shape>
      </w:pict>
    </w:r>
  </w:p>
</w:ftr>
</file>

<file path=word/footer10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216.907196pt;margin-top:798.53833pt;width:319.05pt;height:17.45pt;mso-position-horizontal-relative:page;mso-position-vertical-relative:page;z-index:-268006400" type="#_x0000_t202" filled="false" stroked="false">
          <v:textbox inset="0,0,0,0">
            <w:txbxContent>
              <w:p>
                <w:pPr>
                  <w:spacing w:before="16"/>
                  <w:ind w:left="20" w:right="0" w:firstLine="0"/>
                  <w:jc w:val="left"/>
                  <w:rPr>
                    <w:rFonts w:ascii="Stone Sans II ITC Std X Bd" w:hAnsi="Stone Sans II ITC Std X Bd"/>
                    <w:b/>
                    <w:sz w:val="24"/>
                  </w:rPr>
                </w:pPr>
                <w:r>
                  <w:rPr>
                    <w:color w:val="7EAABF"/>
                    <w:w w:val="110"/>
                    <w:sz w:val="23"/>
                  </w:rPr>
                  <w:t>United Reformed Church </w:t>
                </w:r>
                <w:r>
                  <w:rPr>
                    <w:rFonts w:ascii="Symbol" w:hAnsi="Symbol"/>
                    <w:color w:val="7EAABF"/>
                    <w:w w:val="110"/>
                    <w:sz w:val="23"/>
                  </w:rPr>
                  <w:t></w:t>
                </w:r>
                <w:r>
                  <w:rPr>
                    <w:rFonts w:ascii="Times New Roman" w:hAnsi="Times New Roman"/>
                    <w:color w:val="7EAABF"/>
                    <w:w w:val="110"/>
                    <w:sz w:val="23"/>
                  </w:rPr>
                  <w:t> </w:t>
                </w:r>
                <w:r>
                  <w:rPr>
                    <w:color w:val="7EAABF"/>
                    <w:w w:val="110"/>
                    <w:sz w:val="23"/>
                  </w:rPr>
                  <w:t>General Assembly 2016 </w:t>
                </w:r>
                <w:r>
                  <w:rPr>
                    <w:rFonts w:ascii="Symbol" w:hAnsi="Symbol"/>
                    <w:color w:val="7EAABF"/>
                    <w:w w:val="110"/>
                    <w:sz w:val="23"/>
                  </w:rPr>
                  <w:t></w:t>
                </w:r>
                <w:r>
                  <w:rPr>
                    <w:rFonts w:ascii="Times New Roman" w:hAnsi="Times New Roman"/>
                    <w:color w:val="7EAABF"/>
                    <w:w w:val="110"/>
                    <w:sz w:val="23"/>
                  </w:rPr>
                  <w:t> </w:t>
                </w:r>
                <w:r>
                  <w:rPr/>
                  <w:fldChar w:fldCharType="begin"/>
                </w:r>
                <w:r>
                  <w:rPr>
                    <w:rFonts w:ascii="Stone Sans II ITC Std X Bd" w:hAnsi="Stone Sans II ITC Std X Bd"/>
                    <w:b/>
                    <w:w w:val="110"/>
                    <w:sz w:val="24"/>
                  </w:rPr>
                  <w:instrText> PAGE </w:instrText>
                </w:r>
                <w:r>
                  <w:rPr/>
                  <w:fldChar w:fldCharType="separate"/>
                </w:r>
                <w:r>
                  <w:rPr/>
                  <w:t>113</w:t>
                </w:r>
                <w:r>
                  <w:rPr/>
                  <w:fldChar w:fldCharType="end"/>
                </w:r>
              </w:p>
            </w:txbxContent>
          </v:textbox>
          <w10:wrap type="none"/>
        </v:shape>
      </w:pict>
    </w:r>
  </w:p>
</w:ftr>
</file>

<file path=word/footer10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59.362202pt;margin-top:798.53833pt;width:319.05pt;height:17.45pt;mso-position-horizontal-relative:page;mso-position-vertical-relative:page;z-index:-268005376" type="#_x0000_t202" filled="false" stroked="false">
          <v:textbox inset="0,0,0,0">
            <w:txbxContent>
              <w:p>
                <w:pPr>
                  <w:spacing w:before="16"/>
                  <w:ind w:left="60" w:right="0" w:firstLine="0"/>
                  <w:jc w:val="left"/>
                  <w:rPr>
                    <w:sz w:val="23"/>
                  </w:rPr>
                </w:pPr>
                <w:r>
                  <w:rPr/>
                  <w:fldChar w:fldCharType="begin"/>
                </w:r>
                <w:r>
                  <w:rPr>
                    <w:rFonts w:ascii="Stone Sans II ITC Std X Bd" w:hAnsi="Stone Sans II ITC Std X Bd"/>
                    <w:b/>
                    <w:w w:val="110"/>
                    <w:sz w:val="24"/>
                  </w:rPr>
                  <w:instrText> PAGE </w:instrText>
                </w:r>
                <w:r>
                  <w:rPr/>
                  <w:fldChar w:fldCharType="separate"/>
                </w:r>
                <w:r>
                  <w:rPr/>
                  <w:t>114</w:t>
                </w:r>
                <w:r>
                  <w:rPr/>
                  <w:fldChar w:fldCharType="end"/>
                </w:r>
                <w:r>
                  <w:rPr>
                    <w:rFonts w:ascii="Stone Sans II ITC Std X Bd" w:hAnsi="Stone Sans II ITC Std X Bd"/>
                    <w:b/>
                    <w:w w:val="110"/>
                    <w:sz w:val="24"/>
                  </w:rPr>
                  <w:t> </w:t>
                </w:r>
                <w:r>
                  <w:rPr>
                    <w:rFonts w:ascii="Symbol" w:hAnsi="Symbol"/>
                    <w:color w:val="7EAABF"/>
                    <w:w w:val="110"/>
                    <w:sz w:val="23"/>
                  </w:rPr>
                  <w:t></w:t>
                </w:r>
                <w:r>
                  <w:rPr>
                    <w:rFonts w:ascii="Times New Roman" w:hAnsi="Times New Roman"/>
                    <w:color w:val="7EAABF"/>
                    <w:w w:val="110"/>
                    <w:sz w:val="23"/>
                  </w:rPr>
                  <w:t> </w:t>
                </w:r>
                <w:r>
                  <w:rPr>
                    <w:color w:val="7EAABF"/>
                    <w:w w:val="110"/>
                    <w:sz w:val="23"/>
                  </w:rPr>
                  <w:t>United Reformed Church </w:t>
                </w:r>
                <w:r>
                  <w:rPr>
                    <w:rFonts w:ascii="Symbol" w:hAnsi="Symbol"/>
                    <w:color w:val="7EAABF"/>
                    <w:w w:val="110"/>
                    <w:sz w:val="23"/>
                  </w:rPr>
                  <w:t></w:t>
                </w:r>
                <w:r>
                  <w:rPr>
                    <w:rFonts w:ascii="Times New Roman" w:hAnsi="Times New Roman"/>
                    <w:color w:val="7EAABF"/>
                    <w:w w:val="110"/>
                    <w:sz w:val="23"/>
                  </w:rPr>
                  <w:t> </w:t>
                </w:r>
                <w:r>
                  <w:rPr>
                    <w:color w:val="7EAABF"/>
                    <w:w w:val="110"/>
                    <w:sz w:val="23"/>
                  </w:rPr>
                  <w:t>General Assembly 2016</w:t>
                </w:r>
              </w:p>
            </w:txbxContent>
          </v:textbox>
          <w10:wrap type="none"/>
        </v:shape>
      </w:pict>
    </w:r>
  </w:p>
</w:ftr>
</file>

<file path=word/footer1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59.362202pt;margin-top:798.53833pt;width:311.4pt;height:17.45pt;mso-position-horizontal-relative:page;mso-position-vertical-relative:page;z-index:-268098560" type="#_x0000_t202" filled="false" stroked="false">
          <v:textbox inset="0,0,0,0">
            <w:txbxContent>
              <w:p>
                <w:pPr>
                  <w:spacing w:before="16"/>
                  <w:ind w:left="60" w:right="0" w:firstLine="0"/>
                  <w:jc w:val="left"/>
                  <w:rPr>
                    <w:sz w:val="23"/>
                  </w:rPr>
                </w:pPr>
                <w:r>
                  <w:rPr/>
                  <w:fldChar w:fldCharType="begin"/>
                </w:r>
                <w:r>
                  <w:rPr>
                    <w:rFonts w:ascii="Stone Sans II ITC Std X Bd" w:hAnsi="Stone Sans II ITC Std X Bd"/>
                    <w:b/>
                    <w:w w:val="110"/>
                    <w:sz w:val="24"/>
                  </w:rPr>
                  <w:instrText> PAGE </w:instrText>
                </w:r>
                <w:r>
                  <w:rPr/>
                  <w:fldChar w:fldCharType="separate"/>
                </w:r>
                <w:r>
                  <w:rPr/>
                  <w:t>16</w:t>
                </w:r>
                <w:r>
                  <w:rPr/>
                  <w:fldChar w:fldCharType="end"/>
                </w:r>
                <w:r>
                  <w:rPr>
                    <w:rFonts w:ascii="Stone Sans II ITC Std X Bd" w:hAnsi="Stone Sans II ITC Std X Bd"/>
                    <w:b/>
                    <w:w w:val="110"/>
                    <w:sz w:val="24"/>
                  </w:rPr>
                  <w:t> </w:t>
                </w:r>
                <w:r>
                  <w:rPr>
                    <w:rFonts w:ascii="Symbol" w:hAnsi="Symbol"/>
                    <w:color w:val="7EAABF"/>
                    <w:w w:val="110"/>
                    <w:sz w:val="23"/>
                  </w:rPr>
                  <w:t></w:t>
                </w:r>
                <w:r>
                  <w:rPr>
                    <w:rFonts w:ascii="Times New Roman" w:hAnsi="Times New Roman"/>
                    <w:color w:val="7EAABF"/>
                    <w:w w:val="110"/>
                    <w:sz w:val="23"/>
                  </w:rPr>
                  <w:t> </w:t>
                </w:r>
                <w:r>
                  <w:rPr>
                    <w:color w:val="7EAABF"/>
                    <w:w w:val="110"/>
                    <w:sz w:val="23"/>
                  </w:rPr>
                  <w:t>United Reformed Church </w:t>
                </w:r>
                <w:r>
                  <w:rPr>
                    <w:rFonts w:ascii="Symbol" w:hAnsi="Symbol"/>
                    <w:color w:val="7EAABF"/>
                    <w:w w:val="110"/>
                    <w:sz w:val="23"/>
                  </w:rPr>
                  <w:t></w:t>
                </w:r>
                <w:r>
                  <w:rPr>
                    <w:rFonts w:ascii="Times New Roman" w:hAnsi="Times New Roman"/>
                    <w:color w:val="7EAABF"/>
                    <w:w w:val="110"/>
                    <w:sz w:val="23"/>
                  </w:rPr>
                  <w:t> </w:t>
                </w:r>
                <w:r>
                  <w:rPr>
                    <w:color w:val="7EAABF"/>
                    <w:w w:val="110"/>
                    <w:sz w:val="23"/>
                  </w:rPr>
                  <w:t>General Assembly 2016</w:t>
                </w:r>
              </w:p>
            </w:txbxContent>
          </v:textbox>
          <w10:wrap type="none"/>
        </v:shape>
      </w:pict>
    </w:r>
  </w:p>
</w:ftr>
</file>

<file path=word/footer11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216.907196pt;margin-top:798.53833pt;width:319.05pt;height:17.45pt;mso-position-horizontal-relative:page;mso-position-vertical-relative:page;z-index:-268004352" type="#_x0000_t202" filled="false" stroked="false">
          <v:textbox inset="0,0,0,0">
            <w:txbxContent>
              <w:p>
                <w:pPr>
                  <w:spacing w:before="16"/>
                  <w:ind w:left="20" w:right="0" w:firstLine="0"/>
                  <w:jc w:val="left"/>
                  <w:rPr>
                    <w:rFonts w:ascii="Stone Sans II ITC Std X Bd" w:hAnsi="Stone Sans II ITC Std X Bd"/>
                    <w:b/>
                    <w:sz w:val="24"/>
                  </w:rPr>
                </w:pPr>
                <w:r>
                  <w:rPr>
                    <w:color w:val="7EAABF"/>
                    <w:w w:val="110"/>
                    <w:sz w:val="23"/>
                  </w:rPr>
                  <w:t>United Reformed Church </w:t>
                </w:r>
                <w:r>
                  <w:rPr>
                    <w:rFonts w:ascii="Symbol" w:hAnsi="Symbol"/>
                    <w:color w:val="7EAABF"/>
                    <w:w w:val="110"/>
                    <w:sz w:val="23"/>
                  </w:rPr>
                  <w:t></w:t>
                </w:r>
                <w:r>
                  <w:rPr>
                    <w:rFonts w:ascii="Times New Roman" w:hAnsi="Times New Roman"/>
                    <w:color w:val="7EAABF"/>
                    <w:w w:val="110"/>
                    <w:sz w:val="23"/>
                  </w:rPr>
                  <w:t> </w:t>
                </w:r>
                <w:r>
                  <w:rPr>
                    <w:color w:val="7EAABF"/>
                    <w:w w:val="110"/>
                    <w:sz w:val="23"/>
                  </w:rPr>
                  <w:t>General Assembly 2016 </w:t>
                </w:r>
                <w:r>
                  <w:rPr>
                    <w:rFonts w:ascii="Symbol" w:hAnsi="Symbol"/>
                    <w:color w:val="7EAABF"/>
                    <w:w w:val="110"/>
                    <w:sz w:val="23"/>
                  </w:rPr>
                  <w:t></w:t>
                </w:r>
                <w:r>
                  <w:rPr>
                    <w:rFonts w:ascii="Times New Roman" w:hAnsi="Times New Roman"/>
                    <w:color w:val="7EAABF"/>
                    <w:w w:val="110"/>
                    <w:sz w:val="23"/>
                  </w:rPr>
                  <w:t> </w:t>
                </w:r>
                <w:r>
                  <w:rPr/>
                  <w:fldChar w:fldCharType="begin"/>
                </w:r>
                <w:r>
                  <w:rPr>
                    <w:rFonts w:ascii="Stone Sans II ITC Std X Bd" w:hAnsi="Stone Sans II ITC Std X Bd"/>
                    <w:b/>
                    <w:w w:val="110"/>
                    <w:sz w:val="24"/>
                  </w:rPr>
                  <w:instrText> PAGE </w:instrText>
                </w:r>
                <w:r>
                  <w:rPr/>
                  <w:fldChar w:fldCharType="separate"/>
                </w:r>
                <w:r>
                  <w:rPr/>
                  <w:t>115</w:t>
                </w:r>
                <w:r>
                  <w:rPr/>
                  <w:fldChar w:fldCharType="end"/>
                </w:r>
              </w:p>
            </w:txbxContent>
          </v:textbox>
          <w10:wrap type="none"/>
        </v:shape>
      </w:pict>
    </w:r>
  </w:p>
</w:ftr>
</file>

<file path=word/footer11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59.362202pt;margin-top:798.53833pt;width:319.05pt;height:17.45pt;mso-position-horizontal-relative:page;mso-position-vertical-relative:page;z-index:-268003328" type="#_x0000_t202" filled="false" stroked="false">
          <v:textbox inset="0,0,0,0">
            <w:txbxContent>
              <w:p>
                <w:pPr>
                  <w:spacing w:before="16"/>
                  <w:ind w:left="60" w:right="0" w:firstLine="0"/>
                  <w:jc w:val="left"/>
                  <w:rPr>
                    <w:sz w:val="23"/>
                  </w:rPr>
                </w:pPr>
                <w:r>
                  <w:rPr/>
                  <w:fldChar w:fldCharType="begin"/>
                </w:r>
                <w:r>
                  <w:rPr>
                    <w:rFonts w:ascii="Stone Sans II ITC Std X Bd" w:hAnsi="Stone Sans II ITC Std X Bd"/>
                    <w:b/>
                    <w:w w:val="110"/>
                    <w:sz w:val="24"/>
                  </w:rPr>
                  <w:instrText> PAGE </w:instrText>
                </w:r>
                <w:r>
                  <w:rPr/>
                  <w:fldChar w:fldCharType="separate"/>
                </w:r>
                <w:r>
                  <w:rPr/>
                  <w:t>116</w:t>
                </w:r>
                <w:r>
                  <w:rPr/>
                  <w:fldChar w:fldCharType="end"/>
                </w:r>
                <w:r>
                  <w:rPr>
                    <w:rFonts w:ascii="Stone Sans II ITC Std X Bd" w:hAnsi="Stone Sans II ITC Std X Bd"/>
                    <w:b/>
                    <w:w w:val="110"/>
                    <w:sz w:val="24"/>
                  </w:rPr>
                  <w:t> </w:t>
                </w:r>
                <w:r>
                  <w:rPr>
                    <w:rFonts w:ascii="Symbol" w:hAnsi="Symbol"/>
                    <w:color w:val="7EAABF"/>
                    <w:w w:val="110"/>
                    <w:sz w:val="23"/>
                  </w:rPr>
                  <w:t></w:t>
                </w:r>
                <w:r>
                  <w:rPr>
                    <w:rFonts w:ascii="Times New Roman" w:hAnsi="Times New Roman"/>
                    <w:color w:val="7EAABF"/>
                    <w:w w:val="110"/>
                    <w:sz w:val="23"/>
                  </w:rPr>
                  <w:t> </w:t>
                </w:r>
                <w:r>
                  <w:rPr>
                    <w:color w:val="7EAABF"/>
                    <w:w w:val="110"/>
                    <w:sz w:val="23"/>
                  </w:rPr>
                  <w:t>United Reformed Church </w:t>
                </w:r>
                <w:r>
                  <w:rPr>
                    <w:rFonts w:ascii="Symbol" w:hAnsi="Symbol"/>
                    <w:color w:val="7EAABF"/>
                    <w:w w:val="110"/>
                    <w:sz w:val="23"/>
                  </w:rPr>
                  <w:t></w:t>
                </w:r>
                <w:r>
                  <w:rPr>
                    <w:rFonts w:ascii="Times New Roman" w:hAnsi="Times New Roman"/>
                    <w:color w:val="7EAABF"/>
                    <w:w w:val="110"/>
                    <w:sz w:val="23"/>
                  </w:rPr>
                  <w:t> </w:t>
                </w:r>
                <w:r>
                  <w:rPr>
                    <w:color w:val="7EAABF"/>
                    <w:w w:val="110"/>
                    <w:sz w:val="23"/>
                  </w:rPr>
                  <w:t>General Assembly 2016</w:t>
                </w:r>
              </w:p>
            </w:txbxContent>
          </v:textbox>
          <w10:wrap type="none"/>
        </v:shape>
      </w:pict>
    </w:r>
  </w:p>
</w:ftr>
</file>

<file path=word/footer11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216.907196pt;margin-top:798.53833pt;width:319.05pt;height:17.45pt;mso-position-horizontal-relative:page;mso-position-vertical-relative:page;z-index:-268002304" type="#_x0000_t202" filled="false" stroked="false">
          <v:textbox inset="0,0,0,0">
            <w:txbxContent>
              <w:p>
                <w:pPr>
                  <w:spacing w:before="16"/>
                  <w:ind w:left="20" w:right="0" w:firstLine="0"/>
                  <w:jc w:val="left"/>
                  <w:rPr>
                    <w:rFonts w:ascii="Stone Sans II ITC Std X Bd" w:hAnsi="Stone Sans II ITC Std X Bd"/>
                    <w:b/>
                    <w:sz w:val="24"/>
                  </w:rPr>
                </w:pPr>
                <w:r>
                  <w:rPr>
                    <w:color w:val="7EAABF"/>
                    <w:w w:val="110"/>
                    <w:sz w:val="23"/>
                  </w:rPr>
                  <w:t>United Reformed Church </w:t>
                </w:r>
                <w:r>
                  <w:rPr>
                    <w:rFonts w:ascii="Symbol" w:hAnsi="Symbol"/>
                    <w:color w:val="7EAABF"/>
                    <w:w w:val="110"/>
                    <w:sz w:val="23"/>
                  </w:rPr>
                  <w:t></w:t>
                </w:r>
                <w:r>
                  <w:rPr>
                    <w:rFonts w:ascii="Times New Roman" w:hAnsi="Times New Roman"/>
                    <w:color w:val="7EAABF"/>
                    <w:w w:val="110"/>
                    <w:sz w:val="23"/>
                  </w:rPr>
                  <w:t> </w:t>
                </w:r>
                <w:r>
                  <w:rPr>
                    <w:color w:val="7EAABF"/>
                    <w:w w:val="110"/>
                    <w:sz w:val="23"/>
                  </w:rPr>
                  <w:t>General Assembly 2016 </w:t>
                </w:r>
                <w:r>
                  <w:rPr>
                    <w:rFonts w:ascii="Symbol" w:hAnsi="Symbol"/>
                    <w:color w:val="7EAABF"/>
                    <w:w w:val="110"/>
                    <w:sz w:val="23"/>
                  </w:rPr>
                  <w:t></w:t>
                </w:r>
                <w:r>
                  <w:rPr>
                    <w:rFonts w:ascii="Times New Roman" w:hAnsi="Times New Roman"/>
                    <w:color w:val="7EAABF"/>
                    <w:w w:val="110"/>
                    <w:sz w:val="23"/>
                  </w:rPr>
                  <w:t> </w:t>
                </w:r>
                <w:r>
                  <w:rPr/>
                  <w:fldChar w:fldCharType="begin"/>
                </w:r>
                <w:r>
                  <w:rPr>
                    <w:rFonts w:ascii="Stone Sans II ITC Std X Bd" w:hAnsi="Stone Sans II ITC Std X Bd"/>
                    <w:b/>
                    <w:w w:val="110"/>
                    <w:sz w:val="24"/>
                  </w:rPr>
                  <w:instrText> PAGE </w:instrText>
                </w:r>
                <w:r>
                  <w:rPr/>
                  <w:fldChar w:fldCharType="separate"/>
                </w:r>
                <w:r>
                  <w:rPr/>
                  <w:t>117</w:t>
                </w:r>
                <w:r>
                  <w:rPr/>
                  <w:fldChar w:fldCharType="end"/>
                </w:r>
              </w:p>
            </w:txbxContent>
          </v:textbox>
          <w10:wrap type="none"/>
        </v:shape>
      </w:pict>
    </w:r>
  </w:p>
</w:ftr>
</file>

<file path=word/footer11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59.362202pt;margin-top:798.53833pt;width:319.05pt;height:17.45pt;mso-position-horizontal-relative:page;mso-position-vertical-relative:page;z-index:-268001280" type="#_x0000_t202" filled="false" stroked="false">
          <v:textbox inset="0,0,0,0">
            <w:txbxContent>
              <w:p>
                <w:pPr>
                  <w:spacing w:before="16"/>
                  <w:ind w:left="60" w:right="0" w:firstLine="0"/>
                  <w:jc w:val="left"/>
                  <w:rPr>
                    <w:sz w:val="23"/>
                  </w:rPr>
                </w:pPr>
                <w:r>
                  <w:rPr/>
                  <w:fldChar w:fldCharType="begin"/>
                </w:r>
                <w:r>
                  <w:rPr>
                    <w:rFonts w:ascii="Stone Sans II ITC Std X Bd" w:hAnsi="Stone Sans II ITC Std X Bd"/>
                    <w:b/>
                    <w:w w:val="110"/>
                    <w:sz w:val="24"/>
                  </w:rPr>
                  <w:instrText> PAGE </w:instrText>
                </w:r>
                <w:r>
                  <w:rPr/>
                  <w:fldChar w:fldCharType="separate"/>
                </w:r>
                <w:r>
                  <w:rPr/>
                  <w:t>118</w:t>
                </w:r>
                <w:r>
                  <w:rPr/>
                  <w:fldChar w:fldCharType="end"/>
                </w:r>
                <w:r>
                  <w:rPr>
                    <w:rFonts w:ascii="Stone Sans II ITC Std X Bd" w:hAnsi="Stone Sans II ITC Std X Bd"/>
                    <w:b/>
                    <w:w w:val="110"/>
                    <w:sz w:val="24"/>
                  </w:rPr>
                  <w:t> </w:t>
                </w:r>
                <w:r>
                  <w:rPr>
                    <w:rFonts w:ascii="Symbol" w:hAnsi="Symbol"/>
                    <w:color w:val="7EAABF"/>
                    <w:w w:val="110"/>
                    <w:sz w:val="23"/>
                  </w:rPr>
                  <w:t></w:t>
                </w:r>
                <w:r>
                  <w:rPr>
                    <w:rFonts w:ascii="Times New Roman" w:hAnsi="Times New Roman"/>
                    <w:color w:val="7EAABF"/>
                    <w:w w:val="110"/>
                    <w:sz w:val="23"/>
                  </w:rPr>
                  <w:t> </w:t>
                </w:r>
                <w:r>
                  <w:rPr>
                    <w:color w:val="7EAABF"/>
                    <w:w w:val="110"/>
                    <w:sz w:val="23"/>
                  </w:rPr>
                  <w:t>United Reformed Church </w:t>
                </w:r>
                <w:r>
                  <w:rPr>
                    <w:rFonts w:ascii="Symbol" w:hAnsi="Symbol"/>
                    <w:color w:val="7EAABF"/>
                    <w:w w:val="110"/>
                    <w:sz w:val="23"/>
                  </w:rPr>
                  <w:t></w:t>
                </w:r>
                <w:r>
                  <w:rPr>
                    <w:rFonts w:ascii="Times New Roman" w:hAnsi="Times New Roman"/>
                    <w:color w:val="7EAABF"/>
                    <w:w w:val="110"/>
                    <w:sz w:val="23"/>
                  </w:rPr>
                  <w:t> </w:t>
                </w:r>
                <w:r>
                  <w:rPr>
                    <w:color w:val="7EAABF"/>
                    <w:w w:val="110"/>
                    <w:sz w:val="23"/>
                  </w:rPr>
                  <w:t>General Assembly 2016</w:t>
                </w:r>
              </w:p>
            </w:txbxContent>
          </v:textbox>
          <w10:wrap type="none"/>
        </v:shape>
      </w:pict>
    </w:r>
  </w:p>
</w:ftr>
</file>

<file path=word/footer11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11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11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216.907196pt;margin-top:798.53833pt;width:319.05pt;height:17.45pt;mso-position-horizontal-relative:page;mso-position-vertical-relative:page;z-index:-267998208" type="#_x0000_t202" filled="false" stroked="false">
          <v:textbox inset="0,0,0,0">
            <w:txbxContent>
              <w:p>
                <w:pPr>
                  <w:spacing w:before="16"/>
                  <w:ind w:left="20" w:right="0" w:firstLine="0"/>
                  <w:jc w:val="left"/>
                  <w:rPr>
                    <w:rFonts w:ascii="Stone Sans II ITC Std X Bd" w:hAnsi="Stone Sans II ITC Std X Bd"/>
                    <w:b/>
                    <w:sz w:val="24"/>
                  </w:rPr>
                </w:pPr>
                <w:r>
                  <w:rPr>
                    <w:color w:val="7EAABF"/>
                    <w:w w:val="110"/>
                    <w:sz w:val="23"/>
                  </w:rPr>
                  <w:t>United Reformed Church </w:t>
                </w:r>
                <w:r>
                  <w:rPr>
                    <w:rFonts w:ascii="Symbol" w:hAnsi="Symbol"/>
                    <w:color w:val="7EAABF"/>
                    <w:w w:val="110"/>
                    <w:sz w:val="23"/>
                  </w:rPr>
                  <w:t></w:t>
                </w:r>
                <w:r>
                  <w:rPr>
                    <w:rFonts w:ascii="Times New Roman" w:hAnsi="Times New Roman"/>
                    <w:color w:val="7EAABF"/>
                    <w:w w:val="110"/>
                    <w:sz w:val="23"/>
                  </w:rPr>
                  <w:t> </w:t>
                </w:r>
                <w:r>
                  <w:rPr>
                    <w:color w:val="7EAABF"/>
                    <w:w w:val="110"/>
                    <w:sz w:val="23"/>
                  </w:rPr>
                  <w:t>General Assembly 2016 </w:t>
                </w:r>
                <w:r>
                  <w:rPr>
                    <w:rFonts w:ascii="Symbol" w:hAnsi="Symbol"/>
                    <w:color w:val="7EAABF"/>
                    <w:w w:val="110"/>
                    <w:sz w:val="23"/>
                  </w:rPr>
                  <w:t></w:t>
                </w:r>
                <w:r>
                  <w:rPr>
                    <w:rFonts w:ascii="Times New Roman" w:hAnsi="Times New Roman"/>
                    <w:color w:val="7EAABF"/>
                    <w:w w:val="110"/>
                    <w:sz w:val="23"/>
                  </w:rPr>
                  <w:t> </w:t>
                </w:r>
                <w:r>
                  <w:rPr/>
                  <w:fldChar w:fldCharType="begin"/>
                </w:r>
                <w:r>
                  <w:rPr>
                    <w:rFonts w:ascii="Stone Sans II ITC Std X Bd" w:hAnsi="Stone Sans II ITC Std X Bd"/>
                    <w:b/>
                    <w:w w:val="110"/>
                    <w:sz w:val="24"/>
                  </w:rPr>
                  <w:instrText> PAGE </w:instrText>
                </w:r>
                <w:r>
                  <w:rPr/>
                  <w:fldChar w:fldCharType="separate"/>
                </w:r>
                <w:r>
                  <w:rPr/>
                  <w:t>121</w:t>
                </w:r>
                <w:r>
                  <w:rPr/>
                  <w:fldChar w:fldCharType="end"/>
                </w:r>
              </w:p>
            </w:txbxContent>
          </v:textbox>
          <w10:wrap type="none"/>
        </v:shape>
      </w:pict>
    </w:r>
  </w:p>
</w:ftr>
</file>

<file path=word/footer11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59.362202pt;margin-top:798.53833pt;width:319.05pt;height:17.45pt;mso-position-horizontal-relative:page;mso-position-vertical-relative:page;z-index:-267997184" type="#_x0000_t202" filled="false" stroked="false">
          <v:textbox inset="0,0,0,0">
            <w:txbxContent>
              <w:p>
                <w:pPr>
                  <w:spacing w:before="16"/>
                  <w:ind w:left="60" w:right="0" w:firstLine="0"/>
                  <w:jc w:val="left"/>
                  <w:rPr>
                    <w:sz w:val="23"/>
                  </w:rPr>
                </w:pPr>
                <w:r>
                  <w:rPr/>
                  <w:fldChar w:fldCharType="begin"/>
                </w:r>
                <w:r>
                  <w:rPr>
                    <w:rFonts w:ascii="Stone Sans II ITC Std X Bd" w:hAnsi="Stone Sans II ITC Std X Bd"/>
                    <w:b/>
                    <w:w w:val="110"/>
                    <w:sz w:val="24"/>
                  </w:rPr>
                  <w:instrText> PAGE </w:instrText>
                </w:r>
                <w:r>
                  <w:rPr/>
                  <w:fldChar w:fldCharType="separate"/>
                </w:r>
                <w:r>
                  <w:rPr/>
                  <w:t>122</w:t>
                </w:r>
                <w:r>
                  <w:rPr/>
                  <w:fldChar w:fldCharType="end"/>
                </w:r>
                <w:r>
                  <w:rPr>
                    <w:rFonts w:ascii="Stone Sans II ITC Std X Bd" w:hAnsi="Stone Sans II ITC Std X Bd"/>
                    <w:b/>
                    <w:w w:val="110"/>
                    <w:sz w:val="24"/>
                  </w:rPr>
                  <w:t> </w:t>
                </w:r>
                <w:r>
                  <w:rPr>
                    <w:rFonts w:ascii="Symbol" w:hAnsi="Symbol"/>
                    <w:color w:val="7EAABF"/>
                    <w:w w:val="110"/>
                    <w:sz w:val="23"/>
                  </w:rPr>
                  <w:t></w:t>
                </w:r>
                <w:r>
                  <w:rPr>
                    <w:rFonts w:ascii="Times New Roman" w:hAnsi="Times New Roman"/>
                    <w:color w:val="7EAABF"/>
                    <w:w w:val="110"/>
                    <w:sz w:val="23"/>
                  </w:rPr>
                  <w:t> </w:t>
                </w:r>
                <w:r>
                  <w:rPr>
                    <w:color w:val="7EAABF"/>
                    <w:w w:val="110"/>
                    <w:sz w:val="23"/>
                  </w:rPr>
                  <w:t>United Reformed Church </w:t>
                </w:r>
                <w:r>
                  <w:rPr>
                    <w:rFonts w:ascii="Symbol" w:hAnsi="Symbol"/>
                    <w:color w:val="7EAABF"/>
                    <w:w w:val="110"/>
                    <w:sz w:val="23"/>
                  </w:rPr>
                  <w:t></w:t>
                </w:r>
                <w:r>
                  <w:rPr>
                    <w:rFonts w:ascii="Times New Roman" w:hAnsi="Times New Roman"/>
                    <w:color w:val="7EAABF"/>
                    <w:w w:val="110"/>
                    <w:sz w:val="23"/>
                  </w:rPr>
                  <w:t> </w:t>
                </w:r>
                <w:r>
                  <w:rPr>
                    <w:color w:val="7EAABF"/>
                    <w:w w:val="110"/>
                    <w:sz w:val="23"/>
                  </w:rPr>
                  <w:t>General Assembly 2016</w:t>
                </w:r>
              </w:p>
            </w:txbxContent>
          </v:textbox>
          <w10:wrap type="none"/>
        </v:shape>
      </w:pict>
    </w:r>
  </w:p>
</w:ftr>
</file>

<file path=word/footer11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216.907196pt;margin-top:798.53833pt;width:319.05pt;height:17.45pt;mso-position-horizontal-relative:page;mso-position-vertical-relative:page;z-index:-267996160" type="#_x0000_t202" filled="false" stroked="false">
          <v:textbox inset="0,0,0,0">
            <w:txbxContent>
              <w:p>
                <w:pPr>
                  <w:spacing w:before="16"/>
                  <w:ind w:left="20" w:right="0" w:firstLine="0"/>
                  <w:jc w:val="left"/>
                  <w:rPr>
                    <w:rFonts w:ascii="Stone Sans II ITC Std X Bd" w:hAnsi="Stone Sans II ITC Std X Bd"/>
                    <w:b/>
                    <w:sz w:val="24"/>
                  </w:rPr>
                </w:pPr>
                <w:r>
                  <w:rPr>
                    <w:color w:val="7EAABF"/>
                    <w:w w:val="110"/>
                    <w:sz w:val="23"/>
                  </w:rPr>
                  <w:t>United Reformed Church </w:t>
                </w:r>
                <w:r>
                  <w:rPr>
                    <w:rFonts w:ascii="Symbol" w:hAnsi="Symbol"/>
                    <w:color w:val="7EAABF"/>
                    <w:w w:val="110"/>
                    <w:sz w:val="23"/>
                  </w:rPr>
                  <w:t></w:t>
                </w:r>
                <w:r>
                  <w:rPr>
                    <w:rFonts w:ascii="Times New Roman" w:hAnsi="Times New Roman"/>
                    <w:color w:val="7EAABF"/>
                    <w:w w:val="110"/>
                    <w:sz w:val="23"/>
                  </w:rPr>
                  <w:t> </w:t>
                </w:r>
                <w:r>
                  <w:rPr>
                    <w:color w:val="7EAABF"/>
                    <w:w w:val="110"/>
                    <w:sz w:val="23"/>
                  </w:rPr>
                  <w:t>General Assembly 2016 </w:t>
                </w:r>
                <w:r>
                  <w:rPr>
                    <w:rFonts w:ascii="Symbol" w:hAnsi="Symbol"/>
                    <w:color w:val="7EAABF"/>
                    <w:w w:val="110"/>
                    <w:sz w:val="23"/>
                  </w:rPr>
                  <w:t></w:t>
                </w:r>
                <w:r>
                  <w:rPr>
                    <w:rFonts w:ascii="Times New Roman" w:hAnsi="Times New Roman"/>
                    <w:color w:val="7EAABF"/>
                    <w:w w:val="110"/>
                    <w:sz w:val="23"/>
                  </w:rPr>
                  <w:t> </w:t>
                </w:r>
                <w:r>
                  <w:rPr/>
                  <w:fldChar w:fldCharType="begin"/>
                </w:r>
                <w:r>
                  <w:rPr>
                    <w:rFonts w:ascii="Stone Sans II ITC Std X Bd" w:hAnsi="Stone Sans II ITC Std X Bd"/>
                    <w:b/>
                    <w:w w:val="110"/>
                    <w:sz w:val="24"/>
                  </w:rPr>
                  <w:instrText> PAGE </w:instrText>
                </w:r>
                <w:r>
                  <w:rPr/>
                  <w:fldChar w:fldCharType="separate"/>
                </w:r>
                <w:r>
                  <w:rPr/>
                  <w:t>123</w:t>
                </w:r>
                <w:r>
                  <w:rPr/>
                  <w:fldChar w:fldCharType="end"/>
                </w:r>
              </w:p>
            </w:txbxContent>
          </v:textbox>
          <w10:wrap type="none"/>
        </v:shape>
      </w:pict>
    </w:r>
  </w:p>
</w:ftr>
</file>

<file path=word/footer11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59.362202pt;margin-top:798.53833pt;width:319.05pt;height:17.45pt;mso-position-horizontal-relative:page;mso-position-vertical-relative:page;z-index:-267995136" type="#_x0000_t202" filled="false" stroked="false">
          <v:textbox inset="0,0,0,0">
            <w:txbxContent>
              <w:p>
                <w:pPr>
                  <w:spacing w:before="16"/>
                  <w:ind w:left="60" w:right="0" w:firstLine="0"/>
                  <w:jc w:val="left"/>
                  <w:rPr>
                    <w:sz w:val="23"/>
                  </w:rPr>
                </w:pPr>
                <w:r>
                  <w:rPr/>
                  <w:fldChar w:fldCharType="begin"/>
                </w:r>
                <w:r>
                  <w:rPr>
                    <w:rFonts w:ascii="Stone Sans II ITC Std X Bd" w:hAnsi="Stone Sans II ITC Std X Bd"/>
                    <w:b/>
                    <w:w w:val="110"/>
                    <w:sz w:val="24"/>
                  </w:rPr>
                  <w:instrText> PAGE </w:instrText>
                </w:r>
                <w:r>
                  <w:rPr/>
                  <w:fldChar w:fldCharType="separate"/>
                </w:r>
                <w:r>
                  <w:rPr/>
                  <w:t>124</w:t>
                </w:r>
                <w:r>
                  <w:rPr/>
                  <w:fldChar w:fldCharType="end"/>
                </w:r>
                <w:r>
                  <w:rPr>
                    <w:rFonts w:ascii="Stone Sans II ITC Std X Bd" w:hAnsi="Stone Sans II ITC Std X Bd"/>
                    <w:b/>
                    <w:w w:val="110"/>
                    <w:sz w:val="24"/>
                  </w:rPr>
                  <w:t> </w:t>
                </w:r>
                <w:r>
                  <w:rPr>
                    <w:rFonts w:ascii="Symbol" w:hAnsi="Symbol"/>
                    <w:color w:val="7EAABF"/>
                    <w:w w:val="110"/>
                    <w:sz w:val="23"/>
                  </w:rPr>
                  <w:t></w:t>
                </w:r>
                <w:r>
                  <w:rPr>
                    <w:rFonts w:ascii="Times New Roman" w:hAnsi="Times New Roman"/>
                    <w:color w:val="7EAABF"/>
                    <w:w w:val="110"/>
                    <w:sz w:val="23"/>
                  </w:rPr>
                  <w:t> </w:t>
                </w:r>
                <w:r>
                  <w:rPr>
                    <w:color w:val="7EAABF"/>
                    <w:w w:val="110"/>
                    <w:sz w:val="23"/>
                  </w:rPr>
                  <w:t>United Reformed Church </w:t>
                </w:r>
                <w:r>
                  <w:rPr>
                    <w:rFonts w:ascii="Symbol" w:hAnsi="Symbol"/>
                    <w:color w:val="7EAABF"/>
                    <w:w w:val="110"/>
                    <w:sz w:val="23"/>
                  </w:rPr>
                  <w:t></w:t>
                </w:r>
                <w:r>
                  <w:rPr>
                    <w:rFonts w:ascii="Times New Roman" w:hAnsi="Times New Roman"/>
                    <w:color w:val="7EAABF"/>
                    <w:w w:val="110"/>
                    <w:sz w:val="23"/>
                  </w:rPr>
                  <w:t> </w:t>
                </w:r>
                <w:r>
                  <w:rPr>
                    <w:color w:val="7EAABF"/>
                    <w:w w:val="110"/>
                    <w:sz w:val="23"/>
                  </w:rPr>
                  <w:t>General Assembly 2016</w:t>
                </w:r>
              </w:p>
            </w:txbxContent>
          </v:textbox>
          <w10:wrap type="none"/>
        </v:shape>
      </w:pict>
    </w:r>
  </w:p>
</w:ftr>
</file>

<file path=word/footer1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224.539398pt;margin-top:798.53833pt;width:311.4pt;height:17.45pt;mso-position-horizontal-relative:page;mso-position-vertical-relative:page;z-index:-268097536" type="#_x0000_t202" filled="false" stroked="false">
          <v:textbox inset="0,0,0,0">
            <w:txbxContent>
              <w:p>
                <w:pPr>
                  <w:spacing w:before="16"/>
                  <w:ind w:left="20" w:right="0" w:firstLine="0"/>
                  <w:jc w:val="left"/>
                  <w:rPr>
                    <w:rFonts w:ascii="Stone Sans II ITC Std X Bd" w:hAnsi="Stone Sans II ITC Std X Bd"/>
                    <w:b/>
                    <w:sz w:val="24"/>
                  </w:rPr>
                </w:pPr>
                <w:r>
                  <w:rPr>
                    <w:color w:val="7EAABF"/>
                    <w:w w:val="110"/>
                    <w:sz w:val="23"/>
                  </w:rPr>
                  <w:t>United Reformed Church </w:t>
                </w:r>
                <w:r>
                  <w:rPr>
                    <w:rFonts w:ascii="Symbol" w:hAnsi="Symbol"/>
                    <w:color w:val="7EAABF"/>
                    <w:w w:val="110"/>
                    <w:sz w:val="23"/>
                  </w:rPr>
                  <w:t></w:t>
                </w:r>
                <w:r>
                  <w:rPr>
                    <w:rFonts w:ascii="Times New Roman" w:hAnsi="Times New Roman"/>
                    <w:color w:val="7EAABF"/>
                    <w:w w:val="110"/>
                    <w:sz w:val="23"/>
                  </w:rPr>
                  <w:t> </w:t>
                </w:r>
                <w:r>
                  <w:rPr>
                    <w:color w:val="7EAABF"/>
                    <w:w w:val="110"/>
                    <w:sz w:val="23"/>
                  </w:rPr>
                  <w:t>General Assembly 2016 </w:t>
                </w:r>
                <w:r>
                  <w:rPr>
                    <w:rFonts w:ascii="Symbol" w:hAnsi="Symbol"/>
                    <w:color w:val="7EAABF"/>
                    <w:w w:val="110"/>
                    <w:sz w:val="23"/>
                  </w:rPr>
                  <w:t></w:t>
                </w:r>
                <w:r>
                  <w:rPr>
                    <w:rFonts w:ascii="Times New Roman" w:hAnsi="Times New Roman"/>
                    <w:color w:val="7EAABF"/>
                    <w:w w:val="110"/>
                    <w:sz w:val="23"/>
                  </w:rPr>
                  <w:t> </w:t>
                </w:r>
                <w:r>
                  <w:rPr/>
                  <w:fldChar w:fldCharType="begin"/>
                </w:r>
                <w:r>
                  <w:rPr>
                    <w:rFonts w:ascii="Stone Sans II ITC Std X Bd" w:hAnsi="Stone Sans II ITC Std X Bd"/>
                    <w:b/>
                    <w:w w:val="110"/>
                    <w:sz w:val="24"/>
                  </w:rPr>
                  <w:instrText> PAGE </w:instrText>
                </w:r>
                <w:r>
                  <w:rPr/>
                  <w:fldChar w:fldCharType="separate"/>
                </w:r>
                <w:r>
                  <w:rPr/>
                  <w:t>17</w:t>
                </w:r>
                <w:r>
                  <w:rPr/>
                  <w:fldChar w:fldCharType="end"/>
                </w:r>
              </w:p>
            </w:txbxContent>
          </v:textbox>
          <w10:wrap type="none"/>
        </v:shape>
      </w:pict>
    </w:r>
  </w:p>
</w:ftr>
</file>

<file path=word/footer12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216.907196pt;margin-top:798.53833pt;width:319.05pt;height:17.45pt;mso-position-horizontal-relative:page;mso-position-vertical-relative:page;z-index:-267994112" type="#_x0000_t202" filled="false" stroked="false">
          <v:textbox inset="0,0,0,0">
            <w:txbxContent>
              <w:p>
                <w:pPr>
                  <w:spacing w:before="16"/>
                  <w:ind w:left="20" w:right="0" w:firstLine="0"/>
                  <w:jc w:val="left"/>
                  <w:rPr>
                    <w:rFonts w:ascii="Stone Sans II ITC Std X Bd" w:hAnsi="Stone Sans II ITC Std X Bd"/>
                    <w:b/>
                    <w:sz w:val="24"/>
                  </w:rPr>
                </w:pPr>
                <w:r>
                  <w:rPr>
                    <w:color w:val="7EAABF"/>
                    <w:w w:val="110"/>
                    <w:sz w:val="23"/>
                  </w:rPr>
                  <w:t>United Reformed Church </w:t>
                </w:r>
                <w:r>
                  <w:rPr>
                    <w:rFonts w:ascii="Symbol" w:hAnsi="Symbol"/>
                    <w:color w:val="7EAABF"/>
                    <w:w w:val="110"/>
                    <w:sz w:val="23"/>
                  </w:rPr>
                  <w:t></w:t>
                </w:r>
                <w:r>
                  <w:rPr>
                    <w:rFonts w:ascii="Times New Roman" w:hAnsi="Times New Roman"/>
                    <w:color w:val="7EAABF"/>
                    <w:w w:val="110"/>
                    <w:sz w:val="23"/>
                  </w:rPr>
                  <w:t> </w:t>
                </w:r>
                <w:r>
                  <w:rPr>
                    <w:color w:val="7EAABF"/>
                    <w:w w:val="110"/>
                    <w:sz w:val="23"/>
                  </w:rPr>
                  <w:t>General Assembly 2016 </w:t>
                </w:r>
                <w:r>
                  <w:rPr>
                    <w:rFonts w:ascii="Symbol" w:hAnsi="Symbol"/>
                    <w:color w:val="7EAABF"/>
                    <w:w w:val="110"/>
                    <w:sz w:val="23"/>
                  </w:rPr>
                  <w:t></w:t>
                </w:r>
                <w:r>
                  <w:rPr>
                    <w:rFonts w:ascii="Times New Roman" w:hAnsi="Times New Roman"/>
                    <w:color w:val="7EAABF"/>
                    <w:w w:val="110"/>
                    <w:sz w:val="23"/>
                  </w:rPr>
                  <w:t> </w:t>
                </w:r>
                <w:r>
                  <w:rPr/>
                  <w:fldChar w:fldCharType="begin"/>
                </w:r>
                <w:r>
                  <w:rPr>
                    <w:rFonts w:ascii="Stone Sans II ITC Std X Bd" w:hAnsi="Stone Sans II ITC Std X Bd"/>
                    <w:b/>
                    <w:w w:val="110"/>
                    <w:sz w:val="24"/>
                  </w:rPr>
                  <w:instrText> PAGE </w:instrText>
                </w:r>
                <w:r>
                  <w:rPr/>
                  <w:fldChar w:fldCharType="separate"/>
                </w:r>
                <w:r>
                  <w:rPr/>
                  <w:t>125</w:t>
                </w:r>
                <w:r>
                  <w:rPr/>
                  <w:fldChar w:fldCharType="end"/>
                </w:r>
              </w:p>
            </w:txbxContent>
          </v:textbox>
          <w10:wrap type="none"/>
        </v:shape>
      </w:pict>
    </w:r>
  </w:p>
</w:ftr>
</file>

<file path=word/footer12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59.362202pt;margin-top:798.53833pt;width:319.05pt;height:17.45pt;mso-position-horizontal-relative:page;mso-position-vertical-relative:page;z-index:-267993088" type="#_x0000_t202" filled="false" stroked="false">
          <v:textbox inset="0,0,0,0">
            <w:txbxContent>
              <w:p>
                <w:pPr>
                  <w:spacing w:before="16"/>
                  <w:ind w:left="60" w:right="0" w:firstLine="0"/>
                  <w:jc w:val="left"/>
                  <w:rPr>
                    <w:sz w:val="23"/>
                  </w:rPr>
                </w:pPr>
                <w:r>
                  <w:rPr/>
                  <w:fldChar w:fldCharType="begin"/>
                </w:r>
                <w:r>
                  <w:rPr>
                    <w:rFonts w:ascii="Stone Sans II ITC Std X Bd" w:hAnsi="Stone Sans II ITC Std X Bd"/>
                    <w:b/>
                    <w:w w:val="110"/>
                    <w:sz w:val="24"/>
                  </w:rPr>
                  <w:instrText> PAGE </w:instrText>
                </w:r>
                <w:r>
                  <w:rPr/>
                  <w:fldChar w:fldCharType="separate"/>
                </w:r>
                <w:r>
                  <w:rPr/>
                  <w:t>126</w:t>
                </w:r>
                <w:r>
                  <w:rPr/>
                  <w:fldChar w:fldCharType="end"/>
                </w:r>
                <w:r>
                  <w:rPr>
                    <w:rFonts w:ascii="Stone Sans II ITC Std X Bd" w:hAnsi="Stone Sans II ITC Std X Bd"/>
                    <w:b/>
                    <w:w w:val="110"/>
                    <w:sz w:val="24"/>
                  </w:rPr>
                  <w:t> </w:t>
                </w:r>
                <w:r>
                  <w:rPr>
                    <w:rFonts w:ascii="Symbol" w:hAnsi="Symbol"/>
                    <w:color w:val="7EAABF"/>
                    <w:w w:val="110"/>
                    <w:sz w:val="23"/>
                  </w:rPr>
                  <w:t></w:t>
                </w:r>
                <w:r>
                  <w:rPr>
                    <w:rFonts w:ascii="Times New Roman" w:hAnsi="Times New Roman"/>
                    <w:color w:val="7EAABF"/>
                    <w:w w:val="110"/>
                    <w:sz w:val="23"/>
                  </w:rPr>
                  <w:t> </w:t>
                </w:r>
                <w:r>
                  <w:rPr>
                    <w:color w:val="7EAABF"/>
                    <w:w w:val="110"/>
                    <w:sz w:val="23"/>
                  </w:rPr>
                  <w:t>United Reformed Church </w:t>
                </w:r>
                <w:r>
                  <w:rPr>
                    <w:rFonts w:ascii="Symbol" w:hAnsi="Symbol"/>
                    <w:color w:val="7EAABF"/>
                    <w:w w:val="110"/>
                    <w:sz w:val="23"/>
                  </w:rPr>
                  <w:t></w:t>
                </w:r>
                <w:r>
                  <w:rPr>
                    <w:rFonts w:ascii="Times New Roman" w:hAnsi="Times New Roman"/>
                    <w:color w:val="7EAABF"/>
                    <w:w w:val="110"/>
                    <w:sz w:val="23"/>
                  </w:rPr>
                  <w:t> </w:t>
                </w:r>
                <w:r>
                  <w:rPr>
                    <w:color w:val="7EAABF"/>
                    <w:w w:val="110"/>
                    <w:sz w:val="23"/>
                  </w:rPr>
                  <w:t>General Assembly 2016</w:t>
                </w:r>
              </w:p>
            </w:txbxContent>
          </v:textbox>
          <w10:wrap type="none"/>
        </v:shape>
      </w:pict>
    </w:r>
  </w:p>
</w:ftr>
</file>

<file path=word/footer12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216.907196pt;margin-top:798.53833pt;width:319.05pt;height:17.45pt;mso-position-horizontal-relative:page;mso-position-vertical-relative:page;z-index:-267992064" type="#_x0000_t202" filled="false" stroked="false">
          <v:textbox inset="0,0,0,0">
            <w:txbxContent>
              <w:p>
                <w:pPr>
                  <w:spacing w:before="16"/>
                  <w:ind w:left="20" w:right="0" w:firstLine="0"/>
                  <w:jc w:val="left"/>
                  <w:rPr>
                    <w:rFonts w:ascii="Stone Sans II ITC Std X Bd" w:hAnsi="Stone Sans II ITC Std X Bd"/>
                    <w:b/>
                    <w:sz w:val="24"/>
                  </w:rPr>
                </w:pPr>
                <w:r>
                  <w:rPr>
                    <w:color w:val="7EAABF"/>
                    <w:w w:val="110"/>
                    <w:sz w:val="23"/>
                  </w:rPr>
                  <w:t>United Reformed Church </w:t>
                </w:r>
                <w:r>
                  <w:rPr>
                    <w:rFonts w:ascii="Symbol" w:hAnsi="Symbol"/>
                    <w:color w:val="7EAABF"/>
                    <w:w w:val="110"/>
                    <w:sz w:val="23"/>
                  </w:rPr>
                  <w:t></w:t>
                </w:r>
                <w:r>
                  <w:rPr>
                    <w:rFonts w:ascii="Times New Roman" w:hAnsi="Times New Roman"/>
                    <w:color w:val="7EAABF"/>
                    <w:w w:val="110"/>
                    <w:sz w:val="23"/>
                  </w:rPr>
                  <w:t> </w:t>
                </w:r>
                <w:r>
                  <w:rPr>
                    <w:color w:val="7EAABF"/>
                    <w:w w:val="110"/>
                    <w:sz w:val="23"/>
                  </w:rPr>
                  <w:t>General Assembly 2016 </w:t>
                </w:r>
                <w:r>
                  <w:rPr>
                    <w:rFonts w:ascii="Symbol" w:hAnsi="Symbol"/>
                    <w:color w:val="7EAABF"/>
                    <w:w w:val="110"/>
                    <w:sz w:val="23"/>
                  </w:rPr>
                  <w:t></w:t>
                </w:r>
                <w:r>
                  <w:rPr>
                    <w:rFonts w:ascii="Times New Roman" w:hAnsi="Times New Roman"/>
                    <w:color w:val="7EAABF"/>
                    <w:w w:val="110"/>
                    <w:sz w:val="23"/>
                  </w:rPr>
                  <w:t> </w:t>
                </w:r>
                <w:r>
                  <w:rPr/>
                  <w:fldChar w:fldCharType="begin"/>
                </w:r>
                <w:r>
                  <w:rPr>
                    <w:rFonts w:ascii="Stone Sans II ITC Std X Bd" w:hAnsi="Stone Sans II ITC Std X Bd"/>
                    <w:b/>
                    <w:w w:val="110"/>
                    <w:sz w:val="24"/>
                  </w:rPr>
                  <w:instrText> PAGE </w:instrText>
                </w:r>
                <w:r>
                  <w:rPr/>
                  <w:fldChar w:fldCharType="separate"/>
                </w:r>
                <w:r>
                  <w:rPr/>
                  <w:t>127</w:t>
                </w:r>
                <w:r>
                  <w:rPr/>
                  <w:fldChar w:fldCharType="end"/>
                </w:r>
              </w:p>
            </w:txbxContent>
          </v:textbox>
          <w10:wrap type="none"/>
        </v:shape>
      </w:pict>
    </w:r>
  </w:p>
</w:ftr>
</file>

<file path=word/footer12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12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216.907196pt;margin-top:798.53833pt;width:319.05pt;height:17.45pt;mso-position-horizontal-relative:page;mso-position-vertical-relative:page;z-index:-267990016" type="#_x0000_t202" filled="false" stroked="false">
          <v:textbox inset="0,0,0,0">
            <w:txbxContent>
              <w:p>
                <w:pPr>
                  <w:spacing w:before="16"/>
                  <w:ind w:left="20" w:right="0" w:firstLine="0"/>
                  <w:jc w:val="left"/>
                  <w:rPr>
                    <w:rFonts w:ascii="Stone Sans II ITC Std X Bd" w:hAnsi="Stone Sans II ITC Std X Bd"/>
                    <w:b/>
                    <w:sz w:val="24"/>
                  </w:rPr>
                </w:pPr>
                <w:r>
                  <w:rPr>
                    <w:color w:val="7EAABF"/>
                    <w:w w:val="110"/>
                    <w:sz w:val="23"/>
                  </w:rPr>
                  <w:t>United Reformed Church </w:t>
                </w:r>
                <w:r>
                  <w:rPr>
                    <w:rFonts w:ascii="Symbol" w:hAnsi="Symbol"/>
                    <w:color w:val="7EAABF"/>
                    <w:w w:val="110"/>
                    <w:sz w:val="23"/>
                  </w:rPr>
                  <w:t></w:t>
                </w:r>
                <w:r>
                  <w:rPr>
                    <w:rFonts w:ascii="Times New Roman" w:hAnsi="Times New Roman"/>
                    <w:color w:val="7EAABF"/>
                    <w:w w:val="110"/>
                    <w:sz w:val="23"/>
                  </w:rPr>
                  <w:t> </w:t>
                </w:r>
                <w:r>
                  <w:rPr>
                    <w:color w:val="7EAABF"/>
                    <w:w w:val="110"/>
                    <w:sz w:val="23"/>
                  </w:rPr>
                  <w:t>General Assembly 2016 </w:t>
                </w:r>
                <w:r>
                  <w:rPr>
                    <w:rFonts w:ascii="Symbol" w:hAnsi="Symbol"/>
                    <w:color w:val="7EAABF"/>
                    <w:w w:val="110"/>
                    <w:sz w:val="23"/>
                  </w:rPr>
                  <w:t></w:t>
                </w:r>
                <w:r>
                  <w:rPr>
                    <w:rFonts w:ascii="Times New Roman" w:hAnsi="Times New Roman"/>
                    <w:color w:val="7EAABF"/>
                    <w:w w:val="110"/>
                    <w:sz w:val="23"/>
                  </w:rPr>
                  <w:t> </w:t>
                </w:r>
                <w:r>
                  <w:rPr/>
                  <w:fldChar w:fldCharType="begin"/>
                </w:r>
                <w:r>
                  <w:rPr>
                    <w:rFonts w:ascii="Stone Sans II ITC Std X Bd" w:hAnsi="Stone Sans II ITC Std X Bd"/>
                    <w:b/>
                    <w:w w:val="110"/>
                    <w:sz w:val="24"/>
                  </w:rPr>
                  <w:instrText> PAGE </w:instrText>
                </w:r>
                <w:r>
                  <w:rPr/>
                  <w:fldChar w:fldCharType="separate"/>
                </w:r>
                <w:r>
                  <w:rPr/>
                  <w:t>129</w:t>
                </w:r>
                <w:r>
                  <w:rPr/>
                  <w:fldChar w:fldCharType="end"/>
                </w:r>
              </w:p>
            </w:txbxContent>
          </v:textbox>
          <w10:wrap type="none"/>
        </v:shape>
      </w:pict>
    </w:r>
  </w:p>
</w:ftr>
</file>

<file path=word/footer12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59.362202pt;margin-top:798.53833pt;width:319.05pt;height:17.45pt;mso-position-horizontal-relative:page;mso-position-vertical-relative:page;z-index:-267988992" type="#_x0000_t202" filled="false" stroked="false">
          <v:textbox inset="0,0,0,0">
            <w:txbxContent>
              <w:p>
                <w:pPr>
                  <w:spacing w:before="16"/>
                  <w:ind w:left="60" w:right="0" w:firstLine="0"/>
                  <w:jc w:val="left"/>
                  <w:rPr>
                    <w:sz w:val="23"/>
                  </w:rPr>
                </w:pPr>
                <w:r>
                  <w:rPr/>
                  <w:fldChar w:fldCharType="begin"/>
                </w:r>
                <w:r>
                  <w:rPr>
                    <w:rFonts w:ascii="Stone Sans II ITC Std X Bd" w:hAnsi="Stone Sans II ITC Std X Bd"/>
                    <w:b/>
                    <w:w w:val="110"/>
                    <w:sz w:val="24"/>
                  </w:rPr>
                  <w:instrText> PAGE </w:instrText>
                </w:r>
                <w:r>
                  <w:rPr/>
                  <w:fldChar w:fldCharType="separate"/>
                </w:r>
                <w:r>
                  <w:rPr/>
                  <w:t>130</w:t>
                </w:r>
                <w:r>
                  <w:rPr/>
                  <w:fldChar w:fldCharType="end"/>
                </w:r>
                <w:r>
                  <w:rPr>
                    <w:rFonts w:ascii="Stone Sans II ITC Std X Bd" w:hAnsi="Stone Sans II ITC Std X Bd"/>
                    <w:b/>
                    <w:w w:val="110"/>
                    <w:sz w:val="24"/>
                  </w:rPr>
                  <w:t> </w:t>
                </w:r>
                <w:r>
                  <w:rPr>
                    <w:rFonts w:ascii="Symbol" w:hAnsi="Symbol"/>
                    <w:color w:val="7EAABF"/>
                    <w:w w:val="110"/>
                    <w:sz w:val="23"/>
                  </w:rPr>
                  <w:t></w:t>
                </w:r>
                <w:r>
                  <w:rPr>
                    <w:rFonts w:ascii="Times New Roman" w:hAnsi="Times New Roman"/>
                    <w:color w:val="7EAABF"/>
                    <w:w w:val="110"/>
                    <w:sz w:val="23"/>
                  </w:rPr>
                  <w:t> </w:t>
                </w:r>
                <w:r>
                  <w:rPr>
                    <w:color w:val="7EAABF"/>
                    <w:w w:val="110"/>
                    <w:sz w:val="23"/>
                  </w:rPr>
                  <w:t>United Reformed Church </w:t>
                </w:r>
                <w:r>
                  <w:rPr>
                    <w:rFonts w:ascii="Symbol" w:hAnsi="Symbol"/>
                    <w:color w:val="7EAABF"/>
                    <w:w w:val="110"/>
                    <w:sz w:val="23"/>
                  </w:rPr>
                  <w:t></w:t>
                </w:r>
                <w:r>
                  <w:rPr>
                    <w:rFonts w:ascii="Times New Roman" w:hAnsi="Times New Roman"/>
                    <w:color w:val="7EAABF"/>
                    <w:w w:val="110"/>
                    <w:sz w:val="23"/>
                  </w:rPr>
                  <w:t> </w:t>
                </w:r>
                <w:r>
                  <w:rPr>
                    <w:color w:val="7EAABF"/>
                    <w:w w:val="110"/>
                    <w:sz w:val="23"/>
                  </w:rPr>
                  <w:t>General Assembly 2016</w:t>
                </w:r>
              </w:p>
            </w:txbxContent>
          </v:textbox>
          <w10:wrap type="none"/>
        </v:shape>
      </w:pict>
    </w:r>
  </w:p>
</w:ftr>
</file>

<file path=word/footer12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216.523407pt;margin-top:798.53833pt;width:317.4pt;height:17.45pt;mso-position-horizontal-relative:page;mso-position-vertical-relative:page;z-index:-267987968" type="#_x0000_t202" filled="false" stroked="false">
          <v:textbox inset="0,0,0,0">
            <w:txbxContent>
              <w:p>
                <w:pPr>
                  <w:spacing w:before="16"/>
                  <w:ind w:left="20" w:right="0" w:firstLine="0"/>
                  <w:jc w:val="left"/>
                  <w:rPr>
                    <w:rFonts w:ascii="Stone Sans II ITC Std X Bd" w:hAnsi="Stone Sans II ITC Std X Bd"/>
                    <w:b/>
                    <w:sz w:val="24"/>
                  </w:rPr>
                </w:pPr>
                <w:r>
                  <w:rPr>
                    <w:color w:val="7EAABF"/>
                    <w:w w:val="110"/>
                    <w:sz w:val="23"/>
                  </w:rPr>
                  <w:t>United Reformed Church </w:t>
                </w:r>
                <w:r>
                  <w:rPr>
                    <w:rFonts w:ascii="Symbol" w:hAnsi="Symbol"/>
                    <w:color w:val="7EAABF"/>
                    <w:w w:val="110"/>
                    <w:sz w:val="23"/>
                  </w:rPr>
                  <w:t></w:t>
                </w:r>
                <w:r>
                  <w:rPr>
                    <w:rFonts w:ascii="Times New Roman" w:hAnsi="Times New Roman"/>
                    <w:color w:val="7EAABF"/>
                    <w:w w:val="110"/>
                    <w:sz w:val="23"/>
                  </w:rPr>
                  <w:t> </w:t>
                </w:r>
                <w:r>
                  <w:rPr>
                    <w:color w:val="7EAABF"/>
                    <w:w w:val="110"/>
                    <w:sz w:val="23"/>
                  </w:rPr>
                  <w:t>General Assembly 2016 </w:t>
                </w:r>
                <w:r>
                  <w:rPr>
                    <w:rFonts w:ascii="Symbol" w:hAnsi="Symbol"/>
                    <w:color w:val="7EAABF"/>
                    <w:w w:val="110"/>
                    <w:sz w:val="23"/>
                  </w:rPr>
                  <w:t></w:t>
                </w:r>
                <w:r>
                  <w:rPr>
                    <w:rFonts w:ascii="Times New Roman" w:hAnsi="Times New Roman"/>
                    <w:color w:val="7EAABF"/>
                    <w:w w:val="110"/>
                    <w:sz w:val="23"/>
                  </w:rPr>
                  <w:t> </w:t>
                </w:r>
                <w:r>
                  <w:rPr>
                    <w:rFonts w:ascii="Stone Sans II ITC Std X Bd" w:hAnsi="Stone Sans II ITC Std X Bd"/>
                    <w:b/>
                    <w:w w:val="110"/>
                    <w:sz w:val="24"/>
                  </w:rPr>
                  <w:t>131</w:t>
                </w:r>
              </w:p>
            </w:txbxContent>
          </v:textbox>
          <w10:wrap type="none"/>
        </v:shape>
      </w:pict>
    </w:r>
  </w:p>
</w:ftr>
</file>

<file path=word/footer12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59.362202pt;margin-top:798.53833pt;width:319.4pt;height:17.45pt;mso-position-horizontal-relative:page;mso-position-vertical-relative:page;z-index:-267986944" type="#_x0000_t202" filled="false" stroked="false">
          <v:textbox inset="0,0,0,0">
            <w:txbxContent>
              <w:p>
                <w:pPr>
                  <w:spacing w:before="16"/>
                  <w:ind w:left="60" w:right="0" w:firstLine="0"/>
                  <w:jc w:val="left"/>
                  <w:rPr>
                    <w:sz w:val="23"/>
                  </w:rPr>
                </w:pPr>
                <w:r>
                  <w:rPr>
                    <w:rFonts w:ascii="Stone Sans II ITC Std X Bd" w:hAnsi="Stone Sans II ITC Std X Bd"/>
                    <w:b/>
                    <w:w w:val="110"/>
                    <w:sz w:val="24"/>
                  </w:rPr>
                  <w:t>132</w:t>
                </w:r>
                <w:r>
                  <w:rPr>
                    <w:rFonts w:ascii="Stone Sans II ITC Std X Bd" w:hAnsi="Stone Sans II ITC Std X Bd"/>
                    <w:b/>
                    <w:w w:val="110"/>
                    <w:sz w:val="24"/>
                  </w:rPr>
                  <w:t> </w:t>
                </w:r>
                <w:r>
                  <w:rPr>
                    <w:rFonts w:ascii="Symbol" w:hAnsi="Symbol"/>
                    <w:color w:val="7EAABF"/>
                    <w:w w:val="110"/>
                    <w:sz w:val="23"/>
                  </w:rPr>
                  <w:t></w:t>
                </w:r>
                <w:r>
                  <w:rPr>
                    <w:rFonts w:ascii="Times New Roman" w:hAnsi="Times New Roman"/>
                    <w:color w:val="7EAABF"/>
                    <w:w w:val="110"/>
                    <w:sz w:val="23"/>
                  </w:rPr>
                  <w:t> </w:t>
                </w:r>
                <w:r>
                  <w:rPr>
                    <w:color w:val="7EAABF"/>
                    <w:w w:val="110"/>
                    <w:sz w:val="23"/>
                  </w:rPr>
                  <w:t>United Reformed Church </w:t>
                </w:r>
                <w:r>
                  <w:rPr>
                    <w:rFonts w:ascii="Symbol" w:hAnsi="Symbol"/>
                    <w:color w:val="7EAABF"/>
                    <w:w w:val="110"/>
                    <w:sz w:val="23"/>
                  </w:rPr>
                  <w:t></w:t>
                </w:r>
                <w:r>
                  <w:rPr>
                    <w:rFonts w:ascii="Times New Roman" w:hAnsi="Times New Roman"/>
                    <w:color w:val="7EAABF"/>
                    <w:w w:val="110"/>
                    <w:sz w:val="23"/>
                  </w:rPr>
                  <w:t> </w:t>
                </w:r>
                <w:r>
                  <w:rPr>
                    <w:color w:val="7EAABF"/>
                    <w:w w:val="110"/>
                    <w:sz w:val="23"/>
                  </w:rPr>
                  <w:t>General Assembly 2016</w:t>
                </w:r>
              </w:p>
            </w:txbxContent>
          </v:textbox>
          <w10:wrap type="none"/>
        </v:shape>
      </w:pict>
    </w:r>
  </w:p>
</w:ftr>
</file>

<file path=word/footer12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216.523407pt;margin-top:798.53833pt;width:319.4pt;height:17.45pt;mso-position-horizontal-relative:page;mso-position-vertical-relative:page;z-index:-267985920" type="#_x0000_t202" filled="false" stroked="false">
          <v:textbox inset="0,0,0,0">
            <w:txbxContent>
              <w:p>
                <w:pPr>
                  <w:spacing w:before="16"/>
                  <w:ind w:left="20" w:right="0" w:firstLine="0"/>
                  <w:jc w:val="left"/>
                  <w:rPr>
                    <w:rFonts w:ascii="Stone Sans II ITC Std X Bd" w:hAnsi="Stone Sans II ITC Std X Bd"/>
                    <w:b/>
                    <w:sz w:val="24"/>
                  </w:rPr>
                </w:pPr>
                <w:r>
                  <w:rPr>
                    <w:color w:val="7EAABF"/>
                    <w:w w:val="110"/>
                    <w:sz w:val="23"/>
                  </w:rPr>
                  <w:t>United Reformed Church </w:t>
                </w:r>
                <w:r>
                  <w:rPr>
                    <w:rFonts w:ascii="Symbol" w:hAnsi="Symbol"/>
                    <w:color w:val="7EAABF"/>
                    <w:w w:val="110"/>
                    <w:sz w:val="23"/>
                  </w:rPr>
                  <w:t></w:t>
                </w:r>
                <w:r>
                  <w:rPr>
                    <w:rFonts w:ascii="Times New Roman" w:hAnsi="Times New Roman"/>
                    <w:color w:val="7EAABF"/>
                    <w:w w:val="110"/>
                    <w:sz w:val="23"/>
                  </w:rPr>
                  <w:t> </w:t>
                </w:r>
                <w:r>
                  <w:rPr>
                    <w:color w:val="7EAABF"/>
                    <w:w w:val="110"/>
                    <w:sz w:val="23"/>
                  </w:rPr>
                  <w:t>General Assembly 2016 </w:t>
                </w:r>
                <w:r>
                  <w:rPr>
                    <w:rFonts w:ascii="Symbol" w:hAnsi="Symbol"/>
                    <w:color w:val="7EAABF"/>
                    <w:w w:val="110"/>
                    <w:sz w:val="23"/>
                  </w:rPr>
                  <w:t></w:t>
                </w:r>
                <w:r>
                  <w:rPr>
                    <w:rFonts w:ascii="Times New Roman" w:hAnsi="Times New Roman"/>
                    <w:color w:val="7EAABF"/>
                    <w:w w:val="110"/>
                    <w:sz w:val="23"/>
                  </w:rPr>
                  <w:t> </w:t>
                </w:r>
                <w:r>
                  <w:rPr/>
                  <w:fldChar w:fldCharType="begin"/>
                </w:r>
                <w:r>
                  <w:rPr>
                    <w:rFonts w:ascii="Stone Sans II ITC Std X Bd" w:hAnsi="Stone Sans II ITC Std X Bd"/>
                    <w:b/>
                    <w:w w:val="110"/>
                    <w:sz w:val="24"/>
                  </w:rPr>
                  <w:instrText> PAGE </w:instrText>
                </w:r>
                <w:r>
                  <w:rPr/>
                  <w:fldChar w:fldCharType="separate"/>
                </w:r>
                <w:r>
                  <w:rPr/>
                  <w:t>133</w:t>
                </w:r>
                <w:r>
                  <w:rPr/>
                  <w:fldChar w:fldCharType="end"/>
                </w:r>
              </w:p>
            </w:txbxContent>
          </v:textbox>
          <w10:wrap type="none"/>
        </v:shape>
      </w:pict>
    </w:r>
  </w:p>
</w:ftr>
</file>

<file path=word/footer12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59.362202pt;margin-top:798.53833pt;width:319.4pt;height:17.45pt;mso-position-horizontal-relative:page;mso-position-vertical-relative:page;z-index:-267984896" type="#_x0000_t202" filled="false" stroked="false">
          <v:textbox inset="0,0,0,0">
            <w:txbxContent>
              <w:p>
                <w:pPr>
                  <w:spacing w:before="16"/>
                  <w:ind w:left="60" w:right="0" w:firstLine="0"/>
                  <w:jc w:val="left"/>
                  <w:rPr>
                    <w:sz w:val="23"/>
                  </w:rPr>
                </w:pPr>
                <w:r>
                  <w:rPr/>
                  <w:fldChar w:fldCharType="begin"/>
                </w:r>
                <w:r>
                  <w:rPr>
                    <w:rFonts w:ascii="Stone Sans II ITC Std X Bd" w:hAnsi="Stone Sans II ITC Std X Bd"/>
                    <w:b/>
                    <w:w w:val="110"/>
                    <w:sz w:val="24"/>
                  </w:rPr>
                  <w:instrText> PAGE </w:instrText>
                </w:r>
                <w:r>
                  <w:rPr/>
                  <w:fldChar w:fldCharType="separate"/>
                </w:r>
                <w:r>
                  <w:rPr/>
                  <w:t>134</w:t>
                </w:r>
                <w:r>
                  <w:rPr/>
                  <w:fldChar w:fldCharType="end"/>
                </w:r>
                <w:r>
                  <w:rPr>
                    <w:rFonts w:ascii="Stone Sans II ITC Std X Bd" w:hAnsi="Stone Sans II ITC Std X Bd"/>
                    <w:b/>
                    <w:w w:val="110"/>
                    <w:sz w:val="24"/>
                  </w:rPr>
                  <w:t> </w:t>
                </w:r>
                <w:r>
                  <w:rPr>
                    <w:rFonts w:ascii="Symbol" w:hAnsi="Symbol"/>
                    <w:color w:val="7EAABF"/>
                    <w:w w:val="110"/>
                    <w:sz w:val="23"/>
                  </w:rPr>
                  <w:t></w:t>
                </w:r>
                <w:r>
                  <w:rPr>
                    <w:rFonts w:ascii="Times New Roman" w:hAnsi="Times New Roman"/>
                    <w:color w:val="7EAABF"/>
                    <w:w w:val="110"/>
                    <w:sz w:val="23"/>
                  </w:rPr>
                  <w:t> </w:t>
                </w:r>
                <w:r>
                  <w:rPr>
                    <w:color w:val="7EAABF"/>
                    <w:w w:val="110"/>
                    <w:sz w:val="23"/>
                  </w:rPr>
                  <w:t>United Reformed Church </w:t>
                </w:r>
                <w:r>
                  <w:rPr>
                    <w:rFonts w:ascii="Symbol" w:hAnsi="Symbol"/>
                    <w:color w:val="7EAABF"/>
                    <w:w w:val="110"/>
                    <w:sz w:val="23"/>
                  </w:rPr>
                  <w:t></w:t>
                </w:r>
                <w:r>
                  <w:rPr>
                    <w:rFonts w:ascii="Times New Roman" w:hAnsi="Times New Roman"/>
                    <w:color w:val="7EAABF"/>
                    <w:w w:val="110"/>
                    <w:sz w:val="23"/>
                  </w:rPr>
                  <w:t> </w:t>
                </w:r>
                <w:r>
                  <w:rPr>
                    <w:color w:val="7EAABF"/>
                    <w:w w:val="110"/>
                    <w:sz w:val="23"/>
                  </w:rPr>
                  <w:t>General Assembly 2016</w:t>
                </w:r>
              </w:p>
            </w:txbxContent>
          </v:textbox>
          <w10:wrap type="none"/>
        </v:shape>
      </w:pict>
    </w:r>
  </w:p>
</w:ftr>
</file>

<file path=word/footer1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13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216.907196pt;margin-top:798.53833pt;width:319.05pt;height:17.45pt;mso-position-horizontal-relative:page;mso-position-vertical-relative:page;z-index:-267983872" type="#_x0000_t202" filled="false" stroked="false">
          <v:textbox inset="0,0,0,0">
            <w:txbxContent>
              <w:p>
                <w:pPr>
                  <w:spacing w:before="16"/>
                  <w:ind w:left="20" w:right="0" w:firstLine="0"/>
                  <w:jc w:val="left"/>
                  <w:rPr>
                    <w:rFonts w:ascii="Stone Sans II ITC Std X Bd" w:hAnsi="Stone Sans II ITC Std X Bd"/>
                    <w:b/>
                    <w:sz w:val="24"/>
                  </w:rPr>
                </w:pPr>
                <w:r>
                  <w:rPr>
                    <w:color w:val="7EAABF"/>
                    <w:w w:val="110"/>
                    <w:sz w:val="23"/>
                  </w:rPr>
                  <w:t>United Reformed Church </w:t>
                </w:r>
                <w:r>
                  <w:rPr>
                    <w:rFonts w:ascii="Symbol" w:hAnsi="Symbol"/>
                    <w:color w:val="7EAABF"/>
                    <w:w w:val="110"/>
                    <w:sz w:val="23"/>
                  </w:rPr>
                  <w:t></w:t>
                </w:r>
                <w:r>
                  <w:rPr>
                    <w:rFonts w:ascii="Times New Roman" w:hAnsi="Times New Roman"/>
                    <w:color w:val="7EAABF"/>
                    <w:w w:val="110"/>
                    <w:sz w:val="23"/>
                  </w:rPr>
                  <w:t> </w:t>
                </w:r>
                <w:r>
                  <w:rPr>
                    <w:color w:val="7EAABF"/>
                    <w:w w:val="110"/>
                    <w:sz w:val="23"/>
                  </w:rPr>
                  <w:t>General Assembly 2016 </w:t>
                </w:r>
                <w:r>
                  <w:rPr>
                    <w:rFonts w:ascii="Symbol" w:hAnsi="Symbol"/>
                    <w:color w:val="7EAABF"/>
                    <w:w w:val="110"/>
                    <w:sz w:val="23"/>
                  </w:rPr>
                  <w:t></w:t>
                </w:r>
                <w:r>
                  <w:rPr>
                    <w:rFonts w:ascii="Times New Roman" w:hAnsi="Times New Roman"/>
                    <w:color w:val="7EAABF"/>
                    <w:w w:val="110"/>
                    <w:sz w:val="23"/>
                  </w:rPr>
                  <w:t> </w:t>
                </w:r>
                <w:r>
                  <w:rPr/>
                  <w:fldChar w:fldCharType="begin"/>
                </w:r>
                <w:r>
                  <w:rPr>
                    <w:rFonts w:ascii="Stone Sans II ITC Std X Bd" w:hAnsi="Stone Sans II ITC Std X Bd"/>
                    <w:b/>
                    <w:w w:val="110"/>
                    <w:sz w:val="24"/>
                  </w:rPr>
                  <w:instrText> PAGE </w:instrText>
                </w:r>
                <w:r>
                  <w:rPr/>
                  <w:fldChar w:fldCharType="separate"/>
                </w:r>
                <w:r>
                  <w:rPr/>
                  <w:t>135</w:t>
                </w:r>
                <w:r>
                  <w:rPr/>
                  <w:fldChar w:fldCharType="end"/>
                </w:r>
              </w:p>
            </w:txbxContent>
          </v:textbox>
          <w10:wrap type="none"/>
        </v:shape>
      </w:pict>
    </w:r>
  </w:p>
</w:ftr>
</file>

<file path=word/footer13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59.362202pt;margin-top:798.53833pt;width:319.05pt;height:17.45pt;mso-position-horizontal-relative:page;mso-position-vertical-relative:page;z-index:-267982848" type="#_x0000_t202" filled="false" stroked="false">
          <v:textbox inset="0,0,0,0">
            <w:txbxContent>
              <w:p>
                <w:pPr>
                  <w:spacing w:before="16"/>
                  <w:ind w:left="60" w:right="0" w:firstLine="0"/>
                  <w:jc w:val="left"/>
                  <w:rPr>
                    <w:sz w:val="23"/>
                  </w:rPr>
                </w:pPr>
                <w:r>
                  <w:rPr/>
                  <w:fldChar w:fldCharType="begin"/>
                </w:r>
                <w:r>
                  <w:rPr>
                    <w:rFonts w:ascii="Stone Sans II ITC Std X Bd" w:hAnsi="Stone Sans II ITC Std X Bd"/>
                    <w:b/>
                    <w:w w:val="110"/>
                    <w:sz w:val="24"/>
                  </w:rPr>
                  <w:instrText> PAGE </w:instrText>
                </w:r>
                <w:r>
                  <w:rPr/>
                  <w:fldChar w:fldCharType="separate"/>
                </w:r>
                <w:r>
                  <w:rPr/>
                  <w:t>136</w:t>
                </w:r>
                <w:r>
                  <w:rPr/>
                  <w:fldChar w:fldCharType="end"/>
                </w:r>
                <w:r>
                  <w:rPr>
                    <w:rFonts w:ascii="Stone Sans II ITC Std X Bd" w:hAnsi="Stone Sans II ITC Std X Bd"/>
                    <w:b/>
                    <w:w w:val="110"/>
                    <w:sz w:val="24"/>
                  </w:rPr>
                  <w:t> </w:t>
                </w:r>
                <w:r>
                  <w:rPr>
                    <w:rFonts w:ascii="Symbol" w:hAnsi="Symbol"/>
                    <w:color w:val="7EAABF"/>
                    <w:w w:val="110"/>
                    <w:sz w:val="23"/>
                  </w:rPr>
                  <w:t></w:t>
                </w:r>
                <w:r>
                  <w:rPr>
                    <w:rFonts w:ascii="Times New Roman" w:hAnsi="Times New Roman"/>
                    <w:color w:val="7EAABF"/>
                    <w:w w:val="110"/>
                    <w:sz w:val="23"/>
                  </w:rPr>
                  <w:t> </w:t>
                </w:r>
                <w:r>
                  <w:rPr>
                    <w:color w:val="7EAABF"/>
                    <w:w w:val="110"/>
                    <w:sz w:val="23"/>
                  </w:rPr>
                  <w:t>United Reformed Church </w:t>
                </w:r>
                <w:r>
                  <w:rPr>
                    <w:rFonts w:ascii="Symbol" w:hAnsi="Symbol"/>
                    <w:color w:val="7EAABF"/>
                    <w:w w:val="110"/>
                    <w:sz w:val="23"/>
                  </w:rPr>
                  <w:t></w:t>
                </w:r>
                <w:r>
                  <w:rPr>
                    <w:rFonts w:ascii="Times New Roman" w:hAnsi="Times New Roman"/>
                    <w:color w:val="7EAABF"/>
                    <w:w w:val="110"/>
                    <w:sz w:val="23"/>
                  </w:rPr>
                  <w:t> </w:t>
                </w:r>
                <w:r>
                  <w:rPr>
                    <w:color w:val="7EAABF"/>
                    <w:w w:val="110"/>
                    <w:sz w:val="23"/>
                  </w:rPr>
                  <w:t>General Assembly 2016</w:t>
                </w:r>
              </w:p>
            </w:txbxContent>
          </v:textbox>
          <w10:wrap type="none"/>
        </v:shape>
      </w:pict>
    </w:r>
  </w:p>
</w:ftr>
</file>

<file path=word/footer13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216.907196pt;margin-top:798.53833pt;width:319.05pt;height:17.45pt;mso-position-horizontal-relative:page;mso-position-vertical-relative:page;z-index:-267981824" type="#_x0000_t202" filled="false" stroked="false">
          <v:textbox inset="0,0,0,0">
            <w:txbxContent>
              <w:p>
                <w:pPr>
                  <w:spacing w:before="16"/>
                  <w:ind w:left="20" w:right="0" w:firstLine="0"/>
                  <w:jc w:val="left"/>
                  <w:rPr>
                    <w:rFonts w:ascii="Stone Sans II ITC Std X Bd" w:hAnsi="Stone Sans II ITC Std X Bd"/>
                    <w:b/>
                    <w:sz w:val="24"/>
                  </w:rPr>
                </w:pPr>
                <w:r>
                  <w:rPr>
                    <w:color w:val="7EAABF"/>
                    <w:w w:val="110"/>
                    <w:sz w:val="23"/>
                  </w:rPr>
                  <w:t>United Reformed Church </w:t>
                </w:r>
                <w:r>
                  <w:rPr>
                    <w:rFonts w:ascii="Symbol" w:hAnsi="Symbol"/>
                    <w:color w:val="7EAABF"/>
                    <w:w w:val="110"/>
                    <w:sz w:val="23"/>
                  </w:rPr>
                  <w:t></w:t>
                </w:r>
                <w:r>
                  <w:rPr>
                    <w:rFonts w:ascii="Times New Roman" w:hAnsi="Times New Roman"/>
                    <w:color w:val="7EAABF"/>
                    <w:w w:val="110"/>
                    <w:sz w:val="23"/>
                  </w:rPr>
                  <w:t> </w:t>
                </w:r>
                <w:r>
                  <w:rPr>
                    <w:color w:val="7EAABF"/>
                    <w:w w:val="110"/>
                    <w:sz w:val="23"/>
                  </w:rPr>
                  <w:t>General Assembly 2016 </w:t>
                </w:r>
                <w:r>
                  <w:rPr>
                    <w:rFonts w:ascii="Symbol" w:hAnsi="Symbol"/>
                    <w:color w:val="7EAABF"/>
                    <w:w w:val="110"/>
                    <w:sz w:val="23"/>
                  </w:rPr>
                  <w:t></w:t>
                </w:r>
                <w:r>
                  <w:rPr>
                    <w:rFonts w:ascii="Times New Roman" w:hAnsi="Times New Roman"/>
                    <w:color w:val="7EAABF"/>
                    <w:w w:val="110"/>
                    <w:sz w:val="23"/>
                  </w:rPr>
                  <w:t> </w:t>
                </w:r>
                <w:r>
                  <w:rPr/>
                  <w:fldChar w:fldCharType="begin"/>
                </w:r>
                <w:r>
                  <w:rPr>
                    <w:rFonts w:ascii="Stone Sans II ITC Std X Bd" w:hAnsi="Stone Sans II ITC Std X Bd"/>
                    <w:b/>
                    <w:w w:val="110"/>
                    <w:sz w:val="24"/>
                  </w:rPr>
                  <w:instrText> PAGE </w:instrText>
                </w:r>
                <w:r>
                  <w:rPr/>
                  <w:fldChar w:fldCharType="separate"/>
                </w:r>
                <w:r>
                  <w:rPr/>
                  <w:t>137</w:t>
                </w:r>
                <w:r>
                  <w:rPr/>
                  <w:fldChar w:fldCharType="end"/>
                </w:r>
              </w:p>
            </w:txbxContent>
          </v:textbox>
          <w10:wrap type="none"/>
        </v:shape>
      </w:pict>
    </w:r>
  </w:p>
</w:ftr>
</file>

<file path=word/footer13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13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216.907196pt;margin-top:798.53833pt;width:319.05pt;height:17.45pt;mso-position-horizontal-relative:page;mso-position-vertical-relative:page;z-index:-267979776" type="#_x0000_t202" filled="false" stroked="false">
          <v:textbox inset="0,0,0,0">
            <w:txbxContent>
              <w:p>
                <w:pPr>
                  <w:spacing w:before="16"/>
                  <w:ind w:left="20" w:right="0" w:firstLine="0"/>
                  <w:jc w:val="left"/>
                  <w:rPr>
                    <w:rFonts w:ascii="Stone Sans II ITC Std X Bd" w:hAnsi="Stone Sans II ITC Std X Bd"/>
                    <w:b/>
                    <w:sz w:val="24"/>
                  </w:rPr>
                </w:pPr>
                <w:r>
                  <w:rPr>
                    <w:color w:val="7EAABF"/>
                    <w:w w:val="110"/>
                    <w:sz w:val="23"/>
                  </w:rPr>
                  <w:t>United Reformed Church </w:t>
                </w:r>
                <w:r>
                  <w:rPr>
                    <w:rFonts w:ascii="Symbol" w:hAnsi="Symbol"/>
                    <w:color w:val="7EAABF"/>
                    <w:w w:val="110"/>
                    <w:sz w:val="23"/>
                  </w:rPr>
                  <w:t></w:t>
                </w:r>
                <w:r>
                  <w:rPr>
                    <w:rFonts w:ascii="Times New Roman" w:hAnsi="Times New Roman"/>
                    <w:color w:val="7EAABF"/>
                    <w:w w:val="110"/>
                    <w:sz w:val="23"/>
                  </w:rPr>
                  <w:t> </w:t>
                </w:r>
                <w:r>
                  <w:rPr>
                    <w:color w:val="7EAABF"/>
                    <w:w w:val="110"/>
                    <w:sz w:val="23"/>
                  </w:rPr>
                  <w:t>General Assembly 2016 </w:t>
                </w:r>
                <w:r>
                  <w:rPr>
                    <w:rFonts w:ascii="Symbol" w:hAnsi="Symbol"/>
                    <w:color w:val="7EAABF"/>
                    <w:w w:val="110"/>
                    <w:sz w:val="23"/>
                  </w:rPr>
                  <w:t></w:t>
                </w:r>
                <w:r>
                  <w:rPr>
                    <w:rFonts w:ascii="Times New Roman" w:hAnsi="Times New Roman"/>
                    <w:color w:val="7EAABF"/>
                    <w:w w:val="110"/>
                    <w:sz w:val="23"/>
                  </w:rPr>
                  <w:t> </w:t>
                </w:r>
                <w:r>
                  <w:rPr/>
                  <w:fldChar w:fldCharType="begin"/>
                </w:r>
                <w:r>
                  <w:rPr>
                    <w:rFonts w:ascii="Stone Sans II ITC Std X Bd" w:hAnsi="Stone Sans II ITC Std X Bd"/>
                    <w:b/>
                    <w:w w:val="110"/>
                    <w:sz w:val="24"/>
                  </w:rPr>
                  <w:instrText> PAGE </w:instrText>
                </w:r>
                <w:r>
                  <w:rPr/>
                  <w:fldChar w:fldCharType="separate"/>
                </w:r>
                <w:r>
                  <w:rPr/>
                  <w:t>139</w:t>
                </w:r>
                <w:r>
                  <w:rPr/>
                  <w:fldChar w:fldCharType="end"/>
                </w:r>
              </w:p>
            </w:txbxContent>
          </v:textbox>
          <w10:wrap type="none"/>
        </v:shape>
      </w:pict>
    </w:r>
  </w:p>
</w:ftr>
</file>

<file path=word/footer13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13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13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13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216.907196pt;margin-top:798.53833pt;width:319.05pt;height:17.45pt;mso-position-horizontal-relative:page;mso-position-vertical-relative:page;z-index:-267976704" type="#_x0000_t202" filled="false" stroked="false">
          <v:textbox inset="0,0,0,0">
            <w:txbxContent>
              <w:p>
                <w:pPr>
                  <w:spacing w:before="16"/>
                  <w:ind w:left="20" w:right="0" w:firstLine="0"/>
                  <w:jc w:val="left"/>
                  <w:rPr>
                    <w:rFonts w:ascii="Stone Sans II ITC Std X Bd" w:hAnsi="Stone Sans II ITC Std X Bd"/>
                    <w:b/>
                    <w:sz w:val="24"/>
                  </w:rPr>
                </w:pPr>
                <w:r>
                  <w:rPr>
                    <w:color w:val="7EAABF"/>
                    <w:w w:val="110"/>
                    <w:sz w:val="23"/>
                  </w:rPr>
                  <w:t>United Reformed Church </w:t>
                </w:r>
                <w:r>
                  <w:rPr>
                    <w:rFonts w:ascii="Symbol" w:hAnsi="Symbol"/>
                    <w:color w:val="7EAABF"/>
                    <w:w w:val="110"/>
                    <w:sz w:val="23"/>
                  </w:rPr>
                  <w:t></w:t>
                </w:r>
                <w:r>
                  <w:rPr>
                    <w:rFonts w:ascii="Times New Roman" w:hAnsi="Times New Roman"/>
                    <w:color w:val="7EAABF"/>
                    <w:w w:val="110"/>
                    <w:sz w:val="23"/>
                  </w:rPr>
                  <w:t> </w:t>
                </w:r>
                <w:r>
                  <w:rPr>
                    <w:color w:val="7EAABF"/>
                    <w:w w:val="110"/>
                    <w:sz w:val="23"/>
                  </w:rPr>
                  <w:t>General Assembly 2016 </w:t>
                </w:r>
                <w:r>
                  <w:rPr>
                    <w:rFonts w:ascii="Symbol" w:hAnsi="Symbol"/>
                    <w:color w:val="7EAABF"/>
                    <w:w w:val="110"/>
                    <w:sz w:val="23"/>
                  </w:rPr>
                  <w:t></w:t>
                </w:r>
                <w:r>
                  <w:rPr>
                    <w:rFonts w:ascii="Times New Roman" w:hAnsi="Times New Roman"/>
                    <w:color w:val="7EAABF"/>
                    <w:w w:val="110"/>
                    <w:sz w:val="23"/>
                  </w:rPr>
                  <w:t> </w:t>
                </w:r>
                <w:r>
                  <w:rPr/>
                  <w:fldChar w:fldCharType="begin"/>
                </w:r>
                <w:r>
                  <w:rPr>
                    <w:rFonts w:ascii="Stone Sans II ITC Std X Bd" w:hAnsi="Stone Sans II ITC Std X Bd"/>
                    <w:b/>
                    <w:w w:val="110"/>
                    <w:sz w:val="24"/>
                  </w:rPr>
                  <w:instrText> PAGE </w:instrText>
                </w:r>
                <w:r>
                  <w:rPr/>
                  <w:fldChar w:fldCharType="separate"/>
                </w:r>
                <w:r>
                  <w:rPr/>
                  <w:t>143</w:t>
                </w:r>
                <w:r>
                  <w:rPr/>
                  <w:fldChar w:fldCharType="end"/>
                </w:r>
              </w:p>
            </w:txbxContent>
          </v:textbox>
          <w10:wrap type="none"/>
        </v:shape>
      </w:pict>
    </w:r>
  </w:p>
</w:ftr>
</file>

<file path=word/footer13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59.362202pt;margin-top:798.53833pt;width:319.05pt;height:17.45pt;mso-position-horizontal-relative:page;mso-position-vertical-relative:page;z-index:-267975680" type="#_x0000_t202" filled="false" stroked="false">
          <v:textbox inset="0,0,0,0">
            <w:txbxContent>
              <w:p>
                <w:pPr>
                  <w:spacing w:before="16"/>
                  <w:ind w:left="60" w:right="0" w:firstLine="0"/>
                  <w:jc w:val="left"/>
                  <w:rPr>
                    <w:sz w:val="23"/>
                  </w:rPr>
                </w:pPr>
                <w:r>
                  <w:rPr/>
                  <w:fldChar w:fldCharType="begin"/>
                </w:r>
                <w:r>
                  <w:rPr>
                    <w:rFonts w:ascii="Stone Sans II ITC Std X Bd" w:hAnsi="Stone Sans II ITC Std X Bd"/>
                    <w:b/>
                    <w:w w:val="110"/>
                    <w:sz w:val="24"/>
                  </w:rPr>
                  <w:instrText> PAGE </w:instrText>
                </w:r>
                <w:r>
                  <w:rPr/>
                  <w:fldChar w:fldCharType="separate"/>
                </w:r>
                <w:r>
                  <w:rPr/>
                  <w:t>144</w:t>
                </w:r>
                <w:r>
                  <w:rPr/>
                  <w:fldChar w:fldCharType="end"/>
                </w:r>
                <w:r>
                  <w:rPr>
                    <w:rFonts w:ascii="Stone Sans II ITC Std X Bd" w:hAnsi="Stone Sans II ITC Std X Bd"/>
                    <w:b/>
                    <w:w w:val="110"/>
                    <w:sz w:val="24"/>
                  </w:rPr>
                  <w:t> </w:t>
                </w:r>
                <w:r>
                  <w:rPr>
                    <w:rFonts w:ascii="Symbol" w:hAnsi="Symbol"/>
                    <w:color w:val="7EAABF"/>
                    <w:w w:val="110"/>
                    <w:sz w:val="23"/>
                  </w:rPr>
                  <w:t></w:t>
                </w:r>
                <w:r>
                  <w:rPr>
                    <w:rFonts w:ascii="Times New Roman" w:hAnsi="Times New Roman"/>
                    <w:color w:val="7EAABF"/>
                    <w:w w:val="110"/>
                    <w:sz w:val="23"/>
                  </w:rPr>
                  <w:t> </w:t>
                </w:r>
                <w:r>
                  <w:rPr>
                    <w:color w:val="7EAABF"/>
                    <w:w w:val="110"/>
                    <w:sz w:val="23"/>
                  </w:rPr>
                  <w:t>United Reformed Church </w:t>
                </w:r>
                <w:r>
                  <w:rPr>
                    <w:rFonts w:ascii="Symbol" w:hAnsi="Symbol"/>
                    <w:color w:val="7EAABF"/>
                    <w:w w:val="110"/>
                    <w:sz w:val="23"/>
                  </w:rPr>
                  <w:t></w:t>
                </w:r>
                <w:r>
                  <w:rPr>
                    <w:rFonts w:ascii="Times New Roman" w:hAnsi="Times New Roman"/>
                    <w:color w:val="7EAABF"/>
                    <w:w w:val="110"/>
                    <w:sz w:val="23"/>
                  </w:rPr>
                  <w:t> </w:t>
                </w:r>
                <w:r>
                  <w:rPr>
                    <w:color w:val="7EAABF"/>
                    <w:w w:val="110"/>
                    <w:sz w:val="23"/>
                  </w:rPr>
                  <w:t>General Assembly 2016</w:t>
                </w:r>
              </w:p>
            </w:txbxContent>
          </v:textbox>
          <w10:wrap type="none"/>
        </v:shape>
      </w:pict>
    </w:r>
  </w:p>
</w:ftr>
</file>

<file path=word/footer1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224.539398pt;margin-top:798.53833pt;width:311.4pt;height:17.45pt;mso-position-horizontal-relative:page;mso-position-vertical-relative:page;z-index:-268095488" type="#_x0000_t202" filled="false" stroked="false">
          <v:textbox inset="0,0,0,0">
            <w:txbxContent>
              <w:p>
                <w:pPr>
                  <w:spacing w:before="16"/>
                  <w:ind w:left="20" w:right="0" w:firstLine="0"/>
                  <w:jc w:val="left"/>
                  <w:rPr>
                    <w:rFonts w:ascii="Stone Sans II ITC Std X Bd" w:hAnsi="Stone Sans II ITC Std X Bd"/>
                    <w:b/>
                    <w:sz w:val="24"/>
                  </w:rPr>
                </w:pPr>
                <w:r>
                  <w:rPr>
                    <w:color w:val="7EAABF"/>
                    <w:w w:val="110"/>
                    <w:sz w:val="23"/>
                  </w:rPr>
                  <w:t>United Reformed Church </w:t>
                </w:r>
                <w:r>
                  <w:rPr>
                    <w:rFonts w:ascii="Symbol" w:hAnsi="Symbol"/>
                    <w:color w:val="7EAABF"/>
                    <w:w w:val="110"/>
                    <w:sz w:val="23"/>
                  </w:rPr>
                  <w:t></w:t>
                </w:r>
                <w:r>
                  <w:rPr>
                    <w:rFonts w:ascii="Times New Roman" w:hAnsi="Times New Roman"/>
                    <w:color w:val="7EAABF"/>
                    <w:w w:val="110"/>
                    <w:sz w:val="23"/>
                  </w:rPr>
                  <w:t> </w:t>
                </w:r>
                <w:r>
                  <w:rPr>
                    <w:color w:val="7EAABF"/>
                    <w:w w:val="110"/>
                    <w:sz w:val="23"/>
                  </w:rPr>
                  <w:t>General Assembly 2016 </w:t>
                </w:r>
                <w:r>
                  <w:rPr>
                    <w:rFonts w:ascii="Symbol" w:hAnsi="Symbol"/>
                    <w:color w:val="7EAABF"/>
                    <w:w w:val="110"/>
                    <w:sz w:val="23"/>
                  </w:rPr>
                  <w:t></w:t>
                </w:r>
                <w:r>
                  <w:rPr>
                    <w:rFonts w:ascii="Times New Roman" w:hAnsi="Times New Roman"/>
                    <w:color w:val="7EAABF"/>
                    <w:w w:val="110"/>
                    <w:sz w:val="23"/>
                  </w:rPr>
                  <w:t> </w:t>
                </w:r>
                <w:r>
                  <w:rPr/>
                  <w:fldChar w:fldCharType="begin"/>
                </w:r>
                <w:r>
                  <w:rPr>
                    <w:rFonts w:ascii="Stone Sans II ITC Std X Bd" w:hAnsi="Stone Sans II ITC Std X Bd"/>
                    <w:b/>
                    <w:w w:val="110"/>
                    <w:sz w:val="24"/>
                  </w:rPr>
                  <w:instrText> PAGE </w:instrText>
                </w:r>
                <w:r>
                  <w:rPr/>
                  <w:fldChar w:fldCharType="separate"/>
                </w:r>
                <w:r>
                  <w:rPr/>
                  <w:t>19</w:t>
                </w:r>
                <w:r>
                  <w:rPr/>
                  <w:fldChar w:fldCharType="end"/>
                </w:r>
              </w:p>
            </w:txbxContent>
          </v:textbox>
          <w10:wrap type="none"/>
        </v:shape>
      </w:pict>
    </w:r>
  </w:p>
</w:ftr>
</file>

<file path=word/footer14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216.907196pt;margin-top:798.53833pt;width:319.05pt;height:17.45pt;mso-position-horizontal-relative:page;mso-position-vertical-relative:page;z-index:-267974656" type="#_x0000_t202" filled="false" stroked="false">
          <v:textbox inset="0,0,0,0">
            <w:txbxContent>
              <w:p>
                <w:pPr>
                  <w:spacing w:before="16"/>
                  <w:ind w:left="20" w:right="0" w:firstLine="0"/>
                  <w:jc w:val="left"/>
                  <w:rPr>
                    <w:rFonts w:ascii="Stone Sans II ITC Std X Bd" w:hAnsi="Stone Sans II ITC Std X Bd"/>
                    <w:b/>
                    <w:sz w:val="24"/>
                  </w:rPr>
                </w:pPr>
                <w:r>
                  <w:rPr>
                    <w:color w:val="7EAABF"/>
                    <w:w w:val="110"/>
                    <w:sz w:val="23"/>
                  </w:rPr>
                  <w:t>United Reformed Church </w:t>
                </w:r>
                <w:r>
                  <w:rPr>
                    <w:rFonts w:ascii="Symbol" w:hAnsi="Symbol"/>
                    <w:color w:val="7EAABF"/>
                    <w:w w:val="110"/>
                    <w:sz w:val="23"/>
                  </w:rPr>
                  <w:t></w:t>
                </w:r>
                <w:r>
                  <w:rPr>
                    <w:rFonts w:ascii="Times New Roman" w:hAnsi="Times New Roman"/>
                    <w:color w:val="7EAABF"/>
                    <w:w w:val="110"/>
                    <w:sz w:val="23"/>
                  </w:rPr>
                  <w:t> </w:t>
                </w:r>
                <w:r>
                  <w:rPr>
                    <w:color w:val="7EAABF"/>
                    <w:w w:val="110"/>
                    <w:sz w:val="23"/>
                  </w:rPr>
                  <w:t>General Assembly 2016 </w:t>
                </w:r>
                <w:r>
                  <w:rPr>
                    <w:rFonts w:ascii="Symbol" w:hAnsi="Symbol"/>
                    <w:color w:val="7EAABF"/>
                    <w:w w:val="110"/>
                    <w:sz w:val="23"/>
                  </w:rPr>
                  <w:t></w:t>
                </w:r>
                <w:r>
                  <w:rPr>
                    <w:rFonts w:ascii="Times New Roman" w:hAnsi="Times New Roman"/>
                    <w:color w:val="7EAABF"/>
                    <w:w w:val="110"/>
                    <w:sz w:val="23"/>
                  </w:rPr>
                  <w:t> </w:t>
                </w:r>
                <w:r>
                  <w:rPr/>
                  <w:fldChar w:fldCharType="begin"/>
                </w:r>
                <w:r>
                  <w:rPr>
                    <w:rFonts w:ascii="Stone Sans II ITC Std X Bd" w:hAnsi="Stone Sans II ITC Std X Bd"/>
                    <w:b/>
                    <w:w w:val="110"/>
                    <w:sz w:val="24"/>
                  </w:rPr>
                  <w:instrText> PAGE </w:instrText>
                </w:r>
                <w:r>
                  <w:rPr/>
                  <w:fldChar w:fldCharType="separate"/>
                </w:r>
                <w:r>
                  <w:rPr/>
                  <w:t>145</w:t>
                </w:r>
                <w:r>
                  <w:rPr/>
                  <w:fldChar w:fldCharType="end"/>
                </w:r>
              </w:p>
            </w:txbxContent>
          </v:textbox>
          <w10:wrap type="none"/>
        </v:shape>
      </w:pict>
    </w:r>
  </w:p>
</w:ftr>
</file>

<file path=word/footer14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59.362202pt;margin-top:798.53833pt;width:319.05pt;height:17.45pt;mso-position-horizontal-relative:page;mso-position-vertical-relative:page;z-index:-267973632" type="#_x0000_t202" filled="false" stroked="false">
          <v:textbox inset="0,0,0,0">
            <w:txbxContent>
              <w:p>
                <w:pPr>
                  <w:spacing w:before="16"/>
                  <w:ind w:left="60" w:right="0" w:firstLine="0"/>
                  <w:jc w:val="left"/>
                  <w:rPr>
                    <w:sz w:val="23"/>
                  </w:rPr>
                </w:pPr>
                <w:r>
                  <w:rPr/>
                  <w:fldChar w:fldCharType="begin"/>
                </w:r>
                <w:r>
                  <w:rPr>
                    <w:rFonts w:ascii="Stone Sans II ITC Std X Bd" w:hAnsi="Stone Sans II ITC Std X Bd"/>
                    <w:b/>
                    <w:w w:val="110"/>
                    <w:sz w:val="24"/>
                  </w:rPr>
                  <w:instrText> PAGE </w:instrText>
                </w:r>
                <w:r>
                  <w:rPr/>
                  <w:fldChar w:fldCharType="separate"/>
                </w:r>
                <w:r>
                  <w:rPr/>
                  <w:t>146</w:t>
                </w:r>
                <w:r>
                  <w:rPr/>
                  <w:fldChar w:fldCharType="end"/>
                </w:r>
                <w:r>
                  <w:rPr>
                    <w:rFonts w:ascii="Stone Sans II ITC Std X Bd" w:hAnsi="Stone Sans II ITC Std X Bd"/>
                    <w:b/>
                    <w:w w:val="110"/>
                    <w:sz w:val="24"/>
                  </w:rPr>
                  <w:t> </w:t>
                </w:r>
                <w:r>
                  <w:rPr>
                    <w:rFonts w:ascii="Symbol" w:hAnsi="Symbol"/>
                    <w:color w:val="7EAABF"/>
                    <w:w w:val="110"/>
                    <w:sz w:val="23"/>
                  </w:rPr>
                  <w:t></w:t>
                </w:r>
                <w:r>
                  <w:rPr>
                    <w:rFonts w:ascii="Times New Roman" w:hAnsi="Times New Roman"/>
                    <w:color w:val="7EAABF"/>
                    <w:w w:val="110"/>
                    <w:sz w:val="23"/>
                  </w:rPr>
                  <w:t> </w:t>
                </w:r>
                <w:r>
                  <w:rPr>
                    <w:color w:val="7EAABF"/>
                    <w:w w:val="110"/>
                    <w:sz w:val="23"/>
                  </w:rPr>
                  <w:t>United Reformed Church </w:t>
                </w:r>
                <w:r>
                  <w:rPr>
                    <w:rFonts w:ascii="Symbol" w:hAnsi="Symbol"/>
                    <w:color w:val="7EAABF"/>
                    <w:w w:val="110"/>
                    <w:sz w:val="23"/>
                  </w:rPr>
                  <w:t></w:t>
                </w:r>
                <w:r>
                  <w:rPr>
                    <w:rFonts w:ascii="Times New Roman" w:hAnsi="Times New Roman"/>
                    <w:color w:val="7EAABF"/>
                    <w:w w:val="110"/>
                    <w:sz w:val="23"/>
                  </w:rPr>
                  <w:t> </w:t>
                </w:r>
                <w:r>
                  <w:rPr>
                    <w:color w:val="7EAABF"/>
                    <w:w w:val="110"/>
                    <w:sz w:val="23"/>
                  </w:rPr>
                  <w:t>General Assembly 2016</w:t>
                </w:r>
              </w:p>
            </w:txbxContent>
          </v:textbox>
          <w10:wrap type="none"/>
        </v:shape>
      </w:pict>
    </w:r>
  </w:p>
</w:ftr>
</file>

<file path=word/footer14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216.907196pt;margin-top:798.53833pt;width:319.05pt;height:17.45pt;mso-position-horizontal-relative:page;mso-position-vertical-relative:page;z-index:-267972608" type="#_x0000_t202" filled="false" stroked="false">
          <v:textbox inset="0,0,0,0">
            <w:txbxContent>
              <w:p>
                <w:pPr>
                  <w:spacing w:before="16"/>
                  <w:ind w:left="20" w:right="0" w:firstLine="0"/>
                  <w:jc w:val="left"/>
                  <w:rPr>
                    <w:rFonts w:ascii="Stone Sans II ITC Std X Bd" w:hAnsi="Stone Sans II ITC Std X Bd"/>
                    <w:b/>
                    <w:sz w:val="24"/>
                  </w:rPr>
                </w:pPr>
                <w:r>
                  <w:rPr>
                    <w:color w:val="7EAABF"/>
                    <w:w w:val="110"/>
                    <w:sz w:val="23"/>
                  </w:rPr>
                  <w:t>United Reformed Church </w:t>
                </w:r>
                <w:r>
                  <w:rPr>
                    <w:rFonts w:ascii="Symbol" w:hAnsi="Symbol"/>
                    <w:color w:val="7EAABF"/>
                    <w:w w:val="110"/>
                    <w:sz w:val="23"/>
                  </w:rPr>
                  <w:t></w:t>
                </w:r>
                <w:r>
                  <w:rPr>
                    <w:rFonts w:ascii="Times New Roman" w:hAnsi="Times New Roman"/>
                    <w:color w:val="7EAABF"/>
                    <w:w w:val="110"/>
                    <w:sz w:val="23"/>
                  </w:rPr>
                  <w:t> </w:t>
                </w:r>
                <w:r>
                  <w:rPr>
                    <w:color w:val="7EAABF"/>
                    <w:w w:val="110"/>
                    <w:sz w:val="23"/>
                  </w:rPr>
                  <w:t>General Assembly 2016 </w:t>
                </w:r>
                <w:r>
                  <w:rPr>
                    <w:rFonts w:ascii="Symbol" w:hAnsi="Symbol"/>
                    <w:color w:val="7EAABF"/>
                    <w:w w:val="110"/>
                    <w:sz w:val="23"/>
                  </w:rPr>
                  <w:t></w:t>
                </w:r>
                <w:r>
                  <w:rPr>
                    <w:rFonts w:ascii="Times New Roman" w:hAnsi="Times New Roman"/>
                    <w:color w:val="7EAABF"/>
                    <w:w w:val="110"/>
                    <w:sz w:val="23"/>
                  </w:rPr>
                  <w:t> </w:t>
                </w:r>
                <w:r>
                  <w:rPr/>
                  <w:fldChar w:fldCharType="begin"/>
                </w:r>
                <w:r>
                  <w:rPr>
                    <w:rFonts w:ascii="Stone Sans II ITC Std X Bd" w:hAnsi="Stone Sans II ITC Std X Bd"/>
                    <w:b/>
                    <w:w w:val="110"/>
                    <w:sz w:val="24"/>
                  </w:rPr>
                  <w:instrText> PAGE </w:instrText>
                </w:r>
                <w:r>
                  <w:rPr/>
                  <w:fldChar w:fldCharType="separate"/>
                </w:r>
                <w:r>
                  <w:rPr/>
                  <w:t>147</w:t>
                </w:r>
                <w:r>
                  <w:rPr/>
                  <w:fldChar w:fldCharType="end"/>
                </w:r>
              </w:p>
            </w:txbxContent>
          </v:textbox>
          <w10:wrap type="none"/>
        </v:shape>
      </w:pict>
    </w:r>
  </w:p>
</w:ftr>
</file>

<file path=word/footer14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59.362202pt;margin-top:798.53833pt;width:319.05pt;height:17.45pt;mso-position-horizontal-relative:page;mso-position-vertical-relative:page;z-index:-267971584" type="#_x0000_t202" filled="false" stroked="false">
          <v:textbox inset="0,0,0,0">
            <w:txbxContent>
              <w:p>
                <w:pPr>
                  <w:spacing w:before="16"/>
                  <w:ind w:left="60" w:right="0" w:firstLine="0"/>
                  <w:jc w:val="left"/>
                  <w:rPr>
                    <w:sz w:val="23"/>
                  </w:rPr>
                </w:pPr>
                <w:r>
                  <w:rPr/>
                  <w:fldChar w:fldCharType="begin"/>
                </w:r>
                <w:r>
                  <w:rPr>
                    <w:rFonts w:ascii="Stone Sans II ITC Std X Bd" w:hAnsi="Stone Sans II ITC Std X Bd"/>
                    <w:b/>
                    <w:w w:val="110"/>
                    <w:sz w:val="24"/>
                  </w:rPr>
                  <w:instrText> PAGE </w:instrText>
                </w:r>
                <w:r>
                  <w:rPr/>
                  <w:fldChar w:fldCharType="separate"/>
                </w:r>
                <w:r>
                  <w:rPr/>
                  <w:t>148</w:t>
                </w:r>
                <w:r>
                  <w:rPr/>
                  <w:fldChar w:fldCharType="end"/>
                </w:r>
                <w:r>
                  <w:rPr>
                    <w:rFonts w:ascii="Stone Sans II ITC Std X Bd" w:hAnsi="Stone Sans II ITC Std X Bd"/>
                    <w:b/>
                    <w:w w:val="110"/>
                    <w:sz w:val="24"/>
                  </w:rPr>
                  <w:t> </w:t>
                </w:r>
                <w:r>
                  <w:rPr>
                    <w:rFonts w:ascii="Symbol" w:hAnsi="Symbol"/>
                    <w:color w:val="7EAABF"/>
                    <w:w w:val="110"/>
                    <w:sz w:val="23"/>
                  </w:rPr>
                  <w:t></w:t>
                </w:r>
                <w:r>
                  <w:rPr>
                    <w:rFonts w:ascii="Times New Roman" w:hAnsi="Times New Roman"/>
                    <w:color w:val="7EAABF"/>
                    <w:w w:val="110"/>
                    <w:sz w:val="23"/>
                  </w:rPr>
                  <w:t> </w:t>
                </w:r>
                <w:r>
                  <w:rPr>
                    <w:color w:val="7EAABF"/>
                    <w:w w:val="110"/>
                    <w:sz w:val="23"/>
                  </w:rPr>
                  <w:t>United Reformed Church </w:t>
                </w:r>
                <w:r>
                  <w:rPr>
                    <w:rFonts w:ascii="Symbol" w:hAnsi="Symbol"/>
                    <w:color w:val="7EAABF"/>
                    <w:w w:val="110"/>
                    <w:sz w:val="23"/>
                  </w:rPr>
                  <w:t></w:t>
                </w:r>
                <w:r>
                  <w:rPr>
                    <w:rFonts w:ascii="Times New Roman" w:hAnsi="Times New Roman"/>
                    <w:color w:val="7EAABF"/>
                    <w:w w:val="110"/>
                    <w:sz w:val="23"/>
                  </w:rPr>
                  <w:t> </w:t>
                </w:r>
                <w:r>
                  <w:rPr>
                    <w:color w:val="7EAABF"/>
                    <w:w w:val="110"/>
                    <w:sz w:val="23"/>
                  </w:rPr>
                  <w:t>General Assembly 2016</w:t>
                </w:r>
              </w:p>
            </w:txbxContent>
          </v:textbox>
          <w10:wrap type="none"/>
        </v:shape>
      </w:pict>
    </w:r>
  </w:p>
</w:ftr>
</file>

<file path=word/footer14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216.907196pt;margin-top:798.53833pt;width:319.05pt;height:17.45pt;mso-position-horizontal-relative:page;mso-position-vertical-relative:page;z-index:-267970560" type="#_x0000_t202" filled="false" stroked="false">
          <v:textbox inset="0,0,0,0">
            <w:txbxContent>
              <w:p>
                <w:pPr>
                  <w:spacing w:before="16"/>
                  <w:ind w:left="20" w:right="0" w:firstLine="0"/>
                  <w:jc w:val="left"/>
                  <w:rPr>
                    <w:rFonts w:ascii="Stone Sans II ITC Std X Bd" w:hAnsi="Stone Sans II ITC Std X Bd"/>
                    <w:b/>
                    <w:sz w:val="24"/>
                  </w:rPr>
                </w:pPr>
                <w:r>
                  <w:rPr>
                    <w:color w:val="7EAABF"/>
                    <w:w w:val="110"/>
                    <w:sz w:val="23"/>
                  </w:rPr>
                  <w:t>United Reformed Church </w:t>
                </w:r>
                <w:r>
                  <w:rPr>
                    <w:rFonts w:ascii="Symbol" w:hAnsi="Symbol"/>
                    <w:color w:val="7EAABF"/>
                    <w:w w:val="110"/>
                    <w:sz w:val="23"/>
                  </w:rPr>
                  <w:t></w:t>
                </w:r>
                <w:r>
                  <w:rPr>
                    <w:rFonts w:ascii="Times New Roman" w:hAnsi="Times New Roman"/>
                    <w:color w:val="7EAABF"/>
                    <w:w w:val="110"/>
                    <w:sz w:val="23"/>
                  </w:rPr>
                  <w:t> </w:t>
                </w:r>
                <w:r>
                  <w:rPr>
                    <w:color w:val="7EAABF"/>
                    <w:w w:val="110"/>
                    <w:sz w:val="23"/>
                  </w:rPr>
                  <w:t>General Assembly 2016 </w:t>
                </w:r>
                <w:r>
                  <w:rPr>
                    <w:rFonts w:ascii="Symbol" w:hAnsi="Symbol"/>
                    <w:color w:val="7EAABF"/>
                    <w:w w:val="110"/>
                    <w:sz w:val="23"/>
                  </w:rPr>
                  <w:t></w:t>
                </w:r>
                <w:r>
                  <w:rPr>
                    <w:rFonts w:ascii="Times New Roman" w:hAnsi="Times New Roman"/>
                    <w:color w:val="7EAABF"/>
                    <w:w w:val="110"/>
                    <w:sz w:val="23"/>
                  </w:rPr>
                  <w:t> </w:t>
                </w:r>
                <w:r>
                  <w:rPr/>
                  <w:fldChar w:fldCharType="begin"/>
                </w:r>
                <w:r>
                  <w:rPr>
                    <w:rFonts w:ascii="Stone Sans II ITC Std X Bd" w:hAnsi="Stone Sans II ITC Std X Bd"/>
                    <w:b/>
                    <w:w w:val="110"/>
                    <w:sz w:val="24"/>
                  </w:rPr>
                  <w:instrText> PAGE </w:instrText>
                </w:r>
                <w:r>
                  <w:rPr/>
                  <w:fldChar w:fldCharType="separate"/>
                </w:r>
                <w:r>
                  <w:rPr/>
                  <w:t>149</w:t>
                </w:r>
                <w:r>
                  <w:rPr/>
                  <w:fldChar w:fldCharType="end"/>
                </w:r>
              </w:p>
            </w:txbxContent>
          </v:textbox>
          <w10:wrap type="none"/>
        </v:shape>
      </w:pict>
    </w:r>
  </w:p>
</w:ftr>
</file>

<file path=word/footer14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61.362202pt;margin-top:798.53833pt;width:317.05pt;height:17.45pt;mso-position-horizontal-relative:page;mso-position-vertical-relative:page;z-index:-267969536" type="#_x0000_t202" filled="false" stroked="false">
          <v:textbox inset="0,0,0,0">
            <w:txbxContent>
              <w:p>
                <w:pPr>
                  <w:spacing w:before="16"/>
                  <w:ind w:left="20" w:right="0" w:firstLine="0"/>
                  <w:jc w:val="left"/>
                  <w:rPr>
                    <w:sz w:val="23"/>
                  </w:rPr>
                </w:pPr>
                <w:r>
                  <w:rPr>
                    <w:rFonts w:ascii="Stone Sans II ITC Std X Bd" w:hAnsi="Stone Sans II ITC Std X Bd"/>
                    <w:b/>
                    <w:w w:val="110"/>
                    <w:sz w:val="24"/>
                  </w:rPr>
                  <w:t>150 </w:t>
                </w:r>
                <w:r>
                  <w:rPr>
                    <w:rFonts w:ascii="Symbol" w:hAnsi="Symbol"/>
                    <w:color w:val="7EAABF"/>
                    <w:w w:val="110"/>
                    <w:sz w:val="23"/>
                  </w:rPr>
                  <w:t></w:t>
                </w:r>
                <w:r>
                  <w:rPr>
                    <w:rFonts w:ascii="Times New Roman" w:hAnsi="Times New Roman"/>
                    <w:color w:val="7EAABF"/>
                    <w:w w:val="110"/>
                    <w:sz w:val="23"/>
                  </w:rPr>
                  <w:t> </w:t>
                </w:r>
                <w:r>
                  <w:rPr>
                    <w:color w:val="7EAABF"/>
                    <w:w w:val="110"/>
                    <w:sz w:val="23"/>
                  </w:rPr>
                  <w:t>United Reformed Church </w:t>
                </w:r>
                <w:r>
                  <w:rPr>
                    <w:rFonts w:ascii="Symbol" w:hAnsi="Symbol"/>
                    <w:color w:val="7EAABF"/>
                    <w:w w:val="110"/>
                    <w:sz w:val="23"/>
                  </w:rPr>
                  <w:t></w:t>
                </w:r>
                <w:r>
                  <w:rPr>
                    <w:rFonts w:ascii="Times New Roman" w:hAnsi="Times New Roman"/>
                    <w:color w:val="7EAABF"/>
                    <w:w w:val="110"/>
                    <w:sz w:val="23"/>
                  </w:rPr>
                  <w:t> </w:t>
                </w:r>
                <w:r>
                  <w:rPr>
                    <w:color w:val="7EAABF"/>
                    <w:w w:val="110"/>
                    <w:sz w:val="23"/>
                  </w:rPr>
                  <w:t>General Assembly 2016</w:t>
                </w:r>
              </w:p>
            </w:txbxContent>
          </v:textbox>
          <w10:wrap type="none"/>
        </v:shape>
      </w:pict>
    </w:r>
  </w:p>
</w:ftr>
</file>

<file path=word/footer14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216.907196pt;margin-top:798.53833pt;width:317.05pt;height:17.45pt;mso-position-horizontal-relative:page;mso-position-vertical-relative:page;z-index:-267968512" type="#_x0000_t202" filled="false" stroked="false">
          <v:textbox inset="0,0,0,0">
            <w:txbxContent>
              <w:p>
                <w:pPr>
                  <w:spacing w:before="16"/>
                  <w:ind w:left="20" w:right="0" w:firstLine="0"/>
                  <w:jc w:val="left"/>
                  <w:rPr>
                    <w:rFonts w:ascii="Stone Sans II ITC Std X Bd" w:hAnsi="Stone Sans II ITC Std X Bd"/>
                    <w:b/>
                    <w:sz w:val="24"/>
                  </w:rPr>
                </w:pPr>
                <w:r>
                  <w:rPr>
                    <w:color w:val="7EAABF"/>
                    <w:w w:val="110"/>
                    <w:sz w:val="23"/>
                  </w:rPr>
                  <w:t>United Reformed Church </w:t>
                </w:r>
                <w:r>
                  <w:rPr>
                    <w:rFonts w:ascii="Symbol" w:hAnsi="Symbol"/>
                    <w:color w:val="7EAABF"/>
                    <w:w w:val="110"/>
                    <w:sz w:val="23"/>
                  </w:rPr>
                  <w:t></w:t>
                </w:r>
                <w:r>
                  <w:rPr>
                    <w:rFonts w:ascii="Times New Roman" w:hAnsi="Times New Roman"/>
                    <w:color w:val="7EAABF"/>
                    <w:w w:val="110"/>
                    <w:sz w:val="23"/>
                  </w:rPr>
                  <w:t> </w:t>
                </w:r>
                <w:r>
                  <w:rPr>
                    <w:color w:val="7EAABF"/>
                    <w:w w:val="110"/>
                    <w:sz w:val="23"/>
                  </w:rPr>
                  <w:t>General Assembly 2016 </w:t>
                </w:r>
                <w:r>
                  <w:rPr>
                    <w:rFonts w:ascii="Symbol" w:hAnsi="Symbol"/>
                    <w:color w:val="7EAABF"/>
                    <w:w w:val="110"/>
                    <w:sz w:val="23"/>
                  </w:rPr>
                  <w:t></w:t>
                </w:r>
                <w:r>
                  <w:rPr>
                    <w:rFonts w:ascii="Times New Roman" w:hAnsi="Times New Roman"/>
                    <w:color w:val="7EAABF"/>
                    <w:w w:val="110"/>
                    <w:sz w:val="23"/>
                  </w:rPr>
                  <w:t> </w:t>
                </w:r>
                <w:r>
                  <w:rPr>
                    <w:rFonts w:ascii="Stone Sans II ITC Std X Bd" w:hAnsi="Stone Sans II ITC Std X Bd"/>
                    <w:b/>
                    <w:w w:val="110"/>
                    <w:sz w:val="24"/>
                  </w:rPr>
                  <w:t>151</w:t>
                </w:r>
              </w:p>
            </w:txbxContent>
          </v:textbox>
          <w10:wrap type="none"/>
        </v:shape>
      </w:pict>
    </w:r>
  </w:p>
</w:ftr>
</file>

<file path=word/footer14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61.362202pt;margin-top:798.53833pt;width:317.05pt;height:17.45pt;mso-position-horizontal-relative:page;mso-position-vertical-relative:page;z-index:-267967488" type="#_x0000_t202" filled="false" stroked="false">
          <v:textbox inset="0,0,0,0">
            <w:txbxContent>
              <w:p>
                <w:pPr>
                  <w:spacing w:before="16"/>
                  <w:ind w:left="20" w:right="0" w:firstLine="0"/>
                  <w:jc w:val="left"/>
                  <w:rPr>
                    <w:sz w:val="23"/>
                  </w:rPr>
                </w:pPr>
                <w:r>
                  <w:rPr>
                    <w:rFonts w:ascii="Stone Sans II ITC Std X Bd" w:hAnsi="Stone Sans II ITC Std X Bd"/>
                    <w:b/>
                    <w:w w:val="110"/>
                    <w:sz w:val="24"/>
                  </w:rPr>
                  <w:t>152 </w:t>
                </w:r>
                <w:r>
                  <w:rPr>
                    <w:rFonts w:ascii="Symbol" w:hAnsi="Symbol"/>
                    <w:color w:val="7EAABF"/>
                    <w:w w:val="110"/>
                    <w:sz w:val="23"/>
                  </w:rPr>
                  <w:t></w:t>
                </w:r>
                <w:r>
                  <w:rPr>
                    <w:rFonts w:ascii="Times New Roman" w:hAnsi="Times New Roman"/>
                    <w:color w:val="7EAABF"/>
                    <w:w w:val="110"/>
                    <w:sz w:val="23"/>
                  </w:rPr>
                  <w:t> </w:t>
                </w:r>
                <w:r>
                  <w:rPr>
                    <w:color w:val="7EAABF"/>
                    <w:w w:val="110"/>
                    <w:sz w:val="23"/>
                  </w:rPr>
                  <w:t>United Reformed Church </w:t>
                </w:r>
                <w:r>
                  <w:rPr>
                    <w:rFonts w:ascii="Symbol" w:hAnsi="Symbol"/>
                    <w:color w:val="7EAABF"/>
                    <w:w w:val="110"/>
                    <w:sz w:val="23"/>
                  </w:rPr>
                  <w:t></w:t>
                </w:r>
                <w:r>
                  <w:rPr>
                    <w:rFonts w:ascii="Times New Roman" w:hAnsi="Times New Roman"/>
                    <w:color w:val="7EAABF"/>
                    <w:w w:val="110"/>
                    <w:sz w:val="23"/>
                  </w:rPr>
                  <w:t> </w:t>
                </w:r>
                <w:r>
                  <w:rPr>
                    <w:color w:val="7EAABF"/>
                    <w:w w:val="110"/>
                    <w:sz w:val="23"/>
                  </w:rPr>
                  <w:t>General Assembly 2016</w:t>
                </w:r>
              </w:p>
            </w:txbxContent>
          </v:textbox>
          <w10:wrap type="none"/>
        </v:shape>
      </w:pict>
    </w:r>
  </w:p>
</w:ftr>
</file>

<file path=word/footer14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216.907196pt;margin-top:798.53833pt;width:317.05pt;height:17.45pt;mso-position-horizontal-relative:page;mso-position-vertical-relative:page;z-index:-267966464" type="#_x0000_t202" filled="false" stroked="false">
          <v:textbox inset="0,0,0,0">
            <w:txbxContent>
              <w:p>
                <w:pPr>
                  <w:spacing w:before="16"/>
                  <w:ind w:left="20" w:right="0" w:firstLine="0"/>
                  <w:jc w:val="left"/>
                  <w:rPr>
                    <w:rFonts w:ascii="Stone Sans II ITC Std X Bd" w:hAnsi="Stone Sans II ITC Std X Bd"/>
                    <w:b/>
                    <w:sz w:val="24"/>
                  </w:rPr>
                </w:pPr>
                <w:r>
                  <w:rPr>
                    <w:color w:val="7EAABF"/>
                    <w:w w:val="110"/>
                    <w:sz w:val="23"/>
                  </w:rPr>
                  <w:t>United Reformed Church </w:t>
                </w:r>
                <w:r>
                  <w:rPr>
                    <w:rFonts w:ascii="Symbol" w:hAnsi="Symbol"/>
                    <w:color w:val="7EAABF"/>
                    <w:w w:val="110"/>
                    <w:sz w:val="23"/>
                  </w:rPr>
                  <w:t></w:t>
                </w:r>
                <w:r>
                  <w:rPr>
                    <w:rFonts w:ascii="Times New Roman" w:hAnsi="Times New Roman"/>
                    <w:color w:val="7EAABF"/>
                    <w:w w:val="110"/>
                    <w:sz w:val="23"/>
                  </w:rPr>
                  <w:t> </w:t>
                </w:r>
                <w:r>
                  <w:rPr>
                    <w:color w:val="7EAABF"/>
                    <w:w w:val="110"/>
                    <w:sz w:val="23"/>
                  </w:rPr>
                  <w:t>General Assembly 2016 </w:t>
                </w:r>
                <w:r>
                  <w:rPr>
                    <w:rFonts w:ascii="Symbol" w:hAnsi="Symbol"/>
                    <w:color w:val="7EAABF"/>
                    <w:w w:val="110"/>
                    <w:sz w:val="23"/>
                  </w:rPr>
                  <w:t></w:t>
                </w:r>
                <w:r>
                  <w:rPr>
                    <w:rFonts w:ascii="Times New Roman" w:hAnsi="Times New Roman"/>
                    <w:color w:val="7EAABF"/>
                    <w:w w:val="110"/>
                    <w:sz w:val="23"/>
                  </w:rPr>
                  <w:t> </w:t>
                </w:r>
                <w:r>
                  <w:rPr>
                    <w:rFonts w:ascii="Stone Sans II ITC Std X Bd" w:hAnsi="Stone Sans II ITC Std X Bd"/>
                    <w:b/>
                    <w:w w:val="110"/>
                    <w:sz w:val="24"/>
                  </w:rPr>
                  <w:t>153</w:t>
                </w:r>
              </w:p>
            </w:txbxContent>
          </v:textbox>
          <w10:wrap type="none"/>
        </v:shape>
      </w:pict>
    </w:r>
  </w:p>
</w:ftr>
</file>

<file path=word/footer14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1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15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15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59.362202pt;margin-top:798.53833pt;width:319.05pt;height:17.45pt;mso-position-horizontal-relative:page;mso-position-vertical-relative:page;z-index:-267963392" type="#_x0000_t202" filled="false" stroked="false">
          <v:textbox inset="0,0,0,0">
            <w:txbxContent>
              <w:p>
                <w:pPr>
                  <w:spacing w:before="16"/>
                  <w:ind w:left="60" w:right="0" w:firstLine="0"/>
                  <w:jc w:val="left"/>
                  <w:rPr>
                    <w:sz w:val="23"/>
                  </w:rPr>
                </w:pPr>
                <w:r>
                  <w:rPr/>
                  <w:fldChar w:fldCharType="begin"/>
                </w:r>
                <w:r>
                  <w:rPr>
                    <w:rFonts w:ascii="Stone Sans II ITC Std X Bd" w:hAnsi="Stone Sans II ITC Std X Bd"/>
                    <w:b/>
                    <w:w w:val="110"/>
                    <w:sz w:val="24"/>
                  </w:rPr>
                  <w:instrText> PAGE </w:instrText>
                </w:r>
                <w:r>
                  <w:rPr/>
                  <w:fldChar w:fldCharType="separate"/>
                </w:r>
                <w:r>
                  <w:rPr/>
                  <w:t>156</w:t>
                </w:r>
                <w:r>
                  <w:rPr/>
                  <w:fldChar w:fldCharType="end"/>
                </w:r>
                <w:r>
                  <w:rPr>
                    <w:rFonts w:ascii="Stone Sans II ITC Std X Bd" w:hAnsi="Stone Sans II ITC Std X Bd"/>
                    <w:b/>
                    <w:w w:val="110"/>
                    <w:sz w:val="24"/>
                  </w:rPr>
                  <w:t> </w:t>
                </w:r>
                <w:r>
                  <w:rPr>
                    <w:rFonts w:ascii="Symbol" w:hAnsi="Symbol"/>
                    <w:color w:val="7EAABF"/>
                    <w:w w:val="110"/>
                    <w:sz w:val="23"/>
                  </w:rPr>
                  <w:t></w:t>
                </w:r>
                <w:r>
                  <w:rPr>
                    <w:rFonts w:ascii="Times New Roman" w:hAnsi="Times New Roman"/>
                    <w:color w:val="7EAABF"/>
                    <w:w w:val="110"/>
                    <w:sz w:val="23"/>
                  </w:rPr>
                  <w:t> </w:t>
                </w:r>
                <w:r>
                  <w:rPr>
                    <w:color w:val="7EAABF"/>
                    <w:w w:val="110"/>
                    <w:sz w:val="23"/>
                  </w:rPr>
                  <w:t>United Reformed Church </w:t>
                </w:r>
                <w:r>
                  <w:rPr>
                    <w:rFonts w:ascii="Symbol" w:hAnsi="Symbol"/>
                    <w:color w:val="7EAABF"/>
                    <w:w w:val="110"/>
                    <w:sz w:val="23"/>
                  </w:rPr>
                  <w:t></w:t>
                </w:r>
                <w:r>
                  <w:rPr>
                    <w:rFonts w:ascii="Times New Roman" w:hAnsi="Times New Roman"/>
                    <w:color w:val="7EAABF"/>
                    <w:w w:val="110"/>
                    <w:sz w:val="23"/>
                  </w:rPr>
                  <w:t> </w:t>
                </w:r>
                <w:r>
                  <w:rPr>
                    <w:color w:val="7EAABF"/>
                    <w:w w:val="110"/>
                    <w:sz w:val="23"/>
                  </w:rPr>
                  <w:t>General Assembly 2016</w:t>
                </w:r>
              </w:p>
            </w:txbxContent>
          </v:textbox>
          <w10:wrap type="none"/>
        </v:shape>
      </w:pict>
    </w:r>
  </w:p>
</w:ftr>
</file>

<file path=word/footer15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216.907196pt;margin-top:798.53833pt;width:319.05pt;height:17.45pt;mso-position-horizontal-relative:page;mso-position-vertical-relative:page;z-index:-267962368" type="#_x0000_t202" filled="false" stroked="false">
          <v:textbox inset="0,0,0,0">
            <w:txbxContent>
              <w:p>
                <w:pPr>
                  <w:spacing w:before="16"/>
                  <w:ind w:left="20" w:right="0" w:firstLine="0"/>
                  <w:jc w:val="left"/>
                  <w:rPr>
                    <w:rFonts w:ascii="Stone Sans II ITC Std X Bd" w:hAnsi="Stone Sans II ITC Std X Bd"/>
                    <w:b/>
                    <w:sz w:val="24"/>
                  </w:rPr>
                </w:pPr>
                <w:r>
                  <w:rPr>
                    <w:color w:val="7EAABF"/>
                    <w:w w:val="110"/>
                    <w:sz w:val="23"/>
                  </w:rPr>
                  <w:t>United Reformed Church </w:t>
                </w:r>
                <w:r>
                  <w:rPr>
                    <w:rFonts w:ascii="Symbol" w:hAnsi="Symbol"/>
                    <w:color w:val="7EAABF"/>
                    <w:w w:val="110"/>
                    <w:sz w:val="23"/>
                  </w:rPr>
                  <w:t></w:t>
                </w:r>
                <w:r>
                  <w:rPr>
                    <w:rFonts w:ascii="Times New Roman" w:hAnsi="Times New Roman"/>
                    <w:color w:val="7EAABF"/>
                    <w:w w:val="110"/>
                    <w:sz w:val="23"/>
                  </w:rPr>
                  <w:t> </w:t>
                </w:r>
                <w:r>
                  <w:rPr>
                    <w:color w:val="7EAABF"/>
                    <w:w w:val="110"/>
                    <w:sz w:val="23"/>
                  </w:rPr>
                  <w:t>General Assembly 2016 </w:t>
                </w:r>
                <w:r>
                  <w:rPr>
                    <w:rFonts w:ascii="Symbol" w:hAnsi="Symbol"/>
                    <w:color w:val="7EAABF"/>
                    <w:w w:val="110"/>
                    <w:sz w:val="23"/>
                  </w:rPr>
                  <w:t></w:t>
                </w:r>
                <w:r>
                  <w:rPr>
                    <w:rFonts w:ascii="Times New Roman" w:hAnsi="Times New Roman"/>
                    <w:color w:val="7EAABF"/>
                    <w:w w:val="110"/>
                    <w:sz w:val="23"/>
                  </w:rPr>
                  <w:t> </w:t>
                </w:r>
                <w:r>
                  <w:rPr/>
                  <w:fldChar w:fldCharType="begin"/>
                </w:r>
                <w:r>
                  <w:rPr>
                    <w:rFonts w:ascii="Stone Sans II ITC Std X Bd" w:hAnsi="Stone Sans II ITC Std X Bd"/>
                    <w:b/>
                    <w:w w:val="110"/>
                    <w:sz w:val="24"/>
                  </w:rPr>
                  <w:instrText> PAGE </w:instrText>
                </w:r>
                <w:r>
                  <w:rPr/>
                  <w:fldChar w:fldCharType="separate"/>
                </w:r>
                <w:r>
                  <w:rPr/>
                  <w:t>157</w:t>
                </w:r>
                <w:r>
                  <w:rPr/>
                  <w:fldChar w:fldCharType="end"/>
                </w:r>
              </w:p>
            </w:txbxContent>
          </v:textbox>
          <w10:wrap type="none"/>
        </v:shape>
      </w:pict>
    </w:r>
  </w:p>
</w:ftr>
</file>

<file path=word/footer15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59.362202pt;margin-top:798.53833pt;width:319.05pt;height:17.45pt;mso-position-horizontal-relative:page;mso-position-vertical-relative:page;z-index:-267961344" type="#_x0000_t202" filled="false" stroked="false">
          <v:textbox inset="0,0,0,0">
            <w:txbxContent>
              <w:p>
                <w:pPr>
                  <w:spacing w:before="16"/>
                  <w:ind w:left="60" w:right="0" w:firstLine="0"/>
                  <w:jc w:val="left"/>
                  <w:rPr>
                    <w:sz w:val="23"/>
                  </w:rPr>
                </w:pPr>
                <w:r>
                  <w:rPr/>
                  <w:fldChar w:fldCharType="begin"/>
                </w:r>
                <w:r>
                  <w:rPr>
                    <w:rFonts w:ascii="Stone Sans II ITC Std X Bd" w:hAnsi="Stone Sans II ITC Std X Bd"/>
                    <w:b/>
                    <w:w w:val="110"/>
                    <w:sz w:val="24"/>
                  </w:rPr>
                  <w:instrText> PAGE </w:instrText>
                </w:r>
                <w:r>
                  <w:rPr/>
                  <w:fldChar w:fldCharType="separate"/>
                </w:r>
                <w:r>
                  <w:rPr/>
                  <w:t>158</w:t>
                </w:r>
                <w:r>
                  <w:rPr/>
                  <w:fldChar w:fldCharType="end"/>
                </w:r>
                <w:r>
                  <w:rPr>
                    <w:rFonts w:ascii="Stone Sans II ITC Std X Bd" w:hAnsi="Stone Sans II ITC Std X Bd"/>
                    <w:b/>
                    <w:w w:val="110"/>
                    <w:sz w:val="24"/>
                  </w:rPr>
                  <w:t> </w:t>
                </w:r>
                <w:r>
                  <w:rPr>
                    <w:rFonts w:ascii="Symbol" w:hAnsi="Symbol"/>
                    <w:color w:val="7EAABF"/>
                    <w:w w:val="110"/>
                    <w:sz w:val="23"/>
                  </w:rPr>
                  <w:t></w:t>
                </w:r>
                <w:r>
                  <w:rPr>
                    <w:rFonts w:ascii="Times New Roman" w:hAnsi="Times New Roman"/>
                    <w:color w:val="7EAABF"/>
                    <w:w w:val="110"/>
                    <w:sz w:val="23"/>
                  </w:rPr>
                  <w:t> </w:t>
                </w:r>
                <w:r>
                  <w:rPr>
                    <w:color w:val="7EAABF"/>
                    <w:w w:val="110"/>
                    <w:sz w:val="23"/>
                  </w:rPr>
                  <w:t>United Reformed Church </w:t>
                </w:r>
                <w:r>
                  <w:rPr>
                    <w:rFonts w:ascii="Symbol" w:hAnsi="Symbol"/>
                    <w:color w:val="7EAABF"/>
                    <w:w w:val="110"/>
                    <w:sz w:val="23"/>
                  </w:rPr>
                  <w:t></w:t>
                </w:r>
                <w:r>
                  <w:rPr>
                    <w:rFonts w:ascii="Times New Roman" w:hAnsi="Times New Roman"/>
                    <w:color w:val="7EAABF"/>
                    <w:w w:val="110"/>
                    <w:sz w:val="23"/>
                  </w:rPr>
                  <w:t> </w:t>
                </w:r>
                <w:r>
                  <w:rPr>
                    <w:color w:val="7EAABF"/>
                    <w:w w:val="110"/>
                    <w:sz w:val="23"/>
                  </w:rPr>
                  <w:t>General Assembly 2016</w:t>
                </w:r>
              </w:p>
            </w:txbxContent>
          </v:textbox>
          <w10:wrap type="none"/>
        </v:shape>
      </w:pict>
    </w:r>
  </w:p>
</w:ftr>
</file>

<file path=word/footer15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216.907196pt;margin-top:798.53833pt;width:319.05pt;height:17.45pt;mso-position-horizontal-relative:page;mso-position-vertical-relative:page;z-index:-267960320" type="#_x0000_t202" filled="false" stroked="false">
          <v:textbox inset="0,0,0,0">
            <w:txbxContent>
              <w:p>
                <w:pPr>
                  <w:spacing w:before="16"/>
                  <w:ind w:left="20" w:right="0" w:firstLine="0"/>
                  <w:jc w:val="left"/>
                  <w:rPr>
                    <w:rFonts w:ascii="Stone Sans II ITC Std X Bd" w:hAnsi="Stone Sans II ITC Std X Bd"/>
                    <w:b/>
                    <w:sz w:val="24"/>
                  </w:rPr>
                </w:pPr>
                <w:r>
                  <w:rPr>
                    <w:color w:val="7EAABF"/>
                    <w:w w:val="110"/>
                    <w:sz w:val="23"/>
                  </w:rPr>
                  <w:t>United Reformed Church </w:t>
                </w:r>
                <w:r>
                  <w:rPr>
                    <w:rFonts w:ascii="Symbol" w:hAnsi="Symbol"/>
                    <w:color w:val="7EAABF"/>
                    <w:w w:val="110"/>
                    <w:sz w:val="23"/>
                  </w:rPr>
                  <w:t></w:t>
                </w:r>
                <w:r>
                  <w:rPr>
                    <w:rFonts w:ascii="Times New Roman" w:hAnsi="Times New Roman"/>
                    <w:color w:val="7EAABF"/>
                    <w:w w:val="110"/>
                    <w:sz w:val="23"/>
                  </w:rPr>
                  <w:t> </w:t>
                </w:r>
                <w:r>
                  <w:rPr>
                    <w:color w:val="7EAABF"/>
                    <w:w w:val="110"/>
                    <w:sz w:val="23"/>
                  </w:rPr>
                  <w:t>General Assembly 2016 </w:t>
                </w:r>
                <w:r>
                  <w:rPr>
                    <w:rFonts w:ascii="Symbol" w:hAnsi="Symbol"/>
                    <w:color w:val="7EAABF"/>
                    <w:w w:val="110"/>
                    <w:sz w:val="23"/>
                  </w:rPr>
                  <w:t></w:t>
                </w:r>
                <w:r>
                  <w:rPr>
                    <w:rFonts w:ascii="Times New Roman" w:hAnsi="Times New Roman"/>
                    <w:color w:val="7EAABF"/>
                    <w:w w:val="110"/>
                    <w:sz w:val="23"/>
                  </w:rPr>
                  <w:t> </w:t>
                </w:r>
                <w:r>
                  <w:rPr/>
                  <w:fldChar w:fldCharType="begin"/>
                </w:r>
                <w:r>
                  <w:rPr>
                    <w:rFonts w:ascii="Stone Sans II ITC Std X Bd" w:hAnsi="Stone Sans II ITC Std X Bd"/>
                    <w:b/>
                    <w:w w:val="110"/>
                    <w:sz w:val="24"/>
                  </w:rPr>
                  <w:instrText> PAGE </w:instrText>
                </w:r>
                <w:r>
                  <w:rPr/>
                  <w:fldChar w:fldCharType="separate"/>
                </w:r>
                <w:r>
                  <w:rPr/>
                  <w:t>159</w:t>
                </w:r>
                <w:r>
                  <w:rPr/>
                  <w:fldChar w:fldCharType="end"/>
                </w:r>
              </w:p>
            </w:txbxContent>
          </v:textbox>
          <w10:wrap type="none"/>
        </v:shape>
      </w:pict>
    </w:r>
  </w:p>
</w:ftr>
</file>

<file path=word/footer15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61.362202pt;margin-top:798.53833pt;width:317.05pt;height:17.45pt;mso-position-horizontal-relative:page;mso-position-vertical-relative:page;z-index:-267959296" type="#_x0000_t202" filled="false" stroked="false">
          <v:textbox inset="0,0,0,0">
            <w:txbxContent>
              <w:p>
                <w:pPr>
                  <w:spacing w:before="16"/>
                  <w:ind w:left="20" w:right="0" w:firstLine="0"/>
                  <w:jc w:val="left"/>
                  <w:rPr>
                    <w:sz w:val="23"/>
                  </w:rPr>
                </w:pPr>
                <w:r>
                  <w:rPr>
                    <w:rFonts w:ascii="Stone Sans II ITC Std X Bd" w:hAnsi="Stone Sans II ITC Std X Bd"/>
                    <w:b/>
                    <w:w w:val="110"/>
                    <w:sz w:val="24"/>
                  </w:rPr>
                  <w:t>160 </w:t>
                </w:r>
                <w:r>
                  <w:rPr>
                    <w:rFonts w:ascii="Symbol" w:hAnsi="Symbol"/>
                    <w:color w:val="7EAABF"/>
                    <w:w w:val="110"/>
                    <w:sz w:val="23"/>
                  </w:rPr>
                  <w:t></w:t>
                </w:r>
                <w:r>
                  <w:rPr>
                    <w:rFonts w:ascii="Times New Roman" w:hAnsi="Times New Roman"/>
                    <w:color w:val="7EAABF"/>
                    <w:w w:val="110"/>
                    <w:sz w:val="23"/>
                  </w:rPr>
                  <w:t> </w:t>
                </w:r>
                <w:r>
                  <w:rPr>
                    <w:color w:val="7EAABF"/>
                    <w:w w:val="110"/>
                    <w:sz w:val="23"/>
                  </w:rPr>
                  <w:t>United Reformed Church </w:t>
                </w:r>
                <w:r>
                  <w:rPr>
                    <w:rFonts w:ascii="Symbol" w:hAnsi="Symbol"/>
                    <w:color w:val="7EAABF"/>
                    <w:w w:val="110"/>
                    <w:sz w:val="23"/>
                  </w:rPr>
                  <w:t></w:t>
                </w:r>
                <w:r>
                  <w:rPr>
                    <w:rFonts w:ascii="Times New Roman" w:hAnsi="Times New Roman"/>
                    <w:color w:val="7EAABF"/>
                    <w:w w:val="110"/>
                    <w:sz w:val="23"/>
                  </w:rPr>
                  <w:t> </w:t>
                </w:r>
                <w:r>
                  <w:rPr>
                    <w:color w:val="7EAABF"/>
                    <w:w w:val="110"/>
                    <w:sz w:val="23"/>
                  </w:rPr>
                  <w:t>General Assembly 2016</w:t>
                </w:r>
              </w:p>
            </w:txbxContent>
          </v:textbox>
          <w10:wrap type="none"/>
        </v:shape>
      </w:pict>
    </w:r>
  </w:p>
</w:ftr>
</file>

<file path=word/footer15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216.907196pt;margin-top:798.53833pt;width:317.05pt;height:17.45pt;mso-position-horizontal-relative:page;mso-position-vertical-relative:page;z-index:-267958272" type="#_x0000_t202" filled="false" stroked="false">
          <v:textbox inset="0,0,0,0">
            <w:txbxContent>
              <w:p>
                <w:pPr>
                  <w:spacing w:before="16"/>
                  <w:ind w:left="20" w:right="0" w:firstLine="0"/>
                  <w:jc w:val="left"/>
                  <w:rPr>
                    <w:rFonts w:ascii="Stone Sans II ITC Std X Bd" w:hAnsi="Stone Sans II ITC Std X Bd"/>
                    <w:b/>
                    <w:sz w:val="24"/>
                  </w:rPr>
                </w:pPr>
                <w:r>
                  <w:rPr>
                    <w:color w:val="7EAABF"/>
                    <w:w w:val="110"/>
                    <w:sz w:val="23"/>
                  </w:rPr>
                  <w:t>United Reformed Church </w:t>
                </w:r>
                <w:r>
                  <w:rPr>
                    <w:rFonts w:ascii="Symbol" w:hAnsi="Symbol"/>
                    <w:color w:val="7EAABF"/>
                    <w:w w:val="110"/>
                    <w:sz w:val="23"/>
                  </w:rPr>
                  <w:t></w:t>
                </w:r>
                <w:r>
                  <w:rPr>
                    <w:rFonts w:ascii="Times New Roman" w:hAnsi="Times New Roman"/>
                    <w:color w:val="7EAABF"/>
                    <w:w w:val="110"/>
                    <w:sz w:val="23"/>
                  </w:rPr>
                  <w:t> </w:t>
                </w:r>
                <w:r>
                  <w:rPr>
                    <w:color w:val="7EAABF"/>
                    <w:w w:val="110"/>
                    <w:sz w:val="23"/>
                  </w:rPr>
                  <w:t>General Assembly 2016 </w:t>
                </w:r>
                <w:r>
                  <w:rPr>
                    <w:rFonts w:ascii="Symbol" w:hAnsi="Symbol"/>
                    <w:color w:val="7EAABF"/>
                    <w:w w:val="110"/>
                    <w:sz w:val="23"/>
                  </w:rPr>
                  <w:t></w:t>
                </w:r>
                <w:r>
                  <w:rPr>
                    <w:rFonts w:ascii="Times New Roman" w:hAnsi="Times New Roman"/>
                    <w:color w:val="7EAABF"/>
                    <w:w w:val="110"/>
                    <w:sz w:val="23"/>
                  </w:rPr>
                  <w:t> </w:t>
                </w:r>
                <w:r>
                  <w:rPr>
                    <w:rFonts w:ascii="Stone Sans II ITC Std X Bd" w:hAnsi="Stone Sans II ITC Std X Bd"/>
                    <w:b/>
                    <w:w w:val="110"/>
                    <w:sz w:val="24"/>
                  </w:rPr>
                  <w:t>161</w:t>
                </w:r>
              </w:p>
            </w:txbxContent>
          </v:textbox>
          <w10:wrap type="none"/>
        </v:shape>
      </w:pict>
    </w:r>
  </w:p>
</w:ftr>
</file>

<file path=word/footer15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15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216.907196pt;margin-top:798.53833pt;width:319.05pt;height:17.45pt;mso-position-horizontal-relative:page;mso-position-vertical-relative:page;z-index:-267956224" type="#_x0000_t202" filled="false" stroked="false">
          <v:textbox inset="0,0,0,0">
            <w:txbxContent>
              <w:p>
                <w:pPr>
                  <w:spacing w:before="16"/>
                  <w:ind w:left="20" w:right="0" w:firstLine="0"/>
                  <w:jc w:val="left"/>
                  <w:rPr>
                    <w:rFonts w:ascii="Stone Sans II ITC Std X Bd" w:hAnsi="Stone Sans II ITC Std X Bd"/>
                    <w:b/>
                    <w:sz w:val="24"/>
                  </w:rPr>
                </w:pPr>
                <w:r>
                  <w:rPr>
                    <w:color w:val="7EAABF"/>
                    <w:w w:val="110"/>
                    <w:sz w:val="23"/>
                  </w:rPr>
                  <w:t>United Reformed Church </w:t>
                </w:r>
                <w:r>
                  <w:rPr>
                    <w:rFonts w:ascii="Symbol" w:hAnsi="Symbol"/>
                    <w:color w:val="7EAABF"/>
                    <w:w w:val="110"/>
                    <w:sz w:val="23"/>
                  </w:rPr>
                  <w:t></w:t>
                </w:r>
                <w:r>
                  <w:rPr>
                    <w:rFonts w:ascii="Times New Roman" w:hAnsi="Times New Roman"/>
                    <w:color w:val="7EAABF"/>
                    <w:w w:val="110"/>
                    <w:sz w:val="23"/>
                  </w:rPr>
                  <w:t> </w:t>
                </w:r>
                <w:r>
                  <w:rPr>
                    <w:color w:val="7EAABF"/>
                    <w:w w:val="110"/>
                    <w:sz w:val="23"/>
                  </w:rPr>
                  <w:t>General Assembly 2016 </w:t>
                </w:r>
                <w:r>
                  <w:rPr>
                    <w:rFonts w:ascii="Symbol" w:hAnsi="Symbol"/>
                    <w:color w:val="7EAABF"/>
                    <w:w w:val="110"/>
                    <w:sz w:val="23"/>
                  </w:rPr>
                  <w:t></w:t>
                </w:r>
                <w:r>
                  <w:rPr>
                    <w:rFonts w:ascii="Times New Roman" w:hAnsi="Times New Roman"/>
                    <w:color w:val="7EAABF"/>
                    <w:w w:val="110"/>
                    <w:sz w:val="23"/>
                  </w:rPr>
                  <w:t> </w:t>
                </w:r>
                <w:r>
                  <w:rPr/>
                  <w:fldChar w:fldCharType="begin"/>
                </w:r>
                <w:r>
                  <w:rPr>
                    <w:rFonts w:ascii="Stone Sans II ITC Std X Bd" w:hAnsi="Stone Sans II ITC Std X Bd"/>
                    <w:b/>
                    <w:w w:val="110"/>
                    <w:sz w:val="24"/>
                  </w:rPr>
                  <w:instrText> PAGE </w:instrText>
                </w:r>
                <w:r>
                  <w:rPr/>
                  <w:fldChar w:fldCharType="separate"/>
                </w:r>
                <w:r>
                  <w:rPr/>
                  <w:t>163</w:t>
                </w:r>
                <w:r>
                  <w:rPr/>
                  <w:fldChar w:fldCharType="end"/>
                </w:r>
              </w:p>
            </w:txbxContent>
          </v:textbox>
          <w10:wrap type="none"/>
        </v:shape>
      </w:pict>
    </w:r>
  </w:p>
</w:ftr>
</file>

<file path=word/footer15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1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224.923203pt;margin-top:798.53833pt;width:311pt;height:17.45pt;mso-position-horizontal-relative:page;mso-position-vertical-relative:page;z-index:-268093440" type="#_x0000_t202" filled="false" stroked="false">
          <v:textbox inset="0,0,0,0">
            <w:txbxContent>
              <w:p>
                <w:pPr>
                  <w:spacing w:before="16"/>
                  <w:ind w:left="20" w:right="0" w:firstLine="0"/>
                  <w:jc w:val="left"/>
                  <w:rPr>
                    <w:rFonts w:ascii="Stone Sans II ITC Std X Bd" w:hAnsi="Stone Sans II ITC Std X Bd"/>
                    <w:b/>
                    <w:sz w:val="24"/>
                  </w:rPr>
                </w:pPr>
                <w:r>
                  <w:rPr>
                    <w:color w:val="7EAABF"/>
                    <w:w w:val="110"/>
                    <w:sz w:val="23"/>
                  </w:rPr>
                  <w:t>United Reformed Church </w:t>
                </w:r>
                <w:r>
                  <w:rPr>
                    <w:rFonts w:ascii="Symbol" w:hAnsi="Symbol"/>
                    <w:color w:val="7EAABF"/>
                    <w:w w:val="110"/>
                    <w:sz w:val="23"/>
                  </w:rPr>
                  <w:t></w:t>
                </w:r>
                <w:r>
                  <w:rPr>
                    <w:rFonts w:ascii="Times New Roman" w:hAnsi="Times New Roman"/>
                    <w:color w:val="7EAABF"/>
                    <w:w w:val="110"/>
                    <w:sz w:val="23"/>
                  </w:rPr>
                  <w:t> </w:t>
                </w:r>
                <w:r>
                  <w:rPr>
                    <w:color w:val="7EAABF"/>
                    <w:w w:val="110"/>
                    <w:sz w:val="23"/>
                  </w:rPr>
                  <w:t>General Assembly 2016 </w:t>
                </w:r>
                <w:r>
                  <w:rPr>
                    <w:rFonts w:ascii="Symbol" w:hAnsi="Symbol"/>
                    <w:color w:val="7EAABF"/>
                    <w:w w:val="110"/>
                    <w:sz w:val="23"/>
                  </w:rPr>
                  <w:t></w:t>
                </w:r>
                <w:r>
                  <w:rPr>
                    <w:rFonts w:ascii="Times New Roman" w:hAnsi="Times New Roman"/>
                    <w:color w:val="7EAABF"/>
                    <w:w w:val="110"/>
                    <w:sz w:val="23"/>
                  </w:rPr>
                  <w:t> </w:t>
                </w:r>
                <w:r>
                  <w:rPr/>
                  <w:fldChar w:fldCharType="begin"/>
                </w:r>
                <w:r>
                  <w:rPr>
                    <w:rFonts w:ascii="Stone Sans II ITC Std X Bd" w:hAnsi="Stone Sans II ITC Std X Bd"/>
                    <w:b/>
                    <w:w w:val="110"/>
                    <w:sz w:val="24"/>
                  </w:rPr>
                  <w:instrText> PAGE </w:instrText>
                </w:r>
                <w:r>
                  <w:rPr/>
                  <w:fldChar w:fldCharType="separate"/>
                </w:r>
                <w:r>
                  <w:rPr/>
                  <w:t>21</w:t>
                </w:r>
                <w:r>
                  <w:rPr/>
                  <w:fldChar w:fldCharType="end"/>
                </w:r>
              </w:p>
            </w:txbxContent>
          </v:textbox>
          <w10:wrap type="none"/>
        </v:shape>
      </w:pict>
    </w:r>
  </w:p>
</w:ftr>
</file>

<file path=word/footer16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216.907196pt;margin-top:798.53833pt;width:319.05pt;height:17.45pt;mso-position-horizontal-relative:page;mso-position-vertical-relative:page;z-index:-267955200" type="#_x0000_t202" filled="false" stroked="false">
          <v:textbox inset="0,0,0,0">
            <w:txbxContent>
              <w:p>
                <w:pPr>
                  <w:spacing w:before="16"/>
                  <w:ind w:left="20" w:right="0" w:firstLine="0"/>
                  <w:jc w:val="left"/>
                  <w:rPr>
                    <w:rFonts w:ascii="Stone Sans II ITC Std X Bd" w:hAnsi="Stone Sans II ITC Std X Bd"/>
                    <w:b/>
                    <w:sz w:val="24"/>
                  </w:rPr>
                </w:pPr>
                <w:r>
                  <w:rPr>
                    <w:color w:val="7EAABF"/>
                    <w:w w:val="110"/>
                    <w:sz w:val="23"/>
                  </w:rPr>
                  <w:t>United Reformed Church </w:t>
                </w:r>
                <w:r>
                  <w:rPr>
                    <w:rFonts w:ascii="Symbol" w:hAnsi="Symbol"/>
                    <w:color w:val="7EAABF"/>
                    <w:w w:val="110"/>
                    <w:sz w:val="23"/>
                  </w:rPr>
                  <w:t></w:t>
                </w:r>
                <w:r>
                  <w:rPr>
                    <w:rFonts w:ascii="Times New Roman" w:hAnsi="Times New Roman"/>
                    <w:color w:val="7EAABF"/>
                    <w:w w:val="110"/>
                    <w:sz w:val="23"/>
                  </w:rPr>
                  <w:t> </w:t>
                </w:r>
                <w:r>
                  <w:rPr>
                    <w:color w:val="7EAABF"/>
                    <w:w w:val="110"/>
                    <w:sz w:val="23"/>
                  </w:rPr>
                  <w:t>General Assembly 2016 </w:t>
                </w:r>
                <w:r>
                  <w:rPr>
                    <w:rFonts w:ascii="Symbol" w:hAnsi="Symbol"/>
                    <w:color w:val="7EAABF"/>
                    <w:w w:val="110"/>
                    <w:sz w:val="23"/>
                  </w:rPr>
                  <w:t></w:t>
                </w:r>
                <w:r>
                  <w:rPr>
                    <w:rFonts w:ascii="Times New Roman" w:hAnsi="Times New Roman"/>
                    <w:color w:val="7EAABF"/>
                    <w:w w:val="110"/>
                    <w:sz w:val="23"/>
                  </w:rPr>
                  <w:t> </w:t>
                </w:r>
                <w:r>
                  <w:rPr/>
                  <w:fldChar w:fldCharType="begin"/>
                </w:r>
                <w:r>
                  <w:rPr>
                    <w:rFonts w:ascii="Stone Sans II ITC Std X Bd" w:hAnsi="Stone Sans II ITC Std X Bd"/>
                    <w:b/>
                    <w:w w:val="110"/>
                    <w:sz w:val="24"/>
                  </w:rPr>
                  <w:instrText> PAGE </w:instrText>
                </w:r>
                <w:r>
                  <w:rPr/>
                  <w:fldChar w:fldCharType="separate"/>
                </w:r>
                <w:r>
                  <w:rPr/>
                  <w:t>165</w:t>
                </w:r>
                <w:r>
                  <w:rPr/>
                  <w:fldChar w:fldCharType="end"/>
                </w:r>
              </w:p>
            </w:txbxContent>
          </v:textbox>
          <w10:wrap type="none"/>
        </v:shape>
      </w:pict>
    </w:r>
  </w:p>
</w:ftr>
</file>

<file path=word/footer16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16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16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61.362202pt;margin-top:798.53833pt;width:317.05pt;height:17.45pt;mso-position-horizontal-relative:page;mso-position-vertical-relative:page;z-index:-267953152" type="#_x0000_t202" filled="false" stroked="false">
          <v:textbox inset="0,0,0,0">
            <w:txbxContent>
              <w:p>
                <w:pPr>
                  <w:spacing w:before="16"/>
                  <w:ind w:left="20" w:right="0" w:firstLine="0"/>
                  <w:jc w:val="left"/>
                  <w:rPr>
                    <w:sz w:val="23"/>
                  </w:rPr>
                </w:pPr>
                <w:r>
                  <w:rPr>
                    <w:rFonts w:ascii="Stone Sans II ITC Std X Bd" w:hAnsi="Stone Sans II ITC Std X Bd"/>
                    <w:b/>
                    <w:w w:val="110"/>
                    <w:sz w:val="24"/>
                  </w:rPr>
                  <w:t>168 </w:t>
                </w:r>
                <w:r>
                  <w:rPr>
                    <w:rFonts w:ascii="Symbol" w:hAnsi="Symbol"/>
                    <w:color w:val="7EAABF"/>
                    <w:w w:val="110"/>
                    <w:sz w:val="23"/>
                  </w:rPr>
                  <w:t></w:t>
                </w:r>
                <w:r>
                  <w:rPr>
                    <w:rFonts w:ascii="Times New Roman" w:hAnsi="Times New Roman"/>
                    <w:color w:val="7EAABF"/>
                    <w:w w:val="110"/>
                    <w:sz w:val="23"/>
                  </w:rPr>
                  <w:t> </w:t>
                </w:r>
                <w:r>
                  <w:rPr>
                    <w:color w:val="7EAABF"/>
                    <w:w w:val="110"/>
                    <w:sz w:val="23"/>
                  </w:rPr>
                  <w:t>United Reformed Church </w:t>
                </w:r>
                <w:r>
                  <w:rPr>
                    <w:rFonts w:ascii="Symbol" w:hAnsi="Symbol"/>
                    <w:color w:val="7EAABF"/>
                    <w:w w:val="110"/>
                    <w:sz w:val="23"/>
                  </w:rPr>
                  <w:t></w:t>
                </w:r>
                <w:r>
                  <w:rPr>
                    <w:rFonts w:ascii="Times New Roman" w:hAnsi="Times New Roman"/>
                    <w:color w:val="7EAABF"/>
                    <w:w w:val="110"/>
                    <w:sz w:val="23"/>
                  </w:rPr>
                  <w:t> </w:t>
                </w:r>
                <w:r>
                  <w:rPr>
                    <w:color w:val="7EAABF"/>
                    <w:w w:val="110"/>
                    <w:sz w:val="23"/>
                  </w:rPr>
                  <w:t>General Assembly 2016</w:t>
                </w:r>
              </w:p>
            </w:txbxContent>
          </v:textbox>
          <w10:wrap type="none"/>
        </v:shape>
      </w:pict>
    </w:r>
  </w:p>
</w:ftr>
</file>

<file path=word/footer16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216.907196pt;margin-top:798.53833pt;width:317.05pt;height:17.45pt;mso-position-horizontal-relative:page;mso-position-vertical-relative:page;z-index:-267952128" type="#_x0000_t202" filled="false" stroked="false">
          <v:textbox inset="0,0,0,0">
            <w:txbxContent>
              <w:p>
                <w:pPr>
                  <w:spacing w:before="16"/>
                  <w:ind w:left="20" w:right="0" w:firstLine="0"/>
                  <w:jc w:val="left"/>
                  <w:rPr>
                    <w:rFonts w:ascii="Stone Sans II ITC Std X Bd" w:hAnsi="Stone Sans II ITC Std X Bd"/>
                    <w:b/>
                    <w:sz w:val="24"/>
                  </w:rPr>
                </w:pPr>
                <w:r>
                  <w:rPr>
                    <w:color w:val="7EAABF"/>
                    <w:w w:val="110"/>
                    <w:sz w:val="23"/>
                  </w:rPr>
                  <w:t>United Reformed Church </w:t>
                </w:r>
                <w:r>
                  <w:rPr>
                    <w:rFonts w:ascii="Symbol" w:hAnsi="Symbol"/>
                    <w:color w:val="7EAABF"/>
                    <w:w w:val="110"/>
                    <w:sz w:val="23"/>
                  </w:rPr>
                  <w:t></w:t>
                </w:r>
                <w:r>
                  <w:rPr>
                    <w:rFonts w:ascii="Times New Roman" w:hAnsi="Times New Roman"/>
                    <w:color w:val="7EAABF"/>
                    <w:w w:val="110"/>
                    <w:sz w:val="23"/>
                  </w:rPr>
                  <w:t> </w:t>
                </w:r>
                <w:r>
                  <w:rPr>
                    <w:color w:val="7EAABF"/>
                    <w:w w:val="110"/>
                    <w:sz w:val="23"/>
                  </w:rPr>
                  <w:t>General Assembly 2016 </w:t>
                </w:r>
                <w:r>
                  <w:rPr>
                    <w:rFonts w:ascii="Symbol" w:hAnsi="Symbol"/>
                    <w:color w:val="7EAABF"/>
                    <w:w w:val="110"/>
                    <w:sz w:val="23"/>
                  </w:rPr>
                  <w:t></w:t>
                </w:r>
                <w:r>
                  <w:rPr>
                    <w:rFonts w:ascii="Times New Roman" w:hAnsi="Times New Roman"/>
                    <w:color w:val="7EAABF"/>
                    <w:w w:val="110"/>
                    <w:sz w:val="23"/>
                  </w:rPr>
                  <w:t> </w:t>
                </w:r>
                <w:r>
                  <w:rPr>
                    <w:rFonts w:ascii="Stone Sans II ITC Std X Bd" w:hAnsi="Stone Sans II ITC Std X Bd"/>
                    <w:b/>
                    <w:w w:val="110"/>
                    <w:sz w:val="24"/>
                  </w:rPr>
                  <w:t>169</w:t>
                </w:r>
              </w:p>
            </w:txbxContent>
          </v:textbox>
          <w10:wrap type="none"/>
        </v:shape>
      </w:pict>
    </w:r>
  </w:p>
</w:ftr>
</file>

<file path=word/footer16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61.362202pt;margin-top:798.53833pt;width:317.05pt;height:17.45pt;mso-position-horizontal-relative:page;mso-position-vertical-relative:page;z-index:-267951104" type="#_x0000_t202" filled="false" stroked="false">
          <v:textbox inset="0,0,0,0">
            <w:txbxContent>
              <w:p>
                <w:pPr>
                  <w:spacing w:before="16"/>
                  <w:ind w:left="20" w:right="0" w:firstLine="0"/>
                  <w:jc w:val="left"/>
                  <w:rPr>
                    <w:sz w:val="23"/>
                  </w:rPr>
                </w:pPr>
                <w:r>
                  <w:rPr>
                    <w:rFonts w:ascii="Stone Sans II ITC Std X Bd" w:hAnsi="Stone Sans II ITC Std X Bd"/>
                    <w:b/>
                    <w:w w:val="110"/>
                    <w:sz w:val="24"/>
                  </w:rPr>
                  <w:t>170 </w:t>
                </w:r>
                <w:r>
                  <w:rPr>
                    <w:rFonts w:ascii="Symbol" w:hAnsi="Symbol"/>
                    <w:color w:val="7EAABF"/>
                    <w:w w:val="110"/>
                    <w:sz w:val="23"/>
                  </w:rPr>
                  <w:t></w:t>
                </w:r>
                <w:r>
                  <w:rPr>
                    <w:rFonts w:ascii="Times New Roman" w:hAnsi="Times New Roman"/>
                    <w:color w:val="7EAABF"/>
                    <w:w w:val="110"/>
                    <w:sz w:val="23"/>
                  </w:rPr>
                  <w:t> </w:t>
                </w:r>
                <w:r>
                  <w:rPr>
                    <w:color w:val="7EAABF"/>
                    <w:w w:val="110"/>
                    <w:sz w:val="23"/>
                  </w:rPr>
                  <w:t>United Reformed Church </w:t>
                </w:r>
                <w:r>
                  <w:rPr>
                    <w:rFonts w:ascii="Symbol" w:hAnsi="Symbol"/>
                    <w:color w:val="7EAABF"/>
                    <w:w w:val="110"/>
                    <w:sz w:val="23"/>
                  </w:rPr>
                  <w:t></w:t>
                </w:r>
                <w:r>
                  <w:rPr>
                    <w:rFonts w:ascii="Times New Roman" w:hAnsi="Times New Roman"/>
                    <w:color w:val="7EAABF"/>
                    <w:w w:val="110"/>
                    <w:sz w:val="23"/>
                  </w:rPr>
                  <w:t> </w:t>
                </w:r>
                <w:r>
                  <w:rPr>
                    <w:color w:val="7EAABF"/>
                    <w:w w:val="110"/>
                    <w:sz w:val="23"/>
                  </w:rPr>
                  <w:t>General Assembly 2016</w:t>
                </w:r>
              </w:p>
            </w:txbxContent>
          </v:textbox>
          <w10:wrap type="none"/>
        </v:shape>
      </w:pict>
    </w:r>
  </w:p>
</w:ftr>
</file>

<file path=word/footer16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216.907196pt;margin-top:798.53833pt;width:317.05pt;height:17.45pt;mso-position-horizontal-relative:page;mso-position-vertical-relative:page;z-index:-267950080" type="#_x0000_t202" filled="false" stroked="false">
          <v:textbox inset="0,0,0,0">
            <w:txbxContent>
              <w:p>
                <w:pPr>
                  <w:spacing w:before="16"/>
                  <w:ind w:left="20" w:right="0" w:firstLine="0"/>
                  <w:jc w:val="left"/>
                  <w:rPr>
                    <w:rFonts w:ascii="Stone Sans II ITC Std X Bd" w:hAnsi="Stone Sans II ITC Std X Bd"/>
                    <w:b/>
                    <w:sz w:val="24"/>
                  </w:rPr>
                </w:pPr>
                <w:r>
                  <w:rPr>
                    <w:color w:val="7EAABF"/>
                    <w:w w:val="110"/>
                    <w:sz w:val="23"/>
                  </w:rPr>
                  <w:t>United Reformed Church </w:t>
                </w:r>
                <w:r>
                  <w:rPr>
                    <w:rFonts w:ascii="Symbol" w:hAnsi="Symbol"/>
                    <w:color w:val="7EAABF"/>
                    <w:w w:val="110"/>
                    <w:sz w:val="23"/>
                  </w:rPr>
                  <w:t></w:t>
                </w:r>
                <w:r>
                  <w:rPr>
                    <w:rFonts w:ascii="Times New Roman" w:hAnsi="Times New Roman"/>
                    <w:color w:val="7EAABF"/>
                    <w:w w:val="110"/>
                    <w:sz w:val="23"/>
                  </w:rPr>
                  <w:t> </w:t>
                </w:r>
                <w:r>
                  <w:rPr>
                    <w:color w:val="7EAABF"/>
                    <w:w w:val="110"/>
                    <w:sz w:val="23"/>
                  </w:rPr>
                  <w:t>General Assembly 2016 </w:t>
                </w:r>
                <w:r>
                  <w:rPr>
                    <w:rFonts w:ascii="Symbol" w:hAnsi="Symbol"/>
                    <w:color w:val="7EAABF"/>
                    <w:w w:val="110"/>
                    <w:sz w:val="23"/>
                  </w:rPr>
                  <w:t></w:t>
                </w:r>
                <w:r>
                  <w:rPr>
                    <w:rFonts w:ascii="Times New Roman" w:hAnsi="Times New Roman"/>
                    <w:color w:val="7EAABF"/>
                    <w:w w:val="110"/>
                    <w:sz w:val="23"/>
                  </w:rPr>
                  <w:t> </w:t>
                </w:r>
                <w:r>
                  <w:rPr>
                    <w:rFonts w:ascii="Stone Sans II ITC Std X Bd" w:hAnsi="Stone Sans II ITC Std X Bd"/>
                    <w:b/>
                    <w:w w:val="110"/>
                    <w:sz w:val="24"/>
                  </w:rPr>
                  <w:t>171</w:t>
                </w:r>
              </w:p>
            </w:txbxContent>
          </v:textbox>
          <w10:wrap type="none"/>
        </v:shape>
      </w:pict>
    </w:r>
  </w:p>
</w:ftr>
</file>

<file path=word/footer16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59.362202pt;margin-top:798.53833pt;width:319.05pt;height:17.45pt;mso-position-horizontal-relative:page;mso-position-vertical-relative:page;z-index:-267949056" type="#_x0000_t202" filled="false" stroked="false">
          <v:textbox inset="0,0,0,0">
            <w:txbxContent>
              <w:p>
                <w:pPr>
                  <w:spacing w:before="16"/>
                  <w:ind w:left="60" w:right="0" w:firstLine="0"/>
                  <w:jc w:val="left"/>
                  <w:rPr>
                    <w:sz w:val="23"/>
                  </w:rPr>
                </w:pPr>
                <w:r>
                  <w:rPr/>
                  <w:fldChar w:fldCharType="begin"/>
                </w:r>
                <w:r>
                  <w:rPr>
                    <w:rFonts w:ascii="Stone Sans II ITC Std X Bd" w:hAnsi="Stone Sans II ITC Std X Bd"/>
                    <w:b/>
                    <w:w w:val="110"/>
                    <w:sz w:val="24"/>
                  </w:rPr>
                  <w:instrText> PAGE </w:instrText>
                </w:r>
                <w:r>
                  <w:rPr/>
                  <w:fldChar w:fldCharType="separate"/>
                </w:r>
                <w:r>
                  <w:rPr/>
                  <w:t>172</w:t>
                </w:r>
                <w:r>
                  <w:rPr/>
                  <w:fldChar w:fldCharType="end"/>
                </w:r>
                <w:r>
                  <w:rPr>
                    <w:rFonts w:ascii="Stone Sans II ITC Std X Bd" w:hAnsi="Stone Sans II ITC Std X Bd"/>
                    <w:b/>
                    <w:w w:val="110"/>
                    <w:sz w:val="24"/>
                  </w:rPr>
                  <w:t> </w:t>
                </w:r>
                <w:r>
                  <w:rPr>
                    <w:rFonts w:ascii="Symbol" w:hAnsi="Symbol"/>
                    <w:color w:val="7EAABF"/>
                    <w:w w:val="110"/>
                    <w:sz w:val="23"/>
                  </w:rPr>
                  <w:t></w:t>
                </w:r>
                <w:r>
                  <w:rPr>
                    <w:rFonts w:ascii="Times New Roman" w:hAnsi="Times New Roman"/>
                    <w:color w:val="7EAABF"/>
                    <w:w w:val="110"/>
                    <w:sz w:val="23"/>
                  </w:rPr>
                  <w:t> </w:t>
                </w:r>
                <w:r>
                  <w:rPr>
                    <w:color w:val="7EAABF"/>
                    <w:w w:val="110"/>
                    <w:sz w:val="23"/>
                  </w:rPr>
                  <w:t>United Reformed Church </w:t>
                </w:r>
                <w:r>
                  <w:rPr>
                    <w:rFonts w:ascii="Symbol" w:hAnsi="Symbol"/>
                    <w:color w:val="7EAABF"/>
                    <w:w w:val="110"/>
                    <w:sz w:val="23"/>
                  </w:rPr>
                  <w:t></w:t>
                </w:r>
                <w:r>
                  <w:rPr>
                    <w:rFonts w:ascii="Times New Roman" w:hAnsi="Times New Roman"/>
                    <w:color w:val="7EAABF"/>
                    <w:w w:val="110"/>
                    <w:sz w:val="23"/>
                  </w:rPr>
                  <w:t> </w:t>
                </w:r>
                <w:r>
                  <w:rPr>
                    <w:color w:val="7EAABF"/>
                    <w:w w:val="110"/>
                    <w:sz w:val="23"/>
                  </w:rPr>
                  <w:t>General Assembly 2016</w:t>
                </w:r>
              </w:p>
            </w:txbxContent>
          </v:textbox>
          <w10:wrap type="none"/>
        </v:shape>
      </w:pict>
    </w:r>
  </w:p>
</w:ftr>
</file>

<file path=word/footer16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216.907196pt;margin-top:798.53833pt;width:319.05pt;height:17.45pt;mso-position-horizontal-relative:page;mso-position-vertical-relative:page;z-index:-267948032" type="#_x0000_t202" filled="false" stroked="false">
          <v:textbox inset="0,0,0,0">
            <w:txbxContent>
              <w:p>
                <w:pPr>
                  <w:spacing w:before="16"/>
                  <w:ind w:left="20" w:right="0" w:firstLine="0"/>
                  <w:jc w:val="left"/>
                  <w:rPr>
                    <w:rFonts w:ascii="Stone Sans II ITC Std X Bd" w:hAnsi="Stone Sans II ITC Std X Bd"/>
                    <w:b/>
                    <w:sz w:val="24"/>
                  </w:rPr>
                </w:pPr>
                <w:r>
                  <w:rPr>
                    <w:color w:val="7EAABF"/>
                    <w:w w:val="110"/>
                    <w:sz w:val="23"/>
                  </w:rPr>
                  <w:t>United Reformed Church </w:t>
                </w:r>
                <w:r>
                  <w:rPr>
                    <w:rFonts w:ascii="Symbol" w:hAnsi="Symbol"/>
                    <w:color w:val="7EAABF"/>
                    <w:w w:val="110"/>
                    <w:sz w:val="23"/>
                  </w:rPr>
                  <w:t></w:t>
                </w:r>
                <w:r>
                  <w:rPr>
                    <w:rFonts w:ascii="Times New Roman" w:hAnsi="Times New Roman"/>
                    <w:color w:val="7EAABF"/>
                    <w:w w:val="110"/>
                    <w:sz w:val="23"/>
                  </w:rPr>
                  <w:t> </w:t>
                </w:r>
                <w:r>
                  <w:rPr>
                    <w:color w:val="7EAABF"/>
                    <w:w w:val="110"/>
                    <w:sz w:val="23"/>
                  </w:rPr>
                  <w:t>General Assembly 2016 </w:t>
                </w:r>
                <w:r>
                  <w:rPr>
                    <w:rFonts w:ascii="Symbol" w:hAnsi="Symbol"/>
                    <w:color w:val="7EAABF"/>
                    <w:w w:val="110"/>
                    <w:sz w:val="23"/>
                  </w:rPr>
                  <w:t></w:t>
                </w:r>
                <w:r>
                  <w:rPr>
                    <w:rFonts w:ascii="Times New Roman" w:hAnsi="Times New Roman"/>
                    <w:color w:val="7EAABF"/>
                    <w:w w:val="110"/>
                    <w:sz w:val="23"/>
                  </w:rPr>
                  <w:t> </w:t>
                </w:r>
                <w:r>
                  <w:rPr/>
                  <w:fldChar w:fldCharType="begin"/>
                </w:r>
                <w:r>
                  <w:rPr>
                    <w:rFonts w:ascii="Stone Sans II ITC Std X Bd" w:hAnsi="Stone Sans II ITC Std X Bd"/>
                    <w:b/>
                    <w:w w:val="110"/>
                    <w:sz w:val="24"/>
                  </w:rPr>
                  <w:instrText> PAGE </w:instrText>
                </w:r>
                <w:r>
                  <w:rPr/>
                  <w:fldChar w:fldCharType="separate"/>
                </w:r>
                <w:r>
                  <w:rPr/>
                  <w:t>173</w:t>
                </w:r>
                <w:r>
                  <w:rPr/>
                  <w:fldChar w:fldCharType="end"/>
                </w:r>
              </w:p>
            </w:txbxContent>
          </v:textbox>
          <w10:wrap type="none"/>
        </v:shape>
      </w:pict>
    </w:r>
  </w:p>
</w:ftr>
</file>

<file path=word/footer16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59.362202pt;margin-top:798.53833pt;width:319.05pt;height:17.45pt;mso-position-horizontal-relative:page;mso-position-vertical-relative:page;z-index:-267947008" type="#_x0000_t202" filled="false" stroked="false">
          <v:textbox inset="0,0,0,0">
            <w:txbxContent>
              <w:p>
                <w:pPr>
                  <w:spacing w:before="16"/>
                  <w:ind w:left="60" w:right="0" w:firstLine="0"/>
                  <w:jc w:val="left"/>
                  <w:rPr>
                    <w:sz w:val="23"/>
                  </w:rPr>
                </w:pPr>
                <w:r>
                  <w:rPr/>
                  <w:fldChar w:fldCharType="begin"/>
                </w:r>
                <w:r>
                  <w:rPr>
                    <w:rFonts w:ascii="Stone Sans II ITC Std X Bd" w:hAnsi="Stone Sans II ITC Std X Bd"/>
                    <w:b/>
                    <w:w w:val="110"/>
                    <w:sz w:val="24"/>
                  </w:rPr>
                  <w:instrText> PAGE </w:instrText>
                </w:r>
                <w:r>
                  <w:rPr/>
                  <w:fldChar w:fldCharType="separate"/>
                </w:r>
                <w:r>
                  <w:rPr/>
                  <w:t>174</w:t>
                </w:r>
                <w:r>
                  <w:rPr/>
                  <w:fldChar w:fldCharType="end"/>
                </w:r>
                <w:r>
                  <w:rPr>
                    <w:rFonts w:ascii="Stone Sans II ITC Std X Bd" w:hAnsi="Stone Sans II ITC Std X Bd"/>
                    <w:b/>
                    <w:w w:val="110"/>
                    <w:sz w:val="24"/>
                  </w:rPr>
                  <w:t> </w:t>
                </w:r>
                <w:r>
                  <w:rPr>
                    <w:rFonts w:ascii="Symbol" w:hAnsi="Symbol"/>
                    <w:color w:val="7EAABF"/>
                    <w:w w:val="110"/>
                    <w:sz w:val="23"/>
                  </w:rPr>
                  <w:t></w:t>
                </w:r>
                <w:r>
                  <w:rPr>
                    <w:rFonts w:ascii="Times New Roman" w:hAnsi="Times New Roman"/>
                    <w:color w:val="7EAABF"/>
                    <w:w w:val="110"/>
                    <w:sz w:val="23"/>
                  </w:rPr>
                  <w:t> </w:t>
                </w:r>
                <w:r>
                  <w:rPr>
                    <w:color w:val="7EAABF"/>
                    <w:w w:val="110"/>
                    <w:sz w:val="23"/>
                  </w:rPr>
                  <w:t>United Reformed Church </w:t>
                </w:r>
                <w:r>
                  <w:rPr>
                    <w:rFonts w:ascii="Symbol" w:hAnsi="Symbol"/>
                    <w:color w:val="7EAABF"/>
                    <w:w w:val="110"/>
                    <w:sz w:val="23"/>
                  </w:rPr>
                  <w:t></w:t>
                </w:r>
                <w:r>
                  <w:rPr>
                    <w:rFonts w:ascii="Times New Roman" w:hAnsi="Times New Roman"/>
                    <w:color w:val="7EAABF"/>
                    <w:w w:val="110"/>
                    <w:sz w:val="23"/>
                  </w:rPr>
                  <w:t> </w:t>
                </w:r>
                <w:r>
                  <w:rPr>
                    <w:color w:val="7EAABF"/>
                    <w:w w:val="110"/>
                    <w:sz w:val="23"/>
                  </w:rPr>
                  <w:t>General Assembly 2016</w:t>
                </w:r>
              </w:p>
            </w:txbxContent>
          </v:textbox>
          <w10:wrap type="none"/>
        </v:shape>
      </w:pict>
    </w:r>
  </w:p>
</w:ftr>
</file>

<file path=word/footer1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59.362202pt;margin-top:798.53833pt;width:311.4pt;height:17.45pt;mso-position-horizontal-relative:page;mso-position-vertical-relative:page;z-index:-268092416" type="#_x0000_t202" filled="false" stroked="false">
          <v:textbox inset="0,0,0,0">
            <w:txbxContent>
              <w:p>
                <w:pPr>
                  <w:spacing w:before="16"/>
                  <w:ind w:left="60" w:right="0" w:firstLine="0"/>
                  <w:jc w:val="left"/>
                  <w:rPr>
                    <w:sz w:val="23"/>
                  </w:rPr>
                </w:pPr>
                <w:r>
                  <w:rPr/>
                  <w:fldChar w:fldCharType="begin"/>
                </w:r>
                <w:r>
                  <w:rPr>
                    <w:rFonts w:ascii="Stone Sans II ITC Std X Bd" w:hAnsi="Stone Sans II ITC Std X Bd"/>
                    <w:b/>
                    <w:w w:val="110"/>
                    <w:sz w:val="24"/>
                  </w:rPr>
                  <w:instrText> PAGE </w:instrText>
                </w:r>
                <w:r>
                  <w:rPr/>
                  <w:fldChar w:fldCharType="separate"/>
                </w:r>
                <w:r>
                  <w:rPr/>
                  <w:t>22</w:t>
                </w:r>
                <w:r>
                  <w:rPr/>
                  <w:fldChar w:fldCharType="end"/>
                </w:r>
                <w:r>
                  <w:rPr>
                    <w:rFonts w:ascii="Stone Sans II ITC Std X Bd" w:hAnsi="Stone Sans II ITC Std X Bd"/>
                    <w:b/>
                    <w:w w:val="110"/>
                    <w:sz w:val="24"/>
                  </w:rPr>
                  <w:t> </w:t>
                </w:r>
                <w:r>
                  <w:rPr>
                    <w:rFonts w:ascii="Symbol" w:hAnsi="Symbol"/>
                    <w:color w:val="7EAABF"/>
                    <w:w w:val="110"/>
                    <w:sz w:val="23"/>
                  </w:rPr>
                  <w:t></w:t>
                </w:r>
                <w:r>
                  <w:rPr>
                    <w:rFonts w:ascii="Times New Roman" w:hAnsi="Times New Roman"/>
                    <w:color w:val="7EAABF"/>
                    <w:w w:val="110"/>
                    <w:sz w:val="23"/>
                  </w:rPr>
                  <w:t> </w:t>
                </w:r>
                <w:r>
                  <w:rPr>
                    <w:color w:val="7EAABF"/>
                    <w:w w:val="110"/>
                    <w:sz w:val="23"/>
                  </w:rPr>
                  <w:t>United Reformed Church </w:t>
                </w:r>
                <w:r>
                  <w:rPr>
                    <w:rFonts w:ascii="Symbol" w:hAnsi="Symbol"/>
                    <w:color w:val="7EAABF"/>
                    <w:w w:val="110"/>
                    <w:sz w:val="23"/>
                  </w:rPr>
                  <w:t></w:t>
                </w:r>
                <w:r>
                  <w:rPr>
                    <w:rFonts w:ascii="Times New Roman" w:hAnsi="Times New Roman"/>
                    <w:color w:val="7EAABF"/>
                    <w:w w:val="110"/>
                    <w:sz w:val="23"/>
                  </w:rPr>
                  <w:t> </w:t>
                </w:r>
                <w:r>
                  <w:rPr>
                    <w:color w:val="7EAABF"/>
                    <w:w w:val="110"/>
                    <w:sz w:val="23"/>
                  </w:rPr>
                  <w:t>General Assembly 2016</w:t>
                </w:r>
              </w:p>
            </w:txbxContent>
          </v:textbox>
          <w10:wrap type="none"/>
        </v:shape>
      </w:pict>
    </w:r>
  </w:p>
</w:ftr>
</file>

<file path=word/footer17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216.907196pt;margin-top:798.53833pt;width:319.05pt;height:17.45pt;mso-position-horizontal-relative:page;mso-position-vertical-relative:page;z-index:-267945984" type="#_x0000_t202" filled="false" stroked="false">
          <v:textbox inset="0,0,0,0">
            <w:txbxContent>
              <w:p>
                <w:pPr>
                  <w:spacing w:before="16"/>
                  <w:ind w:left="20" w:right="0" w:firstLine="0"/>
                  <w:jc w:val="left"/>
                  <w:rPr>
                    <w:rFonts w:ascii="Stone Sans II ITC Std X Bd" w:hAnsi="Stone Sans II ITC Std X Bd"/>
                    <w:b/>
                    <w:sz w:val="24"/>
                  </w:rPr>
                </w:pPr>
                <w:r>
                  <w:rPr>
                    <w:color w:val="7EAABF"/>
                    <w:w w:val="110"/>
                    <w:sz w:val="23"/>
                  </w:rPr>
                  <w:t>United Reformed Church </w:t>
                </w:r>
                <w:r>
                  <w:rPr>
                    <w:rFonts w:ascii="Symbol" w:hAnsi="Symbol"/>
                    <w:color w:val="7EAABF"/>
                    <w:w w:val="110"/>
                    <w:sz w:val="23"/>
                  </w:rPr>
                  <w:t></w:t>
                </w:r>
                <w:r>
                  <w:rPr>
                    <w:rFonts w:ascii="Times New Roman" w:hAnsi="Times New Roman"/>
                    <w:color w:val="7EAABF"/>
                    <w:w w:val="110"/>
                    <w:sz w:val="23"/>
                  </w:rPr>
                  <w:t> </w:t>
                </w:r>
                <w:r>
                  <w:rPr>
                    <w:color w:val="7EAABF"/>
                    <w:w w:val="110"/>
                    <w:sz w:val="23"/>
                  </w:rPr>
                  <w:t>General Assembly 2016 </w:t>
                </w:r>
                <w:r>
                  <w:rPr>
                    <w:rFonts w:ascii="Symbol" w:hAnsi="Symbol"/>
                    <w:color w:val="7EAABF"/>
                    <w:w w:val="110"/>
                    <w:sz w:val="23"/>
                  </w:rPr>
                  <w:t></w:t>
                </w:r>
                <w:r>
                  <w:rPr>
                    <w:rFonts w:ascii="Times New Roman" w:hAnsi="Times New Roman"/>
                    <w:color w:val="7EAABF"/>
                    <w:w w:val="110"/>
                    <w:sz w:val="23"/>
                  </w:rPr>
                  <w:t> </w:t>
                </w:r>
                <w:r>
                  <w:rPr/>
                  <w:fldChar w:fldCharType="begin"/>
                </w:r>
                <w:r>
                  <w:rPr>
                    <w:rFonts w:ascii="Stone Sans II ITC Std X Bd" w:hAnsi="Stone Sans II ITC Std X Bd"/>
                    <w:b/>
                    <w:w w:val="110"/>
                    <w:sz w:val="24"/>
                  </w:rPr>
                  <w:instrText> PAGE </w:instrText>
                </w:r>
                <w:r>
                  <w:rPr/>
                  <w:fldChar w:fldCharType="separate"/>
                </w:r>
                <w:r>
                  <w:rPr/>
                  <w:t>175</w:t>
                </w:r>
                <w:r>
                  <w:rPr/>
                  <w:fldChar w:fldCharType="end"/>
                </w:r>
              </w:p>
            </w:txbxContent>
          </v:textbox>
          <w10:wrap type="none"/>
        </v:shape>
      </w:pict>
    </w:r>
  </w:p>
</w:ftr>
</file>

<file path=word/footer17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59.362202pt;margin-top:798.53833pt;width:319.05pt;height:17.45pt;mso-position-horizontal-relative:page;mso-position-vertical-relative:page;z-index:-267944960" type="#_x0000_t202" filled="false" stroked="false">
          <v:textbox inset="0,0,0,0">
            <w:txbxContent>
              <w:p>
                <w:pPr>
                  <w:spacing w:before="16"/>
                  <w:ind w:left="60" w:right="0" w:firstLine="0"/>
                  <w:jc w:val="left"/>
                  <w:rPr>
                    <w:sz w:val="23"/>
                  </w:rPr>
                </w:pPr>
                <w:r>
                  <w:rPr/>
                  <w:fldChar w:fldCharType="begin"/>
                </w:r>
                <w:r>
                  <w:rPr>
                    <w:rFonts w:ascii="Stone Sans II ITC Std X Bd" w:hAnsi="Stone Sans II ITC Std X Bd"/>
                    <w:b/>
                    <w:w w:val="110"/>
                    <w:sz w:val="24"/>
                  </w:rPr>
                  <w:instrText> PAGE </w:instrText>
                </w:r>
                <w:r>
                  <w:rPr/>
                  <w:fldChar w:fldCharType="separate"/>
                </w:r>
                <w:r>
                  <w:rPr/>
                  <w:t>176</w:t>
                </w:r>
                <w:r>
                  <w:rPr/>
                  <w:fldChar w:fldCharType="end"/>
                </w:r>
                <w:r>
                  <w:rPr>
                    <w:rFonts w:ascii="Stone Sans II ITC Std X Bd" w:hAnsi="Stone Sans II ITC Std X Bd"/>
                    <w:b/>
                    <w:w w:val="110"/>
                    <w:sz w:val="24"/>
                  </w:rPr>
                  <w:t> </w:t>
                </w:r>
                <w:r>
                  <w:rPr>
                    <w:rFonts w:ascii="Symbol" w:hAnsi="Symbol"/>
                    <w:color w:val="7EAABF"/>
                    <w:w w:val="110"/>
                    <w:sz w:val="23"/>
                  </w:rPr>
                  <w:t></w:t>
                </w:r>
                <w:r>
                  <w:rPr>
                    <w:rFonts w:ascii="Times New Roman" w:hAnsi="Times New Roman"/>
                    <w:color w:val="7EAABF"/>
                    <w:w w:val="110"/>
                    <w:sz w:val="23"/>
                  </w:rPr>
                  <w:t> </w:t>
                </w:r>
                <w:r>
                  <w:rPr>
                    <w:color w:val="7EAABF"/>
                    <w:w w:val="110"/>
                    <w:sz w:val="23"/>
                  </w:rPr>
                  <w:t>United Reformed Church </w:t>
                </w:r>
                <w:r>
                  <w:rPr>
                    <w:rFonts w:ascii="Symbol" w:hAnsi="Symbol"/>
                    <w:color w:val="7EAABF"/>
                    <w:w w:val="110"/>
                    <w:sz w:val="23"/>
                  </w:rPr>
                  <w:t></w:t>
                </w:r>
                <w:r>
                  <w:rPr>
                    <w:rFonts w:ascii="Times New Roman" w:hAnsi="Times New Roman"/>
                    <w:color w:val="7EAABF"/>
                    <w:w w:val="110"/>
                    <w:sz w:val="23"/>
                  </w:rPr>
                  <w:t> </w:t>
                </w:r>
                <w:r>
                  <w:rPr>
                    <w:color w:val="7EAABF"/>
                    <w:w w:val="110"/>
                    <w:sz w:val="23"/>
                  </w:rPr>
                  <w:t>General Assembly 2016</w:t>
                </w:r>
              </w:p>
            </w:txbxContent>
          </v:textbox>
          <w10:wrap type="none"/>
        </v:shape>
      </w:pict>
    </w:r>
  </w:p>
</w:ftr>
</file>

<file path=word/footer17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216.907196pt;margin-top:798.53833pt;width:319.05pt;height:17.45pt;mso-position-horizontal-relative:page;mso-position-vertical-relative:page;z-index:-267943936" type="#_x0000_t202" filled="false" stroked="false">
          <v:textbox inset="0,0,0,0">
            <w:txbxContent>
              <w:p>
                <w:pPr>
                  <w:spacing w:before="16"/>
                  <w:ind w:left="20" w:right="0" w:firstLine="0"/>
                  <w:jc w:val="left"/>
                  <w:rPr>
                    <w:rFonts w:ascii="Stone Sans II ITC Std X Bd" w:hAnsi="Stone Sans II ITC Std X Bd"/>
                    <w:b/>
                    <w:sz w:val="24"/>
                  </w:rPr>
                </w:pPr>
                <w:r>
                  <w:rPr>
                    <w:color w:val="7EAABF"/>
                    <w:w w:val="110"/>
                    <w:sz w:val="23"/>
                  </w:rPr>
                  <w:t>United Reformed Church </w:t>
                </w:r>
                <w:r>
                  <w:rPr>
                    <w:rFonts w:ascii="Symbol" w:hAnsi="Symbol"/>
                    <w:color w:val="7EAABF"/>
                    <w:w w:val="110"/>
                    <w:sz w:val="23"/>
                  </w:rPr>
                  <w:t></w:t>
                </w:r>
                <w:r>
                  <w:rPr>
                    <w:rFonts w:ascii="Times New Roman" w:hAnsi="Times New Roman"/>
                    <w:color w:val="7EAABF"/>
                    <w:w w:val="110"/>
                    <w:sz w:val="23"/>
                  </w:rPr>
                  <w:t> </w:t>
                </w:r>
                <w:r>
                  <w:rPr>
                    <w:color w:val="7EAABF"/>
                    <w:w w:val="110"/>
                    <w:sz w:val="23"/>
                  </w:rPr>
                  <w:t>General Assembly 2016 </w:t>
                </w:r>
                <w:r>
                  <w:rPr>
                    <w:rFonts w:ascii="Symbol" w:hAnsi="Symbol"/>
                    <w:color w:val="7EAABF"/>
                    <w:w w:val="110"/>
                    <w:sz w:val="23"/>
                  </w:rPr>
                  <w:t></w:t>
                </w:r>
                <w:r>
                  <w:rPr>
                    <w:rFonts w:ascii="Times New Roman" w:hAnsi="Times New Roman"/>
                    <w:color w:val="7EAABF"/>
                    <w:w w:val="110"/>
                    <w:sz w:val="23"/>
                  </w:rPr>
                  <w:t> </w:t>
                </w:r>
                <w:r>
                  <w:rPr/>
                  <w:fldChar w:fldCharType="begin"/>
                </w:r>
                <w:r>
                  <w:rPr>
                    <w:rFonts w:ascii="Stone Sans II ITC Std X Bd" w:hAnsi="Stone Sans II ITC Std X Bd"/>
                    <w:b/>
                    <w:w w:val="110"/>
                    <w:sz w:val="24"/>
                  </w:rPr>
                  <w:instrText> PAGE </w:instrText>
                </w:r>
                <w:r>
                  <w:rPr/>
                  <w:fldChar w:fldCharType="separate"/>
                </w:r>
                <w:r>
                  <w:rPr/>
                  <w:t>177</w:t>
                </w:r>
                <w:r>
                  <w:rPr/>
                  <w:fldChar w:fldCharType="end"/>
                </w:r>
              </w:p>
            </w:txbxContent>
          </v:textbox>
          <w10:wrap type="none"/>
        </v:shape>
      </w:pict>
    </w:r>
  </w:p>
</w:ftr>
</file>

<file path=word/footer17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59.362202pt;margin-top:798.53833pt;width:319.05pt;height:17.45pt;mso-position-horizontal-relative:page;mso-position-vertical-relative:page;z-index:-267942912" type="#_x0000_t202" filled="false" stroked="false">
          <v:textbox inset="0,0,0,0">
            <w:txbxContent>
              <w:p>
                <w:pPr>
                  <w:spacing w:before="16"/>
                  <w:ind w:left="60" w:right="0" w:firstLine="0"/>
                  <w:jc w:val="left"/>
                  <w:rPr>
                    <w:sz w:val="23"/>
                  </w:rPr>
                </w:pPr>
                <w:r>
                  <w:rPr/>
                  <w:fldChar w:fldCharType="begin"/>
                </w:r>
                <w:r>
                  <w:rPr>
                    <w:rFonts w:ascii="Stone Sans II ITC Std X Bd" w:hAnsi="Stone Sans II ITC Std X Bd"/>
                    <w:b/>
                    <w:w w:val="110"/>
                    <w:sz w:val="24"/>
                  </w:rPr>
                  <w:instrText> PAGE </w:instrText>
                </w:r>
                <w:r>
                  <w:rPr/>
                  <w:fldChar w:fldCharType="separate"/>
                </w:r>
                <w:r>
                  <w:rPr/>
                  <w:t>178</w:t>
                </w:r>
                <w:r>
                  <w:rPr/>
                  <w:fldChar w:fldCharType="end"/>
                </w:r>
                <w:r>
                  <w:rPr>
                    <w:rFonts w:ascii="Stone Sans II ITC Std X Bd" w:hAnsi="Stone Sans II ITC Std X Bd"/>
                    <w:b/>
                    <w:w w:val="110"/>
                    <w:sz w:val="24"/>
                  </w:rPr>
                  <w:t> </w:t>
                </w:r>
                <w:r>
                  <w:rPr>
                    <w:rFonts w:ascii="Symbol" w:hAnsi="Symbol"/>
                    <w:color w:val="7EAABF"/>
                    <w:w w:val="110"/>
                    <w:sz w:val="23"/>
                  </w:rPr>
                  <w:t></w:t>
                </w:r>
                <w:r>
                  <w:rPr>
                    <w:rFonts w:ascii="Times New Roman" w:hAnsi="Times New Roman"/>
                    <w:color w:val="7EAABF"/>
                    <w:w w:val="110"/>
                    <w:sz w:val="23"/>
                  </w:rPr>
                  <w:t> </w:t>
                </w:r>
                <w:r>
                  <w:rPr>
                    <w:color w:val="7EAABF"/>
                    <w:w w:val="110"/>
                    <w:sz w:val="23"/>
                  </w:rPr>
                  <w:t>United Reformed Church </w:t>
                </w:r>
                <w:r>
                  <w:rPr>
                    <w:rFonts w:ascii="Symbol" w:hAnsi="Symbol"/>
                    <w:color w:val="7EAABF"/>
                    <w:w w:val="110"/>
                    <w:sz w:val="23"/>
                  </w:rPr>
                  <w:t></w:t>
                </w:r>
                <w:r>
                  <w:rPr>
                    <w:rFonts w:ascii="Times New Roman" w:hAnsi="Times New Roman"/>
                    <w:color w:val="7EAABF"/>
                    <w:w w:val="110"/>
                    <w:sz w:val="23"/>
                  </w:rPr>
                  <w:t> </w:t>
                </w:r>
                <w:r>
                  <w:rPr>
                    <w:color w:val="7EAABF"/>
                    <w:w w:val="110"/>
                    <w:sz w:val="23"/>
                  </w:rPr>
                  <w:t>General Assembly 2016</w:t>
                </w:r>
              </w:p>
            </w:txbxContent>
          </v:textbox>
          <w10:wrap type="none"/>
        </v:shape>
      </w:pict>
    </w:r>
  </w:p>
</w:ftr>
</file>

<file path=word/footer17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216.907196pt;margin-top:798.53833pt;width:319.05pt;height:17.45pt;mso-position-horizontal-relative:page;mso-position-vertical-relative:page;z-index:-267941888" type="#_x0000_t202" filled="false" stroked="false">
          <v:textbox inset="0,0,0,0">
            <w:txbxContent>
              <w:p>
                <w:pPr>
                  <w:spacing w:before="16"/>
                  <w:ind w:left="20" w:right="0" w:firstLine="0"/>
                  <w:jc w:val="left"/>
                  <w:rPr>
                    <w:rFonts w:ascii="Stone Sans II ITC Std X Bd" w:hAnsi="Stone Sans II ITC Std X Bd"/>
                    <w:b/>
                    <w:sz w:val="24"/>
                  </w:rPr>
                </w:pPr>
                <w:r>
                  <w:rPr>
                    <w:color w:val="7EAABF"/>
                    <w:w w:val="110"/>
                    <w:sz w:val="23"/>
                  </w:rPr>
                  <w:t>United Reformed Church </w:t>
                </w:r>
                <w:r>
                  <w:rPr>
                    <w:rFonts w:ascii="Symbol" w:hAnsi="Symbol"/>
                    <w:color w:val="7EAABF"/>
                    <w:w w:val="110"/>
                    <w:sz w:val="23"/>
                  </w:rPr>
                  <w:t></w:t>
                </w:r>
                <w:r>
                  <w:rPr>
                    <w:rFonts w:ascii="Times New Roman" w:hAnsi="Times New Roman"/>
                    <w:color w:val="7EAABF"/>
                    <w:w w:val="110"/>
                    <w:sz w:val="23"/>
                  </w:rPr>
                  <w:t> </w:t>
                </w:r>
                <w:r>
                  <w:rPr>
                    <w:color w:val="7EAABF"/>
                    <w:w w:val="110"/>
                    <w:sz w:val="23"/>
                  </w:rPr>
                  <w:t>General Assembly 2016 </w:t>
                </w:r>
                <w:r>
                  <w:rPr>
                    <w:rFonts w:ascii="Symbol" w:hAnsi="Symbol"/>
                    <w:color w:val="7EAABF"/>
                    <w:w w:val="110"/>
                    <w:sz w:val="23"/>
                  </w:rPr>
                  <w:t></w:t>
                </w:r>
                <w:r>
                  <w:rPr>
                    <w:rFonts w:ascii="Times New Roman" w:hAnsi="Times New Roman"/>
                    <w:color w:val="7EAABF"/>
                    <w:w w:val="110"/>
                    <w:sz w:val="23"/>
                  </w:rPr>
                  <w:t> </w:t>
                </w:r>
                <w:r>
                  <w:rPr/>
                  <w:fldChar w:fldCharType="begin"/>
                </w:r>
                <w:r>
                  <w:rPr>
                    <w:rFonts w:ascii="Stone Sans II ITC Std X Bd" w:hAnsi="Stone Sans II ITC Std X Bd"/>
                    <w:b/>
                    <w:w w:val="110"/>
                    <w:sz w:val="24"/>
                  </w:rPr>
                  <w:instrText> PAGE </w:instrText>
                </w:r>
                <w:r>
                  <w:rPr/>
                  <w:fldChar w:fldCharType="separate"/>
                </w:r>
                <w:r>
                  <w:rPr/>
                  <w:t>179</w:t>
                </w:r>
                <w:r>
                  <w:rPr/>
                  <w:fldChar w:fldCharType="end"/>
                </w:r>
              </w:p>
            </w:txbxContent>
          </v:textbox>
          <w10:wrap type="none"/>
        </v:shape>
      </w:pict>
    </w:r>
  </w:p>
</w:ftr>
</file>

<file path=word/footer17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61.362202pt;margin-top:798.53833pt;width:317.05pt;height:17.45pt;mso-position-horizontal-relative:page;mso-position-vertical-relative:page;z-index:-267940864" type="#_x0000_t202" filled="false" stroked="false">
          <v:textbox inset="0,0,0,0">
            <w:txbxContent>
              <w:p>
                <w:pPr>
                  <w:spacing w:before="16"/>
                  <w:ind w:left="20" w:right="0" w:firstLine="0"/>
                  <w:jc w:val="left"/>
                  <w:rPr>
                    <w:sz w:val="23"/>
                  </w:rPr>
                </w:pPr>
                <w:r>
                  <w:rPr>
                    <w:rFonts w:ascii="Stone Sans II ITC Std X Bd" w:hAnsi="Stone Sans II ITC Std X Bd"/>
                    <w:b/>
                    <w:w w:val="110"/>
                    <w:sz w:val="24"/>
                  </w:rPr>
                  <w:t>180 </w:t>
                </w:r>
                <w:r>
                  <w:rPr>
                    <w:rFonts w:ascii="Symbol" w:hAnsi="Symbol"/>
                    <w:color w:val="7EAABF"/>
                    <w:w w:val="110"/>
                    <w:sz w:val="23"/>
                  </w:rPr>
                  <w:t></w:t>
                </w:r>
                <w:r>
                  <w:rPr>
                    <w:rFonts w:ascii="Times New Roman" w:hAnsi="Times New Roman"/>
                    <w:color w:val="7EAABF"/>
                    <w:w w:val="110"/>
                    <w:sz w:val="23"/>
                  </w:rPr>
                  <w:t> </w:t>
                </w:r>
                <w:r>
                  <w:rPr>
                    <w:color w:val="7EAABF"/>
                    <w:w w:val="110"/>
                    <w:sz w:val="23"/>
                  </w:rPr>
                  <w:t>United Reformed Church </w:t>
                </w:r>
                <w:r>
                  <w:rPr>
                    <w:rFonts w:ascii="Symbol" w:hAnsi="Symbol"/>
                    <w:color w:val="7EAABF"/>
                    <w:w w:val="110"/>
                    <w:sz w:val="23"/>
                  </w:rPr>
                  <w:t></w:t>
                </w:r>
                <w:r>
                  <w:rPr>
                    <w:rFonts w:ascii="Times New Roman" w:hAnsi="Times New Roman"/>
                    <w:color w:val="7EAABF"/>
                    <w:w w:val="110"/>
                    <w:sz w:val="23"/>
                  </w:rPr>
                  <w:t> </w:t>
                </w:r>
                <w:r>
                  <w:rPr>
                    <w:color w:val="7EAABF"/>
                    <w:w w:val="110"/>
                    <w:sz w:val="23"/>
                  </w:rPr>
                  <w:t>General Assembly 2016</w:t>
                </w:r>
              </w:p>
            </w:txbxContent>
          </v:textbox>
          <w10:wrap type="none"/>
        </v:shape>
      </w:pict>
    </w:r>
  </w:p>
</w:ftr>
</file>

<file path=word/footer17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216.907196pt;margin-top:798.53833pt;width:317.05pt;height:17.45pt;mso-position-horizontal-relative:page;mso-position-vertical-relative:page;z-index:-267939840" type="#_x0000_t202" filled="false" stroked="false">
          <v:textbox inset="0,0,0,0">
            <w:txbxContent>
              <w:p>
                <w:pPr>
                  <w:spacing w:before="16"/>
                  <w:ind w:left="20" w:right="0" w:firstLine="0"/>
                  <w:jc w:val="left"/>
                  <w:rPr>
                    <w:rFonts w:ascii="Stone Sans II ITC Std X Bd" w:hAnsi="Stone Sans II ITC Std X Bd"/>
                    <w:b/>
                    <w:sz w:val="24"/>
                  </w:rPr>
                </w:pPr>
                <w:r>
                  <w:rPr>
                    <w:color w:val="7EAABF"/>
                    <w:w w:val="110"/>
                    <w:sz w:val="23"/>
                  </w:rPr>
                  <w:t>United Reformed Church </w:t>
                </w:r>
                <w:r>
                  <w:rPr>
                    <w:rFonts w:ascii="Symbol" w:hAnsi="Symbol"/>
                    <w:color w:val="7EAABF"/>
                    <w:w w:val="110"/>
                    <w:sz w:val="23"/>
                  </w:rPr>
                  <w:t></w:t>
                </w:r>
                <w:r>
                  <w:rPr>
                    <w:rFonts w:ascii="Times New Roman" w:hAnsi="Times New Roman"/>
                    <w:color w:val="7EAABF"/>
                    <w:w w:val="110"/>
                    <w:sz w:val="23"/>
                  </w:rPr>
                  <w:t> </w:t>
                </w:r>
                <w:r>
                  <w:rPr>
                    <w:color w:val="7EAABF"/>
                    <w:w w:val="110"/>
                    <w:sz w:val="23"/>
                  </w:rPr>
                  <w:t>General Assembly 2016 </w:t>
                </w:r>
                <w:r>
                  <w:rPr>
                    <w:rFonts w:ascii="Symbol" w:hAnsi="Symbol"/>
                    <w:color w:val="7EAABF"/>
                    <w:w w:val="110"/>
                    <w:sz w:val="23"/>
                  </w:rPr>
                  <w:t></w:t>
                </w:r>
                <w:r>
                  <w:rPr>
                    <w:rFonts w:ascii="Times New Roman" w:hAnsi="Times New Roman"/>
                    <w:color w:val="7EAABF"/>
                    <w:w w:val="110"/>
                    <w:sz w:val="23"/>
                  </w:rPr>
                  <w:t> </w:t>
                </w:r>
                <w:r>
                  <w:rPr>
                    <w:rFonts w:ascii="Stone Sans II ITC Std X Bd" w:hAnsi="Stone Sans II ITC Std X Bd"/>
                    <w:b/>
                    <w:w w:val="110"/>
                    <w:sz w:val="24"/>
                  </w:rPr>
                  <w:t>181</w:t>
                </w:r>
              </w:p>
            </w:txbxContent>
          </v:textbox>
          <w10:wrap type="none"/>
        </v:shape>
      </w:pict>
    </w:r>
  </w:p>
</w:ftr>
</file>

<file path=word/footer17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59.362202pt;margin-top:798.53833pt;width:319.05pt;height:17.45pt;mso-position-horizontal-relative:page;mso-position-vertical-relative:page;z-index:-267938816" type="#_x0000_t202" filled="false" stroked="false">
          <v:textbox inset="0,0,0,0">
            <w:txbxContent>
              <w:p>
                <w:pPr>
                  <w:spacing w:before="16"/>
                  <w:ind w:left="60" w:right="0" w:firstLine="0"/>
                  <w:jc w:val="left"/>
                  <w:rPr>
                    <w:sz w:val="23"/>
                  </w:rPr>
                </w:pPr>
                <w:r>
                  <w:rPr/>
                  <w:fldChar w:fldCharType="begin"/>
                </w:r>
                <w:r>
                  <w:rPr>
                    <w:rFonts w:ascii="Stone Sans II ITC Std X Bd" w:hAnsi="Stone Sans II ITC Std X Bd"/>
                    <w:b/>
                    <w:w w:val="110"/>
                    <w:sz w:val="24"/>
                  </w:rPr>
                  <w:instrText> PAGE </w:instrText>
                </w:r>
                <w:r>
                  <w:rPr/>
                  <w:fldChar w:fldCharType="separate"/>
                </w:r>
                <w:r>
                  <w:rPr/>
                  <w:t>182</w:t>
                </w:r>
                <w:r>
                  <w:rPr/>
                  <w:fldChar w:fldCharType="end"/>
                </w:r>
                <w:r>
                  <w:rPr>
                    <w:rFonts w:ascii="Stone Sans II ITC Std X Bd" w:hAnsi="Stone Sans II ITC Std X Bd"/>
                    <w:b/>
                    <w:w w:val="110"/>
                    <w:sz w:val="24"/>
                  </w:rPr>
                  <w:t> </w:t>
                </w:r>
                <w:r>
                  <w:rPr>
                    <w:rFonts w:ascii="Symbol" w:hAnsi="Symbol"/>
                    <w:color w:val="7EAABF"/>
                    <w:w w:val="110"/>
                    <w:sz w:val="23"/>
                  </w:rPr>
                  <w:t></w:t>
                </w:r>
                <w:r>
                  <w:rPr>
                    <w:rFonts w:ascii="Times New Roman" w:hAnsi="Times New Roman"/>
                    <w:color w:val="7EAABF"/>
                    <w:w w:val="110"/>
                    <w:sz w:val="23"/>
                  </w:rPr>
                  <w:t> </w:t>
                </w:r>
                <w:r>
                  <w:rPr>
                    <w:color w:val="7EAABF"/>
                    <w:w w:val="110"/>
                    <w:sz w:val="23"/>
                  </w:rPr>
                  <w:t>United Reformed Church </w:t>
                </w:r>
                <w:r>
                  <w:rPr>
                    <w:rFonts w:ascii="Symbol" w:hAnsi="Symbol"/>
                    <w:color w:val="7EAABF"/>
                    <w:w w:val="110"/>
                    <w:sz w:val="23"/>
                  </w:rPr>
                  <w:t></w:t>
                </w:r>
                <w:r>
                  <w:rPr>
                    <w:rFonts w:ascii="Times New Roman" w:hAnsi="Times New Roman"/>
                    <w:color w:val="7EAABF"/>
                    <w:w w:val="110"/>
                    <w:sz w:val="23"/>
                  </w:rPr>
                  <w:t> </w:t>
                </w:r>
                <w:r>
                  <w:rPr>
                    <w:color w:val="7EAABF"/>
                    <w:w w:val="110"/>
                    <w:sz w:val="23"/>
                  </w:rPr>
                  <w:t>General Assembly 2016</w:t>
                </w:r>
              </w:p>
            </w:txbxContent>
          </v:textbox>
          <w10:wrap type="none"/>
        </v:shape>
      </w:pict>
    </w:r>
  </w:p>
</w:ftr>
</file>

<file path=word/footer17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216.907196pt;margin-top:798.53833pt;width:317.05pt;height:17.45pt;mso-position-horizontal-relative:page;mso-position-vertical-relative:page;z-index:-267937792" type="#_x0000_t202" filled="false" stroked="false">
          <v:textbox inset="0,0,0,0">
            <w:txbxContent>
              <w:p>
                <w:pPr>
                  <w:spacing w:before="16"/>
                  <w:ind w:left="20" w:right="0" w:firstLine="0"/>
                  <w:jc w:val="left"/>
                  <w:rPr>
                    <w:rFonts w:ascii="Stone Sans II ITC Std X Bd" w:hAnsi="Stone Sans II ITC Std X Bd"/>
                    <w:b/>
                    <w:sz w:val="24"/>
                  </w:rPr>
                </w:pPr>
                <w:r>
                  <w:rPr>
                    <w:color w:val="7EAABF"/>
                    <w:w w:val="110"/>
                    <w:sz w:val="23"/>
                  </w:rPr>
                  <w:t>United Reformed Church </w:t>
                </w:r>
                <w:r>
                  <w:rPr>
                    <w:rFonts w:ascii="Symbol" w:hAnsi="Symbol"/>
                    <w:color w:val="7EAABF"/>
                    <w:w w:val="110"/>
                    <w:sz w:val="23"/>
                  </w:rPr>
                  <w:t></w:t>
                </w:r>
                <w:r>
                  <w:rPr>
                    <w:rFonts w:ascii="Times New Roman" w:hAnsi="Times New Roman"/>
                    <w:color w:val="7EAABF"/>
                    <w:w w:val="110"/>
                    <w:sz w:val="23"/>
                  </w:rPr>
                  <w:t> </w:t>
                </w:r>
                <w:r>
                  <w:rPr>
                    <w:color w:val="7EAABF"/>
                    <w:w w:val="110"/>
                    <w:sz w:val="23"/>
                  </w:rPr>
                  <w:t>General Assembly 2016 </w:t>
                </w:r>
                <w:r>
                  <w:rPr>
                    <w:rFonts w:ascii="Symbol" w:hAnsi="Symbol"/>
                    <w:color w:val="7EAABF"/>
                    <w:w w:val="110"/>
                    <w:sz w:val="23"/>
                  </w:rPr>
                  <w:t></w:t>
                </w:r>
                <w:r>
                  <w:rPr>
                    <w:rFonts w:ascii="Times New Roman" w:hAnsi="Times New Roman"/>
                    <w:color w:val="7EAABF"/>
                    <w:w w:val="110"/>
                    <w:sz w:val="23"/>
                  </w:rPr>
                  <w:t> </w:t>
                </w:r>
                <w:r>
                  <w:rPr>
                    <w:rFonts w:ascii="Stone Sans II ITC Std X Bd" w:hAnsi="Stone Sans II ITC Std X Bd"/>
                    <w:b/>
                    <w:w w:val="110"/>
                    <w:sz w:val="24"/>
                  </w:rPr>
                  <w:t>183</w:t>
                </w:r>
              </w:p>
            </w:txbxContent>
          </v:textbox>
          <w10:wrap type="none"/>
        </v:shape>
      </w:pict>
    </w:r>
  </w:p>
</w:ftr>
</file>

<file path=word/footer17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59.362202pt;margin-top:798.53833pt;width:319.05pt;height:17.45pt;mso-position-horizontal-relative:page;mso-position-vertical-relative:page;z-index:-267936768" type="#_x0000_t202" filled="false" stroked="false">
          <v:textbox inset="0,0,0,0">
            <w:txbxContent>
              <w:p>
                <w:pPr>
                  <w:spacing w:before="16"/>
                  <w:ind w:left="60" w:right="0" w:firstLine="0"/>
                  <w:jc w:val="left"/>
                  <w:rPr>
                    <w:sz w:val="23"/>
                  </w:rPr>
                </w:pPr>
                <w:r>
                  <w:rPr/>
                  <w:fldChar w:fldCharType="begin"/>
                </w:r>
                <w:r>
                  <w:rPr>
                    <w:rFonts w:ascii="Stone Sans II ITC Std X Bd" w:hAnsi="Stone Sans II ITC Std X Bd"/>
                    <w:b/>
                    <w:w w:val="110"/>
                    <w:sz w:val="24"/>
                  </w:rPr>
                  <w:instrText> PAGE </w:instrText>
                </w:r>
                <w:r>
                  <w:rPr/>
                  <w:fldChar w:fldCharType="separate"/>
                </w:r>
                <w:r>
                  <w:rPr/>
                  <w:t>184</w:t>
                </w:r>
                <w:r>
                  <w:rPr/>
                  <w:fldChar w:fldCharType="end"/>
                </w:r>
                <w:r>
                  <w:rPr>
                    <w:rFonts w:ascii="Stone Sans II ITC Std X Bd" w:hAnsi="Stone Sans II ITC Std X Bd"/>
                    <w:b/>
                    <w:w w:val="110"/>
                    <w:sz w:val="24"/>
                  </w:rPr>
                  <w:t> </w:t>
                </w:r>
                <w:r>
                  <w:rPr>
                    <w:rFonts w:ascii="Symbol" w:hAnsi="Symbol"/>
                    <w:color w:val="7EAABF"/>
                    <w:w w:val="110"/>
                    <w:sz w:val="23"/>
                  </w:rPr>
                  <w:t></w:t>
                </w:r>
                <w:r>
                  <w:rPr>
                    <w:rFonts w:ascii="Times New Roman" w:hAnsi="Times New Roman"/>
                    <w:color w:val="7EAABF"/>
                    <w:w w:val="110"/>
                    <w:sz w:val="23"/>
                  </w:rPr>
                  <w:t> </w:t>
                </w:r>
                <w:r>
                  <w:rPr>
                    <w:color w:val="7EAABF"/>
                    <w:w w:val="110"/>
                    <w:sz w:val="23"/>
                  </w:rPr>
                  <w:t>United Reformed Church </w:t>
                </w:r>
                <w:r>
                  <w:rPr>
                    <w:rFonts w:ascii="Symbol" w:hAnsi="Symbol"/>
                    <w:color w:val="7EAABF"/>
                    <w:w w:val="110"/>
                    <w:sz w:val="23"/>
                  </w:rPr>
                  <w:t></w:t>
                </w:r>
                <w:r>
                  <w:rPr>
                    <w:rFonts w:ascii="Times New Roman" w:hAnsi="Times New Roman"/>
                    <w:color w:val="7EAABF"/>
                    <w:w w:val="110"/>
                    <w:sz w:val="23"/>
                  </w:rPr>
                  <w:t> </w:t>
                </w:r>
                <w:r>
                  <w:rPr>
                    <w:color w:val="7EAABF"/>
                    <w:w w:val="110"/>
                    <w:sz w:val="23"/>
                  </w:rPr>
                  <w:t>General Assembly 2016</w:t>
                </w:r>
              </w:p>
            </w:txbxContent>
          </v:textbox>
          <w10:wrap type="none"/>
        </v:shape>
      </w:pict>
    </w:r>
  </w:p>
</w:ftr>
</file>

<file path=word/footer1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224.923203pt;margin-top:798.53833pt;width:311pt;height:17.45pt;mso-position-horizontal-relative:page;mso-position-vertical-relative:page;z-index:-268091392" type="#_x0000_t202" filled="false" stroked="false">
          <v:textbox inset="0,0,0,0">
            <w:txbxContent>
              <w:p>
                <w:pPr>
                  <w:spacing w:before="16"/>
                  <w:ind w:left="20" w:right="0" w:firstLine="0"/>
                  <w:jc w:val="left"/>
                  <w:rPr>
                    <w:rFonts w:ascii="Stone Sans II ITC Std X Bd" w:hAnsi="Stone Sans II ITC Std X Bd"/>
                    <w:b/>
                    <w:sz w:val="24"/>
                  </w:rPr>
                </w:pPr>
                <w:r>
                  <w:rPr>
                    <w:color w:val="7EAABF"/>
                    <w:w w:val="110"/>
                    <w:sz w:val="23"/>
                  </w:rPr>
                  <w:t>United Reformed Church </w:t>
                </w:r>
                <w:r>
                  <w:rPr>
                    <w:rFonts w:ascii="Symbol" w:hAnsi="Symbol"/>
                    <w:color w:val="7EAABF"/>
                    <w:w w:val="110"/>
                    <w:sz w:val="23"/>
                  </w:rPr>
                  <w:t></w:t>
                </w:r>
                <w:r>
                  <w:rPr>
                    <w:rFonts w:ascii="Times New Roman" w:hAnsi="Times New Roman"/>
                    <w:color w:val="7EAABF"/>
                    <w:w w:val="110"/>
                    <w:sz w:val="23"/>
                  </w:rPr>
                  <w:t> </w:t>
                </w:r>
                <w:r>
                  <w:rPr>
                    <w:color w:val="7EAABF"/>
                    <w:w w:val="110"/>
                    <w:sz w:val="23"/>
                  </w:rPr>
                  <w:t>General Assembly 2016 </w:t>
                </w:r>
                <w:r>
                  <w:rPr>
                    <w:rFonts w:ascii="Symbol" w:hAnsi="Symbol"/>
                    <w:color w:val="7EAABF"/>
                    <w:w w:val="110"/>
                    <w:sz w:val="23"/>
                  </w:rPr>
                  <w:t></w:t>
                </w:r>
                <w:r>
                  <w:rPr>
                    <w:rFonts w:ascii="Times New Roman" w:hAnsi="Times New Roman"/>
                    <w:color w:val="7EAABF"/>
                    <w:w w:val="110"/>
                    <w:sz w:val="23"/>
                  </w:rPr>
                  <w:t> </w:t>
                </w:r>
                <w:r>
                  <w:rPr/>
                  <w:fldChar w:fldCharType="begin"/>
                </w:r>
                <w:r>
                  <w:rPr>
                    <w:rFonts w:ascii="Stone Sans II ITC Std X Bd" w:hAnsi="Stone Sans II ITC Std X Bd"/>
                    <w:b/>
                    <w:w w:val="110"/>
                    <w:sz w:val="24"/>
                  </w:rPr>
                  <w:instrText> PAGE </w:instrText>
                </w:r>
                <w:r>
                  <w:rPr/>
                  <w:fldChar w:fldCharType="separate"/>
                </w:r>
                <w:r>
                  <w:rPr/>
                  <w:t>23</w:t>
                </w:r>
                <w:r>
                  <w:rPr/>
                  <w:fldChar w:fldCharType="end"/>
                </w:r>
              </w:p>
            </w:txbxContent>
          </v:textbox>
          <w10:wrap type="none"/>
        </v:shape>
      </w:pict>
    </w:r>
  </w:p>
</w:ftr>
</file>

<file path=word/footer18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18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18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216.907196pt;margin-top:798.53833pt;width:319.05pt;height:17.45pt;mso-position-horizontal-relative:page;mso-position-vertical-relative:page;z-index:-267933696" type="#_x0000_t202" filled="false" stroked="false">
          <v:textbox inset="0,0,0,0">
            <w:txbxContent>
              <w:p>
                <w:pPr>
                  <w:spacing w:before="16"/>
                  <w:ind w:left="20" w:right="0" w:firstLine="0"/>
                  <w:jc w:val="left"/>
                  <w:rPr>
                    <w:rFonts w:ascii="Stone Sans II ITC Std X Bd" w:hAnsi="Stone Sans II ITC Std X Bd"/>
                    <w:b/>
                    <w:sz w:val="24"/>
                  </w:rPr>
                </w:pPr>
                <w:r>
                  <w:rPr>
                    <w:color w:val="7EAABF"/>
                    <w:w w:val="110"/>
                    <w:sz w:val="23"/>
                  </w:rPr>
                  <w:t>United Reformed Church </w:t>
                </w:r>
                <w:r>
                  <w:rPr>
                    <w:rFonts w:ascii="Symbol" w:hAnsi="Symbol"/>
                    <w:color w:val="7EAABF"/>
                    <w:w w:val="110"/>
                    <w:sz w:val="23"/>
                  </w:rPr>
                  <w:t></w:t>
                </w:r>
                <w:r>
                  <w:rPr>
                    <w:rFonts w:ascii="Times New Roman" w:hAnsi="Times New Roman"/>
                    <w:color w:val="7EAABF"/>
                    <w:w w:val="110"/>
                    <w:sz w:val="23"/>
                  </w:rPr>
                  <w:t> </w:t>
                </w:r>
                <w:r>
                  <w:rPr>
                    <w:color w:val="7EAABF"/>
                    <w:w w:val="110"/>
                    <w:sz w:val="23"/>
                  </w:rPr>
                  <w:t>General Assembly 2016 </w:t>
                </w:r>
                <w:r>
                  <w:rPr>
                    <w:rFonts w:ascii="Symbol" w:hAnsi="Symbol"/>
                    <w:color w:val="7EAABF"/>
                    <w:w w:val="110"/>
                    <w:sz w:val="23"/>
                  </w:rPr>
                  <w:t></w:t>
                </w:r>
                <w:r>
                  <w:rPr>
                    <w:rFonts w:ascii="Times New Roman" w:hAnsi="Times New Roman"/>
                    <w:color w:val="7EAABF"/>
                    <w:w w:val="110"/>
                    <w:sz w:val="23"/>
                  </w:rPr>
                  <w:t> </w:t>
                </w:r>
                <w:r>
                  <w:rPr/>
                  <w:fldChar w:fldCharType="begin"/>
                </w:r>
                <w:r>
                  <w:rPr>
                    <w:rFonts w:ascii="Stone Sans II ITC Std X Bd" w:hAnsi="Stone Sans II ITC Std X Bd"/>
                    <w:b/>
                    <w:w w:val="110"/>
                    <w:sz w:val="24"/>
                  </w:rPr>
                  <w:instrText> PAGE </w:instrText>
                </w:r>
                <w:r>
                  <w:rPr/>
                  <w:fldChar w:fldCharType="separate"/>
                </w:r>
                <w:r>
                  <w:rPr/>
                  <w:t>187</w:t>
                </w:r>
                <w:r>
                  <w:rPr/>
                  <w:fldChar w:fldCharType="end"/>
                </w:r>
              </w:p>
            </w:txbxContent>
          </v:textbox>
          <w10:wrap type="none"/>
        </v:shape>
      </w:pict>
    </w:r>
  </w:p>
</w:ftr>
</file>

<file path=word/footer18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61.362202pt;margin-top:798.53833pt;width:317.05pt;height:17.45pt;mso-position-horizontal-relative:page;mso-position-vertical-relative:page;z-index:-267932672" type="#_x0000_t202" filled="false" stroked="false">
          <v:textbox inset="0,0,0,0">
            <w:txbxContent>
              <w:p>
                <w:pPr>
                  <w:spacing w:before="16"/>
                  <w:ind w:left="20" w:right="0" w:firstLine="0"/>
                  <w:jc w:val="left"/>
                  <w:rPr>
                    <w:sz w:val="23"/>
                  </w:rPr>
                </w:pPr>
                <w:r>
                  <w:rPr>
                    <w:rFonts w:ascii="Stone Sans II ITC Std X Bd" w:hAnsi="Stone Sans II ITC Std X Bd"/>
                    <w:b/>
                    <w:w w:val="110"/>
                    <w:sz w:val="24"/>
                  </w:rPr>
                  <w:t>188 </w:t>
                </w:r>
                <w:r>
                  <w:rPr>
                    <w:rFonts w:ascii="Symbol" w:hAnsi="Symbol"/>
                    <w:color w:val="7EAABF"/>
                    <w:w w:val="110"/>
                    <w:sz w:val="23"/>
                  </w:rPr>
                  <w:t></w:t>
                </w:r>
                <w:r>
                  <w:rPr>
                    <w:rFonts w:ascii="Times New Roman" w:hAnsi="Times New Roman"/>
                    <w:color w:val="7EAABF"/>
                    <w:w w:val="110"/>
                    <w:sz w:val="23"/>
                  </w:rPr>
                  <w:t> </w:t>
                </w:r>
                <w:r>
                  <w:rPr>
                    <w:color w:val="7EAABF"/>
                    <w:w w:val="110"/>
                    <w:sz w:val="23"/>
                  </w:rPr>
                  <w:t>United Reformed Church </w:t>
                </w:r>
                <w:r>
                  <w:rPr>
                    <w:rFonts w:ascii="Symbol" w:hAnsi="Symbol"/>
                    <w:color w:val="7EAABF"/>
                    <w:w w:val="110"/>
                    <w:sz w:val="23"/>
                  </w:rPr>
                  <w:t></w:t>
                </w:r>
                <w:r>
                  <w:rPr>
                    <w:rFonts w:ascii="Times New Roman" w:hAnsi="Times New Roman"/>
                    <w:color w:val="7EAABF"/>
                    <w:w w:val="110"/>
                    <w:sz w:val="23"/>
                  </w:rPr>
                  <w:t> </w:t>
                </w:r>
                <w:r>
                  <w:rPr>
                    <w:color w:val="7EAABF"/>
                    <w:w w:val="110"/>
                    <w:sz w:val="23"/>
                  </w:rPr>
                  <w:t>General Assembly 2016</w:t>
                </w:r>
              </w:p>
            </w:txbxContent>
          </v:textbox>
          <w10:wrap type="none"/>
        </v:shape>
      </w:pict>
    </w:r>
  </w:p>
</w:ftr>
</file>

<file path=word/footer18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216.907196pt;margin-top:798.53833pt;width:319.05pt;height:17.45pt;mso-position-horizontal-relative:page;mso-position-vertical-relative:page;z-index:-267931648" type="#_x0000_t202" filled="false" stroked="false">
          <v:textbox inset="0,0,0,0">
            <w:txbxContent>
              <w:p>
                <w:pPr>
                  <w:spacing w:before="16"/>
                  <w:ind w:left="20" w:right="0" w:firstLine="0"/>
                  <w:jc w:val="left"/>
                  <w:rPr>
                    <w:rFonts w:ascii="Stone Sans II ITC Std X Bd" w:hAnsi="Stone Sans II ITC Std X Bd"/>
                    <w:b/>
                    <w:sz w:val="24"/>
                  </w:rPr>
                </w:pPr>
                <w:r>
                  <w:rPr>
                    <w:color w:val="7EAABF"/>
                    <w:w w:val="110"/>
                    <w:sz w:val="23"/>
                  </w:rPr>
                  <w:t>United Reformed Church </w:t>
                </w:r>
                <w:r>
                  <w:rPr>
                    <w:rFonts w:ascii="Symbol" w:hAnsi="Symbol"/>
                    <w:color w:val="7EAABF"/>
                    <w:w w:val="110"/>
                    <w:sz w:val="23"/>
                  </w:rPr>
                  <w:t></w:t>
                </w:r>
                <w:r>
                  <w:rPr>
                    <w:rFonts w:ascii="Times New Roman" w:hAnsi="Times New Roman"/>
                    <w:color w:val="7EAABF"/>
                    <w:w w:val="110"/>
                    <w:sz w:val="23"/>
                  </w:rPr>
                  <w:t> </w:t>
                </w:r>
                <w:r>
                  <w:rPr>
                    <w:color w:val="7EAABF"/>
                    <w:w w:val="110"/>
                    <w:sz w:val="23"/>
                  </w:rPr>
                  <w:t>General Assembly 2016 </w:t>
                </w:r>
                <w:r>
                  <w:rPr>
                    <w:rFonts w:ascii="Symbol" w:hAnsi="Symbol"/>
                    <w:color w:val="7EAABF"/>
                    <w:w w:val="110"/>
                    <w:sz w:val="23"/>
                  </w:rPr>
                  <w:t></w:t>
                </w:r>
                <w:r>
                  <w:rPr>
                    <w:rFonts w:ascii="Times New Roman" w:hAnsi="Times New Roman"/>
                    <w:color w:val="7EAABF"/>
                    <w:w w:val="110"/>
                    <w:sz w:val="23"/>
                  </w:rPr>
                  <w:t> </w:t>
                </w:r>
                <w:r>
                  <w:rPr/>
                  <w:fldChar w:fldCharType="begin"/>
                </w:r>
                <w:r>
                  <w:rPr>
                    <w:rFonts w:ascii="Stone Sans II ITC Std X Bd" w:hAnsi="Stone Sans II ITC Std X Bd"/>
                    <w:b/>
                    <w:w w:val="110"/>
                    <w:sz w:val="24"/>
                  </w:rPr>
                  <w:instrText> PAGE </w:instrText>
                </w:r>
                <w:r>
                  <w:rPr/>
                  <w:fldChar w:fldCharType="separate"/>
                </w:r>
                <w:r>
                  <w:rPr/>
                  <w:t>189</w:t>
                </w:r>
                <w:r>
                  <w:rPr/>
                  <w:fldChar w:fldCharType="end"/>
                </w:r>
              </w:p>
            </w:txbxContent>
          </v:textbox>
          <w10:wrap type="none"/>
        </v:shape>
      </w:pict>
    </w:r>
  </w:p>
</w:ftr>
</file>

<file path=word/footer18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61.362202pt;margin-top:798.53833pt;width:317.05pt;height:17.45pt;mso-position-horizontal-relative:page;mso-position-vertical-relative:page;z-index:-267930624" type="#_x0000_t202" filled="false" stroked="false">
          <v:textbox inset="0,0,0,0">
            <w:txbxContent>
              <w:p>
                <w:pPr>
                  <w:spacing w:before="16"/>
                  <w:ind w:left="20" w:right="0" w:firstLine="0"/>
                  <w:jc w:val="left"/>
                  <w:rPr>
                    <w:sz w:val="23"/>
                  </w:rPr>
                </w:pPr>
                <w:r>
                  <w:rPr>
                    <w:rFonts w:ascii="Stone Sans II ITC Std X Bd" w:hAnsi="Stone Sans II ITC Std X Bd"/>
                    <w:b/>
                    <w:w w:val="110"/>
                    <w:sz w:val="24"/>
                  </w:rPr>
                  <w:t>190 </w:t>
                </w:r>
                <w:r>
                  <w:rPr>
                    <w:rFonts w:ascii="Symbol" w:hAnsi="Symbol"/>
                    <w:color w:val="7EAABF"/>
                    <w:w w:val="110"/>
                    <w:sz w:val="23"/>
                  </w:rPr>
                  <w:t></w:t>
                </w:r>
                <w:r>
                  <w:rPr>
                    <w:rFonts w:ascii="Times New Roman" w:hAnsi="Times New Roman"/>
                    <w:color w:val="7EAABF"/>
                    <w:w w:val="110"/>
                    <w:sz w:val="23"/>
                  </w:rPr>
                  <w:t> </w:t>
                </w:r>
                <w:r>
                  <w:rPr>
                    <w:color w:val="7EAABF"/>
                    <w:w w:val="110"/>
                    <w:sz w:val="23"/>
                  </w:rPr>
                  <w:t>United Reformed Church </w:t>
                </w:r>
                <w:r>
                  <w:rPr>
                    <w:rFonts w:ascii="Symbol" w:hAnsi="Symbol"/>
                    <w:color w:val="7EAABF"/>
                    <w:w w:val="110"/>
                    <w:sz w:val="23"/>
                  </w:rPr>
                  <w:t></w:t>
                </w:r>
                <w:r>
                  <w:rPr>
                    <w:rFonts w:ascii="Times New Roman" w:hAnsi="Times New Roman"/>
                    <w:color w:val="7EAABF"/>
                    <w:w w:val="110"/>
                    <w:sz w:val="23"/>
                  </w:rPr>
                  <w:t> </w:t>
                </w:r>
                <w:r>
                  <w:rPr>
                    <w:color w:val="7EAABF"/>
                    <w:w w:val="110"/>
                    <w:sz w:val="23"/>
                  </w:rPr>
                  <w:t>General Assembly 2016</w:t>
                </w:r>
              </w:p>
            </w:txbxContent>
          </v:textbox>
          <w10:wrap type="none"/>
        </v:shape>
      </w:pict>
    </w:r>
  </w:p>
</w:ftr>
</file>

<file path=word/footer18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18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18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216.907196pt;margin-top:798.53833pt;width:319.05pt;height:17.45pt;mso-position-horizontal-relative:page;mso-position-vertical-relative:page;z-index:-267927552" type="#_x0000_t202" filled="false" stroked="false">
          <v:textbox inset="0,0,0,0">
            <w:txbxContent>
              <w:p>
                <w:pPr>
                  <w:spacing w:before="16"/>
                  <w:ind w:left="20" w:right="0" w:firstLine="0"/>
                  <w:jc w:val="left"/>
                  <w:rPr>
                    <w:rFonts w:ascii="Stone Sans II ITC Std X Bd" w:hAnsi="Stone Sans II ITC Std X Bd"/>
                    <w:b/>
                    <w:sz w:val="24"/>
                  </w:rPr>
                </w:pPr>
                <w:r>
                  <w:rPr>
                    <w:color w:val="7EAABF"/>
                    <w:w w:val="110"/>
                    <w:sz w:val="23"/>
                  </w:rPr>
                  <w:t>United Reformed Church </w:t>
                </w:r>
                <w:r>
                  <w:rPr>
                    <w:rFonts w:ascii="Symbol" w:hAnsi="Symbol"/>
                    <w:color w:val="7EAABF"/>
                    <w:w w:val="110"/>
                    <w:sz w:val="23"/>
                  </w:rPr>
                  <w:t></w:t>
                </w:r>
                <w:r>
                  <w:rPr>
                    <w:rFonts w:ascii="Times New Roman" w:hAnsi="Times New Roman"/>
                    <w:color w:val="7EAABF"/>
                    <w:w w:val="110"/>
                    <w:sz w:val="23"/>
                  </w:rPr>
                  <w:t> </w:t>
                </w:r>
                <w:r>
                  <w:rPr>
                    <w:color w:val="7EAABF"/>
                    <w:w w:val="110"/>
                    <w:sz w:val="23"/>
                  </w:rPr>
                  <w:t>General Assembly 2016 </w:t>
                </w:r>
                <w:r>
                  <w:rPr>
                    <w:rFonts w:ascii="Symbol" w:hAnsi="Symbol"/>
                    <w:color w:val="7EAABF"/>
                    <w:w w:val="110"/>
                    <w:sz w:val="23"/>
                  </w:rPr>
                  <w:t></w:t>
                </w:r>
                <w:r>
                  <w:rPr>
                    <w:rFonts w:ascii="Times New Roman" w:hAnsi="Times New Roman"/>
                    <w:color w:val="7EAABF"/>
                    <w:w w:val="110"/>
                    <w:sz w:val="23"/>
                  </w:rPr>
                  <w:t> </w:t>
                </w:r>
                <w:r>
                  <w:rPr/>
                  <w:fldChar w:fldCharType="begin"/>
                </w:r>
                <w:r>
                  <w:rPr>
                    <w:rFonts w:ascii="Stone Sans II ITC Std X Bd" w:hAnsi="Stone Sans II ITC Std X Bd"/>
                    <w:b/>
                    <w:w w:val="110"/>
                    <w:sz w:val="24"/>
                  </w:rPr>
                  <w:instrText> PAGE </w:instrText>
                </w:r>
                <w:r>
                  <w:rPr/>
                  <w:fldChar w:fldCharType="separate"/>
                </w:r>
                <w:r>
                  <w:rPr/>
                  <w:t>193</w:t>
                </w:r>
                <w:r>
                  <w:rPr/>
                  <w:fldChar w:fldCharType="end"/>
                </w:r>
              </w:p>
            </w:txbxContent>
          </v:textbox>
          <w10:wrap type="none"/>
        </v:shape>
      </w:pict>
    </w:r>
  </w:p>
</w:ftr>
</file>

<file path=word/footer18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1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59.362202pt;margin-top:798.53833pt;width:311.4pt;height:17.45pt;mso-position-horizontal-relative:page;mso-position-vertical-relative:page;z-index:-268090368" type="#_x0000_t202" filled="false" stroked="false">
          <v:textbox inset="0,0,0,0">
            <w:txbxContent>
              <w:p>
                <w:pPr>
                  <w:spacing w:before="16"/>
                  <w:ind w:left="60" w:right="0" w:firstLine="0"/>
                  <w:jc w:val="left"/>
                  <w:rPr>
                    <w:sz w:val="23"/>
                  </w:rPr>
                </w:pPr>
                <w:r>
                  <w:rPr/>
                  <w:fldChar w:fldCharType="begin"/>
                </w:r>
                <w:r>
                  <w:rPr>
                    <w:rFonts w:ascii="Stone Sans II ITC Std X Bd" w:hAnsi="Stone Sans II ITC Std X Bd"/>
                    <w:b/>
                    <w:w w:val="110"/>
                    <w:sz w:val="24"/>
                  </w:rPr>
                  <w:instrText> PAGE </w:instrText>
                </w:r>
                <w:r>
                  <w:rPr/>
                  <w:fldChar w:fldCharType="separate"/>
                </w:r>
                <w:r>
                  <w:rPr/>
                  <w:t>24</w:t>
                </w:r>
                <w:r>
                  <w:rPr/>
                  <w:fldChar w:fldCharType="end"/>
                </w:r>
                <w:r>
                  <w:rPr>
                    <w:rFonts w:ascii="Stone Sans II ITC Std X Bd" w:hAnsi="Stone Sans II ITC Std X Bd"/>
                    <w:b/>
                    <w:w w:val="110"/>
                    <w:sz w:val="24"/>
                  </w:rPr>
                  <w:t> </w:t>
                </w:r>
                <w:r>
                  <w:rPr>
                    <w:rFonts w:ascii="Symbol" w:hAnsi="Symbol"/>
                    <w:color w:val="7EAABF"/>
                    <w:w w:val="110"/>
                    <w:sz w:val="23"/>
                  </w:rPr>
                  <w:t></w:t>
                </w:r>
                <w:r>
                  <w:rPr>
                    <w:rFonts w:ascii="Times New Roman" w:hAnsi="Times New Roman"/>
                    <w:color w:val="7EAABF"/>
                    <w:w w:val="110"/>
                    <w:sz w:val="23"/>
                  </w:rPr>
                  <w:t> </w:t>
                </w:r>
                <w:r>
                  <w:rPr>
                    <w:color w:val="7EAABF"/>
                    <w:w w:val="110"/>
                    <w:sz w:val="23"/>
                  </w:rPr>
                  <w:t>United Reformed Church </w:t>
                </w:r>
                <w:r>
                  <w:rPr>
                    <w:rFonts w:ascii="Symbol" w:hAnsi="Symbol"/>
                    <w:color w:val="7EAABF"/>
                    <w:w w:val="110"/>
                    <w:sz w:val="23"/>
                  </w:rPr>
                  <w:t></w:t>
                </w:r>
                <w:r>
                  <w:rPr>
                    <w:rFonts w:ascii="Times New Roman" w:hAnsi="Times New Roman"/>
                    <w:color w:val="7EAABF"/>
                    <w:w w:val="110"/>
                    <w:sz w:val="23"/>
                  </w:rPr>
                  <w:t> </w:t>
                </w:r>
                <w:r>
                  <w:rPr>
                    <w:color w:val="7EAABF"/>
                    <w:w w:val="110"/>
                    <w:sz w:val="23"/>
                  </w:rPr>
                  <w:t>General Assembly 2016</w:t>
                </w:r>
              </w:p>
            </w:txbxContent>
          </v:textbox>
          <w10:wrap type="none"/>
        </v:shape>
      </w:pict>
    </w:r>
  </w:p>
</w:ftr>
</file>

<file path=word/footer19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216.907196pt;margin-top:798.53833pt;width:319.05pt;height:17.45pt;mso-position-horizontal-relative:page;mso-position-vertical-relative:page;z-index:-267926528" type="#_x0000_t202" filled="false" stroked="false">
          <v:textbox inset="0,0,0,0">
            <w:txbxContent>
              <w:p>
                <w:pPr>
                  <w:spacing w:before="16"/>
                  <w:ind w:left="20" w:right="0" w:firstLine="0"/>
                  <w:jc w:val="left"/>
                  <w:rPr>
                    <w:rFonts w:ascii="Stone Sans II ITC Std X Bd" w:hAnsi="Stone Sans II ITC Std X Bd"/>
                    <w:b/>
                    <w:sz w:val="24"/>
                  </w:rPr>
                </w:pPr>
                <w:r>
                  <w:rPr>
                    <w:color w:val="7EAABF"/>
                    <w:w w:val="110"/>
                    <w:sz w:val="23"/>
                  </w:rPr>
                  <w:t>United Reformed Church </w:t>
                </w:r>
                <w:r>
                  <w:rPr>
                    <w:rFonts w:ascii="Symbol" w:hAnsi="Symbol"/>
                    <w:color w:val="7EAABF"/>
                    <w:w w:val="110"/>
                    <w:sz w:val="23"/>
                  </w:rPr>
                  <w:t></w:t>
                </w:r>
                <w:r>
                  <w:rPr>
                    <w:rFonts w:ascii="Times New Roman" w:hAnsi="Times New Roman"/>
                    <w:color w:val="7EAABF"/>
                    <w:w w:val="110"/>
                    <w:sz w:val="23"/>
                  </w:rPr>
                  <w:t> </w:t>
                </w:r>
                <w:r>
                  <w:rPr>
                    <w:color w:val="7EAABF"/>
                    <w:w w:val="110"/>
                    <w:sz w:val="23"/>
                  </w:rPr>
                  <w:t>General Assembly 2016 </w:t>
                </w:r>
                <w:r>
                  <w:rPr>
                    <w:rFonts w:ascii="Symbol" w:hAnsi="Symbol"/>
                    <w:color w:val="7EAABF"/>
                    <w:w w:val="110"/>
                    <w:sz w:val="23"/>
                  </w:rPr>
                  <w:t></w:t>
                </w:r>
                <w:r>
                  <w:rPr>
                    <w:rFonts w:ascii="Times New Roman" w:hAnsi="Times New Roman"/>
                    <w:color w:val="7EAABF"/>
                    <w:w w:val="110"/>
                    <w:sz w:val="23"/>
                  </w:rPr>
                  <w:t> </w:t>
                </w:r>
                <w:r>
                  <w:rPr/>
                  <w:fldChar w:fldCharType="begin"/>
                </w:r>
                <w:r>
                  <w:rPr>
                    <w:rFonts w:ascii="Stone Sans II ITC Std X Bd" w:hAnsi="Stone Sans II ITC Std X Bd"/>
                    <w:b/>
                    <w:w w:val="110"/>
                    <w:sz w:val="24"/>
                  </w:rPr>
                  <w:instrText> PAGE </w:instrText>
                </w:r>
                <w:r>
                  <w:rPr/>
                  <w:fldChar w:fldCharType="separate"/>
                </w:r>
                <w:r>
                  <w:rPr/>
                  <w:t>195</w:t>
                </w:r>
                <w:r>
                  <w:rPr/>
                  <w:fldChar w:fldCharType="end"/>
                </w:r>
              </w:p>
            </w:txbxContent>
          </v:textbox>
          <w10:wrap type="none"/>
        </v:shape>
      </w:pict>
    </w:r>
  </w:p>
</w:ftr>
</file>

<file path=word/footer19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19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19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59.362202pt;margin-top:798.53833pt;width:319.05pt;height:17.45pt;mso-position-horizontal-relative:page;mso-position-vertical-relative:page;z-index:-267923456" type="#_x0000_t202" filled="false" stroked="false">
          <v:textbox inset="0,0,0,0">
            <w:txbxContent>
              <w:p>
                <w:pPr>
                  <w:spacing w:before="16"/>
                  <w:ind w:left="60" w:right="0" w:firstLine="0"/>
                  <w:jc w:val="left"/>
                  <w:rPr>
                    <w:sz w:val="23"/>
                  </w:rPr>
                </w:pPr>
                <w:r>
                  <w:rPr/>
                  <w:fldChar w:fldCharType="begin"/>
                </w:r>
                <w:r>
                  <w:rPr>
                    <w:rFonts w:ascii="Stone Sans II ITC Std X Bd" w:hAnsi="Stone Sans II ITC Std X Bd"/>
                    <w:b/>
                    <w:w w:val="110"/>
                    <w:sz w:val="24"/>
                  </w:rPr>
                  <w:instrText> PAGE </w:instrText>
                </w:r>
                <w:r>
                  <w:rPr/>
                  <w:fldChar w:fldCharType="separate"/>
                </w:r>
                <w:r>
                  <w:rPr/>
                  <w:t>198</w:t>
                </w:r>
                <w:r>
                  <w:rPr/>
                  <w:fldChar w:fldCharType="end"/>
                </w:r>
                <w:r>
                  <w:rPr>
                    <w:rFonts w:ascii="Stone Sans II ITC Std X Bd" w:hAnsi="Stone Sans II ITC Std X Bd"/>
                    <w:b/>
                    <w:w w:val="110"/>
                    <w:sz w:val="24"/>
                  </w:rPr>
                  <w:t> </w:t>
                </w:r>
                <w:r>
                  <w:rPr>
                    <w:rFonts w:ascii="Symbol" w:hAnsi="Symbol"/>
                    <w:color w:val="7EAABF"/>
                    <w:w w:val="110"/>
                    <w:sz w:val="23"/>
                  </w:rPr>
                  <w:t></w:t>
                </w:r>
                <w:r>
                  <w:rPr>
                    <w:rFonts w:ascii="Times New Roman" w:hAnsi="Times New Roman"/>
                    <w:color w:val="7EAABF"/>
                    <w:w w:val="110"/>
                    <w:sz w:val="23"/>
                  </w:rPr>
                  <w:t> </w:t>
                </w:r>
                <w:r>
                  <w:rPr>
                    <w:color w:val="7EAABF"/>
                    <w:w w:val="110"/>
                    <w:sz w:val="23"/>
                  </w:rPr>
                  <w:t>United Reformed Church </w:t>
                </w:r>
                <w:r>
                  <w:rPr>
                    <w:rFonts w:ascii="Symbol" w:hAnsi="Symbol"/>
                    <w:color w:val="7EAABF"/>
                    <w:w w:val="110"/>
                    <w:sz w:val="23"/>
                  </w:rPr>
                  <w:t></w:t>
                </w:r>
                <w:r>
                  <w:rPr>
                    <w:rFonts w:ascii="Times New Roman" w:hAnsi="Times New Roman"/>
                    <w:color w:val="7EAABF"/>
                    <w:w w:val="110"/>
                    <w:sz w:val="23"/>
                  </w:rPr>
                  <w:t> </w:t>
                </w:r>
                <w:r>
                  <w:rPr>
                    <w:color w:val="7EAABF"/>
                    <w:w w:val="110"/>
                    <w:sz w:val="23"/>
                  </w:rPr>
                  <w:t>General Assembly 2016</w:t>
                </w:r>
              </w:p>
            </w:txbxContent>
          </v:textbox>
          <w10:wrap type="none"/>
        </v:shape>
      </w:pict>
    </w:r>
  </w:p>
</w:ftr>
</file>

<file path=word/footer19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19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59.362202pt;margin-top:798.53833pt;width:319.05pt;height:17.45pt;mso-position-horizontal-relative:page;mso-position-vertical-relative:page;z-index:-267921408" type="#_x0000_t202" filled="false" stroked="false">
          <v:textbox inset="0,0,0,0">
            <w:txbxContent>
              <w:p>
                <w:pPr>
                  <w:spacing w:before="16"/>
                  <w:ind w:left="60" w:right="0" w:firstLine="0"/>
                  <w:jc w:val="left"/>
                  <w:rPr>
                    <w:sz w:val="23"/>
                  </w:rPr>
                </w:pPr>
                <w:r>
                  <w:rPr/>
                  <w:fldChar w:fldCharType="begin"/>
                </w:r>
                <w:r>
                  <w:rPr>
                    <w:rFonts w:ascii="Stone Sans II ITC Std X Bd" w:hAnsi="Stone Sans II ITC Std X Bd"/>
                    <w:b/>
                    <w:w w:val="110"/>
                    <w:sz w:val="24"/>
                  </w:rPr>
                  <w:instrText> PAGE </w:instrText>
                </w:r>
                <w:r>
                  <w:rPr/>
                  <w:fldChar w:fldCharType="separate"/>
                </w:r>
                <w:r>
                  <w:rPr/>
                  <w:t>200</w:t>
                </w:r>
                <w:r>
                  <w:rPr/>
                  <w:fldChar w:fldCharType="end"/>
                </w:r>
                <w:r>
                  <w:rPr>
                    <w:rFonts w:ascii="Stone Sans II ITC Std X Bd" w:hAnsi="Stone Sans II ITC Std X Bd"/>
                    <w:b/>
                    <w:w w:val="110"/>
                    <w:sz w:val="24"/>
                  </w:rPr>
                  <w:t> </w:t>
                </w:r>
                <w:r>
                  <w:rPr>
                    <w:rFonts w:ascii="Symbol" w:hAnsi="Symbol"/>
                    <w:color w:val="7EAABF"/>
                    <w:w w:val="110"/>
                    <w:sz w:val="23"/>
                  </w:rPr>
                  <w:t></w:t>
                </w:r>
                <w:r>
                  <w:rPr>
                    <w:rFonts w:ascii="Times New Roman" w:hAnsi="Times New Roman"/>
                    <w:color w:val="7EAABF"/>
                    <w:w w:val="110"/>
                    <w:sz w:val="23"/>
                  </w:rPr>
                  <w:t> </w:t>
                </w:r>
                <w:r>
                  <w:rPr>
                    <w:color w:val="7EAABF"/>
                    <w:w w:val="110"/>
                    <w:sz w:val="23"/>
                  </w:rPr>
                  <w:t>United Reformed Church </w:t>
                </w:r>
                <w:r>
                  <w:rPr>
                    <w:rFonts w:ascii="Symbol" w:hAnsi="Symbol"/>
                    <w:color w:val="7EAABF"/>
                    <w:w w:val="110"/>
                    <w:sz w:val="23"/>
                  </w:rPr>
                  <w:t></w:t>
                </w:r>
                <w:r>
                  <w:rPr>
                    <w:rFonts w:ascii="Times New Roman" w:hAnsi="Times New Roman"/>
                    <w:color w:val="7EAABF"/>
                    <w:w w:val="110"/>
                    <w:sz w:val="23"/>
                  </w:rPr>
                  <w:t> </w:t>
                </w:r>
                <w:r>
                  <w:rPr>
                    <w:color w:val="7EAABF"/>
                    <w:w w:val="110"/>
                    <w:sz w:val="23"/>
                  </w:rPr>
                  <w:t>General Assembly 2016</w:t>
                </w:r>
              </w:p>
            </w:txbxContent>
          </v:textbox>
          <w10:wrap type="none"/>
        </v:shape>
      </w:pict>
    </w:r>
  </w:p>
</w:ftr>
</file>

<file path=word/footer19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216.907196pt;margin-top:798.53833pt;width:319.05pt;height:17.45pt;mso-position-horizontal-relative:page;mso-position-vertical-relative:page;z-index:-267920384" type="#_x0000_t202" filled="false" stroked="false">
          <v:textbox inset="0,0,0,0">
            <w:txbxContent>
              <w:p>
                <w:pPr>
                  <w:spacing w:before="16"/>
                  <w:ind w:left="20" w:right="0" w:firstLine="0"/>
                  <w:jc w:val="left"/>
                  <w:rPr>
                    <w:rFonts w:ascii="Stone Sans II ITC Std X Bd" w:hAnsi="Stone Sans II ITC Std X Bd"/>
                    <w:b/>
                    <w:sz w:val="24"/>
                  </w:rPr>
                </w:pPr>
                <w:r>
                  <w:rPr>
                    <w:color w:val="7EAABF"/>
                    <w:w w:val="110"/>
                    <w:sz w:val="23"/>
                  </w:rPr>
                  <w:t>United Reformed Church </w:t>
                </w:r>
                <w:r>
                  <w:rPr>
                    <w:rFonts w:ascii="Symbol" w:hAnsi="Symbol"/>
                    <w:color w:val="7EAABF"/>
                    <w:w w:val="110"/>
                    <w:sz w:val="23"/>
                  </w:rPr>
                  <w:t></w:t>
                </w:r>
                <w:r>
                  <w:rPr>
                    <w:rFonts w:ascii="Times New Roman" w:hAnsi="Times New Roman"/>
                    <w:color w:val="7EAABF"/>
                    <w:w w:val="110"/>
                    <w:sz w:val="23"/>
                  </w:rPr>
                  <w:t> </w:t>
                </w:r>
                <w:r>
                  <w:rPr>
                    <w:color w:val="7EAABF"/>
                    <w:w w:val="110"/>
                    <w:sz w:val="23"/>
                  </w:rPr>
                  <w:t>General Assembly 2016 </w:t>
                </w:r>
                <w:r>
                  <w:rPr>
                    <w:rFonts w:ascii="Symbol" w:hAnsi="Symbol"/>
                    <w:color w:val="7EAABF"/>
                    <w:w w:val="110"/>
                    <w:sz w:val="23"/>
                  </w:rPr>
                  <w:t></w:t>
                </w:r>
                <w:r>
                  <w:rPr>
                    <w:rFonts w:ascii="Times New Roman" w:hAnsi="Times New Roman"/>
                    <w:color w:val="7EAABF"/>
                    <w:w w:val="110"/>
                    <w:sz w:val="23"/>
                  </w:rPr>
                  <w:t> </w:t>
                </w:r>
                <w:r>
                  <w:rPr/>
                  <w:fldChar w:fldCharType="begin"/>
                </w:r>
                <w:r>
                  <w:rPr>
                    <w:rFonts w:ascii="Stone Sans II ITC Std X Bd" w:hAnsi="Stone Sans II ITC Std X Bd"/>
                    <w:b/>
                    <w:w w:val="110"/>
                    <w:sz w:val="24"/>
                  </w:rPr>
                  <w:instrText> PAGE </w:instrText>
                </w:r>
                <w:r>
                  <w:rPr/>
                  <w:fldChar w:fldCharType="separate"/>
                </w:r>
                <w:r>
                  <w:rPr/>
                  <w:t>201</w:t>
                </w:r>
                <w:r>
                  <w:rPr/>
                  <w:fldChar w:fldCharType="end"/>
                </w:r>
              </w:p>
            </w:txbxContent>
          </v:textbox>
          <w10:wrap type="none"/>
        </v:shape>
      </w:pict>
    </w:r>
  </w:p>
</w:ftr>
</file>

<file path=word/footer19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59.362202pt;margin-top:798.53833pt;width:319.05pt;height:17.45pt;mso-position-horizontal-relative:page;mso-position-vertical-relative:page;z-index:-267919360" type="#_x0000_t202" filled="false" stroked="false">
          <v:textbox inset="0,0,0,0">
            <w:txbxContent>
              <w:p>
                <w:pPr>
                  <w:spacing w:before="16"/>
                  <w:ind w:left="60" w:right="0" w:firstLine="0"/>
                  <w:jc w:val="left"/>
                  <w:rPr>
                    <w:sz w:val="23"/>
                  </w:rPr>
                </w:pPr>
                <w:r>
                  <w:rPr/>
                  <w:fldChar w:fldCharType="begin"/>
                </w:r>
                <w:r>
                  <w:rPr>
                    <w:rFonts w:ascii="Stone Sans II ITC Std X Bd" w:hAnsi="Stone Sans II ITC Std X Bd"/>
                    <w:b/>
                    <w:w w:val="110"/>
                    <w:sz w:val="24"/>
                  </w:rPr>
                  <w:instrText> PAGE </w:instrText>
                </w:r>
                <w:r>
                  <w:rPr/>
                  <w:fldChar w:fldCharType="separate"/>
                </w:r>
                <w:r>
                  <w:rPr/>
                  <w:t>202</w:t>
                </w:r>
                <w:r>
                  <w:rPr/>
                  <w:fldChar w:fldCharType="end"/>
                </w:r>
                <w:r>
                  <w:rPr>
                    <w:rFonts w:ascii="Stone Sans II ITC Std X Bd" w:hAnsi="Stone Sans II ITC Std X Bd"/>
                    <w:b/>
                    <w:w w:val="110"/>
                    <w:sz w:val="24"/>
                  </w:rPr>
                  <w:t> </w:t>
                </w:r>
                <w:r>
                  <w:rPr>
                    <w:rFonts w:ascii="Symbol" w:hAnsi="Symbol"/>
                    <w:color w:val="7EAABF"/>
                    <w:w w:val="110"/>
                    <w:sz w:val="23"/>
                  </w:rPr>
                  <w:t></w:t>
                </w:r>
                <w:r>
                  <w:rPr>
                    <w:rFonts w:ascii="Times New Roman" w:hAnsi="Times New Roman"/>
                    <w:color w:val="7EAABF"/>
                    <w:w w:val="110"/>
                    <w:sz w:val="23"/>
                  </w:rPr>
                  <w:t> </w:t>
                </w:r>
                <w:r>
                  <w:rPr>
                    <w:color w:val="7EAABF"/>
                    <w:w w:val="110"/>
                    <w:sz w:val="23"/>
                  </w:rPr>
                  <w:t>United Reformed Church </w:t>
                </w:r>
                <w:r>
                  <w:rPr>
                    <w:rFonts w:ascii="Symbol" w:hAnsi="Symbol"/>
                    <w:color w:val="7EAABF"/>
                    <w:w w:val="110"/>
                    <w:sz w:val="23"/>
                  </w:rPr>
                  <w:t></w:t>
                </w:r>
                <w:r>
                  <w:rPr>
                    <w:rFonts w:ascii="Times New Roman" w:hAnsi="Times New Roman"/>
                    <w:color w:val="7EAABF"/>
                    <w:w w:val="110"/>
                    <w:sz w:val="23"/>
                  </w:rPr>
                  <w:t> </w:t>
                </w:r>
                <w:r>
                  <w:rPr>
                    <w:color w:val="7EAABF"/>
                    <w:w w:val="110"/>
                    <w:sz w:val="23"/>
                  </w:rPr>
                  <w:t>General Assembly 2016</w:t>
                </w:r>
              </w:p>
            </w:txbxContent>
          </v:textbox>
          <w10:wrap type="none"/>
        </v:shape>
      </w:pict>
    </w:r>
  </w:p>
</w:ftr>
</file>

<file path=word/footer19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216.907196pt;margin-top:798.53833pt;width:319.05pt;height:17.45pt;mso-position-horizontal-relative:page;mso-position-vertical-relative:page;z-index:-267918336" type="#_x0000_t202" filled="false" stroked="false">
          <v:textbox inset="0,0,0,0">
            <w:txbxContent>
              <w:p>
                <w:pPr>
                  <w:spacing w:before="16"/>
                  <w:ind w:left="20" w:right="0" w:firstLine="0"/>
                  <w:jc w:val="left"/>
                  <w:rPr>
                    <w:rFonts w:ascii="Stone Sans II ITC Std X Bd" w:hAnsi="Stone Sans II ITC Std X Bd"/>
                    <w:b/>
                    <w:sz w:val="24"/>
                  </w:rPr>
                </w:pPr>
                <w:r>
                  <w:rPr>
                    <w:color w:val="7EAABF"/>
                    <w:w w:val="110"/>
                    <w:sz w:val="23"/>
                  </w:rPr>
                  <w:t>United Reformed Church </w:t>
                </w:r>
                <w:r>
                  <w:rPr>
                    <w:rFonts w:ascii="Symbol" w:hAnsi="Symbol"/>
                    <w:color w:val="7EAABF"/>
                    <w:w w:val="110"/>
                    <w:sz w:val="23"/>
                  </w:rPr>
                  <w:t></w:t>
                </w:r>
                <w:r>
                  <w:rPr>
                    <w:rFonts w:ascii="Times New Roman" w:hAnsi="Times New Roman"/>
                    <w:color w:val="7EAABF"/>
                    <w:w w:val="110"/>
                    <w:sz w:val="23"/>
                  </w:rPr>
                  <w:t> </w:t>
                </w:r>
                <w:r>
                  <w:rPr>
                    <w:color w:val="7EAABF"/>
                    <w:w w:val="110"/>
                    <w:sz w:val="23"/>
                  </w:rPr>
                  <w:t>General Assembly 2016 </w:t>
                </w:r>
                <w:r>
                  <w:rPr>
                    <w:rFonts w:ascii="Symbol" w:hAnsi="Symbol"/>
                    <w:color w:val="7EAABF"/>
                    <w:w w:val="110"/>
                    <w:sz w:val="23"/>
                  </w:rPr>
                  <w:t></w:t>
                </w:r>
                <w:r>
                  <w:rPr>
                    <w:rFonts w:ascii="Times New Roman" w:hAnsi="Times New Roman"/>
                    <w:color w:val="7EAABF"/>
                    <w:w w:val="110"/>
                    <w:sz w:val="23"/>
                  </w:rPr>
                  <w:t> </w:t>
                </w:r>
                <w:r>
                  <w:rPr/>
                  <w:fldChar w:fldCharType="begin"/>
                </w:r>
                <w:r>
                  <w:rPr>
                    <w:rFonts w:ascii="Stone Sans II ITC Std X Bd" w:hAnsi="Stone Sans II ITC Std X Bd"/>
                    <w:b/>
                    <w:w w:val="110"/>
                    <w:sz w:val="24"/>
                  </w:rPr>
                  <w:instrText> PAGE </w:instrText>
                </w:r>
                <w:r>
                  <w:rPr/>
                  <w:fldChar w:fldCharType="separate"/>
                </w:r>
                <w:r>
                  <w:rPr/>
                  <w:t>203</w:t>
                </w:r>
                <w:r>
                  <w:rPr/>
                  <w:fldChar w:fldCharType="end"/>
                </w:r>
              </w:p>
            </w:txbxContent>
          </v:textbox>
          <w10:wrap type="none"/>
        </v:shape>
      </w:pict>
    </w:r>
  </w:p>
</w:ftr>
</file>

<file path=word/footer19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59.362202pt;margin-top:798.53833pt;width:319.05pt;height:17.45pt;mso-position-horizontal-relative:page;mso-position-vertical-relative:page;z-index:-267917312" type="#_x0000_t202" filled="false" stroked="false">
          <v:textbox inset="0,0,0,0">
            <w:txbxContent>
              <w:p>
                <w:pPr>
                  <w:spacing w:before="16"/>
                  <w:ind w:left="60" w:right="0" w:firstLine="0"/>
                  <w:jc w:val="left"/>
                  <w:rPr>
                    <w:sz w:val="23"/>
                  </w:rPr>
                </w:pPr>
                <w:r>
                  <w:rPr/>
                  <w:fldChar w:fldCharType="begin"/>
                </w:r>
                <w:r>
                  <w:rPr>
                    <w:rFonts w:ascii="Stone Sans II ITC Std X Bd" w:hAnsi="Stone Sans II ITC Std X Bd"/>
                    <w:b/>
                    <w:w w:val="110"/>
                    <w:sz w:val="24"/>
                  </w:rPr>
                  <w:instrText> PAGE </w:instrText>
                </w:r>
                <w:r>
                  <w:rPr/>
                  <w:fldChar w:fldCharType="separate"/>
                </w:r>
                <w:r>
                  <w:rPr/>
                  <w:t>204</w:t>
                </w:r>
                <w:r>
                  <w:rPr/>
                  <w:fldChar w:fldCharType="end"/>
                </w:r>
                <w:r>
                  <w:rPr>
                    <w:rFonts w:ascii="Stone Sans II ITC Std X Bd" w:hAnsi="Stone Sans II ITC Std X Bd"/>
                    <w:b/>
                    <w:w w:val="110"/>
                    <w:sz w:val="24"/>
                  </w:rPr>
                  <w:t> </w:t>
                </w:r>
                <w:r>
                  <w:rPr>
                    <w:rFonts w:ascii="Symbol" w:hAnsi="Symbol"/>
                    <w:color w:val="7EAABF"/>
                    <w:w w:val="110"/>
                    <w:sz w:val="23"/>
                  </w:rPr>
                  <w:t></w:t>
                </w:r>
                <w:r>
                  <w:rPr>
                    <w:rFonts w:ascii="Times New Roman" w:hAnsi="Times New Roman"/>
                    <w:color w:val="7EAABF"/>
                    <w:w w:val="110"/>
                    <w:sz w:val="23"/>
                  </w:rPr>
                  <w:t> </w:t>
                </w:r>
                <w:r>
                  <w:rPr>
                    <w:color w:val="7EAABF"/>
                    <w:w w:val="110"/>
                    <w:sz w:val="23"/>
                  </w:rPr>
                  <w:t>United Reformed Church </w:t>
                </w:r>
                <w:r>
                  <w:rPr>
                    <w:rFonts w:ascii="Symbol" w:hAnsi="Symbol"/>
                    <w:color w:val="7EAABF"/>
                    <w:w w:val="110"/>
                    <w:sz w:val="23"/>
                  </w:rPr>
                  <w:t></w:t>
                </w:r>
                <w:r>
                  <w:rPr>
                    <w:rFonts w:ascii="Times New Roman" w:hAnsi="Times New Roman"/>
                    <w:color w:val="7EAABF"/>
                    <w:w w:val="110"/>
                    <w:sz w:val="23"/>
                  </w:rPr>
                  <w:t> </w:t>
                </w:r>
                <w:r>
                  <w:rPr>
                    <w:color w:val="7EAABF"/>
                    <w:w w:val="110"/>
                    <w:sz w:val="23"/>
                  </w:rPr>
                  <w:t>General Assembly 2016</w:t>
                </w:r>
              </w:p>
            </w:txbxContent>
          </v:textbox>
          <w10:wrap type="none"/>
        </v:shape>
      </w:pict>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232.555405pt;margin-top:798.53833pt;width:303.4pt;height:17.45pt;mso-position-horizontal-relative:page;mso-position-vertical-relative:page;z-index:-268106752" type="#_x0000_t202" filled="false" stroked="false">
          <v:textbox inset="0,0,0,0">
            <w:txbxContent>
              <w:p>
                <w:pPr>
                  <w:spacing w:before="16"/>
                  <w:ind w:left="20" w:right="0" w:firstLine="0"/>
                  <w:jc w:val="left"/>
                  <w:rPr>
                    <w:rFonts w:ascii="Stone Sans II ITC Std X Bd" w:hAnsi="Stone Sans II ITC Std X Bd"/>
                    <w:b/>
                    <w:sz w:val="24"/>
                  </w:rPr>
                </w:pPr>
                <w:r>
                  <w:rPr>
                    <w:color w:val="7EAABF"/>
                    <w:w w:val="110"/>
                    <w:sz w:val="23"/>
                  </w:rPr>
                  <w:t>United Reformed Church </w:t>
                </w:r>
                <w:r>
                  <w:rPr>
                    <w:rFonts w:ascii="Symbol" w:hAnsi="Symbol"/>
                    <w:color w:val="7EAABF"/>
                    <w:w w:val="110"/>
                    <w:sz w:val="23"/>
                  </w:rPr>
                  <w:t></w:t>
                </w:r>
                <w:r>
                  <w:rPr>
                    <w:rFonts w:ascii="Times New Roman" w:hAnsi="Times New Roman"/>
                    <w:color w:val="7EAABF"/>
                    <w:w w:val="110"/>
                    <w:sz w:val="23"/>
                  </w:rPr>
                  <w:t> </w:t>
                </w:r>
                <w:r>
                  <w:rPr>
                    <w:color w:val="7EAABF"/>
                    <w:w w:val="110"/>
                    <w:sz w:val="23"/>
                  </w:rPr>
                  <w:t>General Assembly 2016 </w:t>
                </w:r>
                <w:r>
                  <w:rPr>
                    <w:rFonts w:ascii="Symbol" w:hAnsi="Symbol"/>
                    <w:color w:val="7EAABF"/>
                    <w:w w:val="110"/>
                    <w:sz w:val="23"/>
                  </w:rPr>
                  <w:t></w:t>
                </w:r>
                <w:r>
                  <w:rPr>
                    <w:rFonts w:ascii="Times New Roman" w:hAnsi="Times New Roman"/>
                    <w:color w:val="7EAABF"/>
                    <w:w w:val="110"/>
                    <w:sz w:val="23"/>
                  </w:rPr>
                  <w:t> </w:t>
                </w:r>
                <w:r>
                  <w:rPr/>
                  <w:fldChar w:fldCharType="begin"/>
                </w:r>
                <w:r>
                  <w:rPr>
                    <w:rFonts w:ascii="Stone Sans II ITC Std X Bd" w:hAnsi="Stone Sans II ITC Std X Bd"/>
                    <w:b/>
                    <w:w w:val="110"/>
                    <w:sz w:val="24"/>
                  </w:rPr>
                  <w:instrText> PAGE </w:instrText>
                </w:r>
                <w:r>
                  <w:rPr/>
                  <w:fldChar w:fldCharType="separate"/>
                </w:r>
                <w:r>
                  <w:rPr/>
                  <w:t>7</w:t>
                </w:r>
                <w:r>
                  <w:rPr/>
                  <w:fldChar w:fldCharType="end"/>
                </w:r>
              </w:p>
            </w:txbxContent>
          </v:textbox>
          <w10:wrap type="none"/>
        </v:shape>
      </w:pict>
    </w:r>
  </w:p>
</w:ftr>
</file>

<file path=word/footer2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20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216.907196pt;margin-top:798.53833pt;width:319.05pt;height:17.45pt;mso-position-horizontal-relative:page;mso-position-vertical-relative:page;z-index:-267916288" type="#_x0000_t202" filled="false" stroked="false">
          <v:textbox inset="0,0,0,0">
            <w:txbxContent>
              <w:p>
                <w:pPr>
                  <w:spacing w:before="16"/>
                  <w:ind w:left="20" w:right="0" w:firstLine="0"/>
                  <w:jc w:val="left"/>
                  <w:rPr>
                    <w:rFonts w:ascii="Stone Sans II ITC Std X Bd" w:hAnsi="Stone Sans II ITC Std X Bd"/>
                    <w:b/>
                    <w:sz w:val="24"/>
                  </w:rPr>
                </w:pPr>
                <w:r>
                  <w:rPr>
                    <w:color w:val="7EAABF"/>
                    <w:w w:val="110"/>
                    <w:sz w:val="23"/>
                  </w:rPr>
                  <w:t>United Reformed Church </w:t>
                </w:r>
                <w:r>
                  <w:rPr>
                    <w:rFonts w:ascii="Symbol" w:hAnsi="Symbol"/>
                    <w:color w:val="7EAABF"/>
                    <w:w w:val="110"/>
                    <w:sz w:val="23"/>
                  </w:rPr>
                  <w:t></w:t>
                </w:r>
                <w:r>
                  <w:rPr>
                    <w:rFonts w:ascii="Times New Roman" w:hAnsi="Times New Roman"/>
                    <w:color w:val="7EAABF"/>
                    <w:w w:val="110"/>
                    <w:sz w:val="23"/>
                  </w:rPr>
                  <w:t> </w:t>
                </w:r>
                <w:r>
                  <w:rPr>
                    <w:color w:val="7EAABF"/>
                    <w:w w:val="110"/>
                    <w:sz w:val="23"/>
                  </w:rPr>
                  <w:t>General Assembly 2016 </w:t>
                </w:r>
                <w:r>
                  <w:rPr>
                    <w:rFonts w:ascii="Symbol" w:hAnsi="Symbol"/>
                    <w:color w:val="7EAABF"/>
                    <w:w w:val="110"/>
                    <w:sz w:val="23"/>
                  </w:rPr>
                  <w:t></w:t>
                </w:r>
                <w:r>
                  <w:rPr>
                    <w:rFonts w:ascii="Times New Roman" w:hAnsi="Times New Roman"/>
                    <w:color w:val="7EAABF"/>
                    <w:w w:val="110"/>
                    <w:sz w:val="23"/>
                  </w:rPr>
                  <w:t> </w:t>
                </w:r>
                <w:r>
                  <w:rPr/>
                  <w:fldChar w:fldCharType="begin"/>
                </w:r>
                <w:r>
                  <w:rPr>
                    <w:rFonts w:ascii="Stone Sans II ITC Std X Bd" w:hAnsi="Stone Sans II ITC Std X Bd"/>
                    <w:b/>
                    <w:w w:val="110"/>
                    <w:sz w:val="24"/>
                  </w:rPr>
                  <w:instrText> PAGE </w:instrText>
                </w:r>
                <w:r>
                  <w:rPr/>
                  <w:fldChar w:fldCharType="separate"/>
                </w:r>
                <w:r>
                  <w:rPr/>
                  <w:t>205</w:t>
                </w:r>
                <w:r>
                  <w:rPr/>
                  <w:fldChar w:fldCharType="end"/>
                </w:r>
              </w:p>
            </w:txbxContent>
          </v:textbox>
          <w10:wrap type="none"/>
        </v:shape>
      </w:pict>
    </w:r>
  </w:p>
</w:ftr>
</file>

<file path=word/footer20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59.362202pt;margin-top:798.53833pt;width:319.05pt;height:17.45pt;mso-position-horizontal-relative:page;mso-position-vertical-relative:page;z-index:-267915264" type="#_x0000_t202" filled="false" stroked="false">
          <v:textbox inset="0,0,0,0">
            <w:txbxContent>
              <w:p>
                <w:pPr>
                  <w:spacing w:before="16"/>
                  <w:ind w:left="60" w:right="0" w:firstLine="0"/>
                  <w:jc w:val="left"/>
                  <w:rPr>
                    <w:sz w:val="23"/>
                  </w:rPr>
                </w:pPr>
                <w:r>
                  <w:rPr/>
                  <w:fldChar w:fldCharType="begin"/>
                </w:r>
                <w:r>
                  <w:rPr>
                    <w:rFonts w:ascii="Stone Sans II ITC Std X Bd" w:hAnsi="Stone Sans II ITC Std X Bd"/>
                    <w:b/>
                    <w:w w:val="110"/>
                    <w:sz w:val="24"/>
                  </w:rPr>
                  <w:instrText> PAGE </w:instrText>
                </w:r>
                <w:r>
                  <w:rPr/>
                  <w:fldChar w:fldCharType="separate"/>
                </w:r>
                <w:r>
                  <w:rPr/>
                  <w:t>206</w:t>
                </w:r>
                <w:r>
                  <w:rPr/>
                  <w:fldChar w:fldCharType="end"/>
                </w:r>
                <w:r>
                  <w:rPr>
                    <w:rFonts w:ascii="Stone Sans II ITC Std X Bd" w:hAnsi="Stone Sans II ITC Std X Bd"/>
                    <w:b/>
                    <w:w w:val="110"/>
                    <w:sz w:val="24"/>
                  </w:rPr>
                  <w:t> </w:t>
                </w:r>
                <w:r>
                  <w:rPr>
                    <w:rFonts w:ascii="Symbol" w:hAnsi="Symbol"/>
                    <w:color w:val="7EAABF"/>
                    <w:w w:val="110"/>
                    <w:sz w:val="23"/>
                  </w:rPr>
                  <w:t></w:t>
                </w:r>
                <w:r>
                  <w:rPr>
                    <w:rFonts w:ascii="Times New Roman" w:hAnsi="Times New Roman"/>
                    <w:color w:val="7EAABF"/>
                    <w:w w:val="110"/>
                    <w:sz w:val="23"/>
                  </w:rPr>
                  <w:t> </w:t>
                </w:r>
                <w:r>
                  <w:rPr>
                    <w:color w:val="7EAABF"/>
                    <w:w w:val="110"/>
                    <w:sz w:val="23"/>
                  </w:rPr>
                  <w:t>United Reformed Church </w:t>
                </w:r>
                <w:r>
                  <w:rPr>
                    <w:rFonts w:ascii="Symbol" w:hAnsi="Symbol"/>
                    <w:color w:val="7EAABF"/>
                    <w:w w:val="110"/>
                    <w:sz w:val="23"/>
                  </w:rPr>
                  <w:t></w:t>
                </w:r>
                <w:r>
                  <w:rPr>
                    <w:rFonts w:ascii="Times New Roman" w:hAnsi="Times New Roman"/>
                    <w:color w:val="7EAABF"/>
                    <w:w w:val="110"/>
                    <w:sz w:val="23"/>
                  </w:rPr>
                  <w:t> </w:t>
                </w:r>
                <w:r>
                  <w:rPr>
                    <w:color w:val="7EAABF"/>
                    <w:w w:val="110"/>
                    <w:sz w:val="23"/>
                  </w:rPr>
                  <w:t>General Assembly 2016</w:t>
                </w:r>
              </w:p>
            </w:txbxContent>
          </v:textbox>
          <w10:wrap type="none"/>
        </v:shape>
      </w:pict>
    </w:r>
  </w:p>
</w:ftr>
</file>

<file path=word/footer20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216.907196pt;margin-top:798.53833pt;width:319.05pt;height:17.45pt;mso-position-horizontal-relative:page;mso-position-vertical-relative:page;z-index:-267914240" type="#_x0000_t202" filled="false" stroked="false">
          <v:textbox inset="0,0,0,0">
            <w:txbxContent>
              <w:p>
                <w:pPr>
                  <w:spacing w:before="16"/>
                  <w:ind w:left="20" w:right="0" w:firstLine="0"/>
                  <w:jc w:val="left"/>
                  <w:rPr>
                    <w:rFonts w:ascii="Stone Sans II ITC Std X Bd" w:hAnsi="Stone Sans II ITC Std X Bd"/>
                    <w:b/>
                    <w:sz w:val="24"/>
                  </w:rPr>
                </w:pPr>
                <w:r>
                  <w:rPr>
                    <w:color w:val="7EAABF"/>
                    <w:w w:val="110"/>
                    <w:sz w:val="23"/>
                  </w:rPr>
                  <w:t>United Reformed Church </w:t>
                </w:r>
                <w:r>
                  <w:rPr>
                    <w:rFonts w:ascii="Symbol" w:hAnsi="Symbol"/>
                    <w:color w:val="7EAABF"/>
                    <w:w w:val="110"/>
                    <w:sz w:val="23"/>
                  </w:rPr>
                  <w:t></w:t>
                </w:r>
                <w:r>
                  <w:rPr>
                    <w:rFonts w:ascii="Times New Roman" w:hAnsi="Times New Roman"/>
                    <w:color w:val="7EAABF"/>
                    <w:w w:val="110"/>
                    <w:sz w:val="23"/>
                  </w:rPr>
                  <w:t> </w:t>
                </w:r>
                <w:r>
                  <w:rPr>
                    <w:color w:val="7EAABF"/>
                    <w:w w:val="110"/>
                    <w:sz w:val="23"/>
                  </w:rPr>
                  <w:t>General Assembly 2016 </w:t>
                </w:r>
                <w:r>
                  <w:rPr>
                    <w:rFonts w:ascii="Symbol" w:hAnsi="Symbol"/>
                    <w:color w:val="7EAABF"/>
                    <w:w w:val="110"/>
                    <w:sz w:val="23"/>
                  </w:rPr>
                  <w:t></w:t>
                </w:r>
                <w:r>
                  <w:rPr>
                    <w:rFonts w:ascii="Times New Roman" w:hAnsi="Times New Roman"/>
                    <w:color w:val="7EAABF"/>
                    <w:w w:val="110"/>
                    <w:sz w:val="23"/>
                  </w:rPr>
                  <w:t> </w:t>
                </w:r>
                <w:r>
                  <w:rPr/>
                  <w:fldChar w:fldCharType="begin"/>
                </w:r>
                <w:r>
                  <w:rPr>
                    <w:rFonts w:ascii="Stone Sans II ITC Std X Bd" w:hAnsi="Stone Sans II ITC Std X Bd"/>
                    <w:b/>
                    <w:w w:val="110"/>
                    <w:sz w:val="24"/>
                  </w:rPr>
                  <w:instrText> PAGE </w:instrText>
                </w:r>
                <w:r>
                  <w:rPr/>
                  <w:fldChar w:fldCharType="separate"/>
                </w:r>
                <w:r>
                  <w:rPr/>
                  <w:t>207</w:t>
                </w:r>
                <w:r>
                  <w:rPr/>
                  <w:fldChar w:fldCharType="end"/>
                </w:r>
              </w:p>
            </w:txbxContent>
          </v:textbox>
          <w10:wrap type="none"/>
        </v:shape>
      </w:pict>
    </w:r>
  </w:p>
</w:ftr>
</file>

<file path=word/footer20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59.362202pt;margin-top:798.53833pt;width:319.05pt;height:17.45pt;mso-position-horizontal-relative:page;mso-position-vertical-relative:page;z-index:-267913216" type="#_x0000_t202" filled="false" stroked="false">
          <v:textbox inset="0,0,0,0">
            <w:txbxContent>
              <w:p>
                <w:pPr>
                  <w:spacing w:before="16"/>
                  <w:ind w:left="60" w:right="0" w:firstLine="0"/>
                  <w:jc w:val="left"/>
                  <w:rPr>
                    <w:sz w:val="23"/>
                  </w:rPr>
                </w:pPr>
                <w:r>
                  <w:rPr/>
                  <w:fldChar w:fldCharType="begin"/>
                </w:r>
                <w:r>
                  <w:rPr>
                    <w:rFonts w:ascii="Stone Sans II ITC Std X Bd" w:hAnsi="Stone Sans II ITC Std X Bd"/>
                    <w:b/>
                    <w:w w:val="110"/>
                    <w:sz w:val="24"/>
                  </w:rPr>
                  <w:instrText> PAGE </w:instrText>
                </w:r>
                <w:r>
                  <w:rPr/>
                  <w:fldChar w:fldCharType="separate"/>
                </w:r>
                <w:r>
                  <w:rPr/>
                  <w:t>208</w:t>
                </w:r>
                <w:r>
                  <w:rPr/>
                  <w:fldChar w:fldCharType="end"/>
                </w:r>
                <w:r>
                  <w:rPr>
                    <w:rFonts w:ascii="Stone Sans II ITC Std X Bd" w:hAnsi="Stone Sans II ITC Std X Bd"/>
                    <w:b/>
                    <w:w w:val="110"/>
                    <w:sz w:val="24"/>
                  </w:rPr>
                  <w:t> </w:t>
                </w:r>
                <w:r>
                  <w:rPr>
                    <w:rFonts w:ascii="Symbol" w:hAnsi="Symbol"/>
                    <w:color w:val="7EAABF"/>
                    <w:w w:val="110"/>
                    <w:sz w:val="23"/>
                  </w:rPr>
                  <w:t></w:t>
                </w:r>
                <w:r>
                  <w:rPr>
                    <w:rFonts w:ascii="Times New Roman" w:hAnsi="Times New Roman"/>
                    <w:color w:val="7EAABF"/>
                    <w:w w:val="110"/>
                    <w:sz w:val="23"/>
                  </w:rPr>
                  <w:t> </w:t>
                </w:r>
                <w:r>
                  <w:rPr>
                    <w:color w:val="7EAABF"/>
                    <w:w w:val="110"/>
                    <w:sz w:val="23"/>
                  </w:rPr>
                  <w:t>United Reformed Church </w:t>
                </w:r>
                <w:r>
                  <w:rPr>
                    <w:rFonts w:ascii="Symbol" w:hAnsi="Symbol"/>
                    <w:color w:val="7EAABF"/>
                    <w:w w:val="110"/>
                    <w:sz w:val="23"/>
                  </w:rPr>
                  <w:t></w:t>
                </w:r>
                <w:r>
                  <w:rPr>
                    <w:rFonts w:ascii="Times New Roman" w:hAnsi="Times New Roman"/>
                    <w:color w:val="7EAABF"/>
                    <w:w w:val="110"/>
                    <w:sz w:val="23"/>
                  </w:rPr>
                  <w:t> </w:t>
                </w:r>
                <w:r>
                  <w:rPr>
                    <w:color w:val="7EAABF"/>
                    <w:w w:val="110"/>
                    <w:sz w:val="23"/>
                  </w:rPr>
                  <w:t>General Assembly 2016</w:t>
                </w:r>
              </w:p>
            </w:txbxContent>
          </v:textbox>
          <w10:wrap type="none"/>
        </v:shape>
      </w:pict>
    </w:r>
  </w:p>
</w:ftr>
</file>

<file path=word/footer20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216.907196pt;margin-top:798.53833pt;width:319.05pt;height:17.45pt;mso-position-horizontal-relative:page;mso-position-vertical-relative:page;z-index:-267912192" type="#_x0000_t202" filled="false" stroked="false">
          <v:textbox inset="0,0,0,0">
            <w:txbxContent>
              <w:p>
                <w:pPr>
                  <w:spacing w:before="16"/>
                  <w:ind w:left="20" w:right="0" w:firstLine="0"/>
                  <w:jc w:val="left"/>
                  <w:rPr>
                    <w:rFonts w:ascii="Stone Sans II ITC Std X Bd" w:hAnsi="Stone Sans II ITC Std X Bd"/>
                    <w:b/>
                    <w:sz w:val="24"/>
                  </w:rPr>
                </w:pPr>
                <w:r>
                  <w:rPr>
                    <w:color w:val="7EAABF"/>
                    <w:w w:val="110"/>
                    <w:sz w:val="23"/>
                  </w:rPr>
                  <w:t>United Reformed Church </w:t>
                </w:r>
                <w:r>
                  <w:rPr>
                    <w:rFonts w:ascii="Symbol" w:hAnsi="Symbol"/>
                    <w:color w:val="7EAABF"/>
                    <w:w w:val="110"/>
                    <w:sz w:val="23"/>
                  </w:rPr>
                  <w:t></w:t>
                </w:r>
                <w:r>
                  <w:rPr>
                    <w:rFonts w:ascii="Times New Roman" w:hAnsi="Times New Roman"/>
                    <w:color w:val="7EAABF"/>
                    <w:w w:val="110"/>
                    <w:sz w:val="23"/>
                  </w:rPr>
                  <w:t> </w:t>
                </w:r>
                <w:r>
                  <w:rPr>
                    <w:color w:val="7EAABF"/>
                    <w:w w:val="110"/>
                    <w:sz w:val="23"/>
                  </w:rPr>
                  <w:t>General Assembly 2016 </w:t>
                </w:r>
                <w:r>
                  <w:rPr>
                    <w:rFonts w:ascii="Symbol" w:hAnsi="Symbol"/>
                    <w:color w:val="7EAABF"/>
                    <w:w w:val="110"/>
                    <w:sz w:val="23"/>
                  </w:rPr>
                  <w:t></w:t>
                </w:r>
                <w:r>
                  <w:rPr>
                    <w:rFonts w:ascii="Times New Roman" w:hAnsi="Times New Roman"/>
                    <w:color w:val="7EAABF"/>
                    <w:w w:val="110"/>
                    <w:sz w:val="23"/>
                  </w:rPr>
                  <w:t> </w:t>
                </w:r>
                <w:r>
                  <w:rPr/>
                  <w:fldChar w:fldCharType="begin"/>
                </w:r>
                <w:r>
                  <w:rPr>
                    <w:rFonts w:ascii="Stone Sans II ITC Std X Bd" w:hAnsi="Stone Sans II ITC Std X Bd"/>
                    <w:b/>
                    <w:w w:val="110"/>
                    <w:sz w:val="24"/>
                  </w:rPr>
                  <w:instrText> PAGE </w:instrText>
                </w:r>
                <w:r>
                  <w:rPr/>
                  <w:fldChar w:fldCharType="separate"/>
                </w:r>
                <w:r>
                  <w:rPr/>
                  <w:t>209</w:t>
                </w:r>
                <w:r>
                  <w:rPr/>
                  <w:fldChar w:fldCharType="end"/>
                </w:r>
              </w:p>
            </w:txbxContent>
          </v:textbox>
          <w10:wrap type="none"/>
        </v:shape>
      </w:pict>
    </w:r>
  </w:p>
</w:ftr>
</file>

<file path=word/footer20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61.362202pt;margin-top:798.53833pt;width:317.05pt;height:17.45pt;mso-position-horizontal-relative:page;mso-position-vertical-relative:page;z-index:-267911168" type="#_x0000_t202" filled="false" stroked="false">
          <v:textbox inset="0,0,0,0">
            <w:txbxContent>
              <w:p>
                <w:pPr>
                  <w:spacing w:before="16"/>
                  <w:ind w:left="20" w:right="0" w:firstLine="0"/>
                  <w:jc w:val="left"/>
                  <w:rPr>
                    <w:sz w:val="23"/>
                  </w:rPr>
                </w:pPr>
                <w:r>
                  <w:rPr>
                    <w:rFonts w:ascii="Stone Sans II ITC Std X Bd" w:hAnsi="Stone Sans II ITC Std X Bd"/>
                    <w:b/>
                    <w:w w:val="110"/>
                    <w:sz w:val="24"/>
                  </w:rPr>
                  <w:t>210 </w:t>
                </w:r>
                <w:r>
                  <w:rPr>
                    <w:rFonts w:ascii="Symbol" w:hAnsi="Symbol"/>
                    <w:color w:val="7EAABF"/>
                    <w:w w:val="110"/>
                    <w:sz w:val="23"/>
                  </w:rPr>
                  <w:t></w:t>
                </w:r>
                <w:r>
                  <w:rPr>
                    <w:rFonts w:ascii="Times New Roman" w:hAnsi="Times New Roman"/>
                    <w:color w:val="7EAABF"/>
                    <w:w w:val="110"/>
                    <w:sz w:val="23"/>
                  </w:rPr>
                  <w:t> </w:t>
                </w:r>
                <w:r>
                  <w:rPr>
                    <w:color w:val="7EAABF"/>
                    <w:w w:val="110"/>
                    <w:sz w:val="23"/>
                  </w:rPr>
                  <w:t>United Reformed Church </w:t>
                </w:r>
                <w:r>
                  <w:rPr>
                    <w:rFonts w:ascii="Symbol" w:hAnsi="Symbol"/>
                    <w:color w:val="7EAABF"/>
                    <w:w w:val="110"/>
                    <w:sz w:val="23"/>
                  </w:rPr>
                  <w:t></w:t>
                </w:r>
                <w:r>
                  <w:rPr>
                    <w:rFonts w:ascii="Times New Roman" w:hAnsi="Times New Roman"/>
                    <w:color w:val="7EAABF"/>
                    <w:w w:val="110"/>
                    <w:sz w:val="23"/>
                  </w:rPr>
                  <w:t> </w:t>
                </w:r>
                <w:r>
                  <w:rPr>
                    <w:color w:val="7EAABF"/>
                    <w:w w:val="110"/>
                    <w:sz w:val="23"/>
                  </w:rPr>
                  <w:t>General Assembly 2016</w:t>
                </w:r>
              </w:p>
            </w:txbxContent>
          </v:textbox>
          <w10:wrap type="none"/>
        </v:shape>
      </w:pict>
    </w:r>
  </w:p>
</w:ftr>
</file>

<file path=word/footer20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216.907196pt;margin-top:798.53833pt;width:317.05pt;height:17.45pt;mso-position-horizontal-relative:page;mso-position-vertical-relative:page;z-index:-267910144" type="#_x0000_t202" filled="false" stroked="false">
          <v:textbox inset="0,0,0,0">
            <w:txbxContent>
              <w:p>
                <w:pPr>
                  <w:spacing w:before="16"/>
                  <w:ind w:left="20" w:right="0" w:firstLine="0"/>
                  <w:jc w:val="left"/>
                  <w:rPr>
                    <w:rFonts w:ascii="Stone Sans II ITC Std X Bd" w:hAnsi="Stone Sans II ITC Std X Bd"/>
                    <w:b/>
                    <w:sz w:val="24"/>
                  </w:rPr>
                </w:pPr>
                <w:r>
                  <w:rPr>
                    <w:color w:val="7EAABF"/>
                    <w:w w:val="110"/>
                    <w:sz w:val="23"/>
                  </w:rPr>
                  <w:t>United Reformed Church </w:t>
                </w:r>
                <w:r>
                  <w:rPr>
                    <w:rFonts w:ascii="Symbol" w:hAnsi="Symbol"/>
                    <w:color w:val="7EAABF"/>
                    <w:w w:val="110"/>
                    <w:sz w:val="23"/>
                  </w:rPr>
                  <w:t></w:t>
                </w:r>
                <w:r>
                  <w:rPr>
                    <w:rFonts w:ascii="Times New Roman" w:hAnsi="Times New Roman"/>
                    <w:color w:val="7EAABF"/>
                    <w:w w:val="110"/>
                    <w:sz w:val="23"/>
                  </w:rPr>
                  <w:t> </w:t>
                </w:r>
                <w:r>
                  <w:rPr>
                    <w:color w:val="7EAABF"/>
                    <w:w w:val="110"/>
                    <w:sz w:val="23"/>
                  </w:rPr>
                  <w:t>General Assembly 2016 </w:t>
                </w:r>
                <w:r>
                  <w:rPr>
                    <w:rFonts w:ascii="Symbol" w:hAnsi="Symbol"/>
                    <w:color w:val="7EAABF"/>
                    <w:w w:val="110"/>
                    <w:sz w:val="23"/>
                  </w:rPr>
                  <w:t></w:t>
                </w:r>
                <w:r>
                  <w:rPr>
                    <w:rFonts w:ascii="Times New Roman" w:hAnsi="Times New Roman"/>
                    <w:color w:val="7EAABF"/>
                    <w:w w:val="110"/>
                    <w:sz w:val="23"/>
                  </w:rPr>
                  <w:t> </w:t>
                </w:r>
                <w:r>
                  <w:rPr>
                    <w:rFonts w:ascii="Stone Sans II ITC Std X Bd" w:hAnsi="Stone Sans II ITC Std X Bd"/>
                    <w:b/>
                    <w:w w:val="110"/>
                    <w:sz w:val="24"/>
                  </w:rPr>
                  <w:t>211</w:t>
                </w:r>
              </w:p>
            </w:txbxContent>
          </v:textbox>
          <w10:wrap type="none"/>
        </v:shape>
      </w:pict>
    </w:r>
  </w:p>
</w:ftr>
</file>

<file path=word/footer20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59.362202pt;margin-top:798.53833pt;width:319.05pt;height:17.45pt;mso-position-horizontal-relative:page;mso-position-vertical-relative:page;z-index:-267909120" type="#_x0000_t202" filled="false" stroked="false">
          <v:textbox inset="0,0,0,0">
            <w:txbxContent>
              <w:p>
                <w:pPr>
                  <w:spacing w:before="16"/>
                  <w:ind w:left="60" w:right="0" w:firstLine="0"/>
                  <w:jc w:val="left"/>
                  <w:rPr>
                    <w:sz w:val="23"/>
                  </w:rPr>
                </w:pPr>
                <w:r>
                  <w:rPr/>
                  <w:fldChar w:fldCharType="begin"/>
                </w:r>
                <w:r>
                  <w:rPr>
                    <w:rFonts w:ascii="Stone Sans II ITC Std X Bd" w:hAnsi="Stone Sans II ITC Std X Bd"/>
                    <w:b/>
                    <w:w w:val="110"/>
                    <w:sz w:val="24"/>
                  </w:rPr>
                  <w:instrText> PAGE </w:instrText>
                </w:r>
                <w:r>
                  <w:rPr/>
                  <w:fldChar w:fldCharType="separate"/>
                </w:r>
                <w:r>
                  <w:rPr/>
                  <w:t>212</w:t>
                </w:r>
                <w:r>
                  <w:rPr/>
                  <w:fldChar w:fldCharType="end"/>
                </w:r>
                <w:r>
                  <w:rPr>
                    <w:rFonts w:ascii="Stone Sans II ITC Std X Bd" w:hAnsi="Stone Sans II ITC Std X Bd"/>
                    <w:b/>
                    <w:w w:val="110"/>
                    <w:sz w:val="24"/>
                  </w:rPr>
                  <w:t> </w:t>
                </w:r>
                <w:r>
                  <w:rPr>
                    <w:rFonts w:ascii="Symbol" w:hAnsi="Symbol"/>
                    <w:color w:val="7EAABF"/>
                    <w:w w:val="110"/>
                    <w:sz w:val="23"/>
                  </w:rPr>
                  <w:t></w:t>
                </w:r>
                <w:r>
                  <w:rPr>
                    <w:rFonts w:ascii="Times New Roman" w:hAnsi="Times New Roman"/>
                    <w:color w:val="7EAABF"/>
                    <w:w w:val="110"/>
                    <w:sz w:val="23"/>
                  </w:rPr>
                  <w:t> </w:t>
                </w:r>
                <w:r>
                  <w:rPr>
                    <w:color w:val="7EAABF"/>
                    <w:w w:val="110"/>
                    <w:sz w:val="23"/>
                  </w:rPr>
                  <w:t>United Reformed Church </w:t>
                </w:r>
                <w:r>
                  <w:rPr>
                    <w:rFonts w:ascii="Symbol" w:hAnsi="Symbol"/>
                    <w:color w:val="7EAABF"/>
                    <w:w w:val="110"/>
                    <w:sz w:val="23"/>
                  </w:rPr>
                  <w:t></w:t>
                </w:r>
                <w:r>
                  <w:rPr>
                    <w:rFonts w:ascii="Times New Roman" w:hAnsi="Times New Roman"/>
                    <w:color w:val="7EAABF"/>
                    <w:w w:val="110"/>
                    <w:sz w:val="23"/>
                  </w:rPr>
                  <w:t> </w:t>
                </w:r>
                <w:r>
                  <w:rPr>
                    <w:color w:val="7EAABF"/>
                    <w:w w:val="110"/>
                    <w:sz w:val="23"/>
                  </w:rPr>
                  <w:t>General Assembly 2016</w:t>
                </w:r>
              </w:p>
            </w:txbxContent>
          </v:textbox>
          <w10:wrap type="none"/>
        </v:shape>
      </w:pict>
    </w:r>
  </w:p>
</w:ftr>
</file>

<file path=word/footer20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216.907196pt;margin-top:798.53833pt;width:319.05pt;height:21.5pt;mso-position-horizontal-relative:page;mso-position-vertical-relative:page;z-index:-267908096" type="#_x0000_t202" filled="false" stroked="false">
          <v:textbox inset="0,0,0,0">
            <w:txbxContent>
              <w:p>
                <w:pPr>
                  <w:spacing w:before="16"/>
                  <w:ind w:left="20" w:right="0" w:firstLine="0"/>
                  <w:jc w:val="left"/>
                  <w:rPr>
                    <w:rFonts w:ascii="Stone Sans II ITC Std X Bd" w:hAnsi="Stone Sans II ITC Std X Bd"/>
                    <w:b/>
                    <w:sz w:val="24"/>
                  </w:rPr>
                </w:pPr>
                <w:r>
                  <w:rPr>
                    <w:color w:val="7EAABF"/>
                    <w:w w:val="110"/>
                    <w:sz w:val="23"/>
                  </w:rPr>
                  <w:t>United Reformed Church </w:t>
                </w:r>
                <w:r>
                  <w:rPr>
                    <w:rFonts w:ascii="Symbol" w:hAnsi="Symbol"/>
                    <w:color w:val="7EAABF"/>
                    <w:w w:val="110"/>
                    <w:sz w:val="23"/>
                  </w:rPr>
                  <w:t></w:t>
                </w:r>
                <w:r>
                  <w:rPr>
                    <w:rFonts w:ascii="Times New Roman" w:hAnsi="Times New Roman"/>
                    <w:color w:val="7EAABF"/>
                    <w:w w:val="110"/>
                    <w:sz w:val="23"/>
                  </w:rPr>
                  <w:t> </w:t>
                </w:r>
                <w:r>
                  <w:rPr>
                    <w:color w:val="7EAABF"/>
                    <w:w w:val="110"/>
                    <w:sz w:val="23"/>
                  </w:rPr>
                  <w:t>General Assembly 2016 </w:t>
                </w:r>
                <w:r>
                  <w:rPr>
                    <w:rFonts w:ascii="Symbol" w:hAnsi="Symbol"/>
                    <w:color w:val="7EAABF"/>
                    <w:w w:val="110"/>
                    <w:sz w:val="23"/>
                  </w:rPr>
                  <w:t></w:t>
                </w:r>
                <w:r>
                  <w:rPr>
                    <w:rFonts w:ascii="Times New Roman" w:hAnsi="Times New Roman"/>
                    <w:color w:val="7EAABF"/>
                    <w:w w:val="110"/>
                    <w:sz w:val="23"/>
                  </w:rPr>
                  <w:t> </w:t>
                </w:r>
                <w:r>
                  <w:rPr/>
                  <w:fldChar w:fldCharType="begin"/>
                </w:r>
                <w:r>
                  <w:rPr>
                    <w:rFonts w:ascii="Stone Sans II ITC Std X Bd" w:hAnsi="Stone Sans II ITC Std X Bd"/>
                    <w:b/>
                    <w:w w:val="110"/>
                    <w:sz w:val="24"/>
                  </w:rPr>
                  <w:instrText> PAGE </w:instrText>
                </w:r>
                <w:r>
                  <w:rPr/>
                  <w:fldChar w:fldCharType="separate"/>
                </w:r>
                <w:r>
                  <w:rPr/>
                  <w:t>215</w:t>
                </w:r>
                <w:r>
                  <w:rPr/>
                  <w:fldChar w:fldCharType="end"/>
                </w:r>
              </w:p>
            </w:txbxContent>
          </v:textbox>
          <w10:wrap type="none"/>
        </v:shape>
      </w:pict>
    </w:r>
  </w:p>
</w:ftr>
</file>

<file path=word/footer20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59.362202pt;margin-top:798.53833pt;width:319.05pt;height:17.45pt;mso-position-horizontal-relative:page;mso-position-vertical-relative:page;z-index:-267907072" type="#_x0000_t202" filled="false" stroked="false">
          <v:textbox inset="0,0,0,0">
            <w:txbxContent>
              <w:p>
                <w:pPr>
                  <w:spacing w:before="16"/>
                  <w:ind w:left="60" w:right="0" w:firstLine="0"/>
                  <w:jc w:val="left"/>
                  <w:rPr>
                    <w:sz w:val="23"/>
                  </w:rPr>
                </w:pPr>
                <w:r>
                  <w:rPr/>
                  <w:fldChar w:fldCharType="begin"/>
                </w:r>
                <w:r>
                  <w:rPr>
                    <w:rFonts w:ascii="Stone Sans II ITC Std X Bd" w:hAnsi="Stone Sans II ITC Std X Bd"/>
                    <w:b/>
                    <w:w w:val="110"/>
                    <w:sz w:val="24"/>
                  </w:rPr>
                  <w:instrText> PAGE </w:instrText>
                </w:r>
                <w:r>
                  <w:rPr/>
                  <w:fldChar w:fldCharType="separate"/>
                </w:r>
                <w:r>
                  <w:rPr/>
                  <w:t>214</w:t>
                </w:r>
                <w:r>
                  <w:rPr/>
                  <w:fldChar w:fldCharType="end"/>
                </w:r>
                <w:r>
                  <w:rPr>
                    <w:rFonts w:ascii="Stone Sans II ITC Std X Bd" w:hAnsi="Stone Sans II ITC Std X Bd"/>
                    <w:b/>
                    <w:w w:val="110"/>
                    <w:sz w:val="24"/>
                  </w:rPr>
                  <w:t> </w:t>
                </w:r>
                <w:r>
                  <w:rPr>
                    <w:rFonts w:ascii="Symbol" w:hAnsi="Symbol"/>
                    <w:color w:val="7EAABF"/>
                    <w:w w:val="110"/>
                    <w:sz w:val="23"/>
                  </w:rPr>
                  <w:t></w:t>
                </w:r>
                <w:r>
                  <w:rPr>
                    <w:rFonts w:ascii="Times New Roman" w:hAnsi="Times New Roman"/>
                    <w:color w:val="7EAABF"/>
                    <w:w w:val="110"/>
                    <w:sz w:val="23"/>
                  </w:rPr>
                  <w:t> </w:t>
                </w:r>
                <w:r>
                  <w:rPr>
                    <w:color w:val="7EAABF"/>
                    <w:w w:val="110"/>
                    <w:sz w:val="23"/>
                  </w:rPr>
                  <w:t>United Reformed Church </w:t>
                </w:r>
                <w:r>
                  <w:rPr>
                    <w:rFonts w:ascii="Symbol" w:hAnsi="Symbol"/>
                    <w:color w:val="7EAABF"/>
                    <w:w w:val="110"/>
                    <w:sz w:val="23"/>
                  </w:rPr>
                  <w:t></w:t>
                </w:r>
                <w:r>
                  <w:rPr>
                    <w:rFonts w:ascii="Times New Roman" w:hAnsi="Times New Roman"/>
                    <w:color w:val="7EAABF"/>
                    <w:w w:val="110"/>
                    <w:sz w:val="23"/>
                  </w:rPr>
                  <w:t> </w:t>
                </w:r>
                <w:r>
                  <w:rPr>
                    <w:color w:val="7EAABF"/>
                    <w:w w:val="110"/>
                    <w:sz w:val="23"/>
                  </w:rPr>
                  <w:t>General Assembly 2016</w:t>
                </w:r>
              </w:p>
            </w:txbxContent>
          </v:textbox>
          <w10:wrap type="none"/>
        </v:shape>
      </w:pict>
    </w:r>
  </w:p>
</w:ftr>
</file>

<file path=word/footer2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59.362202pt;margin-top:798.53833pt;width:311.4pt;height:17.45pt;mso-position-horizontal-relative:page;mso-position-vertical-relative:page;z-index:-268088320" type="#_x0000_t202" filled="false" stroked="false">
          <v:textbox inset="0,0,0,0">
            <w:txbxContent>
              <w:p>
                <w:pPr>
                  <w:spacing w:before="16"/>
                  <w:ind w:left="60" w:right="0" w:firstLine="0"/>
                  <w:jc w:val="left"/>
                  <w:rPr>
                    <w:sz w:val="23"/>
                  </w:rPr>
                </w:pPr>
                <w:r>
                  <w:rPr/>
                  <w:fldChar w:fldCharType="begin"/>
                </w:r>
                <w:r>
                  <w:rPr>
                    <w:rFonts w:ascii="Stone Sans II ITC Std X Bd" w:hAnsi="Stone Sans II ITC Std X Bd"/>
                    <w:b/>
                    <w:w w:val="110"/>
                    <w:sz w:val="24"/>
                  </w:rPr>
                  <w:instrText> PAGE </w:instrText>
                </w:r>
                <w:r>
                  <w:rPr/>
                  <w:fldChar w:fldCharType="separate"/>
                </w:r>
                <w:r>
                  <w:rPr/>
                  <w:t>26</w:t>
                </w:r>
                <w:r>
                  <w:rPr/>
                  <w:fldChar w:fldCharType="end"/>
                </w:r>
                <w:r>
                  <w:rPr>
                    <w:rFonts w:ascii="Stone Sans II ITC Std X Bd" w:hAnsi="Stone Sans II ITC Std X Bd"/>
                    <w:b/>
                    <w:w w:val="110"/>
                    <w:sz w:val="24"/>
                  </w:rPr>
                  <w:t> </w:t>
                </w:r>
                <w:r>
                  <w:rPr>
                    <w:rFonts w:ascii="Symbol" w:hAnsi="Symbol"/>
                    <w:color w:val="7EAABF"/>
                    <w:w w:val="110"/>
                    <w:sz w:val="23"/>
                  </w:rPr>
                  <w:t></w:t>
                </w:r>
                <w:r>
                  <w:rPr>
                    <w:rFonts w:ascii="Times New Roman" w:hAnsi="Times New Roman"/>
                    <w:color w:val="7EAABF"/>
                    <w:w w:val="110"/>
                    <w:sz w:val="23"/>
                  </w:rPr>
                  <w:t> </w:t>
                </w:r>
                <w:r>
                  <w:rPr>
                    <w:color w:val="7EAABF"/>
                    <w:w w:val="110"/>
                    <w:sz w:val="23"/>
                  </w:rPr>
                  <w:t>United Reformed Church </w:t>
                </w:r>
                <w:r>
                  <w:rPr>
                    <w:rFonts w:ascii="Symbol" w:hAnsi="Symbol"/>
                    <w:color w:val="7EAABF"/>
                    <w:w w:val="110"/>
                    <w:sz w:val="23"/>
                  </w:rPr>
                  <w:t></w:t>
                </w:r>
                <w:r>
                  <w:rPr>
                    <w:rFonts w:ascii="Times New Roman" w:hAnsi="Times New Roman"/>
                    <w:color w:val="7EAABF"/>
                    <w:w w:val="110"/>
                    <w:sz w:val="23"/>
                  </w:rPr>
                  <w:t> </w:t>
                </w:r>
                <w:r>
                  <w:rPr>
                    <w:color w:val="7EAABF"/>
                    <w:w w:val="110"/>
                    <w:sz w:val="23"/>
                  </w:rPr>
                  <w:t>General Assembly 2016</w:t>
                </w:r>
              </w:p>
            </w:txbxContent>
          </v:textbox>
          <w10:wrap type="none"/>
        </v:shape>
      </w:pict>
    </w:r>
  </w:p>
</w:ftr>
</file>

<file path=word/footer21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216.907196pt;margin-top:798.53833pt;width:319.05pt;height:17.45pt;mso-position-horizontal-relative:page;mso-position-vertical-relative:page;z-index:-267906048" type="#_x0000_t202" filled="false" stroked="false">
          <v:textbox inset="0,0,0,0">
            <w:txbxContent>
              <w:p>
                <w:pPr>
                  <w:spacing w:before="16"/>
                  <w:ind w:left="20" w:right="0" w:firstLine="0"/>
                  <w:jc w:val="left"/>
                  <w:rPr>
                    <w:rFonts w:ascii="Stone Sans II ITC Std X Bd" w:hAnsi="Stone Sans II ITC Std X Bd"/>
                    <w:b/>
                    <w:sz w:val="24"/>
                  </w:rPr>
                </w:pPr>
                <w:r>
                  <w:rPr>
                    <w:color w:val="7EAABF"/>
                    <w:w w:val="110"/>
                    <w:sz w:val="23"/>
                  </w:rPr>
                  <w:t>United Reformed Church </w:t>
                </w:r>
                <w:r>
                  <w:rPr>
                    <w:rFonts w:ascii="Symbol" w:hAnsi="Symbol"/>
                    <w:color w:val="7EAABF"/>
                    <w:w w:val="110"/>
                    <w:sz w:val="23"/>
                  </w:rPr>
                  <w:t></w:t>
                </w:r>
                <w:r>
                  <w:rPr>
                    <w:rFonts w:ascii="Times New Roman" w:hAnsi="Times New Roman"/>
                    <w:color w:val="7EAABF"/>
                    <w:w w:val="110"/>
                    <w:sz w:val="23"/>
                  </w:rPr>
                  <w:t> </w:t>
                </w:r>
                <w:r>
                  <w:rPr>
                    <w:color w:val="7EAABF"/>
                    <w:w w:val="110"/>
                    <w:sz w:val="23"/>
                  </w:rPr>
                  <w:t>General Assembly 2016 </w:t>
                </w:r>
                <w:r>
                  <w:rPr>
                    <w:rFonts w:ascii="Symbol" w:hAnsi="Symbol"/>
                    <w:color w:val="7EAABF"/>
                    <w:w w:val="110"/>
                    <w:sz w:val="23"/>
                  </w:rPr>
                  <w:t></w:t>
                </w:r>
                <w:r>
                  <w:rPr>
                    <w:rFonts w:ascii="Times New Roman" w:hAnsi="Times New Roman"/>
                    <w:color w:val="7EAABF"/>
                    <w:w w:val="110"/>
                    <w:sz w:val="23"/>
                  </w:rPr>
                  <w:t> </w:t>
                </w:r>
                <w:r>
                  <w:rPr/>
                  <w:fldChar w:fldCharType="begin"/>
                </w:r>
                <w:r>
                  <w:rPr>
                    <w:rFonts w:ascii="Stone Sans II ITC Std X Bd" w:hAnsi="Stone Sans II ITC Std X Bd"/>
                    <w:b/>
                    <w:w w:val="110"/>
                    <w:sz w:val="24"/>
                  </w:rPr>
                  <w:instrText> PAGE </w:instrText>
                </w:r>
                <w:r>
                  <w:rPr/>
                  <w:fldChar w:fldCharType="separate"/>
                </w:r>
                <w:r>
                  <w:rPr/>
                  <w:t>215</w:t>
                </w:r>
                <w:r>
                  <w:rPr/>
                  <w:fldChar w:fldCharType="end"/>
                </w:r>
              </w:p>
            </w:txbxContent>
          </v:textbox>
          <w10:wrap type="none"/>
        </v:shape>
      </w:pict>
    </w:r>
  </w:p>
</w:ftr>
</file>

<file path=word/footer21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59.362202pt;margin-top:798.53833pt;width:319.05pt;height:17.45pt;mso-position-horizontal-relative:page;mso-position-vertical-relative:page;z-index:-267905024" type="#_x0000_t202" filled="false" stroked="false">
          <v:textbox inset="0,0,0,0">
            <w:txbxContent>
              <w:p>
                <w:pPr>
                  <w:spacing w:before="16"/>
                  <w:ind w:left="60" w:right="0" w:firstLine="0"/>
                  <w:jc w:val="left"/>
                  <w:rPr>
                    <w:sz w:val="23"/>
                  </w:rPr>
                </w:pPr>
                <w:r>
                  <w:rPr/>
                  <w:fldChar w:fldCharType="begin"/>
                </w:r>
                <w:r>
                  <w:rPr>
                    <w:rFonts w:ascii="Stone Sans II ITC Std X Bd" w:hAnsi="Stone Sans II ITC Std X Bd"/>
                    <w:b/>
                    <w:w w:val="110"/>
                    <w:sz w:val="24"/>
                  </w:rPr>
                  <w:instrText> PAGE </w:instrText>
                </w:r>
                <w:r>
                  <w:rPr/>
                  <w:fldChar w:fldCharType="separate"/>
                </w:r>
                <w:r>
                  <w:rPr/>
                  <w:t>216</w:t>
                </w:r>
                <w:r>
                  <w:rPr/>
                  <w:fldChar w:fldCharType="end"/>
                </w:r>
                <w:r>
                  <w:rPr>
                    <w:rFonts w:ascii="Stone Sans II ITC Std X Bd" w:hAnsi="Stone Sans II ITC Std X Bd"/>
                    <w:b/>
                    <w:w w:val="110"/>
                    <w:sz w:val="24"/>
                  </w:rPr>
                  <w:t> </w:t>
                </w:r>
                <w:r>
                  <w:rPr>
                    <w:rFonts w:ascii="Symbol" w:hAnsi="Symbol"/>
                    <w:color w:val="7EAABF"/>
                    <w:w w:val="110"/>
                    <w:sz w:val="23"/>
                  </w:rPr>
                  <w:t></w:t>
                </w:r>
                <w:r>
                  <w:rPr>
                    <w:rFonts w:ascii="Times New Roman" w:hAnsi="Times New Roman"/>
                    <w:color w:val="7EAABF"/>
                    <w:w w:val="110"/>
                    <w:sz w:val="23"/>
                  </w:rPr>
                  <w:t> </w:t>
                </w:r>
                <w:r>
                  <w:rPr>
                    <w:color w:val="7EAABF"/>
                    <w:w w:val="110"/>
                    <w:sz w:val="23"/>
                  </w:rPr>
                  <w:t>United Reformed Church </w:t>
                </w:r>
                <w:r>
                  <w:rPr>
                    <w:rFonts w:ascii="Symbol" w:hAnsi="Symbol"/>
                    <w:color w:val="7EAABF"/>
                    <w:w w:val="110"/>
                    <w:sz w:val="23"/>
                  </w:rPr>
                  <w:t></w:t>
                </w:r>
                <w:r>
                  <w:rPr>
                    <w:rFonts w:ascii="Times New Roman" w:hAnsi="Times New Roman"/>
                    <w:color w:val="7EAABF"/>
                    <w:w w:val="110"/>
                    <w:sz w:val="23"/>
                  </w:rPr>
                  <w:t> </w:t>
                </w:r>
                <w:r>
                  <w:rPr>
                    <w:color w:val="7EAABF"/>
                    <w:w w:val="110"/>
                    <w:sz w:val="23"/>
                  </w:rPr>
                  <w:t>General Assembly 2016</w:t>
                </w:r>
              </w:p>
            </w:txbxContent>
          </v:textbox>
          <w10:wrap type="none"/>
        </v:shape>
      </w:pict>
    </w:r>
  </w:p>
</w:ftr>
</file>

<file path=word/footer21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216.907196pt;margin-top:798.53833pt;width:319.05pt;height:17.45pt;mso-position-horizontal-relative:page;mso-position-vertical-relative:page;z-index:-267904000" type="#_x0000_t202" filled="false" stroked="false">
          <v:textbox inset="0,0,0,0">
            <w:txbxContent>
              <w:p>
                <w:pPr>
                  <w:spacing w:before="16"/>
                  <w:ind w:left="20" w:right="0" w:firstLine="0"/>
                  <w:jc w:val="left"/>
                  <w:rPr>
                    <w:rFonts w:ascii="Stone Sans II ITC Std X Bd" w:hAnsi="Stone Sans II ITC Std X Bd"/>
                    <w:b/>
                    <w:sz w:val="24"/>
                  </w:rPr>
                </w:pPr>
                <w:r>
                  <w:rPr>
                    <w:color w:val="7EAABF"/>
                    <w:w w:val="110"/>
                    <w:sz w:val="23"/>
                  </w:rPr>
                  <w:t>United Reformed Church </w:t>
                </w:r>
                <w:r>
                  <w:rPr>
                    <w:rFonts w:ascii="Symbol" w:hAnsi="Symbol"/>
                    <w:color w:val="7EAABF"/>
                    <w:w w:val="110"/>
                    <w:sz w:val="23"/>
                  </w:rPr>
                  <w:t></w:t>
                </w:r>
                <w:r>
                  <w:rPr>
                    <w:rFonts w:ascii="Times New Roman" w:hAnsi="Times New Roman"/>
                    <w:color w:val="7EAABF"/>
                    <w:w w:val="110"/>
                    <w:sz w:val="23"/>
                  </w:rPr>
                  <w:t> </w:t>
                </w:r>
                <w:r>
                  <w:rPr>
                    <w:color w:val="7EAABF"/>
                    <w:w w:val="110"/>
                    <w:sz w:val="23"/>
                  </w:rPr>
                  <w:t>General Assembly 2016 </w:t>
                </w:r>
                <w:r>
                  <w:rPr>
                    <w:rFonts w:ascii="Symbol" w:hAnsi="Symbol"/>
                    <w:color w:val="7EAABF"/>
                    <w:w w:val="110"/>
                    <w:sz w:val="23"/>
                  </w:rPr>
                  <w:t></w:t>
                </w:r>
                <w:r>
                  <w:rPr>
                    <w:rFonts w:ascii="Times New Roman" w:hAnsi="Times New Roman"/>
                    <w:color w:val="7EAABF"/>
                    <w:w w:val="110"/>
                    <w:sz w:val="23"/>
                  </w:rPr>
                  <w:t> </w:t>
                </w:r>
                <w:r>
                  <w:rPr/>
                  <w:fldChar w:fldCharType="begin"/>
                </w:r>
                <w:r>
                  <w:rPr>
                    <w:rFonts w:ascii="Stone Sans II ITC Std X Bd" w:hAnsi="Stone Sans II ITC Std X Bd"/>
                    <w:b/>
                    <w:w w:val="110"/>
                    <w:sz w:val="24"/>
                  </w:rPr>
                  <w:instrText> PAGE </w:instrText>
                </w:r>
                <w:r>
                  <w:rPr/>
                  <w:fldChar w:fldCharType="separate"/>
                </w:r>
                <w:r>
                  <w:rPr/>
                  <w:t>217</w:t>
                </w:r>
                <w:r>
                  <w:rPr/>
                  <w:fldChar w:fldCharType="end"/>
                </w:r>
              </w:p>
            </w:txbxContent>
          </v:textbox>
          <w10:wrap type="none"/>
        </v:shape>
      </w:pict>
    </w:r>
  </w:p>
</w:ftr>
</file>

<file path=word/footer21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59.362202pt;margin-top:798.53833pt;width:319.05pt;height:17.45pt;mso-position-horizontal-relative:page;mso-position-vertical-relative:page;z-index:-267902976" type="#_x0000_t202" filled="false" stroked="false">
          <v:textbox inset="0,0,0,0">
            <w:txbxContent>
              <w:p>
                <w:pPr>
                  <w:spacing w:before="16"/>
                  <w:ind w:left="60" w:right="0" w:firstLine="0"/>
                  <w:jc w:val="left"/>
                  <w:rPr>
                    <w:sz w:val="23"/>
                  </w:rPr>
                </w:pPr>
                <w:r>
                  <w:rPr/>
                  <w:fldChar w:fldCharType="begin"/>
                </w:r>
                <w:r>
                  <w:rPr>
                    <w:rFonts w:ascii="Stone Sans II ITC Std X Bd" w:hAnsi="Stone Sans II ITC Std X Bd"/>
                    <w:b/>
                    <w:w w:val="110"/>
                    <w:sz w:val="24"/>
                  </w:rPr>
                  <w:instrText> PAGE </w:instrText>
                </w:r>
                <w:r>
                  <w:rPr/>
                  <w:fldChar w:fldCharType="separate"/>
                </w:r>
                <w:r>
                  <w:rPr/>
                  <w:t>218</w:t>
                </w:r>
                <w:r>
                  <w:rPr/>
                  <w:fldChar w:fldCharType="end"/>
                </w:r>
                <w:r>
                  <w:rPr>
                    <w:rFonts w:ascii="Stone Sans II ITC Std X Bd" w:hAnsi="Stone Sans II ITC Std X Bd"/>
                    <w:b/>
                    <w:w w:val="110"/>
                    <w:sz w:val="24"/>
                  </w:rPr>
                  <w:t> </w:t>
                </w:r>
                <w:r>
                  <w:rPr>
                    <w:rFonts w:ascii="Symbol" w:hAnsi="Symbol"/>
                    <w:color w:val="7EAABF"/>
                    <w:w w:val="110"/>
                    <w:sz w:val="23"/>
                  </w:rPr>
                  <w:t></w:t>
                </w:r>
                <w:r>
                  <w:rPr>
                    <w:rFonts w:ascii="Times New Roman" w:hAnsi="Times New Roman"/>
                    <w:color w:val="7EAABF"/>
                    <w:w w:val="110"/>
                    <w:sz w:val="23"/>
                  </w:rPr>
                  <w:t> </w:t>
                </w:r>
                <w:r>
                  <w:rPr>
                    <w:color w:val="7EAABF"/>
                    <w:w w:val="110"/>
                    <w:sz w:val="23"/>
                  </w:rPr>
                  <w:t>United Reformed Church </w:t>
                </w:r>
                <w:r>
                  <w:rPr>
                    <w:rFonts w:ascii="Symbol" w:hAnsi="Symbol"/>
                    <w:color w:val="7EAABF"/>
                    <w:w w:val="110"/>
                    <w:sz w:val="23"/>
                  </w:rPr>
                  <w:t></w:t>
                </w:r>
                <w:r>
                  <w:rPr>
                    <w:rFonts w:ascii="Times New Roman" w:hAnsi="Times New Roman"/>
                    <w:color w:val="7EAABF"/>
                    <w:w w:val="110"/>
                    <w:sz w:val="23"/>
                  </w:rPr>
                  <w:t> </w:t>
                </w:r>
                <w:r>
                  <w:rPr>
                    <w:color w:val="7EAABF"/>
                    <w:w w:val="110"/>
                    <w:sz w:val="23"/>
                  </w:rPr>
                  <w:t>General Assembly 2016</w:t>
                </w:r>
              </w:p>
            </w:txbxContent>
          </v:textbox>
          <w10:wrap type="none"/>
        </v:shape>
      </w:pict>
    </w:r>
  </w:p>
</w:ftr>
</file>

<file path=word/footer21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216.523407pt;margin-top:798.53833pt;width:319.4pt;height:17.45pt;mso-position-horizontal-relative:page;mso-position-vertical-relative:page;z-index:-267901952" type="#_x0000_t202" filled="false" stroked="false">
          <v:textbox inset="0,0,0,0">
            <w:txbxContent>
              <w:p>
                <w:pPr>
                  <w:spacing w:before="16"/>
                  <w:ind w:left="20" w:right="0" w:firstLine="0"/>
                  <w:jc w:val="left"/>
                  <w:rPr>
                    <w:rFonts w:ascii="Stone Sans II ITC Std X Bd" w:hAnsi="Stone Sans II ITC Std X Bd"/>
                    <w:b/>
                    <w:sz w:val="24"/>
                  </w:rPr>
                </w:pPr>
                <w:r>
                  <w:rPr>
                    <w:color w:val="7EAABF"/>
                    <w:w w:val="110"/>
                    <w:sz w:val="23"/>
                  </w:rPr>
                  <w:t>United Reformed Church </w:t>
                </w:r>
                <w:r>
                  <w:rPr>
                    <w:rFonts w:ascii="Symbol" w:hAnsi="Symbol"/>
                    <w:color w:val="7EAABF"/>
                    <w:w w:val="110"/>
                    <w:sz w:val="23"/>
                  </w:rPr>
                  <w:t></w:t>
                </w:r>
                <w:r>
                  <w:rPr>
                    <w:rFonts w:ascii="Times New Roman" w:hAnsi="Times New Roman"/>
                    <w:color w:val="7EAABF"/>
                    <w:w w:val="110"/>
                    <w:sz w:val="23"/>
                  </w:rPr>
                  <w:t> </w:t>
                </w:r>
                <w:r>
                  <w:rPr>
                    <w:color w:val="7EAABF"/>
                    <w:w w:val="110"/>
                    <w:sz w:val="23"/>
                  </w:rPr>
                  <w:t>General Assembly 2016 </w:t>
                </w:r>
                <w:r>
                  <w:rPr>
                    <w:rFonts w:ascii="Symbol" w:hAnsi="Symbol"/>
                    <w:color w:val="7EAABF"/>
                    <w:w w:val="110"/>
                    <w:sz w:val="23"/>
                  </w:rPr>
                  <w:t></w:t>
                </w:r>
                <w:r>
                  <w:rPr>
                    <w:rFonts w:ascii="Times New Roman" w:hAnsi="Times New Roman"/>
                    <w:color w:val="7EAABF"/>
                    <w:w w:val="110"/>
                    <w:sz w:val="23"/>
                  </w:rPr>
                  <w:t> </w:t>
                </w:r>
                <w:r>
                  <w:rPr/>
                  <w:fldChar w:fldCharType="begin"/>
                </w:r>
                <w:r>
                  <w:rPr>
                    <w:rFonts w:ascii="Stone Sans II ITC Std X Bd" w:hAnsi="Stone Sans II ITC Std X Bd"/>
                    <w:b/>
                    <w:w w:val="110"/>
                    <w:sz w:val="24"/>
                  </w:rPr>
                  <w:instrText> PAGE </w:instrText>
                </w:r>
                <w:r>
                  <w:rPr/>
                  <w:fldChar w:fldCharType="separate"/>
                </w:r>
                <w:r>
                  <w:rPr/>
                  <w:t>219</w:t>
                </w:r>
                <w:r>
                  <w:rPr/>
                  <w:fldChar w:fldCharType="end"/>
                </w:r>
              </w:p>
            </w:txbxContent>
          </v:textbox>
          <w10:wrap type="none"/>
        </v:shape>
      </w:pict>
    </w:r>
  </w:p>
</w:ftr>
</file>

<file path=word/footer21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61.362202pt;margin-top:798.53833pt;width:317.4pt;height:17.45pt;mso-position-horizontal-relative:page;mso-position-vertical-relative:page;z-index:-267900928" type="#_x0000_t202" filled="false" stroked="false">
          <v:textbox inset="0,0,0,0">
            <w:txbxContent>
              <w:p>
                <w:pPr>
                  <w:spacing w:before="16"/>
                  <w:ind w:left="20" w:right="0" w:firstLine="0"/>
                  <w:jc w:val="left"/>
                  <w:rPr>
                    <w:sz w:val="23"/>
                  </w:rPr>
                </w:pPr>
                <w:r>
                  <w:rPr>
                    <w:rFonts w:ascii="Stone Sans II ITC Std X Bd" w:hAnsi="Stone Sans II ITC Std X Bd"/>
                    <w:b/>
                    <w:w w:val="110"/>
                    <w:sz w:val="24"/>
                  </w:rPr>
                  <w:t>220 </w:t>
                </w:r>
                <w:r>
                  <w:rPr>
                    <w:rFonts w:ascii="Symbol" w:hAnsi="Symbol"/>
                    <w:color w:val="7EAABF"/>
                    <w:w w:val="110"/>
                    <w:sz w:val="23"/>
                  </w:rPr>
                  <w:t></w:t>
                </w:r>
                <w:r>
                  <w:rPr>
                    <w:rFonts w:ascii="Times New Roman" w:hAnsi="Times New Roman"/>
                    <w:color w:val="7EAABF"/>
                    <w:w w:val="110"/>
                    <w:sz w:val="23"/>
                  </w:rPr>
                  <w:t> </w:t>
                </w:r>
                <w:r>
                  <w:rPr>
                    <w:color w:val="7EAABF"/>
                    <w:w w:val="110"/>
                    <w:sz w:val="23"/>
                  </w:rPr>
                  <w:t>United Reformed Church </w:t>
                </w:r>
                <w:r>
                  <w:rPr>
                    <w:rFonts w:ascii="Symbol" w:hAnsi="Symbol"/>
                    <w:color w:val="7EAABF"/>
                    <w:w w:val="110"/>
                    <w:sz w:val="23"/>
                  </w:rPr>
                  <w:t></w:t>
                </w:r>
                <w:r>
                  <w:rPr>
                    <w:rFonts w:ascii="Times New Roman" w:hAnsi="Times New Roman"/>
                    <w:color w:val="7EAABF"/>
                    <w:w w:val="110"/>
                    <w:sz w:val="23"/>
                  </w:rPr>
                  <w:t> </w:t>
                </w:r>
                <w:r>
                  <w:rPr>
                    <w:color w:val="7EAABF"/>
                    <w:w w:val="110"/>
                    <w:sz w:val="23"/>
                  </w:rPr>
                  <w:t>General Assembly 2016</w:t>
                </w:r>
              </w:p>
            </w:txbxContent>
          </v:textbox>
          <w10:wrap type="none"/>
        </v:shape>
      </w:pict>
    </w:r>
  </w:p>
</w:ftr>
</file>

<file path=word/footer21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216.523407pt;margin-top:798.53833pt;width:317.4pt;height:17.45pt;mso-position-horizontal-relative:page;mso-position-vertical-relative:page;z-index:-267899904" type="#_x0000_t202" filled="false" stroked="false">
          <v:textbox inset="0,0,0,0">
            <w:txbxContent>
              <w:p>
                <w:pPr>
                  <w:spacing w:before="16"/>
                  <w:ind w:left="20" w:right="0" w:firstLine="0"/>
                  <w:jc w:val="left"/>
                  <w:rPr>
                    <w:rFonts w:ascii="Stone Sans II ITC Std X Bd" w:hAnsi="Stone Sans II ITC Std X Bd"/>
                    <w:b/>
                    <w:sz w:val="24"/>
                  </w:rPr>
                </w:pPr>
                <w:r>
                  <w:rPr>
                    <w:color w:val="7EAABF"/>
                    <w:w w:val="110"/>
                    <w:sz w:val="23"/>
                  </w:rPr>
                  <w:t>United Reformed Church </w:t>
                </w:r>
                <w:r>
                  <w:rPr>
                    <w:rFonts w:ascii="Symbol" w:hAnsi="Symbol"/>
                    <w:color w:val="7EAABF"/>
                    <w:w w:val="110"/>
                    <w:sz w:val="23"/>
                  </w:rPr>
                  <w:t></w:t>
                </w:r>
                <w:r>
                  <w:rPr>
                    <w:rFonts w:ascii="Times New Roman" w:hAnsi="Times New Roman"/>
                    <w:color w:val="7EAABF"/>
                    <w:w w:val="110"/>
                    <w:sz w:val="23"/>
                  </w:rPr>
                  <w:t> </w:t>
                </w:r>
                <w:r>
                  <w:rPr>
                    <w:color w:val="7EAABF"/>
                    <w:w w:val="110"/>
                    <w:sz w:val="23"/>
                  </w:rPr>
                  <w:t>General Assembly 2016 </w:t>
                </w:r>
                <w:r>
                  <w:rPr>
                    <w:rFonts w:ascii="Symbol" w:hAnsi="Symbol"/>
                    <w:color w:val="7EAABF"/>
                    <w:w w:val="110"/>
                    <w:sz w:val="23"/>
                  </w:rPr>
                  <w:t></w:t>
                </w:r>
                <w:r>
                  <w:rPr>
                    <w:rFonts w:ascii="Times New Roman" w:hAnsi="Times New Roman"/>
                    <w:color w:val="7EAABF"/>
                    <w:w w:val="110"/>
                    <w:sz w:val="23"/>
                  </w:rPr>
                  <w:t> </w:t>
                </w:r>
                <w:r>
                  <w:rPr>
                    <w:rFonts w:ascii="Stone Sans II ITC Std X Bd" w:hAnsi="Stone Sans II ITC Std X Bd"/>
                    <w:b/>
                    <w:w w:val="110"/>
                    <w:sz w:val="24"/>
                  </w:rPr>
                  <w:t>221</w:t>
                </w:r>
              </w:p>
            </w:txbxContent>
          </v:textbox>
          <w10:wrap type="none"/>
        </v:shape>
      </w:pict>
    </w:r>
  </w:p>
</w:ftr>
</file>

<file path=word/footer21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59.362202pt;margin-top:798.53833pt;width:319.4pt;height:17.45pt;mso-position-horizontal-relative:page;mso-position-vertical-relative:page;z-index:-267898880" type="#_x0000_t202" filled="false" stroked="false">
          <v:textbox inset="0,0,0,0">
            <w:txbxContent>
              <w:p>
                <w:pPr>
                  <w:spacing w:before="16"/>
                  <w:ind w:left="60" w:right="0" w:firstLine="0"/>
                  <w:jc w:val="left"/>
                  <w:rPr>
                    <w:sz w:val="23"/>
                  </w:rPr>
                </w:pPr>
                <w:r>
                  <w:rPr/>
                  <w:fldChar w:fldCharType="begin"/>
                </w:r>
                <w:r>
                  <w:rPr>
                    <w:rFonts w:ascii="Stone Sans II ITC Std X Bd" w:hAnsi="Stone Sans II ITC Std X Bd"/>
                    <w:b/>
                    <w:w w:val="110"/>
                    <w:sz w:val="24"/>
                  </w:rPr>
                  <w:instrText> PAGE </w:instrText>
                </w:r>
                <w:r>
                  <w:rPr/>
                  <w:fldChar w:fldCharType="separate"/>
                </w:r>
                <w:r>
                  <w:rPr/>
                  <w:t>222</w:t>
                </w:r>
                <w:r>
                  <w:rPr/>
                  <w:fldChar w:fldCharType="end"/>
                </w:r>
                <w:r>
                  <w:rPr>
                    <w:rFonts w:ascii="Stone Sans II ITC Std X Bd" w:hAnsi="Stone Sans II ITC Std X Bd"/>
                    <w:b/>
                    <w:w w:val="110"/>
                    <w:sz w:val="24"/>
                  </w:rPr>
                  <w:t> </w:t>
                </w:r>
                <w:r>
                  <w:rPr>
                    <w:rFonts w:ascii="Symbol" w:hAnsi="Symbol"/>
                    <w:color w:val="7EAABF"/>
                    <w:w w:val="110"/>
                    <w:sz w:val="23"/>
                  </w:rPr>
                  <w:t></w:t>
                </w:r>
                <w:r>
                  <w:rPr>
                    <w:rFonts w:ascii="Times New Roman" w:hAnsi="Times New Roman"/>
                    <w:color w:val="7EAABF"/>
                    <w:w w:val="110"/>
                    <w:sz w:val="23"/>
                  </w:rPr>
                  <w:t> </w:t>
                </w:r>
                <w:r>
                  <w:rPr>
                    <w:color w:val="7EAABF"/>
                    <w:w w:val="110"/>
                    <w:sz w:val="23"/>
                  </w:rPr>
                  <w:t>United Reformed Church </w:t>
                </w:r>
                <w:r>
                  <w:rPr>
                    <w:rFonts w:ascii="Symbol" w:hAnsi="Symbol"/>
                    <w:color w:val="7EAABF"/>
                    <w:w w:val="110"/>
                    <w:sz w:val="23"/>
                  </w:rPr>
                  <w:t></w:t>
                </w:r>
                <w:r>
                  <w:rPr>
                    <w:rFonts w:ascii="Times New Roman" w:hAnsi="Times New Roman"/>
                    <w:color w:val="7EAABF"/>
                    <w:w w:val="110"/>
                    <w:sz w:val="23"/>
                  </w:rPr>
                  <w:t> </w:t>
                </w:r>
                <w:r>
                  <w:rPr>
                    <w:color w:val="7EAABF"/>
                    <w:w w:val="110"/>
                    <w:sz w:val="23"/>
                  </w:rPr>
                  <w:t>General Assembly 2016</w:t>
                </w:r>
              </w:p>
            </w:txbxContent>
          </v:textbox>
          <w10:wrap type="none"/>
        </v:shape>
      </w:pict>
    </w:r>
  </w:p>
</w:ftr>
</file>

<file path=word/footer21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216.523407pt;margin-top:798.53833pt;width:317.4pt;height:17.45pt;mso-position-horizontal-relative:page;mso-position-vertical-relative:page;z-index:-267897856" type="#_x0000_t202" filled="false" stroked="false">
          <v:textbox inset="0,0,0,0">
            <w:txbxContent>
              <w:p>
                <w:pPr>
                  <w:spacing w:before="16"/>
                  <w:ind w:left="20" w:right="0" w:firstLine="0"/>
                  <w:jc w:val="left"/>
                  <w:rPr>
                    <w:rFonts w:ascii="Stone Sans II ITC Std X Bd" w:hAnsi="Stone Sans II ITC Std X Bd"/>
                    <w:b/>
                    <w:sz w:val="24"/>
                  </w:rPr>
                </w:pPr>
                <w:r>
                  <w:rPr>
                    <w:color w:val="7EAABF"/>
                    <w:w w:val="110"/>
                    <w:sz w:val="23"/>
                  </w:rPr>
                  <w:t>United Reformed Church </w:t>
                </w:r>
                <w:r>
                  <w:rPr>
                    <w:rFonts w:ascii="Symbol" w:hAnsi="Symbol"/>
                    <w:color w:val="7EAABF"/>
                    <w:w w:val="110"/>
                    <w:sz w:val="23"/>
                  </w:rPr>
                  <w:t></w:t>
                </w:r>
                <w:r>
                  <w:rPr>
                    <w:rFonts w:ascii="Times New Roman" w:hAnsi="Times New Roman"/>
                    <w:color w:val="7EAABF"/>
                    <w:w w:val="110"/>
                    <w:sz w:val="23"/>
                  </w:rPr>
                  <w:t> </w:t>
                </w:r>
                <w:r>
                  <w:rPr>
                    <w:color w:val="7EAABF"/>
                    <w:w w:val="110"/>
                    <w:sz w:val="23"/>
                  </w:rPr>
                  <w:t>General Assembly 2016 </w:t>
                </w:r>
                <w:r>
                  <w:rPr>
                    <w:rFonts w:ascii="Symbol" w:hAnsi="Symbol"/>
                    <w:color w:val="7EAABF"/>
                    <w:w w:val="110"/>
                    <w:sz w:val="23"/>
                  </w:rPr>
                  <w:t></w:t>
                </w:r>
                <w:r>
                  <w:rPr>
                    <w:rFonts w:ascii="Times New Roman" w:hAnsi="Times New Roman"/>
                    <w:color w:val="7EAABF"/>
                    <w:w w:val="110"/>
                    <w:sz w:val="23"/>
                  </w:rPr>
                  <w:t> </w:t>
                </w:r>
                <w:r>
                  <w:rPr>
                    <w:rFonts w:ascii="Stone Sans II ITC Std X Bd" w:hAnsi="Stone Sans II ITC Std X Bd"/>
                    <w:b/>
                    <w:w w:val="110"/>
                    <w:sz w:val="24"/>
                  </w:rPr>
                  <w:t>223</w:t>
                </w:r>
              </w:p>
            </w:txbxContent>
          </v:textbox>
          <w10:wrap type="none"/>
        </v:shape>
      </w:pict>
    </w:r>
  </w:p>
</w:ftr>
</file>

<file path=word/footer21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59.362202pt;margin-top:798.53833pt;width:319.4pt;height:17.45pt;mso-position-horizontal-relative:page;mso-position-vertical-relative:page;z-index:-267896832" type="#_x0000_t202" filled="false" stroked="false">
          <v:textbox inset="0,0,0,0">
            <w:txbxContent>
              <w:p>
                <w:pPr>
                  <w:spacing w:before="16"/>
                  <w:ind w:left="60" w:right="0" w:firstLine="0"/>
                  <w:jc w:val="left"/>
                  <w:rPr>
                    <w:sz w:val="23"/>
                  </w:rPr>
                </w:pPr>
                <w:r>
                  <w:rPr/>
                  <w:fldChar w:fldCharType="begin"/>
                </w:r>
                <w:r>
                  <w:rPr>
                    <w:rFonts w:ascii="Stone Sans II ITC Std X Bd" w:hAnsi="Stone Sans II ITC Std X Bd"/>
                    <w:b/>
                    <w:w w:val="110"/>
                    <w:sz w:val="24"/>
                  </w:rPr>
                  <w:instrText> PAGE </w:instrText>
                </w:r>
                <w:r>
                  <w:rPr/>
                  <w:fldChar w:fldCharType="separate"/>
                </w:r>
                <w:r>
                  <w:rPr/>
                  <w:t>224</w:t>
                </w:r>
                <w:r>
                  <w:rPr/>
                  <w:fldChar w:fldCharType="end"/>
                </w:r>
                <w:r>
                  <w:rPr>
                    <w:rFonts w:ascii="Stone Sans II ITC Std X Bd" w:hAnsi="Stone Sans II ITC Std X Bd"/>
                    <w:b/>
                    <w:w w:val="110"/>
                    <w:sz w:val="24"/>
                  </w:rPr>
                  <w:t> </w:t>
                </w:r>
                <w:r>
                  <w:rPr>
                    <w:rFonts w:ascii="Symbol" w:hAnsi="Symbol"/>
                    <w:color w:val="7EAABF"/>
                    <w:w w:val="110"/>
                    <w:sz w:val="23"/>
                  </w:rPr>
                  <w:t></w:t>
                </w:r>
                <w:r>
                  <w:rPr>
                    <w:rFonts w:ascii="Times New Roman" w:hAnsi="Times New Roman"/>
                    <w:color w:val="7EAABF"/>
                    <w:w w:val="110"/>
                    <w:sz w:val="23"/>
                  </w:rPr>
                  <w:t> </w:t>
                </w:r>
                <w:r>
                  <w:rPr>
                    <w:color w:val="7EAABF"/>
                    <w:w w:val="110"/>
                    <w:sz w:val="23"/>
                  </w:rPr>
                  <w:t>United Reformed Church </w:t>
                </w:r>
                <w:r>
                  <w:rPr>
                    <w:rFonts w:ascii="Symbol" w:hAnsi="Symbol"/>
                    <w:color w:val="7EAABF"/>
                    <w:w w:val="110"/>
                    <w:sz w:val="23"/>
                  </w:rPr>
                  <w:t></w:t>
                </w:r>
                <w:r>
                  <w:rPr>
                    <w:rFonts w:ascii="Times New Roman" w:hAnsi="Times New Roman"/>
                    <w:color w:val="7EAABF"/>
                    <w:w w:val="110"/>
                    <w:sz w:val="23"/>
                  </w:rPr>
                  <w:t> </w:t>
                </w:r>
                <w:r>
                  <w:rPr>
                    <w:color w:val="7EAABF"/>
                    <w:w w:val="110"/>
                    <w:sz w:val="23"/>
                  </w:rPr>
                  <w:t>General Assembly 2016</w:t>
                </w:r>
              </w:p>
            </w:txbxContent>
          </v:textbox>
          <w10:wrap type="none"/>
        </v:shape>
      </w:pict>
    </w:r>
  </w:p>
</w:ftr>
</file>

<file path=word/footer2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22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22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59.362202pt;margin-top:798.53833pt;width:319.05pt;height:17.45pt;mso-position-horizontal-relative:page;mso-position-vertical-relative:page;z-index:-267894784" type="#_x0000_t202" filled="false" stroked="false">
          <v:textbox inset="0,0,0,0">
            <w:txbxContent>
              <w:p>
                <w:pPr>
                  <w:spacing w:before="16"/>
                  <w:ind w:left="60" w:right="0" w:firstLine="0"/>
                  <w:jc w:val="left"/>
                  <w:rPr>
                    <w:sz w:val="23"/>
                  </w:rPr>
                </w:pPr>
                <w:r>
                  <w:rPr/>
                  <w:fldChar w:fldCharType="begin"/>
                </w:r>
                <w:r>
                  <w:rPr>
                    <w:rFonts w:ascii="Stone Sans II ITC Std X Bd" w:hAnsi="Stone Sans II ITC Std X Bd"/>
                    <w:b/>
                    <w:w w:val="110"/>
                    <w:sz w:val="24"/>
                  </w:rPr>
                  <w:instrText> PAGE </w:instrText>
                </w:r>
                <w:r>
                  <w:rPr/>
                  <w:fldChar w:fldCharType="separate"/>
                </w:r>
                <w:r>
                  <w:rPr/>
                  <w:t>226</w:t>
                </w:r>
                <w:r>
                  <w:rPr/>
                  <w:fldChar w:fldCharType="end"/>
                </w:r>
                <w:r>
                  <w:rPr>
                    <w:rFonts w:ascii="Stone Sans II ITC Std X Bd" w:hAnsi="Stone Sans II ITC Std X Bd"/>
                    <w:b/>
                    <w:w w:val="110"/>
                    <w:sz w:val="24"/>
                  </w:rPr>
                  <w:t> </w:t>
                </w:r>
                <w:r>
                  <w:rPr>
                    <w:rFonts w:ascii="Symbol" w:hAnsi="Symbol"/>
                    <w:color w:val="7EAABF"/>
                    <w:w w:val="110"/>
                    <w:sz w:val="23"/>
                  </w:rPr>
                  <w:t></w:t>
                </w:r>
                <w:r>
                  <w:rPr>
                    <w:rFonts w:ascii="Times New Roman" w:hAnsi="Times New Roman"/>
                    <w:color w:val="7EAABF"/>
                    <w:w w:val="110"/>
                    <w:sz w:val="23"/>
                  </w:rPr>
                  <w:t> </w:t>
                </w:r>
                <w:r>
                  <w:rPr>
                    <w:color w:val="7EAABF"/>
                    <w:w w:val="110"/>
                    <w:sz w:val="23"/>
                  </w:rPr>
                  <w:t>United Reformed Church </w:t>
                </w:r>
                <w:r>
                  <w:rPr>
                    <w:rFonts w:ascii="Symbol" w:hAnsi="Symbol"/>
                    <w:color w:val="7EAABF"/>
                    <w:w w:val="110"/>
                    <w:sz w:val="23"/>
                  </w:rPr>
                  <w:t></w:t>
                </w:r>
                <w:r>
                  <w:rPr>
                    <w:rFonts w:ascii="Times New Roman" w:hAnsi="Times New Roman"/>
                    <w:color w:val="7EAABF"/>
                    <w:w w:val="110"/>
                    <w:sz w:val="23"/>
                  </w:rPr>
                  <w:t> </w:t>
                </w:r>
                <w:r>
                  <w:rPr>
                    <w:color w:val="7EAABF"/>
                    <w:w w:val="110"/>
                    <w:sz w:val="23"/>
                  </w:rPr>
                  <w:t>General Assembly 2016</w:t>
                </w:r>
              </w:p>
            </w:txbxContent>
          </v:textbox>
          <w10:wrap type="none"/>
        </v:shape>
      </w:pict>
    </w:r>
  </w:p>
</w:ftr>
</file>

<file path=word/footer22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216.907196pt;margin-top:798.53833pt;width:319.05pt;height:17.45pt;mso-position-horizontal-relative:page;mso-position-vertical-relative:page;z-index:-267893760" type="#_x0000_t202" filled="false" stroked="false">
          <v:textbox inset="0,0,0,0">
            <w:txbxContent>
              <w:p>
                <w:pPr>
                  <w:spacing w:before="16"/>
                  <w:ind w:left="20" w:right="0" w:firstLine="0"/>
                  <w:jc w:val="left"/>
                  <w:rPr>
                    <w:rFonts w:ascii="Stone Sans II ITC Std X Bd" w:hAnsi="Stone Sans II ITC Std X Bd"/>
                    <w:b/>
                    <w:sz w:val="24"/>
                  </w:rPr>
                </w:pPr>
                <w:r>
                  <w:rPr>
                    <w:color w:val="7EAABF"/>
                    <w:w w:val="110"/>
                    <w:sz w:val="23"/>
                  </w:rPr>
                  <w:t>United Reformed Church </w:t>
                </w:r>
                <w:r>
                  <w:rPr>
                    <w:rFonts w:ascii="Symbol" w:hAnsi="Symbol"/>
                    <w:color w:val="7EAABF"/>
                    <w:w w:val="110"/>
                    <w:sz w:val="23"/>
                  </w:rPr>
                  <w:t></w:t>
                </w:r>
                <w:r>
                  <w:rPr>
                    <w:rFonts w:ascii="Times New Roman" w:hAnsi="Times New Roman"/>
                    <w:color w:val="7EAABF"/>
                    <w:w w:val="110"/>
                    <w:sz w:val="23"/>
                  </w:rPr>
                  <w:t> </w:t>
                </w:r>
                <w:r>
                  <w:rPr>
                    <w:color w:val="7EAABF"/>
                    <w:w w:val="110"/>
                    <w:sz w:val="23"/>
                  </w:rPr>
                  <w:t>General Assembly 2016 </w:t>
                </w:r>
                <w:r>
                  <w:rPr>
                    <w:rFonts w:ascii="Symbol" w:hAnsi="Symbol"/>
                    <w:color w:val="7EAABF"/>
                    <w:w w:val="110"/>
                    <w:sz w:val="23"/>
                  </w:rPr>
                  <w:t></w:t>
                </w:r>
                <w:r>
                  <w:rPr>
                    <w:rFonts w:ascii="Times New Roman" w:hAnsi="Times New Roman"/>
                    <w:color w:val="7EAABF"/>
                    <w:w w:val="110"/>
                    <w:sz w:val="23"/>
                  </w:rPr>
                  <w:t> </w:t>
                </w:r>
                <w:r>
                  <w:rPr/>
                  <w:fldChar w:fldCharType="begin"/>
                </w:r>
                <w:r>
                  <w:rPr>
                    <w:rFonts w:ascii="Stone Sans II ITC Std X Bd" w:hAnsi="Stone Sans II ITC Std X Bd"/>
                    <w:b/>
                    <w:w w:val="110"/>
                    <w:sz w:val="24"/>
                  </w:rPr>
                  <w:instrText> PAGE </w:instrText>
                </w:r>
                <w:r>
                  <w:rPr/>
                  <w:fldChar w:fldCharType="separate"/>
                </w:r>
                <w:r>
                  <w:rPr/>
                  <w:t>227</w:t>
                </w:r>
                <w:r>
                  <w:rPr/>
                  <w:fldChar w:fldCharType="end"/>
                </w:r>
              </w:p>
            </w:txbxContent>
          </v:textbox>
          <w10:wrap type="none"/>
        </v:shape>
      </w:pict>
    </w:r>
  </w:p>
</w:ftr>
</file>

<file path=word/footer22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59.362202pt;margin-top:798.53833pt;width:319.05pt;height:17.45pt;mso-position-horizontal-relative:page;mso-position-vertical-relative:page;z-index:-267892736" type="#_x0000_t202" filled="false" stroked="false">
          <v:textbox inset="0,0,0,0">
            <w:txbxContent>
              <w:p>
                <w:pPr>
                  <w:spacing w:before="16"/>
                  <w:ind w:left="60" w:right="0" w:firstLine="0"/>
                  <w:jc w:val="left"/>
                  <w:rPr>
                    <w:sz w:val="23"/>
                  </w:rPr>
                </w:pPr>
                <w:r>
                  <w:rPr/>
                  <w:fldChar w:fldCharType="begin"/>
                </w:r>
                <w:r>
                  <w:rPr>
                    <w:rFonts w:ascii="Stone Sans II ITC Std X Bd" w:hAnsi="Stone Sans II ITC Std X Bd"/>
                    <w:b/>
                    <w:w w:val="110"/>
                    <w:sz w:val="24"/>
                  </w:rPr>
                  <w:instrText> PAGE </w:instrText>
                </w:r>
                <w:r>
                  <w:rPr/>
                  <w:fldChar w:fldCharType="separate"/>
                </w:r>
                <w:r>
                  <w:rPr/>
                  <w:t>228</w:t>
                </w:r>
                <w:r>
                  <w:rPr/>
                  <w:fldChar w:fldCharType="end"/>
                </w:r>
                <w:r>
                  <w:rPr>
                    <w:rFonts w:ascii="Stone Sans II ITC Std X Bd" w:hAnsi="Stone Sans II ITC Std X Bd"/>
                    <w:b/>
                    <w:w w:val="110"/>
                    <w:sz w:val="24"/>
                  </w:rPr>
                  <w:t> </w:t>
                </w:r>
                <w:r>
                  <w:rPr>
                    <w:rFonts w:ascii="Symbol" w:hAnsi="Symbol"/>
                    <w:color w:val="7EAABF"/>
                    <w:w w:val="110"/>
                    <w:sz w:val="23"/>
                  </w:rPr>
                  <w:t></w:t>
                </w:r>
                <w:r>
                  <w:rPr>
                    <w:rFonts w:ascii="Times New Roman" w:hAnsi="Times New Roman"/>
                    <w:color w:val="7EAABF"/>
                    <w:w w:val="110"/>
                    <w:sz w:val="23"/>
                  </w:rPr>
                  <w:t> </w:t>
                </w:r>
                <w:r>
                  <w:rPr>
                    <w:color w:val="7EAABF"/>
                    <w:w w:val="110"/>
                    <w:sz w:val="23"/>
                  </w:rPr>
                  <w:t>United Reformed Church </w:t>
                </w:r>
                <w:r>
                  <w:rPr>
                    <w:rFonts w:ascii="Symbol" w:hAnsi="Symbol"/>
                    <w:color w:val="7EAABF"/>
                    <w:w w:val="110"/>
                    <w:sz w:val="23"/>
                  </w:rPr>
                  <w:t></w:t>
                </w:r>
                <w:r>
                  <w:rPr>
                    <w:rFonts w:ascii="Times New Roman" w:hAnsi="Times New Roman"/>
                    <w:color w:val="7EAABF"/>
                    <w:w w:val="110"/>
                    <w:sz w:val="23"/>
                  </w:rPr>
                  <w:t> </w:t>
                </w:r>
                <w:r>
                  <w:rPr>
                    <w:color w:val="7EAABF"/>
                    <w:w w:val="110"/>
                    <w:sz w:val="23"/>
                  </w:rPr>
                  <w:t>General Assembly 2016</w:t>
                </w:r>
              </w:p>
            </w:txbxContent>
          </v:textbox>
          <w10:wrap type="none"/>
        </v:shape>
      </w:pict>
    </w:r>
  </w:p>
</w:ftr>
</file>

<file path=word/footer22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216.907196pt;margin-top:798.53833pt;width:319.05pt;height:17.45pt;mso-position-horizontal-relative:page;mso-position-vertical-relative:page;z-index:-267891712" type="#_x0000_t202" filled="false" stroked="false">
          <v:textbox inset="0,0,0,0">
            <w:txbxContent>
              <w:p>
                <w:pPr>
                  <w:spacing w:before="16"/>
                  <w:ind w:left="20" w:right="0" w:firstLine="0"/>
                  <w:jc w:val="left"/>
                  <w:rPr>
                    <w:rFonts w:ascii="Stone Sans II ITC Std X Bd" w:hAnsi="Stone Sans II ITC Std X Bd"/>
                    <w:b/>
                    <w:sz w:val="24"/>
                  </w:rPr>
                </w:pPr>
                <w:r>
                  <w:rPr>
                    <w:color w:val="7EAABF"/>
                    <w:w w:val="110"/>
                    <w:sz w:val="23"/>
                  </w:rPr>
                  <w:t>United Reformed Church </w:t>
                </w:r>
                <w:r>
                  <w:rPr>
                    <w:rFonts w:ascii="Symbol" w:hAnsi="Symbol"/>
                    <w:color w:val="7EAABF"/>
                    <w:w w:val="110"/>
                    <w:sz w:val="23"/>
                  </w:rPr>
                  <w:t></w:t>
                </w:r>
                <w:r>
                  <w:rPr>
                    <w:rFonts w:ascii="Times New Roman" w:hAnsi="Times New Roman"/>
                    <w:color w:val="7EAABF"/>
                    <w:w w:val="110"/>
                    <w:sz w:val="23"/>
                  </w:rPr>
                  <w:t> </w:t>
                </w:r>
                <w:r>
                  <w:rPr>
                    <w:color w:val="7EAABF"/>
                    <w:w w:val="110"/>
                    <w:sz w:val="23"/>
                  </w:rPr>
                  <w:t>General Assembly 2016 </w:t>
                </w:r>
                <w:r>
                  <w:rPr>
                    <w:rFonts w:ascii="Symbol" w:hAnsi="Symbol"/>
                    <w:color w:val="7EAABF"/>
                    <w:w w:val="110"/>
                    <w:sz w:val="23"/>
                  </w:rPr>
                  <w:t></w:t>
                </w:r>
                <w:r>
                  <w:rPr>
                    <w:rFonts w:ascii="Times New Roman" w:hAnsi="Times New Roman"/>
                    <w:color w:val="7EAABF"/>
                    <w:w w:val="110"/>
                    <w:sz w:val="23"/>
                  </w:rPr>
                  <w:t> </w:t>
                </w:r>
                <w:r>
                  <w:rPr/>
                  <w:fldChar w:fldCharType="begin"/>
                </w:r>
                <w:r>
                  <w:rPr>
                    <w:rFonts w:ascii="Stone Sans II ITC Std X Bd" w:hAnsi="Stone Sans II ITC Std X Bd"/>
                    <w:b/>
                    <w:w w:val="110"/>
                    <w:sz w:val="24"/>
                  </w:rPr>
                  <w:instrText> PAGE </w:instrText>
                </w:r>
                <w:r>
                  <w:rPr/>
                  <w:fldChar w:fldCharType="separate"/>
                </w:r>
                <w:r>
                  <w:rPr/>
                  <w:t>229</w:t>
                </w:r>
                <w:r>
                  <w:rPr/>
                  <w:fldChar w:fldCharType="end"/>
                </w:r>
              </w:p>
            </w:txbxContent>
          </v:textbox>
          <w10:wrap type="none"/>
        </v:shape>
      </w:pict>
    </w:r>
  </w:p>
</w:ftr>
</file>

<file path=word/footer22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61.362202pt;margin-top:798.53833pt;width:317.05pt;height:17.45pt;mso-position-horizontal-relative:page;mso-position-vertical-relative:page;z-index:-267890688" type="#_x0000_t202" filled="false" stroked="false">
          <v:textbox inset="0,0,0,0">
            <w:txbxContent>
              <w:p>
                <w:pPr>
                  <w:spacing w:before="16"/>
                  <w:ind w:left="20" w:right="0" w:firstLine="0"/>
                  <w:jc w:val="left"/>
                  <w:rPr>
                    <w:sz w:val="23"/>
                  </w:rPr>
                </w:pPr>
                <w:r>
                  <w:rPr>
                    <w:rFonts w:ascii="Stone Sans II ITC Std X Bd" w:hAnsi="Stone Sans II ITC Std X Bd"/>
                    <w:b/>
                    <w:w w:val="110"/>
                    <w:sz w:val="24"/>
                  </w:rPr>
                  <w:t>230 </w:t>
                </w:r>
                <w:r>
                  <w:rPr>
                    <w:rFonts w:ascii="Symbol" w:hAnsi="Symbol"/>
                    <w:color w:val="7EAABF"/>
                    <w:w w:val="110"/>
                    <w:sz w:val="23"/>
                  </w:rPr>
                  <w:t></w:t>
                </w:r>
                <w:r>
                  <w:rPr>
                    <w:rFonts w:ascii="Times New Roman" w:hAnsi="Times New Roman"/>
                    <w:color w:val="7EAABF"/>
                    <w:w w:val="110"/>
                    <w:sz w:val="23"/>
                  </w:rPr>
                  <w:t> </w:t>
                </w:r>
                <w:r>
                  <w:rPr>
                    <w:color w:val="7EAABF"/>
                    <w:w w:val="110"/>
                    <w:sz w:val="23"/>
                  </w:rPr>
                  <w:t>United Reformed Church </w:t>
                </w:r>
                <w:r>
                  <w:rPr>
                    <w:rFonts w:ascii="Symbol" w:hAnsi="Symbol"/>
                    <w:color w:val="7EAABF"/>
                    <w:w w:val="110"/>
                    <w:sz w:val="23"/>
                  </w:rPr>
                  <w:t></w:t>
                </w:r>
                <w:r>
                  <w:rPr>
                    <w:rFonts w:ascii="Times New Roman" w:hAnsi="Times New Roman"/>
                    <w:color w:val="7EAABF"/>
                    <w:w w:val="110"/>
                    <w:sz w:val="23"/>
                  </w:rPr>
                  <w:t> </w:t>
                </w:r>
                <w:r>
                  <w:rPr>
                    <w:color w:val="7EAABF"/>
                    <w:w w:val="110"/>
                    <w:sz w:val="23"/>
                  </w:rPr>
                  <w:t>General Assembly 2016</w:t>
                </w:r>
              </w:p>
            </w:txbxContent>
          </v:textbox>
          <w10:wrap type="none"/>
        </v:shape>
      </w:pict>
    </w:r>
  </w:p>
</w:ftr>
</file>

<file path=word/footer22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216.907196pt;margin-top:798.53833pt;width:317.05pt;height:17.45pt;mso-position-horizontal-relative:page;mso-position-vertical-relative:page;z-index:-267889664" type="#_x0000_t202" filled="false" stroked="false">
          <v:textbox inset="0,0,0,0">
            <w:txbxContent>
              <w:p>
                <w:pPr>
                  <w:spacing w:before="16"/>
                  <w:ind w:left="20" w:right="0" w:firstLine="0"/>
                  <w:jc w:val="left"/>
                  <w:rPr>
                    <w:rFonts w:ascii="Stone Sans II ITC Std X Bd" w:hAnsi="Stone Sans II ITC Std X Bd"/>
                    <w:b/>
                    <w:sz w:val="24"/>
                  </w:rPr>
                </w:pPr>
                <w:r>
                  <w:rPr>
                    <w:color w:val="7EAABF"/>
                    <w:w w:val="110"/>
                    <w:sz w:val="23"/>
                  </w:rPr>
                  <w:t>United Reformed Church </w:t>
                </w:r>
                <w:r>
                  <w:rPr>
                    <w:rFonts w:ascii="Symbol" w:hAnsi="Symbol"/>
                    <w:color w:val="7EAABF"/>
                    <w:w w:val="110"/>
                    <w:sz w:val="23"/>
                  </w:rPr>
                  <w:t></w:t>
                </w:r>
                <w:r>
                  <w:rPr>
                    <w:rFonts w:ascii="Times New Roman" w:hAnsi="Times New Roman"/>
                    <w:color w:val="7EAABF"/>
                    <w:w w:val="110"/>
                    <w:sz w:val="23"/>
                  </w:rPr>
                  <w:t> </w:t>
                </w:r>
                <w:r>
                  <w:rPr>
                    <w:color w:val="7EAABF"/>
                    <w:w w:val="110"/>
                    <w:sz w:val="23"/>
                  </w:rPr>
                  <w:t>General Assembly 2016 </w:t>
                </w:r>
                <w:r>
                  <w:rPr>
                    <w:rFonts w:ascii="Symbol" w:hAnsi="Symbol"/>
                    <w:color w:val="7EAABF"/>
                    <w:w w:val="110"/>
                    <w:sz w:val="23"/>
                  </w:rPr>
                  <w:t></w:t>
                </w:r>
                <w:r>
                  <w:rPr>
                    <w:rFonts w:ascii="Times New Roman" w:hAnsi="Times New Roman"/>
                    <w:color w:val="7EAABF"/>
                    <w:w w:val="110"/>
                    <w:sz w:val="23"/>
                  </w:rPr>
                  <w:t> </w:t>
                </w:r>
                <w:r>
                  <w:rPr>
                    <w:rFonts w:ascii="Stone Sans II ITC Std X Bd" w:hAnsi="Stone Sans II ITC Std X Bd"/>
                    <w:b/>
                    <w:w w:val="110"/>
                    <w:sz w:val="24"/>
                  </w:rPr>
                  <w:t>231</w:t>
                </w:r>
              </w:p>
            </w:txbxContent>
          </v:textbox>
          <w10:wrap type="none"/>
        </v:shape>
      </w:pict>
    </w:r>
  </w:p>
</w:ftr>
</file>

<file path=word/footer22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59.362202pt;margin-top:798.53833pt;width:319.05pt;height:17.45pt;mso-position-horizontal-relative:page;mso-position-vertical-relative:page;z-index:-267888640" type="#_x0000_t202" filled="false" stroked="false">
          <v:textbox inset="0,0,0,0">
            <w:txbxContent>
              <w:p>
                <w:pPr>
                  <w:spacing w:before="16"/>
                  <w:ind w:left="60" w:right="0" w:firstLine="0"/>
                  <w:jc w:val="left"/>
                  <w:rPr>
                    <w:sz w:val="23"/>
                  </w:rPr>
                </w:pPr>
                <w:r>
                  <w:rPr/>
                  <w:fldChar w:fldCharType="begin"/>
                </w:r>
                <w:r>
                  <w:rPr>
                    <w:rFonts w:ascii="Stone Sans II ITC Std X Bd" w:hAnsi="Stone Sans II ITC Std X Bd"/>
                    <w:b/>
                    <w:w w:val="110"/>
                    <w:sz w:val="24"/>
                  </w:rPr>
                  <w:instrText> PAGE </w:instrText>
                </w:r>
                <w:r>
                  <w:rPr/>
                  <w:fldChar w:fldCharType="separate"/>
                </w:r>
                <w:r>
                  <w:rPr/>
                  <w:t>232</w:t>
                </w:r>
                <w:r>
                  <w:rPr/>
                  <w:fldChar w:fldCharType="end"/>
                </w:r>
                <w:r>
                  <w:rPr>
                    <w:rFonts w:ascii="Stone Sans II ITC Std X Bd" w:hAnsi="Stone Sans II ITC Std X Bd"/>
                    <w:b/>
                    <w:w w:val="110"/>
                    <w:sz w:val="24"/>
                  </w:rPr>
                  <w:t> </w:t>
                </w:r>
                <w:r>
                  <w:rPr>
                    <w:rFonts w:ascii="Symbol" w:hAnsi="Symbol"/>
                    <w:color w:val="7EAABF"/>
                    <w:w w:val="110"/>
                    <w:sz w:val="23"/>
                  </w:rPr>
                  <w:t></w:t>
                </w:r>
                <w:r>
                  <w:rPr>
                    <w:rFonts w:ascii="Times New Roman" w:hAnsi="Times New Roman"/>
                    <w:color w:val="7EAABF"/>
                    <w:w w:val="110"/>
                    <w:sz w:val="23"/>
                  </w:rPr>
                  <w:t> </w:t>
                </w:r>
                <w:r>
                  <w:rPr>
                    <w:color w:val="7EAABF"/>
                    <w:w w:val="110"/>
                    <w:sz w:val="23"/>
                  </w:rPr>
                  <w:t>United Reformed Church </w:t>
                </w:r>
                <w:r>
                  <w:rPr>
                    <w:rFonts w:ascii="Symbol" w:hAnsi="Symbol"/>
                    <w:color w:val="7EAABF"/>
                    <w:w w:val="110"/>
                    <w:sz w:val="23"/>
                  </w:rPr>
                  <w:t></w:t>
                </w:r>
                <w:r>
                  <w:rPr>
                    <w:rFonts w:ascii="Times New Roman" w:hAnsi="Times New Roman"/>
                    <w:color w:val="7EAABF"/>
                    <w:w w:val="110"/>
                    <w:sz w:val="23"/>
                  </w:rPr>
                  <w:t> </w:t>
                </w:r>
                <w:r>
                  <w:rPr>
                    <w:color w:val="7EAABF"/>
                    <w:w w:val="110"/>
                    <w:sz w:val="23"/>
                  </w:rPr>
                  <w:t>General Assembly 2016</w:t>
                </w:r>
              </w:p>
            </w:txbxContent>
          </v:textbox>
          <w10:wrap type="none"/>
        </v:shape>
      </w:pict>
    </w:r>
  </w:p>
</w:ftr>
</file>

<file path=word/footer22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216.523407pt;margin-top:798.53833pt;width:317.4pt;height:17.45pt;mso-position-horizontal-relative:page;mso-position-vertical-relative:page;z-index:-267887616" type="#_x0000_t202" filled="false" stroked="false">
          <v:textbox inset="0,0,0,0">
            <w:txbxContent>
              <w:p>
                <w:pPr>
                  <w:spacing w:before="16"/>
                  <w:ind w:left="20" w:right="0" w:firstLine="0"/>
                  <w:jc w:val="left"/>
                  <w:rPr>
                    <w:rFonts w:ascii="Stone Sans II ITC Std X Bd" w:hAnsi="Stone Sans II ITC Std X Bd"/>
                    <w:b/>
                    <w:sz w:val="24"/>
                  </w:rPr>
                </w:pPr>
                <w:r>
                  <w:rPr>
                    <w:color w:val="7EAABF"/>
                    <w:w w:val="110"/>
                    <w:sz w:val="23"/>
                  </w:rPr>
                  <w:t>United Reformed Church </w:t>
                </w:r>
                <w:r>
                  <w:rPr>
                    <w:rFonts w:ascii="Symbol" w:hAnsi="Symbol"/>
                    <w:color w:val="7EAABF"/>
                    <w:w w:val="110"/>
                    <w:sz w:val="23"/>
                  </w:rPr>
                  <w:t></w:t>
                </w:r>
                <w:r>
                  <w:rPr>
                    <w:rFonts w:ascii="Times New Roman" w:hAnsi="Times New Roman"/>
                    <w:color w:val="7EAABF"/>
                    <w:w w:val="110"/>
                    <w:sz w:val="23"/>
                  </w:rPr>
                  <w:t> </w:t>
                </w:r>
                <w:r>
                  <w:rPr>
                    <w:color w:val="7EAABF"/>
                    <w:w w:val="110"/>
                    <w:sz w:val="23"/>
                  </w:rPr>
                  <w:t>General Assembly 2016 </w:t>
                </w:r>
                <w:r>
                  <w:rPr>
                    <w:rFonts w:ascii="Symbol" w:hAnsi="Symbol"/>
                    <w:color w:val="7EAABF"/>
                    <w:w w:val="110"/>
                    <w:sz w:val="23"/>
                  </w:rPr>
                  <w:t></w:t>
                </w:r>
                <w:r>
                  <w:rPr>
                    <w:rFonts w:ascii="Times New Roman" w:hAnsi="Times New Roman"/>
                    <w:color w:val="7EAABF"/>
                    <w:w w:val="110"/>
                    <w:sz w:val="23"/>
                  </w:rPr>
                  <w:t> </w:t>
                </w:r>
                <w:r>
                  <w:rPr>
                    <w:rFonts w:ascii="Stone Sans II ITC Std X Bd" w:hAnsi="Stone Sans II ITC Std X Bd"/>
                    <w:b/>
                    <w:w w:val="110"/>
                    <w:sz w:val="24"/>
                  </w:rPr>
                  <w:t>233</w:t>
                </w:r>
              </w:p>
            </w:txbxContent>
          </v:textbox>
          <w10:wrap type="none"/>
        </v:shape>
      </w:pict>
    </w:r>
  </w:p>
</w:ftr>
</file>

<file path=word/footer22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59.362202pt;margin-top:798.53833pt;width:319.4pt;height:17.45pt;mso-position-horizontal-relative:page;mso-position-vertical-relative:page;z-index:-267886592" type="#_x0000_t202" filled="false" stroked="false">
          <v:textbox inset="0,0,0,0">
            <w:txbxContent>
              <w:p>
                <w:pPr>
                  <w:spacing w:before="16"/>
                  <w:ind w:left="60" w:right="0" w:firstLine="0"/>
                  <w:jc w:val="left"/>
                  <w:rPr>
                    <w:sz w:val="23"/>
                  </w:rPr>
                </w:pPr>
                <w:r>
                  <w:rPr/>
                  <w:fldChar w:fldCharType="begin"/>
                </w:r>
                <w:r>
                  <w:rPr>
                    <w:rFonts w:ascii="Stone Sans II ITC Std X Bd" w:hAnsi="Stone Sans II ITC Std X Bd"/>
                    <w:b/>
                    <w:w w:val="110"/>
                    <w:sz w:val="24"/>
                  </w:rPr>
                  <w:instrText> PAGE </w:instrText>
                </w:r>
                <w:r>
                  <w:rPr/>
                  <w:fldChar w:fldCharType="separate"/>
                </w:r>
                <w:r>
                  <w:rPr/>
                  <w:t>234</w:t>
                </w:r>
                <w:r>
                  <w:rPr/>
                  <w:fldChar w:fldCharType="end"/>
                </w:r>
                <w:r>
                  <w:rPr>
                    <w:rFonts w:ascii="Stone Sans II ITC Std X Bd" w:hAnsi="Stone Sans II ITC Std X Bd"/>
                    <w:b/>
                    <w:w w:val="110"/>
                    <w:sz w:val="24"/>
                  </w:rPr>
                  <w:t> </w:t>
                </w:r>
                <w:r>
                  <w:rPr>
                    <w:rFonts w:ascii="Symbol" w:hAnsi="Symbol"/>
                    <w:color w:val="7EAABF"/>
                    <w:w w:val="110"/>
                    <w:sz w:val="23"/>
                  </w:rPr>
                  <w:t></w:t>
                </w:r>
                <w:r>
                  <w:rPr>
                    <w:rFonts w:ascii="Times New Roman" w:hAnsi="Times New Roman"/>
                    <w:color w:val="7EAABF"/>
                    <w:w w:val="110"/>
                    <w:sz w:val="23"/>
                  </w:rPr>
                  <w:t> </w:t>
                </w:r>
                <w:r>
                  <w:rPr>
                    <w:color w:val="7EAABF"/>
                    <w:w w:val="110"/>
                    <w:sz w:val="23"/>
                  </w:rPr>
                  <w:t>United Reformed Church </w:t>
                </w:r>
                <w:r>
                  <w:rPr>
                    <w:rFonts w:ascii="Symbol" w:hAnsi="Symbol"/>
                    <w:color w:val="7EAABF"/>
                    <w:w w:val="110"/>
                    <w:sz w:val="23"/>
                  </w:rPr>
                  <w:t></w:t>
                </w:r>
                <w:r>
                  <w:rPr>
                    <w:rFonts w:ascii="Times New Roman" w:hAnsi="Times New Roman"/>
                    <w:color w:val="7EAABF"/>
                    <w:w w:val="110"/>
                    <w:sz w:val="23"/>
                  </w:rPr>
                  <w:t> </w:t>
                </w:r>
                <w:r>
                  <w:rPr>
                    <w:color w:val="7EAABF"/>
                    <w:w w:val="110"/>
                    <w:sz w:val="23"/>
                  </w:rPr>
                  <w:t>General Assembly 2016</w:t>
                </w:r>
              </w:p>
            </w:txbxContent>
          </v:textbox>
          <w10:wrap type="none"/>
        </v:shape>
      </w:pict>
    </w:r>
  </w:p>
</w:ftr>
</file>

<file path=word/footer2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59.362202pt;margin-top:798.53833pt;width:311pt;height:17.45pt;mso-position-horizontal-relative:page;mso-position-vertical-relative:page;z-index:-268086272" type="#_x0000_t202" filled="false" stroked="false">
          <v:textbox inset="0,0,0,0">
            <w:txbxContent>
              <w:p>
                <w:pPr>
                  <w:spacing w:before="16"/>
                  <w:ind w:left="60" w:right="0" w:firstLine="0"/>
                  <w:jc w:val="left"/>
                  <w:rPr>
                    <w:sz w:val="23"/>
                  </w:rPr>
                </w:pPr>
                <w:r>
                  <w:rPr/>
                  <w:fldChar w:fldCharType="begin"/>
                </w:r>
                <w:r>
                  <w:rPr>
                    <w:rFonts w:ascii="Stone Sans II ITC Std X Bd" w:hAnsi="Stone Sans II ITC Std X Bd"/>
                    <w:b/>
                    <w:w w:val="110"/>
                    <w:sz w:val="24"/>
                  </w:rPr>
                  <w:instrText> PAGE </w:instrText>
                </w:r>
                <w:r>
                  <w:rPr/>
                  <w:fldChar w:fldCharType="separate"/>
                </w:r>
                <w:r>
                  <w:rPr/>
                  <w:t>28</w:t>
                </w:r>
                <w:r>
                  <w:rPr/>
                  <w:fldChar w:fldCharType="end"/>
                </w:r>
                <w:r>
                  <w:rPr>
                    <w:rFonts w:ascii="Stone Sans II ITC Std X Bd" w:hAnsi="Stone Sans II ITC Std X Bd"/>
                    <w:b/>
                    <w:w w:val="110"/>
                    <w:sz w:val="24"/>
                  </w:rPr>
                  <w:t> </w:t>
                </w:r>
                <w:r>
                  <w:rPr>
                    <w:rFonts w:ascii="Symbol" w:hAnsi="Symbol"/>
                    <w:color w:val="7EAABF"/>
                    <w:w w:val="110"/>
                    <w:sz w:val="23"/>
                  </w:rPr>
                  <w:t></w:t>
                </w:r>
                <w:r>
                  <w:rPr>
                    <w:rFonts w:ascii="Times New Roman" w:hAnsi="Times New Roman"/>
                    <w:color w:val="7EAABF"/>
                    <w:w w:val="110"/>
                    <w:sz w:val="23"/>
                  </w:rPr>
                  <w:t> </w:t>
                </w:r>
                <w:r>
                  <w:rPr>
                    <w:color w:val="7EAABF"/>
                    <w:w w:val="110"/>
                    <w:sz w:val="23"/>
                  </w:rPr>
                  <w:t>United Reformed Church </w:t>
                </w:r>
                <w:r>
                  <w:rPr>
                    <w:rFonts w:ascii="Symbol" w:hAnsi="Symbol"/>
                    <w:color w:val="7EAABF"/>
                    <w:w w:val="110"/>
                    <w:sz w:val="23"/>
                  </w:rPr>
                  <w:t></w:t>
                </w:r>
                <w:r>
                  <w:rPr>
                    <w:rFonts w:ascii="Times New Roman" w:hAnsi="Times New Roman"/>
                    <w:color w:val="7EAABF"/>
                    <w:w w:val="110"/>
                    <w:sz w:val="23"/>
                  </w:rPr>
                  <w:t> </w:t>
                </w:r>
                <w:r>
                  <w:rPr>
                    <w:color w:val="7EAABF"/>
                    <w:w w:val="110"/>
                    <w:sz w:val="23"/>
                  </w:rPr>
                  <w:t>General Assembly 2016</w:t>
                </w:r>
              </w:p>
            </w:txbxContent>
          </v:textbox>
          <w10:wrap type="none"/>
        </v:shape>
      </w:pict>
    </w:r>
  </w:p>
</w:ftr>
</file>

<file path=word/footer23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23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59.362202pt;margin-top:798.53833pt;width:319.05pt;height:17.45pt;mso-position-horizontal-relative:page;mso-position-vertical-relative:page;z-index:-267884544" type="#_x0000_t202" filled="false" stroked="false">
          <v:textbox inset="0,0,0,0">
            <w:txbxContent>
              <w:p>
                <w:pPr>
                  <w:spacing w:before="16"/>
                  <w:ind w:left="60" w:right="0" w:firstLine="0"/>
                  <w:jc w:val="left"/>
                  <w:rPr>
                    <w:sz w:val="23"/>
                  </w:rPr>
                </w:pPr>
                <w:r>
                  <w:rPr/>
                  <w:fldChar w:fldCharType="begin"/>
                </w:r>
                <w:r>
                  <w:rPr>
                    <w:rFonts w:ascii="Stone Sans II ITC Std X Bd" w:hAnsi="Stone Sans II ITC Std X Bd"/>
                    <w:b/>
                    <w:w w:val="110"/>
                    <w:sz w:val="24"/>
                  </w:rPr>
                  <w:instrText> PAGE </w:instrText>
                </w:r>
                <w:r>
                  <w:rPr/>
                  <w:fldChar w:fldCharType="separate"/>
                </w:r>
                <w:r>
                  <w:rPr/>
                  <w:t>236</w:t>
                </w:r>
                <w:r>
                  <w:rPr/>
                  <w:fldChar w:fldCharType="end"/>
                </w:r>
                <w:r>
                  <w:rPr>
                    <w:rFonts w:ascii="Stone Sans II ITC Std X Bd" w:hAnsi="Stone Sans II ITC Std X Bd"/>
                    <w:b/>
                    <w:w w:val="110"/>
                    <w:sz w:val="24"/>
                  </w:rPr>
                  <w:t> </w:t>
                </w:r>
                <w:r>
                  <w:rPr>
                    <w:rFonts w:ascii="Symbol" w:hAnsi="Symbol"/>
                    <w:color w:val="7EAABF"/>
                    <w:w w:val="110"/>
                    <w:sz w:val="23"/>
                  </w:rPr>
                  <w:t></w:t>
                </w:r>
                <w:r>
                  <w:rPr>
                    <w:rFonts w:ascii="Times New Roman" w:hAnsi="Times New Roman"/>
                    <w:color w:val="7EAABF"/>
                    <w:w w:val="110"/>
                    <w:sz w:val="23"/>
                  </w:rPr>
                  <w:t> </w:t>
                </w:r>
                <w:r>
                  <w:rPr>
                    <w:color w:val="7EAABF"/>
                    <w:w w:val="110"/>
                    <w:sz w:val="23"/>
                  </w:rPr>
                  <w:t>United Reformed Church </w:t>
                </w:r>
                <w:r>
                  <w:rPr>
                    <w:rFonts w:ascii="Symbol" w:hAnsi="Symbol"/>
                    <w:color w:val="7EAABF"/>
                    <w:w w:val="110"/>
                    <w:sz w:val="23"/>
                  </w:rPr>
                  <w:t></w:t>
                </w:r>
                <w:r>
                  <w:rPr>
                    <w:rFonts w:ascii="Times New Roman" w:hAnsi="Times New Roman"/>
                    <w:color w:val="7EAABF"/>
                    <w:w w:val="110"/>
                    <w:sz w:val="23"/>
                  </w:rPr>
                  <w:t> </w:t>
                </w:r>
                <w:r>
                  <w:rPr>
                    <w:color w:val="7EAABF"/>
                    <w:w w:val="110"/>
                    <w:sz w:val="23"/>
                  </w:rPr>
                  <w:t>General Assembly 2016</w:t>
                </w:r>
              </w:p>
            </w:txbxContent>
          </v:textbox>
          <w10:wrap type="none"/>
        </v:shape>
      </w:pict>
    </w:r>
  </w:p>
</w:ftr>
</file>

<file path=word/footer23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216.907196pt;margin-top:798.53833pt;width:319.05pt;height:17.45pt;mso-position-horizontal-relative:page;mso-position-vertical-relative:page;z-index:-267883520" type="#_x0000_t202" filled="false" stroked="false">
          <v:textbox inset="0,0,0,0">
            <w:txbxContent>
              <w:p>
                <w:pPr>
                  <w:spacing w:before="16"/>
                  <w:ind w:left="20" w:right="0" w:firstLine="0"/>
                  <w:jc w:val="left"/>
                  <w:rPr>
                    <w:rFonts w:ascii="Stone Sans II ITC Std X Bd" w:hAnsi="Stone Sans II ITC Std X Bd"/>
                    <w:b/>
                    <w:sz w:val="24"/>
                  </w:rPr>
                </w:pPr>
                <w:r>
                  <w:rPr>
                    <w:color w:val="7EAABF"/>
                    <w:w w:val="110"/>
                    <w:sz w:val="23"/>
                  </w:rPr>
                  <w:t>United Reformed Church </w:t>
                </w:r>
                <w:r>
                  <w:rPr>
                    <w:rFonts w:ascii="Symbol" w:hAnsi="Symbol"/>
                    <w:color w:val="7EAABF"/>
                    <w:w w:val="110"/>
                    <w:sz w:val="23"/>
                  </w:rPr>
                  <w:t></w:t>
                </w:r>
                <w:r>
                  <w:rPr>
                    <w:rFonts w:ascii="Times New Roman" w:hAnsi="Times New Roman"/>
                    <w:color w:val="7EAABF"/>
                    <w:w w:val="110"/>
                    <w:sz w:val="23"/>
                  </w:rPr>
                  <w:t> </w:t>
                </w:r>
                <w:r>
                  <w:rPr>
                    <w:color w:val="7EAABF"/>
                    <w:w w:val="110"/>
                    <w:sz w:val="23"/>
                  </w:rPr>
                  <w:t>General Assembly 2016 </w:t>
                </w:r>
                <w:r>
                  <w:rPr>
                    <w:rFonts w:ascii="Symbol" w:hAnsi="Symbol"/>
                    <w:color w:val="7EAABF"/>
                    <w:w w:val="110"/>
                    <w:sz w:val="23"/>
                  </w:rPr>
                  <w:t></w:t>
                </w:r>
                <w:r>
                  <w:rPr>
                    <w:rFonts w:ascii="Times New Roman" w:hAnsi="Times New Roman"/>
                    <w:color w:val="7EAABF"/>
                    <w:w w:val="110"/>
                    <w:sz w:val="23"/>
                  </w:rPr>
                  <w:t> </w:t>
                </w:r>
                <w:r>
                  <w:rPr/>
                  <w:fldChar w:fldCharType="begin"/>
                </w:r>
                <w:r>
                  <w:rPr>
                    <w:rFonts w:ascii="Stone Sans II ITC Std X Bd" w:hAnsi="Stone Sans II ITC Std X Bd"/>
                    <w:b/>
                    <w:w w:val="110"/>
                    <w:sz w:val="24"/>
                  </w:rPr>
                  <w:instrText> PAGE </w:instrText>
                </w:r>
                <w:r>
                  <w:rPr/>
                  <w:fldChar w:fldCharType="separate"/>
                </w:r>
                <w:r>
                  <w:rPr/>
                  <w:t>237</w:t>
                </w:r>
                <w:r>
                  <w:rPr/>
                  <w:fldChar w:fldCharType="end"/>
                </w:r>
              </w:p>
            </w:txbxContent>
          </v:textbox>
          <w10:wrap type="none"/>
        </v:shape>
      </w:pict>
    </w:r>
  </w:p>
</w:ftr>
</file>

<file path=word/footer23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59.362202pt;margin-top:798.53833pt;width:319.05pt;height:17.45pt;mso-position-horizontal-relative:page;mso-position-vertical-relative:page;z-index:-267882496" type="#_x0000_t202" filled="false" stroked="false">
          <v:textbox inset="0,0,0,0">
            <w:txbxContent>
              <w:p>
                <w:pPr>
                  <w:spacing w:before="16"/>
                  <w:ind w:left="60" w:right="0" w:firstLine="0"/>
                  <w:jc w:val="left"/>
                  <w:rPr>
                    <w:sz w:val="23"/>
                  </w:rPr>
                </w:pPr>
                <w:r>
                  <w:rPr/>
                  <w:fldChar w:fldCharType="begin"/>
                </w:r>
                <w:r>
                  <w:rPr>
                    <w:rFonts w:ascii="Stone Sans II ITC Std X Bd" w:hAnsi="Stone Sans II ITC Std X Bd"/>
                    <w:b/>
                    <w:w w:val="110"/>
                    <w:sz w:val="24"/>
                  </w:rPr>
                  <w:instrText> PAGE </w:instrText>
                </w:r>
                <w:r>
                  <w:rPr/>
                  <w:fldChar w:fldCharType="separate"/>
                </w:r>
                <w:r>
                  <w:rPr/>
                  <w:t>238</w:t>
                </w:r>
                <w:r>
                  <w:rPr/>
                  <w:fldChar w:fldCharType="end"/>
                </w:r>
                <w:r>
                  <w:rPr>
                    <w:rFonts w:ascii="Stone Sans II ITC Std X Bd" w:hAnsi="Stone Sans II ITC Std X Bd"/>
                    <w:b/>
                    <w:w w:val="110"/>
                    <w:sz w:val="24"/>
                  </w:rPr>
                  <w:t> </w:t>
                </w:r>
                <w:r>
                  <w:rPr>
                    <w:rFonts w:ascii="Symbol" w:hAnsi="Symbol"/>
                    <w:color w:val="7EAABF"/>
                    <w:w w:val="110"/>
                    <w:sz w:val="23"/>
                  </w:rPr>
                  <w:t></w:t>
                </w:r>
                <w:r>
                  <w:rPr>
                    <w:rFonts w:ascii="Times New Roman" w:hAnsi="Times New Roman"/>
                    <w:color w:val="7EAABF"/>
                    <w:w w:val="110"/>
                    <w:sz w:val="23"/>
                  </w:rPr>
                  <w:t> </w:t>
                </w:r>
                <w:r>
                  <w:rPr>
                    <w:color w:val="7EAABF"/>
                    <w:w w:val="110"/>
                    <w:sz w:val="23"/>
                  </w:rPr>
                  <w:t>United Reformed Church </w:t>
                </w:r>
                <w:r>
                  <w:rPr>
                    <w:rFonts w:ascii="Symbol" w:hAnsi="Symbol"/>
                    <w:color w:val="7EAABF"/>
                    <w:w w:val="110"/>
                    <w:sz w:val="23"/>
                  </w:rPr>
                  <w:t></w:t>
                </w:r>
                <w:r>
                  <w:rPr>
                    <w:rFonts w:ascii="Times New Roman" w:hAnsi="Times New Roman"/>
                    <w:color w:val="7EAABF"/>
                    <w:w w:val="110"/>
                    <w:sz w:val="23"/>
                  </w:rPr>
                  <w:t> </w:t>
                </w:r>
                <w:r>
                  <w:rPr>
                    <w:color w:val="7EAABF"/>
                    <w:w w:val="110"/>
                    <w:sz w:val="23"/>
                  </w:rPr>
                  <w:t>General Assembly 2016</w:t>
                </w:r>
              </w:p>
            </w:txbxContent>
          </v:textbox>
          <w10:wrap type="none"/>
        </v:shape>
      </w:pict>
    </w:r>
  </w:p>
</w:ftr>
</file>

<file path=word/footer23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216.907196pt;margin-top:798.53833pt;width:319.05pt;height:17.45pt;mso-position-horizontal-relative:page;mso-position-vertical-relative:page;z-index:-267881472" type="#_x0000_t202" filled="false" stroked="false">
          <v:textbox inset="0,0,0,0">
            <w:txbxContent>
              <w:p>
                <w:pPr>
                  <w:spacing w:before="16"/>
                  <w:ind w:left="20" w:right="0" w:firstLine="0"/>
                  <w:jc w:val="left"/>
                  <w:rPr>
                    <w:rFonts w:ascii="Stone Sans II ITC Std X Bd" w:hAnsi="Stone Sans II ITC Std X Bd"/>
                    <w:b/>
                    <w:sz w:val="24"/>
                  </w:rPr>
                </w:pPr>
                <w:r>
                  <w:rPr>
                    <w:color w:val="7EAABF"/>
                    <w:w w:val="110"/>
                    <w:sz w:val="23"/>
                  </w:rPr>
                  <w:t>United Reformed Church </w:t>
                </w:r>
                <w:r>
                  <w:rPr>
                    <w:rFonts w:ascii="Symbol" w:hAnsi="Symbol"/>
                    <w:color w:val="7EAABF"/>
                    <w:w w:val="110"/>
                    <w:sz w:val="23"/>
                  </w:rPr>
                  <w:t></w:t>
                </w:r>
                <w:r>
                  <w:rPr>
                    <w:rFonts w:ascii="Times New Roman" w:hAnsi="Times New Roman"/>
                    <w:color w:val="7EAABF"/>
                    <w:w w:val="110"/>
                    <w:sz w:val="23"/>
                  </w:rPr>
                  <w:t> </w:t>
                </w:r>
                <w:r>
                  <w:rPr>
                    <w:color w:val="7EAABF"/>
                    <w:w w:val="110"/>
                    <w:sz w:val="23"/>
                  </w:rPr>
                  <w:t>General Assembly 2016 </w:t>
                </w:r>
                <w:r>
                  <w:rPr>
                    <w:rFonts w:ascii="Symbol" w:hAnsi="Symbol"/>
                    <w:color w:val="7EAABF"/>
                    <w:w w:val="110"/>
                    <w:sz w:val="23"/>
                  </w:rPr>
                  <w:t></w:t>
                </w:r>
                <w:r>
                  <w:rPr>
                    <w:rFonts w:ascii="Times New Roman" w:hAnsi="Times New Roman"/>
                    <w:color w:val="7EAABF"/>
                    <w:w w:val="110"/>
                    <w:sz w:val="23"/>
                  </w:rPr>
                  <w:t> </w:t>
                </w:r>
                <w:r>
                  <w:rPr/>
                  <w:fldChar w:fldCharType="begin"/>
                </w:r>
                <w:r>
                  <w:rPr>
                    <w:rFonts w:ascii="Stone Sans II ITC Std X Bd" w:hAnsi="Stone Sans II ITC Std X Bd"/>
                    <w:b/>
                    <w:w w:val="110"/>
                    <w:sz w:val="24"/>
                  </w:rPr>
                  <w:instrText> PAGE </w:instrText>
                </w:r>
                <w:r>
                  <w:rPr/>
                  <w:fldChar w:fldCharType="separate"/>
                </w:r>
                <w:r>
                  <w:rPr/>
                  <w:t>239</w:t>
                </w:r>
                <w:r>
                  <w:rPr/>
                  <w:fldChar w:fldCharType="end"/>
                </w:r>
              </w:p>
            </w:txbxContent>
          </v:textbox>
          <w10:wrap type="none"/>
        </v:shape>
      </w:pict>
    </w:r>
  </w:p>
</w:ftr>
</file>

<file path=word/footer23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61.362202pt;margin-top:798.53833pt;width:317.05pt;height:17.45pt;mso-position-horizontal-relative:page;mso-position-vertical-relative:page;z-index:-267880448" type="#_x0000_t202" filled="false" stroked="false">
          <v:textbox inset="0,0,0,0">
            <w:txbxContent>
              <w:p>
                <w:pPr>
                  <w:spacing w:before="16"/>
                  <w:ind w:left="20" w:right="0" w:firstLine="0"/>
                  <w:jc w:val="left"/>
                  <w:rPr>
                    <w:sz w:val="23"/>
                  </w:rPr>
                </w:pPr>
                <w:r>
                  <w:rPr>
                    <w:rFonts w:ascii="Stone Sans II ITC Std X Bd" w:hAnsi="Stone Sans II ITC Std X Bd"/>
                    <w:b/>
                    <w:w w:val="110"/>
                    <w:sz w:val="24"/>
                  </w:rPr>
                  <w:t>240 </w:t>
                </w:r>
                <w:r>
                  <w:rPr>
                    <w:rFonts w:ascii="Symbol" w:hAnsi="Symbol"/>
                    <w:color w:val="7EAABF"/>
                    <w:w w:val="110"/>
                    <w:sz w:val="23"/>
                  </w:rPr>
                  <w:t></w:t>
                </w:r>
                <w:r>
                  <w:rPr>
                    <w:rFonts w:ascii="Times New Roman" w:hAnsi="Times New Roman"/>
                    <w:color w:val="7EAABF"/>
                    <w:w w:val="110"/>
                    <w:sz w:val="23"/>
                  </w:rPr>
                  <w:t> </w:t>
                </w:r>
                <w:r>
                  <w:rPr>
                    <w:color w:val="7EAABF"/>
                    <w:w w:val="110"/>
                    <w:sz w:val="23"/>
                  </w:rPr>
                  <w:t>United Reformed Church </w:t>
                </w:r>
                <w:r>
                  <w:rPr>
                    <w:rFonts w:ascii="Symbol" w:hAnsi="Symbol"/>
                    <w:color w:val="7EAABF"/>
                    <w:w w:val="110"/>
                    <w:sz w:val="23"/>
                  </w:rPr>
                  <w:t></w:t>
                </w:r>
                <w:r>
                  <w:rPr>
                    <w:rFonts w:ascii="Times New Roman" w:hAnsi="Times New Roman"/>
                    <w:color w:val="7EAABF"/>
                    <w:w w:val="110"/>
                    <w:sz w:val="23"/>
                  </w:rPr>
                  <w:t> </w:t>
                </w:r>
                <w:r>
                  <w:rPr>
                    <w:color w:val="7EAABF"/>
                    <w:w w:val="110"/>
                    <w:sz w:val="23"/>
                  </w:rPr>
                  <w:t>General Assembly 2016</w:t>
                </w:r>
              </w:p>
            </w:txbxContent>
          </v:textbox>
          <w10:wrap type="none"/>
        </v:shape>
      </w:pict>
    </w:r>
  </w:p>
</w:ftr>
</file>

<file path=word/footer23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216.907196pt;margin-top:798.53833pt;width:317.05pt;height:17.45pt;mso-position-horizontal-relative:page;mso-position-vertical-relative:page;z-index:-267879424" type="#_x0000_t202" filled="false" stroked="false">
          <v:textbox inset="0,0,0,0">
            <w:txbxContent>
              <w:p>
                <w:pPr>
                  <w:spacing w:before="16"/>
                  <w:ind w:left="20" w:right="0" w:firstLine="0"/>
                  <w:jc w:val="left"/>
                  <w:rPr>
                    <w:rFonts w:ascii="Stone Sans II ITC Std X Bd" w:hAnsi="Stone Sans II ITC Std X Bd"/>
                    <w:b/>
                    <w:sz w:val="24"/>
                  </w:rPr>
                </w:pPr>
                <w:r>
                  <w:rPr>
                    <w:color w:val="7EAABF"/>
                    <w:w w:val="110"/>
                    <w:sz w:val="23"/>
                  </w:rPr>
                  <w:t>United Reformed Church </w:t>
                </w:r>
                <w:r>
                  <w:rPr>
                    <w:rFonts w:ascii="Symbol" w:hAnsi="Symbol"/>
                    <w:color w:val="7EAABF"/>
                    <w:w w:val="110"/>
                    <w:sz w:val="23"/>
                  </w:rPr>
                  <w:t></w:t>
                </w:r>
                <w:r>
                  <w:rPr>
                    <w:rFonts w:ascii="Times New Roman" w:hAnsi="Times New Roman"/>
                    <w:color w:val="7EAABF"/>
                    <w:w w:val="110"/>
                    <w:sz w:val="23"/>
                  </w:rPr>
                  <w:t> </w:t>
                </w:r>
                <w:r>
                  <w:rPr>
                    <w:color w:val="7EAABF"/>
                    <w:w w:val="110"/>
                    <w:sz w:val="23"/>
                  </w:rPr>
                  <w:t>General Assembly 2016 </w:t>
                </w:r>
                <w:r>
                  <w:rPr>
                    <w:rFonts w:ascii="Symbol" w:hAnsi="Symbol"/>
                    <w:color w:val="7EAABF"/>
                    <w:w w:val="110"/>
                    <w:sz w:val="23"/>
                  </w:rPr>
                  <w:t></w:t>
                </w:r>
                <w:r>
                  <w:rPr>
                    <w:rFonts w:ascii="Times New Roman" w:hAnsi="Times New Roman"/>
                    <w:color w:val="7EAABF"/>
                    <w:w w:val="110"/>
                    <w:sz w:val="23"/>
                  </w:rPr>
                  <w:t> </w:t>
                </w:r>
                <w:r>
                  <w:rPr>
                    <w:rFonts w:ascii="Stone Sans II ITC Std X Bd" w:hAnsi="Stone Sans II ITC Std X Bd"/>
                    <w:b/>
                    <w:w w:val="110"/>
                    <w:sz w:val="24"/>
                  </w:rPr>
                  <w:t>241</w:t>
                </w:r>
              </w:p>
            </w:txbxContent>
          </v:textbox>
          <w10:wrap type="none"/>
        </v:shape>
      </w:pict>
    </w:r>
  </w:p>
</w:ftr>
</file>

<file path=word/footer23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59.362202pt;margin-top:798.53833pt;width:319.05pt;height:17.45pt;mso-position-horizontal-relative:page;mso-position-vertical-relative:page;z-index:-267878400" type="#_x0000_t202" filled="false" stroked="false">
          <v:textbox inset="0,0,0,0">
            <w:txbxContent>
              <w:p>
                <w:pPr>
                  <w:spacing w:before="16"/>
                  <w:ind w:left="60" w:right="0" w:firstLine="0"/>
                  <w:jc w:val="left"/>
                  <w:rPr>
                    <w:sz w:val="23"/>
                  </w:rPr>
                </w:pPr>
                <w:r>
                  <w:rPr/>
                  <w:fldChar w:fldCharType="begin"/>
                </w:r>
                <w:r>
                  <w:rPr>
                    <w:rFonts w:ascii="Stone Sans II ITC Std X Bd" w:hAnsi="Stone Sans II ITC Std X Bd"/>
                    <w:b/>
                    <w:w w:val="110"/>
                    <w:sz w:val="24"/>
                  </w:rPr>
                  <w:instrText> PAGE </w:instrText>
                </w:r>
                <w:r>
                  <w:rPr/>
                  <w:fldChar w:fldCharType="separate"/>
                </w:r>
                <w:r>
                  <w:rPr/>
                  <w:t>242</w:t>
                </w:r>
                <w:r>
                  <w:rPr/>
                  <w:fldChar w:fldCharType="end"/>
                </w:r>
                <w:r>
                  <w:rPr>
                    <w:rFonts w:ascii="Stone Sans II ITC Std X Bd" w:hAnsi="Stone Sans II ITC Std X Bd"/>
                    <w:b/>
                    <w:w w:val="110"/>
                    <w:sz w:val="24"/>
                  </w:rPr>
                  <w:t> </w:t>
                </w:r>
                <w:r>
                  <w:rPr>
                    <w:rFonts w:ascii="Symbol" w:hAnsi="Symbol"/>
                    <w:color w:val="7EAABF"/>
                    <w:w w:val="110"/>
                    <w:sz w:val="23"/>
                  </w:rPr>
                  <w:t></w:t>
                </w:r>
                <w:r>
                  <w:rPr>
                    <w:rFonts w:ascii="Times New Roman" w:hAnsi="Times New Roman"/>
                    <w:color w:val="7EAABF"/>
                    <w:w w:val="110"/>
                    <w:sz w:val="23"/>
                  </w:rPr>
                  <w:t> </w:t>
                </w:r>
                <w:r>
                  <w:rPr>
                    <w:color w:val="7EAABF"/>
                    <w:w w:val="110"/>
                    <w:sz w:val="23"/>
                  </w:rPr>
                  <w:t>United Reformed Church </w:t>
                </w:r>
                <w:r>
                  <w:rPr>
                    <w:rFonts w:ascii="Symbol" w:hAnsi="Symbol"/>
                    <w:color w:val="7EAABF"/>
                    <w:w w:val="110"/>
                    <w:sz w:val="23"/>
                  </w:rPr>
                  <w:t></w:t>
                </w:r>
                <w:r>
                  <w:rPr>
                    <w:rFonts w:ascii="Times New Roman" w:hAnsi="Times New Roman"/>
                    <w:color w:val="7EAABF"/>
                    <w:w w:val="110"/>
                    <w:sz w:val="23"/>
                  </w:rPr>
                  <w:t> </w:t>
                </w:r>
                <w:r>
                  <w:rPr>
                    <w:color w:val="7EAABF"/>
                    <w:w w:val="110"/>
                    <w:sz w:val="23"/>
                  </w:rPr>
                  <w:t>General Assembly 2016</w:t>
                </w:r>
              </w:p>
            </w:txbxContent>
          </v:textbox>
          <w10:wrap type="none"/>
        </v:shape>
      </w:pict>
    </w:r>
  </w:p>
</w:ftr>
</file>

<file path=word/footer23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216.907196pt;margin-top:798.53833pt;width:319.05pt;height:17.45pt;mso-position-horizontal-relative:page;mso-position-vertical-relative:page;z-index:-267877376" type="#_x0000_t202" filled="false" stroked="false">
          <v:textbox inset="0,0,0,0">
            <w:txbxContent>
              <w:p>
                <w:pPr>
                  <w:spacing w:before="16"/>
                  <w:ind w:left="20" w:right="0" w:firstLine="0"/>
                  <w:jc w:val="left"/>
                  <w:rPr>
                    <w:rFonts w:ascii="Stone Sans II ITC Std X Bd" w:hAnsi="Stone Sans II ITC Std X Bd"/>
                    <w:b/>
                    <w:sz w:val="24"/>
                  </w:rPr>
                </w:pPr>
                <w:r>
                  <w:rPr>
                    <w:color w:val="7EAABF"/>
                    <w:w w:val="110"/>
                    <w:sz w:val="23"/>
                  </w:rPr>
                  <w:t>United Reformed Church </w:t>
                </w:r>
                <w:r>
                  <w:rPr>
                    <w:rFonts w:ascii="Symbol" w:hAnsi="Symbol"/>
                    <w:color w:val="7EAABF"/>
                    <w:w w:val="110"/>
                    <w:sz w:val="23"/>
                  </w:rPr>
                  <w:t></w:t>
                </w:r>
                <w:r>
                  <w:rPr>
                    <w:rFonts w:ascii="Times New Roman" w:hAnsi="Times New Roman"/>
                    <w:color w:val="7EAABF"/>
                    <w:w w:val="110"/>
                    <w:sz w:val="23"/>
                  </w:rPr>
                  <w:t> </w:t>
                </w:r>
                <w:r>
                  <w:rPr>
                    <w:color w:val="7EAABF"/>
                    <w:w w:val="110"/>
                    <w:sz w:val="23"/>
                  </w:rPr>
                  <w:t>General Assembly 2016 </w:t>
                </w:r>
                <w:r>
                  <w:rPr>
                    <w:rFonts w:ascii="Symbol" w:hAnsi="Symbol"/>
                    <w:color w:val="7EAABF"/>
                    <w:w w:val="110"/>
                    <w:sz w:val="23"/>
                  </w:rPr>
                  <w:t></w:t>
                </w:r>
                <w:r>
                  <w:rPr>
                    <w:rFonts w:ascii="Times New Roman" w:hAnsi="Times New Roman"/>
                    <w:color w:val="7EAABF"/>
                    <w:w w:val="110"/>
                    <w:sz w:val="23"/>
                  </w:rPr>
                  <w:t> </w:t>
                </w:r>
                <w:r>
                  <w:rPr/>
                  <w:fldChar w:fldCharType="begin"/>
                </w:r>
                <w:r>
                  <w:rPr>
                    <w:rFonts w:ascii="Stone Sans II ITC Std X Bd" w:hAnsi="Stone Sans II ITC Std X Bd"/>
                    <w:b/>
                    <w:w w:val="110"/>
                    <w:sz w:val="24"/>
                  </w:rPr>
                  <w:instrText> PAGE </w:instrText>
                </w:r>
                <w:r>
                  <w:rPr/>
                  <w:fldChar w:fldCharType="separate"/>
                </w:r>
                <w:r>
                  <w:rPr/>
                  <w:t>243</w:t>
                </w:r>
                <w:r>
                  <w:rPr/>
                  <w:fldChar w:fldCharType="end"/>
                </w:r>
              </w:p>
            </w:txbxContent>
          </v:textbox>
          <w10:wrap type="none"/>
        </v:shape>
      </w:pict>
    </w:r>
  </w:p>
</w:ftr>
</file>

<file path=word/footer23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59.362202pt;margin-top:798.53833pt;width:319.05pt;height:17.45pt;mso-position-horizontal-relative:page;mso-position-vertical-relative:page;z-index:-267876352" type="#_x0000_t202" filled="false" stroked="false">
          <v:textbox inset="0,0,0,0">
            <w:txbxContent>
              <w:p>
                <w:pPr>
                  <w:spacing w:before="16"/>
                  <w:ind w:left="60" w:right="0" w:firstLine="0"/>
                  <w:jc w:val="left"/>
                  <w:rPr>
                    <w:sz w:val="23"/>
                  </w:rPr>
                </w:pPr>
                <w:r>
                  <w:rPr/>
                  <w:fldChar w:fldCharType="begin"/>
                </w:r>
                <w:r>
                  <w:rPr>
                    <w:rFonts w:ascii="Stone Sans II ITC Std X Bd" w:hAnsi="Stone Sans II ITC Std X Bd"/>
                    <w:b/>
                    <w:w w:val="110"/>
                    <w:sz w:val="24"/>
                  </w:rPr>
                  <w:instrText> PAGE </w:instrText>
                </w:r>
                <w:r>
                  <w:rPr/>
                  <w:fldChar w:fldCharType="separate"/>
                </w:r>
                <w:r>
                  <w:rPr/>
                  <w:t>244</w:t>
                </w:r>
                <w:r>
                  <w:rPr/>
                  <w:fldChar w:fldCharType="end"/>
                </w:r>
                <w:r>
                  <w:rPr>
                    <w:rFonts w:ascii="Stone Sans II ITC Std X Bd" w:hAnsi="Stone Sans II ITC Std X Bd"/>
                    <w:b/>
                    <w:w w:val="110"/>
                    <w:sz w:val="24"/>
                  </w:rPr>
                  <w:t> </w:t>
                </w:r>
                <w:r>
                  <w:rPr>
                    <w:rFonts w:ascii="Symbol" w:hAnsi="Symbol"/>
                    <w:color w:val="7EAABF"/>
                    <w:w w:val="110"/>
                    <w:sz w:val="23"/>
                  </w:rPr>
                  <w:t></w:t>
                </w:r>
                <w:r>
                  <w:rPr>
                    <w:rFonts w:ascii="Times New Roman" w:hAnsi="Times New Roman"/>
                    <w:color w:val="7EAABF"/>
                    <w:w w:val="110"/>
                    <w:sz w:val="23"/>
                  </w:rPr>
                  <w:t> </w:t>
                </w:r>
                <w:r>
                  <w:rPr>
                    <w:color w:val="7EAABF"/>
                    <w:w w:val="110"/>
                    <w:sz w:val="23"/>
                  </w:rPr>
                  <w:t>United Reformed Church </w:t>
                </w:r>
                <w:r>
                  <w:rPr>
                    <w:rFonts w:ascii="Symbol" w:hAnsi="Symbol"/>
                    <w:color w:val="7EAABF"/>
                    <w:w w:val="110"/>
                    <w:sz w:val="23"/>
                  </w:rPr>
                  <w:t></w:t>
                </w:r>
                <w:r>
                  <w:rPr>
                    <w:rFonts w:ascii="Times New Roman" w:hAnsi="Times New Roman"/>
                    <w:color w:val="7EAABF"/>
                    <w:w w:val="110"/>
                    <w:sz w:val="23"/>
                  </w:rPr>
                  <w:t> </w:t>
                </w:r>
                <w:r>
                  <w:rPr>
                    <w:color w:val="7EAABF"/>
                    <w:w w:val="110"/>
                    <w:sz w:val="23"/>
                  </w:rPr>
                  <w:t>General Assembly 2016</w:t>
                </w:r>
              </w:p>
            </w:txbxContent>
          </v:textbox>
          <w10:wrap type="none"/>
        </v:shape>
      </w:pict>
    </w:r>
  </w:p>
</w:ftr>
</file>

<file path=word/footer2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24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217.015198pt;margin-top:798.53833pt;width:318.9pt;height:17.45pt;mso-position-horizontal-relative:page;mso-position-vertical-relative:page;z-index:-267875328" type="#_x0000_t202" filled="false" stroked="false">
          <v:textbox inset="0,0,0,0">
            <w:txbxContent>
              <w:p>
                <w:pPr>
                  <w:spacing w:before="16"/>
                  <w:ind w:left="20" w:right="0" w:firstLine="0"/>
                  <w:jc w:val="left"/>
                  <w:rPr>
                    <w:rFonts w:ascii="Stone Sans II ITC Std X Bd" w:hAnsi="Stone Sans II ITC Std X Bd"/>
                    <w:b/>
                    <w:sz w:val="24"/>
                  </w:rPr>
                </w:pPr>
                <w:r>
                  <w:rPr>
                    <w:color w:val="7EAABF"/>
                    <w:w w:val="110"/>
                    <w:sz w:val="23"/>
                  </w:rPr>
                  <w:t>United Reformed Church </w:t>
                </w:r>
                <w:r>
                  <w:rPr>
                    <w:rFonts w:ascii="Symbol" w:hAnsi="Symbol"/>
                    <w:color w:val="7EAABF"/>
                    <w:w w:val="110"/>
                    <w:sz w:val="23"/>
                  </w:rPr>
                  <w:t></w:t>
                </w:r>
                <w:r>
                  <w:rPr>
                    <w:rFonts w:ascii="Times New Roman" w:hAnsi="Times New Roman"/>
                    <w:color w:val="7EAABF"/>
                    <w:w w:val="110"/>
                    <w:sz w:val="23"/>
                  </w:rPr>
                  <w:t> </w:t>
                </w:r>
                <w:r>
                  <w:rPr>
                    <w:color w:val="7EAABF"/>
                    <w:w w:val="110"/>
                    <w:sz w:val="23"/>
                  </w:rPr>
                  <w:t>General Assembly 2016 </w:t>
                </w:r>
                <w:r>
                  <w:rPr>
                    <w:rFonts w:ascii="Symbol" w:hAnsi="Symbol"/>
                    <w:color w:val="7EAABF"/>
                    <w:w w:val="110"/>
                    <w:sz w:val="23"/>
                  </w:rPr>
                  <w:t></w:t>
                </w:r>
                <w:r>
                  <w:rPr>
                    <w:rFonts w:ascii="Times New Roman" w:hAnsi="Times New Roman"/>
                    <w:color w:val="7EAABF"/>
                    <w:spacing w:val="61"/>
                    <w:w w:val="110"/>
                    <w:sz w:val="23"/>
                  </w:rPr>
                  <w:t> </w:t>
                </w:r>
                <w:r>
                  <w:rPr/>
                  <w:fldChar w:fldCharType="begin"/>
                </w:r>
                <w:r>
                  <w:rPr>
                    <w:rFonts w:ascii="Stone Sans II ITC Std X Bd" w:hAnsi="Stone Sans II ITC Std X Bd"/>
                    <w:b/>
                    <w:w w:val="110"/>
                    <w:sz w:val="24"/>
                  </w:rPr>
                  <w:instrText> PAGE </w:instrText>
                </w:r>
                <w:r>
                  <w:rPr/>
                  <w:fldChar w:fldCharType="separate"/>
                </w:r>
                <w:r>
                  <w:rPr/>
                  <w:t>245</w:t>
                </w:r>
                <w:r>
                  <w:rPr/>
                  <w:fldChar w:fldCharType="end"/>
                </w:r>
              </w:p>
            </w:txbxContent>
          </v:textbox>
          <w10:wrap type="none"/>
        </v:shape>
      </w:pict>
    </w:r>
  </w:p>
</w:ftr>
</file>

<file path=word/footer24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59.362202pt;margin-top:798.53833pt;width:319.05pt;height:17.45pt;mso-position-horizontal-relative:page;mso-position-vertical-relative:page;z-index:-267874304" type="#_x0000_t202" filled="false" stroked="false">
          <v:textbox inset="0,0,0,0">
            <w:txbxContent>
              <w:p>
                <w:pPr>
                  <w:spacing w:before="16"/>
                  <w:ind w:left="60" w:right="0" w:firstLine="0"/>
                  <w:jc w:val="left"/>
                  <w:rPr>
                    <w:sz w:val="23"/>
                  </w:rPr>
                </w:pPr>
                <w:r>
                  <w:rPr/>
                  <w:fldChar w:fldCharType="begin"/>
                </w:r>
                <w:r>
                  <w:rPr>
                    <w:rFonts w:ascii="Stone Sans II ITC Std X Bd" w:hAnsi="Stone Sans II ITC Std X Bd"/>
                    <w:b/>
                    <w:w w:val="110"/>
                    <w:sz w:val="24"/>
                  </w:rPr>
                  <w:instrText> PAGE </w:instrText>
                </w:r>
                <w:r>
                  <w:rPr/>
                  <w:fldChar w:fldCharType="separate"/>
                </w:r>
                <w:r>
                  <w:rPr/>
                  <w:t>246</w:t>
                </w:r>
                <w:r>
                  <w:rPr/>
                  <w:fldChar w:fldCharType="end"/>
                </w:r>
                <w:r>
                  <w:rPr>
                    <w:rFonts w:ascii="Stone Sans II ITC Std X Bd" w:hAnsi="Stone Sans II ITC Std X Bd"/>
                    <w:b/>
                    <w:w w:val="110"/>
                    <w:sz w:val="24"/>
                  </w:rPr>
                  <w:t> </w:t>
                </w:r>
                <w:r>
                  <w:rPr>
                    <w:rFonts w:ascii="Symbol" w:hAnsi="Symbol"/>
                    <w:color w:val="7EAABF"/>
                    <w:w w:val="110"/>
                    <w:sz w:val="23"/>
                  </w:rPr>
                  <w:t></w:t>
                </w:r>
                <w:r>
                  <w:rPr>
                    <w:rFonts w:ascii="Times New Roman" w:hAnsi="Times New Roman"/>
                    <w:color w:val="7EAABF"/>
                    <w:w w:val="110"/>
                    <w:sz w:val="23"/>
                  </w:rPr>
                  <w:t> </w:t>
                </w:r>
                <w:r>
                  <w:rPr>
                    <w:color w:val="7EAABF"/>
                    <w:w w:val="110"/>
                    <w:sz w:val="23"/>
                  </w:rPr>
                  <w:t>United Reformed Church </w:t>
                </w:r>
                <w:r>
                  <w:rPr>
                    <w:rFonts w:ascii="Symbol" w:hAnsi="Symbol"/>
                    <w:color w:val="7EAABF"/>
                    <w:w w:val="110"/>
                    <w:sz w:val="23"/>
                  </w:rPr>
                  <w:t></w:t>
                </w:r>
                <w:r>
                  <w:rPr>
                    <w:rFonts w:ascii="Times New Roman" w:hAnsi="Times New Roman"/>
                    <w:color w:val="7EAABF"/>
                    <w:w w:val="110"/>
                    <w:sz w:val="23"/>
                  </w:rPr>
                  <w:t> </w:t>
                </w:r>
                <w:r>
                  <w:rPr>
                    <w:color w:val="7EAABF"/>
                    <w:w w:val="110"/>
                    <w:sz w:val="23"/>
                  </w:rPr>
                  <w:t>General Assembly 2016</w:t>
                </w:r>
              </w:p>
            </w:txbxContent>
          </v:textbox>
          <w10:wrap type="none"/>
        </v:shape>
      </w:pict>
    </w:r>
  </w:p>
</w:ftr>
</file>

<file path=word/footer24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216.523407pt;margin-top:798.53833pt;width:319.4pt;height:17.45pt;mso-position-horizontal-relative:page;mso-position-vertical-relative:page;z-index:-267873280" type="#_x0000_t202" filled="false" stroked="false">
          <v:textbox inset="0,0,0,0">
            <w:txbxContent>
              <w:p>
                <w:pPr>
                  <w:spacing w:before="16"/>
                  <w:ind w:left="20" w:right="0" w:firstLine="0"/>
                  <w:jc w:val="left"/>
                  <w:rPr>
                    <w:rFonts w:ascii="Stone Sans II ITC Std X Bd" w:hAnsi="Stone Sans II ITC Std X Bd"/>
                    <w:b/>
                    <w:sz w:val="24"/>
                  </w:rPr>
                </w:pPr>
                <w:r>
                  <w:rPr>
                    <w:color w:val="7EAABF"/>
                    <w:w w:val="110"/>
                    <w:sz w:val="23"/>
                  </w:rPr>
                  <w:t>United Reformed Church </w:t>
                </w:r>
                <w:r>
                  <w:rPr>
                    <w:rFonts w:ascii="Symbol" w:hAnsi="Symbol"/>
                    <w:color w:val="7EAABF"/>
                    <w:w w:val="110"/>
                    <w:sz w:val="23"/>
                  </w:rPr>
                  <w:t></w:t>
                </w:r>
                <w:r>
                  <w:rPr>
                    <w:rFonts w:ascii="Times New Roman" w:hAnsi="Times New Roman"/>
                    <w:color w:val="7EAABF"/>
                    <w:w w:val="110"/>
                    <w:sz w:val="23"/>
                  </w:rPr>
                  <w:t> </w:t>
                </w:r>
                <w:r>
                  <w:rPr>
                    <w:color w:val="7EAABF"/>
                    <w:w w:val="110"/>
                    <w:sz w:val="23"/>
                  </w:rPr>
                  <w:t>General Assembly 2016 </w:t>
                </w:r>
                <w:r>
                  <w:rPr>
                    <w:rFonts w:ascii="Symbol" w:hAnsi="Symbol"/>
                    <w:color w:val="7EAABF"/>
                    <w:w w:val="110"/>
                    <w:sz w:val="23"/>
                  </w:rPr>
                  <w:t></w:t>
                </w:r>
                <w:r>
                  <w:rPr>
                    <w:rFonts w:ascii="Times New Roman" w:hAnsi="Times New Roman"/>
                    <w:color w:val="7EAABF"/>
                    <w:w w:val="110"/>
                    <w:sz w:val="23"/>
                  </w:rPr>
                  <w:t> </w:t>
                </w:r>
                <w:r>
                  <w:rPr/>
                  <w:fldChar w:fldCharType="begin"/>
                </w:r>
                <w:r>
                  <w:rPr>
                    <w:rFonts w:ascii="Stone Sans II ITC Std X Bd" w:hAnsi="Stone Sans II ITC Std X Bd"/>
                    <w:b/>
                    <w:w w:val="110"/>
                    <w:sz w:val="24"/>
                  </w:rPr>
                  <w:instrText> PAGE </w:instrText>
                </w:r>
                <w:r>
                  <w:rPr/>
                  <w:fldChar w:fldCharType="separate"/>
                </w:r>
                <w:r>
                  <w:rPr/>
                  <w:t>247</w:t>
                </w:r>
                <w:r>
                  <w:rPr/>
                  <w:fldChar w:fldCharType="end"/>
                </w:r>
              </w:p>
            </w:txbxContent>
          </v:textbox>
          <w10:wrap type="none"/>
        </v:shape>
      </w:pict>
    </w:r>
  </w:p>
</w:ftr>
</file>

<file path=word/footer24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59.362202pt;margin-top:798.53833pt;width:319.4pt;height:17.45pt;mso-position-horizontal-relative:page;mso-position-vertical-relative:page;z-index:-267872256" type="#_x0000_t202" filled="false" stroked="false">
          <v:textbox inset="0,0,0,0">
            <w:txbxContent>
              <w:p>
                <w:pPr>
                  <w:spacing w:before="16"/>
                  <w:ind w:left="60" w:right="0" w:firstLine="0"/>
                  <w:jc w:val="left"/>
                  <w:rPr>
                    <w:sz w:val="23"/>
                  </w:rPr>
                </w:pPr>
                <w:r>
                  <w:rPr/>
                  <w:fldChar w:fldCharType="begin"/>
                </w:r>
                <w:r>
                  <w:rPr>
                    <w:rFonts w:ascii="Stone Sans II ITC Std X Bd" w:hAnsi="Stone Sans II ITC Std X Bd"/>
                    <w:b/>
                    <w:w w:val="110"/>
                    <w:sz w:val="24"/>
                  </w:rPr>
                  <w:instrText> PAGE </w:instrText>
                </w:r>
                <w:r>
                  <w:rPr/>
                  <w:fldChar w:fldCharType="separate"/>
                </w:r>
                <w:r>
                  <w:rPr/>
                  <w:t>248</w:t>
                </w:r>
                <w:r>
                  <w:rPr/>
                  <w:fldChar w:fldCharType="end"/>
                </w:r>
                <w:r>
                  <w:rPr>
                    <w:rFonts w:ascii="Stone Sans II ITC Std X Bd" w:hAnsi="Stone Sans II ITC Std X Bd"/>
                    <w:b/>
                    <w:w w:val="110"/>
                    <w:sz w:val="24"/>
                  </w:rPr>
                  <w:t> </w:t>
                </w:r>
                <w:r>
                  <w:rPr>
                    <w:rFonts w:ascii="Symbol" w:hAnsi="Symbol"/>
                    <w:color w:val="7EAABF"/>
                    <w:w w:val="110"/>
                    <w:sz w:val="23"/>
                  </w:rPr>
                  <w:t></w:t>
                </w:r>
                <w:r>
                  <w:rPr>
                    <w:rFonts w:ascii="Times New Roman" w:hAnsi="Times New Roman"/>
                    <w:color w:val="7EAABF"/>
                    <w:w w:val="110"/>
                    <w:sz w:val="23"/>
                  </w:rPr>
                  <w:t> </w:t>
                </w:r>
                <w:r>
                  <w:rPr>
                    <w:color w:val="7EAABF"/>
                    <w:w w:val="110"/>
                    <w:sz w:val="23"/>
                  </w:rPr>
                  <w:t>United Reformed Church </w:t>
                </w:r>
                <w:r>
                  <w:rPr>
                    <w:rFonts w:ascii="Symbol" w:hAnsi="Symbol"/>
                    <w:color w:val="7EAABF"/>
                    <w:w w:val="110"/>
                    <w:sz w:val="23"/>
                  </w:rPr>
                  <w:t></w:t>
                </w:r>
                <w:r>
                  <w:rPr>
                    <w:rFonts w:ascii="Times New Roman" w:hAnsi="Times New Roman"/>
                    <w:color w:val="7EAABF"/>
                    <w:w w:val="110"/>
                    <w:sz w:val="23"/>
                  </w:rPr>
                  <w:t> </w:t>
                </w:r>
                <w:r>
                  <w:rPr>
                    <w:color w:val="7EAABF"/>
                    <w:w w:val="110"/>
                    <w:sz w:val="23"/>
                  </w:rPr>
                  <w:t>General Assembly 2016</w:t>
                </w:r>
              </w:p>
            </w:txbxContent>
          </v:textbox>
          <w10:wrap type="none"/>
        </v:shape>
      </w:pict>
    </w:r>
  </w:p>
</w:ftr>
</file>

<file path=word/footer24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216.523407pt;margin-top:798.53833pt;width:319.4pt;height:17.45pt;mso-position-horizontal-relative:page;mso-position-vertical-relative:page;z-index:-267871232" type="#_x0000_t202" filled="false" stroked="false">
          <v:textbox inset="0,0,0,0">
            <w:txbxContent>
              <w:p>
                <w:pPr>
                  <w:spacing w:before="16"/>
                  <w:ind w:left="20" w:right="0" w:firstLine="0"/>
                  <w:jc w:val="left"/>
                  <w:rPr>
                    <w:rFonts w:ascii="Stone Sans II ITC Std X Bd" w:hAnsi="Stone Sans II ITC Std X Bd"/>
                    <w:b/>
                    <w:sz w:val="24"/>
                  </w:rPr>
                </w:pPr>
                <w:r>
                  <w:rPr>
                    <w:color w:val="7EAABF"/>
                    <w:w w:val="110"/>
                    <w:sz w:val="23"/>
                  </w:rPr>
                  <w:t>United Reformed Church </w:t>
                </w:r>
                <w:r>
                  <w:rPr>
                    <w:rFonts w:ascii="Symbol" w:hAnsi="Symbol"/>
                    <w:color w:val="7EAABF"/>
                    <w:w w:val="110"/>
                    <w:sz w:val="23"/>
                  </w:rPr>
                  <w:t></w:t>
                </w:r>
                <w:r>
                  <w:rPr>
                    <w:rFonts w:ascii="Times New Roman" w:hAnsi="Times New Roman"/>
                    <w:color w:val="7EAABF"/>
                    <w:w w:val="110"/>
                    <w:sz w:val="23"/>
                  </w:rPr>
                  <w:t> </w:t>
                </w:r>
                <w:r>
                  <w:rPr>
                    <w:color w:val="7EAABF"/>
                    <w:w w:val="110"/>
                    <w:sz w:val="23"/>
                  </w:rPr>
                  <w:t>General Assembly 2016 </w:t>
                </w:r>
                <w:r>
                  <w:rPr>
                    <w:rFonts w:ascii="Symbol" w:hAnsi="Symbol"/>
                    <w:color w:val="7EAABF"/>
                    <w:w w:val="110"/>
                    <w:sz w:val="23"/>
                  </w:rPr>
                  <w:t></w:t>
                </w:r>
                <w:r>
                  <w:rPr>
                    <w:rFonts w:ascii="Times New Roman" w:hAnsi="Times New Roman"/>
                    <w:color w:val="7EAABF"/>
                    <w:w w:val="110"/>
                    <w:sz w:val="23"/>
                  </w:rPr>
                  <w:t> </w:t>
                </w:r>
                <w:r>
                  <w:rPr/>
                  <w:fldChar w:fldCharType="begin"/>
                </w:r>
                <w:r>
                  <w:rPr>
                    <w:rFonts w:ascii="Stone Sans II ITC Std X Bd" w:hAnsi="Stone Sans II ITC Std X Bd"/>
                    <w:b/>
                    <w:w w:val="110"/>
                    <w:sz w:val="24"/>
                  </w:rPr>
                  <w:instrText> PAGE </w:instrText>
                </w:r>
                <w:r>
                  <w:rPr/>
                  <w:fldChar w:fldCharType="separate"/>
                </w:r>
                <w:r>
                  <w:rPr/>
                  <w:t>249</w:t>
                </w:r>
                <w:r>
                  <w:rPr/>
                  <w:fldChar w:fldCharType="end"/>
                </w:r>
              </w:p>
            </w:txbxContent>
          </v:textbox>
          <w10:wrap type="none"/>
        </v:shape>
      </w:pict>
    </w:r>
  </w:p>
</w:ftr>
</file>

<file path=word/footer24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61.362202pt;margin-top:798.53833pt;width:317.4pt;height:17.45pt;mso-position-horizontal-relative:page;mso-position-vertical-relative:page;z-index:-267870208" type="#_x0000_t202" filled="false" stroked="false">
          <v:textbox inset="0,0,0,0">
            <w:txbxContent>
              <w:p>
                <w:pPr>
                  <w:spacing w:before="16"/>
                  <w:ind w:left="20" w:right="0" w:firstLine="0"/>
                  <w:jc w:val="left"/>
                  <w:rPr>
                    <w:sz w:val="23"/>
                  </w:rPr>
                </w:pPr>
                <w:r>
                  <w:rPr>
                    <w:rFonts w:ascii="Stone Sans II ITC Std X Bd" w:hAnsi="Stone Sans II ITC Std X Bd"/>
                    <w:b/>
                    <w:w w:val="110"/>
                    <w:sz w:val="24"/>
                  </w:rPr>
                  <w:t>250 </w:t>
                </w:r>
                <w:r>
                  <w:rPr>
                    <w:rFonts w:ascii="Symbol" w:hAnsi="Symbol"/>
                    <w:color w:val="7EAABF"/>
                    <w:w w:val="110"/>
                    <w:sz w:val="23"/>
                  </w:rPr>
                  <w:t></w:t>
                </w:r>
                <w:r>
                  <w:rPr>
                    <w:rFonts w:ascii="Times New Roman" w:hAnsi="Times New Roman"/>
                    <w:color w:val="7EAABF"/>
                    <w:w w:val="110"/>
                    <w:sz w:val="23"/>
                  </w:rPr>
                  <w:t> </w:t>
                </w:r>
                <w:r>
                  <w:rPr>
                    <w:color w:val="7EAABF"/>
                    <w:w w:val="110"/>
                    <w:sz w:val="23"/>
                  </w:rPr>
                  <w:t>United Reformed Church </w:t>
                </w:r>
                <w:r>
                  <w:rPr>
                    <w:rFonts w:ascii="Symbol" w:hAnsi="Symbol"/>
                    <w:color w:val="7EAABF"/>
                    <w:w w:val="110"/>
                    <w:sz w:val="23"/>
                  </w:rPr>
                  <w:t></w:t>
                </w:r>
                <w:r>
                  <w:rPr>
                    <w:rFonts w:ascii="Times New Roman" w:hAnsi="Times New Roman"/>
                    <w:color w:val="7EAABF"/>
                    <w:w w:val="110"/>
                    <w:sz w:val="23"/>
                  </w:rPr>
                  <w:t> </w:t>
                </w:r>
                <w:r>
                  <w:rPr>
                    <w:color w:val="7EAABF"/>
                    <w:w w:val="110"/>
                    <w:sz w:val="23"/>
                  </w:rPr>
                  <w:t>General Assembly 2016</w:t>
                </w:r>
              </w:p>
            </w:txbxContent>
          </v:textbox>
          <w10:wrap type="none"/>
        </v:shape>
      </w:pict>
    </w:r>
  </w:p>
</w:ftr>
</file>

<file path=word/footer24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216.523407pt;margin-top:798.53833pt;width:317.4pt;height:17.45pt;mso-position-horizontal-relative:page;mso-position-vertical-relative:page;z-index:-267869184" type="#_x0000_t202" filled="false" stroked="false">
          <v:textbox inset="0,0,0,0">
            <w:txbxContent>
              <w:p>
                <w:pPr>
                  <w:spacing w:before="16"/>
                  <w:ind w:left="20" w:right="0" w:firstLine="0"/>
                  <w:jc w:val="left"/>
                  <w:rPr>
                    <w:rFonts w:ascii="Stone Sans II ITC Std X Bd" w:hAnsi="Stone Sans II ITC Std X Bd"/>
                    <w:b/>
                    <w:sz w:val="24"/>
                  </w:rPr>
                </w:pPr>
                <w:r>
                  <w:rPr>
                    <w:color w:val="7EAABF"/>
                    <w:w w:val="110"/>
                    <w:sz w:val="23"/>
                  </w:rPr>
                  <w:t>United Reformed Church </w:t>
                </w:r>
                <w:r>
                  <w:rPr>
                    <w:rFonts w:ascii="Symbol" w:hAnsi="Symbol"/>
                    <w:color w:val="7EAABF"/>
                    <w:w w:val="110"/>
                    <w:sz w:val="23"/>
                  </w:rPr>
                  <w:t></w:t>
                </w:r>
                <w:r>
                  <w:rPr>
                    <w:rFonts w:ascii="Times New Roman" w:hAnsi="Times New Roman"/>
                    <w:color w:val="7EAABF"/>
                    <w:w w:val="110"/>
                    <w:sz w:val="23"/>
                  </w:rPr>
                  <w:t> </w:t>
                </w:r>
                <w:r>
                  <w:rPr>
                    <w:color w:val="7EAABF"/>
                    <w:w w:val="110"/>
                    <w:sz w:val="23"/>
                  </w:rPr>
                  <w:t>General Assembly 2016 </w:t>
                </w:r>
                <w:r>
                  <w:rPr>
                    <w:rFonts w:ascii="Symbol" w:hAnsi="Symbol"/>
                    <w:color w:val="7EAABF"/>
                    <w:w w:val="110"/>
                    <w:sz w:val="23"/>
                  </w:rPr>
                  <w:t></w:t>
                </w:r>
                <w:r>
                  <w:rPr>
                    <w:rFonts w:ascii="Times New Roman" w:hAnsi="Times New Roman"/>
                    <w:color w:val="7EAABF"/>
                    <w:w w:val="110"/>
                    <w:sz w:val="23"/>
                  </w:rPr>
                  <w:t> </w:t>
                </w:r>
                <w:r>
                  <w:rPr>
                    <w:rFonts w:ascii="Stone Sans II ITC Std X Bd" w:hAnsi="Stone Sans II ITC Std X Bd"/>
                    <w:b/>
                    <w:w w:val="110"/>
                    <w:sz w:val="24"/>
                  </w:rPr>
                  <w:t>251</w:t>
                </w:r>
              </w:p>
            </w:txbxContent>
          </v:textbox>
          <w10:wrap type="none"/>
        </v:shape>
      </w:pict>
    </w:r>
  </w:p>
</w:ftr>
</file>

<file path=word/footer24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59.362202pt;margin-top:798.53833pt;width:319.4pt;height:17.45pt;mso-position-horizontal-relative:page;mso-position-vertical-relative:page;z-index:-267868160" type="#_x0000_t202" filled="false" stroked="false">
          <v:textbox inset="0,0,0,0">
            <w:txbxContent>
              <w:p>
                <w:pPr>
                  <w:spacing w:before="16"/>
                  <w:ind w:left="60" w:right="0" w:firstLine="0"/>
                  <w:jc w:val="left"/>
                  <w:rPr>
                    <w:sz w:val="23"/>
                  </w:rPr>
                </w:pPr>
                <w:r>
                  <w:rPr/>
                  <w:fldChar w:fldCharType="begin"/>
                </w:r>
                <w:r>
                  <w:rPr>
                    <w:rFonts w:ascii="Stone Sans II ITC Std X Bd" w:hAnsi="Stone Sans II ITC Std X Bd"/>
                    <w:b/>
                    <w:w w:val="110"/>
                    <w:sz w:val="24"/>
                  </w:rPr>
                  <w:instrText> PAGE </w:instrText>
                </w:r>
                <w:r>
                  <w:rPr/>
                  <w:fldChar w:fldCharType="separate"/>
                </w:r>
                <w:r>
                  <w:rPr/>
                  <w:t>252</w:t>
                </w:r>
                <w:r>
                  <w:rPr/>
                  <w:fldChar w:fldCharType="end"/>
                </w:r>
                <w:r>
                  <w:rPr>
                    <w:rFonts w:ascii="Stone Sans II ITC Std X Bd" w:hAnsi="Stone Sans II ITC Std X Bd"/>
                    <w:b/>
                    <w:w w:val="110"/>
                    <w:sz w:val="24"/>
                  </w:rPr>
                  <w:t> </w:t>
                </w:r>
                <w:r>
                  <w:rPr>
                    <w:rFonts w:ascii="Symbol" w:hAnsi="Symbol"/>
                    <w:color w:val="7EAABF"/>
                    <w:w w:val="110"/>
                    <w:sz w:val="23"/>
                  </w:rPr>
                  <w:t></w:t>
                </w:r>
                <w:r>
                  <w:rPr>
                    <w:rFonts w:ascii="Times New Roman" w:hAnsi="Times New Roman"/>
                    <w:color w:val="7EAABF"/>
                    <w:w w:val="110"/>
                    <w:sz w:val="23"/>
                  </w:rPr>
                  <w:t> </w:t>
                </w:r>
                <w:r>
                  <w:rPr>
                    <w:color w:val="7EAABF"/>
                    <w:w w:val="110"/>
                    <w:sz w:val="23"/>
                  </w:rPr>
                  <w:t>United Reformed Church </w:t>
                </w:r>
                <w:r>
                  <w:rPr>
                    <w:rFonts w:ascii="Symbol" w:hAnsi="Symbol"/>
                    <w:color w:val="7EAABF"/>
                    <w:w w:val="110"/>
                    <w:sz w:val="23"/>
                  </w:rPr>
                  <w:t></w:t>
                </w:r>
                <w:r>
                  <w:rPr>
                    <w:rFonts w:ascii="Times New Roman" w:hAnsi="Times New Roman"/>
                    <w:color w:val="7EAABF"/>
                    <w:w w:val="110"/>
                    <w:sz w:val="23"/>
                  </w:rPr>
                  <w:t> </w:t>
                </w:r>
                <w:r>
                  <w:rPr>
                    <w:color w:val="7EAABF"/>
                    <w:w w:val="110"/>
                    <w:sz w:val="23"/>
                  </w:rPr>
                  <w:t>General Assembly 2016</w:t>
                </w:r>
              </w:p>
            </w:txbxContent>
          </v:textbox>
          <w10:wrap type="none"/>
        </v:shape>
      </w:pict>
    </w:r>
  </w:p>
</w:ftr>
</file>

<file path=word/footer24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216.523407pt;margin-top:798.53833pt;width:319.4pt;height:17.45pt;mso-position-horizontal-relative:page;mso-position-vertical-relative:page;z-index:-267867136" type="#_x0000_t202" filled="false" stroked="false">
          <v:textbox inset="0,0,0,0">
            <w:txbxContent>
              <w:p>
                <w:pPr>
                  <w:spacing w:before="16"/>
                  <w:ind w:left="20" w:right="0" w:firstLine="0"/>
                  <w:jc w:val="left"/>
                  <w:rPr>
                    <w:rFonts w:ascii="Stone Sans II ITC Std X Bd" w:hAnsi="Stone Sans II ITC Std X Bd"/>
                    <w:b/>
                    <w:sz w:val="24"/>
                  </w:rPr>
                </w:pPr>
                <w:r>
                  <w:rPr>
                    <w:color w:val="7EAABF"/>
                    <w:w w:val="110"/>
                    <w:sz w:val="23"/>
                  </w:rPr>
                  <w:t>United Reformed Church </w:t>
                </w:r>
                <w:r>
                  <w:rPr>
                    <w:rFonts w:ascii="Symbol" w:hAnsi="Symbol"/>
                    <w:color w:val="7EAABF"/>
                    <w:w w:val="110"/>
                    <w:sz w:val="23"/>
                  </w:rPr>
                  <w:t></w:t>
                </w:r>
                <w:r>
                  <w:rPr>
                    <w:rFonts w:ascii="Times New Roman" w:hAnsi="Times New Roman"/>
                    <w:color w:val="7EAABF"/>
                    <w:w w:val="110"/>
                    <w:sz w:val="23"/>
                  </w:rPr>
                  <w:t> </w:t>
                </w:r>
                <w:r>
                  <w:rPr>
                    <w:color w:val="7EAABF"/>
                    <w:w w:val="110"/>
                    <w:sz w:val="23"/>
                  </w:rPr>
                  <w:t>General Assembly 2016 </w:t>
                </w:r>
                <w:r>
                  <w:rPr>
                    <w:rFonts w:ascii="Symbol" w:hAnsi="Symbol"/>
                    <w:color w:val="7EAABF"/>
                    <w:w w:val="110"/>
                    <w:sz w:val="23"/>
                  </w:rPr>
                  <w:t></w:t>
                </w:r>
                <w:r>
                  <w:rPr>
                    <w:rFonts w:ascii="Times New Roman" w:hAnsi="Times New Roman"/>
                    <w:color w:val="7EAABF"/>
                    <w:w w:val="110"/>
                    <w:sz w:val="23"/>
                  </w:rPr>
                  <w:t> </w:t>
                </w:r>
                <w:r>
                  <w:rPr/>
                  <w:fldChar w:fldCharType="begin"/>
                </w:r>
                <w:r>
                  <w:rPr>
                    <w:rFonts w:ascii="Stone Sans II ITC Std X Bd" w:hAnsi="Stone Sans II ITC Std X Bd"/>
                    <w:b/>
                    <w:w w:val="110"/>
                    <w:sz w:val="24"/>
                  </w:rPr>
                  <w:instrText> PAGE </w:instrText>
                </w:r>
                <w:r>
                  <w:rPr/>
                  <w:fldChar w:fldCharType="separate"/>
                </w:r>
                <w:r>
                  <w:rPr/>
                  <w:t>253</w:t>
                </w:r>
                <w:r>
                  <w:rPr/>
                  <w:fldChar w:fldCharType="end"/>
                </w:r>
              </w:p>
            </w:txbxContent>
          </v:textbox>
          <w10:wrap type="none"/>
        </v:shape>
      </w:pict>
    </w:r>
  </w:p>
</w:ftr>
</file>

<file path=word/footer24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59.362202pt;margin-top:798.53833pt;width:319.4pt;height:17.45pt;mso-position-horizontal-relative:page;mso-position-vertical-relative:page;z-index:-267866112" type="#_x0000_t202" filled="false" stroked="false">
          <v:textbox inset="0,0,0,0">
            <w:txbxContent>
              <w:p>
                <w:pPr>
                  <w:spacing w:before="16"/>
                  <w:ind w:left="60" w:right="0" w:firstLine="0"/>
                  <w:jc w:val="left"/>
                  <w:rPr>
                    <w:sz w:val="23"/>
                  </w:rPr>
                </w:pPr>
                <w:r>
                  <w:rPr/>
                  <w:fldChar w:fldCharType="begin"/>
                </w:r>
                <w:r>
                  <w:rPr>
                    <w:rFonts w:ascii="Stone Sans II ITC Std X Bd" w:hAnsi="Stone Sans II ITC Std X Bd"/>
                    <w:b/>
                    <w:w w:val="110"/>
                    <w:sz w:val="24"/>
                  </w:rPr>
                  <w:instrText> PAGE </w:instrText>
                </w:r>
                <w:r>
                  <w:rPr/>
                  <w:fldChar w:fldCharType="separate"/>
                </w:r>
                <w:r>
                  <w:rPr/>
                  <w:t>254</w:t>
                </w:r>
                <w:r>
                  <w:rPr/>
                  <w:fldChar w:fldCharType="end"/>
                </w:r>
                <w:r>
                  <w:rPr>
                    <w:rFonts w:ascii="Stone Sans II ITC Std X Bd" w:hAnsi="Stone Sans II ITC Std X Bd"/>
                    <w:b/>
                    <w:w w:val="110"/>
                    <w:sz w:val="24"/>
                  </w:rPr>
                  <w:t> </w:t>
                </w:r>
                <w:r>
                  <w:rPr>
                    <w:rFonts w:ascii="Symbol" w:hAnsi="Symbol"/>
                    <w:color w:val="7EAABF"/>
                    <w:w w:val="110"/>
                    <w:sz w:val="23"/>
                  </w:rPr>
                  <w:t></w:t>
                </w:r>
                <w:r>
                  <w:rPr>
                    <w:rFonts w:ascii="Times New Roman" w:hAnsi="Times New Roman"/>
                    <w:color w:val="7EAABF"/>
                    <w:w w:val="110"/>
                    <w:sz w:val="23"/>
                  </w:rPr>
                  <w:t> </w:t>
                </w:r>
                <w:r>
                  <w:rPr>
                    <w:color w:val="7EAABF"/>
                    <w:w w:val="110"/>
                    <w:sz w:val="23"/>
                  </w:rPr>
                  <w:t>United Reformed Church </w:t>
                </w:r>
                <w:r>
                  <w:rPr>
                    <w:rFonts w:ascii="Symbol" w:hAnsi="Symbol"/>
                    <w:color w:val="7EAABF"/>
                    <w:w w:val="110"/>
                    <w:sz w:val="23"/>
                  </w:rPr>
                  <w:t></w:t>
                </w:r>
                <w:r>
                  <w:rPr>
                    <w:rFonts w:ascii="Times New Roman" w:hAnsi="Times New Roman"/>
                    <w:color w:val="7EAABF"/>
                    <w:w w:val="110"/>
                    <w:sz w:val="23"/>
                  </w:rPr>
                  <w:t> </w:t>
                </w:r>
                <w:r>
                  <w:rPr>
                    <w:color w:val="7EAABF"/>
                    <w:w w:val="110"/>
                    <w:sz w:val="23"/>
                  </w:rPr>
                  <w:t>General Assembly 2016</w:t>
                </w:r>
              </w:p>
            </w:txbxContent>
          </v:textbox>
          <w10:wrap type="none"/>
        </v:shape>
      </w:pict>
    </w:r>
  </w:p>
</w:ftr>
</file>

<file path=word/footer2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59.362202pt;margin-top:798.53833pt;width:311.4pt;height:17.45pt;mso-position-horizontal-relative:page;mso-position-vertical-relative:page;z-index:-268084224" type="#_x0000_t202" filled="false" stroked="false">
          <v:textbox inset="0,0,0,0">
            <w:txbxContent>
              <w:p>
                <w:pPr>
                  <w:spacing w:before="16"/>
                  <w:ind w:left="60" w:right="0" w:firstLine="0"/>
                  <w:jc w:val="left"/>
                  <w:rPr>
                    <w:sz w:val="23"/>
                  </w:rPr>
                </w:pPr>
                <w:r>
                  <w:rPr/>
                  <w:fldChar w:fldCharType="begin"/>
                </w:r>
                <w:r>
                  <w:rPr>
                    <w:rFonts w:ascii="Stone Sans II ITC Std X Bd" w:hAnsi="Stone Sans II ITC Std X Bd"/>
                    <w:b/>
                    <w:w w:val="110"/>
                    <w:sz w:val="24"/>
                  </w:rPr>
                  <w:instrText> PAGE </w:instrText>
                </w:r>
                <w:r>
                  <w:rPr/>
                  <w:fldChar w:fldCharType="separate"/>
                </w:r>
                <w:r>
                  <w:rPr/>
                  <w:t>30</w:t>
                </w:r>
                <w:r>
                  <w:rPr/>
                  <w:fldChar w:fldCharType="end"/>
                </w:r>
                <w:r>
                  <w:rPr>
                    <w:rFonts w:ascii="Stone Sans II ITC Std X Bd" w:hAnsi="Stone Sans II ITC Std X Bd"/>
                    <w:b/>
                    <w:w w:val="110"/>
                    <w:sz w:val="24"/>
                  </w:rPr>
                  <w:t> </w:t>
                </w:r>
                <w:r>
                  <w:rPr>
                    <w:rFonts w:ascii="Symbol" w:hAnsi="Symbol"/>
                    <w:color w:val="7EAABF"/>
                    <w:w w:val="110"/>
                    <w:sz w:val="23"/>
                  </w:rPr>
                  <w:t></w:t>
                </w:r>
                <w:r>
                  <w:rPr>
                    <w:rFonts w:ascii="Times New Roman" w:hAnsi="Times New Roman"/>
                    <w:color w:val="7EAABF"/>
                    <w:w w:val="110"/>
                    <w:sz w:val="23"/>
                  </w:rPr>
                  <w:t> </w:t>
                </w:r>
                <w:r>
                  <w:rPr>
                    <w:color w:val="7EAABF"/>
                    <w:w w:val="110"/>
                    <w:sz w:val="23"/>
                  </w:rPr>
                  <w:t>United Reformed Church </w:t>
                </w:r>
                <w:r>
                  <w:rPr>
                    <w:rFonts w:ascii="Symbol" w:hAnsi="Symbol"/>
                    <w:color w:val="7EAABF"/>
                    <w:w w:val="110"/>
                    <w:sz w:val="23"/>
                  </w:rPr>
                  <w:t></w:t>
                </w:r>
                <w:r>
                  <w:rPr>
                    <w:rFonts w:ascii="Times New Roman" w:hAnsi="Times New Roman"/>
                    <w:color w:val="7EAABF"/>
                    <w:w w:val="110"/>
                    <w:sz w:val="23"/>
                  </w:rPr>
                  <w:t> </w:t>
                </w:r>
                <w:r>
                  <w:rPr>
                    <w:color w:val="7EAABF"/>
                    <w:w w:val="110"/>
                    <w:sz w:val="23"/>
                  </w:rPr>
                  <w:t>General Assembly 2016</w:t>
                </w:r>
              </w:p>
            </w:txbxContent>
          </v:textbox>
          <w10:wrap type="none"/>
        </v:shape>
      </w:pict>
    </w:r>
  </w:p>
</w:ftr>
</file>

<file path=word/footer25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216.523407pt;margin-top:798.53833pt;width:319.4pt;height:17.45pt;mso-position-horizontal-relative:page;mso-position-vertical-relative:page;z-index:-267865088" type="#_x0000_t202" filled="false" stroked="false">
          <v:textbox inset="0,0,0,0">
            <w:txbxContent>
              <w:p>
                <w:pPr>
                  <w:spacing w:before="16"/>
                  <w:ind w:left="20" w:right="0" w:firstLine="0"/>
                  <w:jc w:val="left"/>
                  <w:rPr>
                    <w:rFonts w:ascii="Stone Sans II ITC Std X Bd" w:hAnsi="Stone Sans II ITC Std X Bd"/>
                    <w:b/>
                    <w:sz w:val="24"/>
                  </w:rPr>
                </w:pPr>
                <w:r>
                  <w:rPr>
                    <w:color w:val="7EAABF"/>
                    <w:w w:val="110"/>
                    <w:sz w:val="23"/>
                  </w:rPr>
                  <w:t>United Reformed Church </w:t>
                </w:r>
                <w:r>
                  <w:rPr>
                    <w:rFonts w:ascii="Symbol" w:hAnsi="Symbol"/>
                    <w:color w:val="7EAABF"/>
                    <w:w w:val="110"/>
                    <w:sz w:val="23"/>
                  </w:rPr>
                  <w:t></w:t>
                </w:r>
                <w:r>
                  <w:rPr>
                    <w:rFonts w:ascii="Times New Roman" w:hAnsi="Times New Roman"/>
                    <w:color w:val="7EAABF"/>
                    <w:w w:val="110"/>
                    <w:sz w:val="23"/>
                  </w:rPr>
                  <w:t> </w:t>
                </w:r>
                <w:r>
                  <w:rPr>
                    <w:color w:val="7EAABF"/>
                    <w:w w:val="110"/>
                    <w:sz w:val="23"/>
                  </w:rPr>
                  <w:t>General Assembly 2016 </w:t>
                </w:r>
                <w:r>
                  <w:rPr>
                    <w:rFonts w:ascii="Symbol" w:hAnsi="Symbol"/>
                    <w:color w:val="7EAABF"/>
                    <w:w w:val="110"/>
                    <w:sz w:val="23"/>
                  </w:rPr>
                  <w:t></w:t>
                </w:r>
                <w:r>
                  <w:rPr>
                    <w:rFonts w:ascii="Times New Roman" w:hAnsi="Times New Roman"/>
                    <w:color w:val="7EAABF"/>
                    <w:w w:val="110"/>
                    <w:sz w:val="23"/>
                  </w:rPr>
                  <w:t> </w:t>
                </w:r>
                <w:r>
                  <w:rPr/>
                  <w:fldChar w:fldCharType="begin"/>
                </w:r>
                <w:r>
                  <w:rPr>
                    <w:rFonts w:ascii="Stone Sans II ITC Std X Bd" w:hAnsi="Stone Sans II ITC Std X Bd"/>
                    <w:b/>
                    <w:w w:val="110"/>
                    <w:sz w:val="24"/>
                  </w:rPr>
                  <w:instrText> PAGE </w:instrText>
                </w:r>
                <w:r>
                  <w:rPr/>
                  <w:fldChar w:fldCharType="separate"/>
                </w:r>
                <w:r>
                  <w:rPr/>
                  <w:t>255</w:t>
                </w:r>
                <w:r>
                  <w:rPr/>
                  <w:fldChar w:fldCharType="end"/>
                </w:r>
              </w:p>
            </w:txbxContent>
          </v:textbox>
          <w10:wrap type="none"/>
        </v:shape>
      </w:pict>
    </w:r>
  </w:p>
</w:ftr>
</file>

<file path=word/footer25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59.362202pt;margin-top:798.53833pt;width:319.4pt;height:17.45pt;mso-position-horizontal-relative:page;mso-position-vertical-relative:page;z-index:-267864064" type="#_x0000_t202" filled="false" stroked="false">
          <v:textbox inset="0,0,0,0">
            <w:txbxContent>
              <w:p>
                <w:pPr>
                  <w:spacing w:before="16"/>
                  <w:ind w:left="60" w:right="0" w:firstLine="0"/>
                  <w:jc w:val="left"/>
                  <w:rPr>
                    <w:sz w:val="23"/>
                  </w:rPr>
                </w:pPr>
                <w:r>
                  <w:rPr/>
                  <w:fldChar w:fldCharType="begin"/>
                </w:r>
                <w:r>
                  <w:rPr>
                    <w:rFonts w:ascii="Stone Sans II ITC Std X Bd" w:hAnsi="Stone Sans II ITC Std X Bd"/>
                    <w:b/>
                    <w:w w:val="110"/>
                    <w:sz w:val="24"/>
                  </w:rPr>
                  <w:instrText> PAGE </w:instrText>
                </w:r>
                <w:r>
                  <w:rPr/>
                  <w:fldChar w:fldCharType="separate"/>
                </w:r>
                <w:r>
                  <w:rPr/>
                  <w:t>256</w:t>
                </w:r>
                <w:r>
                  <w:rPr/>
                  <w:fldChar w:fldCharType="end"/>
                </w:r>
                <w:r>
                  <w:rPr>
                    <w:rFonts w:ascii="Stone Sans II ITC Std X Bd" w:hAnsi="Stone Sans II ITC Std X Bd"/>
                    <w:b/>
                    <w:w w:val="110"/>
                    <w:sz w:val="24"/>
                  </w:rPr>
                  <w:t> </w:t>
                </w:r>
                <w:r>
                  <w:rPr>
                    <w:rFonts w:ascii="Symbol" w:hAnsi="Symbol"/>
                    <w:color w:val="7EAABF"/>
                    <w:w w:val="110"/>
                    <w:sz w:val="23"/>
                  </w:rPr>
                  <w:t></w:t>
                </w:r>
                <w:r>
                  <w:rPr>
                    <w:rFonts w:ascii="Times New Roman" w:hAnsi="Times New Roman"/>
                    <w:color w:val="7EAABF"/>
                    <w:w w:val="110"/>
                    <w:sz w:val="23"/>
                  </w:rPr>
                  <w:t> </w:t>
                </w:r>
                <w:r>
                  <w:rPr>
                    <w:color w:val="7EAABF"/>
                    <w:w w:val="110"/>
                    <w:sz w:val="23"/>
                  </w:rPr>
                  <w:t>United Reformed Church </w:t>
                </w:r>
                <w:r>
                  <w:rPr>
                    <w:rFonts w:ascii="Symbol" w:hAnsi="Symbol"/>
                    <w:color w:val="7EAABF"/>
                    <w:w w:val="110"/>
                    <w:sz w:val="23"/>
                  </w:rPr>
                  <w:t></w:t>
                </w:r>
                <w:r>
                  <w:rPr>
                    <w:rFonts w:ascii="Times New Roman" w:hAnsi="Times New Roman"/>
                    <w:color w:val="7EAABF"/>
                    <w:w w:val="110"/>
                    <w:sz w:val="23"/>
                  </w:rPr>
                  <w:t> </w:t>
                </w:r>
                <w:r>
                  <w:rPr>
                    <w:color w:val="7EAABF"/>
                    <w:w w:val="110"/>
                    <w:sz w:val="23"/>
                  </w:rPr>
                  <w:t>General Assembly 2016</w:t>
                </w:r>
              </w:p>
            </w:txbxContent>
          </v:textbox>
          <w10:wrap type="none"/>
        </v:shape>
      </w:pict>
    </w:r>
  </w:p>
</w:ftr>
</file>

<file path=word/footer25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216.523407pt;margin-top:798.53833pt;width:319.4pt;height:17.45pt;mso-position-horizontal-relative:page;mso-position-vertical-relative:page;z-index:-267863040" type="#_x0000_t202" filled="false" stroked="false">
          <v:textbox inset="0,0,0,0">
            <w:txbxContent>
              <w:p>
                <w:pPr>
                  <w:spacing w:before="16"/>
                  <w:ind w:left="20" w:right="0" w:firstLine="0"/>
                  <w:jc w:val="left"/>
                  <w:rPr>
                    <w:rFonts w:ascii="Stone Sans II ITC Std X Bd" w:hAnsi="Stone Sans II ITC Std X Bd"/>
                    <w:b/>
                    <w:sz w:val="24"/>
                  </w:rPr>
                </w:pPr>
                <w:r>
                  <w:rPr>
                    <w:color w:val="7EAABF"/>
                    <w:w w:val="110"/>
                    <w:sz w:val="23"/>
                  </w:rPr>
                  <w:t>United Reformed Church </w:t>
                </w:r>
                <w:r>
                  <w:rPr>
                    <w:rFonts w:ascii="Symbol" w:hAnsi="Symbol"/>
                    <w:color w:val="7EAABF"/>
                    <w:w w:val="110"/>
                    <w:sz w:val="23"/>
                  </w:rPr>
                  <w:t></w:t>
                </w:r>
                <w:r>
                  <w:rPr>
                    <w:rFonts w:ascii="Times New Roman" w:hAnsi="Times New Roman"/>
                    <w:color w:val="7EAABF"/>
                    <w:w w:val="110"/>
                    <w:sz w:val="23"/>
                  </w:rPr>
                  <w:t> </w:t>
                </w:r>
                <w:r>
                  <w:rPr>
                    <w:color w:val="7EAABF"/>
                    <w:w w:val="110"/>
                    <w:sz w:val="23"/>
                  </w:rPr>
                  <w:t>General Assembly 2016 </w:t>
                </w:r>
                <w:r>
                  <w:rPr>
                    <w:rFonts w:ascii="Symbol" w:hAnsi="Symbol"/>
                    <w:color w:val="7EAABF"/>
                    <w:w w:val="110"/>
                    <w:sz w:val="23"/>
                  </w:rPr>
                  <w:t></w:t>
                </w:r>
                <w:r>
                  <w:rPr>
                    <w:rFonts w:ascii="Times New Roman" w:hAnsi="Times New Roman"/>
                    <w:color w:val="7EAABF"/>
                    <w:w w:val="110"/>
                    <w:sz w:val="23"/>
                  </w:rPr>
                  <w:t> </w:t>
                </w:r>
                <w:r>
                  <w:rPr/>
                  <w:fldChar w:fldCharType="begin"/>
                </w:r>
                <w:r>
                  <w:rPr>
                    <w:rFonts w:ascii="Stone Sans II ITC Std X Bd" w:hAnsi="Stone Sans II ITC Std X Bd"/>
                    <w:b/>
                    <w:w w:val="110"/>
                    <w:sz w:val="24"/>
                  </w:rPr>
                  <w:instrText> PAGE </w:instrText>
                </w:r>
                <w:r>
                  <w:rPr/>
                  <w:fldChar w:fldCharType="separate"/>
                </w:r>
                <w:r>
                  <w:rPr/>
                  <w:t>257</w:t>
                </w:r>
                <w:r>
                  <w:rPr/>
                  <w:fldChar w:fldCharType="end"/>
                </w:r>
              </w:p>
            </w:txbxContent>
          </v:textbox>
          <w10:wrap type="none"/>
        </v:shape>
      </w:pict>
    </w:r>
  </w:p>
</w:ftr>
</file>

<file path=word/footer25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59.362202pt;margin-top:798.53833pt;width:319.4pt;height:17.45pt;mso-position-horizontal-relative:page;mso-position-vertical-relative:page;z-index:-267862016" type="#_x0000_t202" filled="false" stroked="false">
          <v:textbox inset="0,0,0,0">
            <w:txbxContent>
              <w:p>
                <w:pPr>
                  <w:spacing w:before="16"/>
                  <w:ind w:left="60" w:right="0" w:firstLine="0"/>
                  <w:jc w:val="left"/>
                  <w:rPr>
                    <w:sz w:val="23"/>
                  </w:rPr>
                </w:pPr>
                <w:r>
                  <w:rPr/>
                  <w:fldChar w:fldCharType="begin"/>
                </w:r>
                <w:r>
                  <w:rPr>
                    <w:rFonts w:ascii="Stone Sans II ITC Std X Bd" w:hAnsi="Stone Sans II ITC Std X Bd"/>
                    <w:b/>
                    <w:w w:val="110"/>
                    <w:sz w:val="24"/>
                  </w:rPr>
                  <w:instrText> PAGE </w:instrText>
                </w:r>
                <w:r>
                  <w:rPr/>
                  <w:fldChar w:fldCharType="separate"/>
                </w:r>
                <w:r>
                  <w:rPr/>
                  <w:t>258</w:t>
                </w:r>
                <w:r>
                  <w:rPr/>
                  <w:fldChar w:fldCharType="end"/>
                </w:r>
                <w:r>
                  <w:rPr>
                    <w:rFonts w:ascii="Stone Sans II ITC Std X Bd" w:hAnsi="Stone Sans II ITC Std X Bd"/>
                    <w:b/>
                    <w:w w:val="110"/>
                    <w:sz w:val="24"/>
                  </w:rPr>
                  <w:t> </w:t>
                </w:r>
                <w:r>
                  <w:rPr>
                    <w:rFonts w:ascii="Symbol" w:hAnsi="Symbol"/>
                    <w:color w:val="7EAABF"/>
                    <w:w w:val="110"/>
                    <w:sz w:val="23"/>
                  </w:rPr>
                  <w:t></w:t>
                </w:r>
                <w:r>
                  <w:rPr>
                    <w:rFonts w:ascii="Times New Roman" w:hAnsi="Times New Roman"/>
                    <w:color w:val="7EAABF"/>
                    <w:w w:val="110"/>
                    <w:sz w:val="23"/>
                  </w:rPr>
                  <w:t> </w:t>
                </w:r>
                <w:r>
                  <w:rPr>
                    <w:color w:val="7EAABF"/>
                    <w:w w:val="110"/>
                    <w:sz w:val="23"/>
                  </w:rPr>
                  <w:t>United Reformed Church </w:t>
                </w:r>
                <w:r>
                  <w:rPr>
                    <w:rFonts w:ascii="Symbol" w:hAnsi="Symbol"/>
                    <w:color w:val="7EAABF"/>
                    <w:w w:val="110"/>
                    <w:sz w:val="23"/>
                  </w:rPr>
                  <w:t></w:t>
                </w:r>
                <w:r>
                  <w:rPr>
                    <w:rFonts w:ascii="Times New Roman" w:hAnsi="Times New Roman"/>
                    <w:color w:val="7EAABF"/>
                    <w:w w:val="110"/>
                    <w:sz w:val="23"/>
                  </w:rPr>
                  <w:t> </w:t>
                </w:r>
                <w:r>
                  <w:rPr>
                    <w:color w:val="7EAABF"/>
                    <w:w w:val="110"/>
                    <w:sz w:val="23"/>
                  </w:rPr>
                  <w:t>General Assembly 2016</w:t>
                </w:r>
              </w:p>
            </w:txbxContent>
          </v:textbox>
          <w10:wrap type="none"/>
        </v:shape>
      </w:pict>
    </w:r>
  </w:p>
</w:ftr>
</file>

<file path=word/footer25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216.523407pt;margin-top:798.53833pt;width:319.4pt;height:17.45pt;mso-position-horizontal-relative:page;mso-position-vertical-relative:page;z-index:-267860992" type="#_x0000_t202" filled="false" stroked="false">
          <v:textbox inset="0,0,0,0">
            <w:txbxContent>
              <w:p>
                <w:pPr>
                  <w:spacing w:before="16"/>
                  <w:ind w:left="20" w:right="0" w:firstLine="0"/>
                  <w:jc w:val="left"/>
                  <w:rPr>
                    <w:rFonts w:ascii="Stone Sans II ITC Std X Bd" w:hAnsi="Stone Sans II ITC Std X Bd"/>
                    <w:b/>
                    <w:sz w:val="24"/>
                  </w:rPr>
                </w:pPr>
                <w:r>
                  <w:rPr>
                    <w:color w:val="7EAABF"/>
                    <w:w w:val="110"/>
                    <w:sz w:val="23"/>
                  </w:rPr>
                  <w:t>United Reformed Church </w:t>
                </w:r>
                <w:r>
                  <w:rPr>
                    <w:rFonts w:ascii="Symbol" w:hAnsi="Symbol"/>
                    <w:color w:val="7EAABF"/>
                    <w:w w:val="110"/>
                    <w:sz w:val="23"/>
                  </w:rPr>
                  <w:t></w:t>
                </w:r>
                <w:r>
                  <w:rPr>
                    <w:rFonts w:ascii="Times New Roman" w:hAnsi="Times New Roman"/>
                    <w:color w:val="7EAABF"/>
                    <w:w w:val="110"/>
                    <w:sz w:val="23"/>
                  </w:rPr>
                  <w:t> </w:t>
                </w:r>
                <w:r>
                  <w:rPr>
                    <w:color w:val="7EAABF"/>
                    <w:w w:val="110"/>
                    <w:sz w:val="23"/>
                  </w:rPr>
                  <w:t>General Assembly 2016 </w:t>
                </w:r>
                <w:r>
                  <w:rPr>
                    <w:rFonts w:ascii="Symbol" w:hAnsi="Symbol"/>
                    <w:color w:val="7EAABF"/>
                    <w:w w:val="110"/>
                    <w:sz w:val="23"/>
                  </w:rPr>
                  <w:t></w:t>
                </w:r>
                <w:r>
                  <w:rPr>
                    <w:rFonts w:ascii="Times New Roman" w:hAnsi="Times New Roman"/>
                    <w:color w:val="7EAABF"/>
                    <w:w w:val="110"/>
                    <w:sz w:val="23"/>
                  </w:rPr>
                  <w:t> </w:t>
                </w:r>
                <w:r>
                  <w:rPr/>
                  <w:fldChar w:fldCharType="begin"/>
                </w:r>
                <w:r>
                  <w:rPr>
                    <w:rFonts w:ascii="Stone Sans II ITC Std X Bd" w:hAnsi="Stone Sans II ITC Std X Bd"/>
                    <w:b/>
                    <w:w w:val="110"/>
                    <w:sz w:val="24"/>
                  </w:rPr>
                  <w:instrText> PAGE </w:instrText>
                </w:r>
                <w:r>
                  <w:rPr/>
                  <w:fldChar w:fldCharType="separate"/>
                </w:r>
                <w:r>
                  <w:rPr/>
                  <w:t>259</w:t>
                </w:r>
                <w:r>
                  <w:rPr/>
                  <w:fldChar w:fldCharType="end"/>
                </w:r>
              </w:p>
            </w:txbxContent>
          </v:textbox>
          <w10:wrap type="none"/>
        </v:shape>
      </w:pict>
    </w:r>
  </w:p>
</w:ftr>
</file>

<file path=word/footer25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61.362202pt;margin-top:798.53833pt;width:317.4pt;height:17.45pt;mso-position-horizontal-relative:page;mso-position-vertical-relative:page;z-index:-267859968" type="#_x0000_t202" filled="false" stroked="false">
          <v:textbox inset="0,0,0,0">
            <w:txbxContent>
              <w:p>
                <w:pPr>
                  <w:spacing w:before="16"/>
                  <w:ind w:left="20" w:right="0" w:firstLine="0"/>
                  <w:jc w:val="left"/>
                  <w:rPr>
                    <w:sz w:val="23"/>
                  </w:rPr>
                </w:pPr>
                <w:r>
                  <w:rPr>
                    <w:rFonts w:ascii="Stone Sans II ITC Std X Bd" w:hAnsi="Stone Sans II ITC Std X Bd"/>
                    <w:b/>
                    <w:w w:val="110"/>
                    <w:sz w:val="24"/>
                  </w:rPr>
                  <w:t>260 </w:t>
                </w:r>
                <w:r>
                  <w:rPr>
                    <w:rFonts w:ascii="Symbol" w:hAnsi="Symbol"/>
                    <w:color w:val="7EAABF"/>
                    <w:w w:val="110"/>
                    <w:sz w:val="23"/>
                  </w:rPr>
                  <w:t></w:t>
                </w:r>
                <w:r>
                  <w:rPr>
                    <w:rFonts w:ascii="Times New Roman" w:hAnsi="Times New Roman"/>
                    <w:color w:val="7EAABF"/>
                    <w:w w:val="110"/>
                    <w:sz w:val="23"/>
                  </w:rPr>
                  <w:t> </w:t>
                </w:r>
                <w:r>
                  <w:rPr>
                    <w:color w:val="7EAABF"/>
                    <w:w w:val="110"/>
                    <w:sz w:val="23"/>
                  </w:rPr>
                  <w:t>United Reformed Church </w:t>
                </w:r>
                <w:r>
                  <w:rPr>
                    <w:rFonts w:ascii="Symbol" w:hAnsi="Symbol"/>
                    <w:color w:val="7EAABF"/>
                    <w:w w:val="110"/>
                    <w:sz w:val="23"/>
                  </w:rPr>
                  <w:t></w:t>
                </w:r>
                <w:r>
                  <w:rPr>
                    <w:rFonts w:ascii="Times New Roman" w:hAnsi="Times New Roman"/>
                    <w:color w:val="7EAABF"/>
                    <w:w w:val="110"/>
                    <w:sz w:val="23"/>
                  </w:rPr>
                  <w:t> </w:t>
                </w:r>
                <w:r>
                  <w:rPr>
                    <w:color w:val="7EAABF"/>
                    <w:w w:val="110"/>
                    <w:sz w:val="23"/>
                  </w:rPr>
                  <w:t>General Assembly 2016</w:t>
                </w:r>
              </w:p>
            </w:txbxContent>
          </v:textbox>
          <w10:wrap type="none"/>
        </v:shape>
      </w:pict>
    </w:r>
  </w:p>
</w:ftr>
</file>

<file path=word/footer2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2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2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2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59.362202pt;margin-top:798.53833pt;width:311pt;height:17.45pt;mso-position-horizontal-relative:page;mso-position-vertical-relative:page;z-index:-268081152" type="#_x0000_t202" filled="false" stroked="false">
          <v:textbox inset="0,0,0,0">
            <w:txbxContent>
              <w:p>
                <w:pPr>
                  <w:spacing w:before="16"/>
                  <w:ind w:left="60" w:right="0" w:firstLine="0"/>
                  <w:jc w:val="left"/>
                  <w:rPr>
                    <w:sz w:val="23"/>
                  </w:rPr>
                </w:pPr>
                <w:r>
                  <w:rPr/>
                  <w:fldChar w:fldCharType="begin"/>
                </w:r>
                <w:r>
                  <w:rPr>
                    <w:rFonts w:ascii="Stone Sans II ITC Std X Bd" w:hAnsi="Stone Sans II ITC Std X Bd"/>
                    <w:b/>
                    <w:w w:val="110"/>
                    <w:sz w:val="24"/>
                  </w:rPr>
                  <w:instrText> PAGE </w:instrText>
                </w:r>
                <w:r>
                  <w:rPr/>
                  <w:fldChar w:fldCharType="separate"/>
                </w:r>
                <w:r>
                  <w:rPr/>
                  <w:t>34</w:t>
                </w:r>
                <w:r>
                  <w:rPr/>
                  <w:fldChar w:fldCharType="end"/>
                </w:r>
                <w:r>
                  <w:rPr>
                    <w:rFonts w:ascii="Stone Sans II ITC Std X Bd" w:hAnsi="Stone Sans II ITC Std X Bd"/>
                    <w:b/>
                    <w:w w:val="110"/>
                    <w:sz w:val="24"/>
                  </w:rPr>
                  <w:t> </w:t>
                </w:r>
                <w:r>
                  <w:rPr>
                    <w:rFonts w:ascii="Symbol" w:hAnsi="Symbol"/>
                    <w:color w:val="7EAABF"/>
                    <w:w w:val="110"/>
                    <w:sz w:val="23"/>
                  </w:rPr>
                  <w:t></w:t>
                </w:r>
                <w:r>
                  <w:rPr>
                    <w:rFonts w:ascii="Times New Roman" w:hAnsi="Times New Roman"/>
                    <w:color w:val="7EAABF"/>
                    <w:w w:val="110"/>
                    <w:sz w:val="23"/>
                  </w:rPr>
                  <w:t> </w:t>
                </w:r>
                <w:r>
                  <w:rPr>
                    <w:color w:val="7EAABF"/>
                    <w:w w:val="110"/>
                    <w:sz w:val="23"/>
                  </w:rPr>
                  <w:t>United Reformed Church </w:t>
                </w:r>
                <w:r>
                  <w:rPr>
                    <w:rFonts w:ascii="Symbol" w:hAnsi="Symbol"/>
                    <w:color w:val="7EAABF"/>
                    <w:w w:val="110"/>
                    <w:sz w:val="23"/>
                  </w:rPr>
                  <w:t></w:t>
                </w:r>
                <w:r>
                  <w:rPr>
                    <w:rFonts w:ascii="Times New Roman" w:hAnsi="Times New Roman"/>
                    <w:color w:val="7EAABF"/>
                    <w:w w:val="110"/>
                    <w:sz w:val="23"/>
                  </w:rPr>
                  <w:t> </w:t>
                </w:r>
                <w:r>
                  <w:rPr>
                    <w:color w:val="7EAABF"/>
                    <w:w w:val="110"/>
                    <w:sz w:val="23"/>
                  </w:rPr>
                  <w:t>General Assembly 2016</w:t>
                </w:r>
              </w:p>
            </w:txbxContent>
          </v:textbox>
          <w10:wrap type="none"/>
        </v:shape>
      </w:pict>
    </w: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59.362202pt;margin-top:798.53833pt;width:303.4pt;height:17.45pt;mso-position-horizontal-relative:page;mso-position-vertical-relative:page;z-index:-268105728" type="#_x0000_t202" filled="false" stroked="false">
          <v:textbox inset="0,0,0,0">
            <w:txbxContent>
              <w:p>
                <w:pPr>
                  <w:spacing w:before="16"/>
                  <w:ind w:left="60" w:right="0" w:firstLine="0"/>
                  <w:jc w:val="left"/>
                  <w:rPr>
                    <w:sz w:val="23"/>
                  </w:rPr>
                </w:pPr>
                <w:r>
                  <w:rPr/>
                  <w:fldChar w:fldCharType="begin"/>
                </w:r>
                <w:r>
                  <w:rPr>
                    <w:rFonts w:ascii="Stone Sans II ITC Std X Bd" w:hAnsi="Stone Sans II ITC Std X Bd"/>
                    <w:b/>
                    <w:w w:val="110"/>
                    <w:sz w:val="24"/>
                  </w:rPr>
                  <w:instrText> PAGE </w:instrText>
                </w:r>
                <w:r>
                  <w:rPr/>
                  <w:fldChar w:fldCharType="separate"/>
                </w:r>
                <w:r>
                  <w:rPr/>
                  <w:t>8</w:t>
                </w:r>
                <w:r>
                  <w:rPr/>
                  <w:fldChar w:fldCharType="end"/>
                </w:r>
                <w:r>
                  <w:rPr>
                    <w:rFonts w:ascii="Stone Sans II ITC Std X Bd" w:hAnsi="Stone Sans II ITC Std X Bd"/>
                    <w:b/>
                    <w:w w:val="110"/>
                    <w:sz w:val="24"/>
                  </w:rPr>
                  <w:t> </w:t>
                </w:r>
                <w:r>
                  <w:rPr>
                    <w:rFonts w:ascii="Symbol" w:hAnsi="Symbol"/>
                    <w:color w:val="7EAABF"/>
                    <w:w w:val="110"/>
                    <w:sz w:val="23"/>
                  </w:rPr>
                  <w:t></w:t>
                </w:r>
                <w:r>
                  <w:rPr>
                    <w:rFonts w:ascii="Times New Roman" w:hAnsi="Times New Roman"/>
                    <w:color w:val="7EAABF"/>
                    <w:w w:val="110"/>
                    <w:sz w:val="23"/>
                  </w:rPr>
                  <w:t> </w:t>
                </w:r>
                <w:r>
                  <w:rPr>
                    <w:color w:val="7EAABF"/>
                    <w:w w:val="110"/>
                    <w:sz w:val="23"/>
                  </w:rPr>
                  <w:t>United Reformed Church </w:t>
                </w:r>
                <w:r>
                  <w:rPr>
                    <w:rFonts w:ascii="Symbol" w:hAnsi="Symbol"/>
                    <w:color w:val="7EAABF"/>
                    <w:w w:val="110"/>
                    <w:sz w:val="23"/>
                  </w:rPr>
                  <w:t></w:t>
                </w:r>
                <w:r>
                  <w:rPr>
                    <w:rFonts w:ascii="Times New Roman" w:hAnsi="Times New Roman"/>
                    <w:color w:val="7EAABF"/>
                    <w:w w:val="110"/>
                    <w:sz w:val="23"/>
                  </w:rPr>
                  <w:t> </w:t>
                </w:r>
                <w:r>
                  <w:rPr>
                    <w:color w:val="7EAABF"/>
                    <w:w w:val="110"/>
                    <w:sz w:val="23"/>
                  </w:rPr>
                  <w:t>General Assembly 2016</w:t>
                </w:r>
              </w:p>
            </w:txbxContent>
          </v:textbox>
          <w10:wrap type="none"/>
        </v:shape>
      </w:pict>
    </w:r>
  </w:p>
</w:ftr>
</file>

<file path=word/footer3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3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59.362202pt;margin-top:798.53833pt;width:311.4pt;height:17.45pt;mso-position-horizontal-relative:page;mso-position-vertical-relative:page;z-index:-268079104" type="#_x0000_t202" filled="false" stroked="false">
          <v:textbox inset="0,0,0,0">
            <w:txbxContent>
              <w:p>
                <w:pPr>
                  <w:spacing w:before="16"/>
                  <w:ind w:left="60" w:right="0" w:firstLine="0"/>
                  <w:jc w:val="left"/>
                  <w:rPr>
                    <w:sz w:val="23"/>
                  </w:rPr>
                </w:pPr>
                <w:r>
                  <w:rPr/>
                  <w:fldChar w:fldCharType="begin"/>
                </w:r>
                <w:r>
                  <w:rPr>
                    <w:rFonts w:ascii="Stone Sans II ITC Std X Bd" w:hAnsi="Stone Sans II ITC Std X Bd"/>
                    <w:b/>
                    <w:w w:val="110"/>
                    <w:sz w:val="24"/>
                  </w:rPr>
                  <w:instrText> PAGE </w:instrText>
                </w:r>
                <w:r>
                  <w:rPr/>
                  <w:fldChar w:fldCharType="separate"/>
                </w:r>
                <w:r>
                  <w:rPr/>
                  <w:t>36</w:t>
                </w:r>
                <w:r>
                  <w:rPr/>
                  <w:fldChar w:fldCharType="end"/>
                </w:r>
                <w:r>
                  <w:rPr>
                    <w:rFonts w:ascii="Stone Sans II ITC Std X Bd" w:hAnsi="Stone Sans II ITC Std X Bd"/>
                    <w:b/>
                    <w:w w:val="110"/>
                    <w:sz w:val="24"/>
                  </w:rPr>
                  <w:t> </w:t>
                </w:r>
                <w:r>
                  <w:rPr>
                    <w:rFonts w:ascii="Symbol" w:hAnsi="Symbol"/>
                    <w:color w:val="7EAABF"/>
                    <w:w w:val="110"/>
                    <w:sz w:val="23"/>
                  </w:rPr>
                  <w:t></w:t>
                </w:r>
                <w:r>
                  <w:rPr>
                    <w:rFonts w:ascii="Times New Roman" w:hAnsi="Times New Roman"/>
                    <w:color w:val="7EAABF"/>
                    <w:w w:val="110"/>
                    <w:sz w:val="23"/>
                  </w:rPr>
                  <w:t> </w:t>
                </w:r>
                <w:r>
                  <w:rPr>
                    <w:color w:val="7EAABF"/>
                    <w:w w:val="110"/>
                    <w:sz w:val="23"/>
                  </w:rPr>
                  <w:t>United Reformed Church </w:t>
                </w:r>
                <w:r>
                  <w:rPr>
                    <w:rFonts w:ascii="Symbol" w:hAnsi="Symbol"/>
                    <w:color w:val="7EAABF"/>
                    <w:w w:val="110"/>
                    <w:sz w:val="23"/>
                  </w:rPr>
                  <w:t></w:t>
                </w:r>
                <w:r>
                  <w:rPr>
                    <w:rFonts w:ascii="Times New Roman" w:hAnsi="Times New Roman"/>
                    <w:color w:val="7EAABF"/>
                    <w:w w:val="110"/>
                    <w:sz w:val="23"/>
                  </w:rPr>
                  <w:t> </w:t>
                </w:r>
                <w:r>
                  <w:rPr>
                    <w:color w:val="7EAABF"/>
                    <w:w w:val="110"/>
                    <w:sz w:val="23"/>
                  </w:rPr>
                  <w:t>General Assembly 2016</w:t>
                </w:r>
              </w:p>
            </w:txbxContent>
          </v:textbox>
          <w10:wrap type="none"/>
        </v:shape>
      </w:pict>
    </w:r>
  </w:p>
</w:ftr>
</file>

<file path=word/footer3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224.539398pt;margin-top:798.53833pt;width:311.4pt;height:17.45pt;mso-position-horizontal-relative:page;mso-position-vertical-relative:page;z-index:-268078080" type="#_x0000_t202" filled="false" stroked="false">
          <v:textbox inset="0,0,0,0">
            <w:txbxContent>
              <w:p>
                <w:pPr>
                  <w:spacing w:before="16"/>
                  <w:ind w:left="20" w:right="0" w:firstLine="0"/>
                  <w:jc w:val="left"/>
                  <w:rPr>
                    <w:rFonts w:ascii="Stone Sans II ITC Std X Bd" w:hAnsi="Stone Sans II ITC Std X Bd"/>
                    <w:b/>
                    <w:sz w:val="24"/>
                  </w:rPr>
                </w:pPr>
                <w:r>
                  <w:rPr>
                    <w:color w:val="7EAABF"/>
                    <w:w w:val="110"/>
                    <w:sz w:val="23"/>
                  </w:rPr>
                  <w:t>United Reformed Church </w:t>
                </w:r>
                <w:r>
                  <w:rPr>
                    <w:rFonts w:ascii="Symbol" w:hAnsi="Symbol"/>
                    <w:color w:val="7EAABF"/>
                    <w:w w:val="110"/>
                    <w:sz w:val="23"/>
                  </w:rPr>
                  <w:t></w:t>
                </w:r>
                <w:r>
                  <w:rPr>
                    <w:rFonts w:ascii="Times New Roman" w:hAnsi="Times New Roman"/>
                    <w:color w:val="7EAABF"/>
                    <w:w w:val="110"/>
                    <w:sz w:val="23"/>
                  </w:rPr>
                  <w:t> </w:t>
                </w:r>
                <w:r>
                  <w:rPr>
                    <w:color w:val="7EAABF"/>
                    <w:w w:val="110"/>
                    <w:sz w:val="23"/>
                  </w:rPr>
                  <w:t>General Assembly 2016 </w:t>
                </w:r>
                <w:r>
                  <w:rPr>
                    <w:rFonts w:ascii="Symbol" w:hAnsi="Symbol"/>
                    <w:color w:val="7EAABF"/>
                    <w:w w:val="110"/>
                    <w:sz w:val="23"/>
                  </w:rPr>
                  <w:t></w:t>
                </w:r>
                <w:r>
                  <w:rPr>
                    <w:rFonts w:ascii="Times New Roman" w:hAnsi="Times New Roman"/>
                    <w:color w:val="7EAABF"/>
                    <w:w w:val="110"/>
                    <w:sz w:val="23"/>
                  </w:rPr>
                  <w:t> </w:t>
                </w:r>
                <w:r>
                  <w:rPr/>
                  <w:fldChar w:fldCharType="begin"/>
                </w:r>
                <w:r>
                  <w:rPr>
                    <w:rFonts w:ascii="Stone Sans II ITC Std X Bd" w:hAnsi="Stone Sans II ITC Std X Bd"/>
                    <w:b/>
                    <w:w w:val="110"/>
                    <w:sz w:val="24"/>
                  </w:rPr>
                  <w:instrText> PAGE </w:instrText>
                </w:r>
                <w:r>
                  <w:rPr/>
                  <w:fldChar w:fldCharType="separate"/>
                </w:r>
                <w:r>
                  <w:rPr/>
                  <w:t>37</w:t>
                </w:r>
                <w:r>
                  <w:rPr/>
                  <w:fldChar w:fldCharType="end"/>
                </w:r>
              </w:p>
            </w:txbxContent>
          </v:textbox>
          <w10:wrap type="none"/>
        </v:shape>
      </w:pict>
    </w:r>
  </w:p>
</w:ftr>
</file>

<file path=word/footer3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3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224.539398pt;margin-top:798.53833pt;width:311.4pt;height:17.45pt;mso-position-horizontal-relative:page;mso-position-vertical-relative:page;z-index:-268076032" type="#_x0000_t202" filled="false" stroked="false">
          <v:textbox inset="0,0,0,0">
            <w:txbxContent>
              <w:p>
                <w:pPr>
                  <w:spacing w:before="16"/>
                  <w:ind w:left="20" w:right="0" w:firstLine="0"/>
                  <w:jc w:val="left"/>
                  <w:rPr>
                    <w:rFonts w:ascii="Stone Sans II ITC Std X Bd" w:hAnsi="Stone Sans II ITC Std X Bd"/>
                    <w:b/>
                    <w:sz w:val="24"/>
                  </w:rPr>
                </w:pPr>
                <w:r>
                  <w:rPr>
                    <w:color w:val="7EAABF"/>
                    <w:w w:val="110"/>
                    <w:sz w:val="23"/>
                  </w:rPr>
                  <w:t>United Reformed Church </w:t>
                </w:r>
                <w:r>
                  <w:rPr>
                    <w:rFonts w:ascii="Symbol" w:hAnsi="Symbol"/>
                    <w:color w:val="7EAABF"/>
                    <w:w w:val="110"/>
                    <w:sz w:val="23"/>
                  </w:rPr>
                  <w:t></w:t>
                </w:r>
                <w:r>
                  <w:rPr>
                    <w:rFonts w:ascii="Times New Roman" w:hAnsi="Times New Roman"/>
                    <w:color w:val="7EAABF"/>
                    <w:w w:val="110"/>
                    <w:sz w:val="23"/>
                  </w:rPr>
                  <w:t> </w:t>
                </w:r>
                <w:r>
                  <w:rPr>
                    <w:color w:val="7EAABF"/>
                    <w:w w:val="110"/>
                    <w:sz w:val="23"/>
                  </w:rPr>
                  <w:t>General Assembly 2016 </w:t>
                </w:r>
                <w:r>
                  <w:rPr>
                    <w:rFonts w:ascii="Symbol" w:hAnsi="Symbol"/>
                    <w:color w:val="7EAABF"/>
                    <w:w w:val="110"/>
                    <w:sz w:val="23"/>
                  </w:rPr>
                  <w:t></w:t>
                </w:r>
                <w:r>
                  <w:rPr>
                    <w:rFonts w:ascii="Times New Roman" w:hAnsi="Times New Roman"/>
                    <w:color w:val="7EAABF"/>
                    <w:w w:val="110"/>
                    <w:sz w:val="23"/>
                  </w:rPr>
                  <w:t> </w:t>
                </w:r>
                <w:r>
                  <w:rPr/>
                  <w:fldChar w:fldCharType="begin"/>
                </w:r>
                <w:r>
                  <w:rPr>
                    <w:rFonts w:ascii="Stone Sans II ITC Std X Bd" w:hAnsi="Stone Sans II ITC Std X Bd"/>
                    <w:b/>
                    <w:w w:val="110"/>
                    <w:sz w:val="24"/>
                  </w:rPr>
                  <w:instrText> PAGE </w:instrText>
                </w:r>
                <w:r>
                  <w:rPr/>
                  <w:fldChar w:fldCharType="separate"/>
                </w:r>
                <w:r>
                  <w:rPr/>
                  <w:t>39</w:t>
                </w:r>
                <w:r>
                  <w:rPr/>
                  <w:fldChar w:fldCharType="end"/>
                </w:r>
              </w:p>
            </w:txbxContent>
          </v:textbox>
          <w10:wrap type="none"/>
        </v:shape>
      </w:pict>
    </w:r>
  </w:p>
</w:ftr>
</file>

<file path=word/footer3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59.362202pt;margin-top:798.53833pt;width:311.4pt;height:17.45pt;mso-position-horizontal-relative:page;mso-position-vertical-relative:page;z-index:-268075008" type="#_x0000_t202" filled="false" stroked="false">
          <v:textbox inset="0,0,0,0">
            <w:txbxContent>
              <w:p>
                <w:pPr>
                  <w:spacing w:before="16"/>
                  <w:ind w:left="60" w:right="0" w:firstLine="0"/>
                  <w:jc w:val="left"/>
                  <w:rPr>
                    <w:sz w:val="23"/>
                  </w:rPr>
                </w:pPr>
                <w:r>
                  <w:rPr/>
                  <w:fldChar w:fldCharType="begin"/>
                </w:r>
                <w:r>
                  <w:rPr>
                    <w:rFonts w:ascii="Stone Sans II ITC Std X Bd" w:hAnsi="Stone Sans II ITC Std X Bd"/>
                    <w:b/>
                    <w:w w:val="110"/>
                    <w:sz w:val="24"/>
                  </w:rPr>
                  <w:instrText> PAGE </w:instrText>
                </w:r>
                <w:r>
                  <w:rPr/>
                  <w:fldChar w:fldCharType="separate"/>
                </w:r>
                <w:r>
                  <w:rPr/>
                  <w:t>40</w:t>
                </w:r>
                <w:r>
                  <w:rPr/>
                  <w:fldChar w:fldCharType="end"/>
                </w:r>
                <w:r>
                  <w:rPr>
                    <w:rFonts w:ascii="Stone Sans II ITC Std X Bd" w:hAnsi="Stone Sans II ITC Std X Bd"/>
                    <w:b/>
                    <w:w w:val="110"/>
                    <w:sz w:val="24"/>
                  </w:rPr>
                  <w:t> </w:t>
                </w:r>
                <w:r>
                  <w:rPr>
                    <w:rFonts w:ascii="Symbol" w:hAnsi="Symbol"/>
                    <w:color w:val="7EAABF"/>
                    <w:w w:val="110"/>
                    <w:sz w:val="23"/>
                  </w:rPr>
                  <w:t></w:t>
                </w:r>
                <w:r>
                  <w:rPr>
                    <w:rFonts w:ascii="Times New Roman" w:hAnsi="Times New Roman"/>
                    <w:color w:val="7EAABF"/>
                    <w:w w:val="110"/>
                    <w:sz w:val="23"/>
                  </w:rPr>
                  <w:t> </w:t>
                </w:r>
                <w:r>
                  <w:rPr>
                    <w:color w:val="7EAABF"/>
                    <w:w w:val="110"/>
                    <w:sz w:val="23"/>
                  </w:rPr>
                  <w:t>United Reformed Church </w:t>
                </w:r>
                <w:r>
                  <w:rPr>
                    <w:rFonts w:ascii="Symbol" w:hAnsi="Symbol"/>
                    <w:color w:val="7EAABF"/>
                    <w:w w:val="110"/>
                    <w:sz w:val="23"/>
                  </w:rPr>
                  <w:t></w:t>
                </w:r>
                <w:r>
                  <w:rPr>
                    <w:rFonts w:ascii="Times New Roman" w:hAnsi="Times New Roman"/>
                    <w:color w:val="7EAABF"/>
                    <w:w w:val="110"/>
                    <w:sz w:val="23"/>
                  </w:rPr>
                  <w:t> </w:t>
                </w:r>
                <w:r>
                  <w:rPr>
                    <w:color w:val="7EAABF"/>
                    <w:w w:val="110"/>
                    <w:sz w:val="23"/>
                  </w:rPr>
                  <w:t>General Assembly 2016</w:t>
                </w:r>
              </w:p>
            </w:txbxContent>
          </v:textbox>
          <w10:wrap type="none"/>
        </v:shape>
      </w:pict>
    </w:r>
  </w:p>
</w:ftr>
</file>

<file path=word/footer3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224.539398pt;margin-top:798.53833pt;width:311.4pt;height:17.45pt;mso-position-horizontal-relative:page;mso-position-vertical-relative:page;z-index:-268073984" type="#_x0000_t202" filled="false" stroked="false">
          <v:textbox inset="0,0,0,0">
            <w:txbxContent>
              <w:p>
                <w:pPr>
                  <w:spacing w:before="16"/>
                  <w:ind w:left="20" w:right="0" w:firstLine="0"/>
                  <w:jc w:val="left"/>
                  <w:rPr>
                    <w:rFonts w:ascii="Stone Sans II ITC Std X Bd" w:hAnsi="Stone Sans II ITC Std X Bd"/>
                    <w:b/>
                    <w:sz w:val="24"/>
                  </w:rPr>
                </w:pPr>
                <w:r>
                  <w:rPr>
                    <w:color w:val="7EAABF"/>
                    <w:w w:val="110"/>
                    <w:sz w:val="23"/>
                  </w:rPr>
                  <w:t>United Reformed Church </w:t>
                </w:r>
                <w:r>
                  <w:rPr>
                    <w:rFonts w:ascii="Symbol" w:hAnsi="Symbol"/>
                    <w:color w:val="7EAABF"/>
                    <w:w w:val="110"/>
                    <w:sz w:val="23"/>
                  </w:rPr>
                  <w:t></w:t>
                </w:r>
                <w:r>
                  <w:rPr>
                    <w:rFonts w:ascii="Times New Roman" w:hAnsi="Times New Roman"/>
                    <w:color w:val="7EAABF"/>
                    <w:w w:val="110"/>
                    <w:sz w:val="23"/>
                  </w:rPr>
                  <w:t> </w:t>
                </w:r>
                <w:r>
                  <w:rPr>
                    <w:color w:val="7EAABF"/>
                    <w:w w:val="110"/>
                    <w:sz w:val="23"/>
                  </w:rPr>
                  <w:t>General Assembly 2016 </w:t>
                </w:r>
                <w:r>
                  <w:rPr>
                    <w:rFonts w:ascii="Symbol" w:hAnsi="Symbol"/>
                    <w:color w:val="7EAABF"/>
                    <w:w w:val="110"/>
                    <w:sz w:val="23"/>
                  </w:rPr>
                  <w:t></w:t>
                </w:r>
                <w:r>
                  <w:rPr>
                    <w:rFonts w:ascii="Times New Roman" w:hAnsi="Times New Roman"/>
                    <w:color w:val="7EAABF"/>
                    <w:w w:val="110"/>
                    <w:sz w:val="23"/>
                  </w:rPr>
                  <w:t> </w:t>
                </w:r>
                <w:r>
                  <w:rPr/>
                  <w:fldChar w:fldCharType="begin"/>
                </w:r>
                <w:r>
                  <w:rPr>
                    <w:rFonts w:ascii="Stone Sans II ITC Std X Bd" w:hAnsi="Stone Sans II ITC Std X Bd"/>
                    <w:b/>
                    <w:w w:val="110"/>
                    <w:sz w:val="24"/>
                  </w:rPr>
                  <w:instrText> PAGE </w:instrText>
                </w:r>
                <w:r>
                  <w:rPr/>
                  <w:fldChar w:fldCharType="separate"/>
                </w:r>
                <w:r>
                  <w:rPr/>
                  <w:t>41</w:t>
                </w:r>
                <w:r>
                  <w:rPr/>
                  <w:fldChar w:fldCharType="end"/>
                </w:r>
              </w:p>
            </w:txbxContent>
          </v:textbox>
          <w10:wrap type="none"/>
        </v:shape>
      </w:pict>
    </w:r>
  </w:p>
</w:ftr>
</file>

<file path=word/footer3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59.362202pt;margin-top:798.53833pt;width:311.4pt;height:17.45pt;mso-position-horizontal-relative:page;mso-position-vertical-relative:page;z-index:-268072960" type="#_x0000_t202" filled="false" stroked="false">
          <v:textbox inset="0,0,0,0">
            <w:txbxContent>
              <w:p>
                <w:pPr>
                  <w:spacing w:before="16"/>
                  <w:ind w:left="60" w:right="0" w:firstLine="0"/>
                  <w:jc w:val="left"/>
                  <w:rPr>
                    <w:sz w:val="23"/>
                  </w:rPr>
                </w:pPr>
                <w:r>
                  <w:rPr/>
                  <w:fldChar w:fldCharType="begin"/>
                </w:r>
                <w:r>
                  <w:rPr>
                    <w:rFonts w:ascii="Stone Sans II ITC Std X Bd" w:hAnsi="Stone Sans II ITC Std X Bd"/>
                    <w:b/>
                    <w:w w:val="110"/>
                    <w:sz w:val="24"/>
                  </w:rPr>
                  <w:instrText> PAGE </w:instrText>
                </w:r>
                <w:r>
                  <w:rPr/>
                  <w:fldChar w:fldCharType="separate"/>
                </w:r>
                <w:r>
                  <w:rPr/>
                  <w:t>42</w:t>
                </w:r>
                <w:r>
                  <w:rPr/>
                  <w:fldChar w:fldCharType="end"/>
                </w:r>
                <w:r>
                  <w:rPr>
                    <w:rFonts w:ascii="Stone Sans II ITC Std X Bd" w:hAnsi="Stone Sans II ITC Std X Bd"/>
                    <w:b/>
                    <w:w w:val="110"/>
                    <w:sz w:val="24"/>
                  </w:rPr>
                  <w:t> </w:t>
                </w:r>
                <w:r>
                  <w:rPr>
                    <w:rFonts w:ascii="Symbol" w:hAnsi="Symbol"/>
                    <w:color w:val="7EAABF"/>
                    <w:w w:val="110"/>
                    <w:sz w:val="23"/>
                  </w:rPr>
                  <w:t></w:t>
                </w:r>
                <w:r>
                  <w:rPr>
                    <w:rFonts w:ascii="Times New Roman" w:hAnsi="Times New Roman"/>
                    <w:color w:val="7EAABF"/>
                    <w:w w:val="110"/>
                    <w:sz w:val="23"/>
                  </w:rPr>
                  <w:t> </w:t>
                </w:r>
                <w:r>
                  <w:rPr>
                    <w:color w:val="7EAABF"/>
                    <w:w w:val="110"/>
                    <w:sz w:val="23"/>
                  </w:rPr>
                  <w:t>United Reformed Church </w:t>
                </w:r>
                <w:r>
                  <w:rPr>
                    <w:rFonts w:ascii="Symbol" w:hAnsi="Symbol"/>
                    <w:color w:val="7EAABF"/>
                    <w:w w:val="110"/>
                    <w:sz w:val="23"/>
                  </w:rPr>
                  <w:t></w:t>
                </w:r>
                <w:r>
                  <w:rPr>
                    <w:rFonts w:ascii="Times New Roman" w:hAnsi="Times New Roman"/>
                    <w:color w:val="7EAABF"/>
                    <w:w w:val="110"/>
                    <w:sz w:val="23"/>
                  </w:rPr>
                  <w:t> </w:t>
                </w:r>
                <w:r>
                  <w:rPr>
                    <w:color w:val="7EAABF"/>
                    <w:w w:val="110"/>
                    <w:sz w:val="23"/>
                  </w:rPr>
                  <w:t>General Assembly 2016</w:t>
                </w:r>
              </w:p>
            </w:txbxContent>
          </v:textbox>
          <w10:wrap type="none"/>
        </v:shape>
      </w:pict>
    </w:r>
  </w:p>
</w:ftr>
</file>

<file path=word/footer3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224.539398pt;margin-top:798.53833pt;width:311.4pt;height:17.45pt;mso-position-horizontal-relative:page;mso-position-vertical-relative:page;z-index:-268071936" type="#_x0000_t202" filled="false" stroked="false">
          <v:textbox inset="0,0,0,0">
            <w:txbxContent>
              <w:p>
                <w:pPr>
                  <w:spacing w:before="16"/>
                  <w:ind w:left="20" w:right="0" w:firstLine="0"/>
                  <w:jc w:val="left"/>
                  <w:rPr>
                    <w:rFonts w:ascii="Stone Sans II ITC Std X Bd" w:hAnsi="Stone Sans II ITC Std X Bd"/>
                    <w:b/>
                    <w:sz w:val="24"/>
                  </w:rPr>
                </w:pPr>
                <w:r>
                  <w:rPr>
                    <w:color w:val="7EAABF"/>
                    <w:w w:val="110"/>
                    <w:sz w:val="23"/>
                  </w:rPr>
                  <w:t>United Reformed Church </w:t>
                </w:r>
                <w:r>
                  <w:rPr>
                    <w:rFonts w:ascii="Symbol" w:hAnsi="Symbol"/>
                    <w:color w:val="7EAABF"/>
                    <w:w w:val="110"/>
                    <w:sz w:val="23"/>
                  </w:rPr>
                  <w:t></w:t>
                </w:r>
                <w:r>
                  <w:rPr>
                    <w:rFonts w:ascii="Times New Roman" w:hAnsi="Times New Roman"/>
                    <w:color w:val="7EAABF"/>
                    <w:w w:val="110"/>
                    <w:sz w:val="23"/>
                  </w:rPr>
                  <w:t> </w:t>
                </w:r>
                <w:r>
                  <w:rPr>
                    <w:color w:val="7EAABF"/>
                    <w:w w:val="110"/>
                    <w:sz w:val="23"/>
                  </w:rPr>
                  <w:t>General Assembly 2016 </w:t>
                </w:r>
                <w:r>
                  <w:rPr>
                    <w:rFonts w:ascii="Symbol" w:hAnsi="Symbol"/>
                    <w:color w:val="7EAABF"/>
                    <w:w w:val="110"/>
                    <w:sz w:val="23"/>
                  </w:rPr>
                  <w:t></w:t>
                </w:r>
                <w:r>
                  <w:rPr>
                    <w:rFonts w:ascii="Times New Roman" w:hAnsi="Times New Roman"/>
                    <w:color w:val="7EAABF"/>
                    <w:w w:val="110"/>
                    <w:sz w:val="23"/>
                  </w:rPr>
                  <w:t> </w:t>
                </w:r>
                <w:r>
                  <w:rPr/>
                  <w:fldChar w:fldCharType="begin"/>
                </w:r>
                <w:r>
                  <w:rPr>
                    <w:rFonts w:ascii="Stone Sans II ITC Std X Bd" w:hAnsi="Stone Sans II ITC Std X Bd"/>
                    <w:b/>
                    <w:w w:val="110"/>
                    <w:sz w:val="24"/>
                  </w:rPr>
                  <w:instrText> PAGE </w:instrText>
                </w:r>
                <w:r>
                  <w:rPr/>
                  <w:fldChar w:fldCharType="separate"/>
                </w:r>
                <w:r>
                  <w:rPr/>
                  <w:t>43</w:t>
                </w:r>
                <w:r>
                  <w:rPr/>
                  <w:fldChar w:fldCharType="end"/>
                </w:r>
              </w:p>
            </w:txbxContent>
          </v:textbox>
          <w10:wrap type="none"/>
        </v:shape>
      </w:pict>
    </w:r>
  </w:p>
</w:ftr>
</file>

<file path=word/footer3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59.362202pt;margin-top:798.53833pt;width:311.4pt;height:17.45pt;mso-position-horizontal-relative:page;mso-position-vertical-relative:page;z-index:-268070912" type="#_x0000_t202" filled="false" stroked="false">
          <v:textbox inset="0,0,0,0">
            <w:txbxContent>
              <w:p>
                <w:pPr>
                  <w:spacing w:before="16"/>
                  <w:ind w:left="60" w:right="0" w:firstLine="0"/>
                  <w:jc w:val="left"/>
                  <w:rPr>
                    <w:sz w:val="23"/>
                  </w:rPr>
                </w:pPr>
                <w:r>
                  <w:rPr/>
                  <w:fldChar w:fldCharType="begin"/>
                </w:r>
                <w:r>
                  <w:rPr>
                    <w:rFonts w:ascii="Stone Sans II ITC Std X Bd" w:hAnsi="Stone Sans II ITC Std X Bd"/>
                    <w:b/>
                    <w:w w:val="110"/>
                    <w:sz w:val="24"/>
                  </w:rPr>
                  <w:instrText> PAGE </w:instrText>
                </w:r>
                <w:r>
                  <w:rPr/>
                  <w:fldChar w:fldCharType="separate"/>
                </w:r>
                <w:r>
                  <w:rPr/>
                  <w:t>44</w:t>
                </w:r>
                <w:r>
                  <w:rPr/>
                  <w:fldChar w:fldCharType="end"/>
                </w:r>
                <w:r>
                  <w:rPr>
                    <w:rFonts w:ascii="Stone Sans II ITC Std X Bd" w:hAnsi="Stone Sans II ITC Std X Bd"/>
                    <w:b/>
                    <w:w w:val="110"/>
                    <w:sz w:val="24"/>
                  </w:rPr>
                  <w:t> </w:t>
                </w:r>
                <w:r>
                  <w:rPr>
                    <w:rFonts w:ascii="Symbol" w:hAnsi="Symbol"/>
                    <w:color w:val="7EAABF"/>
                    <w:w w:val="110"/>
                    <w:sz w:val="23"/>
                  </w:rPr>
                  <w:t></w:t>
                </w:r>
                <w:r>
                  <w:rPr>
                    <w:rFonts w:ascii="Times New Roman" w:hAnsi="Times New Roman"/>
                    <w:color w:val="7EAABF"/>
                    <w:w w:val="110"/>
                    <w:sz w:val="23"/>
                  </w:rPr>
                  <w:t> </w:t>
                </w:r>
                <w:r>
                  <w:rPr>
                    <w:color w:val="7EAABF"/>
                    <w:w w:val="110"/>
                    <w:sz w:val="23"/>
                  </w:rPr>
                  <w:t>United Reformed Church </w:t>
                </w:r>
                <w:r>
                  <w:rPr>
                    <w:rFonts w:ascii="Symbol" w:hAnsi="Symbol"/>
                    <w:color w:val="7EAABF"/>
                    <w:w w:val="110"/>
                    <w:sz w:val="23"/>
                  </w:rPr>
                  <w:t></w:t>
                </w:r>
                <w:r>
                  <w:rPr>
                    <w:rFonts w:ascii="Times New Roman" w:hAnsi="Times New Roman"/>
                    <w:color w:val="7EAABF"/>
                    <w:w w:val="110"/>
                    <w:sz w:val="23"/>
                  </w:rPr>
                  <w:t> </w:t>
                </w:r>
                <w:r>
                  <w:rPr>
                    <w:color w:val="7EAABF"/>
                    <w:w w:val="110"/>
                    <w:sz w:val="23"/>
                  </w:rPr>
                  <w:t>General Assembly 2016</w:t>
                </w:r>
              </w:p>
            </w:txbxContent>
          </v:textbox>
          <w10:wrap type="none"/>
        </v:shape>
      </w:pict>
    </w: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232.555405pt;margin-top:798.53833pt;width:303.4pt;height:17.45pt;mso-position-horizontal-relative:page;mso-position-vertical-relative:page;z-index:-268104704" type="#_x0000_t202" filled="false" stroked="false">
          <v:textbox inset="0,0,0,0">
            <w:txbxContent>
              <w:p>
                <w:pPr>
                  <w:spacing w:before="16"/>
                  <w:ind w:left="20" w:right="0" w:firstLine="0"/>
                  <w:jc w:val="left"/>
                  <w:rPr>
                    <w:rFonts w:ascii="Stone Sans II ITC Std X Bd" w:hAnsi="Stone Sans II ITC Std X Bd"/>
                    <w:b/>
                    <w:sz w:val="24"/>
                  </w:rPr>
                </w:pPr>
                <w:r>
                  <w:rPr>
                    <w:color w:val="7EAABF"/>
                    <w:w w:val="110"/>
                    <w:sz w:val="23"/>
                  </w:rPr>
                  <w:t>United Reformed Church </w:t>
                </w:r>
                <w:r>
                  <w:rPr>
                    <w:rFonts w:ascii="Symbol" w:hAnsi="Symbol"/>
                    <w:color w:val="7EAABF"/>
                    <w:w w:val="110"/>
                    <w:sz w:val="23"/>
                  </w:rPr>
                  <w:t></w:t>
                </w:r>
                <w:r>
                  <w:rPr>
                    <w:rFonts w:ascii="Times New Roman" w:hAnsi="Times New Roman"/>
                    <w:color w:val="7EAABF"/>
                    <w:w w:val="110"/>
                    <w:sz w:val="23"/>
                  </w:rPr>
                  <w:t> </w:t>
                </w:r>
                <w:r>
                  <w:rPr>
                    <w:color w:val="7EAABF"/>
                    <w:w w:val="110"/>
                    <w:sz w:val="23"/>
                  </w:rPr>
                  <w:t>General Assembly 2016 </w:t>
                </w:r>
                <w:r>
                  <w:rPr>
                    <w:rFonts w:ascii="Symbol" w:hAnsi="Symbol"/>
                    <w:color w:val="7EAABF"/>
                    <w:w w:val="110"/>
                    <w:sz w:val="23"/>
                  </w:rPr>
                  <w:t></w:t>
                </w:r>
                <w:r>
                  <w:rPr>
                    <w:rFonts w:ascii="Times New Roman" w:hAnsi="Times New Roman"/>
                    <w:color w:val="7EAABF"/>
                    <w:w w:val="110"/>
                    <w:sz w:val="23"/>
                  </w:rPr>
                  <w:t> </w:t>
                </w:r>
                <w:r>
                  <w:rPr/>
                  <w:fldChar w:fldCharType="begin"/>
                </w:r>
                <w:r>
                  <w:rPr>
                    <w:rFonts w:ascii="Stone Sans II ITC Std X Bd" w:hAnsi="Stone Sans II ITC Std X Bd"/>
                    <w:b/>
                    <w:w w:val="110"/>
                    <w:sz w:val="24"/>
                  </w:rPr>
                  <w:instrText> PAGE </w:instrText>
                </w:r>
                <w:r>
                  <w:rPr/>
                  <w:fldChar w:fldCharType="separate"/>
                </w:r>
                <w:r>
                  <w:rPr/>
                  <w:t>9</w:t>
                </w:r>
                <w:r>
                  <w:rPr/>
                  <w:fldChar w:fldCharType="end"/>
                </w:r>
              </w:p>
            </w:txbxContent>
          </v:textbox>
          <w10:wrap type="none"/>
        </v:shape>
      </w:pict>
    </w:r>
  </w:p>
</w:ftr>
</file>

<file path=word/footer4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224.539398pt;margin-top:798.53833pt;width:311.4pt;height:17.45pt;mso-position-horizontal-relative:page;mso-position-vertical-relative:page;z-index:-268069888" type="#_x0000_t202" filled="false" stroked="false">
          <v:textbox inset="0,0,0,0">
            <w:txbxContent>
              <w:p>
                <w:pPr>
                  <w:spacing w:before="16"/>
                  <w:ind w:left="20" w:right="0" w:firstLine="0"/>
                  <w:jc w:val="left"/>
                  <w:rPr>
                    <w:rFonts w:ascii="Stone Sans II ITC Std X Bd" w:hAnsi="Stone Sans II ITC Std X Bd"/>
                    <w:b/>
                    <w:sz w:val="24"/>
                  </w:rPr>
                </w:pPr>
                <w:r>
                  <w:rPr>
                    <w:color w:val="7EAABF"/>
                    <w:w w:val="110"/>
                    <w:sz w:val="23"/>
                  </w:rPr>
                  <w:t>United Reformed Church </w:t>
                </w:r>
                <w:r>
                  <w:rPr>
                    <w:rFonts w:ascii="Symbol" w:hAnsi="Symbol"/>
                    <w:color w:val="7EAABF"/>
                    <w:w w:val="110"/>
                    <w:sz w:val="23"/>
                  </w:rPr>
                  <w:t></w:t>
                </w:r>
                <w:r>
                  <w:rPr>
                    <w:rFonts w:ascii="Times New Roman" w:hAnsi="Times New Roman"/>
                    <w:color w:val="7EAABF"/>
                    <w:w w:val="110"/>
                    <w:sz w:val="23"/>
                  </w:rPr>
                  <w:t> </w:t>
                </w:r>
                <w:r>
                  <w:rPr>
                    <w:color w:val="7EAABF"/>
                    <w:w w:val="110"/>
                    <w:sz w:val="23"/>
                  </w:rPr>
                  <w:t>General Assembly 2016 </w:t>
                </w:r>
                <w:r>
                  <w:rPr>
                    <w:rFonts w:ascii="Symbol" w:hAnsi="Symbol"/>
                    <w:color w:val="7EAABF"/>
                    <w:w w:val="110"/>
                    <w:sz w:val="23"/>
                  </w:rPr>
                  <w:t></w:t>
                </w:r>
                <w:r>
                  <w:rPr>
                    <w:rFonts w:ascii="Times New Roman" w:hAnsi="Times New Roman"/>
                    <w:color w:val="7EAABF"/>
                    <w:w w:val="110"/>
                    <w:sz w:val="23"/>
                  </w:rPr>
                  <w:t> </w:t>
                </w:r>
                <w:r>
                  <w:rPr/>
                  <w:fldChar w:fldCharType="begin"/>
                </w:r>
                <w:r>
                  <w:rPr>
                    <w:rFonts w:ascii="Stone Sans II ITC Std X Bd" w:hAnsi="Stone Sans II ITC Std X Bd"/>
                    <w:b/>
                    <w:w w:val="110"/>
                    <w:sz w:val="24"/>
                  </w:rPr>
                  <w:instrText> PAGE </w:instrText>
                </w:r>
                <w:r>
                  <w:rPr/>
                  <w:fldChar w:fldCharType="separate"/>
                </w:r>
                <w:r>
                  <w:rPr/>
                  <w:t>45</w:t>
                </w:r>
                <w:r>
                  <w:rPr/>
                  <w:fldChar w:fldCharType="end"/>
                </w:r>
              </w:p>
            </w:txbxContent>
          </v:textbox>
          <w10:wrap type="none"/>
        </v:shape>
      </w:pict>
    </w:r>
  </w:p>
</w:ftr>
</file>

<file path=word/footer4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59.362202pt;margin-top:798.53833pt;width:311.4pt;height:17.45pt;mso-position-horizontal-relative:page;mso-position-vertical-relative:page;z-index:-268068864" type="#_x0000_t202" filled="false" stroked="false">
          <v:textbox inset="0,0,0,0">
            <w:txbxContent>
              <w:p>
                <w:pPr>
                  <w:spacing w:before="16"/>
                  <w:ind w:left="60" w:right="0" w:firstLine="0"/>
                  <w:jc w:val="left"/>
                  <w:rPr>
                    <w:sz w:val="23"/>
                  </w:rPr>
                </w:pPr>
                <w:r>
                  <w:rPr/>
                  <w:fldChar w:fldCharType="begin"/>
                </w:r>
                <w:r>
                  <w:rPr>
                    <w:rFonts w:ascii="Stone Sans II ITC Std X Bd" w:hAnsi="Stone Sans II ITC Std X Bd"/>
                    <w:b/>
                    <w:w w:val="110"/>
                    <w:sz w:val="24"/>
                  </w:rPr>
                  <w:instrText> PAGE </w:instrText>
                </w:r>
                <w:r>
                  <w:rPr/>
                  <w:fldChar w:fldCharType="separate"/>
                </w:r>
                <w:r>
                  <w:rPr/>
                  <w:t>46</w:t>
                </w:r>
                <w:r>
                  <w:rPr/>
                  <w:fldChar w:fldCharType="end"/>
                </w:r>
                <w:r>
                  <w:rPr>
                    <w:rFonts w:ascii="Stone Sans II ITC Std X Bd" w:hAnsi="Stone Sans II ITC Std X Bd"/>
                    <w:b/>
                    <w:w w:val="110"/>
                    <w:sz w:val="24"/>
                  </w:rPr>
                  <w:t> </w:t>
                </w:r>
                <w:r>
                  <w:rPr>
                    <w:rFonts w:ascii="Symbol" w:hAnsi="Symbol"/>
                    <w:color w:val="7EAABF"/>
                    <w:w w:val="110"/>
                    <w:sz w:val="23"/>
                  </w:rPr>
                  <w:t></w:t>
                </w:r>
                <w:r>
                  <w:rPr>
                    <w:rFonts w:ascii="Times New Roman" w:hAnsi="Times New Roman"/>
                    <w:color w:val="7EAABF"/>
                    <w:w w:val="110"/>
                    <w:sz w:val="23"/>
                  </w:rPr>
                  <w:t> </w:t>
                </w:r>
                <w:r>
                  <w:rPr>
                    <w:color w:val="7EAABF"/>
                    <w:w w:val="110"/>
                    <w:sz w:val="23"/>
                  </w:rPr>
                  <w:t>United Reformed Church </w:t>
                </w:r>
                <w:r>
                  <w:rPr>
                    <w:rFonts w:ascii="Symbol" w:hAnsi="Symbol"/>
                    <w:color w:val="7EAABF"/>
                    <w:w w:val="110"/>
                    <w:sz w:val="23"/>
                  </w:rPr>
                  <w:t></w:t>
                </w:r>
                <w:r>
                  <w:rPr>
                    <w:rFonts w:ascii="Times New Roman" w:hAnsi="Times New Roman"/>
                    <w:color w:val="7EAABF"/>
                    <w:w w:val="110"/>
                    <w:sz w:val="23"/>
                  </w:rPr>
                  <w:t> </w:t>
                </w:r>
                <w:r>
                  <w:rPr>
                    <w:color w:val="7EAABF"/>
                    <w:w w:val="110"/>
                    <w:sz w:val="23"/>
                  </w:rPr>
                  <w:t>General Assembly 2016</w:t>
                </w:r>
              </w:p>
            </w:txbxContent>
          </v:textbox>
          <w10:wrap type="none"/>
        </v:shape>
      </w:pict>
    </w:r>
  </w:p>
</w:ftr>
</file>

<file path=word/footer4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225.139206pt;margin-top:798.53833pt;width:310.8pt;height:17.45pt;mso-position-horizontal-relative:page;mso-position-vertical-relative:page;z-index:-268067840" type="#_x0000_t202" filled="false" stroked="false">
          <v:textbox inset="0,0,0,0">
            <w:txbxContent>
              <w:p>
                <w:pPr>
                  <w:spacing w:before="16"/>
                  <w:ind w:left="20" w:right="0" w:firstLine="0"/>
                  <w:jc w:val="left"/>
                  <w:rPr>
                    <w:rFonts w:ascii="Stone Sans II ITC Std X Bd" w:hAnsi="Stone Sans II ITC Std X Bd"/>
                    <w:b/>
                    <w:sz w:val="24"/>
                  </w:rPr>
                </w:pPr>
                <w:r>
                  <w:rPr>
                    <w:color w:val="7EAABF"/>
                    <w:w w:val="110"/>
                    <w:sz w:val="23"/>
                  </w:rPr>
                  <w:t>United Reformed Church </w:t>
                </w:r>
                <w:r>
                  <w:rPr>
                    <w:rFonts w:ascii="Symbol" w:hAnsi="Symbol"/>
                    <w:color w:val="7EAABF"/>
                    <w:w w:val="110"/>
                    <w:sz w:val="23"/>
                  </w:rPr>
                  <w:t></w:t>
                </w:r>
                <w:r>
                  <w:rPr>
                    <w:rFonts w:ascii="Times New Roman" w:hAnsi="Times New Roman"/>
                    <w:color w:val="7EAABF"/>
                    <w:w w:val="110"/>
                    <w:sz w:val="23"/>
                  </w:rPr>
                  <w:t> </w:t>
                </w:r>
                <w:r>
                  <w:rPr>
                    <w:color w:val="7EAABF"/>
                    <w:w w:val="110"/>
                    <w:sz w:val="23"/>
                  </w:rPr>
                  <w:t>General Assembly 2016 </w:t>
                </w:r>
                <w:r>
                  <w:rPr>
                    <w:rFonts w:ascii="Symbol" w:hAnsi="Symbol"/>
                    <w:color w:val="7EAABF"/>
                    <w:w w:val="110"/>
                    <w:sz w:val="23"/>
                  </w:rPr>
                  <w:t></w:t>
                </w:r>
                <w:r>
                  <w:rPr>
                    <w:rFonts w:ascii="Times New Roman" w:hAnsi="Times New Roman"/>
                    <w:color w:val="7EAABF"/>
                    <w:w w:val="110"/>
                    <w:sz w:val="23"/>
                  </w:rPr>
                  <w:t> </w:t>
                </w:r>
                <w:r>
                  <w:rPr/>
                  <w:fldChar w:fldCharType="begin"/>
                </w:r>
                <w:r>
                  <w:rPr>
                    <w:rFonts w:ascii="Stone Sans II ITC Std X Bd" w:hAnsi="Stone Sans II ITC Std X Bd"/>
                    <w:b/>
                    <w:w w:val="110"/>
                    <w:sz w:val="24"/>
                  </w:rPr>
                  <w:instrText> PAGE </w:instrText>
                </w:r>
                <w:r>
                  <w:rPr/>
                  <w:fldChar w:fldCharType="separate"/>
                </w:r>
                <w:r>
                  <w:rPr/>
                  <w:t>47</w:t>
                </w:r>
                <w:r>
                  <w:rPr/>
                  <w:fldChar w:fldCharType="end"/>
                </w:r>
              </w:p>
            </w:txbxContent>
          </v:textbox>
          <w10:wrap type="none"/>
        </v:shape>
      </w:pict>
    </w:r>
  </w:p>
</w:ftr>
</file>

<file path=word/footer4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59.362202pt;margin-top:798.53833pt;width:311pt;height:17.45pt;mso-position-horizontal-relative:page;mso-position-vertical-relative:page;z-index:-268066816" type="#_x0000_t202" filled="false" stroked="false">
          <v:textbox inset="0,0,0,0">
            <w:txbxContent>
              <w:p>
                <w:pPr>
                  <w:spacing w:before="16"/>
                  <w:ind w:left="60" w:right="0" w:firstLine="0"/>
                  <w:jc w:val="left"/>
                  <w:rPr>
                    <w:sz w:val="23"/>
                  </w:rPr>
                </w:pPr>
                <w:r>
                  <w:rPr/>
                  <w:fldChar w:fldCharType="begin"/>
                </w:r>
                <w:r>
                  <w:rPr>
                    <w:rFonts w:ascii="Stone Sans II ITC Std X Bd" w:hAnsi="Stone Sans II ITC Std X Bd"/>
                    <w:b/>
                    <w:w w:val="110"/>
                    <w:sz w:val="24"/>
                  </w:rPr>
                  <w:instrText> PAGE </w:instrText>
                </w:r>
                <w:r>
                  <w:rPr/>
                  <w:fldChar w:fldCharType="separate"/>
                </w:r>
                <w:r>
                  <w:rPr/>
                  <w:t>48</w:t>
                </w:r>
                <w:r>
                  <w:rPr/>
                  <w:fldChar w:fldCharType="end"/>
                </w:r>
                <w:r>
                  <w:rPr>
                    <w:rFonts w:ascii="Stone Sans II ITC Std X Bd" w:hAnsi="Stone Sans II ITC Std X Bd"/>
                    <w:b/>
                    <w:w w:val="110"/>
                    <w:sz w:val="24"/>
                  </w:rPr>
                  <w:t> </w:t>
                </w:r>
                <w:r>
                  <w:rPr>
                    <w:rFonts w:ascii="Symbol" w:hAnsi="Symbol"/>
                    <w:color w:val="7EAABF"/>
                    <w:w w:val="110"/>
                    <w:sz w:val="23"/>
                  </w:rPr>
                  <w:t></w:t>
                </w:r>
                <w:r>
                  <w:rPr>
                    <w:rFonts w:ascii="Times New Roman" w:hAnsi="Times New Roman"/>
                    <w:color w:val="7EAABF"/>
                    <w:w w:val="110"/>
                    <w:sz w:val="23"/>
                  </w:rPr>
                  <w:t> </w:t>
                </w:r>
                <w:r>
                  <w:rPr>
                    <w:color w:val="7EAABF"/>
                    <w:w w:val="110"/>
                    <w:sz w:val="23"/>
                  </w:rPr>
                  <w:t>United Reformed Church </w:t>
                </w:r>
                <w:r>
                  <w:rPr>
                    <w:rFonts w:ascii="Symbol" w:hAnsi="Symbol"/>
                    <w:color w:val="7EAABF"/>
                    <w:w w:val="110"/>
                    <w:sz w:val="23"/>
                  </w:rPr>
                  <w:t></w:t>
                </w:r>
                <w:r>
                  <w:rPr>
                    <w:rFonts w:ascii="Times New Roman" w:hAnsi="Times New Roman"/>
                    <w:color w:val="7EAABF"/>
                    <w:w w:val="110"/>
                    <w:sz w:val="23"/>
                  </w:rPr>
                  <w:t> </w:t>
                </w:r>
                <w:r>
                  <w:rPr>
                    <w:color w:val="7EAABF"/>
                    <w:w w:val="110"/>
                    <w:sz w:val="23"/>
                  </w:rPr>
                  <w:t>General Assembly 2016</w:t>
                </w:r>
              </w:p>
            </w:txbxContent>
          </v:textbox>
          <w10:wrap type="none"/>
        </v:shape>
      </w:pict>
    </w:r>
  </w:p>
</w:ftr>
</file>

<file path=word/footer4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4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4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224.923203pt;margin-top:798.53833pt;width:311pt;height:17.45pt;mso-position-horizontal-relative:page;mso-position-vertical-relative:page;z-index:-268063744" type="#_x0000_t202" filled="false" stroked="false">
          <v:textbox inset="0,0,0,0">
            <w:txbxContent>
              <w:p>
                <w:pPr>
                  <w:spacing w:before="16"/>
                  <w:ind w:left="20" w:right="0" w:firstLine="0"/>
                  <w:jc w:val="left"/>
                  <w:rPr>
                    <w:rFonts w:ascii="Stone Sans II ITC Std X Bd" w:hAnsi="Stone Sans II ITC Std X Bd"/>
                    <w:b/>
                    <w:sz w:val="24"/>
                  </w:rPr>
                </w:pPr>
                <w:r>
                  <w:rPr>
                    <w:color w:val="7EAABF"/>
                    <w:w w:val="110"/>
                    <w:sz w:val="23"/>
                  </w:rPr>
                  <w:t>United Reformed Church </w:t>
                </w:r>
                <w:r>
                  <w:rPr>
                    <w:rFonts w:ascii="Symbol" w:hAnsi="Symbol"/>
                    <w:color w:val="7EAABF"/>
                    <w:w w:val="110"/>
                    <w:sz w:val="23"/>
                  </w:rPr>
                  <w:t></w:t>
                </w:r>
                <w:r>
                  <w:rPr>
                    <w:rFonts w:ascii="Times New Roman" w:hAnsi="Times New Roman"/>
                    <w:color w:val="7EAABF"/>
                    <w:w w:val="110"/>
                    <w:sz w:val="23"/>
                  </w:rPr>
                  <w:t> </w:t>
                </w:r>
                <w:r>
                  <w:rPr>
                    <w:color w:val="7EAABF"/>
                    <w:w w:val="110"/>
                    <w:sz w:val="23"/>
                  </w:rPr>
                  <w:t>General Assembly 2016 </w:t>
                </w:r>
                <w:r>
                  <w:rPr>
                    <w:rFonts w:ascii="Symbol" w:hAnsi="Symbol"/>
                    <w:color w:val="7EAABF"/>
                    <w:w w:val="110"/>
                    <w:sz w:val="23"/>
                  </w:rPr>
                  <w:t></w:t>
                </w:r>
                <w:r>
                  <w:rPr>
                    <w:rFonts w:ascii="Times New Roman" w:hAnsi="Times New Roman"/>
                    <w:color w:val="7EAABF"/>
                    <w:w w:val="110"/>
                    <w:sz w:val="23"/>
                  </w:rPr>
                  <w:t> </w:t>
                </w:r>
                <w:r>
                  <w:rPr/>
                  <w:fldChar w:fldCharType="begin"/>
                </w:r>
                <w:r>
                  <w:rPr>
                    <w:rFonts w:ascii="Stone Sans II ITC Std X Bd" w:hAnsi="Stone Sans II ITC Std X Bd"/>
                    <w:b/>
                    <w:w w:val="110"/>
                    <w:sz w:val="24"/>
                  </w:rPr>
                  <w:instrText> PAGE </w:instrText>
                </w:r>
                <w:r>
                  <w:rPr/>
                  <w:fldChar w:fldCharType="separate"/>
                </w:r>
                <w:r>
                  <w:rPr/>
                  <w:t>51</w:t>
                </w:r>
                <w:r>
                  <w:rPr/>
                  <w:fldChar w:fldCharType="end"/>
                </w:r>
              </w:p>
            </w:txbxContent>
          </v:textbox>
          <w10:wrap type="none"/>
        </v:shape>
      </w:pict>
    </w:r>
  </w:p>
</w:ftr>
</file>

<file path=word/footer4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4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224.923203pt;margin-top:798.53833pt;width:311pt;height:17.45pt;mso-position-horizontal-relative:page;mso-position-vertical-relative:page;z-index:-268062720" type="#_x0000_t202" filled="false" stroked="false">
          <v:textbox inset="0,0,0,0">
            <w:txbxContent>
              <w:p>
                <w:pPr>
                  <w:spacing w:before="16"/>
                  <w:ind w:left="20" w:right="0" w:firstLine="0"/>
                  <w:jc w:val="left"/>
                  <w:rPr>
                    <w:rFonts w:ascii="Stone Sans II ITC Std X Bd" w:hAnsi="Stone Sans II ITC Std X Bd"/>
                    <w:b/>
                    <w:sz w:val="24"/>
                  </w:rPr>
                </w:pPr>
                <w:r>
                  <w:rPr>
                    <w:color w:val="7EAABF"/>
                    <w:w w:val="110"/>
                    <w:sz w:val="23"/>
                  </w:rPr>
                  <w:t>United Reformed Church </w:t>
                </w:r>
                <w:r>
                  <w:rPr>
                    <w:rFonts w:ascii="Symbol" w:hAnsi="Symbol"/>
                    <w:color w:val="7EAABF"/>
                    <w:w w:val="110"/>
                    <w:sz w:val="23"/>
                  </w:rPr>
                  <w:t></w:t>
                </w:r>
                <w:r>
                  <w:rPr>
                    <w:rFonts w:ascii="Times New Roman" w:hAnsi="Times New Roman"/>
                    <w:color w:val="7EAABF"/>
                    <w:w w:val="110"/>
                    <w:sz w:val="23"/>
                  </w:rPr>
                  <w:t> </w:t>
                </w:r>
                <w:r>
                  <w:rPr>
                    <w:color w:val="7EAABF"/>
                    <w:w w:val="110"/>
                    <w:sz w:val="23"/>
                  </w:rPr>
                  <w:t>General Assembly 2016 </w:t>
                </w:r>
                <w:r>
                  <w:rPr>
                    <w:rFonts w:ascii="Symbol" w:hAnsi="Symbol"/>
                    <w:color w:val="7EAABF"/>
                    <w:w w:val="110"/>
                    <w:sz w:val="23"/>
                  </w:rPr>
                  <w:t></w:t>
                </w:r>
                <w:r>
                  <w:rPr>
                    <w:rFonts w:ascii="Times New Roman" w:hAnsi="Times New Roman"/>
                    <w:color w:val="7EAABF"/>
                    <w:w w:val="110"/>
                    <w:sz w:val="23"/>
                  </w:rPr>
                  <w:t> </w:t>
                </w:r>
                <w:r>
                  <w:rPr/>
                  <w:fldChar w:fldCharType="begin"/>
                </w:r>
                <w:r>
                  <w:rPr>
                    <w:rFonts w:ascii="Stone Sans II ITC Std X Bd" w:hAnsi="Stone Sans II ITC Std X Bd"/>
                    <w:b/>
                    <w:w w:val="110"/>
                    <w:sz w:val="24"/>
                  </w:rPr>
                  <w:instrText> PAGE </w:instrText>
                </w:r>
                <w:r>
                  <w:rPr/>
                  <w:fldChar w:fldCharType="separate"/>
                </w:r>
                <w:r>
                  <w:rPr/>
                  <w:t>53</w:t>
                </w:r>
                <w:r>
                  <w:rPr/>
                  <w:fldChar w:fldCharType="end"/>
                </w:r>
              </w:p>
            </w:txbxContent>
          </v:textbox>
          <w10:wrap type="none"/>
        </v:shape>
      </w:pict>
    </w:r>
  </w:p>
</w:ftr>
</file>

<file path=word/footer4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59.362202pt;margin-top:798.53833pt;width:311.4pt;height:17.45pt;mso-position-horizontal-relative:page;mso-position-vertical-relative:page;z-index:-268103680" type="#_x0000_t202" filled="false" stroked="false">
          <v:textbox inset="0,0,0,0">
            <w:txbxContent>
              <w:p>
                <w:pPr>
                  <w:spacing w:before="16"/>
                  <w:ind w:left="60" w:right="0" w:firstLine="0"/>
                  <w:jc w:val="left"/>
                  <w:rPr>
                    <w:sz w:val="23"/>
                  </w:rPr>
                </w:pPr>
                <w:r>
                  <w:rPr/>
                  <w:fldChar w:fldCharType="begin"/>
                </w:r>
                <w:r>
                  <w:rPr>
                    <w:rFonts w:ascii="Stone Sans II ITC Std X Bd" w:hAnsi="Stone Sans II ITC Std X Bd"/>
                    <w:b/>
                    <w:w w:val="110"/>
                    <w:sz w:val="24"/>
                  </w:rPr>
                  <w:instrText> PAGE </w:instrText>
                </w:r>
                <w:r>
                  <w:rPr/>
                  <w:fldChar w:fldCharType="separate"/>
                </w:r>
                <w:r>
                  <w:rPr/>
                  <w:t>10</w:t>
                </w:r>
                <w:r>
                  <w:rPr/>
                  <w:fldChar w:fldCharType="end"/>
                </w:r>
                <w:r>
                  <w:rPr>
                    <w:rFonts w:ascii="Stone Sans II ITC Std X Bd" w:hAnsi="Stone Sans II ITC Std X Bd"/>
                    <w:b/>
                    <w:w w:val="110"/>
                    <w:sz w:val="24"/>
                  </w:rPr>
                  <w:t> </w:t>
                </w:r>
                <w:r>
                  <w:rPr>
                    <w:rFonts w:ascii="Symbol" w:hAnsi="Symbol"/>
                    <w:color w:val="7EAABF"/>
                    <w:w w:val="110"/>
                    <w:sz w:val="23"/>
                  </w:rPr>
                  <w:t></w:t>
                </w:r>
                <w:r>
                  <w:rPr>
                    <w:rFonts w:ascii="Times New Roman" w:hAnsi="Times New Roman"/>
                    <w:color w:val="7EAABF"/>
                    <w:w w:val="110"/>
                    <w:sz w:val="23"/>
                  </w:rPr>
                  <w:t> </w:t>
                </w:r>
                <w:r>
                  <w:rPr>
                    <w:color w:val="7EAABF"/>
                    <w:w w:val="110"/>
                    <w:sz w:val="23"/>
                  </w:rPr>
                  <w:t>United Reformed Church </w:t>
                </w:r>
                <w:r>
                  <w:rPr>
                    <w:rFonts w:ascii="Symbol" w:hAnsi="Symbol"/>
                    <w:color w:val="7EAABF"/>
                    <w:w w:val="110"/>
                    <w:sz w:val="23"/>
                  </w:rPr>
                  <w:t></w:t>
                </w:r>
                <w:r>
                  <w:rPr>
                    <w:rFonts w:ascii="Times New Roman" w:hAnsi="Times New Roman"/>
                    <w:color w:val="7EAABF"/>
                    <w:w w:val="110"/>
                    <w:sz w:val="23"/>
                  </w:rPr>
                  <w:t> </w:t>
                </w:r>
                <w:r>
                  <w:rPr>
                    <w:color w:val="7EAABF"/>
                    <w:w w:val="110"/>
                    <w:sz w:val="23"/>
                  </w:rPr>
                  <w:t>General Assembly 2016</w:t>
                </w:r>
              </w:p>
            </w:txbxContent>
          </v:textbox>
          <w10:wrap type="none"/>
        </v:shape>
      </w:pict>
    </w:r>
  </w:p>
</w:ftr>
</file>

<file path=word/footer5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224.923203pt;margin-top:798.53833pt;width:311pt;height:17.45pt;mso-position-horizontal-relative:page;mso-position-vertical-relative:page;z-index:-268060672" type="#_x0000_t202" filled="false" stroked="false">
          <v:textbox inset="0,0,0,0">
            <w:txbxContent>
              <w:p>
                <w:pPr>
                  <w:spacing w:before="16"/>
                  <w:ind w:left="20" w:right="0" w:firstLine="0"/>
                  <w:jc w:val="left"/>
                  <w:rPr>
                    <w:rFonts w:ascii="Stone Sans II ITC Std X Bd" w:hAnsi="Stone Sans II ITC Std X Bd"/>
                    <w:b/>
                    <w:sz w:val="24"/>
                  </w:rPr>
                </w:pPr>
                <w:r>
                  <w:rPr>
                    <w:color w:val="7EAABF"/>
                    <w:w w:val="110"/>
                    <w:sz w:val="23"/>
                  </w:rPr>
                  <w:t>United Reformed Church </w:t>
                </w:r>
                <w:r>
                  <w:rPr>
                    <w:rFonts w:ascii="Symbol" w:hAnsi="Symbol"/>
                    <w:color w:val="7EAABF"/>
                    <w:w w:val="110"/>
                    <w:sz w:val="23"/>
                  </w:rPr>
                  <w:t></w:t>
                </w:r>
                <w:r>
                  <w:rPr>
                    <w:rFonts w:ascii="Times New Roman" w:hAnsi="Times New Roman"/>
                    <w:color w:val="7EAABF"/>
                    <w:w w:val="110"/>
                    <w:sz w:val="23"/>
                  </w:rPr>
                  <w:t> </w:t>
                </w:r>
                <w:r>
                  <w:rPr>
                    <w:color w:val="7EAABF"/>
                    <w:w w:val="110"/>
                    <w:sz w:val="23"/>
                  </w:rPr>
                  <w:t>General Assembly 2016 </w:t>
                </w:r>
                <w:r>
                  <w:rPr>
                    <w:rFonts w:ascii="Symbol" w:hAnsi="Symbol"/>
                    <w:color w:val="7EAABF"/>
                    <w:w w:val="110"/>
                    <w:sz w:val="23"/>
                  </w:rPr>
                  <w:t></w:t>
                </w:r>
                <w:r>
                  <w:rPr>
                    <w:rFonts w:ascii="Times New Roman" w:hAnsi="Times New Roman"/>
                    <w:color w:val="7EAABF"/>
                    <w:w w:val="110"/>
                    <w:sz w:val="23"/>
                  </w:rPr>
                  <w:t> </w:t>
                </w:r>
                <w:r>
                  <w:rPr/>
                  <w:fldChar w:fldCharType="begin"/>
                </w:r>
                <w:r>
                  <w:rPr>
                    <w:rFonts w:ascii="Stone Sans II ITC Std X Bd" w:hAnsi="Stone Sans II ITC Std X Bd"/>
                    <w:b/>
                    <w:w w:val="110"/>
                    <w:sz w:val="24"/>
                  </w:rPr>
                  <w:instrText> PAGE </w:instrText>
                </w:r>
                <w:r>
                  <w:rPr/>
                  <w:fldChar w:fldCharType="separate"/>
                </w:r>
                <w:r>
                  <w:rPr/>
                  <w:t>55</w:t>
                </w:r>
                <w:r>
                  <w:rPr/>
                  <w:fldChar w:fldCharType="end"/>
                </w:r>
              </w:p>
            </w:txbxContent>
          </v:textbox>
          <w10:wrap type="none"/>
        </v:shape>
      </w:pict>
    </w:r>
  </w:p>
</w:ftr>
</file>

<file path=word/footer5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59.362202pt;margin-top:798.53833pt;width:311pt;height:17.45pt;mso-position-horizontal-relative:page;mso-position-vertical-relative:page;z-index:-268059648" type="#_x0000_t202" filled="false" stroked="false">
          <v:textbox inset="0,0,0,0">
            <w:txbxContent>
              <w:p>
                <w:pPr>
                  <w:spacing w:before="16"/>
                  <w:ind w:left="60" w:right="0" w:firstLine="0"/>
                  <w:jc w:val="left"/>
                  <w:rPr>
                    <w:sz w:val="23"/>
                  </w:rPr>
                </w:pPr>
                <w:r>
                  <w:rPr/>
                  <w:fldChar w:fldCharType="begin"/>
                </w:r>
                <w:r>
                  <w:rPr>
                    <w:rFonts w:ascii="Stone Sans II ITC Std X Bd" w:hAnsi="Stone Sans II ITC Std X Bd"/>
                    <w:b/>
                    <w:w w:val="110"/>
                    <w:sz w:val="24"/>
                  </w:rPr>
                  <w:instrText> PAGE </w:instrText>
                </w:r>
                <w:r>
                  <w:rPr/>
                  <w:fldChar w:fldCharType="separate"/>
                </w:r>
                <w:r>
                  <w:rPr/>
                  <w:t>56</w:t>
                </w:r>
                <w:r>
                  <w:rPr/>
                  <w:fldChar w:fldCharType="end"/>
                </w:r>
                <w:r>
                  <w:rPr>
                    <w:rFonts w:ascii="Stone Sans II ITC Std X Bd" w:hAnsi="Stone Sans II ITC Std X Bd"/>
                    <w:b/>
                    <w:w w:val="110"/>
                    <w:sz w:val="24"/>
                  </w:rPr>
                  <w:t> </w:t>
                </w:r>
                <w:r>
                  <w:rPr>
                    <w:rFonts w:ascii="Symbol" w:hAnsi="Symbol"/>
                    <w:color w:val="7EAABF"/>
                    <w:w w:val="110"/>
                    <w:sz w:val="23"/>
                  </w:rPr>
                  <w:t></w:t>
                </w:r>
                <w:r>
                  <w:rPr>
                    <w:rFonts w:ascii="Times New Roman" w:hAnsi="Times New Roman"/>
                    <w:color w:val="7EAABF"/>
                    <w:w w:val="110"/>
                    <w:sz w:val="23"/>
                  </w:rPr>
                  <w:t> </w:t>
                </w:r>
                <w:r>
                  <w:rPr>
                    <w:color w:val="7EAABF"/>
                    <w:w w:val="110"/>
                    <w:sz w:val="23"/>
                  </w:rPr>
                  <w:t>United Reformed Church </w:t>
                </w:r>
                <w:r>
                  <w:rPr>
                    <w:rFonts w:ascii="Symbol" w:hAnsi="Symbol"/>
                    <w:color w:val="7EAABF"/>
                    <w:w w:val="110"/>
                    <w:sz w:val="23"/>
                  </w:rPr>
                  <w:t></w:t>
                </w:r>
                <w:r>
                  <w:rPr>
                    <w:rFonts w:ascii="Times New Roman" w:hAnsi="Times New Roman"/>
                    <w:color w:val="7EAABF"/>
                    <w:w w:val="110"/>
                    <w:sz w:val="23"/>
                  </w:rPr>
                  <w:t> </w:t>
                </w:r>
                <w:r>
                  <w:rPr>
                    <w:color w:val="7EAABF"/>
                    <w:w w:val="110"/>
                    <w:sz w:val="23"/>
                  </w:rPr>
                  <w:t>General Assembly 2016</w:t>
                </w:r>
              </w:p>
            </w:txbxContent>
          </v:textbox>
          <w10:wrap type="none"/>
        </v:shape>
      </w:pict>
    </w:r>
  </w:p>
</w:ftr>
</file>

<file path=word/footer5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224.923203pt;margin-top:798.53833pt;width:311pt;height:17.45pt;mso-position-horizontal-relative:page;mso-position-vertical-relative:page;z-index:-268058624" type="#_x0000_t202" filled="false" stroked="false">
          <v:textbox inset="0,0,0,0">
            <w:txbxContent>
              <w:p>
                <w:pPr>
                  <w:spacing w:before="16"/>
                  <w:ind w:left="20" w:right="0" w:firstLine="0"/>
                  <w:jc w:val="left"/>
                  <w:rPr>
                    <w:rFonts w:ascii="Stone Sans II ITC Std X Bd" w:hAnsi="Stone Sans II ITC Std X Bd"/>
                    <w:b/>
                    <w:sz w:val="24"/>
                  </w:rPr>
                </w:pPr>
                <w:r>
                  <w:rPr>
                    <w:color w:val="7EAABF"/>
                    <w:w w:val="110"/>
                    <w:sz w:val="23"/>
                  </w:rPr>
                  <w:t>United Reformed Church </w:t>
                </w:r>
                <w:r>
                  <w:rPr>
                    <w:rFonts w:ascii="Symbol" w:hAnsi="Symbol"/>
                    <w:color w:val="7EAABF"/>
                    <w:w w:val="110"/>
                    <w:sz w:val="23"/>
                  </w:rPr>
                  <w:t></w:t>
                </w:r>
                <w:r>
                  <w:rPr>
                    <w:rFonts w:ascii="Times New Roman" w:hAnsi="Times New Roman"/>
                    <w:color w:val="7EAABF"/>
                    <w:w w:val="110"/>
                    <w:sz w:val="23"/>
                  </w:rPr>
                  <w:t> </w:t>
                </w:r>
                <w:r>
                  <w:rPr>
                    <w:color w:val="7EAABF"/>
                    <w:w w:val="110"/>
                    <w:sz w:val="23"/>
                  </w:rPr>
                  <w:t>General Assembly 2016 </w:t>
                </w:r>
                <w:r>
                  <w:rPr>
                    <w:rFonts w:ascii="Symbol" w:hAnsi="Symbol"/>
                    <w:color w:val="7EAABF"/>
                    <w:w w:val="110"/>
                    <w:sz w:val="23"/>
                  </w:rPr>
                  <w:t></w:t>
                </w:r>
                <w:r>
                  <w:rPr>
                    <w:rFonts w:ascii="Times New Roman" w:hAnsi="Times New Roman"/>
                    <w:color w:val="7EAABF"/>
                    <w:w w:val="110"/>
                    <w:sz w:val="23"/>
                  </w:rPr>
                  <w:t> </w:t>
                </w:r>
                <w:r>
                  <w:rPr/>
                  <w:fldChar w:fldCharType="begin"/>
                </w:r>
                <w:r>
                  <w:rPr>
                    <w:rFonts w:ascii="Stone Sans II ITC Std X Bd" w:hAnsi="Stone Sans II ITC Std X Bd"/>
                    <w:b/>
                    <w:w w:val="110"/>
                    <w:sz w:val="24"/>
                  </w:rPr>
                  <w:instrText> PAGE </w:instrText>
                </w:r>
                <w:r>
                  <w:rPr/>
                  <w:fldChar w:fldCharType="separate"/>
                </w:r>
                <w:r>
                  <w:rPr/>
                  <w:t>57</w:t>
                </w:r>
                <w:r>
                  <w:rPr/>
                  <w:fldChar w:fldCharType="end"/>
                </w:r>
              </w:p>
            </w:txbxContent>
          </v:textbox>
          <w10:wrap type="none"/>
        </v:shape>
      </w:pict>
    </w:r>
  </w:p>
</w:ftr>
</file>

<file path=word/footer5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59.362202pt;margin-top:798.53833pt;width:311pt;height:17.45pt;mso-position-horizontal-relative:page;mso-position-vertical-relative:page;z-index:-268057600" type="#_x0000_t202" filled="false" stroked="false">
          <v:textbox inset="0,0,0,0">
            <w:txbxContent>
              <w:p>
                <w:pPr>
                  <w:spacing w:before="16"/>
                  <w:ind w:left="60" w:right="0" w:firstLine="0"/>
                  <w:jc w:val="left"/>
                  <w:rPr>
                    <w:sz w:val="23"/>
                  </w:rPr>
                </w:pPr>
                <w:r>
                  <w:rPr/>
                  <w:fldChar w:fldCharType="begin"/>
                </w:r>
                <w:r>
                  <w:rPr>
                    <w:rFonts w:ascii="Stone Sans II ITC Std X Bd" w:hAnsi="Stone Sans II ITC Std X Bd"/>
                    <w:b/>
                    <w:w w:val="110"/>
                    <w:sz w:val="24"/>
                  </w:rPr>
                  <w:instrText> PAGE </w:instrText>
                </w:r>
                <w:r>
                  <w:rPr/>
                  <w:fldChar w:fldCharType="separate"/>
                </w:r>
                <w:r>
                  <w:rPr/>
                  <w:t>58</w:t>
                </w:r>
                <w:r>
                  <w:rPr/>
                  <w:fldChar w:fldCharType="end"/>
                </w:r>
                <w:r>
                  <w:rPr>
                    <w:rFonts w:ascii="Stone Sans II ITC Std X Bd" w:hAnsi="Stone Sans II ITC Std X Bd"/>
                    <w:b/>
                    <w:w w:val="110"/>
                    <w:sz w:val="24"/>
                  </w:rPr>
                  <w:t> </w:t>
                </w:r>
                <w:r>
                  <w:rPr>
                    <w:rFonts w:ascii="Symbol" w:hAnsi="Symbol"/>
                    <w:color w:val="7EAABF"/>
                    <w:w w:val="110"/>
                    <w:sz w:val="23"/>
                  </w:rPr>
                  <w:t></w:t>
                </w:r>
                <w:r>
                  <w:rPr>
                    <w:rFonts w:ascii="Times New Roman" w:hAnsi="Times New Roman"/>
                    <w:color w:val="7EAABF"/>
                    <w:w w:val="110"/>
                    <w:sz w:val="23"/>
                  </w:rPr>
                  <w:t> </w:t>
                </w:r>
                <w:r>
                  <w:rPr>
                    <w:color w:val="7EAABF"/>
                    <w:w w:val="110"/>
                    <w:sz w:val="23"/>
                  </w:rPr>
                  <w:t>United Reformed Church </w:t>
                </w:r>
                <w:r>
                  <w:rPr>
                    <w:rFonts w:ascii="Symbol" w:hAnsi="Symbol"/>
                    <w:color w:val="7EAABF"/>
                    <w:w w:val="110"/>
                    <w:sz w:val="23"/>
                  </w:rPr>
                  <w:t></w:t>
                </w:r>
                <w:r>
                  <w:rPr>
                    <w:rFonts w:ascii="Times New Roman" w:hAnsi="Times New Roman"/>
                    <w:color w:val="7EAABF"/>
                    <w:w w:val="110"/>
                    <w:sz w:val="23"/>
                  </w:rPr>
                  <w:t> </w:t>
                </w:r>
                <w:r>
                  <w:rPr>
                    <w:color w:val="7EAABF"/>
                    <w:w w:val="110"/>
                    <w:sz w:val="23"/>
                  </w:rPr>
                  <w:t>General Assembly 2016</w:t>
                </w:r>
              </w:p>
            </w:txbxContent>
          </v:textbox>
          <w10:wrap type="none"/>
        </v:shape>
      </w:pict>
    </w:r>
  </w:p>
</w:ftr>
</file>

<file path=word/footer5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224.923203pt;margin-top:798.53833pt;width:311pt;height:17.45pt;mso-position-horizontal-relative:page;mso-position-vertical-relative:page;z-index:-268056576" type="#_x0000_t202" filled="false" stroked="false">
          <v:textbox inset="0,0,0,0">
            <w:txbxContent>
              <w:p>
                <w:pPr>
                  <w:spacing w:before="16"/>
                  <w:ind w:left="20" w:right="0" w:firstLine="0"/>
                  <w:jc w:val="left"/>
                  <w:rPr>
                    <w:rFonts w:ascii="Stone Sans II ITC Std X Bd" w:hAnsi="Stone Sans II ITC Std X Bd"/>
                    <w:b/>
                    <w:sz w:val="24"/>
                  </w:rPr>
                </w:pPr>
                <w:r>
                  <w:rPr>
                    <w:color w:val="7EAABF"/>
                    <w:w w:val="110"/>
                    <w:sz w:val="23"/>
                  </w:rPr>
                  <w:t>United Reformed Church </w:t>
                </w:r>
                <w:r>
                  <w:rPr>
                    <w:rFonts w:ascii="Symbol" w:hAnsi="Symbol"/>
                    <w:color w:val="7EAABF"/>
                    <w:w w:val="110"/>
                    <w:sz w:val="23"/>
                  </w:rPr>
                  <w:t></w:t>
                </w:r>
                <w:r>
                  <w:rPr>
                    <w:rFonts w:ascii="Times New Roman" w:hAnsi="Times New Roman"/>
                    <w:color w:val="7EAABF"/>
                    <w:w w:val="110"/>
                    <w:sz w:val="23"/>
                  </w:rPr>
                  <w:t> </w:t>
                </w:r>
                <w:r>
                  <w:rPr>
                    <w:color w:val="7EAABF"/>
                    <w:w w:val="110"/>
                    <w:sz w:val="23"/>
                  </w:rPr>
                  <w:t>General Assembly 2016 </w:t>
                </w:r>
                <w:r>
                  <w:rPr>
                    <w:rFonts w:ascii="Symbol" w:hAnsi="Symbol"/>
                    <w:color w:val="7EAABF"/>
                    <w:w w:val="110"/>
                    <w:sz w:val="23"/>
                  </w:rPr>
                  <w:t></w:t>
                </w:r>
                <w:r>
                  <w:rPr>
                    <w:rFonts w:ascii="Times New Roman" w:hAnsi="Times New Roman"/>
                    <w:color w:val="7EAABF"/>
                    <w:w w:val="110"/>
                    <w:sz w:val="23"/>
                  </w:rPr>
                  <w:t> </w:t>
                </w:r>
                <w:r>
                  <w:rPr/>
                  <w:fldChar w:fldCharType="begin"/>
                </w:r>
                <w:r>
                  <w:rPr>
                    <w:rFonts w:ascii="Stone Sans II ITC Std X Bd" w:hAnsi="Stone Sans II ITC Std X Bd"/>
                    <w:b/>
                    <w:w w:val="110"/>
                    <w:sz w:val="24"/>
                  </w:rPr>
                  <w:instrText> PAGE </w:instrText>
                </w:r>
                <w:r>
                  <w:rPr/>
                  <w:fldChar w:fldCharType="separate"/>
                </w:r>
                <w:r>
                  <w:rPr/>
                  <w:t>59</w:t>
                </w:r>
                <w:r>
                  <w:rPr/>
                  <w:fldChar w:fldCharType="end"/>
                </w:r>
              </w:p>
            </w:txbxContent>
          </v:textbox>
          <w10:wrap type="none"/>
        </v:shape>
      </w:pict>
    </w:r>
  </w:p>
</w:ftr>
</file>

<file path=word/footer5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5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224.923203pt;margin-top:798.53833pt;width:311pt;height:17.45pt;mso-position-horizontal-relative:page;mso-position-vertical-relative:page;z-index:-268054528" type="#_x0000_t202" filled="false" stroked="false">
          <v:textbox inset="0,0,0,0">
            <w:txbxContent>
              <w:p>
                <w:pPr>
                  <w:spacing w:before="16"/>
                  <w:ind w:left="20" w:right="0" w:firstLine="0"/>
                  <w:jc w:val="left"/>
                  <w:rPr>
                    <w:rFonts w:ascii="Stone Sans II ITC Std X Bd" w:hAnsi="Stone Sans II ITC Std X Bd"/>
                    <w:b/>
                    <w:sz w:val="24"/>
                  </w:rPr>
                </w:pPr>
                <w:r>
                  <w:rPr>
                    <w:color w:val="7EAABF"/>
                    <w:w w:val="110"/>
                    <w:sz w:val="23"/>
                  </w:rPr>
                  <w:t>United Reformed Church </w:t>
                </w:r>
                <w:r>
                  <w:rPr>
                    <w:rFonts w:ascii="Symbol" w:hAnsi="Symbol"/>
                    <w:color w:val="7EAABF"/>
                    <w:w w:val="110"/>
                    <w:sz w:val="23"/>
                  </w:rPr>
                  <w:t></w:t>
                </w:r>
                <w:r>
                  <w:rPr>
                    <w:rFonts w:ascii="Times New Roman" w:hAnsi="Times New Roman"/>
                    <w:color w:val="7EAABF"/>
                    <w:w w:val="110"/>
                    <w:sz w:val="23"/>
                  </w:rPr>
                  <w:t> </w:t>
                </w:r>
                <w:r>
                  <w:rPr>
                    <w:color w:val="7EAABF"/>
                    <w:w w:val="110"/>
                    <w:sz w:val="23"/>
                  </w:rPr>
                  <w:t>General Assembly 2016 </w:t>
                </w:r>
                <w:r>
                  <w:rPr>
                    <w:rFonts w:ascii="Symbol" w:hAnsi="Symbol"/>
                    <w:color w:val="7EAABF"/>
                    <w:w w:val="110"/>
                    <w:sz w:val="23"/>
                  </w:rPr>
                  <w:t></w:t>
                </w:r>
                <w:r>
                  <w:rPr>
                    <w:rFonts w:ascii="Times New Roman" w:hAnsi="Times New Roman"/>
                    <w:color w:val="7EAABF"/>
                    <w:w w:val="110"/>
                    <w:sz w:val="23"/>
                  </w:rPr>
                  <w:t> </w:t>
                </w:r>
                <w:r>
                  <w:rPr/>
                  <w:fldChar w:fldCharType="begin"/>
                </w:r>
                <w:r>
                  <w:rPr>
                    <w:rFonts w:ascii="Stone Sans II ITC Std X Bd" w:hAnsi="Stone Sans II ITC Std X Bd"/>
                    <w:b/>
                    <w:w w:val="110"/>
                    <w:sz w:val="24"/>
                  </w:rPr>
                  <w:instrText> PAGE </w:instrText>
                </w:r>
                <w:r>
                  <w:rPr/>
                  <w:fldChar w:fldCharType="separate"/>
                </w:r>
                <w:r>
                  <w:rPr/>
                  <w:t>61</w:t>
                </w:r>
                <w:r>
                  <w:rPr/>
                  <w:fldChar w:fldCharType="end"/>
                </w:r>
              </w:p>
            </w:txbxContent>
          </v:textbox>
          <w10:wrap type="none"/>
        </v:shape>
      </w:pict>
    </w:r>
  </w:p>
</w:ftr>
</file>

<file path=word/footer5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59.362202pt;margin-top:798.53833pt;width:311pt;height:17.45pt;mso-position-horizontal-relative:page;mso-position-vertical-relative:page;z-index:-268053504" type="#_x0000_t202" filled="false" stroked="false">
          <v:textbox inset="0,0,0,0">
            <w:txbxContent>
              <w:p>
                <w:pPr>
                  <w:spacing w:before="16"/>
                  <w:ind w:left="60" w:right="0" w:firstLine="0"/>
                  <w:jc w:val="left"/>
                  <w:rPr>
                    <w:sz w:val="23"/>
                  </w:rPr>
                </w:pPr>
                <w:r>
                  <w:rPr/>
                  <w:fldChar w:fldCharType="begin"/>
                </w:r>
                <w:r>
                  <w:rPr>
                    <w:rFonts w:ascii="Stone Sans II ITC Std X Bd" w:hAnsi="Stone Sans II ITC Std X Bd"/>
                    <w:b/>
                    <w:w w:val="110"/>
                    <w:sz w:val="24"/>
                  </w:rPr>
                  <w:instrText> PAGE </w:instrText>
                </w:r>
                <w:r>
                  <w:rPr/>
                  <w:fldChar w:fldCharType="separate"/>
                </w:r>
                <w:r>
                  <w:rPr/>
                  <w:t>62</w:t>
                </w:r>
                <w:r>
                  <w:rPr/>
                  <w:fldChar w:fldCharType="end"/>
                </w:r>
                <w:r>
                  <w:rPr>
                    <w:rFonts w:ascii="Stone Sans II ITC Std X Bd" w:hAnsi="Stone Sans II ITC Std X Bd"/>
                    <w:b/>
                    <w:w w:val="110"/>
                    <w:sz w:val="24"/>
                  </w:rPr>
                  <w:t> </w:t>
                </w:r>
                <w:r>
                  <w:rPr>
                    <w:rFonts w:ascii="Symbol" w:hAnsi="Symbol"/>
                    <w:color w:val="7EAABF"/>
                    <w:w w:val="110"/>
                    <w:sz w:val="23"/>
                  </w:rPr>
                  <w:t></w:t>
                </w:r>
                <w:r>
                  <w:rPr>
                    <w:rFonts w:ascii="Times New Roman" w:hAnsi="Times New Roman"/>
                    <w:color w:val="7EAABF"/>
                    <w:w w:val="110"/>
                    <w:sz w:val="23"/>
                  </w:rPr>
                  <w:t> </w:t>
                </w:r>
                <w:r>
                  <w:rPr>
                    <w:color w:val="7EAABF"/>
                    <w:w w:val="110"/>
                    <w:sz w:val="23"/>
                  </w:rPr>
                  <w:t>United Reformed Church </w:t>
                </w:r>
                <w:r>
                  <w:rPr>
                    <w:rFonts w:ascii="Symbol" w:hAnsi="Symbol"/>
                    <w:color w:val="7EAABF"/>
                    <w:w w:val="110"/>
                    <w:sz w:val="23"/>
                  </w:rPr>
                  <w:t></w:t>
                </w:r>
                <w:r>
                  <w:rPr>
                    <w:rFonts w:ascii="Times New Roman" w:hAnsi="Times New Roman"/>
                    <w:color w:val="7EAABF"/>
                    <w:w w:val="110"/>
                    <w:sz w:val="23"/>
                  </w:rPr>
                  <w:t> </w:t>
                </w:r>
                <w:r>
                  <w:rPr>
                    <w:color w:val="7EAABF"/>
                    <w:w w:val="110"/>
                    <w:sz w:val="23"/>
                  </w:rPr>
                  <w:t>General Assembly 2016</w:t>
                </w:r>
              </w:p>
            </w:txbxContent>
          </v:textbox>
          <w10:wrap type="none"/>
        </v:shape>
      </w:pict>
    </w:r>
  </w:p>
</w:ftr>
</file>

<file path=word/footer5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224.923203pt;margin-top:798.53833pt;width:311pt;height:17.45pt;mso-position-horizontal-relative:page;mso-position-vertical-relative:page;z-index:-268052480" type="#_x0000_t202" filled="false" stroked="false">
          <v:textbox inset="0,0,0,0">
            <w:txbxContent>
              <w:p>
                <w:pPr>
                  <w:spacing w:before="16"/>
                  <w:ind w:left="20" w:right="0" w:firstLine="0"/>
                  <w:jc w:val="left"/>
                  <w:rPr>
                    <w:rFonts w:ascii="Stone Sans II ITC Std X Bd" w:hAnsi="Stone Sans II ITC Std X Bd"/>
                    <w:b/>
                    <w:sz w:val="24"/>
                  </w:rPr>
                </w:pPr>
                <w:r>
                  <w:rPr>
                    <w:color w:val="7EAABF"/>
                    <w:w w:val="110"/>
                    <w:sz w:val="23"/>
                  </w:rPr>
                  <w:t>United Reformed Church </w:t>
                </w:r>
                <w:r>
                  <w:rPr>
                    <w:rFonts w:ascii="Symbol" w:hAnsi="Symbol"/>
                    <w:color w:val="7EAABF"/>
                    <w:w w:val="110"/>
                    <w:sz w:val="23"/>
                  </w:rPr>
                  <w:t></w:t>
                </w:r>
                <w:r>
                  <w:rPr>
                    <w:rFonts w:ascii="Times New Roman" w:hAnsi="Times New Roman"/>
                    <w:color w:val="7EAABF"/>
                    <w:w w:val="110"/>
                    <w:sz w:val="23"/>
                  </w:rPr>
                  <w:t> </w:t>
                </w:r>
                <w:r>
                  <w:rPr>
                    <w:color w:val="7EAABF"/>
                    <w:w w:val="110"/>
                    <w:sz w:val="23"/>
                  </w:rPr>
                  <w:t>General Assembly 2016 </w:t>
                </w:r>
                <w:r>
                  <w:rPr>
                    <w:rFonts w:ascii="Symbol" w:hAnsi="Symbol"/>
                    <w:color w:val="7EAABF"/>
                    <w:w w:val="110"/>
                    <w:sz w:val="23"/>
                  </w:rPr>
                  <w:t></w:t>
                </w:r>
                <w:r>
                  <w:rPr>
                    <w:rFonts w:ascii="Times New Roman" w:hAnsi="Times New Roman"/>
                    <w:color w:val="7EAABF"/>
                    <w:w w:val="110"/>
                    <w:sz w:val="23"/>
                  </w:rPr>
                  <w:t> </w:t>
                </w:r>
                <w:r>
                  <w:rPr/>
                  <w:fldChar w:fldCharType="begin"/>
                </w:r>
                <w:r>
                  <w:rPr>
                    <w:rFonts w:ascii="Stone Sans II ITC Std X Bd" w:hAnsi="Stone Sans II ITC Std X Bd"/>
                    <w:b/>
                    <w:w w:val="110"/>
                    <w:sz w:val="24"/>
                  </w:rPr>
                  <w:instrText> PAGE </w:instrText>
                </w:r>
                <w:r>
                  <w:rPr/>
                  <w:fldChar w:fldCharType="separate"/>
                </w:r>
                <w:r>
                  <w:rPr/>
                  <w:t>63</w:t>
                </w:r>
                <w:r>
                  <w:rPr/>
                  <w:fldChar w:fldCharType="end"/>
                </w:r>
              </w:p>
            </w:txbxContent>
          </v:textbox>
          <w10:wrap type="none"/>
        </v:shape>
      </w:pict>
    </w:r>
  </w:p>
</w:ftr>
</file>

<file path=word/footer5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59.362202pt;margin-top:798.53833pt;width:311pt;height:17.45pt;mso-position-horizontal-relative:page;mso-position-vertical-relative:page;z-index:-268051456" type="#_x0000_t202" filled="false" stroked="false">
          <v:textbox inset="0,0,0,0">
            <w:txbxContent>
              <w:p>
                <w:pPr>
                  <w:spacing w:before="16"/>
                  <w:ind w:left="60" w:right="0" w:firstLine="0"/>
                  <w:jc w:val="left"/>
                  <w:rPr>
                    <w:sz w:val="23"/>
                  </w:rPr>
                </w:pPr>
                <w:r>
                  <w:rPr/>
                  <w:fldChar w:fldCharType="begin"/>
                </w:r>
                <w:r>
                  <w:rPr>
                    <w:rFonts w:ascii="Stone Sans II ITC Std X Bd" w:hAnsi="Stone Sans II ITC Std X Bd"/>
                    <w:b/>
                    <w:w w:val="110"/>
                    <w:sz w:val="24"/>
                  </w:rPr>
                  <w:instrText> PAGE </w:instrText>
                </w:r>
                <w:r>
                  <w:rPr/>
                  <w:fldChar w:fldCharType="separate"/>
                </w:r>
                <w:r>
                  <w:rPr/>
                  <w:t>64</w:t>
                </w:r>
                <w:r>
                  <w:rPr/>
                  <w:fldChar w:fldCharType="end"/>
                </w:r>
                <w:r>
                  <w:rPr>
                    <w:rFonts w:ascii="Stone Sans II ITC Std X Bd" w:hAnsi="Stone Sans II ITC Std X Bd"/>
                    <w:b/>
                    <w:w w:val="110"/>
                    <w:sz w:val="24"/>
                  </w:rPr>
                  <w:t> </w:t>
                </w:r>
                <w:r>
                  <w:rPr>
                    <w:rFonts w:ascii="Symbol" w:hAnsi="Symbol"/>
                    <w:color w:val="7EAABF"/>
                    <w:w w:val="110"/>
                    <w:sz w:val="23"/>
                  </w:rPr>
                  <w:t></w:t>
                </w:r>
                <w:r>
                  <w:rPr>
                    <w:rFonts w:ascii="Times New Roman" w:hAnsi="Times New Roman"/>
                    <w:color w:val="7EAABF"/>
                    <w:w w:val="110"/>
                    <w:sz w:val="23"/>
                  </w:rPr>
                  <w:t> </w:t>
                </w:r>
                <w:r>
                  <w:rPr>
                    <w:color w:val="7EAABF"/>
                    <w:w w:val="110"/>
                    <w:sz w:val="23"/>
                  </w:rPr>
                  <w:t>United Reformed Church </w:t>
                </w:r>
                <w:r>
                  <w:rPr>
                    <w:rFonts w:ascii="Symbol" w:hAnsi="Symbol"/>
                    <w:color w:val="7EAABF"/>
                    <w:w w:val="110"/>
                    <w:sz w:val="23"/>
                  </w:rPr>
                  <w:t></w:t>
                </w:r>
                <w:r>
                  <w:rPr>
                    <w:rFonts w:ascii="Times New Roman" w:hAnsi="Times New Roman"/>
                    <w:color w:val="7EAABF"/>
                    <w:w w:val="110"/>
                    <w:sz w:val="23"/>
                  </w:rPr>
                  <w:t> </w:t>
                </w:r>
                <w:r>
                  <w:rPr>
                    <w:color w:val="7EAABF"/>
                    <w:w w:val="110"/>
                    <w:sz w:val="23"/>
                  </w:rPr>
                  <w:t>General Assembly 2016</w:t>
                </w:r>
              </w:p>
            </w:txbxContent>
          </v:textbox>
          <w10:wrap type="none"/>
        </v:shape>
      </w:pict>
    </w:r>
  </w:p>
</w:ftr>
</file>

<file path=word/footer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6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224.923203pt;margin-top:798.53833pt;width:311pt;height:17.45pt;mso-position-horizontal-relative:page;mso-position-vertical-relative:page;z-index:-268050432" type="#_x0000_t202" filled="false" stroked="false">
          <v:textbox inset="0,0,0,0">
            <w:txbxContent>
              <w:p>
                <w:pPr>
                  <w:spacing w:before="16"/>
                  <w:ind w:left="20" w:right="0" w:firstLine="0"/>
                  <w:jc w:val="left"/>
                  <w:rPr>
                    <w:rFonts w:ascii="Stone Sans II ITC Std X Bd" w:hAnsi="Stone Sans II ITC Std X Bd"/>
                    <w:b/>
                    <w:sz w:val="24"/>
                  </w:rPr>
                </w:pPr>
                <w:r>
                  <w:rPr>
                    <w:color w:val="7EAABF"/>
                    <w:w w:val="110"/>
                    <w:sz w:val="23"/>
                  </w:rPr>
                  <w:t>United Reformed Church </w:t>
                </w:r>
                <w:r>
                  <w:rPr>
                    <w:rFonts w:ascii="Symbol" w:hAnsi="Symbol"/>
                    <w:color w:val="7EAABF"/>
                    <w:w w:val="110"/>
                    <w:sz w:val="23"/>
                  </w:rPr>
                  <w:t></w:t>
                </w:r>
                <w:r>
                  <w:rPr>
                    <w:rFonts w:ascii="Times New Roman" w:hAnsi="Times New Roman"/>
                    <w:color w:val="7EAABF"/>
                    <w:w w:val="110"/>
                    <w:sz w:val="23"/>
                  </w:rPr>
                  <w:t> </w:t>
                </w:r>
                <w:r>
                  <w:rPr>
                    <w:color w:val="7EAABF"/>
                    <w:w w:val="110"/>
                    <w:sz w:val="23"/>
                  </w:rPr>
                  <w:t>General Assembly 2016 </w:t>
                </w:r>
                <w:r>
                  <w:rPr>
                    <w:rFonts w:ascii="Symbol" w:hAnsi="Symbol"/>
                    <w:color w:val="7EAABF"/>
                    <w:w w:val="110"/>
                    <w:sz w:val="23"/>
                  </w:rPr>
                  <w:t></w:t>
                </w:r>
                <w:r>
                  <w:rPr>
                    <w:rFonts w:ascii="Times New Roman" w:hAnsi="Times New Roman"/>
                    <w:color w:val="7EAABF"/>
                    <w:w w:val="110"/>
                    <w:sz w:val="23"/>
                  </w:rPr>
                  <w:t> </w:t>
                </w:r>
                <w:r>
                  <w:rPr/>
                  <w:fldChar w:fldCharType="begin"/>
                </w:r>
                <w:r>
                  <w:rPr>
                    <w:rFonts w:ascii="Stone Sans II ITC Std X Bd" w:hAnsi="Stone Sans II ITC Std X Bd"/>
                    <w:b/>
                    <w:w w:val="110"/>
                    <w:sz w:val="24"/>
                  </w:rPr>
                  <w:instrText> PAGE </w:instrText>
                </w:r>
                <w:r>
                  <w:rPr/>
                  <w:fldChar w:fldCharType="separate"/>
                </w:r>
                <w:r>
                  <w:rPr/>
                  <w:t>65</w:t>
                </w:r>
                <w:r>
                  <w:rPr/>
                  <w:fldChar w:fldCharType="end"/>
                </w:r>
              </w:p>
            </w:txbxContent>
          </v:textbox>
          <w10:wrap type="none"/>
        </v:shape>
      </w:pict>
    </w:r>
  </w:p>
</w:ftr>
</file>

<file path=word/footer6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6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224.923203pt;margin-top:798.53833pt;width:311pt;height:17.45pt;mso-position-horizontal-relative:page;mso-position-vertical-relative:page;z-index:-268048384" type="#_x0000_t202" filled="false" stroked="false">
          <v:textbox inset="0,0,0,0">
            <w:txbxContent>
              <w:p>
                <w:pPr>
                  <w:spacing w:before="16"/>
                  <w:ind w:left="20" w:right="0" w:firstLine="0"/>
                  <w:jc w:val="left"/>
                  <w:rPr>
                    <w:rFonts w:ascii="Stone Sans II ITC Std X Bd" w:hAnsi="Stone Sans II ITC Std X Bd"/>
                    <w:b/>
                    <w:sz w:val="24"/>
                  </w:rPr>
                </w:pPr>
                <w:r>
                  <w:rPr>
                    <w:color w:val="7EAABF"/>
                    <w:w w:val="110"/>
                    <w:sz w:val="23"/>
                  </w:rPr>
                  <w:t>United Reformed Church </w:t>
                </w:r>
                <w:r>
                  <w:rPr>
                    <w:rFonts w:ascii="Symbol" w:hAnsi="Symbol"/>
                    <w:color w:val="7EAABF"/>
                    <w:w w:val="110"/>
                    <w:sz w:val="23"/>
                  </w:rPr>
                  <w:t></w:t>
                </w:r>
                <w:r>
                  <w:rPr>
                    <w:rFonts w:ascii="Times New Roman" w:hAnsi="Times New Roman"/>
                    <w:color w:val="7EAABF"/>
                    <w:w w:val="110"/>
                    <w:sz w:val="23"/>
                  </w:rPr>
                  <w:t> </w:t>
                </w:r>
                <w:r>
                  <w:rPr>
                    <w:color w:val="7EAABF"/>
                    <w:w w:val="110"/>
                    <w:sz w:val="23"/>
                  </w:rPr>
                  <w:t>General Assembly 2016 </w:t>
                </w:r>
                <w:r>
                  <w:rPr>
                    <w:rFonts w:ascii="Symbol" w:hAnsi="Symbol"/>
                    <w:color w:val="7EAABF"/>
                    <w:w w:val="110"/>
                    <w:sz w:val="23"/>
                  </w:rPr>
                  <w:t></w:t>
                </w:r>
                <w:r>
                  <w:rPr>
                    <w:rFonts w:ascii="Times New Roman" w:hAnsi="Times New Roman"/>
                    <w:color w:val="7EAABF"/>
                    <w:w w:val="110"/>
                    <w:sz w:val="23"/>
                  </w:rPr>
                  <w:t> </w:t>
                </w:r>
                <w:r>
                  <w:rPr/>
                  <w:fldChar w:fldCharType="begin"/>
                </w:r>
                <w:r>
                  <w:rPr>
                    <w:rFonts w:ascii="Stone Sans II ITC Std X Bd" w:hAnsi="Stone Sans II ITC Std X Bd"/>
                    <w:b/>
                    <w:w w:val="110"/>
                    <w:sz w:val="24"/>
                  </w:rPr>
                  <w:instrText> PAGE </w:instrText>
                </w:r>
                <w:r>
                  <w:rPr/>
                  <w:fldChar w:fldCharType="separate"/>
                </w:r>
                <w:r>
                  <w:rPr/>
                  <w:t>67</w:t>
                </w:r>
                <w:r>
                  <w:rPr/>
                  <w:fldChar w:fldCharType="end"/>
                </w:r>
              </w:p>
            </w:txbxContent>
          </v:textbox>
          <w10:wrap type="none"/>
        </v:shape>
      </w:pict>
    </w:r>
  </w:p>
</w:ftr>
</file>

<file path=word/footer6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59.362202pt;margin-top:798.53833pt;width:311pt;height:17.45pt;mso-position-horizontal-relative:page;mso-position-vertical-relative:page;z-index:-268047360" type="#_x0000_t202" filled="false" stroked="false">
          <v:textbox inset="0,0,0,0">
            <w:txbxContent>
              <w:p>
                <w:pPr>
                  <w:spacing w:before="16"/>
                  <w:ind w:left="60" w:right="0" w:firstLine="0"/>
                  <w:jc w:val="left"/>
                  <w:rPr>
                    <w:sz w:val="23"/>
                  </w:rPr>
                </w:pPr>
                <w:r>
                  <w:rPr/>
                  <w:fldChar w:fldCharType="begin"/>
                </w:r>
                <w:r>
                  <w:rPr>
                    <w:rFonts w:ascii="Stone Sans II ITC Std X Bd" w:hAnsi="Stone Sans II ITC Std X Bd"/>
                    <w:b/>
                    <w:w w:val="110"/>
                    <w:sz w:val="24"/>
                  </w:rPr>
                  <w:instrText> PAGE </w:instrText>
                </w:r>
                <w:r>
                  <w:rPr/>
                  <w:fldChar w:fldCharType="separate"/>
                </w:r>
                <w:r>
                  <w:rPr/>
                  <w:t>68</w:t>
                </w:r>
                <w:r>
                  <w:rPr/>
                  <w:fldChar w:fldCharType="end"/>
                </w:r>
                <w:r>
                  <w:rPr>
                    <w:rFonts w:ascii="Stone Sans II ITC Std X Bd" w:hAnsi="Stone Sans II ITC Std X Bd"/>
                    <w:b/>
                    <w:w w:val="110"/>
                    <w:sz w:val="24"/>
                  </w:rPr>
                  <w:t> </w:t>
                </w:r>
                <w:r>
                  <w:rPr>
                    <w:rFonts w:ascii="Symbol" w:hAnsi="Symbol"/>
                    <w:color w:val="7EAABF"/>
                    <w:w w:val="110"/>
                    <w:sz w:val="23"/>
                  </w:rPr>
                  <w:t></w:t>
                </w:r>
                <w:r>
                  <w:rPr>
                    <w:rFonts w:ascii="Times New Roman" w:hAnsi="Times New Roman"/>
                    <w:color w:val="7EAABF"/>
                    <w:w w:val="110"/>
                    <w:sz w:val="23"/>
                  </w:rPr>
                  <w:t> </w:t>
                </w:r>
                <w:r>
                  <w:rPr>
                    <w:color w:val="7EAABF"/>
                    <w:w w:val="110"/>
                    <w:sz w:val="23"/>
                  </w:rPr>
                  <w:t>United Reformed Church </w:t>
                </w:r>
                <w:r>
                  <w:rPr>
                    <w:rFonts w:ascii="Symbol" w:hAnsi="Symbol"/>
                    <w:color w:val="7EAABF"/>
                    <w:w w:val="110"/>
                    <w:sz w:val="23"/>
                  </w:rPr>
                  <w:t></w:t>
                </w:r>
                <w:r>
                  <w:rPr>
                    <w:rFonts w:ascii="Times New Roman" w:hAnsi="Times New Roman"/>
                    <w:color w:val="7EAABF"/>
                    <w:w w:val="110"/>
                    <w:sz w:val="23"/>
                  </w:rPr>
                  <w:t> </w:t>
                </w:r>
                <w:r>
                  <w:rPr>
                    <w:color w:val="7EAABF"/>
                    <w:w w:val="110"/>
                    <w:sz w:val="23"/>
                  </w:rPr>
                  <w:t>General Assembly 2016</w:t>
                </w:r>
              </w:p>
            </w:txbxContent>
          </v:textbox>
          <w10:wrap type="none"/>
        </v:shape>
      </w:pict>
    </w:r>
  </w:p>
</w:ftr>
</file>

<file path=word/footer6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224.923203pt;margin-top:798.53833pt;width:311pt;height:17.45pt;mso-position-horizontal-relative:page;mso-position-vertical-relative:page;z-index:-268046336" type="#_x0000_t202" filled="false" stroked="false">
          <v:textbox inset="0,0,0,0">
            <w:txbxContent>
              <w:p>
                <w:pPr>
                  <w:spacing w:before="16"/>
                  <w:ind w:left="20" w:right="0" w:firstLine="0"/>
                  <w:jc w:val="left"/>
                  <w:rPr>
                    <w:rFonts w:ascii="Stone Sans II ITC Std X Bd" w:hAnsi="Stone Sans II ITC Std X Bd"/>
                    <w:b/>
                    <w:sz w:val="24"/>
                  </w:rPr>
                </w:pPr>
                <w:r>
                  <w:rPr>
                    <w:color w:val="7EAABF"/>
                    <w:w w:val="110"/>
                    <w:sz w:val="23"/>
                  </w:rPr>
                  <w:t>United Reformed Church </w:t>
                </w:r>
                <w:r>
                  <w:rPr>
                    <w:rFonts w:ascii="Symbol" w:hAnsi="Symbol"/>
                    <w:color w:val="7EAABF"/>
                    <w:w w:val="110"/>
                    <w:sz w:val="23"/>
                  </w:rPr>
                  <w:t></w:t>
                </w:r>
                <w:r>
                  <w:rPr>
                    <w:rFonts w:ascii="Times New Roman" w:hAnsi="Times New Roman"/>
                    <w:color w:val="7EAABF"/>
                    <w:w w:val="110"/>
                    <w:sz w:val="23"/>
                  </w:rPr>
                  <w:t> </w:t>
                </w:r>
                <w:r>
                  <w:rPr>
                    <w:color w:val="7EAABF"/>
                    <w:w w:val="110"/>
                    <w:sz w:val="23"/>
                  </w:rPr>
                  <w:t>General Assembly 2016 </w:t>
                </w:r>
                <w:r>
                  <w:rPr>
                    <w:rFonts w:ascii="Symbol" w:hAnsi="Symbol"/>
                    <w:color w:val="7EAABF"/>
                    <w:w w:val="110"/>
                    <w:sz w:val="23"/>
                  </w:rPr>
                  <w:t></w:t>
                </w:r>
                <w:r>
                  <w:rPr>
                    <w:rFonts w:ascii="Times New Roman" w:hAnsi="Times New Roman"/>
                    <w:color w:val="7EAABF"/>
                    <w:w w:val="110"/>
                    <w:sz w:val="23"/>
                  </w:rPr>
                  <w:t> </w:t>
                </w:r>
                <w:r>
                  <w:rPr/>
                  <w:fldChar w:fldCharType="begin"/>
                </w:r>
                <w:r>
                  <w:rPr>
                    <w:rFonts w:ascii="Stone Sans II ITC Std X Bd" w:hAnsi="Stone Sans II ITC Std X Bd"/>
                    <w:b/>
                    <w:w w:val="110"/>
                    <w:sz w:val="24"/>
                  </w:rPr>
                  <w:instrText> PAGE </w:instrText>
                </w:r>
                <w:r>
                  <w:rPr/>
                  <w:fldChar w:fldCharType="separate"/>
                </w:r>
                <w:r>
                  <w:rPr/>
                  <w:t>69</w:t>
                </w:r>
                <w:r>
                  <w:rPr/>
                  <w:fldChar w:fldCharType="end"/>
                </w:r>
              </w:p>
            </w:txbxContent>
          </v:textbox>
          <w10:wrap type="none"/>
        </v:shape>
      </w:pict>
    </w:r>
  </w:p>
</w:ftr>
</file>

<file path=word/footer6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59.362202pt;margin-top:798.53833pt;width:311pt;height:17.45pt;mso-position-horizontal-relative:page;mso-position-vertical-relative:page;z-index:-268045312" type="#_x0000_t202" filled="false" stroked="false">
          <v:textbox inset="0,0,0,0">
            <w:txbxContent>
              <w:p>
                <w:pPr>
                  <w:spacing w:before="16"/>
                  <w:ind w:left="60" w:right="0" w:firstLine="0"/>
                  <w:jc w:val="left"/>
                  <w:rPr>
                    <w:sz w:val="23"/>
                  </w:rPr>
                </w:pPr>
                <w:r>
                  <w:rPr/>
                  <w:fldChar w:fldCharType="begin"/>
                </w:r>
                <w:r>
                  <w:rPr>
                    <w:rFonts w:ascii="Stone Sans II ITC Std X Bd" w:hAnsi="Stone Sans II ITC Std X Bd"/>
                    <w:b/>
                    <w:w w:val="110"/>
                    <w:sz w:val="24"/>
                  </w:rPr>
                  <w:instrText> PAGE </w:instrText>
                </w:r>
                <w:r>
                  <w:rPr/>
                  <w:fldChar w:fldCharType="separate"/>
                </w:r>
                <w:r>
                  <w:rPr/>
                  <w:t>70</w:t>
                </w:r>
                <w:r>
                  <w:rPr/>
                  <w:fldChar w:fldCharType="end"/>
                </w:r>
                <w:r>
                  <w:rPr>
                    <w:rFonts w:ascii="Stone Sans II ITC Std X Bd" w:hAnsi="Stone Sans II ITC Std X Bd"/>
                    <w:b/>
                    <w:w w:val="110"/>
                    <w:sz w:val="24"/>
                  </w:rPr>
                  <w:t> </w:t>
                </w:r>
                <w:r>
                  <w:rPr>
                    <w:rFonts w:ascii="Symbol" w:hAnsi="Symbol"/>
                    <w:color w:val="7EAABF"/>
                    <w:w w:val="110"/>
                    <w:sz w:val="23"/>
                  </w:rPr>
                  <w:t></w:t>
                </w:r>
                <w:r>
                  <w:rPr>
                    <w:rFonts w:ascii="Times New Roman" w:hAnsi="Times New Roman"/>
                    <w:color w:val="7EAABF"/>
                    <w:w w:val="110"/>
                    <w:sz w:val="23"/>
                  </w:rPr>
                  <w:t> </w:t>
                </w:r>
                <w:r>
                  <w:rPr>
                    <w:color w:val="7EAABF"/>
                    <w:w w:val="110"/>
                    <w:sz w:val="23"/>
                  </w:rPr>
                  <w:t>United Reformed Church </w:t>
                </w:r>
                <w:r>
                  <w:rPr>
                    <w:rFonts w:ascii="Symbol" w:hAnsi="Symbol"/>
                    <w:color w:val="7EAABF"/>
                    <w:w w:val="110"/>
                    <w:sz w:val="23"/>
                  </w:rPr>
                  <w:t></w:t>
                </w:r>
                <w:r>
                  <w:rPr>
                    <w:rFonts w:ascii="Times New Roman" w:hAnsi="Times New Roman"/>
                    <w:color w:val="7EAABF"/>
                    <w:w w:val="110"/>
                    <w:sz w:val="23"/>
                  </w:rPr>
                  <w:t> </w:t>
                </w:r>
                <w:r>
                  <w:rPr>
                    <w:color w:val="7EAABF"/>
                    <w:w w:val="110"/>
                    <w:sz w:val="23"/>
                  </w:rPr>
                  <w:t>General Assembly 2016</w:t>
                </w:r>
              </w:p>
            </w:txbxContent>
          </v:textbox>
          <w10:wrap type="none"/>
        </v:shape>
      </w:pict>
    </w:r>
  </w:p>
</w:ftr>
</file>

<file path=word/footer6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224.923203pt;margin-top:798.53833pt;width:311pt;height:17.45pt;mso-position-horizontal-relative:page;mso-position-vertical-relative:page;z-index:-268044288" type="#_x0000_t202" filled="false" stroked="false">
          <v:textbox inset="0,0,0,0">
            <w:txbxContent>
              <w:p>
                <w:pPr>
                  <w:spacing w:before="16"/>
                  <w:ind w:left="20" w:right="0" w:firstLine="0"/>
                  <w:jc w:val="left"/>
                  <w:rPr>
                    <w:rFonts w:ascii="Stone Sans II ITC Std X Bd" w:hAnsi="Stone Sans II ITC Std X Bd"/>
                    <w:b/>
                    <w:sz w:val="24"/>
                  </w:rPr>
                </w:pPr>
                <w:r>
                  <w:rPr>
                    <w:color w:val="7EAABF"/>
                    <w:w w:val="110"/>
                    <w:sz w:val="23"/>
                  </w:rPr>
                  <w:t>United Reformed Church </w:t>
                </w:r>
                <w:r>
                  <w:rPr>
                    <w:rFonts w:ascii="Symbol" w:hAnsi="Symbol"/>
                    <w:color w:val="7EAABF"/>
                    <w:w w:val="110"/>
                    <w:sz w:val="23"/>
                  </w:rPr>
                  <w:t></w:t>
                </w:r>
                <w:r>
                  <w:rPr>
                    <w:rFonts w:ascii="Times New Roman" w:hAnsi="Times New Roman"/>
                    <w:color w:val="7EAABF"/>
                    <w:w w:val="110"/>
                    <w:sz w:val="23"/>
                  </w:rPr>
                  <w:t> </w:t>
                </w:r>
                <w:r>
                  <w:rPr>
                    <w:color w:val="7EAABF"/>
                    <w:w w:val="110"/>
                    <w:sz w:val="23"/>
                  </w:rPr>
                  <w:t>General Assembly 2016 </w:t>
                </w:r>
                <w:r>
                  <w:rPr>
                    <w:rFonts w:ascii="Symbol" w:hAnsi="Symbol"/>
                    <w:color w:val="7EAABF"/>
                    <w:w w:val="110"/>
                    <w:sz w:val="23"/>
                  </w:rPr>
                  <w:t></w:t>
                </w:r>
                <w:r>
                  <w:rPr>
                    <w:rFonts w:ascii="Times New Roman" w:hAnsi="Times New Roman"/>
                    <w:color w:val="7EAABF"/>
                    <w:w w:val="110"/>
                    <w:sz w:val="23"/>
                  </w:rPr>
                  <w:t> </w:t>
                </w:r>
                <w:r>
                  <w:rPr/>
                  <w:fldChar w:fldCharType="begin"/>
                </w:r>
                <w:r>
                  <w:rPr>
                    <w:rFonts w:ascii="Stone Sans II ITC Std X Bd" w:hAnsi="Stone Sans II ITC Std X Bd"/>
                    <w:b/>
                    <w:w w:val="110"/>
                    <w:sz w:val="24"/>
                  </w:rPr>
                  <w:instrText> PAGE </w:instrText>
                </w:r>
                <w:r>
                  <w:rPr/>
                  <w:fldChar w:fldCharType="separate"/>
                </w:r>
                <w:r>
                  <w:rPr/>
                  <w:t>71</w:t>
                </w:r>
                <w:r>
                  <w:rPr/>
                  <w:fldChar w:fldCharType="end"/>
                </w:r>
              </w:p>
            </w:txbxContent>
          </v:textbox>
          <w10:wrap type="none"/>
        </v:shape>
      </w:pict>
    </w:r>
  </w:p>
</w:ftr>
</file>

<file path=word/footer6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59.362202pt;margin-top:798.53833pt;width:311pt;height:17.45pt;mso-position-horizontal-relative:page;mso-position-vertical-relative:page;z-index:-268043264" type="#_x0000_t202" filled="false" stroked="false">
          <v:textbox inset="0,0,0,0">
            <w:txbxContent>
              <w:p>
                <w:pPr>
                  <w:spacing w:before="16"/>
                  <w:ind w:left="60" w:right="0" w:firstLine="0"/>
                  <w:jc w:val="left"/>
                  <w:rPr>
                    <w:sz w:val="23"/>
                  </w:rPr>
                </w:pPr>
                <w:r>
                  <w:rPr/>
                  <w:fldChar w:fldCharType="begin"/>
                </w:r>
                <w:r>
                  <w:rPr>
                    <w:rFonts w:ascii="Stone Sans II ITC Std X Bd" w:hAnsi="Stone Sans II ITC Std X Bd"/>
                    <w:b/>
                    <w:w w:val="110"/>
                    <w:sz w:val="24"/>
                  </w:rPr>
                  <w:instrText> PAGE </w:instrText>
                </w:r>
                <w:r>
                  <w:rPr/>
                  <w:fldChar w:fldCharType="separate"/>
                </w:r>
                <w:r>
                  <w:rPr/>
                  <w:t>72</w:t>
                </w:r>
                <w:r>
                  <w:rPr/>
                  <w:fldChar w:fldCharType="end"/>
                </w:r>
                <w:r>
                  <w:rPr>
                    <w:rFonts w:ascii="Stone Sans II ITC Std X Bd" w:hAnsi="Stone Sans II ITC Std X Bd"/>
                    <w:b/>
                    <w:w w:val="110"/>
                    <w:sz w:val="24"/>
                  </w:rPr>
                  <w:t> </w:t>
                </w:r>
                <w:r>
                  <w:rPr>
                    <w:rFonts w:ascii="Symbol" w:hAnsi="Symbol"/>
                    <w:color w:val="7EAABF"/>
                    <w:w w:val="110"/>
                    <w:sz w:val="23"/>
                  </w:rPr>
                  <w:t></w:t>
                </w:r>
                <w:r>
                  <w:rPr>
                    <w:rFonts w:ascii="Times New Roman" w:hAnsi="Times New Roman"/>
                    <w:color w:val="7EAABF"/>
                    <w:w w:val="110"/>
                    <w:sz w:val="23"/>
                  </w:rPr>
                  <w:t> </w:t>
                </w:r>
                <w:r>
                  <w:rPr>
                    <w:color w:val="7EAABF"/>
                    <w:w w:val="110"/>
                    <w:sz w:val="23"/>
                  </w:rPr>
                  <w:t>United Reformed Church </w:t>
                </w:r>
                <w:r>
                  <w:rPr>
                    <w:rFonts w:ascii="Symbol" w:hAnsi="Symbol"/>
                    <w:color w:val="7EAABF"/>
                    <w:w w:val="110"/>
                    <w:sz w:val="23"/>
                  </w:rPr>
                  <w:t></w:t>
                </w:r>
                <w:r>
                  <w:rPr>
                    <w:rFonts w:ascii="Times New Roman" w:hAnsi="Times New Roman"/>
                    <w:color w:val="7EAABF"/>
                    <w:w w:val="110"/>
                    <w:sz w:val="23"/>
                  </w:rPr>
                  <w:t> </w:t>
                </w:r>
                <w:r>
                  <w:rPr>
                    <w:color w:val="7EAABF"/>
                    <w:w w:val="110"/>
                    <w:sz w:val="23"/>
                  </w:rPr>
                  <w:t>General Assembly 2016</w:t>
                </w:r>
              </w:p>
            </w:txbxContent>
          </v:textbox>
          <w10:wrap type="none"/>
        </v:shape>
      </w:pict>
    </w:r>
  </w:p>
</w:ftr>
</file>

<file path=word/footer6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224.923203pt;margin-top:798.53833pt;width:311pt;height:17.45pt;mso-position-horizontal-relative:page;mso-position-vertical-relative:page;z-index:-268042240" type="#_x0000_t202" filled="false" stroked="false">
          <v:textbox inset="0,0,0,0">
            <w:txbxContent>
              <w:p>
                <w:pPr>
                  <w:spacing w:before="16"/>
                  <w:ind w:left="20" w:right="0" w:firstLine="0"/>
                  <w:jc w:val="left"/>
                  <w:rPr>
                    <w:rFonts w:ascii="Stone Sans II ITC Std X Bd" w:hAnsi="Stone Sans II ITC Std X Bd"/>
                    <w:b/>
                    <w:sz w:val="24"/>
                  </w:rPr>
                </w:pPr>
                <w:r>
                  <w:rPr>
                    <w:color w:val="7EAABF"/>
                    <w:w w:val="110"/>
                    <w:sz w:val="23"/>
                  </w:rPr>
                  <w:t>United Reformed Church </w:t>
                </w:r>
                <w:r>
                  <w:rPr>
                    <w:rFonts w:ascii="Symbol" w:hAnsi="Symbol"/>
                    <w:color w:val="7EAABF"/>
                    <w:w w:val="110"/>
                    <w:sz w:val="23"/>
                  </w:rPr>
                  <w:t></w:t>
                </w:r>
                <w:r>
                  <w:rPr>
                    <w:rFonts w:ascii="Times New Roman" w:hAnsi="Times New Roman"/>
                    <w:color w:val="7EAABF"/>
                    <w:w w:val="110"/>
                    <w:sz w:val="23"/>
                  </w:rPr>
                  <w:t> </w:t>
                </w:r>
                <w:r>
                  <w:rPr>
                    <w:color w:val="7EAABF"/>
                    <w:w w:val="110"/>
                    <w:sz w:val="23"/>
                  </w:rPr>
                  <w:t>General Assembly 2016 </w:t>
                </w:r>
                <w:r>
                  <w:rPr>
                    <w:rFonts w:ascii="Symbol" w:hAnsi="Symbol"/>
                    <w:color w:val="7EAABF"/>
                    <w:w w:val="110"/>
                    <w:sz w:val="23"/>
                  </w:rPr>
                  <w:t></w:t>
                </w:r>
                <w:r>
                  <w:rPr>
                    <w:rFonts w:ascii="Times New Roman" w:hAnsi="Times New Roman"/>
                    <w:color w:val="7EAABF"/>
                    <w:w w:val="110"/>
                    <w:sz w:val="23"/>
                  </w:rPr>
                  <w:t> </w:t>
                </w:r>
                <w:r>
                  <w:rPr/>
                  <w:fldChar w:fldCharType="begin"/>
                </w:r>
                <w:r>
                  <w:rPr>
                    <w:rFonts w:ascii="Stone Sans II ITC Std X Bd" w:hAnsi="Stone Sans II ITC Std X Bd"/>
                    <w:b/>
                    <w:w w:val="110"/>
                    <w:sz w:val="24"/>
                  </w:rPr>
                  <w:instrText> PAGE </w:instrText>
                </w:r>
                <w:r>
                  <w:rPr/>
                  <w:fldChar w:fldCharType="separate"/>
                </w:r>
                <w:r>
                  <w:rPr/>
                  <w:t>73</w:t>
                </w:r>
                <w:r>
                  <w:rPr/>
                  <w:fldChar w:fldCharType="end"/>
                </w:r>
              </w:p>
            </w:txbxContent>
          </v:textbox>
          <w10:wrap type="none"/>
        </v:shape>
      </w:pict>
    </w:r>
  </w:p>
</w:ftr>
</file>

<file path=word/footer6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59.362202pt;margin-top:798.53833pt;width:311pt;height:17.45pt;mso-position-horizontal-relative:page;mso-position-vertical-relative:page;z-index:-268041216" type="#_x0000_t202" filled="false" stroked="false">
          <v:textbox inset="0,0,0,0">
            <w:txbxContent>
              <w:p>
                <w:pPr>
                  <w:spacing w:before="16"/>
                  <w:ind w:left="60" w:right="0" w:firstLine="0"/>
                  <w:jc w:val="left"/>
                  <w:rPr>
                    <w:sz w:val="23"/>
                  </w:rPr>
                </w:pPr>
                <w:r>
                  <w:rPr/>
                  <w:fldChar w:fldCharType="begin"/>
                </w:r>
                <w:r>
                  <w:rPr>
                    <w:rFonts w:ascii="Stone Sans II ITC Std X Bd" w:hAnsi="Stone Sans II ITC Std X Bd"/>
                    <w:b/>
                    <w:w w:val="110"/>
                    <w:sz w:val="24"/>
                  </w:rPr>
                  <w:instrText> PAGE </w:instrText>
                </w:r>
                <w:r>
                  <w:rPr/>
                  <w:fldChar w:fldCharType="separate"/>
                </w:r>
                <w:r>
                  <w:rPr/>
                  <w:t>74</w:t>
                </w:r>
                <w:r>
                  <w:rPr/>
                  <w:fldChar w:fldCharType="end"/>
                </w:r>
                <w:r>
                  <w:rPr>
                    <w:rFonts w:ascii="Stone Sans II ITC Std X Bd" w:hAnsi="Stone Sans II ITC Std X Bd"/>
                    <w:b/>
                    <w:w w:val="110"/>
                    <w:sz w:val="24"/>
                  </w:rPr>
                  <w:t> </w:t>
                </w:r>
                <w:r>
                  <w:rPr>
                    <w:rFonts w:ascii="Symbol" w:hAnsi="Symbol"/>
                    <w:color w:val="7EAABF"/>
                    <w:w w:val="110"/>
                    <w:sz w:val="23"/>
                  </w:rPr>
                  <w:t></w:t>
                </w:r>
                <w:r>
                  <w:rPr>
                    <w:rFonts w:ascii="Times New Roman" w:hAnsi="Times New Roman"/>
                    <w:color w:val="7EAABF"/>
                    <w:w w:val="110"/>
                    <w:sz w:val="23"/>
                  </w:rPr>
                  <w:t> </w:t>
                </w:r>
                <w:r>
                  <w:rPr>
                    <w:color w:val="7EAABF"/>
                    <w:w w:val="110"/>
                    <w:sz w:val="23"/>
                  </w:rPr>
                  <w:t>United Reformed Church </w:t>
                </w:r>
                <w:r>
                  <w:rPr>
                    <w:rFonts w:ascii="Symbol" w:hAnsi="Symbol"/>
                    <w:color w:val="7EAABF"/>
                    <w:w w:val="110"/>
                    <w:sz w:val="23"/>
                  </w:rPr>
                  <w:t></w:t>
                </w:r>
                <w:r>
                  <w:rPr>
                    <w:rFonts w:ascii="Times New Roman" w:hAnsi="Times New Roman"/>
                    <w:color w:val="7EAABF"/>
                    <w:w w:val="110"/>
                    <w:sz w:val="23"/>
                  </w:rPr>
                  <w:t> </w:t>
                </w:r>
                <w:r>
                  <w:rPr>
                    <w:color w:val="7EAABF"/>
                    <w:w w:val="110"/>
                    <w:sz w:val="23"/>
                  </w:rPr>
                  <w:t>General Assembly 2016</w:t>
                </w:r>
              </w:p>
            </w:txbxContent>
          </v:textbox>
          <w10:wrap type="none"/>
        </v:shape>
      </w:pict>
    </w:r>
  </w:p>
</w:ftr>
</file>

<file path=word/footer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59.362202pt;margin-top:798.53833pt;width:311.4pt;height:17.45pt;mso-position-horizontal-relative:page;mso-position-vertical-relative:page;z-index:-268101632" type="#_x0000_t202" filled="false" stroked="false">
          <v:textbox inset="0,0,0,0">
            <w:txbxContent>
              <w:p>
                <w:pPr>
                  <w:spacing w:before="16"/>
                  <w:ind w:left="60" w:right="0" w:firstLine="0"/>
                  <w:jc w:val="left"/>
                  <w:rPr>
                    <w:sz w:val="23"/>
                  </w:rPr>
                </w:pPr>
                <w:r>
                  <w:rPr/>
                  <w:fldChar w:fldCharType="begin"/>
                </w:r>
                <w:r>
                  <w:rPr>
                    <w:rFonts w:ascii="Stone Sans II ITC Std X Bd" w:hAnsi="Stone Sans II ITC Std X Bd"/>
                    <w:b/>
                    <w:w w:val="110"/>
                    <w:sz w:val="24"/>
                  </w:rPr>
                  <w:instrText> PAGE </w:instrText>
                </w:r>
                <w:r>
                  <w:rPr/>
                  <w:fldChar w:fldCharType="separate"/>
                </w:r>
                <w:r>
                  <w:rPr/>
                  <w:t>12</w:t>
                </w:r>
                <w:r>
                  <w:rPr/>
                  <w:fldChar w:fldCharType="end"/>
                </w:r>
                <w:r>
                  <w:rPr>
                    <w:rFonts w:ascii="Stone Sans II ITC Std X Bd" w:hAnsi="Stone Sans II ITC Std X Bd"/>
                    <w:b/>
                    <w:w w:val="110"/>
                    <w:sz w:val="24"/>
                  </w:rPr>
                  <w:t> </w:t>
                </w:r>
                <w:r>
                  <w:rPr>
                    <w:rFonts w:ascii="Symbol" w:hAnsi="Symbol"/>
                    <w:color w:val="7EAABF"/>
                    <w:w w:val="110"/>
                    <w:sz w:val="23"/>
                  </w:rPr>
                  <w:t></w:t>
                </w:r>
                <w:r>
                  <w:rPr>
                    <w:rFonts w:ascii="Times New Roman" w:hAnsi="Times New Roman"/>
                    <w:color w:val="7EAABF"/>
                    <w:w w:val="110"/>
                    <w:sz w:val="23"/>
                  </w:rPr>
                  <w:t> </w:t>
                </w:r>
                <w:r>
                  <w:rPr>
                    <w:color w:val="7EAABF"/>
                    <w:w w:val="110"/>
                    <w:sz w:val="23"/>
                  </w:rPr>
                  <w:t>United Reformed Church </w:t>
                </w:r>
                <w:r>
                  <w:rPr>
                    <w:rFonts w:ascii="Symbol" w:hAnsi="Symbol"/>
                    <w:color w:val="7EAABF"/>
                    <w:w w:val="110"/>
                    <w:sz w:val="23"/>
                  </w:rPr>
                  <w:t></w:t>
                </w:r>
                <w:r>
                  <w:rPr>
                    <w:rFonts w:ascii="Times New Roman" w:hAnsi="Times New Roman"/>
                    <w:color w:val="7EAABF"/>
                    <w:w w:val="110"/>
                    <w:sz w:val="23"/>
                  </w:rPr>
                  <w:t> </w:t>
                </w:r>
                <w:r>
                  <w:rPr>
                    <w:color w:val="7EAABF"/>
                    <w:w w:val="110"/>
                    <w:sz w:val="23"/>
                  </w:rPr>
                  <w:t>General Assembly 2016</w:t>
                </w:r>
              </w:p>
            </w:txbxContent>
          </v:textbox>
          <w10:wrap type="none"/>
        </v:shape>
      </w:pict>
    </w:r>
  </w:p>
</w:ftr>
</file>

<file path=word/footer7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224.923203pt;margin-top:798.53833pt;width:311pt;height:17.45pt;mso-position-horizontal-relative:page;mso-position-vertical-relative:page;z-index:-268040192" type="#_x0000_t202" filled="false" stroked="false">
          <v:textbox inset="0,0,0,0">
            <w:txbxContent>
              <w:p>
                <w:pPr>
                  <w:spacing w:before="16"/>
                  <w:ind w:left="20" w:right="0" w:firstLine="0"/>
                  <w:jc w:val="left"/>
                  <w:rPr>
                    <w:rFonts w:ascii="Stone Sans II ITC Std X Bd" w:hAnsi="Stone Sans II ITC Std X Bd"/>
                    <w:b/>
                    <w:sz w:val="24"/>
                  </w:rPr>
                </w:pPr>
                <w:r>
                  <w:rPr>
                    <w:color w:val="7EAABF"/>
                    <w:w w:val="110"/>
                    <w:sz w:val="23"/>
                  </w:rPr>
                  <w:t>United Reformed Church </w:t>
                </w:r>
                <w:r>
                  <w:rPr>
                    <w:rFonts w:ascii="Symbol" w:hAnsi="Symbol"/>
                    <w:color w:val="7EAABF"/>
                    <w:w w:val="110"/>
                    <w:sz w:val="23"/>
                  </w:rPr>
                  <w:t></w:t>
                </w:r>
                <w:r>
                  <w:rPr>
                    <w:rFonts w:ascii="Times New Roman" w:hAnsi="Times New Roman"/>
                    <w:color w:val="7EAABF"/>
                    <w:w w:val="110"/>
                    <w:sz w:val="23"/>
                  </w:rPr>
                  <w:t> </w:t>
                </w:r>
                <w:r>
                  <w:rPr>
                    <w:color w:val="7EAABF"/>
                    <w:w w:val="110"/>
                    <w:sz w:val="23"/>
                  </w:rPr>
                  <w:t>General Assembly 2016 </w:t>
                </w:r>
                <w:r>
                  <w:rPr>
                    <w:rFonts w:ascii="Symbol" w:hAnsi="Symbol"/>
                    <w:color w:val="7EAABF"/>
                    <w:w w:val="110"/>
                    <w:sz w:val="23"/>
                  </w:rPr>
                  <w:t></w:t>
                </w:r>
                <w:r>
                  <w:rPr>
                    <w:rFonts w:ascii="Times New Roman" w:hAnsi="Times New Roman"/>
                    <w:color w:val="7EAABF"/>
                    <w:w w:val="110"/>
                    <w:sz w:val="23"/>
                  </w:rPr>
                  <w:t> </w:t>
                </w:r>
                <w:r>
                  <w:rPr/>
                  <w:fldChar w:fldCharType="begin"/>
                </w:r>
                <w:r>
                  <w:rPr>
                    <w:rFonts w:ascii="Stone Sans II ITC Std X Bd" w:hAnsi="Stone Sans II ITC Std X Bd"/>
                    <w:b/>
                    <w:w w:val="110"/>
                    <w:sz w:val="24"/>
                  </w:rPr>
                  <w:instrText> PAGE </w:instrText>
                </w:r>
                <w:r>
                  <w:rPr/>
                  <w:fldChar w:fldCharType="separate"/>
                </w:r>
                <w:r>
                  <w:rPr/>
                  <w:t>75</w:t>
                </w:r>
                <w:r>
                  <w:rPr/>
                  <w:fldChar w:fldCharType="end"/>
                </w:r>
              </w:p>
            </w:txbxContent>
          </v:textbox>
          <w10:wrap type="none"/>
        </v:shape>
      </w:pict>
    </w:r>
  </w:p>
</w:ftr>
</file>

<file path=word/footer7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59.362202pt;margin-top:798.53833pt;width:311pt;height:17.45pt;mso-position-horizontal-relative:page;mso-position-vertical-relative:page;z-index:-268039168" type="#_x0000_t202" filled="false" stroked="false">
          <v:textbox inset="0,0,0,0">
            <w:txbxContent>
              <w:p>
                <w:pPr>
                  <w:spacing w:before="16"/>
                  <w:ind w:left="60" w:right="0" w:firstLine="0"/>
                  <w:jc w:val="left"/>
                  <w:rPr>
                    <w:sz w:val="23"/>
                  </w:rPr>
                </w:pPr>
                <w:r>
                  <w:rPr/>
                  <w:fldChar w:fldCharType="begin"/>
                </w:r>
                <w:r>
                  <w:rPr>
                    <w:rFonts w:ascii="Stone Sans II ITC Std X Bd" w:hAnsi="Stone Sans II ITC Std X Bd"/>
                    <w:b/>
                    <w:w w:val="110"/>
                    <w:sz w:val="24"/>
                  </w:rPr>
                  <w:instrText> PAGE </w:instrText>
                </w:r>
                <w:r>
                  <w:rPr/>
                  <w:fldChar w:fldCharType="separate"/>
                </w:r>
                <w:r>
                  <w:rPr/>
                  <w:t>76</w:t>
                </w:r>
                <w:r>
                  <w:rPr/>
                  <w:fldChar w:fldCharType="end"/>
                </w:r>
                <w:r>
                  <w:rPr>
                    <w:rFonts w:ascii="Stone Sans II ITC Std X Bd" w:hAnsi="Stone Sans II ITC Std X Bd"/>
                    <w:b/>
                    <w:w w:val="110"/>
                    <w:sz w:val="24"/>
                  </w:rPr>
                  <w:t> </w:t>
                </w:r>
                <w:r>
                  <w:rPr>
                    <w:rFonts w:ascii="Symbol" w:hAnsi="Symbol"/>
                    <w:color w:val="7EAABF"/>
                    <w:w w:val="110"/>
                    <w:sz w:val="23"/>
                  </w:rPr>
                  <w:t></w:t>
                </w:r>
                <w:r>
                  <w:rPr>
                    <w:rFonts w:ascii="Times New Roman" w:hAnsi="Times New Roman"/>
                    <w:color w:val="7EAABF"/>
                    <w:w w:val="110"/>
                    <w:sz w:val="23"/>
                  </w:rPr>
                  <w:t> </w:t>
                </w:r>
                <w:r>
                  <w:rPr>
                    <w:color w:val="7EAABF"/>
                    <w:w w:val="110"/>
                    <w:sz w:val="23"/>
                  </w:rPr>
                  <w:t>United Reformed Church </w:t>
                </w:r>
                <w:r>
                  <w:rPr>
                    <w:rFonts w:ascii="Symbol" w:hAnsi="Symbol"/>
                    <w:color w:val="7EAABF"/>
                    <w:w w:val="110"/>
                    <w:sz w:val="23"/>
                  </w:rPr>
                  <w:t></w:t>
                </w:r>
                <w:r>
                  <w:rPr>
                    <w:rFonts w:ascii="Times New Roman" w:hAnsi="Times New Roman"/>
                    <w:color w:val="7EAABF"/>
                    <w:w w:val="110"/>
                    <w:sz w:val="23"/>
                  </w:rPr>
                  <w:t> </w:t>
                </w:r>
                <w:r>
                  <w:rPr>
                    <w:color w:val="7EAABF"/>
                    <w:w w:val="110"/>
                    <w:sz w:val="23"/>
                  </w:rPr>
                  <w:t>General Assembly 2016</w:t>
                </w:r>
              </w:p>
            </w:txbxContent>
          </v:textbox>
          <w10:wrap type="none"/>
        </v:shape>
      </w:pict>
    </w:r>
  </w:p>
</w:ftr>
</file>

<file path=word/footer7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224.923203pt;margin-top:798.53833pt;width:311pt;height:17.45pt;mso-position-horizontal-relative:page;mso-position-vertical-relative:page;z-index:-268038144" type="#_x0000_t202" filled="false" stroked="false">
          <v:textbox inset="0,0,0,0">
            <w:txbxContent>
              <w:p>
                <w:pPr>
                  <w:spacing w:before="16"/>
                  <w:ind w:left="20" w:right="0" w:firstLine="0"/>
                  <w:jc w:val="left"/>
                  <w:rPr>
                    <w:rFonts w:ascii="Stone Sans II ITC Std X Bd" w:hAnsi="Stone Sans II ITC Std X Bd"/>
                    <w:b/>
                    <w:sz w:val="24"/>
                  </w:rPr>
                </w:pPr>
                <w:r>
                  <w:rPr>
                    <w:color w:val="7EAABF"/>
                    <w:w w:val="110"/>
                    <w:sz w:val="23"/>
                  </w:rPr>
                  <w:t>United Reformed Church </w:t>
                </w:r>
                <w:r>
                  <w:rPr>
                    <w:rFonts w:ascii="Symbol" w:hAnsi="Symbol"/>
                    <w:color w:val="7EAABF"/>
                    <w:w w:val="110"/>
                    <w:sz w:val="23"/>
                  </w:rPr>
                  <w:t></w:t>
                </w:r>
                <w:r>
                  <w:rPr>
                    <w:rFonts w:ascii="Times New Roman" w:hAnsi="Times New Roman"/>
                    <w:color w:val="7EAABF"/>
                    <w:w w:val="110"/>
                    <w:sz w:val="23"/>
                  </w:rPr>
                  <w:t> </w:t>
                </w:r>
                <w:r>
                  <w:rPr>
                    <w:color w:val="7EAABF"/>
                    <w:w w:val="110"/>
                    <w:sz w:val="23"/>
                  </w:rPr>
                  <w:t>General Assembly 2016 </w:t>
                </w:r>
                <w:r>
                  <w:rPr>
                    <w:rFonts w:ascii="Symbol" w:hAnsi="Symbol"/>
                    <w:color w:val="7EAABF"/>
                    <w:w w:val="110"/>
                    <w:sz w:val="23"/>
                  </w:rPr>
                  <w:t></w:t>
                </w:r>
                <w:r>
                  <w:rPr>
                    <w:rFonts w:ascii="Times New Roman" w:hAnsi="Times New Roman"/>
                    <w:color w:val="7EAABF"/>
                    <w:w w:val="110"/>
                    <w:sz w:val="23"/>
                  </w:rPr>
                  <w:t> </w:t>
                </w:r>
                <w:r>
                  <w:rPr/>
                  <w:fldChar w:fldCharType="begin"/>
                </w:r>
                <w:r>
                  <w:rPr>
                    <w:rFonts w:ascii="Stone Sans II ITC Std X Bd" w:hAnsi="Stone Sans II ITC Std X Bd"/>
                    <w:b/>
                    <w:w w:val="110"/>
                    <w:sz w:val="24"/>
                  </w:rPr>
                  <w:instrText> PAGE </w:instrText>
                </w:r>
                <w:r>
                  <w:rPr/>
                  <w:fldChar w:fldCharType="separate"/>
                </w:r>
                <w:r>
                  <w:rPr/>
                  <w:t>77</w:t>
                </w:r>
                <w:r>
                  <w:rPr/>
                  <w:fldChar w:fldCharType="end"/>
                </w:r>
              </w:p>
            </w:txbxContent>
          </v:textbox>
          <w10:wrap type="none"/>
        </v:shape>
      </w:pict>
    </w:r>
  </w:p>
</w:ftr>
</file>

<file path=word/footer7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7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224.923203pt;margin-top:798.53833pt;width:311pt;height:17.45pt;mso-position-horizontal-relative:page;mso-position-vertical-relative:page;z-index:-268036096" type="#_x0000_t202" filled="false" stroked="false">
          <v:textbox inset="0,0,0,0">
            <w:txbxContent>
              <w:p>
                <w:pPr>
                  <w:spacing w:before="16"/>
                  <w:ind w:left="20" w:right="0" w:firstLine="0"/>
                  <w:jc w:val="left"/>
                  <w:rPr>
                    <w:rFonts w:ascii="Stone Sans II ITC Std X Bd" w:hAnsi="Stone Sans II ITC Std X Bd"/>
                    <w:b/>
                    <w:sz w:val="24"/>
                  </w:rPr>
                </w:pPr>
                <w:r>
                  <w:rPr>
                    <w:color w:val="7EAABF"/>
                    <w:w w:val="110"/>
                    <w:sz w:val="23"/>
                  </w:rPr>
                  <w:t>United Reformed Church </w:t>
                </w:r>
                <w:r>
                  <w:rPr>
                    <w:rFonts w:ascii="Symbol" w:hAnsi="Symbol"/>
                    <w:color w:val="7EAABF"/>
                    <w:w w:val="110"/>
                    <w:sz w:val="23"/>
                  </w:rPr>
                  <w:t></w:t>
                </w:r>
                <w:r>
                  <w:rPr>
                    <w:rFonts w:ascii="Times New Roman" w:hAnsi="Times New Roman"/>
                    <w:color w:val="7EAABF"/>
                    <w:w w:val="110"/>
                    <w:sz w:val="23"/>
                  </w:rPr>
                  <w:t> </w:t>
                </w:r>
                <w:r>
                  <w:rPr>
                    <w:color w:val="7EAABF"/>
                    <w:w w:val="110"/>
                    <w:sz w:val="23"/>
                  </w:rPr>
                  <w:t>General Assembly 2016 </w:t>
                </w:r>
                <w:r>
                  <w:rPr>
                    <w:rFonts w:ascii="Symbol" w:hAnsi="Symbol"/>
                    <w:color w:val="7EAABF"/>
                    <w:w w:val="110"/>
                    <w:sz w:val="23"/>
                  </w:rPr>
                  <w:t></w:t>
                </w:r>
                <w:r>
                  <w:rPr>
                    <w:rFonts w:ascii="Times New Roman" w:hAnsi="Times New Roman"/>
                    <w:color w:val="7EAABF"/>
                    <w:w w:val="110"/>
                    <w:sz w:val="23"/>
                  </w:rPr>
                  <w:t> </w:t>
                </w:r>
                <w:r>
                  <w:rPr/>
                  <w:fldChar w:fldCharType="begin"/>
                </w:r>
                <w:r>
                  <w:rPr>
                    <w:rFonts w:ascii="Stone Sans II ITC Std X Bd" w:hAnsi="Stone Sans II ITC Std X Bd"/>
                    <w:b/>
                    <w:w w:val="110"/>
                    <w:sz w:val="24"/>
                  </w:rPr>
                  <w:instrText> PAGE </w:instrText>
                </w:r>
                <w:r>
                  <w:rPr/>
                  <w:fldChar w:fldCharType="separate"/>
                </w:r>
                <w:r>
                  <w:rPr/>
                  <w:t>79</w:t>
                </w:r>
                <w:r>
                  <w:rPr/>
                  <w:fldChar w:fldCharType="end"/>
                </w:r>
              </w:p>
            </w:txbxContent>
          </v:textbox>
          <w10:wrap type="none"/>
        </v:shape>
      </w:pict>
    </w:r>
  </w:p>
</w:ftr>
</file>

<file path=word/footer7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7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7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7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7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8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224.923203pt;margin-top:798.53833pt;width:311pt;height:17.45pt;mso-position-horizontal-relative:page;mso-position-vertical-relative:page;z-index:-268034048" type="#_x0000_t202" filled="false" stroked="false">
          <v:textbox inset="0,0,0,0">
            <w:txbxContent>
              <w:p>
                <w:pPr>
                  <w:spacing w:before="16"/>
                  <w:ind w:left="20" w:right="0" w:firstLine="0"/>
                  <w:jc w:val="left"/>
                  <w:rPr>
                    <w:rFonts w:ascii="Stone Sans II ITC Std X Bd" w:hAnsi="Stone Sans II ITC Std X Bd"/>
                    <w:b/>
                    <w:sz w:val="24"/>
                  </w:rPr>
                </w:pPr>
                <w:r>
                  <w:rPr>
                    <w:color w:val="7EAABF"/>
                    <w:w w:val="110"/>
                    <w:sz w:val="23"/>
                  </w:rPr>
                  <w:t>United Reformed Church </w:t>
                </w:r>
                <w:r>
                  <w:rPr>
                    <w:rFonts w:ascii="Symbol" w:hAnsi="Symbol"/>
                    <w:color w:val="7EAABF"/>
                    <w:w w:val="110"/>
                    <w:sz w:val="23"/>
                  </w:rPr>
                  <w:t></w:t>
                </w:r>
                <w:r>
                  <w:rPr>
                    <w:rFonts w:ascii="Times New Roman" w:hAnsi="Times New Roman"/>
                    <w:color w:val="7EAABF"/>
                    <w:w w:val="110"/>
                    <w:sz w:val="23"/>
                  </w:rPr>
                  <w:t> </w:t>
                </w:r>
                <w:r>
                  <w:rPr>
                    <w:color w:val="7EAABF"/>
                    <w:w w:val="110"/>
                    <w:sz w:val="23"/>
                  </w:rPr>
                  <w:t>General Assembly 2016 </w:t>
                </w:r>
                <w:r>
                  <w:rPr>
                    <w:rFonts w:ascii="Symbol" w:hAnsi="Symbol"/>
                    <w:color w:val="7EAABF"/>
                    <w:w w:val="110"/>
                    <w:sz w:val="23"/>
                  </w:rPr>
                  <w:t></w:t>
                </w:r>
                <w:r>
                  <w:rPr>
                    <w:rFonts w:ascii="Times New Roman" w:hAnsi="Times New Roman"/>
                    <w:color w:val="7EAABF"/>
                    <w:w w:val="110"/>
                    <w:sz w:val="23"/>
                  </w:rPr>
                  <w:t> </w:t>
                </w:r>
                <w:r>
                  <w:rPr/>
                  <w:fldChar w:fldCharType="begin"/>
                </w:r>
                <w:r>
                  <w:rPr>
                    <w:rFonts w:ascii="Stone Sans II ITC Std X Bd" w:hAnsi="Stone Sans II ITC Std X Bd"/>
                    <w:b/>
                    <w:w w:val="110"/>
                    <w:sz w:val="24"/>
                  </w:rPr>
                  <w:instrText> PAGE </w:instrText>
                </w:r>
                <w:r>
                  <w:rPr/>
                  <w:fldChar w:fldCharType="separate"/>
                </w:r>
                <w:r>
                  <w:rPr/>
                  <w:t>85</w:t>
                </w:r>
                <w:r>
                  <w:rPr/>
                  <w:fldChar w:fldCharType="end"/>
                </w:r>
              </w:p>
            </w:txbxContent>
          </v:textbox>
          <w10:wrap type="none"/>
        </v:shape>
      </w:pict>
    </w:r>
  </w:p>
</w:ftr>
</file>

<file path=word/footer8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8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224.923203pt;margin-top:798.53833pt;width:311pt;height:17.45pt;mso-position-horizontal-relative:page;mso-position-vertical-relative:page;z-index:-268032000" type="#_x0000_t202" filled="false" stroked="false">
          <v:textbox inset="0,0,0,0">
            <w:txbxContent>
              <w:p>
                <w:pPr>
                  <w:spacing w:before="16"/>
                  <w:ind w:left="20" w:right="0" w:firstLine="0"/>
                  <w:jc w:val="left"/>
                  <w:rPr>
                    <w:rFonts w:ascii="Stone Sans II ITC Std X Bd" w:hAnsi="Stone Sans II ITC Std X Bd"/>
                    <w:b/>
                    <w:sz w:val="24"/>
                  </w:rPr>
                </w:pPr>
                <w:r>
                  <w:rPr>
                    <w:color w:val="7EAABF"/>
                    <w:w w:val="110"/>
                    <w:sz w:val="23"/>
                  </w:rPr>
                  <w:t>United Reformed Church </w:t>
                </w:r>
                <w:r>
                  <w:rPr>
                    <w:rFonts w:ascii="Symbol" w:hAnsi="Symbol"/>
                    <w:color w:val="7EAABF"/>
                    <w:w w:val="110"/>
                    <w:sz w:val="23"/>
                  </w:rPr>
                  <w:t></w:t>
                </w:r>
                <w:r>
                  <w:rPr>
                    <w:rFonts w:ascii="Times New Roman" w:hAnsi="Times New Roman"/>
                    <w:color w:val="7EAABF"/>
                    <w:w w:val="110"/>
                    <w:sz w:val="23"/>
                  </w:rPr>
                  <w:t> </w:t>
                </w:r>
                <w:r>
                  <w:rPr>
                    <w:color w:val="7EAABF"/>
                    <w:w w:val="110"/>
                    <w:sz w:val="23"/>
                  </w:rPr>
                  <w:t>General Assembly 2016 </w:t>
                </w:r>
                <w:r>
                  <w:rPr>
                    <w:rFonts w:ascii="Symbol" w:hAnsi="Symbol"/>
                    <w:color w:val="7EAABF"/>
                    <w:w w:val="110"/>
                    <w:sz w:val="23"/>
                  </w:rPr>
                  <w:t></w:t>
                </w:r>
                <w:r>
                  <w:rPr>
                    <w:rFonts w:ascii="Times New Roman" w:hAnsi="Times New Roman"/>
                    <w:color w:val="7EAABF"/>
                    <w:w w:val="110"/>
                    <w:sz w:val="23"/>
                  </w:rPr>
                  <w:t> </w:t>
                </w:r>
                <w:r>
                  <w:rPr/>
                  <w:fldChar w:fldCharType="begin"/>
                </w:r>
                <w:r>
                  <w:rPr>
                    <w:rFonts w:ascii="Stone Sans II ITC Std X Bd" w:hAnsi="Stone Sans II ITC Std X Bd"/>
                    <w:b/>
                    <w:w w:val="110"/>
                    <w:sz w:val="24"/>
                  </w:rPr>
                  <w:instrText> PAGE </w:instrText>
                </w:r>
                <w:r>
                  <w:rPr/>
                  <w:fldChar w:fldCharType="separate"/>
                </w:r>
                <w:r>
                  <w:rPr/>
                  <w:t>87</w:t>
                </w:r>
                <w:r>
                  <w:rPr/>
                  <w:fldChar w:fldCharType="end"/>
                </w:r>
              </w:p>
            </w:txbxContent>
          </v:textbox>
          <w10:wrap type="none"/>
        </v:shape>
      </w:pict>
    </w:r>
  </w:p>
</w:ftr>
</file>

<file path=word/footer8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8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224.923203pt;margin-top:798.53833pt;width:311pt;height:17.45pt;mso-position-horizontal-relative:page;mso-position-vertical-relative:page;z-index:-268030976" type="#_x0000_t202" filled="false" stroked="false">
          <v:textbox inset="0,0,0,0">
            <w:txbxContent>
              <w:p>
                <w:pPr>
                  <w:spacing w:before="16"/>
                  <w:ind w:left="20" w:right="0" w:firstLine="0"/>
                  <w:jc w:val="left"/>
                  <w:rPr>
                    <w:rFonts w:ascii="Stone Sans II ITC Std X Bd" w:hAnsi="Stone Sans II ITC Std X Bd"/>
                    <w:b/>
                    <w:sz w:val="24"/>
                  </w:rPr>
                </w:pPr>
                <w:r>
                  <w:rPr>
                    <w:color w:val="7EAABF"/>
                    <w:w w:val="110"/>
                    <w:sz w:val="23"/>
                  </w:rPr>
                  <w:t>United Reformed Church </w:t>
                </w:r>
                <w:r>
                  <w:rPr>
                    <w:rFonts w:ascii="Symbol" w:hAnsi="Symbol"/>
                    <w:color w:val="7EAABF"/>
                    <w:w w:val="110"/>
                    <w:sz w:val="23"/>
                  </w:rPr>
                  <w:t></w:t>
                </w:r>
                <w:r>
                  <w:rPr>
                    <w:rFonts w:ascii="Times New Roman" w:hAnsi="Times New Roman"/>
                    <w:color w:val="7EAABF"/>
                    <w:w w:val="110"/>
                    <w:sz w:val="23"/>
                  </w:rPr>
                  <w:t> </w:t>
                </w:r>
                <w:r>
                  <w:rPr>
                    <w:color w:val="7EAABF"/>
                    <w:w w:val="110"/>
                    <w:sz w:val="23"/>
                  </w:rPr>
                  <w:t>General Assembly 2016 </w:t>
                </w:r>
                <w:r>
                  <w:rPr>
                    <w:rFonts w:ascii="Symbol" w:hAnsi="Symbol"/>
                    <w:color w:val="7EAABF"/>
                    <w:w w:val="110"/>
                    <w:sz w:val="23"/>
                  </w:rPr>
                  <w:t></w:t>
                </w:r>
                <w:r>
                  <w:rPr>
                    <w:rFonts w:ascii="Times New Roman" w:hAnsi="Times New Roman"/>
                    <w:color w:val="7EAABF"/>
                    <w:w w:val="110"/>
                    <w:sz w:val="23"/>
                  </w:rPr>
                  <w:t> </w:t>
                </w:r>
                <w:r>
                  <w:rPr/>
                  <w:fldChar w:fldCharType="begin"/>
                </w:r>
                <w:r>
                  <w:rPr>
                    <w:rFonts w:ascii="Stone Sans II ITC Std X Bd" w:hAnsi="Stone Sans II ITC Std X Bd"/>
                    <w:b/>
                    <w:w w:val="110"/>
                    <w:sz w:val="24"/>
                  </w:rPr>
                  <w:instrText> PAGE </w:instrText>
                </w:r>
                <w:r>
                  <w:rPr/>
                  <w:fldChar w:fldCharType="separate"/>
                </w:r>
                <w:r>
                  <w:rPr/>
                  <w:t>89</w:t>
                </w:r>
                <w:r>
                  <w:rPr/>
                  <w:fldChar w:fldCharType="end"/>
                </w:r>
              </w:p>
            </w:txbxContent>
          </v:textbox>
          <w10:wrap type="none"/>
        </v:shape>
      </w:pict>
    </w:r>
  </w:p>
</w:ftr>
</file>

<file path=word/footer8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8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8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59.362202pt;margin-top:798.53833pt;width:319.05pt;height:17.45pt;mso-position-horizontal-relative:page;mso-position-vertical-relative:page;z-index:-268027904" type="#_x0000_t202" filled="false" stroked="false">
          <v:textbox inset="0,0,0,0">
            <w:txbxContent>
              <w:p>
                <w:pPr>
                  <w:spacing w:before="16"/>
                  <w:ind w:left="60" w:right="0" w:firstLine="0"/>
                  <w:jc w:val="left"/>
                  <w:rPr>
                    <w:sz w:val="23"/>
                  </w:rPr>
                </w:pPr>
                <w:r>
                  <w:rPr/>
                  <w:fldChar w:fldCharType="begin"/>
                </w:r>
                <w:r>
                  <w:rPr>
                    <w:rFonts w:ascii="Stone Sans II ITC Std X Bd" w:hAnsi="Stone Sans II ITC Std X Bd"/>
                    <w:b/>
                    <w:w w:val="110"/>
                    <w:sz w:val="24"/>
                  </w:rPr>
                  <w:instrText> PAGE </w:instrText>
                </w:r>
                <w:r>
                  <w:rPr/>
                  <w:fldChar w:fldCharType="separate"/>
                </w:r>
                <w:r>
                  <w:rPr/>
                  <w:t>100</w:t>
                </w:r>
                <w:r>
                  <w:rPr/>
                  <w:fldChar w:fldCharType="end"/>
                </w:r>
                <w:r>
                  <w:rPr>
                    <w:rFonts w:ascii="Stone Sans II ITC Std X Bd" w:hAnsi="Stone Sans II ITC Std X Bd"/>
                    <w:b/>
                    <w:w w:val="110"/>
                    <w:sz w:val="24"/>
                  </w:rPr>
                  <w:t> </w:t>
                </w:r>
                <w:r>
                  <w:rPr>
                    <w:rFonts w:ascii="Symbol" w:hAnsi="Symbol"/>
                    <w:color w:val="7EAABF"/>
                    <w:w w:val="110"/>
                    <w:sz w:val="23"/>
                  </w:rPr>
                  <w:t></w:t>
                </w:r>
                <w:r>
                  <w:rPr>
                    <w:rFonts w:ascii="Times New Roman" w:hAnsi="Times New Roman"/>
                    <w:color w:val="7EAABF"/>
                    <w:w w:val="110"/>
                    <w:sz w:val="23"/>
                  </w:rPr>
                  <w:t> </w:t>
                </w:r>
                <w:r>
                  <w:rPr>
                    <w:color w:val="7EAABF"/>
                    <w:w w:val="110"/>
                    <w:sz w:val="23"/>
                  </w:rPr>
                  <w:t>United Reformed Church </w:t>
                </w:r>
                <w:r>
                  <w:rPr>
                    <w:rFonts w:ascii="Symbol" w:hAnsi="Symbol"/>
                    <w:color w:val="7EAABF"/>
                    <w:w w:val="110"/>
                    <w:sz w:val="23"/>
                  </w:rPr>
                  <w:t></w:t>
                </w:r>
                <w:r>
                  <w:rPr>
                    <w:rFonts w:ascii="Times New Roman" w:hAnsi="Times New Roman"/>
                    <w:color w:val="7EAABF"/>
                    <w:w w:val="110"/>
                    <w:sz w:val="23"/>
                  </w:rPr>
                  <w:t> </w:t>
                </w:r>
                <w:r>
                  <w:rPr>
                    <w:color w:val="7EAABF"/>
                    <w:w w:val="110"/>
                    <w:sz w:val="23"/>
                  </w:rPr>
                  <w:t>General Assembly 2016</w:t>
                </w:r>
              </w:p>
            </w:txbxContent>
          </v:textbox>
          <w10:wrap type="none"/>
        </v:shape>
      </w:pict>
    </w:r>
  </w:p>
</w:ftr>
</file>

<file path=word/footer8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216.907196pt;margin-top:798.53833pt;width:319.05pt;height:17.45pt;mso-position-horizontal-relative:page;mso-position-vertical-relative:page;z-index:-268026880" type="#_x0000_t202" filled="false" stroked="false">
          <v:textbox inset="0,0,0,0">
            <w:txbxContent>
              <w:p>
                <w:pPr>
                  <w:spacing w:before="16"/>
                  <w:ind w:left="20" w:right="0" w:firstLine="0"/>
                  <w:jc w:val="left"/>
                  <w:rPr>
                    <w:rFonts w:ascii="Stone Sans II ITC Std X Bd" w:hAnsi="Stone Sans II ITC Std X Bd"/>
                    <w:b/>
                    <w:sz w:val="24"/>
                  </w:rPr>
                </w:pPr>
                <w:r>
                  <w:rPr>
                    <w:color w:val="7EAABF"/>
                    <w:w w:val="110"/>
                    <w:sz w:val="23"/>
                  </w:rPr>
                  <w:t>United Reformed Church </w:t>
                </w:r>
                <w:r>
                  <w:rPr>
                    <w:rFonts w:ascii="Symbol" w:hAnsi="Symbol"/>
                    <w:color w:val="7EAABF"/>
                    <w:w w:val="110"/>
                    <w:sz w:val="23"/>
                  </w:rPr>
                  <w:t></w:t>
                </w:r>
                <w:r>
                  <w:rPr>
                    <w:rFonts w:ascii="Times New Roman" w:hAnsi="Times New Roman"/>
                    <w:color w:val="7EAABF"/>
                    <w:w w:val="110"/>
                    <w:sz w:val="23"/>
                  </w:rPr>
                  <w:t> </w:t>
                </w:r>
                <w:r>
                  <w:rPr>
                    <w:color w:val="7EAABF"/>
                    <w:w w:val="110"/>
                    <w:sz w:val="23"/>
                  </w:rPr>
                  <w:t>General Assembly 2016 </w:t>
                </w:r>
                <w:r>
                  <w:rPr>
                    <w:rFonts w:ascii="Symbol" w:hAnsi="Symbol"/>
                    <w:color w:val="7EAABF"/>
                    <w:w w:val="110"/>
                    <w:sz w:val="23"/>
                  </w:rPr>
                  <w:t></w:t>
                </w:r>
                <w:r>
                  <w:rPr>
                    <w:rFonts w:ascii="Times New Roman" w:hAnsi="Times New Roman"/>
                    <w:color w:val="7EAABF"/>
                    <w:w w:val="110"/>
                    <w:sz w:val="23"/>
                  </w:rPr>
                  <w:t> </w:t>
                </w:r>
                <w:r>
                  <w:rPr/>
                  <w:fldChar w:fldCharType="begin"/>
                </w:r>
                <w:r>
                  <w:rPr>
                    <w:rFonts w:ascii="Stone Sans II ITC Std X Bd" w:hAnsi="Stone Sans II ITC Std X Bd"/>
                    <w:b/>
                    <w:w w:val="110"/>
                    <w:sz w:val="24"/>
                  </w:rPr>
                  <w:instrText> PAGE </w:instrText>
                </w:r>
                <w:r>
                  <w:rPr/>
                  <w:fldChar w:fldCharType="separate"/>
                </w:r>
                <w:r>
                  <w:rPr/>
                  <w:t>101</w:t>
                </w:r>
                <w:r>
                  <w:rPr/>
                  <w:fldChar w:fldCharType="end"/>
                </w:r>
              </w:p>
            </w:txbxContent>
          </v:textbox>
          <w10:wrap type="none"/>
        </v:shape>
      </w:pict>
    </w:r>
  </w:p>
</w:ftr>
</file>

<file path=word/footer8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59.362202pt;margin-top:798.53833pt;width:311pt;height:17.45pt;mso-position-horizontal-relative:page;mso-position-vertical-relative:page;z-index:-268025856" type="#_x0000_t202" filled="false" stroked="false">
          <v:textbox inset="0,0,0,0">
            <w:txbxContent>
              <w:p>
                <w:pPr>
                  <w:spacing w:before="16"/>
                  <w:ind w:left="60" w:right="0" w:firstLine="0"/>
                  <w:jc w:val="left"/>
                  <w:rPr>
                    <w:sz w:val="23"/>
                  </w:rPr>
                </w:pPr>
                <w:r>
                  <w:rPr/>
                  <w:fldChar w:fldCharType="begin"/>
                </w:r>
                <w:r>
                  <w:rPr>
                    <w:rFonts w:ascii="Stone Sans II ITC Std X Bd" w:hAnsi="Stone Sans II ITC Std X Bd"/>
                    <w:b/>
                    <w:w w:val="110"/>
                    <w:sz w:val="24"/>
                  </w:rPr>
                  <w:instrText> PAGE </w:instrText>
                </w:r>
                <w:r>
                  <w:rPr/>
                  <w:fldChar w:fldCharType="separate"/>
                </w:r>
                <w:r>
                  <w:rPr/>
                  <w:t>94</w:t>
                </w:r>
                <w:r>
                  <w:rPr/>
                  <w:fldChar w:fldCharType="end"/>
                </w:r>
                <w:r>
                  <w:rPr>
                    <w:rFonts w:ascii="Stone Sans II ITC Std X Bd" w:hAnsi="Stone Sans II ITC Std X Bd"/>
                    <w:b/>
                    <w:w w:val="110"/>
                    <w:sz w:val="24"/>
                  </w:rPr>
                  <w:t> </w:t>
                </w:r>
                <w:r>
                  <w:rPr>
                    <w:rFonts w:ascii="Symbol" w:hAnsi="Symbol"/>
                    <w:color w:val="7EAABF"/>
                    <w:w w:val="110"/>
                    <w:sz w:val="23"/>
                  </w:rPr>
                  <w:t></w:t>
                </w:r>
                <w:r>
                  <w:rPr>
                    <w:rFonts w:ascii="Times New Roman" w:hAnsi="Times New Roman"/>
                    <w:color w:val="7EAABF"/>
                    <w:w w:val="110"/>
                    <w:sz w:val="23"/>
                  </w:rPr>
                  <w:t> </w:t>
                </w:r>
                <w:r>
                  <w:rPr>
                    <w:color w:val="7EAABF"/>
                    <w:w w:val="110"/>
                    <w:sz w:val="23"/>
                  </w:rPr>
                  <w:t>United Reformed Church </w:t>
                </w:r>
                <w:r>
                  <w:rPr>
                    <w:rFonts w:ascii="Symbol" w:hAnsi="Symbol"/>
                    <w:color w:val="7EAABF"/>
                    <w:w w:val="110"/>
                    <w:sz w:val="23"/>
                  </w:rPr>
                  <w:t></w:t>
                </w:r>
                <w:r>
                  <w:rPr>
                    <w:rFonts w:ascii="Times New Roman" w:hAnsi="Times New Roman"/>
                    <w:color w:val="7EAABF"/>
                    <w:w w:val="110"/>
                    <w:sz w:val="23"/>
                  </w:rPr>
                  <w:t> </w:t>
                </w:r>
                <w:r>
                  <w:rPr>
                    <w:color w:val="7EAABF"/>
                    <w:w w:val="110"/>
                    <w:sz w:val="23"/>
                  </w:rPr>
                  <w:t>General Assembly 2016</w:t>
                </w:r>
              </w:p>
            </w:txbxContent>
          </v:textbox>
          <w10:wrap type="none"/>
        </v:shape>
      </w:pict>
    </w:r>
  </w:p>
</w:ftr>
</file>

<file path=word/footer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59.362202pt;margin-top:798.53833pt;width:311.4pt;height:17.45pt;mso-position-horizontal-relative:page;mso-position-vertical-relative:page;z-index:-268100608" type="#_x0000_t202" filled="false" stroked="false">
          <v:textbox inset="0,0,0,0">
            <w:txbxContent>
              <w:p>
                <w:pPr>
                  <w:spacing w:before="16"/>
                  <w:ind w:left="60" w:right="0" w:firstLine="0"/>
                  <w:jc w:val="left"/>
                  <w:rPr>
                    <w:sz w:val="23"/>
                  </w:rPr>
                </w:pPr>
                <w:r>
                  <w:rPr/>
                  <w:fldChar w:fldCharType="begin"/>
                </w:r>
                <w:r>
                  <w:rPr>
                    <w:rFonts w:ascii="Stone Sans II ITC Std X Bd" w:hAnsi="Stone Sans II ITC Std X Bd"/>
                    <w:b/>
                    <w:w w:val="110"/>
                    <w:sz w:val="24"/>
                  </w:rPr>
                  <w:instrText> PAGE </w:instrText>
                </w:r>
                <w:r>
                  <w:rPr/>
                  <w:fldChar w:fldCharType="separate"/>
                </w:r>
                <w:r>
                  <w:rPr/>
                  <w:t>14</w:t>
                </w:r>
                <w:r>
                  <w:rPr/>
                  <w:fldChar w:fldCharType="end"/>
                </w:r>
                <w:r>
                  <w:rPr>
                    <w:rFonts w:ascii="Stone Sans II ITC Std X Bd" w:hAnsi="Stone Sans II ITC Std X Bd"/>
                    <w:b/>
                    <w:w w:val="110"/>
                    <w:sz w:val="24"/>
                  </w:rPr>
                  <w:t> </w:t>
                </w:r>
                <w:r>
                  <w:rPr>
                    <w:rFonts w:ascii="Symbol" w:hAnsi="Symbol"/>
                    <w:color w:val="7EAABF"/>
                    <w:w w:val="110"/>
                    <w:sz w:val="23"/>
                  </w:rPr>
                  <w:t></w:t>
                </w:r>
                <w:r>
                  <w:rPr>
                    <w:rFonts w:ascii="Times New Roman" w:hAnsi="Times New Roman"/>
                    <w:color w:val="7EAABF"/>
                    <w:w w:val="110"/>
                    <w:sz w:val="23"/>
                  </w:rPr>
                  <w:t> </w:t>
                </w:r>
                <w:r>
                  <w:rPr>
                    <w:color w:val="7EAABF"/>
                    <w:w w:val="110"/>
                    <w:sz w:val="23"/>
                  </w:rPr>
                  <w:t>United Reformed Church </w:t>
                </w:r>
                <w:r>
                  <w:rPr>
                    <w:rFonts w:ascii="Symbol" w:hAnsi="Symbol"/>
                    <w:color w:val="7EAABF"/>
                    <w:w w:val="110"/>
                    <w:sz w:val="23"/>
                  </w:rPr>
                  <w:t></w:t>
                </w:r>
                <w:r>
                  <w:rPr>
                    <w:rFonts w:ascii="Times New Roman" w:hAnsi="Times New Roman"/>
                    <w:color w:val="7EAABF"/>
                    <w:w w:val="110"/>
                    <w:sz w:val="23"/>
                  </w:rPr>
                  <w:t> </w:t>
                </w:r>
                <w:r>
                  <w:rPr>
                    <w:color w:val="7EAABF"/>
                    <w:w w:val="110"/>
                    <w:sz w:val="23"/>
                  </w:rPr>
                  <w:t>General Assembly 2016</w:t>
                </w:r>
              </w:p>
            </w:txbxContent>
          </v:textbox>
          <w10:wrap type="none"/>
        </v:shape>
      </w:pict>
    </w:r>
  </w:p>
</w:ftr>
</file>

<file path=word/footer9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224.923203pt;margin-top:798.53833pt;width:311pt;height:17.45pt;mso-position-horizontal-relative:page;mso-position-vertical-relative:page;z-index:-268024832" type="#_x0000_t202" filled="false" stroked="false">
          <v:textbox inset="0,0,0,0">
            <w:txbxContent>
              <w:p>
                <w:pPr>
                  <w:spacing w:before="16"/>
                  <w:ind w:left="20" w:right="0" w:firstLine="0"/>
                  <w:jc w:val="left"/>
                  <w:rPr>
                    <w:rFonts w:ascii="Stone Sans II ITC Std X Bd" w:hAnsi="Stone Sans II ITC Std X Bd"/>
                    <w:b/>
                    <w:sz w:val="24"/>
                  </w:rPr>
                </w:pPr>
                <w:r>
                  <w:rPr>
                    <w:color w:val="7EAABF"/>
                    <w:w w:val="110"/>
                    <w:sz w:val="23"/>
                  </w:rPr>
                  <w:t>United Reformed Church </w:t>
                </w:r>
                <w:r>
                  <w:rPr>
                    <w:rFonts w:ascii="Symbol" w:hAnsi="Symbol"/>
                    <w:color w:val="7EAABF"/>
                    <w:w w:val="110"/>
                    <w:sz w:val="23"/>
                  </w:rPr>
                  <w:t></w:t>
                </w:r>
                <w:r>
                  <w:rPr>
                    <w:rFonts w:ascii="Times New Roman" w:hAnsi="Times New Roman"/>
                    <w:color w:val="7EAABF"/>
                    <w:w w:val="110"/>
                    <w:sz w:val="23"/>
                  </w:rPr>
                  <w:t> </w:t>
                </w:r>
                <w:r>
                  <w:rPr>
                    <w:color w:val="7EAABF"/>
                    <w:w w:val="110"/>
                    <w:sz w:val="23"/>
                  </w:rPr>
                  <w:t>General Assembly 2016 </w:t>
                </w:r>
                <w:r>
                  <w:rPr>
                    <w:rFonts w:ascii="Symbol" w:hAnsi="Symbol"/>
                    <w:color w:val="7EAABF"/>
                    <w:w w:val="110"/>
                    <w:sz w:val="23"/>
                  </w:rPr>
                  <w:t></w:t>
                </w:r>
                <w:r>
                  <w:rPr>
                    <w:rFonts w:ascii="Times New Roman" w:hAnsi="Times New Roman"/>
                    <w:color w:val="7EAABF"/>
                    <w:w w:val="110"/>
                    <w:sz w:val="23"/>
                  </w:rPr>
                  <w:t> </w:t>
                </w:r>
                <w:r>
                  <w:rPr/>
                  <w:fldChar w:fldCharType="begin"/>
                </w:r>
                <w:r>
                  <w:rPr>
                    <w:rFonts w:ascii="Stone Sans II ITC Std X Bd" w:hAnsi="Stone Sans II ITC Std X Bd"/>
                    <w:b/>
                    <w:w w:val="110"/>
                    <w:sz w:val="24"/>
                  </w:rPr>
                  <w:instrText> PAGE </w:instrText>
                </w:r>
                <w:r>
                  <w:rPr/>
                  <w:fldChar w:fldCharType="separate"/>
                </w:r>
                <w:r>
                  <w:rPr/>
                  <w:t>95</w:t>
                </w:r>
                <w:r>
                  <w:rPr/>
                  <w:fldChar w:fldCharType="end"/>
                </w:r>
              </w:p>
            </w:txbxContent>
          </v:textbox>
          <w10:wrap type="none"/>
        </v:shape>
      </w:pict>
    </w:r>
  </w:p>
</w:ftr>
</file>

<file path=word/footer9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59.362202pt;margin-top:798.53833pt;width:311pt;height:17.45pt;mso-position-horizontal-relative:page;mso-position-vertical-relative:page;z-index:-268023808" type="#_x0000_t202" filled="false" stroked="false">
          <v:textbox inset="0,0,0,0">
            <w:txbxContent>
              <w:p>
                <w:pPr>
                  <w:spacing w:before="16"/>
                  <w:ind w:left="60" w:right="0" w:firstLine="0"/>
                  <w:jc w:val="left"/>
                  <w:rPr>
                    <w:sz w:val="23"/>
                  </w:rPr>
                </w:pPr>
                <w:r>
                  <w:rPr/>
                  <w:fldChar w:fldCharType="begin"/>
                </w:r>
                <w:r>
                  <w:rPr>
                    <w:rFonts w:ascii="Stone Sans II ITC Std X Bd" w:hAnsi="Stone Sans II ITC Std X Bd"/>
                    <w:b/>
                    <w:w w:val="110"/>
                    <w:sz w:val="24"/>
                  </w:rPr>
                  <w:instrText> PAGE </w:instrText>
                </w:r>
                <w:r>
                  <w:rPr/>
                  <w:fldChar w:fldCharType="separate"/>
                </w:r>
                <w:r>
                  <w:rPr/>
                  <w:t>96</w:t>
                </w:r>
                <w:r>
                  <w:rPr/>
                  <w:fldChar w:fldCharType="end"/>
                </w:r>
                <w:r>
                  <w:rPr>
                    <w:rFonts w:ascii="Stone Sans II ITC Std X Bd" w:hAnsi="Stone Sans II ITC Std X Bd"/>
                    <w:b/>
                    <w:w w:val="110"/>
                    <w:sz w:val="24"/>
                  </w:rPr>
                  <w:t> </w:t>
                </w:r>
                <w:r>
                  <w:rPr>
                    <w:rFonts w:ascii="Symbol" w:hAnsi="Symbol"/>
                    <w:color w:val="7EAABF"/>
                    <w:w w:val="110"/>
                    <w:sz w:val="23"/>
                  </w:rPr>
                  <w:t></w:t>
                </w:r>
                <w:r>
                  <w:rPr>
                    <w:rFonts w:ascii="Times New Roman" w:hAnsi="Times New Roman"/>
                    <w:color w:val="7EAABF"/>
                    <w:w w:val="110"/>
                    <w:sz w:val="23"/>
                  </w:rPr>
                  <w:t> </w:t>
                </w:r>
                <w:r>
                  <w:rPr>
                    <w:color w:val="7EAABF"/>
                    <w:w w:val="110"/>
                    <w:sz w:val="23"/>
                  </w:rPr>
                  <w:t>United Reformed Church </w:t>
                </w:r>
                <w:r>
                  <w:rPr>
                    <w:rFonts w:ascii="Symbol" w:hAnsi="Symbol"/>
                    <w:color w:val="7EAABF"/>
                    <w:w w:val="110"/>
                    <w:sz w:val="23"/>
                  </w:rPr>
                  <w:t></w:t>
                </w:r>
                <w:r>
                  <w:rPr>
                    <w:rFonts w:ascii="Times New Roman" w:hAnsi="Times New Roman"/>
                    <w:color w:val="7EAABF"/>
                    <w:w w:val="110"/>
                    <w:sz w:val="23"/>
                  </w:rPr>
                  <w:t> </w:t>
                </w:r>
                <w:r>
                  <w:rPr>
                    <w:color w:val="7EAABF"/>
                    <w:w w:val="110"/>
                    <w:sz w:val="23"/>
                  </w:rPr>
                  <w:t>General Assembly 2016</w:t>
                </w:r>
              </w:p>
            </w:txbxContent>
          </v:textbox>
          <w10:wrap type="none"/>
        </v:shape>
      </w:pict>
    </w:r>
  </w:p>
</w:ftr>
</file>

<file path=word/footer9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224.923203pt;margin-top:798.53833pt;width:311pt;height:17.45pt;mso-position-horizontal-relative:page;mso-position-vertical-relative:page;z-index:-268022784" type="#_x0000_t202" filled="false" stroked="false">
          <v:textbox inset="0,0,0,0">
            <w:txbxContent>
              <w:p>
                <w:pPr>
                  <w:spacing w:before="16"/>
                  <w:ind w:left="20" w:right="0" w:firstLine="0"/>
                  <w:jc w:val="left"/>
                  <w:rPr>
                    <w:rFonts w:ascii="Stone Sans II ITC Std X Bd" w:hAnsi="Stone Sans II ITC Std X Bd"/>
                    <w:b/>
                    <w:sz w:val="24"/>
                  </w:rPr>
                </w:pPr>
                <w:r>
                  <w:rPr>
                    <w:color w:val="7EAABF"/>
                    <w:w w:val="110"/>
                    <w:sz w:val="23"/>
                  </w:rPr>
                  <w:t>United Reformed Church </w:t>
                </w:r>
                <w:r>
                  <w:rPr>
                    <w:rFonts w:ascii="Symbol" w:hAnsi="Symbol"/>
                    <w:color w:val="7EAABF"/>
                    <w:w w:val="110"/>
                    <w:sz w:val="23"/>
                  </w:rPr>
                  <w:t></w:t>
                </w:r>
                <w:r>
                  <w:rPr>
                    <w:rFonts w:ascii="Times New Roman" w:hAnsi="Times New Roman"/>
                    <w:color w:val="7EAABF"/>
                    <w:w w:val="110"/>
                    <w:sz w:val="23"/>
                  </w:rPr>
                  <w:t> </w:t>
                </w:r>
                <w:r>
                  <w:rPr>
                    <w:color w:val="7EAABF"/>
                    <w:w w:val="110"/>
                    <w:sz w:val="23"/>
                  </w:rPr>
                  <w:t>General Assembly 2016 </w:t>
                </w:r>
                <w:r>
                  <w:rPr>
                    <w:rFonts w:ascii="Symbol" w:hAnsi="Symbol"/>
                    <w:color w:val="7EAABF"/>
                    <w:w w:val="110"/>
                    <w:sz w:val="23"/>
                  </w:rPr>
                  <w:t></w:t>
                </w:r>
                <w:r>
                  <w:rPr>
                    <w:rFonts w:ascii="Times New Roman" w:hAnsi="Times New Roman"/>
                    <w:color w:val="7EAABF"/>
                    <w:w w:val="110"/>
                    <w:sz w:val="23"/>
                  </w:rPr>
                  <w:t> </w:t>
                </w:r>
                <w:r>
                  <w:rPr/>
                  <w:fldChar w:fldCharType="begin"/>
                </w:r>
                <w:r>
                  <w:rPr>
                    <w:rFonts w:ascii="Stone Sans II ITC Std X Bd" w:hAnsi="Stone Sans II ITC Std X Bd"/>
                    <w:b/>
                    <w:w w:val="110"/>
                    <w:sz w:val="24"/>
                  </w:rPr>
                  <w:instrText> PAGE </w:instrText>
                </w:r>
                <w:r>
                  <w:rPr/>
                  <w:fldChar w:fldCharType="separate"/>
                </w:r>
                <w:r>
                  <w:rPr/>
                  <w:t>97</w:t>
                </w:r>
                <w:r>
                  <w:rPr/>
                  <w:fldChar w:fldCharType="end"/>
                </w:r>
              </w:p>
            </w:txbxContent>
          </v:textbox>
          <w10:wrap type="none"/>
        </v:shape>
      </w:pict>
    </w:r>
  </w:p>
</w:ftr>
</file>

<file path=word/footer9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59.362202pt;margin-top:798.53833pt;width:311pt;height:17.45pt;mso-position-horizontal-relative:page;mso-position-vertical-relative:page;z-index:-268021760" type="#_x0000_t202" filled="false" stroked="false">
          <v:textbox inset="0,0,0,0">
            <w:txbxContent>
              <w:p>
                <w:pPr>
                  <w:spacing w:before="16"/>
                  <w:ind w:left="60" w:right="0" w:firstLine="0"/>
                  <w:jc w:val="left"/>
                  <w:rPr>
                    <w:sz w:val="23"/>
                  </w:rPr>
                </w:pPr>
                <w:r>
                  <w:rPr/>
                  <w:fldChar w:fldCharType="begin"/>
                </w:r>
                <w:r>
                  <w:rPr>
                    <w:rFonts w:ascii="Stone Sans II ITC Std X Bd" w:hAnsi="Stone Sans II ITC Std X Bd"/>
                    <w:b/>
                    <w:w w:val="110"/>
                    <w:sz w:val="24"/>
                  </w:rPr>
                  <w:instrText> PAGE </w:instrText>
                </w:r>
                <w:r>
                  <w:rPr/>
                  <w:fldChar w:fldCharType="separate"/>
                </w:r>
                <w:r>
                  <w:rPr/>
                  <w:t>98</w:t>
                </w:r>
                <w:r>
                  <w:rPr/>
                  <w:fldChar w:fldCharType="end"/>
                </w:r>
                <w:r>
                  <w:rPr>
                    <w:rFonts w:ascii="Stone Sans II ITC Std X Bd" w:hAnsi="Stone Sans II ITC Std X Bd"/>
                    <w:b/>
                    <w:w w:val="110"/>
                    <w:sz w:val="24"/>
                  </w:rPr>
                  <w:t> </w:t>
                </w:r>
                <w:r>
                  <w:rPr>
                    <w:rFonts w:ascii="Symbol" w:hAnsi="Symbol"/>
                    <w:color w:val="7EAABF"/>
                    <w:w w:val="110"/>
                    <w:sz w:val="23"/>
                  </w:rPr>
                  <w:t></w:t>
                </w:r>
                <w:r>
                  <w:rPr>
                    <w:rFonts w:ascii="Times New Roman" w:hAnsi="Times New Roman"/>
                    <w:color w:val="7EAABF"/>
                    <w:w w:val="110"/>
                    <w:sz w:val="23"/>
                  </w:rPr>
                  <w:t> </w:t>
                </w:r>
                <w:r>
                  <w:rPr>
                    <w:color w:val="7EAABF"/>
                    <w:w w:val="110"/>
                    <w:sz w:val="23"/>
                  </w:rPr>
                  <w:t>United Reformed Church </w:t>
                </w:r>
                <w:r>
                  <w:rPr>
                    <w:rFonts w:ascii="Symbol" w:hAnsi="Symbol"/>
                    <w:color w:val="7EAABF"/>
                    <w:w w:val="110"/>
                    <w:sz w:val="23"/>
                  </w:rPr>
                  <w:t></w:t>
                </w:r>
                <w:r>
                  <w:rPr>
                    <w:rFonts w:ascii="Times New Roman" w:hAnsi="Times New Roman"/>
                    <w:color w:val="7EAABF"/>
                    <w:w w:val="110"/>
                    <w:sz w:val="23"/>
                  </w:rPr>
                  <w:t> </w:t>
                </w:r>
                <w:r>
                  <w:rPr>
                    <w:color w:val="7EAABF"/>
                    <w:w w:val="110"/>
                    <w:sz w:val="23"/>
                  </w:rPr>
                  <w:t>General Assembly 2016</w:t>
                </w:r>
              </w:p>
            </w:txbxContent>
          </v:textbox>
          <w10:wrap type="none"/>
        </v:shape>
      </w:pict>
    </w:r>
  </w:p>
</w:ftr>
</file>

<file path=word/footer9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224.923203pt;margin-top:798.53833pt;width:311pt;height:17.45pt;mso-position-horizontal-relative:page;mso-position-vertical-relative:page;z-index:-268020736" type="#_x0000_t202" filled="false" stroked="false">
          <v:textbox inset="0,0,0,0">
            <w:txbxContent>
              <w:p>
                <w:pPr>
                  <w:spacing w:before="16"/>
                  <w:ind w:left="20" w:right="0" w:firstLine="0"/>
                  <w:jc w:val="left"/>
                  <w:rPr>
                    <w:rFonts w:ascii="Stone Sans II ITC Std X Bd" w:hAnsi="Stone Sans II ITC Std X Bd"/>
                    <w:b/>
                    <w:sz w:val="24"/>
                  </w:rPr>
                </w:pPr>
                <w:r>
                  <w:rPr>
                    <w:color w:val="7EAABF"/>
                    <w:w w:val="110"/>
                    <w:sz w:val="23"/>
                  </w:rPr>
                  <w:t>United Reformed Church </w:t>
                </w:r>
                <w:r>
                  <w:rPr>
                    <w:rFonts w:ascii="Symbol" w:hAnsi="Symbol"/>
                    <w:color w:val="7EAABF"/>
                    <w:w w:val="110"/>
                    <w:sz w:val="23"/>
                  </w:rPr>
                  <w:t></w:t>
                </w:r>
                <w:r>
                  <w:rPr>
                    <w:rFonts w:ascii="Times New Roman" w:hAnsi="Times New Roman"/>
                    <w:color w:val="7EAABF"/>
                    <w:w w:val="110"/>
                    <w:sz w:val="23"/>
                  </w:rPr>
                  <w:t> </w:t>
                </w:r>
                <w:r>
                  <w:rPr>
                    <w:color w:val="7EAABF"/>
                    <w:w w:val="110"/>
                    <w:sz w:val="23"/>
                  </w:rPr>
                  <w:t>General Assembly 2016 </w:t>
                </w:r>
                <w:r>
                  <w:rPr>
                    <w:rFonts w:ascii="Symbol" w:hAnsi="Symbol"/>
                    <w:color w:val="7EAABF"/>
                    <w:w w:val="110"/>
                    <w:sz w:val="23"/>
                  </w:rPr>
                  <w:t></w:t>
                </w:r>
                <w:r>
                  <w:rPr>
                    <w:rFonts w:ascii="Times New Roman" w:hAnsi="Times New Roman"/>
                    <w:color w:val="7EAABF"/>
                    <w:w w:val="110"/>
                    <w:sz w:val="23"/>
                  </w:rPr>
                  <w:t> </w:t>
                </w:r>
                <w:r>
                  <w:rPr/>
                  <w:fldChar w:fldCharType="begin"/>
                </w:r>
                <w:r>
                  <w:rPr>
                    <w:rFonts w:ascii="Stone Sans II ITC Std X Bd" w:hAnsi="Stone Sans II ITC Std X Bd"/>
                    <w:b/>
                    <w:w w:val="110"/>
                    <w:sz w:val="24"/>
                  </w:rPr>
                  <w:instrText> PAGE </w:instrText>
                </w:r>
                <w:r>
                  <w:rPr/>
                  <w:fldChar w:fldCharType="separate"/>
                </w:r>
                <w:r>
                  <w:rPr/>
                  <w:t>99</w:t>
                </w:r>
                <w:r>
                  <w:rPr/>
                  <w:fldChar w:fldCharType="end"/>
                </w:r>
              </w:p>
            </w:txbxContent>
          </v:textbox>
          <w10:wrap type="none"/>
        </v:shape>
      </w:pict>
    </w:r>
  </w:p>
</w:ftr>
</file>

<file path=word/footer9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59.362202pt;margin-top:798.53833pt;width:319.05pt;height:17.45pt;mso-position-horizontal-relative:page;mso-position-vertical-relative:page;z-index:-268019712" type="#_x0000_t202" filled="false" stroked="false">
          <v:textbox inset="0,0,0,0">
            <w:txbxContent>
              <w:p>
                <w:pPr>
                  <w:spacing w:before="16"/>
                  <w:ind w:left="60" w:right="0" w:firstLine="0"/>
                  <w:jc w:val="left"/>
                  <w:rPr>
                    <w:sz w:val="23"/>
                  </w:rPr>
                </w:pPr>
                <w:r>
                  <w:rPr/>
                  <w:fldChar w:fldCharType="begin"/>
                </w:r>
                <w:r>
                  <w:rPr>
                    <w:rFonts w:ascii="Stone Sans II ITC Std X Bd" w:hAnsi="Stone Sans II ITC Std X Bd"/>
                    <w:b/>
                    <w:w w:val="110"/>
                    <w:sz w:val="24"/>
                  </w:rPr>
                  <w:instrText> PAGE </w:instrText>
                </w:r>
                <w:r>
                  <w:rPr/>
                  <w:fldChar w:fldCharType="separate"/>
                </w:r>
                <w:r>
                  <w:rPr/>
                  <w:t>100</w:t>
                </w:r>
                <w:r>
                  <w:rPr/>
                  <w:fldChar w:fldCharType="end"/>
                </w:r>
                <w:r>
                  <w:rPr>
                    <w:rFonts w:ascii="Stone Sans II ITC Std X Bd" w:hAnsi="Stone Sans II ITC Std X Bd"/>
                    <w:b/>
                    <w:w w:val="110"/>
                    <w:sz w:val="24"/>
                  </w:rPr>
                  <w:t> </w:t>
                </w:r>
                <w:r>
                  <w:rPr>
                    <w:rFonts w:ascii="Symbol" w:hAnsi="Symbol"/>
                    <w:color w:val="7EAABF"/>
                    <w:w w:val="110"/>
                    <w:sz w:val="23"/>
                  </w:rPr>
                  <w:t></w:t>
                </w:r>
                <w:r>
                  <w:rPr>
                    <w:rFonts w:ascii="Times New Roman" w:hAnsi="Times New Roman"/>
                    <w:color w:val="7EAABF"/>
                    <w:w w:val="110"/>
                    <w:sz w:val="23"/>
                  </w:rPr>
                  <w:t> </w:t>
                </w:r>
                <w:r>
                  <w:rPr>
                    <w:color w:val="7EAABF"/>
                    <w:w w:val="110"/>
                    <w:sz w:val="23"/>
                  </w:rPr>
                  <w:t>United Reformed Church </w:t>
                </w:r>
                <w:r>
                  <w:rPr>
                    <w:rFonts w:ascii="Symbol" w:hAnsi="Symbol"/>
                    <w:color w:val="7EAABF"/>
                    <w:w w:val="110"/>
                    <w:sz w:val="23"/>
                  </w:rPr>
                  <w:t></w:t>
                </w:r>
                <w:r>
                  <w:rPr>
                    <w:rFonts w:ascii="Times New Roman" w:hAnsi="Times New Roman"/>
                    <w:color w:val="7EAABF"/>
                    <w:w w:val="110"/>
                    <w:sz w:val="23"/>
                  </w:rPr>
                  <w:t> </w:t>
                </w:r>
                <w:r>
                  <w:rPr>
                    <w:color w:val="7EAABF"/>
                    <w:w w:val="110"/>
                    <w:sz w:val="23"/>
                  </w:rPr>
                  <w:t>General Assembly 2016</w:t>
                </w:r>
              </w:p>
            </w:txbxContent>
          </v:textbox>
          <w10:wrap type="none"/>
        </v:shape>
      </w:pict>
    </w:r>
  </w:p>
</w:ftr>
</file>

<file path=word/footer9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216.907196pt;margin-top:798.53833pt;width:319.05pt;height:17.45pt;mso-position-horizontal-relative:page;mso-position-vertical-relative:page;z-index:-268018688" type="#_x0000_t202" filled="false" stroked="false">
          <v:textbox inset="0,0,0,0">
            <w:txbxContent>
              <w:p>
                <w:pPr>
                  <w:spacing w:before="16"/>
                  <w:ind w:left="20" w:right="0" w:firstLine="0"/>
                  <w:jc w:val="left"/>
                  <w:rPr>
                    <w:rFonts w:ascii="Stone Sans II ITC Std X Bd" w:hAnsi="Stone Sans II ITC Std X Bd"/>
                    <w:b/>
                    <w:sz w:val="24"/>
                  </w:rPr>
                </w:pPr>
                <w:r>
                  <w:rPr>
                    <w:color w:val="7EAABF"/>
                    <w:w w:val="110"/>
                    <w:sz w:val="23"/>
                  </w:rPr>
                  <w:t>United Reformed Church </w:t>
                </w:r>
                <w:r>
                  <w:rPr>
                    <w:rFonts w:ascii="Symbol" w:hAnsi="Symbol"/>
                    <w:color w:val="7EAABF"/>
                    <w:w w:val="110"/>
                    <w:sz w:val="23"/>
                  </w:rPr>
                  <w:t></w:t>
                </w:r>
                <w:r>
                  <w:rPr>
                    <w:rFonts w:ascii="Times New Roman" w:hAnsi="Times New Roman"/>
                    <w:color w:val="7EAABF"/>
                    <w:w w:val="110"/>
                    <w:sz w:val="23"/>
                  </w:rPr>
                  <w:t> </w:t>
                </w:r>
                <w:r>
                  <w:rPr>
                    <w:color w:val="7EAABF"/>
                    <w:w w:val="110"/>
                    <w:sz w:val="23"/>
                  </w:rPr>
                  <w:t>General Assembly 2016 </w:t>
                </w:r>
                <w:r>
                  <w:rPr>
                    <w:rFonts w:ascii="Symbol" w:hAnsi="Symbol"/>
                    <w:color w:val="7EAABF"/>
                    <w:w w:val="110"/>
                    <w:sz w:val="23"/>
                  </w:rPr>
                  <w:t></w:t>
                </w:r>
                <w:r>
                  <w:rPr>
                    <w:rFonts w:ascii="Times New Roman" w:hAnsi="Times New Roman"/>
                    <w:color w:val="7EAABF"/>
                    <w:w w:val="110"/>
                    <w:sz w:val="23"/>
                  </w:rPr>
                  <w:t> </w:t>
                </w:r>
                <w:r>
                  <w:rPr/>
                  <w:fldChar w:fldCharType="begin"/>
                </w:r>
                <w:r>
                  <w:rPr>
                    <w:rFonts w:ascii="Stone Sans II ITC Std X Bd" w:hAnsi="Stone Sans II ITC Std X Bd"/>
                    <w:b/>
                    <w:w w:val="110"/>
                    <w:sz w:val="24"/>
                  </w:rPr>
                  <w:instrText> PAGE </w:instrText>
                </w:r>
                <w:r>
                  <w:rPr/>
                  <w:fldChar w:fldCharType="separate"/>
                </w:r>
                <w:r>
                  <w:rPr/>
                  <w:t>101</w:t>
                </w:r>
                <w:r>
                  <w:rPr/>
                  <w:fldChar w:fldCharType="end"/>
                </w:r>
              </w:p>
            </w:txbxContent>
          </v:textbox>
          <w10:wrap type="none"/>
        </v:shape>
      </w:pict>
    </w:r>
  </w:p>
</w:ftr>
</file>

<file path=word/footer9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59.362202pt;margin-top:798.53833pt;width:319.05pt;height:17.45pt;mso-position-horizontal-relative:page;mso-position-vertical-relative:page;z-index:-268017664" type="#_x0000_t202" filled="false" stroked="false">
          <v:textbox inset="0,0,0,0">
            <w:txbxContent>
              <w:p>
                <w:pPr>
                  <w:spacing w:before="16"/>
                  <w:ind w:left="60" w:right="0" w:firstLine="0"/>
                  <w:jc w:val="left"/>
                  <w:rPr>
                    <w:sz w:val="23"/>
                  </w:rPr>
                </w:pPr>
                <w:r>
                  <w:rPr/>
                  <w:fldChar w:fldCharType="begin"/>
                </w:r>
                <w:r>
                  <w:rPr>
                    <w:rFonts w:ascii="Stone Sans II ITC Std X Bd" w:hAnsi="Stone Sans II ITC Std X Bd"/>
                    <w:b/>
                    <w:w w:val="110"/>
                    <w:sz w:val="24"/>
                  </w:rPr>
                  <w:instrText> PAGE </w:instrText>
                </w:r>
                <w:r>
                  <w:rPr/>
                  <w:fldChar w:fldCharType="separate"/>
                </w:r>
                <w:r>
                  <w:rPr/>
                  <w:t>102</w:t>
                </w:r>
                <w:r>
                  <w:rPr/>
                  <w:fldChar w:fldCharType="end"/>
                </w:r>
                <w:r>
                  <w:rPr>
                    <w:rFonts w:ascii="Stone Sans II ITC Std X Bd" w:hAnsi="Stone Sans II ITC Std X Bd"/>
                    <w:b/>
                    <w:w w:val="110"/>
                    <w:sz w:val="24"/>
                  </w:rPr>
                  <w:t> </w:t>
                </w:r>
                <w:r>
                  <w:rPr>
                    <w:rFonts w:ascii="Symbol" w:hAnsi="Symbol"/>
                    <w:color w:val="7EAABF"/>
                    <w:w w:val="110"/>
                    <w:sz w:val="23"/>
                  </w:rPr>
                  <w:t></w:t>
                </w:r>
                <w:r>
                  <w:rPr>
                    <w:rFonts w:ascii="Times New Roman" w:hAnsi="Times New Roman"/>
                    <w:color w:val="7EAABF"/>
                    <w:w w:val="110"/>
                    <w:sz w:val="23"/>
                  </w:rPr>
                  <w:t> </w:t>
                </w:r>
                <w:r>
                  <w:rPr>
                    <w:color w:val="7EAABF"/>
                    <w:w w:val="110"/>
                    <w:sz w:val="23"/>
                  </w:rPr>
                  <w:t>United Reformed Church </w:t>
                </w:r>
                <w:r>
                  <w:rPr>
                    <w:rFonts w:ascii="Symbol" w:hAnsi="Symbol"/>
                    <w:color w:val="7EAABF"/>
                    <w:w w:val="110"/>
                    <w:sz w:val="23"/>
                  </w:rPr>
                  <w:t></w:t>
                </w:r>
                <w:r>
                  <w:rPr>
                    <w:rFonts w:ascii="Times New Roman" w:hAnsi="Times New Roman"/>
                    <w:color w:val="7EAABF"/>
                    <w:w w:val="110"/>
                    <w:sz w:val="23"/>
                  </w:rPr>
                  <w:t> </w:t>
                </w:r>
                <w:r>
                  <w:rPr>
                    <w:color w:val="7EAABF"/>
                    <w:w w:val="110"/>
                    <w:sz w:val="23"/>
                  </w:rPr>
                  <w:t>General Assembly 2016</w:t>
                </w:r>
              </w:p>
            </w:txbxContent>
          </v:textbox>
          <w10:wrap type="none"/>
        </v:shape>
      </w:pict>
    </w:r>
  </w:p>
</w:ftr>
</file>

<file path=word/footer9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216.907196pt;margin-top:798.53833pt;width:319.05pt;height:17.45pt;mso-position-horizontal-relative:page;mso-position-vertical-relative:page;z-index:-268016640" type="#_x0000_t202" filled="false" stroked="false">
          <v:textbox inset="0,0,0,0">
            <w:txbxContent>
              <w:p>
                <w:pPr>
                  <w:spacing w:before="16"/>
                  <w:ind w:left="20" w:right="0" w:firstLine="0"/>
                  <w:jc w:val="left"/>
                  <w:rPr>
                    <w:rFonts w:ascii="Stone Sans II ITC Std X Bd" w:hAnsi="Stone Sans II ITC Std X Bd"/>
                    <w:b/>
                    <w:sz w:val="24"/>
                  </w:rPr>
                </w:pPr>
                <w:r>
                  <w:rPr>
                    <w:color w:val="7EAABF"/>
                    <w:w w:val="110"/>
                    <w:sz w:val="23"/>
                  </w:rPr>
                  <w:t>United Reformed Church </w:t>
                </w:r>
                <w:r>
                  <w:rPr>
                    <w:rFonts w:ascii="Symbol" w:hAnsi="Symbol"/>
                    <w:color w:val="7EAABF"/>
                    <w:w w:val="110"/>
                    <w:sz w:val="23"/>
                  </w:rPr>
                  <w:t></w:t>
                </w:r>
                <w:r>
                  <w:rPr>
                    <w:rFonts w:ascii="Times New Roman" w:hAnsi="Times New Roman"/>
                    <w:color w:val="7EAABF"/>
                    <w:w w:val="110"/>
                    <w:sz w:val="23"/>
                  </w:rPr>
                  <w:t> </w:t>
                </w:r>
                <w:r>
                  <w:rPr>
                    <w:color w:val="7EAABF"/>
                    <w:w w:val="110"/>
                    <w:sz w:val="23"/>
                  </w:rPr>
                  <w:t>General Assembly 2016 </w:t>
                </w:r>
                <w:r>
                  <w:rPr>
                    <w:rFonts w:ascii="Symbol" w:hAnsi="Symbol"/>
                    <w:color w:val="7EAABF"/>
                    <w:w w:val="110"/>
                    <w:sz w:val="23"/>
                  </w:rPr>
                  <w:t></w:t>
                </w:r>
                <w:r>
                  <w:rPr>
                    <w:rFonts w:ascii="Times New Roman" w:hAnsi="Times New Roman"/>
                    <w:color w:val="7EAABF"/>
                    <w:w w:val="110"/>
                    <w:sz w:val="23"/>
                  </w:rPr>
                  <w:t> </w:t>
                </w:r>
                <w:r>
                  <w:rPr/>
                  <w:fldChar w:fldCharType="begin"/>
                </w:r>
                <w:r>
                  <w:rPr>
                    <w:rFonts w:ascii="Stone Sans II ITC Std X Bd" w:hAnsi="Stone Sans II ITC Std X Bd"/>
                    <w:b/>
                    <w:w w:val="110"/>
                    <w:sz w:val="24"/>
                  </w:rPr>
                  <w:instrText> PAGE </w:instrText>
                </w:r>
                <w:r>
                  <w:rPr/>
                  <w:fldChar w:fldCharType="separate"/>
                </w:r>
                <w:r>
                  <w:rPr/>
                  <w:t>103</w:t>
                </w:r>
                <w:r>
                  <w:rPr/>
                  <w:fldChar w:fldCharType="end"/>
                </w:r>
              </w:p>
            </w:txbxContent>
          </v:textbox>
          <w10:wrap type="none"/>
        </v:shape>
      </w:pict>
    </w:r>
  </w:p>
</w:ftr>
</file>

<file path=word/footer9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59.362202pt;margin-top:798.53833pt;width:319.05pt;height:17.45pt;mso-position-horizontal-relative:page;mso-position-vertical-relative:page;z-index:-268015616" type="#_x0000_t202" filled="false" stroked="false">
          <v:textbox inset="0,0,0,0">
            <w:txbxContent>
              <w:p>
                <w:pPr>
                  <w:spacing w:before="16"/>
                  <w:ind w:left="60" w:right="0" w:firstLine="0"/>
                  <w:jc w:val="left"/>
                  <w:rPr>
                    <w:sz w:val="23"/>
                  </w:rPr>
                </w:pPr>
                <w:r>
                  <w:rPr/>
                  <w:fldChar w:fldCharType="begin"/>
                </w:r>
                <w:r>
                  <w:rPr>
                    <w:rFonts w:ascii="Stone Sans II ITC Std X Bd" w:hAnsi="Stone Sans II ITC Std X Bd"/>
                    <w:b/>
                    <w:w w:val="110"/>
                    <w:sz w:val="24"/>
                  </w:rPr>
                  <w:instrText> PAGE </w:instrText>
                </w:r>
                <w:r>
                  <w:rPr/>
                  <w:fldChar w:fldCharType="separate"/>
                </w:r>
                <w:r>
                  <w:rPr/>
                  <w:t>104</w:t>
                </w:r>
                <w:r>
                  <w:rPr/>
                  <w:fldChar w:fldCharType="end"/>
                </w:r>
                <w:r>
                  <w:rPr>
                    <w:rFonts w:ascii="Stone Sans II ITC Std X Bd" w:hAnsi="Stone Sans II ITC Std X Bd"/>
                    <w:b/>
                    <w:w w:val="110"/>
                    <w:sz w:val="24"/>
                  </w:rPr>
                  <w:t> </w:t>
                </w:r>
                <w:r>
                  <w:rPr>
                    <w:rFonts w:ascii="Symbol" w:hAnsi="Symbol"/>
                    <w:color w:val="7EAABF"/>
                    <w:w w:val="110"/>
                    <w:sz w:val="23"/>
                  </w:rPr>
                  <w:t></w:t>
                </w:r>
                <w:r>
                  <w:rPr>
                    <w:rFonts w:ascii="Times New Roman" w:hAnsi="Times New Roman"/>
                    <w:color w:val="7EAABF"/>
                    <w:w w:val="110"/>
                    <w:sz w:val="23"/>
                  </w:rPr>
                  <w:t> </w:t>
                </w:r>
                <w:r>
                  <w:rPr>
                    <w:color w:val="7EAABF"/>
                    <w:w w:val="110"/>
                    <w:sz w:val="23"/>
                  </w:rPr>
                  <w:t>United Reformed Church </w:t>
                </w:r>
                <w:r>
                  <w:rPr>
                    <w:rFonts w:ascii="Symbol" w:hAnsi="Symbol"/>
                    <w:color w:val="7EAABF"/>
                    <w:w w:val="110"/>
                    <w:sz w:val="23"/>
                  </w:rPr>
                  <w:t></w:t>
                </w:r>
                <w:r>
                  <w:rPr>
                    <w:rFonts w:ascii="Times New Roman" w:hAnsi="Times New Roman"/>
                    <w:color w:val="7EAABF"/>
                    <w:w w:val="110"/>
                    <w:sz w:val="23"/>
                  </w:rPr>
                  <w:t> </w:t>
                </w:r>
                <w:r>
                  <w:rPr>
                    <w:color w:val="7EAABF"/>
                    <w:w w:val="110"/>
                    <w:sz w:val="23"/>
                  </w:rPr>
                  <w:t>General Assembly 2016</w:t>
                </w:r>
              </w:p>
            </w:txbxContent>
          </v:textbox>
          <w10:wrap type="none"/>
        </v:shape>
      </w:pict>
    </w:r>
  </w:p>
</w:ftr>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r>
      <w:rPr/>
      <w:pict>
        <v:rect style="position:absolute;margin-left:0pt;margin-top:0pt;width:595.276pt;height:841.890015pt;mso-position-horizontal-relative:page;mso-position-vertical-relative:page;z-index:-268111872" filled="true" fillcolor="#fdc600" stroked="false">
          <v:fill opacity="9830f" type="solid"/>
          <w10:wrap type="none"/>
        </v:rect>
      </w:pict>
    </w:r>
  </w:p>
</w:hdr>
</file>

<file path=word/header1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r>
      <w:rPr/>
      <w:pict>
        <v:rect style="position:absolute;margin-left:0pt;margin-top:.000015pt;width:549.207pt;height:841.89pt;mso-position-horizontal-relative:page;mso-position-vertical-relative:page;z-index:-268102656" filled="true" fillcolor="#fef4df" stroked="false">
          <v:fill type="solid"/>
          <w10:wrap type="none"/>
        </v:rect>
      </w:pict>
    </w:r>
  </w:p>
</w:hdr>
</file>

<file path=word/header10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0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0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0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0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0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0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0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r>
      <w:rPr/>
      <w:pict>
        <v:rect style="position:absolute;margin-left:46.777pt;margin-top:.000015pt;width:548.498pt;height:841.89pt;mso-position-horizontal-relative:page;mso-position-vertical-relative:page;z-index:-268011520" filled="true" fillcolor="#d4e9f7" stroked="false">
          <v:fill type="solid"/>
          <w10:wrap type="none"/>
        </v:rect>
      </w:pict>
    </w:r>
  </w:p>
</w:hdr>
</file>

<file path=word/header10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0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1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1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1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1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1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1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1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1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1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r>
      <w:rPr/>
      <w:pict>
        <v:rect style="position:absolute;margin-left:0pt;margin-top:.000015pt;width:549.207pt;height:841.89pt;mso-position-horizontal-relative:page;mso-position-vertical-relative:page;z-index:-268000256" filled="true" fillcolor="#d4e9f7" stroked="false">
          <v:fill type="solid"/>
          <w10:wrap type="none"/>
        </v:rect>
      </w:pict>
    </w:r>
  </w:p>
</w:hdr>
</file>

<file path=word/header11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r>
      <w:rPr/>
      <w:pict>
        <v:rect style="position:absolute;margin-left:46.777pt;margin-top:.000015pt;width:548.498pt;height:841.89pt;mso-position-horizontal-relative:page;mso-position-vertical-relative:page;z-index:-267999232" filled="true" fillcolor="#d4e9f7" stroked="false">
          <v:fill type="solid"/>
          <w10:wrap type="none"/>
        </v:rect>
      </w:pict>
    </w:r>
  </w:p>
</w:hdr>
</file>

<file path=word/header1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2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2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2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2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2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2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2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2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r>
      <w:rPr/>
      <w:pict>
        <v:rect style="position:absolute;margin-left:46.777pt;margin-top:.000015pt;width:548.498pt;height:841.89pt;mso-position-horizontal-relative:page;mso-position-vertical-relative:page;z-index:-267991040" filled="true" fillcolor="#d4e9f7" stroked="false">
          <v:fill type="solid"/>
          <w10:wrap type="none"/>
        </v:rect>
      </w:pict>
    </w:r>
  </w:p>
</w:hdr>
</file>

<file path=word/header12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2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3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3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3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3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3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3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3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3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r>
      <w:rPr/>
      <w:pict>
        <v:rect style="position:absolute;margin-left:46.777pt;margin-top:.000015pt;width:548.498pt;height:841.89pt;mso-position-horizontal-relative:page;mso-position-vertical-relative:page;z-index:-267980800" filled="true" fillcolor="#d4e9f7" stroked="false">
          <v:fill type="solid"/>
          <w10:wrap type="none"/>
        </v:rect>
      </w:pict>
    </w:r>
  </w:p>
</w:hdr>
</file>

<file path=word/header13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3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r>
      <w:rPr/>
      <w:pict>
        <v:rect style="position:absolute;margin-left:0pt;margin-top:.000015pt;width:549.207pt;height:841.89pt;mso-position-horizontal-relative:page;mso-position-vertical-relative:page;z-index:-268099584" filled="true" fillcolor="#fef4df" stroked="false">
          <v:fill type="solid"/>
          <w10:wrap type="none"/>
        </v:rect>
      </w:pict>
    </w:r>
  </w:p>
</w:hdr>
</file>

<file path=word/header14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r>
      <w:rPr/>
      <w:pict>
        <v:rect style="position:absolute;margin-left:0pt;margin-top:.000015pt;width:549.207pt;height:841.89pt;mso-position-horizontal-relative:page;mso-position-vertical-relative:page;z-index:-267978752" filled="true" fillcolor="#d4e9f7" stroked="false">
          <v:fill type="solid"/>
          <w10:wrap type="none"/>
        </v:rect>
      </w:pict>
    </w:r>
  </w:p>
</w:hdr>
</file>

<file path=word/header14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r>
      <w:rPr/>
      <w:pict>
        <v:rect style="position:absolute;margin-left:46.777pt;margin-top:.000015pt;width:548.498pt;height:841.89pt;mso-position-horizontal-relative:page;mso-position-vertical-relative:page;z-index:-267977728" filled="true" fillcolor="#d4e9f7" stroked="false">
          <v:fill type="solid"/>
          <w10:wrap type="none"/>
        </v:rect>
      </w:pict>
    </w:r>
  </w:p>
</w:hdr>
</file>

<file path=word/header14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4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4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4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4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4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4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4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5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5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5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5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r>
      <w:rPr/>
      <w:pict>
        <v:rect style="position:absolute;margin-left:46.777pt;margin-top:.000015pt;width:548.498pt;height:841.89pt;mso-position-horizontal-relative:page;mso-position-vertical-relative:page;z-index:-267965440" filled="true" fillcolor="#d4e9f7" stroked="false">
          <v:fill type="solid"/>
          <w10:wrap type="none"/>
        </v:rect>
      </w:pict>
    </w:r>
  </w:p>
</w:hdr>
</file>

<file path=word/header15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r>
      <w:rPr/>
      <w:pict>
        <v:rect style="position:absolute;margin-left:1.417pt;margin-top:.000015pt;width:547.79pt;height:841.89pt;mso-position-horizontal-relative:page;mso-position-vertical-relative:page;z-index:-267964416" filled="true" fillcolor="#d4e9f7" stroked="false">
          <v:fill type="solid"/>
          <w10:wrap type="none"/>
        </v:rect>
      </w:pict>
    </w:r>
  </w:p>
</w:hdr>
</file>

<file path=word/header15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5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5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5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5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6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6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r>
      <w:rPr/>
      <w:pict>
        <v:rect style="position:absolute;margin-left:46.777pt;margin-top:.000015pt;width:548.498pt;height:841.89pt;mso-position-horizontal-relative:page;mso-position-vertical-relative:page;z-index:-267957248" filled="true" fillcolor="#d4e9f7" stroked="false">
          <v:fill type="solid"/>
          <w10:wrap type="none"/>
        </v:rect>
      </w:pict>
    </w:r>
  </w:p>
</w:hdr>
</file>

<file path=word/header16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6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6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6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6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r>
      <w:rPr/>
      <w:pict>
        <v:rect style="position:absolute;margin-left:1.417pt;margin-top:.000015pt;width:547.79pt;height:841.89pt;mso-position-horizontal-relative:page;mso-position-vertical-relative:page;z-index:-267954176" filled="true" fillcolor="#d4e9f7" stroked="false">
          <v:fill type="solid"/>
          <w10:wrap type="none"/>
        </v:rect>
      </w:pict>
    </w:r>
  </w:p>
</w:hdr>
</file>

<file path=word/header16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6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6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r>
      <w:rPr/>
      <w:pict>
        <v:rect style="position:absolute;margin-left:46.777pt;margin-top:.000015pt;width:548.498pt;height:841.89pt;mso-position-horizontal-relative:page;mso-position-vertical-relative:page;z-index:-268096512" filled="true" fillcolor="#fef4df" stroked="false">
          <v:fill type="solid"/>
          <w10:wrap type="none"/>
        </v:rect>
      </w:pict>
    </w:r>
  </w:p>
</w:hdr>
</file>

<file path=word/header17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7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7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7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7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7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7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7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7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7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8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8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8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8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8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r>
      <w:rPr/>
      <w:pict>
        <v:rect style="position:absolute;margin-left:0pt;margin-top:.000015pt;width:549.207pt;height:841.89pt;mso-position-horizontal-relative:page;mso-position-vertical-relative:page;z-index:-267935744" filled="true" fillcolor="#d4e9f7" stroked="false">
          <v:fill type="solid"/>
          <w10:wrap type="none"/>
        </v:rect>
      </w:pict>
    </w:r>
  </w:p>
</w:hdr>
</file>

<file path=word/header18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r>
      <w:rPr/>
      <w:pict>
        <v:rect style="position:absolute;margin-left:46.777pt;margin-top:.000015pt;width:548.498pt;height:841.89pt;mso-position-horizontal-relative:page;mso-position-vertical-relative:page;z-index:-267934720" filled="true" fillcolor="#d4e9f7" stroked="false">
          <v:fill type="solid"/>
          <w10:wrap type="none"/>
        </v:rect>
      </w:pict>
    </w:r>
  </w:p>
</w:hdr>
</file>

<file path=word/header18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8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8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8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r>
      <w:rPr/>
      <w:pict>
        <v:rect style="position:absolute;margin-left:46.777pt;margin-top:.000015pt;width:548.498pt;height:841.89pt;mso-position-horizontal-relative:page;mso-position-vertical-relative:page;z-index:-268094464" filled="true" fillcolor="#fef4df" stroked="false">
          <v:fill type="solid"/>
          <w10:wrap type="none"/>
        </v:rect>
      </w:pict>
    </w:r>
  </w:p>
</w:hdr>
</file>

<file path=word/header19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r>
      <w:rPr/>
      <w:pict>
        <v:rect style="position:absolute;margin-left:1.417pt;margin-top:.000015pt;width:547.79pt;height:841.89pt;mso-position-horizontal-relative:page;mso-position-vertical-relative:page;z-index:-267929600" filled="true" fillcolor="#d4e9f7" stroked="false">
          <v:fill type="solid"/>
          <w10:wrap type="none"/>
        </v:rect>
      </w:pict>
    </w:r>
  </w:p>
</w:hdr>
</file>

<file path=word/header19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r>
      <w:rPr/>
      <w:pict>
        <v:rect style="position:absolute;margin-left:46.777pt;margin-top:.000015pt;width:548.498pt;height:841.89pt;mso-position-horizontal-relative:page;mso-position-vertical-relative:page;z-index:-267928576" filled="true" fillcolor="#d4e9f7" stroked="false">
          <v:fill type="solid"/>
          <w10:wrap type="none"/>
        </v:rect>
      </w:pict>
    </w:r>
  </w:p>
</w:hdr>
</file>

<file path=word/header19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9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9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9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r>
      <w:rPr/>
      <w:pict>
        <v:rect style="position:absolute;margin-left:46.777pt;margin-top:.000015pt;width:548.498pt;height:841.89pt;mso-position-horizontal-relative:page;mso-position-vertical-relative:page;z-index:-267925504" filled="true" fillcolor="#d4e9f7" stroked="false">
          <v:fill type="solid"/>
          <w10:wrap type="none"/>
        </v:rect>
      </w:pict>
    </w:r>
  </w:p>
</w:hdr>
</file>

<file path=word/header19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r>
      <w:rPr/>
      <w:pict>
        <v:rect style="position:absolute;margin-left:1.417pt;margin-top:.000015pt;width:547.79pt;height:841.89pt;mso-position-horizontal-relative:page;mso-position-vertical-relative:page;z-index:-267924480" filled="true" fillcolor="#d4e9f7" stroked="false">
          <v:fill type="solid"/>
          <w10:wrap type="none"/>
        </v:rect>
      </w:pict>
    </w:r>
  </w:p>
</w:hdr>
</file>

<file path=word/header19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9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r>
      <w:rPr/>
      <w:pict>
        <v:rect style="position:absolute;margin-left:0pt;margin-top:.000015pt;width:549.207pt;height:841.89pt;mso-position-horizontal-relative:page;mso-position-vertical-relative:page;z-index:-267922432" filled="true" fillcolor="#fef3ec" stroked="false">
          <v:fill type="solid"/>
          <w10:wrap type="none"/>
        </v:rect>
      </w:pict>
    </w:r>
  </w:p>
</w:hdr>
</file>

<file path=word/header19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r>
      <w:rPr/>
      <w:pict>
        <v:rect style="position:absolute;margin-left:0pt;margin-top:.000015pt;width:549.207pt;height:841.89pt;mso-position-horizontal-relative:page;mso-position-vertical-relative:page;z-index:-268110848" filled="true" fillcolor="#fef4df" stroked="false">
          <v:fill type="solid"/>
          <w10:wrap type="none"/>
        </v:rect>
      </w:pict>
    </w:r>
  </w:p>
</w:hdr>
</file>

<file path=word/header2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20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20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20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20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20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20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20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20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20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20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2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21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21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21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21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21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21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21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21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21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21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2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22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22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22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22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22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r>
      <w:rPr/>
      <w:pict>
        <v:rect style="position:absolute;margin-left:0pt;margin-top:.000015pt;width:549.207pt;height:841.89pt;mso-position-horizontal-relative:page;mso-position-vertical-relative:page;z-index:-267895808" filled="true" fillcolor="#e2eed8" stroked="false">
          <v:fill type="solid"/>
          <w10:wrap type="none"/>
        </v:rect>
      </w:pict>
    </w:r>
  </w:p>
</w:hdr>
</file>

<file path=word/header22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22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22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22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22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2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23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23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23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23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23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r>
      <w:rPr/>
      <w:pict>
        <v:rect style="position:absolute;margin-left:0pt;margin-top:.000015pt;width:549.207pt;height:841.89pt;mso-position-horizontal-relative:page;mso-position-vertical-relative:page;z-index:-267885568" filled="true" fillcolor="#e2d9ea" stroked="false">
          <v:fill type="solid"/>
          <w10:wrap type="none"/>
        </v:rect>
      </w:pict>
    </w:r>
  </w:p>
</w:hdr>
</file>

<file path=word/header23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23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23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23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23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2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r>
      <w:rPr/>
      <w:pict>
        <v:rect style="position:absolute;margin-left:0pt;margin-top:.000015pt;width:549.207pt;height:841.89pt;mso-position-horizontal-relative:page;mso-position-vertical-relative:page;z-index:-268089344" filled="true" fillcolor="#fef4df" stroked="false">
          <v:fill type="solid"/>
          <w10:wrap type="none"/>
        </v:rect>
      </w:pict>
    </w:r>
  </w:p>
</w:hdr>
</file>

<file path=word/header24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24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24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24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24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24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24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24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24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24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2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25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25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25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25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25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25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25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25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25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25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2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r>
      <w:rPr/>
      <w:pict>
        <v:rect style="position:absolute;margin-left:0pt;margin-top:.000015pt;width:549.207pt;height:841.89pt;mso-position-horizontal-relative:page;mso-position-vertical-relative:page;z-index:-268087296" filled="true" fillcolor="#fef4df" stroked="false">
          <v:fill type="solid"/>
          <w10:wrap type="none"/>
        </v:rect>
      </w:pict>
    </w:r>
  </w:p>
</w:hdr>
</file>

<file path=word/header2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2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r>
      <w:rPr/>
      <w:pict>
        <v:rect style="position:absolute;margin-left:0pt;margin-top:.000015pt;width:549.207pt;height:841.89pt;mso-position-horizontal-relative:page;mso-position-vertical-relative:page;z-index:-268085248" filled="true" fillcolor="#fef4df" stroked="false">
          <v:fill type="solid"/>
          <w10:wrap type="none"/>
        </v:rect>
      </w:pict>
    </w:r>
  </w:p>
</w:hdr>
</file>

<file path=word/header2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r>
      <w:rPr/>
      <w:pict>
        <v:rect style="position:absolute;margin-left:0pt;margin-top:.000015pt;width:595.275pt;height:841.89pt;mso-position-horizontal-relative:page;mso-position-vertical-relative:page;z-index:-268109824" filled="true" fillcolor="#fef4df" stroked="false">
          <v:fill type="solid"/>
          <w10:wrap type="none"/>
        </v:rect>
      </w:pict>
    </w:r>
  </w:p>
</w:hdr>
</file>

<file path=word/header3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3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r>
      <w:rPr/>
      <w:pict>
        <v:rect style="position:absolute;margin-left:46.777pt;margin-top:.000015pt;width:548.498pt;height:841.89pt;mso-position-horizontal-relative:page;mso-position-vertical-relative:page;z-index:-268083200" filled="true" fillcolor="#fef4df" stroked="false">
          <v:fill type="solid"/>
          <w10:wrap type="none"/>
        </v:rect>
      </w:pict>
    </w:r>
  </w:p>
</w:hdr>
</file>

<file path=word/header3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r>
      <w:rPr/>
      <w:pict>
        <v:rect style="position:absolute;margin-left:0pt;margin-top:.000015pt;width:549.207pt;height:841.89pt;mso-position-horizontal-relative:page;mso-position-vertical-relative:page;z-index:-268082176" filled="true" fillcolor="#fef4df" stroked="false">
          <v:fill type="solid"/>
          <w10:wrap type="none"/>
        </v:rect>
      </w:pict>
    </w:r>
  </w:p>
</w:hdr>
</file>

<file path=word/header3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3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r>
      <w:rPr/>
      <w:pict>
        <v:rect style="position:absolute;margin-left:0pt;margin-top:.000015pt;width:549.207pt;height:841.89pt;mso-position-horizontal-relative:page;mso-position-vertical-relative:page;z-index:-268080128" filled="true" fillcolor="#fef4df" stroked="false">
          <v:fill type="solid"/>
          <w10:wrap type="none"/>
        </v:rect>
      </w:pict>
    </w:r>
  </w:p>
</w:hdr>
</file>

<file path=word/header3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3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3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r>
      <w:rPr/>
      <w:pict>
        <v:rect style="position:absolute;margin-left:46.777pt;margin-top:.000015pt;width:548.498pt;height:841.89pt;mso-position-horizontal-relative:page;mso-position-vertical-relative:page;z-index:-268077056" filled="true" fillcolor="#fef4df" stroked="false">
          <v:fill type="solid"/>
          <w10:wrap type="none"/>
        </v:rect>
      </w:pict>
    </w:r>
  </w:p>
</w:hdr>
</file>

<file path=word/header3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3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r>
      <w:rPr/>
      <w:pict>
        <v:rect style="position:absolute;margin-left:0pt;margin-top:.000015pt;width:549.207pt;height:841.89pt;mso-position-horizontal-relative:page;mso-position-vertical-relative:page;z-index:-268108800" filled="true" fillcolor="#fef4df" stroked="false">
          <v:fill type="solid"/>
          <w10:wrap type="none"/>
        </v:rect>
      </w:pict>
    </w:r>
  </w:p>
</w:hdr>
</file>

<file path=word/header4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4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4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4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4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4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4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4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4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r>
      <w:rPr/>
      <w:pict>
        <v:rect style="position:absolute;margin-left:1.417pt;margin-top:.000015pt;width:547.79pt;height:841.89pt;mso-position-horizontal-relative:page;mso-position-vertical-relative:page;z-index:-268065792" filled="true" fillcolor="#d4e9f7" stroked="false">
          <v:fill type="solid"/>
          <w10:wrap type="none"/>
        </v:rect>
      </w:pict>
    </w:r>
  </w:p>
</w:hdr>
</file>

<file path=word/header4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r>
      <w:rPr/>
      <w:pict>
        <v:rect style="position:absolute;margin-left:46.777pt;margin-top:.000015pt;width:548.498pt;height:841.89pt;mso-position-horizontal-relative:page;mso-position-vertical-relative:page;z-index:-268064768" filled="true" fillcolor="#d4e9f7" stroked="false">
          <v:fill type="solid"/>
          <w10:wrap type="none"/>
        </v:rect>
      </w:pict>
    </w:r>
  </w:p>
</w:hdr>
</file>

<file path=word/header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5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5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5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5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r>
      <w:rPr/>
      <w:pict>
        <v:rect style="position:absolute;margin-left:46.777pt;margin-top:.000015pt;width:548.498pt;height:841.89pt;mso-position-horizontal-relative:page;mso-position-vertical-relative:page;z-index:-268061696" filled="true" fillcolor="#d4e9f7" stroked="false">
          <v:fill type="solid"/>
          <w10:wrap type="none"/>
        </v:rect>
      </w:pict>
    </w:r>
  </w:p>
</w:hdr>
</file>

<file path=word/header5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5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5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5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5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5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r>
      <w:rPr/>
      <w:pict>
        <v:rect style="position:absolute;margin-left:46.777pt;margin-top:.000015pt;width:548.498pt;height:841.89pt;mso-position-horizontal-relative:page;mso-position-vertical-relative:page;z-index:-268055552" filled="true" fillcolor="#d4e9f7" stroked="false">
          <v:fill type="solid"/>
          <w10:wrap type="none"/>
        </v:rect>
      </w:pict>
    </w:r>
  </w:p>
</w:hdr>
</file>

<file path=word/header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6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6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6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6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6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6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r>
      <w:rPr/>
      <w:pict>
        <v:rect style="position:absolute;margin-left:46.777pt;margin-top:.000015pt;width:548.498pt;height:841.89pt;mso-position-horizontal-relative:page;mso-position-vertical-relative:page;z-index:-268049408" filled="true" fillcolor="#d4e9f7" stroked="false">
          <v:fill type="solid"/>
          <w10:wrap type="none"/>
        </v:rect>
      </w:pict>
    </w:r>
  </w:p>
</w:hdr>
</file>

<file path=word/header6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6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6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6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7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7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7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7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7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7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7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7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r>
      <w:rPr/>
      <w:pict>
        <v:rect style="position:absolute;margin-left:46.777pt;margin-top:.000015pt;width:548.498pt;height:841.89pt;mso-position-horizontal-relative:page;mso-position-vertical-relative:page;z-index:-268037120" filled="true" fillcolor="#d4e9f7" stroked="false">
          <v:fill type="solid"/>
          <w10:wrap type="none"/>
        </v:rect>
      </w:pict>
    </w:r>
  </w:p>
</w:hdr>
</file>

<file path=word/header7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7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8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8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8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r>
      <w:rPr/>
      <w:pict>
        <v:rect style="position:absolute;margin-left:1.417pt;margin-top:.000015pt;width:547.79pt;height:841.89pt;mso-position-horizontal-relative:page;mso-position-vertical-relative:page;z-index:-268035072" filled="true" fillcolor="#d4e9f7" stroked="false">
          <v:fill type="solid"/>
          <w10:wrap type="none"/>
        </v:rect>
      </w:pict>
    </w:r>
  </w:p>
</w:hdr>
</file>

<file path=word/header8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8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8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r>
      <w:rPr/>
      <w:pict>
        <v:rect style="position:absolute;margin-left:46.777pt;margin-top:.000015pt;width:548.498pt;height:841.89pt;mso-position-horizontal-relative:page;mso-position-vertical-relative:page;z-index:-268033024" filled="true" fillcolor="#d4e9f7" stroked="false">
          <v:fill type="solid"/>
          <w10:wrap type="none"/>
        </v:rect>
      </w:pict>
    </w:r>
  </w:p>
</w:hdr>
</file>

<file path=word/header8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8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8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8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r>
      <w:rPr/>
      <w:pict>
        <v:rect style="position:absolute;margin-left:46.777pt;margin-top:.000015pt;width:548.498pt;height:841.89pt;mso-position-horizontal-relative:page;mso-position-vertical-relative:page;z-index:-268029952" filled="true" fillcolor="#d4e9f7" stroked="false">
          <v:fill type="solid"/>
          <w10:wrap type="none"/>
        </v:rect>
      </w:pict>
    </w:r>
  </w:p>
</w:hdr>
</file>

<file path=word/header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9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r>
      <w:rPr/>
      <w:pict>
        <v:rect style="position:absolute;margin-left:0pt;margin-top:.000015pt;width:549.207pt;height:841.89pt;mso-position-horizontal-relative:page;mso-position-vertical-relative:page;z-index:-268028928" filled="true" fillcolor="#d4e9f7" stroked="false">
          <v:fill type="solid"/>
          <w10:wrap type="none"/>
        </v:rect>
      </w:pict>
    </w:r>
  </w:p>
</w:hdr>
</file>

<file path=word/header9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9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9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9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9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9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9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9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9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234">
    <w:multiLevelType w:val="hybridMultilevel"/>
    <w:lvl w:ilvl="0">
      <w:start w:val="11"/>
      <w:numFmt w:val="decimal"/>
      <w:lvlText w:val="%1"/>
      <w:lvlJc w:val="left"/>
      <w:pPr>
        <w:ind w:left="2024" w:hanging="681"/>
        <w:jc w:val="left"/>
      </w:pPr>
      <w:rPr>
        <w:rFonts w:hint="default" w:ascii="Stone Sans II ITC Std Bk" w:hAnsi="Stone Sans II ITC Std Bk" w:eastAsia="Stone Sans II ITC Std Bk" w:cs="Stone Sans II ITC Std Bk"/>
        <w:b/>
        <w:bCs/>
        <w:spacing w:val="-31"/>
        <w:w w:val="112"/>
        <w:sz w:val="25"/>
        <w:szCs w:val="25"/>
      </w:rPr>
    </w:lvl>
    <w:lvl w:ilvl="1">
      <w:start w:val="1"/>
      <w:numFmt w:val="decimal"/>
      <w:lvlText w:val="%1.%2"/>
      <w:lvlJc w:val="left"/>
      <w:pPr>
        <w:ind w:left="2024" w:hanging="681"/>
        <w:jc w:val="left"/>
      </w:pPr>
      <w:rPr>
        <w:rFonts w:hint="default" w:ascii="Stone Sans II ITC Std Bk" w:hAnsi="Stone Sans II ITC Std Bk" w:eastAsia="Stone Sans II ITC Std Bk" w:cs="Stone Sans II ITC Std Bk"/>
        <w:b/>
        <w:bCs/>
        <w:spacing w:val="-14"/>
        <w:w w:val="110"/>
        <w:sz w:val="20"/>
        <w:szCs w:val="20"/>
      </w:rPr>
    </w:lvl>
    <w:lvl w:ilvl="2">
      <w:start w:val="0"/>
      <w:numFmt w:val="bullet"/>
      <w:lvlText w:val="•"/>
      <w:lvlJc w:val="left"/>
      <w:pPr>
        <w:ind w:left="3869" w:hanging="681"/>
      </w:pPr>
      <w:rPr>
        <w:rFonts w:hint="default"/>
      </w:rPr>
    </w:lvl>
    <w:lvl w:ilvl="3">
      <w:start w:val="0"/>
      <w:numFmt w:val="bullet"/>
      <w:lvlText w:val="•"/>
      <w:lvlJc w:val="left"/>
      <w:pPr>
        <w:ind w:left="4793" w:hanging="681"/>
      </w:pPr>
      <w:rPr>
        <w:rFonts w:hint="default"/>
      </w:rPr>
    </w:lvl>
    <w:lvl w:ilvl="4">
      <w:start w:val="0"/>
      <w:numFmt w:val="bullet"/>
      <w:lvlText w:val="•"/>
      <w:lvlJc w:val="left"/>
      <w:pPr>
        <w:ind w:left="5718" w:hanging="681"/>
      </w:pPr>
      <w:rPr>
        <w:rFonts w:hint="default"/>
      </w:rPr>
    </w:lvl>
    <w:lvl w:ilvl="5">
      <w:start w:val="0"/>
      <w:numFmt w:val="bullet"/>
      <w:lvlText w:val="•"/>
      <w:lvlJc w:val="left"/>
      <w:pPr>
        <w:ind w:left="6642" w:hanging="681"/>
      </w:pPr>
      <w:rPr>
        <w:rFonts w:hint="default"/>
      </w:rPr>
    </w:lvl>
    <w:lvl w:ilvl="6">
      <w:start w:val="0"/>
      <w:numFmt w:val="bullet"/>
      <w:lvlText w:val="•"/>
      <w:lvlJc w:val="left"/>
      <w:pPr>
        <w:ind w:left="7567" w:hanging="681"/>
      </w:pPr>
      <w:rPr>
        <w:rFonts w:hint="default"/>
      </w:rPr>
    </w:lvl>
    <w:lvl w:ilvl="7">
      <w:start w:val="0"/>
      <w:numFmt w:val="bullet"/>
      <w:lvlText w:val="•"/>
      <w:lvlJc w:val="left"/>
      <w:pPr>
        <w:ind w:left="8491" w:hanging="681"/>
      </w:pPr>
      <w:rPr>
        <w:rFonts w:hint="default"/>
      </w:rPr>
    </w:lvl>
    <w:lvl w:ilvl="8">
      <w:start w:val="0"/>
      <w:numFmt w:val="bullet"/>
      <w:lvlText w:val="•"/>
      <w:lvlJc w:val="left"/>
      <w:pPr>
        <w:ind w:left="9416" w:hanging="681"/>
      </w:pPr>
      <w:rPr>
        <w:rFonts w:hint="default"/>
      </w:rPr>
    </w:lvl>
  </w:abstractNum>
  <w:abstractNum w:abstractNumId="224">
    <w:multiLevelType w:val="hybridMultilevel"/>
    <w:lvl w:ilvl="0">
      <w:start w:val="0"/>
      <w:numFmt w:val="bullet"/>
      <w:lvlText w:val=""/>
      <w:lvlJc w:val="left"/>
      <w:pPr>
        <w:ind w:left="2024" w:hanging="681"/>
      </w:pPr>
      <w:rPr>
        <w:rFonts w:hint="default" w:ascii="Symbol" w:hAnsi="Symbol" w:eastAsia="Symbol" w:cs="Symbol"/>
        <w:w w:val="110"/>
        <w:position w:val="-3"/>
        <w:sz w:val="29"/>
        <w:szCs w:val="29"/>
      </w:rPr>
    </w:lvl>
    <w:lvl w:ilvl="1">
      <w:start w:val="0"/>
      <w:numFmt w:val="bullet"/>
      <w:lvlText w:val="•"/>
      <w:lvlJc w:val="left"/>
      <w:pPr>
        <w:ind w:left="2944" w:hanging="681"/>
      </w:pPr>
      <w:rPr>
        <w:rFonts w:hint="default"/>
      </w:rPr>
    </w:lvl>
    <w:lvl w:ilvl="2">
      <w:start w:val="0"/>
      <w:numFmt w:val="bullet"/>
      <w:lvlText w:val="•"/>
      <w:lvlJc w:val="left"/>
      <w:pPr>
        <w:ind w:left="3869" w:hanging="681"/>
      </w:pPr>
      <w:rPr>
        <w:rFonts w:hint="default"/>
      </w:rPr>
    </w:lvl>
    <w:lvl w:ilvl="3">
      <w:start w:val="0"/>
      <w:numFmt w:val="bullet"/>
      <w:lvlText w:val="•"/>
      <w:lvlJc w:val="left"/>
      <w:pPr>
        <w:ind w:left="4793" w:hanging="681"/>
      </w:pPr>
      <w:rPr>
        <w:rFonts w:hint="default"/>
      </w:rPr>
    </w:lvl>
    <w:lvl w:ilvl="4">
      <w:start w:val="0"/>
      <w:numFmt w:val="bullet"/>
      <w:lvlText w:val="•"/>
      <w:lvlJc w:val="left"/>
      <w:pPr>
        <w:ind w:left="5718" w:hanging="681"/>
      </w:pPr>
      <w:rPr>
        <w:rFonts w:hint="default"/>
      </w:rPr>
    </w:lvl>
    <w:lvl w:ilvl="5">
      <w:start w:val="0"/>
      <w:numFmt w:val="bullet"/>
      <w:lvlText w:val="•"/>
      <w:lvlJc w:val="left"/>
      <w:pPr>
        <w:ind w:left="6642" w:hanging="681"/>
      </w:pPr>
      <w:rPr>
        <w:rFonts w:hint="default"/>
      </w:rPr>
    </w:lvl>
    <w:lvl w:ilvl="6">
      <w:start w:val="0"/>
      <w:numFmt w:val="bullet"/>
      <w:lvlText w:val="•"/>
      <w:lvlJc w:val="left"/>
      <w:pPr>
        <w:ind w:left="7567" w:hanging="681"/>
      </w:pPr>
      <w:rPr>
        <w:rFonts w:hint="default"/>
      </w:rPr>
    </w:lvl>
    <w:lvl w:ilvl="7">
      <w:start w:val="0"/>
      <w:numFmt w:val="bullet"/>
      <w:lvlText w:val="•"/>
      <w:lvlJc w:val="left"/>
      <w:pPr>
        <w:ind w:left="8491" w:hanging="681"/>
      </w:pPr>
      <w:rPr>
        <w:rFonts w:hint="default"/>
      </w:rPr>
    </w:lvl>
    <w:lvl w:ilvl="8">
      <w:start w:val="0"/>
      <w:numFmt w:val="bullet"/>
      <w:lvlText w:val="•"/>
      <w:lvlJc w:val="left"/>
      <w:pPr>
        <w:ind w:left="9416" w:hanging="681"/>
      </w:pPr>
      <w:rPr>
        <w:rFonts w:hint="default"/>
      </w:rPr>
    </w:lvl>
  </w:abstractNum>
  <w:abstractNum w:abstractNumId="222">
    <w:multiLevelType w:val="hybridMultilevel"/>
    <w:lvl w:ilvl="0">
      <w:start w:val="1"/>
      <w:numFmt w:val="decimal"/>
      <w:lvlText w:val="%1."/>
      <w:lvlJc w:val="left"/>
      <w:pPr>
        <w:ind w:left="1344" w:hanging="681"/>
        <w:jc w:val="right"/>
      </w:pPr>
      <w:rPr>
        <w:rFonts w:hint="default" w:ascii="Calibri" w:hAnsi="Calibri" w:eastAsia="Calibri" w:cs="Calibri"/>
        <w:spacing w:val="-13"/>
        <w:w w:val="125"/>
        <w:sz w:val="20"/>
        <w:szCs w:val="20"/>
      </w:rPr>
    </w:lvl>
    <w:lvl w:ilvl="1">
      <w:start w:val="0"/>
      <w:numFmt w:val="bullet"/>
      <w:lvlText w:val="•"/>
      <w:lvlJc w:val="left"/>
      <w:pPr>
        <w:ind w:left="2332" w:hanging="681"/>
      </w:pPr>
      <w:rPr>
        <w:rFonts w:hint="default"/>
      </w:rPr>
    </w:lvl>
    <w:lvl w:ilvl="2">
      <w:start w:val="0"/>
      <w:numFmt w:val="bullet"/>
      <w:lvlText w:val="•"/>
      <w:lvlJc w:val="left"/>
      <w:pPr>
        <w:ind w:left="3325" w:hanging="681"/>
      </w:pPr>
      <w:rPr>
        <w:rFonts w:hint="default"/>
      </w:rPr>
    </w:lvl>
    <w:lvl w:ilvl="3">
      <w:start w:val="0"/>
      <w:numFmt w:val="bullet"/>
      <w:lvlText w:val="•"/>
      <w:lvlJc w:val="left"/>
      <w:pPr>
        <w:ind w:left="4317" w:hanging="681"/>
      </w:pPr>
      <w:rPr>
        <w:rFonts w:hint="default"/>
      </w:rPr>
    </w:lvl>
    <w:lvl w:ilvl="4">
      <w:start w:val="0"/>
      <w:numFmt w:val="bullet"/>
      <w:lvlText w:val="•"/>
      <w:lvlJc w:val="left"/>
      <w:pPr>
        <w:ind w:left="5310" w:hanging="681"/>
      </w:pPr>
      <w:rPr>
        <w:rFonts w:hint="default"/>
      </w:rPr>
    </w:lvl>
    <w:lvl w:ilvl="5">
      <w:start w:val="0"/>
      <w:numFmt w:val="bullet"/>
      <w:lvlText w:val="•"/>
      <w:lvlJc w:val="left"/>
      <w:pPr>
        <w:ind w:left="6302" w:hanging="681"/>
      </w:pPr>
      <w:rPr>
        <w:rFonts w:hint="default"/>
      </w:rPr>
    </w:lvl>
    <w:lvl w:ilvl="6">
      <w:start w:val="0"/>
      <w:numFmt w:val="bullet"/>
      <w:lvlText w:val="•"/>
      <w:lvlJc w:val="left"/>
      <w:pPr>
        <w:ind w:left="7295" w:hanging="681"/>
      </w:pPr>
      <w:rPr>
        <w:rFonts w:hint="default"/>
      </w:rPr>
    </w:lvl>
    <w:lvl w:ilvl="7">
      <w:start w:val="0"/>
      <w:numFmt w:val="bullet"/>
      <w:lvlText w:val="•"/>
      <w:lvlJc w:val="left"/>
      <w:pPr>
        <w:ind w:left="8287" w:hanging="681"/>
      </w:pPr>
      <w:rPr>
        <w:rFonts w:hint="default"/>
      </w:rPr>
    </w:lvl>
    <w:lvl w:ilvl="8">
      <w:start w:val="0"/>
      <w:numFmt w:val="bullet"/>
      <w:lvlText w:val="•"/>
      <w:lvlJc w:val="left"/>
      <w:pPr>
        <w:ind w:left="9280" w:hanging="681"/>
      </w:pPr>
      <w:rPr>
        <w:rFonts w:hint="default"/>
      </w:rPr>
    </w:lvl>
  </w:abstractNum>
  <w:abstractNum w:abstractNumId="199">
    <w:multiLevelType w:val="hybridMultilevel"/>
    <w:lvl w:ilvl="0">
      <w:start w:val="0"/>
      <w:numFmt w:val="bullet"/>
      <w:lvlText w:val=""/>
      <w:lvlJc w:val="left"/>
      <w:pPr>
        <w:ind w:left="1287" w:hanging="454"/>
      </w:pPr>
      <w:rPr>
        <w:rFonts w:hint="default" w:ascii="Symbol" w:hAnsi="Symbol" w:eastAsia="Symbol" w:cs="Symbol"/>
        <w:color w:val="707172"/>
        <w:w w:val="111"/>
        <w:sz w:val="18"/>
        <w:szCs w:val="18"/>
      </w:rPr>
    </w:lvl>
    <w:lvl w:ilvl="1">
      <w:start w:val="0"/>
      <w:numFmt w:val="bullet"/>
      <w:lvlText w:val="•"/>
      <w:lvlJc w:val="left"/>
      <w:pPr>
        <w:ind w:left="2278" w:hanging="454"/>
      </w:pPr>
      <w:rPr>
        <w:rFonts w:hint="default"/>
      </w:rPr>
    </w:lvl>
    <w:lvl w:ilvl="2">
      <w:start w:val="0"/>
      <w:numFmt w:val="bullet"/>
      <w:lvlText w:val="•"/>
      <w:lvlJc w:val="left"/>
      <w:pPr>
        <w:ind w:left="3277" w:hanging="454"/>
      </w:pPr>
      <w:rPr>
        <w:rFonts w:hint="default"/>
      </w:rPr>
    </w:lvl>
    <w:lvl w:ilvl="3">
      <w:start w:val="0"/>
      <w:numFmt w:val="bullet"/>
      <w:lvlText w:val="•"/>
      <w:lvlJc w:val="left"/>
      <w:pPr>
        <w:ind w:left="4275" w:hanging="454"/>
      </w:pPr>
      <w:rPr>
        <w:rFonts w:hint="default"/>
      </w:rPr>
    </w:lvl>
    <w:lvl w:ilvl="4">
      <w:start w:val="0"/>
      <w:numFmt w:val="bullet"/>
      <w:lvlText w:val="•"/>
      <w:lvlJc w:val="left"/>
      <w:pPr>
        <w:ind w:left="5274" w:hanging="454"/>
      </w:pPr>
      <w:rPr>
        <w:rFonts w:hint="default"/>
      </w:rPr>
    </w:lvl>
    <w:lvl w:ilvl="5">
      <w:start w:val="0"/>
      <w:numFmt w:val="bullet"/>
      <w:lvlText w:val="•"/>
      <w:lvlJc w:val="left"/>
      <w:pPr>
        <w:ind w:left="6272" w:hanging="454"/>
      </w:pPr>
      <w:rPr>
        <w:rFonts w:hint="default"/>
      </w:rPr>
    </w:lvl>
    <w:lvl w:ilvl="6">
      <w:start w:val="0"/>
      <w:numFmt w:val="bullet"/>
      <w:lvlText w:val="•"/>
      <w:lvlJc w:val="left"/>
      <w:pPr>
        <w:ind w:left="7271" w:hanging="454"/>
      </w:pPr>
      <w:rPr>
        <w:rFonts w:hint="default"/>
      </w:rPr>
    </w:lvl>
    <w:lvl w:ilvl="7">
      <w:start w:val="0"/>
      <w:numFmt w:val="bullet"/>
      <w:lvlText w:val="•"/>
      <w:lvlJc w:val="left"/>
      <w:pPr>
        <w:ind w:left="8269" w:hanging="454"/>
      </w:pPr>
      <w:rPr>
        <w:rFonts w:hint="default"/>
      </w:rPr>
    </w:lvl>
    <w:lvl w:ilvl="8">
      <w:start w:val="0"/>
      <w:numFmt w:val="bullet"/>
      <w:lvlText w:val="•"/>
      <w:lvlJc w:val="left"/>
      <w:pPr>
        <w:ind w:left="9268" w:hanging="454"/>
      </w:pPr>
      <w:rPr>
        <w:rFonts w:hint="default"/>
      </w:rPr>
    </w:lvl>
  </w:abstractNum>
  <w:abstractNum w:abstractNumId="198">
    <w:multiLevelType w:val="hybridMultilevel"/>
    <w:lvl w:ilvl="0">
      <w:start w:val="0"/>
      <w:numFmt w:val="bullet"/>
      <w:lvlText w:val=""/>
      <w:lvlJc w:val="left"/>
      <w:pPr>
        <w:ind w:left="2024" w:hanging="681"/>
      </w:pPr>
      <w:rPr>
        <w:rFonts w:hint="default" w:ascii="Symbol" w:hAnsi="Symbol" w:eastAsia="Symbol" w:cs="Symbol"/>
        <w:w w:val="110"/>
        <w:position w:val="-3"/>
        <w:sz w:val="29"/>
        <w:szCs w:val="29"/>
      </w:rPr>
    </w:lvl>
    <w:lvl w:ilvl="1">
      <w:start w:val="0"/>
      <w:numFmt w:val="bullet"/>
      <w:lvlText w:val="•"/>
      <w:lvlJc w:val="left"/>
      <w:pPr>
        <w:ind w:left="2944" w:hanging="681"/>
      </w:pPr>
      <w:rPr>
        <w:rFonts w:hint="default"/>
      </w:rPr>
    </w:lvl>
    <w:lvl w:ilvl="2">
      <w:start w:val="0"/>
      <w:numFmt w:val="bullet"/>
      <w:lvlText w:val="•"/>
      <w:lvlJc w:val="left"/>
      <w:pPr>
        <w:ind w:left="3869" w:hanging="681"/>
      </w:pPr>
      <w:rPr>
        <w:rFonts w:hint="default"/>
      </w:rPr>
    </w:lvl>
    <w:lvl w:ilvl="3">
      <w:start w:val="0"/>
      <w:numFmt w:val="bullet"/>
      <w:lvlText w:val="•"/>
      <w:lvlJc w:val="left"/>
      <w:pPr>
        <w:ind w:left="4793" w:hanging="681"/>
      </w:pPr>
      <w:rPr>
        <w:rFonts w:hint="default"/>
      </w:rPr>
    </w:lvl>
    <w:lvl w:ilvl="4">
      <w:start w:val="0"/>
      <w:numFmt w:val="bullet"/>
      <w:lvlText w:val="•"/>
      <w:lvlJc w:val="left"/>
      <w:pPr>
        <w:ind w:left="5718" w:hanging="681"/>
      </w:pPr>
      <w:rPr>
        <w:rFonts w:hint="default"/>
      </w:rPr>
    </w:lvl>
    <w:lvl w:ilvl="5">
      <w:start w:val="0"/>
      <w:numFmt w:val="bullet"/>
      <w:lvlText w:val="•"/>
      <w:lvlJc w:val="left"/>
      <w:pPr>
        <w:ind w:left="6642" w:hanging="681"/>
      </w:pPr>
      <w:rPr>
        <w:rFonts w:hint="default"/>
      </w:rPr>
    </w:lvl>
    <w:lvl w:ilvl="6">
      <w:start w:val="0"/>
      <w:numFmt w:val="bullet"/>
      <w:lvlText w:val="•"/>
      <w:lvlJc w:val="left"/>
      <w:pPr>
        <w:ind w:left="7567" w:hanging="681"/>
      </w:pPr>
      <w:rPr>
        <w:rFonts w:hint="default"/>
      </w:rPr>
    </w:lvl>
    <w:lvl w:ilvl="7">
      <w:start w:val="0"/>
      <w:numFmt w:val="bullet"/>
      <w:lvlText w:val="•"/>
      <w:lvlJc w:val="left"/>
      <w:pPr>
        <w:ind w:left="8491" w:hanging="681"/>
      </w:pPr>
      <w:rPr>
        <w:rFonts w:hint="default"/>
      </w:rPr>
    </w:lvl>
    <w:lvl w:ilvl="8">
      <w:start w:val="0"/>
      <w:numFmt w:val="bullet"/>
      <w:lvlText w:val="•"/>
      <w:lvlJc w:val="left"/>
      <w:pPr>
        <w:ind w:left="9416" w:hanging="681"/>
      </w:pPr>
      <w:rPr>
        <w:rFonts w:hint="default"/>
      </w:rPr>
    </w:lvl>
  </w:abstractNum>
  <w:abstractNum w:abstractNumId="195">
    <w:multiLevelType w:val="hybridMultilevel"/>
    <w:lvl w:ilvl="0">
      <w:start w:val="1"/>
      <w:numFmt w:val="decimal"/>
      <w:lvlText w:val="%1."/>
      <w:lvlJc w:val="left"/>
      <w:pPr>
        <w:ind w:left="1344" w:hanging="681"/>
        <w:jc w:val="left"/>
      </w:pPr>
      <w:rPr>
        <w:rFonts w:hint="default" w:ascii="Calibri" w:hAnsi="Calibri" w:eastAsia="Calibri" w:cs="Calibri"/>
        <w:spacing w:val="-13"/>
        <w:w w:val="125"/>
        <w:sz w:val="20"/>
        <w:szCs w:val="20"/>
      </w:rPr>
    </w:lvl>
    <w:lvl w:ilvl="1">
      <w:start w:val="0"/>
      <w:numFmt w:val="bullet"/>
      <w:lvlText w:val="•"/>
      <w:lvlJc w:val="left"/>
      <w:pPr>
        <w:ind w:left="2332" w:hanging="681"/>
      </w:pPr>
      <w:rPr>
        <w:rFonts w:hint="default"/>
      </w:rPr>
    </w:lvl>
    <w:lvl w:ilvl="2">
      <w:start w:val="0"/>
      <w:numFmt w:val="bullet"/>
      <w:lvlText w:val="•"/>
      <w:lvlJc w:val="left"/>
      <w:pPr>
        <w:ind w:left="3325" w:hanging="681"/>
      </w:pPr>
      <w:rPr>
        <w:rFonts w:hint="default"/>
      </w:rPr>
    </w:lvl>
    <w:lvl w:ilvl="3">
      <w:start w:val="0"/>
      <w:numFmt w:val="bullet"/>
      <w:lvlText w:val="•"/>
      <w:lvlJc w:val="left"/>
      <w:pPr>
        <w:ind w:left="4317" w:hanging="681"/>
      </w:pPr>
      <w:rPr>
        <w:rFonts w:hint="default"/>
      </w:rPr>
    </w:lvl>
    <w:lvl w:ilvl="4">
      <w:start w:val="0"/>
      <w:numFmt w:val="bullet"/>
      <w:lvlText w:val="•"/>
      <w:lvlJc w:val="left"/>
      <w:pPr>
        <w:ind w:left="5310" w:hanging="681"/>
      </w:pPr>
      <w:rPr>
        <w:rFonts w:hint="default"/>
      </w:rPr>
    </w:lvl>
    <w:lvl w:ilvl="5">
      <w:start w:val="0"/>
      <w:numFmt w:val="bullet"/>
      <w:lvlText w:val="•"/>
      <w:lvlJc w:val="left"/>
      <w:pPr>
        <w:ind w:left="6302" w:hanging="681"/>
      </w:pPr>
      <w:rPr>
        <w:rFonts w:hint="default"/>
      </w:rPr>
    </w:lvl>
    <w:lvl w:ilvl="6">
      <w:start w:val="0"/>
      <w:numFmt w:val="bullet"/>
      <w:lvlText w:val="•"/>
      <w:lvlJc w:val="left"/>
      <w:pPr>
        <w:ind w:left="7295" w:hanging="681"/>
      </w:pPr>
      <w:rPr>
        <w:rFonts w:hint="default"/>
      </w:rPr>
    </w:lvl>
    <w:lvl w:ilvl="7">
      <w:start w:val="0"/>
      <w:numFmt w:val="bullet"/>
      <w:lvlText w:val="•"/>
      <w:lvlJc w:val="left"/>
      <w:pPr>
        <w:ind w:left="8287" w:hanging="681"/>
      </w:pPr>
      <w:rPr>
        <w:rFonts w:hint="default"/>
      </w:rPr>
    </w:lvl>
    <w:lvl w:ilvl="8">
      <w:start w:val="0"/>
      <w:numFmt w:val="bullet"/>
      <w:lvlText w:val="•"/>
      <w:lvlJc w:val="left"/>
      <w:pPr>
        <w:ind w:left="9280" w:hanging="681"/>
      </w:pPr>
      <w:rPr>
        <w:rFonts w:hint="default"/>
      </w:rPr>
    </w:lvl>
  </w:abstractNum>
  <w:abstractNum w:abstractNumId="164">
    <w:multiLevelType w:val="hybridMultilevel"/>
    <w:lvl w:ilvl="0">
      <w:start w:val="1"/>
      <w:numFmt w:val="decimal"/>
      <w:lvlText w:val="%1."/>
      <w:lvlJc w:val="left"/>
      <w:pPr>
        <w:ind w:left="1344" w:hanging="681"/>
        <w:jc w:val="left"/>
      </w:pPr>
      <w:rPr>
        <w:rFonts w:hint="default" w:ascii="Calibri" w:hAnsi="Calibri" w:eastAsia="Calibri" w:cs="Calibri"/>
        <w:spacing w:val="-13"/>
        <w:w w:val="125"/>
        <w:sz w:val="20"/>
        <w:szCs w:val="20"/>
      </w:rPr>
    </w:lvl>
    <w:lvl w:ilvl="1">
      <w:start w:val="0"/>
      <w:numFmt w:val="bullet"/>
      <w:lvlText w:val="•"/>
      <w:lvlJc w:val="left"/>
      <w:pPr>
        <w:ind w:left="2332" w:hanging="681"/>
      </w:pPr>
      <w:rPr>
        <w:rFonts w:hint="default"/>
      </w:rPr>
    </w:lvl>
    <w:lvl w:ilvl="2">
      <w:start w:val="0"/>
      <w:numFmt w:val="bullet"/>
      <w:lvlText w:val="•"/>
      <w:lvlJc w:val="left"/>
      <w:pPr>
        <w:ind w:left="3325" w:hanging="681"/>
      </w:pPr>
      <w:rPr>
        <w:rFonts w:hint="default"/>
      </w:rPr>
    </w:lvl>
    <w:lvl w:ilvl="3">
      <w:start w:val="0"/>
      <w:numFmt w:val="bullet"/>
      <w:lvlText w:val="•"/>
      <w:lvlJc w:val="left"/>
      <w:pPr>
        <w:ind w:left="4317" w:hanging="681"/>
      </w:pPr>
      <w:rPr>
        <w:rFonts w:hint="default"/>
      </w:rPr>
    </w:lvl>
    <w:lvl w:ilvl="4">
      <w:start w:val="0"/>
      <w:numFmt w:val="bullet"/>
      <w:lvlText w:val="•"/>
      <w:lvlJc w:val="left"/>
      <w:pPr>
        <w:ind w:left="5310" w:hanging="681"/>
      </w:pPr>
      <w:rPr>
        <w:rFonts w:hint="default"/>
      </w:rPr>
    </w:lvl>
    <w:lvl w:ilvl="5">
      <w:start w:val="0"/>
      <w:numFmt w:val="bullet"/>
      <w:lvlText w:val="•"/>
      <w:lvlJc w:val="left"/>
      <w:pPr>
        <w:ind w:left="6302" w:hanging="681"/>
      </w:pPr>
      <w:rPr>
        <w:rFonts w:hint="default"/>
      </w:rPr>
    </w:lvl>
    <w:lvl w:ilvl="6">
      <w:start w:val="0"/>
      <w:numFmt w:val="bullet"/>
      <w:lvlText w:val="•"/>
      <w:lvlJc w:val="left"/>
      <w:pPr>
        <w:ind w:left="7295" w:hanging="681"/>
      </w:pPr>
      <w:rPr>
        <w:rFonts w:hint="default"/>
      </w:rPr>
    </w:lvl>
    <w:lvl w:ilvl="7">
      <w:start w:val="0"/>
      <w:numFmt w:val="bullet"/>
      <w:lvlText w:val="•"/>
      <w:lvlJc w:val="left"/>
      <w:pPr>
        <w:ind w:left="8287" w:hanging="681"/>
      </w:pPr>
      <w:rPr>
        <w:rFonts w:hint="default"/>
      </w:rPr>
    </w:lvl>
    <w:lvl w:ilvl="8">
      <w:start w:val="0"/>
      <w:numFmt w:val="bullet"/>
      <w:lvlText w:val="•"/>
      <w:lvlJc w:val="left"/>
      <w:pPr>
        <w:ind w:left="9280" w:hanging="681"/>
      </w:pPr>
      <w:rPr>
        <w:rFonts w:hint="default"/>
      </w:rPr>
    </w:lvl>
  </w:abstractNum>
  <w:abstractNum w:abstractNumId="163">
    <w:multiLevelType w:val="hybridMultilevel"/>
    <w:lvl w:ilvl="0">
      <w:start w:val="1"/>
      <w:numFmt w:val="decimal"/>
      <w:lvlText w:val="%1."/>
      <w:lvlJc w:val="left"/>
      <w:pPr>
        <w:ind w:left="1344" w:hanging="681"/>
        <w:jc w:val="right"/>
      </w:pPr>
      <w:rPr>
        <w:rFonts w:hint="default" w:ascii="Calibri" w:hAnsi="Calibri" w:eastAsia="Calibri" w:cs="Calibri"/>
        <w:spacing w:val="-13"/>
        <w:w w:val="125"/>
        <w:sz w:val="20"/>
        <w:szCs w:val="20"/>
      </w:rPr>
    </w:lvl>
    <w:lvl w:ilvl="1">
      <w:start w:val="0"/>
      <w:numFmt w:val="bullet"/>
      <w:lvlText w:val="•"/>
      <w:lvlJc w:val="left"/>
      <w:pPr>
        <w:ind w:left="2332" w:hanging="681"/>
      </w:pPr>
      <w:rPr>
        <w:rFonts w:hint="default"/>
      </w:rPr>
    </w:lvl>
    <w:lvl w:ilvl="2">
      <w:start w:val="0"/>
      <w:numFmt w:val="bullet"/>
      <w:lvlText w:val="•"/>
      <w:lvlJc w:val="left"/>
      <w:pPr>
        <w:ind w:left="3325" w:hanging="681"/>
      </w:pPr>
      <w:rPr>
        <w:rFonts w:hint="default"/>
      </w:rPr>
    </w:lvl>
    <w:lvl w:ilvl="3">
      <w:start w:val="0"/>
      <w:numFmt w:val="bullet"/>
      <w:lvlText w:val="•"/>
      <w:lvlJc w:val="left"/>
      <w:pPr>
        <w:ind w:left="4317" w:hanging="681"/>
      </w:pPr>
      <w:rPr>
        <w:rFonts w:hint="default"/>
      </w:rPr>
    </w:lvl>
    <w:lvl w:ilvl="4">
      <w:start w:val="0"/>
      <w:numFmt w:val="bullet"/>
      <w:lvlText w:val="•"/>
      <w:lvlJc w:val="left"/>
      <w:pPr>
        <w:ind w:left="5310" w:hanging="681"/>
      </w:pPr>
      <w:rPr>
        <w:rFonts w:hint="default"/>
      </w:rPr>
    </w:lvl>
    <w:lvl w:ilvl="5">
      <w:start w:val="0"/>
      <w:numFmt w:val="bullet"/>
      <w:lvlText w:val="•"/>
      <w:lvlJc w:val="left"/>
      <w:pPr>
        <w:ind w:left="6302" w:hanging="681"/>
      </w:pPr>
      <w:rPr>
        <w:rFonts w:hint="default"/>
      </w:rPr>
    </w:lvl>
    <w:lvl w:ilvl="6">
      <w:start w:val="0"/>
      <w:numFmt w:val="bullet"/>
      <w:lvlText w:val="•"/>
      <w:lvlJc w:val="left"/>
      <w:pPr>
        <w:ind w:left="7295" w:hanging="681"/>
      </w:pPr>
      <w:rPr>
        <w:rFonts w:hint="default"/>
      </w:rPr>
    </w:lvl>
    <w:lvl w:ilvl="7">
      <w:start w:val="0"/>
      <w:numFmt w:val="bullet"/>
      <w:lvlText w:val="•"/>
      <w:lvlJc w:val="left"/>
      <w:pPr>
        <w:ind w:left="8287" w:hanging="681"/>
      </w:pPr>
      <w:rPr>
        <w:rFonts w:hint="default"/>
      </w:rPr>
    </w:lvl>
    <w:lvl w:ilvl="8">
      <w:start w:val="0"/>
      <w:numFmt w:val="bullet"/>
      <w:lvlText w:val="•"/>
      <w:lvlJc w:val="left"/>
      <w:pPr>
        <w:ind w:left="9280" w:hanging="681"/>
      </w:pPr>
      <w:rPr>
        <w:rFonts w:hint="default"/>
      </w:rPr>
    </w:lvl>
  </w:abstractNum>
  <w:abstractNum w:abstractNumId="155">
    <w:multiLevelType w:val="hybridMultilevel"/>
    <w:lvl w:ilvl="0">
      <w:start w:val="1"/>
      <w:numFmt w:val="decimal"/>
      <w:lvlText w:val="%1."/>
      <w:lvlJc w:val="left"/>
      <w:pPr>
        <w:ind w:left="2024" w:hanging="681"/>
        <w:jc w:val="right"/>
      </w:pPr>
      <w:rPr>
        <w:rFonts w:hint="default" w:ascii="Stone Sans II ITC Std Bk" w:hAnsi="Stone Sans II ITC Std Bk" w:eastAsia="Stone Sans II ITC Std Bk" w:cs="Stone Sans II ITC Std Bk"/>
        <w:b/>
        <w:bCs/>
        <w:spacing w:val="-15"/>
        <w:w w:val="110"/>
        <w:sz w:val="29"/>
        <w:szCs w:val="29"/>
      </w:rPr>
    </w:lvl>
    <w:lvl w:ilvl="1">
      <w:start w:val="1"/>
      <w:numFmt w:val="decimal"/>
      <w:lvlText w:val="%1.%2"/>
      <w:lvlJc w:val="left"/>
      <w:pPr>
        <w:ind w:left="1344" w:hanging="681"/>
        <w:jc w:val="right"/>
      </w:pPr>
      <w:rPr>
        <w:rFonts w:hint="default" w:ascii="Calibri" w:hAnsi="Calibri" w:eastAsia="Calibri" w:cs="Calibri"/>
        <w:spacing w:val="-16"/>
        <w:w w:val="125"/>
        <w:sz w:val="20"/>
        <w:szCs w:val="20"/>
      </w:rPr>
    </w:lvl>
    <w:lvl w:ilvl="2">
      <w:start w:val="0"/>
      <w:numFmt w:val="bullet"/>
      <w:lvlText w:val="•"/>
      <w:lvlJc w:val="left"/>
      <w:pPr>
        <w:ind w:left="2020" w:hanging="681"/>
      </w:pPr>
      <w:rPr>
        <w:rFonts w:hint="default"/>
      </w:rPr>
    </w:lvl>
    <w:lvl w:ilvl="3">
      <w:start w:val="0"/>
      <w:numFmt w:val="bullet"/>
      <w:lvlText w:val="•"/>
      <w:lvlJc w:val="left"/>
      <w:pPr>
        <w:ind w:left="3175" w:hanging="681"/>
      </w:pPr>
      <w:rPr>
        <w:rFonts w:hint="default"/>
      </w:rPr>
    </w:lvl>
    <w:lvl w:ilvl="4">
      <w:start w:val="0"/>
      <w:numFmt w:val="bullet"/>
      <w:lvlText w:val="•"/>
      <w:lvlJc w:val="left"/>
      <w:pPr>
        <w:ind w:left="4331" w:hanging="681"/>
      </w:pPr>
      <w:rPr>
        <w:rFonts w:hint="default"/>
      </w:rPr>
    </w:lvl>
    <w:lvl w:ilvl="5">
      <w:start w:val="0"/>
      <w:numFmt w:val="bullet"/>
      <w:lvlText w:val="•"/>
      <w:lvlJc w:val="left"/>
      <w:pPr>
        <w:ind w:left="5487" w:hanging="681"/>
      </w:pPr>
      <w:rPr>
        <w:rFonts w:hint="default"/>
      </w:rPr>
    </w:lvl>
    <w:lvl w:ilvl="6">
      <w:start w:val="0"/>
      <w:numFmt w:val="bullet"/>
      <w:lvlText w:val="•"/>
      <w:lvlJc w:val="left"/>
      <w:pPr>
        <w:ind w:left="6642" w:hanging="681"/>
      </w:pPr>
      <w:rPr>
        <w:rFonts w:hint="default"/>
      </w:rPr>
    </w:lvl>
    <w:lvl w:ilvl="7">
      <w:start w:val="0"/>
      <w:numFmt w:val="bullet"/>
      <w:lvlText w:val="•"/>
      <w:lvlJc w:val="left"/>
      <w:pPr>
        <w:ind w:left="7798" w:hanging="681"/>
      </w:pPr>
      <w:rPr>
        <w:rFonts w:hint="default"/>
      </w:rPr>
    </w:lvl>
    <w:lvl w:ilvl="8">
      <w:start w:val="0"/>
      <w:numFmt w:val="bullet"/>
      <w:lvlText w:val="•"/>
      <w:lvlJc w:val="left"/>
      <w:pPr>
        <w:ind w:left="8954" w:hanging="681"/>
      </w:pPr>
      <w:rPr>
        <w:rFonts w:hint="default"/>
      </w:rPr>
    </w:lvl>
  </w:abstractNum>
  <w:abstractNum w:abstractNumId="141">
    <w:multiLevelType w:val="hybridMultilevel"/>
    <w:lvl w:ilvl="0">
      <w:start w:val="1"/>
      <w:numFmt w:val="upperLetter"/>
      <w:lvlText w:val="%1."/>
      <w:lvlJc w:val="left"/>
      <w:pPr>
        <w:ind w:left="2024" w:hanging="681"/>
        <w:jc w:val="right"/>
      </w:pPr>
      <w:rPr>
        <w:rFonts w:hint="default" w:ascii="Stone Sans II ITC Std Bk" w:hAnsi="Stone Sans II ITC Std Bk" w:eastAsia="Stone Sans II ITC Std Bk" w:cs="Stone Sans II ITC Std Bk"/>
        <w:b/>
        <w:bCs/>
        <w:spacing w:val="0"/>
        <w:w w:val="110"/>
        <w:sz w:val="29"/>
        <w:szCs w:val="29"/>
      </w:rPr>
    </w:lvl>
    <w:lvl w:ilvl="1">
      <w:start w:val="0"/>
      <w:numFmt w:val="bullet"/>
      <w:lvlText w:val="•"/>
      <w:lvlJc w:val="left"/>
      <w:pPr>
        <w:ind w:left="2944" w:hanging="681"/>
      </w:pPr>
      <w:rPr>
        <w:rFonts w:hint="default"/>
      </w:rPr>
    </w:lvl>
    <w:lvl w:ilvl="2">
      <w:start w:val="0"/>
      <w:numFmt w:val="bullet"/>
      <w:lvlText w:val="•"/>
      <w:lvlJc w:val="left"/>
      <w:pPr>
        <w:ind w:left="3869" w:hanging="681"/>
      </w:pPr>
      <w:rPr>
        <w:rFonts w:hint="default"/>
      </w:rPr>
    </w:lvl>
    <w:lvl w:ilvl="3">
      <w:start w:val="0"/>
      <w:numFmt w:val="bullet"/>
      <w:lvlText w:val="•"/>
      <w:lvlJc w:val="left"/>
      <w:pPr>
        <w:ind w:left="4793" w:hanging="681"/>
      </w:pPr>
      <w:rPr>
        <w:rFonts w:hint="default"/>
      </w:rPr>
    </w:lvl>
    <w:lvl w:ilvl="4">
      <w:start w:val="0"/>
      <w:numFmt w:val="bullet"/>
      <w:lvlText w:val="•"/>
      <w:lvlJc w:val="left"/>
      <w:pPr>
        <w:ind w:left="5718" w:hanging="681"/>
      </w:pPr>
      <w:rPr>
        <w:rFonts w:hint="default"/>
      </w:rPr>
    </w:lvl>
    <w:lvl w:ilvl="5">
      <w:start w:val="0"/>
      <w:numFmt w:val="bullet"/>
      <w:lvlText w:val="•"/>
      <w:lvlJc w:val="left"/>
      <w:pPr>
        <w:ind w:left="6642" w:hanging="681"/>
      </w:pPr>
      <w:rPr>
        <w:rFonts w:hint="default"/>
      </w:rPr>
    </w:lvl>
    <w:lvl w:ilvl="6">
      <w:start w:val="0"/>
      <w:numFmt w:val="bullet"/>
      <w:lvlText w:val="•"/>
      <w:lvlJc w:val="left"/>
      <w:pPr>
        <w:ind w:left="7567" w:hanging="681"/>
      </w:pPr>
      <w:rPr>
        <w:rFonts w:hint="default"/>
      </w:rPr>
    </w:lvl>
    <w:lvl w:ilvl="7">
      <w:start w:val="0"/>
      <w:numFmt w:val="bullet"/>
      <w:lvlText w:val="•"/>
      <w:lvlJc w:val="left"/>
      <w:pPr>
        <w:ind w:left="8491" w:hanging="681"/>
      </w:pPr>
      <w:rPr>
        <w:rFonts w:hint="default"/>
      </w:rPr>
    </w:lvl>
    <w:lvl w:ilvl="8">
      <w:start w:val="0"/>
      <w:numFmt w:val="bullet"/>
      <w:lvlText w:val="•"/>
      <w:lvlJc w:val="left"/>
      <w:pPr>
        <w:ind w:left="9416" w:hanging="681"/>
      </w:pPr>
      <w:rPr>
        <w:rFonts w:hint="default"/>
      </w:rPr>
    </w:lvl>
  </w:abstractNum>
  <w:abstractNum w:abstractNumId="136">
    <w:multiLevelType w:val="hybridMultilevel"/>
    <w:lvl w:ilvl="0">
      <w:start w:val="1"/>
      <w:numFmt w:val="decimal"/>
      <w:lvlText w:val="%1."/>
      <w:lvlJc w:val="left"/>
      <w:pPr>
        <w:ind w:left="2024" w:hanging="681"/>
        <w:jc w:val="right"/>
      </w:pPr>
      <w:rPr>
        <w:rFonts w:hint="default" w:ascii="Stone Sans II ITC Std Bk" w:hAnsi="Stone Sans II ITC Std Bk" w:eastAsia="Stone Sans II ITC Std Bk" w:cs="Stone Sans II ITC Std Bk"/>
        <w:b/>
        <w:bCs/>
        <w:spacing w:val="-15"/>
        <w:w w:val="110"/>
        <w:sz w:val="29"/>
        <w:szCs w:val="29"/>
      </w:rPr>
    </w:lvl>
    <w:lvl w:ilvl="1">
      <w:start w:val="1"/>
      <w:numFmt w:val="decimal"/>
      <w:lvlText w:val="%1.%2"/>
      <w:lvlJc w:val="left"/>
      <w:pPr>
        <w:ind w:left="2024" w:hanging="681"/>
        <w:jc w:val="right"/>
      </w:pPr>
      <w:rPr>
        <w:rFonts w:hint="default"/>
        <w:b/>
        <w:bCs/>
        <w:spacing w:val="-18"/>
        <w:w w:val="110"/>
      </w:rPr>
    </w:lvl>
    <w:lvl w:ilvl="2">
      <w:start w:val="1"/>
      <w:numFmt w:val="decimal"/>
      <w:lvlText w:val="%1.%2.%3"/>
      <w:lvlJc w:val="left"/>
      <w:pPr>
        <w:ind w:left="1344" w:hanging="681"/>
        <w:jc w:val="left"/>
      </w:pPr>
      <w:rPr>
        <w:rFonts w:hint="default" w:ascii="Calibri" w:hAnsi="Calibri" w:eastAsia="Calibri" w:cs="Calibri"/>
        <w:spacing w:val="-18"/>
        <w:w w:val="125"/>
        <w:sz w:val="20"/>
        <w:szCs w:val="20"/>
      </w:rPr>
    </w:lvl>
    <w:lvl w:ilvl="3">
      <w:start w:val="0"/>
      <w:numFmt w:val="bullet"/>
      <w:lvlText w:val="•"/>
      <w:lvlJc w:val="left"/>
      <w:pPr>
        <w:ind w:left="2020" w:hanging="681"/>
      </w:pPr>
      <w:rPr>
        <w:rFonts w:hint="default"/>
      </w:rPr>
    </w:lvl>
    <w:lvl w:ilvl="4">
      <w:start w:val="0"/>
      <w:numFmt w:val="bullet"/>
      <w:lvlText w:val="•"/>
      <w:lvlJc w:val="left"/>
      <w:pPr>
        <w:ind w:left="3340" w:hanging="681"/>
      </w:pPr>
      <w:rPr>
        <w:rFonts w:hint="default"/>
      </w:rPr>
    </w:lvl>
    <w:lvl w:ilvl="5">
      <w:start w:val="0"/>
      <w:numFmt w:val="bullet"/>
      <w:lvlText w:val="•"/>
      <w:lvlJc w:val="left"/>
      <w:pPr>
        <w:ind w:left="4661" w:hanging="681"/>
      </w:pPr>
      <w:rPr>
        <w:rFonts w:hint="default"/>
      </w:rPr>
    </w:lvl>
    <w:lvl w:ilvl="6">
      <w:start w:val="0"/>
      <w:numFmt w:val="bullet"/>
      <w:lvlText w:val="•"/>
      <w:lvlJc w:val="left"/>
      <w:pPr>
        <w:ind w:left="5982" w:hanging="681"/>
      </w:pPr>
      <w:rPr>
        <w:rFonts w:hint="default"/>
      </w:rPr>
    </w:lvl>
    <w:lvl w:ilvl="7">
      <w:start w:val="0"/>
      <w:numFmt w:val="bullet"/>
      <w:lvlText w:val="•"/>
      <w:lvlJc w:val="left"/>
      <w:pPr>
        <w:ind w:left="7303" w:hanging="681"/>
      </w:pPr>
      <w:rPr>
        <w:rFonts w:hint="default"/>
      </w:rPr>
    </w:lvl>
    <w:lvl w:ilvl="8">
      <w:start w:val="0"/>
      <w:numFmt w:val="bullet"/>
      <w:lvlText w:val="•"/>
      <w:lvlJc w:val="left"/>
      <w:pPr>
        <w:ind w:left="8623" w:hanging="681"/>
      </w:pPr>
      <w:rPr>
        <w:rFonts w:hint="default"/>
      </w:rPr>
    </w:lvl>
  </w:abstractNum>
  <w:abstractNum w:abstractNumId="118">
    <w:multiLevelType w:val="hybridMultilevel"/>
    <w:lvl w:ilvl="0">
      <w:start w:val="0"/>
      <w:numFmt w:val="bullet"/>
      <w:lvlText w:val="•"/>
      <w:lvlJc w:val="left"/>
      <w:pPr>
        <w:ind w:left="1911" w:hanging="341"/>
      </w:pPr>
      <w:rPr>
        <w:rFonts w:hint="default" w:ascii="Calibri" w:hAnsi="Calibri" w:eastAsia="Calibri" w:cs="Calibri"/>
        <w:color w:val="707172"/>
        <w:w w:val="111"/>
        <w:sz w:val="18"/>
        <w:szCs w:val="18"/>
      </w:rPr>
    </w:lvl>
    <w:lvl w:ilvl="1">
      <w:start w:val="0"/>
      <w:numFmt w:val="bullet"/>
      <w:lvlText w:val="•"/>
      <w:lvlJc w:val="left"/>
      <w:pPr>
        <w:ind w:left="2854" w:hanging="341"/>
      </w:pPr>
      <w:rPr>
        <w:rFonts w:hint="default"/>
      </w:rPr>
    </w:lvl>
    <w:lvl w:ilvl="2">
      <w:start w:val="0"/>
      <w:numFmt w:val="bullet"/>
      <w:lvlText w:val="•"/>
      <w:lvlJc w:val="left"/>
      <w:pPr>
        <w:ind w:left="3789" w:hanging="341"/>
      </w:pPr>
      <w:rPr>
        <w:rFonts w:hint="default"/>
      </w:rPr>
    </w:lvl>
    <w:lvl w:ilvl="3">
      <w:start w:val="0"/>
      <w:numFmt w:val="bullet"/>
      <w:lvlText w:val="•"/>
      <w:lvlJc w:val="left"/>
      <w:pPr>
        <w:ind w:left="4723" w:hanging="341"/>
      </w:pPr>
      <w:rPr>
        <w:rFonts w:hint="default"/>
      </w:rPr>
    </w:lvl>
    <w:lvl w:ilvl="4">
      <w:start w:val="0"/>
      <w:numFmt w:val="bullet"/>
      <w:lvlText w:val="•"/>
      <w:lvlJc w:val="left"/>
      <w:pPr>
        <w:ind w:left="5658" w:hanging="341"/>
      </w:pPr>
      <w:rPr>
        <w:rFonts w:hint="default"/>
      </w:rPr>
    </w:lvl>
    <w:lvl w:ilvl="5">
      <w:start w:val="0"/>
      <w:numFmt w:val="bullet"/>
      <w:lvlText w:val="•"/>
      <w:lvlJc w:val="left"/>
      <w:pPr>
        <w:ind w:left="6592" w:hanging="341"/>
      </w:pPr>
      <w:rPr>
        <w:rFonts w:hint="default"/>
      </w:rPr>
    </w:lvl>
    <w:lvl w:ilvl="6">
      <w:start w:val="0"/>
      <w:numFmt w:val="bullet"/>
      <w:lvlText w:val="•"/>
      <w:lvlJc w:val="left"/>
      <w:pPr>
        <w:ind w:left="7527" w:hanging="341"/>
      </w:pPr>
      <w:rPr>
        <w:rFonts w:hint="default"/>
      </w:rPr>
    </w:lvl>
    <w:lvl w:ilvl="7">
      <w:start w:val="0"/>
      <w:numFmt w:val="bullet"/>
      <w:lvlText w:val="•"/>
      <w:lvlJc w:val="left"/>
      <w:pPr>
        <w:ind w:left="8461" w:hanging="341"/>
      </w:pPr>
      <w:rPr>
        <w:rFonts w:hint="default"/>
      </w:rPr>
    </w:lvl>
    <w:lvl w:ilvl="8">
      <w:start w:val="0"/>
      <w:numFmt w:val="bullet"/>
      <w:lvlText w:val="•"/>
      <w:lvlJc w:val="left"/>
      <w:pPr>
        <w:ind w:left="9396" w:hanging="341"/>
      </w:pPr>
      <w:rPr>
        <w:rFonts w:hint="default"/>
      </w:rPr>
    </w:lvl>
  </w:abstractNum>
  <w:abstractNum w:abstractNumId="66">
    <w:multiLevelType w:val="hybridMultilevel"/>
    <w:lvl w:ilvl="0">
      <w:start w:val="1"/>
      <w:numFmt w:val="decimal"/>
      <w:lvlText w:val="%1."/>
      <w:lvlJc w:val="left"/>
      <w:pPr>
        <w:ind w:left="1284" w:hanging="681"/>
        <w:jc w:val="left"/>
      </w:pPr>
      <w:rPr>
        <w:rFonts w:hint="default" w:ascii="Calibri" w:hAnsi="Calibri" w:eastAsia="Calibri" w:cs="Calibri"/>
        <w:spacing w:val="-13"/>
        <w:w w:val="125"/>
        <w:sz w:val="20"/>
        <w:szCs w:val="20"/>
      </w:rPr>
    </w:lvl>
    <w:lvl w:ilvl="1">
      <w:start w:val="0"/>
      <w:numFmt w:val="bullet"/>
      <w:lvlText w:val="•"/>
      <w:lvlJc w:val="left"/>
      <w:pPr>
        <w:ind w:left="2272" w:hanging="681"/>
      </w:pPr>
      <w:rPr>
        <w:rFonts w:hint="default"/>
      </w:rPr>
    </w:lvl>
    <w:lvl w:ilvl="2">
      <w:start w:val="0"/>
      <w:numFmt w:val="bullet"/>
      <w:lvlText w:val="•"/>
      <w:lvlJc w:val="left"/>
      <w:pPr>
        <w:ind w:left="3265" w:hanging="681"/>
      </w:pPr>
      <w:rPr>
        <w:rFonts w:hint="default"/>
      </w:rPr>
    </w:lvl>
    <w:lvl w:ilvl="3">
      <w:start w:val="0"/>
      <w:numFmt w:val="bullet"/>
      <w:lvlText w:val="•"/>
      <w:lvlJc w:val="left"/>
      <w:pPr>
        <w:ind w:left="4257" w:hanging="681"/>
      </w:pPr>
      <w:rPr>
        <w:rFonts w:hint="default"/>
      </w:rPr>
    </w:lvl>
    <w:lvl w:ilvl="4">
      <w:start w:val="0"/>
      <w:numFmt w:val="bullet"/>
      <w:lvlText w:val="•"/>
      <w:lvlJc w:val="left"/>
      <w:pPr>
        <w:ind w:left="5250" w:hanging="681"/>
      </w:pPr>
      <w:rPr>
        <w:rFonts w:hint="default"/>
      </w:rPr>
    </w:lvl>
    <w:lvl w:ilvl="5">
      <w:start w:val="0"/>
      <w:numFmt w:val="bullet"/>
      <w:lvlText w:val="•"/>
      <w:lvlJc w:val="left"/>
      <w:pPr>
        <w:ind w:left="6242" w:hanging="681"/>
      </w:pPr>
      <w:rPr>
        <w:rFonts w:hint="default"/>
      </w:rPr>
    </w:lvl>
    <w:lvl w:ilvl="6">
      <w:start w:val="0"/>
      <w:numFmt w:val="bullet"/>
      <w:lvlText w:val="•"/>
      <w:lvlJc w:val="left"/>
      <w:pPr>
        <w:ind w:left="7235" w:hanging="681"/>
      </w:pPr>
      <w:rPr>
        <w:rFonts w:hint="default"/>
      </w:rPr>
    </w:lvl>
    <w:lvl w:ilvl="7">
      <w:start w:val="0"/>
      <w:numFmt w:val="bullet"/>
      <w:lvlText w:val="•"/>
      <w:lvlJc w:val="left"/>
      <w:pPr>
        <w:ind w:left="8227" w:hanging="681"/>
      </w:pPr>
      <w:rPr>
        <w:rFonts w:hint="default"/>
      </w:rPr>
    </w:lvl>
    <w:lvl w:ilvl="8">
      <w:start w:val="0"/>
      <w:numFmt w:val="bullet"/>
      <w:lvlText w:val="•"/>
      <w:lvlJc w:val="left"/>
      <w:pPr>
        <w:ind w:left="9220" w:hanging="681"/>
      </w:pPr>
      <w:rPr>
        <w:rFonts w:hint="default"/>
      </w:rPr>
    </w:lvl>
  </w:abstractNum>
  <w:abstractNum w:abstractNumId="58">
    <w:multiLevelType w:val="hybridMultilevel"/>
    <w:lvl w:ilvl="0">
      <w:start w:val="0"/>
      <w:numFmt w:val="bullet"/>
      <w:lvlText w:val=""/>
      <w:lvlJc w:val="left"/>
      <w:pPr>
        <w:ind w:left="1964" w:hanging="681"/>
      </w:pPr>
      <w:rPr>
        <w:rFonts w:hint="default" w:ascii="Symbol" w:hAnsi="Symbol" w:eastAsia="Symbol" w:cs="Symbol"/>
        <w:w w:val="110"/>
        <w:position w:val="-3"/>
        <w:sz w:val="29"/>
        <w:szCs w:val="29"/>
      </w:rPr>
    </w:lvl>
    <w:lvl w:ilvl="1">
      <w:start w:val="0"/>
      <w:numFmt w:val="bullet"/>
      <w:lvlText w:val="•"/>
      <w:lvlJc w:val="left"/>
      <w:pPr>
        <w:ind w:left="2884" w:hanging="681"/>
      </w:pPr>
      <w:rPr>
        <w:rFonts w:hint="default"/>
      </w:rPr>
    </w:lvl>
    <w:lvl w:ilvl="2">
      <w:start w:val="0"/>
      <w:numFmt w:val="bullet"/>
      <w:lvlText w:val="•"/>
      <w:lvlJc w:val="left"/>
      <w:pPr>
        <w:ind w:left="3809" w:hanging="681"/>
      </w:pPr>
      <w:rPr>
        <w:rFonts w:hint="default"/>
      </w:rPr>
    </w:lvl>
    <w:lvl w:ilvl="3">
      <w:start w:val="0"/>
      <w:numFmt w:val="bullet"/>
      <w:lvlText w:val="•"/>
      <w:lvlJc w:val="left"/>
      <w:pPr>
        <w:ind w:left="4733" w:hanging="681"/>
      </w:pPr>
      <w:rPr>
        <w:rFonts w:hint="default"/>
      </w:rPr>
    </w:lvl>
    <w:lvl w:ilvl="4">
      <w:start w:val="0"/>
      <w:numFmt w:val="bullet"/>
      <w:lvlText w:val="•"/>
      <w:lvlJc w:val="left"/>
      <w:pPr>
        <w:ind w:left="5658" w:hanging="681"/>
      </w:pPr>
      <w:rPr>
        <w:rFonts w:hint="default"/>
      </w:rPr>
    </w:lvl>
    <w:lvl w:ilvl="5">
      <w:start w:val="0"/>
      <w:numFmt w:val="bullet"/>
      <w:lvlText w:val="•"/>
      <w:lvlJc w:val="left"/>
      <w:pPr>
        <w:ind w:left="6582" w:hanging="681"/>
      </w:pPr>
      <w:rPr>
        <w:rFonts w:hint="default"/>
      </w:rPr>
    </w:lvl>
    <w:lvl w:ilvl="6">
      <w:start w:val="0"/>
      <w:numFmt w:val="bullet"/>
      <w:lvlText w:val="•"/>
      <w:lvlJc w:val="left"/>
      <w:pPr>
        <w:ind w:left="7507" w:hanging="681"/>
      </w:pPr>
      <w:rPr>
        <w:rFonts w:hint="default"/>
      </w:rPr>
    </w:lvl>
    <w:lvl w:ilvl="7">
      <w:start w:val="0"/>
      <w:numFmt w:val="bullet"/>
      <w:lvlText w:val="•"/>
      <w:lvlJc w:val="left"/>
      <w:pPr>
        <w:ind w:left="8431" w:hanging="681"/>
      </w:pPr>
      <w:rPr>
        <w:rFonts w:hint="default"/>
      </w:rPr>
    </w:lvl>
    <w:lvl w:ilvl="8">
      <w:start w:val="0"/>
      <w:numFmt w:val="bullet"/>
      <w:lvlText w:val="•"/>
      <w:lvlJc w:val="left"/>
      <w:pPr>
        <w:ind w:left="9356" w:hanging="681"/>
      </w:pPr>
      <w:rPr>
        <w:rFonts w:hint="default"/>
      </w:rPr>
    </w:lvl>
  </w:abstractNum>
  <w:abstractNum w:abstractNumId="45">
    <w:multiLevelType w:val="hybridMultilevel"/>
    <w:lvl w:ilvl="0">
      <w:start w:val="0"/>
      <w:numFmt w:val="bullet"/>
      <w:lvlText w:val=""/>
      <w:lvlJc w:val="left"/>
      <w:pPr>
        <w:ind w:left="1964" w:hanging="454"/>
      </w:pPr>
      <w:rPr>
        <w:rFonts w:hint="default" w:ascii="Symbol" w:hAnsi="Symbol" w:eastAsia="Symbol" w:cs="Symbol"/>
        <w:color w:val="707172"/>
        <w:w w:val="111"/>
        <w:sz w:val="18"/>
        <w:szCs w:val="18"/>
      </w:rPr>
    </w:lvl>
    <w:lvl w:ilvl="1">
      <w:start w:val="0"/>
      <w:numFmt w:val="bullet"/>
      <w:lvlText w:val="•"/>
      <w:lvlJc w:val="left"/>
      <w:pPr>
        <w:ind w:left="2884" w:hanging="454"/>
      </w:pPr>
      <w:rPr>
        <w:rFonts w:hint="default"/>
      </w:rPr>
    </w:lvl>
    <w:lvl w:ilvl="2">
      <w:start w:val="0"/>
      <w:numFmt w:val="bullet"/>
      <w:lvlText w:val="•"/>
      <w:lvlJc w:val="left"/>
      <w:pPr>
        <w:ind w:left="3809" w:hanging="454"/>
      </w:pPr>
      <w:rPr>
        <w:rFonts w:hint="default"/>
      </w:rPr>
    </w:lvl>
    <w:lvl w:ilvl="3">
      <w:start w:val="0"/>
      <w:numFmt w:val="bullet"/>
      <w:lvlText w:val="•"/>
      <w:lvlJc w:val="left"/>
      <w:pPr>
        <w:ind w:left="4733" w:hanging="454"/>
      </w:pPr>
      <w:rPr>
        <w:rFonts w:hint="default"/>
      </w:rPr>
    </w:lvl>
    <w:lvl w:ilvl="4">
      <w:start w:val="0"/>
      <w:numFmt w:val="bullet"/>
      <w:lvlText w:val="•"/>
      <w:lvlJc w:val="left"/>
      <w:pPr>
        <w:ind w:left="5658" w:hanging="454"/>
      </w:pPr>
      <w:rPr>
        <w:rFonts w:hint="default"/>
      </w:rPr>
    </w:lvl>
    <w:lvl w:ilvl="5">
      <w:start w:val="0"/>
      <w:numFmt w:val="bullet"/>
      <w:lvlText w:val="•"/>
      <w:lvlJc w:val="left"/>
      <w:pPr>
        <w:ind w:left="6582" w:hanging="454"/>
      </w:pPr>
      <w:rPr>
        <w:rFonts w:hint="default"/>
      </w:rPr>
    </w:lvl>
    <w:lvl w:ilvl="6">
      <w:start w:val="0"/>
      <w:numFmt w:val="bullet"/>
      <w:lvlText w:val="•"/>
      <w:lvlJc w:val="left"/>
      <w:pPr>
        <w:ind w:left="7507" w:hanging="454"/>
      </w:pPr>
      <w:rPr>
        <w:rFonts w:hint="default"/>
      </w:rPr>
    </w:lvl>
    <w:lvl w:ilvl="7">
      <w:start w:val="0"/>
      <w:numFmt w:val="bullet"/>
      <w:lvlText w:val="•"/>
      <w:lvlJc w:val="left"/>
      <w:pPr>
        <w:ind w:left="8431" w:hanging="454"/>
      </w:pPr>
      <w:rPr>
        <w:rFonts w:hint="default"/>
      </w:rPr>
    </w:lvl>
    <w:lvl w:ilvl="8">
      <w:start w:val="0"/>
      <w:numFmt w:val="bullet"/>
      <w:lvlText w:val="•"/>
      <w:lvlJc w:val="left"/>
      <w:pPr>
        <w:ind w:left="9356" w:hanging="454"/>
      </w:pPr>
      <w:rPr>
        <w:rFonts w:hint="default"/>
      </w:rPr>
    </w:lvl>
  </w:abstractNum>
  <w:abstractNum w:abstractNumId="32">
    <w:multiLevelType w:val="hybridMultilevel"/>
    <w:lvl w:ilvl="0">
      <w:start w:val="1"/>
      <w:numFmt w:val="decimal"/>
      <w:lvlText w:val="%1."/>
      <w:lvlJc w:val="left"/>
      <w:pPr>
        <w:ind w:left="1284" w:hanging="681"/>
        <w:jc w:val="left"/>
      </w:pPr>
      <w:rPr>
        <w:rFonts w:hint="default" w:ascii="Calibri" w:hAnsi="Calibri" w:eastAsia="Calibri" w:cs="Calibri"/>
        <w:spacing w:val="-13"/>
        <w:w w:val="125"/>
        <w:sz w:val="20"/>
        <w:szCs w:val="20"/>
      </w:rPr>
    </w:lvl>
    <w:lvl w:ilvl="1">
      <w:start w:val="0"/>
      <w:numFmt w:val="bullet"/>
      <w:lvlText w:val="•"/>
      <w:lvlJc w:val="left"/>
      <w:pPr>
        <w:ind w:left="2272" w:hanging="681"/>
      </w:pPr>
      <w:rPr>
        <w:rFonts w:hint="default"/>
      </w:rPr>
    </w:lvl>
    <w:lvl w:ilvl="2">
      <w:start w:val="0"/>
      <w:numFmt w:val="bullet"/>
      <w:lvlText w:val="•"/>
      <w:lvlJc w:val="left"/>
      <w:pPr>
        <w:ind w:left="3265" w:hanging="681"/>
      </w:pPr>
      <w:rPr>
        <w:rFonts w:hint="default"/>
      </w:rPr>
    </w:lvl>
    <w:lvl w:ilvl="3">
      <w:start w:val="0"/>
      <w:numFmt w:val="bullet"/>
      <w:lvlText w:val="•"/>
      <w:lvlJc w:val="left"/>
      <w:pPr>
        <w:ind w:left="4257" w:hanging="681"/>
      </w:pPr>
      <w:rPr>
        <w:rFonts w:hint="default"/>
      </w:rPr>
    </w:lvl>
    <w:lvl w:ilvl="4">
      <w:start w:val="0"/>
      <w:numFmt w:val="bullet"/>
      <w:lvlText w:val="•"/>
      <w:lvlJc w:val="left"/>
      <w:pPr>
        <w:ind w:left="5250" w:hanging="681"/>
      </w:pPr>
      <w:rPr>
        <w:rFonts w:hint="default"/>
      </w:rPr>
    </w:lvl>
    <w:lvl w:ilvl="5">
      <w:start w:val="0"/>
      <w:numFmt w:val="bullet"/>
      <w:lvlText w:val="•"/>
      <w:lvlJc w:val="left"/>
      <w:pPr>
        <w:ind w:left="6242" w:hanging="681"/>
      </w:pPr>
      <w:rPr>
        <w:rFonts w:hint="default"/>
      </w:rPr>
    </w:lvl>
    <w:lvl w:ilvl="6">
      <w:start w:val="0"/>
      <w:numFmt w:val="bullet"/>
      <w:lvlText w:val="•"/>
      <w:lvlJc w:val="left"/>
      <w:pPr>
        <w:ind w:left="7235" w:hanging="681"/>
      </w:pPr>
      <w:rPr>
        <w:rFonts w:hint="default"/>
      </w:rPr>
    </w:lvl>
    <w:lvl w:ilvl="7">
      <w:start w:val="0"/>
      <w:numFmt w:val="bullet"/>
      <w:lvlText w:val="•"/>
      <w:lvlJc w:val="left"/>
      <w:pPr>
        <w:ind w:left="8227" w:hanging="681"/>
      </w:pPr>
      <w:rPr>
        <w:rFonts w:hint="default"/>
      </w:rPr>
    </w:lvl>
    <w:lvl w:ilvl="8">
      <w:start w:val="0"/>
      <w:numFmt w:val="bullet"/>
      <w:lvlText w:val="•"/>
      <w:lvlJc w:val="left"/>
      <w:pPr>
        <w:ind w:left="9220" w:hanging="681"/>
      </w:pPr>
      <w:rPr>
        <w:rFonts w:hint="default"/>
      </w:rPr>
    </w:lvl>
  </w:abstractNum>
  <w:abstractNum w:abstractNumId="22">
    <w:multiLevelType w:val="hybridMultilevel"/>
    <w:lvl w:ilvl="0">
      <w:start w:val="1"/>
      <w:numFmt w:val="decimal"/>
      <w:lvlText w:val="%1."/>
      <w:lvlJc w:val="left"/>
      <w:pPr>
        <w:ind w:left="1270" w:hanging="681"/>
        <w:jc w:val="left"/>
      </w:pPr>
      <w:rPr>
        <w:rFonts w:hint="default" w:ascii="Calibri" w:hAnsi="Calibri" w:eastAsia="Calibri" w:cs="Calibri"/>
        <w:spacing w:val="-13"/>
        <w:w w:val="125"/>
        <w:sz w:val="20"/>
        <w:szCs w:val="20"/>
      </w:rPr>
    </w:lvl>
    <w:lvl w:ilvl="1">
      <w:start w:val="0"/>
      <w:numFmt w:val="bullet"/>
      <w:lvlText w:val="•"/>
      <w:lvlJc w:val="left"/>
      <w:pPr>
        <w:ind w:left="2272" w:hanging="681"/>
      </w:pPr>
      <w:rPr>
        <w:rFonts w:hint="default"/>
      </w:rPr>
    </w:lvl>
    <w:lvl w:ilvl="2">
      <w:start w:val="0"/>
      <w:numFmt w:val="bullet"/>
      <w:lvlText w:val="•"/>
      <w:lvlJc w:val="left"/>
      <w:pPr>
        <w:ind w:left="3265" w:hanging="681"/>
      </w:pPr>
      <w:rPr>
        <w:rFonts w:hint="default"/>
      </w:rPr>
    </w:lvl>
    <w:lvl w:ilvl="3">
      <w:start w:val="0"/>
      <w:numFmt w:val="bullet"/>
      <w:lvlText w:val="•"/>
      <w:lvlJc w:val="left"/>
      <w:pPr>
        <w:ind w:left="4257" w:hanging="681"/>
      </w:pPr>
      <w:rPr>
        <w:rFonts w:hint="default"/>
      </w:rPr>
    </w:lvl>
    <w:lvl w:ilvl="4">
      <w:start w:val="0"/>
      <w:numFmt w:val="bullet"/>
      <w:lvlText w:val="•"/>
      <w:lvlJc w:val="left"/>
      <w:pPr>
        <w:ind w:left="5250" w:hanging="681"/>
      </w:pPr>
      <w:rPr>
        <w:rFonts w:hint="default"/>
      </w:rPr>
    </w:lvl>
    <w:lvl w:ilvl="5">
      <w:start w:val="0"/>
      <w:numFmt w:val="bullet"/>
      <w:lvlText w:val="•"/>
      <w:lvlJc w:val="left"/>
      <w:pPr>
        <w:ind w:left="6242" w:hanging="681"/>
      </w:pPr>
      <w:rPr>
        <w:rFonts w:hint="default"/>
      </w:rPr>
    </w:lvl>
    <w:lvl w:ilvl="6">
      <w:start w:val="0"/>
      <w:numFmt w:val="bullet"/>
      <w:lvlText w:val="•"/>
      <w:lvlJc w:val="left"/>
      <w:pPr>
        <w:ind w:left="7235" w:hanging="681"/>
      </w:pPr>
      <w:rPr>
        <w:rFonts w:hint="default"/>
      </w:rPr>
    </w:lvl>
    <w:lvl w:ilvl="7">
      <w:start w:val="0"/>
      <w:numFmt w:val="bullet"/>
      <w:lvlText w:val="•"/>
      <w:lvlJc w:val="left"/>
      <w:pPr>
        <w:ind w:left="8227" w:hanging="681"/>
      </w:pPr>
      <w:rPr>
        <w:rFonts w:hint="default"/>
      </w:rPr>
    </w:lvl>
    <w:lvl w:ilvl="8">
      <w:start w:val="0"/>
      <w:numFmt w:val="bullet"/>
      <w:lvlText w:val="•"/>
      <w:lvlJc w:val="left"/>
      <w:pPr>
        <w:ind w:left="9220" w:hanging="681"/>
      </w:pPr>
      <w:rPr>
        <w:rFonts w:hint="default"/>
      </w:rPr>
    </w:lvl>
  </w:abstractNum>
  <w:abstractNum w:abstractNumId="9">
    <w:multiLevelType w:val="hybridMultilevel"/>
    <w:lvl w:ilvl="0">
      <w:start w:val="1"/>
      <w:numFmt w:val="decimal"/>
      <w:lvlText w:val="%1."/>
      <w:lvlJc w:val="left"/>
      <w:pPr>
        <w:ind w:left="1284" w:hanging="681"/>
        <w:jc w:val="left"/>
      </w:pPr>
      <w:rPr>
        <w:rFonts w:hint="default" w:ascii="Calibri" w:hAnsi="Calibri" w:eastAsia="Calibri" w:cs="Calibri"/>
        <w:spacing w:val="-13"/>
        <w:w w:val="125"/>
        <w:sz w:val="20"/>
        <w:szCs w:val="20"/>
      </w:rPr>
    </w:lvl>
    <w:lvl w:ilvl="1">
      <w:start w:val="0"/>
      <w:numFmt w:val="bullet"/>
      <w:lvlText w:val="•"/>
      <w:lvlJc w:val="left"/>
      <w:pPr>
        <w:ind w:left="2272" w:hanging="681"/>
      </w:pPr>
      <w:rPr>
        <w:rFonts w:hint="default"/>
      </w:rPr>
    </w:lvl>
    <w:lvl w:ilvl="2">
      <w:start w:val="0"/>
      <w:numFmt w:val="bullet"/>
      <w:lvlText w:val="•"/>
      <w:lvlJc w:val="left"/>
      <w:pPr>
        <w:ind w:left="3265" w:hanging="681"/>
      </w:pPr>
      <w:rPr>
        <w:rFonts w:hint="default"/>
      </w:rPr>
    </w:lvl>
    <w:lvl w:ilvl="3">
      <w:start w:val="0"/>
      <w:numFmt w:val="bullet"/>
      <w:lvlText w:val="•"/>
      <w:lvlJc w:val="left"/>
      <w:pPr>
        <w:ind w:left="4257" w:hanging="681"/>
      </w:pPr>
      <w:rPr>
        <w:rFonts w:hint="default"/>
      </w:rPr>
    </w:lvl>
    <w:lvl w:ilvl="4">
      <w:start w:val="0"/>
      <w:numFmt w:val="bullet"/>
      <w:lvlText w:val="•"/>
      <w:lvlJc w:val="left"/>
      <w:pPr>
        <w:ind w:left="5250" w:hanging="681"/>
      </w:pPr>
      <w:rPr>
        <w:rFonts w:hint="default"/>
      </w:rPr>
    </w:lvl>
    <w:lvl w:ilvl="5">
      <w:start w:val="0"/>
      <w:numFmt w:val="bullet"/>
      <w:lvlText w:val="•"/>
      <w:lvlJc w:val="left"/>
      <w:pPr>
        <w:ind w:left="6242" w:hanging="681"/>
      </w:pPr>
      <w:rPr>
        <w:rFonts w:hint="default"/>
      </w:rPr>
    </w:lvl>
    <w:lvl w:ilvl="6">
      <w:start w:val="0"/>
      <w:numFmt w:val="bullet"/>
      <w:lvlText w:val="•"/>
      <w:lvlJc w:val="left"/>
      <w:pPr>
        <w:ind w:left="7235" w:hanging="681"/>
      </w:pPr>
      <w:rPr>
        <w:rFonts w:hint="default"/>
      </w:rPr>
    </w:lvl>
    <w:lvl w:ilvl="7">
      <w:start w:val="0"/>
      <w:numFmt w:val="bullet"/>
      <w:lvlText w:val="•"/>
      <w:lvlJc w:val="left"/>
      <w:pPr>
        <w:ind w:left="8227" w:hanging="681"/>
      </w:pPr>
      <w:rPr>
        <w:rFonts w:hint="default"/>
      </w:rPr>
    </w:lvl>
    <w:lvl w:ilvl="8">
      <w:start w:val="0"/>
      <w:numFmt w:val="bullet"/>
      <w:lvlText w:val="•"/>
      <w:lvlJc w:val="left"/>
      <w:pPr>
        <w:ind w:left="9220" w:hanging="681"/>
      </w:pPr>
      <w:rPr>
        <w:rFonts w:hint="default"/>
      </w:rPr>
    </w:lvl>
  </w:abstractNum>
  <w:abstractNum w:abstractNumId="6">
    <w:multiLevelType w:val="hybridMultilevel"/>
    <w:lvl w:ilvl="0">
      <w:start w:val="1"/>
      <w:numFmt w:val="decimal"/>
      <w:lvlText w:val="%1."/>
      <w:lvlJc w:val="left"/>
      <w:pPr>
        <w:ind w:left="1284" w:hanging="681"/>
        <w:jc w:val="left"/>
      </w:pPr>
      <w:rPr>
        <w:rFonts w:hint="default" w:ascii="Calibri" w:hAnsi="Calibri" w:eastAsia="Calibri" w:cs="Calibri"/>
        <w:spacing w:val="-13"/>
        <w:w w:val="125"/>
        <w:sz w:val="20"/>
        <w:szCs w:val="20"/>
      </w:rPr>
    </w:lvl>
    <w:lvl w:ilvl="1">
      <w:start w:val="0"/>
      <w:numFmt w:val="bullet"/>
      <w:lvlText w:val="•"/>
      <w:lvlJc w:val="left"/>
      <w:pPr>
        <w:ind w:left="2272" w:hanging="681"/>
      </w:pPr>
      <w:rPr>
        <w:rFonts w:hint="default"/>
      </w:rPr>
    </w:lvl>
    <w:lvl w:ilvl="2">
      <w:start w:val="0"/>
      <w:numFmt w:val="bullet"/>
      <w:lvlText w:val="•"/>
      <w:lvlJc w:val="left"/>
      <w:pPr>
        <w:ind w:left="3265" w:hanging="681"/>
      </w:pPr>
      <w:rPr>
        <w:rFonts w:hint="default"/>
      </w:rPr>
    </w:lvl>
    <w:lvl w:ilvl="3">
      <w:start w:val="0"/>
      <w:numFmt w:val="bullet"/>
      <w:lvlText w:val="•"/>
      <w:lvlJc w:val="left"/>
      <w:pPr>
        <w:ind w:left="4257" w:hanging="681"/>
      </w:pPr>
      <w:rPr>
        <w:rFonts w:hint="default"/>
      </w:rPr>
    </w:lvl>
    <w:lvl w:ilvl="4">
      <w:start w:val="0"/>
      <w:numFmt w:val="bullet"/>
      <w:lvlText w:val="•"/>
      <w:lvlJc w:val="left"/>
      <w:pPr>
        <w:ind w:left="5250" w:hanging="681"/>
      </w:pPr>
      <w:rPr>
        <w:rFonts w:hint="default"/>
      </w:rPr>
    </w:lvl>
    <w:lvl w:ilvl="5">
      <w:start w:val="0"/>
      <w:numFmt w:val="bullet"/>
      <w:lvlText w:val="•"/>
      <w:lvlJc w:val="left"/>
      <w:pPr>
        <w:ind w:left="6242" w:hanging="681"/>
      </w:pPr>
      <w:rPr>
        <w:rFonts w:hint="default"/>
      </w:rPr>
    </w:lvl>
    <w:lvl w:ilvl="6">
      <w:start w:val="0"/>
      <w:numFmt w:val="bullet"/>
      <w:lvlText w:val="•"/>
      <w:lvlJc w:val="left"/>
      <w:pPr>
        <w:ind w:left="7235" w:hanging="681"/>
      </w:pPr>
      <w:rPr>
        <w:rFonts w:hint="default"/>
      </w:rPr>
    </w:lvl>
    <w:lvl w:ilvl="7">
      <w:start w:val="0"/>
      <w:numFmt w:val="bullet"/>
      <w:lvlText w:val="•"/>
      <w:lvlJc w:val="left"/>
      <w:pPr>
        <w:ind w:left="8227" w:hanging="681"/>
      </w:pPr>
      <w:rPr>
        <w:rFonts w:hint="default"/>
      </w:rPr>
    </w:lvl>
    <w:lvl w:ilvl="8">
      <w:start w:val="0"/>
      <w:numFmt w:val="bullet"/>
      <w:lvlText w:val="•"/>
      <w:lvlJc w:val="left"/>
      <w:pPr>
        <w:ind w:left="9220" w:hanging="681"/>
      </w:pPr>
      <w:rPr>
        <w:rFonts w:hint="default"/>
      </w:rPr>
    </w:lvl>
  </w:abstractNum>
  <w:abstractNum w:abstractNumId="1">
    <w:multiLevelType w:val="hybridMultilevel"/>
    <w:lvl w:ilvl="0">
      <w:start w:val="1"/>
      <w:numFmt w:val="decimal"/>
      <w:lvlText w:val="%1."/>
      <w:lvlJc w:val="left"/>
      <w:pPr>
        <w:ind w:left="547" w:hanging="681"/>
        <w:jc w:val="right"/>
      </w:pPr>
      <w:rPr>
        <w:rFonts w:hint="default" w:ascii="Calibri" w:hAnsi="Calibri" w:eastAsia="Calibri" w:cs="Calibri"/>
        <w:spacing w:val="-13"/>
        <w:w w:val="125"/>
        <w:sz w:val="20"/>
        <w:szCs w:val="20"/>
      </w:rPr>
    </w:lvl>
    <w:lvl w:ilvl="1">
      <w:start w:val="0"/>
      <w:numFmt w:val="bullet"/>
      <w:lvlText w:val="•"/>
      <w:lvlJc w:val="left"/>
      <w:pPr>
        <w:ind w:left="1606" w:hanging="681"/>
      </w:pPr>
      <w:rPr>
        <w:rFonts w:hint="default"/>
      </w:rPr>
    </w:lvl>
    <w:lvl w:ilvl="2">
      <w:start w:val="0"/>
      <w:numFmt w:val="bullet"/>
      <w:lvlText w:val="•"/>
      <w:lvlJc w:val="left"/>
      <w:pPr>
        <w:ind w:left="2673" w:hanging="681"/>
      </w:pPr>
      <w:rPr>
        <w:rFonts w:hint="default"/>
      </w:rPr>
    </w:lvl>
    <w:lvl w:ilvl="3">
      <w:start w:val="0"/>
      <w:numFmt w:val="bullet"/>
      <w:lvlText w:val="•"/>
      <w:lvlJc w:val="left"/>
      <w:pPr>
        <w:ind w:left="3739" w:hanging="681"/>
      </w:pPr>
      <w:rPr>
        <w:rFonts w:hint="default"/>
      </w:rPr>
    </w:lvl>
    <w:lvl w:ilvl="4">
      <w:start w:val="0"/>
      <w:numFmt w:val="bullet"/>
      <w:lvlText w:val="•"/>
      <w:lvlJc w:val="left"/>
      <w:pPr>
        <w:ind w:left="4806" w:hanging="681"/>
      </w:pPr>
      <w:rPr>
        <w:rFonts w:hint="default"/>
      </w:rPr>
    </w:lvl>
    <w:lvl w:ilvl="5">
      <w:start w:val="0"/>
      <w:numFmt w:val="bullet"/>
      <w:lvlText w:val="•"/>
      <w:lvlJc w:val="left"/>
      <w:pPr>
        <w:ind w:left="5872" w:hanging="681"/>
      </w:pPr>
      <w:rPr>
        <w:rFonts w:hint="default"/>
      </w:rPr>
    </w:lvl>
    <w:lvl w:ilvl="6">
      <w:start w:val="0"/>
      <w:numFmt w:val="bullet"/>
      <w:lvlText w:val="•"/>
      <w:lvlJc w:val="left"/>
      <w:pPr>
        <w:ind w:left="6939" w:hanging="681"/>
      </w:pPr>
      <w:rPr>
        <w:rFonts w:hint="default"/>
      </w:rPr>
    </w:lvl>
    <w:lvl w:ilvl="7">
      <w:start w:val="0"/>
      <w:numFmt w:val="bullet"/>
      <w:lvlText w:val="•"/>
      <w:lvlJc w:val="left"/>
      <w:pPr>
        <w:ind w:left="8005" w:hanging="681"/>
      </w:pPr>
      <w:rPr>
        <w:rFonts w:hint="default"/>
      </w:rPr>
    </w:lvl>
    <w:lvl w:ilvl="8">
      <w:start w:val="0"/>
      <w:numFmt w:val="bullet"/>
      <w:lvlText w:val="•"/>
      <w:lvlJc w:val="left"/>
      <w:pPr>
        <w:ind w:left="9072" w:hanging="681"/>
      </w:pPr>
      <w:rPr>
        <w:rFonts w:hint="default"/>
      </w:rPr>
    </w:lvl>
  </w:abstractNum>
  <w:abstractNum w:abstractNumId="255">
    <w:multiLevelType w:val="hybridMultilevel"/>
    <w:lvl w:ilvl="0">
      <w:start w:val="1"/>
      <w:numFmt w:val="decimal"/>
      <w:lvlText w:val="%1."/>
      <w:lvlJc w:val="left"/>
      <w:pPr>
        <w:ind w:left="2024" w:hanging="681"/>
        <w:jc w:val="right"/>
      </w:pPr>
      <w:rPr>
        <w:rFonts w:hint="default" w:ascii="Stone Sans II ITC Std Bk" w:hAnsi="Stone Sans II ITC Std Bk" w:eastAsia="Stone Sans II ITC Std Bk" w:cs="Stone Sans II ITC Std Bk"/>
        <w:b/>
        <w:bCs/>
        <w:spacing w:val="-15"/>
        <w:w w:val="110"/>
        <w:sz w:val="29"/>
        <w:szCs w:val="29"/>
      </w:rPr>
    </w:lvl>
    <w:lvl w:ilvl="1">
      <w:start w:val="1"/>
      <w:numFmt w:val="decimal"/>
      <w:lvlText w:val="%1.%2"/>
      <w:lvlJc w:val="left"/>
      <w:pPr>
        <w:ind w:left="1344" w:hanging="681"/>
        <w:jc w:val="left"/>
      </w:pPr>
      <w:rPr>
        <w:rFonts w:hint="default" w:ascii="Calibri" w:hAnsi="Calibri" w:eastAsia="Calibri" w:cs="Calibri"/>
        <w:spacing w:val="-15"/>
        <w:w w:val="125"/>
        <w:sz w:val="20"/>
        <w:szCs w:val="20"/>
      </w:rPr>
    </w:lvl>
    <w:lvl w:ilvl="2">
      <w:start w:val="1"/>
      <w:numFmt w:val="decimal"/>
      <w:lvlText w:val="%1.%2.%3"/>
      <w:lvlJc w:val="left"/>
      <w:pPr>
        <w:ind w:left="1287" w:hanging="681"/>
        <w:jc w:val="left"/>
      </w:pPr>
      <w:rPr>
        <w:rFonts w:hint="default" w:ascii="Calibri" w:hAnsi="Calibri" w:eastAsia="Calibri" w:cs="Calibri"/>
        <w:spacing w:val="-15"/>
        <w:w w:val="125"/>
        <w:sz w:val="20"/>
        <w:szCs w:val="20"/>
      </w:rPr>
    </w:lvl>
    <w:lvl w:ilvl="3">
      <w:start w:val="1"/>
      <w:numFmt w:val="decimal"/>
      <w:lvlText w:val="%1.%2.%3.%4"/>
      <w:lvlJc w:val="left"/>
      <w:pPr>
        <w:ind w:left="2704" w:hanging="739"/>
        <w:jc w:val="left"/>
      </w:pPr>
      <w:rPr>
        <w:rFonts w:hint="default" w:ascii="Calibri" w:hAnsi="Calibri" w:eastAsia="Calibri" w:cs="Calibri"/>
        <w:spacing w:val="-15"/>
        <w:w w:val="125"/>
        <w:sz w:val="20"/>
        <w:szCs w:val="20"/>
      </w:rPr>
    </w:lvl>
    <w:lvl w:ilvl="4">
      <w:start w:val="0"/>
      <w:numFmt w:val="bullet"/>
      <w:lvlText w:val="•"/>
      <w:lvlJc w:val="left"/>
      <w:pPr>
        <w:ind w:left="2020" w:hanging="739"/>
      </w:pPr>
      <w:rPr>
        <w:rFonts w:hint="default"/>
      </w:rPr>
    </w:lvl>
    <w:lvl w:ilvl="5">
      <w:start w:val="0"/>
      <w:numFmt w:val="bullet"/>
      <w:lvlText w:val="•"/>
      <w:lvlJc w:val="left"/>
      <w:pPr>
        <w:ind w:left="2700" w:hanging="739"/>
      </w:pPr>
      <w:rPr>
        <w:rFonts w:hint="default"/>
      </w:rPr>
    </w:lvl>
    <w:lvl w:ilvl="6">
      <w:start w:val="0"/>
      <w:numFmt w:val="bullet"/>
      <w:lvlText w:val="•"/>
      <w:lvlJc w:val="left"/>
      <w:pPr>
        <w:ind w:left="2720" w:hanging="739"/>
      </w:pPr>
      <w:rPr>
        <w:rFonts w:hint="default"/>
      </w:rPr>
    </w:lvl>
    <w:lvl w:ilvl="7">
      <w:start w:val="0"/>
      <w:numFmt w:val="bullet"/>
      <w:lvlText w:val="•"/>
      <w:lvlJc w:val="left"/>
      <w:pPr>
        <w:ind w:left="4856" w:hanging="739"/>
      </w:pPr>
      <w:rPr>
        <w:rFonts w:hint="default"/>
      </w:rPr>
    </w:lvl>
    <w:lvl w:ilvl="8">
      <w:start w:val="0"/>
      <w:numFmt w:val="bullet"/>
      <w:lvlText w:val="•"/>
      <w:lvlJc w:val="left"/>
      <w:pPr>
        <w:ind w:left="6992" w:hanging="739"/>
      </w:pPr>
      <w:rPr>
        <w:rFonts w:hint="default"/>
      </w:rPr>
    </w:lvl>
  </w:abstractNum>
  <w:abstractNum w:abstractNumId="254">
    <w:multiLevelType w:val="hybridMultilevel"/>
    <w:lvl w:ilvl="0">
      <w:start w:val="1"/>
      <w:numFmt w:val="lowerRoman"/>
      <w:lvlText w:val="%1)"/>
      <w:lvlJc w:val="left"/>
      <w:pPr>
        <w:ind w:left="2024" w:hanging="681"/>
        <w:jc w:val="left"/>
      </w:pPr>
      <w:rPr>
        <w:rFonts w:hint="default" w:ascii="Calibri" w:hAnsi="Calibri" w:eastAsia="Calibri" w:cs="Calibri"/>
        <w:spacing w:val="-4"/>
        <w:w w:val="122"/>
        <w:sz w:val="20"/>
        <w:szCs w:val="20"/>
      </w:rPr>
    </w:lvl>
    <w:lvl w:ilvl="1">
      <w:start w:val="0"/>
      <w:numFmt w:val="bullet"/>
      <w:lvlText w:val="•"/>
      <w:lvlJc w:val="left"/>
      <w:pPr>
        <w:ind w:left="2944" w:hanging="681"/>
      </w:pPr>
      <w:rPr>
        <w:rFonts w:hint="default"/>
      </w:rPr>
    </w:lvl>
    <w:lvl w:ilvl="2">
      <w:start w:val="0"/>
      <w:numFmt w:val="bullet"/>
      <w:lvlText w:val="•"/>
      <w:lvlJc w:val="left"/>
      <w:pPr>
        <w:ind w:left="3869" w:hanging="681"/>
      </w:pPr>
      <w:rPr>
        <w:rFonts w:hint="default"/>
      </w:rPr>
    </w:lvl>
    <w:lvl w:ilvl="3">
      <w:start w:val="0"/>
      <w:numFmt w:val="bullet"/>
      <w:lvlText w:val="•"/>
      <w:lvlJc w:val="left"/>
      <w:pPr>
        <w:ind w:left="4793" w:hanging="681"/>
      </w:pPr>
      <w:rPr>
        <w:rFonts w:hint="default"/>
      </w:rPr>
    </w:lvl>
    <w:lvl w:ilvl="4">
      <w:start w:val="0"/>
      <w:numFmt w:val="bullet"/>
      <w:lvlText w:val="•"/>
      <w:lvlJc w:val="left"/>
      <w:pPr>
        <w:ind w:left="5718" w:hanging="681"/>
      </w:pPr>
      <w:rPr>
        <w:rFonts w:hint="default"/>
      </w:rPr>
    </w:lvl>
    <w:lvl w:ilvl="5">
      <w:start w:val="0"/>
      <w:numFmt w:val="bullet"/>
      <w:lvlText w:val="•"/>
      <w:lvlJc w:val="left"/>
      <w:pPr>
        <w:ind w:left="6642" w:hanging="681"/>
      </w:pPr>
      <w:rPr>
        <w:rFonts w:hint="default"/>
      </w:rPr>
    </w:lvl>
    <w:lvl w:ilvl="6">
      <w:start w:val="0"/>
      <w:numFmt w:val="bullet"/>
      <w:lvlText w:val="•"/>
      <w:lvlJc w:val="left"/>
      <w:pPr>
        <w:ind w:left="7567" w:hanging="681"/>
      </w:pPr>
      <w:rPr>
        <w:rFonts w:hint="default"/>
      </w:rPr>
    </w:lvl>
    <w:lvl w:ilvl="7">
      <w:start w:val="0"/>
      <w:numFmt w:val="bullet"/>
      <w:lvlText w:val="•"/>
      <w:lvlJc w:val="left"/>
      <w:pPr>
        <w:ind w:left="8491" w:hanging="681"/>
      </w:pPr>
      <w:rPr>
        <w:rFonts w:hint="default"/>
      </w:rPr>
    </w:lvl>
    <w:lvl w:ilvl="8">
      <w:start w:val="0"/>
      <w:numFmt w:val="bullet"/>
      <w:lvlText w:val="•"/>
      <w:lvlJc w:val="left"/>
      <w:pPr>
        <w:ind w:left="9416" w:hanging="681"/>
      </w:pPr>
      <w:rPr>
        <w:rFonts w:hint="default"/>
      </w:rPr>
    </w:lvl>
  </w:abstractNum>
  <w:abstractNum w:abstractNumId="253">
    <w:multiLevelType w:val="hybridMultilevel"/>
    <w:lvl w:ilvl="0">
      <w:start w:val="1"/>
      <w:numFmt w:val="lowerLetter"/>
      <w:lvlText w:val="%1)"/>
      <w:lvlJc w:val="left"/>
      <w:pPr>
        <w:ind w:left="1344" w:hanging="681"/>
        <w:jc w:val="left"/>
      </w:pPr>
      <w:rPr>
        <w:rFonts w:hint="default" w:ascii="Calibri" w:hAnsi="Calibri" w:eastAsia="Calibri" w:cs="Calibri"/>
        <w:spacing w:val="-13"/>
        <w:w w:val="113"/>
        <w:sz w:val="20"/>
        <w:szCs w:val="20"/>
      </w:rPr>
    </w:lvl>
    <w:lvl w:ilvl="1">
      <w:start w:val="0"/>
      <w:numFmt w:val="bullet"/>
      <w:lvlText w:val="•"/>
      <w:lvlJc w:val="left"/>
      <w:pPr>
        <w:ind w:left="2332" w:hanging="681"/>
      </w:pPr>
      <w:rPr>
        <w:rFonts w:hint="default"/>
      </w:rPr>
    </w:lvl>
    <w:lvl w:ilvl="2">
      <w:start w:val="0"/>
      <w:numFmt w:val="bullet"/>
      <w:lvlText w:val="•"/>
      <w:lvlJc w:val="left"/>
      <w:pPr>
        <w:ind w:left="3325" w:hanging="681"/>
      </w:pPr>
      <w:rPr>
        <w:rFonts w:hint="default"/>
      </w:rPr>
    </w:lvl>
    <w:lvl w:ilvl="3">
      <w:start w:val="0"/>
      <w:numFmt w:val="bullet"/>
      <w:lvlText w:val="•"/>
      <w:lvlJc w:val="left"/>
      <w:pPr>
        <w:ind w:left="4317" w:hanging="681"/>
      </w:pPr>
      <w:rPr>
        <w:rFonts w:hint="default"/>
      </w:rPr>
    </w:lvl>
    <w:lvl w:ilvl="4">
      <w:start w:val="0"/>
      <w:numFmt w:val="bullet"/>
      <w:lvlText w:val="•"/>
      <w:lvlJc w:val="left"/>
      <w:pPr>
        <w:ind w:left="5310" w:hanging="681"/>
      </w:pPr>
      <w:rPr>
        <w:rFonts w:hint="default"/>
      </w:rPr>
    </w:lvl>
    <w:lvl w:ilvl="5">
      <w:start w:val="0"/>
      <w:numFmt w:val="bullet"/>
      <w:lvlText w:val="•"/>
      <w:lvlJc w:val="left"/>
      <w:pPr>
        <w:ind w:left="6302" w:hanging="681"/>
      </w:pPr>
      <w:rPr>
        <w:rFonts w:hint="default"/>
      </w:rPr>
    </w:lvl>
    <w:lvl w:ilvl="6">
      <w:start w:val="0"/>
      <w:numFmt w:val="bullet"/>
      <w:lvlText w:val="•"/>
      <w:lvlJc w:val="left"/>
      <w:pPr>
        <w:ind w:left="7295" w:hanging="681"/>
      </w:pPr>
      <w:rPr>
        <w:rFonts w:hint="default"/>
      </w:rPr>
    </w:lvl>
    <w:lvl w:ilvl="7">
      <w:start w:val="0"/>
      <w:numFmt w:val="bullet"/>
      <w:lvlText w:val="•"/>
      <w:lvlJc w:val="left"/>
      <w:pPr>
        <w:ind w:left="8287" w:hanging="681"/>
      </w:pPr>
      <w:rPr>
        <w:rFonts w:hint="default"/>
      </w:rPr>
    </w:lvl>
    <w:lvl w:ilvl="8">
      <w:start w:val="0"/>
      <w:numFmt w:val="bullet"/>
      <w:lvlText w:val="•"/>
      <w:lvlJc w:val="left"/>
      <w:pPr>
        <w:ind w:left="9280" w:hanging="681"/>
      </w:pPr>
      <w:rPr>
        <w:rFonts w:hint="default"/>
      </w:rPr>
    </w:lvl>
  </w:abstractNum>
  <w:abstractNum w:abstractNumId="252">
    <w:multiLevelType w:val="hybridMultilevel"/>
    <w:lvl w:ilvl="0">
      <w:start w:val="1"/>
      <w:numFmt w:val="lowerLetter"/>
      <w:lvlText w:val="%1)"/>
      <w:lvlJc w:val="left"/>
      <w:pPr>
        <w:ind w:left="1344" w:hanging="681"/>
        <w:jc w:val="left"/>
      </w:pPr>
      <w:rPr>
        <w:rFonts w:hint="default" w:ascii="Calibri" w:hAnsi="Calibri" w:eastAsia="Calibri" w:cs="Calibri"/>
        <w:spacing w:val="-13"/>
        <w:w w:val="113"/>
        <w:sz w:val="20"/>
        <w:szCs w:val="20"/>
      </w:rPr>
    </w:lvl>
    <w:lvl w:ilvl="1">
      <w:start w:val="0"/>
      <w:numFmt w:val="bullet"/>
      <w:lvlText w:val="•"/>
      <w:lvlJc w:val="left"/>
      <w:pPr>
        <w:ind w:left="2332" w:hanging="681"/>
      </w:pPr>
      <w:rPr>
        <w:rFonts w:hint="default"/>
      </w:rPr>
    </w:lvl>
    <w:lvl w:ilvl="2">
      <w:start w:val="0"/>
      <w:numFmt w:val="bullet"/>
      <w:lvlText w:val="•"/>
      <w:lvlJc w:val="left"/>
      <w:pPr>
        <w:ind w:left="3325" w:hanging="681"/>
      </w:pPr>
      <w:rPr>
        <w:rFonts w:hint="default"/>
      </w:rPr>
    </w:lvl>
    <w:lvl w:ilvl="3">
      <w:start w:val="0"/>
      <w:numFmt w:val="bullet"/>
      <w:lvlText w:val="•"/>
      <w:lvlJc w:val="left"/>
      <w:pPr>
        <w:ind w:left="4317" w:hanging="681"/>
      </w:pPr>
      <w:rPr>
        <w:rFonts w:hint="default"/>
      </w:rPr>
    </w:lvl>
    <w:lvl w:ilvl="4">
      <w:start w:val="0"/>
      <w:numFmt w:val="bullet"/>
      <w:lvlText w:val="•"/>
      <w:lvlJc w:val="left"/>
      <w:pPr>
        <w:ind w:left="5310" w:hanging="681"/>
      </w:pPr>
      <w:rPr>
        <w:rFonts w:hint="default"/>
      </w:rPr>
    </w:lvl>
    <w:lvl w:ilvl="5">
      <w:start w:val="0"/>
      <w:numFmt w:val="bullet"/>
      <w:lvlText w:val="•"/>
      <w:lvlJc w:val="left"/>
      <w:pPr>
        <w:ind w:left="6302" w:hanging="681"/>
      </w:pPr>
      <w:rPr>
        <w:rFonts w:hint="default"/>
      </w:rPr>
    </w:lvl>
    <w:lvl w:ilvl="6">
      <w:start w:val="0"/>
      <w:numFmt w:val="bullet"/>
      <w:lvlText w:val="•"/>
      <w:lvlJc w:val="left"/>
      <w:pPr>
        <w:ind w:left="7295" w:hanging="681"/>
      </w:pPr>
      <w:rPr>
        <w:rFonts w:hint="default"/>
      </w:rPr>
    </w:lvl>
    <w:lvl w:ilvl="7">
      <w:start w:val="0"/>
      <w:numFmt w:val="bullet"/>
      <w:lvlText w:val="•"/>
      <w:lvlJc w:val="left"/>
      <w:pPr>
        <w:ind w:left="8287" w:hanging="681"/>
      </w:pPr>
      <w:rPr>
        <w:rFonts w:hint="default"/>
      </w:rPr>
    </w:lvl>
    <w:lvl w:ilvl="8">
      <w:start w:val="0"/>
      <w:numFmt w:val="bullet"/>
      <w:lvlText w:val="•"/>
      <w:lvlJc w:val="left"/>
      <w:pPr>
        <w:ind w:left="9280" w:hanging="681"/>
      </w:pPr>
      <w:rPr>
        <w:rFonts w:hint="default"/>
      </w:rPr>
    </w:lvl>
  </w:abstractNum>
  <w:abstractNum w:abstractNumId="251">
    <w:multiLevelType w:val="hybridMultilevel"/>
    <w:lvl w:ilvl="0">
      <w:start w:val="1"/>
      <w:numFmt w:val="lowerLetter"/>
      <w:lvlText w:val="%1)"/>
      <w:lvlJc w:val="left"/>
      <w:pPr>
        <w:ind w:left="240" w:hanging="681"/>
        <w:jc w:val="left"/>
      </w:pPr>
      <w:rPr>
        <w:rFonts w:hint="default" w:ascii="Stone Sans II ITC Std Bk" w:hAnsi="Stone Sans II ITC Std Bk" w:eastAsia="Stone Sans II ITC Std Bk" w:cs="Stone Sans II ITC Std Bk"/>
        <w:b/>
        <w:bCs/>
        <w:spacing w:val="-13"/>
        <w:w w:val="110"/>
        <w:sz w:val="20"/>
        <w:szCs w:val="20"/>
      </w:rPr>
    </w:lvl>
    <w:lvl w:ilvl="1">
      <w:start w:val="0"/>
      <w:numFmt w:val="bullet"/>
      <w:lvlText w:val="•"/>
      <w:lvlJc w:val="left"/>
      <w:pPr>
        <w:ind w:left="1145" w:hanging="681"/>
      </w:pPr>
      <w:rPr>
        <w:rFonts w:hint="default"/>
      </w:rPr>
    </w:lvl>
    <w:lvl w:ilvl="2">
      <w:start w:val="0"/>
      <w:numFmt w:val="bullet"/>
      <w:lvlText w:val="•"/>
      <w:lvlJc w:val="left"/>
      <w:pPr>
        <w:ind w:left="2051" w:hanging="681"/>
      </w:pPr>
      <w:rPr>
        <w:rFonts w:hint="default"/>
      </w:rPr>
    </w:lvl>
    <w:lvl w:ilvl="3">
      <w:start w:val="0"/>
      <w:numFmt w:val="bullet"/>
      <w:lvlText w:val="•"/>
      <w:lvlJc w:val="left"/>
      <w:pPr>
        <w:ind w:left="2957" w:hanging="681"/>
      </w:pPr>
      <w:rPr>
        <w:rFonts w:hint="default"/>
      </w:rPr>
    </w:lvl>
    <w:lvl w:ilvl="4">
      <w:start w:val="0"/>
      <w:numFmt w:val="bullet"/>
      <w:lvlText w:val="•"/>
      <w:lvlJc w:val="left"/>
      <w:pPr>
        <w:ind w:left="3862" w:hanging="681"/>
      </w:pPr>
      <w:rPr>
        <w:rFonts w:hint="default"/>
      </w:rPr>
    </w:lvl>
    <w:lvl w:ilvl="5">
      <w:start w:val="0"/>
      <w:numFmt w:val="bullet"/>
      <w:lvlText w:val="•"/>
      <w:lvlJc w:val="left"/>
      <w:pPr>
        <w:ind w:left="4768" w:hanging="681"/>
      </w:pPr>
      <w:rPr>
        <w:rFonts w:hint="default"/>
      </w:rPr>
    </w:lvl>
    <w:lvl w:ilvl="6">
      <w:start w:val="0"/>
      <w:numFmt w:val="bullet"/>
      <w:lvlText w:val="•"/>
      <w:lvlJc w:val="left"/>
      <w:pPr>
        <w:ind w:left="5674" w:hanging="681"/>
      </w:pPr>
      <w:rPr>
        <w:rFonts w:hint="default"/>
      </w:rPr>
    </w:lvl>
    <w:lvl w:ilvl="7">
      <w:start w:val="0"/>
      <w:numFmt w:val="bullet"/>
      <w:lvlText w:val="•"/>
      <w:lvlJc w:val="left"/>
      <w:pPr>
        <w:ind w:left="6579" w:hanging="681"/>
      </w:pPr>
      <w:rPr>
        <w:rFonts w:hint="default"/>
      </w:rPr>
    </w:lvl>
    <w:lvl w:ilvl="8">
      <w:start w:val="0"/>
      <w:numFmt w:val="bullet"/>
      <w:lvlText w:val="•"/>
      <w:lvlJc w:val="left"/>
      <w:pPr>
        <w:ind w:left="7485" w:hanging="681"/>
      </w:pPr>
      <w:rPr>
        <w:rFonts w:hint="default"/>
      </w:rPr>
    </w:lvl>
  </w:abstractNum>
  <w:abstractNum w:abstractNumId="250">
    <w:multiLevelType w:val="hybridMultilevel"/>
    <w:lvl w:ilvl="0">
      <w:start w:val="5"/>
      <w:numFmt w:val="decimal"/>
      <w:lvlText w:val="%1."/>
      <w:lvlJc w:val="left"/>
      <w:pPr>
        <w:ind w:left="2088" w:hanging="887"/>
        <w:jc w:val="left"/>
      </w:pPr>
      <w:rPr>
        <w:rFonts w:hint="default" w:ascii="Stone Sans II ITC Std Bk" w:hAnsi="Stone Sans II ITC Std Bk" w:eastAsia="Stone Sans II ITC Std Bk" w:cs="Stone Sans II ITC Std Bk"/>
        <w:b/>
        <w:bCs/>
        <w:spacing w:val="-6"/>
        <w:w w:val="110"/>
        <w:sz w:val="20"/>
        <w:szCs w:val="20"/>
      </w:rPr>
    </w:lvl>
    <w:lvl w:ilvl="1">
      <w:start w:val="1"/>
      <w:numFmt w:val="decimal"/>
      <w:lvlText w:val="%1.%2."/>
      <w:lvlJc w:val="left"/>
      <w:pPr>
        <w:ind w:left="1202" w:hanging="887"/>
        <w:jc w:val="right"/>
      </w:pPr>
      <w:rPr>
        <w:rFonts w:hint="default" w:ascii="Calibri" w:hAnsi="Calibri" w:eastAsia="Calibri" w:cs="Calibri"/>
        <w:spacing w:val="-18"/>
        <w:w w:val="125"/>
        <w:sz w:val="20"/>
        <w:szCs w:val="20"/>
      </w:rPr>
    </w:lvl>
    <w:lvl w:ilvl="2">
      <w:start w:val="0"/>
      <w:numFmt w:val="bullet"/>
      <w:lvlText w:val="•"/>
      <w:lvlJc w:val="left"/>
      <w:pPr>
        <w:ind w:left="3100" w:hanging="887"/>
      </w:pPr>
      <w:rPr>
        <w:rFonts w:hint="default"/>
      </w:rPr>
    </w:lvl>
    <w:lvl w:ilvl="3">
      <w:start w:val="0"/>
      <w:numFmt w:val="bullet"/>
      <w:lvlText w:val="•"/>
      <w:lvlJc w:val="left"/>
      <w:pPr>
        <w:ind w:left="4121" w:hanging="887"/>
      </w:pPr>
      <w:rPr>
        <w:rFonts w:hint="default"/>
      </w:rPr>
    </w:lvl>
    <w:lvl w:ilvl="4">
      <w:start w:val="0"/>
      <w:numFmt w:val="bullet"/>
      <w:lvlText w:val="•"/>
      <w:lvlJc w:val="left"/>
      <w:pPr>
        <w:ind w:left="5141" w:hanging="887"/>
      </w:pPr>
      <w:rPr>
        <w:rFonts w:hint="default"/>
      </w:rPr>
    </w:lvl>
    <w:lvl w:ilvl="5">
      <w:start w:val="0"/>
      <w:numFmt w:val="bullet"/>
      <w:lvlText w:val="•"/>
      <w:lvlJc w:val="left"/>
      <w:pPr>
        <w:ind w:left="6162" w:hanging="887"/>
      </w:pPr>
      <w:rPr>
        <w:rFonts w:hint="default"/>
      </w:rPr>
    </w:lvl>
    <w:lvl w:ilvl="6">
      <w:start w:val="0"/>
      <w:numFmt w:val="bullet"/>
      <w:lvlText w:val="•"/>
      <w:lvlJc w:val="left"/>
      <w:pPr>
        <w:ind w:left="7183" w:hanging="887"/>
      </w:pPr>
      <w:rPr>
        <w:rFonts w:hint="default"/>
      </w:rPr>
    </w:lvl>
    <w:lvl w:ilvl="7">
      <w:start w:val="0"/>
      <w:numFmt w:val="bullet"/>
      <w:lvlText w:val="•"/>
      <w:lvlJc w:val="left"/>
      <w:pPr>
        <w:ind w:left="8203" w:hanging="887"/>
      </w:pPr>
      <w:rPr>
        <w:rFonts w:hint="default"/>
      </w:rPr>
    </w:lvl>
    <w:lvl w:ilvl="8">
      <w:start w:val="0"/>
      <w:numFmt w:val="bullet"/>
      <w:lvlText w:val="•"/>
      <w:lvlJc w:val="left"/>
      <w:pPr>
        <w:ind w:left="9224" w:hanging="887"/>
      </w:pPr>
      <w:rPr>
        <w:rFonts w:hint="default"/>
      </w:rPr>
    </w:lvl>
  </w:abstractNum>
  <w:abstractNum w:abstractNumId="249">
    <w:multiLevelType w:val="hybridMultilevel"/>
    <w:lvl w:ilvl="0">
      <w:start w:val="1"/>
      <w:numFmt w:val="decimal"/>
      <w:lvlText w:val="%1"/>
      <w:lvlJc w:val="left"/>
      <w:pPr>
        <w:ind w:left="1344" w:hanging="681"/>
        <w:jc w:val="left"/>
      </w:pPr>
      <w:rPr>
        <w:rFonts w:hint="default"/>
      </w:rPr>
    </w:lvl>
    <w:lvl w:ilvl="1">
      <w:start w:val="1"/>
      <w:numFmt w:val="decimal"/>
      <w:lvlText w:val="%1.%2"/>
      <w:lvlJc w:val="left"/>
      <w:pPr>
        <w:ind w:left="1344" w:hanging="681"/>
        <w:jc w:val="left"/>
      </w:pPr>
      <w:rPr>
        <w:rFonts w:hint="default" w:ascii="Calibri" w:hAnsi="Calibri" w:eastAsia="Calibri" w:cs="Calibri"/>
        <w:spacing w:val="-18"/>
        <w:w w:val="125"/>
        <w:sz w:val="20"/>
        <w:szCs w:val="20"/>
      </w:rPr>
    </w:lvl>
    <w:lvl w:ilvl="2">
      <w:start w:val="0"/>
      <w:numFmt w:val="bullet"/>
      <w:lvlText w:val="•"/>
      <w:lvlJc w:val="left"/>
      <w:pPr>
        <w:ind w:left="3325" w:hanging="681"/>
      </w:pPr>
      <w:rPr>
        <w:rFonts w:hint="default"/>
      </w:rPr>
    </w:lvl>
    <w:lvl w:ilvl="3">
      <w:start w:val="0"/>
      <w:numFmt w:val="bullet"/>
      <w:lvlText w:val="•"/>
      <w:lvlJc w:val="left"/>
      <w:pPr>
        <w:ind w:left="4317" w:hanging="681"/>
      </w:pPr>
      <w:rPr>
        <w:rFonts w:hint="default"/>
      </w:rPr>
    </w:lvl>
    <w:lvl w:ilvl="4">
      <w:start w:val="0"/>
      <w:numFmt w:val="bullet"/>
      <w:lvlText w:val="•"/>
      <w:lvlJc w:val="left"/>
      <w:pPr>
        <w:ind w:left="5310" w:hanging="681"/>
      </w:pPr>
      <w:rPr>
        <w:rFonts w:hint="default"/>
      </w:rPr>
    </w:lvl>
    <w:lvl w:ilvl="5">
      <w:start w:val="0"/>
      <w:numFmt w:val="bullet"/>
      <w:lvlText w:val="•"/>
      <w:lvlJc w:val="left"/>
      <w:pPr>
        <w:ind w:left="6302" w:hanging="681"/>
      </w:pPr>
      <w:rPr>
        <w:rFonts w:hint="default"/>
      </w:rPr>
    </w:lvl>
    <w:lvl w:ilvl="6">
      <w:start w:val="0"/>
      <w:numFmt w:val="bullet"/>
      <w:lvlText w:val="•"/>
      <w:lvlJc w:val="left"/>
      <w:pPr>
        <w:ind w:left="7295" w:hanging="681"/>
      </w:pPr>
      <w:rPr>
        <w:rFonts w:hint="default"/>
      </w:rPr>
    </w:lvl>
    <w:lvl w:ilvl="7">
      <w:start w:val="0"/>
      <w:numFmt w:val="bullet"/>
      <w:lvlText w:val="•"/>
      <w:lvlJc w:val="left"/>
      <w:pPr>
        <w:ind w:left="8287" w:hanging="681"/>
      </w:pPr>
      <w:rPr>
        <w:rFonts w:hint="default"/>
      </w:rPr>
    </w:lvl>
    <w:lvl w:ilvl="8">
      <w:start w:val="0"/>
      <w:numFmt w:val="bullet"/>
      <w:lvlText w:val="•"/>
      <w:lvlJc w:val="left"/>
      <w:pPr>
        <w:ind w:left="9280" w:hanging="681"/>
      </w:pPr>
      <w:rPr>
        <w:rFonts w:hint="default"/>
      </w:rPr>
    </w:lvl>
  </w:abstractNum>
  <w:abstractNum w:abstractNumId="248">
    <w:multiLevelType w:val="hybridMultilevel"/>
    <w:lvl w:ilvl="0">
      <w:start w:val="1"/>
      <w:numFmt w:val="decimal"/>
      <w:lvlText w:val="%1"/>
      <w:lvlJc w:val="left"/>
      <w:pPr>
        <w:ind w:left="607" w:hanging="681"/>
        <w:jc w:val="left"/>
      </w:pPr>
      <w:rPr>
        <w:rFonts w:hint="default"/>
      </w:rPr>
    </w:lvl>
    <w:lvl w:ilvl="1">
      <w:start w:val="1"/>
      <w:numFmt w:val="decimal"/>
      <w:lvlText w:val="%1.%2"/>
      <w:lvlJc w:val="left"/>
      <w:pPr>
        <w:ind w:left="607" w:hanging="681"/>
        <w:jc w:val="left"/>
      </w:pPr>
      <w:rPr>
        <w:rFonts w:hint="default" w:ascii="Calibri" w:hAnsi="Calibri" w:eastAsia="Calibri" w:cs="Calibri"/>
        <w:spacing w:val="-18"/>
        <w:w w:val="125"/>
        <w:sz w:val="20"/>
        <w:szCs w:val="20"/>
      </w:rPr>
    </w:lvl>
    <w:lvl w:ilvl="2">
      <w:start w:val="1"/>
      <w:numFmt w:val="lowerLetter"/>
      <w:lvlText w:val="%3)"/>
      <w:lvlJc w:val="left"/>
      <w:pPr>
        <w:ind w:left="734" w:hanging="681"/>
        <w:jc w:val="right"/>
      </w:pPr>
      <w:rPr>
        <w:rFonts w:hint="default" w:ascii="Calibri" w:hAnsi="Calibri" w:eastAsia="Calibri" w:cs="Calibri"/>
        <w:spacing w:val="-13"/>
        <w:w w:val="113"/>
        <w:sz w:val="20"/>
        <w:szCs w:val="20"/>
      </w:rPr>
    </w:lvl>
    <w:lvl w:ilvl="3">
      <w:start w:val="0"/>
      <w:numFmt w:val="bullet"/>
      <w:lvlText w:val="•"/>
      <w:lvlJc w:val="left"/>
      <w:pPr>
        <w:ind w:left="3079" w:hanging="681"/>
      </w:pPr>
      <w:rPr>
        <w:rFonts w:hint="default"/>
      </w:rPr>
    </w:lvl>
    <w:lvl w:ilvl="4">
      <w:start w:val="0"/>
      <w:numFmt w:val="bullet"/>
      <w:lvlText w:val="•"/>
      <w:lvlJc w:val="left"/>
      <w:pPr>
        <w:ind w:left="4248" w:hanging="681"/>
      </w:pPr>
      <w:rPr>
        <w:rFonts w:hint="default"/>
      </w:rPr>
    </w:lvl>
    <w:lvl w:ilvl="5">
      <w:start w:val="0"/>
      <w:numFmt w:val="bullet"/>
      <w:lvlText w:val="•"/>
      <w:lvlJc w:val="left"/>
      <w:pPr>
        <w:ind w:left="5418" w:hanging="681"/>
      </w:pPr>
      <w:rPr>
        <w:rFonts w:hint="default"/>
      </w:rPr>
    </w:lvl>
    <w:lvl w:ilvl="6">
      <w:start w:val="0"/>
      <w:numFmt w:val="bullet"/>
      <w:lvlText w:val="•"/>
      <w:lvlJc w:val="left"/>
      <w:pPr>
        <w:ind w:left="6587" w:hanging="681"/>
      </w:pPr>
      <w:rPr>
        <w:rFonts w:hint="default"/>
      </w:rPr>
    </w:lvl>
    <w:lvl w:ilvl="7">
      <w:start w:val="0"/>
      <w:numFmt w:val="bullet"/>
      <w:lvlText w:val="•"/>
      <w:lvlJc w:val="left"/>
      <w:pPr>
        <w:ind w:left="7757" w:hanging="681"/>
      </w:pPr>
      <w:rPr>
        <w:rFonts w:hint="default"/>
      </w:rPr>
    </w:lvl>
    <w:lvl w:ilvl="8">
      <w:start w:val="0"/>
      <w:numFmt w:val="bullet"/>
      <w:lvlText w:val="•"/>
      <w:lvlJc w:val="left"/>
      <w:pPr>
        <w:ind w:left="8926" w:hanging="681"/>
      </w:pPr>
      <w:rPr>
        <w:rFonts w:hint="default"/>
      </w:rPr>
    </w:lvl>
  </w:abstractNum>
  <w:abstractNum w:abstractNumId="247">
    <w:multiLevelType w:val="hybridMultilevel"/>
    <w:lvl w:ilvl="0">
      <w:start w:val="4"/>
      <w:numFmt w:val="decimal"/>
      <w:lvlText w:val="%1"/>
      <w:lvlJc w:val="left"/>
      <w:pPr>
        <w:ind w:left="1344" w:hanging="681"/>
        <w:jc w:val="left"/>
      </w:pPr>
      <w:rPr>
        <w:rFonts w:hint="default"/>
      </w:rPr>
    </w:lvl>
    <w:lvl w:ilvl="1">
      <w:start w:val="1"/>
      <w:numFmt w:val="decimal"/>
      <w:lvlText w:val="%1.%2"/>
      <w:lvlJc w:val="left"/>
      <w:pPr>
        <w:ind w:left="1344" w:hanging="681"/>
        <w:jc w:val="left"/>
      </w:pPr>
      <w:rPr>
        <w:rFonts w:hint="default" w:ascii="Calibri" w:hAnsi="Calibri" w:eastAsia="Calibri" w:cs="Calibri"/>
        <w:spacing w:val="-18"/>
        <w:w w:val="125"/>
        <w:sz w:val="20"/>
        <w:szCs w:val="20"/>
      </w:rPr>
    </w:lvl>
    <w:lvl w:ilvl="2">
      <w:start w:val="0"/>
      <w:numFmt w:val="bullet"/>
      <w:lvlText w:val="•"/>
      <w:lvlJc w:val="left"/>
      <w:pPr>
        <w:ind w:left="3325" w:hanging="681"/>
      </w:pPr>
      <w:rPr>
        <w:rFonts w:hint="default"/>
      </w:rPr>
    </w:lvl>
    <w:lvl w:ilvl="3">
      <w:start w:val="0"/>
      <w:numFmt w:val="bullet"/>
      <w:lvlText w:val="•"/>
      <w:lvlJc w:val="left"/>
      <w:pPr>
        <w:ind w:left="4317" w:hanging="681"/>
      </w:pPr>
      <w:rPr>
        <w:rFonts w:hint="default"/>
      </w:rPr>
    </w:lvl>
    <w:lvl w:ilvl="4">
      <w:start w:val="0"/>
      <w:numFmt w:val="bullet"/>
      <w:lvlText w:val="•"/>
      <w:lvlJc w:val="left"/>
      <w:pPr>
        <w:ind w:left="5310" w:hanging="681"/>
      </w:pPr>
      <w:rPr>
        <w:rFonts w:hint="default"/>
      </w:rPr>
    </w:lvl>
    <w:lvl w:ilvl="5">
      <w:start w:val="0"/>
      <w:numFmt w:val="bullet"/>
      <w:lvlText w:val="•"/>
      <w:lvlJc w:val="left"/>
      <w:pPr>
        <w:ind w:left="6302" w:hanging="681"/>
      </w:pPr>
      <w:rPr>
        <w:rFonts w:hint="default"/>
      </w:rPr>
    </w:lvl>
    <w:lvl w:ilvl="6">
      <w:start w:val="0"/>
      <w:numFmt w:val="bullet"/>
      <w:lvlText w:val="•"/>
      <w:lvlJc w:val="left"/>
      <w:pPr>
        <w:ind w:left="7295" w:hanging="681"/>
      </w:pPr>
      <w:rPr>
        <w:rFonts w:hint="default"/>
      </w:rPr>
    </w:lvl>
    <w:lvl w:ilvl="7">
      <w:start w:val="0"/>
      <w:numFmt w:val="bullet"/>
      <w:lvlText w:val="•"/>
      <w:lvlJc w:val="left"/>
      <w:pPr>
        <w:ind w:left="8287" w:hanging="681"/>
      </w:pPr>
      <w:rPr>
        <w:rFonts w:hint="default"/>
      </w:rPr>
    </w:lvl>
    <w:lvl w:ilvl="8">
      <w:start w:val="0"/>
      <w:numFmt w:val="bullet"/>
      <w:lvlText w:val="•"/>
      <w:lvlJc w:val="left"/>
      <w:pPr>
        <w:ind w:left="9280" w:hanging="681"/>
      </w:pPr>
      <w:rPr>
        <w:rFonts w:hint="default"/>
      </w:rPr>
    </w:lvl>
  </w:abstractNum>
  <w:abstractNum w:abstractNumId="246">
    <w:multiLevelType w:val="hybridMultilevel"/>
    <w:lvl w:ilvl="0">
      <w:start w:val="3"/>
      <w:numFmt w:val="decimal"/>
      <w:lvlText w:val="%1"/>
      <w:lvlJc w:val="left"/>
      <w:pPr>
        <w:ind w:left="607" w:hanging="681"/>
        <w:jc w:val="left"/>
      </w:pPr>
      <w:rPr>
        <w:rFonts w:hint="default"/>
      </w:rPr>
    </w:lvl>
    <w:lvl w:ilvl="1">
      <w:start w:val="1"/>
      <w:numFmt w:val="decimal"/>
      <w:lvlText w:val="%1.%2"/>
      <w:lvlJc w:val="left"/>
      <w:pPr>
        <w:ind w:left="607" w:hanging="681"/>
        <w:jc w:val="left"/>
      </w:pPr>
      <w:rPr>
        <w:rFonts w:hint="default" w:ascii="Calibri" w:hAnsi="Calibri" w:eastAsia="Calibri" w:cs="Calibri"/>
        <w:spacing w:val="-18"/>
        <w:w w:val="125"/>
        <w:sz w:val="20"/>
        <w:szCs w:val="20"/>
      </w:rPr>
    </w:lvl>
    <w:lvl w:ilvl="2">
      <w:start w:val="0"/>
      <w:numFmt w:val="bullet"/>
      <w:lvlText w:val="•"/>
      <w:lvlJc w:val="left"/>
      <w:pPr>
        <w:ind w:left="2733" w:hanging="681"/>
      </w:pPr>
      <w:rPr>
        <w:rFonts w:hint="default"/>
      </w:rPr>
    </w:lvl>
    <w:lvl w:ilvl="3">
      <w:start w:val="0"/>
      <w:numFmt w:val="bullet"/>
      <w:lvlText w:val="•"/>
      <w:lvlJc w:val="left"/>
      <w:pPr>
        <w:ind w:left="3799" w:hanging="681"/>
      </w:pPr>
      <w:rPr>
        <w:rFonts w:hint="default"/>
      </w:rPr>
    </w:lvl>
    <w:lvl w:ilvl="4">
      <w:start w:val="0"/>
      <w:numFmt w:val="bullet"/>
      <w:lvlText w:val="•"/>
      <w:lvlJc w:val="left"/>
      <w:pPr>
        <w:ind w:left="4866" w:hanging="681"/>
      </w:pPr>
      <w:rPr>
        <w:rFonts w:hint="default"/>
      </w:rPr>
    </w:lvl>
    <w:lvl w:ilvl="5">
      <w:start w:val="0"/>
      <w:numFmt w:val="bullet"/>
      <w:lvlText w:val="•"/>
      <w:lvlJc w:val="left"/>
      <w:pPr>
        <w:ind w:left="5932" w:hanging="681"/>
      </w:pPr>
      <w:rPr>
        <w:rFonts w:hint="default"/>
      </w:rPr>
    </w:lvl>
    <w:lvl w:ilvl="6">
      <w:start w:val="0"/>
      <w:numFmt w:val="bullet"/>
      <w:lvlText w:val="•"/>
      <w:lvlJc w:val="left"/>
      <w:pPr>
        <w:ind w:left="6999" w:hanging="681"/>
      </w:pPr>
      <w:rPr>
        <w:rFonts w:hint="default"/>
      </w:rPr>
    </w:lvl>
    <w:lvl w:ilvl="7">
      <w:start w:val="0"/>
      <w:numFmt w:val="bullet"/>
      <w:lvlText w:val="•"/>
      <w:lvlJc w:val="left"/>
      <w:pPr>
        <w:ind w:left="8065" w:hanging="681"/>
      </w:pPr>
      <w:rPr>
        <w:rFonts w:hint="default"/>
      </w:rPr>
    </w:lvl>
    <w:lvl w:ilvl="8">
      <w:start w:val="0"/>
      <w:numFmt w:val="bullet"/>
      <w:lvlText w:val="•"/>
      <w:lvlJc w:val="left"/>
      <w:pPr>
        <w:ind w:left="9132" w:hanging="681"/>
      </w:pPr>
      <w:rPr>
        <w:rFonts w:hint="default"/>
      </w:rPr>
    </w:lvl>
  </w:abstractNum>
  <w:abstractNum w:abstractNumId="245">
    <w:multiLevelType w:val="hybridMultilevel"/>
    <w:lvl w:ilvl="0">
      <w:start w:val="2"/>
      <w:numFmt w:val="decimal"/>
      <w:lvlText w:val="%1"/>
      <w:lvlJc w:val="left"/>
      <w:pPr>
        <w:ind w:left="1344" w:hanging="681"/>
        <w:jc w:val="left"/>
      </w:pPr>
      <w:rPr>
        <w:rFonts w:hint="default"/>
      </w:rPr>
    </w:lvl>
    <w:lvl w:ilvl="1">
      <w:start w:val="1"/>
      <w:numFmt w:val="decimal"/>
      <w:lvlText w:val="%1.%2"/>
      <w:lvlJc w:val="left"/>
      <w:pPr>
        <w:ind w:left="1344" w:hanging="681"/>
        <w:jc w:val="right"/>
      </w:pPr>
      <w:rPr>
        <w:rFonts w:hint="default" w:ascii="Calibri" w:hAnsi="Calibri" w:eastAsia="Calibri" w:cs="Calibri"/>
        <w:spacing w:val="-18"/>
        <w:w w:val="125"/>
        <w:sz w:val="20"/>
        <w:szCs w:val="20"/>
      </w:rPr>
    </w:lvl>
    <w:lvl w:ilvl="2">
      <w:start w:val="0"/>
      <w:numFmt w:val="bullet"/>
      <w:lvlText w:val="•"/>
      <w:lvlJc w:val="left"/>
      <w:pPr>
        <w:ind w:left="3325" w:hanging="681"/>
      </w:pPr>
      <w:rPr>
        <w:rFonts w:hint="default"/>
      </w:rPr>
    </w:lvl>
    <w:lvl w:ilvl="3">
      <w:start w:val="0"/>
      <w:numFmt w:val="bullet"/>
      <w:lvlText w:val="•"/>
      <w:lvlJc w:val="left"/>
      <w:pPr>
        <w:ind w:left="4317" w:hanging="681"/>
      </w:pPr>
      <w:rPr>
        <w:rFonts w:hint="default"/>
      </w:rPr>
    </w:lvl>
    <w:lvl w:ilvl="4">
      <w:start w:val="0"/>
      <w:numFmt w:val="bullet"/>
      <w:lvlText w:val="•"/>
      <w:lvlJc w:val="left"/>
      <w:pPr>
        <w:ind w:left="5310" w:hanging="681"/>
      </w:pPr>
      <w:rPr>
        <w:rFonts w:hint="default"/>
      </w:rPr>
    </w:lvl>
    <w:lvl w:ilvl="5">
      <w:start w:val="0"/>
      <w:numFmt w:val="bullet"/>
      <w:lvlText w:val="•"/>
      <w:lvlJc w:val="left"/>
      <w:pPr>
        <w:ind w:left="6302" w:hanging="681"/>
      </w:pPr>
      <w:rPr>
        <w:rFonts w:hint="default"/>
      </w:rPr>
    </w:lvl>
    <w:lvl w:ilvl="6">
      <w:start w:val="0"/>
      <w:numFmt w:val="bullet"/>
      <w:lvlText w:val="•"/>
      <w:lvlJc w:val="left"/>
      <w:pPr>
        <w:ind w:left="7295" w:hanging="681"/>
      </w:pPr>
      <w:rPr>
        <w:rFonts w:hint="default"/>
      </w:rPr>
    </w:lvl>
    <w:lvl w:ilvl="7">
      <w:start w:val="0"/>
      <w:numFmt w:val="bullet"/>
      <w:lvlText w:val="•"/>
      <w:lvlJc w:val="left"/>
      <w:pPr>
        <w:ind w:left="8287" w:hanging="681"/>
      </w:pPr>
      <w:rPr>
        <w:rFonts w:hint="default"/>
      </w:rPr>
    </w:lvl>
    <w:lvl w:ilvl="8">
      <w:start w:val="0"/>
      <w:numFmt w:val="bullet"/>
      <w:lvlText w:val="•"/>
      <w:lvlJc w:val="left"/>
      <w:pPr>
        <w:ind w:left="9280" w:hanging="681"/>
      </w:pPr>
      <w:rPr>
        <w:rFonts w:hint="default"/>
      </w:rPr>
    </w:lvl>
  </w:abstractNum>
  <w:abstractNum w:abstractNumId="244">
    <w:multiLevelType w:val="hybridMultilevel"/>
    <w:lvl w:ilvl="0">
      <w:start w:val="1"/>
      <w:numFmt w:val="decimal"/>
      <w:lvlText w:val="%1."/>
      <w:lvlJc w:val="left"/>
      <w:pPr>
        <w:ind w:left="607" w:hanging="681"/>
        <w:jc w:val="left"/>
      </w:pPr>
      <w:rPr>
        <w:rFonts w:hint="default" w:ascii="Calibri" w:hAnsi="Calibri" w:eastAsia="Calibri" w:cs="Calibri"/>
        <w:spacing w:val="-13"/>
        <w:w w:val="125"/>
        <w:sz w:val="20"/>
        <w:szCs w:val="20"/>
      </w:rPr>
    </w:lvl>
    <w:lvl w:ilvl="1">
      <w:start w:val="1"/>
      <w:numFmt w:val="decimal"/>
      <w:lvlText w:val="%2."/>
      <w:lvlJc w:val="left"/>
      <w:pPr>
        <w:ind w:left="1344" w:hanging="681"/>
        <w:jc w:val="left"/>
      </w:pPr>
      <w:rPr>
        <w:rFonts w:hint="default" w:ascii="Calibri" w:hAnsi="Calibri" w:eastAsia="Calibri" w:cs="Calibri"/>
        <w:spacing w:val="-13"/>
        <w:w w:val="125"/>
        <w:sz w:val="20"/>
        <w:szCs w:val="20"/>
      </w:rPr>
    </w:lvl>
    <w:lvl w:ilvl="2">
      <w:start w:val="0"/>
      <w:numFmt w:val="bullet"/>
      <w:lvlText w:val="•"/>
      <w:lvlJc w:val="left"/>
      <w:pPr>
        <w:ind w:left="2442" w:hanging="681"/>
      </w:pPr>
      <w:rPr>
        <w:rFonts w:hint="default"/>
      </w:rPr>
    </w:lvl>
    <w:lvl w:ilvl="3">
      <w:start w:val="0"/>
      <w:numFmt w:val="bullet"/>
      <w:lvlText w:val="•"/>
      <w:lvlJc w:val="left"/>
      <w:pPr>
        <w:ind w:left="3545" w:hanging="681"/>
      </w:pPr>
      <w:rPr>
        <w:rFonts w:hint="default"/>
      </w:rPr>
    </w:lvl>
    <w:lvl w:ilvl="4">
      <w:start w:val="0"/>
      <w:numFmt w:val="bullet"/>
      <w:lvlText w:val="•"/>
      <w:lvlJc w:val="left"/>
      <w:pPr>
        <w:ind w:left="4648" w:hanging="681"/>
      </w:pPr>
      <w:rPr>
        <w:rFonts w:hint="default"/>
      </w:rPr>
    </w:lvl>
    <w:lvl w:ilvl="5">
      <w:start w:val="0"/>
      <w:numFmt w:val="bullet"/>
      <w:lvlText w:val="•"/>
      <w:lvlJc w:val="left"/>
      <w:pPr>
        <w:ind w:left="5751" w:hanging="681"/>
      </w:pPr>
      <w:rPr>
        <w:rFonts w:hint="default"/>
      </w:rPr>
    </w:lvl>
    <w:lvl w:ilvl="6">
      <w:start w:val="0"/>
      <w:numFmt w:val="bullet"/>
      <w:lvlText w:val="•"/>
      <w:lvlJc w:val="left"/>
      <w:pPr>
        <w:ind w:left="6854" w:hanging="681"/>
      </w:pPr>
      <w:rPr>
        <w:rFonts w:hint="default"/>
      </w:rPr>
    </w:lvl>
    <w:lvl w:ilvl="7">
      <w:start w:val="0"/>
      <w:numFmt w:val="bullet"/>
      <w:lvlText w:val="•"/>
      <w:lvlJc w:val="left"/>
      <w:pPr>
        <w:ind w:left="7957" w:hanging="681"/>
      </w:pPr>
      <w:rPr>
        <w:rFonts w:hint="default"/>
      </w:rPr>
    </w:lvl>
    <w:lvl w:ilvl="8">
      <w:start w:val="0"/>
      <w:numFmt w:val="bullet"/>
      <w:lvlText w:val="•"/>
      <w:lvlJc w:val="left"/>
      <w:pPr>
        <w:ind w:left="9059" w:hanging="681"/>
      </w:pPr>
      <w:rPr>
        <w:rFonts w:hint="default"/>
      </w:rPr>
    </w:lvl>
  </w:abstractNum>
  <w:abstractNum w:abstractNumId="243">
    <w:multiLevelType w:val="hybridMultilevel"/>
    <w:lvl w:ilvl="0">
      <w:start w:val="1"/>
      <w:numFmt w:val="decimal"/>
      <w:lvlText w:val="%1."/>
      <w:lvlJc w:val="left"/>
      <w:pPr>
        <w:ind w:left="607" w:hanging="681"/>
        <w:jc w:val="right"/>
      </w:pPr>
      <w:rPr>
        <w:rFonts w:hint="default" w:ascii="Calibri" w:hAnsi="Calibri" w:eastAsia="Calibri" w:cs="Calibri"/>
        <w:spacing w:val="-13"/>
        <w:w w:val="125"/>
        <w:sz w:val="20"/>
        <w:szCs w:val="20"/>
      </w:rPr>
    </w:lvl>
    <w:lvl w:ilvl="1">
      <w:start w:val="0"/>
      <w:numFmt w:val="bullet"/>
      <w:lvlText w:val="•"/>
      <w:lvlJc w:val="left"/>
      <w:pPr>
        <w:ind w:left="1666" w:hanging="681"/>
      </w:pPr>
      <w:rPr>
        <w:rFonts w:hint="default"/>
      </w:rPr>
    </w:lvl>
    <w:lvl w:ilvl="2">
      <w:start w:val="0"/>
      <w:numFmt w:val="bullet"/>
      <w:lvlText w:val="•"/>
      <w:lvlJc w:val="left"/>
      <w:pPr>
        <w:ind w:left="2733" w:hanging="681"/>
      </w:pPr>
      <w:rPr>
        <w:rFonts w:hint="default"/>
      </w:rPr>
    </w:lvl>
    <w:lvl w:ilvl="3">
      <w:start w:val="0"/>
      <w:numFmt w:val="bullet"/>
      <w:lvlText w:val="•"/>
      <w:lvlJc w:val="left"/>
      <w:pPr>
        <w:ind w:left="3799" w:hanging="681"/>
      </w:pPr>
      <w:rPr>
        <w:rFonts w:hint="default"/>
      </w:rPr>
    </w:lvl>
    <w:lvl w:ilvl="4">
      <w:start w:val="0"/>
      <w:numFmt w:val="bullet"/>
      <w:lvlText w:val="•"/>
      <w:lvlJc w:val="left"/>
      <w:pPr>
        <w:ind w:left="4866" w:hanging="681"/>
      </w:pPr>
      <w:rPr>
        <w:rFonts w:hint="default"/>
      </w:rPr>
    </w:lvl>
    <w:lvl w:ilvl="5">
      <w:start w:val="0"/>
      <w:numFmt w:val="bullet"/>
      <w:lvlText w:val="•"/>
      <w:lvlJc w:val="left"/>
      <w:pPr>
        <w:ind w:left="5932" w:hanging="681"/>
      </w:pPr>
      <w:rPr>
        <w:rFonts w:hint="default"/>
      </w:rPr>
    </w:lvl>
    <w:lvl w:ilvl="6">
      <w:start w:val="0"/>
      <w:numFmt w:val="bullet"/>
      <w:lvlText w:val="•"/>
      <w:lvlJc w:val="left"/>
      <w:pPr>
        <w:ind w:left="6999" w:hanging="681"/>
      </w:pPr>
      <w:rPr>
        <w:rFonts w:hint="default"/>
      </w:rPr>
    </w:lvl>
    <w:lvl w:ilvl="7">
      <w:start w:val="0"/>
      <w:numFmt w:val="bullet"/>
      <w:lvlText w:val="•"/>
      <w:lvlJc w:val="left"/>
      <w:pPr>
        <w:ind w:left="8065" w:hanging="681"/>
      </w:pPr>
      <w:rPr>
        <w:rFonts w:hint="default"/>
      </w:rPr>
    </w:lvl>
    <w:lvl w:ilvl="8">
      <w:start w:val="0"/>
      <w:numFmt w:val="bullet"/>
      <w:lvlText w:val="•"/>
      <w:lvlJc w:val="left"/>
      <w:pPr>
        <w:ind w:left="9132" w:hanging="681"/>
      </w:pPr>
      <w:rPr>
        <w:rFonts w:hint="default"/>
      </w:rPr>
    </w:lvl>
  </w:abstractNum>
  <w:abstractNum w:abstractNumId="242">
    <w:multiLevelType w:val="hybridMultilevel"/>
    <w:lvl w:ilvl="0">
      <w:start w:val="1"/>
      <w:numFmt w:val="decimal"/>
      <w:lvlText w:val="%1."/>
      <w:lvlJc w:val="left"/>
      <w:pPr>
        <w:ind w:left="1344" w:hanging="681"/>
        <w:jc w:val="left"/>
      </w:pPr>
      <w:rPr>
        <w:rFonts w:hint="default" w:ascii="Calibri" w:hAnsi="Calibri" w:eastAsia="Calibri" w:cs="Calibri"/>
        <w:spacing w:val="-13"/>
        <w:w w:val="125"/>
        <w:sz w:val="20"/>
        <w:szCs w:val="20"/>
      </w:rPr>
    </w:lvl>
    <w:lvl w:ilvl="1">
      <w:start w:val="0"/>
      <w:numFmt w:val="bullet"/>
      <w:lvlText w:val="•"/>
      <w:lvlJc w:val="left"/>
      <w:pPr>
        <w:ind w:left="2332" w:hanging="681"/>
      </w:pPr>
      <w:rPr>
        <w:rFonts w:hint="default"/>
      </w:rPr>
    </w:lvl>
    <w:lvl w:ilvl="2">
      <w:start w:val="0"/>
      <w:numFmt w:val="bullet"/>
      <w:lvlText w:val="•"/>
      <w:lvlJc w:val="left"/>
      <w:pPr>
        <w:ind w:left="3325" w:hanging="681"/>
      </w:pPr>
      <w:rPr>
        <w:rFonts w:hint="default"/>
      </w:rPr>
    </w:lvl>
    <w:lvl w:ilvl="3">
      <w:start w:val="0"/>
      <w:numFmt w:val="bullet"/>
      <w:lvlText w:val="•"/>
      <w:lvlJc w:val="left"/>
      <w:pPr>
        <w:ind w:left="4317" w:hanging="681"/>
      </w:pPr>
      <w:rPr>
        <w:rFonts w:hint="default"/>
      </w:rPr>
    </w:lvl>
    <w:lvl w:ilvl="4">
      <w:start w:val="0"/>
      <w:numFmt w:val="bullet"/>
      <w:lvlText w:val="•"/>
      <w:lvlJc w:val="left"/>
      <w:pPr>
        <w:ind w:left="5310" w:hanging="681"/>
      </w:pPr>
      <w:rPr>
        <w:rFonts w:hint="default"/>
      </w:rPr>
    </w:lvl>
    <w:lvl w:ilvl="5">
      <w:start w:val="0"/>
      <w:numFmt w:val="bullet"/>
      <w:lvlText w:val="•"/>
      <w:lvlJc w:val="left"/>
      <w:pPr>
        <w:ind w:left="6302" w:hanging="681"/>
      </w:pPr>
      <w:rPr>
        <w:rFonts w:hint="default"/>
      </w:rPr>
    </w:lvl>
    <w:lvl w:ilvl="6">
      <w:start w:val="0"/>
      <w:numFmt w:val="bullet"/>
      <w:lvlText w:val="•"/>
      <w:lvlJc w:val="left"/>
      <w:pPr>
        <w:ind w:left="7295" w:hanging="681"/>
      </w:pPr>
      <w:rPr>
        <w:rFonts w:hint="default"/>
      </w:rPr>
    </w:lvl>
    <w:lvl w:ilvl="7">
      <w:start w:val="0"/>
      <w:numFmt w:val="bullet"/>
      <w:lvlText w:val="•"/>
      <w:lvlJc w:val="left"/>
      <w:pPr>
        <w:ind w:left="8287" w:hanging="681"/>
      </w:pPr>
      <w:rPr>
        <w:rFonts w:hint="default"/>
      </w:rPr>
    </w:lvl>
    <w:lvl w:ilvl="8">
      <w:start w:val="0"/>
      <w:numFmt w:val="bullet"/>
      <w:lvlText w:val="•"/>
      <w:lvlJc w:val="left"/>
      <w:pPr>
        <w:ind w:left="9280" w:hanging="681"/>
      </w:pPr>
      <w:rPr>
        <w:rFonts w:hint="default"/>
      </w:rPr>
    </w:lvl>
  </w:abstractNum>
  <w:abstractNum w:abstractNumId="241">
    <w:multiLevelType w:val="hybridMultilevel"/>
    <w:lvl w:ilvl="0">
      <w:start w:val="9"/>
      <w:numFmt w:val="decimal"/>
      <w:lvlText w:val="%1"/>
      <w:lvlJc w:val="left"/>
      <w:pPr>
        <w:ind w:left="1344" w:hanging="681"/>
        <w:jc w:val="left"/>
      </w:pPr>
      <w:rPr>
        <w:rFonts w:hint="default"/>
      </w:rPr>
    </w:lvl>
    <w:lvl w:ilvl="1">
      <w:start w:val="1"/>
      <w:numFmt w:val="decimal"/>
      <w:lvlText w:val="%1.%2"/>
      <w:lvlJc w:val="left"/>
      <w:pPr>
        <w:ind w:left="1344" w:hanging="681"/>
        <w:jc w:val="left"/>
      </w:pPr>
      <w:rPr>
        <w:rFonts w:hint="default" w:ascii="Calibri" w:hAnsi="Calibri" w:eastAsia="Calibri" w:cs="Calibri"/>
        <w:spacing w:val="-18"/>
        <w:w w:val="125"/>
        <w:sz w:val="20"/>
        <w:szCs w:val="20"/>
      </w:rPr>
    </w:lvl>
    <w:lvl w:ilvl="2">
      <w:start w:val="0"/>
      <w:numFmt w:val="bullet"/>
      <w:lvlText w:val="•"/>
      <w:lvlJc w:val="left"/>
      <w:pPr>
        <w:ind w:left="3325" w:hanging="681"/>
      </w:pPr>
      <w:rPr>
        <w:rFonts w:hint="default"/>
      </w:rPr>
    </w:lvl>
    <w:lvl w:ilvl="3">
      <w:start w:val="0"/>
      <w:numFmt w:val="bullet"/>
      <w:lvlText w:val="•"/>
      <w:lvlJc w:val="left"/>
      <w:pPr>
        <w:ind w:left="4317" w:hanging="681"/>
      </w:pPr>
      <w:rPr>
        <w:rFonts w:hint="default"/>
      </w:rPr>
    </w:lvl>
    <w:lvl w:ilvl="4">
      <w:start w:val="0"/>
      <w:numFmt w:val="bullet"/>
      <w:lvlText w:val="•"/>
      <w:lvlJc w:val="left"/>
      <w:pPr>
        <w:ind w:left="5310" w:hanging="681"/>
      </w:pPr>
      <w:rPr>
        <w:rFonts w:hint="default"/>
      </w:rPr>
    </w:lvl>
    <w:lvl w:ilvl="5">
      <w:start w:val="0"/>
      <w:numFmt w:val="bullet"/>
      <w:lvlText w:val="•"/>
      <w:lvlJc w:val="left"/>
      <w:pPr>
        <w:ind w:left="6302" w:hanging="681"/>
      </w:pPr>
      <w:rPr>
        <w:rFonts w:hint="default"/>
      </w:rPr>
    </w:lvl>
    <w:lvl w:ilvl="6">
      <w:start w:val="0"/>
      <w:numFmt w:val="bullet"/>
      <w:lvlText w:val="•"/>
      <w:lvlJc w:val="left"/>
      <w:pPr>
        <w:ind w:left="7295" w:hanging="681"/>
      </w:pPr>
      <w:rPr>
        <w:rFonts w:hint="default"/>
      </w:rPr>
    </w:lvl>
    <w:lvl w:ilvl="7">
      <w:start w:val="0"/>
      <w:numFmt w:val="bullet"/>
      <w:lvlText w:val="•"/>
      <w:lvlJc w:val="left"/>
      <w:pPr>
        <w:ind w:left="8287" w:hanging="681"/>
      </w:pPr>
      <w:rPr>
        <w:rFonts w:hint="default"/>
      </w:rPr>
    </w:lvl>
    <w:lvl w:ilvl="8">
      <w:start w:val="0"/>
      <w:numFmt w:val="bullet"/>
      <w:lvlText w:val="•"/>
      <w:lvlJc w:val="left"/>
      <w:pPr>
        <w:ind w:left="9280" w:hanging="681"/>
      </w:pPr>
      <w:rPr>
        <w:rFonts w:hint="default"/>
      </w:rPr>
    </w:lvl>
  </w:abstractNum>
  <w:abstractNum w:abstractNumId="240">
    <w:multiLevelType w:val="hybridMultilevel"/>
    <w:lvl w:ilvl="0">
      <w:start w:val="1"/>
      <w:numFmt w:val="decimal"/>
      <w:lvlText w:val="%1."/>
      <w:lvlJc w:val="left"/>
      <w:pPr>
        <w:ind w:left="607" w:hanging="681"/>
        <w:jc w:val="left"/>
      </w:pPr>
      <w:rPr>
        <w:rFonts w:hint="default" w:ascii="Calibri" w:hAnsi="Calibri" w:eastAsia="Calibri" w:cs="Calibri"/>
        <w:spacing w:val="-13"/>
        <w:w w:val="125"/>
        <w:sz w:val="20"/>
        <w:szCs w:val="20"/>
      </w:rPr>
    </w:lvl>
    <w:lvl w:ilvl="1">
      <w:start w:val="0"/>
      <w:numFmt w:val="bullet"/>
      <w:lvlText w:val="•"/>
      <w:lvlJc w:val="left"/>
      <w:pPr>
        <w:ind w:left="1666" w:hanging="681"/>
      </w:pPr>
      <w:rPr>
        <w:rFonts w:hint="default"/>
      </w:rPr>
    </w:lvl>
    <w:lvl w:ilvl="2">
      <w:start w:val="0"/>
      <w:numFmt w:val="bullet"/>
      <w:lvlText w:val="•"/>
      <w:lvlJc w:val="left"/>
      <w:pPr>
        <w:ind w:left="2733" w:hanging="681"/>
      </w:pPr>
      <w:rPr>
        <w:rFonts w:hint="default"/>
      </w:rPr>
    </w:lvl>
    <w:lvl w:ilvl="3">
      <w:start w:val="0"/>
      <w:numFmt w:val="bullet"/>
      <w:lvlText w:val="•"/>
      <w:lvlJc w:val="left"/>
      <w:pPr>
        <w:ind w:left="3799" w:hanging="681"/>
      </w:pPr>
      <w:rPr>
        <w:rFonts w:hint="default"/>
      </w:rPr>
    </w:lvl>
    <w:lvl w:ilvl="4">
      <w:start w:val="0"/>
      <w:numFmt w:val="bullet"/>
      <w:lvlText w:val="•"/>
      <w:lvlJc w:val="left"/>
      <w:pPr>
        <w:ind w:left="4866" w:hanging="681"/>
      </w:pPr>
      <w:rPr>
        <w:rFonts w:hint="default"/>
      </w:rPr>
    </w:lvl>
    <w:lvl w:ilvl="5">
      <w:start w:val="0"/>
      <w:numFmt w:val="bullet"/>
      <w:lvlText w:val="•"/>
      <w:lvlJc w:val="left"/>
      <w:pPr>
        <w:ind w:left="5932" w:hanging="681"/>
      </w:pPr>
      <w:rPr>
        <w:rFonts w:hint="default"/>
      </w:rPr>
    </w:lvl>
    <w:lvl w:ilvl="6">
      <w:start w:val="0"/>
      <w:numFmt w:val="bullet"/>
      <w:lvlText w:val="•"/>
      <w:lvlJc w:val="left"/>
      <w:pPr>
        <w:ind w:left="6999" w:hanging="681"/>
      </w:pPr>
      <w:rPr>
        <w:rFonts w:hint="default"/>
      </w:rPr>
    </w:lvl>
    <w:lvl w:ilvl="7">
      <w:start w:val="0"/>
      <w:numFmt w:val="bullet"/>
      <w:lvlText w:val="•"/>
      <w:lvlJc w:val="left"/>
      <w:pPr>
        <w:ind w:left="8065" w:hanging="681"/>
      </w:pPr>
      <w:rPr>
        <w:rFonts w:hint="default"/>
      </w:rPr>
    </w:lvl>
    <w:lvl w:ilvl="8">
      <w:start w:val="0"/>
      <w:numFmt w:val="bullet"/>
      <w:lvlText w:val="•"/>
      <w:lvlJc w:val="left"/>
      <w:pPr>
        <w:ind w:left="9132" w:hanging="681"/>
      </w:pPr>
      <w:rPr>
        <w:rFonts w:hint="default"/>
      </w:rPr>
    </w:lvl>
  </w:abstractNum>
  <w:abstractNum w:abstractNumId="239">
    <w:multiLevelType w:val="hybridMultilevel"/>
    <w:lvl w:ilvl="0">
      <w:start w:val="1"/>
      <w:numFmt w:val="lowerLetter"/>
      <w:lvlText w:val="%1)"/>
      <w:lvlJc w:val="left"/>
      <w:pPr>
        <w:ind w:left="760" w:hanging="681"/>
        <w:jc w:val="left"/>
      </w:pPr>
      <w:rPr>
        <w:rFonts w:hint="default" w:ascii="Stone Sans II ITC Std Bk" w:hAnsi="Stone Sans II ITC Std Bk" w:eastAsia="Stone Sans II ITC Std Bk" w:cs="Stone Sans II ITC Std Bk"/>
        <w:b/>
        <w:bCs/>
        <w:spacing w:val="-13"/>
        <w:w w:val="110"/>
        <w:sz w:val="20"/>
        <w:szCs w:val="20"/>
      </w:rPr>
    </w:lvl>
    <w:lvl w:ilvl="1">
      <w:start w:val="0"/>
      <w:numFmt w:val="bullet"/>
      <w:lvlText w:val="•"/>
      <w:lvlJc w:val="left"/>
      <w:pPr>
        <w:ind w:left="1341" w:hanging="681"/>
      </w:pPr>
      <w:rPr>
        <w:rFonts w:hint="default"/>
      </w:rPr>
    </w:lvl>
    <w:lvl w:ilvl="2">
      <w:start w:val="0"/>
      <w:numFmt w:val="bullet"/>
      <w:lvlText w:val="•"/>
      <w:lvlJc w:val="left"/>
      <w:pPr>
        <w:ind w:left="1922" w:hanging="681"/>
      </w:pPr>
      <w:rPr>
        <w:rFonts w:hint="default"/>
      </w:rPr>
    </w:lvl>
    <w:lvl w:ilvl="3">
      <w:start w:val="0"/>
      <w:numFmt w:val="bullet"/>
      <w:lvlText w:val="•"/>
      <w:lvlJc w:val="left"/>
      <w:pPr>
        <w:ind w:left="2503" w:hanging="681"/>
      </w:pPr>
      <w:rPr>
        <w:rFonts w:hint="default"/>
      </w:rPr>
    </w:lvl>
    <w:lvl w:ilvl="4">
      <w:start w:val="0"/>
      <w:numFmt w:val="bullet"/>
      <w:lvlText w:val="•"/>
      <w:lvlJc w:val="left"/>
      <w:pPr>
        <w:ind w:left="3084" w:hanging="681"/>
      </w:pPr>
      <w:rPr>
        <w:rFonts w:hint="default"/>
      </w:rPr>
    </w:lvl>
    <w:lvl w:ilvl="5">
      <w:start w:val="0"/>
      <w:numFmt w:val="bullet"/>
      <w:lvlText w:val="•"/>
      <w:lvlJc w:val="left"/>
      <w:pPr>
        <w:ind w:left="3666" w:hanging="681"/>
      </w:pPr>
      <w:rPr>
        <w:rFonts w:hint="default"/>
      </w:rPr>
    </w:lvl>
    <w:lvl w:ilvl="6">
      <w:start w:val="0"/>
      <w:numFmt w:val="bullet"/>
      <w:lvlText w:val="•"/>
      <w:lvlJc w:val="left"/>
      <w:pPr>
        <w:ind w:left="4247" w:hanging="681"/>
      </w:pPr>
      <w:rPr>
        <w:rFonts w:hint="default"/>
      </w:rPr>
    </w:lvl>
    <w:lvl w:ilvl="7">
      <w:start w:val="0"/>
      <w:numFmt w:val="bullet"/>
      <w:lvlText w:val="•"/>
      <w:lvlJc w:val="left"/>
      <w:pPr>
        <w:ind w:left="4828" w:hanging="681"/>
      </w:pPr>
      <w:rPr>
        <w:rFonts w:hint="default"/>
      </w:rPr>
    </w:lvl>
    <w:lvl w:ilvl="8">
      <w:start w:val="0"/>
      <w:numFmt w:val="bullet"/>
      <w:lvlText w:val="•"/>
      <w:lvlJc w:val="left"/>
      <w:pPr>
        <w:ind w:left="5409" w:hanging="681"/>
      </w:pPr>
      <w:rPr>
        <w:rFonts w:hint="default"/>
      </w:rPr>
    </w:lvl>
  </w:abstractNum>
  <w:abstractNum w:abstractNumId="238">
    <w:multiLevelType w:val="hybridMultilevel"/>
    <w:lvl w:ilvl="0">
      <w:start w:val="1"/>
      <w:numFmt w:val="lowerLetter"/>
      <w:lvlText w:val="%1)"/>
      <w:lvlJc w:val="left"/>
      <w:pPr>
        <w:ind w:left="760" w:hanging="681"/>
        <w:jc w:val="left"/>
      </w:pPr>
      <w:rPr>
        <w:rFonts w:hint="default" w:ascii="Stone Sans II ITC Std Bk" w:hAnsi="Stone Sans II ITC Std Bk" w:eastAsia="Stone Sans II ITC Std Bk" w:cs="Stone Sans II ITC Std Bk"/>
        <w:b/>
        <w:bCs/>
        <w:spacing w:val="-13"/>
        <w:w w:val="110"/>
        <w:sz w:val="20"/>
        <w:szCs w:val="20"/>
      </w:rPr>
    </w:lvl>
    <w:lvl w:ilvl="1">
      <w:start w:val="0"/>
      <w:numFmt w:val="bullet"/>
      <w:lvlText w:val="•"/>
      <w:lvlJc w:val="left"/>
      <w:pPr>
        <w:ind w:left="1341" w:hanging="681"/>
      </w:pPr>
      <w:rPr>
        <w:rFonts w:hint="default"/>
      </w:rPr>
    </w:lvl>
    <w:lvl w:ilvl="2">
      <w:start w:val="0"/>
      <w:numFmt w:val="bullet"/>
      <w:lvlText w:val="•"/>
      <w:lvlJc w:val="left"/>
      <w:pPr>
        <w:ind w:left="1922" w:hanging="681"/>
      </w:pPr>
      <w:rPr>
        <w:rFonts w:hint="default"/>
      </w:rPr>
    </w:lvl>
    <w:lvl w:ilvl="3">
      <w:start w:val="0"/>
      <w:numFmt w:val="bullet"/>
      <w:lvlText w:val="•"/>
      <w:lvlJc w:val="left"/>
      <w:pPr>
        <w:ind w:left="2503" w:hanging="681"/>
      </w:pPr>
      <w:rPr>
        <w:rFonts w:hint="default"/>
      </w:rPr>
    </w:lvl>
    <w:lvl w:ilvl="4">
      <w:start w:val="0"/>
      <w:numFmt w:val="bullet"/>
      <w:lvlText w:val="•"/>
      <w:lvlJc w:val="left"/>
      <w:pPr>
        <w:ind w:left="3084" w:hanging="681"/>
      </w:pPr>
      <w:rPr>
        <w:rFonts w:hint="default"/>
      </w:rPr>
    </w:lvl>
    <w:lvl w:ilvl="5">
      <w:start w:val="0"/>
      <w:numFmt w:val="bullet"/>
      <w:lvlText w:val="•"/>
      <w:lvlJc w:val="left"/>
      <w:pPr>
        <w:ind w:left="3666" w:hanging="681"/>
      </w:pPr>
      <w:rPr>
        <w:rFonts w:hint="default"/>
      </w:rPr>
    </w:lvl>
    <w:lvl w:ilvl="6">
      <w:start w:val="0"/>
      <w:numFmt w:val="bullet"/>
      <w:lvlText w:val="•"/>
      <w:lvlJc w:val="left"/>
      <w:pPr>
        <w:ind w:left="4247" w:hanging="681"/>
      </w:pPr>
      <w:rPr>
        <w:rFonts w:hint="default"/>
      </w:rPr>
    </w:lvl>
    <w:lvl w:ilvl="7">
      <w:start w:val="0"/>
      <w:numFmt w:val="bullet"/>
      <w:lvlText w:val="•"/>
      <w:lvlJc w:val="left"/>
      <w:pPr>
        <w:ind w:left="4828" w:hanging="681"/>
      </w:pPr>
      <w:rPr>
        <w:rFonts w:hint="default"/>
      </w:rPr>
    </w:lvl>
    <w:lvl w:ilvl="8">
      <w:start w:val="0"/>
      <w:numFmt w:val="bullet"/>
      <w:lvlText w:val="•"/>
      <w:lvlJc w:val="left"/>
      <w:pPr>
        <w:ind w:left="5409" w:hanging="681"/>
      </w:pPr>
      <w:rPr>
        <w:rFonts w:hint="default"/>
      </w:rPr>
    </w:lvl>
  </w:abstractNum>
  <w:abstractNum w:abstractNumId="237">
    <w:multiLevelType w:val="hybridMultilevel"/>
    <w:lvl w:ilvl="0">
      <w:start w:val="2"/>
      <w:numFmt w:val="decimal"/>
      <w:lvlText w:val="%1"/>
      <w:lvlJc w:val="left"/>
      <w:pPr>
        <w:ind w:left="1344" w:hanging="681"/>
        <w:jc w:val="left"/>
      </w:pPr>
      <w:rPr>
        <w:rFonts w:hint="default"/>
      </w:rPr>
    </w:lvl>
    <w:lvl w:ilvl="1">
      <w:start w:val="1"/>
      <w:numFmt w:val="decimal"/>
      <w:lvlText w:val="%1.%2"/>
      <w:lvlJc w:val="left"/>
      <w:pPr>
        <w:ind w:left="1344" w:hanging="681"/>
        <w:jc w:val="left"/>
      </w:pPr>
      <w:rPr>
        <w:rFonts w:hint="default" w:ascii="Calibri" w:hAnsi="Calibri" w:eastAsia="Calibri" w:cs="Calibri"/>
        <w:spacing w:val="-18"/>
        <w:w w:val="125"/>
        <w:sz w:val="20"/>
        <w:szCs w:val="20"/>
      </w:rPr>
    </w:lvl>
    <w:lvl w:ilvl="2">
      <w:start w:val="0"/>
      <w:numFmt w:val="bullet"/>
      <w:lvlText w:val="•"/>
      <w:lvlJc w:val="left"/>
      <w:pPr>
        <w:ind w:left="3325" w:hanging="681"/>
      </w:pPr>
      <w:rPr>
        <w:rFonts w:hint="default"/>
      </w:rPr>
    </w:lvl>
    <w:lvl w:ilvl="3">
      <w:start w:val="0"/>
      <w:numFmt w:val="bullet"/>
      <w:lvlText w:val="•"/>
      <w:lvlJc w:val="left"/>
      <w:pPr>
        <w:ind w:left="4317" w:hanging="681"/>
      </w:pPr>
      <w:rPr>
        <w:rFonts w:hint="default"/>
      </w:rPr>
    </w:lvl>
    <w:lvl w:ilvl="4">
      <w:start w:val="0"/>
      <w:numFmt w:val="bullet"/>
      <w:lvlText w:val="•"/>
      <w:lvlJc w:val="left"/>
      <w:pPr>
        <w:ind w:left="5310" w:hanging="681"/>
      </w:pPr>
      <w:rPr>
        <w:rFonts w:hint="default"/>
      </w:rPr>
    </w:lvl>
    <w:lvl w:ilvl="5">
      <w:start w:val="0"/>
      <w:numFmt w:val="bullet"/>
      <w:lvlText w:val="•"/>
      <w:lvlJc w:val="left"/>
      <w:pPr>
        <w:ind w:left="6302" w:hanging="681"/>
      </w:pPr>
      <w:rPr>
        <w:rFonts w:hint="default"/>
      </w:rPr>
    </w:lvl>
    <w:lvl w:ilvl="6">
      <w:start w:val="0"/>
      <w:numFmt w:val="bullet"/>
      <w:lvlText w:val="•"/>
      <w:lvlJc w:val="left"/>
      <w:pPr>
        <w:ind w:left="7295" w:hanging="681"/>
      </w:pPr>
      <w:rPr>
        <w:rFonts w:hint="default"/>
      </w:rPr>
    </w:lvl>
    <w:lvl w:ilvl="7">
      <w:start w:val="0"/>
      <w:numFmt w:val="bullet"/>
      <w:lvlText w:val="•"/>
      <w:lvlJc w:val="left"/>
      <w:pPr>
        <w:ind w:left="8287" w:hanging="681"/>
      </w:pPr>
      <w:rPr>
        <w:rFonts w:hint="default"/>
      </w:rPr>
    </w:lvl>
    <w:lvl w:ilvl="8">
      <w:start w:val="0"/>
      <w:numFmt w:val="bullet"/>
      <w:lvlText w:val="•"/>
      <w:lvlJc w:val="left"/>
      <w:pPr>
        <w:ind w:left="9280" w:hanging="681"/>
      </w:pPr>
      <w:rPr>
        <w:rFonts w:hint="default"/>
      </w:rPr>
    </w:lvl>
  </w:abstractNum>
  <w:abstractNum w:abstractNumId="236">
    <w:multiLevelType w:val="hybridMultilevel"/>
    <w:lvl w:ilvl="0">
      <w:start w:val="1"/>
      <w:numFmt w:val="decimal"/>
      <w:lvlText w:val="%1"/>
      <w:lvlJc w:val="left"/>
      <w:pPr>
        <w:ind w:left="607" w:hanging="681"/>
        <w:jc w:val="left"/>
      </w:pPr>
      <w:rPr>
        <w:rFonts w:hint="default"/>
      </w:rPr>
    </w:lvl>
    <w:lvl w:ilvl="1">
      <w:start w:val="1"/>
      <w:numFmt w:val="decimal"/>
      <w:lvlText w:val="%1.%2"/>
      <w:lvlJc w:val="left"/>
      <w:pPr>
        <w:ind w:left="607" w:hanging="681"/>
        <w:jc w:val="left"/>
      </w:pPr>
      <w:rPr>
        <w:rFonts w:hint="default" w:ascii="Calibri" w:hAnsi="Calibri" w:eastAsia="Calibri" w:cs="Calibri"/>
        <w:spacing w:val="-18"/>
        <w:w w:val="125"/>
        <w:sz w:val="20"/>
        <w:szCs w:val="20"/>
      </w:rPr>
    </w:lvl>
    <w:lvl w:ilvl="2">
      <w:start w:val="0"/>
      <w:numFmt w:val="bullet"/>
      <w:lvlText w:val="•"/>
      <w:lvlJc w:val="left"/>
      <w:pPr>
        <w:ind w:left="2733" w:hanging="681"/>
      </w:pPr>
      <w:rPr>
        <w:rFonts w:hint="default"/>
      </w:rPr>
    </w:lvl>
    <w:lvl w:ilvl="3">
      <w:start w:val="0"/>
      <w:numFmt w:val="bullet"/>
      <w:lvlText w:val="•"/>
      <w:lvlJc w:val="left"/>
      <w:pPr>
        <w:ind w:left="3799" w:hanging="681"/>
      </w:pPr>
      <w:rPr>
        <w:rFonts w:hint="default"/>
      </w:rPr>
    </w:lvl>
    <w:lvl w:ilvl="4">
      <w:start w:val="0"/>
      <w:numFmt w:val="bullet"/>
      <w:lvlText w:val="•"/>
      <w:lvlJc w:val="left"/>
      <w:pPr>
        <w:ind w:left="4866" w:hanging="681"/>
      </w:pPr>
      <w:rPr>
        <w:rFonts w:hint="default"/>
      </w:rPr>
    </w:lvl>
    <w:lvl w:ilvl="5">
      <w:start w:val="0"/>
      <w:numFmt w:val="bullet"/>
      <w:lvlText w:val="•"/>
      <w:lvlJc w:val="left"/>
      <w:pPr>
        <w:ind w:left="5932" w:hanging="681"/>
      </w:pPr>
      <w:rPr>
        <w:rFonts w:hint="default"/>
      </w:rPr>
    </w:lvl>
    <w:lvl w:ilvl="6">
      <w:start w:val="0"/>
      <w:numFmt w:val="bullet"/>
      <w:lvlText w:val="•"/>
      <w:lvlJc w:val="left"/>
      <w:pPr>
        <w:ind w:left="6999" w:hanging="681"/>
      </w:pPr>
      <w:rPr>
        <w:rFonts w:hint="default"/>
      </w:rPr>
    </w:lvl>
    <w:lvl w:ilvl="7">
      <w:start w:val="0"/>
      <w:numFmt w:val="bullet"/>
      <w:lvlText w:val="•"/>
      <w:lvlJc w:val="left"/>
      <w:pPr>
        <w:ind w:left="8065" w:hanging="681"/>
      </w:pPr>
      <w:rPr>
        <w:rFonts w:hint="default"/>
      </w:rPr>
    </w:lvl>
    <w:lvl w:ilvl="8">
      <w:start w:val="0"/>
      <w:numFmt w:val="bullet"/>
      <w:lvlText w:val="•"/>
      <w:lvlJc w:val="left"/>
      <w:pPr>
        <w:ind w:left="9132" w:hanging="681"/>
      </w:pPr>
      <w:rPr>
        <w:rFonts w:hint="default"/>
      </w:rPr>
    </w:lvl>
  </w:abstractNum>
  <w:abstractNum w:abstractNumId="235">
    <w:multiLevelType w:val="hybridMultilevel"/>
    <w:lvl w:ilvl="0">
      <w:start w:val="11"/>
      <w:numFmt w:val="decimal"/>
      <w:lvlText w:val="%1"/>
      <w:lvlJc w:val="left"/>
      <w:pPr>
        <w:ind w:left="2024" w:hanging="681"/>
        <w:jc w:val="left"/>
      </w:pPr>
      <w:rPr>
        <w:rFonts w:hint="default"/>
      </w:rPr>
    </w:lvl>
    <w:lvl w:ilvl="1">
      <w:start w:val="6"/>
      <w:numFmt w:val="decimal"/>
      <w:lvlText w:val="%1.%2"/>
      <w:lvlJc w:val="left"/>
      <w:pPr>
        <w:ind w:left="2024" w:hanging="681"/>
        <w:jc w:val="right"/>
      </w:pPr>
      <w:rPr>
        <w:rFonts w:hint="default" w:ascii="Stone Sans II ITC Std Bk" w:hAnsi="Stone Sans II ITC Std Bk" w:eastAsia="Stone Sans II ITC Std Bk" w:cs="Stone Sans II ITC Std Bk"/>
        <w:b/>
        <w:bCs/>
        <w:w w:val="110"/>
        <w:sz w:val="20"/>
        <w:szCs w:val="20"/>
      </w:rPr>
    </w:lvl>
    <w:lvl w:ilvl="2">
      <w:start w:val="1"/>
      <w:numFmt w:val="lowerLetter"/>
      <w:lvlText w:val="%3)"/>
      <w:lvlJc w:val="left"/>
      <w:pPr>
        <w:ind w:left="1287" w:hanging="454"/>
        <w:jc w:val="left"/>
      </w:pPr>
      <w:rPr>
        <w:rFonts w:hint="default" w:ascii="Calibri" w:hAnsi="Calibri" w:eastAsia="Calibri" w:cs="Calibri"/>
        <w:color w:val="707172"/>
        <w:spacing w:val="-11"/>
        <w:w w:val="127"/>
        <w:sz w:val="18"/>
        <w:szCs w:val="18"/>
      </w:rPr>
    </w:lvl>
    <w:lvl w:ilvl="3">
      <w:start w:val="0"/>
      <w:numFmt w:val="bullet"/>
      <w:lvlText w:val="•"/>
      <w:lvlJc w:val="left"/>
      <w:pPr>
        <w:ind w:left="4074" w:hanging="454"/>
      </w:pPr>
      <w:rPr>
        <w:rFonts w:hint="default"/>
      </w:rPr>
    </w:lvl>
    <w:lvl w:ilvl="4">
      <w:start w:val="0"/>
      <w:numFmt w:val="bullet"/>
      <w:lvlText w:val="•"/>
      <w:lvlJc w:val="left"/>
      <w:pPr>
        <w:ind w:left="5101" w:hanging="454"/>
      </w:pPr>
      <w:rPr>
        <w:rFonts w:hint="default"/>
      </w:rPr>
    </w:lvl>
    <w:lvl w:ilvl="5">
      <w:start w:val="0"/>
      <w:numFmt w:val="bullet"/>
      <w:lvlText w:val="•"/>
      <w:lvlJc w:val="left"/>
      <w:pPr>
        <w:ind w:left="6129" w:hanging="454"/>
      </w:pPr>
      <w:rPr>
        <w:rFonts w:hint="default"/>
      </w:rPr>
    </w:lvl>
    <w:lvl w:ilvl="6">
      <w:start w:val="0"/>
      <w:numFmt w:val="bullet"/>
      <w:lvlText w:val="•"/>
      <w:lvlJc w:val="left"/>
      <w:pPr>
        <w:ind w:left="7156" w:hanging="454"/>
      </w:pPr>
      <w:rPr>
        <w:rFonts w:hint="default"/>
      </w:rPr>
    </w:lvl>
    <w:lvl w:ilvl="7">
      <w:start w:val="0"/>
      <w:numFmt w:val="bullet"/>
      <w:lvlText w:val="•"/>
      <w:lvlJc w:val="left"/>
      <w:pPr>
        <w:ind w:left="8183" w:hanging="454"/>
      </w:pPr>
      <w:rPr>
        <w:rFonts w:hint="default"/>
      </w:rPr>
    </w:lvl>
    <w:lvl w:ilvl="8">
      <w:start w:val="0"/>
      <w:numFmt w:val="bullet"/>
      <w:lvlText w:val="•"/>
      <w:lvlJc w:val="left"/>
      <w:pPr>
        <w:ind w:left="9210" w:hanging="454"/>
      </w:pPr>
      <w:rPr>
        <w:rFonts w:hint="default"/>
      </w:rPr>
    </w:lvl>
  </w:abstractNum>
  <w:abstractNum w:abstractNumId="233">
    <w:multiLevelType w:val="hybridMultilevel"/>
    <w:lvl w:ilvl="0">
      <w:start w:val="7"/>
      <w:numFmt w:val="decimal"/>
      <w:lvlText w:val="%1"/>
      <w:lvlJc w:val="left"/>
      <w:pPr>
        <w:ind w:left="2064" w:hanging="721"/>
        <w:jc w:val="left"/>
      </w:pPr>
      <w:rPr>
        <w:rFonts w:hint="default"/>
      </w:rPr>
    </w:lvl>
    <w:lvl w:ilvl="1">
      <w:start w:val="7"/>
      <w:numFmt w:val="decimal"/>
      <w:lvlText w:val="%1.%2"/>
      <w:lvlJc w:val="left"/>
      <w:pPr>
        <w:ind w:left="2064" w:hanging="721"/>
        <w:jc w:val="right"/>
      </w:pPr>
      <w:rPr>
        <w:rFonts w:hint="default" w:ascii="Stone Sans II ITC Std Bk" w:hAnsi="Stone Sans II ITC Std Bk" w:eastAsia="Stone Sans II ITC Std Bk" w:cs="Stone Sans II ITC Std Bk"/>
        <w:b/>
        <w:bCs/>
        <w:w w:val="110"/>
        <w:sz w:val="20"/>
        <w:szCs w:val="20"/>
      </w:rPr>
    </w:lvl>
    <w:lvl w:ilvl="2">
      <w:start w:val="0"/>
      <w:numFmt w:val="bullet"/>
      <w:lvlText w:val="•"/>
      <w:lvlJc w:val="left"/>
      <w:pPr>
        <w:ind w:left="3901" w:hanging="721"/>
      </w:pPr>
      <w:rPr>
        <w:rFonts w:hint="default"/>
      </w:rPr>
    </w:lvl>
    <w:lvl w:ilvl="3">
      <w:start w:val="0"/>
      <w:numFmt w:val="bullet"/>
      <w:lvlText w:val="•"/>
      <w:lvlJc w:val="left"/>
      <w:pPr>
        <w:ind w:left="4821" w:hanging="721"/>
      </w:pPr>
      <w:rPr>
        <w:rFonts w:hint="default"/>
      </w:rPr>
    </w:lvl>
    <w:lvl w:ilvl="4">
      <w:start w:val="0"/>
      <w:numFmt w:val="bullet"/>
      <w:lvlText w:val="•"/>
      <w:lvlJc w:val="left"/>
      <w:pPr>
        <w:ind w:left="5742" w:hanging="721"/>
      </w:pPr>
      <w:rPr>
        <w:rFonts w:hint="default"/>
      </w:rPr>
    </w:lvl>
    <w:lvl w:ilvl="5">
      <w:start w:val="0"/>
      <w:numFmt w:val="bullet"/>
      <w:lvlText w:val="•"/>
      <w:lvlJc w:val="left"/>
      <w:pPr>
        <w:ind w:left="6662" w:hanging="721"/>
      </w:pPr>
      <w:rPr>
        <w:rFonts w:hint="default"/>
      </w:rPr>
    </w:lvl>
    <w:lvl w:ilvl="6">
      <w:start w:val="0"/>
      <w:numFmt w:val="bullet"/>
      <w:lvlText w:val="•"/>
      <w:lvlJc w:val="left"/>
      <w:pPr>
        <w:ind w:left="7583" w:hanging="721"/>
      </w:pPr>
      <w:rPr>
        <w:rFonts w:hint="default"/>
      </w:rPr>
    </w:lvl>
    <w:lvl w:ilvl="7">
      <w:start w:val="0"/>
      <w:numFmt w:val="bullet"/>
      <w:lvlText w:val="•"/>
      <w:lvlJc w:val="left"/>
      <w:pPr>
        <w:ind w:left="8503" w:hanging="721"/>
      </w:pPr>
      <w:rPr>
        <w:rFonts w:hint="default"/>
      </w:rPr>
    </w:lvl>
    <w:lvl w:ilvl="8">
      <w:start w:val="0"/>
      <w:numFmt w:val="bullet"/>
      <w:lvlText w:val="•"/>
      <w:lvlJc w:val="left"/>
      <w:pPr>
        <w:ind w:left="9424" w:hanging="721"/>
      </w:pPr>
      <w:rPr>
        <w:rFonts w:hint="default"/>
      </w:rPr>
    </w:lvl>
  </w:abstractNum>
  <w:abstractNum w:abstractNumId="232">
    <w:multiLevelType w:val="hybridMultilevel"/>
    <w:lvl w:ilvl="0">
      <w:start w:val="7"/>
      <w:numFmt w:val="decimal"/>
      <w:lvlText w:val="%1"/>
      <w:lvlJc w:val="left"/>
      <w:pPr>
        <w:ind w:left="2064" w:hanging="721"/>
        <w:jc w:val="left"/>
      </w:pPr>
      <w:rPr>
        <w:rFonts w:hint="default"/>
      </w:rPr>
    </w:lvl>
    <w:lvl w:ilvl="1">
      <w:start w:val="6"/>
      <w:numFmt w:val="decimal"/>
      <w:lvlText w:val="%1.%2"/>
      <w:lvlJc w:val="left"/>
      <w:pPr>
        <w:ind w:left="2064" w:hanging="721"/>
        <w:jc w:val="left"/>
      </w:pPr>
      <w:rPr>
        <w:rFonts w:hint="default"/>
      </w:rPr>
    </w:lvl>
    <w:lvl w:ilvl="2">
      <w:start w:val="1"/>
      <w:numFmt w:val="decimal"/>
      <w:lvlText w:val="%1.%2.%3"/>
      <w:lvlJc w:val="left"/>
      <w:pPr>
        <w:ind w:left="2064" w:hanging="721"/>
        <w:jc w:val="left"/>
      </w:pPr>
      <w:rPr>
        <w:rFonts w:hint="default" w:ascii="Stone Sans II ITC Std Bk" w:hAnsi="Stone Sans II ITC Std Bk" w:eastAsia="Stone Sans II ITC Std Bk" w:cs="Stone Sans II ITC Std Bk"/>
        <w:b/>
        <w:bCs/>
        <w:spacing w:val="-14"/>
        <w:w w:val="110"/>
        <w:sz w:val="20"/>
        <w:szCs w:val="20"/>
      </w:rPr>
    </w:lvl>
    <w:lvl w:ilvl="3">
      <w:start w:val="0"/>
      <w:numFmt w:val="bullet"/>
      <w:lvlText w:val="•"/>
      <w:lvlJc w:val="left"/>
      <w:pPr>
        <w:ind w:left="4821" w:hanging="721"/>
      </w:pPr>
      <w:rPr>
        <w:rFonts w:hint="default"/>
      </w:rPr>
    </w:lvl>
    <w:lvl w:ilvl="4">
      <w:start w:val="0"/>
      <w:numFmt w:val="bullet"/>
      <w:lvlText w:val="•"/>
      <w:lvlJc w:val="left"/>
      <w:pPr>
        <w:ind w:left="5742" w:hanging="721"/>
      </w:pPr>
      <w:rPr>
        <w:rFonts w:hint="default"/>
      </w:rPr>
    </w:lvl>
    <w:lvl w:ilvl="5">
      <w:start w:val="0"/>
      <w:numFmt w:val="bullet"/>
      <w:lvlText w:val="•"/>
      <w:lvlJc w:val="left"/>
      <w:pPr>
        <w:ind w:left="6662" w:hanging="721"/>
      </w:pPr>
      <w:rPr>
        <w:rFonts w:hint="default"/>
      </w:rPr>
    </w:lvl>
    <w:lvl w:ilvl="6">
      <w:start w:val="0"/>
      <w:numFmt w:val="bullet"/>
      <w:lvlText w:val="•"/>
      <w:lvlJc w:val="left"/>
      <w:pPr>
        <w:ind w:left="7583" w:hanging="721"/>
      </w:pPr>
      <w:rPr>
        <w:rFonts w:hint="default"/>
      </w:rPr>
    </w:lvl>
    <w:lvl w:ilvl="7">
      <w:start w:val="0"/>
      <w:numFmt w:val="bullet"/>
      <w:lvlText w:val="•"/>
      <w:lvlJc w:val="left"/>
      <w:pPr>
        <w:ind w:left="8503" w:hanging="721"/>
      </w:pPr>
      <w:rPr>
        <w:rFonts w:hint="default"/>
      </w:rPr>
    </w:lvl>
    <w:lvl w:ilvl="8">
      <w:start w:val="0"/>
      <w:numFmt w:val="bullet"/>
      <w:lvlText w:val="•"/>
      <w:lvlJc w:val="left"/>
      <w:pPr>
        <w:ind w:left="9424" w:hanging="721"/>
      </w:pPr>
      <w:rPr>
        <w:rFonts w:hint="default"/>
      </w:rPr>
    </w:lvl>
  </w:abstractNum>
  <w:abstractNum w:abstractNumId="231">
    <w:multiLevelType w:val="hybridMultilevel"/>
    <w:lvl w:ilvl="0">
      <w:start w:val="1"/>
      <w:numFmt w:val="decimal"/>
      <w:lvlText w:val="%1."/>
      <w:lvlJc w:val="left"/>
      <w:pPr>
        <w:ind w:left="1287" w:hanging="681"/>
        <w:jc w:val="right"/>
      </w:pPr>
      <w:rPr>
        <w:rFonts w:hint="default" w:ascii="Stone Sans II ITC Std Bk" w:hAnsi="Stone Sans II ITC Std Bk" w:eastAsia="Stone Sans II ITC Std Bk" w:cs="Stone Sans II ITC Std Bk"/>
        <w:b/>
        <w:bCs/>
        <w:spacing w:val="-19"/>
        <w:w w:val="112"/>
        <w:sz w:val="25"/>
        <w:szCs w:val="25"/>
      </w:rPr>
    </w:lvl>
    <w:lvl w:ilvl="1">
      <w:start w:val="1"/>
      <w:numFmt w:val="decimal"/>
      <w:lvlText w:val="%1.%2"/>
      <w:lvlJc w:val="left"/>
      <w:pPr>
        <w:ind w:left="607" w:hanging="681"/>
        <w:jc w:val="right"/>
      </w:pPr>
      <w:rPr>
        <w:rFonts w:hint="default" w:ascii="Stone Sans II ITC Std Bk" w:hAnsi="Stone Sans II ITC Std Bk" w:eastAsia="Stone Sans II ITC Std Bk" w:cs="Stone Sans II ITC Std Bk"/>
        <w:b/>
        <w:bCs/>
        <w:spacing w:val="-14"/>
        <w:w w:val="110"/>
        <w:sz w:val="20"/>
        <w:szCs w:val="20"/>
      </w:rPr>
    </w:lvl>
    <w:lvl w:ilvl="2">
      <w:start w:val="1"/>
      <w:numFmt w:val="decimal"/>
      <w:lvlText w:val="%1.%2.%3"/>
      <w:lvlJc w:val="left"/>
      <w:pPr>
        <w:ind w:left="1344" w:hanging="721"/>
        <w:jc w:val="left"/>
      </w:pPr>
      <w:rPr>
        <w:rFonts w:hint="default" w:ascii="Stone Sans II ITC Std Bk" w:hAnsi="Stone Sans II ITC Std Bk" w:eastAsia="Stone Sans II ITC Std Bk" w:cs="Stone Sans II ITC Std Bk"/>
        <w:b/>
        <w:bCs/>
        <w:spacing w:val="-14"/>
        <w:w w:val="110"/>
        <w:sz w:val="20"/>
        <w:szCs w:val="20"/>
      </w:rPr>
    </w:lvl>
    <w:lvl w:ilvl="3">
      <w:start w:val="0"/>
      <w:numFmt w:val="bullet"/>
      <w:lvlText w:val="•"/>
      <w:lvlJc w:val="left"/>
      <w:pPr>
        <w:ind w:left="1340" w:hanging="721"/>
      </w:pPr>
      <w:rPr>
        <w:rFonts w:hint="default"/>
      </w:rPr>
    </w:lvl>
    <w:lvl w:ilvl="4">
      <w:start w:val="0"/>
      <w:numFmt w:val="bullet"/>
      <w:lvlText w:val="•"/>
      <w:lvlJc w:val="left"/>
      <w:pPr>
        <w:ind w:left="2020" w:hanging="721"/>
      </w:pPr>
      <w:rPr>
        <w:rFonts w:hint="default"/>
      </w:rPr>
    </w:lvl>
    <w:lvl w:ilvl="5">
      <w:start w:val="0"/>
      <w:numFmt w:val="bullet"/>
      <w:lvlText w:val="•"/>
      <w:lvlJc w:val="left"/>
      <w:pPr>
        <w:ind w:left="3560" w:hanging="721"/>
      </w:pPr>
      <w:rPr>
        <w:rFonts w:hint="default"/>
      </w:rPr>
    </w:lvl>
    <w:lvl w:ilvl="6">
      <w:start w:val="0"/>
      <w:numFmt w:val="bullet"/>
      <w:lvlText w:val="•"/>
      <w:lvlJc w:val="left"/>
      <w:pPr>
        <w:ind w:left="5101" w:hanging="721"/>
      </w:pPr>
      <w:rPr>
        <w:rFonts w:hint="default"/>
      </w:rPr>
    </w:lvl>
    <w:lvl w:ilvl="7">
      <w:start w:val="0"/>
      <w:numFmt w:val="bullet"/>
      <w:lvlText w:val="•"/>
      <w:lvlJc w:val="left"/>
      <w:pPr>
        <w:ind w:left="6642" w:hanging="721"/>
      </w:pPr>
      <w:rPr>
        <w:rFonts w:hint="default"/>
      </w:rPr>
    </w:lvl>
    <w:lvl w:ilvl="8">
      <w:start w:val="0"/>
      <w:numFmt w:val="bullet"/>
      <w:lvlText w:val="•"/>
      <w:lvlJc w:val="left"/>
      <w:pPr>
        <w:ind w:left="8183" w:hanging="721"/>
      </w:pPr>
      <w:rPr>
        <w:rFonts w:hint="default"/>
      </w:rPr>
    </w:lvl>
  </w:abstractNum>
  <w:abstractNum w:abstractNumId="230">
    <w:multiLevelType w:val="hybridMultilevel"/>
    <w:lvl w:ilvl="0">
      <w:start w:val="1"/>
      <w:numFmt w:val="decimal"/>
      <w:lvlText w:val="%1."/>
      <w:lvlJc w:val="left"/>
      <w:pPr>
        <w:ind w:left="2024" w:hanging="681"/>
        <w:jc w:val="right"/>
      </w:pPr>
      <w:rPr>
        <w:rFonts w:hint="default" w:ascii="Calibri" w:hAnsi="Calibri" w:eastAsia="Calibri" w:cs="Calibri"/>
        <w:w w:val="122"/>
        <w:sz w:val="20"/>
        <w:szCs w:val="20"/>
      </w:rPr>
    </w:lvl>
    <w:lvl w:ilvl="1">
      <w:start w:val="1"/>
      <w:numFmt w:val="decimal"/>
      <w:lvlText w:val="(%2)"/>
      <w:lvlJc w:val="left"/>
      <w:pPr>
        <w:ind w:left="2375" w:hanging="352"/>
        <w:jc w:val="left"/>
      </w:pPr>
      <w:rPr>
        <w:rFonts w:hint="default" w:ascii="Calibri" w:hAnsi="Calibri" w:eastAsia="Calibri" w:cs="Calibri"/>
        <w:w w:val="132"/>
        <w:sz w:val="20"/>
        <w:szCs w:val="20"/>
      </w:rPr>
    </w:lvl>
    <w:lvl w:ilvl="2">
      <w:start w:val="0"/>
      <w:numFmt w:val="bullet"/>
      <w:lvlText w:val="•"/>
      <w:lvlJc w:val="left"/>
      <w:pPr>
        <w:ind w:left="3367" w:hanging="352"/>
      </w:pPr>
      <w:rPr>
        <w:rFonts w:hint="default"/>
      </w:rPr>
    </w:lvl>
    <w:lvl w:ilvl="3">
      <w:start w:val="0"/>
      <w:numFmt w:val="bullet"/>
      <w:lvlText w:val="•"/>
      <w:lvlJc w:val="left"/>
      <w:pPr>
        <w:ind w:left="4354" w:hanging="352"/>
      </w:pPr>
      <w:rPr>
        <w:rFonts w:hint="default"/>
      </w:rPr>
    </w:lvl>
    <w:lvl w:ilvl="4">
      <w:start w:val="0"/>
      <w:numFmt w:val="bullet"/>
      <w:lvlText w:val="•"/>
      <w:lvlJc w:val="left"/>
      <w:pPr>
        <w:ind w:left="5341" w:hanging="352"/>
      </w:pPr>
      <w:rPr>
        <w:rFonts w:hint="default"/>
      </w:rPr>
    </w:lvl>
    <w:lvl w:ilvl="5">
      <w:start w:val="0"/>
      <w:numFmt w:val="bullet"/>
      <w:lvlText w:val="•"/>
      <w:lvlJc w:val="left"/>
      <w:pPr>
        <w:ind w:left="6329" w:hanging="352"/>
      </w:pPr>
      <w:rPr>
        <w:rFonts w:hint="default"/>
      </w:rPr>
    </w:lvl>
    <w:lvl w:ilvl="6">
      <w:start w:val="0"/>
      <w:numFmt w:val="bullet"/>
      <w:lvlText w:val="•"/>
      <w:lvlJc w:val="left"/>
      <w:pPr>
        <w:ind w:left="7316" w:hanging="352"/>
      </w:pPr>
      <w:rPr>
        <w:rFonts w:hint="default"/>
      </w:rPr>
    </w:lvl>
    <w:lvl w:ilvl="7">
      <w:start w:val="0"/>
      <w:numFmt w:val="bullet"/>
      <w:lvlText w:val="•"/>
      <w:lvlJc w:val="left"/>
      <w:pPr>
        <w:ind w:left="8303" w:hanging="352"/>
      </w:pPr>
      <w:rPr>
        <w:rFonts w:hint="default"/>
      </w:rPr>
    </w:lvl>
    <w:lvl w:ilvl="8">
      <w:start w:val="0"/>
      <w:numFmt w:val="bullet"/>
      <w:lvlText w:val="•"/>
      <w:lvlJc w:val="left"/>
      <w:pPr>
        <w:ind w:left="9290" w:hanging="352"/>
      </w:pPr>
      <w:rPr>
        <w:rFonts w:hint="default"/>
      </w:rPr>
    </w:lvl>
  </w:abstractNum>
  <w:abstractNum w:abstractNumId="229">
    <w:multiLevelType w:val="hybridMultilevel"/>
    <w:lvl w:ilvl="0">
      <w:start w:val="2"/>
      <w:numFmt w:val="decimal"/>
      <w:lvlText w:val="%1"/>
      <w:lvlJc w:val="left"/>
      <w:pPr>
        <w:ind w:left="607" w:hanging="681"/>
        <w:jc w:val="left"/>
      </w:pPr>
      <w:rPr>
        <w:rFonts w:hint="default"/>
      </w:rPr>
    </w:lvl>
    <w:lvl w:ilvl="1">
      <w:start w:val="2"/>
      <w:numFmt w:val="decimal"/>
      <w:lvlText w:val="%1.%2"/>
      <w:lvlJc w:val="left"/>
      <w:pPr>
        <w:ind w:left="607" w:hanging="681"/>
        <w:jc w:val="right"/>
      </w:pPr>
      <w:rPr>
        <w:rFonts w:hint="default" w:ascii="Calibri" w:hAnsi="Calibri" w:eastAsia="Calibri" w:cs="Calibri"/>
        <w:spacing w:val="-2"/>
        <w:w w:val="125"/>
        <w:sz w:val="20"/>
        <w:szCs w:val="20"/>
      </w:rPr>
    </w:lvl>
    <w:lvl w:ilvl="2">
      <w:start w:val="0"/>
      <w:numFmt w:val="bullet"/>
      <w:lvlText w:val="•"/>
      <w:lvlJc w:val="left"/>
      <w:pPr>
        <w:ind w:left="2733" w:hanging="681"/>
      </w:pPr>
      <w:rPr>
        <w:rFonts w:hint="default"/>
      </w:rPr>
    </w:lvl>
    <w:lvl w:ilvl="3">
      <w:start w:val="0"/>
      <w:numFmt w:val="bullet"/>
      <w:lvlText w:val="•"/>
      <w:lvlJc w:val="left"/>
      <w:pPr>
        <w:ind w:left="3799" w:hanging="681"/>
      </w:pPr>
      <w:rPr>
        <w:rFonts w:hint="default"/>
      </w:rPr>
    </w:lvl>
    <w:lvl w:ilvl="4">
      <w:start w:val="0"/>
      <w:numFmt w:val="bullet"/>
      <w:lvlText w:val="•"/>
      <w:lvlJc w:val="left"/>
      <w:pPr>
        <w:ind w:left="4866" w:hanging="681"/>
      </w:pPr>
      <w:rPr>
        <w:rFonts w:hint="default"/>
      </w:rPr>
    </w:lvl>
    <w:lvl w:ilvl="5">
      <w:start w:val="0"/>
      <w:numFmt w:val="bullet"/>
      <w:lvlText w:val="•"/>
      <w:lvlJc w:val="left"/>
      <w:pPr>
        <w:ind w:left="5932" w:hanging="681"/>
      </w:pPr>
      <w:rPr>
        <w:rFonts w:hint="default"/>
      </w:rPr>
    </w:lvl>
    <w:lvl w:ilvl="6">
      <w:start w:val="0"/>
      <w:numFmt w:val="bullet"/>
      <w:lvlText w:val="•"/>
      <w:lvlJc w:val="left"/>
      <w:pPr>
        <w:ind w:left="6999" w:hanging="681"/>
      </w:pPr>
      <w:rPr>
        <w:rFonts w:hint="default"/>
      </w:rPr>
    </w:lvl>
    <w:lvl w:ilvl="7">
      <w:start w:val="0"/>
      <w:numFmt w:val="bullet"/>
      <w:lvlText w:val="•"/>
      <w:lvlJc w:val="left"/>
      <w:pPr>
        <w:ind w:left="8065" w:hanging="681"/>
      </w:pPr>
      <w:rPr>
        <w:rFonts w:hint="default"/>
      </w:rPr>
    </w:lvl>
    <w:lvl w:ilvl="8">
      <w:start w:val="0"/>
      <w:numFmt w:val="bullet"/>
      <w:lvlText w:val="•"/>
      <w:lvlJc w:val="left"/>
      <w:pPr>
        <w:ind w:left="9132" w:hanging="681"/>
      </w:pPr>
      <w:rPr>
        <w:rFonts w:hint="default"/>
      </w:rPr>
    </w:lvl>
  </w:abstractNum>
  <w:abstractNum w:abstractNumId="228">
    <w:multiLevelType w:val="hybridMultilevel"/>
    <w:lvl w:ilvl="0">
      <w:start w:val="1"/>
      <w:numFmt w:val="decimal"/>
      <w:lvlText w:val="%1"/>
      <w:lvlJc w:val="left"/>
      <w:pPr>
        <w:ind w:left="607" w:hanging="681"/>
        <w:jc w:val="left"/>
      </w:pPr>
      <w:rPr>
        <w:rFonts w:hint="default"/>
      </w:rPr>
    </w:lvl>
    <w:lvl w:ilvl="1">
      <w:start w:val="1"/>
      <w:numFmt w:val="decimal"/>
      <w:lvlText w:val="%1.%2"/>
      <w:lvlJc w:val="left"/>
      <w:pPr>
        <w:ind w:left="607" w:hanging="681"/>
        <w:jc w:val="left"/>
      </w:pPr>
      <w:rPr>
        <w:rFonts w:hint="default" w:ascii="Calibri" w:hAnsi="Calibri" w:eastAsia="Calibri" w:cs="Calibri"/>
        <w:spacing w:val="-18"/>
        <w:w w:val="125"/>
        <w:sz w:val="20"/>
        <w:szCs w:val="20"/>
      </w:rPr>
    </w:lvl>
    <w:lvl w:ilvl="2">
      <w:start w:val="0"/>
      <w:numFmt w:val="bullet"/>
      <w:lvlText w:val="•"/>
      <w:lvlJc w:val="left"/>
      <w:pPr>
        <w:ind w:left="2733" w:hanging="681"/>
      </w:pPr>
      <w:rPr>
        <w:rFonts w:hint="default"/>
      </w:rPr>
    </w:lvl>
    <w:lvl w:ilvl="3">
      <w:start w:val="0"/>
      <w:numFmt w:val="bullet"/>
      <w:lvlText w:val="•"/>
      <w:lvlJc w:val="left"/>
      <w:pPr>
        <w:ind w:left="3799" w:hanging="681"/>
      </w:pPr>
      <w:rPr>
        <w:rFonts w:hint="default"/>
      </w:rPr>
    </w:lvl>
    <w:lvl w:ilvl="4">
      <w:start w:val="0"/>
      <w:numFmt w:val="bullet"/>
      <w:lvlText w:val="•"/>
      <w:lvlJc w:val="left"/>
      <w:pPr>
        <w:ind w:left="4866" w:hanging="681"/>
      </w:pPr>
      <w:rPr>
        <w:rFonts w:hint="default"/>
      </w:rPr>
    </w:lvl>
    <w:lvl w:ilvl="5">
      <w:start w:val="0"/>
      <w:numFmt w:val="bullet"/>
      <w:lvlText w:val="•"/>
      <w:lvlJc w:val="left"/>
      <w:pPr>
        <w:ind w:left="5932" w:hanging="681"/>
      </w:pPr>
      <w:rPr>
        <w:rFonts w:hint="default"/>
      </w:rPr>
    </w:lvl>
    <w:lvl w:ilvl="6">
      <w:start w:val="0"/>
      <w:numFmt w:val="bullet"/>
      <w:lvlText w:val="•"/>
      <w:lvlJc w:val="left"/>
      <w:pPr>
        <w:ind w:left="6999" w:hanging="681"/>
      </w:pPr>
      <w:rPr>
        <w:rFonts w:hint="default"/>
      </w:rPr>
    </w:lvl>
    <w:lvl w:ilvl="7">
      <w:start w:val="0"/>
      <w:numFmt w:val="bullet"/>
      <w:lvlText w:val="•"/>
      <w:lvlJc w:val="left"/>
      <w:pPr>
        <w:ind w:left="8065" w:hanging="681"/>
      </w:pPr>
      <w:rPr>
        <w:rFonts w:hint="default"/>
      </w:rPr>
    </w:lvl>
    <w:lvl w:ilvl="8">
      <w:start w:val="0"/>
      <w:numFmt w:val="bullet"/>
      <w:lvlText w:val="•"/>
      <w:lvlJc w:val="left"/>
      <w:pPr>
        <w:ind w:left="9132" w:hanging="681"/>
      </w:pPr>
      <w:rPr>
        <w:rFonts w:hint="default"/>
      </w:rPr>
    </w:lvl>
  </w:abstractNum>
  <w:abstractNum w:abstractNumId="227">
    <w:multiLevelType w:val="hybridMultilevel"/>
    <w:lvl w:ilvl="0">
      <w:start w:val="1"/>
      <w:numFmt w:val="decimal"/>
      <w:lvlText w:val="%1."/>
      <w:lvlJc w:val="left"/>
      <w:pPr>
        <w:ind w:left="607" w:hanging="681"/>
        <w:jc w:val="left"/>
      </w:pPr>
      <w:rPr>
        <w:rFonts w:hint="default" w:ascii="Calibri" w:hAnsi="Calibri" w:eastAsia="Calibri" w:cs="Calibri"/>
        <w:spacing w:val="-13"/>
        <w:w w:val="125"/>
        <w:sz w:val="20"/>
        <w:szCs w:val="20"/>
      </w:rPr>
    </w:lvl>
    <w:lvl w:ilvl="1">
      <w:start w:val="3"/>
      <w:numFmt w:val="decimal"/>
      <w:lvlText w:val="%2."/>
      <w:lvlJc w:val="left"/>
      <w:pPr>
        <w:ind w:left="1344" w:hanging="681"/>
        <w:jc w:val="left"/>
      </w:pPr>
      <w:rPr>
        <w:rFonts w:hint="default"/>
        <w:spacing w:val="-4"/>
        <w:w w:val="125"/>
      </w:rPr>
    </w:lvl>
    <w:lvl w:ilvl="2">
      <w:start w:val="0"/>
      <w:numFmt w:val="bullet"/>
      <w:lvlText w:val="•"/>
      <w:lvlJc w:val="left"/>
      <w:pPr>
        <w:ind w:left="2442" w:hanging="681"/>
      </w:pPr>
      <w:rPr>
        <w:rFonts w:hint="default"/>
      </w:rPr>
    </w:lvl>
    <w:lvl w:ilvl="3">
      <w:start w:val="0"/>
      <w:numFmt w:val="bullet"/>
      <w:lvlText w:val="•"/>
      <w:lvlJc w:val="left"/>
      <w:pPr>
        <w:ind w:left="3545" w:hanging="681"/>
      </w:pPr>
      <w:rPr>
        <w:rFonts w:hint="default"/>
      </w:rPr>
    </w:lvl>
    <w:lvl w:ilvl="4">
      <w:start w:val="0"/>
      <w:numFmt w:val="bullet"/>
      <w:lvlText w:val="•"/>
      <w:lvlJc w:val="left"/>
      <w:pPr>
        <w:ind w:left="4648" w:hanging="681"/>
      </w:pPr>
      <w:rPr>
        <w:rFonts w:hint="default"/>
      </w:rPr>
    </w:lvl>
    <w:lvl w:ilvl="5">
      <w:start w:val="0"/>
      <w:numFmt w:val="bullet"/>
      <w:lvlText w:val="•"/>
      <w:lvlJc w:val="left"/>
      <w:pPr>
        <w:ind w:left="5751" w:hanging="681"/>
      </w:pPr>
      <w:rPr>
        <w:rFonts w:hint="default"/>
      </w:rPr>
    </w:lvl>
    <w:lvl w:ilvl="6">
      <w:start w:val="0"/>
      <w:numFmt w:val="bullet"/>
      <w:lvlText w:val="•"/>
      <w:lvlJc w:val="left"/>
      <w:pPr>
        <w:ind w:left="6854" w:hanging="681"/>
      </w:pPr>
      <w:rPr>
        <w:rFonts w:hint="default"/>
      </w:rPr>
    </w:lvl>
    <w:lvl w:ilvl="7">
      <w:start w:val="0"/>
      <w:numFmt w:val="bullet"/>
      <w:lvlText w:val="•"/>
      <w:lvlJc w:val="left"/>
      <w:pPr>
        <w:ind w:left="7957" w:hanging="681"/>
      </w:pPr>
      <w:rPr>
        <w:rFonts w:hint="default"/>
      </w:rPr>
    </w:lvl>
    <w:lvl w:ilvl="8">
      <w:start w:val="0"/>
      <w:numFmt w:val="bullet"/>
      <w:lvlText w:val="•"/>
      <w:lvlJc w:val="left"/>
      <w:pPr>
        <w:ind w:left="9059" w:hanging="681"/>
      </w:pPr>
      <w:rPr>
        <w:rFonts w:hint="default"/>
      </w:rPr>
    </w:lvl>
  </w:abstractNum>
  <w:abstractNum w:abstractNumId="226">
    <w:multiLevelType w:val="hybridMultilevel"/>
    <w:lvl w:ilvl="0">
      <w:start w:val="3"/>
      <w:numFmt w:val="lowerLetter"/>
      <w:lvlText w:val="%1)"/>
      <w:lvlJc w:val="left"/>
      <w:pPr>
        <w:ind w:left="80" w:hanging="681"/>
        <w:jc w:val="left"/>
      </w:pPr>
      <w:rPr>
        <w:rFonts w:hint="default" w:ascii="Stone Sans II ITC Std Bk" w:hAnsi="Stone Sans II ITC Std Bk" w:eastAsia="Stone Sans II ITC Std Bk" w:cs="Stone Sans II ITC Std Bk"/>
        <w:b/>
        <w:bCs/>
        <w:spacing w:val="-12"/>
        <w:w w:val="110"/>
        <w:sz w:val="20"/>
        <w:szCs w:val="20"/>
      </w:rPr>
    </w:lvl>
    <w:lvl w:ilvl="1">
      <w:start w:val="0"/>
      <w:numFmt w:val="bullet"/>
      <w:lvlText w:val="•"/>
      <w:lvlJc w:val="left"/>
      <w:pPr>
        <w:ind w:left="729" w:hanging="681"/>
      </w:pPr>
      <w:rPr>
        <w:rFonts w:hint="default"/>
      </w:rPr>
    </w:lvl>
    <w:lvl w:ilvl="2">
      <w:start w:val="0"/>
      <w:numFmt w:val="bullet"/>
      <w:lvlText w:val="•"/>
      <w:lvlJc w:val="left"/>
      <w:pPr>
        <w:ind w:left="1378" w:hanging="681"/>
      </w:pPr>
      <w:rPr>
        <w:rFonts w:hint="default"/>
      </w:rPr>
    </w:lvl>
    <w:lvl w:ilvl="3">
      <w:start w:val="0"/>
      <w:numFmt w:val="bullet"/>
      <w:lvlText w:val="•"/>
      <w:lvlJc w:val="left"/>
      <w:pPr>
        <w:ind w:left="2027" w:hanging="681"/>
      </w:pPr>
      <w:rPr>
        <w:rFonts w:hint="default"/>
      </w:rPr>
    </w:lvl>
    <w:lvl w:ilvl="4">
      <w:start w:val="0"/>
      <w:numFmt w:val="bullet"/>
      <w:lvlText w:val="•"/>
      <w:lvlJc w:val="left"/>
      <w:pPr>
        <w:ind w:left="2676" w:hanging="681"/>
      </w:pPr>
      <w:rPr>
        <w:rFonts w:hint="default"/>
      </w:rPr>
    </w:lvl>
    <w:lvl w:ilvl="5">
      <w:start w:val="0"/>
      <w:numFmt w:val="bullet"/>
      <w:lvlText w:val="•"/>
      <w:lvlJc w:val="left"/>
      <w:pPr>
        <w:ind w:left="3326" w:hanging="681"/>
      </w:pPr>
      <w:rPr>
        <w:rFonts w:hint="default"/>
      </w:rPr>
    </w:lvl>
    <w:lvl w:ilvl="6">
      <w:start w:val="0"/>
      <w:numFmt w:val="bullet"/>
      <w:lvlText w:val="•"/>
      <w:lvlJc w:val="left"/>
      <w:pPr>
        <w:ind w:left="3975" w:hanging="681"/>
      </w:pPr>
      <w:rPr>
        <w:rFonts w:hint="default"/>
      </w:rPr>
    </w:lvl>
    <w:lvl w:ilvl="7">
      <w:start w:val="0"/>
      <w:numFmt w:val="bullet"/>
      <w:lvlText w:val="•"/>
      <w:lvlJc w:val="left"/>
      <w:pPr>
        <w:ind w:left="4624" w:hanging="681"/>
      </w:pPr>
      <w:rPr>
        <w:rFonts w:hint="default"/>
      </w:rPr>
    </w:lvl>
    <w:lvl w:ilvl="8">
      <w:start w:val="0"/>
      <w:numFmt w:val="bullet"/>
      <w:lvlText w:val="•"/>
      <w:lvlJc w:val="left"/>
      <w:pPr>
        <w:ind w:left="5273" w:hanging="681"/>
      </w:pPr>
      <w:rPr>
        <w:rFonts w:hint="default"/>
      </w:rPr>
    </w:lvl>
  </w:abstractNum>
  <w:abstractNum w:abstractNumId="225">
    <w:multiLevelType w:val="hybridMultilevel"/>
    <w:lvl w:ilvl="0">
      <w:start w:val="1"/>
      <w:numFmt w:val="lowerRoman"/>
      <w:lvlText w:val="%1)"/>
      <w:lvlJc w:val="left"/>
      <w:pPr>
        <w:ind w:left="420" w:hanging="341"/>
        <w:jc w:val="left"/>
      </w:pPr>
      <w:rPr>
        <w:rFonts w:hint="default" w:ascii="Stone Sans II ITC Std Bk" w:hAnsi="Stone Sans II ITC Std Bk" w:eastAsia="Stone Sans II ITC Std Bk" w:cs="Stone Sans II ITC Std Bk"/>
        <w:b/>
        <w:bCs/>
        <w:spacing w:val="-4"/>
        <w:w w:val="110"/>
        <w:sz w:val="20"/>
        <w:szCs w:val="20"/>
      </w:rPr>
    </w:lvl>
    <w:lvl w:ilvl="1">
      <w:start w:val="0"/>
      <w:numFmt w:val="bullet"/>
      <w:lvlText w:val="•"/>
      <w:lvlJc w:val="left"/>
      <w:pPr>
        <w:ind w:left="1035" w:hanging="341"/>
      </w:pPr>
      <w:rPr>
        <w:rFonts w:hint="default"/>
      </w:rPr>
    </w:lvl>
    <w:lvl w:ilvl="2">
      <w:start w:val="0"/>
      <w:numFmt w:val="bullet"/>
      <w:lvlText w:val="•"/>
      <w:lvlJc w:val="left"/>
      <w:pPr>
        <w:ind w:left="1650" w:hanging="341"/>
      </w:pPr>
      <w:rPr>
        <w:rFonts w:hint="default"/>
      </w:rPr>
    </w:lvl>
    <w:lvl w:ilvl="3">
      <w:start w:val="0"/>
      <w:numFmt w:val="bullet"/>
      <w:lvlText w:val="•"/>
      <w:lvlJc w:val="left"/>
      <w:pPr>
        <w:ind w:left="2265" w:hanging="341"/>
      </w:pPr>
      <w:rPr>
        <w:rFonts w:hint="default"/>
      </w:rPr>
    </w:lvl>
    <w:lvl w:ilvl="4">
      <w:start w:val="0"/>
      <w:numFmt w:val="bullet"/>
      <w:lvlText w:val="•"/>
      <w:lvlJc w:val="left"/>
      <w:pPr>
        <w:ind w:left="2880" w:hanging="341"/>
      </w:pPr>
      <w:rPr>
        <w:rFonts w:hint="default"/>
      </w:rPr>
    </w:lvl>
    <w:lvl w:ilvl="5">
      <w:start w:val="0"/>
      <w:numFmt w:val="bullet"/>
      <w:lvlText w:val="•"/>
      <w:lvlJc w:val="left"/>
      <w:pPr>
        <w:ind w:left="3496" w:hanging="341"/>
      </w:pPr>
      <w:rPr>
        <w:rFonts w:hint="default"/>
      </w:rPr>
    </w:lvl>
    <w:lvl w:ilvl="6">
      <w:start w:val="0"/>
      <w:numFmt w:val="bullet"/>
      <w:lvlText w:val="•"/>
      <w:lvlJc w:val="left"/>
      <w:pPr>
        <w:ind w:left="4111" w:hanging="341"/>
      </w:pPr>
      <w:rPr>
        <w:rFonts w:hint="default"/>
      </w:rPr>
    </w:lvl>
    <w:lvl w:ilvl="7">
      <w:start w:val="0"/>
      <w:numFmt w:val="bullet"/>
      <w:lvlText w:val="•"/>
      <w:lvlJc w:val="left"/>
      <w:pPr>
        <w:ind w:left="4726" w:hanging="341"/>
      </w:pPr>
      <w:rPr>
        <w:rFonts w:hint="default"/>
      </w:rPr>
    </w:lvl>
    <w:lvl w:ilvl="8">
      <w:start w:val="0"/>
      <w:numFmt w:val="bullet"/>
      <w:lvlText w:val="•"/>
      <w:lvlJc w:val="left"/>
      <w:pPr>
        <w:ind w:left="5341" w:hanging="341"/>
      </w:pPr>
      <w:rPr>
        <w:rFonts w:hint="default"/>
      </w:rPr>
    </w:lvl>
  </w:abstractNum>
  <w:abstractNum w:abstractNumId="223">
    <w:multiLevelType w:val="hybridMultilevel"/>
    <w:lvl w:ilvl="0">
      <w:start w:val="0"/>
      <w:numFmt w:val="bullet"/>
      <w:lvlText w:val=""/>
      <w:lvlJc w:val="left"/>
      <w:pPr>
        <w:ind w:left="2024" w:hanging="681"/>
      </w:pPr>
      <w:rPr>
        <w:rFonts w:hint="default" w:ascii="Symbol" w:hAnsi="Symbol" w:eastAsia="Symbol" w:cs="Symbol"/>
        <w:w w:val="110"/>
        <w:position w:val="-3"/>
        <w:sz w:val="29"/>
        <w:szCs w:val="29"/>
      </w:rPr>
    </w:lvl>
    <w:lvl w:ilvl="1">
      <w:start w:val="0"/>
      <w:numFmt w:val="bullet"/>
      <w:lvlText w:val="•"/>
      <w:lvlJc w:val="left"/>
      <w:pPr>
        <w:ind w:left="2944" w:hanging="681"/>
      </w:pPr>
      <w:rPr>
        <w:rFonts w:hint="default"/>
      </w:rPr>
    </w:lvl>
    <w:lvl w:ilvl="2">
      <w:start w:val="0"/>
      <w:numFmt w:val="bullet"/>
      <w:lvlText w:val="•"/>
      <w:lvlJc w:val="left"/>
      <w:pPr>
        <w:ind w:left="3869" w:hanging="681"/>
      </w:pPr>
      <w:rPr>
        <w:rFonts w:hint="default"/>
      </w:rPr>
    </w:lvl>
    <w:lvl w:ilvl="3">
      <w:start w:val="0"/>
      <w:numFmt w:val="bullet"/>
      <w:lvlText w:val="•"/>
      <w:lvlJc w:val="left"/>
      <w:pPr>
        <w:ind w:left="4793" w:hanging="681"/>
      </w:pPr>
      <w:rPr>
        <w:rFonts w:hint="default"/>
      </w:rPr>
    </w:lvl>
    <w:lvl w:ilvl="4">
      <w:start w:val="0"/>
      <w:numFmt w:val="bullet"/>
      <w:lvlText w:val="•"/>
      <w:lvlJc w:val="left"/>
      <w:pPr>
        <w:ind w:left="5718" w:hanging="681"/>
      </w:pPr>
      <w:rPr>
        <w:rFonts w:hint="default"/>
      </w:rPr>
    </w:lvl>
    <w:lvl w:ilvl="5">
      <w:start w:val="0"/>
      <w:numFmt w:val="bullet"/>
      <w:lvlText w:val="•"/>
      <w:lvlJc w:val="left"/>
      <w:pPr>
        <w:ind w:left="6642" w:hanging="681"/>
      </w:pPr>
      <w:rPr>
        <w:rFonts w:hint="default"/>
      </w:rPr>
    </w:lvl>
    <w:lvl w:ilvl="6">
      <w:start w:val="0"/>
      <w:numFmt w:val="bullet"/>
      <w:lvlText w:val="•"/>
      <w:lvlJc w:val="left"/>
      <w:pPr>
        <w:ind w:left="7567" w:hanging="681"/>
      </w:pPr>
      <w:rPr>
        <w:rFonts w:hint="default"/>
      </w:rPr>
    </w:lvl>
    <w:lvl w:ilvl="7">
      <w:start w:val="0"/>
      <w:numFmt w:val="bullet"/>
      <w:lvlText w:val="•"/>
      <w:lvlJc w:val="left"/>
      <w:pPr>
        <w:ind w:left="8491" w:hanging="681"/>
      </w:pPr>
      <w:rPr>
        <w:rFonts w:hint="default"/>
      </w:rPr>
    </w:lvl>
    <w:lvl w:ilvl="8">
      <w:start w:val="0"/>
      <w:numFmt w:val="bullet"/>
      <w:lvlText w:val="•"/>
      <w:lvlJc w:val="left"/>
      <w:pPr>
        <w:ind w:left="9416" w:hanging="681"/>
      </w:pPr>
      <w:rPr>
        <w:rFonts w:hint="default"/>
      </w:rPr>
    </w:lvl>
  </w:abstractNum>
  <w:abstractNum w:abstractNumId="221">
    <w:multiLevelType w:val="hybridMultilevel"/>
    <w:lvl w:ilvl="0">
      <w:start w:val="1"/>
      <w:numFmt w:val="lowerLetter"/>
      <w:lvlText w:val="%1)"/>
      <w:lvlJc w:val="left"/>
      <w:pPr>
        <w:ind w:left="533" w:hanging="454"/>
        <w:jc w:val="left"/>
      </w:pPr>
      <w:rPr>
        <w:rFonts w:hint="default" w:ascii="Stone Sans II ITC Std Bk" w:hAnsi="Stone Sans II ITC Std Bk" w:eastAsia="Stone Sans II ITC Std Bk" w:cs="Stone Sans II ITC Std Bk"/>
        <w:b/>
        <w:bCs/>
        <w:spacing w:val="-13"/>
        <w:w w:val="110"/>
        <w:sz w:val="20"/>
        <w:szCs w:val="20"/>
      </w:rPr>
    </w:lvl>
    <w:lvl w:ilvl="1">
      <w:start w:val="0"/>
      <w:numFmt w:val="bullet"/>
      <w:lvlText w:val="•"/>
      <w:lvlJc w:val="left"/>
      <w:pPr>
        <w:ind w:left="1143" w:hanging="454"/>
      </w:pPr>
      <w:rPr>
        <w:rFonts w:hint="default"/>
      </w:rPr>
    </w:lvl>
    <w:lvl w:ilvl="2">
      <w:start w:val="0"/>
      <w:numFmt w:val="bullet"/>
      <w:lvlText w:val="•"/>
      <w:lvlJc w:val="left"/>
      <w:pPr>
        <w:ind w:left="1746" w:hanging="454"/>
      </w:pPr>
      <w:rPr>
        <w:rFonts w:hint="default"/>
      </w:rPr>
    </w:lvl>
    <w:lvl w:ilvl="3">
      <w:start w:val="0"/>
      <w:numFmt w:val="bullet"/>
      <w:lvlText w:val="•"/>
      <w:lvlJc w:val="left"/>
      <w:pPr>
        <w:ind w:left="2349" w:hanging="454"/>
      </w:pPr>
      <w:rPr>
        <w:rFonts w:hint="default"/>
      </w:rPr>
    </w:lvl>
    <w:lvl w:ilvl="4">
      <w:start w:val="0"/>
      <w:numFmt w:val="bullet"/>
      <w:lvlText w:val="•"/>
      <w:lvlJc w:val="left"/>
      <w:pPr>
        <w:ind w:left="2952" w:hanging="454"/>
      </w:pPr>
      <w:rPr>
        <w:rFonts w:hint="default"/>
      </w:rPr>
    </w:lvl>
    <w:lvl w:ilvl="5">
      <w:start w:val="0"/>
      <w:numFmt w:val="bullet"/>
      <w:lvlText w:val="•"/>
      <w:lvlJc w:val="left"/>
      <w:pPr>
        <w:ind w:left="3556" w:hanging="454"/>
      </w:pPr>
      <w:rPr>
        <w:rFonts w:hint="default"/>
      </w:rPr>
    </w:lvl>
    <w:lvl w:ilvl="6">
      <w:start w:val="0"/>
      <w:numFmt w:val="bullet"/>
      <w:lvlText w:val="•"/>
      <w:lvlJc w:val="left"/>
      <w:pPr>
        <w:ind w:left="4159" w:hanging="454"/>
      </w:pPr>
      <w:rPr>
        <w:rFonts w:hint="default"/>
      </w:rPr>
    </w:lvl>
    <w:lvl w:ilvl="7">
      <w:start w:val="0"/>
      <w:numFmt w:val="bullet"/>
      <w:lvlText w:val="•"/>
      <w:lvlJc w:val="left"/>
      <w:pPr>
        <w:ind w:left="4762" w:hanging="454"/>
      </w:pPr>
      <w:rPr>
        <w:rFonts w:hint="default"/>
      </w:rPr>
    </w:lvl>
    <w:lvl w:ilvl="8">
      <w:start w:val="0"/>
      <w:numFmt w:val="bullet"/>
      <w:lvlText w:val="•"/>
      <w:lvlJc w:val="left"/>
      <w:pPr>
        <w:ind w:left="5365" w:hanging="454"/>
      </w:pPr>
      <w:rPr>
        <w:rFonts w:hint="default"/>
      </w:rPr>
    </w:lvl>
  </w:abstractNum>
  <w:abstractNum w:abstractNumId="220">
    <w:multiLevelType w:val="hybridMultilevel"/>
    <w:lvl w:ilvl="0">
      <w:start w:val="0"/>
      <w:numFmt w:val="bullet"/>
      <w:lvlText w:val=""/>
      <w:lvlJc w:val="left"/>
      <w:pPr>
        <w:ind w:left="1287" w:hanging="681"/>
      </w:pPr>
      <w:rPr>
        <w:rFonts w:hint="default" w:ascii="Symbol" w:hAnsi="Symbol" w:eastAsia="Symbol" w:cs="Symbol"/>
        <w:w w:val="110"/>
        <w:position w:val="-3"/>
        <w:sz w:val="29"/>
        <w:szCs w:val="29"/>
      </w:rPr>
    </w:lvl>
    <w:lvl w:ilvl="1">
      <w:start w:val="0"/>
      <w:numFmt w:val="bullet"/>
      <w:lvlText w:val="•"/>
      <w:lvlJc w:val="left"/>
      <w:pPr>
        <w:ind w:left="2278" w:hanging="681"/>
      </w:pPr>
      <w:rPr>
        <w:rFonts w:hint="default"/>
      </w:rPr>
    </w:lvl>
    <w:lvl w:ilvl="2">
      <w:start w:val="0"/>
      <w:numFmt w:val="bullet"/>
      <w:lvlText w:val="•"/>
      <w:lvlJc w:val="left"/>
      <w:pPr>
        <w:ind w:left="3277" w:hanging="681"/>
      </w:pPr>
      <w:rPr>
        <w:rFonts w:hint="default"/>
      </w:rPr>
    </w:lvl>
    <w:lvl w:ilvl="3">
      <w:start w:val="0"/>
      <w:numFmt w:val="bullet"/>
      <w:lvlText w:val="•"/>
      <w:lvlJc w:val="left"/>
      <w:pPr>
        <w:ind w:left="4275" w:hanging="681"/>
      </w:pPr>
      <w:rPr>
        <w:rFonts w:hint="default"/>
      </w:rPr>
    </w:lvl>
    <w:lvl w:ilvl="4">
      <w:start w:val="0"/>
      <w:numFmt w:val="bullet"/>
      <w:lvlText w:val="•"/>
      <w:lvlJc w:val="left"/>
      <w:pPr>
        <w:ind w:left="5274" w:hanging="681"/>
      </w:pPr>
      <w:rPr>
        <w:rFonts w:hint="default"/>
      </w:rPr>
    </w:lvl>
    <w:lvl w:ilvl="5">
      <w:start w:val="0"/>
      <w:numFmt w:val="bullet"/>
      <w:lvlText w:val="•"/>
      <w:lvlJc w:val="left"/>
      <w:pPr>
        <w:ind w:left="6272" w:hanging="681"/>
      </w:pPr>
      <w:rPr>
        <w:rFonts w:hint="default"/>
      </w:rPr>
    </w:lvl>
    <w:lvl w:ilvl="6">
      <w:start w:val="0"/>
      <w:numFmt w:val="bullet"/>
      <w:lvlText w:val="•"/>
      <w:lvlJc w:val="left"/>
      <w:pPr>
        <w:ind w:left="7271" w:hanging="681"/>
      </w:pPr>
      <w:rPr>
        <w:rFonts w:hint="default"/>
      </w:rPr>
    </w:lvl>
    <w:lvl w:ilvl="7">
      <w:start w:val="0"/>
      <w:numFmt w:val="bullet"/>
      <w:lvlText w:val="•"/>
      <w:lvlJc w:val="left"/>
      <w:pPr>
        <w:ind w:left="8269" w:hanging="681"/>
      </w:pPr>
      <w:rPr>
        <w:rFonts w:hint="default"/>
      </w:rPr>
    </w:lvl>
    <w:lvl w:ilvl="8">
      <w:start w:val="0"/>
      <w:numFmt w:val="bullet"/>
      <w:lvlText w:val="•"/>
      <w:lvlJc w:val="left"/>
      <w:pPr>
        <w:ind w:left="9268" w:hanging="681"/>
      </w:pPr>
      <w:rPr>
        <w:rFonts w:hint="default"/>
      </w:rPr>
    </w:lvl>
  </w:abstractNum>
  <w:abstractNum w:abstractNumId="219">
    <w:multiLevelType w:val="hybridMultilevel"/>
    <w:lvl w:ilvl="0">
      <w:start w:val="1"/>
      <w:numFmt w:val="lowerLetter"/>
      <w:lvlText w:val="%1)"/>
      <w:lvlJc w:val="left"/>
      <w:pPr>
        <w:ind w:left="1287" w:hanging="681"/>
        <w:jc w:val="left"/>
      </w:pPr>
      <w:rPr>
        <w:rFonts w:hint="default" w:ascii="Calibri" w:hAnsi="Calibri" w:eastAsia="Calibri" w:cs="Calibri"/>
        <w:spacing w:val="-13"/>
        <w:w w:val="113"/>
        <w:sz w:val="20"/>
        <w:szCs w:val="20"/>
      </w:rPr>
    </w:lvl>
    <w:lvl w:ilvl="1">
      <w:start w:val="0"/>
      <w:numFmt w:val="bullet"/>
      <w:lvlText w:val="•"/>
      <w:lvlJc w:val="left"/>
      <w:pPr>
        <w:ind w:left="2278" w:hanging="681"/>
      </w:pPr>
      <w:rPr>
        <w:rFonts w:hint="default"/>
      </w:rPr>
    </w:lvl>
    <w:lvl w:ilvl="2">
      <w:start w:val="0"/>
      <w:numFmt w:val="bullet"/>
      <w:lvlText w:val="•"/>
      <w:lvlJc w:val="left"/>
      <w:pPr>
        <w:ind w:left="3277" w:hanging="681"/>
      </w:pPr>
      <w:rPr>
        <w:rFonts w:hint="default"/>
      </w:rPr>
    </w:lvl>
    <w:lvl w:ilvl="3">
      <w:start w:val="0"/>
      <w:numFmt w:val="bullet"/>
      <w:lvlText w:val="•"/>
      <w:lvlJc w:val="left"/>
      <w:pPr>
        <w:ind w:left="4275" w:hanging="681"/>
      </w:pPr>
      <w:rPr>
        <w:rFonts w:hint="default"/>
      </w:rPr>
    </w:lvl>
    <w:lvl w:ilvl="4">
      <w:start w:val="0"/>
      <w:numFmt w:val="bullet"/>
      <w:lvlText w:val="•"/>
      <w:lvlJc w:val="left"/>
      <w:pPr>
        <w:ind w:left="5274" w:hanging="681"/>
      </w:pPr>
      <w:rPr>
        <w:rFonts w:hint="default"/>
      </w:rPr>
    </w:lvl>
    <w:lvl w:ilvl="5">
      <w:start w:val="0"/>
      <w:numFmt w:val="bullet"/>
      <w:lvlText w:val="•"/>
      <w:lvlJc w:val="left"/>
      <w:pPr>
        <w:ind w:left="6272" w:hanging="681"/>
      </w:pPr>
      <w:rPr>
        <w:rFonts w:hint="default"/>
      </w:rPr>
    </w:lvl>
    <w:lvl w:ilvl="6">
      <w:start w:val="0"/>
      <w:numFmt w:val="bullet"/>
      <w:lvlText w:val="•"/>
      <w:lvlJc w:val="left"/>
      <w:pPr>
        <w:ind w:left="7271" w:hanging="681"/>
      </w:pPr>
      <w:rPr>
        <w:rFonts w:hint="default"/>
      </w:rPr>
    </w:lvl>
    <w:lvl w:ilvl="7">
      <w:start w:val="0"/>
      <w:numFmt w:val="bullet"/>
      <w:lvlText w:val="•"/>
      <w:lvlJc w:val="left"/>
      <w:pPr>
        <w:ind w:left="8269" w:hanging="681"/>
      </w:pPr>
      <w:rPr>
        <w:rFonts w:hint="default"/>
      </w:rPr>
    </w:lvl>
    <w:lvl w:ilvl="8">
      <w:start w:val="0"/>
      <w:numFmt w:val="bullet"/>
      <w:lvlText w:val="•"/>
      <w:lvlJc w:val="left"/>
      <w:pPr>
        <w:ind w:left="9268" w:hanging="681"/>
      </w:pPr>
      <w:rPr>
        <w:rFonts w:hint="default"/>
      </w:rPr>
    </w:lvl>
  </w:abstractNum>
  <w:abstractNum w:abstractNumId="218">
    <w:multiLevelType w:val="hybridMultilevel"/>
    <w:lvl w:ilvl="0">
      <w:start w:val="10"/>
      <w:numFmt w:val="decimal"/>
      <w:lvlText w:val="%1"/>
      <w:lvlJc w:val="left"/>
      <w:pPr>
        <w:ind w:left="1797" w:hanging="454"/>
        <w:jc w:val="right"/>
      </w:pPr>
      <w:rPr>
        <w:rFonts w:hint="default" w:ascii="Calibri" w:hAnsi="Calibri" w:eastAsia="Calibri" w:cs="Calibri"/>
        <w:spacing w:val="-9"/>
        <w:w w:val="123"/>
        <w:sz w:val="18"/>
        <w:szCs w:val="18"/>
      </w:rPr>
    </w:lvl>
    <w:lvl w:ilvl="1">
      <w:start w:val="0"/>
      <w:numFmt w:val="bullet"/>
      <w:lvlText w:val="•"/>
      <w:lvlJc w:val="left"/>
      <w:pPr>
        <w:ind w:left="2746" w:hanging="454"/>
      </w:pPr>
      <w:rPr>
        <w:rFonts w:hint="default"/>
      </w:rPr>
    </w:lvl>
    <w:lvl w:ilvl="2">
      <w:start w:val="0"/>
      <w:numFmt w:val="bullet"/>
      <w:lvlText w:val="•"/>
      <w:lvlJc w:val="left"/>
      <w:pPr>
        <w:ind w:left="3693" w:hanging="454"/>
      </w:pPr>
      <w:rPr>
        <w:rFonts w:hint="default"/>
      </w:rPr>
    </w:lvl>
    <w:lvl w:ilvl="3">
      <w:start w:val="0"/>
      <w:numFmt w:val="bullet"/>
      <w:lvlText w:val="•"/>
      <w:lvlJc w:val="left"/>
      <w:pPr>
        <w:ind w:left="4639" w:hanging="454"/>
      </w:pPr>
      <w:rPr>
        <w:rFonts w:hint="default"/>
      </w:rPr>
    </w:lvl>
    <w:lvl w:ilvl="4">
      <w:start w:val="0"/>
      <w:numFmt w:val="bullet"/>
      <w:lvlText w:val="•"/>
      <w:lvlJc w:val="left"/>
      <w:pPr>
        <w:ind w:left="5586" w:hanging="454"/>
      </w:pPr>
      <w:rPr>
        <w:rFonts w:hint="default"/>
      </w:rPr>
    </w:lvl>
    <w:lvl w:ilvl="5">
      <w:start w:val="0"/>
      <w:numFmt w:val="bullet"/>
      <w:lvlText w:val="•"/>
      <w:lvlJc w:val="left"/>
      <w:pPr>
        <w:ind w:left="6532" w:hanging="454"/>
      </w:pPr>
      <w:rPr>
        <w:rFonts w:hint="default"/>
      </w:rPr>
    </w:lvl>
    <w:lvl w:ilvl="6">
      <w:start w:val="0"/>
      <w:numFmt w:val="bullet"/>
      <w:lvlText w:val="•"/>
      <w:lvlJc w:val="left"/>
      <w:pPr>
        <w:ind w:left="7479" w:hanging="454"/>
      </w:pPr>
      <w:rPr>
        <w:rFonts w:hint="default"/>
      </w:rPr>
    </w:lvl>
    <w:lvl w:ilvl="7">
      <w:start w:val="0"/>
      <w:numFmt w:val="bullet"/>
      <w:lvlText w:val="•"/>
      <w:lvlJc w:val="left"/>
      <w:pPr>
        <w:ind w:left="8425" w:hanging="454"/>
      </w:pPr>
      <w:rPr>
        <w:rFonts w:hint="default"/>
      </w:rPr>
    </w:lvl>
    <w:lvl w:ilvl="8">
      <w:start w:val="0"/>
      <w:numFmt w:val="bullet"/>
      <w:lvlText w:val="•"/>
      <w:lvlJc w:val="left"/>
      <w:pPr>
        <w:ind w:left="9372" w:hanging="454"/>
      </w:pPr>
      <w:rPr>
        <w:rFonts w:hint="default"/>
      </w:rPr>
    </w:lvl>
  </w:abstractNum>
  <w:abstractNum w:abstractNumId="217">
    <w:multiLevelType w:val="hybridMultilevel"/>
    <w:lvl w:ilvl="0">
      <w:start w:val="1"/>
      <w:numFmt w:val="lowerLetter"/>
      <w:lvlText w:val="%1)"/>
      <w:lvlJc w:val="left"/>
      <w:pPr>
        <w:ind w:left="2024" w:hanging="681"/>
        <w:jc w:val="left"/>
      </w:pPr>
      <w:rPr>
        <w:rFonts w:hint="default" w:ascii="Calibri" w:hAnsi="Calibri" w:eastAsia="Calibri" w:cs="Calibri"/>
        <w:spacing w:val="-13"/>
        <w:w w:val="113"/>
        <w:sz w:val="20"/>
        <w:szCs w:val="20"/>
      </w:rPr>
    </w:lvl>
    <w:lvl w:ilvl="1">
      <w:start w:val="0"/>
      <w:numFmt w:val="bullet"/>
      <w:lvlText w:val="•"/>
      <w:lvlJc w:val="left"/>
      <w:pPr>
        <w:ind w:left="2944" w:hanging="681"/>
      </w:pPr>
      <w:rPr>
        <w:rFonts w:hint="default"/>
      </w:rPr>
    </w:lvl>
    <w:lvl w:ilvl="2">
      <w:start w:val="0"/>
      <w:numFmt w:val="bullet"/>
      <w:lvlText w:val="•"/>
      <w:lvlJc w:val="left"/>
      <w:pPr>
        <w:ind w:left="3869" w:hanging="681"/>
      </w:pPr>
      <w:rPr>
        <w:rFonts w:hint="default"/>
      </w:rPr>
    </w:lvl>
    <w:lvl w:ilvl="3">
      <w:start w:val="0"/>
      <w:numFmt w:val="bullet"/>
      <w:lvlText w:val="•"/>
      <w:lvlJc w:val="left"/>
      <w:pPr>
        <w:ind w:left="4793" w:hanging="681"/>
      </w:pPr>
      <w:rPr>
        <w:rFonts w:hint="default"/>
      </w:rPr>
    </w:lvl>
    <w:lvl w:ilvl="4">
      <w:start w:val="0"/>
      <w:numFmt w:val="bullet"/>
      <w:lvlText w:val="•"/>
      <w:lvlJc w:val="left"/>
      <w:pPr>
        <w:ind w:left="5718" w:hanging="681"/>
      </w:pPr>
      <w:rPr>
        <w:rFonts w:hint="default"/>
      </w:rPr>
    </w:lvl>
    <w:lvl w:ilvl="5">
      <w:start w:val="0"/>
      <w:numFmt w:val="bullet"/>
      <w:lvlText w:val="•"/>
      <w:lvlJc w:val="left"/>
      <w:pPr>
        <w:ind w:left="6642" w:hanging="681"/>
      </w:pPr>
      <w:rPr>
        <w:rFonts w:hint="default"/>
      </w:rPr>
    </w:lvl>
    <w:lvl w:ilvl="6">
      <w:start w:val="0"/>
      <w:numFmt w:val="bullet"/>
      <w:lvlText w:val="•"/>
      <w:lvlJc w:val="left"/>
      <w:pPr>
        <w:ind w:left="7567" w:hanging="681"/>
      </w:pPr>
      <w:rPr>
        <w:rFonts w:hint="default"/>
      </w:rPr>
    </w:lvl>
    <w:lvl w:ilvl="7">
      <w:start w:val="0"/>
      <w:numFmt w:val="bullet"/>
      <w:lvlText w:val="•"/>
      <w:lvlJc w:val="left"/>
      <w:pPr>
        <w:ind w:left="8491" w:hanging="681"/>
      </w:pPr>
      <w:rPr>
        <w:rFonts w:hint="default"/>
      </w:rPr>
    </w:lvl>
    <w:lvl w:ilvl="8">
      <w:start w:val="0"/>
      <w:numFmt w:val="bullet"/>
      <w:lvlText w:val="•"/>
      <w:lvlJc w:val="left"/>
      <w:pPr>
        <w:ind w:left="9416" w:hanging="681"/>
      </w:pPr>
      <w:rPr>
        <w:rFonts w:hint="default"/>
      </w:rPr>
    </w:lvl>
  </w:abstractNum>
  <w:abstractNum w:abstractNumId="216">
    <w:multiLevelType w:val="hybridMultilevel"/>
    <w:lvl w:ilvl="0">
      <w:start w:val="1"/>
      <w:numFmt w:val="lowerLetter"/>
      <w:lvlText w:val="%1)"/>
      <w:lvlJc w:val="left"/>
      <w:pPr>
        <w:ind w:left="2024" w:hanging="681"/>
        <w:jc w:val="left"/>
      </w:pPr>
      <w:rPr>
        <w:rFonts w:hint="default" w:ascii="Calibri" w:hAnsi="Calibri" w:eastAsia="Calibri" w:cs="Calibri"/>
        <w:spacing w:val="-13"/>
        <w:w w:val="113"/>
        <w:sz w:val="20"/>
        <w:szCs w:val="20"/>
      </w:rPr>
    </w:lvl>
    <w:lvl w:ilvl="1">
      <w:start w:val="0"/>
      <w:numFmt w:val="bullet"/>
      <w:lvlText w:val="•"/>
      <w:lvlJc w:val="left"/>
      <w:pPr>
        <w:ind w:left="2944" w:hanging="681"/>
      </w:pPr>
      <w:rPr>
        <w:rFonts w:hint="default"/>
      </w:rPr>
    </w:lvl>
    <w:lvl w:ilvl="2">
      <w:start w:val="0"/>
      <w:numFmt w:val="bullet"/>
      <w:lvlText w:val="•"/>
      <w:lvlJc w:val="left"/>
      <w:pPr>
        <w:ind w:left="3869" w:hanging="681"/>
      </w:pPr>
      <w:rPr>
        <w:rFonts w:hint="default"/>
      </w:rPr>
    </w:lvl>
    <w:lvl w:ilvl="3">
      <w:start w:val="0"/>
      <w:numFmt w:val="bullet"/>
      <w:lvlText w:val="•"/>
      <w:lvlJc w:val="left"/>
      <w:pPr>
        <w:ind w:left="4793" w:hanging="681"/>
      </w:pPr>
      <w:rPr>
        <w:rFonts w:hint="default"/>
      </w:rPr>
    </w:lvl>
    <w:lvl w:ilvl="4">
      <w:start w:val="0"/>
      <w:numFmt w:val="bullet"/>
      <w:lvlText w:val="•"/>
      <w:lvlJc w:val="left"/>
      <w:pPr>
        <w:ind w:left="5718" w:hanging="681"/>
      </w:pPr>
      <w:rPr>
        <w:rFonts w:hint="default"/>
      </w:rPr>
    </w:lvl>
    <w:lvl w:ilvl="5">
      <w:start w:val="0"/>
      <w:numFmt w:val="bullet"/>
      <w:lvlText w:val="•"/>
      <w:lvlJc w:val="left"/>
      <w:pPr>
        <w:ind w:left="6642" w:hanging="681"/>
      </w:pPr>
      <w:rPr>
        <w:rFonts w:hint="default"/>
      </w:rPr>
    </w:lvl>
    <w:lvl w:ilvl="6">
      <w:start w:val="0"/>
      <w:numFmt w:val="bullet"/>
      <w:lvlText w:val="•"/>
      <w:lvlJc w:val="left"/>
      <w:pPr>
        <w:ind w:left="7567" w:hanging="681"/>
      </w:pPr>
      <w:rPr>
        <w:rFonts w:hint="default"/>
      </w:rPr>
    </w:lvl>
    <w:lvl w:ilvl="7">
      <w:start w:val="0"/>
      <w:numFmt w:val="bullet"/>
      <w:lvlText w:val="•"/>
      <w:lvlJc w:val="left"/>
      <w:pPr>
        <w:ind w:left="8491" w:hanging="681"/>
      </w:pPr>
      <w:rPr>
        <w:rFonts w:hint="default"/>
      </w:rPr>
    </w:lvl>
    <w:lvl w:ilvl="8">
      <w:start w:val="0"/>
      <w:numFmt w:val="bullet"/>
      <w:lvlText w:val="•"/>
      <w:lvlJc w:val="left"/>
      <w:pPr>
        <w:ind w:left="9416" w:hanging="681"/>
      </w:pPr>
      <w:rPr>
        <w:rFonts w:hint="default"/>
      </w:rPr>
    </w:lvl>
  </w:abstractNum>
  <w:abstractNum w:abstractNumId="215">
    <w:multiLevelType w:val="hybridMultilevel"/>
    <w:lvl w:ilvl="0">
      <w:start w:val="6"/>
      <w:numFmt w:val="decimal"/>
      <w:lvlText w:val="%1"/>
      <w:lvlJc w:val="left"/>
      <w:pPr>
        <w:ind w:left="1060" w:hanging="454"/>
        <w:jc w:val="right"/>
      </w:pPr>
      <w:rPr>
        <w:rFonts w:hint="default"/>
        <w:w w:val="123"/>
      </w:rPr>
    </w:lvl>
    <w:lvl w:ilvl="1">
      <w:start w:val="0"/>
      <w:numFmt w:val="bullet"/>
      <w:lvlText w:val="•"/>
      <w:lvlJc w:val="left"/>
      <w:pPr>
        <w:ind w:left="2080" w:hanging="454"/>
      </w:pPr>
      <w:rPr>
        <w:rFonts w:hint="default"/>
      </w:rPr>
    </w:lvl>
    <w:lvl w:ilvl="2">
      <w:start w:val="0"/>
      <w:numFmt w:val="bullet"/>
      <w:lvlText w:val="•"/>
      <w:lvlJc w:val="left"/>
      <w:pPr>
        <w:ind w:left="3101" w:hanging="454"/>
      </w:pPr>
      <w:rPr>
        <w:rFonts w:hint="default"/>
      </w:rPr>
    </w:lvl>
    <w:lvl w:ilvl="3">
      <w:start w:val="0"/>
      <w:numFmt w:val="bullet"/>
      <w:lvlText w:val="•"/>
      <w:lvlJc w:val="left"/>
      <w:pPr>
        <w:ind w:left="4121" w:hanging="454"/>
      </w:pPr>
      <w:rPr>
        <w:rFonts w:hint="default"/>
      </w:rPr>
    </w:lvl>
    <w:lvl w:ilvl="4">
      <w:start w:val="0"/>
      <w:numFmt w:val="bullet"/>
      <w:lvlText w:val="•"/>
      <w:lvlJc w:val="left"/>
      <w:pPr>
        <w:ind w:left="5142" w:hanging="454"/>
      </w:pPr>
      <w:rPr>
        <w:rFonts w:hint="default"/>
      </w:rPr>
    </w:lvl>
    <w:lvl w:ilvl="5">
      <w:start w:val="0"/>
      <w:numFmt w:val="bullet"/>
      <w:lvlText w:val="•"/>
      <w:lvlJc w:val="left"/>
      <w:pPr>
        <w:ind w:left="6162" w:hanging="454"/>
      </w:pPr>
      <w:rPr>
        <w:rFonts w:hint="default"/>
      </w:rPr>
    </w:lvl>
    <w:lvl w:ilvl="6">
      <w:start w:val="0"/>
      <w:numFmt w:val="bullet"/>
      <w:lvlText w:val="•"/>
      <w:lvlJc w:val="left"/>
      <w:pPr>
        <w:ind w:left="7183" w:hanging="454"/>
      </w:pPr>
      <w:rPr>
        <w:rFonts w:hint="default"/>
      </w:rPr>
    </w:lvl>
    <w:lvl w:ilvl="7">
      <w:start w:val="0"/>
      <w:numFmt w:val="bullet"/>
      <w:lvlText w:val="•"/>
      <w:lvlJc w:val="left"/>
      <w:pPr>
        <w:ind w:left="8203" w:hanging="454"/>
      </w:pPr>
      <w:rPr>
        <w:rFonts w:hint="default"/>
      </w:rPr>
    </w:lvl>
    <w:lvl w:ilvl="8">
      <w:start w:val="0"/>
      <w:numFmt w:val="bullet"/>
      <w:lvlText w:val="•"/>
      <w:lvlJc w:val="left"/>
      <w:pPr>
        <w:ind w:left="9224" w:hanging="454"/>
      </w:pPr>
      <w:rPr>
        <w:rFonts w:hint="default"/>
      </w:rPr>
    </w:lvl>
  </w:abstractNum>
  <w:abstractNum w:abstractNumId="214">
    <w:multiLevelType w:val="hybridMultilevel"/>
    <w:lvl w:ilvl="0">
      <w:start w:val="5"/>
      <w:numFmt w:val="decimal"/>
      <w:lvlText w:val="%1"/>
      <w:lvlJc w:val="left"/>
      <w:pPr>
        <w:ind w:left="607" w:hanging="681"/>
        <w:jc w:val="left"/>
      </w:pPr>
      <w:rPr>
        <w:rFonts w:hint="default"/>
      </w:rPr>
    </w:lvl>
    <w:lvl w:ilvl="1">
      <w:start w:val="1"/>
      <w:numFmt w:val="decimal"/>
      <w:lvlText w:val="%1.%2"/>
      <w:lvlJc w:val="left"/>
      <w:pPr>
        <w:ind w:left="607" w:hanging="681"/>
        <w:jc w:val="right"/>
      </w:pPr>
      <w:rPr>
        <w:rFonts w:hint="default" w:ascii="Calibri" w:hAnsi="Calibri" w:eastAsia="Calibri" w:cs="Calibri"/>
        <w:spacing w:val="-18"/>
        <w:w w:val="125"/>
        <w:sz w:val="20"/>
        <w:szCs w:val="20"/>
      </w:rPr>
    </w:lvl>
    <w:lvl w:ilvl="2">
      <w:start w:val="0"/>
      <w:numFmt w:val="bullet"/>
      <w:lvlText w:val="•"/>
      <w:lvlJc w:val="left"/>
      <w:pPr>
        <w:ind w:left="2733" w:hanging="681"/>
      </w:pPr>
      <w:rPr>
        <w:rFonts w:hint="default"/>
      </w:rPr>
    </w:lvl>
    <w:lvl w:ilvl="3">
      <w:start w:val="0"/>
      <w:numFmt w:val="bullet"/>
      <w:lvlText w:val="•"/>
      <w:lvlJc w:val="left"/>
      <w:pPr>
        <w:ind w:left="3799" w:hanging="681"/>
      </w:pPr>
      <w:rPr>
        <w:rFonts w:hint="default"/>
      </w:rPr>
    </w:lvl>
    <w:lvl w:ilvl="4">
      <w:start w:val="0"/>
      <w:numFmt w:val="bullet"/>
      <w:lvlText w:val="•"/>
      <w:lvlJc w:val="left"/>
      <w:pPr>
        <w:ind w:left="4866" w:hanging="681"/>
      </w:pPr>
      <w:rPr>
        <w:rFonts w:hint="default"/>
      </w:rPr>
    </w:lvl>
    <w:lvl w:ilvl="5">
      <w:start w:val="0"/>
      <w:numFmt w:val="bullet"/>
      <w:lvlText w:val="•"/>
      <w:lvlJc w:val="left"/>
      <w:pPr>
        <w:ind w:left="5932" w:hanging="681"/>
      </w:pPr>
      <w:rPr>
        <w:rFonts w:hint="default"/>
      </w:rPr>
    </w:lvl>
    <w:lvl w:ilvl="6">
      <w:start w:val="0"/>
      <w:numFmt w:val="bullet"/>
      <w:lvlText w:val="•"/>
      <w:lvlJc w:val="left"/>
      <w:pPr>
        <w:ind w:left="6999" w:hanging="681"/>
      </w:pPr>
      <w:rPr>
        <w:rFonts w:hint="default"/>
      </w:rPr>
    </w:lvl>
    <w:lvl w:ilvl="7">
      <w:start w:val="0"/>
      <w:numFmt w:val="bullet"/>
      <w:lvlText w:val="•"/>
      <w:lvlJc w:val="left"/>
      <w:pPr>
        <w:ind w:left="8065" w:hanging="681"/>
      </w:pPr>
      <w:rPr>
        <w:rFonts w:hint="default"/>
      </w:rPr>
    </w:lvl>
    <w:lvl w:ilvl="8">
      <w:start w:val="0"/>
      <w:numFmt w:val="bullet"/>
      <w:lvlText w:val="•"/>
      <w:lvlJc w:val="left"/>
      <w:pPr>
        <w:ind w:left="9132" w:hanging="681"/>
      </w:pPr>
      <w:rPr>
        <w:rFonts w:hint="default"/>
      </w:rPr>
    </w:lvl>
  </w:abstractNum>
  <w:abstractNum w:abstractNumId="213">
    <w:multiLevelType w:val="hybridMultilevel"/>
    <w:lvl w:ilvl="0">
      <w:start w:val="4"/>
      <w:numFmt w:val="decimal"/>
      <w:lvlText w:val="%1"/>
      <w:lvlJc w:val="left"/>
      <w:pPr>
        <w:ind w:left="607" w:hanging="681"/>
        <w:jc w:val="left"/>
      </w:pPr>
      <w:rPr>
        <w:rFonts w:hint="default"/>
      </w:rPr>
    </w:lvl>
    <w:lvl w:ilvl="1">
      <w:start w:val="1"/>
      <w:numFmt w:val="decimal"/>
      <w:lvlText w:val="%1.%2"/>
      <w:lvlJc w:val="left"/>
      <w:pPr>
        <w:ind w:left="607" w:hanging="681"/>
        <w:jc w:val="left"/>
      </w:pPr>
      <w:rPr>
        <w:rFonts w:hint="default" w:ascii="Calibri" w:hAnsi="Calibri" w:eastAsia="Calibri" w:cs="Calibri"/>
        <w:spacing w:val="-18"/>
        <w:w w:val="125"/>
        <w:sz w:val="20"/>
        <w:szCs w:val="20"/>
      </w:rPr>
    </w:lvl>
    <w:lvl w:ilvl="2">
      <w:start w:val="0"/>
      <w:numFmt w:val="bullet"/>
      <w:lvlText w:val="•"/>
      <w:lvlJc w:val="left"/>
      <w:pPr>
        <w:ind w:left="2733" w:hanging="681"/>
      </w:pPr>
      <w:rPr>
        <w:rFonts w:hint="default"/>
      </w:rPr>
    </w:lvl>
    <w:lvl w:ilvl="3">
      <w:start w:val="0"/>
      <w:numFmt w:val="bullet"/>
      <w:lvlText w:val="•"/>
      <w:lvlJc w:val="left"/>
      <w:pPr>
        <w:ind w:left="3799" w:hanging="681"/>
      </w:pPr>
      <w:rPr>
        <w:rFonts w:hint="default"/>
      </w:rPr>
    </w:lvl>
    <w:lvl w:ilvl="4">
      <w:start w:val="0"/>
      <w:numFmt w:val="bullet"/>
      <w:lvlText w:val="•"/>
      <w:lvlJc w:val="left"/>
      <w:pPr>
        <w:ind w:left="4866" w:hanging="681"/>
      </w:pPr>
      <w:rPr>
        <w:rFonts w:hint="default"/>
      </w:rPr>
    </w:lvl>
    <w:lvl w:ilvl="5">
      <w:start w:val="0"/>
      <w:numFmt w:val="bullet"/>
      <w:lvlText w:val="•"/>
      <w:lvlJc w:val="left"/>
      <w:pPr>
        <w:ind w:left="5932" w:hanging="681"/>
      </w:pPr>
      <w:rPr>
        <w:rFonts w:hint="default"/>
      </w:rPr>
    </w:lvl>
    <w:lvl w:ilvl="6">
      <w:start w:val="0"/>
      <w:numFmt w:val="bullet"/>
      <w:lvlText w:val="•"/>
      <w:lvlJc w:val="left"/>
      <w:pPr>
        <w:ind w:left="6999" w:hanging="681"/>
      </w:pPr>
      <w:rPr>
        <w:rFonts w:hint="default"/>
      </w:rPr>
    </w:lvl>
    <w:lvl w:ilvl="7">
      <w:start w:val="0"/>
      <w:numFmt w:val="bullet"/>
      <w:lvlText w:val="•"/>
      <w:lvlJc w:val="left"/>
      <w:pPr>
        <w:ind w:left="8065" w:hanging="681"/>
      </w:pPr>
      <w:rPr>
        <w:rFonts w:hint="default"/>
      </w:rPr>
    </w:lvl>
    <w:lvl w:ilvl="8">
      <w:start w:val="0"/>
      <w:numFmt w:val="bullet"/>
      <w:lvlText w:val="•"/>
      <w:lvlJc w:val="left"/>
      <w:pPr>
        <w:ind w:left="9132" w:hanging="681"/>
      </w:pPr>
      <w:rPr>
        <w:rFonts w:hint="default"/>
      </w:rPr>
    </w:lvl>
  </w:abstractNum>
  <w:abstractNum w:abstractNumId="212">
    <w:multiLevelType w:val="hybridMultilevel"/>
    <w:lvl w:ilvl="0">
      <w:start w:val="3"/>
      <w:numFmt w:val="decimal"/>
      <w:lvlText w:val="%1"/>
      <w:lvlJc w:val="left"/>
      <w:pPr>
        <w:ind w:left="607" w:hanging="681"/>
        <w:jc w:val="left"/>
      </w:pPr>
      <w:rPr>
        <w:rFonts w:hint="default"/>
      </w:rPr>
    </w:lvl>
    <w:lvl w:ilvl="1">
      <w:start w:val="1"/>
      <w:numFmt w:val="decimal"/>
      <w:lvlText w:val="%1.%2"/>
      <w:lvlJc w:val="left"/>
      <w:pPr>
        <w:ind w:left="607" w:hanging="681"/>
        <w:jc w:val="left"/>
      </w:pPr>
      <w:rPr>
        <w:rFonts w:hint="default" w:ascii="Calibri" w:hAnsi="Calibri" w:eastAsia="Calibri" w:cs="Calibri"/>
        <w:spacing w:val="-18"/>
        <w:w w:val="125"/>
        <w:sz w:val="20"/>
        <w:szCs w:val="20"/>
      </w:rPr>
    </w:lvl>
    <w:lvl w:ilvl="2">
      <w:start w:val="0"/>
      <w:numFmt w:val="bullet"/>
      <w:lvlText w:val="•"/>
      <w:lvlJc w:val="left"/>
      <w:pPr>
        <w:ind w:left="2733" w:hanging="681"/>
      </w:pPr>
      <w:rPr>
        <w:rFonts w:hint="default"/>
      </w:rPr>
    </w:lvl>
    <w:lvl w:ilvl="3">
      <w:start w:val="0"/>
      <w:numFmt w:val="bullet"/>
      <w:lvlText w:val="•"/>
      <w:lvlJc w:val="left"/>
      <w:pPr>
        <w:ind w:left="3799" w:hanging="681"/>
      </w:pPr>
      <w:rPr>
        <w:rFonts w:hint="default"/>
      </w:rPr>
    </w:lvl>
    <w:lvl w:ilvl="4">
      <w:start w:val="0"/>
      <w:numFmt w:val="bullet"/>
      <w:lvlText w:val="•"/>
      <w:lvlJc w:val="left"/>
      <w:pPr>
        <w:ind w:left="4866" w:hanging="681"/>
      </w:pPr>
      <w:rPr>
        <w:rFonts w:hint="default"/>
      </w:rPr>
    </w:lvl>
    <w:lvl w:ilvl="5">
      <w:start w:val="0"/>
      <w:numFmt w:val="bullet"/>
      <w:lvlText w:val="•"/>
      <w:lvlJc w:val="left"/>
      <w:pPr>
        <w:ind w:left="5932" w:hanging="681"/>
      </w:pPr>
      <w:rPr>
        <w:rFonts w:hint="default"/>
      </w:rPr>
    </w:lvl>
    <w:lvl w:ilvl="6">
      <w:start w:val="0"/>
      <w:numFmt w:val="bullet"/>
      <w:lvlText w:val="•"/>
      <w:lvlJc w:val="left"/>
      <w:pPr>
        <w:ind w:left="6999" w:hanging="681"/>
      </w:pPr>
      <w:rPr>
        <w:rFonts w:hint="default"/>
      </w:rPr>
    </w:lvl>
    <w:lvl w:ilvl="7">
      <w:start w:val="0"/>
      <w:numFmt w:val="bullet"/>
      <w:lvlText w:val="•"/>
      <w:lvlJc w:val="left"/>
      <w:pPr>
        <w:ind w:left="8065" w:hanging="681"/>
      </w:pPr>
      <w:rPr>
        <w:rFonts w:hint="default"/>
      </w:rPr>
    </w:lvl>
    <w:lvl w:ilvl="8">
      <w:start w:val="0"/>
      <w:numFmt w:val="bullet"/>
      <w:lvlText w:val="•"/>
      <w:lvlJc w:val="left"/>
      <w:pPr>
        <w:ind w:left="9132" w:hanging="681"/>
      </w:pPr>
      <w:rPr>
        <w:rFonts w:hint="default"/>
      </w:rPr>
    </w:lvl>
  </w:abstractNum>
  <w:abstractNum w:abstractNumId="211">
    <w:multiLevelType w:val="hybridMultilevel"/>
    <w:lvl w:ilvl="0">
      <w:start w:val="2"/>
      <w:numFmt w:val="decimal"/>
      <w:lvlText w:val="%1"/>
      <w:lvlJc w:val="left"/>
      <w:pPr>
        <w:ind w:left="1344" w:hanging="681"/>
        <w:jc w:val="left"/>
      </w:pPr>
      <w:rPr>
        <w:rFonts w:hint="default"/>
      </w:rPr>
    </w:lvl>
    <w:lvl w:ilvl="1">
      <w:start w:val="1"/>
      <w:numFmt w:val="decimal"/>
      <w:lvlText w:val="%1.%2"/>
      <w:lvlJc w:val="left"/>
      <w:pPr>
        <w:ind w:left="1344" w:hanging="681"/>
        <w:jc w:val="left"/>
      </w:pPr>
      <w:rPr>
        <w:rFonts w:hint="default" w:ascii="Calibri" w:hAnsi="Calibri" w:eastAsia="Calibri" w:cs="Calibri"/>
        <w:spacing w:val="-18"/>
        <w:w w:val="125"/>
        <w:sz w:val="20"/>
        <w:szCs w:val="20"/>
      </w:rPr>
    </w:lvl>
    <w:lvl w:ilvl="2">
      <w:start w:val="0"/>
      <w:numFmt w:val="bullet"/>
      <w:lvlText w:val="•"/>
      <w:lvlJc w:val="left"/>
      <w:pPr>
        <w:ind w:left="3325" w:hanging="681"/>
      </w:pPr>
      <w:rPr>
        <w:rFonts w:hint="default"/>
      </w:rPr>
    </w:lvl>
    <w:lvl w:ilvl="3">
      <w:start w:val="0"/>
      <w:numFmt w:val="bullet"/>
      <w:lvlText w:val="•"/>
      <w:lvlJc w:val="left"/>
      <w:pPr>
        <w:ind w:left="4317" w:hanging="681"/>
      </w:pPr>
      <w:rPr>
        <w:rFonts w:hint="default"/>
      </w:rPr>
    </w:lvl>
    <w:lvl w:ilvl="4">
      <w:start w:val="0"/>
      <w:numFmt w:val="bullet"/>
      <w:lvlText w:val="•"/>
      <w:lvlJc w:val="left"/>
      <w:pPr>
        <w:ind w:left="5310" w:hanging="681"/>
      </w:pPr>
      <w:rPr>
        <w:rFonts w:hint="default"/>
      </w:rPr>
    </w:lvl>
    <w:lvl w:ilvl="5">
      <w:start w:val="0"/>
      <w:numFmt w:val="bullet"/>
      <w:lvlText w:val="•"/>
      <w:lvlJc w:val="left"/>
      <w:pPr>
        <w:ind w:left="6302" w:hanging="681"/>
      </w:pPr>
      <w:rPr>
        <w:rFonts w:hint="default"/>
      </w:rPr>
    </w:lvl>
    <w:lvl w:ilvl="6">
      <w:start w:val="0"/>
      <w:numFmt w:val="bullet"/>
      <w:lvlText w:val="•"/>
      <w:lvlJc w:val="left"/>
      <w:pPr>
        <w:ind w:left="7295" w:hanging="681"/>
      </w:pPr>
      <w:rPr>
        <w:rFonts w:hint="default"/>
      </w:rPr>
    </w:lvl>
    <w:lvl w:ilvl="7">
      <w:start w:val="0"/>
      <w:numFmt w:val="bullet"/>
      <w:lvlText w:val="•"/>
      <w:lvlJc w:val="left"/>
      <w:pPr>
        <w:ind w:left="8287" w:hanging="681"/>
      </w:pPr>
      <w:rPr>
        <w:rFonts w:hint="default"/>
      </w:rPr>
    </w:lvl>
    <w:lvl w:ilvl="8">
      <w:start w:val="0"/>
      <w:numFmt w:val="bullet"/>
      <w:lvlText w:val="•"/>
      <w:lvlJc w:val="left"/>
      <w:pPr>
        <w:ind w:left="9280" w:hanging="681"/>
      </w:pPr>
      <w:rPr>
        <w:rFonts w:hint="default"/>
      </w:rPr>
    </w:lvl>
  </w:abstractNum>
  <w:abstractNum w:abstractNumId="210">
    <w:multiLevelType w:val="hybridMultilevel"/>
    <w:lvl w:ilvl="0">
      <w:start w:val="1"/>
      <w:numFmt w:val="decimal"/>
      <w:lvlText w:val="%1"/>
      <w:lvlJc w:val="left"/>
      <w:pPr>
        <w:ind w:left="1344" w:hanging="681"/>
        <w:jc w:val="left"/>
      </w:pPr>
      <w:rPr>
        <w:rFonts w:hint="default"/>
      </w:rPr>
    </w:lvl>
    <w:lvl w:ilvl="1">
      <w:start w:val="1"/>
      <w:numFmt w:val="decimal"/>
      <w:lvlText w:val="%1.%2"/>
      <w:lvlJc w:val="left"/>
      <w:pPr>
        <w:ind w:left="1344" w:hanging="681"/>
        <w:jc w:val="left"/>
      </w:pPr>
      <w:rPr>
        <w:rFonts w:hint="default" w:ascii="Calibri" w:hAnsi="Calibri" w:eastAsia="Calibri" w:cs="Calibri"/>
        <w:spacing w:val="-18"/>
        <w:w w:val="125"/>
        <w:sz w:val="20"/>
        <w:szCs w:val="20"/>
      </w:rPr>
    </w:lvl>
    <w:lvl w:ilvl="2">
      <w:start w:val="0"/>
      <w:numFmt w:val="bullet"/>
      <w:lvlText w:val="•"/>
      <w:lvlJc w:val="left"/>
      <w:pPr>
        <w:ind w:left="3325" w:hanging="681"/>
      </w:pPr>
      <w:rPr>
        <w:rFonts w:hint="default"/>
      </w:rPr>
    </w:lvl>
    <w:lvl w:ilvl="3">
      <w:start w:val="0"/>
      <w:numFmt w:val="bullet"/>
      <w:lvlText w:val="•"/>
      <w:lvlJc w:val="left"/>
      <w:pPr>
        <w:ind w:left="4317" w:hanging="681"/>
      </w:pPr>
      <w:rPr>
        <w:rFonts w:hint="default"/>
      </w:rPr>
    </w:lvl>
    <w:lvl w:ilvl="4">
      <w:start w:val="0"/>
      <w:numFmt w:val="bullet"/>
      <w:lvlText w:val="•"/>
      <w:lvlJc w:val="left"/>
      <w:pPr>
        <w:ind w:left="5310" w:hanging="681"/>
      </w:pPr>
      <w:rPr>
        <w:rFonts w:hint="default"/>
      </w:rPr>
    </w:lvl>
    <w:lvl w:ilvl="5">
      <w:start w:val="0"/>
      <w:numFmt w:val="bullet"/>
      <w:lvlText w:val="•"/>
      <w:lvlJc w:val="left"/>
      <w:pPr>
        <w:ind w:left="6302" w:hanging="681"/>
      </w:pPr>
      <w:rPr>
        <w:rFonts w:hint="default"/>
      </w:rPr>
    </w:lvl>
    <w:lvl w:ilvl="6">
      <w:start w:val="0"/>
      <w:numFmt w:val="bullet"/>
      <w:lvlText w:val="•"/>
      <w:lvlJc w:val="left"/>
      <w:pPr>
        <w:ind w:left="7295" w:hanging="681"/>
      </w:pPr>
      <w:rPr>
        <w:rFonts w:hint="default"/>
      </w:rPr>
    </w:lvl>
    <w:lvl w:ilvl="7">
      <w:start w:val="0"/>
      <w:numFmt w:val="bullet"/>
      <w:lvlText w:val="•"/>
      <w:lvlJc w:val="left"/>
      <w:pPr>
        <w:ind w:left="8287" w:hanging="681"/>
      </w:pPr>
      <w:rPr>
        <w:rFonts w:hint="default"/>
      </w:rPr>
    </w:lvl>
    <w:lvl w:ilvl="8">
      <w:start w:val="0"/>
      <w:numFmt w:val="bullet"/>
      <w:lvlText w:val="•"/>
      <w:lvlJc w:val="left"/>
      <w:pPr>
        <w:ind w:left="9280" w:hanging="681"/>
      </w:pPr>
      <w:rPr>
        <w:rFonts w:hint="default"/>
      </w:rPr>
    </w:lvl>
  </w:abstractNum>
  <w:abstractNum w:abstractNumId="209">
    <w:multiLevelType w:val="hybridMultilevel"/>
    <w:lvl w:ilvl="0">
      <w:start w:val="1"/>
      <w:numFmt w:val="lowerLetter"/>
      <w:lvlText w:val="%1)"/>
      <w:lvlJc w:val="left"/>
      <w:pPr>
        <w:ind w:left="420" w:hanging="341"/>
        <w:jc w:val="left"/>
      </w:pPr>
      <w:rPr>
        <w:rFonts w:hint="default" w:ascii="Stone Sans II ITC Std Bk" w:hAnsi="Stone Sans II ITC Std Bk" w:eastAsia="Stone Sans II ITC Std Bk" w:cs="Stone Sans II ITC Std Bk"/>
        <w:b/>
        <w:bCs/>
        <w:spacing w:val="-13"/>
        <w:w w:val="110"/>
        <w:sz w:val="20"/>
        <w:szCs w:val="20"/>
      </w:rPr>
    </w:lvl>
    <w:lvl w:ilvl="1">
      <w:start w:val="0"/>
      <w:numFmt w:val="bullet"/>
      <w:lvlText w:val="•"/>
      <w:lvlJc w:val="left"/>
      <w:pPr>
        <w:ind w:left="1035" w:hanging="341"/>
      </w:pPr>
      <w:rPr>
        <w:rFonts w:hint="default"/>
      </w:rPr>
    </w:lvl>
    <w:lvl w:ilvl="2">
      <w:start w:val="0"/>
      <w:numFmt w:val="bullet"/>
      <w:lvlText w:val="•"/>
      <w:lvlJc w:val="left"/>
      <w:pPr>
        <w:ind w:left="1650" w:hanging="341"/>
      </w:pPr>
      <w:rPr>
        <w:rFonts w:hint="default"/>
      </w:rPr>
    </w:lvl>
    <w:lvl w:ilvl="3">
      <w:start w:val="0"/>
      <w:numFmt w:val="bullet"/>
      <w:lvlText w:val="•"/>
      <w:lvlJc w:val="left"/>
      <w:pPr>
        <w:ind w:left="2265" w:hanging="341"/>
      </w:pPr>
      <w:rPr>
        <w:rFonts w:hint="default"/>
      </w:rPr>
    </w:lvl>
    <w:lvl w:ilvl="4">
      <w:start w:val="0"/>
      <w:numFmt w:val="bullet"/>
      <w:lvlText w:val="•"/>
      <w:lvlJc w:val="left"/>
      <w:pPr>
        <w:ind w:left="2880" w:hanging="341"/>
      </w:pPr>
      <w:rPr>
        <w:rFonts w:hint="default"/>
      </w:rPr>
    </w:lvl>
    <w:lvl w:ilvl="5">
      <w:start w:val="0"/>
      <w:numFmt w:val="bullet"/>
      <w:lvlText w:val="•"/>
      <w:lvlJc w:val="left"/>
      <w:pPr>
        <w:ind w:left="3496" w:hanging="341"/>
      </w:pPr>
      <w:rPr>
        <w:rFonts w:hint="default"/>
      </w:rPr>
    </w:lvl>
    <w:lvl w:ilvl="6">
      <w:start w:val="0"/>
      <w:numFmt w:val="bullet"/>
      <w:lvlText w:val="•"/>
      <w:lvlJc w:val="left"/>
      <w:pPr>
        <w:ind w:left="4111" w:hanging="341"/>
      </w:pPr>
      <w:rPr>
        <w:rFonts w:hint="default"/>
      </w:rPr>
    </w:lvl>
    <w:lvl w:ilvl="7">
      <w:start w:val="0"/>
      <w:numFmt w:val="bullet"/>
      <w:lvlText w:val="•"/>
      <w:lvlJc w:val="left"/>
      <w:pPr>
        <w:ind w:left="4726" w:hanging="341"/>
      </w:pPr>
      <w:rPr>
        <w:rFonts w:hint="default"/>
      </w:rPr>
    </w:lvl>
    <w:lvl w:ilvl="8">
      <w:start w:val="0"/>
      <w:numFmt w:val="bullet"/>
      <w:lvlText w:val="•"/>
      <w:lvlJc w:val="left"/>
      <w:pPr>
        <w:ind w:left="5341" w:hanging="341"/>
      </w:pPr>
      <w:rPr>
        <w:rFonts w:hint="default"/>
      </w:rPr>
    </w:lvl>
  </w:abstractNum>
  <w:abstractNum w:abstractNumId="208">
    <w:multiLevelType w:val="hybridMultilevel"/>
    <w:lvl w:ilvl="0">
      <w:start w:val="31"/>
      <w:numFmt w:val="decimal"/>
      <w:lvlText w:val="%1."/>
      <w:lvlJc w:val="left"/>
      <w:pPr>
        <w:ind w:left="80" w:hanging="681"/>
        <w:jc w:val="left"/>
      </w:pPr>
      <w:rPr>
        <w:rFonts w:hint="default" w:ascii="Stone Sans II ITC Std Bk" w:hAnsi="Stone Sans II ITC Std Bk" w:eastAsia="Stone Sans II ITC Std Bk" w:cs="Stone Sans II ITC Std Bk"/>
        <w:b/>
        <w:bCs/>
        <w:spacing w:val="-14"/>
        <w:w w:val="110"/>
        <w:sz w:val="20"/>
        <w:szCs w:val="20"/>
      </w:rPr>
    </w:lvl>
    <w:lvl w:ilvl="1">
      <w:start w:val="0"/>
      <w:numFmt w:val="bullet"/>
      <w:lvlText w:val="•"/>
      <w:lvlJc w:val="left"/>
      <w:pPr>
        <w:ind w:left="729" w:hanging="681"/>
      </w:pPr>
      <w:rPr>
        <w:rFonts w:hint="default"/>
      </w:rPr>
    </w:lvl>
    <w:lvl w:ilvl="2">
      <w:start w:val="0"/>
      <w:numFmt w:val="bullet"/>
      <w:lvlText w:val="•"/>
      <w:lvlJc w:val="left"/>
      <w:pPr>
        <w:ind w:left="1378" w:hanging="681"/>
      </w:pPr>
      <w:rPr>
        <w:rFonts w:hint="default"/>
      </w:rPr>
    </w:lvl>
    <w:lvl w:ilvl="3">
      <w:start w:val="0"/>
      <w:numFmt w:val="bullet"/>
      <w:lvlText w:val="•"/>
      <w:lvlJc w:val="left"/>
      <w:pPr>
        <w:ind w:left="2027" w:hanging="681"/>
      </w:pPr>
      <w:rPr>
        <w:rFonts w:hint="default"/>
      </w:rPr>
    </w:lvl>
    <w:lvl w:ilvl="4">
      <w:start w:val="0"/>
      <w:numFmt w:val="bullet"/>
      <w:lvlText w:val="•"/>
      <w:lvlJc w:val="left"/>
      <w:pPr>
        <w:ind w:left="2676" w:hanging="681"/>
      </w:pPr>
      <w:rPr>
        <w:rFonts w:hint="default"/>
      </w:rPr>
    </w:lvl>
    <w:lvl w:ilvl="5">
      <w:start w:val="0"/>
      <w:numFmt w:val="bullet"/>
      <w:lvlText w:val="•"/>
      <w:lvlJc w:val="left"/>
      <w:pPr>
        <w:ind w:left="3326" w:hanging="681"/>
      </w:pPr>
      <w:rPr>
        <w:rFonts w:hint="default"/>
      </w:rPr>
    </w:lvl>
    <w:lvl w:ilvl="6">
      <w:start w:val="0"/>
      <w:numFmt w:val="bullet"/>
      <w:lvlText w:val="•"/>
      <w:lvlJc w:val="left"/>
      <w:pPr>
        <w:ind w:left="3975" w:hanging="681"/>
      </w:pPr>
      <w:rPr>
        <w:rFonts w:hint="default"/>
      </w:rPr>
    </w:lvl>
    <w:lvl w:ilvl="7">
      <w:start w:val="0"/>
      <w:numFmt w:val="bullet"/>
      <w:lvlText w:val="•"/>
      <w:lvlJc w:val="left"/>
      <w:pPr>
        <w:ind w:left="4624" w:hanging="681"/>
      </w:pPr>
      <w:rPr>
        <w:rFonts w:hint="default"/>
      </w:rPr>
    </w:lvl>
    <w:lvl w:ilvl="8">
      <w:start w:val="0"/>
      <w:numFmt w:val="bullet"/>
      <w:lvlText w:val="•"/>
      <w:lvlJc w:val="left"/>
      <w:pPr>
        <w:ind w:left="5273" w:hanging="681"/>
      </w:pPr>
      <w:rPr>
        <w:rFonts w:hint="default"/>
      </w:rPr>
    </w:lvl>
  </w:abstractNum>
  <w:abstractNum w:abstractNumId="207">
    <w:multiLevelType w:val="hybridMultilevel"/>
    <w:lvl w:ilvl="0">
      <w:start w:val="8"/>
      <w:numFmt w:val="decimal"/>
      <w:lvlText w:val="%1"/>
      <w:lvlJc w:val="left"/>
      <w:pPr>
        <w:ind w:left="1344" w:hanging="681"/>
        <w:jc w:val="left"/>
      </w:pPr>
      <w:rPr>
        <w:rFonts w:hint="default"/>
      </w:rPr>
    </w:lvl>
    <w:lvl w:ilvl="1">
      <w:start w:val="1"/>
      <w:numFmt w:val="decimal"/>
      <w:lvlText w:val="%1.%2"/>
      <w:lvlJc w:val="left"/>
      <w:pPr>
        <w:ind w:left="1344" w:hanging="681"/>
        <w:jc w:val="right"/>
      </w:pPr>
      <w:rPr>
        <w:rFonts w:hint="default" w:ascii="Calibri" w:hAnsi="Calibri" w:eastAsia="Calibri" w:cs="Calibri"/>
        <w:spacing w:val="-18"/>
        <w:w w:val="125"/>
        <w:sz w:val="20"/>
        <w:szCs w:val="20"/>
      </w:rPr>
    </w:lvl>
    <w:lvl w:ilvl="2">
      <w:start w:val="0"/>
      <w:numFmt w:val="bullet"/>
      <w:lvlText w:val="•"/>
      <w:lvlJc w:val="left"/>
      <w:pPr>
        <w:ind w:left="3325" w:hanging="681"/>
      </w:pPr>
      <w:rPr>
        <w:rFonts w:hint="default"/>
      </w:rPr>
    </w:lvl>
    <w:lvl w:ilvl="3">
      <w:start w:val="0"/>
      <w:numFmt w:val="bullet"/>
      <w:lvlText w:val="•"/>
      <w:lvlJc w:val="left"/>
      <w:pPr>
        <w:ind w:left="4317" w:hanging="681"/>
      </w:pPr>
      <w:rPr>
        <w:rFonts w:hint="default"/>
      </w:rPr>
    </w:lvl>
    <w:lvl w:ilvl="4">
      <w:start w:val="0"/>
      <w:numFmt w:val="bullet"/>
      <w:lvlText w:val="•"/>
      <w:lvlJc w:val="left"/>
      <w:pPr>
        <w:ind w:left="5310" w:hanging="681"/>
      </w:pPr>
      <w:rPr>
        <w:rFonts w:hint="default"/>
      </w:rPr>
    </w:lvl>
    <w:lvl w:ilvl="5">
      <w:start w:val="0"/>
      <w:numFmt w:val="bullet"/>
      <w:lvlText w:val="•"/>
      <w:lvlJc w:val="left"/>
      <w:pPr>
        <w:ind w:left="6302" w:hanging="681"/>
      </w:pPr>
      <w:rPr>
        <w:rFonts w:hint="default"/>
      </w:rPr>
    </w:lvl>
    <w:lvl w:ilvl="6">
      <w:start w:val="0"/>
      <w:numFmt w:val="bullet"/>
      <w:lvlText w:val="•"/>
      <w:lvlJc w:val="left"/>
      <w:pPr>
        <w:ind w:left="7295" w:hanging="681"/>
      </w:pPr>
      <w:rPr>
        <w:rFonts w:hint="default"/>
      </w:rPr>
    </w:lvl>
    <w:lvl w:ilvl="7">
      <w:start w:val="0"/>
      <w:numFmt w:val="bullet"/>
      <w:lvlText w:val="•"/>
      <w:lvlJc w:val="left"/>
      <w:pPr>
        <w:ind w:left="8287" w:hanging="681"/>
      </w:pPr>
      <w:rPr>
        <w:rFonts w:hint="default"/>
      </w:rPr>
    </w:lvl>
    <w:lvl w:ilvl="8">
      <w:start w:val="0"/>
      <w:numFmt w:val="bullet"/>
      <w:lvlText w:val="•"/>
      <w:lvlJc w:val="left"/>
      <w:pPr>
        <w:ind w:left="9280" w:hanging="681"/>
      </w:pPr>
      <w:rPr>
        <w:rFonts w:hint="default"/>
      </w:rPr>
    </w:lvl>
  </w:abstractNum>
  <w:abstractNum w:abstractNumId="206">
    <w:multiLevelType w:val="hybridMultilevel"/>
    <w:lvl w:ilvl="0">
      <w:start w:val="7"/>
      <w:numFmt w:val="decimal"/>
      <w:lvlText w:val="%1"/>
      <w:lvlJc w:val="left"/>
      <w:pPr>
        <w:ind w:left="607" w:hanging="681"/>
        <w:jc w:val="left"/>
      </w:pPr>
      <w:rPr>
        <w:rFonts w:hint="default"/>
      </w:rPr>
    </w:lvl>
    <w:lvl w:ilvl="1">
      <w:start w:val="1"/>
      <w:numFmt w:val="decimal"/>
      <w:lvlText w:val="%1.%2"/>
      <w:lvlJc w:val="left"/>
      <w:pPr>
        <w:ind w:left="607" w:hanging="681"/>
        <w:jc w:val="right"/>
      </w:pPr>
      <w:rPr>
        <w:rFonts w:hint="default" w:ascii="Calibri" w:hAnsi="Calibri" w:eastAsia="Calibri" w:cs="Calibri"/>
        <w:spacing w:val="-25"/>
        <w:w w:val="125"/>
        <w:sz w:val="20"/>
        <w:szCs w:val="20"/>
      </w:rPr>
    </w:lvl>
    <w:lvl w:ilvl="2">
      <w:start w:val="0"/>
      <w:numFmt w:val="bullet"/>
      <w:lvlText w:val="•"/>
      <w:lvlJc w:val="left"/>
      <w:pPr>
        <w:ind w:left="2733" w:hanging="681"/>
      </w:pPr>
      <w:rPr>
        <w:rFonts w:hint="default"/>
      </w:rPr>
    </w:lvl>
    <w:lvl w:ilvl="3">
      <w:start w:val="0"/>
      <w:numFmt w:val="bullet"/>
      <w:lvlText w:val="•"/>
      <w:lvlJc w:val="left"/>
      <w:pPr>
        <w:ind w:left="3799" w:hanging="681"/>
      </w:pPr>
      <w:rPr>
        <w:rFonts w:hint="default"/>
      </w:rPr>
    </w:lvl>
    <w:lvl w:ilvl="4">
      <w:start w:val="0"/>
      <w:numFmt w:val="bullet"/>
      <w:lvlText w:val="•"/>
      <w:lvlJc w:val="left"/>
      <w:pPr>
        <w:ind w:left="4866" w:hanging="681"/>
      </w:pPr>
      <w:rPr>
        <w:rFonts w:hint="default"/>
      </w:rPr>
    </w:lvl>
    <w:lvl w:ilvl="5">
      <w:start w:val="0"/>
      <w:numFmt w:val="bullet"/>
      <w:lvlText w:val="•"/>
      <w:lvlJc w:val="left"/>
      <w:pPr>
        <w:ind w:left="5932" w:hanging="681"/>
      </w:pPr>
      <w:rPr>
        <w:rFonts w:hint="default"/>
      </w:rPr>
    </w:lvl>
    <w:lvl w:ilvl="6">
      <w:start w:val="0"/>
      <w:numFmt w:val="bullet"/>
      <w:lvlText w:val="•"/>
      <w:lvlJc w:val="left"/>
      <w:pPr>
        <w:ind w:left="6999" w:hanging="681"/>
      </w:pPr>
      <w:rPr>
        <w:rFonts w:hint="default"/>
      </w:rPr>
    </w:lvl>
    <w:lvl w:ilvl="7">
      <w:start w:val="0"/>
      <w:numFmt w:val="bullet"/>
      <w:lvlText w:val="•"/>
      <w:lvlJc w:val="left"/>
      <w:pPr>
        <w:ind w:left="8065" w:hanging="681"/>
      </w:pPr>
      <w:rPr>
        <w:rFonts w:hint="default"/>
      </w:rPr>
    </w:lvl>
    <w:lvl w:ilvl="8">
      <w:start w:val="0"/>
      <w:numFmt w:val="bullet"/>
      <w:lvlText w:val="•"/>
      <w:lvlJc w:val="left"/>
      <w:pPr>
        <w:ind w:left="9132" w:hanging="681"/>
      </w:pPr>
      <w:rPr>
        <w:rFonts w:hint="default"/>
      </w:rPr>
    </w:lvl>
  </w:abstractNum>
  <w:abstractNum w:abstractNumId="205">
    <w:multiLevelType w:val="hybridMultilevel"/>
    <w:lvl w:ilvl="0">
      <w:start w:val="6"/>
      <w:numFmt w:val="decimal"/>
      <w:lvlText w:val="%1"/>
      <w:lvlJc w:val="left"/>
      <w:pPr>
        <w:ind w:left="607" w:hanging="681"/>
        <w:jc w:val="left"/>
      </w:pPr>
      <w:rPr>
        <w:rFonts w:hint="default"/>
      </w:rPr>
    </w:lvl>
    <w:lvl w:ilvl="1">
      <w:start w:val="1"/>
      <w:numFmt w:val="decimal"/>
      <w:lvlText w:val="%1.%2"/>
      <w:lvlJc w:val="left"/>
      <w:pPr>
        <w:ind w:left="607" w:hanging="681"/>
        <w:jc w:val="right"/>
      </w:pPr>
      <w:rPr>
        <w:rFonts w:hint="default" w:ascii="Calibri" w:hAnsi="Calibri" w:eastAsia="Calibri" w:cs="Calibri"/>
        <w:spacing w:val="-18"/>
        <w:w w:val="125"/>
        <w:sz w:val="20"/>
        <w:szCs w:val="20"/>
      </w:rPr>
    </w:lvl>
    <w:lvl w:ilvl="2">
      <w:start w:val="1"/>
      <w:numFmt w:val="decimal"/>
      <w:lvlText w:val="%1.%2.%3"/>
      <w:lvlJc w:val="left"/>
      <w:pPr>
        <w:ind w:left="1344" w:hanging="681"/>
        <w:jc w:val="right"/>
      </w:pPr>
      <w:rPr>
        <w:rFonts w:hint="default" w:ascii="Calibri" w:hAnsi="Calibri" w:eastAsia="Calibri" w:cs="Calibri"/>
        <w:spacing w:val="-18"/>
        <w:w w:val="125"/>
        <w:sz w:val="20"/>
        <w:szCs w:val="20"/>
      </w:rPr>
    </w:lvl>
    <w:lvl w:ilvl="3">
      <w:start w:val="1"/>
      <w:numFmt w:val="decimal"/>
      <w:lvlText w:val="%1.%2.%3.%4"/>
      <w:lvlJc w:val="left"/>
      <w:pPr>
        <w:ind w:left="2024" w:hanging="760"/>
        <w:jc w:val="right"/>
      </w:pPr>
      <w:rPr>
        <w:rFonts w:hint="default" w:ascii="Calibri" w:hAnsi="Calibri" w:eastAsia="Calibri" w:cs="Calibri"/>
        <w:spacing w:val="-18"/>
        <w:w w:val="125"/>
        <w:sz w:val="20"/>
        <w:szCs w:val="20"/>
      </w:rPr>
    </w:lvl>
    <w:lvl w:ilvl="4">
      <w:start w:val="0"/>
      <w:numFmt w:val="bullet"/>
      <w:lvlText w:val="•"/>
      <w:lvlJc w:val="left"/>
      <w:pPr>
        <w:ind w:left="4331" w:hanging="760"/>
      </w:pPr>
      <w:rPr>
        <w:rFonts w:hint="default"/>
      </w:rPr>
    </w:lvl>
    <w:lvl w:ilvl="5">
      <w:start w:val="0"/>
      <w:numFmt w:val="bullet"/>
      <w:lvlText w:val="•"/>
      <w:lvlJc w:val="left"/>
      <w:pPr>
        <w:ind w:left="5487" w:hanging="760"/>
      </w:pPr>
      <w:rPr>
        <w:rFonts w:hint="default"/>
      </w:rPr>
    </w:lvl>
    <w:lvl w:ilvl="6">
      <w:start w:val="0"/>
      <w:numFmt w:val="bullet"/>
      <w:lvlText w:val="•"/>
      <w:lvlJc w:val="left"/>
      <w:pPr>
        <w:ind w:left="6642" w:hanging="760"/>
      </w:pPr>
      <w:rPr>
        <w:rFonts w:hint="default"/>
      </w:rPr>
    </w:lvl>
    <w:lvl w:ilvl="7">
      <w:start w:val="0"/>
      <w:numFmt w:val="bullet"/>
      <w:lvlText w:val="•"/>
      <w:lvlJc w:val="left"/>
      <w:pPr>
        <w:ind w:left="7798" w:hanging="760"/>
      </w:pPr>
      <w:rPr>
        <w:rFonts w:hint="default"/>
      </w:rPr>
    </w:lvl>
    <w:lvl w:ilvl="8">
      <w:start w:val="0"/>
      <w:numFmt w:val="bullet"/>
      <w:lvlText w:val="•"/>
      <w:lvlJc w:val="left"/>
      <w:pPr>
        <w:ind w:left="8954" w:hanging="760"/>
      </w:pPr>
      <w:rPr>
        <w:rFonts w:hint="default"/>
      </w:rPr>
    </w:lvl>
  </w:abstractNum>
  <w:abstractNum w:abstractNumId="204">
    <w:multiLevelType w:val="hybridMultilevel"/>
    <w:lvl w:ilvl="0">
      <w:start w:val="5"/>
      <w:numFmt w:val="decimal"/>
      <w:lvlText w:val="%1"/>
      <w:lvlJc w:val="left"/>
      <w:pPr>
        <w:ind w:left="1344" w:hanging="681"/>
        <w:jc w:val="left"/>
      </w:pPr>
      <w:rPr>
        <w:rFonts w:hint="default"/>
      </w:rPr>
    </w:lvl>
    <w:lvl w:ilvl="1">
      <w:start w:val="1"/>
      <w:numFmt w:val="decimal"/>
      <w:lvlText w:val="%1.%2"/>
      <w:lvlJc w:val="left"/>
      <w:pPr>
        <w:ind w:left="1344" w:hanging="681"/>
        <w:jc w:val="right"/>
      </w:pPr>
      <w:rPr>
        <w:rFonts w:hint="default" w:ascii="Calibri" w:hAnsi="Calibri" w:eastAsia="Calibri" w:cs="Calibri"/>
        <w:spacing w:val="-18"/>
        <w:w w:val="125"/>
        <w:sz w:val="20"/>
        <w:szCs w:val="20"/>
      </w:rPr>
    </w:lvl>
    <w:lvl w:ilvl="2">
      <w:start w:val="1"/>
      <w:numFmt w:val="decimal"/>
      <w:lvlText w:val="%1.%2.%3"/>
      <w:lvlJc w:val="left"/>
      <w:pPr>
        <w:ind w:left="1344" w:hanging="681"/>
        <w:jc w:val="left"/>
      </w:pPr>
      <w:rPr>
        <w:rFonts w:hint="default" w:ascii="Calibri" w:hAnsi="Calibri" w:eastAsia="Calibri" w:cs="Calibri"/>
        <w:spacing w:val="-18"/>
        <w:w w:val="125"/>
        <w:sz w:val="20"/>
        <w:szCs w:val="20"/>
      </w:rPr>
    </w:lvl>
    <w:lvl w:ilvl="3">
      <w:start w:val="0"/>
      <w:numFmt w:val="bullet"/>
      <w:lvlText w:val="•"/>
      <w:lvlJc w:val="left"/>
      <w:pPr>
        <w:ind w:left="3545" w:hanging="681"/>
      </w:pPr>
      <w:rPr>
        <w:rFonts w:hint="default"/>
      </w:rPr>
    </w:lvl>
    <w:lvl w:ilvl="4">
      <w:start w:val="0"/>
      <w:numFmt w:val="bullet"/>
      <w:lvlText w:val="•"/>
      <w:lvlJc w:val="left"/>
      <w:pPr>
        <w:ind w:left="4648" w:hanging="681"/>
      </w:pPr>
      <w:rPr>
        <w:rFonts w:hint="default"/>
      </w:rPr>
    </w:lvl>
    <w:lvl w:ilvl="5">
      <w:start w:val="0"/>
      <w:numFmt w:val="bullet"/>
      <w:lvlText w:val="•"/>
      <w:lvlJc w:val="left"/>
      <w:pPr>
        <w:ind w:left="5751" w:hanging="681"/>
      </w:pPr>
      <w:rPr>
        <w:rFonts w:hint="default"/>
      </w:rPr>
    </w:lvl>
    <w:lvl w:ilvl="6">
      <w:start w:val="0"/>
      <w:numFmt w:val="bullet"/>
      <w:lvlText w:val="•"/>
      <w:lvlJc w:val="left"/>
      <w:pPr>
        <w:ind w:left="6854" w:hanging="681"/>
      </w:pPr>
      <w:rPr>
        <w:rFonts w:hint="default"/>
      </w:rPr>
    </w:lvl>
    <w:lvl w:ilvl="7">
      <w:start w:val="0"/>
      <w:numFmt w:val="bullet"/>
      <w:lvlText w:val="•"/>
      <w:lvlJc w:val="left"/>
      <w:pPr>
        <w:ind w:left="7957" w:hanging="681"/>
      </w:pPr>
      <w:rPr>
        <w:rFonts w:hint="default"/>
      </w:rPr>
    </w:lvl>
    <w:lvl w:ilvl="8">
      <w:start w:val="0"/>
      <w:numFmt w:val="bullet"/>
      <w:lvlText w:val="•"/>
      <w:lvlJc w:val="left"/>
      <w:pPr>
        <w:ind w:left="9059" w:hanging="681"/>
      </w:pPr>
      <w:rPr>
        <w:rFonts w:hint="default"/>
      </w:rPr>
    </w:lvl>
  </w:abstractNum>
  <w:abstractNum w:abstractNumId="203">
    <w:multiLevelType w:val="hybridMultilevel"/>
    <w:lvl w:ilvl="0">
      <w:start w:val="4"/>
      <w:numFmt w:val="decimal"/>
      <w:lvlText w:val="%1"/>
      <w:lvlJc w:val="left"/>
      <w:pPr>
        <w:ind w:left="1344" w:hanging="681"/>
        <w:jc w:val="left"/>
      </w:pPr>
      <w:rPr>
        <w:rFonts w:hint="default"/>
      </w:rPr>
    </w:lvl>
    <w:lvl w:ilvl="1">
      <w:start w:val="1"/>
      <w:numFmt w:val="decimal"/>
      <w:lvlText w:val="%1.%2"/>
      <w:lvlJc w:val="left"/>
      <w:pPr>
        <w:ind w:left="1344" w:hanging="681"/>
        <w:jc w:val="right"/>
      </w:pPr>
      <w:rPr>
        <w:rFonts w:hint="default" w:ascii="Calibri" w:hAnsi="Calibri" w:eastAsia="Calibri" w:cs="Calibri"/>
        <w:spacing w:val="-18"/>
        <w:w w:val="125"/>
        <w:sz w:val="20"/>
        <w:szCs w:val="20"/>
      </w:rPr>
    </w:lvl>
    <w:lvl w:ilvl="2">
      <w:start w:val="0"/>
      <w:numFmt w:val="bullet"/>
      <w:lvlText w:val="•"/>
      <w:lvlJc w:val="left"/>
      <w:pPr>
        <w:ind w:left="3325" w:hanging="681"/>
      </w:pPr>
      <w:rPr>
        <w:rFonts w:hint="default"/>
      </w:rPr>
    </w:lvl>
    <w:lvl w:ilvl="3">
      <w:start w:val="0"/>
      <w:numFmt w:val="bullet"/>
      <w:lvlText w:val="•"/>
      <w:lvlJc w:val="left"/>
      <w:pPr>
        <w:ind w:left="4317" w:hanging="681"/>
      </w:pPr>
      <w:rPr>
        <w:rFonts w:hint="default"/>
      </w:rPr>
    </w:lvl>
    <w:lvl w:ilvl="4">
      <w:start w:val="0"/>
      <w:numFmt w:val="bullet"/>
      <w:lvlText w:val="•"/>
      <w:lvlJc w:val="left"/>
      <w:pPr>
        <w:ind w:left="5310" w:hanging="681"/>
      </w:pPr>
      <w:rPr>
        <w:rFonts w:hint="default"/>
      </w:rPr>
    </w:lvl>
    <w:lvl w:ilvl="5">
      <w:start w:val="0"/>
      <w:numFmt w:val="bullet"/>
      <w:lvlText w:val="•"/>
      <w:lvlJc w:val="left"/>
      <w:pPr>
        <w:ind w:left="6302" w:hanging="681"/>
      </w:pPr>
      <w:rPr>
        <w:rFonts w:hint="default"/>
      </w:rPr>
    </w:lvl>
    <w:lvl w:ilvl="6">
      <w:start w:val="0"/>
      <w:numFmt w:val="bullet"/>
      <w:lvlText w:val="•"/>
      <w:lvlJc w:val="left"/>
      <w:pPr>
        <w:ind w:left="7295" w:hanging="681"/>
      </w:pPr>
      <w:rPr>
        <w:rFonts w:hint="default"/>
      </w:rPr>
    </w:lvl>
    <w:lvl w:ilvl="7">
      <w:start w:val="0"/>
      <w:numFmt w:val="bullet"/>
      <w:lvlText w:val="•"/>
      <w:lvlJc w:val="left"/>
      <w:pPr>
        <w:ind w:left="8287" w:hanging="681"/>
      </w:pPr>
      <w:rPr>
        <w:rFonts w:hint="default"/>
      </w:rPr>
    </w:lvl>
    <w:lvl w:ilvl="8">
      <w:start w:val="0"/>
      <w:numFmt w:val="bullet"/>
      <w:lvlText w:val="•"/>
      <w:lvlJc w:val="left"/>
      <w:pPr>
        <w:ind w:left="9280" w:hanging="681"/>
      </w:pPr>
      <w:rPr>
        <w:rFonts w:hint="default"/>
      </w:rPr>
    </w:lvl>
  </w:abstractNum>
  <w:abstractNum w:abstractNumId="202">
    <w:multiLevelType w:val="hybridMultilevel"/>
    <w:lvl w:ilvl="0">
      <w:start w:val="3"/>
      <w:numFmt w:val="decimal"/>
      <w:lvlText w:val="%1"/>
      <w:lvlJc w:val="left"/>
      <w:pPr>
        <w:ind w:left="1344" w:hanging="681"/>
        <w:jc w:val="left"/>
      </w:pPr>
      <w:rPr>
        <w:rFonts w:hint="default"/>
      </w:rPr>
    </w:lvl>
    <w:lvl w:ilvl="1">
      <w:start w:val="1"/>
      <w:numFmt w:val="decimal"/>
      <w:lvlText w:val="%1.%2"/>
      <w:lvlJc w:val="left"/>
      <w:pPr>
        <w:ind w:left="1344" w:hanging="681"/>
        <w:jc w:val="right"/>
      </w:pPr>
      <w:rPr>
        <w:rFonts w:hint="default" w:ascii="Calibri" w:hAnsi="Calibri" w:eastAsia="Calibri" w:cs="Calibri"/>
        <w:spacing w:val="-18"/>
        <w:w w:val="125"/>
        <w:sz w:val="20"/>
        <w:szCs w:val="20"/>
      </w:rPr>
    </w:lvl>
    <w:lvl w:ilvl="2">
      <w:start w:val="0"/>
      <w:numFmt w:val="bullet"/>
      <w:lvlText w:val="•"/>
      <w:lvlJc w:val="left"/>
      <w:pPr>
        <w:ind w:left="3325" w:hanging="681"/>
      </w:pPr>
      <w:rPr>
        <w:rFonts w:hint="default"/>
      </w:rPr>
    </w:lvl>
    <w:lvl w:ilvl="3">
      <w:start w:val="0"/>
      <w:numFmt w:val="bullet"/>
      <w:lvlText w:val="•"/>
      <w:lvlJc w:val="left"/>
      <w:pPr>
        <w:ind w:left="4317" w:hanging="681"/>
      </w:pPr>
      <w:rPr>
        <w:rFonts w:hint="default"/>
      </w:rPr>
    </w:lvl>
    <w:lvl w:ilvl="4">
      <w:start w:val="0"/>
      <w:numFmt w:val="bullet"/>
      <w:lvlText w:val="•"/>
      <w:lvlJc w:val="left"/>
      <w:pPr>
        <w:ind w:left="5310" w:hanging="681"/>
      </w:pPr>
      <w:rPr>
        <w:rFonts w:hint="default"/>
      </w:rPr>
    </w:lvl>
    <w:lvl w:ilvl="5">
      <w:start w:val="0"/>
      <w:numFmt w:val="bullet"/>
      <w:lvlText w:val="•"/>
      <w:lvlJc w:val="left"/>
      <w:pPr>
        <w:ind w:left="6302" w:hanging="681"/>
      </w:pPr>
      <w:rPr>
        <w:rFonts w:hint="default"/>
      </w:rPr>
    </w:lvl>
    <w:lvl w:ilvl="6">
      <w:start w:val="0"/>
      <w:numFmt w:val="bullet"/>
      <w:lvlText w:val="•"/>
      <w:lvlJc w:val="left"/>
      <w:pPr>
        <w:ind w:left="7295" w:hanging="681"/>
      </w:pPr>
      <w:rPr>
        <w:rFonts w:hint="default"/>
      </w:rPr>
    </w:lvl>
    <w:lvl w:ilvl="7">
      <w:start w:val="0"/>
      <w:numFmt w:val="bullet"/>
      <w:lvlText w:val="•"/>
      <w:lvlJc w:val="left"/>
      <w:pPr>
        <w:ind w:left="8287" w:hanging="681"/>
      </w:pPr>
      <w:rPr>
        <w:rFonts w:hint="default"/>
      </w:rPr>
    </w:lvl>
    <w:lvl w:ilvl="8">
      <w:start w:val="0"/>
      <w:numFmt w:val="bullet"/>
      <w:lvlText w:val="•"/>
      <w:lvlJc w:val="left"/>
      <w:pPr>
        <w:ind w:left="9280" w:hanging="681"/>
      </w:pPr>
      <w:rPr>
        <w:rFonts w:hint="default"/>
      </w:rPr>
    </w:lvl>
  </w:abstractNum>
  <w:abstractNum w:abstractNumId="201">
    <w:multiLevelType w:val="hybridMultilevel"/>
    <w:lvl w:ilvl="0">
      <w:start w:val="2"/>
      <w:numFmt w:val="decimal"/>
      <w:lvlText w:val="%1"/>
      <w:lvlJc w:val="left"/>
      <w:pPr>
        <w:ind w:left="1344" w:hanging="681"/>
        <w:jc w:val="left"/>
      </w:pPr>
      <w:rPr>
        <w:rFonts w:hint="default"/>
      </w:rPr>
    </w:lvl>
    <w:lvl w:ilvl="1">
      <w:start w:val="1"/>
      <w:numFmt w:val="decimal"/>
      <w:lvlText w:val="%1.%2"/>
      <w:lvlJc w:val="left"/>
      <w:pPr>
        <w:ind w:left="1344" w:hanging="681"/>
        <w:jc w:val="right"/>
      </w:pPr>
      <w:rPr>
        <w:rFonts w:hint="default" w:ascii="Calibri" w:hAnsi="Calibri" w:eastAsia="Calibri" w:cs="Calibri"/>
        <w:spacing w:val="-18"/>
        <w:w w:val="125"/>
        <w:sz w:val="20"/>
        <w:szCs w:val="20"/>
      </w:rPr>
    </w:lvl>
    <w:lvl w:ilvl="2">
      <w:start w:val="1"/>
      <w:numFmt w:val="decimal"/>
      <w:lvlText w:val="%1.%2.%3"/>
      <w:lvlJc w:val="left"/>
      <w:pPr>
        <w:ind w:left="1344" w:hanging="681"/>
        <w:jc w:val="right"/>
      </w:pPr>
      <w:rPr>
        <w:rFonts w:hint="default" w:ascii="Calibri" w:hAnsi="Calibri" w:eastAsia="Calibri" w:cs="Calibri"/>
        <w:spacing w:val="-18"/>
        <w:w w:val="125"/>
        <w:sz w:val="20"/>
        <w:szCs w:val="20"/>
      </w:rPr>
    </w:lvl>
    <w:lvl w:ilvl="3">
      <w:start w:val="0"/>
      <w:numFmt w:val="bullet"/>
      <w:lvlText w:val="•"/>
      <w:lvlJc w:val="left"/>
      <w:pPr>
        <w:ind w:left="3545" w:hanging="681"/>
      </w:pPr>
      <w:rPr>
        <w:rFonts w:hint="default"/>
      </w:rPr>
    </w:lvl>
    <w:lvl w:ilvl="4">
      <w:start w:val="0"/>
      <w:numFmt w:val="bullet"/>
      <w:lvlText w:val="•"/>
      <w:lvlJc w:val="left"/>
      <w:pPr>
        <w:ind w:left="4648" w:hanging="681"/>
      </w:pPr>
      <w:rPr>
        <w:rFonts w:hint="default"/>
      </w:rPr>
    </w:lvl>
    <w:lvl w:ilvl="5">
      <w:start w:val="0"/>
      <w:numFmt w:val="bullet"/>
      <w:lvlText w:val="•"/>
      <w:lvlJc w:val="left"/>
      <w:pPr>
        <w:ind w:left="5751" w:hanging="681"/>
      </w:pPr>
      <w:rPr>
        <w:rFonts w:hint="default"/>
      </w:rPr>
    </w:lvl>
    <w:lvl w:ilvl="6">
      <w:start w:val="0"/>
      <w:numFmt w:val="bullet"/>
      <w:lvlText w:val="•"/>
      <w:lvlJc w:val="left"/>
      <w:pPr>
        <w:ind w:left="6854" w:hanging="681"/>
      </w:pPr>
      <w:rPr>
        <w:rFonts w:hint="default"/>
      </w:rPr>
    </w:lvl>
    <w:lvl w:ilvl="7">
      <w:start w:val="0"/>
      <w:numFmt w:val="bullet"/>
      <w:lvlText w:val="•"/>
      <w:lvlJc w:val="left"/>
      <w:pPr>
        <w:ind w:left="7957" w:hanging="681"/>
      </w:pPr>
      <w:rPr>
        <w:rFonts w:hint="default"/>
      </w:rPr>
    </w:lvl>
    <w:lvl w:ilvl="8">
      <w:start w:val="0"/>
      <w:numFmt w:val="bullet"/>
      <w:lvlText w:val="•"/>
      <w:lvlJc w:val="left"/>
      <w:pPr>
        <w:ind w:left="9059" w:hanging="681"/>
      </w:pPr>
      <w:rPr>
        <w:rFonts w:hint="default"/>
      </w:rPr>
    </w:lvl>
  </w:abstractNum>
  <w:abstractNum w:abstractNumId="200">
    <w:multiLevelType w:val="hybridMultilevel"/>
    <w:lvl w:ilvl="0">
      <w:start w:val="1"/>
      <w:numFmt w:val="decimal"/>
      <w:lvlText w:val="%1"/>
      <w:lvlJc w:val="left"/>
      <w:pPr>
        <w:ind w:left="607" w:hanging="681"/>
        <w:jc w:val="left"/>
      </w:pPr>
      <w:rPr>
        <w:rFonts w:hint="default"/>
      </w:rPr>
    </w:lvl>
    <w:lvl w:ilvl="1">
      <w:start w:val="1"/>
      <w:numFmt w:val="decimal"/>
      <w:lvlText w:val="%1.%2"/>
      <w:lvlJc w:val="left"/>
      <w:pPr>
        <w:ind w:left="607" w:hanging="681"/>
        <w:jc w:val="left"/>
      </w:pPr>
      <w:rPr>
        <w:rFonts w:hint="default" w:ascii="Calibri" w:hAnsi="Calibri" w:eastAsia="Calibri" w:cs="Calibri"/>
        <w:spacing w:val="-18"/>
        <w:w w:val="125"/>
        <w:sz w:val="20"/>
        <w:szCs w:val="20"/>
      </w:rPr>
    </w:lvl>
    <w:lvl w:ilvl="2">
      <w:start w:val="0"/>
      <w:numFmt w:val="bullet"/>
      <w:lvlText w:val="•"/>
      <w:lvlJc w:val="left"/>
      <w:pPr>
        <w:ind w:left="2733" w:hanging="681"/>
      </w:pPr>
      <w:rPr>
        <w:rFonts w:hint="default"/>
      </w:rPr>
    </w:lvl>
    <w:lvl w:ilvl="3">
      <w:start w:val="0"/>
      <w:numFmt w:val="bullet"/>
      <w:lvlText w:val="•"/>
      <w:lvlJc w:val="left"/>
      <w:pPr>
        <w:ind w:left="3799" w:hanging="681"/>
      </w:pPr>
      <w:rPr>
        <w:rFonts w:hint="default"/>
      </w:rPr>
    </w:lvl>
    <w:lvl w:ilvl="4">
      <w:start w:val="0"/>
      <w:numFmt w:val="bullet"/>
      <w:lvlText w:val="•"/>
      <w:lvlJc w:val="left"/>
      <w:pPr>
        <w:ind w:left="4866" w:hanging="681"/>
      </w:pPr>
      <w:rPr>
        <w:rFonts w:hint="default"/>
      </w:rPr>
    </w:lvl>
    <w:lvl w:ilvl="5">
      <w:start w:val="0"/>
      <w:numFmt w:val="bullet"/>
      <w:lvlText w:val="•"/>
      <w:lvlJc w:val="left"/>
      <w:pPr>
        <w:ind w:left="5932" w:hanging="681"/>
      </w:pPr>
      <w:rPr>
        <w:rFonts w:hint="default"/>
      </w:rPr>
    </w:lvl>
    <w:lvl w:ilvl="6">
      <w:start w:val="0"/>
      <w:numFmt w:val="bullet"/>
      <w:lvlText w:val="•"/>
      <w:lvlJc w:val="left"/>
      <w:pPr>
        <w:ind w:left="6999" w:hanging="681"/>
      </w:pPr>
      <w:rPr>
        <w:rFonts w:hint="default"/>
      </w:rPr>
    </w:lvl>
    <w:lvl w:ilvl="7">
      <w:start w:val="0"/>
      <w:numFmt w:val="bullet"/>
      <w:lvlText w:val="•"/>
      <w:lvlJc w:val="left"/>
      <w:pPr>
        <w:ind w:left="8065" w:hanging="681"/>
      </w:pPr>
      <w:rPr>
        <w:rFonts w:hint="default"/>
      </w:rPr>
    </w:lvl>
    <w:lvl w:ilvl="8">
      <w:start w:val="0"/>
      <w:numFmt w:val="bullet"/>
      <w:lvlText w:val="•"/>
      <w:lvlJc w:val="left"/>
      <w:pPr>
        <w:ind w:left="9132" w:hanging="681"/>
      </w:pPr>
      <w:rPr>
        <w:rFonts w:hint="default"/>
      </w:rPr>
    </w:lvl>
  </w:abstractNum>
  <w:abstractNum w:abstractNumId="197">
    <w:multiLevelType w:val="hybridMultilevel"/>
    <w:lvl w:ilvl="0">
      <w:start w:val="1"/>
      <w:numFmt w:val="lowerLetter"/>
      <w:lvlText w:val="%1)"/>
      <w:lvlJc w:val="left"/>
      <w:pPr>
        <w:ind w:left="1287" w:hanging="681"/>
        <w:jc w:val="left"/>
      </w:pPr>
      <w:rPr>
        <w:rFonts w:hint="default" w:ascii="Calibri" w:hAnsi="Calibri" w:eastAsia="Calibri" w:cs="Calibri"/>
        <w:spacing w:val="-13"/>
        <w:w w:val="113"/>
        <w:sz w:val="20"/>
        <w:szCs w:val="20"/>
      </w:rPr>
    </w:lvl>
    <w:lvl w:ilvl="1">
      <w:start w:val="1"/>
      <w:numFmt w:val="lowerRoman"/>
      <w:lvlText w:val="%2)"/>
      <w:lvlJc w:val="left"/>
      <w:pPr>
        <w:ind w:left="1967" w:hanging="681"/>
        <w:jc w:val="left"/>
      </w:pPr>
      <w:rPr>
        <w:rFonts w:hint="default" w:ascii="Calibri" w:hAnsi="Calibri" w:eastAsia="Calibri" w:cs="Calibri"/>
        <w:spacing w:val="-4"/>
        <w:w w:val="122"/>
        <w:sz w:val="20"/>
        <w:szCs w:val="20"/>
      </w:rPr>
    </w:lvl>
    <w:lvl w:ilvl="2">
      <w:start w:val="0"/>
      <w:numFmt w:val="bullet"/>
      <w:lvlText w:val="•"/>
      <w:lvlJc w:val="left"/>
      <w:pPr>
        <w:ind w:left="2993" w:hanging="681"/>
      </w:pPr>
      <w:rPr>
        <w:rFonts w:hint="default"/>
      </w:rPr>
    </w:lvl>
    <w:lvl w:ilvl="3">
      <w:start w:val="0"/>
      <w:numFmt w:val="bullet"/>
      <w:lvlText w:val="•"/>
      <w:lvlJc w:val="left"/>
      <w:pPr>
        <w:ind w:left="4027" w:hanging="681"/>
      </w:pPr>
      <w:rPr>
        <w:rFonts w:hint="default"/>
      </w:rPr>
    </w:lvl>
    <w:lvl w:ilvl="4">
      <w:start w:val="0"/>
      <w:numFmt w:val="bullet"/>
      <w:lvlText w:val="•"/>
      <w:lvlJc w:val="left"/>
      <w:pPr>
        <w:ind w:left="5061" w:hanging="681"/>
      </w:pPr>
      <w:rPr>
        <w:rFonts w:hint="default"/>
      </w:rPr>
    </w:lvl>
    <w:lvl w:ilvl="5">
      <w:start w:val="0"/>
      <w:numFmt w:val="bullet"/>
      <w:lvlText w:val="•"/>
      <w:lvlJc w:val="left"/>
      <w:pPr>
        <w:ind w:left="6095" w:hanging="681"/>
      </w:pPr>
      <w:rPr>
        <w:rFonts w:hint="default"/>
      </w:rPr>
    </w:lvl>
    <w:lvl w:ilvl="6">
      <w:start w:val="0"/>
      <w:numFmt w:val="bullet"/>
      <w:lvlText w:val="•"/>
      <w:lvlJc w:val="left"/>
      <w:pPr>
        <w:ind w:left="7129" w:hanging="681"/>
      </w:pPr>
      <w:rPr>
        <w:rFonts w:hint="default"/>
      </w:rPr>
    </w:lvl>
    <w:lvl w:ilvl="7">
      <w:start w:val="0"/>
      <w:numFmt w:val="bullet"/>
      <w:lvlText w:val="•"/>
      <w:lvlJc w:val="left"/>
      <w:pPr>
        <w:ind w:left="8163" w:hanging="681"/>
      </w:pPr>
      <w:rPr>
        <w:rFonts w:hint="default"/>
      </w:rPr>
    </w:lvl>
    <w:lvl w:ilvl="8">
      <w:start w:val="0"/>
      <w:numFmt w:val="bullet"/>
      <w:lvlText w:val="•"/>
      <w:lvlJc w:val="left"/>
      <w:pPr>
        <w:ind w:left="9197" w:hanging="681"/>
      </w:pPr>
      <w:rPr>
        <w:rFonts w:hint="default"/>
      </w:rPr>
    </w:lvl>
  </w:abstractNum>
  <w:abstractNum w:abstractNumId="196">
    <w:multiLevelType w:val="hybridMultilevel"/>
    <w:lvl w:ilvl="0">
      <w:start w:val="1"/>
      <w:numFmt w:val="decimal"/>
      <w:lvlText w:val="%1."/>
      <w:lvlJc w:val="left"/>
      <w:pPr>
        <w:ind w:left="1287" w:hanging="681"/>
        <w:jc w:val="left"/>
      </w:pPr>
      <w:rPr>
        <w:rFonts w:hint="default" w:ascii="Calibri" w:hAnsi="Calibri" w:eastAsia="Calibri" w:cs="Calibri"/>
        <w:spacing w:val="-13"/>
        <w:w w:val="125"/>
        <w:sz w:val="20"/>
        <w:szCs w:val="20"/>
      </w:rPr>
    </w:lvl>
    <w:lvl w:ilvl="1">
      <w:start w:val="0"/>
      <w:numFmt w:val="bullet"/>
      <w:lvlText w:val="•"/>
      <w:lvlJc w:val="left"/>
      <w:pPr>
        <w:ind w:left="2278" w:hanging="681"/>
      </w:pPr>
      <w:rPr>
        <w:rFonts w:hint="default"/>
      </w:rPr>
    </w:lvl>
    <w:lvl w:ilvl="2">
      <w:start w:val="0"/>
      <w:numFmt w:val="bullet"/>
      <w:lvlText w:val="•"/>
      <w:lvlJc w:val="left"/>
      <w:pPr>
        <w:ind w:left="3277" w:hanging="681"/>
      </w:pPr>
      <w:rPr>
        <w:rFonts w:hint="default"/>
      </w:rPr>
    </w:lvl>
    <w:lvl w:ilvl="3">
      <w:start w:val="0"/>
      <w:numFmt w:val="bullet"/>
      <w:lvlText w:val="•"/>
      <w:lvlJc w:val="left"/>
      <w:pPr>
        <w:ind w:left="4275" w:hanging="681"/>
      </w:pPr>
      <w:rPr>
        <w:rFonts w:hint="default"/>
      </w:rPr>
    </w:lvl>
    <w:lvl w:ilvl="4">
      <w:start w:val="0"/>
      <w:numFmt w:val="bullet"/>
      <w:lvlText w:val="•"/>
      <w:lvlJc w:val="left"/>
      <w:pPr>
        <w:ind w:left="5274" w:hanging="681"/>
      </w:pPr>
      <w:rPr>
        <w:rFonts w:hint="default"/>
      </w:rPr>
    </w:lvl>
    <w:lvl w:ilvl="5">
      <w:start w:val="0"/>
      <w:numFmt w:val="bullet"/>
      <w:lvlText w:val="•"/>
      <w:lvlJc w:val="left"/>
      <w:pPr>
        <w:ind w:left="6272" w:hanging="681"/>
      </w:pPr>
      <w:rPr>
        <w:rFonts w:hint="default"/>
      </w:rPr>
    </w:lvl>
    <w:lvl w:ilvl="6">
      <w:start w:val="0"/>
      <w:numFmt w:val="bullet"/>
      <w:lvlText w:val="•"/>
      <w:lvlJc w:val="left"/>
      <w:pPr>
        <w:ind w:left="7271" w:hanging="681"/>
      </w:pPr>
      <w:rPr>
        <w:rFonts w:hint="default"/>
      </w:rPr>
    </w:lvl>
    <w:lvl w:ilvl="7">
      <w:start w:val="0"/>
      <w:numFmt w:val="bullet"/>
      <w:lvlText w:val="•"/>
      <w:lvlJc w:val="left"/>
      <w:pPr>
        <w:ind w:left="8269" w:hanging="681"/>
      </w:pPr>
      <w:rPr>
        <w:rFonts w:hint="default"/>
      </w:rPr>
    </w:lvl>
    <w:lvl w:ilvl="8">
      <w:start w:val="0"/>
      <w:numFmt w:val="bullet"/>
      <w:lvlText w:val="•"/>
      <w:lvlJc w:val="left"/>
      <w:pPr>
        <w:ind w:left="9268" w:hanging="681"/>
      </w:pPr>
      <w:rPr>
        <w:rFonts w:hint="default"/>
      </w:rPr>
    </w:lvl>
  </w:abstractNum>
  <w:abstractNum w:abstractNumId="194">
    <w:multiLevelType w:val="hybridMultilevel"/>
    <w:lvl w:ilvl="0">
      <w:start w:val="1"/>
      <w:numFmt w:val="decimal"/>
      <w:lvlText w:val="%1."/>
      <w:lvlJc w:val="left"/>
      <w:pPr>
        <w:ind w:left="1287" w:hanging="681"/>
        <w:jc w:val="left"/>
      </w:pPr>
      <w:rPr>
        <w:rFonts w:hint="default" w:ascii="Stone Sans II ITC Std Bk" w:hAnsi="Stone Sans II ITC Std Bk" w:eastAsia="Stone Sans II ITC Std Bk" w:cs="Stone Sans II ITC Std Bk"/>
        <w:b/>
        <w:bCs/>
        <w:spacing w:val="-13"/>
        <w:w w:val="110"/>
        <w:sz w:val="20"/>
        <w:szCs w:val="20"/>
      </w:rPr>
    </w:lvl>
    <w:lvl w:ilvl="1">
      <w:start w:val="1"/>
      <w:numFmt w:val="decimal"/>
      <w:lvlText w:val="%1.%2"/>
      <w:lvlJc w:val="left"/>
      <w:pPr>
        <w:ind w:left="607" w:hanging="681"/>
        <w:jc w:val="left"/>
      </w:pPr>
      <w:rPr>
        <w:rFonts w:hint="default" w:ascii="Calibri" w:hAnsi="Calibri" w:eastAsia="Calibri" w:cs="Calibri"/>
        <w:spacing w:val="-18"/>
        <w:w w:val="125"/>
        <w:sz w:val="20"/>
        <w:szCs w:val="20"/>
      </w:rPr>
    </w:lvl>
    <w:lvl w:ilvl="2">
      <w:start w:val="0"/>
      <w:numFmt w:val="bullet"/>
      <w:lvlText w:val="•"/>
      <w:lvlJc w:val="left"/>
      <w:pPr>
        <w:ind w:left="2389" w:hanging="681"/>
      </w:pPr>
      <w:rPr>
        <w:rFonts w:hint="default"/>
      </w:rPr>
    </w:lvl>
    <w:lvl w:ilvl="3">
      <w:start w:val="0"/>
      <w:numFmt w:val="bullet"/>
      <w:lvlText w:val="•"/>
      <w:lvlJc w:val="left"/>
      <w:pPr>
        <w:ind w:left="3499" w:hanging="681"/>
      </w:pPr>
      <w:rPr>
        <w:rFonts w:hint="default"/>
      </w:rPr>
    </w:lvl>
    <w:lvl w:ilvl="4">
      <w:start w:val="0"/>
      <w:numFmt w:val="bullet"/>
      <w:lvlText w:val="•"/>
      <w:lvlJc w:val="left"/>
      <w:pPr>
        <w:ind w:left="4608" w:hanging="681"/>
      </w:pPr>
      <w:rPr>
        <w:rFonts w:hint="default"/>
      </w:rPr>
    </w:lvl>
    <w:lvl w:ilvl="5">
      <w:start w:val="0"/>
      <w:numFmt w:val="bullet"/>
      <w:lvlText w:val="•"/>
      <w:lvlJc w:val="left"/>
      <w:pPr>
        <w:ind w:left="5718" w:hanging="681"/>
      </w:pPr>
      <w:rPr>
        <w:rFonts w:hint="default"/>
      </w:rPr>
    </w:lvl>
    <w:lvl w:ilvl="6">
      <w:start w:val="0"/>
      <w:numFmt w:val="bullet"/>
      <w:lvlText w:val="•"/>
      <w:lvlJc w:val="left"/>
      <w:pPr>
        <w:ind w:left="6827" w:hanging="681"/>
      </w:pPr>
      <w:rPr>
        <w:rFonts w:hint="default"/>
      </w:rPr>
    </w:lvl>
    <w:lvl w:ilvl="7">
      <w:start w:val="0"/>
      <w:numFmt w:val="bullet"/>
      <w:lvlText w:val="•"/>
      <w:lvlJc w:val="left"/>
      <w:pPr>
        <w:ind w:left="7937" w:hanging="681"/>
      </w:pPr>
      <w:rPr>
        <w:rFonts w:hint="default"/>
      </w:rPr>
    </w:lvl>
    <w:lvl w:ilvl="8">
      <w:start w:val="0"/>
      <w:numFmt w:val="bullet"/>
      <w:lvlText w:val="•"/>
      <w:lvlJc w:val="left"/>
      <w:pPr>
        <w:ind w:left="9046" w:hanging="681"/>
      </w:pPr>
      <w:rPr>
        <w:rFonts w:hint="default"/>
      </w:rPr>
    </w:lvl>
  </w:abstractNum>
  <w:abstractNum w:abstractNumId="193">
    <w:multiLevelType w:val="hybridMultilevel"/>
    <w:lvl w:ilvl="0">
      <w:start w:val="1"/>
      <w:numFmt w:val="lowerRoman"/>
      <w:lvlText w:val="%1)"/>
      <w:lvlJc w:val="left"/>
      <w:pPr>
        <w:ind w:left="1967" w:hanging="681"/>
        <w:jc w:val="left"/>
      </w:pPr>
      <w:rPr>
        <w:rFonts w:hint="default" w:ascii="Stone Sans II ITC Std Bk" w:hAnsi="Stone Sans II ITC Std Bk" w:eastAsia="Stone Sans II ITC Std Bk" w:cs="Stone Sans II ITC Std Bk"/>
        <w:b/>
        <w:bCs/>
        <w:spacing w:val="-4"/>
        <w:w w:val="110"/>
        <w:sz w:val="20"/>
        <w:szCs w:val="20"/>
      </w:rPr>
    </w:lvl>
    <w:lvl w:ilvl="1">
      <w:start w:val="1"/>
      <w:numFmt w:val="lowerLetter"/>
      <w:lvlText w:val="%2)"/>
      <w:lvlJc w:val="left"/>
      <w:pPr>
        <w:ind w:left="2648" w:hanging="681"/>
        <w:jc w:val="left"/>
      </w:pPr>
      <w:rPr>
        <w:rFonts w:hint="default" w:ascii="Stone Sans II ITC Std Bk" w:hAnsi="Stone Sans II ITC Std Bk" w:eastAsia="Stone Sans II ITC Std Bk" w:cs="Stone Sans II ITC Std Bk"/>
        <w:b/>
        <w:bCs/>
        <w:spacing w:val="-13"/>
        <w:w w:val="110"/>
        <w:sz w:val="20"/>
        <w:szCs w:val="20"/>
      </w:rPr>
    </w:lvl>
    <w:lvl w:ilvl="2">
      <w:start w:val="0"/>
      <w:numFmt w:val="bullet"/>
      <w:lvlText w:val="•"/>
      <w:lvlJc w:val="left"/>
      <w:pPr>
        <w:ind w:left="3598" w:hanging="681"/>
      </w:pPr>
      <w:rPr>
        <w:rFonts w:hint="default"/>
      </w:rPr>
    </w:lvl>
    <w:lvl w:ilvl="3">
      <w:start w:val="0"/>
      <w:numFmt w:val="bullet"/>
      <w:lvlText w:val="•"/>
      <w:lvlJc w:val="left"/>
      <w:pPr>
        <w:ind w:left="4556" w:hanging="681"/>
      </w:pPr>
      <w:rPr>
        <w:rFonts w:hint="default"/>
      </w:rPr>
    </w:lvl>
    <w:lvl w:ilvl="4">
      <w:start w:val="0"/>
      <w:numFmt w:val="bullet"/>
      <w:lvlText w:val="•"/>
      <w:lvlJc w:val="left"/>
      <w:pPr>
        <w:ind w:left="5515" w:hanging="681"/>
      </w:pPr>
      <w:rPr>
        <w:rFonts w:hint="default"/>
      </w:rPr>
    </w:lvl>
    <w:lvl w:ilvl="5">
      <w:start w:val="0"/>
      <w:numFmt w:val="bullet"/>
      <w:lvlText w:val="•"/>
      <w:lvlJc w:val="left"/>
      <w:pPr>
        <w:ind w:left="6473" w:hanging="681"/>
      </w:pPr>
      <w:rPr>
        <w:rFonts w:hint="default"/>
      </w:rPr>
    </w:lvl>
    <w:lvl w:ilvl="6">
      <w:start w:val="0"/>
      <w:numFmt w:val="bullet"/>
      <w:lvlText w:val="•"/>
      <w:lvlJc w:val="left"/>
      <w:pPr>
        <w:ind w:left="7431" w:hanging="681"/>
      </w:pPr>
      <w:rPr>
        <w:rFonts w:hint="default"/>
      </w:rPr>
    </w:lvl>
    <w:lvl w:ilvl="7">
      <w:start w:val="0"/>
      <w:numFmt w:val="bullet"/>
      <w:lvlText w:val="•"/>
      <w:lvlJc w:val="left"/>
      <w:pPr>
        <w:ind w:left="8390" w:hanging="681"/>
      </w:pPr>
      <w:rPr>
        <w:rFonts w:hint="default"/>
      </w:rPr>
    </w:lvl>
    <w:lvl w:ilvl="8">
      <w:start w:val="0"/>
      <w:numFmt w:val="bullet"/>
      <w:lvlText w:val="•"/>
      <w:lvlJc w:val="left"/>
      <w:pPr>
        <w:ind w:left="9348" w:hanging="681"/>
      </w:pPr>
      <w:rPr>
        <w:rFonts w:hint="default"/>
      </w:rPr>
    </w:lvl>
  </w:abstractNum>
  <w:abstractNum w:abstractNumId="192">
    <w:multiLevelType w:val="hybridMultilevel"/>
    <w:lvl w:ilvl="0">
      <w:start w:val="6"/>
      <w:numFmt w:val="decimal"/>
      <w:lvlText w:val="%1"/>
      <w:lvlJc w:val="left"/>
      <w:pPr>
        <w:ind w:left="607" w:hanging="681"/>
        <w:jc w:val="left"/>
      </w:pPr>
      <w:rPr>
        <w:rFonts w:hint="default"/>
      </w:rPr>
    </w:lvl>
    <w:lvl w:ilvl="1">
      <w:start w:val="1"/>
      <w:numFmt w:val="decimal"/>
      <w:lvlText w:val="%1.%2"/>
      <w:lvlJc w:val="left"/>
      <w:pPr>
        <w:ind w:left="607" w:hanging="681"/>
        <w:jc w:val="left"/>
      </w:pPr>
      <w:rPr>
        <w:rFonts w:hint="default" w:ascii="Calibri" w:hAnsi="Calibri" w:eastAsia="Calibri" w:cs="Calibri"/>
        <w:spacing w:val="-18"/>
        <w:w w:val="125"/>
        <w:sz w:val="20"/>
        <w:szCs w:val="20"/>
      </w:rPr>
    </w:lvl>
    <w:lvl w:ilvl="2">
      <w:start w:val="1"/>
      <w:numFmt w:val="lowerLetter"/>
      <w:lvlText w:val="%3)"/>
      <w:lvlJc w:val="left"/>
      <w:pPr>
        <w:ind w:left="1967" w:hanging="681"/>
        <w:jc w:val="left"/>
      </w:pPr>
      <w:rPr>
        <w:rFonts w:hint="default" w:ascii="Stone Sans II ITC Std Bk" w:hAnsi="Stone Sans II ITC Std Bk" w:eastAsia="Stone Sans II ITC Std Bk" w:cs="Stone Sans II ITC Std Bk"/>
        <w:b/>
        <w:bCs/>
        <w:spacing w:val="-13"/>
        <w:w w:val="110"/>
        <w:sz w:val="20"/>
        <w:szCs w:val="20"/>
      </w:rPr>
    </w:lvl>
    <w:lvl w:ilvl="3">
      <w:start w:val="0"/>
      <w:numFmt w:val="bullet"/>
      <w:lvlText w:val="•"/>
      <w:lvlJc w:val="left"/>
      <w:pPr>
        <w:ind w:left="4027" w:hanging="681"/>
      </w:pPr>
      <w:rPr>
        <w:rFonts w:hint="default"/>
      </w:rPr>
    </w:lvl>
    <w:lvl w:ilvl="4">
      <w:start w:val="0"/>
      <w:numFmt w:val="bullet"/>
      <w:lvlText w:val="•"/>
      <w:lvlJc w:val="left"/>
      <w:pPr>
        <w:ind w:left="5061" w:hanging="681"/>
      </w:pPr>
      <w:rPr>
        <w:rFonts w:hint="default"/>
      </w:rPr>
    </w:lvl>
    <w:lvl w:ilvl="5">
      <w:start w:val="0"/>
      <w:numFmt w:val="bullet"/>
      <w:lvlText w:val="•"/>
      <w:lvlJc w:val="left"/>
      <w:pPr>
        <w:ind w:left="6095" w:hanging="681"/>
      </w:pPr>
      <w:rPr>
        <w:rFonts w:hint="default"/>
      </w:rPr>
    </w:lvl>
    <w:lvl w:ilvl="6">
      <w:start w:val="0"/>
      <w:numFmt w:val="bullet"/>
      <w:lvlText w:val="•"/>
      <w:lvlJc w:val="left"/>
      <w:pPr>
        <w:ind w:left="7129" w:hanging="681"/>
      </w:pPr>
      <w:rPr>
        <w:rFonts w:hint="default"/>
      </w:rPr>
    </w:lvl>
    <w:lvl w:ilvl="7">
      <w:start w:val="0"/>
      <w:numFmt w:val="bullet"/>
      <w:lvlText w:val="•"/>
      <w:lvlJc w:val="left"/>
      <w:pPr>
        <w:ind w:left="8163" w:hanging="681"/>
      </w:pPr>
      <w:rPr>
        <w:rFonts w:hint="default"/>
      </w:rPr>
    </w:lvl>
    <w:lvl w:ilvl="8">
      <w:start w:val="0"/>
      <w:numFmt w:val="bullet"/>
      <w:lvlText w:val="•"/>
      <w:lvlJc w:val="left"/>
      <w:pPr>
        <w:ind w:left="9197" w:hanging="681"/>
      </w:pPr>
      <w:rPr>
        <w:rFonts w:hint="default"/>
      </w:rPr>
    </w:lvl>
  </w:abstractNum>
  <w:abstractNum w:abstractNumId="191">
    <w:multiLevelType w:val="hybridMultilevel"/>
    <w:lvl w:ilvl="0">
      <w:start w:val="5"/>
      <w:numFmt w:val="decimal"/>
      <w:lvlText w:val="%1"/>
      <w:lvlJc w:val="left"/>
      <w:pPr>
        <w:ind w:left="1344" w:hanging="681"/>
        <w:jc w:val="left"/>
      </w:pPr>
      <w:rPr>
        <w:rFonts w:hint="default"/>
      </w:rPr>
    </w:lvl>
    <w:lvl w:ilvl="1">
      <w:start w:val="1"/>
      <w:numFmt w:val="decimal"/>
      <w:lvlText w:val="%1.%2"/>
      <w:lvlJc w:val="left"/>
      <w:pPr>
        <w:ind w:left="1344" w:hanging="681"/>
        <w:jc w:val="right"/>
      </w:pPr>
      <w:rPr>
        <w:rFonts w:hint="default" w:ascii="Calibri" w:hAnsi="Calibri" w:eastAsia="Calibri" w:cs="Calibri"/>
        <w:spacing w:val="-18"/>
        <w:w w:val="125"/>
        <w:sz w:val="20"/>
        <w:szCs w:val="20"/>
      </w:rPr>
    </w:lvl>
    <w:lvl w:ilvl="2">
      <w:start w:val="0"/>
      <w:numFmt w:val="bullet"/>
      <w:lvlText w:val="•"/>
      <w:lvlJc w:val="left"/>
      <w:pPr>
        <w:ind w:left="3325" w:hanging="681"/>
      </w:pPr>
      <w:rPr>
        <w:rFonts w:hint="default"/>
      </w:rPr>
    </w:lvl>
    <w:lvl w:ilvl="3">
      <w:start w:val="0"/>
      <w:numFmt w:val="bullet"/>
      <w:lvlText w:val="•"/>
      <w:lvlJc w:val="left"/>
      <w:pPr>
        <w:ind w:left="4317" w:hanging="681"/>
      </w:pPr>
      <w:rPr>
        <w:rFonts w:hint="default"/>
      </w:rPr>
    </w:lvl>
    <w:lvl w:ilvl="4">
      <w:start w:val="0"/>
      <w:numFmt w:val="bullet"/>
      <w:lvlText w:val="•"/>
      <w:lvlJc w:val="left"/>
      <w:pPr>
        <w:ind w:left="5310" w:hanging="681"/>
      </w:pPr>
      <w:rPr>
        <w:rFonts w:hint="default"/>
      </w:rPr>
    </w:lvl>
    <w:lvl w:ilvl="5">
      <w:start w:val="0"/>
      <w:numFmt w:val="bullet"/>
      <w:lvlText w:val="•"/>
      <w:lvlJc w:val="left"/>
      <w:pPr>
        <w:ind w:left="6302" w:hanging="681"/>
      </w:pPr>
      <w:rPr>
        <w:rFonts w:hint="default"/>
      </w:rPr>
    </w:lvl>
    <w:lvl w:ilvl="6">
      <w:start w:val="0"/>
      <w:numFmt w:val="bullet"/>
      <w:lvlText w:val="•"/>
      <w:lvlJc w:val="left"/>
      <w:pPr>
        <w:ind w:left="7295" w:hanging="681"/>
      </w:pPr>
      <w:rPr>
        <w:rFonts w:hint="default"/>
      </w:rPr>
    </w:lvl>
    <w:lvl w:ilvl="7">
      <w:start w:val="0"/>
      <w:numFmt w:val="bullet"/>
      <w:lvlText w:val="•"/>
      <w:lvlJc w:val="left"/>
      <w:pPr>
        <w:ind w:left="8287" w:hanging="681"/>
      </w:pPr>
      <w:rPr>
        <w:rFonts w:hint="default"/>
      </w:rPr>
    </w:lvl>
    <w:lvl w:ilvl="8">
      <w:start w:val="0"/>
      <w:numFmt w:val="bullet"/>
      <w:lvlText w:val="•"/>
      <w:lvlJc w:val="left"/>
      <w:pPr>
        <w:ind w:left="9280" w:hanging="681"/>
      </w:pPr>
      <w:rPr>
        <w:rFonts w:hint="default"/>
      </w:rPr>
    </w:lvl>
  </w:abstractNum>
  <w:abstractNum w:abstractNumId="190">
    <w:multiLevelType w:val="hybridMultilevel"/>
    <w:lvl w:ilvl="0">
      <w:start w:val="1"/>
      <w:numFmt w:val="lowerRoman"/>
      <w:lvlText w:val="%1)"/>
      <w:lvlJc w:val="left"/>
      <w:pPr>
        <w:ind w:left="2024" w:hanging="681"/>
        <w:jc w:val="left"/>
      </w:pPr>
      <w:rPr>
        <w:rFonts w:hint="default" w:ascii="Calibri" w:hAnsi="Calibri" w:eastAsia="Calibri" w:cs="Calibri"/>
        <w:spacing w:val="-4"/>
        <w:w w:val="122"/>
        <w:sz w:val="20"/>
        <w:szCs w:val="20"/>
      </w:rPr>
    </w:lvl>
    <w:lvl w:ilvl="1">
      <w:start w:val="0"/>
      <w:numFmt w:val="bullet"/>
      <w:lvlText w:val="•"/>
      <w:lvlJc w:val="left"/>
      <w:pPr>
        <w:ind w:left="2944" w:hanging="681"/>
      </w:pPr>
      <w:rPr>
        <w:rFonts w:hint="default"/>
      </w:rPr>
    </w:lvl>
    <w:lvl w:ilvl="2">
      <w:start w:val="0"/>
      <w:numFmt w:val="bullet"/>
      <w:lvlText w:val="•"/>
      <w:lvlJc w:val="left"/>
      <w:pPr>
        <w:ind w:left="3869" w:hanging="681"/>
      </w:pPr>
      <w:rPr>
        <w:rFonts w:hint="default"/>
      </w:rPr>
    </w:lvl>
    <w:lvl w:ilvl="3">
      <w:start w:val="0"/>
      <w:numFmt w:val="bullet"/>
      <w:lvlText w:val="•"/>
      <w:lvlJc w:val="left"/>
      <w:pPr>
        <w:ind w:left="4793" w:hanging="681"/>
      </w:pPr>
      <w:rPr>
        <w:rFonts w:hint="default"/>
      </w:rPr>
    </w:lvl>
    <w:lvl w:ilvl="4">
      <w:start w:val="0"/>
      <w:numFmt w:val="bullet"/>
      <w:lvlText w:val="•"/>
      <w:lvlJc w:val="left"/>
      <w:pPr>
        <w:ind w:left="5718" w:hanging="681"/>
      </w:pPr>
      <w:rPr>
        <w:rFonts w:hint="default"/>
      </w:rPr>
    </w:lvl>
    <w:lvl w:ilvl="5">
      <w:start w:val="0"/>
      <w:numFmt w:val="bullet"/>
      <w:lvlText w:val="•"/>
      <w:lvlJc w:val="left"/>
      <w:pPr>
        <w:ind w:left="6642" w:hanging="681"/>
      </w:pPr>
      <w:rPr>
        <w:rFonts w:hint="default"/>
      </w:rPr>
    </w:lvl>
    <w:lvl w:ilvl="6">
      <w:start w:val="0"/>
      <w:numFmt w:val="bullet"/>
      <w:lvlText w:val="•"/>
      <w:lvlJc w:val="left"/>
      <w:pPr>
        <w:ind w:left="7567" w:hanging="681"/>
      </w:pPr>
      <w:rPr>
        <w:rFonts w:hint="default"/>
      </w:rPr>
    </w:lvl>
    <w:lvl w:ilvl="7">
      <w:start w:val="0"/>
      <w:numFmt w:val="bullet"/>
      <w:lvlText w:val="•"/>
      <w:lvlJc w:val="left"/>
      <w:pPr>
        <w:ind w:left="8491" w:hanging="681"/>
      </w:pPr>
      <w:rPr>
        <w:rFonts w:hint="default"/>
      </w:rPr>
    </w:lvl>
    <w:lvl w:ilvl="8">
      <w:start w:val="0"/>
      <w:numFmt w:val="bullet"/>
      <w:lvlText w:val="•"/>
      <w:lvlJc w:val="left"/>
      <w:pPr>
        <w:ind w:left="9416" w:hanging="681"/>
      </w:pPr>
      <w:rPr>
        <w:rFonts w:hint="default"/>
      </w:rPr>
    </w:lvl>
  </w:abstractNum>
  <w:abstractNum w:abstractNumId="189">
    <w:multiLevelType w:val="hybridMultilevel"/>
    <w:lvl w:ilvl="0">
      <w:start w:val="4"/>
      <w:numFmt w:val="decimal"/>
      <w:lvlText w:val="%1"/>
      <w:lvlJc w:val="left"/>
      <w:pPr>
        <w:ind w:left="607" w:hanging="681"/>
        <w:jc w:val="left"/>
      </w:pPr>
      <w:rPr>
        <w:rFonts w:hint="default"/>
      </w:rPr>
    </w:lvl>
    <w:lvl w:ilvl="1">
      <w:start w:val="1"/>
      <w:numFmt w:val="decimal"/>
      <w:lvlText w:val="%1.%2"/>
      <w:lvlJc w:val="left"/>
      <w:pPr>
        <w:ind w:left="607" w:hanging="681"/>
        <w:jc w:val="right"/>
      </w:pPr>
      <w:rPr>
        <w:rFonts w:hint="default" w:ascii="Calibri" w:hAnsi="Calibri" w:eastAsia="Calibri" w:cs="Calibri"/>
        <w:spacing w:val="-16"/>
        <w:w w:val="125"/>
        <w:sz w:val="20"/>
        <w:szCs w:val="20"/>
      </w:rPr>
    </w:lvl>
    <w:lvl w:ilvl="2">
      <w:start w:val="0"/>
      <w:numFmt w:val="bullet"/>
      <w:lvlText w:val="•"/>
      <w:lvlJc w:val="left"/>
      <w:pPr>
        <w:ind w:left="2733" w:hanging="681"/>
      </w:pPr>
      <w:rPr>
        <w:rFonts w:hint="default"/>
      </w:rPr>
    </w:lvl>
    <w:lvl w:ilvl="3">
      <w:start w:val="0"/>
      <w:numFmt w:val="bullet"/>
      <w:lvlText w:val="•"/>
      <w:lvlJc w:val="left"/>
      <w:pPr>
        <w:ind w:left="3799" w:hanging="681"/>
      </w:pPr>
      <w:rPr>
        <w:rFonts w:hint="default"/>
      </w:rPr>
    </w:lvl>
    <w:lvl w:ilvl="4">
      <w:start w:val="0"/>
      <w:numFmt w:val="bullet"/>
      <w:lvlText w:val="•"/>
      <w:lvlJc w:val="left"/>
      <w:pPr>
        <w:ind w:left="4866" w:hanging="681"/>
      </w:pPr>
      <w:rPr>
        <w:rFonts w:hint="default"/>
      </w:rPr>
    </w:lvl>
    <w:lvl w:ilvl="5">
      <w:start w:val="0"/>
      <w:numFmt w:val="bullet"/>
      <w:lvlText w:val="•"/>
      <w:lvlJc w:val="left"/>
      <w:pPr>
        <w:ind w:left="5932" w:hanging="681"/>
      </w:pPr>
      <w:rPr>
        <w:rFonts w:hint="default"/>
      </w:rPr>
    </w:lvl>
    <w:lvl w:ilvl="6">
      <w:start w:val="0"/>
      <w:numFmt w:val="bullet"/>
      <w:lvlText w:val="•"/>
      <w:lvlJc w:val="left"/>
      <w:pPr>
        <w:ind w:left="6999" w:hanging="681"/>
      </w:pPr>
      <w:rPr>
        <w:rFonts w:hint="default"/>
      </w:rPr>
    </w:lvl>
    <w:lvl w:ilvl="7">
      <w:start w:val="0"/>
      <w:numFmt w:val="bullet"/>
      <w:lvlText w:val="•"/>
      <w:lvlJc w:val="left"/>
      <w:pPr>
        <w:ind w:left="8065" w:hanging="681"/>
      </w:pPr>
      <w:rPr>
        <w:rFonts w:hint="default"/>
      </w:rPr>
    </w:lvl>
    <w:lvl w:ilvl="8">
      <w:start w:val="0"/>
      <w:numFmt w:val="bullet"/>
      <w:lvlText w:val="•"/>
      <w:lvlJc w:val="left"/>
      <w:pPr>
        <w:ind w:left="9132" w:hanging="681"/>
      </w:pPr>
      <w:rPr>
        <w:rFonts w:hint="default"/>
      </w:rPr>
    </w:lvl>
  </w:abstractNum>
  <w:abstractNum w:abstractNumId="188">
    <w:multiLevelType w:val="hybridMultilevel"/>
    <w:lvl w:ilvl="0">
      <w:start w:val="1"/>
      <w:numFmt w:val="lowerRoman"/>
      <w:lvlText w:val="%1)"/>
      <w:lvlJc w:val="left"/>
      <w:pPr>
        <w:ind w:left="1287" w:hanging="681"/>
        <w:jc w:val="left"/>
      </w:pPr>
      <w:rPr>
        <w:rFonts w:hint="default" w:ascii="Calibri" w:hAnsi="Calibri" w:eastAsia="Calibri" w:cs="Calibri"/>
        <w:spacing w:val="-4"/>
        <w:w w:val="122"/>
        <w:sz w:val="20"/>
        <w:szCs w:val="20"/>
      </w:rPr>
    </w:lvl>
    <w:lvl w:ilvl="1">
      <w:start w:val="0"/>
      <w:numFmt w:val="bullet"/>
      <w:lvlText w:val="•"/>
      <w:lvlJc w:val="left"/>
      <w:pPr>
        <w:ind w:left="2278" w:hanging="681"/>
      </w:pPr>
      <w:rPr>
        <w:rFonts w:hint="default"/>
      </w:rPr>
    </w:lvl>
    <w:lvl w:ilvl="2">
      <w:start w:val="0"/>
      <w:numFmt w:val="bullet"/>
      <w:lvlText w:val="•"/>
      <w:lvlJc w:val="left"/>
      <w:pPr>
        <w:ind w:left="3277" w:hanging="681"/>
      </w:pPr>
      <w:rPr>
        <w:rFonts w:hint="default"/>
      </w:rPr>
    </w:lvl>
    <w:lvl w:ilvl="3">
      <w:start w:val="0"/>
      <w:numFmt w:val="bullet"/>
      <w:lvlText w:val="•"/>
      <w:lvlJc w:val="left"/>
      <w:pPr>
        <w:ind w:left="4275" w:hanging="681"/>
      </w:pPr>
      <w:rPr>
        <w:rFonts w:hint="default"/>
      </w:rPr>
    </w:lvl>
    <w:lvl w:ilvl="4">
      <w:start w:val="0"/>
      <w:numFmt w:val="bullet"/>
      <w:lvlText w:val="•"/>
      <w:lvlJc w:val="left"/>
      <w:pPr>
        <w:ind w:left="5274" w:hanging="681"/>
      </w:pPr>
      <w:rPr>
        <w:rFonts w:hint="default"/>
      </w:rPr>
    </w:lvl>
    <w:lvl w:ilvl="5">
      <w:start w:val="0"/>
      <w:numFmt w:val="bullet"/>
      <w:lvlText w:val="•"/>
      <w:lvlJc w:val="left"/>
      <w:pPr>
        <w:ind w:left="6272" w:hanging="681"/>
      </w:pPr>
      <w:rPr>
        <w:rFonts w:hint="default"/>
      </w:rPr>
    </w:lvl>
    <w:lvl w:ilvl="6">
      <w:start w:val="0"/>
      <w:numFmt w:val="bullet"/>
      <w:lvlText w:val="•"/>
      <w:lvlJc w:val="left"/>
      <w:pPr>
        <w:ind w:left="7271" w:hanging="681"/>
      </w:pPr>
      <w:rPr>
        <w:rFonts w:hint="default"/>
      </w:rPr>
    </w:lvl>
    <w:lvl w:ilvl="7">
      <w:start w:val="0"/>
      <w:numFmt w:val="bullet"/>
      <w:lvlText w:val="•"/>
      <w:lvlJc w:val="left"/>
      <w:pPr>
        <w:ind w:left="8269" w:hanging="681"/>
      </w:pPr>
      <w:rPr>
        <w:rFonts w:hint="default"/>
      </w:rPr>
    </w:lvl>
    <w:lvl w:ilvl="8">
      <w:start w:val="0"/>
      <w:numFmt w:val="bullet"/>
      <w:lvlText w:val="•"/>
      <w:lvlJc w:val="left"/>
      <w:pPr>
        <w:ind w:left="9268" w:hanging="681"/>
      </w:pPr>
      <w:rPr>
        <w:rFonts w:hint="default"/>
      </w:rPr>
    </w:lvl>
  </w:abstractNum>
  <w:abstractNum w:abstractNumId="187">
    <w:multiLevelType w:val="hybridMultilevel"/>
    <w:lvl w:ilvl="0">
      <w:start w:val="3"/>
      <w:numFmt w:val="decimal"/>
      <w:lvlText w:val="%1"/>
      <w:lvlJc w:val="left"/>
      <w:pPr>
        <w:ind w:left="607" w:hanging="681"/>
        <w:jc w:val="left"/>
      </w:pPr>
      <w:rPr>
        <w:rFonts w:hint="default"/>
      </w:rPr>
    </w:lvl>
    <w:lvl w:ilvl="1">
      <w:start w:val="1"/>
      <w:numFmt w:val="decimal"/>
      <w:lvlText w:val="%1.%2"/>
      <w:lvlJc w:val="left"/>
      <w:pPr>
        <w:ind w:left="607" w:hanging="681"/>
        <w:jc w:val="left"/>
      </w:pPr>
      <w:rPr>
        <w:rFonts w:hint="default" w:ascii="Calibri" w:hAnsi="Calibri" w:eastAsia="Calibri" w:cs="Calibri"/>
        <w:spacing w:val="-18"/>
        <w:w w:val="125"/>
        <w:sz w:val="20"/>
        <w:szCs w:val="20"/>
      </w:rPr>
    </w:lvl>
    <w:lvl w:ilvl="2">
      <w:start w:val="0"/>
      <w:numFmt w:val="bullet"/>
      <w:lvlText w:val="•"/>
      <w:lvlJc w:val="left"/>
      <w:pPr>
        <w:ind w:left="2733" w:hanging="681"/>
      </w:pPr>
      <w:rPr>
        <w:rFonts w:hint="default"/>
      </w:rPr>
    </w:lvl>
    <w:lvl w:ilvl="3">
      <w:start w:val="0"/>
      <w:numFmt w:val="bullet"/>
      <w:lvlText w:val="•"/>
      <w:lvlJc w:val="left"/>
      <w:pPr>
        <w:ind w:left="3799" w:hanging="681"/>
      </w:pPr>
      <w:rPr>
        <w:rFonts w:hint="default"/>
      </w:rPr>
    </w:lvl>
    <w:lvl w:ilvl="4">
      <w:start w:val="0"/>
      <w:numFmt w:val="bullet"/>
      <w:lvlText w:val="•"/>
      <w:lvlJc w:val="left"/>
      <w:pPr>
        <w:ind w:left="4866" w:hanging="681"/>
      </w:pPr>
      <w:rPr>
        <w:rFonts w:hint="default"/>
      </w:rPr>
    </w:lvl>
    <w:lvl w:ilvl="5">
      <w:start w:val="0"/>
      <w:numFmt w:val="bullet"/>
      <w:lvlText w:val="•"/>
      <w:lvlJc w:val="left"/>
      <w:pPr>
        <w:ind w:left="5932" w:hanging="681"/>
      </w:pPr>
      <w:rPr>
        <w:rFonts w:hint="default"/>
      </w:rPr>
    </w:lvl>
    <w:lvl w:ilvl="6">
      <w:start w:val="0"/>
      <w:numFmt w:val="bullet"/>
      <w:lvlText w:val="•"/>
      <w:lvlJc w:val="left"/>
      <w:pPr>
        <w:ind w:left="6999" w:hanging="681"/>
      </w:pPr>
      <w:rPr>
        <w:rFonts w:hint="default"/>
      </w:rPr>
    </w:lvl>
    <w:lvl w:ilvl="7">
      <w:start w:val="0"/>
      <w:numFmt w:val="bullet"/>
      <w:lvlText w:val="•"/>
      <w:lvlJc w:val="left"/>
      <w:pPr>
        <w:ind w:left="8065" w:hanging="681"/>
      </w:pPr>
      <w:rPr>
        <w:rFonts w:hint="default"/>
      </w:rPr>
    </w:lvl>
    <w:lvl w:ilvl="8">
      <w:start w:val="0"/>
      <w:numFmt w:val="bullet"/>
      <w:lvlText w:val="•"/>
      <w:lvlJc w:val="left"/>
      <w:pPr>
        <w:ind w:left="9132" w:hanging="681"/>
      </w:pPr>
      <w:rPr>
        <w:rFonts w:hint="default"/>
      </w:rPr>
    </w:lvl>
  </w:abstractNum>
  <w:abstractNum w:abstractNumId="186">
    <w:multiLevelType w:val="hybridMultilevel"/>
    <w:lvl w:ilvl="0">
      <w:start w:val="1"/>
      <w:numFmt w:val="decimal"/>
      <w:lvlText w:val="%1."/>
      <w:lvlJc w:val="left"/>
      <w:pPr>
        <w:ind w:left="607" w:hanging="681"/>
        <w:jc w:val="left"/>
      </w:pPr>
      <w:rPr>
        <w:rFonts w:hint="default" w:ascii="Calibri" w:hAnsi="Calibri" w:eastAsia="Calibri" w:cs="Calibri"/>
        <w:spacing w:val="-13"/>
        <w:w w:val="125"/>
        <w:sz w:val="20"/>
        <w:szCs w:val="20"/>
      </w:rPr>
    </w:lvl>
    <w:lvl w:ilvl="1">
      <w:start w:val="7"/>
      <w:numFmt w:val="decimal"/>
      <w:lvlText w:val="%2."/>
      <w:lvlJc w:val="left"/>
      <w:pPr>
        <w:ind w:left="1344" w:hanging="681"/>
        <w:jc w:val="left"/>
      </w:pPr>
      <w:rPr>
        <w:rFonts w:hint="default" w:ascii="Calibri" w:hAnsi="Calibri" w:eastAsia="Calibri" w:cs="Calibri"/>
        <w:spacing w:val="-25"/>
        <w:w w:val="125"/>
        <w:sz w:val="20"/>
        <w:szCs w:val="20"/>
      </w:rPr>
    </w:lvl>
    <w:lvl w:ilvl="2">
      <w:start w:val="0"/>
      <w:numFmt w:val="bullet"/>
      <w:lvlText w:val="•"/>
      <w:lvlJc w:val="left"/>
      <w:pPr>
        <w:ind w:left="2442" w:hanging="681"/>
      </w:pPr>
      <w:rPr>
        <w:rFonts w:hint="default"/>
      </w:rPr>
    </w:lvl>
    <w:lvl w:ilvl="3">
      <w:start w:val="0"/>
      <w:numFmt w:val="bullet"/>
      <w:lvlText w:val="•"/>
      <w:lvlJc w:val="left"/>
      <w:pPr>
        <w:ind w:left="3545" w:hanging="681"/>
      </w:pPr>
      <w:rPr>
        <w:rFonts w:hint="default"/>
      </w:rPr>
    </w:lvl>
    <w:lvl w:ilvl="4">
      <w:start w:val="0"/>
      <w:numFmt w:val="bullet"/>
      <w:lvlText w:val="•"/>
      <w:lvlJc w:val="left"/>
      <w:pPr>
        <w:ind w:left="4648" w:hanging="681"/>
      </w:pPr>
      <w:rPr>
        <w:rFonts w:hint="default"/>
      </w:rPr>
    </w:lvl>
    <w:lvl w:ilvl="5">
      <w:start w:val="0"/>
      <w:numFmt w:val="bullet"/>
      <w:lvlText w:val="•"/>
      <w:lvlJc w:val="left"/>
      <w:pPr>
        <w:ind w:left="5751" w:hanging="681"/>
      </w:pPr>
      <w:rPr>
        <w:rFonts w:hint="default"/>
      </w:rPr>
    </w:lvl>
    <w:lvl w:ilvl="6">
      <w:start w:val="0"/>
      <w:numFmt w:val="bullet"/>
      <w:lvlText w:val="•"/>
      <w:lvlJc w:val="left"/>
      <w:pPr>
        <w:ind w:left="6854" w:hanging="681"/>
      </w:pPr>
      <w:rPr>
        <w:rFonts w:hint="default"/>
      </w:rPr>
    </w:lvl>
    <w:lvl w:ilvl="7">
      <w:start w:val="0"/>
      <w:numFmt w:val="bullet"/>
      <w:lvlText w:val="•"/>
      <w:lvlJc w:val="left"/>
      <w:pPr>
        <w:ind w:left="7957" w:hanging="681"/>
      </w:pPr>
      <w:rPr>
        <w:rFonts w:hint="default"/>
      </w:rPr>
    </w:lvl>
    <w:lvl w:ilvl="8">
      <w:start w:val="0"/>
      <w:numFmt w:val="bullet"/>
      <w:lvlText w:val="•"/>
      <w:lvlJc w:val="left"/>
      <w:pPr>
        <w:ind w:left="9059" w:hanging="681"/>
      </w:pPr>
      <w:rPr>
        <w:rFonts w:hint="default"/>
      </w:rPr>
    </w:lvl>
  </w:abstractNum>
  <w:abstractNum w:abstractNumId="185">
    <w:multiLevelType w:val="hybridMultilevel"/>
    <w:lvl w:ilvl="0">
      <w:start w:val="1"/>
      <w:numFmt w:val="lowerLetter"/>
      <w:lvlText w:val="%1)"/>
      <w:lvlJc w:val="left"/>
      <w:pPr>
        <w:ind w:left="533" w:hanging="454"/>
        <w:jc w:val="left"/>
      </w:pPr>
      <w:rPr>
        <w:rFonts w:hint="default" w:ascii="Stone Sans II ITC Std Bk" w:hAnsi="Stone Sans II ITC Std Bk" w:eastAsia="Stone Sans II ITC Std Bk" w:cs="Stone Sans II ITC Std Bk"/>
        <w:b/>
        <w:bCs/>
        <w:spacing w:val="-13"/>
        <w:w w:val="110"/>
        <w:sz w:val="20"/>
        <w:szCs w:val="20"/>
      </w:rPr>
    </w:lvl>
    <w:lvl w:ilvl="1">
      <w:start w:val="0"/>
      <w:numFmt w:val="bullet"/>
      <w:lvlText w:val="•"/>
      <w:lvlJc w:val="left"/>
      <w:pPr>
        <w:ind w:left="1143" w:hanging="454"/>
      </w:pPr>
      <w:rPr>
        <w:rFonts w:hint="default"/>
      </w:rPr>
    </w:lvl>
    <w:lvl w:ilvl="2">
      <w:start w:val="0"/>
      <w:numFmt w:val="bullet"/>
      <w:lvlText w:val="•"/>
      <w:lvlJc w:val="left"/>
      <w:pPr>
        <w:ind w:left="1746" w:hanging="454"/>
      </w:pPr>
      <w:rPr>
        <w:rFonts w:hint="default"/>
      </w:rPr>
    </w:lvl>
    <w:lvl w:ilvl="3">
      <w:start w:val="0"/>
      <w:numFmt w:val="bullet"/>
      <w:lvlText w:val="•"/>
      <w:lvlJc w:val="left"/>
      <w:pPr>
        <w:ind w:left="2349" w:hanging="454"/>
      </w:pPr>
      <w:rPr>
        <w:rFonts w:hint="default"/>
      </w:rPr>
    </w:lvl>
    <w:lvl w:ilvl="4">
      <w:start w:val="0"/>
      <w:numFmt w:val="bullet"/>
      <w:lvlText w:val="•"/>
      <w:lvlJc w:val="left"/>
      <w:pPr>
        <w:ind w:left="2952" w:hanging="454"/>
      </w:pPr>
      <w:rPr>
        <w:rFonts w:hint="default"/>
      </w:rPr>
    </w:lvl>
    <w:lvl w:ilvl="5">
      <w:start w:val="0"/>
      <w:numFmt w:val="bullet"/>
      <w:lvlText w:val="•"/>
      <w:lvlJc w:val="left"/>
      <w:pPr>
        <w:ind w:left="3556" w:hanging="454"/>
      </w:pPr>
      <w:rPr>
        <w:rFonts w:hint="default"/>
      </w:rPr>
    </w:lvl>
    <w:lvl w:ilvl="6">
      <w:start w:val="0"/>
      <w:numFmt w:val="bullet"/>
      <w:lvlText w:val="•"/>
      <w:lvlJc w:val="left"/>
      <w:pPr>
        <w:ind w:left="4159" w:hanging="454"/>
      </w:pPr>
      <w:rPr>
        <w:rFonts w:hint="default"/>
      </w:rPr>
    </w:lvl>
    <w:lvl w:ilvl="7">
      <w:start w:val="0"/>
      <w:numFmt w:val="bullet"/>
      <w:lvlText w:val="•"/>
      <w:lvlJc w:val="left"/>
      <w:pPr>
        <w:ind w:left="4762" w:hanging="454"/>
      </w:pPr>
      <w:rPr>
        <w:rFonts w:hint="default"/>
      </w:rPr>
    </w:lvl>
    <w:lvl w:ilvl="8">
      <w:start w:val="0"/>
      <w:numFmt w:val="bullet"/>
      <w:lvlText w:val="•"/>
      <w:lvlJc w:val="left"/>
      <w:pPr>
        <w:ind w:left="5365" w:hanging="454"/>
      </w:pPr>
      <w:rPr>
        <w:rFonts w:hint="default"/>
      </w:rPr>
    </w:lvl>
  </w:abstractNum>
  <w:abstractNum w:abstractNumId="184">
    <w:multiLevelType w:val="hybridMultilevel"/>
    <w:lvl w:ilvl="0">
      <w:start w:val="28"/>
      <w:numFmt w:val="decimal"/>
      <w:lvlText w:val="%1."/>
      <w:lvlJc w:val="left"/>
      <w:pPr>
        <w:ind w:left="80" w:hanging="681"/>
        <w:jc w:val="left"/>
      </w:pPr>
      <w:rPr>
        <w:rFonts w:hint="default" w:ascii="Stone Sans II ITC Std Bk" w:hAnsi="Stone Sans II ITC Std Bk" w:eastAsia="Stone Sans II ITC Std Bk" w:cs="Stone Sans II ITC Std Bk"/>
        <w:b/>
        <w:bCs/>
        <w:w w:val="110"/>
        <w:sz w:val="20"/>
        <w:szCs w:val="20"/>
      </w:rPr>
    </w:lvl>
    <w:lvl w:ilvl="1">
      <w:start w:val="0"/>
      <w:numFmt w:val="bullet"/>
      <w:lvlText w:val="•"/>
      <w:lvlJc w:val="left"/>
      <w:pPr>
        <w:ind w:left="729" w:hanging="681"/>
      </w:pPr>
      <w:rPr>
        <w:rFonts w:hint="default"/>
      </w:rPr>
    </w:lvl>
    <w:lvl w:ilvl="2">
      <w:start w:val="0"/>
      <w:numFmt w:val="bullet"/>
      <w:lvlText w:val="•"/>
      <w:lvlJc w:val="left"/>
      <w:pPr>
        <w:ind w:left="1378" w:hanging="681"/>
      </w:pPr>
      <w:rPr>
        <w:rFonts w:hint="default"/>
      </w:rPr>
    </w:lvl>
    <w:lvl w:ilvl="3">
      <w:start w:val="0"/>
      <w:numFmt w:val="bullet"/>
      <w:lvlText w:val="•"/>
      <w:lvlJc w:val="left"/>
      <w:pPr>
        <w:ind w:left="2027" w:hanging="681"/>
      </w:pPr>
      <w:rPr>
        <w:rFonts w:hint="default"/>
      </w:rPr>
    </w:lvl>
    <w:lvl w:ilvl="4">
      <w:start w:val="0"/>
      <w:numFmt w:val="bullet"/>
      <w:lvlText w:val="•"/>
      <w:lvlJc w:val="left"/>
      <w:pPr>
        <w:ind w:left="2676" w:hanging="681"/>
      </w:pPr>
      <w:rPr>
        <w:rFonts w:hint="default"/>
      </w:rPr>
    </w:lvl>
    <w:lvl w:ilvl="5">
      <w:start w:val="0"/>
      <w:numFmt w:val="bullet"/>
      <w:lvlText w:val="•"/>
      <w:lvlJc w:val="left"/>
      <w:pPr>
        <w:ind w:left="3326" w:hanging="681"/>
      </w:pPr>
      <w:rPr>
        <w:rFonts w:hint="default"/>
      </w:rPr>
    </w:lvl>
    <w:lvl w:ilvl="6">
      <w:start w:val="0"/>
      <w:numFmt w:val="bullet"/>
      <w:lvlText w:val="•"/>
      <w:lvlJc w:val="left"/>
      <w:pPr>
        <w:ind w:left="3975" w:hanging="681"/>
      </w:pPr>
      <w:rPr>
        <w:rFonts w:hint="default"/>
      </w:rPr>
    </w:lvl>
    <w:lvl w:ilvl="7">
      <w:start w:val="0"/>
      <w:numFmt w:val="bullet"/>
      <w:lvlText w:val="•"/>
      <w:lvlJc w:val="left"/>
      <w:pPr>
        <w:ind w:left="4624" w:hanging="681"/>
      </w:pPr>
      <w:rPr>
        <w:rFonts w:hint="default"/>
      </w:rPr>
    </w:lvl>
    <w:lvl w:ilvl="8">
      <w:start w:val="0"/>
      <w:numFmt w:val="bullet"/>
      <w:lvlText w:val="•"/>
      <w:lvlJc w:val="left"/>
      <w:pPr>
        <w:ind w:left="5273" w:hanging="681"/>
      </w:pPr>
      <w:rPr>
        <w:rFonts w:hint="default"/>
      </w:rPr>
    </w:lvl>
  </w:abstractNum>
  <w:abstractNum w:abstractNumId="183">
    <w:multiLevelType w:val="hybridMultilevel"/>
    <w:lvl w:ilvl="0">
      <w:start w:val="3"/>
      <w:numFmt w:val="decimal"/>
      <w:lvlText w:val="%1."/>
      <w:lvlJc w:val="left"/>
      <w:pPr>
        <w:ind w:left="1344" w:hanging="681"/>
        <w:jc w:val="left"/>
      </w:pPr>
      <w:rPr>
        <w:rFonts w:hint="default" w:ascii="Calibri" w:hAnsi="Calibri" w:eastAsia="Calibri" w:cs="Calibri"/>
        <w:spacing w:val="-4"/>
        <w:w w:val="125"/>
        <w:sz w:val="20"/>
        <w:szCs w:val="20"/>
      </w:rPr>
    </w:lvl>
    <w:lvl w:ilvl="1">
      <w:start w:val="0"/>
      <w:numFmt w:val="bullet"/>
      <w:lvlText w:val="•"/>
      <w:lvlJc w:val="left"/>
      <w:pPr>
        <w:ind w:left="2332" w:hanging="681"/>
      </w:pPr>
      <w:rPr>
        <w:rFonts w:hint="default"/>
      </w:rPr>
    </w:lvl>
    <w:lvl w:ilvl="2">
      <w:start w:val="0"/>
      <w:numFmt w:val="bullet"/>
      <w:lvlText w:val="•"/>
      <w:lvlJc w:val="left"/>
      <w:pPr>
        <w:ind w:left="3325" w:hanging="681"/>
      </w:pPr>
      <w:rPr>
        <w:rFonts w:hint="default"/>
      </w:rPr>
    </w:lvl>
    <w:lvl w:ilvl="3">
      <w:start w:val="0"/>
      <w:numFmt w:val="bullet"/>
      <w:lvlText w:val="•"/>
      <w:lvlJc w:val="left"/>
      <w:pPr>
        <w:ind w:left="4317" w:hanging="681"/>
      </w:pPr>
      <w:rPr>
        <w:rFonts w:hint="default"/>
      </w:rPr>
    </w:lvl>
    <w:lvl w:ilvl="4">
      <w:start w:val="0"/>
      <w:numFmt w:val="bullet"/>
      <w:lvlText w:val="•"/>
      <w:lvlJc w:val="left"/>
      <w:pPr>
        <w:ind w:left="5310" w:hanging="681"/>
      </w:pPr>
      <w:rPr>
        <w:rFonts w:hint="default"/>
      </w:rPr>
    </w:lvl>
    <w:lvl w:ilvl="5">
      <w:start w:val="0"/>
      <w:numFmt w:val="bullet"/>
      <w:lvlText w:val="•"/>
      <w:lvlJc w:val="left"/>
      <w:pPr>
        <w:ind w:left="6302" w:hanging="681"/>
      </w:pPr>
      <w:rPr>
        <w:rFonts w:hint="default"/>
      </w:rPr>
    </w:lvl>
    <w:lvl w:ilvl="6">
      <w:start w:val="0"/>
      <w:numFmt w:val="bullet"/>
      <w:lvlText w:val="•"/>
      <w:lvlJc w:val="left"/>
      <w:pPr>
        <w:ind w:left="7295" w:hanging="681"/>
      </w:pPr>
      <w:rPr>
        <w:rFonts w:hint="default"/>
      </w:rPr>
    </w:lvl>
    <w:lvl w:ilvl="7">
      <w:start w:val="0"/>
      <w:numFmt w:val="bullet"/>
      <w:lvlText w:val="•"/>
      <w:lvlJc w:val="left"/>
      <w:pPr>
        <w:ind w:left="8287" w:hanging="681"/>
      </w:pPr>
      <w:rPr>
        <w:rFonts w:hint="default"/>
      </w:rPr>
    </w:lvl>
    <w:lvl w:ilvl="8">
      <w:start w:val="0"/>
      <w:numFmt w:val="bullet"/>
      <w:lvlText w:val="•"/>
      <w:lvlJc w:val="left"/>
      <w:pPr>
        <w:ind w:left="9280" w:hanging="681"/>
      </w:pPr>
      <w:rPr>
        <w:rFonts w:hint="default"/>
      </w:rPr>
    </w:lvl>
  </w:abstractNum>
  <w:abstractNum w:abstractNumId="182">
    <w:multiLevelType w:val="hybridMultilevel"/>
    <w:lvl w:ilvl="0">
      <w:start w:val="2"/>
      <w:numFmt w:val="decimal"/>
      <w:lvlText w:val="%1"/>
      <w:lvlJc w:val="left"/>
      <w:pPr>
        <w:ind w:left="607" w:hanging="681"/>
        <w:jc w:val="left"/>
      </w:pPr>
      <w:rPr>
        <w:rFonts w:hint="default"/>
      </w:rPr>
    </w:lvl>
    <w:lvl w:ilvl="1">
      <w:start w:val="1"/>
      <w:numFmt w:val="decimal"/>
      <w:lvlText w:val="%1.%2"/>
      <w:lvlJc w:val="left"/>
      <w:pPr>
        <w:ind w:left="607" w:hanging="681"/>
        <w:jc w:val="left"/>
      </w:pPr>
      <w:rPr>
        <w:rFonts w:hint="default" w:ascii="Calibri" w:hAnsi="Calibri" w:eastAsia="Calibri" w:cs="Calibri"/>
        <w:spacing w:val="-18"/>
        <w:w w:val="125"/>
        <w:sz w:val="20"/>
        <w:szCs w:val="20"/>
      </w:rPr>
    </w:lvl>
    <w:lvl w:ilvl="2">
      <w:start w:val="0"/>
      <w:numFmt w:val="bullet"/>
      <w:lvlText w:val="•"/>
      <w:lvlJc w:val="left"/>
      <w:pPr>
        <w:ind w:left="2733" w:hanging="681"/>
      </w:pPr>
      <w:rPr>
        <w:rFonts w:hint="default"/>
      </w:rPr>
    </w:lvl>
    <w:lvl w:ilvl="3">
      <w:start w:val="0"/>
      <w:numFmt w:val="bullet"/>
      <w:lvlText w:val="•"/>
      <w:lvlJc w:val="left"/>
      <w:pPr>
        <w:ind w:left="3799" w:hanging="681"/>
      </w:pPr>
      <w:rPr>
        <w:rFonts w:hint="default"/>
      </w:rPr>
    </w:lvl>
    <w:lvl w:ilvl="4">
      <w:start w:val="0"/>
      <w:numFmt w:val="bullet"/>
      <w:lvlText w:val="•"/>
      <w:lvlJc w:val="left"/>
      <w:pPr>
        <w:ind w:left="4866" w:hanging="681"/>
      </w:pPr>
      <w:rPr>
        <w:rFonts w:hint="default"/>
      </w:rPr>
    </w:lvl>
    <w:lvl w:ilvl="5">
      <w:start w:val="0"/>
      <w:numFmt w:val="bullet"/>
      <w:lvlText w:val="•"/>
      <w:lvlJc w:val="left"/>
      <w:pPr>
        <w:ind w:left="5932" w:hanging="681"/>
      </w:pPr>
      <w:rPr>
        <w:rFonts w:hint="default"/>
      </w:rPr>
    </w:lvl>
    <w:lvl w:ilvl="6">
      <w:start w:val="0"/>
      <w:numFmt w:val="bullet"/>
      <w:lvlText w:val="•"/>
      <w:lvlJc w:val="left"/>
      <w:pPr>
        <w:ind w:left="6999" w:hanging="681"/>
      </w:pPr>
      <w:rPr>
        <w:rFonts w:hint="default"/>
      </w:rPr>
    </w:lvl>
    <w:lvl w:ilvl="7">
      <w:start w:val="0"/>
      <w:numFmt w:val="bullet"/>
      <w:lvlText w:val="•"/>
      <w:lvlJc w:val="left"/>
      <w:pPr>
        <w:ind w:left="8065" w:hanging="681"/>
      </w:pPr>
      <w:rPr>
        <w:rFonts w:hint="default"/>
      </w:rPr>
    </w:lvl>
    <w:lvl w:ilvl="8">
      <w:start w:val="0"/>
      <w:numFmt w:val="bullet"/>
      <w:lvlText w:val="•"/>
      <w:lvlJc w:val="left"/>
      <w:pPr>
        <w:ind w:left="9132" w:hanging="681"/>
      </w:pPr>
      <w:rPr>
        <w:rFonts w:hint="default"/>
      </w:rPr>
    </w:lvl>
  </w:abstractNum>
  <w:abstractNum w:abstractNumId="181">
    <w:multiLevelType w:val="hybridMultilevel"/>
    <w:lvl w:ilvl="0">
      <w:start w:val="1"/>
      <w:numFmt w:val="decimal"/>
      <w:lvlText w:val="%1"/>
      <w:lvlJc w:val="left"/>
      <w:pPr>
        <w:ind w:left="1287" w:hanging="681"/>
        <w:jc w:val="left"/>
      </w:pPr>
      <w:rPr>
        <w:rFonts w:hint="default"/>
      </w:rPr>
    </w:lvl>
    <w:lvl w:ilvl="1">
      <w:start w:val="1"/>
      <w:numFmt w:val="decimal"/>
      <w:lvlText w:val="%1.%2"/>
      <w:lvlJc w:val="left"/>
      <w:pPr>
        <w:ind w:left="1287" w:hanging="681"/>
        <w:jc w:val="left"/>
      </w:pPr>
      <w:rPr>
        <w:rFonts w:hint="default" w:ascii="Calibri" w:hAnsi="Calibri" w:eastAsia="Calibri" w:cs="Calibri"/>
        <w:spacing w:val="-18"/>
        <w:w w:val="125"/>
        <w:sz w:val="20"/>
        <w:szCs w:val="20"/>
      </w:rPr>
    </w:lvl>
    <w:lvl w:ilvl="2">
      <w:start w:val="0"/>
      <w:numFmt w:val="bullet"/>
      <w:lvlText w:val="•"/>
      <w:lvlJc w:val="left"/>
      <w:pPr>
        <w:ind w:left="3277" w:hanging="681"/>
      </w:pPr>
      <w:rPr>
        <w:rFonts w:hint="default"/>
      </w:rPr>
    </w:lvl>
    <w:lvl w:ilvl="3">
      <w:start w:val="0"/>
      <w:numFmt w:val="bullet"/>
      <w:lvlText w:val="•"/>
      <w:lvlJc w:val="left"/>
      <w:pPr>
        <w:ind w:left="4275" w:hanging="681"/>
      </w:pPr>
      <w:rPr>
        <w:rFonts w:hint="default"/>
      </w:rPr>
    </w:lvl>
    <w:lvl w:ilvl="4">
      <w:start w:val="0"/>
      <w:numFmt w:val="bullet"/>
      <w:lvlText w:val="•"/>
      <w:lvlJc w:val="left"/>
      <w:pPr>
        <w:ind w:left="5274" w:hanging="681"/>
      </w:pPr>
      <w:rPr>
        <w:rFonts w:hint="default"/>
      </w:rPr>
    </w:lvl>
    <w:lvl w:ilvl="5">
      <w:start w:val="0"/>
      <w:numFmt w:val="bullet"/>
      <w:lvlText w:val="•"/>
      <w:lvlJc w:val="left"/>
      <w:pPr>
        <w:ind w:left="6272" w:hanging="681"/>
      </w:pPr>
      <w:rPr>
        <w:rFonts w:hint="default"/>
      </w:rPr>
    </w:lvl>
    <w:lvl w:ilvl="6">
      <w:start w:val="0"/>
      <w:numFmt w:val="bullet"/>
      <w:lvlText w:val="•"/>
      <w:lvlJc w:val="left"/>
      <w:pPr>
        <w:ind w:left="7271" w:hanging="681"/>
      </w:pPr>
      <w:rPr>
        <w:rFonts w:hint="default"/>
      </w:rPr>
    </w:lvl>
    <w:lvl w:ilvl="7">
      <w:start w:val="0"/>
      <w:numFmt w:val="bullet"/>
      <w:lvlText w:val="•"/>
      <w:lvlJc w:val="left"/>
      <w:pPr>
        <w:ind w:left="8269" w:hanging="681"/>
      </w:pPr>
      <w:rPr>
        <w:rFonts w:hint="default"/>
      </w:rPr>
    </w:lvl>
    <w:lvl w:ilvl="8">
      <w:start w:val="0"/>
      <w:numFmt w:val="bullet"/>
      <w:lvlText w:val="•"/>
      <w:lvlJc w:val="left"/>
      <w:pPr>
        <w:ind w:left="9268" w:hanging="681"/>
      </w:pPr>
      <w:rPr>
        <w:rFonts w:hint="default"/>
      </w:rPr>
    </w:lvl>
  </w:abstractNum>
  <w:abstractNum w:abstractNumId="180">
    <w:multiLevelType w:val="hybridMultilevel"/>
    <w:lvl w:ilvl="0">
      <w:start w:val="4"/>
      <w:numFmt w:val="decimal"/>
      <w:lvlText w:val="%1."/>
      <w:lvlJc w:val="left"/>
      <w:pPr>
        <w:ind w:left="1344" w:hanging="681"/>
        <w:jc w:val="left"/>
      </w:pPr>
      <w:rPr>
        <w:rFonts w:hint="default" w:ascii="Calibri" w:hAnsi="Calibri" w:eastAsia="Calibri" w:cs="Calibri"/>
        <w:spacing w:val="-4"/>
        <w:w w:val="125"/>
        <w:sz w:val="20"/>
        <w:szCs w:val="20"/>
      </w:rPr>
    </w:lvl>
    <w:lvl w:ilvl="1">
      <w:start w:val="0"/>
      <w:numFmt w:val="bullet"/>
      <w:lvlText w:val="•"/>
      <w:lvlJc w:val="left"/>
      <w:pPr>
        <w:ind w:left="2332" w:hanging="681"/>
      </w:pPr>
      <w:rPr>
        <w:rFonts w:hint="default"/>
      </w:rPr>
    </w:lvl>
    <w:lvl w:ilvl="2">
      <w:start w:val="0"/>
      <w:numFmt w:val="bullet"/>
      <w:lvlText w:val="•"/>
      <w:lvlJc w:val="left"/>
      <w:pPr>
        <w:ind w:left="3325" w:hanging="681"/>
      </w:pPr>
      <w:rPr>
        <w:rFonts w:hint="default"/>
      </w:rPr>
    </w:lvl>
    <w:lvl w:ilvl="3">
      <w:start w:val="0"/>
      <w:numFmt w:val="bullet"/>
      <w:lvlText w:val="•"/>
      <w:lvlJc w:val="left"/>
      <w:pPr>
        <w:ind w:left="4317" w:hanging="681"/>
      </w:pPr>
      <w:rPr>
        <w:rFonts w:hint="default"/>
      </w:rPr>
    </w:lvl>
    <w:lvl w:ilvl="4">
      <w:start w:val="0"/>
      <w:numFmt w:val="bullet"/>
      <w:lvlText w:val="•"/>
      <w:lvlJc w:val="left"/>
      <w:pPr>
        <w:ind w:left="5310" w:hanging="681"/>
      </w:pPr>
      <w:rPr>
        <w:rFonts w:hint="default"/>
      </w:rPr>
    </w:lvl>
    <w:lvl w:ilvl="5">
      <w:start w:val="0"/>
      <w:numFmt w:val="bullet"/>
      <w:lvlText w:val="•"/>
      <w:lvlJc w:val="left"/>
      <w:pPr>
        <w:ind w:left="6302" w:hanging="681"/>
      </w:pPr>
      <w:rPr>
        <w:rFonts w:hint="default"/>
      </w:rPr>
    </w:lvl>
    <w:lvl w:ilvl="6">
      <w:start w:val="0"/>
      <w:numFmt w:val="bullet"/>
      <w:lvlText w:val="•"/>
      <w:lvlJc w:val="left"/>
      <w:pPr>
        <w:ind w:left="7295" w:hanging="681"/>
      </w:pPr>
      <w:rPr>
        <w:rFonts w:hint="default"/>
      </w:rPr>
    </w:lvl>
    <w:lvl w:ilvl="7">
      <w:start w:val="0"/>
      <w:numFmt w:val="bullet"/>
      <w:lvlText w:val="•"/>
      <w:lvlJc w:val="left"/>
      <w:pPr>
        <w:ind w:left="8287" w:hanging="681"/>
      </w:pPr>
      <w:rPr>
        <w:rFonts w:hint="default"/>
      </w:rPr>
    </w:lvl>
    <w:lvl w:ilvl="8">
      <w:start w:val="0"/>
      <w:numFmt w:val="bullet"/>
      <w:lvlText w:val="•"/>
      <w:lvlJc w:val="left"/>
      <w:pPr>
        <w:ind w:left="9280" w:hanging="681"/>
      </w:pPr>
      <w:rPr>
        <w:rFonts w:hint="default"/>
      </w:rPr>
    </w:lvl>
  </w:abstractNum>
  <w:abstractNum w:abstractNumId="179">
    <w:multiLevelType w:val="hybridMultilevel"/>
    <w:lvl w:ilvl="0">
      <w:start w:val="3"/>
      <w:numFmt w:val="decimal"/>
      <w:lvlText w:val="%1"/>
      <w:lvlJc w:val="left"/>
      <w:pPr>
        <w:ind w:left="1344" w:hanging="681"/>
        <w:jc w:val="left"/>
      </w:pPr>
      <w:rPr>
        <w:rFonts w:hint="default"/>
      </w:rPr>
    </w:lvl>
    <w:lvl w:ilvl="1">
      <w:start w:val="1"/>
      <w:numFmt w:val="decimal"/>
      <w:lvlText w:val="%1.%2"/>
      <w:lvlJc w:val="left"/>
      <w:pPr>
        <w:ind w:left="1344" w:hanging="681"/>
        <w:jc w:val="left"/>
      </w:pPr>
      <w:rPr>
        <w:rFonts w:hint="default" w:ascii="Calibri" w:hAnsi="Calibri" w:eastAsia="Calibri" w:cs="Calibri"/>
        <w:spacing w:val="-18"/>
        <w:w w:val="125"/>
        <w:sz w:val="20"/>
        <w:szCs w:val="20"/>
      </w:rPr>
    </w:lvl>
    <w:lvl w:ilvl="2">
      <w:start w:val="0"/>
      <w:numFmt w:val="bullet"/>
      <w:lvlText w:val="•"/>
      <w:lvlJc w:val="left"/>
      <w:pPr>
        <w:ind w:left="3325" w:hanging="681"/>
      </w:pPr>
      <w:rPr>
        <w:rFonts w:hint="default"/>
      </w:rPr>
    </w:lvl>
    <w:lvl w:ilvl="3">
      <w:start w:val="0"/>
      <w:numFmt w:val="bullet"/>
      <w:lvlText w:val="•"/>
      <w:lvlJc w:val="left"/>
      <w:pPr>
        <w:ind w:left="4317" w:hanging="681"/>
      </w:pPr>
      <w:rPr>
        <w:rFonts w:hint="default"/>
      </w:rPr>
    </w:lvl>
    <w:lvl w:ilvl="4">
      <w:start w:val="0"/>
      <w:numFmt w:val="bullet"/>
      <w:lvlText w:val="•"/>
      <w:lvlJc w:val="left"/>
      <w:pPr>
        <w:ind w:left="5310" w:hanging="681"/>
      </w:pPr>
      <w:rPr>
        <w:rFonts w:hint="default"/>
      </w:rPr>
    </w:lvl>
    <w:lvl w:ilvl="5">
      <w:start w:val="0"/>
      <w:numFmt w:val="bullet"/>
      <w:lvlText w:val="•"/>
      <w:lvlJc w:val="left"/>
      <w:pPr>
        <w:ind w:left="6302" w:hanging="681"/>
      </w:pPr>
      <w:rPr>
        <w:rFonts w:hint="default"/>
      </w:rPr>
    </w:lvl>
    <w:lvl w:ilvl="6">
      <w:start w:val="0"/>
      <w:numFmt w:val="bullet"/>
      <w:lvlText w:val="•"/>
      <w:lvlJc w:val="left"/>
      <w:pPr>
        <w:ind w:left="7295" w:hanging="681"/>
      </w:pPr>
      <w:rPr>
        <w:rFonts w:hint="default"/>
      </w:rPr>
    </w:lvl>
    <w:lvl w:ilvl="7">
      <w:start w:val="0"/>
      <w:numFmt w:val="bullet"/>
      <w:lvlText w:val="•"/>
      <w:lvlJc w:val="left"/>
      <w:pPr>
        <w:ind w:left="8287" w:hanging="681"/>
      </w:pPr>
      <w:rPr>
        <w:rFonts w:hint="default"/>
      </w:rPr>
    </w:lvl>
    <w:lvl w:ilvl="8">
      <w:start w:val="0"/>
      <w:numFmt w:val="bullet"/>
      <w:lvlText w:val="•"/>
      <w:lvlJc w:val="left"/>
      <w:pPr>
        <w:ind w:left="9280" w:hanging="681"/>
      </w:pPr>
      <w:rPr>
        <w:rFonts w:hint="default"/>
      </w:rPr>
    </w:lvl>
  </w:abstractNum>
  <w:abstractNum w:abstractNumId="178">
    <w:multiLevelType w:val="hybridMultilevel"/>
    <w:lvl w:ilvl="0">
      <w:start w:val="3"/>
      <w:numFmt w:val="decimal"/>
      <w:lvlText w:val="%1."/>
      <w:lvlJc w:val="left"/>
      <w:pPr>
        <w:ind w:left="1344" w:hanging="681"/>
        <w:jc w:val="right"/>
      </w:pPr>
      <w:rPr>
        <w:rFonts w:hint="default" w:ascii="Calibri" w:hAnsi="Calibri" w:eastAsia="Calibri" w:cs="Calibri"/>
        <w:spacing w:val="-4"/>
        <w:w w:val="125"/>
        <w:sz w:val="20"/>
        <w:szCs w:val="20"/>
      </w:rPr>
    </w:lvl>
    <w:lvl w:ilvl="1">
      <w:start w:val="1"/>
      <w:numFmt w:val="decimal"/>
      <w:lvlText w:val="%2."/>
      <w:lvlJc w:val="left"/>
      <w:pPr>
        <w:ind w:left="1344" w:hanging="681"/>
        <w:jc w:val="left"/>
      </w:pPr>
      <w:rPr>
        <w:rFonts w:hint="default" w:ascii="Calibri" w:hAnsi="Calibri" w:eastAsia="Calibri" w:cs="Calibri"/>
        <w:spacing w:val="-13"/>
        <w:w w:val="125"/>
        <w:sz w:val="20"/>
        <w:szCs w:val="20"/>
      </w:rPr>
    </w:lvl>
    <w:lvl w:ilvl="2">
      <w:start w:val="0"/>
      <w:numFmt w:val="bullet"/>
      <w:lvlText w:val="•"/>
      <w:lvlJc w:val="left"/>
      <w:pPr>
        <w:ind w:left="3325" w:hanging="681"/>
      </w:pPr>
      <w:rPr>
        <w:rFonts w:hint="default"/>
      </w:rPr>
    </w:lvl>
    <w:lvl w:ilvl="3">
      <w:start w:val="0"/>
      <w:numFmt w:val="bullet"/>
      <w:lvlText w:val="•"/>
      <w:lvlJc w:val="left"/>
      <w:pPr>
        <w:ind w:left="4317" w:hanging="681"/>
      </w:pPr>
      <w:rPr>
        <w:rFonts w:hint="default"/>
      </w:rPr>
    </w:lvl>
    <w:lvl w:ilvl="4">
      <w:start w:val="0"/>
      <w:numFmt w:val="bullet"/>
      <w:lvlText w:val="•"/>
      <w:lvlJc w:val="left"/>
      <w:pPr>
        <w:ind w:left="5310" w:hanging="681"/>
      </w:pPr>
      <w:rPr>
        <w:rFonts w:hint="default"/>
      </w:rPr>
    </w:lvl>
    <w:lvl w:ilvl="5">
      <w:start w:val="0"/>
      <w:numFmt w:val="bullet"/>
      <w:lvlText w:val="•"/>
      <w:lvlJc w:val="left"/>
      <w:pPr>
        <w:ind w:left="6302" w:hanging="681"/>
      </w:pPr>
      <w:rPr>
        <w:rFonts w:hint="default"/>
      </w:rPr>
    </w:lvl>
    <w:lvl w:ilvl="6">
      <w:start w:val="0"/>
      <w:numFmt w:val="bullet"/>
      <w:lvlText w:val="•"/>
      <w:lvlJc w:val="left"/>
      <w:pPr>
        <w:ind w:left="7295" w:hanging="681"/>
      </w:pPr>
      <w:rPr>
        <w:rFonts w:hint="default"/>
      </w:rPr>
    </w:lvl>
    <w:lvl w:ilvl="7">
      <w:start w:val="0"/>
      <w:numFmt w:val="bullet"/>
      <w:lvlText w:val="•"/>
      <w:lvlJc w:val="left"/>
      <w:pPr>
        <w:ind w:left="8287" w:hanging="681"/>
      </w:pPr>
      <w:rPr>
        <w:rFonts w:hint="default"/>
      </w:rPr>
    </w:lvl>
    <w:lvl w:ilvl="8">
      <w:start w:val="0"/>
      <w:numFmt w:val="bullet"/>
      <w:lvlText w:val="•"/>
      <w:lvlJc w:val="left"/>
      <w:pPr>
        <w:ind w:left="9280" w:hanging="681"/>
      </w:pPr>
      <w:rPr>
        <w:rFonts w:hint="default"/>
      </w:rPr>
    </w:lvl>
  </w:abstractNum>
  <w:abstractNum w:abstractNumId="177">
    <w:multiLevelType w:val="hybridMultilevel"/>
    <w:lvl w:ilvl="0">
      <w:start w:val="2"/>
      <w:numFmt w:val="decimal"/>
      <w:lvlText w:val="%1"/>
      <w:lvlJc w:val="left"/>
      <w:pPr>
        <w:ind w:left="1344" w:hanging="681"/>
        <w:jc w:val="left"/>
      </w:pPr>
      <w:rPr>
        <w:rFonts w:hint="default"/>
      </w:rPr>
    </w:lvl>
    <w:lvl w:ilvl="1">
      <w:start w:val="1"/>
      <w:numFmt w:val="decimal"/>
      <w:lvlText w:val="%1.%2"/>
      <w:lvlJc w:val="left"/>
      <w:pPr>
        <w:ind w:left="1344" w:hanging="681"/>
        <w:jc w:val="left"/>
      </w:pPr>
      <w:rPr>
        <w:rFonts w:hint="default" w:ascii="Calibri" w:hAnsi="Calibri" w:eastAsia="Calibri" w:cs="Calibri"/>
        <w:spacing w:val="-18"/>
        <w:w w:val="125"/>
        <w:sz w:val="20"/>
        <w:szCs w:val="20"/>
      </w:rPr>
    </w:lvl>
    <w:lvl w:ilvl="2">
      <w:start w:val="0"/>
      <w:numFmt w:val="bullet"/>
      <w:lvlText w:val="•"/>
      <w:lvlJc w:val="left"/>
      <w:pPr>
        <w:ind w:left="3325" w:hanging="681"/>
      </w:pPr>
      <w:rPr>
        <w:rFonts w:hint="default"/>
      </w:rPr>
    </w:lvl>
    <w:lvl w:ilvl="3">
      <w:start w:val="0"/>
      <w:numFmt w:val="bullet"/>
      <w:lvlText w:val="•"/>
      <w:lvlJc w:val="left"/>
      <w:pPr>
        <w:ind w:left="4317" w:hanging="681"/>
      </w:pPr>
      <w:rPr>
        <w:rFonts w:hint="default"/>
      </w:rPr>
    </w:lvl>
    <w:lvl w:ilvl="4">
      <w:start w:val="0"/>
      <w:numFmt w:val="bullet"/>
      <w:lvlText w:val="•"/>
      <w:lvlJc w:val="left"/>
      <w:pPr>
        <w:ind w:left="5310" w:hanging="681"/>
      </w:pPr>
      <w:rPr>
        <w:rFonts w:hint="default"/>
      </w:rPr>
    </w:lvl>
    <w:lvl w:ilvl="5">
      <w:start w:val="0"/>
      <w:numFmt w:val="bullet"/>
      <w:lvlText w:val="•"/>
      <w:lvlJc w:val="left"/>
      <w:pPr>
        <w:ind w:left="6302" w:hanging="681"/>
      </w:pPr>
      <w:rPr>
        <w:rFonts w:hint="default"/>
      </w:rPr>
    </w:lvl>
    <w:lvl w:ilvl="6">
      <w:start w:val="0"/>
      <w:numFmt w:val="bullet"/>
      <w:lvlText w:val="•"/>
      <w:lvlJc w:val="left"/>
      <w:pPr>
        <w:ind w:left="7295" w:hanging="681"/>
      </w:pPr>
      <w:rPr>
        <w:rFonts w:hint="default"/>
      </w:rPr>
    </w:lvl>
    <w:lvl w:ilvl="7">
      <w:start w:val="0"/>
      <w:numFmt w:val="bullet"/>
      <w:lvlText w:val="•"/>
      <w:lvlJc w:val="left"/>
      <w:pPr>
        <w:ind w:left="8287" w:hanging="681"/>
      </w:pPr>
      <w:rPr>
        <w:rFonts w:hint="default"/>
      </w:rPr>
    </w:lvl>
    <w:lvl w:ilvl="8">
      <w:start w:val="0"/>
      <w:numFmt w:val="bullet"/>
      <w:lvlText w:val="•"/>
      <w:lvlJc w:val="left"/>
      <w:pPr>
        <w:ind w:left="9280" w:hanging="681"/>
      </w:pPr>
      <w:rPr>
        <w:rFonts w:hint="default"/>
      </w:rPr>
    </w:lvl>
  </w:abstractNum>
  <w:abstractNum w:abstractNumId="176">
    <w:multiLevelType w:val="hybridMultilevel"/>
    <w:lvl w:ilvl="0">
      <w:start w:val="0"/>
      <w:numFmt w:val="bullet"/>
      <w:lvlText w:val=""/>
      <w:lvlJc w:val="left"/>
      <w:pPr>
        <w:ind w:left="2024" w:hanging="681"/>
      </w:pPr>
      <w:rPr>
        <w:rFonts w:hint="default" w:ascii="Symbol" w:hAnsi="Symbol" w:eastAsia="Symbol" w:cs="Symbol"/>
        <w:w w:val="110"/>
        <w:position w:val="-3"/>
        <w:sz w:val="29"/>
        <w:szCs w:val="29"/>
      </w:rPr>
    </w:lvl>
    <w:lvl w:ilvl="1">
      <w:start w:val="0"/>
      <w:numFmt w:val="bullet"/>
      <w:lvlText w:val="•"/>
      <w:lvlJc w:val="left"/>
      <w:pPr>
        <w:ind w:left="2944" w:hanging="681"/>
      </w:pPr>
      <w:rPr>
        <w:rFonts w:hint="default"/>
      </w:rPr>
    </w:lvl>
    <w:lvl w:ilvl="2">
      <w:start w:val="0"/>
      <w:numFmt w:val="bullet"/>
      <w:lvlText w:val="•"/>
      <w:lvlJc w:val="left"/>
      <w:pPr>
        <w:ind w:left="3869" w:hanging="681"/>
      </w:pPr>
      <w:rPr>
        <w:rFonts w:hint="default"/>
      </w:rPr>
    </w:lvl>
    <w:lvl w:ilvl="3">
      <w:start w:val="0"/>
      <w:numFmt w:val="bullet"/>
      <w:lvlText w:val="•"/>
      <w:lvlJc w:val="left"/>
      <w:pPr>
        <w:ind w:left="4793" w:hanging="681"/>
      </w:pPr>
      <w:rPr>
        <w:rFonts w:hint="default"/>
      </w:rPr>
    </w:lvl>
    <w:lvl w:ilvl="4">
      <w:start w:val="0"/>
      <w:numFmt w:val="bullet"/>
      <w:lvlText w:val="•"/>
      <w:lvlJc w:val="left"/>
      <w:pPr>
        <w:ind w:left="5718" w:hanging="681"/>
      </w:pPr>
      <w:rPr>
        <w:rFonts w:hint="default"/>
      </w:rPr>
    </w:lvl>
    <w:lvl w:ilvl="5">
      <w:start w:val="0"/>
      <w:numFmt w:val="bullet"/>
      <w:lvlText w:val="•"/>
      <w:lvlJc w:val="left"/>
      <w:pPr>
        <w:ind w:left="6642" w:hanging="681"/>
      </w:pPr>
      <w:rPr>
        <w:rFonts w:hint="default"/>
      </w:rPr>
    </w:lvl>
    <w:lvl w:ilvl="6">
      <w:start w:val="0"/>
      <w:numFmt w:val="bullet"/>
      <w:lvlText w:val="•"/>
      <w:lvlJc w:val="left"/>
      <w:pPr>
        <w:ind w:left="7567" w:hanging="681"/>
      </w:pPr>
      <w:rPr>
        <w:rFonts w:hint="default"/>
      </w:rPr>
    </w:lvl>
    <w:lvl w:ilvl="7">
      <w:start w:val="0"/>
      <w:numFmt w:val="bullet"/>
      <w:lvlText w:val="•"/>
      <w:lvlJc w:val="left"/>
      <w:pPr>
        <w:ind w:left="8491" w:hanging="681"/>
      </w:pPr>
      <w:rPr>
        <w:rFonts w:hint="default"/>
      </w:rPr>
    </w:lvl>
    <w:lvl w:ilvl="8">
      <w:start w:val="0"/>
      <w:numFmt w:val="bullet"/>
      <w:lvlText w:val="•"/>
      <w:lvlJc w:val="left"/>
      <w:pPr>
        <w:ind w:left="9416" w:hanging="681"/>
      </w:pPr>
      <w:rPr>
        <w:rFonts w:hint="default"/>
      </w:rPr>
    </w:lvl>
  </w:abstractNum>
  <w:abstractNum w:abstractNumId="175">
    <w:multiLevelType w:val="hybridMultilevel"/>
    <w:lvl w:ilvl="0">
      <w:start w:val="3"/>
      <w:numFmt w:val="decimal"/>
      <w:lvlText w:val="%1."/>
      <w:lvlJc w:val="left"/>
      <w:pPr>
        <w:ind w:left="1344" w:hanging="681"/>
        <w:jc w:val="right"/>
      </w:pPr>
      <w:rPr>
        <w:rFonts w:hint="default" w:ascii="Calibri" w:hAnsi="Calibri" w:eastAsia="Calibri" w:cs="Calibri"/>
        <w:spacing w:val="-4"/>
        <w:w w:val="125"/>
        <w:sz w:val="20"/>
        <w:szCs w:val="20"/>
      </w:rPr>
    </w:lvl>
    <w:lvl w:ilvl="1">
      <w:start w:val="1"/>
      <w:numFmt w:val="decimal"/>
      <w:lvlText w:val="%2."/>
      <w:lvlJc w:val="left"/>
      <w:pPr>
        <w:ind w:left="1344" w:hanging="681"/>
        <w:jc w:val="left"/>
      </w:pPr>
      <w:rPr>
        <w:rFonts w:hint="default" w:ascii="Calibri" w:hAnsi="Calibri" w:eastAsia="Calibri" w:cs="Calibri"/>
        <w:spacing w:val="-16"/>
        <w:w w:val="125"/>
        <w:sz w:val="20"/>
        <w:szCs w:val="20"/>
      </w:rPr>
    </w:lvl>
    <w:lvl w:ilvl="2">
      <w:start w:val="0"/>
      <w:numFmt w:val="bullet"/>
      <w:lvlText w:val="•"/>
      <w:lvlJc w:val="left"/>
      <w:pPr>
        <w:ind w:left="3325" w:hanging="681"/>
      </w:pPr>
      <w:rPr>
        <w:rFonts w:hint="default"/>
      </w:rPr>
    </w:lvl>
    <w:lvl w:ilvl="3">
      <w:start w:val="0"/>
      <w:numFmt w:val="bullet"/>
      <w:lvlText w:val="•"/>
      <w:lvlJc w:val="left"/>
      <w:pPr>
        <w:ind w:left="4317" w:hanging="681"/>
      </w:pPr>
      <w:rPr>
        <w:rFonts w:hint="default"/>
      </w:rPr>
    </w:lvl>
    <w:lvl w:ilvl="4">
      <w:start w:val="0"/>
      <w:numFmt w:val="bullet"/>
      <w:lvlText w:val="•"/>
      <w:lvlJc w:val="left"/>
      <w:pPr>
        <w:ind w:left="5310" w:hanging="681"/>
      </w:pPr>
      <w:rPr>
        <w:rFonts w:hint="default"/>
      </w:rPr>
    </w:lvl>
    <w:lvl w:ilvl="5">
      <w:start w:val="0"/>
      <w:numFmt w:val="bullet"/>
      <w:lvlText w:val="•"/>
      <w:lvlJc w:val="left"/>
      <w:pPr>
        <w:ind w:left="6302" w:hanging="681"/>
      </w:pPr>
      <w:rPr>
        <w:rFonts w:hint="default"/>
      </w:rPr>
    </w:lvl>
    <w:lvl w:ilvl="6">
      <w:start w:val="0"/>
      <w:numFmt w:val="bullet"/>
      <w:lvlText w:val="•"/>
      <w:lvlJc w:val="left"/>
      <w:pPr>
        <w:ind w:left="7295" w:hanging="681"/>
      </w:pPr>
      <w:rPr>
        <w:rFonts w:hint="default"/>
      </w:rPr>
    </w:lvl>
    <w:lvl w:ilvl="7">
      <w:start w:val="0"/>
      <w:numFmt w:val="bullet"/>
      <w:lvlText w:val="•"/>
      <w:lvlJc w:val="left"/>
      <w:pPr>
        <w:ind w:left="8287" w:hanging="681"/>
      </w:pPr>
      <w:rPr>
        <w:rFonts w:hint="default"/>
      </w:rPr>
    </w:lvl>
    <w:lvl w:ilvl="8">
      <w:start w:val="0"/>
      <w:numFmt w:val="bullet"/>
      <w:lvlText w:val="•"/>
      <w:lvlJc w:val="left"/>
      <w:pPr>
        <w:ind w:left="9280" w:hanging="681"/>
      </w:pPr>
      <w:rPr>
        <w:rFonts w:hint="default"/>
      </w:rPr>
    </w:lvl>
  </w:abstractNum>
  <w:abstractNum w:abstractNumId="174">
    <w:multiLevelType w:val="hybridMultilevel"/>
    <w:lvl w:ilvl="0">
      <w:start w:val="2"/>
      <w:numFmt w:val="decimal"/>
      <w:lvlText w:val="%1"/>
      <w:lvlJc w:val="left"/>
      <w:pPr>
        <w:ind w:left="1344" w:hanging="681"/>
        <w:jc w:val="left"/>
      </w:pPr>
      <w:rPr>
        <w:rFonts w:hint="default"/>
      </w:rPr>
    </w:lvl>
    <w:lvl w:ilvl="1">
      <w:start w:val="1"/>
      <w:numFmt w:val="decimal"/>
      <w:lvlText w:val="%1.%2"/>
      <w:lvlJc w:val="left"/>
      <w:pPr>
        <w:ind w:left="1344" w:hanging="681"/>
        <w:jc w:val="left"/>
      </w:pPr>
      <w:rPr>
        <w:rFonts w:hint="default" w:ascii="Calibri" w:hAnsi="Calibri" w:eastAsia="Calibri" w:cs="Calibri"/>
        <w:spacing w:val="-20"/>
        <w:w w:val="125"/>
        <w:sz w:val="20"/>
        <w:szCs w:val="20"/>
      </w:rPr>
    </w:lvl>
    <w:lvl w:ilvl="2">
      <w:start w:val="0"/>
      <w:numFmt w:val="bullet"/>
      <w:lvlText w:val="•"/>
      <w:lvlJc w:val="left"/>
      <w:pPr>
        <w:ind w:left="3325" w:hanging="681"/>
      </w:pPr>
      <w:rPr>
        <w:rFonts w:hint="default"/>
      </w:rPr>
    </w:lvl>
    <w:lvl w:ilvl="3">
      <w:start w:val="0"/>
      <w:numFmt w:val="bullet"/>
      <w:lvlText w:val="•"/>
      <w:lvlJc w:val="left"/>
      <w:pPr>
        <w:ind w:left="4317" w:hanging="681"/>
      </w:pPr>
      <w:rPr>
        <w:rFonts w:hint="default"/>
      </w:rPr>
    </w:lvl>
    <w:lvl w:ilvl="4">
      <w:start w:val="0"/>
      <w:numFmt w:val="bullet"/>
      <w:lvlText w:val="•"/>
      <w:lvlJc w:val="left"/>
      <w:pPr>
        <w:ind w:left="5310" w:hanging="681"/>
      </w:pPr>
      <w:rPr>
        <w:rFonts w:hint="default"/>
      </w:rPr>
    </w:lvl>
    <w:lvl w:ilvl="5">
      <w:start w:val="0"/>
      <w:numFmt w:val="bullet"/>
      <w:lvlText w:val="•"/>
      <w:lvlJc w:val="left"/>
      <w:pPr>
        <w:ind w:left="6302" w:hanging="681"/>
      </w:pPr>
      <w:rPr>
        <w:rFonts w:hint="default"/>
      </w:rPr>
    </w:lvl>
    <w:lvl w:ilvl="6">
      <w:start w:val="0"/>
      <w:numFmt w:val="bullet"/>
      <w:lvlText w:val="•"/>
      <w:lvlJc w:val="left"/>
      <w:pPr>
        <w:ind w:left="7295" w:hanging="681"/>
      </w:pPr>
      <w:rPr>
        <w:rFonts w:hint="default"/>
      </w:rPr>
    </w:lvl>
    <w:lvl w:ilvl="7">
      <w:start w:val="0"/>
      <w:numFmt w:val="bullet"/>
      <w:lvlText w:val="•"/>
      <w:lvlJc w:val="left"/>
      <w:pPr>
        <w:ind w:left="8287" w:hanging="681"/>
      </w:pPr>
      <w:rPr>
        <w:rFonts w:hint="default"/>
      </w:rPr>
    </w:lvl>
    <w:lvl w:ilvl="8">
      <w:start w:val="0"/>
      <w:numFmt w:val="bullet"/>
      <w:lvlText w:val="•"/>
      <w:lvlJc w:val="left"/>
      <w:pPr>
        <w:ind w:left="9280" w:hanging="681"/>
      </w:pPr>
      <w:rPr>
        <w:rFonts w:hint="default"/>
      </w:rPr>
    </w:lvl>
  </w:abstractNum>
  <w:abstractNum w:abstractNumId="173">
    <w:multiLevelType w:val="hybridMultilevel"/>
    <w:lvl w:ilvl="0">
      <w:start w:val="7"/>
      <w:numFmt w:val="decimal"/>
      <w:lvlText w:val="%1."/>
      <w:lvlJc w:val="left"/>
      <w:pPr>
        <w:ind w:left="607" w:hanging="681"/>
        <w:jc w:val="left"/>
      </w:pPr>
      <w:rPr>
        <w:rFonts w:hint="default" w:ascii="Calibri" w:hAnsi="Calibri" w:eastAsia="Calibri" w:cs="Calibri"/>
        <w:spacing w:val="-25"/>
        <w:w w:val="125"/>
        <w:sz w:val="20"/>
        <w:szCs w:val="20"/>
      </w:rPr>
    </w:lvl>
    <w:lvl w:ilvl="1">
      <w:start w:val="1"/>
      <w:numFmt w:val="decimal"/>
      <w:lvlText w:val="%2."/>
      <w:lvlJc w:val="left"/>
      <w:pPr>
        <w:ind w:left="1344" w:hanging="681"/>
        <w:jc w:val="left"/>
      </w:pPr>
      <w:rPr>
        <w:rFonts w:hint="default" w:ascii="Calibri" w:hAnsi="Calibri" w:eastAsia="Calibri" w:cs="Calibri"/>
        <w:spacing w:val="-16"/>
        <w:w w:val="125"/>
        <w:sz w:val="20"/>
        <w:szCs w:val="20"/>
      </w:rPr>
    </w:lvl>
    <w:lvl w:ilvl="2">
      <w:start w:val="0"/>
      <w:numFmt w:val="bullet"/>
      <w:lvlText w:val="•"/>
      <w:lvlJc w:val="left"/>
      <w:pPr>
        <w:ind w:left="2442" w:hanging="681"/>
      </w:pPr>
      <w:rPr>
        <w:rFonts w:hint="default"/>
      </w:rPr>
    </w:lvl>
    <w:lvl w:ilvl="3">
      <w:start w:val="0"/>
      <w:numFmt w:val="bullet"/>
      <w:lvlText w:val="•"/>
      <w:lvlJc w:val="left"/>
      <w:pPr>
        <w:ind w:left="3545" w:hanging="681"/>
      </w:pPr>
      <w:rPr>
        <w:rFonts w:hint="default"/>
      </w:rPr>
    </w:lvl>
    <w:lvl w:ilvl="4">
      <w:start w:val="0"/>
      <w:numFmt w:val="bullet"/>
      <w:lvlText w:val="•"/>
      <w:lvlJc w:val="left"/>
      <w:pPr>
        <w:ind w:left="4648" w:hanging="681"/>
      </w:pPr>
      <w:rPr>
        <w:rFonts w:hint="default"/>
      </w:rPr>
    </w:lvl>
    <w:lvl w:ilvl="5">
      <w:start w:val="0"/>
      <w:numFmt w:val="bullet"/>
      <w:lvlText w:val="•"/>
      <w:lvlJc w:val="left"/>
      <w:pPr>
        <w:ind w:left="5751" w:hanging="681"/>
      </w:pPr>
      <w:rPr>
        <w:rFonts w:hint="default"/>
      </w:rPr>
    </w:lvl>
    <w:lvl w:ilvl="6">
      <w:start w:val="0"/>
      <w:numFmt w:val="bullet"/>
      <w:lvlText w:val="•"/>
      <w:lvlJc w:val="left"/>
      <w:pPr>
        <w:ind w:left="6854" w:hanging="681"/>
      </w:pPr>
      <w:rPr>
        <w:rFonts w:hint="default"/>
      </w:rPr>
    </w:lvl>
    <w:lvl w:ilvl="7">
      <w:start w:val="0"/>
      <w:numFmt w:val="bullet"/>
      <w:lvlText w:val="•"/>
      <w:lvlJc w:val="left"/>
      <w:pPr>
        <w:ind w:left="7957" w:hanging="681"/>
      </w:pPr>
      <w:rPr>
        <w:rFonts w:hint="default"/>
      </w:rPr>
    </w:lvl>
    <w:lvl w:ilvl="8">
      <w:start w:val="0"/>
      <w:numFmt w:val="bullet"/>
      <w:lvlText w:val="•"/>
      <w:lvlJc w:val="left"/>
      <w:pPr>
        <w:ind w:left="9059" w:hanging="681"/>
      </w:pPr>
      <w:rPr>
        <w:rFonts w:hint="default"/>
      </w:rPr>
    </w:lvl>
  </w:abstractNum>
  <w:abstractNum w:abstractNumId="172">
    <w:multiLevelType w:val="hybridMultilevel"/>
    <w:lvl w:ilvl="0">
      <w:start w:val="6"/>
      <w:numFmt w:val="decimal"/>
      <w:lvlText w:val="%1"/>
      <w:lvlJc w:val="left"/>
      <w:pPr>
        <w:ind w:left="607" w:hanging="681"/>
        <w:jc w:val="left"/>
      </w:pPr>
      <w:rPr>
        <w:rFonts w:hint="default"/>
      </w:rPr>
    </w:lvl>
    <w:lvl w:ilvl="1">
      <w:start w:val="1"/>
      <w:numFmt w:val="decimal"/>
      <w:lvlText w:val="%1.%2"/>
      <w:lvlJc w:val="left"/>
      <w:pPr>
        <w:ind w:left="607" w:hanging="681"/>
        <w:jc w:val="left"/>
      </w:pPr>
      <w:rPr>
        <w:rFonts w:hint="default" w:ascii="Calibri" w:hAnsi="Calibri" w:eastAsia="Calibri" w:cs="Calibri"/>
        <w:spacing w:val="-18"/>
        <w:w w:val="125"/>
        <w:sz w:val="20"/>
        <w:szCs w:val="20"/>
      </w:rPr>
    </w:lvl>
    <w:lvl w:ilvl="2">
      <w:start w:val="0"/>
      <w:numFmt w:val="bullet"/>
      <w:lvlText w:val="•"/>
      <w:lvlJc w:val="left"/>
      <w:pPr>
        <w:ind w:left="2733" w:hanging="681"/>
      </w:pPr>
      <w:rPr>
        <w:rFonts w:hint="default"/>
      </w:rPr>
    </w:lvl>
    <w:lvl w:ilvl="3">
      <w:start w:val="0"/>
      <w:numFmt w:val="bullet"/>
      <w:lvlText w:val="•"/>
      <w:lvlJc w:val="left"/>
      <w:pPr>
        <w:ind w:left="3799" w:hanging="681"/>
      </w:pPr>
      <w:rPr>
        <w:rFonts w:hint="default"/>
      </w:rPr>
    </w:lvl>
    <w:lvl w:ilvl="4">
      <w:start w:val="0"/>
      <w:numFmt w:val="bullet"/>
      <w:lvlText w:val="•"/>
      <w:lvlJc w:val="left"/>
      <w:pPr>
        <w:ind w:left="4866" w:hanging="681"/>
      </w:pPr>
      <w:rPr>
        <w:rFonts w:hint="default"/>
      </w:rPr>
    </w:lvl>
    <w:lvl w:ilvl="5">
      <w:start w:val="0"/>
      <w:numFmt w:val="bullet"/>
      <w:lvlText w:val="•"/>
      <w:lvlJc w:val="left"/>
      <w:pPr>
        <w:ind w:left="5932" w:hanging="681"/>
      </w:pPr>
      <w:rPr>
        <w:rFonts w:hint="default"/>
      </w:rPr>
    </w:lvl>
    <w:lvl w:ilvl="6">
      <w:start w:val="0"/>
      <w:numFmt w:val="bullet"/>
      <w:lvlText w:val="•"/>
      <w:lvlJc w:val="left"/>
      <w:pPr>
        <w:ind w:left="6999" w:hanging="681"/>
      </w:pPr>
      <w:rPr>
        <w:rFonts w:hint="default"/>
      </w:rPr>
    </w:lvl>
    <w:lvl w:ilvl="7">
      <w:start w:val="0"/>
      <w:numFmt w:val="bullet"/>
      <w:lvlText w:val="•"/>
      <w:lvlJc w:val="left"/>
      <w:pPr>
        <w:ind w:left="8065" w:hanging="681"/>
      </w:pPr>
      <w:rPr>
        <w:rFonts w:hint="default"/>
      </w:rPr>
    </w:lvl>
    <w:lvl w:ilvl="8">
      <w:start w:val="0"/>
      <w:numFmt w:val="bullet"/>
      <w:lvlText w:val="•"/>
      <w:lvlJc w:val="left"/>
      <w:pPr>
        <w:ind w:left="9132" w:hanging="681"/>
      </w:pPr>
      <w:rPr>
        <w:rFonts w:hint="default"/>
      </w:rPr>
    </w:lvl>
  </w:abstractNum>
  <w:abstractNum w:abstractNumId="171">
    <w:multiLevelType w:val="hybridMultilevel"/>
    <w:lvl w:ilvl="0">
      <w:start w:val="4"/>
      <w:numFmt w:val="decimal"/>
      <w:lvlText w:val="%1"/>
      <w:lvlJc w:val="left"/>
      <w:pPr>
        <w:ind w:left="1287" w:hanging="681"/>
        <w:jc w:val="left"/>
      </w:pPr>
      <w:rPr>
        <w:rFonts w:hint="default"/>
      </w:rPr>
    </w:lvl>
    <w:lvl w:ilvl="1">
      <w:start w:val="1"/>
      <w:numFmt w:val="decimal"/>
      <w:lvlText w:val="%1.%2"/>
      <w:lvlJc w:val="left"/>
      <w:pPr>
        <w:ind w:left="1287" w:hanging="681"/>
        <w:jc w:val="left"/>
      </w:pPr>
      <w:rPr>
        <w:rFonts w:hint="default" w:ascii="Calibri" w:hAnsi="Calibri" w:eastAsia="Calibri" w:cs="Calibri"/>
        <w:spacing w:val="-18"/>
        <w:w w:val="125"/>
        <w:sz w:val="20"/>
        <w:szCs w:val="20"/>
      </w:rPr>
    </w:lvl>
    <w:lvl w:ilvl="2">
      <w:start w:val="0"/>
      <w:numFmt w:val="bullet"/>
      <w:lvlText w:val="•"/>
      <w:lvlJc w:val="left"/>
      <w:pPr>
        <w:ind w:left="3277" w:hanging="681"/>
      </w:pPr>
      <w:rPr>
        <w:rFonts w:hint="default"/>
      </w:rPr>
    </w:lvl>
    <w:lvl w:ilvl="3">
      <w:start w:val="0"/>
      <w:numFmt w:val="bullet"/>
      <w:lvlText w:val="•"/>
      <w:lvlJc w:val="left"/>
      <w:pPr>
        <w:ind w:left="4275" w:hanging="681"/>
      </w:pPr>
      <w:rPr>
        <w:rFonts w:hint="default"/>
      </w:rPr>
    </w:lvl>
    <w:lvl w:ilvl="4">
      <w:start w:val="0"/>
      <w:numFmt w:val="bullet"/>
      <w:lvlText w:val="•"/>
      <w:lvlJc w:val="left"/>
      <w:pPr>
        <w:ind w:left="5274" w:hanging="681"/>
      </w:pPr>
      <w:rPr>
        <w:rFonts w:hint="default"/>
      </w:rPr>
    </w:lvl>
    <w:lvl w:ilvl="5">
      <w:start w:val="0"/>
      <w:numFmt w:val="bullet"/>
      <w:lvlText w:val="•"/>
      <w:lvlJc w:val="left"/>
      <w:pPr>
        <w:ind w:left="6272" w:hanging="681"/>
      </w:pPr>
      <w:rPr>
        <w:rFonts w:hint="default"/>
      </w:rPr>
    </w:lvl>
    <w:lvl w:ilvl="6">
      <w:start w:val="0"/>
      <w:numFmt w:val="bullet"/>
      <w:lvlText w:val="•"/>
      <w:lvlJc w:val="left"/>
      <w:pPr>
        <w:ind w:left="7271" w:hanging="681"/>
      </w:pPr>
      <w:rPr>
        <w:rFonts w:hint="default"/>
      </w:rPr>
    </w:lvl>
    <w:lvl w:ilvl="7">
      <w:start w:val="0"/>
      <w:numFmt w:val="bullet"/>
      <w:lvlText w:val="•"/>
      <w:lvlJc w:val="left"/>
      <w:pPr>
        <w:ind w:left="8269" w:hanging="681"/>
      </w:pPr>
      <w:rPr>
        <w:rFonts w:hint="default"/>
      </w:rPr>
    </w:lvl>
    <w:lvl w:ilvl="8">
      <w:start w:val="0"/>
      <w:numFmt w:val="bullet"/>
      <w:lvlText w:val="•"/>
      <w:lvlJc w:val="left"/>
      <w:pPr>
        <w:ind w:left="9268" w:hanging="681"/>
      </w:pPr>
      <w:rPr>
        <w:rFonts w:hint="default"/>
      </w:rPr>
    </w:lvl>
  </w:abstractNum>
  <w:abstractNum w:abstractNumId="170">
    <w:multiLevelType w:val="hybridMultilevel"/>
    <w:lvl w:ilvl="0">
      <w:start w:val="3"/>
      <w:numFmt w:val="decimal"/>
      <w:lvlText w:val="%1"/>
      <w:lvlJc w:val="left"/>
      <w:pPr>
        <w:ind w:left="1344" w:hanging="737"/>
        <w:jc w:val="left"/>
      </w:pPr>
      <w:rPr>
        <w:rFonts w:hint="default"/>
      </w:rPr>
    </w:lvl>
    <w:lvl w:ilvl="1">
      <w:start w:val="1"/>
      <w:numFmt w:val="decimal"/>
      <w:lvlText w:val="%1.%2"/>
      <w:lvlJc w:val="left"/>
      <w:pPr>
        <w:ind w:left="1344" w:hanging="737"/>
        <w:jc w:val="left"/>
      </w:pPr>
      <w:rPr>
        <w:rFonts w:hint="default" w:ascii="Calibri" w:hAnsi="Calibri" w:eastAsia="Calibri" w:cs="Calibri"/>
        <w:spacing w:val="-18"/>
        <w:w w:val="125"/>
        <w:sz w:val="20"/>
        <w:szCs w:val="20"/>
      </w:rPr>
    </w:lvl>
    <w:lvl w:ilvl="2">
      <w:start w:val="0"/>
      <w:numFmt w:val="bullet"/>
      <w:lvlText w:val="•"/>
      <w:lvlJc w:val="left"/>
      <w:pPr>
        <w:ind w:left="3325" w:hanging="737"/>
      </w:pPr>
      <w:rPr>
        <w:rFonts w:hint="default"/>
      </w:rPr>
    </w:lvl>
    <w:lvl w:ilvl="3">
      <w:start w:val="0"/>
      <w:numFmt w:val="bullet"/>
      <w:lvlText w:val="•"/>
      <w:lvlJc w:val="left"/>
      <w:pPr>
        <w:ind w:left="4317" w:hanging="737"/>
      </w:pPr>
      <w:rPr>
        <w:rFonts w:hint="default"/>
      </w:rPr>
    </w:lvl>
    <w:lvl w:ilvl="4">
      <w:start w:val="0"/>
      <w:numFmt w:val="bullet"/>
      <w:lvlText w:val="•"/>
      <w:lvlJc w:val="left"/>
      <w:pPr>
        <w:ind w:left="5310" w:hanging="737"/>
      </w:pPr>
      <w:rPr>
        <w:rFonts w:hint="default"/>
      </w:rPr>
    </w:lvl>
    <w:lvl w:ilvl="5">
      <w:start w:val="0"/>
      <w:numFmt w:val="bullet"/>
      <w:lvlText w:val="•"/>
      <w:lvlJc w:val="left"/>
      <w:pPr>
        <w:ind w:left="6302" w:hanging="737"/>
      </w:pPr>
      <w:rPr>
        <w:rFonts w:hint="default"/>
      </w:rPr>
    </w:lvl>
    <w:lvl w:ilvl="6">
      <w:start w:val="0"/>
      <w:numFmt w:val="bullet"/>
      <w:lvlText w:val="•"/>
      <w:lvlJc w:val="left"/>
      <w:pPr>
        <w:ind w:left="7295" w:hanging="737"/>
      </w:pPr>
      <w:rPr>
        <w:rFonts w:hint="default"/>
      </w:rPr>
    </w:lvl>
    <w:lvl w:ilvl="7">
      <w:start w:val="0"/>
      <w:numFmt w:val="bullet"/>
      <w:lvlText w:val="•"/>
      <w:lvlJc w:val="left"/>
      <w:pPr>
        <w:ind w:left="8287" w:hanging="737"/>
      </w:pPr>
      <w:rPr>
        <w:rFonts w:hint="default"/>
      </w:rPr>
    </w:lvl>
    <w:lvl w:ilvl="8">
      <w:start w:val="0"/>
      <w:numFmt w:val="bullet"/>
      <w:lvlText w:val="•"/>
      <w:lvlJc w:val="left"/>
      <w:pPr>
        <w:ind w:left="9280" w:hanging="737"/>
      </w:pPr>
      <w:rPr>
        <w:rFonts w:hint="default"/>
      </w:rPr>
    </w:lvl>
  </w:abstractNum>
  <w:abstractNum w:abstractNumId="169">
    <w:multiLevelType w:val="hybridMultilevel"/>
    <w:lvl w:ilvl="0">
      <w:start w:val="2"/>
      <w:numFmt w:val="decimal"/>
      <w:lvlText w:val="%1"/>
      <w:lvlJc w:val="left"/>
      <w:pPr>
        <w:ind w:left="1344" w:hanging="681"/>
        <w:jc w:val="left"/>
      </w:pPr>
      <w:rPr>
        <w:rFonts w:hint="default"/>
      </w:rPr>
    </w:lvl>
    <w:lvl w:ilvl="1">
      <w:start w:val="1"/>
      <w:numFmt w:val="decimal"/>
      <w:lvlText w:val="%1.%2"/>
      <w:lvlJc w:val="left"/>
      <w:pPr>
        <w:ind w:left="1344" w:hanging="681"/>
        <w:jc w:val="left"/>
      </w:pPr>
      <w:rPr>
        <w:rFonts w:hint="default" w:ascii="Calibri" w:hAnsi="Calibri" w:eastAsia="Calibri" w:cs="Calibri"/>
        <w:spacing w:val="-18"/>
        <w:w w:val="125"/>
        <w:sz w:val="20"/>
        <w:szCs w:val="20"/>
      </w:rPr>
    </w:lvl>
    <w:lvl w:ilvl="2">
      <w:start w:val="0"/>
      <w:numFmt w:val="bullet"/>
      <w:lvlText w:val="•"/>
      <w:lvlJc w:val="left"/>
      <w:pPr>
        <w:ind w:left="3325" w:hanging="681"/>
      </w:pPr>
      <w:rPr>
        <w:rFonts w:hint="default"/>
      </w:rPr>
    </w:lvl>
    <w:lvl w:ilvl="3">
      <w:start w:val="0"/>
      <w:numFmt w:val="bullet"/>
      <w:lvlText w:val="•"/>
      <w:lvlJc w:val="left"/>
      <w:pPr>
        <w:ind w:left="4317" w:hanging="681"/>
      </w:pPr>
      <w:rPr>
        <w:rFonts w:hint="default"/>
      </w:rPr>
    </w:lvl>
    <w:lvl w:ilvl="4">
      <w:start w:val="0"/>
      <w:numFmt w:val="bullet"/>
      <w:lvlText w:val="•"/>
      <w:lvlJc w:val="left"/>
      <w:pPr>
        <w:ind w:left="5310" w:hanging="681"/>
      </w:pPr>
      <w:rPr>
        <w:rFonts w:hint="default"/>
      </w:rPr>
    </w:lvl>
    <w:lvl w:ilvl="5">
      <w:start w:val="0"/>
      <w:numFmt w:val="bullet"/>
      <w:lvlText w:val="•"/>
      <w:lvlJc w:val="left"/>
      <w:pPr>
        <w:ind w:left="6302" w:hanging="681"/>
      </w:pPr>
      <w:rPr>
        <w:rFonts w:hint="default"/>
      </w:rPr>
    </w:lvl>
    <w:lvl w:ilvl="6">
      <w:start w:val="0"/>
      <w:numFmt w:val="bullet"/>
      <w:lvlText w:val="•"/>
      <w:lvlJc w:val="left"/>
      <w:pPr>
        <w:ind w:left="7295" w:hanging="681"/>
      </w:pPr>
      <w:rPr>
        <w:rFonts w:hint="default"/>
      </w:rPr>
    </w:lvl>
    <w:lvl w:ilvl="7">
      <w:start w:val="0"/>
      <w:numFmt w:val="bullet"/>
      <w:lvlText w:val="•"/>
      <w:lvlJc w:val="left"/>
      <w:pPr>
        <w:ind w:left="8287" w:hanging="681"/>
      </w:pPr>
      <w:rPr>
        <w:rFonts w:hint="default"/>
      </w:rPr>
    </w:lvl>
    <w:lvl w:ilvl="8">
      <w:start w:val="0"/>
      <w:numFmt w:val="bullet"/>
      <w:lvlText w:val="•"/>
      <w:lvlJc w:val="left"/>
      <w:pPr>
        <w:ind w:left="9280" w:hanging="681"/>
      </w:pPr>
      <w:rPr>
        <w:rFonts w:hint="default"/>
      </w:rPr>
    </w:lvl>
  </w:abstractNum>
  <w:abstractNum w:abstractNumId="168">
    <w:multiLevelType w:val="hybridMultilevel"/>
    <w:lvl w:ilvl="0">
      <w:start w:val="1"/>
      <w:numFmt w:val="decimal"/>
      <w:lvlText w:val="%1"/>
      <w:lvlJc w:val="left"/>
      <w:pPr>
        <w:ind w:left="1344" w:hanging="681"/>
        <w:jc w:val="left"/>
      </w:pPr>
      <w:rPr>
        <w:rFonts w:hint="default"/>
      </w:rPr>
    </w:lvl>
    <w:lvl w:ilvl="1">
      <w:start w:val="1"/>
      <w:numFmt w:val="decimal"/>
      <w:lvlText w:val="%1.%2"/>
      <w:lvlJc w:val="left"/>
      <w:pPr>
        <w:ind w:left="1344" w:hanging="681"/>
        <w:jc w:val="left"/>
      </w:pPr>
      <w:rPr>
        <w:rFonts w:hint="default" w:ascii="Calibri" w:hAnsi="Calibri" w:eastAsia="Calibri" w:cs="Calibri"/>
        <w:spacing w:val="-18"/>
        <w:w w:val="125"/>
        <w:sz w:val="20"/>
        <w:szCs w:val="20"/>
      </w:rPr>
    </w:lvl>
    <w:lvl w:ilvl="2">
      <w:start w:val="0"/>
      <w:numFmt w:val="bullet"/>
      <w:lvlText w:val="•"/>
      <w:lvlJc w:val="left"/>
      <w:pPr>
        <w:ind w:left="3325" w:hanging="681"/>
      </w:pPr>
      <w:rPr>
        <w:rFonts w:hint="default"/>
      </w:rPr>
    </w:lvl>
    <w:lvl w:ilvl="3">
      <w:start w:val="0"/>
      <w:numFmt w:val="bullet"/>
      <w:lvlText w:val="•"/>
      <w:lvlJc w:val="left"/>
      <w:pPr>
        <w:ind w:left="4317" w:hanging="681"/>
      </w:pPr>
      <w:rPr>
        <w:rFonts w:hint="default"/>
      </w:rPr>
    </w:lvl>
    <w:lvl w:ilvl="4">
      <w:start w:val="0"/>
      <w:numFmt w:val="bullet"/>
      <w:lvlText w:val="•"/>
      <w:lvlJc w:val="left"/>
      <w:pPr>
        <w:ind w:left="5310" w:hanging="681"/>
      </w:pPr>
      <w:rPr>
        <w:rFonts w:hint="default"/>
      </w:rPr>
    </w:lvl>
    <w:lvl w:ilvl="5">
      <w:start w:val="0"/>
      <w:numFmt w:val="bullet"/>
      <w:lvlText w:val="•"/>
      <w:lvlJc w:val="left"/>
      <w:pPr>
        <w:ind w:left="6302" w:hanging="681"/>
      </w:pPr>
      <w:rPr>
        <w:rFonts w:hint="default"/>
      </w:rPr>
    </w:lvl>
    <w:lvl w:ilvl="6">
      <w:start w:val="0"/>
      <w:numFmt w:val="bullet"/>
      <w:lvlText w:val="•"/>
      <w:lvlJc w:val="left"/>
      <w:pPr>
        <w:ind w:left="7295" w:hanging="681"/>
      </w:pPr>
      <w:rPr>
        <w:rFonts w:hint="default"/>
      </w:rPr>
    </w:lvl>
    <w:lvl w:ilvl="7">
      <w:start w:val="0"/>
      <w:numFmt w:val="bullet"/>
      <w:lvlText w:val="•"/>
      <w:lvlJc w:val="left"/>
      <w:pPr>
        <w:ind w:left="8287" w:hanging="681"/>
      </w:pPr>
      <w:rPr>
        <w:rFonts w:hint="default"/>
      </w:rPr>
    </w:lvl>
    <w:lvl w:ilvl="8">
      <w:start w:val="0"/>
      <w:numFmt w:val="bullet"/>
      <w:lvlText w:val="•"/>
      <w:lvlJc w:val="left"/>
      <w:pPr>
        <w:ind w:left="9280" w:hanging="681"/>
      </w:pPr>
      <w:rPr>
        <w:rFonts w:hint="default"/>
      </w:rPr>
    </w:lvl>
  </w:abstractNum>
  <w:abstractNum w:abstractNumId="167">
    <w:multiLevelType w:val="hybridMultilevel"/>
    <w:lvl w:ilvl="0">
      <w:start w:val="4"/>
      <w:numFmt w:val="decimal"/>
      <w:lvlText w:val="%1"/>
      <w:lvlJc w:val="left"/>
      <w:pPr>
        <w:ind w:left="607" w:hanging="681"/>
        <w:jc w:val="left"/>
      </w:pPr>
      <w:rPr>
        <w:rFonts w:hint="default"/>
      </w:rPr>
    </w:lvl>
    <w:lvl w:ilvl="1">
      <w:start w:val="1"/>
      <w:numFmt w:val="decimal"/>
      <w:lvlText w:val="%1.%2"/>
      <w:lvlJc w:val="left"/>
      <w:pPr>
        <w:ind w:left="607" w:hanging="681"/>
        <w:jc w:val="left"/>
      </w:pPr>
      <w:rPr>
        <w:rFonts w:hint="default" w:ascii="Calibri" w:hAnsi="Calibri" w:eastAsia="Calibri" w:cs="Calibri"/>
        <w:spacing w:val="-20"/>
        <w:w w:val="125"/>
        <w:sz w:val="20"/>
        <w:szCs w:val="20"/>
      </w:rPr>
    </w:lvl>
    <w:lvl w:ilvl="2">
      <w:start w:val="0"/>
      <w:numFmt w:val="bullet"/>
      <w:lvlText w:val="•"/>
      <w:lvlJc w:val="left"/>
      <w:pPr>
        <w:ind w:left="2733" w:hanging="681"/>
      </w:pPr>
      <w:rPr>
        <w:rFonts w:hint="default"/>
      </w:rPr>
    </w:lvl>
    <w:lvl w:ilvl="3">
      <w:start w:val="0"/>
      <w:numFmt w:val="bullet"/>
      <w:lvlText w:val="•"/>
      <w:lvlJc w:val="left"/>
      <w:pPr>
        <w:ind w:left="3799" w:hanging="681"/>
      </w:pPr>
      <w:rPr>
        <w:rFonts w:hint="default"/>
      </w:rPr>
    </w:lvl>
    <w:lvl w:ilvl="4">
      <w:start w:val="0"/>
      <w:numFmt w:val="bullet"/>
      <w:lvlText w:val="•"/>
      <w:lvlJc w:val="left"/>
      <w:pPr>
        <w:ind w:left="4866" w:hanging="681"/>
      </w:pPr>
      <w:rPr>
        <w:rFonts w:hint="default"/>
      </w:rPr>
    </w:lvl>
    <w:lvl w:ilvl="5">
      <w:start w:val="0"/>
      <w:numFmt w:val="bullet"/>
      <w:lvlText w:val="•"/>
      <w:lvlJc w:val="left"/>
      <w:pPr>
        <w:ind w:left="5932" w:hanging="681"/>
      </w:pPr>
      <w:rPr>
        <w:rFonts w:hint="default"/>
      </w:rPr>
    </w:lvl>
    <w:lvl w:ilvl="6">
      <w:start w:val="0"/>
      <w:numFmt w:val="bullet"/>
      <w:lvlText w:val="•"/>
      <w:lvlJc w:val="left"/>
      <w:pPr>
        <w:ind w:left="6999" w:hanging="681"/>
      </w:pPr>
      <w:rPr>
        <w:rFonts w:hint="default"/>
      </w:rPr>
    </w:lvl>
    <w:lvl w:ilvl="7">
      <w:start w:val="0"/>
      <w:numFmt w:val="bullet"/>
      <w:lvlText w:val="•"/>
      <w:lvlJc w:val="left"/>
      <w:pPr>
        <w:ind w:left="8065" w:hanging="681"/>
      </w:pPr>
      <w:rPr>
        <w:rFonts w:hint="default"/>
      </w:rPr>
    </w:lvl>
    <w:lvl w:ilvl="8">
      <w:start w:val="0"/>
      <w:numFmt w:val="bullet"/>
      <w:lvlText w:val="•"/>
      <w:lvlJc w:val="left"/>
      <w:pPr>
        <w:ind w:left="9132" w:hanging="681"/>
      </w:pPr>
      <w:rPr>
        <w:rFonts w:hint="default"/>
      </w:rPr>
    </w:lvl>
  </w:abstractNum>
  <w:abstractNum w:abstractNumId="166">
    <w:multiLevelType w:val="hybridMultilevel"/>
    <w:lvl w:ilvl="0">
      <w:start w:val="3"/>
      <w:numFmt w:val="decimal"/>
      <w:lvlText w:val="%1"/>
      <w:lvlJc w:val="left"/>
      <w:pPr>
        <w:ind w:left="607" w:hanging="681"/>
        <w:jc w:val="left"/>
      </w:pPr>
      <w:rPr>
        <w:rFonts w:hint="default"/>
      </w:rPr>
    </w:lvl>
    <w:lvl w:ilvl="1">
      <w:start w:val="1"/>
      <w:numFmt w:val="decimal"/>
      <w:lvlText w:val="%1.%2"/>
      <w:lvlJc w:val="left"/>
      <w:pPr>
        <w:ind w:left="607" w:hanging="681"/>
        <w:jc w:val="left"/>
      </w:pPr>
      <w:rPr>
        <w:rFonts w:hint="default" w:ascii="Calibri" w:hAnsi="Calibri" w:eastAsia="Calibri" w:cs="Calibri"/>
        <w:spacing w:val="-18"/>
        <w:w w:val="125"/>
        <w:sz w:val="20"/>
        <w:szCs w:val="20"/>
      </w:rPr>
    </w:lvl>
    <w:lvl w:ilvl="2">
      <w:start w:val="0"/>
      <w:numFmt w:val="bullet"/>
      <w:lvlText w:val="•"/>
      <w:lvlJc w:val="left"/>
      <w:pPr>
        <w:ind w:left="2733" w:hanging="681"/>
      </w:pPr>
      <w:rPr>
        <w:rFonts w:hint="default"/>
      </w:rPr>
    </w:lvl>
    <w:lvl w:ilvl="3">
      <w:start w:val="0"/>
      <w:numFmt w:val="bullet"/>
      <w:lvlText w:val="•"/>
      <w:lvlJc w:val="left"/>
      <w:pPr>
        <w:ind w:left="3799" w:hanging="681"/>
      </w:pPr>
      <w:rPr>
        <w:rFonts w:hint="default"/>
      </w:rPr>
    </w:lvl>
    <w:lvl w:ilvl="4">
      <w:start w:val="0"/>
      <w:numFmt w:val="bullet"/>
      <w:lvlText w:val="•"/>
      <w:lvlJc w:val="left"/>
      <w:pPr>
        <w:ind w:left="4866" w:hanging="681"/>
      </w:pPr>
      <w:rPr>
        <w:rFonts w:hint="default"/>
      </w:rPr>
    </w:lvl>
    <w:lvl w:ilvl="5">
      <w:start w:val="0"/>
      <w:numFmt w:val="bullet"/>
      <w:lvlText w:val="•"/>
      <w:lvlJc w:val="left"/>
      <w:pPr>
        <w:ind w:left="5932" w:hanging="681"/>
      </w:pPr>
      <w:rPr>
        <w:rFonts w:hint="default"/>
      </w:rPr>
    </w:lvl>
    <w:lvl w:ilvl="6">
      <w:start w:val="0"/>
      <w:numFmt w:val="bullet"/>
      <w:lvlText w:val="•"/>
      <w:lvlJc w:val="left"/>
      <w:pPr>
        <w:ind w:left="6999" w:hanging="681"/>
      </w:pPr>
      <w:rPr>
        <w:rFonts w:hint="default"/>
      </w:rPr>
    </w:lvl>
    <w:lvl w:ilvl="7">
      <w:start w:val="0"/>
      <w:numFmt w:val="bullet"/>
      <w:lvlText w:val="•"/>
      <w:lvlJc w:val="left"/>
      <w:pPr>
        <w:ind w:left="8065" w:hanging="681"/>
      </w:pPr>
      <w:rPr>
        <w:rFonts w:hint="default"/>
      </w:rPr>
    </w:lvl>
    <w:lvl w:ilvl="8">
      <w:start w:val="0"/>
      <w:numFmt w:val="bullet"/>
      <w:lvlText w:val="•"/>
      <w:lvlJc w:val="left"/>
      <w:pPr>
        <w:ind w:left="9132" w:hanging="681"/>
      </w:pPr>
      <w:rPr>
        <w:rFonts w:hint="default"/>
      </w:rPr>
    </w:lvl>
  </w:abstractNum>
  <w:abstractNum w:abstractNumId="165">
    <w:multiLevelType w:val="hybridMultilevel"/>
    <w:lvl w:ilvl="0">
      <w:start w:val="2"/>
      <w:numFmt w:val="decimal"/>
      <w:lvlText w:val="%1"/>
      <w:lvlJc w:val="left"/>
      <w:pPr>
        <w:ind w:left="1344" w:hanging="681"/>
        <w:jc w:val="left"/>
      </w:pPr>
      <w:rPr>
        <w:rFonts w:hint="default"/>
      </w:rPr>
    </w:lvl>
    <w:lvl w:ilvl="1">
      <w:start w:val="1"/>
      <w:numFmt w:val="decimal"/>
      <w:lvlText w:val="%1.%2"/>
      <w:lvlJc w:val="left"/>
      <w:pPr>
        <w:ind w:left="1344" w:hanging="681"/>
        <w:jc w:val="right"/>
      </w:pPr>
      <w:rPr>
        <w:rFonts w:hint="default" w:ascii="Calibri" w:hAnsi="Calibri" w:eastAsia="Calibri" w:cs="Calibri"/>
        <w:spacing w:val="-18"/>
        <w:w w:val="125"/>
        <w:sz w:val="20"/>
        <w:szCs w:val="20"/>
      </w:rPr>
    </w:lvl>
    <w:lvl w:ilvl="2">
      <w:start w:val="1"/>
      <w:numFmt w:val="lowerRoman"/>
      <w:lvlText w:val="%3."/>
      <w:lvlJc w:val="left"/>
      <w:pPr>
        <w:ind w:left="2704" w:hanging="681"/>
        <w:jc w:val="left"/>
      </w:pPr>
      <w:rPr>
        <w:rFonts w:hint="default" w:ascii="Calibri" w:hAnsi="Calibri" w:eastAsia="Calibri" w:cs="Calibri"/>
        <w:spacing w:val="-2"/>
        <w:w w:val="122"/>
        <w:sz w:val="20"/>
        <w:szCs w:val="20"/>
      </w:rPr>
    </w:lvl>
    <w:lvl w:ilvl="3">
      <w:start w:val="0"/>
      <w:numFmt w:val="bullet"/>
      <w:lvlText w:val="•"/>
      <w:lvlJc w:val="left"/>
      <w:pPr>
        <w:ind w:left="4603" w:hanging="681"/>
      </w:pPr>
      <w:rPr>
        <w:rFonts w:hint="default"/>
      </w:rPr>
    </w:lvl>
    <w:lvl w:ilvl="4">
      <w:start w:val="0"/>
      <w:numFmt w:val="bullet"/>
      <w:lvlText w:val="•"/>
      <w:lvlJc w:val="left"/>
      <w:pPr>
        <w:ind w:left="5555" w:hanging="681"/>
      </w:pPr>
      <w:rPr>
        <w:rFonts w:hint="default"/>
      </w:rPr>
    </w:lvl>
    <w:lvl w:ilvl="5">
      <w:start w:val="0"/>
      <w:numFmt w:val="bullet"/>
      <w:lvlText w:val="•"/>
      <w:lvlJc w:val="left"/>
      <w:pPr>
        <w:ind w:left="6506" w:hanging="681"/>
      </w:pPr>
      <w:rPr>
        <w:rFonts w:hint="default"/>
      </w:rPr>
    </w:lvl>
    <w:lvl w:ilvl="6">
      <w:start w:val="0"/>
      <w:numFmt w:val="bullet"/>
      <w:lvlText w:val="•"/>
      <w:lvlJc w:val="left"/>
      <w:pPr>
        <w:ind w:left="7458" w:hanging="681"/>
      </w:pPr>
      <w:rPr>
        <w:rFonts w:hint="default"/>
      </w:rPr>
    </w:lvl>
    <w:lvl w:ilvl="7">
      <w:start w:val="0"/>
      <w:numFmt w:val="bullet"/>
      <w:lvlText w:val="•"/>
      <w:lvlJc w:val="left"/>
      <w:pPr>
        <w:ind w:left="8410" w:hanging="681"/>
      </w:pPr>
      <w:rPr>
        <w:rFonts w:hint="default"/>
      </w:rPr>
    </w:lvl>
    <w:lvl w:ilvl="8">
      <w:start w:val="0"/>
      <w:numFmt w:val="bullet"/>
      <w:lvlText w:val="•"/>
      <w:lvlJc w:val="left"/>
      <w:pPr>
        <w:ind w:left="9362" w:hanging="681"/>
      </w:pPr>
      <w:rPr>
        <w:rFonts w:hint="default"/>
      </w:rPr>
    </w:lvl>
  </w:abstractNum>
  <w:abstractNum w:abstractNumId="162">
    <w:multiLevelType w:val="hybridMultilevel"/>
    <w:lvl w:ilvl="0">
      <w:start w:val="0"/>
      <w:numFmt w:val="bullet"/>
      <w:lvlText w:val=""/>
      <w:lvlJc w:val="left"/>
      <w:pPr>
        <w:ind w:left="760" w:hanging="681"/>
      </w:pPr>
      <w:rPr>
        <w:rFonts w:hint="default" w:ascii="Symbol" w:hAnsi="Symbol" w:eastAsia="Symbol" w:cs="Symbol"/>
        <w:w w:val="110"/>
        <w:position w:val="-3"/>
        <w:sz w:val="29"/>
        <w:szCs w:val="29"/>
      </w:rPr>
    </w:lvl>
    <w:lvl w:ilvl="1">
      <w:start w:val="0"/>
      <w:numFmt w:val="bullet"/>
      <w:lvlText w:val="•"/>
      <w:lvlJc w:val="left"/>
      <w:pPr>
        <w:ind w:left="1341" w:hanging="681"/>
      </w:pPr>
      <w:rPr>
        <w:rFonts w:hint="default"/>
      </w:rPr>
    </w:lvl>
    <w:lvl w:ilvl="2">
      <w:start w:val="0"/>
      <w:numFmt w:val="bullet"/>
      <w:lvlText w:val="•"/>
      <w:lvlJc w:val="left"/>
      <w:pPr>
        <w:ind w:left="1922" w:hanging="681"/>
      </w:pPr>
      <w:rPr>
        <w:rFonts w:hint="default"/>
      </w:rPr>
    </w:lvl>
    <w:lvl w:ilvl="3">
      <w:start w:val="0"/>
      <w:numFmt w:val="bullet"/>
      <w:lvlText w:val="•"/>
      <w:lvlJc w:val="left"/>
      <w:pPr>
        <w:ind w:left="2503" w:hanging="681"/>
      </w:pPr>
      <w:rPr>
        <w:rFonts w:hint="default"/>
      </w:rPr>
    </w:lvl>
    <w:lvl w:ilvl="4">
      <w:start w:val="0"/>
      <w:numFmt w:val="bullet"/>
      <w:lvlText w:val="•"/>
      <w:lvlJc w:val="left"/>
      <w:pPr>
        <w:ind w:left="3084" w:hanging="681"/>
      </w:pPr>
      <w:rPr>
        <w:rFonts w:hint="default"/>
      </w:rPr>
    </w:lvl>
    <w:lvl w:ilvl="5">
      <w:start w:val="0"/>
      <w:numFmt w:val="bullet"/>
      <w:lvlText w:val="•"/>
      <w:lvlJc w:val="left"/>
      <w:pPr>
        <w:ind w:left="3666" w:hanging="681"/>
      </w:pPr>
      <w:rPr>
        <w:rFonts w:hint="default"/>
      </w:rPr>
    </w:lvl>
    <w:lvl w:ilvl="6">
      <w:start w:val="0"/>
      <w:numFmt w:val="bullet"/>
      <w:lvlText w:val="•"/>
      <w:lvlJc w:val="left"/>
      <w:pPr>
        <w:ind w:left="4247" w:hanging="681"/>
      </w:pPr>
      <w:rPr>
        <w:rFonts w:hint="default"/>
      </w:rPr>
    </w:lvl>
    <w:lvl w:ilvl="7">
      <w:start w:val="0"/>
      <w:numFmt w:val="bullet"/>
      <w:lvlText w:val="•"/>
      <w:lvlJc w:val="left"/>
      <w:pPr>
        <w:ind w:left="4828" w:hanging="681"/>
      </w:pPr>
      <w:rPr>
        <w:rFonts w:hint="default"/>
      </w:rPr>
    </w:lvl>
    <w:lvl w:ilvl="8">
      <w:start w:val="0"/>
      <w:numFmt w:val="bullet"/>
      <w:lvlText w:val="•"/>
      <w:lvlJc w:val="left"/>
      <w:pPr>
        <w:ind w:left="5409" w:hanging="681"/>
      </w:pPr>
      <w:rPr>
        <w:rFonts w:hint="default"/>
      </w:rPr>
    </w:lvl>
  </w:abstractNum>
  <w:abstractNum w:abstractNumId="161">
    <w:multiLevelType w:val="hybridMultilevel"/>
    <w:lvl w:ilvl="0">
      <w:start w:val="1"/>
      <w:numFmt w:val="decimal"/>
      <w:lvlText w:val="%1."/>
      <w:lvlJc w:val="left"/>
      <w:pPr>
        <w:ind w:left="607" w:hanging="681"/>
        <w:jc w:val="right"/>
      </w:pPr>
      <w:rPr>
        <w:rFonts w:hint="default" w:ascii="Calibri" w:hAnsi="Calibri" w:eastAsia="Calibri" w:cs="Calibri"/>
        <w:spacing w:val="-13"/>
        <w:w w:val="125"/>
        <w:sz w:val="20"/>
        <w:szCs w:val="20"/>
      </w:rPr>
    </w:lvl>
    <w:lvl w:ilvl="1">
      <w:start w:val="0"/>
      <w:numFmt w:val="bullet"/>
      <w:lvlText w:val="•"/>
      <w:lvlJc w:val="left"/>
      <w:pPr>
        <w:ind w:left="1666" w:hanging="681"/>
      </w:pPr>
      <w:rPr>
        <w:rFonts w:hint="default"/>
      </w:rPr>
    </w:lvl>
    <w:lvl w:ilvl="2">
      <w:start w:val="0"/>
      <w:numFmt w:val="bullet"/>
      <w:lvlText w:val="•"/>
      <w:lvlJc w:val="left"/>
      <w:pPr>
        <w:ind w:left="2733" w:hanging="681"/>
      </w:pPr>
      <w:rPr>
        <w:rFonts w:hint="default"/>
      </w:rPr>
    </w:lvl>
    <w:lvl w:ilvl="3">
      <w:start w:val="0"/>
      <w:numFmt w:val="bullet"/>
      <w:lvlText w:val="•"/>
      <w:lvlJc w:val="left"/>
      <w:pPr>
        <w:ind w:left="3799" w:hanging="681"/>
      </w:pPr>
      <w:rPr>
        <w:rFonts w:hint="default"/>
      </w:rPr>
    </w:lvl>
    <w:lvl w:ilvl="4">
      <w:start w:val="0"/>
      <w:numFmt w:val="bullet"/>
      <w:lvlText w:val="•"/>
      <w:lvlJc w:val="left"/>
      <w:pPr>
        <w:ind w:left="4866" w:hanging="681"/>
      </w:pPr>
      <w:rPr>
        <w:rFonts w:hint="default"/>
      </w:rPr>
    </w:lvl>
    <w:lvl w:ilvl="5">
      <w:start w:val="0"/>
      <w:numFmt w:val="bullet"/>
      <w:lvlText w:val="•"/>
      <w:lvlJc w:val="left"/>
      <w:pPr>
        <w:ind w:left="5932" w:hanging="681"/>
      </w:pPr>
      <w:rPr>
        <w:rFonts w:hint="default"/>
      </w:rPr>
    </w:lvl>
    <w:lvl w:ilvl="6">
      <w:start w:val="0"/>
      <w:numFmt w:val="bullet"/>
      <w:lvlText w:val="•"/>
      <w:lvlJc w:val="left"/>
      <w:pPr>
        <w:ind w:left="6999" w:hanging="681"/>
      </w:pPr>
      <w:rPr>
        <w:rFonts w:hint="default"/>
      </w:rPr>
    </w:lvl>
    <w:lvl w:ilvl="7">
      <w:start w:val="0"/>
      <w:numFmt w:val="bullet"/>
      <w:lvlText w:val="•"/>
      <w:lvlJc w:val="left"/>
      <w:pPr>
        <w:ind w:left="8065" w:hanging="681"/>
      </w:pPr>
      <w:rPr>
        <w:rFonts w:hint="default"/>
      </w:rPr>
    </w:lvl>
    <w:lvl w:ilvl="8">
      <w:start w:val="0"/>
      <w:numFmt w:val="bullet"/>
      <w:lvlText w:val="•"/>
      <w:lvlJc w:val="left"/>
      <w:pPr>
        <w:ind w:left="9132" w:hanging="681"/>
      </w:pPr>
      <w:rPr>
        <w:rFonts w:hint="default"/>
      </w:rPr>
    </w:lvl>
  </w:abstractNum>
  <w:abstractNum w:abstractNumId="160">
    <w:multiLevelType w:val="hybridMultilevel"/>
    <w:lvl w:ilvl="0">
      <w:start w:val="0"/>
      <w:numFmt w:val="bullet"/>
      <w:lvlText w:val="•"/>
      <w:lvlJc w:val="left"/>
      <w:pPr>
        <w:ind w:left="533" w:hanging="454"/>
      </w:pPr>
      <w:rPr>
        <w:rFonts w:hint="default" w:ascii="Calibri" w:hAnsi="Calibri" w:eastAsia="Calibri" w:cs="Calibri"/>
        <w:w w:val="110"/>
        <w:sz w:val="20"/>
        <w:szCs w:val="20"/>
      </w:rPr>
    </w:lvl>
    <w:lvl w:ilvl="1">
      <w:start w:val="0"/>
      <w:numFmt w:val="bullet"/>
      <w:lvlText w:val="•"/>
      <w:lvlJc w:val="left"/>
      <w:pPr>
        <w:ind w:left="1143" w:hanging="454"/>
      </w:pPr>
      <w:rPr>
        <w:rFonts w:hint="default"/>
      </w:rPr>
    </w:lvl>
    <w:lvl w:ilvl="2">
      <w:start w:val="0"/>
      <w:numFmt w:val="bullet"/>
      <w:lvlText w:val="•"/>
      <w:lvlJc w:val="left"/>
      <w:pPr>
        <w:ind w:left="1746" w:hanging="454"/>
      </w:pPr>
      <w:rPr>
        <w:rFonts w:hint="default"/>
      </w:rPr>
    </w:lvl>
    <w:lvl w:ilvl="3">
      <w:start w:val="0"/>
      <w:numFmt w:val="bullet"/>
      <w:lvlText w:val="•"/>
      <w:lvlJc w:val="left"/>
      <w:pPr>
        <w:ind w:left="2349" w:hanging="454"/>
      </w:pPr>
      <w:rPr>
        <w:rFonts w:hint="default"/>
      </w:rPr>
    </w:lvl>
    <w:lvl w:ilvl="4">
      <w:start w:val="0"/>
      <w:numFmt w:val="bullet"/>
      <w:lvlText w:val="•"/>
      <w:lvlJc w:val="left"/>
      <w:pPr>
        <w:ind w:left="2952" w:hanging="454"/>
      </w:pPr>
      <w:rPr>
        <w:rFonts w:hint="default"/>
      </w:rPr>
    </w:lvl>
    <w:lvl w:ilvl="5">
      <w:start w:val="0"/>
      <w:numFmt w:val="bullet"/>
      <w:lvlText w:val="•"/>
      <w:lvlJc w:val="left"/>
      <w:pPr>
        <w:ind w:left="3556" w:hanging="454"/>
      </w:pPr>
      <w:rPr>
        <w:rFonts w:hint="default"/>
      </w:rPr>
    </w:lvl>
    <w:lvl w:ilvl="6">
      <w:start w:val="0"/>
      <w:numFmt w:val="bullet"/>
      <w:lvlText w:val="•"/>
      <w:lvlJc w:val="left"/>
      <w:pPr>
        <w:ind w:left="4159" w:hanging="454"/>
      </w:pPr>
      <w:rPr>
        <w:rFonts w:hint="default"/>
      </w:rPr>
    </w:lvl>
    <w:lvl w:ilvl="7">
      <w:start w:val="0"/>
      <w:numFmt w:val="bullet"/>
      <w:lvlText w:val="•"/>
      <w:lvlJc w:val="left"/>
      <w:pPr>
        <w:ind w:left="4762" w:hanging="454"/>
      </w:pPr>
      <w:rPr>
        <w:rFonts w:hint="default"/>
      </w:rPr>
    </w:lvl>
    <w:lvl w:ilvl="8">
      <w:start w:val="0"/>
      <w:numFmt w:val="bullet"/>
      <w:lvlText w:val="•"/>
      <w:lvlJc w:val="left"/>
      <w:pPr>
        <w:ind w:left="5365" w:hanging="454"/>
      </w:pPr>
      <w:rPr>
        <w:rFonts w:hint="default"/>
      </w:rPr>
    </w:lvl>
  </w:abstractNum>
  <w:abstractNum w:abstractNumId="159">
    <w:multiLevelType w:val="hybridMultilevel"/>
    <w:lvl w:ilvl="0">
      <w:start w:val="3"/>
      <w:numFmt w:val="decimal"/>
      <w:lvlText w:val="(%1)"/>
      <w:lvlJc w:val="left"/>
      <w:pPr>
        <w:ind w:left="607" w:hanging="382"/>
        <w:jc w:val="left"/>
      </w:pPr>
      <w:rPr>
        <w:rFonts w:hint="default" w:ascii="Stone Sans II ITC Std Bk" w:hAnsi="Stone Sans II ITC Std Bk" w:eastAsia="Stone Sans II ITC Std Bk" w:cs="Stone Sans II ITC Std Bk"/>
        <w:b/>
        <w:bCs/>
        <w:spacing w:val="-15"/>
        <w:w w:val="110"/>
        <w:sz w:val="20"/>
        <w:szCs w:val="20"/>
      </w:rPr>
    </w:lvl>
    <w:lvl w:ilvl="1">
      <w:start w:val="0"/>
      <w:numFmt w:val="bullet"/>
      <w:lvlText w:val="•"/>
      <w:lvlJc w:val="left"/>
      <w:pPr>
        <w:ind w:left="1666" w:hanging="382"/>
      </w:pPr>
      <w:rPr>
        <w:rFonts w:hint="default"/>
      </w:rPr>
    </w:lvl>
    <w:lvl w:ilvl="2">
      <w:start w:val="0"/>
      <w:numFmt w:val="bullet"/>
      <w:lvlText w:val="•"/>
      <w:lvlJc w:val="left"/>
      <w:pPr>
        <w:ind w:left="2733" w:hanging="382"/>
      </w:pPr>
      <w:rPr>
        <w:rFonts w:hint="default"/>
      </w:rPr>
    </w:lvl>
    <w:lvl w:ilvl="3">
      <w:start w:val="0"/>
      <w:numFmt w:val="bullet"/>
      <w:lvlText w:val="•"/>
      <w:lvlJc w:val="left"/>
      <w:pPr>
        <w:ind w:left="3799" w:hanging="382"/>
      </w:pPr>
      <w:rPr>
        <w:rFonts w:hint="default"/>
      </w:rPr>
    </w:lvl>
    <w:lvl w:ilvl="4">
      <w:start w:val="0"/>
      <w:numFmt w:val="bullet"/>
      <w:lvlText w:val="•"/>
      <w:lvlJc w:val="left"/>
      <w:pPr>
        <w:ind w:left="4866" w:hanging="382"/>
      </w:pPr>
      <w:rPr>
        <w:rFonts w:hint="default"/>
      </w:rPr>
    </w:lvl>
    <w:lvl w:ilvl="5">
      <w:start w:val="0"/>
      <w:numFmt w:val="bullet"/>
      <w:lvlText w:val="•"/>
      <w:lvlJc w:val="left"/>
      <w:pPr>
        <w:ind w:left="5932" w:hanging="382"/>
      </w:pPr>
      <w:rPr>
        <w:rFonts w:hint="default"/>
      </w:rPr>
    </w:lvl>
    <w:lvl w:ilvl="6">
      <w:start w:val="0"/>
      <w:numFmt w:val="bullet"/>
      <w:lvlText w:val="•"/>
      <w:lvlJc w:val="left"/>
      <w:pPr>
        <w:ind w:left="6999" w:hanging="382"/>
      </w:pPr>
      <w:rPr>
        <w:rFonts w:hint="default"/>
      </w:rPr>
    </w:lvl>
    <w:lvl w:ilvl="7">
      <w:start w:val="0"/>
      <w:numFmt w:val="bullet"/>
      <w:lvlText w:val="•"/>
      <w:lvlJc w:val="left"/>
      <w:pPr>
        <w:ind w:left="8065" w:hanging="382"/>
      </w:pPr>
      <w:rPr>
        <w:rFonts w:hint="default"/>
      </w:rPr>
    </w:lvl>
    <w:lvl w:ilvl="8">
      <w:start w:val="0"/>
      <w:numFmt w:val="bullet"/>
      <w:lvlText w:val="•"/>
      <w:lvlJc w:val="left"/>
      <w:pPr>
        <w:ind w:left="9132" w:hanging="382"/>
      </w:pPr>
      <w:rPr>
        <w:rFonts w:hint="default"/>
      </w:rPr>
    </w:lvl>
  </w:abstractNum>
  <w:abstractNum w:abstractNumId="158">
    <w:multiLevelType w:val="hybridMultilevel"/>
    <w:lvl w:ilvl="0">
      <w:start w:val="95"/>
      <w:numFmt w:val="decimal"/>
      <w:lvlText w:val="%1."/>
      <w:lvlJc w:val="left"/>
      <w:pPr>
        <w:ind w:left="1344" w:hanging="681"/>
        <w:jc w:val="right"/>
      </w:pPr>
      <w:rPr>
        <w:rFonts w:hint="default" w:ascii="Calibri" w:hAnsi="Calibri" w:eastAsia="Calibri" w:cs="Calibri"/>
        <w:spacing w:val="-7"/>
        <w:w w:val="125"/>
        <w:sz w:val="20"/>
        <w:szCs w:val="20"/>
      </w:rPr>
    </w:lvl>
    <w:lvl w:ilvl="1">
      <w:start w:val="0"/>
      <w:numFmt w:val="bullet"/>
      <w:lvlText w:val="•"/>
      <w:lvlJc w:val="left"/>
      <w:pPr>
        <w:ind w:left="2332" w:hanging="681"/>
      </w:pPr>
      <w:rPr>
        <w:rFonts w:hint="default"/>
      </w:rPr>
    </w:lvl>
    <w:lvl w:ilvl="2">
      <w:start w:val="0"/>
      <w:numFmt w:val="bullet"/>
      <w:lvlText w:val="•"/>
      <w:lvlJc w:val="left"/>
      <w:pPr>
        <w:ind w:left="3325" w:hanging="681"/>
      </w:pPr>
      <w:rPr>
        <w:rFonts w:hint="default"/>
      </w:rPr>
    </w:lvl>
    <w:lvl w:ilvl="3">
      <w:start w:val="0"/>
      <w:numFmt w:val="bullet"/>
      <w:lvlText w:val="•"/>
      <w:lvlJc w:val="left"/>
      <w:pPr>
        <w:ind w:left="4317" w:hanging="681"/>
      </w:pPr>
      <w:rPr>
        <w:rFonts w:hint="default"/>
      </w:rPr>
    </w:lvl>
    <w:lvl w:ilvl="4">
      <w:start w:val="0"/>
      <w:numFmt w:val="bullet"/>
      <w:lvlText w:val="•"/>
      <w:lvlJc w:val="left"/>
      <w:pPr>
        <w:ind w:left="5310" w:hanging="681"/>
      </w:pPr>
      <w:rPr>
        <w:rFonts w:hint="default"/>
      </w:rPr>
    </w:lvl>
    <w:lvl w:ilvl="5">
      <w:start w:val="0"/>
      <w:numFmt w:val="bullet"/>
      <w:lvlText w:val="•"/>
      <w:lvlJc w:val="left"/>
      <w:pPr>
        <w:ind w:left="6302" w:hanging="681"/>
      </w:pPr>
      <w:rPr>
        <w:rFonts w:hint="default"/>
      </w:rPr>
    </w:lvl>
    <w:lvl w:ilvl="6">
      <w:start w:val="0"/>
      <w:numFmt w:val="bullet"/>
      <w:lvlText w:val="•"/>
      <w:lvlJc w:val="left"/>
      <w:pPr>
        <w:ind w:left="7295" w:hanging="681"/>
      </w:pPr>
      <w:rPr>
        <w:rFonts w:hint="default"/>
      </w:rPr>
    </w:lvl>
    <w:lvl w:ilvl="7">
      <w:start w:val="0"/>
      <w:numFmt w:val="bullet"/>
      <w:lvlText w:val="•"/>
      <w:lvlJc w:val="left"/>
      <w:pPr>
        <w:ind w:left="8287" w:hanging="681"/>
      </w:pPr>
      <w:rPr>
        <w:rFonts w:hint="default"/>
      </w:rPr>
    </w:lvl>
    <w:lvl w:ilvl="8">
      <w:start w:val="0"/>
      <w:numFmt w:val="bullet"/>
      <w:lvlText w:val="•"/>
      <w:lvlJc w:val="left"/>
      <w:pPr>
        <w:ind w:left="9280" w:hanging="681"/>
      </w:pPr>
      <w:rPr>
        <w:rFonts w:hint="default"/>
      </w:rPr>
    </w:lvl>
  </w:abstractNum>
  <w:abstractNum w:abstractNumId="157">
    <w:multiLevelType w:val="hybridMultilevel"/>
    <w:lvl w:ilvl="0">
      <w:start w:val="1"/>
      <w:numFmt w:val="decimal"/>
      <w:lvlText w:val="%1."/>
      <w:lvlJc w:val="left"/>
      <w:pPr>
        <w:ind w:left="80" w:hanging="681"/>
        <w:jc w:val="left"/>
      </w:pPr>
      <w:rPr>
        <w:rFonts w:hint="default" w:ascii="Calibri" w:hAnsi="Calibri" w:eastAsia="Calibri" w:cs="Calibri"/>
        <w:spacing w:val="-16"/>
        <w:w w:val="125"/>
        <w:sz w:val="20"/>
        <w:szCs w:val="20"/>
      </w:rPr>
    </w:lvl>
    <w:lvl w:ilvl="1">
      <w:start w:val="0"/>
      <w:numFmt w:val="bullet"/>
      <w:lvlText w:val="•"/>
      <w:lvlJc w:val="left"/>
      <w:pPr>
        <w:ind w:left="729" w:hanging="681"/>
      </w:pPr>
      <w:rPr>
        <w:rFonts w:hint="default"/>
      </w:rPr>
    </w:lvl>
    <w:lvl w:ilvl="2">
      <w:start w:val="0"/>
      <w:numFmt w:val="bullet"/>
      <w:lvlText w:val="•"/>
      <w:lvlJc w:val="left"/>
      <w:pPr>
        <w:ind w:left="1378" w:hanging="681"/>
      </w:pPr>
      <w:rPr>
        <w:rFonts w:hint="default"/>
      </w:rPr>
    </w:lvl>
    <w:lvl w:ilvl="3">
      <w:start w:val="0"/>
      <w:numFmt w:val="bullet"/>
      <w:lvlText w:val="•"/>
      <w:lvlJc w:val="left"/>
      <w:pPr>
        <w:ind w:left="2027" w:hanging="681"/>
      </w:pPr>
      <w:rPr>
        <w:rFonts w:hint="default"/>
      </w:rPr>
    </w:lvl>
    <w:lvl w:ilvl="4">
      <w:start w:val="0"/>
      <w:numFmt w:val="bullet"/>
      <w:lvlText w:val="•"/>
      <w:lvlJc w:val="left"/>
      <w:pPr>
        <w:ind w:left="2676" w:hanging="681"/>
      </w:pPr>
      <w:rPr>
        <w:rFonts w:hint="default"/>
      </w:rPr>
    </w:lvl>
    <w:lvl w:ilvl="5">
      <w:start w:val="0"/>
      <w:numFmt w:val="bullet"/>
      <w:lvlText w:val="•"/>
      <w:lvlJc w:val="left"/>
      <w:pPr>
        <w:ind w:left="3326" w:hanging="681"/>
      </w:pPr>
      <w:rPr>
        <w:rFonts w:hint="default"/>
      </w:rPr>
    </w:lvl>
    <w:lvl w:ilvl="6">
      <w:start w:val="0"/>
      <w:numFmt w:val="bullet"/>
      <w:lvlText w:val="•"/>
      <w:lvlJc w:val="left"/>
      <w:pPr>
        <w:ind w:left="3975" w:hanging="681"/>
      </w:pPr>
      <w:rPr>
        <w:rFonts w:hint="default"/>
      </w:rPr>
    </w:lvl>
    <w:lvl w:ilvl="7">
      <w:start w:val="0"/>
      <w:numFmt w:val="bullet"/>
      <w:lvlText w:val="•"/>
      <w:lvlJc w:val="left"/>
      <w:pPr>
        <w:ind w:left="4624" w:hanging="681"/>
      </w:pPr>
      <w:rPr>
        <w:rFonts w:hint="default"/>
      </w:rPr>
    </w:lvl>
    <w:lvl w:ilvl="8">
      <w:start w:val="0"/>
      <w:numFmt w:val="bullet"/>
      <w:lvlText w:val="•"/>
      <w:lvlJc w:val="left"/>
      <w:pPr>
        <w:ind w:left="5273" w:hanging="681"/>
      </w:pPr>
      <w:rPr>
        <w:rFonts w:hint="default"/>
      </w:rPr>
    </w:lvl>
  </w:abstractNum>
  <w:abstractNum w:abstractNumId="156">
    <w:multiLevelType w:val="hybridMultilevel"/>
    <w:lvl w:ilvl="0">
      <w:start w:val="0"/>
      <w:numFmt w:val="bullet"/>
      <w:lvlText w:val=""/>
      <w:lvlJc w:val="left"/>
      <w:pPr>
        <w:ind w:left="2024" w:hanging="681"/>
      </w:pPr>
      <w:rPr>
        <w:rFonts w:hint="default" w:ascii="Symbol" w:hAnsi="Symbol" w:eastAsia="Symbol" w:cs="Symbol"/>
        <w:w w:val="110"/>
        <w:position w:val="-3"/>
        <w:sz w:val="29"/>
        <w:szCs w:val="29"/>
      </w:rPr>
    </w:lvl>
    <w:lvl w:ilvl="1">
      <w:start w:val="0"/>
      <w:numFmt w:val="bullet"/>
      <w:lvlText w:val="•"/>
      <w:lvlJc w:val="left"/>
      <w:pPr>
        <w:ind w:left="2944" w:hanging="681"/>
      </w:pPr>
      <w:rPr>
        <w:rFonts w:hint="default"/>
      </w:rPr>
    </w:lvl>
    <w:lvl w:ilvl="2">
      <w:start w:val="0"/>
      <w:numFmt w:val="bullet"/>
      <w:lvlText w:val="•"/>
      <w:lvlJc w:val="left"/>
      <w:pPr>
        <w:ind w:left="3869" w:hanging="681"/>
      </w:pPr>
      <w:rPr>
        <w:rFonts w:hint="default"/>
      </w:rPr>
    </w:lvl>
    <w:lvl w:ilvl="3">
      <w:start w:val="0"/>
      <w:numFmt w:val="bullet"/>
      <w:lvlText w:val="•"/>
      <w:lvlJc w:val="left"/>
      <w:pPr>
        <w:ind w:left="4793" w:hanging="681"/>
      </w:pPr>
      <w:rPr>
        <w:rFonts w:hint="default"/>
      </w:rPr>
    </w:lvl>
    <w:lvl w:ilvl="4">
      <w:start w:val="0"/>
      <w:numFmt w:val="bullet"/>
      <w:lvlText w:val="•"/>
      <w:lvlJc w:val="left"/>
      <w:pPr>
        <w:ind w:left="5718" w:hanging="681"/>
      </w:pPr>
      <w:rPr>
        <w:rFonts w:hint="default"/>
      </w:rPr>
    </w:lvl>
    <w:lvl w:ilvl="5">
      <w:start w:val="0"/>
      <w:numFmt w:val="bullet"/>
      <w:lvlText w:val="•"/>
      <w:lvlJc w:val="left"/>
      <w:pPr>
        <w:ind w:left="6642" w:hanging="681"/>
      </w:pPr>
      <w:rPr>
        <w:rFonts w:hint="default"/>
      </w:rPr>
    </w:lvl>
    <w:lvl w:ilvl="6">
      <w:start w:val="0"/>
      <w:numFmt w:val="bullet"/>
      <w:lvlText w:val="•"/>
      <w:lvlJc w:val="left"/>
      <w:pPr>
        <w:ind w:left="7567" w:hanging="681"/>
      </w:pPr>
      <w:rPr>
        <w:rFonts w:hint="default"/>
      </w:rPr>
    </w:lvl>
    <w:lvl w:ilvl="7">
      <w:start w:val="0"/>
      <w:numFmt w:val="bullet"/>
      <w:lvlText w:val="•"/>
      <w:lvlJc w:val="left"/>
      <w:pPr>
        <w:ind w:left="8491" w:hanging="681"/>
      </w:pPr>
      <w:rPr>
        <w:rFonts w:hint="default"/>
      </w:rPr>
    </w:lvl>
    <w:lvl w:ilvl="8">
      <w:start w:val="0"/>
      <w:numFmt w:val="bullet"/>
      <w:lvlText w:val="•"/>
      <w:lvlJc w:val="left"/>
      <w:pPr>
        <w:ind w:left="9416" w:hanging="681"/>
      </w:pPr>
      <w:rPr>
        <w:rFonts w:hint="default"/>
      </w:rPr>
    </w:lvl>
  </w:abstractNum>
  <w:abstractNum w:abstractNumId="154">
    <w:multiLevelType w:val="hybridMultilevel"/>
    <w:lvl w:ilvl="0">
      <w:start w:val="1"/>
      <w:numFmt w:val="lowerLetter"/>
      <w:lvlText w:val="%1)"/>
      <w:lvlJc w:val="left"/>
      <w:pPr>
        <w:ind w:left="760" w:hanging="681"/>
        <w:jc w:val="left"/>
      </w:pPr>
      <w:rPr>
        <w:rFonts w:hint="default" w:ascii="Stone Sans II ITC Std Bk" w:hAnsi="Stone Sans II ITC Std Bk" w:eastAsia="Stone Sans II ITC Std Bk" w:cs="Stone Sans II ITC Std Bk"/>
        <w:b/>
        <w:bCs/>
        <w:spacing w:val="-13"/>
        <w:w w:val="110"/>
        <w:sz w:val="20"/>
        <w:szCs w:val="20"/>
      </w:rPr>
    </w:lvl>
    <w:lvl w:ilvl="1">
      <w:start w:val="0"/>
      <w:numFmt w:val="bullet"/>
      <w:lvlText w:val="•"/>
      <w:lvlJc w:val="left"/>
      <w:pPr>
        <w:ind w:left="1341" w:hanging="681"/>
      </w:pPr>
      <w:rPr>
        <w:rFonts w:hint="default"/>
      </w:rPr>
    </w:lvl>
    <w:lvl w:ilvl="2">
      <w:start w:val="0"/>
      <w:numFmt w:val="bullet"/>
      <w:lvlText w:val="•"/>
      <w:lvlJc w:val="left"/>
      <w:pPr>
        <w:ind w:left="1922" w:hanging="681"/>
      </w:pPr>
      <w:rPr>
        <w:rFonts w:hint="default"/>
      </w:rPr>
    </w:lvl>
    <w:lvl w:ilvl="3">
      <w:start w:val="0"/>
      <w:numFmt w:val="bullet"/>
      <w:lvlText w:val="•"/>
      <w:lvlJc w:val="left"/>
      <w:pPr>
        <w:ind w:left="2503" w:hanging="681"/>
      </w:pPr>
      <w:rPr>
        <w:rFonts w:hint="default"/>
      </w:rPr>
    </w:lvl>
    <w:lvl w:ilvl="4">
      <w:start w:val="0"/>
      <w:numFmt w:val="bullet"/>
      <w:lvlText w:val="•"/>
      <w:lvlJc w:val="left"/>
      <w:pPr>
        <w:ind w:left="3084" w:hanging="681"/>
      </w:pPr>
      <w:rPr>
        <w:rFonts w:hint="default"/>
      </w:rPr>
    </w:lvl>
    <w:lvl w:ilvl="5">
      <w:start w:val="0"/>
      <w:numFmt w:val="bullet"/>
      <w:lvlText w:val="•"/>
      <w:lvlJc w:val="left"/>
      <w:pPr>
        <w:ind w:left="3666" w:hanging="681"/>
      </w:pPr>
      <w:rPr>
        <w:rFonts w:hint="default"/>
      </w:rPr>
    </w:lvl>
    <w:lvl w:ilvl="6">
      <w:start w:val="0"/>
      <w:numFmt w:val="bullet"/>
      <w:lvlText w:val="•"/>
      <w:lvlJc w:val="left"/>
      <w:pPr>
        <w:ind w:left="4247" w:hanging="681"/>
      </w:pPr>
      <w:rPr>
        <w:rFonts w:hint="default"/>
      </w:rPr>
    </w:lvl>
    <w:lvl w:ilvl="7">
      <w:start w:val="0"/>
      <w:numFmt w:val="bullet"/>
      <w:lvlText w:val="•"/>
      <w:lvlJc w:val="left"/>
      <w:pPr>
        <w:ind w:left="4828" w:hanging="681"/>
      </w:pPr>
      <w:rPr>
        <w:rFonts w:hint="default"/>
      </w:rPr>
    </w:lvl>
    <w:lvl w:ilvl="8">
      <w:start w:val="0"/>
      <w:numFmt w:val="bullet"/>
      <w:lvlText w:val="•"/>
      <w:lvlJc w:val="left"/>
      <w:pPr>
        <w:ind w:left="5409" w:hanging="681"/>
      </w:pPr>
      <w:rPr>
        <w:rFonts w:hint="default"/>
      </w:rPr>
    </w:lvl>
  </w:abstractNum>
  <w:abstractNum w:abstractNumId="153">
    <w:multiLevelType w:val="hybridMultilevel"/>
    <w:lvl w:ilvl="0">
      <w:start w:val="8"/>
      <w:numFmt w:val="decimal"/>
      <w:lvlText w:val="%1"/>
      <w:lvlJc w:val="left"/>
      <w:pPr>
        <w:ind w:left="1287" w:hanging="681"/>
        <w:jc w:val="left"/>
      </w:pPr>
      <w:rPr>
        <w:rFonts w:hint="default"/>
      </w:rPr>
    </w:lvl>
    <w:lvl w:ilvl="1">
      <w:start w:val="1"/>
      <w:numFmt w:val="decimal"/>
      <w:lvlText w:val="%1.%2"/>
      <w:lvlJc w:val="left"/>
      <w:pPr>
        <w:ind w:left="1287" w:hanging="681"/>
        <w:jc w:val="left"/>
      </w:pPr>
      <w:rPr>
        <w:rFonts w:hint="default" w:ascii="Stone Sans II ITC Std Bk" w:hAnsi="Stone Sans II ITC Std Bk" w:eastAsia="Stone Sans II ITC Std Bk" w:cs="Stone Sans II ITC Std Bk"/>
        <w:b/>
        <w:bCs/>
        <w:spacing w:val="-18"/>
        <w:w w:val="110"/>
        <w:sz w:val="20"/>
        <w:szCs w:val="20"/>
      </w:rPr>
    </w:lvl>
    <w:lvl w:ilvl="2">
      <w:start w:val="1"/>
      <w:numFmt w:val="decimal"/>
      <w:lvlText w:val="%1.%2.%3"/>
      <w:lvlJc w:val="left"/>
      <w:pPr>
        <w:ind w:left="607" w:hanging="681"/>
        <w:jc w:val="left"/>
      </w:pPr>
      <w:rPr>
        <w:rFonts w:hint="default" w:ascii="Calibri" w:hAnsi="Calibri" w:eastAsia="Calibri" w:cs="Calibri"/>
        <w:spacing w:val="-18"/>
        <w:w w:val="125"/>
        <w:sz w:val="20"/>
        <w:szCs w:val="20"/>
      </w:rPr>
    </w:lvl>
    <w:lvl w:ilvl="3">
      <w:start w:val="0"/>
      <w:numFmt w:val="bullet"/>
      <w:lvlText w:val="•"/>
      <w:lvlJc w:val="left"/>
      <w:pPr>
        <w:ind w:left="3499" w:hanging="681"/>
      </w:pPr>
      <w:rPr>
        <w:rFonts w:hint="default"/>
      </w:rPr>
    </w:lvl>
    <w:lvl w:ilvl="4">
      <w:start w:val="0"/>
      <w:numFmt w:val="bullet"/>
      <w:lvlText w:val="•"/>
      <w:lvlJc w:val="left"/>
      <w:pPr>
        <w:ind w:left="4608" w:hanging="681"/>
      </w:pPr>
      <w:rPr>
        <w:rFonts w:hint="default"/>
      </w:rPr>
    </w:lvl>
    <w:lvl w:ilvl="5">
      <w:start w:val="0"/>
      <w:numFmt w:val="bullet"/>
      <w:lvlText w:val="•"/>
      <w:lvlJc w:val="left"/>
      <w:pPr>
        <w:ind w:left="5718" w:hanging="681"/>
      </w:pPr>
      <w:rPr>
        <w:rFonts w:hint="default"/>
      </w:rPr>
    </w:lvl>
    <w:lvl w:ilvl="6">
      <w:start w:val="0"/>
      <w:numFmt w:val="bullet"/>
      <w:lvlText w:val="•"/>
      <w:lvlJc w:val="left"/>
      <w:pPr>
        <w:ind w:left="6827" w:hanging="681"/>
      </w:pPr>
      <w:rPr>
        <w:rFonts w:hint="default"/>
      </w:rPr>
    </w:lvl>
    <w:lvl w:ilvl="7">
      <w:start w:val="0"/>
      <w:numFmt w:val="bullet"/>
      <w:lvlText w:val="•"/>
      <w:lvlJc w:val="left"/>
      <w:pPr>
        <w:ind w:left="7937" w:hanging="681"/>
      </w:pPr>
      <w:rPr>
        <w:rFonts w:hint="default"/>
      </w:rPr>
    </w:lvl>
    <w:lvl w:ilvl="8">
      <w:start w:val="0"/>
      <w:numFmt w:val="bullet"/>
      <w:lvlText w:val="•"/>
      <w:lvlJc w:val="left"/>
      <w:pPr>
        <w:ind w:left="9046" w:hanging="681"/>
      </w:pPr>
      <w:rPr>
        <w:rFonts w:hint="default"/>
      </w:rPr>
    </w:lvl>
  </w:abstractNum>
  <w:abstractNum w:abstractNumId="152">
    <w:multiLevelType w:val="hybridMultilevel"/>
    <w:lvl w:ilvl="0">
      <w:start w:val="7"/>
      <w:numFmt w:val="decimal"/>
      <w:lvlText w:val="%1"/>
      <w:lvlJc w:val="left"/>
      <w:pPr>
        <w:ind w:left="1287" w:hanging="681"/>
        <w:jc w:val="left"/>
      </w:pPr>
      <w:rPr>
        <w:rFonts w:hint="default"/>
      </w:rPr>
    </w:lvl>
    <w:lvl w:ilvl="1">
      <w:start w:val="1"/>
      <w:numFmt w:val="decimal"/>
      <w:lvlText w:val="%1.%2"/>
      <w:lvlJc w:val="left"/>
      <w:pPr>
        <w:ind w:left="1287" w:hanging="681"/>
        <w:jc w:val="left"/>
      </w:pPr>
      <w:rPr>
        <w:rFonts w:hint="default" w:ascii="Stone Sans II ITC Std Bk" w:hAnsi="Stone Sans II ITC Std Bk" w:eastAsia="Stone Sans II ITC Std Bk" w:cs="Stone Sans II ITC Std Bk"/>
        <w:b/>
        <w:bCs/>
        <w:spacing w:val="-26"/>
        <w:w w:val="110"/>
        <w:sz w:val="20"/>
        <w:szCs w:val="20"/>
      </w:rPr>
    </w:lvl>
    <w:lvl w:ilvl="2">
      <w:start w:val="1"/>
      <w:numFmt w:val="decimal"/>
      <w:lvlText w:val="%1.%2.%3"/>
      <w:lvlJc w:val="left"/>
      <w:pPr>
        <w:ind w:left="607" w:hanging="681"/>
        <w:jc w:val="left"/>
      </w:pPr>
      <w:rPr>
        <w:rFonts w:hint="default" w:ascii="Calibri" w:hAnsi="Calibri" w:eastAsia="Calibri" w:cs="Calibri"/>
        <w:spacing w:val="-25"/>
        <w:w w:val="125"/>
        <w:sz w:val="20"/>
        <w:szCs w:val="20"/>
      </w:rPr>
    </w:lvl>
    <w:lvl w:ilvl="3">
      <w:start w:val="0"/>
      <w:numFmt w:val="bullet"/>
      <w:lvlText w:val="•"/>
      <w:lvlJc w:val="left"/>
      <w:pPr>
        <w:ind w:left="3499" w:hanging="681"/>
      </w:pPr>
      <w:rPr>
        <w:rFonts w:hint="default"/>
      </w:rPr>
    </w:lvl>
    <w:lvl w:ilvl="4">
      <w:start w:val="0"/>
      <w:numFmt w:val="bullet"/>
      <w:lvlText w:val="•"/>
      <w:lvlJc w:val="left"/>
      <w:pPr>
        <w:ind w:left="4608" w:hanging="681"/>
      </w:pPr>
      <w:rPr>
        <w:rFonts w:hint="default"/>
      </w:rPr>
    </w:lvl>
    <w:lvl w:ilvl="5">
      <w:start w:val="0"/>
      <w:numFmt w:val="bullet"/>
      <w:lvlText w:val="•"/>
      <w:lvlJc w:val="left"/>
      <w:pPr>
        <w:ind w:left="5718" w:hanging="681"/>
      </w:pPr>
      <w:rPr>
        <w:rFonts w:hint="default"/>
      </w:rPr>
    </w:lvl>
    <w:lvl w:ilvl="6">
      <w:start w:val="0"/>
      <w:numFmt w:val="bullet"/>
      <w:lvlText w:val="•"/>
      <w:lvlJc w:val="left"/>
      <w:pPr>
        <w:ind w:left="6827" w:hanging="681"/>
      </w:pPr>
      <w:rPr>
        <w:rFonts w:hint="default"/>
      </w:rPr>
    </w:lvl>
    <w:lvl w:ilvl="7">
      <w:start w:val="0"/>
      <w:numFmt w:val="bullet"/>
      <w:lvlText w:val="•"/>
      <w:lvlJc w:val="left"/>
      <w:pPr>
        <w:ind w:left="7937" w:hanging="681"/>
      </w:pPr>
      <w:rPr>
        <w:rFonts w:hint="default"/>
      </w:rPr>
    </w:lvl>
    <w:lvl w:ilvl="8">
      <w:start w:val="0"/>
      <w:numFmt w:val="bullet"/>
      <w:lvlText w:val="•"/>
      <w:lvlJc w:val="left"/>
      <w:pPr>
        <w:ind w:left="9046" w:hanging="681"/>
      </w:pPr>
      <w:rPr>
        <w:rFonts w:hint="default"/>
      </w:rPr>
    </w:lvl>
  </w:abstractNum>
  <w:abstractNum w:abstractNumId="151">
    <w:multiLevelType w:val="hybridMultilevel"/>
    <w:lvl w:ilvl="0">
      <w:start w:val="6"/>
      <w:numFmt w:val="decimal"/>
      <w:lvlText w:val="%1"/>
      <w:lvlJc w:val="left"/>
      <w:pPr>
        <w:ind w:left="2024" w:hanging="681"/>
        <w:jc w:val="left"/>
      </w:pPr>
      <w:rPr>
        <w:rFonts w:hint="default"/>
      </w:rPr>
    </w:lvl>
    <w:lvl w:ilvl="1">
      <w:start w:val="1"/>
      <w:numFmt w:val="decimal"/>
      <w:lvlText w:val="%1.%2"/>
      <w:lvlJc w:val="left"/>
      <w:pPr>
        <w:ind w:left="2024" w:hanging="681"/>
        <w:jc w:val="left"/>
      </w:pPr>
      <w:rPr>
        <w:rFonts w:hint="default" w:ascii="Stone Sans II ITC Std Bk" w:hAnsi="Stone Sans II ITC Std Bk" w:eastAsia="Stone Sans II ITC Std Bk" w:cs="Stone Sans II ITC Std Bk"/>
        <w:b/>
        <w:bCs/>
        <w:spacing w:val="-18"/>
        <w:w w:val="110"/>
        <w:sz w:val="20"/>
        <w:szCs w:val="20"/>
      </w:rPr>
    </w:lvl>
    <w:lvl w:ilvl="2">
      <w:start w:val="1"/>
      <w:numFmt w:val="decimal"/>
      <w:lvlText w:val="%1.%2.%3"/>
      <w:lvlJc w:val="left"/>
      <w:pPr>
        <w:ind w:left="1344" w:hanging="681"/>
        <w:jc w:val="left"/>
      </w:pPr>
      <w:rPr>
        <w:rFonts w:hint="default" w:ascii="Calibri" w:hAnsi="Calibri" w:eastAsia="Calibri" w:cs="Calibri"/>
        <w:spacing w:val="-18"/>
        <w:w w:val="125"/>
        <w:sz w:val="20"/>
        <w:szCs w:val="20"/>
      </w:rPr>
    </w:lvl>
    <w:lvl w:ilvl="3">
      <w:start w:val="0"/>
      <w:numFmt w:val="bullet"/>
      <w:lvlText w:val="•"/>
      <w:lvlJc w:val="left"/>
      <w:pPr>
        <w:ind w:left="4074" w:hanging="681"/>
      </w:pPr>
      <w:rPr>
        <w:rFonts w:hint="default"/>
      </w:rPr>
    </w:lvl>
    <w:lvl w:ilvl="4">
      <w:start w:val="0"/>
      <w:numFmt w:val="bullet"/>
      <w:lvlText w:val="•"/>
      <w:lvlJc w:val="left"/>
      <w:pPr>
        <w:ind w:left="5101" w:hanging="681"/>
      </w:pPr>
      <w:rPr>
        <w:rFonts w:hint="default"/>
      </w:rPr>
    </w:lvl>
    <w:lvl w:ilvl="5">
      <w:start w:val="0"/>
      <w:numFmt w:val="bullet"/>
      <w:lvlText w:val="•"/>
      <w:lvlJc w:val="left"/>
      <w:pPr>
        <w:ind w:left="6129" w:hanging="681"/>
      </w:pPr>
      <w:rPr>
        <w:rFonts w:hint="default"/>
      </w:rPr>
    </w:lvl>
    <w:lvl w:ilvl="6">
      <w:start w:val="0"/>
      <w:numFmt w:val="bullet"/>
      <w:lvlText w:val="•"/>
      <w:lvlJc w:val="left"/>
      <w:pPr>
        <w:ind w:left="7156" w:hanging="681"/>
      </w:pPr>
      <w:rPr>
        <w:rFonts w:hint="default"/>
      </w:rPr>
    </w:lvl>
    <w:lvl w:ilvl="7">
      <w:start w:val="0"/>
      <w:numFmt w:val="bullet"/>
      <w:lvlText w:val="•"/>
      <w:lvlJc w:val="left"/>
      <w:pPr>
        <w:ind w:left="8183" w:hanging="681"/>
      </w:pPr>
      <w:rPr>
        <w:rFonts w:hint="default"/>
      </w:rPr>
    </w:lvl>
    <w:lvl w:ilvl="8">
      <w:start w:val="0"/>
      <w:numFmt w:val="bullet"/>
      <w:lvlText w:val="•"/>
      <w:lvlJc w:val="left"/>
      <w:pPr>
        <w:ind w:left="9210" w:hanging="681"/>
      </w:pPr>
      <w:rPr>
        <w:rFonts w:hint="default"/>
      </w:rPr>
    </w:lvl>
  </w:abstractNum>
  <w:abstractNum w:abstractNumId="150">
    <w:multiLevelType w:val="hybridMultilevel"/>
    <w:lvl w:ilvl="0">
      <w:start w:val="5"/>
      <w:numFmt w:val="decimal"/>
      <w:lvlText w:val="%1"/>
      <w:lvlJc w:val="left"/>
      <w:pPr>
        <w:ind w:left="1287" w:hanging="681"/>
        <w:jc w:val="left"/>
      </w:pPr>
      <w:rPr>
        <w:rFonts w:hint="default"/>
      </w:rPr>
    </w:lvl>
    <w:lvl w:ilvl="1">
      <w:start w:val="1"/>
      <w:numFmt w:val="decimal"/>
      <w:lvlText w:val="%1.%2"/>
      <w:lvlJc w:val="left"/>
      <w:pPr>
        <w:ind w:left="1287" w:hanging="681"/>
        <w:jc w:val="right"/>
      </w:pPr>
      <w:rPr>
        <w:rFonts w:hint="default" w:ascii="Stone Sans II ITC Std Bk" w:hAnsi="Stone Sans II ITC Std Bk" w:eastAsia="Stone Sans II ITC Std Bk" w:cs="Stone Sans II ITC Std Bk"/>
        <w:b/>
        <w:bCs/>
        <w:spacing w:val="-18"/>
        <w:w w:val="110"/>
        <w:sz w:val="20"/>
        <w:szCs w:val="20"/>
      </w:rPr>
    </w:lvl>
    <w:lvl w:ilvl="2">
      <w:start w:val="1"/>
      <w:numFmt w:val="decimal"/>
      <w:lvlText w:val="%1.%2.%3"/>
      <w:lvlJc w:val="left"/>
      <w:pPr>
        <w:ind w:left="607" w:hanging="681"/>
        <w:jc w:val="right"/>
      </w:pPr>
      <w:rPr>
        <w:rFonts w:hint="default" w:ascii="Calibri" w:hAnsi="Calibri" w:eastAsia="Calibri" w:cs="Calibri"/>
        <w:spacing w:val="-16"/>
        <w:w w:val="125"/>
        <w:sz w:val="20"/>
        <w:szCs w:val="20"/>
      </w:rPr>
    </w:lvl>
    <w:lvl w:ilvl="3">
      <w:start w:val="0"/>
      <w:numFmt w:val="bullet"/>
      <w:lvlText w:val="•"/>
      <w:lvlJc w:val="left"/>
      <w:pPr>
        <w:ind w:left="2580" w:hanging="681"/>
      </w:pPr>
      <w:rPr>
        <w:rFonts w:hint="default"/>
      </w:rPr>
    </w:lvl>
    <w:lvl w:ilvl="4">
      <w:start w:val="0"/>
      <w:numFmt w:val="bullet"/>
      <w:lvlText w:val="•"/>
      <w:lvlJc w:val="left"/>
      <w:pPr>
        <w:ind w:left="3821" w:hanging="681"/>
      </w:pPr>
      <w:rPr>
        <w:rFonts w:hint="default"/>
      </w:rPr>
    </w:lvl>
    <w:lvl w:ilvl="5">
      <w:start w:val="0"/>
      <w:numFmt w:val="bullet"/>
      <w:lvlText w:val="•"/>
      <w:lvlJc w:val="left"/>
      <w:pPr>
        <w:ind w:left="5062" w:hanging="681"/>
      </w:pPr>
      <w:rPr>
        <w:rFonts w:hint="default"/>
      </w:rPr>
    </w:lvl>
    <w:lvl w:ilvl="6">
      <w:start w:val="0"/>
      <w:numFmt w:val="bullet"/>
      <w:lvlText w:val="•"/>
      <w:lvlJc w:val="left"/>
      <w:pPr>
        <w:ind w:left="6302" w:hanging="681"/>
      </w:pPr>
      <w:rPr>
        <w:rFonts w:hint="default"/>
      </w:rPr>
    </w:lvl>
    <w:lvl w:ilvl="7">
      <w:start w:val="0"/>
      <w:numFmt w:val="bullet"/>
      <w:lvlText w:val="•"/>
      <w:lvlJc w:val="left"/>
      <w:pPr>
        <w:ind w:left="7543" w:hanging="681"/>
      </w:pPr>
      <w:rPr>
        <w:rFonts w:hint="default"/>
      </w:rPr>
    </w:lvl>
    <w:lvl w:ilvl="8">
      <w:start w:val="0"/>
      <w:numFmt w:val="bullet"/>
      <w:lvlText w:val="•"/>
      <w:lvlJc w:val="left"/>
      <w:pPr>
        <w:ind w:left="8784" w:hanging="681"/>
      </w:pPr>
      <w:rPr>
        <w:rFonts w:hint="default"/>
      </w:rPr>
    </w:lvl>
  </w:abstractNum>
  <w:abstractNum w:abstractNumId="149">
    <w:multiLevelType w:val="hybridMultilevel"/>
    <w:lvl w:ilvl="0">
      <w:start w:val="4"/>
      <w:numFmt w:val="decimal"/>
      <w:lvlText w:val="%1"/>
      <w:lvlJc w:val="left"/>
      <w:pPr>
        <w:ind w:left="1287" w:hanging="681"/>
        <w:jc w:val="left"/>
      </w:pPr>
      <w:rPr>
        <w:rFonts w:hint="default"/>
      </w:rPr>
    </w:lvl>
    <w:lvl w:ilvl="1">
      <w:start w:val="1"/>
      <w:numFmt w:val="decimal"/>
      <w:lvlText w:val="%1.%2"/>
      <w:lvlJc w:val="left"/>
      <w:pPr>
        <w:ind w:left="1287" w:hanging="681"/>
        <w:jc w:val="left"/>
      </w:pPr>
      <w:rPr>
        <w:rFonts w:hint="default" w:ascii="Stone Sans II ITC Std Bk" w:hAnsi="Stone Sans II ITC Std Bk" w:eastAsia="Stone Sans II ITC Std Bk" w:cs="Stone Sans II ITC Std Bk"/>
        <w:b/>
        <w:bCs/>
        <w:spacing w:val="-18"/>
        <w:w w:val="110"/>
        <w:sz w:val="20"/>
        <w:szCs w:val="20"/>
      </w:rPr>
    </w:lvl>
    <w:lvl w:ilvl="2">
      <w:start w:val="1"/>
      <w:numFmt w:val="decimal"/>
      <w:lvlText w:val="%1.%2.%3"/>
      <w:lvlJc w:val="left"/>
      <w:pPr>
        <w:ind w:left="607" w:hanging="681"/>
        <w:jc w:val="left"/>
      </w:pPr>
      <w:rPr>
        <w:rFonts w:hint="default" w:ascii="Calibri" w:hAnsi="Calibri" w:eastAsia="Calibri" w:cs="Calibri"/>
        <w:spacing w:val="-18"/>
        <w:w w:val="125"/>
        <w:sz w:val="20"/>
        <w:szCs w:val="20"/>
      </w:rPr>
    </w:lvl>
    <w:lvl w:ilvl="3">
      <w:start w:val="0"/>
      <w:numFmt w:val="bullet"/>
      <w:lvlText w:val="•"/>
      <w:lvlJc w:val="left"/>
      <w:pPr>
        <w:ind w:left="3499" w:hanging="681"/>
      </w:pPr>
      <w:rPr>
        <w:rFonts w:hint="default"/>
      </w:rPr>
    </w:lvl>
    <w:lvl w:ilvl="4">
      <w:start w:val="0"/>
      <w:numFmt w:val="bullet"/>
      <w:lvlText w:val="•"/>
      <w:lvlJc w:val="left"/>
      <w:pPr>
        <w:ind w:left="4608" w:hanging="681"/>
      </w:pPr>
      <w:rPr>
        <w:rFonts w:hint="default"/>
      </w:rPr>
    </w:lvl>
    <w:lvl w:ilvl="5">
      <w:start w:val="0"/>
      <w:numFmt w:val="bullet"/>
      <w:lvlText w:val="•"/>
      <w:lvlJc w:val="left"/>
      <w:pPr>
        <w:ind w:left="5718" w:hanging="681"/>
      </w:pPr>
      <w:rPr>
        <w:rFonts w:hint="default"/>
      </w:rPr>
    </w:lvl>
    <w:lvl w:ilvl="6">
      <w:start w:val="0"/>
      <w:numFmt w:val="bullet"/>
      <w:lvlText w:val="•"/>
      <w:lvlJc w:val="left"/>
      <w:pPr>
        <w:ind w:left="6827" w:hanging="681"/>
      </w:pPr>
      <w:rPr>
        <w:rFonts w:hint="default"/>
      </w:rPr>
    </w:lvl>
    <w:lvl w:ilvl="7">
      <w:start w:val="0"/>
      <w:numFmt w:val="bullet"/>
      <w:lvlText w:val="•"/>
      <w:lvlJc w:val="left"/>
      <w:pPr>
        <w:ind w:left="7937" w:hanging="681"/>
      </w:pPr>
      <w:rPr>
        <w:rFonts w:hint="default"/>
      </w:rPr>
    </w:lvl>
    <w:lvl w:ilvl="8">
      <w:start w:val="0"/>
      <w:numFmt w:val="bullet"/>
      <w:lvlText w:val="•"/>
      <w:lvlJc w:val="left"/>
      <w:pPr>
        <w:ind w:left="9046" w:hanging="681"/>
      </w:pPr>
      <w:rPr>
        <w:rFonts w:hint="default"/>
      </w:rPr>
    </w:lvl>
  </w:abstractNum>
  <w:abstractNum w:abstractNumId="148">
    <w:multiLevelType w:val="hybridMultilevel"/>
    <w:lvl w:ilvl="0">
      <w:start w:val="3"/>
      <w:numFmt w:val="decimal"/>
      <w:lvlText w:val="%1"/>
      <w:lvlJc w:val="left"/>
      <w:pPr>
        <w:ind w:left="1344" w:hanging="681"/>
        <w:jc w:val="left"/>
      </w:pPr>
      <w:rPr>
        <w:rFonts w:hint="default"/>
      </w:rPr>
    </w:lvl>
    <w:lvl w:ilvl="1">
      <w:start w:val="1"/>
      <w:numFmt w:val="decimal"/>
      <w:lvlText w:val="%1.%2"/>
      <w:lvlJc w:val="left"/>
      <w:pPr>
        <w:ind w:left="1344" w:hanging="681"/>
        <w:jc w:val="right"/>
      </w:pPr>
      <w:rPr>
        <w:rFonts w:hint="default"/>
        <w:spacing w:val="-18"/>
        <w:w w:val="125"/>
      </w:rPr>
    </w:lvl>
    <w:lvl w:ilvl="2">
      <w:start w:val="1"/>
      <w:numFmt w:val="decimal"/>
      <w:lvlText w:val="%1.%2.%3"/>
      <w:lvlJc w:val="left"/>
      <w:pPr>
        <w:ind w:left="607" w:hanging="681"/>
        <w:jc w:val="left"/>
      </w:pPr>
      <w:rPr>
        <w:rFonts w:hint="default" w:ascii="Calibri" w:hAnsi="Calibri" w:eastAsia="Calibri" w:cs="Calibri"/>
        <w:spacing w:val="-20"/>
        <w:w w:val="125"/>
        <w:sz w:val="20"/>
        <w:szCs w:val="20"/>
      </w:rPr>
    </w:lvl>
    <w:lvl w:ilvl="3">
      <w:start w:val="0"/>
      <w:numFmt w:val="bullet"/>
      <w:lvlText w:val="•"/>
      <w:lvlJc w:val="left"/>
      <w:pPr>
        <w:ind w:left="2580" w:hanging="681"/>
      </w:pPr>
      <w:rPr>
        <w:rFonts w:hint="default"/>
      </w:rPr>
    </w:lvl>
    <w:lvl w:ilvl="4">
      <w:start w:val="0"/>
      <w:numFmt w:val="bullet"/>
      <w:lvlText w:val="•"/>
      <w:lvlJc w:val="left"/>
      <w:pPr>
        <w:ind w:left="3821" w:hanging="681"/>
      </w:pPr>
      <w:rPr>
        <w:rFonts w:hint="default"/>
      </w:rPr>
    </w:lvl>
    <w:lvl w:ilvl="5">
      <w:start w:val="0"/>
      <w:numFmt w:val="bullet"/>
      <w:lvlText w:val="•"/>
      <w:lvlJc w:val="left"/>
      <w:pPr>
        <w:ind w:left="5062" w:hanging="681"/>
      </w:pPr>
      <w:rPr>
        <w:rFonts w:hint="default"/>
      </w:rPr>
    </w:lvl>
    <w:lvl w:ilvl="6">
      <w:start w:val="0"/>
      <w:numFmt w:val="bullet"/>
      <w:lvlText w:val="•"/>
      <w:lvlJc w:val="left"/>
      <w:pPr>
        <w:ind w:left="6302" w:hanging="681"/>
      </w:pPr>
      <w:rPr>
        <w:rFonts w:hint="default"/>
      </w:rPr>
    </w:lvl>
    <w:lvl w:ilvl="7">
      <w:start w:val="0"/>
      <w:numFmt w:val="bullet"/>
      <w:lvlText w:val="•"/>
      <w:lvlJc w:val="left"/>
      <w:pPr>
        <w:ind w:left="7543" w:hanging="681"/>
      </w:pPr>
      <w:rPr>
        <w:rFonts w:hint="default"/>
      </w:rPr>
    </w:lvl>
    <w:lvl w:ilvl="8">
      <w:start w:val="0"/>
      <w:numFmt w:val="bullet"/>
      <w:lvlText w:val="•"/>
      <w:lvlJc w:val="left"/>
      <w:pPr>
        <w:ind w:left="8784" w:hanging="681"/>
      </w:pPr>
      <w:rPr>
        <w:rFonts w:hint="default"/>
      </w:rPr>
    </w:lvl>
  </w:abstractNum>
  <w:abstractNum w:abstractNumId="147">
    <w:multiLevelType w:val="hybridMultilevel"/>
    <w:lvl w:ilvl="0">
      <w:start w:val="2"/>
      <w:numFmt w:val="decimal"/>
      <w:lvlText w:val="%1"/>
      <w:lvlJc w:val="left"/>
      <w:pPr>
        <w:ind w:left="1344" w:hanging="681"/>
        <w:jc w:val="left"/>
      </w:pPr>
      <w:rPr>
        <w:rFonts w:hint="default"/>
      </w:rPr>
    </w:lvl>
    <w:lvl w:ilvl="1">
      <w:start w:val="1"/>
      <w:numFmt w:val="decimal"/>
      <w:lvlText w:val="%1.%2"/>
      <w:lvlJc w:val="left"/>
      <w:pPr>
        <w:ind w:left="1344" w:hanging="681"/>
        <w:jc w:val="left"/>
      </w:pPr>
      <w:rPr>
        <w:rFonts w:hint="default" w:ascii="Calibri" w:hAnsi="Calibri" w:eastAsia="Calibri" w:cs="Calibri"/>
        <w:spacing w:val="-18"/>
        <w:w w:val="125"/>
        <w:sz w:val="20"/>
        <w:szCs w:val="20"/>
      </w:rPr>
    </w:lvl>
    <w:lvl w:ilvl="2">
      <w:start w:val="0"/>
      <w:numFmt w:val="bullet"/>
      <w:lvlText w:val="•"/>
      <w:lvlJc w:val="left"/>
      <w:pPr>
        <w:ind w:left="3325" w:hanging="681"/>
      </w:pPr>
      <w:rPr>
        <w:rFonts w:hint="default"/>
      </w:rPr>
    </w:lvl>
    <w:lvl w:ilvl="3">
      <w:start w:val="0"/>
      <w:numFmt w:val="bullet"/>
      <w:lvlText w:val="•"/>
      <w:lvlJc w:val="left"/>
      <w:pPr>
        <w:ind w:left="4317" w:hanging="681"/>
      </w:pPr>
      <w:rPr>
        <w:rFonts w:hint="default"/>
      </w:rPr>
    </w:lvl>
    <w:lvl w:ilvl="4">
      <w:start w:val="0"/>
      <w:numFmt w:val="bullet"/>
      <w:lvlText w:val="•"/>
      <w:lvlJc w:val="left"/>
      <w:pPr>
        <w:ind w:left="5310" w:hanging="681"/>
      </w:pPr>
      <w:rPr>
        <w:rFonts w:hint="default"/>
      </w:rPr>
    </w:lvl>
    <w:lvl w:ilvl="5">
      <w:start w:val="0"/>
      <w:numFmt w:val="bullet"/>
      <w:lvlText w:val="•"/>
      <w:lvlJc w:val="left"/>
      <w:pPr>
        <w:ind w:left="6302" w:hanging="681"/>
      </w:pPr>
      <w:rPr>
        <w:rFonts w:hint="default"/>
      </w:rPr>
    </w:lvl>
    <w:lvl w:ilvl="6">
      <w:start w:val="0"/>
      <w:numFmt w:val="bullet"/>
      <w:lvlText w:val="•"/>
      <w:lvlJc w:val="left"/>
      <w:pPr>
        <w:ind w:left="7295" w:hanging="681"/>
      </w:pPr>
      <w:rPr>
        <w:rFonts w:hint="default"/>
      </w:rPr>
    </w:lvl>
    <w:lvl w:ilvl="7">
      <w:start w:val="0"/>
      <w:numFmt w:val="bullet"/>
      <w:lvlText w:val="•"/>
      <w:lvlJc w:val="left"/>
      <w:pPr>
        <w:ind w:left="8287" w:hanging="681"/>
      </w:pPr>
      <w:rPr>
        <w:rFonts w:hint="default"/>
      </w:rPr>
    </w:lvl>
    <w:lvl w:ilvl="8">
      <w:start w:val="0"/>
      <w:numFmt w:val="bullet"/>
      <w:lvlText w:val="•"/>
      <w:lvlJc w:val="left"/>
      <w:pPr>
        <w:ind w:left="9280" w:hanging="681"/>
      </w:pPr>
      <w:rPr>
        <w:rFonts w:hint="default"/>
      </w:rPr>
    </w:lvl>
  </w:abstractNum>
  <w:abstractNum w:abstractNumId="146">
    <w:multiLevelType w:val="hybridMultilevel"/>
    <w:lvl w:ilvl="0">
      <w:start w:val="1"/>
      <w:numFmt w:val="decimal"/>
      <w:lvlText w:val="%1"/>
      <w:lvlJc w:val="left"/>
      <w:pPr>
        <w:ind w:left="1344" w:hanging="681"/>
        <w:jc w:val="left"/>
      </w:pPr>
      <w:rPr>
        <w:rFonts w:hint="default"/>
      </w:rPr>
    </w:lvl>
    <w:lvl w:ilvl="1">
      <w:start w:val="1"/>
      <w:numFmt w:val="decimal"/>
      <w:lvlText w:val="%1.%2"/>
      <w:lvlJc w:val="left"/>
      <w:pPr>
        <w:ind w:left="1344" w:hanging="681"/>
        <w:jc w:val="left"/>
      </w:pPr>
      <w:rPr>
        <w:rFonts w:hint="default" w:ascii="Calibri" w:hAnsi="Calibri" w:eastAsia="Calibri" w:cs="Calibri"/>
        <w:spacing w:val="-18"/>
        <w:w w:val="125"/>
        <w:sz w:val="20"/>
        <w:szCs w:val="20"/>
      </w:rPr>
    </w:lvl>
    <w:lvl w:ilvl="2">
      <w:start w:val="0"/>
      <w:numFmt w:val="bullet"/>
      <w:lvlText w:val="•"/>
      <w:lvlJc w:val="left"/>
      <w:pPr>
        <w:ind w:left="3325" w:hanging="681"/>
      </w:pPr>
      <w:rPr>
        <w:rFonts w:hint="default"/>
      </w:rPr>
    </w:lvl>
    <w:lvl w:ilvl="3">
      <w:start w:val="0"/>
      <w:numFmt w:val="bullet"/>
      <w:lvlText w:val="•"/>
      <w:lvlJc w:val="left"/>
      <w:pPr>
        <w:ind w:left="4317" w:hanging="681"/>
      </w:pPr>
      <w:rPr>
        <w:rFonts w:hint="default"/>
      </w:rPr>
    </w:lvl>
    <w:lvl w:ilvl="4">
      <w:start w:val="0"/>
      <w:numFmt w:val="bullet"/>
      <w:lvlText w:val="•"/>
      <w:lvlJc w:val="left"/>
      <w:pPr>
        <w:ind w:left="5310" w:hanging="681"/>
      </w:pPr>
      <w:rPr>
        <w:rFonts w:hint="default"/>
      </w:rPr>
    </w:lvl>
    <w:lvl w:ilvl="5">
      <w:start w:val="0"/>
      <w:numFmt w:val="bullet"/>
      <w:lvlText w:val="•"/>
      <w:lvlJc w:val="left"/>
      <w:pPr>
        <w:ind w:left="6302" w:hanging="681"/>
      </w:pPr>
      <w:rPr>
        <w:rFonts w:hint="default"/>
      </w:rPr>
    </w:lvl>
    <w:lvl w:ilvl="6">
      <w:start w:val="0"/>
      <w:numFmt w:val="bullet"/>
      <w:lvlText w:val="•"/>
      <w:lvlJc w:val="left"/>
      <w:pPr>
        <w:ind w:left="7295" w:hanging="681"/>
      </w:pPr>
      <w:rPr>
        <w:rFonts w:hint="default"/>
      </w:rPr>
    </w:lvl>
    <w:lvl w:ilvl="7">
      <w:start w:val="0"/>
      <w:numFmt w:val="bullet"/>
      <w:lvlText w:val="•"/>
      <w:lvlJc w:val="left"/>
      <w:pPr>
        <w:ind w:left="8287" w:hanging="681"/>
      </w:pPr>
      <w:rPr>
        <w:rFonts w:hint="default"/>
      </w:rPr>
    </w:lvl>
    <w:lvl w:ilvl="8">
      <w:start w:val="0"/>
      <w:numFmt w:val="bullet"/>
      <w:lvlText w:val="•"/>
      <w:lvlJc w:val="left"/>
      <w:pPr>
        <w:ind w:left="9280" w:hanging="681"/>
      </w:pPr>
      <w:rPr>
        <w:rFonts w:hint="default"/>
      </w:rPr>
    </w:lvl>
  </w:abstractNum>
  <w:abstractNum w:abstractNumId="145">
    <w:multiLevelType w:val="hybridMultilevel"/>
    <w:lvl w:ilvl="0">
      <w:start w:val="9"/>
      <w:numFmt w:val="decimal"/>
      <w:lvlText w:val="%1"/>
      <w:lvlJc w:val="left"/>
      <w:pPr>
        <w:ind w:left="607" w:hanging="681"/>
        <w:jc w:val="left"/>
      </w:pPr>
      <w:rPr>
        <w:rFonts w:hint="default"/>
      </w:rPr>
    </w:lvl>
    <w:lvl w:ilvl="1">
      <w:start w:val="1"/>
      <w:numFmt w:val="decimal"/>
      <w:lvlText w:val="%1.%2"/>
      <w:lvlJc w:val="left"/>
      <w:pPr>
        <w:ind w:left="607" w:hanging="681"/>
        <w:jc w:val="left"/>
      </w:pPr>
      <w:rPr>
        <w:rFonts w:hint="default" w:ascii="Calibri" w:hAnsi="Calibri" w:eastAsia="Calibri" w:cs="Calibri"/>
        <w:spacing w:val="-20"/>
        <w:w w:val="125"/>
        <w:sz w:val="20"/>
        <w:szCs w:val="20"/>
      </w:rPr>
    </w:lvl>
    <w:lvl w:ilvl="2">
      <w:start w:val="1"/>
      <w:numFmt w:val="upperLetter"/>
      <w:lvlText w:val="%3."/>
      <w:lvlJc w:val="left"/>
      <w:pPr>
        <w:ind w:left="2024" w:hanging="681"/>
        <w:jc w:val="left"/>
      </w:pPr>
      <w:rPr>
        <w:rFonts w:hint="default" w:ascii="Stone Sans II ITC Std Bk" w:hAnsi="Stone Sans II ITC Std Bk" w:eastAsia="Stone Sans II ITC Std Bk" w:cs="Stone Sans II ITC Std Bk"/>
        <w:b/>
        <w:bCs/>
        <w:spacing w:val="0"/>
        <w:w w:val="110"/>
        <w:sz w:val="29"/>
        <w:szCs w:val="29"/>
      </w:rPr>
    </w:lvl>
    <w:lvl w:ilvl="3">
      <w:start w:val="0"/>
      <w:numFmt w:val="bullet"/>
      <w:lvlText w:val="•"/>
      <w:lvlJc w:val="left"/>
      <w:pPr>
        <w:ind w:left="4074" w:hanging="681"/>
      </w:pPr>
      <w:rPr>
        <w:rFonts w:hint="default"/>
      </w:rPr>
    </w:lvl>
    <w:lvl w:ilvl="4">
      <w:start w:val="0"/>
      <w:numFmt w:val="bullet"/>
      <w:lvlText w:val="•"/>
      <w:lvlJc w:val="left"/>
      <w:pPr>
        <w:ind w:left="5101" w:hanging="681"/>
      </w:pPr>
      <w:rPr>
        <w:rFonts w:hint="default"/>
      </w:rPr>
    </w:lvl>
    <w:lvl w:ilvl="5">
      <w:start w:val="0"/>
      <w:numFmt w:val="bullet"/>
      <w:lvlText w:val="•"/>
      <w:lvlJc w:val="left"/>
      <w:pPr>
        <w:ind w:left="6129" w:hanging="681"/>
      </w:pPr>
      <w:rPr>
        <w:rFonts w:hint="default"/>
      </w:rPr>
    </w:lvl>
    <w:lvl w:ilvl="6">
      <w:start w:val="0"/>
      <w:numFmt w:val="bullet"/>
      <w:lvlText w:val="•"/>
      <w:lvlJc w:val="left"/>
      <w:pPr>
        <w:ind w:left="7156" w:hanging="681"/>
      </w:pPr>
      <w:rPr>
        <w:rFonts w:hint="default"/>
      </w:rPr>
    </w:lvl>
    <w:lvl w:ilvl="7">
      <w:start w:val="0"/>
      <w:numFmt w:val="bullet"/>
      <w:lvlText w:val="•"/>
      <w:lvlJc w:val="left"/>
      <w:pPr>
        <w:ind w:left="8183" w:hanging="681"/>
      </w:pPr>
      <w:rPr>
        <w:rFonts w:hint="default"/>
      </w:rPr>
    </w:lvl>
    <w:lvl w:ilvl="8">
      <w:start w:val="0"/>
      <w:numFmt w:val="bullet"/>
      <w:lvlText w:val="•"/>
      <w:lvlJc w:val="left"/>
      <w:pPr>
        <w:ind w:left="9210" w:hanging="681"/>
      </w:pPr>
      <w:rPr>
        <w:rFonts w:hint="default"/>
      </w:rPr>
    </w:lvl>
  </w:abstractNum>
  <w:abstractNum w:abstractNumId="144">
    <w:multiLevelType w:val="hybridMultilevel"/>
    <w:lvl w:ilvl="0">
      <w:start w:val="3"/>
      <w:numFmt w:val="decimal"/>
      <w:lvlText w:val="%1"/>
      <w:lvlJc w:val="left"/>
      <w:pPr>
        <w:ind w:left="2024" w:hanging="681"/>
        <w:jc w:val="left"/>
      </w:pPr>
      <w:rPr>
        <w:rFonts w:hint="default"/>
      </w:rPr>
    </w:lvl>
    <w:lvl w:ilvl="1">
      <w:start w:val="1"/>
      <w:numFmt w:val="decimal"/>
      <w:lvlText w:val="%1.%2"/>
      <w:lvlJc w:val="left"/>
      <w:pPr>
        <w:ind w:left="2024" w:hanging="681"/>
        <w:jc w:val="left"/>
      </w:pPr>
      <w:rPr>
        <w:rFonts w:hint="default" w:ascii="Calibri" w:hAnsi="Calibri" w:eastAsia="Calibri" w:cs="Calibri"/>
        <w:spacing w:val="-18"/>
        <w:w w:val="125"/>
        <w:sz w:val="20"/>
        <w:szCs w:val="20"/>
      </w:rPr>
    </w:lvl>
    <w:lvl w:ilvl="2">
      <w:start w:val="0"/>
      <w:numFmt w:val="bullet"/>
      <w:lvlText w:val="•"/>
      <w:lvlJc w:val="left"/>
      <w:pPr>
        <w:ind w:left="3869" w:hanging="681"/>
      </w:pPr>
      <w:rPr>
        <w:rFonts w:hint="default"/>
      </w:rPr>
    </w:lvl>
    <w:lvl w:ilvl="3">
      <w:start w:val="0"/>
      <w:numFmt w:val="bullet"/>
      <w:lvlText w:val="•"/>
      <w:lvlJc w:val="left"/>
      <w:pPr>
        <w:ind w:left="4793" w:hanging="681"/>
      </w:pPr>
      <w:rPr>
        <w:rFonts w:hint="default"/>
      </w:rPr>
    </w:lvl>
    <w:lvl w:ilvl="4">
      <w:start w:val="0"/>
      <w:numFmt w:val="bullet"/>
      <w:lvlText w:val="•"/>
      <w:lvlJc w:val="left"/>
      <w:pPr>
        <w:ind w:left="5718" w:hanging="681"/>
      </w:pPr>
      <w:rPr>
        <w:rFonts w:hint="default"/>
      </w:rPr>
    </w:lvl>
    <w:lvl w:ilvl="5">
      <w:start w:val="0"/>
      <w:numFmt w:val="bullet"/>
      <w:lvlText w:val="•"/>
      <w:lvlJc w:val="left"/>
      <w:pPr>
        <w:ind w:left="6642" w:hanging="681"/>
      </w:pPr>
      <w:rPr>
        <w:rFonts w:hint="default"/>
      </w:rPr>
    </w:lvl>
    <w:lvl w:ilvl="6">
      <w:start w:val="0"/>
      <w:numFmt w:val="bullet"/>
      <w:lvlText w:val="•"/>
      <w:lvlJc w:val="left"/>
      <w:pPr>
        <w:ind w:left="7567" w:hanging="681"/>
      </w:pPr>
      <w:rPr>
        <w:rFonts w:hint="default"/>
      </w:rPr>
    </w:lvl>
    <w:lvl w:ilvl="7">
      <w:start w:val="0"/>
      <w:numFmt w:val="bullet"/>
      <w:lvlText w:val="•"/>
      <w:lvlJc w:val="left"/>
      <w:pPr>
        <w:ind w:left="8491" w:hanging="681"/>
      </w:pPr>
      <w:rPr>
        <w:rFonts w:hint="default"/>
      </w:rPr>
    </w:lvl>
    <w:lvl w:ilvl="8">
      <w:start w:val="0"/>
      <w:numFmt w:val="bullet"/>
      <w:lvlText w:val="•"/>
      <w:lvlJc w:val="left"/>
      <w:pPr>
        <w:ind w:left="9416" w:hanging="681"/>
      </w:pPr>
      <w:rPr>
        <w:rFonts w:hint="default"/>
      </w:rPr>
    </w:lvl>
  </w:abstractNum>
  <w:abstractNum w:abstractNumId="143">
    <w:multiLevelType w:val="hybridMultilevel"/>
    <w:lvl w:ilvl="0">
      <w:start w:val="2"/>
      <w:numFmt w:val="decimal"/>
      <w:lvlText w:val="%1"/>
      <w:lvlJc w:val="left"/>
      <w:pPr>
        <w:ind w:left="1344" w:hanging="681"/>
        <w:jc w:val="left"/>
      </w:pPr>
      <w:rPr>
        <w:rFonts w:hint="default"/>
      </w:rPr>
    </w:lvl>
    <w:lvl w:ilvl="1">
      <w:start w:val="1"/>
      <w:numFmt w:val="decimal"/>
      <w:lvlText w:val="%1.%2"/>
      <w:lvlJc w:val="left"/>
      <w:pPr>
        <w:ind w:left="1344" w:hanging="681"/>
        <w:jc w:val="left"/>
      </w:pPr>
      <w:rPr>
        <w:rFonts w:hint="default" w:ascii="Calibri" w:hAnsi="Calibri" w:eastAsia="Calibri" w:cs="Calibri"/>
        <w:spacing w:val="-16"/>
        <w:w w:val="125"/>
        <w:sz w:val="20"/>
        <w:szCs w:val="20"/>
      </w:rPr>
    </w:lvl>
    <w:lvl w:ilvl="2">
      <w:start w:val="0"/>
      <w:numFmt w:val="bullet"/>
      <w:lvlText w:val="•"/>
      <w:lvlJc w:val="left"/>
      <w:pPr>
        <w:ind w:left="3325" w:hanging="681"/>
      </w:pPr>
      <w:rPr>
        <w:rFonts w:hint="default"/>
      </w:rPr>
    </w:lvl>
    <w:lvl w:ilvl="3">
      <w:start w:val="0"/>
      <w:numFmt w:val="bullet"/>
      <w:lvlText w:val="•"/>
      <w:lvlJc w:val="left"/>
      <w:pPr>
        <w:ind w:left="4317" w:hanging="681"/>
      </w:pPr>
      <w:rPr>
        <w:rFonts w:hint="default"/>
      </w:rPr>
    </w:lvl>
    <w:lvl w:ilvl="4">
      <w:start w:val="0"/>
      <w:numFmt w:val="bullet"/>
      <w:lvlText w:val="•"/>
      <w:lvlJc w:val="left"/>
      <w:pPr>
        <w:ind w:left="5310" w:hanging="681"/>
      </w:pPr>
      <w:rPr>
        <w:rFonts w:hint="default"/>
      </w:rPr>
    </w:lvl>
    <w:lvl w:ilvl="5">
      <w:start w:val="0"/>
      <w:numFmt w:val="bullet"/>
      <w:lvlText w:val="•"/>
      <w:lvlJc w:val="left"/>
      <w:pPr>
        <w:ind w:left="6302" w:hanging="681"/>
      </w:pPr>
      <w:rPr>
        <w:rFonts w:hint="default"/>
      </w:rPr>
    </w:lvl>
    <w:lvl w:ilvl="6">
      <w:start w:val="0"/>
      <w:numFmt w:val="bullet"/>
      <w:lvlText w:val="•"/>
      <w:lvlJc w:val="left"/>
      <w:pPr>
        <w:ind w:left="7295" w:hanging="681"/>
      </w:pPr>
      <w:rPr>
        <w:rFonts w:hint="default"/>
      </w:rPr>
    </w:lvl>
    <w:lvl w:ilvl="7">
      <w:start w:val="0"/>
      <w:numFmt w:val="bullet"/>
      <w:lvlText w:val="•"/>
      <w:lvlJc w:val="left"/>
      <w:pPr>
        <w:ind w:left="8287" w:hanging="681"/>
      </w:pPr>
      <w:rPr>
        <w:rFonts w:hint="default"/>
      </w:rPr>
    </w:lvl>
    <w:lvl w:ilvl="8">
      <w:start w:val="0"/>
      <w:numFmt w:val="bullet"/>
      <w:lvlText w:val="•"/>
      <w:lvlJc w:val="left"/>
      <w:pPr>
        <w:ind w:left="9280" w:hanging="681"/>
      </w:pPr>
      <w:rPr>
        <w:rFonts w:hint="default"/>
      </w:rPr>
    </w:lvl>
  </w:abstractNum>
  <w:abstractNum w:abstractNumId="142">
    <w:multiLevelType w:val="hybridMultilevel"/>
    <w:lvl w:ilvl="0">
      <w:start w:val="1"/>
      <w:numFmt w:val="decimal"/>
      <w:lvlText w:val="%1"/>
      <w:lvlJc w:val="left"/>
      <w:pPr>
        <w:ind w:left="1344" w:hanging="681"/>
        <w:jc w:val="left"/>
      </w:pPr>
      <w:rPr>
        <w:rFonts w:hint="default"/>
      </w:rPr>
    </w:lvl>
    <w:lvl w:ilvl="1">
      <w:start w:val="1"/>
      <w:numFmt w:val="decimal"/>
      <w:lvlText w:val="%1.%2"/>
      <w:lvlJc w:val="left"/>
      <w:pPr>
        <w:ind w:left="1344" w:hanging="681"/>
        <w:jc w:val="left"/>
      </w:pPr>
      <w:rPr>
        <w:rFonts w:hint="default" w:ascii="Calibri" w:hAnsi="Calibri" w:eastAsia="Calibri" w:cs="Calibri"/>
        <w:spacing w:val="-18"/>
        <w:w w:val="125"/>
        <w:sz w:val="20"/>
        <w:szCs w:val="20"/>
      </w:rPr>
    </w:lvl>
    <w:lvl w:ilvl="2">
      <w:start w:val="0"/>
      <w:numFmt w:val="bullet"/>
      <w:lvlText w:val="•"/>
      <w:lvlJc w:val="left"/>
      <w:pPr>
        <w:ind w:left="3325" w:hanging="681"/>
      </w:pPr>
      <w:rPr>
        <w:rFonts w:hint="default"/>
      </w:rPr>
    </w:lvl>
    <w:lvl w:ilvl="3">
      <w:start w:val="0"/>
      <w:numFmt w:val="bullet"/>
      <w:lvlText w:val="•"/>
      <w:lvlJc w:val="left"/>
      <w:pPr>
        <w:ind w:left="4317" w:hanging="681"/>
      </w:pPr>
      <w:rPr>
        <w:rFonts w:hint="default"/>
      </w:rPr>
    </w:lvl>
    <w:lvl w:ilvl="4">
      <w:start w:val="0"/>
      <w:numFmt w:val="bullet"/>
      <w:lvlText w:val="•"/>
      <w:lvlJc w:val="left"/>
      <w:pPr>
        <w:ind w:left="5310" w:hanging="681"/>
      </w:pPr>
      <w:rPr>
        <w:rFonts w:hint="default"/>
      </w:rPr>
    </w:lvl>
    <w:lvl w:ilvl="5">
      <w:start w:val="0"/>
      <w:numFmt w:val="bullet"/>
      <w:lvlText w:val="•"/>
      <w:lvlJc w:val="left"/>
      <w:pPr>
        <w:ind w:left="6302" w:hanging="681"/>
      </w:pPr>
      <w:rPr>
        <w:rFonts w:hint="default"/>
      </w:rPr>
    </w:lvl>
    <w:lvl w:ilvl="6">
      <w:start w:val="0"/>
      <w:numFmt w:val="bullet"/>
      <w:lvlText w:val="•"/>
      <w:lvlJc w:val="left"/>
      <w:pPr>
        <w:ind w:left="7295" w:hanging="681"/>
      </w:pPr>
      <w:rPr>
        <w:rFonts w:hint="default"/>
      </w:rPr>
    </w:lvl>
    <w:lvl w:ilvl="7">
      <w:start w:val="0"/>
      <w:numFmt w:val="bullet"/>
      <w:lvlText w:val="•"/>
      <w:lvlJc w:val="left"/>
      <w:pPr>
        <w:ind w:left="8287" w:hanging="681"/>
      </w:pPr>
      <w:rPr>
        <w:rFonts w:hint="default"/>
      </w:rPr>
    </w:lvl>
    <w:lvl w:ilvl="8">
      <w:start w:val="0"/>
      <w:numFmt w:val="bullet"/>
      <w:lvlText w:val="•"/>
      <w:lvlJc w:val="left"/>
      <w:pPr>
        <w:ind w:left="9280" w:hanging="681"/>
      </w:pPr>
      <w:rPr>
        <w:rFonts w:hint="default"/>
      </w:rPr>
    </w:lvl>
  </w:abstractNum>
  <w:abstractNum w:abstractNumId="140">
    <w:multiLevelType w:val="hybridMultilevel"/>
    <w:lvl w:ilvl="0">
      <w:start w:val="1"/>
      <w:numFmt w:val="decimal"/>
      <w:lvlText w:val="%1)"/>
      <w:lvlJc w:val="left"/>
      <w:pPr>
        <w:ind w:left="760" w:hanging="681"/>
        <w:jc w:val="left"/>
      </w:pPr>
      <w:rPr>
        <w:rFonts w:hint="default" w:ascii="Calibri" w:hAnsi="Calibri" w:eastAsia="Calibri" w:cs="Calibri"/>
        <w:spacing w:val="-19"/>
        <w:w w:val="125"/>
        <w:sz w:val="20"/>
        <w:szCs w:val="20"/>
      </w:rPr>
    </w:lvl>
    <w:lvl w:ilvl="1">
      <w:start w:val="0"/>
      <w:numFmt w:val="bullet"/>
      <w:lvlText w:val="•"/>
      <w:lvlJc w:val="left"/>
      <w:pPr>
        <w:ind w:left="1357" w:hanging="681"/>
      </w:pPr>
      <w:rPr>
        <w:rFonts w:hint="default"/>
      </w:rPr>
    </w:lvl>
    <w:lvl w:ilvl="2">
      <w:start w:val="0"/>
      <w:numFmt w:val="bullet"/>
      <w:lvlText w:val="•"/>
      <w:lvlJc w:val="left"/>
      <w:pPr>
        <w:ind w:left="1954" w:hanging="681"/>
      </w:pPr>
      <w:rPr>
        <w:rFonts w:hint="default"/>
      </w:rPr>
    </w:lvl>
    <w:lvl w:ilvl="3">
      <w:start w:val="0"/>
      <w:numFmt w:val="bullet"/>
      <w:lvlText w:val="•"/>
      <w:lvlJc w:val="left"/>
      <w:pPr>
        <w:ind w:left="2551" w:hanging="681"/>
      </w:pPr>
      <w:rPr>
        <w:rFonts w:hint="default"/>
      </w:rPr>
    </w:lvl>
    <w:lvl w:ilvl="4">
      <w:start w:val="0"/>
      <w:numFmt w:val="bullet"/>
      <w:lvlText w:val="•"/>
      <w:lvlJc w:val="left"/>
      <w:pPr>
        <w:ind w:left="3148" w:hanging="681"/>
      </w:pPr>
      <w:rPr>
        <w:rFonts w:hint="default"/>
      </w:rPr>
    </w:lvl>
    <w:lvl w:ilvl="5">
      <w:start w:val="0"/>
      <w:numFmt w:val="bullet"/>
      <w:lvlText w:val="•"/>
      <w:lvlJc w:val="left"/>
      <w:pPr>
        <w:ind w:left="3745" w:hanging="681"/>
      </w:pPr>
      <w:rPr>
        <w:rFonts w:hint="default"/>
      </w:rPr>
    </w:lvl>
    <w:lvl w:ilvl="6">
      <w:start w:val="0"/>
      <w:numFmt w:val="bullet"/>
      <w:lvlText w:val="•"/>
      <w:lvlJc w:val="left"/>
      <w:pPr>
        <w:ind w:left="4342" w:hanging="681"/>
      </w:pPr>
      <w:rPr>
        <w:rFonts w:hint="default"/>
      </w:rPr>
    </w:lvl>
    <w:lvl w:ilvl="7">
      <w:start w:val="0"/>
      <w:numFmt w:val="bullet"/>
      <w:lvlText w:val="•"/>
      <w:lvlJc w:val="left"/>
      <w:pPr>
        <w:ind w:left="4939" w:hanging="681"/>
      </w:pPr>
      <w:rPr>
        <w:rFonts w:hint="default"/>
      </w:rPr>
    </w:lvl>
    <w:lvl w:ilvl="8">
      <w:start w:val="0"/>
      <w:numFmt w:val="bullet"/>
      <w:lvlText w:val="•"/>
      <w:lvlJc w:val="left"/>
      <w:pPr>
        <w:ind w:left="5536" w:hanging="681"/>
      </w:pPr>
      <w:rPr>
        <w:rFonts w:hint="default"/>
      </w:rPr>
    </w:lvl>
  </w:abstractNum>
  <w:abstractNum w:abstractNumId="139">
    <w:multiLevelType w:val="hybridMultilevel"/>
    <w:lvl w:ilvl="0">
      <w:start w:val="21"/>
      <w:numFmt w:val="decimal"/>
      <w:lvlText w:val="%1."/>
      <w:lvlJc w:val="left"/>
      <w:pPr>
        <w:ind w:left="80" w:hanging="681"/>
        <w:jc w:val="left"/>
      </w:pPr>
      <w:rPr>
        <w:rFonts w:hint="default" w:ascii="Stone Sans II ITC Std Bk" w:hAnsi="Stone Sans II ITC Std Bk" w:eastAsia="Stone Sans II ITC Std Bk" w:cs="Stone Sans II ITC Std Bk"/>
        <w:b/>
        <w:bCs/>
        <w:spacing w:val="-13"/>
        <w:w w:val="110"/>
        <w:sz w:val="20"/>
        <w:szCs w:val="20"/>
      </w:rPr>
    </w:lvl>
    <w:lvl w:ilvl="1">
      <w:start w:val="0"/>
      <w:numFmt w:val="bullet"/>
      <w:lvlText w:val="•"/>
      <w:lvlJc w:val="left"/>
      <w:pPr>
        <w:ind w:left="745" w:hanging="681"/>
      </w:pPr>
      <w:rPr>
        <w:rFonts w:hint="default"/>
      </w:rPr>
    </w:lvl>
    <w:lvl w:ilvl="2">
      <w:start w:val="0"/>
      <w:numFmt w:val="bullet"/>
      <w:lvlText w:val="•"/>
      <w:lvlJc w:val="left"/>
      <w:pPr>
        <w:ind w:left="1410" w:hanging="681"/>
      </w:pPr>
      <w:rPr>
        <w:rFonts w:hint="default"/>
      </w:rPr>
    </w:lvl>
    <w:lvl w:ilvl="3">
      <w:start w:val="0"/>
      <w:numFmt w:val="bullet"/>
      <w:lvlText w:val="•"/>
      <w:lvlJc w:val="left"/>
      <w:pPr>
        <w:ind w:left="2075" w:hanging="681"/>
      </w:pPr>
      <w:rPr>
        <w:rFonts w:hint="default"/>
      </w:rPr>
    </w:lvl>
    <w:lvl w:ilvl="4">
      <w:start w:val="0"/>
      <w:numFmt w:val="bullet"/>
      <w:lvlText w:val="•"/>
      <w:lvlJc w:val="left"/>
      <w:pPr>
        <w:ind w:left="2740" w:hanging="681"/>
      </w:pPr>
      <w:rPr>
        <w:rFonts w:hint="default"/>
      </w:rPr>
    </w:lvl>
    <w:lvl w:ilvl="5">
      <w:start w:val="0"/>
      <w:numFmt w:val="bullet"/>
      <w:lvlText w:val="•"/>
      <w:lvlJc w:val="left"/>
      <w:pPr>
        <w:ind w:left="3405" w:hanging="681"/>
      </w:pPr>
      <w:rPr>
        <w:rFonts w:hint="default"/>
      </w:rPr>
    </w:lvl>
    <w:lvl w:ilvl="6">
      <w:start w:val="0"/>
      <w:numFmt w:val="bullet"/>
      <w:lvlText w:val="•"/>
      <w:lvlJc w:val="left"/>
      <w:pPr>
        <w:ind w:left="4070" w:hanging="681"/>
      </w:pPr>
      <w:rPr>
        <w:rFonts w:hint="default"/>
      </w:rPr>
    </w:lvl>
    <w:lvl w:ilvl="7">
      <w:start w:val="0"/>
      <w:numFmt w:val="bullet"/>
      <w:lvlText w:val="•"/>
      <w:lvlJc w:val="left"/>
      <w:pPr>
        <w:ind w:left="4735" w:hanging="681"/>
      </w:pPr>
      <w:rPr>
        <w:rFonts w:hint="default"/>
      </w:rPr>
    </w:lvl>
    <w:lvl w:ilvl="8">
      <w:start w:val="0"/>
      <w:numFmt w:val="bullet"/>
      <w:lvlText w:val="•"/>
      <w:lvlJc w:val="left"/>
      <w:pPr>
        <w:ind w:left="5400" w:hanging="681"/>
      </w:pPr>
      <w:rPr>
        <w:rFonts w:hint="default"/>
      </w:rPr>
    </w:lvl>
  </w:abstractNum>
  <w:abstractNum w:abstractNumId="138">
    <w:multiLevelType w:val="hybridMultilevel"/>
    <w:lvl w:ilvl="0">
      <w:start w:val="4"/>
      <w:numFmt w:val="decimal"/>
      <w:lvlText w:val="%1"/>
      <w:lvlJc w:val="left"/>
      <w:pPr>
        <w:ind w:left="2024" w:hanging="681"/>
        <w:jc w:val="left"/>
      </w:pPr>
      <w:rPr>
        <w:rFonts w:hint="default"/>
      </w:rPr>
    </w:lvl>
    <w:lvl w:ilvl="1">
      <w:start w:val="2"/>
      <w:numFmt w:val="decimal"/>
      <w:lvlText w:val="%1.%2"/>
      <w:lvlJc w:val="left"/>
      <w:pPr>
        <w:ind w:left="2024" w:hanging="681"/>
        <w:jc w:val="right"/>
      </w:pPr>
      <w:rPr>
        <w:rFonts w:hint="default" w:ascii="Stone Sans II ITC Std Bk" w:hAnsi="Stone Sans II ITC Std Bk" w:eastAsia="Stone Sans II ITC Std Bk" w:cs="Stone Sans II ITC Std Bk"/>
        <w:b/>
        <w:bCs/>
        <w:spacing w:val="-2"/>
        <w:w w:val="110"/>
        <w:sz w:val="20"/>
        <w:szCs w:val="20"/>
      </w:rPr>
    </w:lvl>
    <w:lvl w:ilvl="2">
      <w:start w:val="1"/>
      <w:numFmt w:val="decimal"/>
      <w:lvlText w:val="%1.%2.%3"/>
      <w:lvlJc w:val="left"/>
      <w:pPr>
        <w:ind w:left="1344" w:hanging="681"/>
        <w:jc w:val="left"/>
      </w:pPr>
      <w:rPr>
        <w:rFonts w:hint="default" w:ascii="Calibri" w:hAnsi="Calibri" w:eastAsia="Calibri" w:cs="Calibri"/>
        <w:spacing w:val="-18"/>
        <w:w w:val="125"/>
        <w:sz w:val="20"/>
        <w:szCs w:val="20"/>
      </w:rPr>
    </w:lvl>
    <w:lvl w:ilvl="3">
      <w:start w:val="0"/>
      <w:numFmt w:val="bullet"/>
      <w:lvlText w:val="•"/>
      <w:lvlJc w:val="left"/>
      <w:pPr>
        <w:ind w:left="3175" w:hanging="681"/>
      </w:pPr>
      <w:rPr>
        <w:rFonts w:hint="default"/>
      </w:rPr>
    </w:lvl>
    <w:lvl w:ilvl="4">
      <w:start w:val="0"/>
      <w:numFmt w:val="bullet"/>
      <w:lvlText w:val="•"/>
      <w:lvlJc w:val="left"/>
      <w:pPr>
        <w:ind w:left="4331" w:hanging="681"/>
      </w:pPr>
      <w:rPr>
        <w:rFonts w:hint="default"/>
      </w:rPr>
    </w:lvl>
    <w:lvl w:ilvl="5">
      <w:start w:val="0"/>
      <w:numFmt w:val="bullet"/>
      <w:lvlText w:val="•"/>
      <w:lvlJc w:val="left"/>
      <w:pPr>
        <w:ind w:left="5487" w:hanging="681"/>
      </w:pPr>
      <w:rPr>
        <w:rFonts w:hint="default"/>
      </w:rPr>
    </w:lvl>
    <w:lvl w:ilvl="6">
      <w:start w:val="0"/>
      <w:numFmt w:val="bullet"/>
      <w:lvlText w:val="•"/>
      <w:lvlJc w:val="left"/>
      <w:pPr>
        <w:ind w:left="6642" w:hanging="681"/>
      </w:pPr>
      <w:rPr>
        <w:rFonts w:hint="default"/>
      </w:rPr>
    </w:lvl>
    <w:lvl w:ilvl="7">
      <w:start w:val="0"/>
      <w:numFmt w:val="bullet"/>
      <w:lvlText w:val="•"/>
      <w:lvlJc w:val="left"/>
      <w:pPr>
        <w:ind w:left="7798" w:hanging="681"/>
      </w:pPr>
      <w:rPr>
        <w:rFonts w:hint="default"/>
      </w:rPr>
    </w:lvl>
    <w:lvl w:ilvl="8">
      <w:start w:val="0"/>
      <w:numFmt w:val="bullet"/>
      <w:lvlText w:val="•"/>
      <w:lvlJc w:val="left"/>
      <w:pPr>
        <w:ind w:left="8954" w:hanging="681"/>
      </w:pPr>
      <w:rPr>
        <w:rFonts w:hint="default"/>
      </w:rPr>
    </w:lvl>
  </w:abstractNum>
  <w:abstractNum w:abstractNumId="137">
    <w:multiLevelType w:val="hybridMultilevel"/>
    <w:lvl w:ilvl="0">
      <w:start w:val="4"/>
      <w:numFmt w:val="decimal"/>
      <w:lvlText w:val="%1"/>
      <w:lvlJc w:val="left"/>
      <w:pPr>
        <w:ind w:left="607" w:hanging="681"/>
        <w:jc w:val="left"/>
      </w:pPr>
      <w:rPr>
        <w:rFonts w:hint="default"/>
      </w:rPr>
    </w:lvl>
    <w:lvl w:ilvl="1">
      <w:start w:val="1"/>
      <w:numFmt w:val="decimal"/>
      <w:lvlText w:val="%1.%2"/>
      <w:lvlJc w:val="left"/>
      <w:pPr>
        <w:ind w:left="607" w:hanging="681"/>
        <w:jc w:val="left"/>
      </w:pPr>
      <w:rPr>
        <w:rFonts w:hint="default"/>
      </w:rPr>
    </w:lvl>
    <w:lvl w:ilvl="2">
      <w:start w:val="1"/>
      <w:numFmt w:val="decimal"/>
      <w:lvlText w:val="%1.%2.%3"/>
      <w:lvlJc w:val="left"/>
      <w:pPr>
        <w:ind w:left="607" w:hanging="681"/>
        <w:jc w:val="right"/>
      </w:pPr>
      <w:rPr>
        <w:rFonts w:hint="default" w:ascii="Calibri" w:hAnsi="Calibri" w:eastAsia="Calibri" w:cs="Calibri"/>
        <w:spacing w:val="-18"/>
        <w:w w:val="125"/>
        <w:sz w:val="20"/>
        <w:szCs w:val="20"/>
      </w:rPr>
    </w:lvl>
    <w:lvl w:ilvl="3">
      <w:start w:val="0"/>
      <w:numFmt w:val="bullet"/>
      <w:lvlText w:val="•"/>
      <w:lvlJc w:val="left"/>
      <w:pPr>
        <w:ind w:left="3799" w:hanging="681"/>
      </w:pPr>
      <w:rPr>
        <w:rFonts w:hint="default"/>
      </w:rPr>
    </w:lvl>
    <w:lvl w:ilvl="4">
      <w:start w:val="0"/>
      <w:numFmt w:val="bullet"/>
      <w:lvlText w:val="•"/>
      <w:lvlJc w:val="left"/>
      <w:pPr>
        <w:ind w:left="4866" w:hanging="681"/>
      </w:pPr>
      <w:rPr>
        <w:rFonts w:hint="default"/>
      </w:rPr>
    </w:lvl>
    <w:lvl w:ilvl="5">
      <w:start w:val="0"/>
      <w:numFmt w:val="bullet"/>
      <w:lvlText w:val="•"/>
      <w:lvlJc w:val="left"/>
      <w:pPr>
        <w:ind w:left="5932" w:hanging="681"/>
      </w:pPr>
      <w:rPr>
        <w:rFonts w:hint="default"/>
      </w:rPr>
    </w:lvl>
    <w:lvl w:ilvl="6">
      <w:start w:val="0"/>
      <w:numFmt w:val="bullet"/>
      <w:lvlText w:val="•"/>
      <w:lvlJc w:val="left"/>
      <w:pPr>
        <w:ind w:left="6999" w:hanging="681"/>
      </w:pPr>
      <w:rPr>
        <w:rFonts w:hint="default"/>
      </w:rPr>
    </w:lvl>
    <w:lvl w:ilvl="7">
      <w:start w:val="0"/>
      <w:numFmt w:val="bullet"/>
      <w:lvlText w:val="•"/>
      <w:lvlJc w:val="left"/>
      <w:pPr>
        <w:ind w:left="8065" w:hanging="681"/>
      </w:pPr>
      <w:rPr>
        <w:rFonts w:hint="default"/>
      </w:rPr>
    </w:lvl>
    <w:lvl w:ilvl="8">
      <w:start w:val="0"/>
      <w:numFmt w:val="bullet"/>
      <w:lvlText w:val="•"/>
      <w:lvlJc w:val="left"/>
      <w:pPr>
        <w:ind w:left="9132" w:hanging="681"/>
      </w:pPr>
      <w:rPr>
        <w:rFonts w:hint="default"/>
      </w:rPr>
    </w:lvl>
  </w:abstractNum>
  <w:abstractNum w:abstractNumId="135">
    <w:multiLevelType w:val="hybridMultilevel"/>
    <w:lvl w:ilvl="0">
      <w:start w:val="1"/>
      <w:numFmt w:val="lowerLetter"/>
      <w:lvlText w:val="%1)"/>
      <w:lvlJc w:val="left"/>
      <w:pPr>
        <w:ind w:left="1287" w:hanging="681"/>
        <w:jc w:val="right"/>
      </w:pPr>
      <w:rPr>
        <w:rFonts w:hint="default" w:ascii="Calibri" w:hAnsi="Calibri" w:eastAsia="Calibri" w:cs="Calibri"/>
        <w:spacing w:val="-13"/>
        <w:w w:val="113"/>
        <w:sz w:val="20"/>
        <w:szCs w:val="20"/>
      </w:rPr>
    </w:lvl>
    <w:lvl w:ilvl="1">
      <w:start w:val="0"/>
      <w:numFmt w:val="bullet"/>
      <w:lvlText w:val="•"/>
      <w:lvlJc w:val="left"/>
      <w:pPr>
        <w:ind w:left="2278" w:hanging="681"/>
      </w:pPr>
      <w:rPr>
        <w:rFonts w:hint="default"/>
      </w:rPr>
    </w:lvl>
    <w:lvl w:ilvl="2">
      <w:start w:val="0"/>
      <w:numFmt w:val="bullet"/>
      <w:lvlText w:val="•"/>
      <w:lvlJc w:val="left"/>
      <w:pPr>
        <w:ind w:left="3277" w:hanging="681"/>
      </w:pPr>
      <w:rPr>
        <w:rFonts w:hint="default"/>
      </w:rPr>
    </w:lvl>
    <w:lvl w:ilvl="3">
      <w:start w:val="0"/>
      <w:numFmt w:val="bullet"/>
      <w:lvlText w:val="•"/>
      <w:lvlJc w:val="left"/>
      <w:pPr>
        <w:ind w:left="4275" w:hanging="681"/>
      </w:pPr>
      <w:rPr>
        <w:rFonts w:hint="default"/>
      </w:rPr>
    </w:lvl>
    <w:lvl w:ilvl="4">
      <w:start w:val="0"/>
      <w:numFmt w:val="bullet"/>
      <w:lvlText w:val="•"/>
      <w:lvlJc w:val="left"/>
      <w:pPr>
        <w:ind w:left="5274" w:hanging="681"/>
      </w:pPr>
      <w:rPr>
        <w:rFonts w:hint="default"/>
      </w:rPr>
    </w:lvl>
    <w:lvl w:ilvl="5">
      <w:start w:val="0"/>
      <w:numFmt w:val="bullet"/>
      <w:lvlText w:val="•"/>
      <w:lvlJc w:val="left"/>
      <w:pPr>
        <w:ind w:left="6272" w:hanging="681"/>
      </w:pPr>
      <w:rPr>
        <w:rFonts w:hint="default"/>
      </w:rPr>
    </w:lvl>
    <w:lvl w:ilvl="6">
      <w:start w:val="0"/>
      <w:numFmt w:val="bullet"/>
      <w:lvlText w:val="•"/>
      <w:lvlJc w:val="left"/>
      <w:pPr>
        <w:ind w:left="7271" w:hanging="681"/>
      </w:pPr>
      <w:rPr>
        <w:rFonts w:hint="default"/>
      </w:rPr>
    </w:lvl>
    <w:lvl w:ilvl="7">
      <w:start w:val="0"/>
      <w:numFmt w:val="bullet"/>
      <w:lvlText w:val="•"/>
      <w:lvlJc w:val="left"/>
      <w:pPr>
        <w:ind w:left="8269" w:hanging="681"/>
      </w:pPr>
      <w:rPr>
        <w:rFonts w:hint="default"/>
      </w:rPr>
    </w:lvl>
    <w:lvl w:ilvl="8">
      <w:start w:val="0"/>
      <w:numFmt w:val="bullet"/>
      <w:lvlText w:val="•"/>
      <w:lvlJc w:val="left"/>
      <w:pPr>
        <w:ind w:left="9268" w:hanging="681"/>
      </w:pPr>
      <w:rPr>
        <w:rFonts w:hint="default"/>
      </w:rPr>
    </w:lvl>
  </w:abstractNum>
  <w:abstractNum w:abstractNumId="134">
    <w:multiLevelType w:val="hybridMultilevel"/>
    <w:lvl w:ilvl="0">
      <w:start w:val="1"/>
      <w:numFmt w:val="lowerLetter"/>
      <w:lvlText w:val="%1)"/>
      <w:lvlJc w:val="left"/>
      <w:pPr>
        <w:ind w:left="1287" w:hanging="681"/>
        <w:jc w:val="right"/>
      </w:pPr>
      <w:rPr>
        <w:rFonts w:hint="default" w:ascii="Calibri" w:hAnsi="Calibri" w:eastAsia="Calibri" w:cs="Calibri"/>
        <w:spacing w:val="-13"/>
        <w:w w:val="113"/>
        <w:sz w:val="20"/>
        <w:szCs w:val="20"/>
      </w:rPr>
    </w:lvl>
    <w:lvl w:ilvl="1">
      <w:start w:val="0"/>
      <w:numFmt w:val="bullet"/>
      <w:lvlText w:val="•"/>
      <w:lvlJc w:val="left"/>
      <w:pPr>
        <w:ind w:left="2278" w:hanging="681"/>
      </w:pPr>
      <w:rPr>
        <w:rFonts w:hint="default"/>
      </w:rPr>
    </w:lvl>
    <w:lvl w:ilvl="2">
      <w:start w:val="0"/>
      <w:numFmt w:val="bullet"/>
      <w:lvlText w:val="•"/>
      <w:lvlJc w:val="left"/>
      <w:pPr>
        <w:ind w:left="3277" w:hanging="681"/>
      </w:pPr>
      <w:rPr>
        <w:rFonts w:hint="default"/>
      </w:rPr>
    </w:lvl>
    <w:lvl w:ilvl="3">
      <w:start w:val="0"/>
      <w:numFmt w:val="bullet"/>
      <w:lvlText w:val="•"/>
      <w:lvlJc w:val="left"/>
      <w:pPr>
        <w:ind w:left="4275" w:hanging="681"/>
      </w:pPr>
      <w:rPr>
        <w:rFonts w:hint="default"/>
      </w:rPr>
    </w:lvl>
    <w:lvl w:ilvl="4">
      <w:start w:val="0"/>
      <w:numFmt w:val="bullet"/>
      <w:lvlText w:val="•"/>
      <w:lvlJc w:val="left"/>
      <w:pPr>
        <w:ind w:left="5274" w:hanging="681"/>
      </w:pPr>
      <w:rPr>
        <w:rFonts w:hint="default"/>
      </w:rPr>
    </w:lvl>
    <w:lvl w:ilvl="5">
      <w:start w:val="0"/>
      <w:numFmt w:val="bullet"/>
      <w:lvlText w:val="•"/>
      <w:lvlJc w:val="left"/>
      <w:pPr>
        <w:ind w:left="6272" w:hanging="681"/>
      </w:pPr>
      <w:rPr>
        <w:rFonts w:hint="default"/>
      </w:rPr>
    </w:lvl>
    <w:lvl w:ilvl="6">
      <w:start w:val="0"/>
      <w:numFmt w:val="bullet"/>
      <w:lvlText w:val="•"/>
      <w:lvlJc w:val="left"/>
      <w:pPr>
        <w:ind w:left="7271" w:hanging="681"/>
      </w:pPr>
      <w:rPr>
        <w:rFonts w:hint="default"/>
      </w:rPr>
    </w:lvl>
    <w:lvl w:ilvl="7">
      <w:start w:val="0"/>
      <w:numFmt w:val="bullet"/>
      <w:lvlText w:val="•"/>
      <w:lvlJc w:val="left"/>
      <w:pPr>
        <w:ind w:left="8269" w:hanging="681"/>
      </w:pPr>
      <w:rPr>
        <w:rFonts w:hint="default"/>
      </w:rPr>
    </w:lvl>
    <w:lvl w:ilvl="8">
      <w:start w:val="0"/>
      <w:numFmt w:val="bullet"/>
      <w:lvlText w:val="•"/>
      <w:lvlJc w:val="left"/>
      <w:pPr>
        <w:ind w:left="9268" w:hanging="681"/>
      </w:pPr>
      <w:rPr>
        <w:rFonts w:hint="default"/>
      </w:rPr>
    </w:lvl>
  </w:abstractNum>
  <w:abstractNum w:abstractNumId="133">
    <w:multiLevelType w:val="hybridMultilevel"/>
    <w:lvl w:ilvl="0">
      <w:start w:val="1"/>
      <w:numFmt w:val="lowerLetter"/>
      <w:lvlText w:val="%1)"/>
      <w:lvlJc w:val="left"/>
      <w:pPr>
        <w:ind w:left="2704" w:hanging="681"/>
        <w:jc w:val="left"/>
      </w:pPr>
      <w:rPr>
        <w:rFonts w:hint="default" w:ascii="Stone Sans II ITC Std Bk" w:hAnsi="Stone Sans II ITC Std Bk" w:eastAsia="Stone Sans II ITC Std Bk" w:cs="Stone Sans II ITC Std Bk"/>
        <w:b/>
        <w:bCs/>
        <w:spacing w:val="-13"/>
        <w:w w:val="110"/>
        <w:sz w:val="20"/>
        <w:szCs w:val="20"/>
      </w:rPr>
    </w:lvl>
    <w:lvl w:ilvl="1">
      <w:start w:val="0"/>
      <w:numFmt w:val="bullet"/>
      <w:lvlText w:val="•"/>
      <w:lvlJc w:val="left"/>
      <w:pPr>
        <w:ind w:left="3556" w:hanging="681"/>
      </w:pPr>
      <w:rPr>
        <w:rFonts w:hint="default"/>
      </w:rPr>
    </w:lvl>
    <w:lvl w:ilvl="2">
      <w:start w:val="0"/>
      <w:numFmt w:val="bullet"/>
      <w:lvlText w:val="•"/>
      <w:lvlJc w:val="left"/>
      <w:pPr>
        <w:ind w:left="4413" w:hanging="681"/>
      </w:pPr>
      <w:rPr>
        <w:rFonts w:hint="default"/>
      </w:rPr>
    </w:lvl>
    <w:lvl w:ilvl="3">
      <w:start w:val="0"/>
      <w:numFmt w:val="bullet"/>
      <w:lvlText w:val="•"/>
      <w:lvlJc w:val="left"/>
      <w:pPr>
        <w:ind w:left="5269" w:hanging="681"/>
      </w:pPr>
      <w:rPr>
        <w:rFonts w:hint="default"/>
      </w:rPr>
    </w:lvl>
    <w:lvl w:ilvl="4">
      <w:start w:val="0"/>
      <w:numFmt w:val="bullet"/>
      <w:lvlText w:val="•"/>
      <w:lvlJc w:val="left"/>
      <w:pPr>
        <w:ind w:left="6126" w:hanging="681"/>
      </w:pPr>
      <w:rPr>
        <w:rFonts w:hint="default"/>
      </w:rPr>
    </w:lvl>
    <w:lvl w:ilvl="5">
      <w:start w:val="0"/>
      <w:numFmt w:val="bullet"/>
      <w:lvlText w:val="•"/>
      <w:lvlJc w:val="left"/>
      <w:pPr>
        <w:ind w:left="6982" w:hanging="681"/>
      </w:pPr>
      <w:rPr>
        <w:rFonts w:hint="default"/>
      </w:rPr>
    </w:lvl>
    <w:lvl w:ilvl="6">
      <w:start w:val="0"/>
      <w:numFmt w:val="bullet"/>
      <w:lvlText w:val="•"/>
      <w:lvlJc w:val="left"/>
      <w:pPr>
        <w:ind w:left="7839" w:hanging="681"/>
      </w:pPr>
      <w:rPr>
        <w:rFonts w:hint="default"/>
      </w:rPr>
    </w:lvl>
    <w:lvl w:ilvl="7">
      <w:start w:val="0"/>
      <w:numFmt w:val="bullet"/>
      <w:lvlText w:val="•"/>
      <w:lvlJc w:val="left"/>
      <w:pPr>
        <w:ind w:left="8695" w:hanging="681"/>
      </w:pPr>
      <w:rPr>
        <w:rFonts w:hint="default"/>
      </w:rPr>
    </w:lvl>
    <w:lvl w:ilvl="8">
      <w:start w:val="0"/>
      <w:numFmt w:val="bullet"/>
      <w:lvlText w:val="•"/>
      <w:lvlJc w:val="left"/>
      <w:pPr>
        <w:ind w:left="9552" w:hanging="681"/>
      </w:pPr>
      <w:rPr>
        <w:rFonts w:hint="default"/>
      </w:rPr>
    </w:lvl>
  </w:abstractNum>
  <w:abstractNum w:abstractNumId="132">
    <w:multiLevelType w:val="hybridMultilevel"/>
    <w:lvl w:ilvl="0">
      <w:start w:val="1"/>
      <w:numFmt w:val="lowerLetter"/>
      <w:lvlText w:val="%1)"/>
      <w:lvlJc w:val="left"/>
      <w:pPr>
        <w:ind w:left="2704" w:hanging="681"/>
        <w:jc w:val="left"/>
      </w:pPr>
      <w:rPr>
        <w:rFonts w:hint="default" w:ascii="Calibri" w:hAnsi="Calibri" w:eastAsia="Calibri" w:cs="Calibri"/>
        <w:spacing w:val="-13"/>
        <w:w w:val="113"/>
        <w:sz w:val="20"/>
        <w:szCs w:val="20"/>
      </w:rPr>
    </w:lvl>
    <w:lvl w:ilvl="1">
      <w:start w:val="0"/>
      <w:numFmt w:val="bullet"/>
      <w:lvlText w:val="•"/>
      <w:lvlJc w:val="left"/>
      <w:pPr>
        <w:ind w:left="3556" w:hanging="681"/>
      </w:pPr>
      <w:rPr>
        <w:rFonts w:hint="default"/>
      </w:rPr>
    </w:lvl>
    <w:lvl w:ilvl="2">
      <w:start w:val="0"/>
      <w:numFmt w:val="bullet"/>
      <w:lvlText w:val="•"/>
      <w:lvlJc w:val="left"/>
      <w:pPr>
        <w:ind w:left="4413" w:hanging="681"/>
      </w:pPr>
      <w:rPr>
        <w:rFonts w:hint="default"/>
      </w:rPr>
    </w:lvl>
    <w:lvl w:ilvl="3">
      <w:start w:val="0"/>
      <w:numFmt w:val="bullet"/>
      <w:lvlText w:val="•"/>
      <w:lvlJc w:val="left"/>
      <w:pPr>
        <w:ind w:left="5269" w:hanging="681"/>
      </w:pPr>
      <w:rPr>
        <w:rFonts w:hint="default"/>
      </w:rPr>
    </w:lvl>
    <w:lvl w:ilvl="4">
      <w:start w:val="0"/>
      <w:numFmt w:val="bullet"/>
      <w:lvlText w:val="•"/>
      <w:lvlJc w:val="left"/>
      <w:pPr>
        <w:ind w:left="6126" w:hanging="681"/>
      </w:pPr>
      <w:rPr>
        <w:rFonts w:hint="default"/>
      </w:rPr>
    </w:lvl>
    <w:lvl w:ilvl="5">
      <w:start w:val="0"/>
      <w:numFmt w:val="bullet"/>
      <w:lvlText w:val="•"/>
      <w:lvlJc w:val="left"/>
      <w:pPr>
        <w:ind w:left="6982" w:hanging="681"/>
      </w:pPr>
      <w:rPr>
        <w:rFonts w:hint="default"/>
      </w:rPr>
    </w:lvl>
    <w:lvl w:ilvl="6">
      <w:start w:val="0"/>
      <w:numFmt w:val="bullet"/>
      <w:lvlText w:val="•"/>
      <w:lvlJc w:val="left"/>
      <w:pPr>
        <w:ind w:left="7839" w:hanging="681"/>
      </w:pPr>
      <w:rPr>
        <w:rFonts w:hint="default"/>
      </w:rPr>
    </w:lvl>
    <w:lvl w:ilvl="7">
      <w:start w:val="0"/>
      <w:numFmt w:val="bullet"/>
      <w:lvlText w:val="•"/>
      <w:lvlJc w:val="left"/>
      <w:pPr>
        <w:ind w:left="8695" w:hanging="681"/>
      </w:pPr>
      <w:rPr>
        <w:rFonts w:hint="default"/>
      </w:rPr>
    </w:lvl>
    <w:lvl w:ilvl="8">
      <w:start w:val="0"/>
      <w:numFmt w:val="bullet"/>
      <w:lvlText w:val="•"/>
      <w:lvlJc w:val="left"/>
      <w:pPr>
        <w:ind w:left="9552" w:hanging="681"/>
      </w:pPr>
      <w:rPr>
        <w:rFonts w:hint="default"/>
      </w:rPr>
    </w:lvl>
  </w:abstractNum>
  <w:abstractNum w:abstractNumId="131">
    <w:multiLevelType w:val="hybridMultilevel"/>
    <w:lvl w:ilvl="0">
      <w:start w:val="2"/>
      <w:numFmt w:val="decimal"/>
      <w:lvlText w:val="%1"/>
      <w:lvlJc w:val="left"/>
      <w:pPr>
        <w:ind w:left="1344" w:hanging="681"/>
        <w:jc w:val="left"/>
      </w:pPr>
      <w:rPr>
        <w:rFonts w:hint="default"/>
      </w:rPr>
    </w:lvl>
    <w:lvl w:ilvl="1">
      <w:start w:val="1"/>
      <w:numFmt w:val="decimal"/>
      <w:lvlText w:val="%1.%2"/>
      <w:lvlJc w:val="left"/>
      <w:pPr>
        <w:ind w:left="1344" w:hanging="681"/>
        <w:jc w:val="right"/>
      </w:pPr>
      <w:rPr>
        <w:rFonts w:hint="default" w:ascii="Calibri" w:hAnsi="Calibri" w:eastAsia="Calibri" w:cs="Calibri"/>
        <w:spacing w:val="-18"/>
        <w:w w:val="125"/>
        <w:sz w:val="20"/>
        <w:szCs w:val="20"/>
      </w:rPr>
    </w:lvl>
    <w:lvl w:ilvl="2">
      <w:start w:val="1"/>
      <w:numFmt w:val="decimal"/>
      <w:lvlText w:val="%3."/>
      <w:lvlJc w:val="left"/>
      <w:pPr>
        <w:ind w:left="2024" w:hanging="760"/>
        <w:jc w:val="left"/>
      </w:pPr>
      <w:rPr>
        <w:rFonts w:hint="default" w:ascii="Calibri" w:hAnsi="Calibri" w:eastAsia="Calibri" w:cs="Calibri"/>
        <w:spacing w:val="-13"/>
        <w:w w:val="125"/>
        <w:sz w:val="20"/>
        <w:szCs w:val="20"/>
      </w:rPr>
    </w:lvl>
    <w:lvl w:ilvl="3">
      <w:start w:val="0"/>
      <w:numFmt w:val="bullet"/>
      <w:lvlText w:val="•"/>
      <w:lvlJc w:val="left"/>
      <w:pPr>
        <w:ind w:left="4074" w:hanging="760"/>
      </w:pPr>
      <w:rPr>
        <w:rFonts w:hint="default"/>
      </w:rPr>
    </w:lvl>
    <w:lvl w:ilvl="4">
      <w:start w:val="0"/>
      <w:numFmt w:val="bullet"/>
      <w:lvlText w:val="•"/>
      <w:lvlJc w:val="left"/>
      <w:pPr>
        <w:ind w:left="5101" w:hanging="760"/>
      </w:pPr>
      <w:rPr>
        <w:rFonts w:hint="default"/>
      </w:rPr>
    </w:lvl>
    <w:lvl w:ilvl="5">
      <w:start w:val="0"/>
      <w:numFmt w:val="bullet"/>
      <w:lvlText w:val="•"/>
      <w:lvlJc w:val="left"/>
      <w:pPr>
        <w:ind w:left="6129" w:hanging="760"/>
      </w:pPr>
      <w:rPr>
        <w:rFonts w:hint="default"/>
      </w:rPr>
    </w:lvl>
    <w:lvl w:ilvl="6">
      <w:start w:val="0"/>
      <w:numFmt w:val="bullet"/>
      <w:lvlText w:val="•"/>
      <w:lvlJc w:val="left"/>
      <w:pPr>
        <w:ind w:left="7156" w:hanging="760"/>
      </w:pPr>
      <w:rPr>
        <w:rFonts w:hint="default"/>
      </w:rPr>
    </w:lvl>
    <w:lvl w:ilvl="7">
      <w:start w:val="0"/>
      <w:numFmt w:val="bullet"/>
      <w:lvlText w:val="•"/>
      <w:lvlJc w:val="left"/>
      <w:pPr>
        <w:ind w:left="8183" w:hanging="760"/>
      </w:pPr>
      <w:rPr>
        <w:rFonts w:hint="default"/>
      </w:rPr>
    </w:lvl>
    <w:lvl w:ilvl="8">
      <w:start w:val="0"/>
      <w:numFmt w:val="bullet"/>
      <w:lvlText w:val="•"/>
      <w:lvlJc w:val="left"/>
      <w:pPr>
        <w:ind w:left="9210" w:hanging="760"/>
      </w:pPr>
      <w:rPr>
        <w:rFonts w:hint="default"/>
      </w:rPr>
    </w:lvl>
  </w:abstractNum>
  <w:abstractNum w:abstractNumId="130">
    <w:multiLevelType w:val="hybridMultilevel"/>
    <w:lvl w:ilvl="0">
      <w:start w:val="1"/>
      <w:numFmt w:val="lowerLetter"/>
      <w:lvlText w:val="%1)"/>
      <w:lvlJc w:val="left"/>
      <w:pPr>
        <w:ind w:left="1287" w:hanging="681"/>
        <w:jc w:val="left"/>
      </w:pPr>
      <w:rPr>
        <w:rFonts w:hint="default" w:ascii="Stone Sans II ITC Std Bk" w:hAnsi="Stone Sans II ITC Std Bk" w:eastAsia="Stone Sans II ITC Std Bk" w:cs="Stone Sans II ITC Std Bk"/>
        <w:b/>
        <w:bCs/>
        <w:spacing w:val="-20"/>
        <w:w w:val="112"/>
        <w:sz w:val="25"/>
        <w:szCs w:val="25"/>
      </w:rPr>
    </w:lvl>
    <w:lvl w:ilvl="1">
      <w:start w:val="0"/>
      <w:numFmt w:val="bullet"/>
      <w:lvlText w:val="•"/>
      <w:lvlJc w:val="left"/>
      <w:pPr>
        <w:ind w:left="2278" w:hanging="681"/>
      </w:pPr>
      <w:rPr>
        <w:rFonts w:hint="default"/>
      </w:rPr>
    </w:lvl>
    <w:lvl w:ilvl="2">
      <w:start w:val="0"/>
      <w:numFmt w:val="bullet"/>
      <w:lvlText w:val="•"/>
      <w:lvlJc w:val="left"/>
      <w:pPr>
        <w:ind w:left="3277" w:hanging="681"/>
      </w:pPr>
      <w:rPr>
        <w:rFonts w:hint="default"/>
      </w:rPr>
    </w:lvl>
    <w:lvl w:ilvl="3">
      <w:start w:val="0"/>
      <w:numFmt w:val="bullet"/>
      <w:lvlText w:val="•"/>
      <w:lvlJc w:val="left"/>
      <w:pPr>
        <w:ind w:left="4275" w:hanging="681"/>
      </w:pPr>
      <w:rPr>
        <w:rFonts w:hint="default"/>
      </w:rPr>
    </w:lvl>
    <w:lvl w:ilvl="4">
      <w:start w:val="0"/>
      <w:numFmt w:val="bullet"/>
      <w:lvlText w:val="•"/>
      <w:lvlJc w:val="left"/>
      <w:pPr>
        <w:ind w:left="5274" w:hanging="681"/>
      </w:pPr>
      <w:rPr>
        <w:rFonts w:hint="default"/>
      </w:rPr>
    </w:lvl>
    <w:lvl w:ilvl="5">
      <w:start w:val="0"/>
      <w:numFmt w:val="bullet"/>
      <w:lvlText w:val="•"/>
      <w:lvlJc w:val="left"/>
      <w:pPr>
        <w:ind w:left="6272" w:hanging="681"/>
      </w:pPr>
      <w:rPr>
        <w:rFonts w:hint="default"/>
      </w:rPr>
    </w:lvl>
    <w:lvl w:ilvl="6">
      <w:start w:val="0"/>
      <w:numFmt w:val="bullet"/>
      <w:lvlText w:val="•"/>
      <w:lvlJc w:val="left"/>
      <w:pPr>
        <w:ind w:left="7271" w:hanging="681"/>
      </w:pPr>
      <w:rPr>
        <w:rFonts w:hint="default"/>
      </w:rPr>
    </w:lvl>
    <w:lvl w:ilvl="7">
      <w:start w:val="0"/>
      <w:numFmt w:val="bullet"/>
      <w:lvlText w:val="•"/>
      <w:lvlJc w:val="left"/>
      <w:pPr>
        <w:ind w:left="8269" w:hanging="681"/>
      </w:pPr>
      <w:rPr>
        <w:rFonts w:hint="default"/>
      </w:rPr>
    </w:lvl>
    <w:lvl w:ilvl="8">
      <w:start w:val="0"/>
      <w:numFmt w:val="bullet"/>
      <w:lvlText w:val="•"/>
      <w:lvlJc w:val="left"/>
      <w:pPr>
        <w:ind w:left="9268" w:hanging="681"/>
      </w:pPr>
      <w:rPr>
        <w:rFonts w:hint="default"/>
      </w:rPr>
    </w:lvl>
  </w:abstractNum>
  <w:abstractNum w:abstractNumId="129">
    <w:multiLevelType w:val="hybridMultilevel"/>
    <w:lvl w:ilvl="0">
      <w:start w:val="1"/>
      <w:numFmt w:val="lowerLetter"/>
      <w:lvlText w:val="%1)"/>
      <w:lvlJc w:val="left"/>
      <w:pPr>
        <w:ind w:left="2704" w:hanging="681"/>
        <w:jc w:val="left"/>
      </w:pPr>
      <w:rPr>
        <w:rFonts w:hint="default" w:ascii="Stone Sans II ITC Std Bk" w:hAnsi="Stone Sans II ITC Std Bk" w:eastAsia="Stone Sans II ITC Std Bk" w:cs="Stone Sans II ITC Std Bk"/>
        <w:b/>
        <w:bCs/>
        <w:spacing w:val="-13"/>
        <w:w w:val="110"/>
        <w:sz w:val="20"/>
        <w:szCs w:val="20"/>
      </w:rPr>
    </w:lvl>
    <w:lvl w:ilvl="1">
      <w:start w:val="0"/>
      <w:numFmt w:val="bullet"/>
      <w:lvlText w:val="•"/>
      <w:lvlJc w:val="left"/>
      <w:pPr>
        <w:ind w:left="3556" w:hanging="681"/>
      </w:pPr>
      <w:rPr>
        <w:rFonts w:hint="default"/>
      </w:rPr>
    </w:lvl>
    <w:lvl w:ilvl="2">
      <w:start w:val="0"/>
      <w:numFmt w:val="bullet"/>
      <w:lvlText w:val="•"/>
      <w:lvlJc w:val="left"/>
      <w:pPr>
        <w:ind w:left="4413" w:hanging="681"/>
      </w:pPr>
      <w:rPr>
        <w:rFonts w:hint="default"/>
      </w:rPr>
    </w:lvl>
    <w:lvl w:ilvl="3">
      <w:start w:val="0"/>
      <w:numFmt w:val="bullet"/>
      <w:lvlText w:val="•"/>
      <w:lvlJc w:val="left"/>
      <w:pPr>
        <w:ind w:left="5269" w:hanging="681"/>
      </w:pPr>
      <w:rPr>
        <w:rFonts w:hint="default"/>
      </w:rPr>
    </w:lvl>
    <w:lvl w:ilvl="4">
      <w:start w:val="0"/>
      <w:numFmt w:val="bullet"/>
      <w:lvlText w:val="•"/>
      <w:lvlJc w:val="left"/>
      <w:pPr>
        <w:ind w:left="6126" w:hanging="681"/>
      </w:pPr>
      <w:rPr>
        <w:rFonts w:hint="default"/>
      </w:rPr>
    </w:lvl>
    <w:lvl w:ilvl="5">
      <w:start w:val="0"/>
      <w:numFmt w:val="bullet"/>
      <w:lvlText w:val="•"/>
      <w:lvlJc w:val="left"/>
      <w:pPr>
        <w:ind w:left="6982" w:hanging="681"/>
      </w:pPr>
      <w:rPr>
        <w:rFonts w:hint="default"/>
      </w:rPr>
    </w:lvl>
    <w:lvl w:ilvl="6">
      <w:start w:val="0"/>
      <w:numFmt w:val="bullet"/>
      <w:lvlText w:val="•"/>
      <w:lvlJc w:val="left"/>
      <w:pPr>
        <w:ind w:left="7839" w:hanging="681"/>
      </w:pPr>
      <w:rPr>
        <w:rFonts w:hint="default"/>
      </w:rPr>
    </w:lvl>
    <w:lvl w:ilvl="7">
      <w:start w:val="0"/>
      <w:numFmt w:val="bullet"/>
      <w:lvlText w:val="•"/>
      <w:lvlJc w:val="left"/>
      <w:pPr>
        <w:ind w:left="8695" w:hanging="681"/>
      </w:pPr>
      <w:rPr>
        <w:rFonts w:hint="default"/>
      </w:rPr>
    </w:lvl>
    <w:lvl w:ilvl="8">
      <w:start w:val="0"/>
      <w:numFmt w:val="bullet"/>
      <w:lvlText w:val="•"/>
      <w:lvlJc w:val="left"/>
      <w:pPr>
        <w:ind w:left="9552" w:hanging="681"/>
      </w:pPr>
      <w:rPr>
        <w:rFonts w:hint="default"/>
      </w:rPr>
    </w:lvl>
  </w:abstractNum>
  <w:abstractNum w:abstractNumId="128">
    <w:multiLevelType w:val="hybridMultilevel"/>
    <w:lvl w:ilvl="0">
      <w:start w:val="14"/>
      <w:numFmt w:val="decimal"/>
      <w:lvlText w:val="%1."/>
      <w:lvlJc w:val="left"/>
      <w:pPr>
        <w:ind w:left="2024" w:hanging="760"/>
        <w:jc w:val="right"/>
      </w:pPr>
      <w:rPr>
        <w:rFonts w:hint="default" w:ascii="Stone Sans II ITC Std Bk" w:hAnsi="Stone Sans II ITC Std Bk" w:eastAsia="Stone Sans II ITC Std Bk" w:cs="Stone Sans II ITC Std Bk"/>
        <w:b/>
        <w:bCs/>
        <w:spacing w:val="-15"/>
        <w:w w:val="110"/>
        <w:sz w:val="20"/>
        <w:szCs w:val="20"/>
      </w:rPr>
    </w:lvl>
    <w:lvl w:ilvl="1">
      <w:start w:val="0"/>
      <w:numFmt w:val="bullet"/>
      <w:lvlText w:val="•"/>
      <w:lvlJc w:val="left"/>
      <w:pPr>
        <w:ind w:left="2944" w:hanging="760"/>
      </w:pPr>
      <w:rPr>
        <w:rFonts w:hint="default"/>
      </w:rPr>
    </w:lvl>
    <w:lvl w:ilvl="2">
      <w:start w:val="0"/>
      <w:numFmt w:val="bullet"/>
      <w:lvlText w:val="•"/>
      <w:lvlJc w:val="left"/>
      <w:pPr>
        <w:ind w:left="3869" w:hanging="760"/>
      </w:pPr>
      <w:rPr>
        <w:rFonts w:hint="default"/>
      </w:rPr>
    </w:lvl>
    <w:lvl w:ilvl="3">
      <w:start w:val="0"/>
      <w:numFmt w:val="bullet"/>
      <w:lvlText w:val="•"/>
      <w:lvlJc w:val="left"/>
      <w:pPr>
        <w:ind w:left="4793" w:hanging="760"/>
      </w:pPr>
      <w:rPr>
        <w:rFonts w:hint="default"/>
      </w:rPr>
    </w:lvl>
    <w:lvl w:ilvl="4">
      <w:start w:val="0"/>
      <w:numFmt w:val="bullet"/>
      <w:lvlText w:val="•"/>
      <w:lvlJc w:val="left"/>
      <w:pPr>
        <w:ind w:left="5718" w:hanging="760"/>
      </w:pPr>
      <w:rPr>
        <w:rFonts w:hint="default"/>
      </w:rPr>
    </w:lvl>
    <w:lvl w:ilvl="5">
      <w:start w:val="0"/>
      <w:numFmt w:val="bullet"/>
      <w:lvlText w:val="•"/>
      <w:lvlJc w:val="left"/>
      <w:pPr>
        <w:ind w:left="6642" w:hanging="760"/>
      </w:pPr>
      <w:rPr>
        <w:rFonts w:hint="default"/>
      </w:rPr>
    </w:lvl>
    <w:lvl w:ilvl="6">
      <w:start w:val="0"/>
      <w:numFmt w:val="bullet"/>
      <w:lvlText w:val="•"/>
      <w:lvlJc w:val="left"/>
      <w:pPr>
        <w:ind w:left="7567" w:hanging="760"/>
      </w:pPr>
      <w:rPr>
        <w:rFonts w:hint="default"/>
      </w:rPr>
    </w:lvl>
    <w:lvl w:ilvl="7">
      <w:start w:val="0"/>
      <w:numFmt w:val="bullet"/>
      <w:lvlText w:val="•"/>
      <w:lvlJc w:val="left"/>
      <w:pPr>
        <w:ind w:left="8491" w:hanging="760"/>
      </w:pPr>
      <w:rPr>
        <w:rFonts w:hint="default"/>
      </w:rPr>
    </w:lvl>
    <w:lvl w:ilvl="8">
      <w:start w:val="0"/>
      <w:numFmt w:val="bullet"/>
      <w:lvlText w:val="•"/>
      <w:lvlJc w:val="left"/>
      <w:pPr>
        <w:ind w:left="9416" w:hanging="760"/>
      </w:pPr>
      <w:rPr>
        <w:rFonts w:hint="default"/>
      </w:rPr>
    </w:lvl>
  </w:abstractNum>
  <w:abstractNum w:abstractNumId="127">
    <w:multiLevelType w:val="hybridMultilevel"/>
    <w:lvl w:ilvl="0">
      <w:start w:val="1"/>
      <w:numFmt w:val="decimal"/>
      <w:lvlText w:val="%1"/>
      <w:lvlJc w:val="left"/>
      <w:pPr>
        <w:ind w:left="1797" w:hanging="454"/>
        <w:jc w:val="right"/>
      </w:pPr>
      <w:rPr>
        <w:rFonts w:hint="default" w:ascii="Calibri" w:hAnsi="Calibri" w:eastAsia="Calibri" w:cs="Calibri"/>
        <w:w w:val="123"/>
        <w:sz w:val="18"/>
        <w:szCs w:val="18"/>
      </w:rPr>
    </w:lvl>
    <w:lvl w:ilvl="1">
      <w:start w:val="0"/>
      <w:numFmt w:val="bullet"/>
      <w:lvlText w:val="•"/>
      <w:lvlJc w:val="left"/>
      <w:pPr>
        <w:ind w:left="2746" w:hanging="454"/>
      </w:pPr>
      <w:rPr>
        <w:rFonts w:hint="default"/>
      </w:rPr>
    </w:lvl>
    <w:lvl w:ilvl="2">
      <w:start w:val="0"/>
      <w:numFmt w:val="bullet"/>
      <w:lvlText w:val="•"/>
      <w:lvlJc w:val="left"/>
      <w:pPr>
        <w:ind w:left="3693" w:hanging="454"/>
      </w:pPr>
      <w:rPr>
        <w:rFonts w:hint="default"/>
      </w:rPr>
    </w:lvl>
    <w:lvl w:ilvl="3">
      <w:start w:val="0"/>
      <w:numFmt w:val="bullet"/>
      <w:lvlText w:val="•"/>
      <w:lvlJc w:val="left"/>
      <w:pPr>
        <w:ind w:left="4639" w:hanging="454"/>
      </w:pPr>
      <w:rPr>
        <w:rFonts w:hint="default"/>
      </w:rPr>
    </w:lvl>
    <w:lvl w:ilvl="4">
      <w:start w:val="0"/>
      <w:numFmt w:val="bullet"/>
      <w:lvlText w:val="•"/>
      <w:lvlJc w:val="left"/>
      <w:pPr>
        <w:ind w:left="5586" w:hanging="454"/>
      </w:pPr>
      <w:rPr>
        <w:rFonts w:hint="default"/>
      </w:rPr>
    </w:lvl>
    <w:lvl w:ilvl="5">
      <w:start w:val="0"/>
      <w:numFmt w:val="bullet"/>
      <w:lvlText w:val="•"/>
      <w:lvlJc w:val="left"/>
      <w:pPr>
        <w:ind w:left="6532" w:hanging="454"/>
      </w:pPr>
      <w:rPr>
        <w:rFonts w:hint="default"/>
      </w:rPr>
    </w:lvl>
    <w:lvl w:ilvl="6">
      <w:start w:val="0"/>
      <w:numFmt w:val="bullet"/>
      <w:lvlText w:val="•"/>
      <w:lvlJc w:val="left"/>
      <w:pPr>
        <w:ind w:left="7479" w:hanging="454"/>
      </w:pPr>
      <w:rPr>
        <w:rFonts w:hint="default"/>
      </w:rPr>
    </w:lvl>
    <w:lvl w:ilvl="7">
      <w:start w:val="0"/>
      <w:numFmt w:val="bullet"/>
      <w:lvlText w:val="•"/>
      <w:lvlJc w:val="left"/>
      <w:pPr>
        <w:ind w:left="8425" w:hanging="454"/>
      </w:pPr>
      <w:rPr>
        <w:rFonts w:hint="default"/>
      </w:rPr>
    </w:lvl>
    <w:lvl w:ilvl="8">
      <w:start w:val="0"/>
      <w:numFmt w:val="bullet"/>
      <w:lvlText w:val="•"/>
      <w:lvlJc w:val="left"/>
      <w:pPr>
        <w:ind w:left="9372" w:hanging="454"/>
      </w:pPr>
      <w:rPr>
        <w:rFonts w:hint="default"/>
      </w:rPr>
    </w:lvl>
  </w:abstractNum>
  <w:abstractNum w:abstractNumId="126">
    <w:multiLevelType w:val="hybridMultilevel"/>
    <w:lvl w:ilvl="0">
      <w:start w:val="1"/>
      <w:numFmt w:val="lowerLetter"/>
      <w:lvlText w:val="%1)"/>
      <w:lvlJc w:val="left"/>
      <w:pPr>
        <w:ind w:left="2024" w:hanging="681"/>
        <w:jc w:val="left"/>
      </w:pPr>
      <w:rPr>
        <w:rFonts w:hint="default" w:ascii="Calibri" w:hAnsi="Calibri" w:eastAsia="Calibri" w:cs="Calibri"/>
        <w:spacing w:val="-13"/>
        <w:w w:val="113"/>
        <w:sz w:val="20"/>
        <w:szCs w:val="20"/>
      </w:rPr>
    </w:lvl>
    <w:lvl w:ilvl="1">
      <w:start w:val="0"/>
      <w:numFmt w:val="bullet"/>
      <w:lvlText w:val="•"/>
      <w:lvlJc w:val="left"/>
      <w:pPr>
        <w:ind w:left="2944" w:hanging="681"/>
      </w:pPr>
      <w:rPr>
        <w:rFonts w:hint="default"/>
      </w:rPr>
    </w:lvl>
    <w:lvl w:ilvl="2">
      <w:start w:val="0"/>
      <w:numFmt w:val="bullet"/>
      <w:lvlText w:val="•"/>
      <w:lvlJc w:val="left"/>
      <w:pPr>
        <w:ind w:left="3869" w:hanging="681"/>
      </w:pPr>
      <w:rPr>
        <w:rFonts w:hint="default"/>
      </w:rPr>
    </w:lvl>
    <w:lvl w:ilvl="3">
      <w:start w:val="0"/>
      <w:numFmt w:val="bullet"/>
      <w:lvlText w:val="•"/>
      <w:lvlJc w:val="left"/>
      <w:pPr>
        <w:ind w:left="4793" w:hanging="681"/>
      </w:pPr>
      <w:rPr>
        <w:rFonts w:hint="default"/>
      </w:rPr>
    </w:lvl>
    <w:lvl w:ilvl="4">
      <w:start w:val="0"/>
      <w:numFmt w:val="bullet"/>
      <w:lvlText w:val="•"/>
      <w:lvlJc w:val="left"/>
      <w:pPr>
        <w:ind w:left="5718" w:hanging="681"/>
      </w:pPr>
      <w:rPr>
        <w:rFonts w:hint="default"/>
      </w:rPr>
    </w:lvl>
    <w:lvl w:ilvl="5">
      <w:start w:val="0"/>
      <w:numFmt w:val="bullet"/>
      <w:lvlText w:val="•"/>
      <w:lvlJc w:val="left"/>
      <w:pPr>
        <w:ind w:left="6642" w:hanging="681"/>
      </w:pPr>
      <w:rPr>
        <w:rFonts w:hint="default"/>
      </w:rPr>
    </w:lvl>
    <w:lvl w:ilvl="6">
      <w:start w:val="0"/>
      <w:numFmt w:val="bullet"/>
      <w:lvlText w:val="•"/>
      <w:lvlJc w:val="left"/>
      <w:pPr>
        <w:ind w:left="7567" w:hanging="681"/>
      </w:pPr>
      <w:rPr>
        <w:rFonts w:hint="default"/>
      </w:rPr>
    </w:lvl>
    <w:lvl w:ilvl="7">
      <w:start w:val="0"/>
      <w:numFmt w:val="bullet"/>
      <w:lvlText w:val="•"/>
      <w:lvlJc w:val="left"/>
      <w:pPr>
        <w:ind w:left="8491" w:hanging="681"/>
      </w:pPr>
      <w:rPr>
        <w:rFonts w:hint="default"/>
      </w:rPr>
    </w:lvl>
    <w:lvl w:ilvl="8">
      <w:start w:val="0"/>
      <w:numFmt w:val="bullet"/>
      <w:lvlText w:val="•"/>
      <w:lvlJc w:val="left"/>
      <w:pPr>
        <w:ind w:left="9416" w:hanging="681"/>
      </w:pPr>
      <w:rPr>
        <w:rFonts w:hint="default"/>
      </w:rPr>
    </w:lvl>
  </w:abstractNum>
  <w:abstractNum w:abstractNumId="125">
    <w:multiLevelType w:val="hybridMultilevel"/>
    <w:lvl w:ilvl="0">
      <w:start w:val="0"/>
      <w:numFmt w:val="bullet"/>
      <w:lvlText w:val=""/>
      <w:lvlJc w:val="left"/>
      <w:pPr>
        <w:ind w:left="1287" w:hanging="681"/>
      </w:pPr>
      <w:rPr>
        <w:rFonts w:hint="default" w:ascii="Symbol" w:hAnsi="Symbol" w:eastAsia="Symbol" w:cs="Symbol"/>
        <w:w w:val="110"/>
        <w:position w:val="-3"/>
        <w:sz w:val="29"/>
        <w:szCs w:val="29"/>
      </w:rPr>
    </w:lvl>
    <w:lvl w:ilvl="1">
      <w:start w:val="0"/>
      <w:numFmt w:val="bullet"/>
      <w:lvlText w:val="•"/>
      <w:lvlJc w:val="left"/>
      <w:pPr>
        <w:ind w:left="2278" w:hanging="681"/>
      </w:pPr>
      <w:rPr>
        <w:rFonts w:hint="default"/>
      </w:rPr>
    </w:lvl>
    <w:lvl w:ilvl="2">
      <w:start w:val="0"/>
      <w:numFmt w:val="bullet"/>
      <w:lvlText w:val="•"/>
      <w:lvlJc w:val="left"/>
      <w:pPr>
        <w:ind w:left="3277" w:hanging="681"/>
      </w:pPr>
      <w:rPr>
        <w:rFonts w:hint="default"/>
      </w:rPr>
    </w:lvl>
    <w:lvl w:ilvl="3">
      <w:start w:val="0"/>
      <w:numFmt w:val="bullet"/>
      <w:lvlText w:val="•"/>
      <w:lvlJc w:val="left"/>
      <w:pPr>
        <w:ind w:left="4275" w:hanging="681"/>
      </w:pPr>
      <w:rPr>
        <w:rFonts w:hint="default"/>
      </w:rPr>
    </w:lvl>
    <w:lvl w:ilvl="4">
      <w:start w:val="0"/>
      <w:numFmt w:val="bullet"/>
      <w:lvlText w:val="•"/>
      <w:lvlJc w:val="left"/>
      <w:pPr>
        <w:ind w:left="5274" w:hanging="681"/>
      </w:pPr>
      <w:rPr>
        <w:rFonts w:hint="default"/>
      </w:rPr>
    </w:lvl>
    <w:lvl w:ilvl="5">
      <w:start w:val="0"/>
      <w:numFmt w:val="bullet"/>
      <w:lvlText w:val="•"/>
      <w:lvlJc w:val="left"/>
      <w:pPr>
        <w:ind w:left="6272" w:hanging="681"/>
      </w:pPr>
      <w:rPr>
        <w:rFonts w:hint="default"/>
      </w:rPr>
    </w:lvl>
    <w:lvl w:ilvl="6">
      <w:start w:val="0"/>
      <w:numFmt w:val="bullet"/>
      <w:lvlText w:val="•"/>
      <w:lvlJc w:val="left"/>
      <w:pPr>
        <w:ind w:left="7271" w:hanging="681"/>
      </w:pPr>
      <w:rPr>
        <w:rFonts w:hint="default"/>
      </w:rPr>
    </w:lvl>
    <w:lvl w:ilvl="7">
      <w:start w:val="0"/>
      <w:numFmt w:val="bullet"/>
      <w:lvlText w:val="•"/>
      <w:lvlJc w:val="left"/>
      <w:pPr>
        <w:ind w:left="8269" w:hanging="681"/>
      </w:pPr>
      <w:rPr>
        <w:rFonts w:hint="default"/>
      </w:rPr>
    </w:lvl>
    <w:lvl w:ilvl="8">
      <w:start w:val="0"/>
      <w:numFmt w:val="bullet"/>
      <w:lvlText w:val="•"/>
      <w:lvlJc w:val="left"/>
      <w:pPr>
        <w:ind w:left="9268" w:hanging="681"/>
      </w:pPr>
      <w:rPr>
        <w:rFonts w:hint="default"/>
      </w:rPr>
    </w:lvl>
  </w:abstractNum>
  <w:abstractNum w:abstractNumId="124">
    <w:multiLevelType w:val="hybridMultilevel"/>
    <w:lvl w:ilvl="0">
      <w:start w:val="1"/>
      <w:numFmt w:val="decimal"/>
      <w:lvlText w:val="%1"/>
      <w:lvlJc w:val="left"/>
      <w:pPr>
        <w:ind w:left="607" w:hanging="737"/>
        <w:jc w:val="left"/>
      </w:pPr>
      <w:rPr>
        <w:rFonts w:hint="default"/>
      </w:rPr>
    </w:lvl>
    <w:lvl w:ilvl="1">
      <w:start w:val="1"/>
      <w:numFmt w:val="decimal"/>
      <w:lvlText w:val="%1.%2"/>
      <w:lvlJc w:val="left"/>
      <w:pPr>
        <w:ind w:left="607" w:hanging="737"/>
        <w:jc w:val="right"/>
      </w:pPr>
      <w:rPr>
        <w:rFonts w:hint="default" w:ascii="Calibri" w:hAnsi="Calibri" w:eastAsia="Calibri" w:cs="Calibri"/>
        <w:spacing w:val="-18"/>
        <w:w w:val="125"/>
        <w:sz w:val="20"/>
        <w:szCs w:val="20"/>
      </w:rPr>
    </w:lvl>
    <w:lvl w:ilvl="2">
      <w:start w:val="0"/>
      <w:numFmt w:val="bullet"/>
      <w:lvlText w:val="•"/>
      <w:lvlJc w:val="left"/>
      <w:pPr>
        <w:ind w:left="2733" w:hanging="737"/>
      </w:pPr>
      <w:rPr>
        <w:rFonts w:hint="default"/>
      </w:rPr>
    </w:lvl>
    <w:lvl w:ilvl="3">
      <w:start w:val="0"/>
      <w:numFmt w:val="bullet"/>
      <w:lvlText w:val="•"/>
      <w:lvlJc w:val="left"/>
      <w:pPr>
        <w:ind w:left="3799" w:hanging="737"/>
      </w:pPr>
      <w:rPr>
        <w:rFonts w:hint="default"/>
      </w:rPr>
    </w:lvl>
    <w:lvl w:ilvl="4">
      <w:start w:val="0"/>
      <w:numFmt w:val="bullet"/>
      <w:lvlText w:val="•"/>
      <w:lvlJc w:val="left"/>
      <w:pPr>
        <w:ind w:left="4866" w:hanging="737"/>
      </w:pPr>
      <w:rPr>
        <w:rFonts w:hint="default"/>
      </w:rPr>
    </w:lvl>
    <w:lvl w:ilvl="5">
      <w:start w:val="0"/>
      <w:numFmt w:val="bullet"/>
      <w:lvlText w:val="•"/>
      <w:lvlJc w:val="left"/>
      <w:pPr>
        <w:ind w:left="5932" w:hanging="737"/>
      </w:pPr>
      <w:rPr>
        <w:rFonts w:hint="default"/>
      </w:rPr>
    </w:lvl>
    <w:lvl w:ilvl="6">
      <w:start w:val="0"/>
      <w:numFmt w:val="bullet"/>
      <w:lvlText w:val="•"/>
      <w:lvlJc w:val="left"/>
      <w:pPr>
        <w:ind w:left="6999" w:hanging="737"/>
      </w:pPr>
      <w:rPr>
        <w:rFonts w:hint="default"/>
      </w:rPr>
    </w:lvl>
    <w:lvl w:ilvl="7">
      <w:start w:val="0"/>
      <w:numFmt w:val="bullet"/>
      <w:lvlText w:val="•"/>
      <w:lvlJc w:val="left"/>
      <w:pPr>
        <w:ind w:left="8065" w:hanging="737"/>
      </w:pPr>
      <w:rPr>
        <w:rFonts w:hint="default"/>
      </w:rPr>
    </w:lvl>
    <w:lvl w:ilvl="8">
      <w:start w:val="0"/>
      <w:numFmt w:val="bullet"/>
      <w:lvlText w:val="•"/>
      <w:lvlJc w:val="left"/>
      <w:pPr>
        <w:ind w:left="9132" w:hanging="737"/>
      </w:pPr>
      <w:rPr>
        <w:rFonts w:hint="default"/>
      </w:rPr>
    </w:lvl>
  </w:abstractNum>
  <w:abstractNum w:abstractNumId="123">
    <w:multiLevelType w:val="hybridMultilevel"/>
    <w:lvl w:ilvl="0">
      <w:start w:val="1"/>
      <w:numFmt w:val="decimal"/>
      <w:lvlText w:val="%1."/>
      <w:lvlJc w:val="left"/>
      <w:pPr>
        <w:ind w:left="760" w:hanging="681"/>
        <w:jc w:val="left"/>
      </w:pPr>
      <w:rPr>
        <w:rFonts w:hint="default" w:ascii="Calibri" w:hAnsi="Calibri" w:eastAsia="Calibri" w:cs="Calibri"/>
        <w:w w:val="125"/>
        <w:sz w:val="20"/>
        <w:szCs w:val="20"/>
      </w:rPr>
    </w:lvl>
    <w:lvl w:ilvl="1">
      <w:start w:val="0"/>
      <w:numFmt w:val="bullet"/>
      <w:lvlText w:val="•"/>
      <w:lvlJc w:val="left"/>
      <w:pPr>
        <w:ind w:left="1341" w:hanging="681"/>
      </w:pPr>
      <w:rPr>
        <w:rFonts w:hint="default"/>
      </w:rPr>
    </w:lvl>
    <w:lvl w:ilvl="2">
      <w:start w:val="0"/>
      <w:numFmt w:val="bullet"/>
      <w:lvlText w:val="•"/>
      <w:lvlJc w:val="left"/>
      <w:pPr>
        <w:ind w:left="1923" w:hanging="681"/>
      </w:pPr>
      <w:rPr>
        <w:rFonts w:hint="default"/>
      </w:rPr>
    </w:lvl>
    <w:lvl w:ilvl="3">
      <w:start w:val="0"/>
      <w:numFmt w:val="bullet"/>
      <w:lvlText w:val="•"/>
      <w:lvlJc w:val="left"/>
      <w:pPr>
        <w:ind w:left="2505" w:hanging="681"/>
      </w:pPr>
      <w:rPr>
        <w:rFonts w:hint="default"/>
      </w:rPr>
    </w:lvl>
    <w:lvl w:ilvl="4">
      <w:start w:val="0"/>
      <w:numFmt w:val="bullet"/>
      <w:lvlText w:val="•"/>
      <w:lvlJc w:val="left"/>
      <w:pPr>
        <w:ind w:left="3086" w:hanging="681"/>
      </w:pPr>
      <w:rPr>
        <w:rFonts w:hint="default"/>
      </w:rPr>
    </w:lvl>
    <w:lvl w:ilvl="5">
      <w:start w:val="0"/>
      <w:numFmt w:val="bullet"/>
      <w:lvlText w:val="•"/>
      <w:lvlJc w:val="left"/>
      <w:pPr>
        <w:ind w:left="3668" w:hanging="681"/>
      </w:pPr>
      <w:rPr>
        <w:rFonts w:hint="default"/>
      </w:rPr>
    </w:lvl>
    <w:lvl w:ilvl="6">
      <w:start w:val="0"/>
      <w:numFmt w:val="bullet"/>
      <w:lvlText w:val="•"/>
      <w:lvlJc w:val="left"/>
      <w:pPr>
        <w:ind w:left="4250" w:hanging="681"/>
      </w:pPr>
      <w:rPr>
        <w:rFonts w:hint="default"/>
      </w:rPr>
    </w:lvl>
    <w:lvl w:ilvl="7">
      <w:start w:val="0"/>
      <w:numFmt w:val="bullet"/>
      <w:lvlText w:val="•"/>
      <w:lvlJc w:val="left"/>
      <w:pPr>
        <w:ind w:left="4831" w:hanging="681"/>
      </w:pPr>
      <w:rPr>
        <w:rFonts w:hint="default"/>
      </w:rPr>
    </w:lvl>
    <w:lvl w:ilvl="8">
      <w:start w:val="0"/>
      <w:numFmt w:val="bullet"/>
      <w:lvlText w:val="•"/>
      <w:lvlJc w:val="left"/>
      <w:pPr>
        <w:ind w:left="5413" w:hanging="681"/>
      </w:pPr>
      <w:rPr>
        <w:rFonts w:hint="default"/>
      </w:rPr>
    </w:lvl>
  </w:abstractNum>
  <w:abstractNum w:abstractNumId="122">
    <w:multiLevelType w:val="hybridMultilevel"/>
    <w:lvl w:ilvl="0">
      <w:start w:val="18"/>
      <w:numFmt w:val="decimal"/>
      <w:lvlText w:val="%1."/>
      <w:lvlJc w:val="left"/>
      <w:pPr>
        <w:ind w:left="80" w:hanging="681"/>
        <w:jc w:val="left"/>
      </w:pPr>
      <w:rPr>
        <w:rFonts w:hint="default" w:ascii="Stone Sans II ITC Std Bk" w:hAnsi="Stone Sans II ITC Std Bk" w:eastAsia="Stone Sans II ITC Std Bk" w:cs="Stone Sans II ITC Std Bk"/>
        <w:b/>
        <w:bCs/>
        <w:spacing w:val="-12"/>
        <w:w w:val="110"/>
        <w:sz w:val="20"/>
        <w:szCs w:val="20"/>
      </w:rPr>
    </w:lvl>
    <w:lvl w:ilvl="1">
      <w:start w:val="0"/>
      <w:numFmt w:val="bullet"/>
      <w:lvlText w:val="•"/>
      <w:lvlJc w:val="left"/>
      <w:pPr>
        <w:ind w:left="730" w:hanging="681"/>
      </w:pPr>
      <w:rPr>
        <w:rFonts w:hint="default"/>
      </w:rPr>
    </w:lvl>
    <w:lvl w:ilvl="2">
      <w:start w:val="0"/>
      <w:numFmt w:val="bullet"/>
      <w:lvlText w:val="•"/>
      <w:lvlJc w:val="left"/>
      <w:pPr>
        <w:ind w:left="1380" w:hanging="681"/>
      </w:pPr>
      <w:rPr>
        <w:rFonts w:hint="default"/>
      </w:rPr>
    </w:lvl>
    <w:lvl w:ilvl="3">
      <w:start w:val="0"/>
      <w:numFmt w:val="bullet"/>
      <w:lvlText w:val="•"/>
      <w:lvlJc w:val="left"/>
      <w:pPr>
        <w:ind w:left="2030" w:hanging="681"/>
      </w:pPr>
      <w:rPr>
        <w:rFonts w:hint="default"/>
      </w:rPr>
    </w:lvl>
    <w:lvl w:ilvl="4">
      <w:start w:val="0"/>
      <w:numFmt w:val="bullet"/>
      <w:lvlText w:val="•"/>
      <w:lvlJc w:val="left"/>
      <w:pPr>
        <w:ind w:left="2680" w:hanging="681"/>
      </w:pPr>
      <w:rPr>
        <w:rFonts w:hint="default"/>
      </w:rPr>
    </w:lvl>
    <w:lvl w:ilvl="5">
      <w:start w:val="0"/>
      <w:numFmt w:val="bullet"/>
      <w:lvlText w:val="•"/>
      <w:lvlJc w:val="left"/>
      <w:pPr>
        <w:ind w:left="3331" w:hanging="681"/>
      </w:pPr>
      <w:rPr>
        <w:rFonts w:hint="default"/>
      </w:rPr>
    </w:lvl>
    <w:lvl w:ilvl="6">
      <w:start w:val="0"/>
      <w:numFmt w:val="bullet"/>
      <w:lvlText w:val="•"/>
      <w:lvlJc w:val="left"/>
      <w:pPr>
        <w:ind w:left="3981" w:hanging="681"/>
      </w:pPr>
      <w:rPr>
        <w:rFonts w:hint="default"/>
      </w:rPr>
    </w:lvl>
    <w:lvl w:ilvl="7">
      <w:start w:val="0"/>
      <w:numFmt w:val="bullet"/>
      <w:lvlText w:val="•"/>
      <w:lvlJc w:val="left"/>
      <w:pPr>
        <w:ind w:left="4631" w:hanging="681"/>
      </w:pPr>
      <w:rPr>
        <w:rFonts w:hint="default"/>
      </w:rPr>
    </w:lvl>
    <w:lvl w:ilvl="8">
      <w:start w:val="0"/>
      <w:numFmt w:val="bullet"/>
      <w:lvlText w:val="•"/>
      <w:lvlJc w:val="left"/>
      <w:pPr>
        <w:ind w:left="5281" w:hanging="681"/>
      </w:pPr>
      <w:rPr>
        <w:rFonts w:hint="default"/>
      </w:rPr>
    </w:lvl>
  </w:abstractNum>
  <w:abstractNum w:abstractNumId="121">
    <w:multiLevelType w:val="hybridMultilevel"/>
    <w:lvl w:ilvl="0">
      <w:start w:val="15"/>
      <w:numFmt w:val="decimal"/>
      <w:lvlText w:val="%1."/>
      <w:lvlJc w:val="left"/>
      <w:pPr>
        <w:ind w:left="80" w:hanging="681"/>
        <w:jc w:val="left"/>
      </w:pPr>
      <w:rPr>
        <w:rFonts w:hint="default" w:ascii="Stone Sans II ITC Std Bk" w:hAnsi="Stone Sans II ITC Std Bk" w:eastAsia="Stone Sans II ITC Std Bk" w:cs="Stone Sans II ITC Std Bk"/>
        <w:b/>
        <w:bCs/>
        <w:spacing w:val="-16"/>
        <w:w w:val="110"/>
        <w:sz w:val="20"/>
        <w:szCs w:val="20"/>
      </w:rPr>
    </w:lvl>
    <w:lvl w:ilvl="1">
      <w:start w:val="0"/>
      <w:numFmt w:val="bullet"/>
      <w:lvlText w:val="•"/>
      <w:lvlJc w:val="left"/>
      <w:pPr>
        <w:ind w:left="729" w:hanging="681"/>
      </w:pPr>
      <w:rPr>
        <w:rFonts w:hint="default"/>
      </w:rPr>
    </w:lvl>
    <w:lvl w:ilvl="2">
      <w:start w:val="0"/>
      <w:numFmt w:val="bullet"/>
      <w:lvlText w:val="•"/>
      <w:lvlJc w:val="left"/>
      <w:pPr>
        <w:ind w:left="1378" w:hanging="681"/>
      </w:pPr>
      <w:rPr>
        <w:rFonts w:hint="default"/>
      </w:rPr>
    </w:lvl>
    <w:lvl w:ilvl="3">
      <w:start w:val="0"/>
      <w:numFmt w:val="bullet"/>
      <w:lvlText w:val="•"/>
      <w:lvlJc w:val="left"/>
      <w:pPr>
        <w:ind w:left="2027" w:hanging="681"/>
      </w:pPr>
      <w:rPr>
        <w:rFonts w:hint="default"/>
      </w:rPr>
    </w:lvl>
    <w:lvl w:ilvl="4">
      <w:start w:val="0"/>
      <w:numFmt w:val="bullet"/>
      <w:lvlText w:val="•"/>
      <w:lvlJc w:val="left"/>
      <w:pPr>
        <w:ind w:left="2676" w:hanging="681"/>
      </w:pPr>
      <w:rPr>
        <w:rFonts w:hint="default"/>
      </w:rPr>
    </w:lvl>
    <w:lvl w:ilvl="5">
      <w:start w:val="0"/>
      <w:numFmt w:val="bullet"/>
      <w:lvlText w:val="•"/>
      <w:lvlJc w:val="left"/>
      <w:pPr>
        <w:ind w:left="3326" w:hanging="681"/>
      </w:pPr>
      <w:rPr>
        <w:rFonts w:hint="default"/>
      </w:rPr>
    </w:lvl>
    <w:lvl w:ilvl="6">
      <w:start w:val="0"/>
      <w:numFmt w:val="bullet"/>
      <w:lvlText w:val="•"/>
      <w:lvlJc w:val="left"/>
      <w:pPr>
        <w:ind w:left="3975" w:hanging="681"/>
      </w:pPr>
      <w:rPr>
        <w:rFonts w:hint="default"/>
      </w:rPr>
    </w:lvl>
    <w:lvl w:ilvl="7">
      <w:start w:val="0"/>
      <w:numFmt w:val="bullet"/>
      <w:lvlText w:val="•"/>
      <w:lvlJc w:val="left"/>
      <w:pPr>
        <w:ind w:left="4624" w:hanging="681"/>
      </w:pPr>
      <w:rPr>
        <w:rFonts w:hint="default"/>
      </w:rPr>
    </w:lvl>
    <w:lvl w:ilvl="8">
      <w:start w:val="0"/>
      <w:numFmt w:val="bullet"/>
      <w:lvlText w:val="•"/>
      <w:lvlJc w:val="left"/>
      <w:pPr>
        <w:ind w:left="5273" w:hanging="681"/>
      </w:pPr>
      <w:rPr>
        <w:rFonts w:hint="default"/>
      </w:rPr>
    </w:lvl>
  </w:abstractNum>
  <w:abstractNum w:abstractNumId="120">
    <w:multiLevelType w:val="hybridMultilevel"/>
    <w:lvl w:ilvl="0">
      <w:start w:val="1"/>
      <w:numFmt w:val="lowerLetter"/>
      <w:lvlText w:val="%1)"/>
      <w:lvlJc w:val="left"/>
      <w:pPr>
        <w:ind w:left="533" w:hanging="454"/>
        <w:jc w:val="left"/>
      </w:pPr>
      <w:rPr>
        <w:rFonts w:hint="default" w:ascii="Stone Sans II ITC Std Bk" w:hAnsi="Stone Sans II ITC Std Bk" w:eastAsia="Stone Sans II ITC Std Bk" w:cs="Stone Sans II ITC Std Bk"/>
        <w:b/>
        <w:bCs/>
        <w:spacing w:val="-13"/>
        <w:w w:val="110"/>
        <w:sz w:val="20"/>
        <w:szCs w:val="20"/>
      </w:rPr>
    </w:lvl>
    <w:lvl w:ilvl="1">
      <w:start w:val="0"/>
      <w:numFmt w:val="bullet"/>
      <w:lvlText w:val="•"/>
      <w:lvlJc w:val="left"/>
      <w:pPr>
        <w:ind w:left="1143" w:hanging="454"/>
      </w:pPr>
      <w:rPr>
        <w:rFonts w:hint="default"/>
      </w:rPr>
    </w:lvl>
    <w:lvl w:ilvl="2">
      <w:start w:val="0"/>
      <w:numFmt w:val="bullet"/>
      <w:lvlText w:val="•"/>
      <w:lvlJc w:val="left"/>
      <w:pPr>
        <w:ind w:left="1746" w:hanging="454"/>
      </w:pPr>
      <w:rPr>
        <w:rFonts w:hint="default"/>
      </w:rPr>
    </w:lvl>
    <w:lvl w:ilvl="3">
      <w:start w:val="0"/>
      <w:numFmt w:val="bullet"/>
      <w:lvlText w:val="•"/>
      <w:lvlJc w:val="left"/>
      <w:pPr>
        <w:ind w:left="2349" w:hanging="454"/>
      </w:pPr>
      <w:rPr>
        <w:rFonts w:hint="default"/>
      </w:rPr>
    </w:lvl>
    <w:lvl w:ilvl="4">
      <w:start w:val="0"/>
      <w:numFmt w:val="bullet"/>
      <w:lvlText w:val="•"/>
      <w:lvlJc w:val="left"/>
      <w:pPr>
        <w:ind w:left="2952" w:hanging="454"/>
      </w:pPr>
      <w:rPr>
        <w:rFonts w:hint="default"/>
      </w:rPr>
    </w:lvl>
    <w:lvl w:ilvl="5">
      <w:start w:val="0"/>
      <w:numFmt w:val="bullet"/>
      <w:lvlText w:val="•"/>
      <w:lvlJc w:val="left"/>
      <w:pPr>
        <w:ind w:left="3556" w:hanging="454"/>
      </w:pPr>
      <w:rPr>
        <w:rFonts w:hint="default"/>
      </w:rPr>
    </w:lvl>
    <w:lvl w:ilvl="6">
      <w:start w:val="0"/>
      <w:numFmt w:val="bullet"/>
      <w:lvlText w:val="•"/>
      <w:lvlJc w:val="left"/>
      <w:pPr>
        <w:ind w:left="4159" w:hanging="454"/>
      </w:pPr>
      <w:rPr>
        <w:rFonts w:hint="default"/>
      </w:rPr>
    </w:lvl>
    <w:lvl w:ilvl="7">
      <w:start w:val="0"/>
      <w:numFmt w:val="bullet"/>
      <w:lvlText w:val="•"/>
      <w:lvlJc w:val="left"/>
      <w:pPr>
        <w:ind w:left="4762" w:hanging="454"/>
      </w:pPr>
      <w:rPr>
        <w:rFonts w:hint="default"/>
      </w:rPr>
    </w:lvl>
    <w:lvl w:ilvl="8">
      <w:start w:val="0"/>
      <w:numFmt w:val="bullet"/>
      <w:lvlText w:val="•"/>
      <w:lvlJc w:val="left"/>
      <w:pPr>
        <w:ind w:left="5365" w:hanging="454"/>
      </w:pPr>
      <w:rPr>
        <w:rFonts w:hint="default"/>
      </w:rPr>
    </w:lvl>
  </w:abstractNum>
  <w:abstractNum w:abstractNumId="119">
    <w:multiLevelType w:val="hybridMultilevel"/>
    <w:lvl w:ilvl="0">
      <w:start w:val="1"/>
      <w:numFmt w:val="decimal"/>
      <w:lvlText w:val="%1."/>
      <w:lvlJc w:val="left"/>
      <w:pPr>
        <w:ind w:left="2024" w:hanging="681"/>
        <w:jc w:val="right"/>
      </w:pPr>
      <w:rPr>
        <w:rFonts w:hint="default" w:ascii="Stone Sans II ITC Std Bk" w:hAnsi="Stone Sans II ITC Std Bk" w:eastAsia="Stone Sans II ITC Std Bk" w:cs="Stone Sans II ITC Std Bk"/>
        <w:b/>
        <w:bCs/>
        <w:spacing w:val="-15"/>
        <w:w w:val="110"/>
        <w:sz w:val="29"/>
        <w:szCs w:val="29"/>
      </w:rPr>
    </w:lvl>
    <w:lvl w:ilvl="1">
      <w:start w:val="1"/>
      <w:numFmt w:val="decimal"/>
      <w:lvlText w:val="%1.%2"/>
      <w:lvlJc w:val="left"/>
      <w:pPr>
        <w:ind w:left="1344" w:hanging="681"/>
        <w:jc w:val="left"/>
      </w:pPr>
      <w:rPr>
        <w:rFonts w:hint="default" w:ascii="Calibri" w:hAnsi="Calibri" w:eastAsia="Calibri" w:cs="Calibri"/>
        <w:spacing w:val="-18"/>
        <w:w w:val="125"/>
        <w:sz w:val="20"/>
        <w:szCs w:val="20"/>
      </w:rPr>
    </w:lvl>
    <w:lvl w:ilvl="2">
      <w:start w:val="0"/>
      <w:numFmt w:val="bullet"/>
      <w:lvlText w:val="•"/>
      <w:lvlJc w:val="left"/>
      <w:pPr>
        <w:ind w:left="2020" w:hanging="681"/>
      </w:pPr>
      <w:rPr>
        <w:rFonts w:hint="default"/>
      </w:rPr>
    </w:lvl>
    <w:lvl w:ilvl="3">
      <w:start w:val="0"/>
      <w:numFmt w:val="bullet"/>
      <w:lvlText w:val="•"/>
      <w:lvlJc w:val="left"/>
      <w:pPr>
        <w:ind w:left="3175" w:hanging="681"/>
      </w:pPr>
      <w:rPr>
        <w:rFonts w:hint="default"/>
      </w:rPr>
    </w:lvl>
    <w:lvl w:ilvl="4">
      <w:start w:val="0"/>
      <w:numFmt w:val="bullet"/>
      <w:lvlText w:val="•"/>
      <w:lvlJc w:val="left"/>
      <w:pPr>
        <w:ind w:left="4331" w:hanging="681"/>
      </w:pPr>
      <w:rPr>
        <w:rFonts w:hint="default"/>
      </w:rPr>
    </w:lvl>
    <w:lvl w:ilvl="5">
      <w:start w:val="0"/>
      <w:numFmt w:val="bullet"/>
      <w:lvlText w:val="•"/>
      <w:lvlJc w:val="left"/>
      <w:pPr>
        <w:ind w:left="5487" w:hanging="681"/>
      </w:pPr>
      <w:rPr>
        <w:rFonts w:hint="default"/>
      </w:rPr>
    </w:lvl>
    <w:lvl w:ilvl="6">
      <w:start w:val="0"/>
      <w:numFmt w:val="bullet"/>
      <w:lvlText w:val="•"/>
      <w:lvlJc w:val="left"/>
      <w:pPr>
        <w:ind w:left="6642" w:hanging="681"/>
      </w:pPr>
      <w:rPr>
        <w:rFonts w:hint="default"/>
      </w:rPr>
    </w:lvl>
    <w:lvl w:ilvl="7">
      <w:start w:val="0"/>
      <w:numFmt w:val="bullet"/>
      <w:lvlText w:val="•"/>
      <w:lvlJc w:val="left"/>
      <w:pPr>
        <w:ind w:left="7798" w:hanging="681"/>
      </w:pPr>
      <w:rPr>
        <w:rFonts w:hint="default"/>
      </w:rPr>
    </w:lvl>
    <w:lvl w:ilvl="8">
      <w:start w:val="0"/>
      <w:numFmt w:val="bullet"/>
      <w:lvlText w:val="•"/>
      <w:lvlJc w:val="left"/>
      <w:pPr>
        <w:ind w:left="8954" w:hanging="681"/>
      </w:pPr>
      <w:rPr>
        <w:rFonts w:hint="default"/>
      </w:rPr>
    </w:lvl>
  </w:abstractNum>
  <w:abstractNum w:abstractNumId="117">
    <w:multiLevelType w:val="hybridMultilevel"/>
    <w:lvl w:ilvl="0">
      <w:start w:val="0"/>
      <w:numFmt w:val="bullet"/>
      <w:lvlText w:val=""/>
      <w:lvlJc w:val="left"/>
      <w:pPr>
        <w:ind w:left="2024" w:hanging="681"/>
      </w:pPr>
      <w:rPr>
        <w:rFonts w:hint="default" w:ascii="Symbol" w:hAnsi="Symbol" w:eastAsia="Symbol" w:cs="Symbol"/>
        <w:w w:val="110"/>
        <w:position w:val="-3"/>
        <w:sz w:val="29"/>
        <w:szCs w:val="29"/>
      </w:rPr>
    </w:lvl>
    <w:lvl w:ilvl="1">
      <w:start w:val="0"/>
      <w:numFmt w:val="bullet"/>
      <w:lvlText w:val="•"/>
      <w:lvlJc w:val="left"/>
      <w:pPr>
        <w:ind w:left="2944" w:hanging="681"/>
      </w:pPr>
      <w:rPr>
        <w:rFonts w:hint="default"/>
      </w:rPr>
    </w:lvl>
    <w:lvl w:ilvl="2">
      <w:start w:val="0"/>
      <w:numFmt w:val="bullet"/>
      <w:lvlText w:val="•"/>
      <w:lvlJc w:val="left"/>
      <w:pPr>
        <w:ind w:left="3869" w:hanging="681"/>
      </w:pPr>
      <w:rPr>
        <w:rFonts w:hint="default"/>
      </w:rPr>
    </w:lvl>
    <w:lvl w:ilvl="3">
      <w:start w:val="0"/>
      <w:numFmt w:val="bullet"/>
      <w:lvlText w:val="•"/>
      <w:lvlJc w:val="left"/>
      <w:pPr>
        <w:ind w:left="4793" w:hanging="681"/>
      </w:pPr>
      <w:rPr>
        <w:rFonts w:hint="default"/>
      </w:rPr>
    </w:lvl>
    <w:lvl w:ilvl="4">
      <w:start w:val="0"/>
      <w:numFmt w:val="bullet"/>
      <w:lvlText w:val="•"/>
      <w:lvlJc w:val="left"/>
      <w:pPr>
        <w:ind w:left="5718" w:hanging="681"/>
      </w:pPr>
      <w:rPr>
        <w:rFonts w:hint="default"/>
      </w:rPr>
    </w:lvl>
    <w:lvl w:ilvl="5">
      <w:start w:val="0"/>
      <w:numFmt w:val="bullet"/>
      <w:lvlText w:val="•"/>
      <w:lvlJc w:val="left"/>
      <w:pPr>
        <w:ind w:left="6642" w:hanging="681"/>
      </w:pPr>
      <w:rPr>
        <w:rFonts w:hint="default"/>
      </w:rPr>
    </w:lvl>
    <w:lvl w:ilvl="6">
      <w:start w:val="0"/>
      <w:numFmt w:val="bullet"/>
      <w:lvlText w:val="•"/>
      <w:lvlJc w:val="left"/>
      <w:pPr>
        <w:ind w:left="7567" w:hanging="681"/>
      </w:pPr>
      <w:rPr>
        <w:rFonts w:hint="default"/>
      </w:rPr>
    </w:lvl>
    <w:lvl w:ilvl="7">
      <w:start w:val="0"/>
      <w:numFmt w:val="bullet"/>
      <w:lvlText w:val="•"/>
      <w:lvlJc w:val="left"/>
      <w:pPr>
        <w:ind w:left="8491" w:hanging="681"/>
      </w:pPr>
      <w:rPr>
        <w:rFonts w:hint="default"/>
      </w:rPr>
    </w:lvl>
    <w:lvl w:ilvl="8">
      <w:start w:val="0"/>
      <w:numFmt w:val="bullet"/>
      <w:lvlText w:val="•"/>
      <w:lvlJc w:val="left"/>
      <w:pPr>
        <w:ind w:left="9416" w:hanging="681"/>
      </w:pPr>
      <w:rPr>
        <w:rFonts w:hint="default"/>
      </w:rPr>
    </w:lvl>
  </w:abstractNum>
  <w:abstractNum w:abstractNumId="116">
    <w:multiLevelType w:val="hybridMultilevel"/>
    <w:lvl w:ilvl="0">
      <w:start w:val="1"/>
      <w:numFmt w:val="decimal"/>
      <w:lvlText w:val="%1."/>
      <w:lvlJc w:val="left"/>
      <w:pPr>
        <w:ind w:left="607" w:hanging="681"/>
        <w:jc w:val="right"/>
      </w:pPr>
      <w:rPr>
        <w:rFonts w:hint="default" w:ascii="Calibri" w:hAnsi="Calibri" w:eastAsia="Calibri" w:cs="Calibri"/>
        <w:spacing w:val="-13"/>
        <w:w w:val="125"/>
        <w:sz w:val="20"/>
        <w:szCs w:val="20"/>
      </w:rPr>
    </w:lvl>
    <w:lvl w:ilvl="1">
      <w:start w:val="1"/>
      <w:numFmt w:val="decimal"/>
      <w:lvlText w:val="%1.%2"/>
      <w:lvlJc w:val="left"/>
      <w:pPr>
        <w:ind w:left="607" w:hanging="681"/>
        <w:jc w:val="right"/>
      </w:pPr>
      <w:rPr>
        <w:rFonts w:hint="default" w:ascii="Calibri" w:hAnsi="Calibri" w:eastAsia="Calibri" w:cs="Calibri"/>
        <w:spacing w:val="-18"/>
        <w:w w:val="125"/>
        <w:sz w:val="20"/>
        <w:szCs w:val="20"/>
      </w:rPr>
    </w:lvl>
    <w:lvl w:ilvl="2">
      <w:start w:val="0"/>
      <w:numFmt w:val="bullet"/>
      <w:lvlText w:val="•"/>
      <w:lvlJc w:val="left"/>
      <w:pPr>
        <w:ind w:left="2733" w:hanging="681"/>
      </w:pPr>
      <w:rPr>
        <w:rFonts w:hint="default"/>
      </w:rPr>
    </w:lvl>
    <w:lvl w:ilvl="3">
      <w:start w:val="0"/>
      <w:numFmt w:val="bullet"/>
      <w:lvlText w:val="•"/>
      <w:lvlJc w:val="left"/>
      <w:pPr>
        <w:ind w:left="3799" w:hanging="681"/>
      </w:pPr>
      <w:rPr>
        <w:rFonts w:hint="default"/>
      </w:rPr>
    </w:lvl>
    <w:lvl w:ilvl="4">
      <w:start w:val="0"/>
      <w:numFmt w:val="bullet"/>
      <w:lvlText w:val="•"/>
      <w:lvlJc w:val="left"/>
      <w:pPr>
        <w:ind w:left="4866" w:hanging="681"/>
      </w:pPr>
      <w:rPr>
        <w:rFonts w:hint="default"/>
      </w:rPr>
    </w:lvl>
    <w:lvl w:ilvl="5">
      <w:start w:val="0"/>
      <w:numFmt w:val="bullet"/>
      <w:lvlText w:val="•"/>
      <w:lvlJc w:val="left"/>
      <w:pPr>
        <w:ind w:left="5932" w:hanging="681"/>
      </w:pPr>
      <w:rPr>
        <w:rFonts w:hint="default"/>
      </w:rPr>
    </w:lvl>
    <w:lvl w:ilvl="6">
      <w:start w:val="0"/>
      <w:numFmt w:val="bullet"/>
      <w:lvlText w:val="•"/>
      <w:lvlJc w:val="left"/>
      <w:pPr>
        <w:ind w:left="6999" w:hanging="681"/>
      </w:pPr>
      <w:rPr>
        <w:rFonts w:hint="default"/>
      </w:rPr>
    </w:lvl>
    <w:lvl w:ilvl="7">
      <w:start w:val="0"/>
      <w:numFmt w:val="bullet"/>
      <w:lvlText w:val="•"/>
      <w:lvlJc w:val="left"/>
      <w:pPr>
        <w:ind w:left="8065" w:hanging="681"/>
      </w:pPr>
      <w:rPr>
        <w:rFonts w:hint="default"/>
      </w:rPr>
    </w:lvl>
    <w:lvl w:ilvl="8">
      <w:start w:val="0"/>
      <w:numFmt w:val="bullet"/>
      <w:lvlText w:val="•"/>
      <w:lvlJc w:val="left"/>
      <w:pPr>
        <w:ind w:left="9132" w:hanging="681"/>
      </w:pPr>
      <w:rPr>
        <w:rFonts w:hint="default"/>
      </w:rPr>
    </w:lvl>
  </w:abstractNum>
  <w:abstractNum w:abstractNumId="115">
    <w:multiLevelType w:val="hybridMultilevel"/>
    <w:lvl w:ilvl="0">
      <w:start w:val="0"/>
      <w:numFmt w:val="bullet"/>
      <w:lvlText w:val="•"/>
      <w:lvlJc w:val="left"/>
      <w:pPr>
        <w:ind w:left="447" w:hanging="341"/>
      </w:pPr>
      <w:rPr>
        <w:rFonts w:hint="default" w:ascii="Calibri" w:hAnsi="Calibri" w:eastAsia="Calibri" w:cs="Calibri"/>
        <w:w w:val="111"/>
        <w:sz w:val="18"/>
        <w:szCs w:val="18"/>
      </w:rPr>
    </w:lvl>
    <w:lvl w:ilvl="1">
      <w:start w:val="0"/>
      <w:numFmt w:val="bullet"/>
      <w:lvlText w:val="•"/>
      <w:lvlJc w:val="left"/>
      <w:pPr>
        <w:ind w:left="744" w:hanging="341"/>
      </w:pPr>
      <w:rPr>
        <w:rFonts w:hint="default"/>
      </w:rPr>
    </w:lvl>
    <w:lvl w:ilvl="2">
      <w:start w:val="0"/>
      <w:numFmt w:val="bullet"/>
      <w:lvlText w:val="•"/>
      <w:lvlJc w:val="left"/>
      <w:pPr>
        <w:ind w:left="1049" w:hanging="341"/>
      </w:pPr>
      <w:rPr>
        <w:rFonts w:hint="default"/>
      </w:rPr>
    </w:lvl>
    <w:lvl w:ilvl="3">
      <w:start w:val="0"/>
      <w:numFmt w:val="bullet"/>
      <w:lvlText w:val="•"/>
      <w:lvlJc w:val="left"/>
      <w:pPr>
        <w:ind w:left="1354" w:hanging="341"/>
      </w:pPr>
      <w:rPr>
        <w:rFonts w:hint="default"/>
      </w:rPr>
    </w:lvl>
    <w:lvl w:ilvl="4">
      <w:start w:val="0"/>
      <w:numFmt w:val="bullet"/>
      <w:lvlText w:val="•"/>
      <w:lvlJc w:val="left"/>
      <w:pPr>
        <w:ind w:left="1659" w:hanging="341"/>
      </w:pPr>
      <w:rPr>
        <w:rFonts w:hint="default"/>
      </w:rPr>
    </w:lvl>
    <w:lvl w:ilvl="5">
      <w:start w:val="0"/>
      <w:numFmt w:val="bullet"/>
      <w:lvlText w:val="•"/>
      <w:lvlJc w:val="left"/>
      <w:pPr>
        <w:ind w:left="1964" w:hanging="341"/>
      </w:pPr>
      <w:rPr>
        <w:rFonts w:hint="default"/>
      </w:rPr>
    </w:lvl>
    <w:lvl w:ilvl="6">
      <w:start w:val="0"/>
      <w:numFmt w:val="bullet"/>
      <w:lvlText w:val="•"/>
      <w:lvlJc w:val="left"/>
      <w:pPr>
        <w:ind w:left="2269" w:hanging="341"/>
      </w:pPr>
      <w:rPr>
        <w:rFonts w:hint="default"/>
      </w:rPr>
    </w:lvl>
    <w:lvl w:ilvl="7">
      <w:start w:val="0"/>
      <w:numFmt w:val="bullet"/>
      <w:lvlText w:val="•"/>
      <w:lvlJc w:val="left"/>
      <w:pPr>
        <w:ind w:left="2574" w:hanging="341"/>
      </w:pPr>
      <w:rPr>
        <w:rFonts w:hint="default"/>
      </w:rPr>
    </w:lvl>
    <w:lvl w:ilvl="8">
      <w:start w:val="0"/>
      <w:numFmt w:val="bullet"/>
      <w:lvlText w:val="•"/>
      <w:lvlJc w:val="left"/>
      <w:pPr>
        <w:ind w:left="2879" w:hanging="341"/>
      </w:pPr>
      <w:rPr>
        <w:rFonts w:hint="default"/>
      </w:rPr>
    </w:lvl>
  </w:abstractNum>
  <w:abstractNum w:abstractNumId="114">
    <w:multiLevelType w:val="hybridMultilevel"/>
    <w:lvl w:ilvl="0">
      <w:start w:val="0"/>
      <w:numFmt w:val="bullet"/>
      <w:lvlText w:val="•"/>
      <w:lvlJc w:val="left"/>
      <w:pPr>
        <w:ind w:left="448" w:hanging="341"/>
      </w:pPr>
      <w:rPr>
        <w:rFonts w:hint="default" w:ascii="Calibri" w:hAnsi="Calibri" w:eastAsia="Calibri" w:cs="Calibri"/>
        <w:w w:val="111"/>
        <w:sz w:val="18"/>
        <w:szCs w:val="18"/>
      </w:rPr>
    </w:lvl>
    <w:lvl w:ilvl="1">
      <w:start w:val="0"/>
      <w:numFmt w:val="bullet"/>
      <w:lvlText w:val="•"/>
      <w:lvlJc w:val="left"/>
      <w:pPr>
        <w:ind w:left="860" w:hanging="341"/>
      </w:pPr>
      <w:rPr>
        <w:rFonts w:hint="default"/>
      </w:rPr>
    </w:lvl>
    <w:lvl w:ilvl="2">
      <w:start w:val="0"/>
      <w:numFmt w:val="bullet"/>
      <w:lvlText w:val="•"/>
      <w:lvlJc w:val="left"/>
      <w:pPr>
        <w:ind w:left="1281" w:hanging="341"/>
      </w:pPr>
      <w:rPr>
        <w:rFonts w:hint="default"/>
      </w:rPr>
    </w:lvl>
    <w:lvl w:ilvl="3">
      <w:start w:val="0"/>
      <w:numFmt w:val="bullet"/>
      <w:lvlText w:val="•"/>
      <w:lvlJc w:val="left"/>
      <w:pPr>
        <w:ind w:left="1701" w:hanging="341"/>
      </w:pPr>
      <w:rPr>
        <w:rFonts w:hint="default"/>
      </w:rPr>
    </w:lvl>
    <w:lvl w:ilvl="4">
      <w:start w:val="0"/>
      <w:numFmt w:val="bullet"/>
      <w:lvlText w:val="•"/>
      <w:lvlJc w:val="left"/>
      <w:pPr>
        <w:ind w:left="2122" w:hanging="341"/>
      </w:pPr>
      <w:rPr>
        <w:rFonts w:hint="default"/>
      </w:rPr>
    </w:lvl>
    <w:lvl w:ilvl="5">
      <w:start w:val="0"/>
      <w:numFmt w:val="bullet"/>
      <w:lvlText w:val="•"/>
      <w:lvlJc w:val="left"/>
      <w:pPr>
        <w:ind w:left="2542" w:hanging="341"/>
      </w:pPr>
      <w:rPr>
        <w:rFonts w:hint="default"/>
      </w:rPr>
    </w:lvl>
    <w:lvl w:ilvl="6">
      <w:start w:val="0"/>
      <w:numFmt w:val="bullet"/>
      <w:lvlText w:val="•"/>
      <w:lvlJc w:val="left"/>
      <w:pPr>
        <w:ind w:left="2963" w:hanging="341"/>
      </w:pPr>
      <w:rPr>
        <w:rFonts w:hint="default"/>
      </w:rPr>
    </w:lvl>
    <w:lvl w:ilvl="7">
      <w:start w:val="0"/>
      <w:numFmt w:val="bullet"/>
      <w:lvlText w:val="•"/>
      <w:lvlJc w:val="left"/>
      <w:pPr>
        <w:ind w:left="3383" w:hanging="341"/>
      </w:pPr>
      <w:rPr>
        <w:rFonts w:hint="default"/>
      </w:rPr>
    </w:lvl>
    <w:lvl w:ilvl="8">
      <w:start w:val="0"/>
      <w:numFmt w:val="bullet"/>
      <w:lvlText w:val="•"/>
      <w:lvlJc w:val="left"/>
      <w:pPr>
        <w:ind w:left="3804" w:hanging="341"/>
      </w:pPr>
      <w:rPr>
        <w:rFonts w:hint="default"/>
      </w:rPr>
    </w:lvl>
  </w:abstractNum>
  <w:abstractNum w:abstractNumId="113">
    <w:multiLevelType w:val="hybridMultilevel"/>
    <w:lvl w:ilvl="0">
      <w:start w:val="0"/>
      <w:numFmt w:val="bullet"/>
      <w:lvlText w:val="•"/>
      <w:lvlJc w:val="left"/>
      <w:pPr>
        <w:ind w:left="448" w:hanging="341"/>
      </w:pPr>
      <w:rPr>
        <w:rFonts w:hint="default" w:ascii="Calibri" w:hAnsi="Calibri" w:eastAsia="Calibri" w:cs="Calibri"/>
        <w:w w:val="111"/>
        <w:sz w:val="18"/>
        <w:szCs w:val="18"/>
      </w:rPr>
    </w:lvl>
    <w:lvl w:ilvl="1">
      <w:start w:val="0"/>
      <w:numFmt w:val="bullet"/>
      <w:lvlText w:val="•"/>
      <w:lvlJc w:val="left"/>
      <w:pPr>
        <w:ind w:left="869" w:hanging="341"/>
      </w:pPr>
      <w:rPr>
        <w:rFonts w:hint="default"/>
      </w:rPr>
    </w:lvl>
    <w:lvl w:ilvl="2">
      <w:start w:val="0"/>
      <w:numFmt w:val="bullet"/>
      <w:lvlText w:val="•"/>
      <w:lvlJc w:val="left"/>
      <w:pPr>
        <w:ind w:left="1298" w:hanging="341"/>
      </w:pPr>
      <w:rPr>
        <w:rFonts w:hint="default"/>
      </w:rPr>
    </w:lvl>
    <w:lvl w:ilvl="3">
      <w:start w:val="0"/>
      <w:numFmt w:val="bullet"/>
      <w:lvlText w:val="•"/>
      <w:lvlJc w:val="left"/>
      <w:pPr>
        <w:ind w:left="1728" w:hanging="341"/>
      </w:pPr>
      <w:rPr>
        <w:rFonts w:hint="default"/>
      </w:rPr>
    </w:lvl>
    <w:lvl w:ilvl="4">
      <w:start w:val="0"/>
      <w:numFmt w:val="bullet"/>
      <w:lvlText w:val="•"/>
      <w:lvlJc w:val="left"/>
      <w:pPr>
        <w:ind w:left="2157" w:hanging="341"/>
      </w:pPr>
      <w:rPr>
        <w:rFonts w:hint="default"/>
      </w:rPr>
    </w:lvl>
    <w:lvl w:ilvl="5">
      <w:start w:val="0"/>
      <w:numFmt w:val="bullet"/>
      <w:lvlText w:val="•"/>
      <w:lvlJc w:val="left"/>
      <w:pPr>
        <w:ind w:left="2587" w:hanging="341"/>
      </w:pPr>
      <w:rPr>
        <w:rFonts w:hint="default"/>
      </w:rPr>
    </w:lvl>
    <w:lvl w:ilvl="6">
      <w:start w:val="0"/>
      <w:numFmt w:val="bullet"/>
      <w:lvlText w:val="•"/>
      <w:lvlJc w:val="left"/>
      <w:pPr>
        <w:ind w:left="3016" w:hanging="341"/>
      </w:pPr>
      <w:rPr>
        <w:rFonts w:hint="default"/>
      </w:rPr>
    </w:lvl>
    <w:lvl w:ilvl="7">
      <w:start w:val="0"/>
      <w:numFmt w:val="bullet"/>
      <w:lvlText w:val="•"/>
      <w:lvlJc w:val="left"/>
      <w:pPr>
        <w:ind w:left="3445" w:hanging="341"/>
      </w:pPr>
      <w:rPr>
        <w:rFonts w:hint="default"/>
      </w:rPr>
    </w:lvl>
    <w:lvl w:ilvl="8">
      <w:start w:val="0"/>
      <w:numFmt w:val="bullet"/>
      <w:lvlText w:val="•"/>
      <w:lvlJc w:val="left"/>
      <w:pPr>
        <w:ind w:left="3875" w:hanging="341"/>
      </w:pPr>
      <w:rPr>
        <w:rFonts w:hint="default"/>
      </w:rPr>
    </w:lvl>
  </w:abstractNum>
  <w:abstractNum w:abstractNumId="112">
    <w:multiLevelType w:val="hybridMultilevel"/>
    <w:lvl w:ilvl="0">
      <w:start w:val="0"/>
      <w:numFmt w:val="bullet"/>
      <w:lvlText w:val="•"/>
      <w:lvlJc w:val="left"/>
      <w:pPr>
        <w:ind w:left="447" w:hanging="341"/>
      </w:pPr>
      <w:rPr>
        <w:rFonts w:hint="default" w:ascii="Calibri" w:hAnsi="Calibri" w:eastAsia="Calibri" w:cs="Calibri"/>
        <w:w w:val="111"/>
        <w:sz w:val="18"/>
        <w:szCs w:val="18"/>
      </w:rPr>
    </w:lvl>
    <w:lvl w:ilvl="1">
      <w:start w:val="0"/>
      <w:numFmt w:val="bullet"/>
      <w:lvlText w:val="•"/>
      <w:lvlJc w:val="left"/>
      <w:pPr>
        <w:ind w:left="744" w:hanging="341"/>
      </w:pPr>
      <w:rPr>
        <w:rFonts w:hint="default"/>
      </w:rPr>
    </w:lvl>
    <w:lvl w:ilvl="2">
      <w:start w:val="0"/>
      <w:numFmt w:val="bullet"/>
      <w:lvlText w:val="•"/>
      <w:lvlJc w:val="left"/>
      <w:pPr>
        <w:ind w:left="1049" w:hanging="341"/>
      </w:pPr>
      <w:rPr>
        <w:rFonts w:hint="default"/>
      </w:rPr>
    </w:lvl>
    <w:lvl w:ilvl="3">
      <w:start w:val="0"/>
      <w:numFmt w:val="bullet"/>
      <w:lvlText w:val="•"/>
      <w:lvlJc w:val="left"/>
      <w:pPr>
        <w:ind w:left="1354" w:hanging="341"/>
      </w:pPr>
      <w:rPr>
        <w:rFonts w:hint="default"/>
      </w:rPr>
    </w:lvl>
    <w:lvl w:ilvl="4">
      <w:start w:val="0"/>
      <w:numFmt w:val="bullet"/>
      <w:lvlText w:val="•"/>
      <w:lvlJc w:val="left"/>
      <w:pPr>
        <w:ind w:left="1659" w:hanging="341"/>
      </w:pPr>
      <w:rPr>
        <w:rFonts w:hint="default"/>
      </w:rPr>
    </w:lvl>
    <w:lvl w:ilvl="5">
      <w:start w:val="0"/>
      <w:numFmt w:val="bullet"/>
      <w:lvlText w:val="•"/>
      <w:lvlJc w:val="left"/>
      <w:pPr>
        <w:ind w:left="1964" w:hanging="341"/>
      </w:pPr>
      <w:rPr>
        <w:rFonts w:hint="default"/>
      </w:rPr>
    </w:lvl>
    <w:lvl w:ilvl="6">
      <w:start w:val="0"/>
      <w:numFmt w:val="bullet"/>
      <w:lvlText w:val="•"/>
      <w:lvlJc w:val="left"/>
      <w:pPr>
        <w:ind w:left="2269" w:hanging="341"/>
      </w:pPr>
      <w:rPr>
        <w:rFonts w:hint="default"/>
      </w:rPr>
    </w:lvl>
    <w:lvl w:ilvl="7">
      <w:start w:val="0"/>
      <w:numFmt w:val="bullet"/>
      <w:lvlText w:val="•"/>
      <w:lvlJc w:val="left"/>
      <w:pPr>
        <w:ind w:left="2574" w:hanging="341"/>
      </w:pPr>
      <w:rPr>
        <w:rFonts w:hint="default"/>
      </w:rPr>
    </w:lvl>
    <w:lvl w:ilvl="8">
      <w:start w:val="0"/>
      <w:numFmt w:val="bullet"/>
      <w:lvlText w:val="•"/>
      <w:lvlJc w:val="left"/>
      <w:pPr>
        <w:ind w:left="2879" w:hanging="341"/>
      </w:pPr>
      <w:rPr>
        <w:rFonts w:hint="default"/>
      </w:rPr>
    </w:lvl>
  </w:abstractNum>
  <w:abstractNum w:abstractNumId="111">
    <w:multiLevelType w:val="hybridMultilevel"/>
    <w:lvl w:ilvl="0">
      <w:start w:val="0"/>
      <w:numFmt w:val="bullet"/>
      <w:lvlText w:val="•"/>
      <w:lvlJc w:val="left"/>
      <w:pPr>
        <w:ind w:left="448" w:hanging="341"/>
      </w:pPr>
      <w:rPr>
        <w:rFonts w:hint="default" w:ascii="Calibri" w:hAnsi="Calibri" w:eastAsia="Calibri" w:cs="Calibri"/>
        <w:w w:val="111"/>
        <w:sz w:val="18"/>
        <w:szCs w:val="18"/>
      </w:rPr>
    </w:lvl>
    <w:lvl w:ilvl="1">
      <w:start w:val="0"/>
      <w:numFmt w:val="bullet"/>
      <w:lvlText w:val="•"/>
      <w:lvlJc w:val="left"/>
      <w:pPr>
        <w:ind w:left="860" w:hanging="341"/>
      </w:pPr>
      <w:rPr>
        <w:rFonts w:hint="default"/>
      </w:rPr>
    </w:lvl>
    <w:lvl w:ilvl="2">
      <w:start w:val="0"/>
      <w:numFmt w:val="bullet"/>
      <w:lvlText w:val="•"/>
      <w:lvlJc w:val="left"/>
      <w:pPr>
        <w:ind w:left="1281" w:hanging="341"/>
      </w:pPr>
      <w:rPr>
        <w:rFonts w:hint="default"/>
      </w:rPr>
    </w:lvl>
    <w:lvl w:ilvl="3">
      <w:start w:val="0"/>
      <w:numFmt w:val="bullet"/>
      <w:lvlText w:val="•"/>
      <w:lvlJc w:val="left"/>
      <w:pPr>
        <w:ind w:left="1701" w:hanging="341"/>
      </w:pPr>
      <w:rPr>
        <w:rFonts w:hint="default"/>
      </w:rPr>
    </w:lvl>
    <w:lvl w:ilvl="4">
      <w:start w:val="0"/>
      <w:numFmt w:val="bullet"/>
      <w:lvlText w:val="•"/>
      <w:lvlJc w:val="left"/>
      <w:pPr>
        <w:ind w:left="2122" w:hanging="341"/>
      </w:pPr>
      <w:rPr>
        <w:rFonts w:hint="default"/>
      </w:rPr>
    </w:lvl>
    <w:lvl w:ilvl="5">
      <w:start w:val="0"/>
      <w:numFmt w:val="bullet"/>
      <w:lvlText w:val="•"/>
      <w:lvlJc w:val="left"/>
      <w:pPr>
        <w:ind w:left="2542" w:hanging="341"/>
      </w:pPr>
      <w:rPr>
        <w:rFonts w:hint="default"/>
      </w:rPr>
    </w:lvl>
    <w:lvl w:ilvl="6">
      <w:start w:val="0"/>
      <w:numFmt w:val="bullet"/>
      <w:lvlText w:val="•"/>
      <w:lvlJc w:val="left"/>
      <w:pPr>
        <w:ind w:left="2963" w:hanging="341"/>
      </w:pPr>
      <w:rPr>
        <w:rFonts w:hint="default"/>
      </w:rPr>
    </w:lvl>
    <w:lvl w:ilvl="7">
      <w:start w:val="0"/>
      <w:numFmt w:val="bullet"/>
      <w:lvlText w:val="•"/>
      <w:lvlJc w:val="left"/>
      <w:pPr>
        <w:ind w:left="3383" w:hanging="341"/>
      </w:pPr>
      <w:rPr>
        <w:rFonts w:hint="default"/>
      </w:rPr>
    </w:lvl>
    <w:lvl w:ilvl="8">
      <w:start w:val="0"/>
      <w:numFmt w:val="bullet"/>
      <w:lvlText w:val="•"/>
      <w:lvlJc w:val="left"/>
      <w:pPr>
        <w:ind w:left="3804" w:hanging="341"/>
      </w:pPr>
      <w:rPr>
        <w:rFonts w:hint="default"/>
      </w:rPr>
    </w:lvl>
  </w:abstractNum>
  <w:abstractNum w:abstractNumId="110">
    <w:multiLevelType w:val="hybridMultilevel"/>
    <w:lvl w:ilvl="0">
      <w:start w:val="0"/>
      <w:numFmt w:val="bullet"/>
      <w:lvlText w:val="•"/>
      <w:lvlJc w:val="left"/>
      <w:pPr>
        <w:ind w:left="448" w:hanging="341"/>
      </w:pPr>
      <w:rPr>
        <w:rFonts w:hint="default" w:ascii="Calibri" w:hAnsi="Calibri" w:eastAsia="Calibri" w:cs="Calibri"/>
        <w:w w:val="111"/>
        <w:sz w:val="18"/>
        <w:szCs w:val="18"/>
      </w:rPr>
    </w:lvl>
    <w:lvl w:ilvl="1">
      <w:start w:val="0"/>
      <w:numFmt w:val="bullet"/>
      <w:lvlText w:val="•"/>
      <w:lvlJc w:val="left"/>
      <w:pPr>
        <w:ind w:left="869" w:hanging="341"/>
      </w:pPr>
      <w:rPr>
        <w:rFonts w:hint="default"/>
      </w:rPr>
    </w:lvl>
    <w:lvl w:ilvl="2">
      <w:start w:val="0"/>
      <w:numFmt w:val="bullet"/>
      <w:lvlText w:val="•"/>
      <w:lvlJc w:val="left"/>
      <w:pPr>
        <w:ind w:left="1298" w:hanging="341"/>
      </w:pPr>
      <w:rPr>
        <w:rFonts w:hint="default"/>
      </w:rPr>
    </w:lvl>
    <w:lvl w:ilvl="3">
      <w:start w:val="0"/>
      <w:numFmt w:val="bullet"/>
      <w:lvlText w:val="•"/>
      <w:lvlJc w:val="left"/>
      <w:pPr>
        <w:ind w:left="1728" w:hanging="341"/>
      </w:pPr>
      <w:rPr>
        <w:rFonts w:hint="default"/>
      </w:rPr>
    </w:lvl>
    <w:lvl w:ilvl="4">
      <w:start w:val="0"/>
      <w:numFmt w:val="bullet"/>
      <w:lvlText w:val="•"/>
      <w:lvlJc w:val="left"/>
      <w:pPr>
        <w:ind w:left="2157" w:hanging="341"/>
      </w:pPr>
      <w:rPr>
        <w:rFonts w:hint="default"/>
      </w:rPr>
    </w:lvl>
    <w:lvl w:ilvl="5">
      <w:start w:val="0"/>
      <w:numFmt w:val="bullet"/>
      <w:lvlText w:val="•"/>
      <w:lvlJc w:val="left"/>
      <w:pPr>
        <w:ind w:left="2587" w:hanging="341"/>
      </w:pPr>
      <w:rPr>
        <w:rFonts w:hint="default"/>
      </w:rPr>
    </w:lvl>
    <w:lvl w:ilvl="6">
      <w:start w:val="0"/>
      <w:numFmt w:val="bullet"/>
      <w:lvlText w:val="•"/>
      <w:lvlJc w:val="left"/>
      <w:pPr>
        <w:ind w:left="3016" w:hanging="341"/>
      </w:pPr>
      <w:rPr>
        <w:rFonts w:hint="default"/>
      </w:rPr>
    </w:lvl>
    <w:lvl w:ilvl="7">
      <w:start w:val="0"/>
      <w:numFmt w:val="bullet"/>
      <w:lvlText w:val="•"/>
      <w:lvlJc w:val="left"/>
      <w:pPr>
        <w:ind w:left="3445" w:hanging="341"/>
      </w:pPr>
      <w:rPr>
        <w:rFonts w:hint="default"/>
      </w:rPr>
    </w:lvl>
    <w:lvl w:ilvl="8">
      <w:start w:val="0"/>
      <w:numFmt w:val="bullet"/>
      <w:lvlText w:val="•"/>
      <w:lvlJc w:val="left"/>
      <w:pPr>
        <w:ind w:left="3875" w:hanging="341"/>
      </w:pPr>
      <w:rPr>
        <w:rFonts w:hint="default"/>
      </w:rPr>
    </w:lvl>
  </w:abstractNum>
  <w:abstractNum w:abstractNumId="109">
    <w:multiLevelType w:val="hybridMultilevel"/>
    <w:lvl w:ilvl="0">
      <w:start w:val="0"/>
      <w:numFmt w:val="bullet"/>
      <w:lvlText w:val="•"/>
      <w:lvlJc w:val="left"/>
      <w:pPr>
        <w:ind w:left="447" w:hanging="341"/>
      </w:pPr>
      <w:rPr>
        <w:rFonts w:hint="default" w:ascii="Calibri" w:hAnsi="Calibri" w:eastAsia="Calibri" w:cs="Calibri"/>
        <w:w w:val="111"/>
        <w:sz w:val="18"/>
        <w:szCs w:val="18"/>
      </w:rPr>
    </w:lvl>
    <w:lvl w:ilvl="1">
      <w:start w:val="0"/>
      <w:numFmt w:val="bullet"/>
      <w:lvlText w:val="•"/>
      <w:lvlJc w:val="left"/>
      <w:pPr>
        <w:ind w:left="744" w:hanging="341"/>
      </w:pPr>
      <w:rPr>
        <w:rFonts w:hint="default"/>
      </w:rPr>
    </w:lvl>
    <w:lvl w:ilvl="2">
      <w:start w:val="0"/>
      <w:numFmt w:val="bullet"/>
      <w:lvlText w:val="•"/>
      <w:lvlJc w:val="left"/>
      <w:pPr>
        <w:ind w:left="1049" w:hanging="341"/>
      </w:pPr>
      <w:rPr>
        <w:rFonts w:hint="default"/>
      </w:rPr>
    </w:lvl>
    <w:lvl w:ilvl="3">
      <w:start w:val="0"/>
      <w:numFmt w:val="bullet"/>
      <w:lvlText w:val="•"/>
      <w:lvlJc w:val="left"/>
      <w:pPr>
        <w:ind w:left="1354" w:hanging="341"/>
      </w:pPr>
      <w:rPr>
        <w:rFonts w:hint="default"/>
      </w:rPr>
    </w:lvl>
    <w:lvl w:ilvl="4">
      <w:start w:val="0"/>
      <w:numFmt w:val="bullet"/>
      <w:lvlText w:val="•"/>
      <w:lvlJc w:val="left"/>
      <w:pPr>
        <w:ind w:left="1659" w:hanging="341"/>
      </w:pPr>
      <w:rPr>
        <w:rFonts w:hint="default"/>
      </w:rPr>
    </w:lvl>
    <w:lvl w:ilvl="5">
      <w:start w:val="0"/>
      <w:numFmt w:val="bullet"/>
      <w:lvlText w:val="•"/>
      <w:lvlJc w:val="left"/>
      <w:pPr>
        <w:ind w:left="1964" w:hanging="341"/>
      </w:pPr>
      <w:rPr>
        <w:rFonts w:hint="default"/>
      </w:rPr>
    </w:lvl>
    <w:lvl w:ilvl="6">
      <w:start w:val="0"/>
      <w:numFmt w:val="bullet"/>
      <w:lvlText w:val="•"/>
      <w:lvlJc w:val="left"/>
      <w:pPr>
        <w:ind w:left="2269" w:hanging="341"/>
      </w:pPr>
      <w:rPr>
        <w:rFonts w:hint="default"/>
      </w:rPr>
    </w:lvl>
    <w:lvl w:ilvl="7">
      <w:start w:val="0"/>
      <w:numFmt w:val="bullet"/>
      <w:lvlText w:val="•"/>
      <w:lvlJc w:val="left"/>
      <w:pPr>
        <w:ind w:left="2574" w:hanging="341"/>
      </w:pPr>
      <w:rPr>
        <w:rFonts w:hint="default"/>
      </w:rPr>
    </w:lvl>
    <w:lvl w:ilvl="8">
      <w:start w:val="0"/>
      <w:numFmt w:val="bullet"/>
      <w:lvlText w:val="•"/>
      <w:lvlJc w:val="left"/>
      <w:pPr>
        <w:ind w:left="2879" w:hanging="341"/>
      </w:pPr>
      <w:rPr>
        <w:rFonts w:hint="default"/>
      </w:rPr>
    </w:lvl>
  </w:abstractNum>
  <w:abstractNum w:abstractNumId="108">
    <w:multiLevelType w:val="hybridMultilevel"/>
    <w:lvl w:ilvl="0">
      <w:start w:val="0"/>
      <w:numFmt w:val="bullet"/>
      <w:lvlText w:val="•"/>
      <w:lvlJc w:val="left"/>
      <w:pPr>
        <w:ind w:left="448" w:hanging="341"/>
      </w:pPr>
      <w:rPr>
        <w:rFonts w:hint="default" w:ascii="Calibri" w:hAnsi="Calibri" w:eastAsia="Calibri" w:cs="Calibri"/>
        <w:w w:val="111"/>
        <w:sz w:val="18"/>
        <w:szCs w:val="18"/>
      </w:rPr>
    </w:lvl>
    <w:lvl w:ilvl="1">
      <w:start w:val="0"/>
      <w:numFmt w:val="bullet"/>
      <w:lvlText w:val="•"/>
      <w:lvlJc w:val="left"/>
      <w:pPr>
        <w:ind w:left="860" w:hanging="341"/>
      </w:pPr>
      <w:rPr>
        <w:rFonts w:hint="default"/>
      </w:rPr>
    </w:lvl>
    <w:lvl w:ilvl="2">
      <w:start w:val="0"/>
      <w:numFmt w:val="bullet"/>
      <w:lvlText w:val="•"/>
      <w:lvlJc w:val="left"/>
      <w:pPr>
        <w:ind w:left="1281" w:hanging="341"/>
      </w:pPr>
      <w:rPr>
        <w:rFonts w:hint="default"/>
      </w:rPr>
    </w:lvl>
    <w:lvl w:ilvl="3">
      <w:start w:val="0"/>
      <w:numFmt w:val="bullet"/>
      <w:lvlText w:val="•"/>
      <w:lvlJc w:val="left"/>
      <w:pPr>
        <w:ind w:left="1701" w:hanging="341"/>
      </w:pPr>
      <w:rPr>
        <w:rFonts w:hint="default"/>
      </w:rPr>
    </w:lvl>
    <w:lvl w:ilvl="4">
      <w:start w:val="0"/>
      <w:numFmt w:val="bullet"/>
      <w:lvlText w:val="•"/>
      <w:lvlJc w:val="left"/>
      <w:pPr>
        <w:ind w:left="2122" w:hanging="341"/>
      </w:pPr>
      <w:rPr>
        <w:rFonts w:hint="default"/>
      </w:rPr>
    </w:lvl>
    <w:lvl w:ilvl="5">
      <w:start w:val="0"/>
      <w:numFmt w:val="bullet"/>
      <w:lvlText w:val="•"/>
      <w:lvlJc w:val="left"/>
      <w:pPr>
        <w:ind w:left="2542" w:hanging="341"/>
      </w:pPr>
      <w:rPr>
        <w:rFonts w:hint="default"/>
      </w:rPr>
    </w:lvl>
    <w:lvl w:ilvl="6">
      <w:start w:val="0"/>
      <w:numFmt w:val="bullet"/>
      <w:lvlText w:val="•"/>
      <w:lvlJc w:val="left"/>
      <w:pPr>
        <w:ind w:left="2963" w:hanging="341"/>
      </w:pPr>
      <w:rPr>
        <w:rFonts w:hint="default"/>
      </w:rPr>
    </w:lvl>
    <w:lvl w:ilvl="7">
      <w:start w:val="0"/>
      <w:numFmt w:val="bullet"/>
      <w:lvlText w:val="•"/>
      <w:lvlJc w:val="left"/>
      <w:pPr>
        <w:ind w:left="3383" w:hanging="341"/>
      </w:pPr>
      <w:rPr>
        <w:rFonts w:hint="default"/>
      </w:rPr>
    </w:lvl>
    <w:lvl w:ilvl="8">
      <w:start w:val="0"/>
      <w:numFmt w:val="bullet"/>
      <w:lvlText w:val="•"/>
      <w:lvlJc w:val="left"/>
      <w:pPr>
        <w:ind w:left="3804" w:hanging="341"/>
      </w:pPr>
      <w:rPr>
        <w:rFonts w:hint="default"/>
      </w:rPr>
    </w:lvl>
  </w:abstractNum>
  <w:abstractNum w:abstractNumId="107">
    <w:multiLevelType w:val="hybridMultilevel"/>
    <w:lvl w:ilvl="0">
      <w:start w:val="0"/>
      <w:numFmt w:val="bullet"/>
      <w:lvlText w:val="•"/>
      <w:lvlJc w:val="left"/>
      <w:pPr>
        <w:ind w:left="448" w:hanging="341"/>
      </w:pPr>
      <w:rPr>
        <w:rFonts w:hint="default" w:ascii="Calibri" w:hAnsi="Calibri" w:eastAsia="Calibri" w:cs="Calibri"/>
        <w:w w:val="111"/>
        <w:sz w:val="18"/>
        <w:szCs w:val="18"/>
      </w:rPr>
    </w:lvl>
    <w:lvl w:ilvl="1">
      <w:start w:val="0"/>
      <w:numFmt w:val="bullet"/>
      <w:lvlText w:val="•"/>
      <w:lvlJc w:val="left"/>
      <w:pPr>
        <w:ind w:left="869" w:hanging="341"/>
      </w:pPr>
      <w:rPr>
        <w:rFonts w:hint="default"/>
      </w:rPr>
    </w:lvl>
    <w:lvl w:ilvl="2">
      <w:start w:val="0"/>
      <w:numFmt w:val="bullet"/>
      <w:lvlText w:val="•"/>
      <w:lvlJc w:val="left"/>
      <w:pPr>
        <w:ind w:left="1298" w:hanging="341"/>
      </w:pPr>
      <w:rPr>
        <w:rFonts w:hint="default"/>
      </w:rPr>
    </w:lvl>
    <w:lvl w:ilvl="3">
      <w:start w:val="0"/>
      <w:numFmt w:val="bullet"/>
      <w:lvlText w:val="•"/>
      <w:lvlJc w:val="left"/>
      <w:pPr>
        <w:ind w:left="1728" w:hanging="341"/>
      </w:pPr>
      <w:rPr>
        <w:rFonts w:hint="default"/>
      </w:rPr>
    </w:lvl>
    <w:lvl w:ilvl="4">
      <w:start w:val="0"/>
      <w:numFmt w:val="bullet"/>
      <w:lvlText w:val="•"/>
      <w:lvlJc w:val="left"/>
      <w:pPr>
        <w:ind w:left="2157" w:hanging="341"/>
      </w:pPr>
      <w:rPr>
        <w:rFonts w:hint="default"/>
      </w:rPr>
    </w:lvl>
    <w:lvl w:ilvl="5">
      <w:start w:val="0"/>
      <w:numFmt w:val="bullet"/>
      <w:lvlText w:val="•"/>
      <w:lvlJc w:val="left"/>
      <w:pPr>
        <w:ind w:left="2587" w:hanging="341"/>
      </w:pPr>
      <w:rPr>
        <w:rFonts w:hint="default"/>
      </w:rPr>
    </w:lvl>
    <w:lvl w:ilvl="6">
      <w:start w:val="0"/>
      <w:numFmt w:val="bullet"/>
      <w:lvlText w:val="•"/>
      <w:lvlJc w:val="left"/>
      <w:pPr>
        <w:ind w:left="3016" w:hanging="341"/>
      </w:pPr>
      <w:rPr>
        <w:rFonts w:hint="default"/>
      </w:rPr>
    </w:lvl>
    <w:lvl w:ilvl="7">
      <w:start w:val="0"/>
      <w:numFmt w:val="bullet"/>
      <w:lvlText w:val="•"/>
      <w:lvlJc w:val="left"/>
      <w:pPr>
        <w:ind w:left="3445" w:hanging="341"/>
      </w:pPr>
      <w:rPr>
        <w:rFonts w:hint="default"/>
      </w:rPr>
    </w:lvl>
    <w:lvl w:ilvl="8">
      <w:start w:val="0"/>
      <w:numFmt w:val="bullet"/>
      <w:lvlText w:val="•"/>
      <w:lvlJc w:val="left"/>
      <w:pPr>
        <w:ind w:left="3875" w:hanging="341"/>
      </w:pPr>
      <w:rPr>
        <w:rFonts w:hint="default"/>
      </w:rPr>
    </w:lvl>
  </w:abstractNum>
  <w:abstractNum w:abstractNumId="106">
    <w:multiLevelType w:val="hybridMultilevel"/>
    <w:lvl w:ilvl="0">
      <w:start w:val="0"/>
      <w:numFmt w:val="bullet"/>
      <w:lvlText w:val="•"/>
      <w:lvlJc w:val="left"/>
      <w:pPr>
        <w:ind w:left="447" w:hanging="341"/>
      </w:pPr>
      <w:rPr>
        <w:rFonts w:hint="default" w:ascii="Calibri" w:hAnsi="Calibri" w:eastAsia="Calibri" w:cs="Calibri"/>
        <w:w w:val="111"/>
        <w:sz w:val="18"/>
        <w:szCs w:val="18"/>
      </w:rPr>
    </w:lvl>
    <w:lvl w:ilvl="1">
      <w:start w:val="0"/>
      <w:numFmt w:val="bullet"/>
      <w:lvlText w:val="•"/>
      <w:lvlJc w:val="left"/>
      <w:pPr>
        <w:ind w:left="744" w:hanging="341"/>
      </w:pPr>
      <w:rPr>
        <w:rFonts w:hint="default"/>
      </w:rPr>
    </w:lvl>
    <w:lvl w:ilvl="2">
      <w:start w:val="0"/>
      <w:numFmt w:val="bullet"/>
      <w:lvlText w:val="•"/>
      <w:lvlJc w:val="left"/>
      <w:pPr>
        <w:ind w:left="1049" w:hanging="341"/>
      </w:pPr>
      <w:rPr>
        <w:rFonts w:hint="default"/>
      </w:rPr>
    </w:lvl>
    <w:lvl w:ilvl="3">
      <w:start w:val="0"/>
      <w:numFmt w:val="bullet"/>
      <w:lvlText w:val="•"/>
      <w:lvlJc w:val="left"/>
      <w:pPr>
        <w:ind w:left="1354" w:hanging="341"/>
      </w:pPr>
      <w:rPr>
        <w:rFonts w:hint="default"/>
      </w:rPr>
    </w:lvl>
    <w:lvl w:ilvl="4">
      <w:start w:val="0"/>
      <w:numFmt w:val="bullet"/>
      <w:lvlText w:val="•"/>
      <w:lvlJc w:val="left"/>
      <w:pPr>
        <w:ind w:left="1659" w:hanging="341"/>
      </w:pPr>
      <w:rPr>
        <w:rFonts w:hint="default"/>
      </w:rPr>
    </w:lvl>
    <w:lvl w:ilvl="5">
      <w:start w:val="0"/>
      <w:numFmt w:val="bullet"/>
      <w:lvlText w:val="•"/>
      <w:lvlJc w:val="left"/>
      <w:pPr>
        <w:ind w:left="1964" w:hanging="341"/>
      </w:pPr>
      <w:rPr>
        <w:rFonts w:hint="default"/>
      </w:rPr>
    </w:lvl>
    <w:lvl w:ilvl="6">
      <w:start w:val="0"/>
      <w:numFmt w:val="bullet"/>
      <w:lvlText w:val="•"/>
      <w:lvlJc w:val="left"/>
      <w:pPr>
        <w:ind w:left="2269" w:hanging="341"/>
      </w:pPr>
      <w:rPr>
        <w:rFonts w:hint="default"/>
      </w:rPr>
    </w:lvl>
    <w:lvl w:ilvl="7">
      <w:start w:val="0"/>
      <w:numFmt w:val="bullet"/>
      <w:lvlText w:val="•"/>
      <w:lvlJc w:val="left"/>
      <w:pPr>
        <w:ind w:left="2574" w:hanging="341"/>
      </w:pPr>
      <w:rPr>
        <w:rFonts w:hint="default"/>
      </w:rPr>
    </w:lvl>
    <w:lvl w:ilvl="8">
      <w:start w:val="0"/>
      <w:numFmt w:val="bullet"/>
      <w:lvlText w:val="•"/>
      <w:lvlJc w:val="left"/>
      <w:pPr>
        <w:ind w:left="2879" w:hanging="341"/>
      </w:pPr>
      <w:rPr>
        <w:rFonts w:hint="default"/>
      </w:rPr>
    </w:lvl>
  </w:abstractNum>
  <w:abstractNum w:abstractNumId="105">
    <w:multiLevelType w:val="hybridMultilevel"/>
    <w:lvl w:ilvl="0">
      <w:start w:val="0"/>
      <w:numFmt w:val="bullet"/>
      <w:lvlText w:val="•"/>
      <w:lvlJc w:val="left"/>
      <w:pPr>
        <w:ind w:left="448" w:hanging="341"/>
      </w:pPr>
      <w:rPr>
        <w:rFonts w:hint="default" w:ascii="Calibri" w:hAnsi="Calibri" w:eastAsia="Calibri" w:cs="Calibri"/>
        <w:w w:val="111"/>
        <w:sz w:val="18"/>
        <w:szCs w:val="18"/>
      </w:rPr>
    </w:lvl>
    <w:lvl w:ilvl="1">
      <w:start w:val="0"/>
      <w:numFmt w:val="bullet"/>
      <w:lvlText w:val="•"/>
      <w:lvlJc w:val="left"/>
      <w:pPr>
        <w:ind w:left="860" w:hanging="341"/>
      </w:pPr>
      <w:rPr>
        <w:rFonts w:hint="default"/>
      </w:rPr>
    </w:lvl>
    <w:lvl w:ilvl="2">
      <w:start w:val="0"/>
      <w:numFmt w:val="bullet"/>
      <w:lvlText w:val="•"/>
      <w:lvlJc w:val="left"/>
      <w:pPr>
        <w:ind w:left="1281" w:hanging="341"/>
      </w:pPr>
      <w:rPr>
        <w:rFonts w:hint="default"/>
      </w:rPr>
    </w:lvl>
    <w:lvl w:ilvl="3">
      <w:start w:val="0"/>
      <w:numFmt w:val="bullet"/>
      <w:lvlText w:val="•"/>
      <w:lvlJc w:val="left"/>
      <w:pPr>
        <w:ind w:left="1701" w:hanging="341"/>
      </w:pPr>
      <w:rPr>
        <w:rFonts w:hint="default"/>
      </w:rPr>
    </w:lvl>
    <w:lvl w:ilvl="4">
      <w:start w:val="0"/>
      <w:numFmt w:val="bullet"/>
      <w:lvlText w:val="•"/>
      <w:lvlJc w:val="left"/>
      <w:pPr>
        <w:ind w:left="2122" w:hanging="341"/>
      </w:pPr>
      <w:rPr>
        <w:rFonts w:hint="default"/>
      </w:rPr>
    </w:lvl>
    <w:lvl w:ilvl="5">
      <w:start w:val="0"/>
      <w:numFmt w:val="bullet"/>
      <w:lvlText w:val="•"/>
      <w:lvlJc w:val="left"/>
      <w:pPr>
        <w:ind w:left="2542" w:hanging="341"/>
      </w:pPr>
      <w:rPr>
        <w:rFonts w:hint="default"/>
      </w:rPr>
    </w:lvl>
    <w:lvl w:ilvl="6">
      <w:start w:val="0"/>
      <w:numFmt w:val="bullet"/>
      <w:lvlText w:val="•"/>
      <w:lvlJc w:val="left"/>
      <w:pPr>
        <w:ind w:left="2963" w:hanging="341"/>
      </w:pPr>
      <w:rPr>
        <w:rFonts w:hint="default"/>
      </w:rPr>
    </w:lvl>
    <w:lvl w:ilvl="7">
      <w:start w:val="0"/>
      <w:numFmt w:val="bullet"/>
      <w:lvlText w:val="•"/>
      <w:lvlJc w:val="left"/>
      <w:pPr>
        <w:ind w:left="3383" w:hanging="341"/>
      </w:pPr>
      <w:rPr>
        <w:rFonts w:hint="default"/>
      </w:rPr>
    </w:lvl>
    <w:lvl w:ilvl="8">
      <w:start w:val="0"/>
      <w:numFmt w:val="bullet"/>
      <w:lvlText w:val="•"/>
      <w:lvlJc w:val="left"/>
      <w:pPr>
        <w:ind w:left="3804" w:hanging="341"/>
      </w:pPr>
      <w:rPr>
        <w:rFonts w:hint="default"/>
      </w:rPr>
    </w:lvl>
  </w:abstractNum>
  <w:abstractNum w:abstractNumId="104">
    <w:multiLevelType w:val="hybridMultilevel"/>
    <w:lvl w:ilvl="0">
      <w:start w:val="0"/>
      <w:numFmt w:val="bullet"/>
      <w:lvlText w:val="•"/>
      <w:lvlJc w:val="left"/>
      <w:pPr>
        <w:ind w:left="448" w:hanging="341"/>
      </w:pPr>
      <w:rPr>
        <w:rFonts w:hint="default" w:ascii="Calibri" w:hAnsi="Calibri" w:eastAsia="Calibri" w:cs="Calibri"/>
        <w:w w:val="111"/>
        <w:sz w:val="18"/>
        <w:szCs w:val="18"/>
      </w:rPr>
    </w:lvl>
    <w:lvl w:ilvl="1">
      <w:start w:val="0"/>
      <w:numFmt w:val="bullet"/>
      <w:lvlText w:val="•"/>
      <w:lvlJc w:val="left"/>
      <w:pPr>
        <w:ind w:left="869" w:hanging="341"/>
      </w:pPr>
      <w:rPr>
        <w:rFonts w:hint="default"/>
      </w:rPr>
    </w:lvl>
    <w:lvl w:ilvl="2">
      <w:start w:val="0"/>
      <w:numFmt w:val="bullet"/>
      <w:lvlText w:val="•"/>
      <w:lvlJc w:val="left"/>
      <w:pPr>
        <w:ind w:left="1298" w:hanging="341"/>
      </w:pPr>
      <w:rPr>
        <w:rFonts w:hint="default"/>
      </w:rPr>
    </w:lvl>
    <w:lvl w:ilvl="3">
      <w:start w:val="0"/>
      <w:numFmt w:val="bullet"/>
      <w:lvlText w:val="•"/>
      <w:lvlJc w:val="left"/>
      <w:pPr>
        <w:ind w:left="1728" w:hanging="341"/>
      </w:pPr>
      <w:rPr>
        <w:rFonts w:hint="default"/>
      </w:rPr>
    </w:lvl>
    <w:lvl w:ilvl="4">
      <w:start w:val="0"/>
      <w:numFmt w:val="bullet"/>
      <w:lvlText w:val="•"/>
      <w:lvlJc w:val="left"/>
      <w:pPr>
        <w:ind w:left="2157" w:hanging="341"/>
      </w:pPr>
      <w:rPr>
        <w:rFonts w:hint="default"/>
      </w:rPr>
    </w:lvl>
    <w:lvl w:ilvl="5">
      <w:start w:val="0"/>
      <w:numFmt w:val="bullet"/>
      <w:lvlText w:val="•"/>
      <w:lvlJc w:val="left"/>
      <w:pPr>
        <w:ind w:left="2587" w:hanging="341"/>
      </w:pPr>
      <w:rPr>
        <w:rFonts w:hint="default"/>
      </w:rPr>
    </w:lvl>
    <w:lvl w:ilvl="6">
      <w:start w:val="0"/>
      <w:numFmt w:val="bullet"/>
      <w:lvlText w:val="•"/>
      <w:lvlJc w:val="left"/>
      <w:pPr>
        <w:ind w:left="3016" w:hanging="341"/>
      </w:pPr>
      <w:rPr>
        <w:rFonts w:hint="default"/>
      </w:rPr>
    </w:lvl>
    <w:lvl w:ilvl="7">
      <w:start w:val="0"/>
      <w:numFmt w:val="bullet"/>
      <w:lvlText w:val="•"/>
      <w:lvlJc w:val="left"/>
      <w:pPr>
        <w:ind w:left="3445" w:hanging="341"/>
      </w:pPr>
      <w:rPr>
        <w:rFonts w:hint="default"/>
      </w:rPr>
    </w:lvl>
    <w:lvl w:ilvl="8">
      <w:start w:val="0"/>
      <w:numFmt w:val="bullet"/>
      <w:lvlText w:val="•"/>
      <w:lvlJc w:val="left"/>
      <w:pPr>
        <w:ind w:left="3875" w:hanging="341"/>
      </w:pPr>
      <w:rPr>
        <w:rFonts w:hint="default"/>
      </w:rPr>
    </w:lvl>
  </w:abstractNum>
  <w:abstractNum w:abstractNumId="103">
    <w:multiLevelType w:val="hybridMultilevel"/>
    <w:lvl w:ilvl="0">
      <w:start w:val="0"/>
      <w:numFmt w:val="bullet"/>
      <w:lvlText w:val="•"/>
      <w:lvlJc w:val="left"/>
      <w:pPr>
        <w:ind w:left="537" w:hanging="341"/>
      </w:pPr>
      <w:rPr>
        <w:rFonts w:hint="default" w:ascii="Calibri" w:hAnsi="Calibri" w:eastAsia="Calibri" w:cs="Calibri"/>
        <w:w w:val="111"/>
        <w:sz w:val="18"/>
        <w:szCs w:val="18"/>
      </w:rPr>
    </w:lvl>
    <w:lvl w:ilvl="1">
      <w:start w:val="0"/>
      <w:numFmt w:val="bullet"/>
      <w:lvlText w:val="•"/>
      <w:lvlJc w:val="left"/>
      <w:pPr>
        <w:ind w:left="685" w:hanging="341"/>
      </w:pPr>
      <w:rPr>
        <w:rFonts w:hint="default" w:ascii="Calibri" w:hAnsi="Calibri" w:eastAsia="Calibri" w:cs="Calibri"/>
        <w:w w:val="111"/>
        <w:sz w:val="18"/>
        <w:szCs w:val="18"/>
      </w:rPr>
    </w:lvl>
    <w:lvl w:ilvl="2">
      <w:start w:val="0"/>
      <w:numFmt w:val="bullet"/>
      <w:lvlText w:val="•"/>
      <w:lvlJc w:val="left"/>
      <w:pPr>
        <w:ind w:left="1174" w:hanging="341"/>
      </w:pPr>
      <w:rPr>
        <w:rFonts w:hint="default" w:ascii="Calibri" w:hAnsi="Calibri" w:eastAsia="Calibri" w:cs="Calibri"/>
        <w:color w:val="707172"/>
        <w:w w:val="111"/>
        <w:sz w:val="18"/>
        <w:szCs w:val="18"/>
      </w:rPr>
    </w:lvl>
    <w:lvl w:ilvl="3">
      <w:start w:val="0"/>
      <w:numFmt w:val="bullet"/>
      <w:lvlText w:val="•"/>
      <w:lvlJc w:val="left"/>
      <w:pPr>
        <w:ind w:left="948" w:hanging="341"/>
      </w:pPr>
      <w:rPr>
        <w:rFonts w:hint="default"/>
      </w:rPr>
    </w:lvl>
    <w:lvl w:ilvl="4">
      <w:start w:val="0"/>
      <w:numFmt w:val="bullet"/>
      <w:lvlText w:val="•"/>
      <w:lvlJc w:val="left"/>
      <w:pPr>
        <w:ind w:left="716" w:hanging="341"/>
      </w:pPr>
      <w:rPr>
        <w:rFonts w:hint="default"/>
      </w:rPr>
    </w:lvl>
    <w:lvl w:ilvl="5">
      <w:start w:val="0"/>
      <w:numFmt w:val="bullet"/>
      <w:lvlText w:val="•"/>
      <w:lvlJc w:val="left"/>
      <w:pPr>
        <w:ind w:left="484" w:hanging="341"/>
      </w:pPr>
      <w:rPr>
        <w:rFonts w:hint="default"/>
      </w:rPr>
    </w:lvl>
    <w:lvl w:ilvl="6">
      <w:start w:val="0"/>
      <w:numFmt w:val="bullet"/>
      <w:lvlText w:val="•"/>
      <w:lvlJc w:val="left"/>
      <w:pPr>
        <w:ind w:left="252" w:hanging="341"/>
      </w:pPr>
      <w:rPr>
        <w:rFonts w:hint="default"/>
      </w:rPr>
    </w:lvl>
    <w:lvl w:ilvl="7">
      <w:start w:val="0"/>
      <w:numFmt w:val="bullet"/>
      <w:lvlText w:val="•"/>
      <w:lvlJc w:val="left"/>
      <w:pPr>
        <w:ind w:left="20" w:hanging="341"/>
      </w:pPr>
      <w:rPr>
        <w:rFonts w:hint="default"/>
      </w:rPr>
    </w:lvl>
    <w:lvl w:ilvl="8">
      <w:start w:val="0"/>
      <w:numFmt w:val="bullet"/>
      <w:lvlText w:val="•"/>
      <w:lvlJc w:val="left"/>
      <w:pPr>
        <w:ind w:left="-212" w:hanging="341"/>
      </w:pPr>
      <w:rPr>
        <w:rFonts w:hint="default"/>
      </w:rPr>
    </w:lvl>
  </w:abstractNum>
  <w:abstractNum w:abstractNumId="102">
    <w:multiLevelType w:val="hybridMultilevel"/>
    <w:lvl w:ilvl="0">
      <w:start w:val="0"/>
      <w:numFmt w:val="bullet"/>
      <w:lvlText w:val="•"/>
      <w:lvlJc w:val="left"/>
      <w:pPr>
        <w:ind w:left="447" w:hanging="341"/>
      </w:pPr>
      <w:rPr>
        <w:rFonts w:hint="default" w:ascii="Calibri" w:hAnsi="Calibri" w:eastAsia="Calibri" w:cs="Calibri"/>
        <w:w w:val="111"/>
        <w:sz w:val="18"/>
        <w:szCs w:val="18"/>
      </w:rPr>
    </w:lvl>
    <w:lvl w:ilvl="1">
      <w:start w:val="0"/>
      <w:numFmt w:val="bullet"/>
      <w:lvlText w:val="•"/>
      <w:lvlJc w:val="left"/>
      <w:pPr>
        <w:ind w:left="744" w:hanging="341"/>
      </w:pPr>
      <w:rPr>
        <w:rFonts w:hint="default"/>
      </w:rPr>
    </w:lvl>
    <w:lvl w:ilvl="2">
      <w:start w:val="0"/>
      <w:numFmt w:val="bullet"/>
      <w:lvlText w:val="•"/>
      <w:lvlJc w:val="left"/>
      <w:pPr>
        <w:ind w:left="1049" w:hanging="341"/>
      </w:pPr>
      <w:rPr>
        <w:rFonts w:hint="default"/>
      </w:rPr>
    </w:lvl>
    <w:lvl w:ilvl="3">
      <w:start w:val="0"/>
      <w:numFmt w:val="bullet"/>
      <w:lvlText w:val="•"/>
      <w:lvlJc w:val="left"/>
      <w:pPr>
        <w:ind w:left="1354" w:hanging="341"/>
      </w:pPr>
      <w:rPr>
        <w:rFonts w:hint="default"/>
      </w:rPr>
    </w:lvl>
    <w:lvl w:ilvl="4">
      <w:start w:val="0"/>
      <w:numFmt w:val="bullet"/>
      <w:lvlText w:val="•"/>
      <w:lvlJc w:val="left"/>
      <w:pPr>
        <w:ind w:left="1659" w:hanging="341"/>
      </w:pPr>
      <w:rPr>
        <w:rFonts w:hint="default"/>
      </w:rPr>
    </w:lvl>
    <w:lvl w:ilvl="5">
      <w:start w:val="0"/>
      <w:numFmt w:val="bullet"/>
      <w:lvlText w:val="•"/>
      <w:lvlJc w:val="left"/>
      <w:pPr>
        <w:ind w:left="1964" w:hanging="341"/>
      </w:pPr>
      <w:rPr>
        <w:rFonts w:hint="default"/>
      </w:rPr>
    </w:lvl>
    <w:lvl w:ilvl="6">
      <w:start w:val="0"/>
      <w:numFmt w:val="bullet"/>
      <w:lvlText w:val="•"/>
      <w:lvlJc w:val="left"/>
      <w:pPr>
        <w:ind w:left="2269" w:hanging="341"/>
      </w:pPr>
      <w:rPr>
        <w:rFonts w:hint="default"/>
      </w:rPr>
    </w:lvl>
    <w:lvl w:ilvl="7">
      <w:start w:val="0"/>
      <w:numFmt w:val="bullet"/>
      <w:lvlText w:val="•"/>
      <w:lvlJc w:val="left"/>
      <w:pPr>
        <w:ind w:left="2574" w:hanging="341"/>
      </w:pPr>
      <w:rPr>
        <w:rFonts w:hint="default"/>
      </w:rPr>
    </w:lvl>
    <w:lvl w:ilvl="8">
      <w:start w:val="0"/>
      <w:numFmt w:val="bullet"/>
      <w:lvlText w:val="•"/>
      <w:lvlJc w:val="left"/>
      <w:pPr>
        <w:ind w:left="2879" w:hanging="341"/>
      </w:pPr>
      <w:rPr>
        <w:rFonts w:hint="default"/>
      </w:rPr>
    </w:lvl>
  </w:abstractNum>
  <w:abstractNum w:abstractNumId="101">
    <w:multiLevelType w:val="hybridMultilevel"/>
    <w:lvl w:ilvl="0">
      <w:start w:val="0"/>
      <w:numFmt w:val="bullet"/>
      <w:lvlText w:val="•"/>
      <w:lvlJc w:val="left"/>
      <w:pPr>
        <w:ind w:left="448" w:hanging="341"/>
      </w:pPr>
      <w:rPr>
        <w:rFonts w:hint="default" w:ascii="Calibri" w:hAnsi="Calibri" w:eastAsia="Calibri" w:cs="Calibri"/>
        <w:w w:val="111"/>
        <w:sz w:val="18"/>
        <w:szCs w:val="18"/>
      </w:rPr>
    </w:lvl>
    <w:lvl w:ilvl="1">
      <w:start w:val="0"/>
      <w:numFmt w:val="bullet"/>
      <w:lvlText w:val="•"/>
      <w:lvlJc w:val="left"/>
      <w:pPr>
        <w:ind w:left="860" w:hanging="341"/>
      </w:pPr>
      <w:rPr>
        <w:rFonts w:hint="default"/>
      </w:rPr>
    </w:lvl>
    <w:lvl w:ilvl="2">
      <w:start w:val="0"/>
      <w:numFmt w:val="bullet"/>
      <w:lvlText w:val="•"/>
      <w:lvlJc w:val="left"/>
      <w:pPr>
        <w:ind w:left="1281" w:hanging="341"/>
      </w:pPr>
      <w:rPr>
        <w:rFonts w:hint="default"/>
      </w:rPr>
    </w:lvl>
    <w:lvl w:ilvl="3">
      <w:start w:val="0"/>
      <w:numFmt w:val="bullet"/>
      <w:lvlText w:val="•"/>
      <w:lvlJc w:val="left"/>
      <w:pPr>
        <w:ind w:left="1701" w:hanging="341"/>
      </w:pPr>
      <w:rPr>
        <w:rFonts w:hint="default"/>
      </w:rPr>
    </w:lvl>
    <w:lvl w:ilvl="4">
      <w:start w:val="0"/>
      <w:numFmt w:val="bullet"/>
      <w:lvlText w:val="•"/>
      <w:lvlJc w:val="left"/>
      <w:pPr>
        <w:ind w:left="2122" w:hanging="341"/>
      </w:pPr>
      <w:rPr>
        <w:rFonts w:hint="default"/>
      </w:rPr>
    </w:lvl>
    <w:lvl w:ilvl="5">
      <w:start w:val="0"/>
      <w:numFmt w:val="bullet"/>
      <w:lvlText w:val="•"/>
      <w:lvlJc w:val="left"/>
      <w:pPr>
        <w:ind w:left="2542" w:hanging="341"/>
      </w:pPr>
      <w:rPr>
        <w:rFonts w:hint="default"/>
      </w:rPr>
    </w:lvl>
    <w:lvl w:ilvl="6">
      <w:start w:val="0"/>
      <w:numFmt w:val="bullet"/>
      <w:lvlText w:val="•"/>
      <w:lvlJc w:val="left"/>
      <w:pPr>
        <w:ind w:left="2963" w:hanging="341"/>
      </w:pPr>
      <w:rPr>
        <w:rFonts w:hint="default"/>
      </w:rPr>
    </w:lvl>
    <w:lvl w:ilvl="7">
      <w:start w:val="0"/>
      <w:numFmt w:val="bullet"/>
      <w:lvlText w:val="•"/>
      <w:lvlJc w:val="left"/>
      <w:pPr>
        <w:ind w:left="3383" w:hanging="341"/>
      </w:pPr>
      <w:rPr>
        <w:rFonts w:hint="default"/>
      </w:rPr>
    </w:lvl>
    <w:lvl w:ilvl="8">
      <w:start w:val="0"/>
      <w:numFmt w:val="bullet"/>
      <w:lvlText w:val="•"/>
      <w:lvlJc w:val="left"/>
      <w:pPr>
        <w:ind w:left="3804" w:hanging="341"/>
      </w:pPr>
      <w:rPr>
        <w:rFonts w:hint="default"/>
      </w:rPr>
    </w:lvl>
  </w:abstractNum>
  <w:abstractNum w:abstractNumId="100">
    <w:multiLevelType w:val="hybridMultilevel"/>
    <w:lvl w:ilvl="0">
      <w:start w:val="0"/>
      <w:numFmt w:val="bullet"/>
      <w:lvlText w:val="•"/>
      <w:lvlJc w:val="left"/>
      <w:pPr>
        <w:ind w:left="448" w:hanging="341"/>
      </w:pPr>
      <w:rPr>
        <w:rFonts w:hint="default" w:ascii="Calibri" w:hAnsi="Calibri" w:eastAsia="Calibri" w:cs="Calibri"/>
        <w:w w:val="111"/>
        <w:sz w:val="18"/>
        <w:szCs w:val="18"/>
      </w:rPr>
    </w:lvl>
    <w:lvl w:ilvl="1">
      <w:start w:val="0"/>
      <w:numFmt w:val="bullet"/>
      <w:lvlText w:val="•"/>
      <w:lvlJc w:val="left"/>
      <w:pPr>
        <w:ind w:left="869" w:hanging="341"/>
      </w:pPr>
      <w:rPr>
        <w:rFonts w:hint="default"/>
      </w:rPr>
    </w:lvl>
    <w:lvl w:ilvl="2">
      <w:start w:val="0"/>
      <w:numFmt w:val="bullet"/>
      <w:lvlText w:val="•"/>
      <w:lvlJc w:val="left"/>
      <w:pPr>
        <w:ind w:left="1298" w:hanging="341"/>
      </w:pPr>
      <w:rPr>
        <w:rFonts w:hint="default"/>
      </w:rPr>
    </w:lvl>
    <w:lvl w:ilvl="3">
      <w:start w:val="0"/>
      <w:numFmt w:val="bullet"/>
      <w:lvlText w:val="•"/>
      <w:lvlJc w:val="left"/>
      <w:pPr>
        <w:ind w:left="1728" w:hanging="341"/>
      </w:pPr>
      <w:rPr>
        <w:rFonts w:hint="default"/>
      </w:rPr>
    </w:lvl>
    <w:lvl w:ilvl="4">
      <w:start w:val="0"/>
      <w:numFmt w:val="bullet"/>
      <w:lvlText w:val="•"/>
      <w:lvlJc w:val="left"/>
      <w:pPr>
        <w:ind w:left="2157" w:hanging="341"/>
      </w:pPr>
      <w:rPr>
        <w:rFonts w:hint="default"/>
      </w:rPr>
    </w:lvl>
    <w:lvl w:ilvl="5">
      <w:start w:val="0"/>
      <w:numFmt w:val="bullet"/>
      <w:lvlText w:val="•"/>
      <w:lvlJc w:val="left"/>
      <w:pPr>
        <w:ind w:left="2587" w:hanging="341"/>
      </w:pPr>
      <w:rPr>
        <w:rFonts w:hint="default"/>
      </w:rPr>
    </w:lvl>
    <w:lvl w:ilvl="6">
      <w:start w:val="0"/>
      <w:numFmt w:val="bullet"/>
      <w:lvlText w:val="•"/>
      <w:lvlJc w:val="left"/>
      <w:pPr>
        <w:ind w:left="3016" w:hanging="341"/>
      </w:pPr>
      <w:rPr>
        <w:rFonts w:hint="default"/>
      </w:rPr>
    </w:lvl>
    <w:lvl w:ilvl="7">
      <w:start w:val="0"/>
      <w:numFmt w:val="bullet"/>
      <w:lvlText w:val="•"/>
      <w:lvlJc w:val="left"/>
      <w:pPr>
        <w:ind w:left="3445" w:hanging="341"/>
      </w:pPr>
      <w:rPr>
        <w:rFonts w:hint="default"/>
      </w:rPr>
    </w:lvl>
    <w:lvl w:ilvl="8">
      <w:start w:val="0"/>
      <w:numFmt w:val="bullet"/>
      <w:lvlText w:val="•"/>
      <w:lvlJc w:val="left"/>
      <w:pPr>
        <w:ind w:left="3875" w:hanging="341"/>
      </w:pPr>
      <w:rPr>
        <w:rFonts w:hint="default"/>
      </w:rPr>
    </w:lvl>
  </w:abstractNum>
  <w:abstractNum w:abstractNumId="99">
    <w:multiLevelType w:val="hybridMultilevel"/>
    <w:lvl w:ilvl="0">
      <w:start w:val="0"/>
      <w:numFmt w:val="bullet"/>
      <w:lvlText w:val="•"/>
      <w:lvlJc w:val="left"/>
      <w:pPr>
        <w:ind w:left="447" w:hanging="341"/>
      </w:pPr>
      <w:rPr>
        <w:rFonts w:hint="default" w:ascii="Calibri" w:hAnsi="Calibri" w:eastAsia="Calibri" w:cs="Calibri"/>
        <w:w w:val="111"/>
        <w:sz w:val="18"/>
        <w:szCs w:val="18"/>
      </w:rPr>
    </w:lvl>
    <w:lvl w:ilvl="1">
      <w:start w:val="0"/>
      <w:numFmt w:val="bullet"/>
      <w:lvlText w:val="•"/>
      <w:lvlJc w:val="left"/>
      <w:pPr>
        <w:ind w:left="744" w:hanging="341"/>
      </w:pPr>
      <w:rPr>
        <w:rFonts w:hint="default"/>
      </w:rPr>
    </w:lvl>
    <w:lvl w:ilvl="2">
      <w:start w:val="0"/>
      <w:numFmt w:val="bullet"/>
      <w:lvlText w:val="•"/>
      <w:lvlJc w:val="left"/>
      <w:pPr>
        <w:ind w:left="1049" w:hanging="341"/>
      </w:pPr>
      <w:rPr>
        <w:rFonts w:hint="default"/>
      </w:rPr>
    </w:lvl>
    <w:lvl w:ilvl="3">
      <w:start w:val="0"/>
      <w:numFmt w:val="bullet"/>
      <w:lvlText w:val="•"/>
      <w:lvlJc w:val="left"/>
      <w:pPr>
        <w:ind w:left="1354" w:hanging="341"/>
      </w:pPr>
      <w:rPr>
        <w:rFonts w:hint="default"/>
      </w:rPr>
    </w:lvl>
    <w:lvl w:ilvl="4">
      <w:start w:val="0"/>
      <w:numFmt w:val="bullet"/>
      <w:lvlText w:val="•"/>
      <w:lvlJc w:val="left"/>
      <w:pPr>
        <w:ind w:left="1659" w:hanging="341"/>
      </w:pPr>
      <w:rPr>
        <w:rFonts w:hint="default"/>
      </w:rPr>
    </w:lvl>
    <w:lvl w:ilvl="5">
      <w:start w:val="0"/>
      <w:numFmt w:val="bullet"/>
      <w:lvlText w:val="•"/>
      <w:lvlJc w:val="left"/>
      <w:pPr>
        <w:ind w:left="1964" w:hanging="341"/>
      </w:pPr>
      <w:rPr>
        <w:rFonts w:hint="default"/>
      </w:rPr>
    </w:lvl>
    <w:lvl w:ilvl="6">
      <w:start w:val="0"/>
      <w:numFmt w:val="bullet"/>
      <w:lvlText w:val="•"/>
      <w:lvlJc w:val="left"/>
      <w:pPr>
        <w:ind w:left="2269" w:hanging="341"/>
      </w:pPr>
      <w:rPr>
        <w:rFonts w:hint="default"/>
      </w:rPr>
    </w:lvl>
    <w:lvl w:ilvl="7">
      <w:start w:val="0"/>
      <w:numFmt w:val="bullet"/>
      <w:lvlText w:val="•"/>
      <w:lvlJc w:val="left"/>
      <w:pPr>
        <w:ind w:left="2574" w:hanging="341"/>
      </w:pPr>
      <w:rPr>
        <w:rFonts w:hint="default"/>
      </w:rPr>
    </w:lvl>
    <w:lvl w:ilvl="8">
      <w:start w:val="0"/>
      <w:numFmt w:val="bullet"/>
      <w:lvlText w:val="•"/>
      <w:lvlJc w:val="left"/>
      <w:pPr>
        <w:ind w:left="2879" w:hanging="341"/>
      </w:pPr>
      <w:rPr>
        <w:rFonts w:hint="default"/>
      </w:rPr>
    </w:lvl>
  </w:abstractNum>
  <w:abstractNum w:abstractNumId="98">
    <w:multiLevelType w:val="hybridMultilevel"/>
    <w:lvl w:ilvl="0">
      <w:start w:val="0"/>
      <w:numFmt w:val="bullet"/>
      <w:lvlText w:val="•"/>
      <w:lvlJc w:val="left"/>
      <w:pPr>
        <w:ind w:left="448" w:hanging="341"/>
      </w:pPr>
      <w:rPr>
        <w:rFonts w:hint="default" w:ascii="Calibri" w:hAnsi="Calibri" w:eastAsia="Calibri" w:cs="Calibri"/>
        <w:w w:val="111"/>
        <w:sz w:val="18"/>
        <w:szCs w:val="18"/>
      </w:rPr>
    </w:lvl>
    <w:lvl w:ilvl="1">
      <w:start w:val="0"/>
      <w:numFmt w:val="bullet"/>
      <w:lvlText w:val="•"/>
      <w:lvlJc w:val="left"/>
      <w:pPr>
        <w:ind w:left="860" w:hanging="341"/>
      </w:pPr>
      <w:rPr>
        <w:rFonts w:hint="default"/>
      </w:rPr>
    </w:lvl>
    <w:lvl w:ilvl="2">
      <w:start w:val="0"/>
      <w:numFmt w:val="bullet"/>
      <w:lvlText w:val="•"/>
      <w:lvlJc w:val="left"/>
      <w:pPr>
        <w:ind w:left="1281" w:hanging="341"/>
      </w:pPr>
      <w:rPr>
        <w:rFonts w:hint="default"/>
      </w:rPr>
    </w:lvl>
    <w:lvl w:ilvl="3">
      <w:start w:val="0"/>
      <w:numFmt w:val="bullet"/>
      <w:lvlText w:val="•"/>
      <w:lvlJc w:val="left"/>
      <w:pPr>
        <w:ind w:left="1701" w:hanging="341"/>
      </w:pPr>
      <w:rPr>
        <w:rFonts w:hint="default"/>
      </w:rPr>
    </w:lvl>
    <w:lvl w:ilvl="4">
      <w:start w:val="0"/>
      <w:numFmt w:val="bullet"/>
      <w:lvlText w:val="•"/>
      <w:lvlJc w:val="left"/>
      <w:pPr>
        <w:ind w:left="2122" w:hanging="341"/>
      </w:pPr>
      <w:rPr>
        <w:rFonts w:hint="default"/>
      </w:rPr>
    </w:lvl>
    <w:lvl w:ilvl="5">
      <w:start w:val="0"/>
      <w:numFmt w:val="bullet"/>
      <w:lvlText w:val="•"/>
      <w:lvlJc w:val="left"/>
      <w:pPr>
        <w:ind w:left="2542" w:hanging="341"/>
      </w:pPr>
      <w:rPr>
        <w:rFonts w:hint="default"/>
      </w:rPr>
    </w:lvl>
    <w:lvl w:ilvl="6">
      <w:start w:val="0"/>
      <w:numFmt w:val="bullet"/>
      <w:lvlText w:val="•"/>
      <w:lvlJc w:val="left"/>
      <w:pPr>
        <w:ind w:left="2963" w:hanging="341"/>
      </w:pPr>
      <w:rPr>
        <w:rFonts w:hint="default"/>
      </w:rPr>
    </w:lvl>
    <w:lvl w:ilvl="7">
      <w:start w:val="0"/>
      <w:numFmt w:val="bullet"/>
      <w:lvlText w:val="•"/>
      <w:lvlJc w:val="left"/>
      <w:pPr>
        <w:ind w:left="3383" w:hanging="341"/>
      </w:pPr>
      <w:rPr>
        <w:rFonts w:hint="default"/>
      </w:rPr>
    </w:lvl>
    <w:lvl w:ilvl="8">
      <w:start w:val="0"/>
      <w:numFmt w:val="bullet"/>
      <w:lvlText w:val="•"/>
      <w:lvlJc w:val="left"/>
      <w:pPr>
        <w:ind w:left="3804" w:hanging="341"/>
      </w:pPr>
      <w:rPr>
        <w:rFonts w:hint="default"/>
      </w:rPr>
    </w:lvl>
  </w:abstractNum>
  <w:abstractNum w:abstractNumId="97">
    <w:multiLevelType w:val="hybridMultilevel"/>
    <w:lvl w:ilvl="0">
      <w:start w:val="0"/>
      <w:numFmt w:val="bullet"/>
      <w:lvlText w:val="•"/>
      <w:lvlJc w:val="left"/>
      <w:pPr>
        <w:ind w:left="448" w:hanging="341"/>
      </w:pPr>
      <w:rPr>
        <w:rFonts w:hint="default" w:ascii="Calibri" w:hAnsi="Calibri" w:eastAsia="Calibri" w:cs="Calibri"/>
        <w:w w:val="111"/>
        <w:sz w:val="18"/>
        <w:szCs w:val="18"/>
      </w:rPr>
    </w:lvl>
    <w:lvl w:ilvl="1">
      <w:start w:val="0"/>
      <w:numFmt w:val="bullet"/>
      <w:lvlText w:val="•"/>
      <w:lvlJc w:val="left"/>
      <w:pPr>
        <w:ind w:left="869" w:hanging="341"/>
      </w:pPr>
      <w:rPr>
        <w:rFonts w:hint="default"/>
      </w:rPr>
    </w:lvl>
    <w:lvl w:ilvl="2">
      <w:start w:val="0"/>
      <w:numFmt w:val="bullet"/>
      <w:lvlText w:val="•"/>
      <w:lvlJc w:val="left"/>
      <w:pPr>
        <w:ind w:left="1298" w:hanging="341"/>
      </w:pPr>
      <w:rPr>
        <w:rFonts w:hint="default"/>
      </w:rPr>
    </w:lvl>
    <w:lvl w:ilvl="3">
      <w:start w:val="0"/>
      <w:numFmt w:val="bullet"/>
      <w:lvlText w:val="•"/>
      <w:lvlJc w:val="left"/>
      <w:pPr>
        <w:ind w:left="1728" w:hanging="341"/>
      </w:pPr>
      <w:rPr>
        <w:rFonts w:hint="default"/>
      </w:rPr>
    </w:lvl>
    <w:lvl w:ilvl="4">
      <w:start w:val="0"/>
      <w:numFmt w:val="bullet"/>
      <w:lvlText w:val="•"/>
      <w:lvlJc w:val="left"/>
      <w:pPr>
        <w:ind w:left="2157" w:hanging="341"/>
      </w:pPr>
      <w:rPr>
        <w:rFonts w:hint="default"/>
      </w:rPr>
    </w:lvl>
    <w:lvl w:ilvl="5">
      <w:start w:val="0"/>
      <w:numFmt w:val="bullet"/>
      <w:lvlText w:val="•"/>
      <w:lvlJc w:val="left"/>
      <w:pPr>
        <w:ind w:left="2587" w:hanging="341"/>
      </w:pPr>
      <w:rPr>
        <w:rFonts w:hint="default"/>
      </w:rPr>
    </w:lvl>
    <w:lvl w:ilvl="6">
      <w:start w:val="0"/>
      <w:numFmt w:val="bullet"/>
      <w:lvlText w:val="•"/>
      <w:lvlJc w:val="left"/>
      <w:pPr>
        <w:ind w:left="3016" w:hanging="341"/>
      </w:pPr>
      <w:rPr>
        <w:rFonts w:hint="default"/>
      </w:rPr>
    </w:lvl>
    <w:lvl w:ilvl="7">
      <w:start w:val="0"/>
      <w:numFmt w:val="bullet"/>
      <w:lvlText w:val="•"/>
      <w:lvlJc w:val="left"/>
      <w:pPr>
        <w:ind w:left="3445" w:hanging="341"/>
      </w:pPr>
      <w:rPr>
        <w:rFonts w:hint="default"/>
      </w:rPr>
    </w:lvl>
    <w:lvl w:ilvl="8">
      <w:start w:val="0"/>
      <w:numFmt w:val="bullet"/>
      <w:lvlText w:val="•"/>
      <w:lvlJc w:val="left"/>
      <w:pPr>
        <w:ind w:left="3875" w:hanging="341"/>
      </w:pPr>
      <w:rPr>
        <w:rFonts w:hint="default"/>
      </w:rPr>
    </w:lvl>
  </w:abstractNum>
  <w:abstractNum w:abstractNumId="96">
    <w:multiLevelType w:val="hybridMultilevel"/>
    <w:lvl w:ilvl="0">
      <w:start w:val="0"/>
      <w:numFmt w:val="bullet"/>
      <w:lvlText w:val="•"/>
      <w:lvlJc w:val="left"/>
      <w:pPr>
        <w:ind w:left="447" w:hanging="341"/>
      </w:pPr>
      <w:rPr>
        <w:rFonts w:hint="default" w:ascii="Calibri" w:hAnsi="Calibri" w:eastAsia="Calibri" w:cs="Calibri"/>
        <w:w w:val="111"/>
        <w:sz w:val="18"/>
        <w:szCs w:val="18"/>
      </w:rPr>
    </w:lvl>
    <w:lvl w:ilvl="1">
      <w:start w:val="0"/>
      <w:numFmt w:val="bullet"/>
      <w:lvlText w:val="•"/>
      <w:lvlJc w:val="left"/>
      <w:pPr>
        <w:ind w:left="744" w:hanging="341"/>
      </w:pPr>
      <w:rPr>
        <w:rFonts w:hint="default"/>
      </w:rPr>
    </w:lvl>
    <w:lvl w:ilvl="2">
      <w:start w:val="0"/>
      <w:numFmt w:val="bullet"/>
      <w:lvlText w:val="•"/>
      <w:lvlJc w:val="left"/>
      <w:pPr>
        <w:ind w:left="1049" w:hanging="341"/>
      </w:pPr>
      <w:rPr>
        <w:rFonts w:hint="default"/>
      </w:rPr>
    </w:lvl>
    <w:lvl w:ilvl="3">
      <w:start w:val="0"/>
      <w:numFmt w:val="bullet"/>
      <w:lvlText w:val="•"/>
      <w:lvlJc w:val="left"/>
      <w:pPr>
        <w:ind w:left="1354" w:hanging="341"/>
      </w:pPr>
      <w:rPr>
        <w:rFonts w:hint="default"/>
      </w:rPr>
    </w:lvl>
    <w:lvl w:ilvl="4">
      <w:start w:val="0"/>
      <w:numFmt w:val="bullet"/>
      <w:lvlText w:val="•"/>
      <w:lvlJc w:val="left"/>
      <w:pPr>
        <w:ind w:left="1659" w:hanging="341"/>
      </w:pPr>
      <w:rPr>
        <w:rFonts w:hint="default"/>
      </w:rPr>
    </w:lvl>
    <w:lvl w:ilvl="5">
      <w:start w:val="0"/>
      <w:numFmt w:val="bullet"/>
      <w:lvlText w:val="•"/>
      <w:lvlJc w:val="left"/>
      <w:pPr>
        <w:ind w:left="1964" w:hanging="341"/>
      </w:pPr>
      <w:rPr>
        <w:rFonts w:hint="default"/>
      </w:rPr>
    </w:lvl>
    <w:lvl w:ilvl="6">
      <w:start w:val="0"/>
      <w:numFmt w:val="bullet"/>
      <w:lvlText w:val="•"/>
      <w:lvlJc w:val="left"/>
      <w:pPr>
        <w:ind w:left="2269" w:hanging="341"/>
      </w:pPr>
      <w:rPr>
        <w:rFonts w:hint="default"/>
      </w:rPr>
    </w:lvl>
    <w:lvl w:ilvl="7">
      <w:start w:val="0"/>
      <w:numFmt w:val="bullet"/>
      <w:lvlText w:val="•"/>
      <w:lvlJc w:val="left"/>
      <w:pPr>
        <w:ind w:left="2574" w:hanging="341"/>
      </w:pPr>
      <w:rPr>
        <w:rFonts w:hint="default"/>
      </w:rPr>
    </w:lvl>
    <w:lvl w:ilvl="8">
      <w:start w:val="0"/>
      <w:numFmt w:val="bullet"/>
      <w:lvlText w:val="•"/>
      <w:lvlJc w:val="left"/>
      <w:pPr>
        <w:ind w:left="2879" w:hanging="341"/>
      </w:pPr>
      <w:rPr>
        <w:rFonts w:hint="default"/>
      </w:rPr>
    </w:lvl>
  </w:abstractNum>
  <w:abstractNum w:abstractNumId="95">
    <w:multiLevelType w:val="hybridMultilevel"/>
    <w:lvl w:ilvl="0">
      <w:start w:val="0"/>
      <w:numFmt w:val="bullet"/>
      <w:lvlText w:val="•"/>
      <w:lvlJc w:val="left"/>
      <w:pPr>
        <w:ind w:left="448" w:hanging="341"/>
      </w:pPr>
      <w:rPr>
        <w:rFonts w:hint="default" w:ascii="Calibri" w:hAnsi="Calibri" w:eastAsia="Calibri" w:cs="Calibri"/>
        <w:w w:val="111"/>
        <w:sz w:val="18"/>
        <w:szCs w:val="18"/>
      </w:rPr>
    </w:lvl>
    <w:lvl w:ilvl="1">
      <w:start w:val="0"/>
      <w:numFmt w:val="bullet"/>
      <w:lvlText w:val="•"/>
      <w:lvlJc w:val="left"/>
      <w:pPr>
        <w:ind w:left="860" w:hanging="341"/>
      </w:pPr>
      <w:rPr>
        <w:rFonts w:hint="default"/>
      </w:rPr>
    </w:lvl>
    <w:lvl w:ilvl="2">
      <w:start w:val="0"/>
      <w:numFmt w:val="bullet"/>
      <w:lvlText w:val="•"/>
      <w:lvlJc w:val="left"/>
      <w:pPr>
        <w:ind w:left="1281" w:hanging="341"/>
      </w:pPr>
      <w:rPr>
        <w:rFonts w:hint="default"/>
      </w:rPr>
    </w:lvl>
    <w:lvl w:ilvl="3">
      <w:start w:val="0"/>
      <w:numFmt w:val="bullet"/>
      <w:lvlText w:val="•"/>
      <w:lvlJc w:val="left"/>
      <w:pPr>
        <w:ind w:left="1701" w:hanging="341"/>
      </w:pPr>
      <w:rPr>
        <w:rFonts w:hint="default"/>
      </w:rPr>
    </w:lvl>
    <w:lvl w:ilvl="4">
      <w:start w:val="0"/>
      <w:numFmt w:val="bullet"/>
      <w:lvlText w:val="•"/>
      <w:lvlJc w:val="left"/>
      <w:pPr>
        <w:ind w:left="2122" w:hanging="341"/>
      </w:pPr>
      <w:rPr>
        <w:rFonts w:hint="default"/>
      </w:rPr>
    </w:lvl>
    <w:lvl w:ilvl="5">
      <w:start w:val="0"/>
      <w:numFmt w:val="bullet"/>
      <w:lvlText w:val="•"/>
      <w:lvlJc w:val="left"/>
      <w:pPr>
        <w:ind w:left="2542" w:hanging="341"/>
      </w:pPr>
      <w:rPr>
        <w:rFonts w:hint="default"/>
      </w:rPr>
    </w:lvl>
    <w:lvl w:ilvl="6">
      <w:start w:val="0"/>
      <w:numFmt w:val="bullet"/>
      <w:lvlText w:val="•"/>
      <w:lvlJc w:val="left"/>
      <w:pPr>
        <w:ind w:left="2963" w:hanging="341"/>
      </w:pPr>
      <w:rPr>
        <w:rFonts w:hint="default"/>
      </w:rPr>
    </w:lvl>
    <w:lvl w:ilvl="7">
      <w:start w:val="0"/>
      <w:numFmt w:val="bullet"/>
      <w:lvlText w:val="•"/>
      <w:lvlJc w:val="left"/>
      <w:pPr>
        <w:ind w:left="3383" w:hanging="341"/>
      </w:pPr>
      <w:rPr>
        <w:rFonts w:hint="default"/>
      </w:rPr>
    </w:lvl>
    <w:lvl w:ilvl="8">
      <w:start w:val="0"/>
      <w:numFmt w:val="bullet"/>
      <w:lvlText w:val="•"/>
      <w:lvlJc w:val="left"/>
      <w:pPr>
        <w:ind w:left="3804" w:hanging="341"/>
      </w:pPr>
      <w:rPr>
        <w:rFonts w:hint="default"/>
      </w:rPr>
    </w:lvl>
  </w:abstractNum>
  <w:abstractNum w:abstractNumId="94">
    <w:multiLevelType w:val="hybridMultilevel"/>
    <w:lvl w:ilvl="0">
      <w:start w:val="0"/>
      <w:numFmt w:val="bullet"/>
      <w:lvlText w:val="•"/>
      <w:lvlJc w:val="left"/>
      <w:pPr>
        <w:ind w:left="448" w:hanging="341"/>
      </w:pPr>
      <w:rPr>
        <w:rFonts w:hint="default" w:ascii="Calibri" w:hAnsi="Calibri" w:eastAsia="Calibri" w:cs="Calibri"/>
        <w:w w:val="111"/>
        <w:sz w:val="18"/>
        <w:szCs w:val="18"/>
      </w:rPr>
    </w:lvl>
    <w:lvl w:ilvl="1">
      <w:start w:val="0"/>
      <w:numFmt w:val="bullet"/>
      <w:lvlText w:val="•"/>
      <w:lvlJc w:val="left"/>
      <w:pPr>
        <w:ind w:left="869" w:hanging="341"/>
      </w:pPr>
      <w:rPr>
        <w:rFonts w:hint="default"/>
      </w:rPr>
    </w:lvl>
    <w:lvl w:ilvl="2">
      <w:start w:val="0"/>
      <w:numFmt w:val="bullet"/>
      <w:lvlText w:val="•"/>
      <w:lvlJc w:val="left"/>
      <w:pPr>
        <w:ind w:left="1298" w:hanging="341"/>
      </w:pPr>
      <w:rPr>
        <w:rFonts w:hint="default"/>
      </w:rPr>
    </w:lvl>
    <w:lvl w:ilvl="3">
      <w:start w:val="0"/>
      <w:numFmt w:val="bullet"/>
      <w:lvlText w:val="•"/>
      <w:lvlJc w:val="left"/>
      <w:pPr>
        <w:ind w:left="1728" w:hanging="341"/>
      </w:pPr>
      <w:rPr>
        <w:rFonts w:hint="default"/>
      </w:rPr>
    </w:lvl>
    <w:lvl w:ilvl="4">
      <w:start w:val="0"/>
      <w:numFmt w:val="bullet"/>
      <w:lvlText w:val="•"/>
      <w:lvlJc w:val="left"/>
      <w:pPr>
        <w:ind w:left="2157" w:hanging="341"/>
      </w:pPr>
      <w:rPr>
        <w:rFonts w:hint="default"/>
      </w:rPr>
    </w:lvl>
    <w:lvl w:ilvl="5">
      <w:start w:val="0"/>
      <w:numFmt w:val="bullet"/>
      <w:lvlText w:val="•"/>
      <w:lvlJc w:val="left"/>
      <w:pPr>
        <w:ind w:left="2587" w:hanging="341"/>
      </w:pPr>
      <w:rPr>
        <w:rFonts w:hint="default"/>
      </w:rPr>
    </w:lvl>
    <w:lvl w:ilvl="6">
      <w:start w:val="0"/>
      <w:numFmt w:val="bullet"/>
      <w:lvlText w:val="•"/>
      <w:lvlJc w:val="left"/>
      <w:pPr>
        <w:ind w:left="3016" w:hanging="341"/>
      </w:pPr>
      <w:rPr>
        <w:rFonts w:hint="default"/>
      </w:rPr>
    </w:lvl>
    <w:lvl w:ilvl="7">
      <w:start w:val="0"/>
      <w:numFmt w:val="bullet"/>
      <w:lvlText w:val="•"/>
      <w:lvlJc w:val="left"/>
      <w:pPr>
        <w:ind w:left="3445" w:hanging="341"/>
      </w:pPr>
      <w:rPr>
        <w:rFonts w:hint="default"/>
      </w:rPr>
    </w:lvl>
    <w:lvl w:ilvl="8">
      <w:start w:val="0"/>
      <w:numFmt w:val="bullet"/>
      <w:lvlText w:val="•"/>
      <w:lvlJc w:val="left"/>
      <w:pPr>
        <w:ind w:left="3875" w:hanging="341"/>
      </w:pPr>
      <w:rPr>
        <w:rFonts w:hint="default"/>
      </w:rPr>
    </w:lvl>
  </w:abstractNum>
  <w:abstractNum w:abstractNumId="93">
    <w:multiLevelType w:val="hybridMultilevel"/>
    <w:lvl w:ilvl="0">
      <w:start w:val="0"/>
      <w:numFmt w:val="bullet"/>
      <w:lvlText w:val="•"/>
      <w:lvlJc w:val="left"/>
      <w:pPr>
        <w:ind w:left="722" w:hanging="341"/>
      </w:pPr>
      <w:rPr>
        <w:rFonts w:hint="default" w:ascii="Calibri" w:hAnsi="Calibri" w:eastAsia="Calibri" w:cs="Calibri"/>
        <w:w w:val="111"/>
        <w:sz w:val="18"/>
        <w:szCs w:val="18"/>
      </w:rPr>
    </w:lvl>
    <w:lvl w:ilvl="1">
      <w:start w:val="0"/>
      <w:numFmt w:val="bullet"/>
      <w:lvlText w:val="•"/>
      <w:lvlJc w:val="left"/>
      <w:pPr>
        <w:ind w:left="1119" w:hanging="341"/>
      </w:pPr>
      <w:rPr>
        <w:rFonts w:hint="default"/>
      </w:rPr>
    </w:lvl>
    <w:lvl w:ilvl="2">
      <w:start w:val="0"/>
      <w:numFmt w:val="bullet"/>
      <w:lvlText w:val="•"/>
      <w:lvlJc w:val="left"/>
      <w:pPr>
        <w:ind w:left="1519" w:hanging="341"/>
      </w:pPr>
      <w:rPr>
        <w:rFonts w:hint="default"/>
      </w:rPr>
    </w:lvl>
    <w:lvl w:ilvl="3">
      <w:start w:val="0"/>
      <w:numFmt w:val="bullet"/>
      <w:lvlText w:val="•"/>
      <w:lvlJc w:val="left"/>
      <w:pPr>
        <w:ind w:left="1918" w:hanging="341"/>
      </w:pPr>
      <w:rPr>
        <w:rFonts w:hint="default"/>
      </w:rPr>
    </w:lvl>
    <w:lvl w:ilvl="4">
      <w:start w:val="0"/>
      <w:numFmt w:val="bullet"/>
      <w:lvlText w:val="•"/>
      <w:lvlJc w:val="left"/>
      <w:pPr>
        <w:ind w:left="2318" w:hanging="341"/>
      </w:pPr>
      <w:rPr>
        <w:rFonts w:hint="default"/>
      </w:rPr>
    </w:lvl>
    <w:lvl w:ilvl="5">
      <w:start w:val="0"/>
      <w:numFmt w:val="bullet"/>
      <w:lvlText w:val="•"/>
      <w:lvlJc w:val="left"/>
      <w:pPr>
        <w:ind w:left="2717" w:hanging="341"/>
      </w:pPr>
      <w:rPr>
        <w:rFonts w:hint="default"/>
      </w:rPr>
    </w:lvl>
    <w:lvl w:ilvl="6">
      <w:start w:val="0"/>
      <w:numFmt w:val="bullet"/>
      <w:lvlText w:val="•"/>
      <w:lvlJc w:val="left"/>
      <w:pPr>
        <w:ind w:left="3117" w:hanging="341"/>
      </w:pPr>
      <w:rPr>
        <w:rFonts w:hint="default"/>
      </w:rPr>
    </w:lvl>
    <w:lvl w:ilvl="7">
      <w:start w:val="0"/>
      <w:numFmt w:val="bullet"/>
      <w:lvlText w:val="•"/>
      <w:lvlJc w:val="left"/>
      <w:pPr>
        <w:ind w:left="3516" w:hanging="341"/>
      </w:pPr>
      <w:rPr>
        <w:rFonts w:hint="default"/>
      </w:rPr>
    </w:lvl>
    <w:lvl w:ilvl="8">
      <w:start w:val="0"/>
      <w:numFmt w:val="bullet"/>
      <w:lvlText w:val="•"/>
      <w:lvlJc w:val="left"/>
      <w:pPr>
        <w:ind w:left="3916" w:hanging="341"/>
      </w:pPr>
      <w:rPr>
        <w:rFonts w:hint="default"/>
      </w:rPr>
    </w:lvl>
  </w:abstractNum>
  <w:abstractNum w:abstractNumId="92">
    <w:multiLevelType w:val="hybridMultilevel"/>
    <w:lvl w:ilvl="0">
      <w:start w:val="0"/>
      <w:numFmt w:val="bullet"/>
      <w:lvlText w:val="•"/>
      <w:lvlJc w:val="left"/>
      <w:pPr>
        <w:ind w:left="448" w:hanging="341"/>
      </w:pPr>
      <w:rPr>
        <w:rFonts w:hint="default" w:ascii="Calibri" w:hAnsi="Calibri" w:eastAsia="Calibri" w:cs="Calibri"/>
        <w:w w:val="111"/>
        <w:sz w:val="18"/>
        <w:szCs w:val="18"/>
      </w:rPr>
    </w:lvl>
    <w:lvl w:ilvl="1">
      <w:start w:val="0"/>
      <w:numFmt w:val="bullet"/>
      <w:lvlText w:val="•"/>
      <w:lvlJc w:val="left"/>
      <w:pPr>
        <w:ind w:left="744" w:hanging="341"/>
      </w:pPr>
      <w:rPr>
        <w:rFonts w:hint="default"/>
      </w:rPr>
    </w:lvl>
    <w:lvl w:ilvl="2">
      <w:start w:val="0"/>
      <w:numFmt w:val="bullet"/>
      <w:lvlText w:val="•"/>
      <w:lvlJc w:val="left"/>
      <w:pPr>
        <w:ind w:left="1049" w:hanging="341"/>
      </w:pPr>
      <w:rPr>
        <w:rFonts w:hint="default"/>
      </w:rPr>
    </w:lvl>
    <w:lvl w:ilvl="3">
      <w:start w:val="0"/>
      <w:numFmt w:val="bullet"/>
      <w:lvlText w:val="•"/>
      <w:lvlJc w:val="left"/>
      <w:pPr>
        <w:ind w:left="1354" w:hanging="341"/>
      </w:pPr>
      <w:rPr>
        <w:rFonts w:hint="default"/>
      </w:rPr>
    </w:lvl>
    <w:lvl w:ilvl="4">
      <w:start w:val="0"/>
      <w:numFmt w:val="bullet"/>
      <w:lvlText w:val="•"/>
      <w:lvlJc w:val="left"/>
      <w:pPr>
        <w:ind w:left="1658" w:hanging="341"/>
      </w:pPr>
      <w:rPr>
        <w:rFonts w:hint="default"/>
      </w:rPr>
    </w:lvl>
    <w:lvl w:ilvl="5">
      <w:start w:val="0"/>
      <w:numFmt w:val="bullet"/>
      <w:lvlText w:val="•"/>
      <w:lvlJc w:val="left"/>
      <w:pPr>
        <w:ind w:left="1963" w:hanging="341"/>
      </w:pPr>
      <w:rPr>
        <w:rFonts w:hint="default"/>
      </w:rPr>
    </w:lvl>
    <w:lvl w:ilvl="6">
      <w:start w:val="0"/>
      <w:numFmt w:val="bullet"/>
      <w:lvlText w:val="•"/>
      <w:lvlJc w:val="left"/>
      <w:pPr>
        <w:ind w:left="2268" w:hanging="341"/>
      </w:pPr>
      <w:rPr>
        <w:rFonts w:hint="default"/>
      </w:rPr>
    </w:lvl>
    <w:lvl w:ilvl="7">
      <w:start w:val="0"/>
      <w:numFmt w:val="bullet"/>
      <w:lvlText w:val="•"/>
      <w:lvlJc w:val="left"/>
      <w:pPr>
        <w:ind w:left="2572" w:hanging="341"/>
      </w:pPr>
      <w:rPr>
        <w:rFonts w:hint="default"/>
      </w:rPr>
    </w:lvl>
    <w:lvl w:ilvl="8">
      <w:start w:val="0"/>
      <w:numFmt w:val="bullet"/>
      <w:lvlText w:val="•"/>
      <w:lvlJc w:val="left"/>
      <w:pPr>
        <w:ind w:left="2877" w:hanging="341"/>
      </w:pPr>
      <w:rPr>
        <w:rFonts w:hint="default"/>
      </w:rPr>
    </w:lvl>
  </w:abstractNum>
  <w:abstractNum w:abstractNumId="91">
    <w:multiLevelType w:val="hybridMultilevel"/>
    <w:lvl w:ilvl="0">
      <w:start w:val="0"/>
      <w:numFmt w:val="bullet"/>
      <w:lvlText w:val="•"/>
      <w:lvlJc w:val="left"/>
      <w:pPr>
        <w:ind w:left="448" w:hanging="341"/>
      </w:pPr>
      <w:rPr>
        <w:rFonts w:hint="default" w:ascii="Calibri" w:hAnsi="Calibri" w:eastAsia="Calibri" w:cs="Calibri"/>
        <w:w w:val="111"/>
        <w:sz w:val="18"/>
        <w:szCs w:val="18"/>
      </w:rPr>
    </w:lvl>
    <w:lvl w:ilvl="1">
      <w:start w:val="0"/>
      <w:numFmt w:val="bullet"/>
      <w:lvlText w:val="•"/>
      <w:lvlJc w:val="left"/>
      <w:pPr>
        <w:ind w:left="846" w:hanging="341"/>
      </w:pPr>
      <w:rPr>
        <w:rFonts w:hint="default"/>
      </w:rPr>
    </w:lvl>
    <w:lvl w:ilvl="2">
      <w:start w:val="0"/>
      <w:numFmt w:val="bullet"/>
      <w:lvlText w:val="•"/>
      <w:lvlJc w:val="left"/>
      <w:pPr>
        <w:ind w:left="1253" w:hanging="341"/>
      </w:pPr>
      <w:rPr>
        <w:rFonts w:hint="default"/>
      </w:rPr>
    </w:lvl>
    <w:lvl w:ilvl="3">
      <w:start w:val="0"/>
      <w:numFmt w:val="bullet"/>
      <w:lvlText w:val="•"/>
      <w:lvlJc w:val="left"/>
      <w:pPr>
        <w:ind w:left="1659" w:hanging="341"/>
      </w:pPr>
      <w:rPr>
        <w:rFonts w:hint="default"/>
      </w:rPr>
    </w:lvl>
    <w:lvl w:ilvl="4">
      <w:start w:val="0"/>
      <w:numFmt w:val="bullet"/>
      <w:lvlText w:val="•"/>
      <w:lvlJc w:val="left"/>
      <w:pPr>
        <w:ind w:left="2066" w:hanging="341"/>
      </w:pPr>
      <w:rPr>
        <w:rFonts w:hint="default"/>
      </w:rPr>
    </w:lvl>
    <w:lvl w:ilvl="5">
      <w:start w:val="0"/>
      <w:numFmt w:val="bullet"/>
      <w:lvlText w:val="•"/>
      <w:lvlJc w:val="left"/>
      <w:pPr>
        <w:ind w:left="2473" w:hanging="341"/>
      </w:pPr>
      <w:rPr>
        <w:rFonts w:hint="default"/>
      </w:rPr>
    </w:lvl>
    <w:lvl w:ilvl="6">
      <w:start w:val="0"/>
      <w:numFmt w:val="bullet"/>
      <w:lvlText w:val="•"/>
      <w:lvlJc w:val="left"/>
      <w:pPr>
        <w:ind w:left="2879" w:hanging="341"/>
      </w:pPr>
      <w:rPr>
        <w:rFonts w:hint="default"/>
      </w:rPr>
    </w:lvl>
    <w:lvl w:ilvl="7">
      <w:start w:val="0"/>
      <w:numFmt w:val="bullet"/>
      <w:lvlText w:val="•"/>
      <w:lvlJc w:val="left"/>
      <w:pPr>
        <w:ind w:left="3286" w:hanging="341"/>
      </w:pPr>
      <w:rPr>
        <w:rFonts w:hint="default"/>
      </w:rPr>
    </w:lvl>
    <w:lvl w:ilvl="8">
      <w:start w:val="0"/>
      <w:numFmt w:val="bullet"/>
      <w:lvlText w:val="•"/>
      <w:lvlJc w:val="left"/>
      <w:pPr>
        <w:ind w:left="3692" w:hanging="341"/>
      </w:pPr>
      <w:rPr>
        <w:rFonts w:hint="default"/>
      </w:rPr>
    </w:lvl>
  </w:abstractNum>
  <w:abstractNum w:abstractNumId="90">
    <w:multiLevelType w:val="hybridMultilevel"/>
    <w:lvl w:ilvl="0">
      <w:start w:val="0"/>
      <w:numFmt w:val="bullet"/>
      <w:lvlText w:val="•"/>
      <w:lvlJc w:val="left"/>
      <w:pPr>
        <w:ind w:left="448" w:hanging="341"/>
      </w:pPr>
      <w:rPr>
        <w:rFonts w:hint="default" w:ascii="Calibri" w:hAnsi="Calibri" w:eastAsia="Calibri" w:cs="Calibri"/>
        <w:w w:val="111"/>
        <w:sz w:val="18"/>
        <w:szCs w:val="18"/>
      </w:rPr>
    </w:lvl>
    <w:lvl w:ilvl="1">
      <w:start w:val="0"/>
      <w:numFmt w:val="bullet"/>
      <w:lvlText w:val="•"/>
      <w:lvlJc w:val="left"/>
      <w:pPr>
        <w:ind w:left="894" w:hanging="341"/>
      </w:pPr>
      <w:rPr>
        <w:rFonts w:hint="default"/>
      </w:rPr>
    </w:lvl>
    <w:lvl w:ilvl="2">
      <w:start w:val="0"/>
      <w:numFmt w:val="bullet"/>
      <w:lvlText w:val="•"/>
      <w:lvlJc w:val="left"/>
      <w:pPr>
        <w:ind w:left="1349" w:hanging="341"/>
      </w:pPr>
      <w:rPr>
        <w:rFonts w:hint="default"/>
      </w:rPr>
    </w:lvl>
    <w:lvl w:ilvl="3">
      <w:start w:val="0"/>
      <w:numFmt w:val="bullet"/>
      <w:lvlText w:val="•"/>
      <w:lvlJc w:val="left"/>
      <w:pPr>
        <w:ind w:left="1804" w:hanging="341"/>
      </w:pPr>
      <w:rPr>
        <w:rFonts w:hint="default"/>
      </w:rPr>
    </w:lvl>
    <w:lvl w:ilvl="4">
      <w:start w:val="0"/>
      <w:numFmt w:val="bullet"/>
      <w:lvlText w:val="•"/>
      <w:lvlJc w:val="left"/>
      <w:pPr>
        <w:ind w:left="2259" w:hanging="341"/>
      </w:pPr>
      <w:rPr>
        <w:rFonts w:hint="default"/>
      </w:rPr>
    </w:lvl>
    <w:lvl w:ilvl="5">
      <w:start w:val="0"/>
      <w:numFmt w:val="bullet"/>
      <w:lvlText w:val="•"/>
      <w:lvlJc w:val="left"/>
      <w:pPr>
        <w:ind w:left="2714" w:hanging="341"/>
      </w:pPr>
      <w:rPr>
        <w:rFonts w:hint="default"/>
      </w:rPr>
    </w:lvl>
    <w:lvl w:ilvl="6">
      <w:start w:val="0"/>
      <w:numFmt w:val="bullet"/>
      <w:lvlText w:val="•"/>
      <w:lvlJc w:val="left"/>
      <w:pPr>
        <w:ind w:left="3169" w:hanging="341"/>
      </w:pPr>
      <w:rPr>
        <w:rFonts w:hint="default"/>
      </w:rPr>
    </w:lvl>
    <w:lvl w:ilvl="7">
      <w:start w:val="0"/>
      <w:numFmt w:val="bullet"/>
      <w:lvlText w:val="•"/>
      <w:lvlJc w:val="left"/>
      <w:pPr>
        <w:ind w:left="3624" w:hanging="341"/>
      </w:pPr>
      <w:rPr>
        <w:rFonts w:hint="default"/>
      </w:rPr>
    </w:lvl>
    <w:lvl w:ilvl="8">
      <w:start w:val="0"/>
      <w:numFmt w:val="bullet"/>
      <w:lvlText w:val="•"/>
      <w:lvlJc w:val="left"/>
      <w:pPr>
        <w:ind w:left="4079" w:hanging="341"/>
      </w:pPr>
      <w:rPr>
        <w:rFonts w:hint="default"/>
      </w:rPr>
    </w:lvl>
  </w:abstractNum>
  <w:abstractNum w:abstractNumId="89">
    <w:multiLevelType w:val="hybridMultilevel"/>
    <w:lvl w:ilvl="0">
      <w:start w:val="0"/>
      <w:numFmt w:val="bullet"/>
      <w:lvlText w:val="•"/>
      <w:lvlJc w:val="left"/>
      <w:pPr>
        <w:ind w:left="448" w:hanging="341"/>
      </w:pPr>
      <w:rPr>
        <w:rFonts w:hint="default" w:ascii="Calibri" w:hAnsi="Calibri" w:eastAsia="Calibri" w:cs="Calibri"/>
        <w:w w:val="111"/>
        <w:sz w:val="18"/>
        <w:szCs w:val="18"/>
      </w:rPr>
    </w:lvl>
    <w:lvl w:ilvl="1">
      <w:start w:val="0"/>
      <w:numFmt w:val="bullet"/>
      <w:lvlText w:val="•"/>
      <w:lvlJc w:val="left"/>
      <w:pPr>
        <w:ind w:left="744" w:hanging="341"/>
      </w:pPr>
      <w:rPr>
        <w:rFonts w:hint="default"/>
      </w:rPr>
    </w:lvl>
    <w:lvl w:ilvl="2">
      <w:start w:val="0"/>
      <w:numFmt w:val="bullet"/>
      <w:lvlText w:val="•"/>
      <w:lvlJc w:val="left"/>
      <w:pPr>
        <w:ind w:left="1049" w:hanging="341"/>
      </w:pPr>
      <w:rPr>
        <w:rFonts w:hint="default"/>
      </w:rPr>
    </w:lvl>
    <w:lvl w:ilvl="3">
      <w:start w:val="0"/>
      <w:numFmt w:val="bullet"/>
      <w:lvlText w:val="•"/>
      <w:lvlJc w:val="left"/>
      <w:pPr>
        <w:ind w:left="1354" w:hanging="341"/>
      </w:pPr>
      <w:rPr>
        <w:rFonts w:hint="default"/>
      </w:rPr>
    </w:lvl>
    <w:lvl w:ilvl="4">
      <w:start w:val="0"/>
      <w:numFmt w:val="bullet"/>
      <w:lvlText w:val="•"/>
      <w:lvlJc w:val="left"/>
      <w:pPr>
        <w:ind w:left="1658" w:hanging="341"/>
      </w:pPr>
      <w:rPr>
        <w:rFonts w:hint="default"/>
      </w:rPr>
    </w:lvl>
    <w:lvl w:ilvl="5">
      <w:start w:val="0"/>
      <w:numFmt w:val="bullet"/>
      <w:lvlText w:val="•"/>
      <w:lvlJc w:val="left"/>
      <w:pPr>
        <w:ind w:left="1963" w:hanging="341"/>
      </w:pPr>
      <w:rPr>
        <w:rFonts w:hint="default"/>
      </w:rPr>
    </w:lvl>
    <w:lvl w:ilvl="6">
      <w:start w:val="0"/>
      <w:numFmt w:val="bullet"/>
      <w:lvlText w:val="•"/>
      <w:lvlJc w:val="left"/>
      <w:pPr>
        <w:ind w:left="2268" w:hanging="341"/>
      </w:pPr>
      <w:rPr>
        <w:rFonts w:hint="default"/>
      </w:rPr>
    </w:lvl>
    <w:lvl w:ilvl="7">
      <w:start w:val="0"/>
      <w:numFmt w:val="bullet"/>
      <w:lvlText w:val="•"/>
      <w:lvlJc w:val="left"/>
      <w:pPr>
        <w:ind w:left="2572" w:hanging="341"/>
      </w:pPr>
      <w:rPr>
        <w:rFonts w:hint="default"/>
      </w:rPr>
    </w:lvl>
    <w:lvl w:ilvl="8">
      <w:start w:val="0"/>
      <w:numFmt w:val="bullet"/>
      <w:lvlText w:val="•"/>
      <w:lvlJc w:val="left"/>
      <w:pPr>
        <w:ind w:left="2877" w:hanging="341"/>
      </w:pPr>
      <w:rPr>
        <w:rFonts w:hint="default"/>
      </w:rPr>
    </w:lvl>
  </w:abstractNum>
  <w:abstractNum w:abstractNumId="88">
    <w:multiLevelType w:val="hybridMultilevel"/>
    <w:lvl w:ilvl="0">
      <w:start w:val="0"/>
      <w:numFmt w:val="bullet"/>
      <w:lvlText w:val="•"/>
      <w:lvlJc w:val="left"/>
      <w:pPr>
        <w:ind w:left="448" w:hanging="341"/>
      </w:pPr>
      <w:rPr>
        <w:rFonts w:hint="default" w:ascii="Calibri" w:hAnsi="Calibri" w:eastAsia="Calibri" w:cs="Calibri"/>
        <w:w w:val="111"/>
        <w:sz w:val="18"/>
        <w:szCs w:val="18"/>
      </w:rPr>
    </w:lvl>
    <w:lvl w:ilvl="1">
      <w:start w:val="0"/>
      <w:numFmt w:val="bullet"/>
      <w:lvlText w:val="•"/>
      <w:lvlJc w:val="left"/>
      <w:pPr>
        <w:ind w:left="846" w:hanging="341"/>
      </w:pPr>
      <w:rPr>
        <w:rFonts w:hint="default"/>
      </w:rPr>
    </w:lvl>
    <w:lvl w:ilvl="2">
      <w:start w:val="0"/>
      <w:numFmt w:val="bullet"/>
      <w:lvlText w:val="•"/>
      <w:lvlJc w:val="left"/>
      <w:pPr>
        <w:ind w:left="1253" w:hanging="341"/>
      </w:pPr>
      <w:rPr>
        <w:rFonts w:hint="default"/>
      </w:rPr>
    </w:lvl>
    <w:lvl w:ilvl="3">
      <w:start w:val="0"/>
      <w:numFmt w:val="bullet"/>
      <w:lvlText w:val="•"/>
      <w:lvlJc w:val="left"/>
      <w:pPr>
        <w:ind w:left="1659" w:hanging="341"/>
      </w:pPr>
      <w:rPr>
        <w:rFonts w:hint="default"/>
      </w:rPr>
    </w:lvl>
    <w:lvl w:ilvl="4">
      <w:start w:val="0"/>
      <w:numFmt w:val="bullet"/>
      <w:lvlText w:val="•"/>
      <w:lvlJc w:val="left"/>
      <w:pPr>
        <w:ind w:left="2066" w:hanging="341"/>
      </w:pPr>
      <w:rPr>
        <w:rFonts w:hint="default"/>
      </w:rPr>
    </w:lvl>
    <w:lvl w:ilvl="5">
      <w:start w:val="0"/>
      <w:numFmt w:val="bullet"/>
      <w:lvlText w:val="•"/>
      <w:lvlJc w:val="left"/>
      <w:pPr>
        <w:ind w:left="2473" w:hanging="341"/>
      </w:pPr>
      <w:rPr>
        <w:rFonts w:hint="default"/>
      </w:rPr>
    </w:lvl>
    <w:lvl w:ilvl="6">
      <w:start w:val="0"/>
      <w:numFmt w:val="bullet"/>
      <w:lvlText w:val="•"/>
      <w:lvlJc w:val="left"/>
      <w:pPr>
        <w:ind w:left="2879" w:hanging="341"/>
      </w:pPr>
      <w:rPr>
        <w:rFonts w:hint="default"/>
      </w:rPr>
    </w:lvl>
    <w:lvl w:ilvl="7">
      <w:start w:val="0"/>
      <w:numFmt w:val="bullet"/>
      <w:lvlText w:val="•"/>
      <w:lvlJc w:val="left"/>
      <w:pPr>
        <w:ind w:left="3286" w:hanging="341"/>
      </w:pPr>
      <w:rPr>
        <w:rFonts w:hint="default"/>
      </w:rPr>
    </w:lvl>
    <w:lvl w:ilvl="8">
      <w:start w:val="0"/>
      <w:numFmt w:val="bullet"/>
      <w:lvlText w:val="•"/>
      <w:lvlJc w:val="left"/>
      <w:pPr>
        <w:ind w:left="3692" w:hanging="341"/>
      </w:pPr>
      <w:rPr>
        <w:rFonts w:hint="default"/>
      </w:rPr>
    </w:lvl>
  </w:abstractNum>
  <w:abstractNum w:abstractNumId="87">
    <w:multiLevelType w:val="hybridMultilevel"/>
    <w:lvl w:ilvl="0">
      <w:start w:val="0"/>
      <w:numFmt w:val="bullet"/>
      <w:lvlText w:val="•"/>
      <w:lvlJc w:val="left"/>
      <w:pPr>
        <w:ind w:left="448" w:hanging="341"/>
      </w:pPr>
      <w:rPr>
        <w:rFonts w:hint="default" w:ascii="Calibri" w:hAnsi="Calibri" w:eastAsia="Calibri" w:cs="Calibri"/>
        <w:w w:val="111"/>
        <w:sz w:val="18"/>
        <w:szCs w:val="18"/>
      </w:rPr>
    </w:lvl>
    <w:lvl w:ilvl="1">
      <w:start w:val="0"/>
      <w:numFmt w:val="bullet"/>
      <w:lvlText w:val="•"/>
      <w:lvlJc w:val="left"/>
      <w:pPr>
        <w:ind w:left="894" w:hanging="341"/>
      </w:pPr>
      <w:rPr>
        <w:rFonts w:hint="default"/>
      </w:rPr>
    </w:lvl>
    <w:lvl w:ilvl="2">
      <w:start w:val="0"/>
      <w:numFmt w:val="bullet"/>
      <w:lvlText w:val="•"/>
      <w:lvlJc w:val="left"/>
      <w:pPr>
        <w:ind w:left="1349" w:hanging="341"/>
      </w:pPr>
      <w:rPr>
        <w:rFonts w:hint="default"/>
      </w:rPr>
    </w:lvl>
    <w:lvl w:ilvl="3">
      <w:start w:val="0"/>
      <w:numFmt w:val="bullet"/>
      <w:lvlText w:val="•"/>
      <w:lvlJc w:val="left"/>
      <w:pPr>
        <w:ind w:left="1804" w:hanging="341"/>
      </w:pPr>
      <w:rPr>
        <w:rFonts w:hint="default"/>
      </w:rPr>
    </w:lvl>
    <w:lvl w:ilvl="4">
      <w:start w:val="0"/>
      <w:numFmt w:val="bullet"/>
      <w:lvlText w:val="•"/>
      <w:lvlJc w:val="left"/>
      <w:pPr>
        <w:ind w:left="2259" w:hanging="341"/>
      </w:pPr>
      <w:rPr>
        <w:rFonts w:hint="default"/>
      </w:rPr>
    </w:lvl>
    <w:lvl w:ilvl="5">
      <w:start w:val="0"/>
      <w:numFmt w:val="bullet"/>
      <w:lvlText w:val="•"/>
      <w:lvlJc w:val="left"/>
      <w:pPr>
        <w:ind w:left="2714" w:hanging="341"/>
      </w:pPr>
      <w:rPr>
        <w:rFonts w:hint="default"/>
      </w:rPr>
    </w:lvl>
    <w:lvl w:ilvl="6">
      <w:start w:val="0"/>
      <w:numFmt w:val="bullet"/>
      <w:lvlText w:val="•"/>
      <w:lvlJc w:val="left"/>
      <w:pPr>
        <w:ind w:left="3169" w:hanging="341"/>
      </w:pPr>
      <w:rPr>
        <w:rFonts w:hint="default"/>
      </w:rPr>
    </w:lvl>
    <w:lvl w:ilvl="7">
      <w:start w:val="0"/>
      <w:numFmt w:val="bullet"/>
      <w:lvlText w:val="•"/>
      <w:lvlJc w:val="left"/>
      <w:pPr>
        <w:ind w:left="3624" w:hanging="341"/>
      </w:pPr>
      <w:rPr>
        <w:rFonts w:hint="default"/>
      </w:rPr>
    </w:lvl>
    <w:lvl w:ilvl="8">
      <w:start w:val="0"/>
      <w:numFmt w:val="bullet"/>
      <w:lvlText w:val="•"/>
      <w:lvlJc w:val="left"/>
      <w:pPr>
        <w:ind w:left="4079" w:hanging="341"/>
      </w:pPr>
      <w:rPr>
        <w:rFonts w:hint="default"/>
      </w:rPr>
    </w:lvl>
  </w:abstractNum>
  <w:abstractNum w:abstractNumId="86">
    <w:multiLevelType w:val="hybridMultilevel"/>
    <w:lvl w:ilvl="0">
      <w:start w:val="0"/>
      <w:numFmt w:val="bullet"/>
      <w:lvlText w:val="•"/>
      <w:lvlJc w:val="left"/>
      <w:pPr>
        <w:ind w:left="448" w:hanging="341"/>
      </w:pPr>
      <w:rPr>
        <w:rFonts w:hint="default" w:ascii="Calibri" w:hAnsi="Calibri" w:eastAsia="Calibri" w:cs="Calibri"/>
        <w:w w:val="111"/>
        <w:sz w:val="18"/>
        <w:szCs w:val="18"/>
      </w:rPr>
    </w:lvl>
    <w:lvl w:ilvl="1">
      <w:start w:val="0"/>
      <w:numFmt w:val="bullet"/>
      <w:lvlText w:val="•"/>
      <w:lvlJc w:val="left"/>
      <w:pPr>
        <w:ind w:left="744" w:hanging="341"/>
      </w:pPr>
      <w:rPr>
        <w:rFonts w:hint="default"/>
      </w:rPr>
    </w:lvl>
    <w:lvl w:ilvl="2">
      <w:start w:val="0"/>
      <w:numFmt w:val="bullet"/>
      <w:lvlText w:val="•"/>
      <w:lvlJc w:val="left"/>
      <w:pPr>
        <w:ind w:left="1049" w:hanging="341"/>
      </w:pPr>
      <w:rPr>
        <w:rFonts w:hint="default"/>
      </w:rPr>
    </w:lvl>
    <w:lvl w:ilvl="3">
      <w:start w:val="0"/>
      <w:numFmt w:val="bullet"/>
      <w:lvlText w:val="•"/>
      <w:lvlJc w:val="left"/>
      <w:pPr>
        <w:ind w:left="1354" w:hanging="341"/>
      </w:pPr>
      <w:rPr>
        <w:rFonts w:hint="default"/>
      </w:rPr>
    </w:lvl>
    <w:lvl w:ilvl="4">
      <w:start w:val="0"/>
      <w:numFmt w:val="bullet"/>
      <w:lvlText w:val="•"/>
      <w:lvlJc w:val="left"/>
      <w:pPr>
        <w:ind w:left="1658" w:hanging="341"/>
      </w:pPr>
      <w:rPr>
        <w:rFonts w:hint="default"/>
      </w:rPr>
    </w:lvl>
    <w:lvl w:ilvl="5">
      <w:start w:val="0"/>
      <w:numFmt w:val="bullet"/>
      <w:lvlText w:val="•"/>
      <w:lvlJc w:val="left"/>
      <w:pPr>
        <w:ind w:left="1963" w:hanging="341"/>
      </w:pPr>
      <w:rPr>
        <w:rFonts w:hint="default"/>
      </w:rPr>
    </w:lvl>
    <w:lvl w:ilvl="6">
      <w:start w:val="0"/>
      <w:numFmt w:val="bullet"/>
      <w:lvlText w:val="•"/>
      <w:lvlJc w:val="left"/>
      <w:pPr>
        <w:ind w:left="2268" w:hanging="341"/>
      </w:pPr>
      <w:rPr>
        <w:rFonts w:hint="default"/>
      </w:rPr>
    </w:lvl>
    <w:lvl w:ilvl="7">
      <w:start w:val="0"/>
      <w:numFmt w:val="bullet"/>
      <w:lvlText w:val="•"/>
      <w:lvlJc w:val="left"/>
      <w:pPr>
        <w:ind w:left="2572" w:hanging="341"/>
      </w:pPr>
      <w:rPr>
        <w:rFonts w:hint="default"/>
      </w:rPr>
    </w:lvl>
    <w:lvl w:ilvl="8">
      <w:start w:val="0"/>
      <w:numFmt w:val="bullet"/>
      <w:lvlText w:val="•"/>
      <w:lvlJc w:val="left"/>
      <w:pPr>
        <w:ind w:left="2877" w:hanging="341"/>
      </w:pPr>
      <w:rPr>
        <w:rFonts w:hint="default"/>
      </w:rPr>
    </w:lvl>
  </w:abstractNum>
  <w:abstractNum w:abstractNumId="85">
    <w:multiLevelType w:val="hybridMultilevel"/>
    <w:lvl w:ilvl="0">
      <w:start w:val="0"/>
      <w:numFmt w:val="bullet"/>
      <w:lvlText w:val="•"/>
      <w:lvlJc w:val="left"/>
      <w:pPr>
        <w:ind w:left="448" w:hanging="341"/>
      </w:pPr>
      <w:rPr>
        <w:rFonts w:hint="default" w:ascii="Calibri" w:hAnsi="Calibri" w:eastAsia="Calibri" w:cs="Calibri"/>
        <w:w w:val="111"/>
        <w:sz w:val="18"/>
        <w:szCs w:val="18"/>
      </w:rPr>
    </w:lvl>
    <w:lvl w:ilvl="1">
      <w:start w:val="0"/>
      <w:numFmt w:val="bullet"/>
      <w:lvlText w:val="•"/>
      <w:lvlJc w:val="left"/>
      <w:pPr>
        <w:ind w:left="846" w:hanging="341"/>
      </w:pPr>
      <w:rPr>
        <w:rFonts w:hint="default"/>
      </w:rPr>
    </w:lvl>
    <w:lvl w:ilvl="2">
      <w:start w:val="0"/>
      <w:numFmt w:val="bullet"/>
      <w:lvlText w:val="•"/>
      <w:lvlJc w:val="left"/>
      <w:pPr>
        <w:ind w:left="1253" w:hanging="341"/>
      </w:pPr>
      <w:rPr>
        <w:rFonts w:hint="default"/>
      </w:rPr>
    </w:lvl>
    <w:lvl w:ilvl="3">
      <w:start w:val="0"/>
      <w:numFmt w:val="bullet"/>
      <w:lvlText w:val="•"/>
      <w:lvlJc w:val="left"/>
      <w:pPr>
        <w:ind w:left="1659" w:hanging="341"/>
      </w:pPr>
      <w:rPr>
        <w:rFonts w:hint="default"/>
      </w:rPr>
    </w:lvl>
    <w:lvl w:ilvl="4">
      <w:start w:val="0"/>
      <w:numFmt w:val="bullet"/>
      <w:lvlText w:val="•"/>
      <w:lvlJc w:val="left"/>
      <w:pPr>
        <w:ind w:left="2066" w:hanging="341"/>
      </w:pPr>
      <w:rPr>
        <w:rFonts w:hint="default"/>
      </w:rPr>
    </w:lvl>
    <w:lvl w:ilvl="5">
      <w:start w:val="0"/>
      <w:numFmt w:val="bullet"/>
      <w:lvlText w:val="•"/>
      <w:lvlJc w:val="left"/>
      <w:pPr>
        <w:ind w:left="2473" w:hanging="341"/>
      </w:pPr>
      <w:rPr>
        <w:rFonts w:hint="default"/>
      </w:rPr>
    </w:lvl>
    <w:lvl w:ilvl="6">
      <w:start w:val="0"/>
      <w:numFmt w:val="bullet"/>
      <w:lvlText w:val="•"/>
      <w:lvlJc w:val="left"/>
      <w:pPr>
        <w:ind w:left="2879" w:hanging="341"/>
      </w:pPr>
      <w:rPr>
        <w:rFonts w:hint="default"/>
      </w:rPr>
    </w:lvl>
    <w:lvl w:ilvl="7">
      <w:start w:val="0"/>
      <w:numFmt w:val="bullet"/>
      <w:lvlText w:val="•"/>
      <w:lvlJc w:val="left"/>
      <w:pPr>
        <w:ind w:left="3286" w:hanging="341"/>
      </w:pPr>
      <w:rPr>
        <w:rFonts w:hint="default"/>
      </w:rPr>
    </w:lvl>
    <w:lvl w:ilvl="8">
      <w:start w:val="0"/>
      <w:numFmt w:val="bullet"/>
      <w:lvlText w:val="•"/>
      <w:lvlJc w:val="left"/>
      <w:pPr>
        <w:ind w:left="3692" w:hanging="341"/>
      </w:pPr>
      <w:rPr>
        <w:rFonts w:hint="default"/>
      </w:rPr>
    </w:lvl>
  </w:abstractNum>
  <w:abstractNum w:abstractNumId="84">
    <w:multiLevelType w:val="hybridMultilevel"/>
    <w:lvl w:ilvl="0">
      <w:start w:val="0"/>
      <w:numFmt w:val="bullet"/>
      <w:lvlText w:val="•"/>
      <w:lvlJc w:val="left"/>
      <w:pPr>
        <w:ind w:left="448" w:hanging="341"/>
      </w:pPr>
      <w:rPr>
        <w:rFonts w:hint="default" w:ascii="Calibri" w:hAnsi="Calibri" w:eastAsia="Calibri" w:cs="Calibri"/>
        <w:w w:val="111"/>
        <w:sz w:val="18"/>
        <w:szCs w:val="18"/>
      </w:rPr>
    </w:lvl>
    <w:lvl w:ilvl="1">
      <w:start w:val="0"/>
      <w:numFmt w:val="bullet"/>
      <w:lvlText w:val="•"/>
      <w:lvlJc w:val="left"/>
      <w:pPr>
        <w:ind w:left="894" w:hanging="341"/>
      </w:pPr>
      <w:rPr>
        <w:rFonts w:hint="default"/>
      </w:rPr>
    </w:lvl>
    <w:lvl w:ilvl="2">
      <w:start w:val="0"/>
      <w:numFmt w:val="bullet"/>
      <w:lvlText w:val="•"/>
      <w:lvlJc w:val="left"/>
      <w:pPr>
        <w:ind w:left="1349" w:hanging="341"/>
      </w:pPr>
      <w:rPr>
        <w:rFonts w:hint="default"/>
      </w:rPr>
    </w:lvl>
    <w:lvl w:ilvl="3">
      <w:start w:val="0"/>
      <w:numFmt w:val="bullet"/>
      <w:lvlText w:val="•"/>
      <w:lvlJc w:val="left"/>
      <w:pPr>
        <w:ind w:left="1804" w:hanging="341"/>
      </w:pPr>
      <w:rPr>
        <w:rFonts w:hint="default"/>
      </w:rPr>
    </w:lvl>
    <w:lvl w:ilvl="4">
      <w:start w:val="0"/>
      <w:numFmt w:val="bullet"/>
      <w:lvlText w:val="•"/>
      <w:lvlJc w:val="left"/>
      <w:pPr>
        <w:ind w:left="2259" w:hanging="341"/>
      </w:pPr>
      <w:rPr>
        <w:rFonts w:hint="default"/>
      </w:rPr>
    </w:lvl>
    <w:lvl w:ilvl="5">
      <w:start w:val="0"/>
      <w:numFmt w:val="bullet"/>
      <w:lvlText w:val="•"/>
      <w:lvlJc w:val="left"/>
      <w:pPr>
        <w:ind w:left="2714" w:hanging="341"/>
      </w:pPr>
      <w:rPr>
        <w:rFonts w:hint="default"/>
      </w:rPr>
    </w:lvl>
    <w:lvl w:ilvl="6">
      <w:start w:val="0"/>
      <w:numFmt w:val="bullet"/>
      <w:lvlText w:val="•"/>
      <w:lvlJc w:val="left"/>
      <w:pPr>
        <w:ind w:left="3169" w:hanging="341"/>
      </w:pPr>
      <w:rPr>
        <w:rFonts w:hint="default"/>
      </w:rPr>
    </w:lvl>
    <w:lvl w:ilvl="7">
      <w:start w:val="0"/>
      <w:numFmt w:val="bullet"/>
      <w:lvlText w:val="•"/>
      <w:lvlJc w:val="left"/>
      <w:pPr>
        <w:ind w:left="3624" w:hanging="341"/>
      </w:pPr>
      <w:rPr>
        <w:rFonts w:hint="default"/>
      </w:rPr>
    </w:lvl>
    <w:lvl w:ilvl="8">
      <w:start w:val="0"/>
      <w:numFmt w:val="bullet"/>
      <w:lvlText w:val="•"/>
      <w:lvlJc w:val="left"/>
      <w:pPr>
        <w:ind w:left="4079" w:hanging="341"/>
      </w:pPr>
      <w:rPr>
        <w:rFonts w:hint="default"/>
      </w:rPr>
    </w:lvl>
  </w:abstractNum>
  <w:abstractNum w:abstractNumId="83">
    <w:multiLevelType w:val="hybridMultilevel"/>
    <w:lvl w:ilvl="0">
      <w:start w:val="0"/>
      <w:numFmt w:val="bullet"/>
      <w:lvlText w:val="•"/>
      <w:lvlJc w:val="left"/>
      <w:pPr>
        <w:ind w:left="448" w:hanging="341"/>
      </w:pPr>
      <w:rPr>
        <w:rFonts w:hint="default" w:ascii="Calibri" w:hAnsi="Calibri" w:eastAsia="Calibri" w:cs="Calibri"/>
        <w:w w:val="111"/>
        <w:sz w:val="18"/>
        <w:szCs w:val="18"/>
      </w:rPr>
    </w:lvl>
    <w:lvl w:ilvl="1">
      <w:start w:val="0"/>
      <w:numFmt w:val="bullet"/>
      <w:lvlText w:val="•"/>
      <w:lvlJc w:val="left"/>
      <w:pPr>
        <w:ind w:left="744" w:hanging="341"/>
      </w:pPr>
      <w:rPr>
        <w:rFonts w:hint="default"/>
      </w:rPr>
    </w:lvl>
    <w:lvl w:ilvl="2">
      <w:start w:val="0"/>
      <w:numFmt w:val="bullet"/>
      <w:lvlText w:val="•"/>
      <w:lvlJc w:val="left"/>
      <w:pPr>
        <w:ind w:left="1049" w:hanging="341"/>
      </w:pPr>
      <w:rPr>
        <w:rFonts w:hint="default"/>
      </w:rPr>
    </w:lvl>
    <w:lvl w:ilvl="3">
      <w:start w:val="0"/>
      <w:numFmt w:val="bullet"/>
      <w:lvlText w:val="•"/>
      <w:lvlJc w:val="left"/>
      <w:pPr>
        <w:ind w:left="1354" w:hanging="341"/>
      </w:pPr>
      <w:rPr>
        <w:rFonts w:hint="default"/>
      </w:rPr>
    </w:lvl>
    <w:lvl w:ilvl="4">
      <w:start w:val="0"/>
      <w:numFmt w:val="bullet"/>
      <w:lvlText w:val="•"/>
      <w:lvlJc w:val="left"/>
      <w:pPr>
        <w:ind w:left="1658" w:hanging="341"/>
      </w:pPr>
      <w:rPr>
        <w:rFonts w:hint="default"/>
      </w:rPr>
    </w:lvl>
    <w:lvl w:ilvl="5">
      <w:start w:val="0"/>
      <w:numFmt w:val="bullet"/>
      <w:lvlText w:val="•"/>
      <w:lvlJc w:val="left"/>
      <w:pPr>
        <w:ind w:left="1963" w:hanging="341"/>
      </w:pPr>
      <w:rPr>
        <w:rFonts w:hint="default"/>
      </w:rPr>
    </w:lvl>
    <w:lvl w:ilvl="6">
      <w:start w:val="0"/>
      <w:numFmt w:val="bullet"/>
      <w:lvlText w:val="•"/>
      <w:lvlJc w:val="left"/>
      <w:pPr>
        <w:ind w:left="2268" w:hanging="341"/>
      </w:pPr>
      <w:rPr>
        <w:rFonts w:hint="default"/>
      </w:rPr>
    </w:lvl>
    <w:lvl w:ilvl="7">
      <w:start w:val="0"/>
      <w:numFmt w:val="bullet"/>
      <w:lvlText w:val="•"/>
      <w:lvlJc w:val="left"/>
      <w:pPr>
        <w:ind w:left="2572" w:hanging="341"/>
      </w:pPr>
      <w:rPr>
        <w:rFonts w:hint="default"/>
      </w:rPr>
    </w:lvl>
    <w:lvl w:ilvl="8">
      <w:start w:val="0"/>
      <w:numFmt w:val="bullet"/>
      <w:lvlText w:val="•"/>
      <w:lvlJc w:val="left"/>
      <w:pPr>
        <w:ind w:left="2877" w:hanging="341"/>
      </w:pPr>
      <w:rPr>
        <w:rFonts w:hint="default"/>
      </w:rPr>
    </w:lvl>
  </w:abstractNum>
  <w:abstractNum w:abstractNumId="82">
    <w:multiLevelType w:val="hybridMultilevel"/>
    <w:lvl w:ilvl="0">
      <w:start w:val="0"/>
      <w:numFmt w:val="bullet"/>
      <w:lvlText w:val="•"/>
      <w:lvlJc w:val="left"/>
      <w:pPr>
        <w:ind w:left="448" w:hanging="341"/>
      </w:pPr>
      <w:rPr>
        <w:rFonts w:hint="default" w:ascii="Calibri" w:hAnsi="Calibri" w:eastAsia="Calibri" w:cs="Calibri"/>
        <w:w w:val="111"/>
        <w:sz w:val="18"/>
        <w:szCs w:val="18"/>
      </w:rPr>
    </w:lvl>
    <w:lvl w:ilvl="1">
      <w:start w:val="0"/>
      <w:numFmt w:val="bullet"/>
      <w:lvlText w:val="•"/>
      <w:lvlJc w:val="left"/>
      <w:pPr>
        <w:ind w:left="846" w:hanging="341"/>
      </w:pPr>
      <w:rPr>
        <w:rFonts w:hint="default"/>
      </w:rPr>
    </w:lvl>
    <w:lvl w:ilvl="2">
      <w:start w:val="0"/>
      <w:numFmt w:val="bullet"/>
      <w:lvlText w:val="•"/>
      <w:lvlJc w:val="left"/>
      <w:pPr>
        <w:ind w:left="1253" w:hanging="341"/>
      </w:pPr>
      <w:rPr>
        <w:rFonts w:hint="default"/>
      </w:rPr>
    </w:lvl>
    <w:lvl w:ilvl="3">
      <w:start w:val="0"/>
      <w:numFmt w:val="bullet"/>
      <w:lvlText w:val="•"/>
      <w:lvlJc w:val="left"/>
      <w:pPr>
        <w:ind w:left="1659" w:hanging="341"/>
      </w:pPr>
      <w:rPr>
        <w:rFonts w:hint="default"/>
      </w:rPr>
    </w:lvl>
    <w:lvl w:ilvl="4">
      <w:start w:val="0"/>
      <w:numFmt w:val="bullet"/>
      <w:lvlText w:val="•"/>
      <w:lvlJc w:val="left"/>
      <w:pPr>
        <w:ind w:left="2066" w:hanging="341"/>
      </w:pPr>
      <w:rPr>
        <w:rFonts w:hint="default"/>
      </w:rPr>
    </w:lvl>
    <w:lvl w:ilvl="5">
      <w:start w:val="0"/>
      <w:numFmt w:val="bullet"/>
      <w:lvlText w:val="•"/>
      <w:lvlJc w:val="left"/>
      <w:pPr>
        <w:ind w:left="2473" w:hanging="341"/>
      </w:pPr>
      <w:rPr>
        <w:rFonts w:hint="default"/>
      </w:rPr>
    </w:lvl>
    <w:lvl w:ilvl="6">
      <w:start w:val="0"/>
      <w:numFmt w:val="bullet"/>
      <w:lvlText w:val="•"/>
      <w:lvlJc w:val="left"/>
      <w:pPr>
        <w:ind w:left="2879" w:hanging="341"/>
      </w:pPr>
      <w:rPr>
        <w:rFonts w:hint="default"/>
      </w:rPr>
    </w:lvl>
    <w:lvl w:ilvl="7">
      <w:start w:val="0"/>
      <w:numFmt w:val="bullet"/>
      <w:lvlText w:val="•"/>
      <w:lvlJc w:val="left"/>
      <w:pPr>
        <w:ind w:left="3286" w:hanging="341"/>
      </w:pPr>
      <w:rPr>
        <w:rFonts w:hint="default"/>
      </w:rPr>
    </w:lvl>
    <w:lvl w:ilvl="8">
      <w:start w:val="0"/>
      <w:numFmt w:val="bullet"/>
      <w:lvlText w:val="•"/>
      <w:lvlJc w:val="left"/>
      <w:pPr>
        <w:ind w:left="3692" w:hanging="341"/>
      </w:pPr>
      <w:rPr>
        <w:rFonts w:hint="default"/>
      </w:rPr>
    </w:lvl>
  </w:abstractNum>
  <w:abstractNum w:abstractNumId="81">
    <w:multiLevelType w:val="hybridMultilevel"/>
    <w:lvl w:ilvl="0">
      <w:start w:val="0"/>
      <w:numFmt w:val="bullet"/>
      <w:lvlText w:val="•"/>
      <w:lvlJc w:val="left"/>
      <w:pPr>
        <w:ind w:left="448" w:hanging="341"/>
      </w:pPr>
      <w:rPr>
        <w:rFonts w:hint="default" w:ascii="Calibri" w:hAnsi="Calibri" w:eastAsia="Calibri" w:cs="Calibri"/>
        <w:w w:val="111"/>
        <w:sz w:val="18"/>
        <w:szCs w:val="18"/>
      </w:rPr>
    </w:lvl>
    <w:lvl w:ilvl="1">
      <w:start w:val="0"/>
      <w:numFmt w:val="bullet"/>
      <w:lvlText w:val="•"/>
      <w:lvlJc w:val="left"/>
      <w:pPr>
        <w:ind w:left="894" w:hanging="341"/>
      </w:pPr>
      <w:rPr>
        <w:rFonts w:hint="default"/>
      </w:rPr>
    </w:lvl>
    <w:lvl w:ilvl="2">
      <w:start w:val="0"/>
      <w:numFmt w:val="bullet"/>
      <w:lvlText w:val="•"/>
      <w:lvlJc w:val="left"/>
      <w:pPr>
        <w:ind w:left="1349" w:hanging="341"/>
      </w:pPr>
      <w:rPr>
        <w:rFonts w:hint="default"/>
      </w:rPr>
    </w:lvl>
    <w:lvl w:ilvl="3">
      <w:start w:val="0"/>
      <w:numFmt w:val="bullet"/>
      <w:lvlText w:val="•"/>
      <w:lvlJc w:val="left"/>
      <w:pPr>
        <w:ind w:left="1804" w:hanging="341"/>
      </w:pPr>
      <w:rPr>
        <w:rFonts w:hint="default"/>
      </w:rPr>
    </w:lvl>
    <w:lvl w:ilvl="4">
      <w:start w:val="0"/>
      <w:numFmt w:val="bullet"/>
      <w:lvlText w:val="•"/>
      <w:lvlJc w:val="left"/>
      <w:pPr>
        <w:ind w:left="2259" w:hanging="341"/>
      </w:pPr>
      <w:rPr>
        <w:rFonts w:hint="default"/>
      </w:rPr>
    </w:lvl>
    <w:lvl w:ilvl="5">
      <w:start w:val="0"/>
      <w:numFmt w:val="bullet"/>
      <w:lvlText w:val="•"/>
      <w:lvlJc w:val="left"/>
      <w:pPr>
        <w:ind w:left="2714" w:hanging="341"/>
      </w:pPr>
      <w:rPr>
        <w:rFonts w:hint="default"/>
      </w:rPr>
    </w:lvl>
    <w:lvl w:ilvl="6">
      <w:start w:val="0"/>
      <w:numFmt w:val="bullet"/>
      <w:lvlText w:val="•"/>
      <w:lvlJc w:val="left"/>
      <w:pPr>
        <w:ind w:left="3169" w:hanging="341"/>
      </w:pPr>
      <w:rPr>
        <w:rFonts w:hint="default"/>
      </w:rPr>
    </w:lvl>
    <w:lvl w:ilvl="7">
      <w:start w:val="0"/>
      <w:numFmt w:val="bullet"/>
      <w:lvlText w:val="•"/>
      <w:lvlJc w:val="left"/>
      <w:pPr>
        <w:ind w:left="3624" w:hanging="341"/>
      </w:pPr>
      <w:rPr>
        <w:rFonts w:hint="default"/>
      </w:rPr>
    </w:lvl>
    <w:lvl w:ilvl="8">
      <w:start w:val="0"/>
      <w:numFmt w:val="bullet"/>
      <w:lvlText w:val="•"/>
      <w:lvlJc w:val="left"/>
      <w:pPr>
        <w:ind w:left="4079" w:hanging="341"/>
      </w:pPr>
      <w:rPr>
        <w:rFonts w:hint="default"/>
      </w:rPr>
    </w:lvl>
  </w:abstractNum>
  <w:abstractNum w:abstractNumId="80">
    <w:multiLevelType w:val="hybridMultilevel"/>
    <w:lvl w:ilvl="0">
      <w:start w:val="0"/>
      <w:numFmt w:val="bullet"/>
      <w:lvlText w:val="•"/>
      <w:lvlJc w:val="left"/>
      <w:pPr>
        <w:ind w:left="448" w:hanging="341"/>
      </w:pPr>
      <w:rPr>
        <w:rFonts w:hint="default" w:ascii="Calibri" w:hAnsi="Calibri" w:eastAsia="Calibri" w:cs="Calibri"/>
        <w:w w:val="111"/>
        <w:sz w:val="18"/>
        <w:szCs w:val="18"/>
      </w:rPr>
    </w:lvl>
    <w:lvl w:ilvl="1">
      <w:start w:val="0"/>
      <w:numFmt w:val="bullet"/>
      <w:lvlText w:val="•"/>
      <w:lvlJc w:val="left"/>
      <w:pPr>
        <w:ind w:left="744" w:hanging="341"/>
      </w:pPr>
      <w:rPr>
        <w:rFonts w:hint="default"/>
      </w:rPr>
    </w:lvl>
    <w:lvl w:ilvl="2">
      <w:start w:val="0"/>
      <w:numFmt w:val="bullet"/>
      <w:lvlText w:val="•"/>
      <w:lvlJc w:val="left"/>
      <w:pPr>
        <w:ind w:left="1049" w:hanging="341"/>
      </w:pPr>
      <w:rPr>
        <w:rFonts w:hint="default"/>
      </w:rPr>
    </w:lvl>
    <w:lvl w:ilvl="3">
      <w:start w:val="0"/>
      <w:numFmt w:val="bullet"/>
      <w:lvlText w:val="•"/>
      <w:lvlJc w:val="left"/>
      <w:pPr>
        <w:ind w:left="1354" w:hanging="341"/>
      </w:pPr>
      <w:rPr>
        <w:rFonts w:hint="default"/>
      </w:rPr>
    </w:lvl>
    <w:lvl w:ilvl="4">
      <w:start w:val="0"/>
      <w:numFmt w:val="bullet"/>
      <w:lvlText w:val="•"/>
      <w:lvlJc w:val="left"/>
      <w:pPr>
        <w:ind w:left="1658" w:hanging="341"/>
      </w:pPr>
      <w:rPr>
        <w:rFonts w:hint="default"/>
      </w:rPr>
    </w:lvl>
    <w:lvl w:ilvl="5">
      <w:start w:val="0"/>
      <w:numFmt w:val="bullet"/>
      <w:lvlText w:val="•"/>
      <w:lvlJc w:val="left"/>
      <w:pPr>
        <w:ind w:left="1963" w:hanging="341"/>
      </w:pPr>
      <w:rPr>
        <w:rFonts w:hint="default"/>
      </w:rPr>
    </w:lvl>
    <w:lvl w:ilvl="6">
      <w:start w:val="0"/>
      <w:numFmt w:val="bullet"/>
      <w:lvlText w:val="•"/>
      <w:lvlJc w:val="left"/>
      <w:pPr>
        <w:ind w:left="2268" w:hanging="341"/>
      </w:pPr>
      <w:rPr>
        <w:rFonts w:hint="default"/>
      </w:rPr>
    </w:lvl>
    <w:lvl w:ilvl="7">
      <w:start w:val="0"/>
      <w:numFmt w:val="bullet"/>
      <w:lvlText w:val="•"/>
      <w:lvlJc w:val="left"/>
      <w:pPr>
        <w:ind w:left="2572" w:hanging="341"/>
      </w:pPr>
      <w:rPr>
        <w:rFonts w:hint="default"/>
      </w:rPr>
    </w:lvl>
    <w:lvl w:ilvl="8">
      <w:start w:val="0"/>
      <w:numFmt w:val="bullet"/>
      <w:lvlText w:val="•"/>
      <w:lvlJc w:val="left"/>
      <w:pPr>
        <w:ind w:left="2877" w:hanging="341"/>
      </w:pPr>
      <w:rPr>
        <w:rFonts w:hint="default"/>
      </w:rPr>
    </w:lvl>
  </w:abstractNum>
  <w:abstractNum w:abstractNumId="79">
    <w:multiLevelType w:val="hybridMultilevel"/>
    <w:lvl w:ilvl="0">
      <w:start w:val="0"/>
      <w:numFmt w:val="bullet"/>
      <w:lvlText w:val="•"/>
      <w:lvlJc w:val="left"/>
      <w:pPr>
        <w:ind w:left="448" w:hanging="341"/>
      </w:pPr>
      <w:rPr>
        <w:rFonts w:hint="default" w:ascii="Calibri" w:hAnsi="Calibri" w:eastAsia="Calibri" w:cs="Calibri"/>
        <w:w w:val="111"/>
        <w:sz w:val="18"/>
        <w:szCs w:val="18"/>
      </w:rPr>
    </w:lvl>
    <w:lvl w:ilvl="1">
      <w:start w:val="0"/>
      <w:numFmt w:val="bullet"/>
      <w:lvlText w:val="•"/>
      <w:lvlJc w:val="left"/>
      <w:pPr>
        <w:ind w:left="846" w:hanging="341"/>
      </w:pPr>
      <w:rPr>
        <w:rFonts w:hint="default"/>
      </w:rPr>
    </w:lvl>
    <w:lvl w:ilvl="2">
      <w:start w:val="0"/>
      <w:numFmt w:val="bullet"/>
      <w:lvlText w:val="•"/>
      <w:lvlJc w:val="left"/>
      <w:pPr>
        <w:ind w:left="1253" w:hanging="341"/>
      </w:pPr>
      <w:rPr>
        <w:rFonts w:hint="default"/>
      </w:rPr>
    </w:lvl>
    <w:lvl w:ilvl="3">
      <w:start w:val="0"/>
      <w:numFmt w:val="bullet"/>
      <w:lvlText w:val="•"/>
      <w:lvlJc w:val="left"/>
      <w:pPr>
        <w:ind w:left="1659" w:hanging="341"/>
      </w:pPr>
      <w:rPr>
        <w:rFonts w:hint="default"/>
      </w:rPr>
    </w:lvl>
    <w:lvl w:ilvl="4">
      <w:start w:val="0"/>
      <w:numFmt w:val="bullet"/>
      <w:lvlText w:val="•"/>
      <w:lvlJc w:val="left"/>
      <w:pPr>
        <w:ind w:left="2066" w:hanging="341"/>
      </w:pPr>
      <w:rPr>
        <w:rFonts w:hint="default"/>
      </w:rPr>
    </w:lvl>
    <w:lvl w:ilvl="5">
      <w:start w:val="0"/>
      <w:numFmt w:val="bullet"/>
      <w:lvlText w:val="•"/>
      <w:lvlJc w:val="left"/>
      <w:pPr>
        <w:ind w:left="2473" w:hanging="341"/>
      </w:pPr>
      <w:rPr>
        <w:rFonts w:hint="default"/>
      </w:rPr>
    </w:lvl>
    <w:lvl w:ilvl="6">
      <w:start w:val="0"/>
      <w:numFmt w:val="bullet"/>
      <w:lvlText w:val="•"/>
      <w:lvlJc w:val="left"/>
      <w:pPr>
        <w:ind w:left="2879" w:hanging="341"/>
      </w:pPr>
      <w:rPr>
        <w:rFonts w:hint="default"/>
      </w:rPr>
    </w:lvl>
    <w:lvl w:ilvl="7">
      <w:start w:val="0"/>
      <w:numFmt w:val="bullet"/>
      <w:lvlText w:val="•"/>
      <w:lvlJc w:val="left"/>
      <w:pPr>
        <w:ind w:left="3286" w:hanging="341"/>
      </w:pPr>
      <w:rPr>
        <w:rFonts w:hint="default"/>
      </w:rPr>
    </w:lvl>
    <w:lvl w:ilvl="8">
      <w:start w:val="0"/>
      <w:numFmt w:val="bullet"/>
      <w:lvlText w:val="•"/>
      <w:lvlJc w:val="left"/>
      <w:pPr>
        <w:ind w:left="3692" w:hanging="341"/>
      </w:pPr>
      <w:rPr>
        <w:rFonts w:hint="default"/>
      </w:rPr>
    </w:lvl>
  </w:abstractNum>
  <w:abstractNum w:abstractNumId="78">
    <w:multiLevelType w:val="hybridMultilevel"/>
    <w:lvl w:ilvl="0">
      <w:start w:val="0"/>
      <w:numFmt w:val="bullet"/>
      <w:lvlText w:val="•"/>
      <w:lvlJc w:val="left"/>
      <w:pPr>
        <w:ind w:left="448" w:hanging="341"/>
      </w:pPr>
      <w:rPr>
        <w:rFonts w:hint="default" w:ascii="Calibri" w:hAnsi="Calibri" w:eastAsia="Calibri" w:cs="Calibri"/>
        <w:w w:val="111"/>
        <w:sz w:val="18"/>
        <w:szCs w:val="18"/>
      </w:rPr>
    </w:lvl>
    <w:lvl w:ilvl="1">
      <w:start w:val="0"/>
      <w:numFmt w:val="bullet"/>
      <w:lvlText w:val="•"/>
      <w:lvlJc w:val="left"/>
      <w:pPr>
        <w:ind w:left="894" w:hanging="341"/>
      </w:pPr>
      <w:rPr>
        <w:rFonts w:hint="default"/>
      </w:rPr>
    </w:lvl>
    <w:lvl w:ilvl="2">
      <w:start w:val="0"/>
      <w:numFmt w:val="bullet"/>
      <w:lvlText w:val="•"/>
      <w:lvlJc w:val="left"/>
      <w:pPr>
        <w:ind w:left="1349" w:hanging="341"/>
      </w:pPr>
      <w:rPr>
        <w:rFonts w:hint="default"/>
      </w:rPr>
    </w:lvl>
    <w:lvl w:ilvl="3">
      <w:start w:val="0"/>
      <w:numFmt w:val="bullet"/>
      <w:lvlText w:val="•"/>
      <w:lvlJc w:val="left"/>
      <w:pPr>
        <w:ind w:left="1804" w:hanging="341"/>
      </w:pPr>
      <w:rPr>
        <w:rFonts w:hint="default"/>
      </w:rPr>
    </w:lvl>
    <w:lvl w:ilvl="4">
      <w:start w:val="0"/>
      <w:numFmt w:val="bullet"/>
      <w:lvlText w:val="•"/>
      <w:lvlJc w:val="left"/>
      <w:pPr>
        <w:ind w:left="2259" w:hanging="341"/>
      </w:pPr>
      <w:rPr>
        <w:rFonts w:hint="default"/>
      </w:rPr>
    </w:lvl>
    <w:lvl w:ilvl="5">
      <w:start w:val="0"/>
      <w:numFmt w:val="bullet"/>
      <w:lvlText w:val="•"/>
      <w:lvlJc w:val="left"/>
      <w:pPr>
        <w:ind w:left="2714" w:hanging="341"/>
      </w:pPr>
      <w:rPr>
        <w:rFonts w:hint="default"/>
      </w:rPr>
    </w:lvl>
    <w:lvl w:ilvl="6">
      <w:start w:val="0"/>
      <w:numFmt w:val="bullet"/>
      <w:lvlText w:val="•"/>
      <w:lvlJc w:val="left"/>
      <w:pPr>
        <w:ind w:left="3169" w:hanging="341"/>
      </w:pPr>
      <w:rPr>
        <w:rFonts w:hint="default"/>
      </w:rPr>
    </w:lvl>
    <w:lvl w:ilvl="7">
      <w:start w:val="0"/>
      <w:numFmt w:val="bullet"/>
      <w:lvlText w:val="•"/>
      <w:lvlJc w:val="left"/>
      <w:pPr>
        <w:ind w:left="3624" w:hanging="341"/>
      </w:pPr>
      <w:rPr>
        <w:rFonts w:hint="default"/>
      </w:rPr>
    </w:lvl>
    <w:lvl w:ilvl="8">
      <w:start w:val="0"/>
      <w:numFmt w:val="bullet"/>
      <w:lvlText w:val="•"/>
      <w:lvlJc w:val="left"/>
      <w:pPr>
        <w:ind w:left="4079" w:hanging="341"/>
      </w:pPr>
      <w:rPr>
        <w:rFonts w:hint="default"/>
      </w:rPr>
    </w:lvl>
  </w:abstractNum>
  <w:abstractNum w:abstractNumId="77">
    <w:multiLevelType w:val="hybridMultilevel"/>
    <w:lvl w:ilvl="0">
      <w:start w:val="0"/>
      <w:numFmt w:val="bullet"/>
      <w:lvlText w:val="•"/>
      <w:lvlJc w:val="left"/>
      <w:pPr>
        <w:ind w:left="443" w:hanging="341"/>
      </w:pPr>
      <w:rPr>
        <w:rFonts w:hint="default" w:ascii="Calibri" w:hAnsi="Calibri" w:eastAsia="Calibri" w:cs="Calibri"/>
        <w:w w:val="111"/>
        <w:sz w:val="18"/>
        <w:szCs w:val="18"/>
      </w:rPr>
    </w:lvl>
    <w:lvl w:ilvl="1">
      <w:start w:val="0"/>
      <w:numFmt w:val="bullet"/>
      <w:lvlText w:val="•"/>
      <w:lvlJc w:val="left"/>
      <w:pPr>
        <w:ind w:left="744" w:hanging="341"/>
      </w:pPr>
      <w:rPr>
        <w:rFonts w:hint="default"/>
      </w:rPr>
    </w:lvl>
    <w:lvl w:ilvl="2">
      <w:start w:val="0"/>
      <w:numFmt w:val="bullet"/>
      <w:lvlText w:val="•"/>
      <w:lvlJc w:val="left"/>
      <w:pPr>
        <w:ind w:left="1049" w:hanging="341"/>
      </w:pPr>
      <w:rPr>
        <w:rFonts w:hint="default"/>
      </w:rPr>
    </w:lvl>
    <w:lvl w:ilvl="3">
      <w:start w:val="0"/>
      <w:numFmt w:val="bullet"/>
      <w:lvlText w:val="•"/>
      <w:lvlJc w:val="left"/>
      <w:pPr>
        <w:ind w:left="1354" w:hanging="341"/>
      </w:pPr>
      <w:rPr>
        <w:rFonts w:hint="default"/>
      </w:rPr>
    </w:lvl>
    <w:lvl w:ilvl="4">
      <w:start w:val="0"/>
      <w:numFmt w:val="bullet"/>
      <w:lvlText w:val="•"/>
      <w:lvlJc w:val="left"/>
      <w:pPr>
        <w:ind w:left="1658" w:hanging="341"/>
      </w:pPr>
      <w:rPr>
        <w:rFonts w:hint="default"/>
      </w:rPr>
    </w:lvl>
    <w:lvl w:ilvl="5">
      <w:start w:val="0"/>
      <w:numFmt w:val="bullet"/>
      <w:lvlText w:val="•"/>
      <w:lvlJc w:val="left"/>
      <w:pPr>
        <w:ind w:left="1963" w:hanging="341"/>
      </w:pPr>
      <w:rPr>
        <w:rFonts w:hint="default"/>
      </w:rPr>
    </w:lvl>
    <w:lvl w:ilvl="6">
      <w:start w:val="0"/>
      <w:numFmt w:val="bullet"/>
      <w:lvlText w:val="•"/>
      <w:lvlJc w:val="left"/>
      <w:pPr>
        <w:ind w:left="2268" w:hanging="341"/>
      </w:pPr>
      <w:rPr>
        <w:rFonts w:hint="default"/>
      </w:rPr>
    </w:lvl>
    <w:lvl w:ilvl="7">
      <w:start w:val="0"/>
      <w:numFmt w:val="bullet"/>
      <w:lvlText w:val="•"/>
      <w:lvlJc w:val="left"/>
      <w:pPr>
        <w:ind w:left="2572" w:hanging="341"/>
      </w:pPr>
      <w:rPr>
        <w:rFonts w:hint="default"/>
      </w:rPr>
    </w:lvl>
    <w:lvl w:ilvl="8">
      <w:start w:val="0"/>
      <w:numFmt w:val="bullet"/>
      <w:lvlText w:val="•"/>
      <w:lvlJc w:val="left"/>
      <w:pPr>
        <w:ind w:left="2877" w:hanging="341"/>
      </w:pPr>
      <w:rPr>
        <w:rFonts w:hint="default"/>
      </w:rPr>
    </w:lvl>
  </w:abstractNum>
  <w:abstractNum w:abstractNumId="76">
    <w:multiLevelType w:val="hybridMultilevel"/>
    <w:lvl w:ilvl="0">
      <w:start w:val="0"/>
      <w:numFmt w:val="bullet"/>
      <w:lvlText w:val="•"/>
      <w:lvlJc w:val="left"/>
      <w:pPr>
        <w:ind w:left="443" w:hanging="341"/>
      </w:pPr>
      <w:rPr>
        <w:rFonts w:hint="default" w:ascii="Calibri" w:hAnsi="Calibri" w:eastAsia="Calibri" w:cs="Calibri"/>
        <w:w w:val="111"/>
        <w:sz w:val="18"/>
        <w:szCs w:val="18"/>
      </w:rPr>
    </w:lvl>
    <w:lvl w:ilvl="1">
      <w:start w:val="0"/>
      <w:numFmt w:val="bullet"/>
      <w:lvlText w:val="•"/>
      <w:lvlJc w:val="left"/>
      <w:pPr>
        <w:ind w:left="846" w:hanging="341"/>
      </w:pPr>
      <w:rPr>
        <w:rFonts w:hint="default"/>
      </w:rPr>
    </w:lvl>
    <w:lvl w:ilvl="2">
      <w:start w:val="0"/>
      <w:numFmt w:val="bullet"/>
      <w:lvlText w:val="•"/>
      <w:lvlJc w:val="left"/>
      <w:pPr>
        <w:ind w:left="1253" w:hanging="341"/>
      </w:pPr>
      <w:rPr>
        <w:rFonts w:hint="default"/>
      </w:rPr>
    </w:lvl>
    <w:lvl w:ilvl="3">
      <w:start w:val="0"/>
      <w:numFmt w:val="bullet"/>
      <w:lvlText w:val="•"/>
      <w:lvlJc w:val="left"/>
      <w:pPr>
        <w:ind w:left="1659" w:hanging="341"/>
      </w:pPr>
      <w:rPr>
        <w:rFonts w:hint="default"/>
      </w:rPr>
    </w:lvl>
    <w:lvl w:ilvl="4">
      <w:start w:val="0"/>
      <w:numFmt w:val="bullet"/>
      <w:lvlText w:val="•"/>
      <w:lvlJc w:val="left"/>
      <w:pPr>
        <w:ind w:left="2066" w:hanging="341"/>
      </w:pPr>
      <w:rPr>
        <w:rFonts w:hint="default"/>
      </w:rPr>
    </w:lvl>
    <w:lvl w:ilvl="5">
      <w:start w:val="0"/>
      <w:numFmt w:val="bullet"/>
      <w:lvlText w:val="•"/>
      <w:lvlJc w:val="left"/>
      <w:pPr>
        <w:ind w:left="2473" w:hanging="341"/>
      </w:pPr>
      <w:rPr>
        <w:rFonts w:hint="default"/>
      </w:rPr>
    </w:lvl>
    <w:lvl w:ilvl="6">
      <w:start w:val="0"/>
      <w:numFmt w:val="bullet"/>
      <w:lvlText w:val="•"/>
      <w:lvlJc w:val="left"/>
      <w:pPr>
        <w:ind w:left="2879" w:hanging="341"/>
      </w:pPr>
      <w:rPr>
        <w:rFonts w:hint="default"/>
      </w:rPr>
    </w:lvl>
    <w:lvl w:ilvl="7">
      <w:start w:val="0"/>
      <w:numFmt w:val="bullet"/>
      <w:lvlText w:val="•"/>
      <w:lvlJc w:val="left"/>
      <w:pPr>
        <w:ind w:left="3286" w:hanging="341"/>
      </w:pPr>
      <w:rPr>
        <w:rFonts w:hint="default"/>
      </w:rPr>
    </w:lvl>
    <w:lvl w:ilvl="8">
      <w:start w:val="0"/>
      <w:numFmt w:val="bullet"/>
      <w:lvlText w:val="•"/>
      <w:lvlJc w:val="left"/>
      <w:pPr>
        <w:ind w:left="3692" w:hanging="341"/>
      </w:pPr>
      <w:rPr>
        <w:rFonts w:hint="default"/>
      </w:rPr>
    </w:lvl>
  </w:abstractNum>
  <w:abstractNum w:abstractNumId="75">
    <w:multiLevelType w:val="hybridMultilevel"/>
    <w:lvl w:ilvl="0">
      <w:start w:val="0"/>
      <w:numFmt w:val="bullet"/>
      <w:lvlText w:val="•"/>
      <w:lvlJc w:val="left"/>
      <w:pPr>
        <w:ind w:left="443" w:hanging="341"/>
      </w:pPr>
      <w:rPr>
        <w:rFonts w:hint="default" w:ascii="Calibri" w:hAnsi="Calibri" w:eastAsia="Calibri" w:cs="Calibri"/>
        <w:w w:val="111"/>
        <w:sz w:val="18"/>
        <w:szCs w:val="18"/>
      </w:rPr>
    </w:lvl>
    <w:lvl w:ilvl="1">
      <w:start w:val="0"/>
      <w:numFmt w:val="bullet"/>
      <w:lvlText w:val="•"/>
      <w:lvlJc w:val="left"/>
      <w:pPr>
        <w:ind w:left="894" w:hanging="341"/>
      </w:pPr>
      <w:rPr>
        <w:rFonts w:hint="default"/>
      </w:rPr>
    </w:lvl>
    <w:lvl w:ilvl="2">
      <w:start w:val="0"/>
      <w:numFmt w:val="bullet"/>
      <w:lvlText w:val="•"/>
      <w:lvlJc w:val="left"/>
      <w:pPr>
        <w:ind w:left="1349" w:hanging="341"/>
      </w:pPr>
      <w:rPr>
        <w:rFonts w:hint="default"/>
      </w:rPr>
    </w:lvl>
    <w:lvl w:ilvl="3">
      <w:start w:val="0"/>
      <w:numFmt w:val="bullet"/>
      <w:lvlText w:val="•"/>
      <w:lvlJc w:val="left"/>
      <w:pPr>
        <w:ind w:left="1804" w:hanging="341"/>
      </w:pPr>
      <w:rPr>
        <w:rFonts w:hint="default"/>
      </w:rPr>
    </w:lvl>
    <w:lvl w:ilvl="4">
      <w:start w:val="0"/>
      <w:numFmt w:val="bullet"/>
      <w:lvlText w:val="•"/>
      <w:lvlJc w:val="left"/>
      <w:pPr>
        <w:ind w:left="2259" w:hanging="341"/>
      </w:pPr>
      <w:rPr>
        <w:rFonts w:hint="default"/>
      </w:rPr>
    </w:lvl>
    <w:lvl w:ilvl="5">
      <w:start w:val="0"/>
      <w:numFmt w:val="bullet"/>
      <w:lvlText w:val="•"/>
      <w:lvlJc w:val="left"/>
      <w:pPr>
        <w:ind w:left="2714" w:hanging="341"/>
      </w:pPr>
      <w:rPr>
        <w:rFonts w:hint="default"/>
      </w:rPr>
    </w:lvl>
    <w:lvl w:ilvl="6">
      <w:start w:val="0"/>
      <w:numFmt w:val="bullet"/>
      <w:lvlText w:val="•"/>
      <w:lvlJc w:val="left"/>
      <w:pPr>
        <w:ind w:left="3169" w:hanging="341"/>
      </w:pPr>
      <w:rPr>
        <w:rFonts w:hint="default"/>
      </w:rPr>
    </w:lvl>
    <w:lvl w:ilvl="7">
      <w:start w:val="0"/>
      <w:numFmt w:val="bullet"/>
      <w:lvlText w:val="•"/>
      <w:lvlJc w:val="left"/>
      <w:pPr>
        <w:ind w:left="3624" w:hanging="341"/>
      </w:pPr>
      <w:rPr>
        <w:rFonts w:hint="default"/>
      </w:rPr>
    </w:lvl>
    <w:lvl w:ilvl="8">
      <w:start w:val="0"/>
      <w:numFmt w:val="bullet"/>
      <w:lvlText w:val="•"/>
      <w:lvlJc w:val="left"/>
      <w:pPr>
        <w:ind w:left="4079" w:hanging="341"/>
      </w:pPr>
      <w:rPr>
        <w:rFonts w:hint="default"/>
      </w:rPr>
    </w:lvl>
  </w:abstractNum>
  <w:abstractNum w:abstractNumId="74">
    <w:multiLevelType w:val="hybridMultilevel"/>
    <w:lvl w:ilvl="0">
      <w:start w:val="0"/>
      <w:numFmt w:val="bullet"/>
      <w:lvlText w:val="•"/>
      <w:lvlJc w:val="left"/>
      <w:pPr>
        <w:ind w:left="443" w:hanging="341"/>
      </w:pPr>
      <w:rPr>
        <w:rFonts w:hint="default" w:ascii="Calibri" w:hAnsi="Calibri" w:eastAsia="Calibri" w:cs="Calibri"/>
        <w:w w:val="111"/>
        <w:sz w:val="18"/>
        <w:szCs w:val="18"/>
      </w:rPr>
    </w:lvl>
    <w:lvl w:ilvl="1">
      <w:start w:val="0"/>
      <w:numFmt w:val="bullet"/>
      <w:lvlText w:val="•"/>
      <w:lvlJc w:val="left"/>
      <w:pPr>
        <w:ind w:left="744" w:hanging="341"/>
      </w:pPr>
      <w:rPr>
        <w:rFonts w:hint="default"/>
      </w:rPr>
    </w:lvl>
    <w:lvl w:ilvl="2">
      <w:start w:val="0"/>
      <w:numFmt w:val="bullet"/>
      <w:lvlText w:val="•"/>
      <w:lvlJc w:val="left"/>
      <w:pPr>
        <w:ind w:left="1049" w:hanging="341"/>
      </w:pPr>
      <w:rPr>
        <w:rFonts w:hint="default"/>
      </w:rPr>
    </w:lvl>
    <w:lvl w:ilvl="3">
      <w:start w:val="0"/>
      <w:numFmt w:val="bullet"/>
      <w:lvlText w:val="•"/>
      <w:lvlJc w:val="left"/>
      <w:pPr>
        <w:ind w:left="1354" w:hanging="341"/>
      </w:pPr>
      <w:rPr>
        <w:rFonts w:hint="default"/>
      </w:rPr>
    </w:lvl>
    <w:lvl w:ilvl="4">
      <w:start w:val="0"/>
      <w:numFmt w:val="bullet"/>
      <w:lvlText w:val="•"/>
      <w:lvlJc w:val="left"/>
      <w:pPr>
        <w:ind w:left="1658" w:hanging="341"/>
      </w:pPr>
      <w:rPr>
        <w:rFonts w:hint="default"/>
      </w:rPr>
    </w:lvl>
    <w:lvl w:ilvl="5">
      <w:start w:val="0"/>
      <w:numFmt w:val="bullet"/>
      <w:lvlText w:val="•"/>
      <w:lvlJc w:val="left"/>
      <w:pPr>
        <w:ind w:left="1963" w:hanging="341"/>
      </w:pPr>
      <w:rPr>
        <w:rFonts w:hint="default"/>
      </w:rPr>
    </w:lvl>
    <w:lvl w:ilvl="6">
      <w:start w:val="0"/>
      <w:numFmt w:val="bullet"/>
      <w:lvlText w:val="•"/>
      <w:lvlJc w:val="left"/>
      <w:pPr>
        <w:ind w:left="2268" w:hanging="341"/>
      </w:pPr>
      <w:rPr>
        <w:rFonts w:hint="default"/>
      </w:rPr>
    </w:lvl>
    <w:lvl w:ilvl="7">
      <w:start w:val="0"/>
      <w:numFmt w:val="bullet"/>
      <w:lvlText w:val="•"/>
      <w:lvlJc w:val="left"/>
      <w:pPr>
        <w:ind w:left="2572" w:hanging="341"/>
      </w:pPr>
      <w:rPr>
        <w:rFonts w:hint="default"/>
      </w:rPr>
    </w:lvl>
    <w:lvl w:ilvl="8">
      <w:start w:val="0"/>
      <w:numFmt w:val="bullet"/>
      <w:lvlText w:val="•"/>
      <w:lvlJc w:val="left"/>
      <w:pPr>
        <w:ind w:left="2877" w:hanging="341"/>
      </w:pPr>
      <w:rPr>
        <w:rFonts w:hint="default"/>
      </w:rPr>
    </w:lvl>
  </w:abstractNum>
  <w:abstractNum w:abstractNumId="73">
    <w:multiLevelType w:val="hybridMultilevel"/>
    <w:lvl w:ilvl="0">
      <w:start w:val="0"/>
      <w:numFmt w:val="bullet"/>
      <w:lvlText w:val="•"/>
      <w:lvlJc w:val="left"/>
      <w:pPr>
        <w:ind w:left="443" w:hanging="341"/>
      </w:pPr>
      <w:rPr>
        <w:rFonts w:hint="default" w:ascii="Calibri" w:hAnsi="Calibri" w:eastAsia="Calibri" w:cs="Calibri"/>
        <w:w w:val="111"/>
        <w:sz w:val="18"/>
        <w:szCs w:val="18"/>
      </w:rPr>
    </w:lvl>
    <w:lvl w:ilvl="1">
      <w:start w:val="0"/>
      <w:numFmt w:val="bullet"/>
      <w:lvlText w:val="•"/>
      <w:lvlJc w:val="left"/>
      <w:pPr>
        <w:ind w:left="846" w:hanging="341"/>
      </w:pPr>
      <w:rPr>
        <w:rFonts w:hint="default"/>
      </w:rPr>
    </w:lvl>
    <w:lvl w:ilvl="2">
      <w:start w:val="0"/>
      <w:numFmt w:val="bullet"/>
      <w:lvlText w:val="•"/>
      <w:lvlJc w:val="left"/>
      <w:pPr>
        <w:ind w:left="1253" w:hanging="341"/>
      </w:pPr>
      <w:rPr>
        <w:rFonts w:hint="default"/>
      </w:rPr>
    </w:lvl>
    <w:lvl w:ilvl="3">
      <w:start w:val="0"/>
      <w:numFmt w:val="bullet"/>
      <w:lvlText w:val="•"/>
      <w:lvlJc w:val="left"/>
      <w:pPr>
        <w:ind w:left="1659" w:hanging="341"/>
      </w:pPr>
      <w:rPr>
        <w:rFonts w:hint="default"/>
      </w:rPr>
    </w:lvl>
    <w:lvl w:ilvl="4">
      <w:start w:val="0"/>
      <w:numFmt w:val="bullet"/>
      <w:lvlText w:val="•"/>
      <w:lvlJc w:val="left"/>
      <w:pPr>
        <w:ind w:left="2066" w:hanging="341"/>
      </w:pPr>
      <w:rPr>
        <w:rFonts w:hint="default"/>
      </w:rPr>
    </w:lvl>
    <w:lvl w:ilvl="5">
      <w:start w:val="0"/>
      <w:numFmt w:val="bullet"/>
      <w:lvlText w:val="•"/>
      <w:lvlJc w:val="left"/>
      <w:pPr>
        <w:ind w:left="2473" w:hanging="341"/>
      </w:pPr>
      <w:rPr>
        <w:rFonts w:hint="default"/>
      </w:rPr>
    </w:lvl>
    <w:lvl w:ilvl="6">
      <w:start w:val="0"/>
      <w:numFmt w:val="bullet"/>
      <w:lvlText w:val="•"/>
      <w:lvlJc w:val="left"/>
      <w:pPr>
        <w:ind w:left="2879" w:hanging="341"/>
      </w:pPr>
      <w:rPr>
        <w:rFonts w:hint="default"/>
      </w:rPr>
    </w:lvl>
    <w:lvl w:ilvl="7">
      <w:start w:val="0"/>
      <w:numFmt w:val="bullet"/>
      <w:lvlText w:val="•"/>
      <w:lvlJc w:val="left"/>
      <w:pPr>
        <w:ind w:left="3286" w:hanging="341"/>
      </w:pPr>
      <w:rPr>
        <w:rFonts w:hint="default"/>
      </w:rPr>
    </w:lvl>
    <w:lvl w:ilvl="8">
      <w:start w:val="0"/>
      <w:numFmt w:val="bullet"/>
      <w:lvlText w:val="•"/>
      <w:lvlJc w:val="left"/>
      <w:pPr>
        <w:ind w:left="3692" w:hanging="341"/>
      </w:pPr>
      <w:rPr>
        <w:rFonts w:hint="default"/>
      </w:rPr>
    </w:lvl>
  </w:abstractNum>
  <w:abstractNum w:abstractNumId="72">
    <w:multiLevelType w:val="hybridMultilevel"/>
    <w:lvl w:ilvl="0">
      <w:start w:val="0"/>
      <w:numFmt w:val="bullet"/>
      <w:lvlText w:val="•"/>
      <w:lvlJc w:val="left"/>
      <w:pPr>
        <w:ind w:left="443" w:hanging="341"/>
      </w:pPr>
      <w:rPr>
        <w:rFonts w:hint="default" w:ascii="Calibri" w:hAnsi="Calibri" w:eastAsia="Calibri" w:cs="Calibri"/>
        <w:w w:val="111"/>
        <w:sz w:val="18"/>
        <w:szCs w:val="18"/>
      </w:rPr>
    </w:lvl>
    <w:lvl w:ilvl="1">
      <w:start w:val="0"/>
      <w:numFmt w:val="bullet"/>
      <w:lvlText w:val="•"/>
      <w:lvlJc w:val="left"/>
      <w:pPr>
        <w:ind w:left="894" w:hanging="341"/>
      </w:pPr>
      <w:rPr>
        <w:rFonts w:hint="default"/>
      </w:rPr>
    </w:lvl>
    <w:lvl w:ilvl="2">
      <w:start w:val="0"/>
      <w:numFmt w:val="bullet"/>
      <w:lvlText w:val="•"/>
      <w:lvlJc w:val="left"/>
      <w:pPr>
        <w:ind w:left="1349" w:hanging="341"/>
      </w:pPr>
      <w:rPr>
        <w:rFonts w:hint="default"/>
      </w:rPr>
    </w:lvl>
    <w:lvl w:ilvl="3">
      <w:start w:val="0"/>
      <w:numFmt w:val="bullet"/>
      <w:lvlText w:val="•"/>
      <w:lvlJc w:val="left"/>
      <w:pPr>
        <w:ind w:left="1804" w:hanging="341"/>
      </w:pPr>
      <w:rPr>
        <w:rFonts w:hint="default"/>
      </w:rPr>
    </w:lvl>
    <w:lvl w:ilvl="4">
      <w:start w:val="0"/>
      <w:numFmt w:val="bullet"/>
      <w:lvlText w:val="•"/>
      <w:lvlJc w:val="left"/>
      <w:pPr>
        <w:ind w:left="2259" w:hanging="341"/>
      </w:pPr>
      <w:rPr>
        <w:rFonts w:hint="default"/>
      </w:rPr>
    </w:lvl>
    <w:lvl w:ilvl="5">
      <w:start w:val="0"/>
      <w:numFmt w:val="bullet"/>
      <w:lvlText w:val="•"/>
      <w:lvlJc w:val="left"/>
      <w:pPr>
        <w:ind w:left="2714" w:hanging="341"/>
      </w:pPr>
      <w:rPr>
        <w:rFonts w:hint="default"/>
      </w:rPr>
    </w:lvl>
    <w:lvl w:ilvl="6">
      <w:start w:val="0"/>
      <w:numFmt w:val="bullet"/>
      <w:lvlText w:val="•"/>
      <w:lvlJc w:val="left"/>
      <w:pPr>
        <w:ind w:left="3169" w:hanging="341"/>
      </w:pPr>
      <w:rPr>
        <w:rFonts w:hint="default"/>
      </w:rPr>
    </w:lvl>
    <w:lvl w:ilvl="7">
      <w:start w:val="0"/>
      <w:numFmt w:val="bullet"/>
      <w:lvlText w:val="•"/>
      <w:lvlJc w:val="left"/>
      <w:pPr>
        <w:ind w:left="3624" w:hanging="341"/>
      </w:pPr>
      <w:rPr>
        <w:rFonts w:hint="default"/>
      </w:rPr>
    </w:lvl>
    <w:lvl w:ilvl="8">
      <w:start w:val="0"/>
      <w:numFmt w:val="bullet"/>
      <w:lvlText w:val="•"/>
      <w:lvlJc w:val="left"/>
      <w:pPr>
        <w:ind w:left="4079" w:hanging="341"/>
      </w:pPr>
      <w:rPr>
        <w:rFonts w:hint="default"/>
      </w:rPr>
    </w:lvl>
  </w:abstractNum>
  <w:abstractNum w:abstractNumId="71">
    <w:multiLevelType w:val="hybridMultilevel"/>
    <w:lvl w:ilvl="0">
      <w:start w:val="0"/>
      <w:numFmt w:val="bullet"/>
      <w:lvlText w:val="•"/>
      <w:lvlJc w:val="left"/>
      <w:pPr>
        <w:ind w:left="443" w:hanging="341"/>
      </w:pPr>
      <w:rPr>
        <w:rFonts w:hint="default" w:ascii="Calibri" w:hAnsi="Calibri" w:eastAsia="Calibri" w:cs="Calibri"/>
        <w:w w:val="111"/>
        <w:sz w:val="18"/>
        <w:szCs w:val="18"/>
      </w:rPr>
    </w:lvl>
    <w:lvl w:ilvl="1">
      <w:start w:val="0"/>
      <w:numFmt w:val="bullet"/>
      <w:lvlText w:val="•"/>
      <w:lvlJc w:val="left"/>
      <w:pPr>
        <w:ind w:left="744" w:hanging="341"/>
      </w:pPr>
      <w:rPr>
        <w:rFonts w:hint="default"/>
      </w:rPr>
    </w:lvl>
    <w:lvl w:ilvl="2">
      <w:start w:val="0"/>
      <w:numFmt w:val="bullet"/>
      <w:lvlText w:val="•"/>
      <w:lvlJc w:val="left"/>
      <w:pPr>
        <w:ind w:left="1049" w:hanging="341"/>
      </w:pPr>
      <w:rPr>
        <w:rFonts w:hint="default"/>
      </w:rPr>
    </w:lvl>
    <w:lvl w:ilvl="3">
      <w:start w:val="0"/>
      <w:numFmt w:val="bullet"/>
      <w:lvlText w:val="•"/>
      <w:lvlJc w:val="left"/>
      <w:pPr>
        <w:ind w:left="1354" w:hanging="341"/>
      </w:pPr>
      <w:rPr>
        <w:rFonts w:hint="default"/>
      </w:rPr>
    </w:lvl>
    <w:lvl w:ilvl="4">
      <w:start w:val="0"/>
      <w:numFmt w:val="bullet"/>
      <w:lvlText w:val="•"/>
      <w:lvlJc w:val="left"/>
      <w:pPr>
        <w:ind w:left="1658" w:hanging="341"/>
      </w:pPr>
      <w:rPr>
        <w:rFonts w:hint="default"/>
      </w:rPr>
    </w:lvl>
    <w:lvl w:ilvl="5">
      <w:start w:val="0"/>
      <w:numFmt w:val="bullet"/>
      <w:lvlText w:val="•"/>
      <w:lvlJc w:val="left"/>
      <w:pPr>
        <w:ind w:left="1963" w:hanging="341"/>
      </w:pPr>
      <w:rPr>
        <w:rFonts w:hint="default"/>
      </w:rPr>
    </w:lvl>
    <w:lvl w:ilvl="6">
      <w:start w:val="0"/>
      <w:numFmt w:val="bullet"/>
      <w:lvlText w:val="•"/>
      <w:lvlJc w:val="left"/>
      <w:pPr>
        <w:ind w:left="2268" w:hanging="341"/>
      </w:pPr>
      <w:rPr>
        <w:rFonts w:hint="default"/>
      </w:rPr>
    </w:lvl>
    <w:lvl w:ilvl="7">
      <w:start w:val="0"/>
      <w:numFmt w:val="bullet"/>
      <w:lvlText w:val="•"/>
      <w:lvlJc w:val="left"/>
      <w:pPr>
        <w:ind w:left="2572" w:hanging="341"/>
      </w:pPr>
      <w:rPr>
        <w:rFonts w:hint="default"/>
      </w:rPr>
    </w:lvl>
    <w:lvl w:ilvl="8">
      <w:start w:val="0"/>
      <w:numFmt w:val="bullet"/>
      <w:lvlText w:val="•"/>
      <w:lvlJc w:val="left"/>
      <w:pPr>
        <w:ind w:left="2877" w:hanging="341"/>
      </w:pPr>
      <w:rPr>
        <w:rFonts w:hint="default"/>
      </w:rPr>
    </w:lvl>
  </w:abstractNum>
  <w:abstractNum w:abstractNumId="70">
    <w:multiLevelType w:val="hybridMultilevel"/>
    <w:lvl w:ilvl="0">
      <w:start w:val="0"/>
      <w:numFmt w:val="bullet"/>
      <w:lvlText w:val="•"/>
      <w:lvlJc w:val="left"/>
      <w:pPr>
        <w:ind w:left="443" w:hanging="341"/>
      </w:pPr>
      <w:rPr>
        <w:rFonts w:hint="default" w:ascii="Calibri" w:hAnsi="Calibri" w:eastAsia="Calibri" w:cs="Calibri"/>
        <w:w w:val="111"/>
        <w:sz w:val="18"/>
        <w:szCs w:val="18"/>
      </w:rPr>
    </w:lvl>
    <w:lvl w:ilvl="1">
      <w:start w:val="0"/>
      <w:numFmt w:val="bullet"/>
      <w:lvlText w:val="•"/>
      <w:lvlJc w:val="left"/>
      <w:pPr>
        <w:ind w:left="846" w:hanging="341"/>
      </w:pPr>
      <w:rPr>
        <w:rFonts w:hint="default"/>
      </w:rPr>
    </w:lvl>
    <w:lvl w:ilvl="2">
      <w:start w:val="0"/>
      <w:numFmt w:val="bullet"/>
      <w:lvlText w:val="•"/>
      <w:lvlJc w:val="left"/>
      <w:pPr>
        <w:ind w:left="1253" w:hanging="341"/>
      </w:pPr>
      <w:rPr>
        <w:rFonts w:hint="default"/>
      </w:rPr>
    </w:lvl>
    <w:lvl w:ilvl="3">
      <w:start w:val="0"/>
      <w:numFmt w:val="bullet"/>
      <w:lvlText w:val="•"/>
      <w:lvlJc w:val="left"/>
      <w:pPr>
        <w:ind w:left="1659" w:hanging="341"/>
      </w:pPr>
      <w:rPr>
        <w:rFonts w:hint="default"/>
      </w:rPr>
    </w:lvl>
    <w:lvl w:ilvl="4">
      <w:start w:val="0"/>
      <w:numFmt w:val="bullet"/>
      <w:lvlText w:val="•"/>
      <w:lvlJc w:val="left"/>
      <w:pPr>
        <w:ind w:left="2066" w:hanging="341"/>
      </w:pPr>
      <w:rPr>
        <w:rFonts w:hint="default"/>
      </w:rPr>
    </w:lvl>
    <w:lvl w:ilvl="5">
      <w:start w:val="0"/>
      <w:numFmt w:val="bullet"/>
      <w:lvlText w:val="•"/>
      <w:lvlJc w:val="left"/>
      <w:pPr>
        <w:ind w:left="2473" w:hanging="341"/>
      </w:pPr>
      <w:rPr>
        <w:rFonts w:hint="default"/>
      </w:rPr>
    </w:lvl>
    <w:lvl w:ilvl="6">
      <w:start w:val="0"/>
      <w:numFmt w:val="bullet"/>
      <w:lvlText w:val="•"/>
      <w:lvlJc w:val="left"/>
      <w:pPr>
        <w:ind w:left="2879" w:hanging="341"/>
      </w:pPr>
      <w:rPr>
        <w:rFonts w:hint="default"/>
      </w:rPr>
    </w:lvl>
    <w:lvl w:ilvl="7">
      <w:start w:val="0"/>
      <w:numFmt w:val="bullet"/>
      <w:lvlText w:val="•"/>
      <w:lvlJc w:val="left"/>
      <w:pPr>
        <w:ind w:left="3286" w:hanging="341"/>
      </w:pPr>
      <w:rPr>
        <w:rFonts w:hint="default"/>
      </w:rPr>
    </w:lvl>
    <w:lvl w:ilvl="8">
      <w:start w:val="0"/>
      <w:numFmt w:val="bullet"/>
      <w:lvlText w:val="•"/>
      <w:lvlJc w:val="left"/>
      <w:pPr>
        <w:ind w:left="3692" w:hanging="341"/>
      </w:pPr>
      <w:rPr>
        <w:rFonts w:hint="default"/>
      </w:rPr>
    </w:lvl>
  </w:abstractNum>
  <w:abstractNum w:abstractNumId="69">
    <w:multiLevelType w:val="hybridMultilevel"/>
    <w:lvl w:ilvl="0">
      <w:start w:val="0"/>
      <w:numFmt w:val="bullet"/>
      <w:lvlText w:val="•"/>
      <w:lvlJc w:val="left"/>
      <w:pPr>
        <w:ind w:left="443" w:hanging="341"/>
      </w:pPr>
      <w:rPr>
        <w:rFonts w:hint="default" w:ascii="Calibri" w:hAnsi="Calibri" w:eastAsia="Calibri" w:cs="Calibri"/>
        <w:w w:val="111"/>
        <w:sz w:val="18"/>
        <w:szCs w:val="18"/>
      </w:rPr>
    </w:lvl>
    <w:lvl w:ilvl="1">
      <w:start w:val="0"/>
      <w:numFmt w:val="bullet"/>
      <w:lvlText w:val="•"/>
      <w:lvlJc w:val="left"/>
      <w:pPr>
        <w:ind w:left="894" w:hanging="341"/>
      </w:pPr>
      <w:rPr>
        <w:rFonts w:hint="default"/>
      </w:rPr>
    </w:lvl>
    <w:lvl w:ilvl="2">
      <w:start w:val="0"/>
      <w:numFmt w:val="bullet"/>
      <w:lvlText w:val="•"/>
      <w:lvlJc w:val="left"/>
      <w:pPr>
        <w:ind w:left="1349" w:hanging="341"/>
      </w:pPr>
      <w:rPr>
        <w:rFonts w:hint="default"/>
      </w:rPr>
    </w:lvl>
    <w:lvl w:ilvl="3">
      <w:start w:val="0"/>
      <w:numFmt w:val="bullet"/>
      <w:lvlText w:val="•"/>
      <w:lvlJc w:val="left"/>
      <w:pPr>
        <w:ind w:left="1804" w:hanging="341"/>
      </w:pPr>
      <w:rPr>
        <w:rFonts w:hint="default"/>
      </w:rPr>
    </w:lvl>
    <w:lvl w:ilvl="4">
      <w:start w:val="0"/>
      <w:numFmt w:val="bullet"/>
      <w:lvlText w:val="•"/>
      <w:lvlJc w:val="left"/>
      <w:pPr>
        <w:ind w:left="2259" w:hanging="341"/>
      </w:pPr>
      <w:rPr>
        <w:rFonts w:hint="default"/>
      </w:rPr>
    </w:lvl>
    <w:lvl w:ilvl="5">
      <w:start w:val="0"/>
      <w:numFmt w:val="bullet"/>
      <w:lvlText w:val="•"/>
      <w:lvlJc w:val="left"/>
      <w:pPr>
        <w:ind w:left="2714" w:hanging="341"/>
      </w:pPr>
      <w:rPr>
        <w:rFonts w:hint="default"/>
      </w:rPr>
    </w:lvl>
    <w:lvl w:ilvl="6">
      <w:start w:val="0"/>
      <w:numFmt w:val="bullet"/>
      <w:lvlText w:val="•"/>
      <w:lvlJc w:val="left"/>
      <w:pPr>
        <w:ind w:left="3169" w:hanging="341"/>
      </w:pPr>
      <w:rPr>
        <w:rFonts w:hint="default"/>
      </w:rPr>
    </w:lvl>
    <w:lvl w:ilvl="7">
      <w:start w:val="0"/>
      <w:numFmt w:val="bullet"/>
      <w:lvlText w:val="•"/>
      <w:lvlJc w:val="left"/>
      <w:pPr>
        <w:ind w:left="3624" w:hanging="341"/>
      </w:pPr>
      <w:rPr>
        <w:rFonts w:hint="default"/>
      </w:rPr>
    </w:lvl>
    <w:lvl w:ilvl="8">
      <w:start w:val="0"/>
      <w:numFmt w:val="bullet"/>
      <w:lvlText w:val="•"/>
      <w:lvlJc w:val="left"/>
      <w:pPr>
        <w:ind w:left="4079" w:hanging="341"/>
      </w:pPr>
      <w:rPr>
        <w:rFonts w:hint="default"/>
      </w:rPr>
    </w:lvl>
  </w:abstractNum>
  <w:abstractNum w:abstractNumId="68">
    <w:multiLevelType w:val="hybridMultilevel"/>
    <w:lvl w:ilvl="0">
      <w:start w:val="5"/>
      <w:numFmt w:val="decimal"/>
      <w:lvlText w:val="%1."/>
      <w:lvlJc w:val="left"/>
      <w:pPr>
        <w:ind w:left="1284" w:hanging="681"/>
        <w:jc w:val="left"/>
      </w:pPr>
      <w:rPr>
        <w:rFonts w:hint="default" w:ascii="Calibri" w:hAnsi="Calibri" w:eastAsia="Calibri" w:cs="Calibri"/>
        <w:spacing w:val="-5"/>
        <w:w w:val="125"/>
        <w:sz w:val="20"/>
        <w:szCs w:val="20"/>
      </w:rPr>
    </w:lvl>
    <w:lvl w:ilvl="1">
      <w:start w:val="0"/>
      <w:numFmt w:val="bullet"/>
      <w:lvlText w:val="•"/>
      <w:lvlJc w:val="left"/>
      <w:pPr>
        <w:ind w:left="2272" w:hanging="681"/>
      </w:pPr>
      <w:rPr>
        <w:rFonts w:hint="default"/>
      </w:rPr>
    </w:lvl>
    <w:lvl w:ilvl="2">
      <w:start w:val="0"/>
      <w:numFmt w:val="bullet"/>
      <w:lvlText w:val="•"/>
      <w:lvlJc w:val="left"/>
      <w:pPr>
        <w:ind w:left="3265" w:hanging="681"/>
      </w:pPr>
      <w:rPr>
        <w:rFonts w:hint="default"/>
      </w:rPr>
    </w:lvl>
    <w:lvl w:ilvl="3">
      <w:start w:val="0"/>
      <w:numFmt w:val="bullet"/>
      <w:lvlText w:val="•"/>
      <w:lvlJc w:val="left"/>
      <w:pPr>
        <w:ind w:left="4257" w:hanging="681"/>
      </w:pPr>
      <w:rPr>
        <w:rFonts w:hint="default"/>
      </w:rPr>
    </w:lvl>
    <w:lvl w:ilvl="4">
      <w:start w:val="0"/>
      <w:numFmt w:val="bullet"/>
      <w:lvlText w:val="•"/>
      <w:lvlJc w:val="left"/>
      <w:pPr>
        <w:ind w:left="5250" w:hanging="681"/>
      </w:pPr>
      <w:rPr>
        <w:rFonts w:hint="default"/>
      </w:rPr>
    </w:lvl>
    <w:lvl w:ilvl="5">
      <w:start w:val="0"/>
      <w:numFmt w:val="bullet"/>
      <w:lvlText w:val="•"/>
      <w:lvlJc w:val="left"/>
      <w:pPr>
        <w:ind w:left="6242" w:hanging="681"/>
      </w:pPr>
      <w:rPr>
        <w:rFonts w:hint="default"/>
      </w:rPr>
    </w:lvl>
    <w:lvl w:ilvl="6">
      <w:start w:val="0"/>
      <w:numFmt w:val="bullet"/>
      <w:lvlText w:val="•"/>
      <w:lvlJc w:val="left"/>
      <w:pPr>
        <w:ind w:left="7235" w:hanging="681"/>
      </w:pPr>
      <w:rPr>
        <w:rFonts w:hint="default"/>
      </w:rPr>
    </w:lvl>
    <w:lvl w:ilvl="7">
      <w:start w:val="0"/>
      <w:numFmt w:val="bullet"/>
      <w:lvlText w:val="•"/>
      <w:lvlJc w:val="left"/>
      <w:pPr>
        <w:ind w:left="8227" w:hanging="681"/>
      </w:pPr>
      <w:rPr>
        <w:rFonts w:hint="default"/>
      </w:rPr>
    </w:lvl>
    <w:lvl w:ilvl="8">
      <w:start w:val="0"/>
      <w:numFmt w:val="bullet"/>
      <w:lvlText w:val="•"/>
      <w:lvlJc w:val="left"/>
      <w:pPr>
        <w:ind w:left="9220" w:hanging="681"/>
      </w:pPr>
      <w:rPr>
        <w:rFonts w:hint="default"/>
      </w:rPr>
    </w:lvl>
  </w:abstractNum>
  <w:abstractNum w:abstractNumId="67">
    <w:multiLevelType w:val="hybridMultilevel"/>
    <w:lvl w:ilvl="0">
      <w:start w:val="4"/>
      <w:numFmt w:val="decimal"/>
      <w:lvlText w:val="%1"/>
      <w:lvlJc w:val="left"/>
      <w:pPr>
        <w:ind w:left="1284" w:hanging="681"/>
        <w:jc w:val="left"/>
      </w:pPr>
      <w:rPr>
        <w:rFonts w:hint="default"/>
      </w:rPr>
    </w:lvl>
    <w:lvl w:ilvl="1">
      <w:start w:val="1"/>
      <w:numFmt w:val="decimal"/>
      <w:lvlText w:val="%1.%2"/>
      <w:lvlJc w:val="left"/>
      <w:pPr>
        <w:ind w:left="1284" w:hanging="681"/>
        <w:jc w:val="left"/>
      </w:pPr>
      <w:rPr>
        <w:rFonts w:hint="default" w:ascii="Calibri" w:hAnsi="Calibri" w:eastAsia="Calibri" w:cs="Calibri"/>
        <w:spacing w:val="-18"/>
        <w:w w:val="125"/>
        <w:sz w:val="20"/>
        <w:szCs w:val="20"/>
      </w:rPr>
    </w:lvl>
    <w:lvl w:ilvl="2">
      <w:start w:val="1"/>
      <w:numFmt w:val="decimal"/>
      <w:lvlText w:val="%1.%2.%3"/>
      <w:lvlJc w:val="left"/>
      <w:pPr>
        <w:ind w:left="1964" w:hanging="681"/>
        <w:jc w:val="left"/>
      </w:pPr>
      <w:rPr>
        <w:rFonts w:hint="default" w:ascii="Calibri" w:hAnsi="Calibri" w:eastAsia="Calibri" w:cs="Calibri"/>
        <w:spacing w:val="-18"/>
        <w:w w:val="125"/>
        <w:sz w:val="20"/>
        <w:szCs w:val="20"/>
      </w:rPr>
    </w:lvl>
    <w:lvl w:ilvl="3">
      <w:start w:val="0"/>
      <w:numFmt w:val="bullet"/>
      <w:lvlText w:val="•"/>
      <w:lvlJc w:val="left"/>
      <w:pPr>
        <w:ind w:left="4014" w:hanging="681"/>
      </w:pPr>
      <w:rPr>
        <w:rFonts w:hint="default"/>
      </w:rPr>
    </w:lvl>
    <w:lvl w:ilvl="4">
      <w:start w:val="0"/>
      <w:numFmt w:val="bullet"/>
      <w:lvlText w:val="•"/>
      <w:lvlJc w:val="left"/>
      <w:pPr>
        <w:ind w:left="5041" w:hanging="681"/>
      </w:pPr>
      <w:rPr>
        <w:rFonts w:hint="default"/>
      </w:rPr>
    </w:lvl>
    <w:lvl w:ilvl="5">
      <w:start w:val="0"/>
      <w:numFmt w:val="bullet"/>
      <w:lvlText w:val="•"/>
      <w:lvlJc w:val="left"/>
      <w:pPr>
        <w:ind w:left="6069" w:hanging="681"/>
      </w:pPr>
      <w:rPr>
        <w:rFonts w:hint="default"/>
      </w:rPr>
    </w:lvl>
    <w:lvl w:ilvl="6">
      <w:start w:val="0"/>
      <w:numFmt w:val="bullet"/>
      <w:lvlText w:val="•"/>
      <w:lvlJc w:val="left"/>
      <w:pPr>
        <w:ind w:left="7096" w:hanging="681"/>
      </w:pPr>
      <w:rPr>
        <w:rFonts w:hint="default"/>
      </w:rPr>
    </w:lvl>
    <w:lvl w:ilvl="7">
      <w:start w:val="0"/>
      <w:numFmt w:val="bullet"/>
      <w:lvlText w:val="•"/>
      <w:lvlJc w:val="left"/>
      <w:pPr>
        <w:ind w:left="8123" w:hanging="681"/>
      </w:pPr>
      <w:rPr>
        <w:rFonts w:hint="default"/>
      </w:rPr>
    </w:lvl>
    <w:lvl w:ilvl="8">
      <w:start w:val="0"/>
      <w:numFmt w:val="bullet"/>
      <w:lvlText w:val="•"/>
      <w:lvlJc w:val="left"/>
      <w:pPr>
        <w:ind w:left="9150" w:hanging="681"/>
      </w:pPr>
      <w:rPr>
        <w:rFonts w:hint="default"/>
      </w:rPr>
    </w:lvl>
  </w:abstractNum>
  <w:abstractNum w:abstractNumId="65">
    <w:multiLevelType w:val="hybridMultilevel"/>
    <w:lvl w:ilvl="0">
      <w:start w:val="1"/>
      <w:numFmt w:val="lowerLetter"/>
      <w:lvlText w:val="%1)"/>
      <w:lvlJc w:val="left"/>
      <w:pPr>
        <w:ind w:left="760" w:hanging="681"/>
        <w:jc w:val="left"/>
      </w:pPr>
      <w:rPr>
        <w:rFonts w:hint="default" w:ascii="Stone Sans II ITC Std Bk" w:hAnsi="Stone Sans II ITC Std Bk" w:eastAsia="Stone Sans II ITC Std Bk" w:cs="Stone Sans II ITC Std Bk"/>
        <w:b/>
        <w:bCs/>
        <w:w w:val="110"/>
        <w:sz w:val="20"/>
        <w:szCs w:val="20"/>
      </w:rPr>
    </w:lvl>
    <w:lvl w:ilvl="1">
      <w:start w:val="0"/>
      <w:numFmt w:val="bullet"/>
      <w:lvlText w:val="•"/>
      <w:lvlJc w:val="left"/>
      <w:pPr>
        <w:ind w:left="1341" w:hanging="681"/>
      </w:pPr>
      <w:rPr>
        <w:rFonts w:hint="default"/>
      </w:rPr>
    </w:lvl>
    <w:lvl w:ilvl="2">
      <w:start w:val="0"/>
      <w:numFmt w:val="bullet"/>
      <w:lvlText w:val="•"/>
      <w:lvlJc w:val="left"/>
      <w:pPr>
        <w:ind w:left="1922" w:hanging="681"/>
      </w:pPr>
      <w:rPr>
        <w:rFonts w:hint="default"/>
      </w:rPr>
    </w:lvl>
    <w:lvl w:ilvl="3">
      <w:start w:val="0"/>
      <w:numFmt w:val="bullet"/>
      <w:lvlText w:val="•"/>
      <w:lvlJc w:val="left"/>
      <w:pPr>
        <w:ind w:left="2503" w:hanging="681"/>
      </w:pPr>
      <w:rPr>
        <w:rFonts w:hint="default"/>
      </w:rPr>
    </w:lvl>
    <w:lvl w:ilvl="4">
      <w:start w:val="0"/>
      <w:numFmt w:val="bullet"/>
      <w:lvlText w:val="•"/>
      <w:lvlJc w:val="left"/>
      <w:pPr>
        <w:ind w:left="3084" w:hanging="681"/>
      </w:pPr>
      <w:rPr>
        <w:rFonts w:hint="default"/>
      </w:rPr>
    </w:lvl>
    <w:lvl w:ilvl="5">
      <w:start w:val="0"/>
      <w:numFmt w:val="bullet"/>
      <w:lvlText w:val="•"/>
      <w:lvlJc w:val="left"/>
      <w:pPr>
        <w:ind w:left="3666" w:hanging="681"/>
      </w:pPr>
      <w:rPr>
        <w:rFonts w:hint="default"/>
      </w:rPr>
    </w:lvl>
    <w:lvl w:ilvl="6">
      <w:start w:val="0"/>
      <w:numFmt w:val="bullet"/>
      <w:lvlText w:val="•"/>
      <w:lvlJc w:val="left"/>
      <w:pPr>
        <w:ind w:left="4247" w:hanging="681"/>
      </w:pPr>
      <w:rPr>
        <w:rFonts w:hint="default"/>
      </w:rPr>
    </w:lvl>
    <w:lvl w:ilvl="7">
      <w:start w:val="0"/>
      <w:numFmt w:val="bullet"/>
      <w:lvlText w:val="•"/>
      <w:lvlJc w:val="left"/>
      <w:pPr>
        <w:ind w:left="4828" w:hanging="681"/>
      </w:pPr>
      <w:rPr>
        <w:rFonts w:hint="default"/>
      </w:rPr>
    </w:lvl>
    <w:lvl w:ilvl="8">
      <w:start w:val="0"/>
      <w:numFmt w:val="bullet"/>
      <w:lvlText w:val="•"/>
      <w:lvlJc w:val="left"/>
      <w:pPr>
        <w:ind w:left="5409" w:hanging="681"/>
      </w:pPr>
      <w:rPr>
        <w:rFonts w:hint="default"/>
      </w:rPr>
    </w:lvl>
  </w:abstractNum>
  <w:abstractNum w:abstractNumId="64">
    <w:multiLevelType w:val="hybridMultilevel"/>
    <w:lvl w:ilvl="0">
      <w:start w:val="0"/>
      <w:numFmt w:val="bullet"/>
      <w:lvlText w:val=""/>
      <w:lvlJc w:val="left"/>
      <w:pPr>
        <w:ind w:left="1964" w:hanging="681"/>
      </w:pPr>
      <w:rPr>
        <w:rFonts w:hint="default" w:ascii="Symbol" w:hAnsi="Symbol" w:eastAsia="Symbol" w:cs="Symbol"/>
        <w:w w:val="110"/>
        <w:position w:val="-3"/>
        <w:sz w:val="29"/>
        <w:szCs w:val="29"/>
      </w:rPr>
    </w:lvl>
    <w:lvl w:ilvl="1">
      <w:start w:val="0"/>
      <w:numFmt w:val="bullet"/>
      <w:lvlText w:val="•"/>
      <w:lvlJc w:val="left"/>
      <w:pPr>
        <w:ind w:left="2884" w:hanging="681"/>
      </w:pPr>
      <w:rPr>
        <w:rFonts w:hint="default"/>
      </w:rPr>
    </w:lvl>
    <w:lvl w:ilvl="2">
      <w:start w:val="0"/>
      <w:numFmt w:val="bullet"/>
      <w:lvlText w:val="•"/>
      <w:lvlJc w:val="left"/>
      <w:pPr>
        <w:ind w:left="3809" w:hanging="681"/>
      </w:pPr>
      <w:rPr>
        <w:rFonts w:hint="default"/>
      </w:rPr>
    </w:lvl>
    <w:lvl w:ilvl="3">
      <w:start w:val="0"/>
      <w:numFmt w:val="bullet"/>
      <w:lvlText w:val="•"/>
      <w:lvlJc w:val="left"/>
      <w:pPr>
        <w:ind w:left="4733" w:hanging="681"/>
      </w:pPr>
      <w:rPr>
        <w:rFonts w:hint="default"/>
      </w:rPr>
    </w:lvl>
    <w:lvl w:ilvl="4">
      <w:start w:val="0"/>
      <w:numFmt w:val="bullet"/>
      <w:lvlText w:val="•"/>
      <w:lvlJc w:val="left"/>
      <w:pPr>
        <w:ind w:left="5658" w:hanging="681"/>
      </w:pPr>
      <w:rPr>
        <w:rFonts w:hint="default"/>
      </w:rPr>
    </w:lvl>
    <w:lvl w:ilvl="5">
      <w:start w:val="0"/>
      <w:numFmt w:val="bullet"/>
      <w:lvlText w:val="•"/>
      <w:lvlJc w:val="left"/>
      <w:pPr>
        <w:ind w:left="6582" w:hanging="681"/>
      </w:pPr>
      <w:rPr>
        <w:rFonts w:hint="default"/>
      </w:rPr>
    </w:lvl>
    <w:lvl w:ilvl="6">
      <w:start w:val="0"/>
      <w:numFmt w:val="bullet"/>
      <w:lvlText w:val="•"/>
      <w:lvlJc w:val="left"/>
      <w:pPr>
        <w:ind w:left="7507" w:hanging="681"/>
      </w:pPr>
      <w:rPr>
        <w:rFonts w:hint="default"/>
      </w:rPr>
    </w:lvl>
    <w:lvl w:ilvl="7">
      <w:start w:val="0"/>
      <w:numFmt w:val="bullet"/>
      <w:lvlText w:val="•"/>
      <w:lvlJc w:val="left"/>
      <w:pPr>
        <w:ind w:left="8431" w:hanging="681"/>
      </w:pPr>
      <w:rPr>
        <w:rFonts w:hint="default"/>
      </w:rPr>
    </w:lvl>
    <w:lvl w:ilvl="8">
      <w:start w:val="0"/>
      <w:numFmt w:val="bullet"/>
      <w:lvlText w:val="•"/>
      <w:lvlJc w:val="left"/>
      <w:pPr>
        <w:ind w:left="9356" w:hanging="681"/>
      </w:pPr>
      <w:rPr>
        <w:rFonts w:hint="default"/>
      </w:rPr>
    </w:lvl>
  </w:abstractNum>
  <w:abstractNum w:abstractNumId="63">
    <w:multiLevelType w:val="hybridMultilevel"/>
    <w:lvl w:ilvl="0">
      <w:start w:val="6"/>
      <w:numFmt w:val="decimal"/>
      <w:lvlText w:val="%1"/>
      <w:lvlJc w:val="left"/>
      <w:pPr>
        <w:ind w:left="1284" w:hanging="681"/>
        <w:jc w:val="left"/>
      </w:pPr>
      <w:rPr>
        <w:rFonts w:hint="default"/>
      </w:rPr>
    </w:lvl>
    <w:lvl w:ilvl="1">
      <w:start w:val="1"/>
      <w:numFmt w:val="decimal"/>
      <w:lvlText w:val="%1.%2"/>
      <w:lvlJc w:val="left"/>
      <w:pPr>
        <w:ind w:left="1284" w:hanging="681"/>
        <w:jc w:val="right"/>
      </w:pPr>
      <w:rPr>
        <w:rFonts w:hint="default" w:ascii="Calibri" w:hAnsi="Calibri" w:eastAsia="Calibri" w:cs="Calibri"/>
        <w:spacing w:val="-18"/>
        <w:w w:val="125"/>
        <w:sz w:val="20"/>
        <w:szCs w:val="20"/>
      </w:rPr>
    </w:lvl>
    <w:lvl w:ilvl="2">
      <w:start w:val="1"/>
      <w:numFmt w:val="decimal"/>
      <w:lvlText w:val="%1.%2.%3"/>
      <w:lvlJc w:val="left"/>
      <w:pPr>
        <w:ind w:left="1227" w:hanging="681"/>
        <w:jc w:val="right"/>
      </w:pPr>
      <w:rPr>
        <w:rFonts w:hint="default"/>
        <w:spacing w:val="-18"/>
        <w:w w:val="125"/>
      </w:rPr>
    </w:lvl>
    <w:lvl w:ilvl="3">
      <w:start w:val="1"/>
      <w:numFmt w:val="lowerLetter"/>
      <w:lvlText w:val="%4)"/>
      <w:lvlJc w:val="left"/>
      <w:pPr>
        <w:ind w:left="1907" w:hanging="681"/>
        <w:jc w:val="right"/>
      </w:pPr>
      <w:rPr>
        <w:rFonts w:hint="default" w:ascii="Calibri" w:hAnsi="Calibri" w:eastAsia="Calibri" w:cs="Calibri"/>
        <w:w w:val="125"/>
        <w:sz w:val="20"/>
        <w:szCs w:val="20"/>
      </w:rPr>
    </w:lvl>
    <w:lvl w:ilvl="4">
      <w:start w:val="0"/>
      <w:numFmt w:val="bullet"/>
      <w:lvlText w:val="•"/>
      <w:lvlJc w:val="left"/>
      <w:pPr>
        <w:ind w:left="4226" w:hanging="681"/>
      </w:pPr>
      <w:rPr>
        <w:rFonts w:hint="default"/>
      </w:rPr>
    </w:lvl>
    <w:lvl w:ilvl="5">
      <w:start w:val="0"/>
      <w:numFmt w:val="bullet"/>
      <w:lvlText w:val="•"/>
      <w:lvlJc w:val="left"/>
      <w:pPr>
        <w:ind w:left="5389" w:hanging="681"/>
      </w:pPr>
      <w:rPr>
        <w:rFonts w:hint="default"/>
      </w:rPr>
    </w:lvl>
    <w:lvl w:ilvl="6">
      <w:start w:val="0"/>
      <w:numFmt w:val="bullet"/>
      <w:lvlText w:val="•"/>
      <w:lvlJc w:val="left"/>
      <w:pPr>
        <w:ind w:left="6552" w:hanging="681"/>
      </w:pPr>
      <w:rPr>
        <w:rFonts w:hint="default"/>
      </w:rPr>
    </w:lvl>
    <w:lvl w:ilvl="7">
      <w:start w:val="0"/>
      <w:numFmt w:val="bullet"/>
      <w:lvlText w:val="•"/>
      <w:lvlJc w:val="left"/>
      <w:pPr>
        <w:ind w:left="7715" w:hanging="681"/>
      </w:pPr>
      <w:rPr>
        <w:rFonts w:hint="default"/>
      </w:rPr>
    </w:lvl>
    <w:lvl w:ilvl="8">
      <w:start w:val="0"/>
      <w:numFmt w:val="bullet"/>
      <w:lvlText w:val="•"/>
      <w:lvlJc w:val="left"/>
      <w:pPr>
        <w:ind w:left="8879" w:hanging="681"/>
      </w:pPr>
      <w:rPr>
        <w:rFonts w:hint="default"/>
      </w:rPr>
    </w:lvl>
  </w:abstractNum>
  <w:abstractNum w:abstractNumId="62">
    <w:multiLevelType w:val="hybridMultilevel"/>
    <w:lvl w:ilvl="0">
      <w:start w:val="5"/>
      <w:numFmt w:val="decimal"/>
      <w:lvlText w:val="%1"/>
      <w:lvlJc w:val="left"/>
      <w:pPr>
        <w:ind w:left="1284" w:hanging="681"/>
        <w:jc w:val="left"/>
      </w:pPr>
      <w:rPr>
        <w:rFonts w:hint="default"/>
      </w:rPr>
    </w:lvl>
    <w:lvl w:ilvl="1">
      <w:start w:val="1"/>
      <w:numFmt w:val="decimal"/>
      <w:lvlText w:val="%1.%2"/>
      <w:lvlJc w:val="left"/>
      <w:pPr>
        <w:ind w:left="1284" w:hanging="681"/>
        <w:jc w:val="right"/>
      </w:pPr>
      <w:rPr>
        <w:rFonts w:hint="default" w:ascii="Calibri" w:hAnsi="Calibri" w:eastAsia="Calibri" w:cs="Calibri"/>
        <w:spacing w:val="-18"/>
        <w:w w:val="125"/>
        <w:sz w:val="20"/>
        <w:szCs w:val="20"/>
      </w:rPr>
    </w:lvl>
    <w:lvl w:ilvl="2">
      <w:start w:val="0"/>
      <w:numFmt w:val="bullet"/>
      <w:lvlText w:val="•"/>
      <w:lvlJc w:val="left"/>
      <w:pPr>
        <w:ind w:left="3265" w:hanging="681"/>
      </w:pPr>
      <w:rPr>
        <w:rFonts w:hint="default"/>
      </w:rPr>
    </w:lvl>
    <w:lvl w:ilvl="3">
      <w:start w:val="0"/>
      <w:numFmt w:val="bullet"/>
      <w:lvlText w:val="•"/>
      <w:lvlJc w:val="left"/>
      <w:pPr>
        <w:ind w:left="4257" w:hanging="681"/>
      </w:pPr>
      <w:rPr>
        <w:rFonts w:hint="default"/>
      </w:rPr>
    </w:lvl>
    <w:lvl w:ilvl="4">
      <w:start w:val="0"/>
      <w:numFmt w:val="bullet"/>
      <w:lvlText w:val="•"/>
      <w:lvlJc w:val="left"/>
      <w:pPr>
        <w:ind w:left="5250" w:hanging="681"/>
      </w:pPr>
      <w:rPr>
        <w:rFonts w:hint="default"/>
      </w:rPr>
    </w:lvl>
    <w:lvl w:ilvl="5">
      <w:start w:val="0"/>
      <w:numFmt w:val="bullet"/>
      <w:lvlText w:val="•"/>
      <w:lvlJc w:val="left"/>
      <w:pPr>
        <w:ind w:left="6242" w:hanging="681"/>
      </w:pPr>
      <w:rPr>
        <w:rFonts w:hint="default"/>
      </w:rPr>
    </w:lvl>
    <w:lvl w:ilvl="6">
      <w:start w:val="0"/>
      <w:numFmt w:val="bullet"/>
      <w:lvlText w:val="•"/>
      <w:lvlJc w:val="left"/>
      <w:pPr>
        <w:ind w:left="7235" w:hanging="681"/>
      </w:pPr>
      <w:rPr>
        <w:rFonts w:hint="default"/>
      </w:rPr>
    </w:lvl>
    <w:lvl w:ilvl="7">
      <w:start w:val="0"/>
      <w:numFmt w:val="bullet"/>
      <w:lvlText w:val="•"/>
      <w:lvlJc w:val="left"/>
      <w:pPr>
        <w:ind w:left="8227" w:hanging="681"/>
      </w:pPr>
      <w:rPr>
        <w:rFonts w:hint="default"/>
      </w:rPr>
    </w:lvl>
    <w:lvl w:ilvl="8">
      <w:start w:val="0"/>
      <w:numFmt w:val="bullet"/>
      <w:lvlText w:val="•"/>
      <w:lvlJc w:val="left"/>
      <w:pPr>
        <w:ind w:left="9220" w:hanging="681"/>
      </w:pPr>
      <w:rPr>
        <w:rFonts w:hint="default"/>
      </w:rPr>
    </w:lvl>
  </w:abstractNum>
  <w:abstractNum w:abstractNumId="61">
    <w:multiLevelType w:val="hybridMultilevel"/>
    <w:lvl w:ilvl="0">
      <w:start w:val="4"/>
      <w:numFmt w:val="decimal"/>
      <w:lvlText w:val="%1"/>
      <w:lvlJc w:val="left"/>
      <w:pPr>
        <w:ind w:left="547" w:hanging="681"/>
        <w:jc w:val="left"/>
      </w:pPr>
      <w:rPr>
        <w:rFonts w:hint="default"/>
      </w:rPr>
    </w:lvl>
    <w:lvl w:ilvl="1">
      <w:start w:val="1"/>
      <w:numFmt w:val="decimal"/>
      <w:lvlText w:val="%1.%2"/>
      <w:lvlJc w:val="left"/>
      <w:pPr>
        <w:ind w:left="547" w:hanging="681"/>
        <w:jc w:val="right"/>
      </w:pPr>
      <w:rPr>
        <w:rFonts w:hint="default" w:ascii="Calibri" w:hAnsi="Calibri" w:eastAsia="Calibri" w:cs="Calibri"/>
        <w:spacing w:val="-18"/>
        <w:w w:val="125"/>
        <w:sz w:val="20"/>
        <w:szCs w:val="20"/>
      </w:rPr>
    </w:lvl>
    <w:lvl w:ilvl="2">
      <w:start w:val="0"/>
      <w:numFmt w:val="bullet"/>
      <w:lvlText w:val="•"/>
      <w:lvlJc w:val="left"/>
      <w:pPr>
        <w:ind w:left="2673" w:hanging="681"/>
      </w:pPr>
      <w:rPr>
        <w:rFonts w:hint="default"/>
      </w:rPr>
    </w:lvl>
    <w:lvl w:ilvl="3">
      <w:start w:val="0"/>
      <w:numFmt w:val="bullet"/>
      <w:lvlText w:val="•"/>
      <w:lvlJc w:val="left"/>
      <w:pPr>
        <w:ind w:left="3739" w:hanging="681"/>
      </w:pPr>
      <w:rPr>
        <w:rFonts w:hint="default"/>
      </w:rPr>
    </w:lvl>
    <w:lvl w:ilvl="4">
      <w:start w:val="0"/>
      <w:numFmt w:val="bullet"/>
      <w:lvlText w:val="•"/>
      <w:lvlJc w:val="left"/>
      <w:pPr>
        <w:ind w:left="4806" w:hanging="681"/>
      </w:pPr>
      <w:rPr>
        <w:rFonts w:hint="default"/>
      </w:rPr>
    </w:lvl>
    <w:lvl w:ilvl="5">
      <w:start w:val="0"/>
      <w:numFmt w:val="bullet"/>
      <w:lvlText w:val="•"/>
      <w:lvlJc w:val="left"/>
      <w:pPr>
        <w:ind w:left="5872" w:hanging="681"/>
      </w:pPr>
      <w:rPr>
        <w:rFonts w:hint="default"/>
      </w:rPr>
    </w:lvl>
    <w:lvl w:ilvl="6">
      <w:start w:val="0"/>
      <w:numFmt w:val="bullet"/>
      <w:lvlText w:val="•"/>
      <w:lvlJc w:val="left"/>
      <w:pPr>
        <w:ind w:left="6939" w:hanging="681"/>
      </w:pPr>
      <w:rPr>
        <w:rFonts w:hint="default"/>
      </w:rPr>
    </w:lvl>
    <w:lvl w:ilvl="7">
      <w:start w:val="0"/>
      <w:numFmt w:val="bullet"/>
      <w:lvlText w:val="•"/>
      <w:lvlJc w:val="left"/>
      <w:pPr>
        <w:ind w:left="8005" w:hanging="681"/>
      </w:pPr>
      <w:rPr>
        <w:rFonts w:hint="default"/>
      </w:rPr>
    </w:lvl>
    <w:lvl w:ilvl="8">
      <w:start w:val="0"/>
      <w:numFmt w:val="bullet"/>
      <w:lvlText w:val="•"/>
      <w:lvlJc w:val="left"/>
      <w:pPr>
        <w:ind w:left="9072" w:hanging="681"/>
      </w:pPr>
      <w:rPr>
        <w:rFonts w:hint="default"/>
      </w:rPr>
    </w:lvl>
  </w:abstractNum>
  <w:abstractNum w:abstractNumId="60">
    <w:multiLevelType w:val="hybridMultilevel"/>
    <w:lvl w:ilvl="0">
      <w:start w:val="3"/>
      <w:numFmt w:val="decimal"/>
      <w:lvlText w:val="%1"/>
      <w:lvlJc w:val="left"/>
      <w:pPr>
        <w:ind w:left="547" w:hanging="681"/>
        <w:jc w:val="left"/>
      </w:pPr>
      <w:rPr>
        <w:rFonts w:hint="default"/>
      </w:rPr>
    </w:lvl>
    <w:lvl w:ilvl="1">
      <w:start w:val="1"/>
      <w:numFmt w:val="decimal"/>
      <w:lvlText w:val="%1.%2"/>
      <w:lvlJc w:val="left"/>
      <w:pPr>
        <w:ind w:left="547" w:hanging="681"/>
        <w:jc w:val="right"/>
      </w:pPr>
      <w:rPr>
        <w:rFonts w:hint="default" w:ascii="Calibri" w:hAnsi="Calibri" w:eastAsia="Calibri" w:cs="Calibri"/>
        <w:spacing w:val="-20"/>
        <w:w w:val="125"/>
        <w:sz w:val="20"/>
        <w:szCs w:val="20"/>
      </w:rPr>
    </w:lvl>
    <w:lvl w:ilvl="2">
      <w:start w:val="0"/>
      <w:numFmt w:val="bullet"/>
      <w:lvlText w:val="•"/>
      <w:lvlJc w:val="left"/>
      <w:pPr>
        <w:ind w:left="2673" w:hanging="681"/>
      </w:pPr>
      <w:rPr>
        <w:rFonts w:hint="default"/>
      </w:rPr>
    </w:lvl>
    <w:lvl w:ilvl="3">
      <w:start w:val="0"/>
      <w:numFmt w:val="bullet"/>
      <w:lvlText w:val="•"/>
      <w:lvlJc w:val="left"/>
      <w:pPr>
        <w:ind w:left="3739" w:hanging="681"/>
      </w:pPr>
      <w:rPr>
        <w:rFonts w:hint="default"/>
      </w:rPr>
    </w:lvl>
    <w:lvl w:ilvl="4">
      <w:start w:val="0"/>
      <w:numFmt w:val="bullet"/>
      <w:lvlText w:val="•"/>
      <w:lvlJc w:val="left"/>
      <w:pPr>
        <w:ind w:left="4806" w:hanging="681"/>
      </w:pPr>
      <w:rPr>
        <w:rFonts w:hint="default"/>
      </w:rPr>
    </w:lvl>
    <w:lvl w:ilvl="5">
      <w:start w:val="0"/>
      <w:numFmt w:val="bullet"/>
      <w:lvlText w:val="•"/>
      <w:lvlJc w:val="left"/>
      <w:pPr>
        <w:ind w:left="5872" w:hanging="681"/>
      </w:pPr>
      <w:rPr>
        <w:rFonts w:hint="default"/>
      </w:rPr>
    </w:lvl>
    <w:lvl w:ilvl="6">
      <w:start w:val="0"/>
      <w:numFmt w:val="bullet"/>
      <w:lvlText w:val="•"/>
      <w:lvlJc w:val="left"/>
      <w:pPr>
        <w:ind w:left="6939" w:hanging="681"/>
      </w:pPr>
      <w:rPr>
        <w:rFonts w:hint="default"/>
      </w:rPr>
    </w:lvl>
    <w:lvl w:ilvl="7">
      <w:start w:val="0"/>
      <w:numFmt w:val="bullet"/>
      <w:lvlText w:val="•"/>
      <w:lvlJc w:val="left"/>
      <w:pPr>
        <w:ind w:left="8005" w:hanging="681"/>
      </w:pPr>
      <w:rPr>
        <w:rFonts w:hint="default"/>
      </w:rPr>
    </w:lvl>
    <w:lvl w:ilvl="8">
      <w:start w:val="0"/>
      <w:numFmt w:val="bullet"/>
      <w:lvlText w:val="•"/>
      <w:lvlJc w:val="left"/>
      <w:pPr>
        <w:ind w:left="9072" w:hanging="681"/>
      </w:pPr>
      <w:rPr>
        <w:rFonts w:hint="default"/>
      </w:rPr>
    </w:lvl>
  </w:abstractNum>
  <w:abstractNum w:abstractNumId="59">
    <w:multiLevelType w:val="hybridMultilevel"/>
    <w:lvl w:ilvl="0">
      <w:start w:val="2"/>
      <w:numFmt w:val="decimal"/>
      <w:lvlText w:val="%1"/>
      <w:lvlJc w:val="left"/>
      <w:pPr>
        <w:ind w:left="1284" w:hanging="681"/>
        <w:jc w:val="left"/>
      </w:pPr>
      <w:rPr>
        <w:rFonts w:hint="default"/>
      </w:rPr>
    </w:lvl>
    <w:lvl w:ilvl="1">
      <w:start w:val="1"/>
      <w:numFmt w:val="decimal"/>
      <w:lvlText w:val="%1.%2"/>
      <w:lvlJc w:val="left"/>
      <w:pPr>
        <w:ind w:left="1284" w:hanging="681"/>
        <w:jc w:val="right"/>
      </w:pPr>
      <w:rPr>
        <w:rFonts w:hint="default" w:ascii="Calibri" w:hAnsi="Calibri" w:eastAsia="Calibri" w:cs="Calibri"/>
        <w:spacing w:val="-18"/>
        <w:w w:val="125"/>
        <w:sz w:val="20"/>
        <w:szCs w:val="20"/>
      </w:rPr>
    </w:lvl>
    <w:lvl w:ilvl="2">
      <w:start w:val="0"/>
      <w:numFmt w:val="bullet"/>
      <w:lvlText w:val="•"/>
      <w:lvlJc w:val="left"/>
      <w:pPr>
        <w:ind w:left="3265" w:hanging="681"/>
      </w:pPr>
      <w:rPr>
        <w:rFonts w:hint="default"/>
      </w:rPr>
    </w:lvl>
    <w:lvl w:ilvl="3">
      <w:start w:val="0"/>
      <w:numFmt w:val="bullet"/>
      <w:lvlText w:val="•"/>
      <w:lvlJc w:val="left"/>
      <w:pPr>
        <w:ind w:left="4257" w:hanging="681"/>
      </w:pPr>
      <w:rPr>
        <w:rFonts w:hint="default"/>
      </w:rPr>
    </w:lvl>
    <w:lvl w:ilvl="4">
      <w:start w:val="0"/>
      <w:numFmt w:val="bullet"/>
      <w:lvlText w:val="•"/>
      <w:lvlJc w:val="left"/>
      <w:pPr>
        <w:ind w:left="5250" w:hanging="681"/>
      </w:pPr>
      <w:rPr>
        <w:rFonts w:hint="default"/>
      </w:rPr>
    </w:lvl>
    <w:lvl w:ilvl="5">
      <w:start w:val="0"/>
      <w:numFmt w:val="bullet"/>
      <w:lvlText w:val="•"/>
      <w:lvlJc w:val="left"/>
      <w:pPr>
        <w:ind w:left="6242" w:hanging="681"/>
      </w:pPr>
      <w:rPr>
        <w:rFonts w:hint="default"/>
      </w:rPr>
    </w:lvl>
    <w:lvl w:ilvl="6">
      <w:start w:val="0"/>
      <w:numFmt w:val="bullet"/>
      <w:lvlText w:val="•"/>
      <w:lvlJc w:val="left"/>
      <w:pPr>
        <w:ind w:left="7235" w:hanging="681"/>
      </w:pPr>
      <w:rPr>
        <w:rFonts w:hint="default"/>
      </w:rPr>
    </w:lvl>
    <w:lvl w:ilvl="7">
      <w:start w:val="0"/>
      <w:numFmt w:val="bullet"/>
      <w:lvlText w:val="•"/>
      <w:lvlJc w:val="left"/>
      <w:pPr>
        <w:ind w:left="8227" w:hanging="681"/>
      </w:pPr>
      <w:rPr>
        <w:rFonts w:hint="default"/>
      </w:rPr>
    </w:lvl>
    <w:lvl w:ilvl="8">
      <w:start w:val="0"/>
      <w:numFmt w:val="bullet"/>
      <w:lvlText w:val="•"/>
      <w:lvlJc w:val="left"/>
      <w:pPr>
        <w:ind w:left="9220" w:hanging="681"/>
      </w:pPr>
      <w:rPr>
        <w:rFonts w:hint="default"/>
      </w:rPr>
    </w:lvl>
  </w:abstractNum>
  <w:abstractNum w:abstractNumId="57">
    <w:multiLevelType w:val="hybridMultilevel"/>
    <w:lvl w:ilvl="0">
      <w:start w:val="1"/>
      <w:numFmt w:val="decimal"/>
      <w:lvlText w:val="%1"/>
      <w:lvlJc w:val="left"/>
      <w:pPr>
        <w:ind w:left="1284" w:hanging="681"/>
        <w:jc w:val="left"/>
      </w:pPr>
      <w:rPr>
        <w:rFonts w:hint="default"/>
      </w:rPr>
    </w:lvl>
    <w:lvl w:ilvl="1">
      <w:start w:val="1"/>
      <w:numFmt w:val="decimal"/>
      <w:lvlText w:val="%1.%2"/>
      <w:lvlJc w:val="left"/>
      <w:pPr>
        <w:ind w:left="1284" w:hanging="681"/>
        <w:jc w:val="right"/>
      </w:pPr>
      <w:rPr>
        <w:rFonts w:hint="default" w:ascii="Calibri" w:hAnsi="Calibri" w:eastAsia="Calibri" w:cs="Calibri"/>
        <w:spacing w:val="-18"/>
        <w:w w:val="125"/>
        <w:sz w:val="20"/>
        <w:szCs w:val="20"/>
      </w:rPr>
    </w:lvl>
    <w:lvl w:ilvl="2">
      <w:start w:val="0"/>
      <w:numFmt w:val="bullet"/>
      <w:lvlText w:val="•"/>
      <w:lvlJc w:val="left"/>
      <w:pPr>
        <w:ind w:left="3265" w:hanging="681"/>
      </w:pPr>
      <w:rPr>
        <w:rFonts w:hint="default"/>
      </w:rPr>
    </w:lvl>
    <w:lvl w:ilvl="3">
      <w:start w:val="0"/>
      <w:numFmt w:val="bullet"/>
      <w:lvlText w:val="•"/>
      <w:lvlJc w:val="left"/>
      <w:pPr>
        <w:ind w:left="4257" w:hanging="681"/>
      </w:pPr>
      <w:rPr>
        <w:rFonts w:hint="default"/>
      </w:rPr>
    </w:lvl>
    <w:lvl w:ilvl="4">
      <w:start w:val="0"/>
      <w:numFmt w:val="bullet"/>
      <w:lvlText w:val="•"/>
      <w:lvlJc w:val="left"/>
      <w:pPr>
        <w:ind w:left="5250" w:hanging="681"/>
      </w:pPr>
      <w:rPr>
        <w:rFonts w:hint="default"/>
      </w:rPr>
    </w:lvl>
    <w:lvl w:ilvl="5">
      <w:start w:val="0"/>
      <w:numFmt w:val="bullet"/>
      <w:lvlText w:val="•"/>
      <w:lvlJc w:val="left"/>
      <w:pPr>
        <w:ind w:left="6242" w:hanging="681"/>
      </w:pPr>
      <w:rPr>
        <w:rFonts w:hint="default"/>
      </w:rPr>
    </w:lvl>
    <w:lvl w:ilvl="6">
      <w:start w:val="0"/>
      <w:numFmt w:val="bullet"/>
      <w:lvlText w:val="•"/>
      <w:lvlJc w:val="left"/>
      <w:pPr>
        <w:ind w:left="7235" w:hanging="681"/>
      </w:pPr>
      <w:rPr>
        <w:rFonts w:hint="default"/>
      </w:rPr>
    </w:lvl>
    <w:lvl w:ilvl="7">
      <w:start w:val="0"/>
      <w:numFmt w:val="bullet"/>
      <w:lvlText w:val="•"/>
      <w:lvlJc w:val="left"/>
      <w:pPr>
        <w:ind w:left="8227" w:hanging="681"/>
      </w:pPr>
      <w:rPr>
        <w:rFonts w:hint="default"/>
      </w:rPr>
    </w:lvl>
    <w:lvl w:ilvl="8">
      <w:start w:val="0"/>
      <w:numFmt w:val="bullet"/>
      <w:lvlText w:val="•"/>
      <w:lvlJc w:val="left"/>
      <w:pPr>
        <w:ind w:left="9220" w:hanging="681"/>
      </w:pPr>
      <w:rPr>
        <w:rFonts w:hint="default"/>
      </w:rPr>
    </w:lvl>
  </w:abstractNum>
  <w:abstractNum w:abstractNumId="56">
    <w:multiLevelType w:val="hybridMultilevel"/>
    <w:lvl w:ilvl="0">
      <w:start w:val="11"/>
      <w:numFmt w:val="decimal"/>
      <w:lvlText w:val="%1"/>
      <w:lvlJc w:val="left"/>
      <w:pPr>
        <w:ind w:left="1284" w:hanging="681"/>
        <w:jc w:val="left"/>
      </w:pPr>
      <w:rPr>
        <w:rFonts w:hint="default"/>
      </w:rPr>
    </w:lvl>
    <w:lvl w:ilvl="1">
      <w:start w:val="1"/>
      <w:numFmt w:val="decimal"/>
      <w:lvlText w:val="%1.%2"/>
      <w:lvlJc w:val="left"/>
      <w:pPr>
        <w:ind w:left="1284" w:hanging="681"/>
        <w:jc w:val="left"/>
      </w:pPr>
      <w:rPr>
        <w:rFonts w:hint="default" w:ascii="Calibri" w:hAnsi="Calibri" w:eastAsia="Calibri" w:cs="Calibri"/>
        <w:spacing w:val="-22"/>
        <w:w w:val="125"/>
        <w:sz w:val="20"/>
        <w:szCs w:val="20"/>
      </w:rPr>
    </w:lvl>
    <w:lvl w:ilvl="2">
      <w:start w:val="0"/>
      <w:numFmt w:val="bullet"/>
      <w:lvlText w:val="•"/>
      <w:lvlJc w:val="left"/>
      <w:pPr>
        <w:ind w:left="3265" w:hanging="681"/>
      </w:pPr>
      <w:rPr>
        <w:rFonts w:hint="default"/>
      </w:rPr>
    </w:lvl>
    <w:lvl w:ilvl="3">
      <w:start w:val="0"/>
      <w:numFmt w:val="bullet"/>
      <w:lvlText w:val="•"/>
      <w:lvlJc w:val="left"/>
      <w:pPr>
        <w:ind w:left="4257" w:hanging="681"/>
      </w:pPr>
      <w:rPr>
        <w:rFonts w:hint="default"/>
      </w:rPr>
    </w:lvl>
    <w:lvl w:ilvl="4">
      <w:start w:val="0"/>
      <w:numFmt w:val="bullet"/>
      <w:lvlText w:val="•"/>
      <w:lvlJc w:val="left"/>
      <w:pPr>
        <w:ind w:left="5250" w:hanging="681"/>
      </w:pPr>
      <w:rPr>
        <w:rFonts w:hint="default"/>
      </w:rPr>
    </w:lvl>
    <w:lvl w:ilvl="5">
      <w:start w:val="0"/>
      <w:numFmt w:val="bullet"/>
      <w:lvlText w:val="•"/>
      <w:lvlJc w:val="left"/>
      <w:pPr>
        <w:ind w:left="6242" w:hanging="681"/>
      </w:pPr>
      <w:rPr>
        <w:rFonts w:hint="default"/>
      </w:rPr>
    </w:lvl>
    <w:lvl w:ilvl="6">
      <w:start w:val="0"/>
      <w:numFmt w:val="bullet"/>
      <w:lvlText w:val="•"/>
      <w:lvlJc w:val="left"/>
      <w:pPr>
        <w:ind w:left="7235" w:hanging="681"/>
      </w:pPr>
      <w:rPr>
        <w:rFonts w:hint="default"/>
      </w:rPr>
    </w:lvl>
    <w:lvl w:ilvl="7">
      <w:start w:val="0"/>
      <w:numFmt w:val="bullet"/>
      <w:lvlText w:val="•"/>
      <w:lvlJc w:val="left"/>
      <w:pPr>
        <w:ind w:left="8227" w:hanging="681"/>
      </w:pPr>
      <w:rPr>
        <w:rFonts w:hint="default"/>
      </w:rPr>
    </w:lvl>
    <w:lvl w:ilvl="8">
      <w:start w:val="0"/>
      <w:numFmt w:val="bullet"/>
      <w:lvlText w:val="•"/>
      <w:lvlJc w:val="left"/>
      <w:pPr>
        <w:ind w:left="9220" w:hanging="681"/>
      </w:pPr>
      <w:rPr>
        <w:rFonts w:hint="default"/>
      </w:rPr>
    </w:lvl>
  </w:abstractNum>
  <w:abstractNum w:abstractNumId="55">
    <w:multiLevelType w:val="hybridMultilevel"/>
    <w:lvl w:ilvl="0">
      <w:start w:val="10"/>
      <w:numFmt w:val="decimal"/>
      <w:lvlText w:val="%1"/>
      <w:lvlJc w:val="left"/>
      <w:pPr>
        <w:ind w:left="547" w:hanging="681"/>
        <w:jc w:val="left"/>
      </w:pPr>
      <w:rPr>
        <w:rFonts w:hint="default"/>
      </w:rPr>
    </w:lvl>
    <w:lvl w:ilvl="1">
      <w:start w:val="1"/>
      <w:numFmt w:val="decimal"/>
      <w:lvlText w:val="%1.%2"/>
      <w:lvlJc w:val="left"/>
      <w:pPr>
        <w:ind w:left="547" w:hanging="681"/>
        <w:jc w:val="left"/>
      </w:pPr>
      <w:rPr>
        <w:rFonts w:hint="default" w:ascii="Calibri" w:hAnsi="Calibri" w:eastAsia="Calibri" w:cs="Calibri"/>
        <w:spacing w:val="-18"/>
        <w:w w:val="125"/>
        <w:sz w:val="20"/>
        <w:szCs w:val="20"/>
      </w:rPr>
    </w:lvl>
    <w:lvl w:ilvl="2">
      <w:start w:val="0"/>
      <w:numFmt w:val="bullet"/>
      <w:lvlText w:val="•"/>
      <w:lvlJc w:val="left"/>
      <w:pPr>
        <w:ind w:left="2673" w:hanging="681"/>
      </w:pPr>
      <w:rPr>
        <w:rFonts w:hint="default"/>
      </w:rPr>
    </w:lvl>
    <w:lvl w:ilvl="3">
      <w:start w:val="0"/>
      <w:numFmt w:val="bullet"/>
      <w:lvlText w:val="•"/>
      <w:lvlJc w:val="left"/>
      <w:pPr>
        <w:ind w:left="3739" w:hanging="681"/>
      </w:pPr>
      <w:rPr>
        <w:rFonts w:hint="default"/>
      </w:rPr>
    </w:lvl>
    <w:lvl w:ilvl="4">
      <w:start w:val="0"/>
      <w:numFmt w:val="bullet"/>
      <w:lvlText w:val="•"/>
      <w:lvlJc w:val="left"/>
      <w:pPr>
        <w:ind w:left="4806" w:hanging="681"/>
      </w:pPr>
      <w:rPr>
        <w:rFonts w:hint="default"/>
      </w:rPr>
    </w:lvl>
    <w:lvl w:ilvl="5">
      <w:start w:val="0"/>
      <w:numFmt w:val="bullet"/>
      <w:lvlText w:val="•"/>
      <w:lvlJc w:val="left"/>
      <w:pPr>
        <w:ind w:left="5872" w:hanging="681"/>
      </w:pPr>
      <w:rPr>
        <w:rFonts w:hint="default"/>
      </w:rPr>
    </w:lvl>
    <w:lvl w:ilvl="6">
      <w:start w:val="0"/>
      <w:numFmt w:val="bullet"/>
      <w:lvlText w:val="•"/>
      <w:lvlJc w:val="left"/>
      <w:pPr>
        <w:ind w:left="6939" w:hanging="681"/>
      </w:pPr>
      <w:rPr>
        <w:rFonts w:hint="default"/>
      </w:rPr>
    </w:lvl>
    <w:lvl w:ilvl="7">
      <w:start w:val="0"/>
      <w:numFmt w:val="bullet"/>
      <w:lvlText w:val="•"/>
      <w:lvlJc w:val="left"/>
      <w:pPr>
        <w:ind w:left="8005" w:hanging="681"/>
      </w:pPr>
      <w:rPr>
        <w:rFonts w:hint="default"/>
      </w:rPr>
    </w:lvl>
    <w:lvl w:ilvl="8">
      <w:start w:val="0"/>
      <w:numFmt w:val="bullet"/>
      <w:lvlText w:val="•"/>
      <w:lvlJc w:val="left"/>
      <w:pPr>
        <w:ind w:left="9072" w:hanging="681"/>
      </w:pPr>
      <w:rPr>
        <w:rFonts w:hint="default"/>
      </w:rPr>
    </w:lvl>
  </w:abstractNum>
  <w:abstractNum w:abstractNumId="54">
    <w:multiLevelType w:val="hybridMultilevel"/>
    <w:lvl w:ilvl="0">
      <w:start w:val="9"/>
      <w:numFmt w:val="decimal"/>
      <w:lvlText w:val="%1"/>
      <w:lvlJc w:val="left"/>
      <w:pPr>
        <w:ind w:left="547" w:hanging="681"/>
        <w:jc w:val="left"/>
      </w:pPr>
      <w:rPr>
        <w:rFonts w:hint="default"/>
      </w:rPr>
    </w:lvl>
    <w:lvl w:ilvl="1">
      <w:start w:val="1"/>
      <w:numFmt w:val="decimal"/>
      <w:lvlText w:val="%1.%2"/>
      <w:lvlJc w:val="left"/>
      <w:pPr>
        <w:ind w:left="547" w:hanging="681"/>
        <w:jc w:val="left"/>
      </w:pPr>
      <w:rPr>
        <w:rFonts w:hint="default" w:ascii="Calibri" w:hAnsi="Calibri" w:eastAsia="Calibri" w:cs="Calibri"/>
        <w:spacing w:val="-18"/>
        <w:w w:val="125"/>
        <w:sz w:val="20"/>
        <w:szCs w:val="20"/>
      </w:rPr>
    </w:lvl>
    <w:lvl w:ilvl="2">
      <w:start w:val="0"/>
      <w:numFmt w:val="bullet"/>
      <w:lvlText w:val="•"/>
      <w:lvlJc w:val="left"/>
      <w:pPr>
        <w:ind w:left="2673" w:hanging="681"/>
      </w:pPr>
      <w:rPr>
        <w:rFonts w:hint="default"/>
      </w:rPr>
    </w:lvl>
    <w:lvl w:ilvl="3">
      <w:start w:val="0"/>
      <w:numFmt w:val="bullet"/>
      <w:lvlText w:val="•"/>
      <w:lvlJc w:val="left"/>
      <w:pPr>
        <w:ind w:left="3739" w:hanging="681"/>
      </w:pPr>
      <w:rPr>
        <w:rFonts w:hint="default"/>
      </w:rPr>
    </w:lvl>
    <w:lvl w:ilvl="4">
      <w:start w:val="0"/>
      <w:numFmt w:val="bullet"/>
      <w:lvlText w:val="•"/>
      <w:lvlJc w:val="left"/>
      <w:pPr>
        <w:ind w:left="4806" w:hanging="681"/>
      </w:pPr>
      <w:rPr>
        <w:rFonts w:hint="default"/>
      </w:rPr>
    </w:lvl>
    <w:lvl w:ilvl="5">
      <w:start w:val="0"/>
      <w:numFmt w:val="bullet"/>
      <w:lvlText w:val="•"/>
      <w:lvlJc w:val="left"/>
      <w:pPr>
        <w:ind w:left="5872" w:hanging="681"/>
      </w:pPr>
      <w:rPr>
        <w:rFonts w:hint="default"/>
      </w:rPr>
    </w:lvl>
    <w:lvl w:ilvl="6">
      <w:start w:val="0"/>
      <w:numFmt w:val="bullet"/>
      <w:lvlText w:val="•"/>
      <w:lvlJc w:val="left"/>
      <w:pPr>
        <w:ind w:left="6939" w:hanging="681"/>
      </w:pPr>
      <w:rPr>
        <w:rFonts w:hint="default"/>
      </w:rPr>
    </w:lvl>
    <w:lvl w:ilvl="7">
      <w:start w:val="0"/>
      <w:numFmt w:val="bullet"/>
      <w:lvlText w:val="•"/>
      <w:lvlJc w:val="left"/>
      <w:pPr>
        <w:ind w:left="8005" w:hanging="681"/>
      </w:pPr>
      <w:rPr>
        <w:rFonts w:hint="default"/>
      </w:rPr>
    </w:lvl>
    <w:lvl w:ilvl="8">
      <w:start w:val="0"/>
      <w:numFmt w:val="bullet"/>
      <w:lvlText w:val="•"/>
      <w:lvlJc w:val="left"/>
      <w:pPr>
        <w:ind w:left="9072" w:hanging="681"/>
      </w:pPr>
      <w:rPr>
        <w:rFonts w:hint="default"/>
      </w:rPr>
    </w:lvl>
  </w:abstractNum>
  <w:abstractNum w:abstractNumId="53">
    <w:multiLevelType w:val="hybridMultilevel"/>
    <w:lvl w:ilvl="0">
      <w:start w:val="8"/>
      <w:numFmt w:val="decimal"/>
      <w:lvlText w:val="%1"/>
      <w:lvlJc w:val="left"/>
      <w:pPr>
        <w:ind w:left="547" w:hanging="681"/>
        <w:jc w:val="left"/>
      </w:pPr>
      <w:rPr>
        <w:rFonts w:hint="default"/>
      </w:rPr>
    </w:lvl>
    <w:lvl w:ilvl="1">
      <w:start w:val="1"/>
      <w:numFmt w:val="decimal"/>
      <w:lvlText w:val="%1.%2"/>
      <w:lvlJc w:val="left"/>
      <w:pPr>
        <w:ind w:left="547" w:hanging="681"/>
        <w:jc w:val="left"/>
      </w:pPr>
      <w:rPr>
        <w:rFonts w:hint="default" w:ascii="Calibri" w:hAnsi="Calibri" w:eastAsia="Calibri" w:cs="Calibri"/>
        <w:spacing w:val="-18"/>
        <w:w w:val="125"/>
        <w:sz w:val="20"/>
        <w:szCs w:val="20"/>
      </w:rPr>
    </w:lvl>
    <w:lvl w:ilvl="2">
      <w:start w:val="0"/>
      <w:numFmt w:val="bullet"/>
      <w:lvlText w:val="•"/>
      <w:lvlJc w:val="left"/>
      <w:pPr>
        <w:ind w:left="2673" w:hanging="681"/>
      </w:pPr>
      <w:rPr>
        <w:rFonts w:hint="default"/>
      </w:rPr>
    </w:lvl>
    <w:lvl w:ilvl="3">
      <w:start w:val="0"/>
      <w:numFmt w:val="bullet"/>
      <w:lvlText w:val="•"/>
      <w:lvlJc w:val="left"/>
      <w:pPr>
        <w:ind w:left="3739" w:hanging="681"/>
      </w:pPr>
      <w:rPr>
        <w:rFonts w:hint="default"/>
      </w:rPr>
    </w:lvl>
    <w:lvl w:ilvl="4">
      <w:start w:val="0"/>
      <w:numFmt w:val="bullet"/>
      <w:lvlText w:val="•"/>
      <w:lvlJc w:val="left"/>
      <w:pPr>
        <w:ind w:left="4806" w:hanging="681"/>
      </w:pPr>
      <w:rPr>
        <w:rFonts w:hint="default"/>
      </w:rPr>
    </w:lvl>
    <w:lvl w:ilvl="5">
      <w:start w:val="0"/>
      <w:numFmt w:val="bullet"/>
      <w:lvlText w:val="•"/>
      <w:lvlJc w:val="left"/>
      <w:pPr>
        <w:ind w:left="5872" w:hanging="681"/>
      </w:pPr>
      <w:rPr>
        <w:rFonts w:hint="default"/>
      </w:rPr>
    </w:lvl>
    <w:lvl w:ilvl="6">
      <w:start w:val="0"/>
      <w:numFmt w:val="bullet"/>
      <w:lvlText w:val="•"/>
      <w:lvlJc w:val="left"/>
      <w:pPr>
        <w:ind w:left="6939" w:hanging="681"/>
      </w:pPr>
      <w:rPr>
        <w:rFonts w:hint="default"/>
      </w:rPr>
    </w:lvl>
    <w:lvl w:ilvl="7">
      <w:start w:val="0"/>
      <w:numFmt w:val="bullet"/>
      <w:lvlText w:val="•"/>
      <w:lvlJc w:val="left"/>
      <w:pPr>
        <w:ind w:left="8005" w:hanging="681"/>
      </w:pPr>
      <w:rPr>
        <w:rFonts w:hint="default"/>
      </w:rPr>
    </w:lvl>
    <w:lvl w:ilvl="8">
      <w:start w:val="0"/>
      <w:numFmt w:val="bullet"/>
      <w:lvlText w:val="•"/>
      <w:lvlJc w:val="left"/>
      <w:pPr>
        <w:ind w:left="9072" w:hanging="681"/>
      </w:pPr>
      <w:rPr>
        <w:rFonts w:hint="default"/>
      </w:rPr>
    </w:lvl>
  </w:abstractNum>
  <w:abstractNum w:abstractNumId="52">
    <w:multiLevelType w:val="hybridMultilevel"/>
    <w:lvl w:ilvl="0">
      <w:start w:val="7"/>
      <w:numFmt w:val="decimal"/>
      <w:lvlText w:val="%1"/>
      <w:lvlJc w:val="left"/>
      <w:pPr>
        <w:ind w:left="1284" w:hanging="681"/>
        <w:jc w:val="left"/>
      </w:pPr>
      <w:rPr>
        <w:rFonts w:hint="default"/>
      </w:rPr>
    </w:lvl>
    <w:lvl w:ilvl="1">
      <w:start w:val="1"/>
      <w:numFmt w:val="decimal"/>
      <w:lvlText w:val="%1.%2"/>
      <w:lvlJc w:val="left"/>
      <w:pPr>
        <w:ind w:left="1284" w:hanging="681"/>
        <w:jc w:val="right"/>
      </w:pPr>
      <w:rPr>
        <w:rFonts w:hint="default" w:ascii="Calibri" w:hAnsi="Calibri" w:eastAsia="Calibri" w:cs="Calibri"/>
        <w:spacing w:val="-25"/>
        <w:w w:val="125"/>
        <w:sz w:val="20"/>
        <w:szCs w:val="20"/>
      </w:rPr>
    </w:lvl>
    <w:lvl w:ilvl="2">
      <w:start w:val="0"/>
      <w:numFmt w:val="bullet"/>
      <w:lvlText w:val="•"/>
      <w:lvlJc w:val="left"/>
      <w:pPr>
        <w:ind w:left="3265" w:hanging="681"/>
      </w:pPr>
      <w:rPr>
        <w:rFonts w:hint="default"/>
      </w:rPr>
    </w:lvl>
    <w:lvl w:ilvl="3">
      <w:start w:val="0"/>
      <w:numFmt w:val="bullet"/>
      <w:lvlText w:val="•"/>
      <w:lvlJc w:val="left"/>
      <w:pPr>
        <w:ind w:left="4257" w:hanging="681"/>
      </w:pPr>
      <w:rPr>
        <w:rFonts w:hint="default"/>
      </w:rPr>
    </w:lvl>
    <w:lvl w:ilvl="4">
      <w:start w:val="0"/>
      <w:numFmt w:val="bullet"/>
      <w:lvlText w:val="•"/>
      <w:lvlJc w:val="left"/>
      <w:pPr>
        <w:ind w:left="5250" w:hanging="681"/>
      </w:pPr>
      <w:rPr>
        <w:rFonts w:hint="default"/>
      </w:rPr>
    </w:lvl>
    <w:lvl w:ilvl="5">
      <w:start w:val="0"/>
      <w:numFmt w:val="bullet"/>
      <w:lvlText w:val="•"/>
      <w:lvlJc w:val="left"/>
      <w:pPr>
        <w:ind w:left="6242" w:hanging="681"/>
      </w:pPr>
      <w:rPr>
        <w:rFonts w:hint="default"/>
      </w:rPr>
    </w:lvl>
    <w:lvl w:ilvl="6">
      <w:start w:val="0"/>
      <w:numFmt w:val="bullet"/>
      <w:lvlText w:val="•"/>
      <w:lvlJc w:val="left"/>
      <w:pPr>
        <w:ind w:left="7235" w:hanging="681"/>
      </w:pPr>
      <w:rPr>
        <w:rFonts w:hint="default"/>
      </w:rPr>
    </w:lvl>
    <w:lvl w:ilvl="7">
      <w:start w:val="0"/>
      <w:numFmt w:val="bullet"/>
      <w:lvlText w:val="•"/>
      <w:lvlJc w:val="left"/>
      <w:pPr>
        <w:ind w:left="8227" w:hanging="681"/>
      </w:pPr>
      <w:rPr>
        <w:rFonts w:hint="default"/>
      </w:rPr>
    </w:lvl>
    <w:lvl w:ilvl="8">
      <w:start w:val="0"/>
      <w:numFmt w:val="bullet"/>
      <w:lvlText w:val="•"/>
      <w:lvlJc w:val="left"/>
      <w:pPr>
        <w:ind w:left="9220" w:hanging="681"/>
      </w:pPr>
      <w:rPr>
        <w:rFonts w:hint="default"/>
      </w:rPr>
    </w:lvl>
  </w:abstractNum>
  <w:abstractNum w:abstractNumId="51">
    <w:multiLevelType w:val="hybridMultilevel"/>
    <w:lvl w:ilvl="0">
      <w:start w:val="0"/>
      <w:numFmt w:val="bullet"/>
      <w:lvlText w:val="–"/>
      <w:lvlJc w:val="left"/>
      <w:pPr>
        <w:ind w:left="1284" w:hanging="185"/>
      </w:pPr>
      <w:rPr>
        <w:rFonts w:hint="default" w:ascii="Calibri" w:hAnsi="Calibri" w:eastAsia="Calibri" w:cs="Calibri"/>
        <w:w w:val="127"/>
        <w:sz w:val="20"/>
        <w:szCs w:val="20"/>
      </w:rPr>
    </w:lvl>
    <w:lvl w:ilvl="1">
      <w:start w:val="0"/>
      <w:numFmt w:val="bullet"/>
      <w:lvlText w:val="•"/>
      <w:lvlJc w:val="left"/>
      <w:pPr>
        <w:ind w:left="2272" w:hanging="185"/>
      </w:pPr>
      <w:rPr>
        <w:rFonts w:hint="default"/>
      </w:rPr>
    </w:lvl>
    <w:lvl w:ilvl="2">
      <w:start w:val="0"/>
      <w:numFmt w:val="bullet"/>
      <w:lvlText w:val="•"/>
      <w:lvlJc w:val="left"/>
      <w:pPr>
        <w:ind w:left="3265" w:hanging="185"/>
      </w:pPr>
      <w:rPr>
        <w:rFonts w:hint="default"/>
      </w:rPr>
    </w:lvl>
    <w:lvl w:ilvl="3">
      <w:start w:val="0"/>
      <w:numFmt w:val="bullet"/>
      <w:lvlText w:val="•"/>
      <w:lvlJc w:val="left"/>
      <w:pPr>
        <w:ind w:left="4257" w:hanging="185"/>
      </w:pPr>
      <w:rPr>
        <w:rFonts w:hint="default"/>
      </w:rPr>
    </w:lvl>
    <w:lvl w:ilvl="4">
      <w:start w:val="0"/>
      <w:numFmt w:val="bullet"/>
      <w:lvlText w:val="•"/>
      <w:lvlJc w:val="left"/>
      <w:pPr>
        <w:ind w:left="5250" w:hanging="185"/>
      </w:pPr>
      <w:rPr>
        <w:rFonts w:hint="default"/>
      </w:rPr>
    </w:lvl>
    <w:lvl w:ilvl="5">
      <w:start w:val="0"/>
      <w:numFmt w:val="bullet"/>
      <w:lvlText w:val="•"/>
      <w:lvlJc w:val="left"/>
      <w:pPr>
        <w:ind w:left="6242" w:hanging="185"/>
      </w:pPr>
      <w:rPr>
        <w:rFonts w:hint="default"/>
      </w:rPr>
    </w:lvl>
    <w:lvl w:ilvl="6">
      <w:start w:val="0"/>
      <w:numFmt w:val="bullet"/>
      <w:lvlText w:val="•"/>
      <w:lvlJc w:val="left"/>
      <w:pPr>
        <w:ind w:left="7235" w:hanging="185"/>
      </w:pPr>
      <w:rPr>
        <w:rFonts w:hint="default"/>
      </w:rPr>
    </w:lvl>
    <w:lvl w:ilvl="7">
      <w:start w:val="0"/>
      <w:numFmt w:val="bullet"/>
      <w:lvlText w:val="•"/>
      <w:lvlJc w:val="left"/>
      <w:pPr>
        <w:ind w:left="8227" w:hanging="185"/>
      </w:pPr>
      <w:rPr>
        <w:rFonts w:hint="default"/>
      </w:rPr>
    </w:lvl>
    <w:lvl w:ilvl="8">
      <w:start w:val="0"/>
      <w:numFmt w:val="bullet"/>
      <w:lvlText w:val="•"/>
      <w:lvlJc w:val="left"/>
      <w:pPr>
        <w:ind w:left="9220" w:hanging="185"/>
      </w:pPr>
      <w:rPr>
        <w:rFonts w:hint="default"/>
      </w:rPr>
    </w:lvl>
  </w:abstractNum>
  <w:abstractNum w:abstractNumId="50">
    <w:multiLevelType w:val="hybridMultilevel"/>
    <w:lvl w:ilvl="0">
      <w:start w:val="6"/>
      <w:numFmt w:val="decimal"/>
      <w:lvlText w:val="%1"/>
      <w:lvlJc w:val="left"/>
      <w:pPr>
        <w:ind w:left="1284" w:hanging="681"/>
        <w:jc w:val="left"/>
      </w:pPr>
      <w:rPr>
        <w:rFonts w:hint="default"/>
      </w:rPr>
    </w:lvl>
    <w:lvl w:ilvl="1">
      <w:start w:val="1"/>
      <w:numFmt w:val="decimal"/>
      <w:lvlText w:val="%1.%2"/>
      <w:lvlJc w:val="left"/>
      <w:pPr>
        <w:ind w:left="1284" w:hanging="681"/>
        <w:jc w:val="left"/>
      </w:pPr>
      <w:rPr>
        <w:rFonts w:hint="default" w:ascii="Calibri" w:hAnsi="Calibri" w:eastAsia="Calibri" w:cs="Calibri"/>
        <w:spacing w:val="-18"/>
        <w:w w:val="125"/>
        <w:sz w:val="20"/>
        <w:szCs w:val="20"/>
      </w:rPr>
    </w:lvl>
    <w:lvl w:ilvl="2">
      <w:start w:val="0"/>
      <w:numFmt w:val="bullet"/>
      <w:lvlText w:val="•"/>
      <w:lvlJc w:val="left"/>
      <w:pPr>
        <w:ind w:left="3265" w:hanging="681"/>
      </w:pPr>
      <w:rPr>
        <w:rFonts w:hint="default"/>
      </w:rPr>
    </w:lvl>
    <w:lvl w:ilvl="3">
      <w:start w:val="0"/>
      <w:numFmt w:val="bullet"/>
      <w:lvlText w:val="•"/>
      <w:lvlJc w:val="left"/>
      <w:pPr>
        <w:ind w:left="4257" w:hanging="681"/>
      </w:pPr>
      <w:rPr>
        <w:rFonts w:hint="default"/>
      </w:rPr>
    </w:lvl>
    <w:lvl w:ilvl="4">
      <w:start w:val="0"/>
      <w:numFmt w:val="bullet"/>
      <w:lvlText w:val="•"/>
      <w:lvlJc w:val="left"/>
      <w:pPr>
        <w:ind w:left="5250" w:hanging="681"/>
      </w:pPr>
      <w:rPr>
        <w:rFonts w:hint="default"/>
      </w:rPr>
    </w:lvl>
    <w:lvl w:ilvl="5">
      <w:start w:val="0"/>
      <w:numFmt w:val="bullet"/>
      <w:lvlText w:val="•"/>
      <w:lvlJc w:val="left"/>
      <w:pPr>
        <w:ind w:left="6242" w:hanging="681"/>
      </w:pPr>
      <w:rPr>
        <w:rFonts w:hint="default"/>
      </w:rPr>
    </w:lvl>
    <w:lvl w:ilvl="6">
      <w:start w:val="0"/>
      <w:numFmt w:val="bullet"/>
      <w:lvlText w:val="•"/>
      <w:lvlJc w:val="left"/>
      <w:pPr>
        <w:ind w:left="7235" w:hanging="681"/>
      </w:pPr>
      <w:rPr>
        <w:rFonts w:hint="default"/>
      </w:rPr>
    </w:lvl>
    <w:lvl w:ilvl="7">
      <w:start w:val="0"/>
      <w:numFmt w:val="bullet"/>
      <w:lvlText w:val="•"/>
      <w:lvlJc w:val="left"/>
      <w:pPr>
        <w:ind w:left="8227" w:hanging="681"/>
      </w:pPr>
      <w:rPr>
        <w:rFonts w:hint="default"/>
      </w:rPr>
    </w:lvl>
    <w:lvl w:ilvl="8">
      <w:start w:val="0"/>
      <w:numFmt w:val="bullet"/>
      <w:lvlText w:val="•"/>
      <w:lvlJc w:val="left"/>
      <w:pPr>
        <w:ind w:left="9220" w:hanging="681"/>
      </w:pPr>
      <w:rPr>
        <w:rFonts w:hint="default"/>
      </w:rPr>
    </w:lvl>
  </w:abstractNum>
  <w:abstractNum w:abstractNumId="49">
    <w:multiLevelType w:val="hybridMultilevel"/>
    <w:lvl w:ilvl="0">
      <w:start w:val="5"/>
      <w:numFmt w:val="decimal"/>
      <w:lvlText w:val="%1"/>
      <w:lvlJc w:val="left"/>
      <w:pPr>
        <w:ind w:left="547" w:hanging="681"/>
        <w:jc w:val="left"/>
      </w:pPr>
      <w:rPr>
        <w:rFonts w:hint="default"/>
      </w:rPr>
    </w:lvl>
    <w:lvl w:ilvl="1">
      <w:start w:val="1"/>
      <w:numFmt w:val="decimal"/>
      <w:lvlText w:val="%1.%2"/>
      <w:lvlJc w:val="left"/>
      <w:pPr>
        <w:ind w:left="547" w:hanging="681"/>
        <w:jc w:val="right"/>
      </w:pPr>
      <w:rPr>
        <w:rFonts w:hint="default" w:ascii="Calibri" w:hAnsi="Calibri" w:eastAsia="Calibri" w:cs="Calibri"/>
        <w:spacing w:val="-18"/>
        <w:w w:val="125"/>
        <w:sz w:val="20"/>
        <w:szCs w:val="20"/>
      </w:rPr>
    </w:lvl>
    <w:lvl w:ilvl="2">
      <w:start w:val="0"/>
      <w:numFmt w:val="bullet"/>
      <w:lvlText w:val="•"/>
      <w:lvlJc w:val="left"/>
      <w:pPr>
        <w:ind w:left="2673" w:hanging="681"/>
      </w:pPr>
      <w:rPr>
        <w:rFonts w:hint="default"/>
      </w:rPr>
    </w:lvl>
    <w:lvl w:ilvl="3">
      <w:start w:val="0"/>
      <w:numFmt w:val="bullet"/>
      <w:lvlText w:val="•"/>
      <w:lvlJc w:val="left"/>
      <w:pPr>
        <w:ind w:left="3739" w:hanging="681"/>
      </w:pPr>
      <w:rPr>
        <w:rFonts w:hint="default"/>
      </w:rPr>
    </w:lvl>
    <w:lvl w:ilvl="4">
      <w:start w:val="0"/>
      <w:numFmt w:val="bullet"/>
      <w:lvlText w:val="•"/>
      <w:lvlJc w:val="left"/>
      <w:pPr>
        <w:ind w:left="4806" w:hanging="681"/>
      </w:pPr>
      <w:rPr>
        <w:rFonts w:hint="default"/>
      </w:rPr>
    </w:lvl>
    <w:lvl w:ilvl="5">
      <w:start w:val="0"/>
      <w:numFmt w:val="bullet"/>
      <w:lvlText w:val="•"/>
      <w:lvlJc w:val="left"/>
      <w:pPr>
        <w:ind w:left="5872" w:hanging="681"/>
      </w:pPr>
      <w:rPr>
        <w:rFonts w:hint="default"/>
      </w:rPr>
    </w:lvl>
    <w:lvl w:ilvl="6">
      <w:start w:val="0"/>
      <w:numFmt w:val="bullet"/>
      <w:lvlText w:val="•"/>
      <w:lvlJc w:val="left"/>
      <w:pPr>
        <w:ind w:left="6939" w:hanging="681"/>
      </w:pPr>
      <w:rPr>
        <w:rFonts w:hint="default"/>
      </w:rPr>
    </w:lvl>
    <w:lvl w:ilvl="7">
      <w:start w:val="0"/>
      <w:numFmt w:val="bullet"/>
      <w:lvlText w:val="•"/>
      <w:lvlJc w:val="left"/>
      <w:pPr>
        <w:ind w:left="8005" w:hanging="681"/>
      </w:pPr>
      <w:rPr>
        <w:rFonts w:hint="default"/>
      </w:rPr>
    </w:lvl>
    <w:lvl w:ilvl="8">
      <w:start w:val="0"/>
      <w:numFmt w:val="bullet"/>
      <w:lvlText w:val="•"/>
      <w:lvlJc w:val="left"/>
      <w:pPr>
        <w:ind w:left="9072" w:hanging="681"/>
      </w:pPr>
      <w:rPr>
        <w:rFonts w:hint="default"/>
      </w:rPr>
    </w:lvl>
  </w:abstractNum>
  <w:abstractNum w:abstractNumId="48">
    <w:multiLevelType w:val="hybridMultilevel"/>
    <w:lvl w:ilvl="0">
      <w:start w:val="3"/>
      <w:numFmt w:val="decimal"/>
      <w:lvlText w:val="%1"/>
      <w:lvlJc w:val="left"/>
      <w:pPr>
        <w:ind w:left="547" w:hanging="681"/>
        <w:jc w:val="left"/>
      </w:pPr>
      <w:rPr>
        <w:rFonts w:hint="default"/>
      </w:rPr>
    </w:lvl>
    <w:lvl w:ilvl="1">
      <w:start w:val="1"/>
      <w:numFmt w:val="decimal"/>
      <w:lvlText w:val="%1.%2"/>
      <w:lvlJc w:val="left"/>
      <w:pPr>
        <w:ind w:left="547" w:hanging="681"/>
        <w:jc w:val="left"/>
      </w:pPr>
      <w:rPr>
        <w:rFonts w:hint="default" w:ascii="Calibri" w:hAnsi="Calibri" w:eastAsia="Calibri" w:cs="Calibri"/>
        <w:spacing w:val="-18"/>
        <w:w w:val="125"/>
        <w:sz w:val="20"/>
        <w:szCs w:val="20"/>
      </w:rPr>
    </w:lvl>
    <w:lvl w:ilvl="2">
      <w:start w:val="0"/>
      <w:numFmt w:val="bullet"/>
      <w:lvlText w:val="•"/>
      <w:lvlJc w:val="left"/>
      <w:pPr>
        <w:ind w:left="2673" w:hanging="681"/>
      </w:pPr>
      <w:rPr>
        <w:rFonts w:hint="default"/>
      </w:rPr>
    </w:lvl>
    <w:lvl w:ilvl="3">
      <w:start w:val="0"/>
      <w:numFmt w:val="bullet"/>
      <w:lvlText w:val="•"/>
      <w:lvlJc w:val="left"/>
      <w:pPr>
        <w:ind w:left="3739" w:hanging="681"/>
      </w:pPr>
      <w:rPr>
        <w:rFonts w:hint="default"/>
      </w:rPr>
    </w:lvl>
    <w:lvl w:ilvl="4">
      <w:start w:val="0"/>
      <w:numFmt w:val="bullet"/>
      <w:lvlText w:val="•"/>
      <w:lvlJc w:val="left"/>
      <w:pPr>
        <w:ind w:left="4806" w:hanging="681"/>
      </w:pPr>
      <w:rPr>
        <w:rFonts w:hint="default"/>
      </w:rPr>
    </w:lvl>
    <w:lvl w:ilvl="5">
      <w:start w:val="0"/>
      <w:numFmt w:val="bullet"/>
      <w:lvlText w:val="•"/>
      <w:lvlJc w:val="left"/>
      <w:pPr>
        <w:ind w:left="5872" w:hanging="681"/>
      </w:pPr>
      <w:rPr>
        <w:rFonts w:hint="default"/>
      </w:rPr>
    </w:lvl>
    <w:lvl w:ilvl="6">
      <w:start w:val="0"/>
      <w:numFmt w:val="bullet"/>
      <w:lvlText w:val="•"/>
      <w:lvlJc w:val="left"/>
      <w:pPr>
        <w:ind w:left="6939" w:hanging="681"/>
      </w:pPr>
      <w:rPr>
        <w:rFonts w:hint="default"/>
      </w:rPr>
    </w:lvl>
    <w:lvl w:ilvl="7">
      <w:start w:val="0"/>
      <w:numFmt w:val="bullet"/>
      <w:lvlText w:val="•"/>
      <w:lvlJc w:val="left"/>
      <w:pPr>
        <w:ind w:left="8005" w:hanging="681"/>
      </w:pPr>
      <w:rPr>
        <w:rFonts w:hint="default"/>
      </w:rPr>
    </w:lvl>
    <w:lvl w:ilvl="8">
      <w:start w:val="0"/>
      <w:numFmt w:val="bullet"/>
      <w:lvlText w:val="•"/>
      <w:lvlJc w:val="left"/>
      <w:pPr>
        <w:ind w:left="9072" w:hanging="681"/>
      </w:pPr>
      <w:rPr>
        <w:rFonts w:hint="default"/>
      </w:rPr>
    </w:lvl>
  </w:abstractNum>
  <w:abstractNum w:abstractNumId="47">
    <w:multiLevelType w:val="hybridMultilevel"/>
    <w:lvl w:ilvl="0">
      <w:start w:val="2"/>
      <w:numFmt w:val="decimal"/>
      <w:lvlText w:val="%1"/>
      <w:lvlJc w:val="left"/>
      <w:pPr>
        <w:ind w:left="547" w:hanging="681"/>
        <w:jc w:val="left"/>
      </w:pPr>
      <w:rPr>
        <w:rFonts w:hint="default"/>
      </w:rPr>
    </w:lvl>
    <w:lvl w:ilvl="1">
      <w:start w:val="1"/>
      <w:numFmt w:val="decimal"/>
      <w:lvlText w:val="%1.%2"/>
      <w:lvlJc w:val="left"/>
      <w:pPr>
        <w:ind w:left="547" w:hanging="681"/>
        <w:jc w:val="left"/>
      </w:pPr>
      <w:rPr>
        <w:rFonts w:hint="default" w:ascii="Calibri" w:hAnsi="Calibri" w:eastAsia="Calibri" w:cs="Calibri"/>
        <w:spacing w:val="-18"/>
        <w:w w:val="125"/>
        <w:sz w:val="20"/>
        <w:szCs w:val="20"/>
      </w:rPr>
    </w:lvl>
    <w:lvl w:ilvl="2">
      <w:start w:val="0"/>
      <w:numFmt w:val="bullet"/>
      <w:lvlText w:val="•"/>
      <w:lvlJc w:val="left"/>
      <w:pPr>
        <w:ind w:left="2673" w:hanging="681"/>
      </w:pPr>
      <w:rPr>
        <w:rFonts w:hint="default"/>
      </w:rPr>
    </w:lvl>
    <w:lvl w:ilvl="3">
      <w:start w:val="0"/>
      <w:numFmt w:val="bullet"/>
      <w:lvlText w:val="•"/>
      <w:lvlJc w:val="left"/>
      <w:pPr>
        <w:ind w:left="3739" w:hanging="681"/>
      </w:pPr>
      <w:rPr>
        <w:rFonts w:hint="default"/>
      </w:rPr>
    </w:lvl>
    <w:lvl w:ilvl="4">
      <w:start w:val="0"/>
      <w:numFmt w:val="bullet"/>
      <w:lvlText w:val="•"/>
      <w:lvlJc w:val="left"/>
      <w:pPr>
        <w:ind w:left="4806" w:hanging="681"/>
      </w:pPr>
      <w:rPr>
        <w:rFonts w:hint="default"/>
      </w:rPr>
    </w:lvl>
    <w:lvl w:ilvl="5">
      <w:start w:val="0"/>
      <w:numFmt w:val="bullet"/>
      <w:lvlText w:val="•"/>
      <w:lvlJc w:val="left"/>
      <w:pPr>
        <w:ind w:left="5872" w:hanging="681"/>
      </w:pPr>
      <w:rPr>
        <w:rFonts w:hint="default"/>
      </w:rPr>
    </w:lvl>
    <w:lvl w:ilvl="6">
      <w:start w:val="0"/>
      <w:numFmt w:val="bullet"/>
      <w:lvlText w:val="•"/>
      <w:lvlJc w:val="left"/>
      <w:pPr>
        <w:ind w:left="6939" w:hanging="681"/>
      </w:pPr>
      <w:rPr>
        <w:rFonts w:hint="default"/>
      </w:rPr>
    </w:lvl>
    <w:lvl w:ilvl="7">
      <w:start w:val="0"/>
      <w:numFmt w:val="bullet"/>
      <w:lvlText w:val="•"/>
      <w:lvlJc w:val="left"/>
      <w:pPr>
        <w:ind w:left="8005" w:hanging="681"/>
      </w:pPr>
      <w:rPr>
        <w:rFonts w:hint="default"/>
      </w:rPr>
    </w:lvl>
    <w:lvl w:ilvl="8">
      <w:start w:val="0"/>
      <w:numFmt w:val="bullet"/>
      <w:lvlText w:val="•"/>
      <w:lvlJc w:val="left"/>
      <w:pPr>
        <w:ind w:left="9072" w:hanging="681"/>
      </w:pPr>
      <w:rPr>
        <w:rFonts w:hint="default"/>
      </w:rPr>
    </w:lvl>
  </w:abstractNum>
  <w:abstractNum w:abstractNumId="46">
    <w:multiLevelType w:val="hybridMultilevel"/>
    <w:lvl w:ilvl="0">
      <w:start w:val="1"/>
      <w:numFmt w:val="decimal"/>
      <w:lvlText w:val="%1"/>
      <w:lvlJc w:val="left"/>
      <w:pPr>
        <w:ind w:left="1284" w:hanging="681"/>
        <w:jc w:val="left"/>
      </w:pPr>
      <w:rPr>
        <w:rFonts w:hint="default"/>
      </w:rPr>
    </w:lvl>
    <w:lvl w:ilvl="1">
      <w:start w:val="1"/>
      <w:numFmt w:val="decimal"/>
      <w:lvlText w:val="%1.%2"/>
      <w:lvlJc w:val="left"/>
      <w:pPr>
        <w:ind w:left="1284" w:hanging="681"/>
        <w:jc w:val="right"/>
      </w:pPr>
      <w:rPr>
        <w:rFonts w:hint="default" w:ascii="Calibri" w:hAnsi="Calibri" w:eastAsia="Calibri" w:cs="Calibri"/>
        <w:spacing w:val="-18"/>
        <w:w w:val="125"/>
        <w:sz w:val="20"/>
        <w:szCs w:val="20"/>
      </w:rPr>
    </w:lvl>
    <w:lvl w:ilvl="2">
      <w:start w:val="0"/>
      <w:numFmt w:val="bullet"/>
      <w:lvlText w:val="•"/>
      <w:lvlJc w:val="left"/>
      <w:pPr>
        <w:ind w:left="3265" w:hanging="681"/>
      </w:pPr>
      <w:rPr>
        <w:rFonts w:hint="default"/>
      </w:rPr>
    </w:lvl>
    <w:lvl w:ilvl="3">
      <w:start w:val="0"/>
      <w:numFmt w:val="bullet"/>
      <w:lvlText w:val="•"/>
      <w:lvlJc w:val="left"/>
      <w:pPr>
        <w:ind w:left="4257" w:hanging="681"/>
      </w:pPr>
      <w:rPr>
        <w:rFonts w:hint="default"/>
      </w:rPr>
    </w:lvl>
    <w:lvl w:ilvl="4">
      <w:start w:val="0"/>
      <w:numFmt w:val="bullet"/>
      <w:lvlText w:val="•"/>
      <w:lvlJc w:val="left"/>
      <w:pPr>
        <w:ind w:left="5250" w:hanging="681"/>
      </w:pPr>
      <w:rPr>
        <w:rFonts w:hint="default"/>
      </w:rPr>
    </w:lvl>
    <w:lvl w:ilvl="5">
      <w:start w:val="0"/>
      <w:numFmt w:val="bullet"/>
      <w:lvlText w:val="•"/>
      <w:lvlJc w:val="left"/>
      <w:pPr>
        <w:ind w:left="6242" w:hanging="681"/>
      </w:pPr>
      <w:rPr>
        <w:rFonts w:hint="default"/>
      </w:rPr>
    </w:lvl>
    <w:lvl w:ilvl="6">
      <w:start w:val="0"/>
      <w:numFmt w:val="bullet"/>
      <w:lvlText w:val="•"/>
      <w:lvlJc w:val="left"/>
      <w:pPr>
        <w:ind w:left="7235" w:hanging="681"/>
      </w:pPr>
      <w:rPr>
        <w:rFonts w:hint="default"/>
      </w:rPr>
    </w:lvl>
    <w:lvl w:ilvl="7">
      <w:start w:val="0"/>
      <w:numFmt w:val="bullet"/>
      <w:lvlText w:val="•"/>
      <w:lvlJc w:val="left"/>
      <w:pPr>
        <w:ind w:left="8227" w:hanging="681"/>
      </w:pPr>
      <w:rPr>
        <w:rFonts w:hint="default"/>
      </w:rPr>
    </w:lvl>
    <w:lvl w:ilvl="8">
      <w:start w:val="0"/>
      <w:numFmt w:val="bullet"/>
      <w:lvlText w:val="•"/>
      <w:lvlJc w:val="left"/>
      <w:pPr>
        <w:ind w:left="9220" w:hanging="681"/>
      </w:pPr>
      <w:rPr>
        <w:rFonts w:hint="default"/>
      </w:rPr>
    </w:lvl>
  </w:abstractNum>
  <w:abstractNum w:abstractNumId="44">
    <w:multiLevelType w:val="hybridMultilevel"/>
    <w:lvl w:ilvl="0">
      <w:start w:val="1"/>
      <w:numFmt w:val="decimal"/>
      <w:lvlText w:val="%1."/>
      <w:lvlJc w:val="left"/>
      <w:pPr>
        <w:ind w:left="760" w:hanging="681"/>
        <w:jc w:val="left"/>
      </w:pPr>
      <w:rPr>
        <w:rFonts w:hint="default" w:ascii="Calibri" w:hAnsi="Calibri" w:eastAsia="Calibri" w:cs="Calibri"/>
        <w:spacing w:val="-13"/>
        <w:w w:val="125"/>
        <w:sz w:val="20"/>
        <w:szCs w:val="20"/>
      </w:rPr>
    </w:lvl>
    <w:lvl w:ilvl="1">
      <w:start w:val="0"/>
      <w:numFmt w:val="bullet"/>
      <w:lvlText w:val="•"/>
      <w:lvlJc w:val="left"/>
      <w:pPr>
        <w:ind w:left="1341" w:hanging="681"/>
      </w:pPr>
      <w:rPr>
        <w:rFonts w:hint="default"/>
      </w:rPr>
    </w:lvl>
    <w:lvl w:ilvl="2">
      <w:start w:val="0"/>
      <w:numFmt w:val="bullet"/>
      <w:lvlText w:val="•"/>
      <w:lvlJc w:val="left"/>
      <w:pPr>
        <w:ind w:left="1922" w:hanging="681"/>
      </w:pPr>
      <w:rPr>
        <w:rFonts w:hint="default"/>
      </w:rPr>
    </w:lvl>
    <w:lvl w:ilvl="3">
      <w:start w:val="0"/>
      <w:numFmt w:val="bullet"/>
      <w:lvlText w:val="•"/>
      <w:lvlJc w:val="left"/>
      <w:pPr>
        <w:ind w:left="2503" w:hanging="681"/>
      </w:pPr>
      <w:rPr>
        <w:rFonts w:hint="default"/>
      </w:rPr>
    </w:lvl>
    <w:lvl w:ilvl="4">
      <w:start w:val="0"/>
      <w:numFmt w:val="bullet"/>
      <w:lvlText w:val="•"/>
      <w:lvlJc w:val="left"/>
      <w:pPr>
        <w:ind w:left="3084" w:hanging="681"/>
      </w:pPr>
      <w:rPr>
        <w:rFonts w:hint="default"/>
      </w:rPr>
    </w:lvl>
    <w:lvl w:ilvl="5">
      <w:start w:val="0"/>
      <w:numFmt w:val="bullet"/>
      <w:lvlText w:val="•"/>
      <w:lvlJc w:val="left"/>
      <w:pPr>
        <w:ind w:left="3666" w:hanging="681"/>
      </w:pPr>
      <w:rPr>
        <w:rFonts w:hint="default"/>
      </w:rPr>
    </w:lvl>
    <w:lvl w:ilvl="6">
      <w:start w:val="0"/>
      <w:numFmt w:val="bullet"/>
      <w:lvlText w:val="•"/>
      <w:lvlJc w:val="left"/>
      <w:pPr>
        <w:ind w:left="4247" w:hanging="681"/>
      </w:pPr>
      <w:rPr>
        <w:rFonts w:hint="default"/>
      </w:rPr>
    </w:lvl>
    <w:lvl w:ilvl="7">
      <w:start w:val="0"/>
      <w:numFmt w:val="bullet"/>
      <w:lvlText w:val="•"/>
      <w:lvlJc w:val="left"/>
      <w:pPr>
        <w:ind w:left="4828" w:hanging="681"/>
      </w:pPr>
      <w:rPr>
        <w:rFonts w:hint="default"/>
      </w:rPr>
    </w:lvl>
    <w:lvl w:ilvl="8">
      <w:start w:val="0"/>
      <w:numFmt w:val="bullet"/>
      <w:lvlText w:val="•"/>
      <w:lvlJc w:val="left"/>
      <w:pPr>
        <w:ind w:left="5409" w:hanging="681"/>
      </w:pPr>
      <w:rPr>
        <w:rFonts w:hint="default"/>
      </w:rPr>
    </w:lvl>
  </w:abstractNum>
  <w:abstractNum w:abstractNumId="43">
    <w:multiLevelType w:val="hybridMultilevel"/>
    <w:lvl w:ilvl="0">
      <w:start w:val="11"/>
      <w:numFmt w:val="decimal"/>
      <w:lvlText w:val="%1."/>
      <w:lvlJc w:val="left"/>
      <w:pPr>
        <w:ind w:left="80" w:hanging="681"/>
        <w:jc w:val="left"/>
      </w:pPr>
      <w:rPr>
        <w:rFonts w:hint="default" w:ascii="Stone Sans II ITC Std Bk" w:hAnsi="Stone Sans II ITC Std Bk" w:eastAsia="Stone Sans II ITC Std Bk" w:cs="Stone Sans II ITC Std Bk"/>
        <w:b/>
        <w:bCs/>
        <w:spacing w:val="-24"/>
        <w:w w:val="110"/>
        <w:sz w:val="20"/>
        <w:szCs w:val="20"/>
      </w:rPr>
    </w:lvl>
    <w:lvl w:ilvl="1">
      <w:start w:val="0"/>
      <w:numFmt w:val="bullet"/>
      <w:lvlText w:val="•"/>
      <w:lvlJc w:val="left"/>
      <w:pPr>
        <w:ind w:left="729" w:hanging="681"/>
      </w:pPr>
      <w:rPr>
        <w:rFonts w:hint="default"/>
      </w:rPr>
    </w:lvl>
    <w:lvl w:ilvl="2">
      <w:start w:val="0"/>
      <w:numFmt w:val="bullet"/>
      <w:lvlText w:val="•"/>
      <w:lvlJc w:val="left"/>
      <w:pPr>
        <w:ind w:left="1378" w:hanging="681"/>
      </w:pPr>
      <w:rPr>
        <w:rFonts w:hint="default"/>
      </w:rPr>
    </w:lvl>
    <w:lvl w:ilvl="3">
      <w:start w:val="0"/>
      <w:numFmt w:val="bullet"/>
      <w:lvlText w:val="•"/>
      <w:lvlJc w:val="left"/>
      <w:pPr>
        <w:ind w:left="2027" w:hanging="681"/>
      </w:pPr>
      <w:rPr>
        <w:rFonts w:hint="default"/>
      </w:rPr>
    </w:lvl>
    <w:lvl w:ilvl="4">
      <w:start w:val="0"/>
      <w:numFmt w:val="bullet"/>
      <w:lvlText w:val="•"/>
      <w:lvlJc w:val="left"/>
      <w:pPr>
        <w:ind w:left="2676" w:hanging="681"/>
      </w:pPr>
      <w:rPr>
        <w:rFonts w:hint="default"/>
      </w:rPr>
    </w:lvl>
    <w:lvl w:ilvl="5">
      <w:start w:val="0"/>
      <w:numFmt w:val="bullet"/>
      <w:lvlText w:val="•"/>
      <w:lvlJc w:val="left"/>
      <w:pPr>
        <w:ind w:left="3326" w:hanging="681"/>
      </w:pPr>
      <w:rPr>
        <w:rFonts w:hint="default"/>
      </w:rPr>
    </w:lvl>
    <w:lvl w:ilvl="6">
      <w:start w:val="0"/>
      <w:numFmt w:val="bullet"/>
      <w:lvlText w:val="•"/>
      <w:lvlJc w:val="left"/>
      <w:pPr>
        <w:ind w:left="3975" w:hanging="681"/>
      </w:pPr>
      <w:rPr>
        <w:rFonts w:hint="default"/>
      </w:rPr>
    </w:lvl>
    <w:lvl w:ilvl="7">
      <w:start w:val="0"/>
      <w:numFmt w:val="bullet"/>
      <w:lvlText w:val="•"/>
      <w:lvlJc w:val="left"/>
      <w:pPr>
        <w:ind w:left="4624" w:hanging="681"/>
      </w:pPr>
      <w:rPr>
        <w:rFonts w:hint="default"/>
      </w:rPr>
    </w:lvl>
    <w:lvl w:ilvl="8">
      <w:start w:val="0"/>
      <w:numFmt w:val="bullet"/>
      <w:lvlText w:val="•"/>
      <w:lvlJc w:val="left"/>
      <w:pPr>
        <w:ind w:left="5273" w:hanging="681"/>
      </w:pPr>
      <w:rPr>
        <w:rFonts w:hint="default"/>
      </w:rPr>
    </w:lvl>
  </w:abstractNum>
  <w:abstractNum w:abstractNumId="42">
    <w:multiLevelType w:val="hybridMultilevel"/>
    <w:lvl w:ilvl="0">
      <w:start w:val="11"/>
      <w:numFmt w:val="decimal"/>
      <w:lvlText w:val="%1"/>
      <w:lvlJc w:val="left"/>
      <w:pPr>
        <w:ind w:left="1964" w:hanging="681"/>
        <w:jc w:val="left"/>
      </w:pPr>
      <w:rPr>
        <w:rFonts w:hint="default"/>
      </w:rPr>
    </w:lvl>
    <w:lvl w:ilvl="1">
      <w:start w:val="1"/>
      <w:numFmt w:val="decimal"/>
      <w:lvlText w:val="%1.%2"/>
      <w:lvlJc w:val="left"/>
      <w:pPr>
        <w:ind w:left="1964" w:hanging="681"/>
        <w:jc w:val="left"/>
      </w:pPr>
      <w:rPr>
        <w:rFonts w:hint="default" w:ascii="Stone Sans II ITC Std Bk" w:hAnsi="Stone Sans II ITC Std Bk" w:eastAsia="Stone Sans II ITC Std Bk" w:cs="Stone Sans II ITC Std Bk"/>
        <w:b/>
        <w:bCs/>
        <w:spacing w:val="-22"/>
        <w:w w:val="110"/>
        <w:sz w:val="20"/>
        <w:szCs w:val="20"/>
      </w:rPr>
    </w:lvl>
    <w:lvl w:ilvl="2">
      <w:start w:val="0"/>
      <w:numFmt w:val="bullet"/>
      <w:lvlText w:val="•"/>
      <w:lvlJc w:val="left"/>
      <w:pPr>
        <w:ind w:left="3809" w:hanging="681"/>
      </w:pPr>
      <w:rPr>
        <w:rFonts w:hint="default"/>
      </w:rPr>
    </w:lvl>
    <w:lvl w:ilvl="3">
      <w:start w:val="0"/>
      <w:numFmt w:val="bullet"/>
      <w:lvlText w:val="•"/>
      <w:lvlJc w:val="left"/>
      <w:pPr>
        <w:ind w:left="4733" w:hanging="681"/>
      </w:pPr>
      <w:rPr>
        <w:rFonts w:hint="default"/>
      </w:rPr>
    </w:lvl>
    <w:lvl w:ilvl="4">
      <w:start w:val="0"/>
      <w:numFmt w:val="bullet"/>
      <w:lvlText w:val="•"/>
      <w:lvlJc w:val="left"/>
      <w:pPr>
        <w:ind w:left="5658" w:hanging="681"/>
      </w:pPr>
      <w:rPr>
        <w:rFonts w:hint="default"/>
      </w:rPr>
    </w:lvl>
    <w:lvl w:ilvl="5">
      <w:start w:val="0"/>
      <w:numFmt w:val="bullet"/>
      <w:lvlText w:val="•"/>
      <w:lvlJc w:val="left"/>
      <w:pPr>
        <w:ind w:left="6582" w:hanging="681"/>
      </w:pPr>
      <w:rPr>
        <w:rFonts w:hint="default"/>
      </w:rPr>
    </w:lvl>
    <w:lvl w:ilvl="6">
      <w:start w:val="0"/>
      <w:numFmt w:val="bullet"/>
      <w:lvlText w:val="•"/>
      <w:lvlJc w:val="left"/>
      <w:pPr>
        <w:ind w:left="7507" w:hanging="681"/>
      </w:pPr>
      <w:rPr>
        <w:rFonts w:hint="default"/>
      </w:rPr>
    </w:lvl>
    <w:lvl w:ilvl="7">
      <w:start w:val="0"/>
      <w:numFmt w:val="bullet"/>
      <w:lvlText w:val="•"/>
      <w:lvlJc w:val="left"/>
      <w:pPr>
        <w:ind w:left="8431" w:hanging="681"/>
      </w:pPr>
      <w:rPr>
        <w:rFonts w:hint="default"/>
      </w:rPr>
    </w:lvl>
    <w:lvl w:ilvl="8">
      <w:start w:val="0"/>
      <w:numFmt w:val="bullet"/>
      <w:lvlText w:val="•"/>
      <w:lvlJc w:val="left"/>
      <w:pPr>
        <w:ind w:left="9356" w:hanging="681"/>
      </w:pPr>
      <w:rPr>
        <w:rFonts w:hint="default"/>
      </w:rPr>
    </w:lvl>
  </w:abstractNum>
  <w:abstractNum w:abstractNumId="41">
    <w:multiLevelType w:val="hybridMultilevel"/>
    <w:lvl w:ilvl="0">
      <w:start w:val="8"/>
      <w:numFmt w:val="decimal"/>
      <w:lvlText w:val="%1."/>
      <w:lvlJc w:val="left"/>
      <w:pPr>
        <w:ind w:left="547" w:hanging="681"/>
        <w:jc w:val="left"/>
      </w:pPr>
      <w:rPr>
        <w:rFonts w:hint="default" w:ascii="Calibri" w:hAnsi="Calibri" w:eastAsia="Calibri" w:cs="Calibri"/>
        <w:w w:val="125"/>
        <w:sz w:val="20"/>
        <w:szCs w:val="20"/>
      </w:rPr>
    </w:lvl>
    <w:lvl w:ilvl="1">
      <w:start w:val="0"/>
      <w:numFmt w:val="bullet"/>
      <w:lvlText w:val="•"/>
      <w:lvlJc w:val="left"/>
      <w:pPr>
        <w:ind w:left="1280" w:hanging="681"/>
      </w:pPr>
      <w:rPr>
        <w:rFonts w:hint="default"/>
      </w:rPr>
    </w:lvl>
    <w:lvl w:ilvl="2">
      <w:start w:val="0"/>
      <w:numFmt w:val="bullet"/>
      <w:lvlText w:val="•"/>
      <w:lvlJc w:val="left"/>
      <w:pPr>
        <w:ind w:left="2382" w:hanging="681"/>
      </w:pPr>
      <w:rPr>
        <w:rFonts w:hint="default"/>
      </w:rPr>
    </w:lvl>
    <w:lvl w:ilvl="3">
      <w:start w:val="0"/>
      <w:numFmt w:val="bullet"/>
      <w:lvlText w:val="•"/>
      <w:lvlJc w:val="left"/>
      <w:pPr>
        <w:ind w:left="3485" w:hanging="681"/>
      </w:pPr>
      <w:rPr>
        <w:rFonts w:hint="default"/>
      </w:rPr>
    </w:lvl>
    <w:lvl w:ilvl="4">
      <w:start w:val="0"/>
      <w:numFmt w:val="bullet"/>
      <w:lvlText w:val="•"/>
      <w:lvlJc w:val="left"/>
      <w:pPr>
        <w:ind w:left="4588" w:hanging="681"/>
      </w:pPr>
      <w:rPr>
        <w:rFonts w:hint="default"/>
      </w:rPr>
    </w:lvl>
    <w:lvl w:ilvl="5">
      <w:start w:val="0"/>
      <w:numFmt w:val="bullet"/>
      <w:lvlText w:val="•"/>
      <w:lvlJc w:val="left"/>
      <w:pPr>
        <w:ind w:left="5691" w:hanging="681"/>
      </w:pPr>
      <w:rPr>
        <w:rFonts w:hint="default"/>
      </w:rPr>
    </w:lvl>
    <w:lvl w:ilvl="6">
      <w:start w:val="0"/>
      <w:numFmt w:val="bullet"/>
      <w:lvlText w:val="•"/>
      <w:lvlJc w:val="left"/>
      <w:pPr>
        <w:ind w:left="6794" w:hanging="681"/>
      </w:pPr>
      <w:rPr>
        <w:rFonts w:hint="default"/>
      </w:rPr>
    </w:lvl>
    <w:lvl w:ilvl="7">
      <w:start w:val="0"/>
      <w:numFmt w:val="bullet"/>
      <w:lvlText w:val="•"/>
      <w:lvlJc w:val="left"/>
      <w:pPr>
        <w:ind w:left="7897" w:hanging="681"/>
      </w:pPr>
      <w:rPr>
        <w:rFonts w:hint="default"/>
      </w:rPr>
    </w:lvl>
    <w:lvl w:ilvl="8">
      <w:start w:val="0"/>
      <w:numFmt w:val="bullet"/>
      <w:lvlText w:val="•"/>
      <w:lvlJc w:val="left"/>
      <w:pPr>
        <w:ind w:left="8999" w:hanging="681"/>
      </w:pPr>
      <w:rPr>
        <w:rFonts w:hint="default"/>
      </w:rPr>
    </w:lvl>
  </w:abstractNum>
  <w:abstractNum w:abstractNumId="40">
    <w:multiLevelType w:val="hybridMultilevel"/>
    <w:lvl w:ilvl="0">
      <w:start w:val="7"/>
      <w:numFmt w:val="decimal"/>
      <w:lvlText w:val="%1"/>
      <w:lvlJc w:val="left"/>
      <w:pPr>
        <w:ind w:left="547" w:hanging="681"/>
        <w:jc w:val="left"/>
      </w:pPr>
      <w:rPr>
        <w:rFonts w:hint="default"/>
      </w:rPr>
    </w:lvl>
    <w:lvl w:ilvl="1">
      <w:start w:val="1"/>
      <w:numFmt w:val="decimal"/>
      <w:lvlText w:val="%1.%2"/>
      <w:lvlJc w:val="left"/>
      <w:pPr>
        <w:ind w:left="547" w:hanging="681"/>
        <w:jc w:val="left"/>
      </w:pPr>
      <w:rPr>
        <w:rFonts w:hint="default" w:ascii="Calibri" w:hAnsi="Calibri" w:eastAsia="Calibri" w:cs="Calibri"/>
        <w:spacing w:val="-25"/>
        <w:w w:val="125"/>
        <w:sz w:val="20"/>
        <w:szCs w:val="20"/>
      </w:rPr>
    </w:lvl>
    <w:lvl w:ilvl="2">
      <w:start w:val="0"/>
      <w:numFmt w:val="bullet"/>
      <w:lvlText w:val="•"/>
      <w:lvlJc w:val="left"/>
      <w:pPr>
        <w:ind w:left="2673" w:hanging="681"/>
      </w:pPr>
      <w:rPr>
        <w:rFonts w:hint="default"/>
      </w:rPr>
    </w:lvl>
    <w:lvl w:ilvl="3">
      <w:start w:val="0"/>
      <w:numFmt w:val="bullet"/>
      <w:lvlText w:val="•"/>
      <w:lvlJc w:val="left"/>
      <w:pPr>
        <w:ind w:left="3739" w:hanging="681"/>
      </w:pPr>
      <w:rPr>
        <w:rFonts w:hint="default"/>
      </w:rPr>
    </w:lvl>
    <w:lvl w:ilvl="4">
      <w:start w:val="0"/>
      <w:numFmt w:val="bullet"/>
      <w:lvlText w:val="•"/>
      <w:lvlJc w:val="left"/>
      <w:pPr>
        <w:ind w:left="4806" w:hanging="681"/>
      </w:pPr>
      <w:rPr>
        <w:rFonts w:hint="default"/>
      </w:rPr>
    </w:lvl>
    <w:lvl w:ilvl="5">
      <w:start w:val="0"/>
      <w:numFmt w:val="bullet"/>
      <w:lvlText w:val="•"/>
      <w:lvlJc w:val="left"/>
      <w:pPr>
        <w:ind w:left="5872" w:hanging="681"/>
      </w:pPr>
      <w:rPr>
        <w:rFonts w:hint="default"/>
      </w:rPr>
    </w:lvl>
    <w:lvl w:ilvl="6">
      <w:start w:val="0"/>
      <w:numFmt w:val="bullet"/>
      <w:lvlText w:val="•"/>
      <w:lvlJc w:val="left"/>
      <w:pPr>
        <w:ind w:left="6939" w:hanging="681"/>
      </w:pPr>
      <w:rPr>
        <w:rFonts w:hint="default"/>
      </w:rPr>
    </w:lvl>
    <w:lvl w:ilvl="7">
      <w:start w:val="0"/>
      <w:numFmt w:val="bullet"/>
      <w:lvlText w:val="•"/>
      <w:lvlJc w:val="left"/>
      <w:pPr>
        <w:ind w:left="8005" w:hanging="681"/>
      </w:pPr>
      <w:rPr>
        <w:rFonts w:hint="default"/>
      </w:rPr>
    </w:lvl>
    <w:lvl w:ilvl="8">
      <w:start w:val="0"/>
      <w:numFmt w:val="bullet"/>
      <w:lvlText w:val="•"/>
      <w:lvlJc w:val="left"/>
      <w:pPr>
        <w:ind w:left="9072" w:hanging="681"/>
      </w:pPr>
      <w:rPr>
        <w:rFonts w:hint="default"/>
      </w:rPr>
    </w:lvl>
  </w:abstractNum>
  <w:abstractNum w:abstractNumId="39">
    <w:multiLevelType w:val="hybridMultilevel"/>
    <w:lvl w:ilvl="0">
      <w:start w:val="6"/>
      <w:numFmt w:val="decimal"/>
      <w:lvlText w:val="%1"/>
      <w:lvlJc w:val="left"/>
      <w:pPr>
        <w:ind w:left="547" w:hanging="681"/>
        <w:jc w:val="left"/>
      </w:pPr>
      <w:rPr>
        <w:rFonts w:hint="default"/>
      </w:rPr>
    </w:lvl>
    <w:lvl w:ilvl="1">
      <w:start w:val="1"/>
      <w:numFmt w:val="decimal"/>
      <w:lvlText w:val="%1.%2"/>
      <w:lvlJc w:val="left"/>
      <w:pPr>
        <w:ind w:left="547" w:hanging="681"/>
        <w:jc w:val="left"/>
      </w:pPr>
      <w:rPr>
        <w:rFonts w:hint="default" w:ascii="Calibri" w:hAnsi="Calibri" w:eastAsia="Calibri" w:cs="Calibri"/>
        <w:spacing w:val="-18"/>
        <w:w w:val="125"/>
        <w:sz w:val="20"/>
        <w:szCs w:val="20"/>
      </w:rPr>
    </w:lvl>
    <w:lvl w:ilvl="2">
      <w:start w:val="0"/>
      <w:numFmt w:val="bullet"/>
      <w:lvlText w:val="•"/>
      <w:lvlJc w:val="left"/>
      <w:pPr>
        <w:ind w:left="2673" w:hanging="681"/>
      </w:pPr>
      <w:rPr>
        <w:rFonts w:hint="default"/>
      </w:rPr>
    </w:lvl>
    <w:lvl w:ilvl="3">
      <w:start w:val="0"/>
      <w:numFmt w:val="bullet"/>
      <w:lvlText w:val="•"/>
      <w:lvlJc w:val="left"/>
      <w:pPr>
        <w:ind w:left="3739" w:hanging="681"/>
      </w:pPr>
      <w:rPr>
        <w:rFonts w:hint="default"/>
      </w:rPr>
    </w:lvl>
    <w:lvl w:ilvl="4">
      <w:start w:val="0"/>
      <w:numFmt w:val="bullet"/>
      <w:lvlText w:val="•"/>
      <w:lvlJc w:val="left"/>
      <w:pPr>
        <w:ind w:left="4806" w:hanging="681"/>
      </w:pPr>
      <w:rPr>
        <w:rFonts w:hint="default"/>
      </w:rPr>
    </w:lvl>
    <w:lvl w:ilvl="5">
      <w:start w:val="0"/>
      <w:numFmt w:val="bullet"/>
      <w:lvlText w:val="•"/>
      <w:lvlJc w:val="left"/>
      <w:pPr>
        <w:ind w:left="5872" w:hanging="681"/>
      </w:pPr>
      <w:rPr>
        <w:rFonts w:hint="default"/>
      </w:rPr>
    </w:lvl>
    <w:lvl w:ilvl="6">
      <w:start w:val="0"/>
      <w:numFmt w:val="bullet"/>
      <w:lvlText w:val="•"/>
      <w:lvlJc w:val="left"/>
      <w:pPr>
        <w:ind w:left="6939" w:hanging="681"/>
      </w:pPr>
      <w:rPr>
        <w:rFonts w:hint="default"/>
      </w:rPr>
    </w:lvl>
    <w:lvl w:ilvl="7">
      <w:start w:val="0"/>
      <w:numFmt w:val="bullet"/>
      <w:lvlText w:val="•"/>
      <w:lvlJc w:val="left"/>
      <w:pPr>
        <w:ind w:left="8005" w:hanging="681"/>
      </w:pPr>
      <w:rPr>
        <w:rFonts w:hint="default"/>
      </w:rPr>
    </w:lvl>
    <w:lvl w:ilvl="8">
      <w:start w:val="0"/>
      <w:numFmt w:val="bullet"/>
      <w:lvlText w:val="•"/>
      <w:lvlJc w:val="left"/>
      <w:pPr>
        <w:ind w:left="9072" w:hanging="681"/>
      </w:pPr>
      <w:rPr>
        <w:rFonts w:hint="default"/>
      </w:rPr>
    </w:lvl>
  </w:abstractNum>
  <w:abstractNum w:abstractNumId="38">
    <w:multiLevelType w:val="hybridMultilevel"/>
    <w:lvl w:ilvl="0">
      <w:start w:val="4"/>
      <w:numFmt w:val="decimal"/>
      <w:lvlText w:val="%1."/>
      <w:lvlJc w:val="left"/>
      <w:pPr>
        <w:ind w:left="1284" w:hanging="681"/>
        <w:jc w:val="right"/>
      </w:pPr>
      <w:rPr>
        <w:rFonts w:hint="default" w:ascii="Calibri" w:hAnsi="Calibri" w:eastAsia="Calibri" w:cs="Calibri"/>
        <w:spacing w:val="-4"/>
        <w:w w:val="125"/>
        <w:sz w:val="20"/>
        <w:szCs w:val="20"/>
      </w:rPr>
    </w:lvl>
    <w:lvl w:ilvl="1">
      <w:start w:val="0"/>
      <w:numFmt w:val="bullet"/>
      <w:lvlText w:val="•"/>
      <w:lvlJc w:val="left"/>
      <w:pPr>
        <w:ind w:left="2272" w:hanging="681"/>
      </w:pPr>
      <w:rPr>
        <w:rFonts w:hint="default"/>
      </w:rPr>
    </w:lvl>
    <w:lvl w:ilvl="2">
      <w:start w:val="0"/>
      <w:numFmt w:val="bullet"/>
      <w:lvlText w:val="•"/>
      <w:lvlJc w:val="left"/>
      <w:pPr>
        <w:ind w:left="3265" w:hanging="681"/>
      </w:pPr>
      <w:rPr>
        <w:rFonts w:hint="default"/>
      </w:rPr>
    </w:lvl>
    <w:lvl w:ilvl="3">
      <w:start w:val="0"/>
      <w:numFmt w:val="bullet"/>
      <w:lvlText w:val="•"/>
      <w:lvlJc w:val="left"/>
      <w:pPr>
        <w:ind w:left="4257" w:hanging="681"/>
      </w:pPr>
      <w:rPr>
        <w:rFonts w:hint="default"/>
      </w:rPr>
    </w:lvl>
    <w:lvl w:ilvl="4">
      <w:start w:val="0"/>
      <w:numFmt w:val="bullet"/>
      <w:lvlText w:val="•"/>
      <w:lvlJc w:val="left"/>
      <w:pPr>
        <w:ind w:left="5250" w:hanging="681"/>
      </w:pPr>
      <w:rPr>
        <w:rFonts w:hint="default"/>
      </w:rPr>
    </w:lvl>
    <w:lvl w:ilvl="5">
      <w:start w:val="0"/>
      <w:numFmt w:val="bullet"/>
      <w:lvlText w:val="•"/>
      <w:lvlJc w:val="left"/>
      <w:pPr>
        <w:ind w:left="6242" w:hanging="681"/>
      </w:pPr>
      <w:rPr>
        <w:rFonts w:hint="default"/>
      </w:rPr>
    </w:lvl>
    <w:lvl w:ilvl="6">
      <w:start w:val="0"/>
      <w:numFmt w:val="bullet"/>
      <w:lvlText w:val="•"/>
      <w:lvlJc w:val="left"/>
      <w:pPr>
        <w:ind w:left="7235" w:hanging="681"/>
      </w:pPr>
      <w:rPr>
        <w:rFonts w:hint="default"/>
      </w:rPr>
    </w:lvl>
    <w:lvl w:ilvl="7">
      <w:start w:val="0"/>
      <w:numFmt w:val="bullet"/>
      <w:lvlText w:val="•"/>
      <w:lvlJc w:val="left"/>
      <w:pPr>
        <w:ind w:left="8227" w:hanging="681"/>
      </w:pPr>
      <w:rPr>
        <w:rFonts w:hint="default"/>
      </w:rPr>
    </w:lvl>
    <w:lvl w:ilvl="8">
      <w:start w:val="0"/>
      <w:numFmt w:val="bullet"/>
      <w:lvlText w:val="•"/>
      <w:lvlJc w:val="left"/>
      <w:pPr>
        <w:ind w:left="9220" w:hanging="681"/>
      </w:pPr>
      <w:rPr>
        <w:rFonts w:hint="default"/>
      </w:rPr>
    </w:lvl>
  </w:abstractNum>
  <w:abstractNum w:abstractNumId="37">
    <w:multiLevelType w:val="hybridMultilevel"/>
    <w:lvl w:ilvl="0">
      <w:start w:val="3"/>
      <w:numFmt w:val="decimal"/>
      <w:lvlText w:val="%1"/>
      <w:lvlJc w:val="left"/>
      <w:pPr>
        <w:ind w:left="1284" w:hanging="681"/>
        <w:jc w:val="left"/>
      </w:pPr>
      <w:rPr>
        <w:rFonts w:hint="default"/>
      </w:rPr>
    </w:lvl>
    <w:lvl w:ilvl="1">
      <w:start w:val="1"/>
      <w:numFmt w:val="decimal"/>
      <w:lvlText w:val="%1.%2"/>
      <w:lvlJc w:val="left"/>
      <w:pPr>
        <w:ind w:left="1284" w:hanging="681"/>
        <w:jc w:val="left"/>
      </w:pPr>
      <w:rPr>
        <w:rFonts w:hint="default" w:ascii="Calibri" w:hAnsi="Calibri" w:eastAsia="Calibri" w:cs="Calibri"/>
        <w:spacing w:val="-18"/>
        <w:w w:val="125"/>
        <w:sz w:val="20"/>
        <w:szCs w:val="20"/>
      </w:rPr>
    </w:lvl>
    <w:lvl w:ilvl="2">
      <w:start w:val="0"/>
      <w:numFmt w:val="bullet"/>
      <w:lvlText w:val="•"/>
      <w:lvlJc w:val="left"/>
      <w:pPr>
        <w:ind w:left="3265" w:hanging="681"/>
      </w:pPr>
      <w:rPr>
        <w:rFonts w:hint="default"/>
      </w:rPr>
    </w:lvl>
    <w:lvl w:ilvl="3">
      <w:start w:val="0"/>
      <w:numFmt w:val="bullet"/>
      <w:lvlText w:val="•"/>
      <w:lvlJc w:val="left"/>
      <w:pPr>
        <w:ind w:left="4257" w:hanging="681"/>
      </w:pPr>
      <w:rPr>
        <w:rFonts w:hint="default"/>
      </w:rPr>
    </w:lvl>
    <w:lvl w:ilvl="4">
      <w:start w:val="0"/>
      <w:numFmt w:val="bullet"/>
      <w:lvlText w:val="•"/>
      <w:lvlJc w:val="left"/>
      <w:pPr>
        <w:ind w:left="5250" w:hanging="681"/>
      </w:pPr>
      <w:rPr>
        <w:rFonts w:hint="default"/>
      </w:rPr>
    </w:lvl>
    <w:lvl w:ilvl="5">
      <w:start w:val="0"/>
      <w:numFmt w:val="bullet"/>
      <w:lvlText w:val="•"/>
      <w:lvlJc w:val="left"/>
      <w:pPr>
        <w:ind w:left="6242" w:hanging="681"/>
      </w:pPr>
      <w:rPr>
        <w:rFonts w:hint="default"/>
      </w:rPr>
    </w:lvl>
    <w:lvl w:ilvl="6">
      <w:start w:val="0"/>
      <w:numFmt w:val="bullet"/>
      <w:lvlText w:val="•"/>
      <w:lvlJc w:val="left"/>
      <w:pPr>
        <w:ind w:left="7235" w:hanging="681"/>
      </w:pPr>
      <w:rPr>
        <w:rFonts w:hint="default"/>
      </w:rPr>
    </w:lvl>
    <w:lvl w:ilvl="7">
      <w:start w:val="0"/>
      <w:numFmt w:val="bullet"/>
      <w:lvlText w:val="•"/>
      <w:lvlJc w:val="left"/>
      <w:pPr>
        <w:ind w:left="8227" w:hanging="681"/>
      </w:pPr>
      <w:rPr>
        <w:rFonts w:hint="default"/>
      </w:rPr>
    </w:lvl>
    <w:lvl w:ilvl="8">
      <w:start w:val="0"/>
      <w:numFmt w:val="bullet"/>
      <w:lvlText w:val="•"/>
      <w:lvlJc w:val="left"/>
      <w:pPr>
        <w:ind w:left="9220" w:hanging="681"/>
      </w:pPr>
      <w:rPr>
        <w:rFonts w:hint="default"/>
      </w:rPr>
    </w:lvl>
  </w:abstractNum>
  <w:abstractNum w:abstractNumId="36">
    <w:multiLevelType w:val="hybridMultilevel"/>
    <w:lvl w:ilvl="0">
      <w:start w:val="2"/>
      <w:numFmt w:val="decimal"/>
      <w:lvlText w:val="%1"/>
      <w:lvlJc w:val="left"/>
      <w:pPr>
        <w:ind w:left="1227" w:hanging="681"/>
        <w:jc w:val="left"/>
      </w:pPr>
      <w:rPr>
        <w:rFonts w:hint="default"/>
      </w:rPr>
    </w:lvl>
    <w:lvl w:ilvl="1">
      <w:start w:val="1"/>
      <w:numFmt w:val="decimal"/>
      <w:lvlText w:val="%1.%2"/>
      <w:lvlJc w:val="left"/>
      <w:pPr>
        <w:ind w:left="1227" w:hanging="681"/>
        <w:jc w:val="right"/>
      </w:pPr>
      <w:rPr>
        <w:rFonts w:hint="default" w:ascii="Stone Sans II ITC Std Bk" w:hAnsi="Stone Sans II ITC Std Bk" w:eastAsia="Stone Sans II ITC Std Bk" w:cs="Stone Sans II ITC Std Bk"/>
        <w:b/>
        <w:bCs/>
        <w:spacing w:val="-18"/>
        <w:w w:val="110"/>
        <w:sz w:val="20"/>
        <w:szCs w:val="20"/>
      </w:rPr>
    </w:lvl>
    <w:lvl w:ilvl="2">
      <w:start w:val="1"/>
      <w:numFmt w:val="decimal"/>
      <w:lvlText w:val="%1.%2.%3"/>
      <w:lvlJc w:val="left"/>
      <w:pPr>
        <w:ind w:left="547" w:hanging="681"/>
        <w:jc w:val="left"/>
      </w:pPr>
      <w:rPr>
        <w:rFonts w:hint="default" w:ascii="Calibri" w:hAnsi="Calibri" w:eastAsia="Calibri" w:cs="Calibri"/>
        <w:spacing w:val="-18"/>
        <w:w w:val="125"/>
        <w:sz w:val="20"/>
        <w:szCs w:val="20"/>
      </w:rPr>
    </w:lvl>
    <w:lvl w:ilvl="3">
      <w:start w:val="0"/>
      <w:numFmt w:val="bullet"/>
      <w:lvlText w:val="•"/>
      <w:lvlJc w:val="left"/>
      <w:pPr>
        <w:ind w:left="2520" w:hanging="681"/>
      </w:pPr>
      <w:rPr>
        <w:rFonts w:hint="default"/>
      </w:rPr>
    </w:lvl>
    <w:lvl w:ilvl="4">
      <w:start w:val="0"/>
      <w:numFmt w:val="bullet"/>
      <w:lvlText w:val="•"/>
      <w:lvlJc w:val="left"/>
      <w:pPr>
        <w:ind w:left="3761" w:hanging="681"/>
      </w:pPr>
      <w:rPr>
        <w:rFonts w:hint="default"/>
      </w:rPr>
    </w:lvl>
    <w:lvl w:ilvl="5">
      <w:start w:val="0"/>
      <w:numFmt w:val="bullet"/>
      <w:lvlText w:val="•"/>
      <w:lvlJc w:val="left"/>
      <w:pPr>
        <w:ind w:left="5002" w:hanging="681"/>
      </w:pPr>
      <w:rPr>
        <w:rFonts w:hint="default"/>
      </w:rPr>
    </w:lvl>
    <w:lvl w:ilvl="6">
      <w:start w:val="0"/>
      <w:numFmt w:val="bullet"/>
      <w:lvlText w:val="•"/>
      <w:lvlJc w:val="left"/>
      <w:pPr>
        <w:ind w:left="6242" w:hanging="681"/>
      </w:pPr>
      <w:rPr>
        <w:rFonts w:hint="default"/>
      </w:rPr>
    </w:lvl>
    <w:lvl w:ilvl="7">
      <w:start w:val="0"/>
      <w:numFmt w:val="bullet"/>
      <w:lvlText w:val="•"/>
      <w:lvlJc w:val="left"/>
      <w:pPr>
        <w:ind w:left="7483" w:hanging="681"/>
      </w:pPr>
      <w:rPr>
        <w:rFonts w:hint="default"/>
      </w:rPr>
    </w:lvl>
    <w:lvl w:ilvl="8">
      <w:start w:val="0"/>
      <w:numFmt w:val="bullet"/>
      <w:lvlText w:val="•"/>
      <w:lvlJc w:val="left"/>
      <w:pPr>
        <w:ind w:left="8724" w:hanging="681"/>
      </w:pPr>
      <w:rPr>
        <w:rFonts w:hint="default"/>
      </w:rPr>
    </w:lvl>
  </w:abstractNum>
  <w:abstractNum w:abstractNumId="35">
    <w:multiLevelType w:val="hybridMultilevel"/>
    <w:lvl w:ilvl="0">
      <w:start w:val="1"/>
      <w:numFmt w:val="decimal"/>
      <w:lvlText w:val="%1"/>
      <w:lvlJc w:val="left"/>
      <w:pPr>
        <w:ind w:left="1284" w:hanging="681"/>
        <w:jc w:val="left"/>
      </w:pPr>
      <w:rPr>
        <w:rFonts w:hint="default"/>
      </w:rPr>
    </w:lvl>
    <w:lvl w:ilvl="1">
      <w:start w:val="1"/>
      <w:numFmt w:val="decimal"/>
      <w:lvlText w:val="%1.%2"/>
      <w:lvlJc w:val="left"/>
      <w:pPr>
        <w:ind w:left="1284" w:hanging="681"/>
        <w:jc w:val="right"/>
      </w:pPr>
      <w:rPr>
        <w:rFonts w:hint="default" w:ascii="Calibri" w:hAnsi="Calibri" w:eastAsia="Calibri" w:cs="Calibri"/>
        <w:spacing w:val="-18"/>
        <w:w w:val="125"/>
        <w:sz w:val="20"/>
        <w:szCs w:val="20"/>
      </w:rPr>
    </w:lvl>
    <w:lvl w:ilvl="2">
      <w:start w:val="0"/>
      <w:numFmt w:val="bullet"/>
      <w:lvlText w:val="•"/>
      <w:lvlJc w:val="left"/>
      <w:pPr>
        <w:ind w:left="3265" w:hanging="681"/>
      </w:pPr>
      <w:rPr>
        <w:rFonts w:hint="default"/>
      </w:rPr>
    </w:lvl>
    <w:lvl w:ilvl="3">
      <w:start w:val="0"/>
      <w:numFmt w:val="bullet"/>
      <w:lvlText w:val="•"/>
      <w:lvlJc w:val="left"/>
      <w:pPr>
        <w:ind w:left="4257" w:hanging="681"/>
      </w:pPr>
      <w:rPr>
        <w:rFonts w:hint="default"/>
      </w:rPr>
    </w:lvl>
    <w:lvl w:ilvl="4">
      <w:start w:val="0"/>
      <w:numFmt w:val="bullet"/>
      <w:lvlText w:val="•"/>
      <w:lvlJc w:val="left"/>
      <w:pPr>
        <w:ind w:left="5250" w:hanging="681"/>
      </w:pPr>
      <w:rPr>
        <w:rFonts w:hint="default"/>
      </w:rPr>
    </w:lvl>
    <w:lvl w:ilvl="5">
      <w:start w:val="0"/>
      <w:numFmt w:val="bullet"/>
      <w:lvlText w:val="•"/>
      <w:lvlJc w:val="left"/>
      <w:pPr>
        <w:ind w:left="6242" w:hanging="681"/>
      </w:pPr>
      <w:rPr>
        <w:rFonts w:hint="default"/>
      </w:rPr>
    </w:lvl>
    <w:lvl w:ilvl="6">
      <w:start w:val="0"/>
      <w:numFmt w:val="bullet"/>
      <w:lvlText w:val="•"/>
      <w:lvlJc w:val="left"/>
      <w:pPr>
        <w:ind w:left="7235" w:hanging="681"/>
      </w:pPr>
      <w:rPr>
        <w:rFonts w:hint="default"/>
      </w:rPr>
    </w:lvl>
    <w:lvl w:ilvl="7">
      <w:start w:val="0"/>
      <w:numFmt w:val="bullet"/>
      <w:lvlText w:val="•"/>
      <w:lvlJc w:val="left"/>
      <w:pPr>
        <w:ind w:left="8227" w:hanging="681"/>
      </w:pPr>
      <w:rPr>
        <w:rFonts w:hint="default"/>
      </w:rPr>
    </w:lvl>
    <w:lvl w:ilvl="8">
      <w:start w:val="0"/>
      <w:numFmt w:val="bullet"/>
      <w:lvlText w:val="•"/>
      <w:lvlJc w:val="left"/>
      <w:pPr>
        <w:ind w:left="9220" w:hanging="681"/>
      </w:pPr>
      <w:rPr>
        <w:rFonts w:hint="default"/>
      </w:rPr>
    </w:lvl>
  </w:abstractNum>
  <w:abstractNum w:abstractNumId="34">
    <w:multiLevelType w:val="hybridMultilevel"/>
    <w:lvl w:ilvl="0">
      <w:start w:val="7"/>
      <w:numFmt w:val="decimal"/>
      <w:lvlText w:val="%1"/>
      <w:lvlJc w:val="left"/>
      <w:pPr>
        <w:ind w:left="547" w:hanging="681"/>
        <w:jc w:val="left"/>
      </w:pPr>
      <w:rPr>
        <w:rFonts w:hint="default"/>
      </w:rPr>
    </w:lvl>
    <w:lvl w:ilvl="1">
      <w:start w:val="1"/>
      <w:numFmt w:val="decimal"/>
      <w:lvlText w:val="%1.%2"/>
      <w:lvlJc w:val="left"/>
      <w:pPr>
        <w:ind w:left="547" w:hanging="681"/>
        <w:jc w:val="right"/>
      </w:pPr>
      <w:rPr>
        <w:rFonts w:hint="default" w:ascii="Calibri" w:hAnsi="Calibri" w:eastAsia="Calibri" w:cs="Calibri"/>
        <w:spacing w:val="-25"/>
        <w:w w:val="125"/>
        <w:sz w:val="20"/>
        <w:szCs w:val="20"/>
      </w:rPr>
    </w:lvl>
    <w:lvl w:ilvl="2">
      <w:start w:val="0"/>
      <w:numFmt w:val="bullet"/>
      <w:lvlText w:val="•"/>
      <w:lvlJc w:val="left"/>
      <w:pPr>
        <w:ind w:left="2673" w:hanging="681"/>
      </w:pPr>
      <w:rPr>
        <w:rFonts w:hint="default"/>
      </w:rPr>
    </w:lvl>
    <w:lvl w:ilvl="3">
      <w:start w:val="0"/>
      <w:numFmt w:val="bullet"/>
      <w:lvlText w:val="•"/>
      <w:lvlJc w:val="left"/>
      <w:pPr>
        <w:ind w:left="3739" w:hanging="681"/>
      </w:pPr>
      <w:rPr>
        <w:rFonts w:hint="default"/>
      </w:rPr>
    </w:lvl>
    <w:lvl w:ilvl="4">
      <w:start w:val="0"/>
      <w:numFmt w:val="bullet"/>
      <w:lvlText w:val="•"/>
      <w:lvlJc w:val="left"/>
      <w:pPr>
        <w:ind w:left="4806" w:hanging="681"/>
      </w:pPr>
      <w:rPr>
        <w:rFonts w:hint="default"/>
      </w:rPr>
    </w:lvl>
    <w:lvl w:ilvl="5">
      <w:start w:val="0"/>
      <w:numFmt w:val="bullet"/>
      <w:lvlText w:val="•"/>
      <w:lvlJc w:val="left"/>
      <w:pPr>
        <w:ind w:left="5872" w:hanging="681"/>
      </w:pPr>
      <w:rPr>
        <w:rFonts w:hint="default"/>
      </w:rPr>
    </w:lvl>
    <w:lvl w:ilvl="6">
      <w:start w:val="0"/>
      <w:numFmt w:val="bullet"/>
      <w:lvlText w:val="•"/>
      <w:lvlJc w:val="left"/>
      <w:pPr>
        <w:ind w:left="6939" w:hanging="681"/>
      </w:pPr>
      <w:rPr>
        <w:rFonts w:hint="default"/>
      </w:rPr>
    </w:lvl>
    <w:lvl w:ilvl="7">
      <w:start w:val="0"/>
      <w:numFmt w:val="bullet"/>
      <w:lvlText w:val="•"/>
      <w:lvlJc w:val="left"/>
      <w:pPr>
        <w:ind w:left="8005" w:hanging="681"/>
      </w:pPr>
      <w:rPr>
        <w:rFonts w:hint="default"/>
      </w:rPr>
    </w:lvl>
    <w:lvl w:ilvl="8">
      <w:start w:val="0"/>
      <w:numFmt w:val="bullet"/>
      <w:lvlText w:val="•"/>
      <w:lvlJc w:val="left"/>
      <w:pPr>
        <w:ind w:left="9072" w:hanging="681"/>
      </w:pPr>
      <w:rPr>
        <w:rFonts w:hint="default"/>
      </w:rPr>
    </w:lvl>
  </w:abstractNum>
  <w:abstractNum w:abstractNumId="33">
    <w:multiLevelType w:val="hybridMultilevel"/>
    <w:lvl w:ilvl="0">
      <w:start w:val="6"/>
      <w:numFmt w:val="decimal"/>
      <w:lvlText w:val="%1"/>
      <w:lvlJc w:val="left"/>
      <w:pPr>
        <w:ind w:left="547" w:hanging="681"/>
        <w:jc w:val="left"/>
      </w:pPr>
      <w:rPr>
        <w:rFonts w:hint="default"/>
      </w:rPr>
    </w:lvl>
    <w:lvl w:ilvl="1">
      <w:start w:val="1"/>
      <w:numFmt w:val="decimal"/>
      <w:lvlText w:val="%1.%2"/>
      <w:lvlJc w:val="left"/>
      <w:pPr>
        <w:ind w:left="547" w:hanging="681"/>
        <w:jc w:val="left"/>
      </w:pPr>
      <w:rPr>
        <w:rFonts w:hint="default" w:ascii="Calibri" w:hAnsi="Calibri" w:eastAsia="Calibri" w:cs="Calibri"/>
        <w:spacing w:val="-18"/>
        <w:w w:val="125"/>
        <w:sz w:val="20"/>
        <w:szCs w:val="20"/>
      </w:rPr>
    </w:lvl>
    <w:lvl w:ilvl="2">
      <w:start w:val="0"/>
      <w:numFmt w:val="bullet"/>
      <w:lvlText w:val="•"/>
      <w:lvlJc w:val="left"/>
      <w:pPr>
        <w:ind w:left="2673" w:hanging="681"/>
      </w:pPr>
      <w:rPr>
        <w:rFonts w:hint="default"/>
      </w:rPr>
    </w:lvl>
    <w:lvl w:ilvl="3">
      <w:start w:val="0"/>
      <w:numFmt w:val="bullet"/>
      <w:lvlText w:val="•"/>
      <w:lvlJc w:val="left"/>
      <w:pPr>
        <w:ind w:left="3739" w:hanging="681"/>
      </w:pPr>
      <w:rPr>
        <w:rFonts w:hint="default"/>
      </w:rPr>
    </w:lvl>
    <w:lvl w:ilvl="4">
      <w:start w:val="0"/>
      <w:numFmt w:val="bullet"/>
      <w:lvlText w:val="•"/>
      <w:lvlJc w:val="left"/>
      <w:pPr>
        <w:ind w:left="4806" w:hanging="681"/>
      </w:pPr>
      <w:rPr>
        <w:rFonts w:hint="default"/>
      </w:rPr>
    </w:lvl>
    <w:lvl w:ilvl="5">
      <w:start w:val="0"/>
      <w:numFmt w:val="bullet"/>
      <w:lvlText w:val="•"/>
      <w:lvlJc w:val="left"/>
      <w:pPr>
        <w:ind w:left="5872" w:hanging="681"/>
      </w:pPr>
      <w:rPr>
        <w:rFonts w:hint="default"/>
      </w:rPr>
    </w:lvl>
    <w:lvl w:ilvl="6">
      <w:start w:val="0"/>
      <w:numFmt w:val="bullet"/>
      <w:lvlText w:val="•"/>
      <w:lvlJc w:val="left"/>
      <w:pPr>
        <w:ind w:left="6939" w:hanging="681"/>
      </w:pPr>
      <w:rPr>
        <w:rFonts w:hint="default"/>
      </w:rPr>
    </w:lvl>
    <w:lvl w:ilvl="7">
      <w:start w:val="0"/>
      <w:numFmt w:val="bullet"/>
      <w:lvlText w:val="•"/>
      <w:lvlJc w:val="left"/>
      <w:pPr>
        <w:ind w:left="8005" w:hanging="681"/>
      </w:pPr>
      <w:rPr>
        <w:rFonts w:hint="default"/>
      </w:rPr>
    </w:lvl>
    <w:lvl w:ilvl="8">
      <w:start w:val="0"/>
      <w:numFmt w:val="bullet"/>
      <w:lvlText w:val="•"/>
      <w:lvlJc w:val="left"/>
      <w:pPr>
        <w:ind w:left="9072" w:hanging="681"/>
      </w:pPr>
      <w:rPr>
        <w:rFonts w:hint="default"/>
      </w:rPr>
    </w:lvl>
  </w:abstractNum>
  <w:abstractNum w:abstractNumId="31">
    <w:multiLevelType w:val="hybridMultilevel"/>
    <w:lvl w:ilvl="0">
      <w:start w:val="1"/>
      <w:numFmt w:val="decimal"/>
      <w:lvlText w:val="%1."/>
      <w:lvlJc w:val="left"/>
      <w:pPr>
        <w:ind w:left="760" w:hanging="681"/>
        <w:jc w:val="left"/>
      </w:pPr>
      <w:rPr>
        <w:rFonts w:hint="default" w:ascii="Calibri" w:hAnsi="Calibri" w:eastAsia="Calibri" w:cs="Calibri"/>
        <w:spacing w:val="-13"/>
        <w:w w:val="125"/>
        <w:sz w:val="20"/>
        <w:szCs w:val="20"/>
      </w:rPr>
    </w:lvl>
    <w:lvl w:ilvl="1">
      <w:start w:val="0"/>
      <w:numFmt w:val="bullet"/>
      <w:lvlText w:val="•"/>
      <w:lvlJc w:val="left"/>
      <w:pPr>
        <w:ind w:left="1341" w:hanging="681"/>
      </w:pPr>
      <w:rPr>
        <w:rFonts w:hint="default"/>
      </w:rPr>
    </w:lvl>
    <w:lvl w:ilvl="2">
      <w:start w:val="0"/>
      <w:numFmt w:val="bullet"/>
      <w:lvlText w:val="•"/>
      <w:lvlJc w:val="left"/>
      <w:pPr>
        <w:ind w:left="1922" w:hanging="681"/>
      </w:pPr>
      <w:rPr>
        <w:rFonts w:hint="default"/>
      </w:rPr>
    </w:lvl>
    <w:lvl w:ilvl="3">
      <w:start w:val="0"/>
      <w:numFmt w:val="bullet"/>
      <w:lvlText w:val="•"/>
      <w:lvlJc w:val="left"/>
      <w:pPr>
        <w:ind w:left="2503" w:hanging="681"/>
      </w:pPr>
      <w:rPr>
        <w:rFonts w:hint="default"/>
      </w:rPr>
    </w:lvl>
    <w:lvl w:ilvl="4">
      <w:start w:val="0"/>
      <w:numFmt w:val="bullet"/>
      <w:lvlText w:val="•"/>
      <w:lvlJc w:val="left"/>
      <w:pPr>
        <w:ind w:left="3084" w:hanging="681"/>
      </w:pPr>
      <w:rPr>
        <w:rFonts w:hint="default"/>
      </w:rPr>
    </w:lvl>
    <w:lvl w:ilvl="5">
      <w:start w:val="0"/>
      <w:numFmt w:val="bullet"/>
      <w:lvlText w:val="•"/>
      <w:lvlJc w:val="left"/>
      <w:pPr>
        <w:ind w:left="3666" w:hanging="681"/>
      </w:pPr>
      <w:rPr>
        <w:rFonts w:hint="default"/>
      </w:rPr>
    </w:lvl>
    <w:lvl w:ilvl="6">
      <w:start w:val="0"/>
      <w:numFmt w:val="bullet"/>
      <w:lvlText w:val="•"/>
      <w:lvlJc w:val="left"/>
      <w:pPr>
        <w:ind w:left="4247" w:hanging="681"/>
      </w:pPr>
      <w:rPr>
        <w:rFonts w:hint="default"/>
      </w:rPr>
    </w:lvl>
    <w:lvl w:ilvl="7">
      <w:start w:val="0"/>
      <w:numFmt w:val="bullet"/>
      <w:lvlText w:val="•"/>
      <w:lvlJc w:val="left"/>
      <w:pPr>
        <w:ind w:left="4828" w:hanging="681"/>
      </w:pPr>
      <w:rPr>
        <w:rFonts w:hint="default"/>
      </w:rPr>
    </w:lvl>
    <w:lvl w:ilvl="8">
      <w:start w:val="0"/>
      <w:numFmt w:val="bullet"/>
      <w:lvlText w:val="•"/>
      <w:lvlJc w:val="left"/>
      <w:pPr>
        <w:ind w:left="5409" w:hanging="681"/>
      </w:pPr>
      <w:rPr>
        <w:rFonts w:hint="default"/>
      </w:rPr>
    </w:lvl>
  </w:abstractNum>
  <w:abstractNum w:abstractNumId="30">
    <w:multiLevelType w:val="hybridMultilevel"/>
    <w:lvl w:ilvl="0">
      <w:start w:val="9"/>
      <w:numFmt w:val="decimal"/>
      <w:lvlText w:val="%1."/>
      <w:lvlJc w:val="left"/>
      <w:pPr>
        <w:ind w:left="80" w:hanging="681"/>
        <w:jc w:val="left"/>
      </w:pPr>
      <w:rPr>
        <w:rFonts w:hint="default" w:ascii="Stone Sans II ITC Std Bk" w:hAnsi="Stone Sans II ITC Std Bk" w:eastAsia="Stone Sans II ITC Std Bk" w:cs="Stone Sans II ITC Std Bk"/>
        <w:b/>
        <w:bCs/>
        <w:spacing w:val="-15"/>
        <w:w w:val="110"/>
        <w:sz w:val="20"/>
        <w:szCs w:val="20"/>
      </w:rPr>
    </w:lvl>
    <w:lvl w:ilvl="1">
      <w:start w:val="0"/>
      <w:numFmt w:val="bullet"/>
      <w:lvlText w:val="•"/>
      <w:lvlJc w:val="left"/>
      <w:pPr>
        <w:ind w:left="729" w:hanging="681"/>
      </w:pPr>
      <w:rPr>
        <w:rFonts w:hint="default"/>
      </w:rPr>
    </w:lvl>
    <w:lvl w:ilvl="2">
      <w:start w:val="0"/>
      <w:numFmt w:val="bullet"/>
      <w:lvlText w:val="•"/>
      <w:lvlJc w:val="left"/>
      <w:pPr>
        <w:ind w:left="1378" w:hanging="681"/>
      </w:pPr>
      <w:rPr>
        <w:rFonts w:hint="default"/>
      </w:rPr>
    </w:lvl>
    <w:lvl w:ilvl="3">
      <w:start w:val="0"/>
      <w:numFmt w:val="bullet"/>
      <w:lvlText w:val="•"/>
      <w:lvlJc w:val="left"/>
      <w:pPr>
        <w:ind w:left="2027" w:hanging="681"/>
      </w:pPr>
      <w:rPr>
        <w:rFonts w:hint="default"/>
      </w:rPr>
    </w:lvl>
    <w:lvl w:ilvl="4">
      <w:start w:val="0"/>
      <w:numFmt w:val="bullet"/>
      <w:lvlText w:val="•"/>
      <w:lvlJc w:val="left"/>
      <w:pPr>
        <w:ind w:left="2676" w:hanging="681"/>
      </w:pPr>
      <w:rPr>
        <w:rFonts w:hint="default"/>
      </w:rPr>
    </w:lvl>
    <w:lvl w:ilvl="5">
      <w:start w:val="0"/>
      <w:numFmt w:val="bullet"/>
      <w:lvlText w:val="•"/>
      <w:lvlJc w:val="left"/>
      <w:pPr>
        <w:ind w:left="3326" w:hanging="681"/>
      </w:pPr>
      <w:rPr>
        <w:rFonts w:hint="default"/>
      </w:rPr>
    </w:lvl>
    <w:lvl w:ilvl="6">
      <w:start w:val="0"/>
      <w:numFmt w:val="bullet"/>
      <w:lvlText w:val="•"/>
      <w:lvlJc w:val="left"/>
      <w:pPr>
        <w:ind w:left="3975" w:hanging="681"/>
      </w:pPr>
      <w:rPr>
        <w:rFonts w:hint="default"/>
      </w:rPr>
    </w:lvl>
    <w:lvl w:ilvl="7">
      <w:start w:val="0"/>
      <w:numFmt w:val="bullet"/>
      <w:lvlText w:val="•"/>
      <w:lvlJc w:val="left"/>
      <w:pPr>
        <w:ind w:left="4624" w:hanging="681"/>
      </w:pPr>
      <w:rPr>
        <w:rFonts w:hint="default"/>
      </w:rPr>
    </w:lvl>
    <w:lvl w:ilvl="8">
      <w:start w:val="0"/>
      <w:numFmt w:val="bullet"/>
      <w:lvlText w:val="•"/>
      <w:lvlJc w:val="left"/>
      <w:pPr>
        <w:ind w:left="5273" w:hanging="681"/>
      </w:pPr>
      <w:rPr>
        <w:rFonts w:hint="default"/>
      </w:rPr>
    </w:lvl>
  </w:abstractNum>
  <w:abstractNum w:abstractNumId="29">
    <w:multiLevelType w:val="hybridMultilevel"/>
    <w:lvl w:ilvl="0">
      <w:start w:val="1"/>
      <w:numFmt w:val="decimal"/>
      <w:lvlText w:val="%1"/>
      <w:lvlJc w:val="left"/>
      <w:pPr>
        <w:ind w:left="1284" w:hanging="681"/>
        <w:jc w:val="left"/>
      </w:pPr>
      <w:rPr>
        <w:rFonts w:hint="default"/>
      </w:rPr>
    </w:lvl>
    <w:lvl w:ilvl="1">
      <w:start w:val="1"/>
      <w:numFmt w:val="decimal"/>
      <w:lvlText w:val="%1.%2"/>
      <w:lvlJc w:val="left"/>
      <w:pPr>
        <w:ind w:left="1284" w:hanging="681"/>
        <w:jc w:val="left"/>
      </w:pPr>
      <w:rPr>
        <w:rFonts w:hint="default" w:ascii="Calibri" w:hAnsi="Calibri" w:eastAsia="Calibri" w:cs="Calibri"/>
        <w:spacing w:val="-18"/>
        <w:w w:val="125"/>
        <w:sz w:val="20"/>
        <w:szCs w:val="20"/>
      </w:rPr>
    </w:lvl>
    <w:lvl w:ilvl="2">
      <w:start w:val="0"/>
      <w:numFmt w:val="bullet"/>
      <w:lvlText w:val="•"/>
      <w:lvlJc w:val="left"/>
      <w:pPr>
        <w:ind w:left="3265" w:hanging="681"/>
      </w:pPr>
      <w:rPr>
        <w:rFonts w:hint="default"/>
      </w:rPr>
    </w:lvl>
    <w:lvl w:ilvl="3">
      <w:start w:val="0"/>
      <w:numFmt w:val="bullet"/>
      <w:lvlText w:val="•"/>
      <w:lvlJc w:val="left"/>
      <w:pPr>
        <w:ind w:left="4257" w:hanging="681"/>
      </w:pPr>
      <w:rPr>
        <w:rFonts w:hint="default"/>
      </w:rPr>
    </w:lvl>
    <w:lvl w:ilvl="4">
      <w:start w:val="0"/>
      <w:numFmt w:val="bullet"/>
      <w:lvlText w:val="•"/>
      <w:lvlJc w:val="left"/>
      <w:pPr>
        <w:ind w:left="5250" w:hanging="681"/>
      </w:pPr>
      <w:rPr>
        <w:rFonts w:hint="default"/>
      </w:rPr>
    </w:lvl>
    <w:lvl w:ilvl="5">
      <w:start w:val="0"/>
      <w:numFmt w:val="bullet"/>
      <w:lvlText w:val="•"/>
      <w:lvlJc w:val="left"/>
      <w:pPr>
        <w:ind w:left="6242" w:hanging="681"/>
      </w:pPr>
      <w:rPr>
        <w:rFonts w:hint="default"/>
      </w:rPr>
    </w:lvl>
    <w:lvl w:ilvl="6">
      <w:start w:val="0"/>
      <w:numFmt w:val="bullet"/>
      <w:lvlText w:val="•"/>
      <w:lvlJc w:val="left"/>
      <w:pPr>
        <w:ind w:left="7235" w:hanging="681"/>
      </w:pPr>
      <w:rPr>
        <w:rFonts w:hint="default"/>
      </w:rPr>
    </w:lvl>
    <w:lvl w:ilvl="7">
      <w:start w:val="0"/>
      <w:numFmt w:val="bullet"/>
      <w:lvlText w:val="•"/>
      <w:lvlJc w:val="left"/>
      <w:pPr>
        <w:ind w:left="8227" w:hanging="681"/>
      </w:pPr>
      <w:rPr>
        <w:rFonts w:hint="default"/>
      </w:rPr>
    </w:lvl>
    <w:lvl w:ilvl="8">
      <w:start w:val="0"/>
      <w:numFmt w:val="bullet"/>
      <w:lvlText w:val="•"/>
      <w:lvlJc w:val="left"/>
      <w:pPr>
        <w:ind w:left="9220" w:hanging="681"/>
      </w:pPr>
      <w:rPr>
        <w:rFonts w:hint="default"/>
      </w:rPr>
    </w:lvl>
  </w:abstractNum>
  <w:abstractNum w:abstractNumId="28">
    <w:multiLevelType w:val="hybridMultilevel"/>
    <w:lvl w:ilvl="0">
      <w:start w:val="1"/>
      <w:numFmt w:val="decimal"/>
      <w:lvlText w:val="%1."/>
      <w:lvlJc w:val="left"/>
      <w:pPr>
        <w:ind w:left="547" w:hanging="681"/>
        <w:jc w:val="left"/>
      </w:pPr>
      <w:rPr>
        <w:rFonts w:hint="default" w:ascii="Calibri" w:hAnsi="Calibri" w:eastAsia="Calibri" w:cs="Calibri"/>
        <w:spacing w:val="-13"/>
        <w:w w:val="125"/>
        <w:sz w:val="20"/>
        <w:szCs w:val="20"/>
      </w:rPr>
    </w:lvl>
    <w:lvl w:ilvl="1">
      <w:start w:val="1"/>
      <w:numFmt w:val="decimal"/>
      <w:lvlText w:val="%2"/>
      <w:lvlJc w:val="left"/>
      <w:pPr>
        <w:ind w:left="1170" w:hanging="454"/>
        <w:jc w:val="left"/>
      </w:pPr>
      <w:rPr>
        <w:rFonts w:hint="default" w:ascii="Calibri" w:hAnsi="Calibri" w:eastAsia="Calibri" w:cs="Calibri"/>
        <w:w w:val="123"/>
        <w:sz w:val="18"/>
        <w:szCs w:val="18"/>
      </w:rPr>
    </w:lvl>
    <w:lvl w:ilvl="2">
      <w:start w:val="0"/>
      <w:numFmt w:val="bullet"/>
      <w:lvlText w:val="•"/>
      <w:lvlJc w:val="left"/>
      <w:pPr>
        <w:ind w:left="2293" w:hanging="454"/>
      </w:pPr>
      <w:rPr>
        <w:rFonts w:hint="default"/>
      </w:rPr>
    </w:lvl>
    <w:lvl w:ilvl="3">
      <w:start w:val="0"/>
      <w:numFmt w:val="bullet"/>
      <w:lvlText w:val="•"/>
      <w:lvlJc w:val="left"/>
      <w:pPr>
        <w:ind w:left="3407" w:hanging="454"/>
      </w:pPr>
      <w:rPr>
        <w:rFonts w:hint="default"/>
      </w:rPr>
    </w:lvl>
    <w:lvl w:ilvl="4">
      <w:start w:val="0"/>
      <w:numFmt w:val="bullet"/>
      <w:lvlText w:val="•"/>
      <w:lvlJc w:val="left"/>
      <w:pPr>
        <w:ind w:left="4521" w:hanging="454"/>
      </w:pPr>
      <w:rPr>
        <w:rFonts w:hint="default"/>
      </w:rPr>
    </w:lvl>
    <w:lvl w:ilvl="5">
      <w:start w:val="0"/>
      <w:numFmt w:val="bullet"/>
      <w:lvlText w:val="•"/>
      <w:lvlJc w:val="left"/>
      <w:pPr>
        <w:ind w:left="5635" w:hanging="454"/>
      </w:pPr>
      <w:rPr>
        <w:rFonts w:hint="default"/>
      </w:rPr>
    </w:lvl>
    <w:lvl w:ilvl="6">
      <w:start w:val="0"/>
      <w:numFmt w:val="bullet"/>
      <w:lvlText w:val="•"/>
      <w:lvlJc w:val="left"/>
      <w:pPr>
        <w:ind w:left="6749" w:hanging="454"/>
      </w:pPr>
      <w:rPr>
        <w:rFonts w:hint="default"/>
      </w:rPr>
    </w:lvl>
    <w:lvl w:ilvl="7">
      <w:start w:val="0"/>
      <w:numFmt w:val="bullet"/>
      <w:lvlText w:val="•"/>
      <w:lvlJc w:val="left"/>
      <w:pPr>
        <w:ind w:left="7863" w:hanging="454"/>
      </w:pPr>
      <w:rPr>
        <w:rFonts w:hint="default"/>
      </w:rPr>
    </w:lvl>
    <w:lvl w:ilvl="8">
      <w:start w:val="0"/>
      <w:numFmt w:val="bullet"/>
      <w:lvlText w:val="•"/>
      <w:lvlJc w:val="left"/>
      <w:pPr>
        <w:ind w:left="8977" w:hanging="454"/>
      </w:pPr>
      <w:rPr>
        <w:rFonts w:hint="default"/>
      </w:rPr>
    </w:lvl>
  </w:abstractNum>
  <w:abstractNum w:abstractNumId="27">
    <w:multiLevelType w:val="hybridMultilevel"/>
    <w:lvl w:ilvl="0">
      <w:start w:val="0"/>
      <w:numFmt w:val="bullet"/>
      <w:lvlText w:val=""/>
      <w:lvlJc w:val="left"/>
      <w:pPr>
        <w:ind w:left="1227" w:hanging="681"/>
      </w:pPr>
      <w:rPr>
        <w:rFonts w:hint="default" w:ascii="Symbol" w:hAnsi="Symbol" w:eastAsia="Symbol" w:cs="Symbol"/>
        <w:w w:val="110"/>
        <w:position w:val="-3"/>
        <w:sz w:val="29"/>
        <w:szCs w:val="29"/>
      </w:rPr>
    </w:lvl>
    <w:lvl w:ilvl="1">
      <w:start w:val="0"/>
      <w:numFmt w:val="bullet"/>
      <w:lvlText w:val=""/>
      <w:lvlJc w:val="left"/>
      <w:pPr>
        <w:ind w:left="1964" w:hanging="681"/>
      </w:pPr>
      <w:rPr>
        <w:rFonts w:hint="default" w:ascii="Symbol" w:hAnsi="Symbol" w:eastAsia="Symbol" w:cs="Symbol"/>
        <w:w w:val="110"/>
        <w:position w:val="-3"/>
        <w:sz w:val="29"/>
        <w:szCs w:val="29"/>
      </w:rPr>
    </w:lvl>
    <w:lvl w:ilvl="2">
      <w:start w:val="0"/>
      <w:numFmt w:val="bullet"/>
      <w:lvlText w:val="•"/>
      <w:lvlJc w:val="left"/>
      <w:pPr>
        <w:ind w:left="2987" w:hanging="681"/>
      </w:pPr>
      <w:rPr>
        <w:rFonts w:hint="default"/>
      </w:rPr>
    </w:lvl>
    <w:lvl w:ilvl="3">
      <w:start w:val="0"/>
      <w:numFmt w:val="bullet"/>
      <w:lvlText w:val="•"/>
      <w:lvlJc w:val="left"/>
      <w:pPr>
        <w:ind w:left="4014" w:hanging="681"/>
      </w:pPr>
      <w:rPr>
        <w:rFonts w:hint="default"/>
      </w:rPr>
    </w:lvl>
    <w:lvl w:ilvl="4">
      <w:start w:val="0"/>
      <w:numFmt w:val="bullet"/>
      <w:lvlText w:val="•"/>
      <w:lvlJc w:val="left"/>
      <w:pPr>
        <w:ind w:left="5041" w:hanging="681"/>
      </w:pPr>
      <w:rPr>
        <w:rFonts w:hint="default"/>
      </w:rPr>
    </w:lvl>
    <w:lvl w:ilvl="5">
      <w:start w:val="0"/>
      <w:numFmt w:val="bullet"/>
      <w:lvlText w:val="•"/>
      <w:lvlJc w:val="left"/>
      <w:pPr>
        <w:ind w:left="6069" w:hanging="681"/>
      </w:pPr>
      <w:rPr>
        <w:rFonts w:hint="default"/>
      </w:rPr>
    </w:lvl>
    <w:lvl w:ilvl="6">
      <w:start w:val="0"/>
      <w:numFmt w:val="bullet"/>
      <w:lvlText w:val="•"/>
      <w:lvlJc w:val="left"/>
      <w:pPr>
        <w:ind w:left="7096" w:hanging="681"/>
      </w:pPr>
      <w:rPr>
        <w:rFonts w:hint="default"/>
      </w:rPr>
    </w:lvl>
    <w:lvl w:ilvl="7">
      <w:start w:val="0"/>
      <w:numFmt w:val="bullet"/>
      <w:lvlText w:val="•"/>
      <w:lvlJc w:val="left"/>
      <w:pPr>
        <w:ind w:left="8123" w:hanging="681"/>
      </w:pPr>
      <w:rPr>
        <w:rFonts w:hint="default"/>
      </w:rPr>
    </w:lvl>
    <w:lvl w:ilvl="8">
      <w:start w:val="0"/>
      <w:numFmt w:val="bullet"/>
      <w:lvlText w:val="•"/>
      <w:lvlJc w:val="left"/>
      <w:pPr>
        <w:ind w:left="9150" w:hanging="681"/>
      </w:pPr>
      <w:rPr>
        <w:rFonts w:hint="default"/>
      </w:rPr>
    </w:lvl>
  </w:abstractNum>
  <w:abstractNum w:abstractNumId="26">
    <w:multiLevelType w:val="hybridMultilevel"/>
    <w:lvl w:ilvl="0">
      <w:start w:val="1"/>
      <w:numFmt w:val="lowerLetter"/>
      <w:lvlText w:val="%1)"/>
      <w:lvlJc w:val="left"/>
      <w:pPr>
        <w:ind w:left="1227" w:hanging="681"/>
        <w:jc w:val="left"/>
      </w:pPr>
      <w:rPr>
        <w:rFonts w:hint="default" w:ascii="Calibri" w:hAnsi="Calibri" w:eastAsia="Calibri" w:cs="Calibri"/>
        <w:spacing w:val="-13"/>
        <w:w w:val="113"/>
        <w:sz w:val="20"/>
        <w:szCs w:val="20"/>
      </w:rPr>
    </w:lvl>
    <w:lvl w:ilvl="1">
      <w:start w:val="0"/>
      <w:numFmt w:val="bullet"/>
      <w:lvlText w:val="•"/>
      <w:lvlJc w:val="left"/>
      <w:pPr>
        <w:ind w:left="2218" w:hanging="681"/>
      </w:pPr>
      <w:rPr>
        <w:rFonts w:hint="default"/>
      </w:rPr>
    </w:lvl>
    <w:lvl w:ilvl="2">
      <w:start w:val="0"/>
      <w:numFmt w:val="bullet"/>
      <w:lvlText w:val="•"/>
      <w:lvlJc w:val="left"/>
      <w:pPr>
        <w:ind w:left="3217" w:hanging="681"/>
      </w:pPr>
      <w:rPr>
        <w:rFonts w:hint="default"/>
      </w:rPr>
    </w:lvl>
    <w:lvl w:ilvl="3">
      <w:start w:val="0"/>
      <w:numFmt w:val="bullet"/>
      <w:lvlText w:val="•"/>
      <w:lvlJc w:val="left"/>
      <w:pPr>
        <w:ind w:left="4215" w:hanging="681"/>
      </w:pPr>
      <w:rPr>
        <w:rFonts w:hint="default"/>
      </w:rPr>
    </w:lvl>
    <w:lvl w:ilvl="4">
      <w:start w:val="0"/>
      <w:numFmt w:val="bullet"/>
      <w:lvlText w:val="•"/>
      <w:lvlJc w:val="left"/>
      <w:pPr>
        <w:ind w:left="5214" w:hanging="681"/>
      </w:pPr>
      <w:rPr>
        <w:rFonts w:hint="default"/>
      </w:rPr>
    </w:lvl>
    <w:lvl w:ilvl="5">
      <w:start w:val="0"/>
      <w:numFmt w:val="bullet"/>
      <w:lvlText w:val="•"/>
      <w:lvlJc w:val="left"/>
      <w:pPr>
        <w:ind w:left="6212" w:hanging="681"/>
      </w:pPr>
      <w:rPr>
        <w:rFonts w:hint="default"/>
      </w:rPr>
    </w:lvl>
    <w:lvl w:ilvl="6">
      <w:start w:val="0"/>
      <w:numFmt w:val="bullet"/>
      <w:lvlText w:val="•"/>
      <w:lvlJc w:val="left"/>
      <w:pPr>
        <w:ind w:left="7211" w:hanging="681"/>
      </w:pPr>
      <w:rPr>
        <w:rFonts w:hint="default"/>
      </w:rPr>
    </w:lvl>
    <w:lvl w:ilvl="7">
      <w:start w:val="0"/>
      <w:numFmt w:val="bullet"/>
      <w:lvlText w:val="•"/>
      <w:lvlJc w:val="left"/>
      <w:pPr>
        <w:ind w:left="8209" w:hanging="681"/>
      </w:pPr>
      <w:rPr>
        <w:rFonts w:hint="default"/>
      </w:rPr>
    </w:lvl>
    <w:lvl w:ilvl="8">
      <w:start w:val="0"/>
      <w:numFmt w:val="bullet"/>
      <w:lvlText w:val="•"/>
      <w:lvlJc w:val="left"/>
      <w:pPr>
        <w:ind w:left="9208" w:hanging="681"/>
      </w:pPr>
      <w:rPr>
        <w:rFonts w:hint="default"/>
      </w:rPr>
    </w:lvl>
  </w:abstractNum>
  <w:abstractNum w:abstractNumId="25">
    <w:multiLevelType w:val="hybridMultilevel"/>
    <w:lvl w:ilvl="0">
      <w:start w:val="1"/>
      <w:numFmt w:val="decimal"/>
      <w:lvlText w:val="%1."/>
      <w:lvlJc w:val="left"/>
      <w:pPr>
        <w:ind w:left="547" w:hanging="681"/>
        <w:jc w:val="left"/>
      </w:pPr>
      <w:rPr>
        <w:rFonts w:hint="default" w:ascii="Calibri" w:hAnsi="Calibri" w:eastAsia="Calibri" w:cs="Calibri"/>
        <w:spacing w:val="-13"/>
        <w:w w:val="125"/>
        <w:sz w:val="20"/>
        <w:szCs w:val="20"/>
      </w:rPr>
    </w:lvl>
    <w:lvl w:ilvl="1">
      <w:start w:val="1"/>
      <w:numFmt w:val="decimal"/>
      <w:lvlText w:val="%2."/>
      <w:lvlJc w:val="left"/>
      <w:pPr>
        <w:ind w:left="1284" w:hanging="681"/>
        <w:jc w:val="right"/>
      </w:pPr>
      <w:rPr>
        <w:rFonts w:hint="default" w:ascii="Calibri" w:hAnsi="Calibri" w:eastAsia="Calibri" w:cs="Calibri"/>
        <w:spacing w:val="-13"/>
        <w:w w:val="125"/>
        <w:sz w:val="20"/>
        <w:szCs w:val="20"/>
      </w:rPr>
    </w:lvl>
    <w:lvl w:ilvl="2">
      <w:start w:val="0"/>
      <w:numFmt w:val="bullet"/>
      <w:lvlText w:val="•"/>
      <w:lvlJc w:val="left"/>
      <w:pPr>
        <w:ind w:left="1280" w:hanging="681"/>
      </w:pPr>
      <w:rPr>
        <w:rFonts w:hint="default"/>
      </w:rPr>
    </w:lvl>
    <w:lvl w:ilvl="3">
      <w:start w:val="0"/>
      <w:numFmt w:val="bullet"/>
      <w:lvlText w:val="•"/>
      <w:lvlJc w:val="left"/>
      <w:pPr>
        <w:ind w:left="2520" w:hanging="681"/>
      </w:pPr>
      <w:rPr>
        <w:rFonts w:hint="default"/>
      </w:rPr>
    </w:lvl>
    <w:lvl w:ilvl="4">
      <w:start w:val="0"/>
      <w:numFmt w:val="bullet"/>
      <w:lvlText w:val="•"/>
      <w:lvlJc w:val="left"/>
      <w:pPr>
        <w:ind w:left="3761" w:hanging="681"/>
      </w:pPr>
      <w:rPr>
        <w:rFonts w:hint="default"/>
      </w:rPr>
    </w:lvl>
    <w:lvl w:ilvl="5">
      <w:start w:val="0"/>
      <w:numFmt w:val="bullet"/>
      <w:lvlText w:val="•"/>
      <w:lvlJc w:val="left"/>
      <w:pPr>
        <w:ind w:left="5002" w:hanging="681"/>
      </w:pPr>
      <w:rPr>
        <w:rFonts w:hint="default"/>
      </w:rPr>
    </w:lvl>
    <w:lvl w:ilvl="6">
      <w:start w:val="0"/>
      <w:numFmt w:val="bullet"/>
      <w:lvlText w:val="•"/>
      <w:lvlJc w:val="left"/>
      <w:pPr>
        <w:ind w:left="6242" w:hanging="681"/>
      </w:pPr>
      <w:rPr>
        <w:rFonts w:hint="default"/>
      </w:rPr>
    </w:lvl>
    <w:lvl w:ilvl="7">
      <w:start w:val="0"/>
      <w:numFmt w:val="bullet"/>
      <w:lvlText w:val="•"/>
      <w:lvlJc w:val="left"/>
      <w:pPr>
        <w:ind w:left="7483" w:hanging="681"/>
      </w:pPr>
      <w:rPr>
        <w:rFonts w:hint="default"/>
      </w:rPr>
    </w:lvl>
    <w:lvl w:ilvl="8">
      <w:start w:val="0"/>
      <w:numFmt w:val="bullet"/>
      <w:lvlText w:val="•"/>
      <w:lvlJc w:val="left"/>
      <w:pPr>
        <w:ind w:left="8724" w:hanging="681"/>
      </w:pPr>
      <w:rPr>
        <w:rFonts w:hint="default"/>
      </w:rPr>
    </w:lvl>
  </w:abstractNum>
  <w:abstractNum w:abstractNumId="24">
    <w:multiLevelType w:val="hybridMultilevel"/>
    <w:lvl w:ilvl="0">
      <w:start w:val="1"/>
      <w:numFmt w:val="lowerLetter"/>
      <w:lvlText w:val="%1)"/>
      <w:lvlJc w:val="left"/>
      <w:pPr>
        <w:ind w:left="1950" w:hanging="681"/>
        <w:jc w:val="left"/>
      </w:pPr>
      <w:rPr>
        <w:rFonts w:hint="default" w:ascii="Calibri" w:hAnsi="Calibri" w:eastAsia="Calibri" w:cs="Calibri"/>
        <w:spacing w:val="-13"/>
        <w:w w:val="113"/>
        <w:sz w:val="20"/>
        <w:szCs w:val="20"/>
      </w:rPr>
    </w:lvl>
    <w:lvl w:ilvl="1">
      <w:start w:val="1"/>
      <w:numFmt w:val="lowerRoman"/>
      <w:lvlText w:val="%2)"/>
      <w:lvlJc w:val="left"/>
      <w:pPr>
        <w:ind w:left="2630" w:hanging="681"/>
        <w:jc w:val="left"/>
      </w:pPr>
      <w:rPr>
        <w:rFonts w:hint="default" w:ascii="Calibri" w:hAnsi="Calibri" w:eastAsia="Calibri" w:cs="Calibri"/>
        <w:spacing w:val="-4"/>
        <w:w w:val="122"/>
        <w:sz w:val="20"/>
        <w:szCs w:val="20"/>
      </w:rPr>
    </w:lvl>
    <w:lvl w:ilvl="2">
      <w:start w:val="0"/>
      <w:numFmt w:val="bullet"/>
      <w:lvlText w:val="•"/>
      <w:lvlJc w:val="left"/>
      <w:pPr>
        <w:ind w:left="3591" w:hanging="681"/>
      </w:pPr>
      <w:rPr>
        <w:rFonts w:hint="default"/>
      </w:rPr>
    </w:lvl>
    <w:lvl w:ilvl="3">
      <w:start w:val="0"/>
      <w:numFmt w:val="bullet"/>
      <w:lvlText w:val="•"/>
      <w:lvlJc w:val="left"/>
      <w:pPr>
        <w:ind w:left="4543" w:hanging="681"/>
      </w:pPr>
      <w:rPr>
        <w:rFonts w:hint="default"/>
      </w:rPr>
    </w:lvl>
    <w:lvl w:ilvl="4">
      <w:start w:val="0"/>
      <w:numFmt w:val="bullet"/>
      <w:lvlText w:val="•"/>
      <w:lvlJc w:val="left"/>
      <w:pPr>
        <w:ind w:left="5495" w:hanging="681"/>
      </w:pPr>
      <w:rPr>
        <w:rFonts w:hint="default"/>
      </w:rPr>
    </w:lvl>
    <w:lvl w:ilvl="5">
      <w:start w:val="0"/>
      <w:numFmt w:val="bullet"/>
      <w:lvlText w:val="•"/>
      <w:lvlJc w:val="left"/>
      <w:pPr>
        <w:ind w:left="6446" w:hanging="681"/>
      </w:pPr>
      <w:rPr>
        <w:rFonts w:hint="default"/>
      </w:rPr>
    </w:lvl>
    <w:lvl w:ilvl="6">
      <w:start w:val="0"/>
      <w:numFmt w:val="bullet"/>
      <w:lvlText w:val="•"/>
      <w:lvlJc w:val="left"/>
      <w:pPr>
        <w:ind w:left="7398" w:hanging="681"/>
      </w:pPr>
      <w:rPr>
        <w:rFonts w:hint="default"/>
      </w:rPr>
    </w:lvl>
    <w:lvl w:ilvl="7">
      <w:start w:val="0"/>
      <w:numFmt w:val="bullet"/>
      <w:lvlText w:val="•"/>
      <w:lvlJc w:val="left"/>
      <w:pPr>
        <w:ind w:left="8350" w:hanging="681"/>
      </w:pPr>
      <w:rPr>
        <w:rFonts w:hint="default"/>
      </w:rPr>
    </w:lvl>
    <w:lvl w:ilvl="8">
      <w:start w:val="0"/>
      <w:numFmt w:val="bullet"/>
      <w:lvlText w:val="•"/>
      <w:lvlJc w:val="left"/>
      <w:pPr>
        <w:ind w:left="9302" w:hanging="681"/>
      </w:pPr>
      <w:rPr>
        <w:rFonts w:hint="default"/>
      </w:rPr>
    </w:lvl>
  </w:abstractNum>
  <w:abstractNum w:abstractNumId="23">
    <w:multiLevelType w:val="hybridMultilevel"/>
    <w:lvl w:ilvl="0">
      <w:start w:val="1"/>
      <w:numFmt w:val="lowerLetter"/>
      <w:lvlText w:val="%1)"/>
      <w:lvlJc w:val="left"/>
      <w:pPr>
        <w:ind w:left="1950" w:hanging="681"/>
        <w:jc w:val="left"/>
      </w:pPr>
      <w:rPr>
        <w:rFonts w:hint="default" w:ascii="Calibri" w:hAnsi="Calibri" w:eastAsia="Calibri" w:cs="Calibri"/>
        <w:spacing w:val="-13"/>
        <w:w w:val="113"/>
        <w:sz w:val="20"/>
        <w:szCs w:val="20"/>
      </w:rPr>
    </w:lvl>
    <w:lvl w:ilvl="1">
      <w:start w:val="1"/>
      <w:numFmt w:val="lowerLetter"/>
      <w:lvlText w:val="(%2)"/>
      <w:lvlJc w:val="left"/>
      <w:pPr>
        <w:ind w:left="2262" w:hanging="313"/>
        <w:jc w:val="left"/>
      </w:pPr>
      <w:rPr>
        <w:rFonts w:hint="default" w:ascii="Calibri" w:hAnsi="Calibri" w:eastAsia="Calibri" w:cs="Calibri"/>
        <w:spacing w:val="-18"/>
        <w:w w:val="125"/>
        <w:sz w:val="20"/>
        <w:szCs w:val="20"/>
      </w:rPr>
    </w:lvl>
    <w:lvl w:ilvl="2">
      <w:start w:val="0"/>
      <w:numFmt w:val="bullet"/>
      <w:lvlText w:val="•"/>
      <w:lvlJc w:val="left"/>
      <w:pPr>
        <w:ind w:left="3253" w:hanging="313"/>
      </w:pPr>
      <w:rPr>
        <w:rFonts w:hint="default"/>
      </w:rPr>
    </w:lvl>
    <w:lvl w:ilvl="3">
      <w:start w:val="0"/>
      <w:numFmt w:val="bullet"/>
      <w:lvlText w:val="•"/>
      <w:lvlJc w:val="left"/>
      <w:pPr>
        <w:ind w:left="4247" w:hanging="313"/>
      </w:pPr>
      <w:rPr>
        <w:rFonts w:hint="default"/>
      </w:rPr>
    </w:lvl>
    <w:lvl w:ilvl="4">
      <w:start w:val="0"/>
      <w:numFmt w:val="bullet"/>
      <w:lvlText w:val="•"/>
      <w:lvlJc w:val="left"/>
      <w:pPr>
        <w:ind w:left="5241" w:hanging="313"/>
      </w:pPr>
      <w:rPr>
        <w:rFonts w:hint="default"/>
      </w:rPr>
    </w:lvl>
    <w:lvl w:ilvl="5">
      <w:start w:val="0"/>
      <w:numFmt w:val="bullet"/>
      <w:lvlText w:val="•"/>
      <w:lvlJc w:val="left"/>
      <w:pPr>
        <w:ind w:left="6235" w:hanging="313"/>
      </w:pPr>
      <w:rPr>
        <w:rFonts w:hint="default"/>
      </w:rPr>
    </w:lvl>
    <w:lvl w:ilvl="6">
      <w:start w:val="0"/>
      <w:numFmt w:val="bullet"/>
      <w:lvlText w:val="•"/>
      <w:lvlJc w:val="left"/>
      <w:pPr>
        <w:ind w:left="7229" w:hanging="313"/>
      </w:pPr>
      <w:rPr>
        <w:rFonts w:hint="default"/>
      </w:rPr>
    </w:lvl>
    <w:lvl w:ilvl="7">
      <w:start w:val="0"/>
      <w:numFmt w:val="bullet"/>
      <w:lvlText w:val="•"/>
      <w:lvlJc w:val="left"/>
      <w:pPr>
        <w:ind w:left="8223" w:hanging="313"/>
      </w:pPr>
      <w:rPr>
        <w:rFonts w:hint="default"/>
      </w:rPr>
    </w:lvl>
    <w:lvl w:ilvl="8">
      <w:start w:val="0"/>
      <w:numFmt w:val="bullet"/>
      <w:lvlText w:val="•"/>
      <w:lvlJc w:val="left"/>
      <w:pPr>
        <w:ind w:left="9217" w:hanging="313"/>
      </w:pPr>
      <w:rPr>
        <w:rFonts w:hint="default"/>
      </w:rPr>
    </w:lvl>
  </w:abstractNum>
  <w:abstractNum w:abstractNumId="21">
    <w:multiLevelType w:val="hybridMultilevel"/>
    <w:lvl w:ilvl="0">
      <w:start w:val="1"/>
      <w:numFmt w:val="lowerLetter"/>
      <w:lvlText w:val="%1)"/>
      <w:lvlJc w:val="left"/>
      <w:pPr>
        <w:ind w:left="1227" w:hanging="681"/>
        <w:jc w:val="right"/>
      </w:pPr>
      <w:rPr>
        <w:rFonts w:hint="default" w:ascii="Calibri" w:hAnsi="Calibri" w:eastAsia="Calibri" w:cs="Calibri"/>
        <w:spacing w:val="-13"/>
        <w:w w:val="113"/>
        <w:sz w:val="20"/>
        <w:szCs w:val="20"/>
      </w:rPr>
    </w:lvl>
    <w:lvl w:ilvl="1">
      <w:start w:val="0"/>
      <w:numFmt w:val="bullet"/>
      <w:lvlText w:val="•"/>
      <w:lvlJc w:val="left"/>
      <w:pPr>
        <w:ind w:left="2218" w:hanging="681"/>
      </w:pPr>
      <w:rPr>
        <w:rFonts w:hint="default"/>
      </w:rPr>
    </w:lvl>
    <w:lvl w:ilvl="2">
      <w:start w:val="0"/>
      <w:numFmt w:val="bullet"/>
      <w:lvlText w:val="•"/>
      <w:lvlJc w:val="left"/>
      <w:pPr>
        <w:ind w:left="3217" w:hanging="681"/>
      </w:pPr>
      <w:rPr>
        <w:rFonts w:hint="default"/>
      </w:rPr>
    </w:lvl>
    <w:lvl w:ilvl="3">
      <w:start w:val="0"/>
      <w:numFmt w:val="bullet"/>
      <w:lvlText w:val="•"/>
      <w:lvlJc w:val="left"/>
      <w:pPr>
        <w:ind w:left="4215" w:hanging="681"/>
      </w:pPr>
      <w:rPr>
        <w:rFonts w:hint="default"/>
      </w:rPr>
    </w:lvl>
    <w:lvl w:ilvl="4">
      <w:start w:val="0"/>
      <w:numFmt w:val="bullet"/>
      <w:lvlText w:val="•"/>
      <w:lvlJc w:val="left"/>
      <w:pPr>
        <w:ind w:left="5214" w:hanging="681"/>
      </w:pPr>
      <w:rPr>
        <w:rFonts w:hint="default"/>
      </w:rPr>
    </w:lvl>
    <w:lvl w:ilvl="5">
      <w:start w:val="0"/>
      <w:numFmt w:val="bullet"/>
      <w:lvlText w:val="•"/>
      <w:lvlJc w:val="left"/>
      <w:pPr>
        <w:ind w:left="6212" w:hanging="681"/>
      </w:pPr>
      <w:rPr>
        <w:rFonts w:hint="default"/>
      </w:rPr>
    </w:lvl>
    <w:lvl w:ilvl="6">
      <w:start w:val="0"/>
      <w:numFmt w:val="bullet"/>
      <w:lvlText w:val="•"/>
      <w:lvlJc w:val="left"/>
      <w:pPr>
        <w:ind w:left="7211" w:hanging="681"/>
      </w:pPr>
      <w:rPr>
        <w:rFonts w:hint="default"/>
      </w:rPr>
    </w:lvl>
    <w:lvl w:ilvl="7">
      <w:start w:val="0"/>
      <w:numFmt w:val="bullet"/>
      <w:lvlText w:val="•"/>
      <w:lvlJc w:val="left"/>
      <w:pPr>
        <w:ind w:left="8209" w:hanging="681"/>
      </w:pPr>
      <w:rPr>
        <w:rFonts w:hint="default"/>
      </w:rPr>
    </w:lvl>
    <w:lvl w:ilvl="8">
      <w:start w:val="0"/>
      <w:numFmt w:val="bullet"/>
      <w:lvlText w:val="•"/>
      <w:lvlJc w:val="left"/>
      <w:pPr>
        <w:ind w:left="9208" w:hanging="681"/>
      </w:pPr>
      <w:rPr>
        <w:rFonts w:hint="default"/>
      </w:rPr>
    </w:lvl>
  </w:abstractNum>
  <w:abstractNum w:abstractNumId="20">
    <w:multiLevelType w:val="hybridMultilevel"/>
    <w:lvl w:ilvl="0">
      <w:start w:val="1"/>
      <w:numFmt w:val="decimal"/>
      <w:lvlText w:val="%1."/>
      <w:lvlJc w:val="left"/>
      <w:pPr>
        <w:ind w:left="547" w:hanging="681"/>
        <w:jc w:val="right"/>
      </w:pPr>
      <w:rPr>
        <w:rFonts w:hint="default" w:ascii="Calibri" w:hAnsi="Calibri" w:eastAsia="Calibri" w:cs="Calibri"/>
        <w:spacing w:val="-13"/>
        <w:w w:val="125"/>
        <w:sz w:val="20"/>
        <w:szCs w:val="20"/>
      </w:rPr>
    </w:lvl>
    <w:lvl w:ilvl="1">
      <w:start w:val="0"/>
      <w:numFmt w:val="bullet"/>
      <w:lvlText w:val="•"/>
      <w:lvlJc w:val="left"/>
      <w:pPr>
        <w:ind w:left="1606" w:hanging="681"/>
      </w:pPr>
      <w:rPr>
        <w:rFonts w:hint="default"/>
      </w:rPr>
    </w:lvl>
    <w:lvl w:ilvl="2">
      <w:start w:val="0"/>
      <w:numFmt w:val="bullet"/>
      <w:lvlText w:val="•"/>
      <w:lvlJc w:val="left"/>
      <w:pPr>
        <w:ind w:left="2673" w:hanging="681"/>
      </w:pPr>
      <w:rPr>
        <w:rFonts w:hint="default"/>
      </w:rPr>
    </w:lvl>
    <w:lvl w:ilvl="3">
      <w:start w:val="0"/>
      <w:numFmt w:val="bullet"/>
      <w:lvlText w:val="•"/>
      <w:lvlJc w:val="left"/>
      <w:pPr>
        <w:ind w:left="3739" w:hanging="681"/>
      </w:pPr>
      <w:rPr>
        <w:rFonts w:hint="default"/>
      </w:rPr>
    </w:lvl>
    <w:lvl w:ilvl="4">
      <w:start w:val="0"/>
      <w:numFmt w:val="bullet"/>
      <w:lvlText w:val="•"/>
      <w:lvlJc w:val="left"/>
      <w:pPr>
        <w:ind w:left="4806" w:hanging="681"/>
      </w:pPr>
      <w:rPr>
        <w:rFonts w:hint="default"/>
      </w:rPr>
    </w:lvl>
    <w:lvl w:ilvl="5">
      <w:start w:val="0"/>
      <w:numFmt w:val="bullet"/>
      <w:lvlText w:val="•"/>
      <w:lvlJc w:val="left"/>
      <w:pPr>
        <w:ind w:left="5872" w:hanging="681"/>
      </w:pPr>
      <w:rPr>
        <w:rFonts w:hint="default"/>
      </w:rPr>
    </w:lvl>
    <w:lvl w:ilvl="6">
      <w:start w:val="0"/>
      <w:numFmt w:val="bullet"/>
      <w:lvlText w:val="•"/>
      <w:lvlJc w:val="left"/>
      <w:pPr>
        <w:ind w:left="6939" w:hanging="681"/>
      </w:pPr>
      <w:rPr>
        <w:rFonts w:hint="default"/>
      </w:rPr>
    </w:lvl>
    <w:lvl w:ilvl="7">
      <w:start w:val="0"/>
      <w:numFmt w:val="bullet"/>
      <w:lvlText w:val="•"/>
      <w:lvlJc w:val="left"/>
      <w:pPr>
        <w:ind w:left="8005" w:hanging="681"/>
      </w:pPr>
      <w:rPr>
        <w:rFonts w:hint="default"/>
      </w:rPr>
    </w:lvl>
    <w:lvl w:ilvl="8">
      <w:start w:val="0"/>
      <w:numFmt w:val="bullet"/>
      <w:lvlText w:val="•"/>
      <w:lvlJc w:val="left"/>
      <w:pPr>
        <w:ind w:left="9072" w:hanging="681"/>
      </w:pPr>
      <w:rPr>
        <w:rFonts w:hint="default"/>
      </w:rPr>
    </w:lvl>
  </w:abstractNum>
  <w:abstractNum w:abstractNumId="19">
    <w:multiLevelType w:val="hybridMultilevel"/>
    <w:lvl w:ilvl="0">
      <w:start w:val="5"/>
      <w:numFmt w:val="lowerLetter"/>
      <w:lvlText w:val="%1)"/>
      <w:lvlJc w:val="left"/>
      <w:pPr>
        <w:ind w:left="80" w:hanging="681"/>
        <w:jc w:val="left"/>
      </w:pPr>
      <w:rPr>
        <w:rFonts w:hint="default" w:ascii="Stone Sans II ITC Std Bk" w:hAnsi="Stone Sans II ITC Std Bk" w:eastAsia="Stone Sans II ITC Std Bk" w:cs="Stone Sans II ITC Std Bk"/>
        <w:b/>
        <w:bCs/>
        <w:spacing w:val="-15"/>
        <w:w w:val="110"/>
        <w:sz w:val="20"/>
        <w:szCs w:val="20"/>
      </w:rPr>
    </w:lvl>
    <w:lvl w:ilvl="1">
      <w:start w:val="0"/>
      <w:numFmt w:val="bullet"/>
      <w:lvlText w:val="•"/>
      <w:lvlJc w:val="left"/>
      <w:pPr>
        <w:ind w:left="729" w:hanging="681"/>
      </w:pPr>
      <w:rPr>
        <w:rFonts w:hint="default"/>
      </w:rPr>
    </w:lvl>
    <w:lvl w:ilvl="2">
      <w:start w:val="0"/>
      <w:numFmt w:val="bullet"/>
      <w:lvlText w:val="•"/>
      <w:lvlJc w:val="left"/>
      <w:pPr>
        <w:ind w:left="1378" w:hanging="681"/>
      </w:pPr>
      <w:rPr>
        <w:rFonts w:hint="default"/>
      </w:rPr>
    </w:lvl>
    <w:lvl w:ilvl="3">
      <w:start w:val="0"/>
      <w:numFmt w:val="bullet"/>
      <w:lvlText w:val="•"/>
      <w:lvlJc w:val="left"/>
      <w:pPr>
        <w:ind w:left="2027" w:hanging="681"/>
      </w:pPr>
      <w:rPr>
        <w:rFonts w:hint="default"/>
      </w:rPr>
    </w:lvl>
    <w:lvl w:ilvl="4">
      <w:start w:val="0"/>
      <w:numFmt w:val="bullet"/>
      <w:lvlText w:val="•"/>
      <w:lvlJc w:val="left"/>
      <w:pPr>
        <w:ind w:left="2676" w:hanging="681"/>
      </w:pPr>
      <w:rPr>
        <w:rFonts w:hint="default"/>
      </w:rPr>
    </w:lvl>
    <w:lvl w:ilvl="5">
      <w:start w:val="0"/>
      <w:numFmt w:val="bullet"/>
      <w:lvlText w:val="•"/>
      <w:lvlJc w:val="left"/>
      <w:pPr>
        <w:ind w:left="3326" w:hanging="681"/>
      </w:pPr>
      <w:rPr>
        <w:rFonts w:hint="default"/>
      </w:rPr>
    </w:lvl>
    <w:lvl w:ilvl="6">
      <w:start w:val="0"/>
      <w:numFmt w:val="bullet"/>
      <w:lvlText w:val="•"/>
      <w:lvlJc w:val="left"/>
      <w:pPr>
        <w:ind w:left="3975" w:hanging="681"/>
      </w:pPr>
      <w:rPr>
        <w:rFonts w:hint="default"/>
      </w:rPr>
    </w:lvl>
    <w:lvl w:ilvl="7">
      <w:start w:val="0"/>
      <w:numFmt w:val="bullet"/>
      <w:lvlText w:val="•"/>
      <w:lvlJc w:val="left"/>
      <w:pPr>
        <w:ind w:left="4624" w:hanging="681"/>
      </w:pPr>
      <w:rPr>
        <w:rFonts w:hint="default"/>
      </w:rPr>
    </w:lvl>
    <w:lvl w:ilvl="8">
      <w:start w:val="0"/>
      <w:numFmt w:val="bullet"/>
      <w:lvlText w:val="•"/>
      <w:lvlJc w:val="left"/>
      <w:pPr>
        <w:ind w:left="5273" w:hanging="681"/>
      </w:pPr>
      <w:rPr>
        <w:rFonts w:hint="default"/>
      </w:rPr>
    </w:lvl>
  </w:abstractNum>
  <w:abstractNum w:abstractNumId="18">
    <w:multiLevelType w:val="hybridMultilevel"/>
    <w:lvl w:ilvl="0">
      <w:start w:val="2"/>
      <w:numFmt w:val="lowerLetter"/>
      <w:lvlText w:val="%1)"/>
      <w:lvlJc w:val="left"/>
      <w:pPr>
        <w:ind w:left="80" w:hanging="681"/>
        <w:jc w:val="left"/>
      </w:pPr>
      <w:rPr>
        <w:rFonts w:hint="default" w:ascii="Stone Sans II ITC Std Bk" w:hAnsi="Stone Sans II ITC Std Bk" w:eastAsia="Stone Sans II ITC Std Bk" w:cs="Stone Sans II ITC Std Bk"/>
        <w:b/>
        <w:bCs/>
        <w:spacing w:val="-17"/>
        <w:w w:val="110"/>
        <w:sz w:val="20"/>
        <w:szCs w:val="20"/>
      </w:rPr>
    </w:lvl>
    <w:lvl w:ilvl="1">
      <w:start w:val="0"/>
      <w:numFmt w:val="bullet"/>
      <w:lvlText w:val="•"/>
      <w:lvlJc w:val="left"/>
      <w:pPr>
        <w:ind w:left="729" w:hanging="681"/>
      </w:pPr>
      <w:rPr>
        <w:rFonts w:hint="default"/>
      </w:rPr>
    </w:lvl>
    <w:lvl w:ilvl="2">
      <w:start w:val="0"/>
      <w:numFmt w:val="bullet"/>
      <w:lvlText w:val="•"/>
      <w:lvlJc w:val="left"/>
      <w:pPr>
        <w:ind w:left="1378" w:hanging="681"/>
      </w:pPr>
      <w:rPr>
        <w:rFonts w:hint="default"/>
      </w:rPr>
    </w:lvl>
    <w:lvl w:ilvl="3">
      <w:start w:val="0"/>
      <w:numFmt w:val="bullet"/>
      <w:lvlText w:val="•"/>
      <w:lvlJc w:val="left"/>
      <w:pPr>
        <w:ind w:left="2027" w:hanging="681"/>
      </w:pPr>
      <w:rPr>
        <w:rFonts w:hint="default"/>
      </w:rPr>
    </w:lvl>
    <w:lvl w:ilvl="4">
      <w:start w:val="0"/>
      <w:numFmt w:val="bullet"/>
      <w:lvlText w:val="•"/>
      <w:lvlJc w:val="left"/>
      <w:pPr>
        <w:ind w:left="2676" w:hanging="681"/>
      </w:pPr>
      <w:rPr>
        <w:rFonts w:hint="default"/>
      </w:rPr>
    </w:lvl>
    <w:lvl w:ilvl="5">
      <w:start w:val="0"/>
      <w:numFmt w:val="bullet"/>
      <w:lvlText w:val="•"/>
      <w:lvlJc w:val="left"/>
      <w:pPr>
        <w:ind w:left="3326" w:hanging="681"/>
      </w:pPr>
      <w:rPr>
        <w:rFonts w:hint="default"/>
      </w:rPr>
    </w:lvl>
    <w:lvl w:ilvl="6">
      <w:start w:val="0"/>
      <w:numFmt w:val="bullet"/>
      <w:lvlText w:val="•"/>
      <w:lvlJc w:val="left"/>
      <w:pPr>
        <w:ind w:left="3975" w:hanging="681"/>
      </w:pPr>
      <w:rPr>
        <w:rFonts w:hint="default"/>
      </w:rPr>
    </w:lvl>
    <w:lvl w:ilvl="7">
      <w:start w:val="0"/>
      <w:numFmt w:val="bullet"/>
      <w:lvlText w:val="•"/>
      <w:lvlJc w:val="left"/>
      <w:pPr>
        <w:ind w:left="4624" w:hanging="681"/>
      </w:pPr>
      <w:rPr>
        <w:rFonts w:hint="default"/>
      </w:rPr>
    </w:lvl>
    <w:lvl w:ilvl="8">
      <w:start w:val="0"/>
      <w:numFmt w:val="bullet"/>
      <w:lvlText w:val="•"/>
      <w:lvlJc w:val="left"/>
      <w:pPr>
        <w:ind w:left="5273" w:hanging="681"/>
      </w:pPr>
      <w:rPr>
        <w:rFonts w:hint="default"/>
      </w:rPr>
    </w:lvl>
  </w:abstractNum>
  <w:abstractNum w:abstractNumId="17">
    <w:multiLevelType w:val="hybridMultilevel"/>
    <w:lvl w:ilvl="0">
      <w:start w:val="0"/>
      <w:numFmt w:val="bullet"/>
      <w:lvlText w:val=""/>
      <w:lvlJc w:val="left"/>
      <w:pPr>
        <w:ind w:left="1964" w:hanging="681"/>
      </w:pPr>
      <w:rPr>
        <w:rFonts w:hint="default" w:ascii="Symbol" w:hAnsi="Symbol" w:eastAsia="Symbol" w:cs="Symbol"/>
        <w:w w:val="110"/>
        <w:position w:val="-3"/>
        <w:sz w:val="29"/>
        <w:szCs w:val="29"/>
      </w:rPr>
    </w:lvl>
    <w:lvl w:ilvl="1">
      <w:start w:val="0"/>
      <w:numFmt w:val="bullet"/>
      <w:lvlText w:val="•"/>
      <w:lvlJc w:val="left"/>
      <w:pPr>
        <w:ind w:left="2884" w:hanging="681"/>
      </w:pPr>
      <w:rPr>
        <w:rFonts w:hint="default"/>
      </w:rPr>
    </w:lvl>
    <w:lvl w:ilvl="2">
      <w:start w:val="0"/>
      <w:numFmt w:val="bullet"/>
      <w:lvlText w:val="•"/>
      <w:lvlJc w:val="left"/>
      <w:pPr>
        <w:ind w:left="3809" w:hanging="681"/>
      </w:pPr>
      <w:rPr>
        <w:rFonts w:hint="default"/>
      </w:rPr>
    </w:lvl>
    <w:lvl w:ilvl="3">
      <w:start w:val="0"/>
      <w:numFmt w:val="bullet"/>
      <w:lvlText w:val="•"/>
      <w:lvlJc w:val="left"/>
      <w:pPr>
        <w:ind w:left="4733" w:hanging="681"/>
      </w:pPr>
      <w:rPr>
        <w:rFonts w:hint="default"/>
      </w:rPr>
    </w:lvl>
    <w:lvl w:ilvl="4">
      <w:start w:val="0"/>
      <w:numFmt w:val="bullet"/>
      <w:lvlText w:val="•"/>
      <w:lvlJc w:val="left"/>
      <w:pPr>
        <w:ind w:left="5658" w:hanging="681"/>
      </w:pPr>
      <w:rPr>
        <w:rFonts w:hint="default"/>
      </w:rPr>
    </w:lvl>
    <w:lvl w:ilvl="5">
      <w:start w:val="0"/>
      <w:numFmt w:val="bullet"/>
      <w:lvlText w:val="•"/>
      <w:lvlJc w:val="left"/>
      <w:pPr>
        <w:ind w:left="6582" w:hanging="681"/>
      </w:pPr>
      <w:rPr>
        <w:rFonts w:hint="default"/>
      </w:rPr>
    </w:lvl>
    <w:lvl w:ilvl="6">
      <w:start w:val="0"/>
      <w:numFmt w:val="bullet"/>
      <w:lvlText w:val="•"/>
      <w:lvlJc w:val="left"/>
      <w:pPr>
        <w:ind w:left="7507" w:hanging="681"/>
      </w:pPr>
      <w:rPr>
        <w:rFonts w:hint="default"/>
      </w:rPr>
    </w:lvl>
    <w:lvl w:ilvl="7">
      <w:start w:val="0"/>
      <w:numFmt w:val="bullet"/>
      <w:lvlText w:val="•"/>
      <w:lvlJc w:val="left"/>
      <w:pPr>
        <w:ind w:left="8431" w:hanging="681"/>
      </w:pPr>
      <w:rPr>
        <w:rFonts w:hint="default"/>
      </w:rPr>
    </w:lvl>
    <w:lvl w:ilvl="8">
      <w:start w:val="0"/>
      <w:numFmt w:val="bullet"/>
      <w:lvlText w:val="•"/>
      <w:lvlJc w:val="left"/>
      <w:pPr>
        <w:ind w:left="9356" w:hanging="681"/>
      </w:pPr>
      <w:rPr>
        <w:rFonts w:hint="default"/>
      </w:rPr>
    </w:lvl>
  </w:abstractNum>
  <w:abstractNum w:abstractNumId="16">
    <w:multiLevelType w:val="hybridMultilevel"/>
    <w:lvl w:ilvl="0">
      <w:start w:val="0"/>
      <w:numFmt w:val="bullet"/>
      <w:lvlText w:val="–"/>
      <w:lvlJc w:val="left"/>
      <w:pPr>
        <w:ind w:left="547" w:hanging="185"/>
      </w:pPr>
      <w:rPr>
        <w:rFonts w:hint="default" w:ascii="Calibri" w:hAnsi="Calibri" w:eastAsia="Calibri" w:cs="Calibri"/>
        <w:w w:val="127"/>
        <w:sz w:val="20"/>
        <w:szCs w:val="20"/>
      </w:rPr>
    </w:lvl>
    <w:lvl w:ilvl="1">
      <w:start w:val="0"/>
      <w:numFmt w:val="bullet"/>
      <w:lvlText w:val="•"/>
      <w:lvlJc w:val="left"/>
      <w:pPr>
        <w:ind w:left="1606" w:hanging="185"/>
      </w:pPr>
      <w:rPr>
        <w:rFonts w:hint="default"/>
      </w:rPr>
    </w:lvl>
    <w:lvl w:ilvl="2">
      <w:start w:val="0"/>
      <w:numFmt w:val="bullet"/>
      <w:lvlText w:val="•"/>
      <w:lvlJc w:val="left"/>
      <w:pPr>
        <w:ind w:left="2673" w:hanging="185"/>
      </w:pPr>
      <w:rPr>
        <w:rFonts w:hint="default"/>
      </w:rPr>
    </w:lvl>
    <w:lvl w:ilvl="3">
      <w:start w:val="0"/>
      <w:numFmt w:val="bullet"/>
      <w:lvlText w:val="•"/>
      <w:lvlJc w:val="left"/>
      <w:pPr>
        <w:ind w:left="3739" w:hanging="185"/>
      </w:pPr>
      <w:rPr>
        <w:rFonts w:hint="default"/>
      </w:rPr>
    </w:lvl>
    <w:lvl w:ilvl="4">
      <w:start w:val="0"/>
      <w:numFmt w:val="bullet"/>
      <w:lvlText w:val="•"/>
      <w:lvlJc w:val="left"/>
      <w:pPr>
        <w:ind w:left="4806" w:hanging="185"/>
      </w:pPr>
      <w:rPr>
        <w:rFonts w:hint="default"/>
      </w:rPr>
    </w:lvl>
    <w:lvl w:ilvl="5">
      <w:start w:val="0"/>
      <w:numFmt w:val="bullet"/>
      <w:lvlText w:val="•"/>
      <w:lvlJc w:val="left"/>
      <w:pPr>
        <w:ind w:left="5872" w:hanging="185"/>
      </w:pPr>
      <w:rPr>
        <w:rFonts w:hint="default"/>
      </w:rPr>
    </w:lvl>
    <w:lvl w:ilvl="6">
      <w:start w:val="0"/>
      <w:numFmt w:val="bullet"/>
      <w:lvlText w:val="•"/>
      <w:lvlJc w:val="left"/>
      <w:pPr>
        <w:ind w:left="6939" w:hanging="185"/>
      </w:pPr>
      <w:rPr>
        <w:rFonts w:hint="default"/>
      </w:rPr>
    </w:lvl>
    <w:lvl w:ilvl="7">
      <w:start w:val="0"/>
      <w:numFmt w:val="bullet"/>
      <w:lvlText w:val="•"/>
      <w:lvlJc w:val="left"/>
      <w:pPr>
        <w:ind w:left="8005" w:hanging="185"/>
      </w:pPr>
      <w:rPr>
        <w:rFonts w:hint="default"/>
      </w:rPr>
    </w:lvl>
    <w:lvl w:ilvl="8">
      <w:start w:val="0"/>
      <w:numFmt w:val="bullet"/>
      <w:lvlText w:val="•"/>
      <w:lvlJc w:val="left"/>
      <w:pPr>
        <w:ind w:left="9072" w:hanging="185"/>
      </w:pPr>
      <w:rPr>
        <w:rFonts w:hint="default"/>
      </w:rPr>
    </w:lvl>
  </w:abstractNum>
  <w:abstractNum w:abstractNumId="15">
    <w:multiLevelType w:val="hybridMultilevel"/>
    <w:lvl w:ilvl="0">
      <w:start w:val="1"/>
      <w:numFmt w:val="lowerLetter"/>
      <w:lvlText w:val="%1)"/>
      <w:lvlJc w:val="left"/>
      <w:pPr>
        <w:ind w:left="760" w:hanging="681"/>
        <w:jc w:val="left"/>
      </w:pPr>
      <w:rPr>
        <w:rFonts w:hint="default" w:ascii="Stone Sans II ITC Std Bk" w:hAnsi="Stone Sans II ITC Std Bk" w:eastAsia="Stone Sans II ITC Std Bk" w:cs="Stone Sans II ITC Std Bk"/>
        <w:b/>
        <w:bCs/>
        <w:w w:val="110"/>
        <w:sz w:val="20"/>
        <w:szCs w:val="20"/>
      </w:rPr>
    </w:lvl>
    <w:lvl w:ilvl="1">
      <w:start w:val="0"/>
      <w:numFmt w:val="bullet"/>
      <w:lvlText w:val="•"/>
      <w:lvlJc w:val="left"/>
      <w:pPr>
        <w:ind w:left="1341" w:hanging="681"/>
      </w:pPr>
      <w:rPr>
        <w:rFonts w:hint="default"/>
      </w:rPr>
    </w:lvl>
    <w:lvl w:ilvl="2">
      <w:start w:val="0"/>
      <w:numFmt w:val="bullet"/>
      <w:lvlText w:val="•"/>
      <w:lvlJc w:val="left"/>
      <w:pPr>
        <w:ind w:left="1922" w:hanging="681"/>
      </w:pPr>
      <w:rPr>
        <w:rFonts w:hint="default"/>
      </w:rPr>
    </w:lvl>
    <w:lvl w:ilvl="3">
      <w:start w:val="0"/>
      <w:numFmt w:val="bullet"/>
      <w:lvlText w:val="•"/>
      <w:lvlJc w:val="left"/>
      <w:pPr>
        <w:ind w:left="2503" w:hanging="681"/>
      </w:pPr>
      <w:rPr>
        <w:rFonts w:hint="default"/>
      </w:rPr>
    </w:lvl>
    <w:lvl w:ilvl="4">
      <w:start w:val="0"/>
      <w:numFmt w:val="bullet"/>
      <w:lvlText w:val="•"/>
      <w:lvlJc w:val="left"/>
      <w:pPr>
        <w:ind w:left="3084" w:hanging="681"/>
      </w:pPr>
      <w:rPr>
        <w:rFonts w:hint="default"/>
      </w:rPr>
    </w:lvl>
    <w:lvl w:ilvl="5">
      <w:start w:val="0"/>
      <w:numFmt w:val="bullet"/>
      <w:lvlText w:val="•"/>
      <w:lvlJc w:val="left"/>
      <w:pPr>
        <w:ind w:left="3666" w:hanging="681"/>
      </w:pPr>
      <w:rPr>
        <w:rFonts w:hint="default"/>
      </w:rPr>
    </w:lvl>
    <w:lvl w:ilvl="6">
      <w:start w:val="0"/>
      <w:numFmt w:val="bullet"/>
      <w:lvlText w:val="•"/>
      <w:lvlJc w:val="left"/>
      <w:pPr>
        <w:ind w:left="4247" w:hanging="681"/>
      </w:pPr>
      <w:rPr>
        <w:rFonts w:hint="default"/>
      </w:rPr>
    </w:lvl>
    <w:lvl w:ilvl="7">
      <w:start w:val="0"/>
      <w:numFmt w:val="bullet"/>
      <w:lvlText w:val="•"/>
      <w:lvlJc w:val="left"/>
      <w:pPr>
        <w:ind w:left="4828" w:hanging="681"/>
      </w:pPr>
      <w:rPr>
        <w:rFonts w:hint="default"/>
      </w:rPr>
    </w:lvl>
    <w:lvl w:ilvl="8">
      <w:start w:val="0"/>
      <w:numFmt w:val="bullet"/>
      <w:lvlText w:val="•"/>
      <w:lvlJc w:val="left"/>
      <w:pPr>
        <w:ind w:left="5409" w:hanging="681"/>
      </w:pPr>
      <w:rPr>
        <w:rFonts w:hint="default"/>
      </w:rPr>
    </w:lvl>
  </w:abstractNum>
  <w:abstractNum w:abstractNumId="14">
    <w:multiLevelType w:val="hybridMultilevel"/>
    <w:lvl w:ilvl="0">
      <w:start w:val="1"/>
      <w:numFmt w:val="lowerLetter"/>
      <w:lvlText w:val="%1)"/>
      <w:lvlJc w:val="left"/>
      <w:pPr>
        <w:ind w:left="1227" w:hanging="681"/>
        <w:jc w:val="left"/>
      </w:pPr>
      <w:rPr>
        <w:rFonts w:hint="default" w:ascii="Calibri" w:hAnsi="Calibri" w:eastAsia="Calibri" w:cs="Calibri"/>
        <w:spacing w:val="-13"/>
        <w:w w:val="113"/>
        <w:sz w:val="20"/>
        <w:szCs w:val="20"/>
      </w:rPr>
    </w:lvl>
    <w:lvl w:ilvl="1">
      <w:start w:val="3"/>
      <w:numFmt w:val="upperLetter"/>
      <w:lvlText w:val="(%2)"/>
      <w:lvlJc w:val="left"/>
      <w:pPr>
        <w:ind w:left="1903" w:hanging="860"/>
        <w:jc w:val="right"/>
      </w:pPr>
      <w:rPr>
        <w:rFonts w:hint="default" w:ascii="Stone Sans II ITC Std X Bd" w:hAnsi="Stone Sans II ITC Std X Bd" w:eastAsia="Stone Sans II ITC Std X Bd" w:cs="Stone Sans II ITC Std X Bd"/>
        <w:b/>
        <w:bCs/>
        <w:spacing w:val="-49"/>
        <w:w w:val="112"/>
        <w:sz w:val="48"/>
        <w:szCs w:val="48"/>
      </w:rPr>
    </w:lvl>
    <w:lvl w:ilvl="2">
      <w:start w:val="0"/>
      <w:numFmt w:val="bullet"/>
      <w:lvlText w:val="•"/>
      <w:lvlJc w:val="left"/>
      <w:pPr>
        <w:ind w:left="2933" w:hanging="860"/>
      </w:pPr>
      <w:rPr>
        <w:rFonts w:hint="default"/>
      </w:rPr>
    </w:lvl>
    <w:lvl w:ilvl="3">
      <w:start w:val="0"/>
      <w:numFmt w:val="bullet"/>
      <w:lvlText w:val="•"/>
      <w:lvlJc w:val="left"/>
      <w:pPr>
        <w:ind w:left="3967" w:hanging="860"/>
      </w:pPr>
      <w:rPr>
        <w:rFonts w:hint="default"/>
      </w:rPr>
    </w:lvl>
    <w:lvl w:ilvl="4">
      <w:start w:val="0"/>
      <w:numFmt w:val="bullet"/>
      <w:lvlText w:val="•"/>
      <w:lvlJc w:val="left"/>
      <w:pPr>
        <w:ind w:left="5001" w:hanging="860"/>
      </w:pPr>
      <w:rPr>
        <w:rFonts w:hint="default"/>
      </w:rPr>
    </w:lvl>
    <w:lvl w:ilvl="5">
      <w:start w:val="0"/>
      <w:numFmt w:val="bullet"/>
      <w:lvlText w:val="•"/>
      <w:lvlJc w:val="left"/>
      <w:pPr>
        <w:ind w:left="6035" w:hanging="860"/>
      </w:pPr>
      <w:rPr>
        <w:rFonts w:hint="default"/>
      </w:rPr>
    </w:lvl>
    <w:lvl w:ilvl="6">
      <w:start w:val="0"/>
      <w:numFmt w:val="bullet"/>
      <w:lvlText w:val="•"/>
      <w:lvlJc w:val="left"/>
      <w:pPr>
        <w:ind w:left="7069" w:hanging="860"/>
      </w:pPr>
      <w:rPr>
        <w:rFonts w:hint="default"/>
      </w:rPr>
    </w:lvl>
    <w:lvl w:ilvl="7">
      <w:start w:val="0"/>
      <w:numFmt w:val="bullet"/>
      <w:lvlText w:val="•"/>
      <w:lvlJc w:val="left"/>
      <w:pPr>
        <w:ind w:left="8103" w:hanging="860"/>
      </w:pPr>
      <w:rPr>
        <w:rFonts w:hint="default"/>
      </w:rPr>
    </w:lvl>
    <w:lvl w:ilvl="8">
      <w:start w:val="0"/>
      <w:numFmt w:val="bullet"/>
      <w:lvlText w:val="•"/>
      <w:lvlJc w:val="left"/>
      <w:pPr>
        <w:ind w:left="9137" w:hanging="860"/>
      </w:pPr>
      <w:rPr>
        <w:rFonts w:hint="default"/>
      </w:rPr>
    </w:lvl>
  </w:abstractNum>
  <w:abstractNum w:abstractNumId="13">
    <w:multiLevelType w:val="hybridMultilevel"/>
    <w:lvl w:ilvl="0">
      <w:start w:val="1"/>
      <w:numFmt w:val="decimal"/>
      <w:lvlText w:val="%1."/>
      <w:lvlJc w:val="left"/>
      <w:pPr>
        <w:ind w:left="547" w:hanging="681"/>
        <w:jc w:val="right"/>
      </w:pPr>
      <w:rPr>
        <w:rFonts w:hint="default" w:ascii="Calibri" w:hAnsi="Calibri" w:eastAsia="Calibri" w:cs="Calibri"/>
        <w:spacing w:val="-14"/>
        <w:w w:val="122"/>
        <w:sz w:val="20"/>
        <w:szCs w:val="20"/>
      </w:rPr>
    </w:lvl>
    <w:lvl w:ilvl="1">
      <w:start w:val="0"/>
      <w:numFmt w:val="bullet"/>
      <w:lvlText w:val="•"/>
      <w:lvlJc w:val="left"/>
      <w:pPr>
        <w:ind w:left="1920" w:hanging="681"/>
      </w:pPr>
      <w:rPr>
        <w:rFonts w:hint="default"/>
      </w:rPr>
    </w:lvl>
    <w:lvl w:ilvl="2">
      <w:start w:val="0"/>
      <w:numFmt w:val="bullet"/>
      <w:lvlText w:val="•"/>
      <w:lvlJc w:val="left"/>
      <w:pPr>
        <w:ind w:left="2951" w:hanging="681"/>
      </w:pPr>
      <w:rPr>
        <w:rFonts w:hint="default"/>
      </w:rPr>
    </w:lvl>
    <w:lvl w:ilvl="3">
      <w:start w:val="0"/>
      <w:numFmt w:val="bullet"/>
      <w:lvlText w:val="•"/>
      <w:lvlJc w:val="left"/>
      <w:pPr>
        <w:ind w:left="3983" w:hanging="681"/>
      </w:pPr>
      <w:rPr>
        <w:rFonts w:hint="default"/>
      </w:rPr>
    </w:lvl>
    <w:lvl w:ilvl="4">
      <w:start w:val="0"/>
      <w:numFmt w:val="bullet"/>
      <w:lvlText w:val="•"/>
      <w:lvlJc w:val="left"/>
      <w:pPr>
        <w:ind w:left="5015" w:hanging="681"/>
      </w:pPr>
      <w:rPr>
        <w:rFonts w:hint="default"/>
      </w:rPr>
    </w:lvl>
    <w:lvl w:ilvl="5">
      <w:start w:val="0"/>
      <w:numFmt w:val="bullet"/>
      <w:lvlText w:val="•"/>
      <w:lvlJc w:val="left"/>
      <w:pPr>
        <w:ind w:left="6046" w:hanging="681"/>
      </w:pPr>
      <w:rPr>
        <w:rFonts w:hint="default"/>
      </w:rPr>
    </w:lvl>
    <w:lvl w:ilvl="6">
      <w:start w:val="0"/>
      <w:numFmt w:val="bullet"/>
      <w:lvlText w:val="•"/>
      <w:lvlJc w:val="left"/>
      <w:pPr>
        <w:ind w:left="7078" w:hanging="681"/>
      </w:pPr>
      <w:rPr>
        <w:rFonts w:hint="default"/>
      </w:rPr>
    </w:lvl>
    <w:lvl w:ilvl="7">
      <w:start w:val="0"/>
      <w:numFmt w:val="bullet"/>
      <w:lvlText w:val="•"/>
      <w:lvlJc w:val="left"/>
      <w:pPr>
        <w:ind w:left="8110" w:hanging="681"/>
      </w:pPr>
      <w:rPr>
        <w:rFonts w:hint="default"/>
      </w:rPr>
    </w:lvl>
    <w:lvl w:ilvl="8">
      <w:start w:val="0"/>
      <w:numFmt w:val="bullet"/>
      <w:lvlText w:val="•"/>
      <w:lvlJc w:val="left"/>
      <w:pPr>
        <w:ind w:left="9142" w:hanging="681"/>
      </w:pPr>
      <w:rPr>
        <w:rFonts w:hint="default"/>
      </w:rPr>
    </w:lvl>
  </w:abstractNum>
  <w:abstractNum w:abstractNumId="12">
    <w:multiLevelType w:val="hybridMultilevel"/>
    <w:lvl w:ilvl="0">
      <w:start w:val="6"/>
      <w:numFmt w:val="decimal"/>
      <w:lvlText w:val="%1."/>
      <w:lvlJc w:val="left"/>
      <w:pPr>
        <w:ind w:left="547" w:hanging="681"/>
        <w:jc w:val="left"/>
      </w:pPr>
      <w:rPr>
        <w:rFonts w:hint="default" w:ascii="Calibri" w:hAnsi="Calibri" w:eastAsia="Calibri" w:cs="Calibri"/>
        <w:spacing w:val="-1"/>
        <w:w w:val="125"/>
        <w:sz w:val="20"/>
        <w:szCs w:val="20"/>
      </w:rPr>
    </w:lvl>
    <w:lvl w:ilvl="1">
      <w:start w:val="5"/>
      <w:numFmt w:val="decimal"/>
      <w:lvlText w:val="%2."/>
      <w:lvlJc w:val="left"/>
      <w:pPr>
        <w:ind w:left="1887" w:hanging="887"/>
        <w:jc w:val="left"/>
      </w:pPr>
      <w:rPr>
        <w:rFonts w:hint="default" w:ascii="Stone Sans II ITC Std Bk" w:hAnsi="Stone Sans II ITC Std Bk" w:eastAsia="Stone Sans II ITC Std Bk" w:cs="Stone Sans II ITC Std Bk"/>
        <w:b/>
        <w:bCs/>
        <w:spacing w:val="-6"/>
        <w:w w:val="110"/>
        <w:sz w:val="20"/>
        <w:szCs w:val="20"/>
      </w:rPr>
    </w:lvl>
    <w:lvl w:ilvl="2">
      <w:start w:val="1"/>
      <w:numFmt w:val="decimal"/>
      <w:lvlText w:val="%2.%3."/>
      <w:lvlJc w:val="left"/>
      <w:pPr>
        <w:ind w:left="1000" w:hanging="887"/>
        <w:jc w:val="right"/>
      </w:pPr>
      <w:rPr>
        <w:rFonts w:hint="default" w:ascii="Calibri" w:hAnsi="Calibri" w:eastAsia="Calibri" w:cs="Calibri"/>
        <w:spacing w:val="-18"/>
        <w:w w:val="125"/>
        <w:sz w:val="20"/>
        <w:szCs w:val="20"/>
      </w:rPr>
    </w:lvl>
    <w:lvl w:ilvl="3">
      <w:start w:val="0"/>
      <w:numFmt w:val="bullet"/>
      <w:lvlText w:val="•"/>
      <w:lvlJc w:val="left"/>
      <w:pPr>
        <w:ind w:left="3045" w:hanging="887"/>
      </w:pPr>
      <w:rPr>
        <w:rFonts w:hint="default"/>
      </w:rPr>
    </w:lvl>
    <w:lvl w:ilvl="4">
      <w:start w:val="0"/>
      <w:numFmt w:val="bullet"/>
      <w:lvlText w:val="•"/>
      <w:lvlJc w:val="left"/>
      <w:pPr>
        <w:ind w:left="4211" w:hanging="887"/>
      </w:pPr>
      <w:rPr>
        <w:rFonts w:hint="default"/>
      </w:rPr>
    </w:lvl>
    <w:lvl w:ilvl="5">
      <w:start w:val="0"/>
      <w:numFmt w:val="bullet"/>
      <w:lvlText w:val="•"/>
      <w:lvlJc w:val="left"/>
      <w:pPr>
        <w:ind w:left="5377" w:hanging="887"/>
      </w:pPr>
      <w:rPr>
        <w:rFonts w:hint="default"/>
      </w:rPr>
    </w:lvl>
    <w:lvl w:ilvl="6">
      <w:start w:val="0"/>
      <w:numFmt w:val="bullet"/>
      <w:lvlText w:val="•"/>
      <w:lvlJc w:val="left"/>
      <w:pPr>
        <w:ind w:left="6542" w:hanging="887"/>
      </w:pPr>
      <w:rPr>
        <w:rFonts w:hint="default"/>
      </w:rPr>
    </w:lvl>
    <w:lvl w:ilvl="7">
      <w:start w:val="0"/>
      <w:numFmt w:val="bullet"/>
      <w:lvlText w:val="•"/>
      <w:lvlJc w:val="left"/>
      <w:pPr>
        <w:ind w:left="7708" w:hanging="887"/>
      </w:pPr>
      <w:rPr>
        <w:rFonts w:hint="default"/>
      </w:rPr>
    </w:lvl>
    <w:lvl w:ilvl="8">
      <w:start w:val="0"/>
      <w:numFmt w:val="bullet"/>
      <w:lvlText w:val="•"/>
      <w:lvlJc w:val="left"/>
      <w:pPr>
        <w:ind w:left="8874" w:hanging="887"/>
      </w:pPr>
      <w:rPr>
        <w:rFonts w:hint="default"/>
      </w:rPr>
    </w:lvl>
  </w:abstractNum>
  <w:abstractNum w:abstractNumId="11">
    <w:multiLevelType w:val="hybridMultilevel"/>
    <w:lvl w:ilvl="0">
      <w:start w:val="5"/>
      <w:numFmt w:val="decimal"/>
      <w:lvlText w:val="%1"/>
      <w:lvlJc w:val="left"/>
      <w:pPr>
        <w:ind w:left="547" w:hanging="681"/>
        <w:jc w:val="left"/>
      </w:pPr>
      <w:rPr>
        <w:rFonts w:hint="default"/>
      </w:rPr>
    </w:lvl>
    <w:lvl w:ilvl="1">
      <w:start w:val="1"/>
      <w:numFmt w:val="decimal"/>
      <w:lvlText w:val="%1.%2"/>
      <w:lvlJc w:val="left"/>
      <w:pPr>
        <w:ind w:left="547" w:hanging="681"/>
        <w:jc w:val="left"/>
      </w:pPr>
      <w:rPr>
        <w:rFonts w:hint="default" w:ascii="Calibri" w:hAnsi="Calibri" w:eastAsia="Calibri" w:cs="Calibri"/>
        <w:spacing w:val="-18"/>
        <w:w w:val="125"/>
        <w:sz w:val="20"/>
        <w:szCs w:val="20"/>
      </w:rPr>
    </w:lvl>
    <w:lvl w:ilvl="2">
      <w:start w:val="0"/>
      <w:numFmt w:val="bullet"/>
      <w:lvlText w:val="•"/>
      <w:lvlJc w:val="left"/>
      <w:pPr>
        <w:ind w:left="2673" w:hanging="681"/>
      </w:pPr>
      <w:rPr>
        <w:rFonts w:hint="default"/>
      </w:rPr>
    </w:lvl>
    <w:lvl w:ilvl="3">
      <w:start w:val="0"/>
      <w:numFmt w:val="bullet"/>
      <w:lvlText w:val="•"/>
      <w:lvlJc w:val="left"/>
      <w:pPr>
        <w:ind w:left="3739" w:hanging="681"/>
      </w:pPr>
      <w:rPr>
        <w:rFonts w:hint="default"/>
      </w:rPr>
    </w:lvl>
    <w:lvl w:ilvl="4">
      <w:start w:val="0"/>
      <w:numFmt w:val="bullet"/>
      <w:lvlText w:val="•"/>
      <w:lvlJc w:val="left"/>
      <w:pPr>
        <w:ind w:left="4806" w:hanging="681"/>
      </w:pPr>
      <w:rPr>
        <w:rFonts w:hint="default"/>
      </w:rPr>
    </w:lvl>
    <w:lvl w:ilvl="5">
      <w:start w:val="0"/>
      <w:numFmt w:val="bullet"/>
      <w:lvlText w:val="•"/>
      <w:lvlJc w:val="left"/>
      <w:pPr>
        <w:ind w:left="5872" w:hanging="681"/>
      </w:pPr>
      <w:rPr>
        <w:rFonts w:hint="default"/>
      </w:rPr>
    </w:lvl>
    <w:lvl w:ilvl="6">
      <w:start w:val="0"/>
      <w:numFmt w:val="bullet"/>
      <w:lvlText w:val="•"/>
      <w:lvlJc w:val="left"/>
      <w:pPr>
        <w:ind w:left="6939" w:hanging="681"/>
      </w:pPr>
      <w:rPr>
        <w:rFonts w:hint="default"/>
      </w:rPr>
    </w:lvl>
    <w:lvl w:ilvl="7">
      <w:start w:val="0"/>
      <w:numFmt w:val="bullet"/>
      <w:lvlText w:val="•"/>
      <w:lvlJc w:val="left"/>
      <w:pPr>
        <w:ind w:left="8005" w:hanging="681"/>
      </w:pPr>
      <w:rPr>
        <w:rFonts w:hint="default"/>
      </w:rPr>
    </w:lvl>
    <w:lvl w:ilvl="8">
      <w:start w:val="0"/>
      <w:numFmt w:val="bullet"/>
      <w:lvlText w:val="•"/>
      <w:lvlJc w:val="left"/>
      <w:pPr>
        <w:ind w:left="9072" w:hanging="681"/>
      </w:pPr>
      <w:rPr>
        <w:rFonts w:hint="default"/>
      </w:rPr>
    </w:lvl>
  </w:abstractNum>
  <w:abstractNum w:abstractNumId="10">
    <w:multiLevelType w:val="hybridMultilevel"/>
    <w:lvl w:ilvl="0">
      <w:start w:val="0"/>
      <w:numFmt w:val="bullet"/>
      <w:lvlText w:val=""/>
      <w:lvlJc w:val="left"/>
      <w:pPr>
        <w:ind w:left="1964" w:hanging="681"/>
      </w:pPr>
      <w:rPr>
        <w:rFonts w:hint="default" w:ascii="Symbol" w:hAnsi="Symbol" w:eastAsia="Symbol" w:cs="Symbol"/>
        <w:w w:val="110"/>
        <w:position w:val="-3"/>
        <w:sz w:val="29"/>
        <w:szCs w:val="29"/>
      </w:rPr>
    </w:lvl>
    <w:lvl w:ilvl="1">
      <w:start w:val="0"/>
      <w:numFmt w:val="bullet"/>
      <w:lvlText w:val="•"/>
      <w:lvlJc w:val="left"/>
      <w:pPr>
        <w:ind w:left="2884" w:hanging="681"/>
      </w:pPr>
      <w:rPr>
        <w:rFonts w:hint="default"/>
      </w:rPr>
    </w:lvl>
    <w:lvl w:ilvl="2">
      <w:start w:val="0"/>
      <w:numFmt w:val="bullet"/>
      <w:lvlText w:val="•"/>
      <w:lvlJc w:val="left"/>
      <w:pPr>
        <w:ind w:left="3809" w:hanging="681"/>
      </w:pPr>
      <w:rPr>
        <w:rFonts w:hint="default"/>
      </w:rPr>
    </w:lvl>
    <w:lvl w:ilvl="3">
      <w:start w:val="0"/>
      <w:numFmt w:val="bullet"/>
      <w:lvlText w:val="•"/>
      <w:lvlJc w:val="left"/>
      <w:pPr>
        <w:ind w:left="4733" w:hanging="681"/>
      </w:pPr>
      <w:rPr>
        <w:rFonts w:hint="default"/>
      </w:rPr>
    </w:lvl>
    <w:lvl w:ilvl="4">
      <w:start w:val="0"/>
      <w:numFmt w:val="bullet"/>
      <w:lvlText w:val="•"/>
      <w:lvlJc w:val="left"/>
      <w:pPr>
        <w:ind w:left="5658" w:hanging="681"/>
      </w:pPr>
      <w:rPr>
        <w:rFonts w:hint="default"/>
      </w:rPr>
    </w:lvl>
    <w:lvl w:ilvl="5">
      <w:start w:val="0"/>
      <w:numFmt w:val="bullet"/>
      <w:lvlText w:val="•"/>
      <w:lvlJc w:val="left"/>
      <w:pPr>
        <w:ind w:left="6582" w:hanging="681"/>
      </w:pPr>
      <w:rPr>
        <w:rFonts w:hint="default"/>
      </w:rPr>
    </w:lvl>
    <w:lvl w:ilvl="6">
      <w:start w:val="0"/>
      <w:numFmt w:val="bullet"/>
      <w:lvlText w:val="•"/>
      <w:lvlJc w:val="left"/>
      <w:pPr>
        <w:ind w:left="7507" w:hanging="681"/>
      </w:pPr>
      <w:rPr>
        <w:rFonts w:hint="default"/>
      </w:rPr>
    </w:lvl>
    <w:lvl w:ilvl="7">
      <w:start w:val="0"/>
      <w:numFmt w:val="bullet"/>
      <w:lvlText w:val="•"/>
      <w:lvlJc w:val="left"/>
      <w:pPr>
        <w:ind w:left="8431" w:hanging="681"/>
      </w:pPr>
      <w:rPr>
        <w:rFonts w:hint="default"/>
      </w:rPr>
    </w:lvl>
    <w:lvl w:ilvl="8">
      <w:start w:val="0"/>
      <w:numFmt w:val="bullet"/>
      <w:lvlText w:val="•"/>
      <w:lvlJc w:val="left"/>
      <w:pPr>
        <w:ind w:left="9356" w:hanging="681"/>
      </w:pPr>
      <w:rPr>
        <w:rFonts w:hint="default"/>
      </w:rPr>
    </w:lvl>
  </w:abstractNum>
  <w:abstractNum w:abstractNumId="8">
    <w:multiLevelType w:val="hybridMultilevel"/>
    <w:lvl w:ilvl="0">
      <w:start w:val="0"/>
      <w:numFmt w:val="bullet"/>
      <w:lvlText w:val="•"/>
      <w:lvlJc w:val="left"/>
      <w:pPr>
        <w:ind w:left="760" w:hanging="681"/>
      </w:pPr>
      <w:rPr>
        <w:rFonts w:hint="default" w:ascii="Calibri" w:hAnsi="Calibri" w:eastAsia="Calibri" w:cs="Calibri"/>
        <w:w w:val="110"/>
        <w:sz w:val="20"/>
        <w:szCs w:val="20"/>
      </w:rPr>
    </w:lvl>
    <w:lvl w:ilvl="1">
      <w:start w:val="0"/>
      <w:numFmt w:val="bullet"/>
      <w:lvlText w:val="•"/>
      <w:lvlJc w:val="left"/>
      <w:pPr>
        <w:ind w:left="1341" w:hanging="681"/>
      </w:pPr>
      <w:rPr>
        <w:rFonts w:hint="default"/>
      </w:rPr>
    </w:lvl>
    <w:lvl w:ilvl="2">
      <w:start w:val="0"/>
      <w:numFmt w:val="bullet"/>
      <w:lvlText w:val="•"/>
      <w:lvlJc w:val="left"/>
      <w:pPr>
        <w:ind w:left="1922" w:hanging="681"/>
      </w:pPr>
      <w:rPr>
        <w:rFonts w:hint="default"/>
      </w:rPr>
    </w:lvl>
    <w:lvl w:ilvl="3">
      <w:start w:val="0"/>
      <w:numFmt w:val="bullet"/>
      <w:lvlText w:val="•"/>
      <w:lvlJc w:val="left"/>
      <w:pPr>
        <w:ind w:left="2503" w:hanging="681"/>
      </w:pPr>
      <w:rPr>
        <w:rFonts w:hint="default"/>
      </w:rPr>
    </w:lvl>
    <w:lvl w:ilvl="4">
      <w:start w:val="0"/>
      <w:numFmt w:val="bullet"/>
      <w:lvlText w:val="•"/>
      <w:lvlJc w:val="left"/>
      <w:pPr>
        <w:ind w:left="3084" w:hanging="681"/>
      </w:pPr>
      <w:rPr>
        <w:rFonts w:hint="default"/>
      </w:rPr>
    </w:lvl>
    <w:lvl w:ilvl="5">
      <w:start w:val="0"/>
      <w:numFmt w:val="bullet"/>
      <w:lvlText w:val="•"/>
      <w:lvlJc w:val="left"/>
      <w:pPr>
        <w:ind w:left="3666" w:hanging="681"/>
      </w:pPr>
      <w:rPr>
        <w:rFonts w:hint="default"/>
      </w:rPr>
    </w:lvl>
    <w:lvl w:ilvl="6">
      <w:start w:val="0"/>
      <w:numFmt w:val="bullet"/>
      <w:lvlText w:val="•"/>
      <w:lvlJc w:val="left"/>
      <w:pPr>
        <w:ind w:left="4247" w:hanging="681"/>
      </w:pPr>
      <w:rPr>
        <w:rFonts w:hint="default"/>
      </w:rPr>
    </w:lvl>
    <w:lvl w:ilvl="7">
      <w:start w:val="0"/>
      <w:numFmt w:val="bullet"/>
      <w:lvlText w:val="•"/>
      <w:lvlJc w:val="left"/>
      <w:pPr>
        <w:ind w:left="4828" w:hanging="681"/>
      </w:pPr>
      <w:rPr>
        <w:rFonts w:hint="default"/>
      </w:rPr>
    </w:lvl>
    <w:lvl w:ilvl="8">
      <w:start w:val="0"/>
      <w:numFmt w:val="bullet"/>
      <w:lvlText w:val="•"/>
      <w:lvlJc w:val="left"/>
      <w:pPr>
        <w:ind w:left="5409" w:hanging="681"/>
      </w:pPr>
      <w:rPr>
        <w:rFonts w:hint="default"/>
      </w:rPr>
    </w:lvl>
  </w:abstractNum>
  <w:abstractNum w:abstractNumId="7">
    <w:multiLevelType w:val="hybridMultilevel"/>
    <w:lvl w:ilvl="0">
      <w:start w:val="3"/>
      <w:numFmt w:val="decimal"/>
      <w:lvlText w:val="%1."/>
      <w:lvlJc w:val="left"/>
      <w:pPr>
        <w:ind w:left="760" w:hanging="681"/>
        <w:jc w:val="left"/>
      </w:pPr>
      <w:rPr>
        <w:rFonts w:hint="default" w:ascii="Stone Sans II ITC Std Bk" w:hAnsi="Stone Sans II ITC Std Bk" w:eastAsia="Stone Sans II ITC Std Bk" w:cs="Stone Sans II ITC Std Bk"/>
        <w:b/>
        <w:bCs/>
        <w:w w:val="110"/>
        <w:sz w:val="20"/>
        <w:szCs w:val="20"/>
      </w:rPr>
    </w:lvl>
    <w:lvl w:ilvl="1">
      <w:start w:val="0"/>
      <w:numFmt w:val="bullet"/>
      <w:lvlText w:val="•"/>
      <w:lvlJc w:val="left"/>
      <w:pPr>
        <w:ind w:left="1341" w:hanging="681"/>
      </w:pPr>
      <w:rPr>
        <w:rFonts w:hint="default"/>
      </w:rPr>
    </w:lvl>
    <w:lvl w:ilvl="2">
      <w:start w:val="0"/>
      <w:numFmt w:val="bullet"/>
      <w:lvlText w:val="•"/>
      <w:lvlJc w:val="left"/>
      <w:pPr>
        <w:ind w:left="1922" w:hanging="681"/>
      </w:pPr>
      <w:rPr>
        <w:rFonts w:hint="default"/>
      </w:rPr>
    </w:lvl>
    <w:lvl w:ilvl="3">
      <w:start w:val="0"/>
      <w:numFmt w:val="bullet"/>
      <w:lvlText w:val="•"/>
      <w:lvlJc w:val="left"/>
      <w:pPr>
        <w:ind w:left="2503" w:hanging="681"/>
      </w:pPr>
      <w:rPr>
        <w:rFonts w:hint="default"/>
      </w:rPr>
    </w:lvl>
    <w:lvl w:ilvl="4">
      <w:start w:val="0"/>
      <w:numFmt w:val="bullet"/>
      <w:lvlText w:val="•"/>
      <w:lvlJc w:val="left"/>
      <w:pPr>
        <w:ind w:left="3084" w:hanging="681"/>
      </w:pPr>
      <w:rPr>
        <w:rFonts w:hint="default"/>
      </w:rPr>
    </w:lvl>
    <w:lvl w:ilvl="5">
      <w:start w:val="0"/>
      <w:numFmt w:val="bullet"/>
      <w:lvlText w:val="•"/>
      <w:lvlJc w:val="left"/>
      <w:pPr>
        <w:ind w:left="3666" w:hanging="681"/>
      </w:pPr>
      <w:rPr>
        <w:rFonts w:hint="default"/>
      </w:rPr>
    </w:lvl>
    <w:lvl w:ilvl="6">
      <w:start w:val="0"/>
      <w:numFmt w:val="bullet"/>
      <w:lvlText w:val="•"/>
      <w:lvlJc w:val="left"/>
      <w:pPr>
        <w:ind w:left="4247" w:hanging="681"/>
      </w:pPr>
      <w:rPr>
        <w:rFonts w:hint="default"/>
      </w:rPr>
    </w:lvl>
    <w:lvl w:ilvl="7">
      <w:start w:val="0"/>
      <w:numFmt w:val="bullet"/>
      <w:lvlText w:val="•"/>
      <w:lvlJc w:val="left"/>
      <w:pPr>
        <w:ind w:left="4828" w:hanging="681"/>
      </w:pPr>
      <w:rPr>
        <w:rFonts w:hint="default"/>
      </w:rPr>
    </w:lvl>
    <w:lvl w:ilvl="8">
      <w:start w:val="0"/>
      <w:numFmt w:val="bullet"/>
      <w:lvlText w:val="•"/>
      <w:lvlJc w:val="left"/>
      <w:pPr>
        <w:ind w:left="5409" w:hanging="681"/>
      </w:pPr>
      <w:rPr>
        <w:rFonts w:hint="default"/>
      </w:rPr>
    </w:lvl>
  </w:abstractNum>
  <w:abstractNum w:abstractNumId="5">
    <w:multiLevelType w:val="hybridMultilevel"/>
    <w:lvl w:ilvl="0">
      <w:start w:val="1"/>
      <w:numFmt w:val="decimal"/>
      <w:lvlText w:val="%1."/>
      <w:lvlJc w:val="left"/>
      <w:pPr>
        <w:ind w:left="547" w:hanging="681"/>
        <w:jc w:val="right"/>
      </w:pPr>
      <w:rPr>
        <w:rFonts w:hint="default" w:ascii="Calibri" w:hAnsi="Calibri" w:eastAsia="Calibri" w:cs="Calibri"/>
        <w:spacing w:val="-13"/>
        <w:w w:val="125"/>
        <w:sz w:val="20"/>
        <w:szCs w:val="20"/>
      </w:rPr>
    </w:lvl>
    <w:lvl w:ilvl="1">
      <w:start w:val="0"/>
      <w:numFmt w:val="bullet"/>
      <w:lvlText w:val="•"/>
      <w:lvlJc w:val="left"/>
      <w:pPr>
        <w:ind w:left="1606" w:hanging="681"/>
      </w:pPr>
      <w:rPr>
        <w:rFonts w:hint="default"/>
      </w:rPr>
    </w:lvl>
    <w:lvl w:ilvl="2">
      <w:start w:val="0"/>
      <w:numFmt w:val="bullet"/>
      <w:lvlText w:val="•"/>
      <w:lvlJc w:val="left"/>
      <w:pPr>
        <w:ind w:left="2673" w:hanging="681"/>
      </w:pPr>
      <w:rPr>
        <w:rFonts w:hint="default"/>
      </w:rPr>
    </w:lvl>
    <w:lvl w:ilvl="3">
      <w:start w:val="0"/>
      <w:numFmt w:val="bullet"/>
      <w:lvlText w:val="•"/>
      <w:lvlJc w:val="left"/>
      <w:pPr>
        <w:ind w:left="3739" w:hanging="681"/>
      </w:pPr>
      <w:rPr>
        <w:rFonts w:hint="default"/>
      </w:rPr>
    </w:lvl>
    <w:lvl w:ilvl="4">
      <w:start w:val="0"/>
      <w:numFmt w:val="bullet"/>
      <w:lvlText w:val="•"/>
      <w:lvlJc w:val="left"/>
      <w:pPr>
        <w:ind w:left="4806" w:hanging="681"/>
      </w:pPr>
      <w:rPr>
        <w:rFonts w:hint="default"/>
      </w:rPr>
    </w:lvl>
    <w:lvl w:ilvl="5">
      <w:start w:val="0"/>
      <w:numFmt w:val="bullet"/>
      <w:lvlText w:val="•"/>
      <w:lvlJc w:val="left"/>
      <w:pPr>
        <w:ind w:left="5872" w:hanging="681"/>
      </w:pPr>
      <w:rPr>
        <w:rFonts w:hint="default"/>
      </w:rPr>
    </w:lvl>
    <w:lvl w:ilvl="6">
      <w:start w:val="0"/>
      <w:numFmt w:val="bullet"/>
      <w:lvlText w:val="•"/>
      <w:lvlJc w:val="left"/>
      <w:pPr>
        <w:ind w:left="6939" w:hanging="681"/>
      </w:pPr>
      <w:rPr>
        <w:rFonts w:hint="default"/>
      </w:rPr>
    </w:lvl>
    <w:lvl w:ilvl="7">
      <w:start w:val="0"/>
      <w:numFmt w:val="bullet"/>
      <w:lvlText w:val="•"/>
      <w:lvlJc w:val="left"/>
      <w:pPr>
        <w:ind w:left="8005" w:hanging="681"/>
      </w:pPr>
      <w:rPr>
        <w:rFonts w:hint="default"/>
      </w:rPr>
    </w:lvl>
    <w:lvl w:ilvl="8">
      <w:start w:val="0"/>
      <w:numFmt w:val="bullet"/>
      <w:lvlText w:val="•"/>
      <w:lvlJc w:val="left"/>
      <w:pPr>
        <w:ind w:left="9072" w:hanging="681"/>
      </w:pPr>
      <w:rPr>
        <w:rFonts w:hint="default"/>
      </w:rPr>
    </w:lvl>
  </w:abstractNum>
  <w:abstractNum w:abstractNumId="4">
    <w:multiLevelType w:val="hybridMultilevel"/>
    <w:lvl w:ilvl="0">
      <w:start w:val="7"/>
      <w:numFmt w:val="decimal"/>
      <w:lvlText w:val="%1."/>
      <w:lvlJc w:val="left"/>
      <w:pPr>
        <w:ind w:left="547" w:hanging="681"/>
        <w:jc w:val="right"/>
      </w:pPr>
      <w:rPr>
        <w:rFonts w:hint="default" w:ascii="Calibri" w:hAnsi="Calibri" w:eastAsia="Calibri" w:cs="Calibri"/>
        <w:spacing w:val="-25"/>
        <w:w w:val="125"/>
        <w:sz w:val="20"/>
        <w:szCs w:val="20"/>
      </w:rPr>
    </w:lvl>
    <w:lvl w:ilvl="1">
      <w:start w:val="0"/>
      <w:numFmt w:val="bullet"/>
      <w:lvlText w:val="•"/>
      <w:lvlJc w:val="left"/>
      <w:pPr>
        <w:ind w:left="1606" w:hanging="681"/>
      </w:pPr>
      <w:rPr>
        <w:rFonts w:hint="default"/>
      </w:rPr>
    </w:lvl>
    <w:lvl w:ilvl="2">
      <w:start w:val="0"/>
      <w:numFmt w:val="bullet"/>
      <w:lvlText w:val="•"/>
      <w:lvlJc w:val="left"/>
      <w:pPr>
        <w:ind w:left="2673" w:hanging="681"/>
      </w:pPr>
      <w:rPr>
        <w:rFonts w:hint="default"/>
      </w:rPr>
    </w:lvl>
    <w:lvl w:ilvl="3">
      <w:start w:val="0"/>
      <w:numFmt w:val="bullet"/>
      <w:lvlText w:val="•"/>
      <w:lvlJc w:val="left"/>
      <w:pPr>
        <w:ind w:left="3739" w:hanging="681"/>
      </w:pPr>
      <w:rPr>
        <w:rFonts w:hint="default"/>
      </w:rPr>
    </w:lvl>
    <w:lvl w:ilvl="4">
      <w:start w:val="0"/>
      <w:numFmt w:val="bullet"/>
      <w:lvlText w:val="•"/>
      <w:lvlJc w:val="left"/>
      <w:pPr>
        <w:ind w:left="4806" w:hanging="681"/>
      </w:pPr>
      <w:rPr>
        <w:rFonts w:hint="default"/>
      </w:rPr>
    </w:lvl>
    <w:lvl w:ilvl="5">
      <w:start w:val="0"/>
      <w:numFmt w:val="bullet"/>
      <w:lvlText w:val="•"/>
      <w:lvlJc w:val="left"/>
      <w:pPr>
        <w:ind w:left="5872" w:hanging="681"/>
      </w:pPr>
      <w:rPr>
        <w:rFonts w:hint="default"/>
      </w:rPr>
    </w:lvl>
    <w:lvl w:ilvl="6">
      <w:start w:val="0"/>
      <w:numFmt w:val="bullet"/>
      <w:lvlText w:val="•"/>
      <w:lvlJc w:val="left"/>
      <w:pPr>
        <w:ind w:left="6939" w:hanging="681"/>
      </w:pPr>
      <w:rPr>
        <w:rFonts w:hint="default"/>
      </w:rPr>
    </w:lvl>
    <w:lvl w:ilvl="7">
      <w:start w:val="0"/>
      <w:numFmt w:val="bullet"/>
      <w:lvlText w:val="•"/>
      <w:lvlJc w:val="left"/>
      <w:pPr>
        <w:ind w:left="8005" w:hanging="681"/>
      </w:pPr>
      <w:rPr>
        <w:rFonts w:hint="default"/>
      </w:rPr>
    </w:lvl>
    <w:lvl w:ilvl="8">
      <w:start w:val="0"/>
      <w:numFmt w:val="bullet"/>
      <w:lvlText w:val="•"/>
      <w:lvlJc w:val="left"/>
      <w:pPr>
        <w:ind w:left="9072" w:hanging="681"/>
      </w:pPr>
      <w:rPr>
        <w:rFonts w:hint="default"/>
      </w:rPr>
    </w:lvl>
  </w:abstractNum>
  <w:abstractNum w:abstractNumId="3">
    <w:multiLevelType w:val="hybridMultilevel"/>
    <w:lvl w:ilvl="0">
      <w:start w:val="4"/>
      <w:numFmt w:val="decimal"/>
      <w:lvlText w:val="%1."/>
      <w:lvlJc w:val="left"/>
      <w:pPr>
        <w:ind w:left="547" w:hanging="681"/>
        <w:jc w:val="left"/>
      </w:pPr>
      <w:rPr>
        <w:rFonts w:hint="default" w:ascii="Calibri" w:hAnsi="Calibri" w:eastAsia="Calibri" w:cs="Calibri"/>
        <w:spacing w:val="-4"/>
        <w:w w:val="125"/>
        <w:sz w:val="20"/>
        <w:szCs w:val="20"/>
      </w:rPr>
    </w:lvl>
    <w:lvl w:ilvl="1">
      <w:start w:val="0"/>
      <w:numFmt w:val="bullet"/>
      <w:lvlText w:val="•"/>
      <w:lvlJc w:val="left"/>
      <w:pPr>
        <w:ind w:left="1606" w:hanging="681"/>
      </w:pPr>
      <w:rPr>
        <w:rFonts w:hint="default"/>
      </w:rPr>
    </w:lvl>
    <w:lvl w:ilvl="2">
      <w:start w:val="0"/>
      <w:numFmt w:val="bullet"/>
      <w:lvlText w:val="•"/>
      <w:lvlJc w:val="left"/>
      <w:pPr>
        <w:ind w:left="2673" w:hanging="681"/>
      </w:pPr>
      <w:rPr>
        <w:rFonts w:hint="default"/>
      </w:rPr>
    </w:lvl>
    <w:lvl w:ilvl="3">
      <w:start w:val="0"/>
      <w:numFmt w:val="bullet"/>
      <w:lvlText w:val="•"/>
      <w:lvlJc w:val="left"/>
      <w:pPr>
        <w:ind w:left="3739" w:hanging="681"/>
      </w:pPr>
      <w:rPr>
        <w:rFonts w:hint="default"/>
      </w:rPr>
    </w:lvl>
    <w:lvl w:ilvl="4">
      <w:start w:val="0"/>
      <w:numFmt w:val="bullet"/>
      <w:lvlText w:val="•"/>
      <w:lvlJc w:val="left"/>
      <w:pPr>
        <w:ind w:left="4806" w:hanging="681"/>
      </w:pPr>
      <w:rPr>
        <w:rFonts w:hint="default"/>
      </w:rPr>
    </w:lvl>
    <w:lvl w:ilvl="5">
      <w:start w:val="0"/>
      <w:numFmt w:val="bullet"/>
      <w:lvlText w:val="•"/>
      <w:lvlJc w:val="left"/>
      <w:pPr>
        <w:ind w:left="5872" w:hanging="681"/>
      </w:pPr>
      <w:rPr>
        <w:rFonts w:hint="default"/>
      </w:rPr>
    </w:lvl>
    <w:lvl w:ilvl="6">
      <w:start w:val="0"/>
      <w:numFmt w:val="bullet"/>
      <w:lvlText w:val="•"/>
      <w:lvlJc w:val="left"/>
      <w:pPr>
        <w:ind w:left="6939" w:hanging="681"/>
      </w:pPr>
      <w:rPr>
        <w:rFonts w:hint="default"/>
      </w:rPr>
    </w:lvl>
    <w:lvl w:ilvl="7">
      <w:start w:val="0"/>
      <w:numFmt w:val="bullet"/>
      <w:lvlText w:val="•"/>
      <w:lvlJc w:val="left"/>
      <w:pPr>
        <w:ind w:left="8005" w:hanging="681"/>
      </w:pPr>
      <w:rPr>
        <w:rFonts w:hint="default"/>
      </w:rPr>
    </w:lvl>
    <w:lvl w:ilvl="8">
      <w:start w:val="0"/>
      <w:numFmt w:val="bullet"/>
      <w:lvlText w:val="•"/>
      <w:lvlJc w:val="left"/>
      <w:pPr>
        <w:ind w:left="9072" w:hanging="681"/>
      </w:pPr>
      <w:rPr>
        <w:rFonts w:hint="default"/>
      </w:rPr>
    </w:lvl>
  </w:abstractNum>
  <w:abstractNum w:abstractNumId="2">
    <w:multiLevelType w:val="hybridMultilevel"/>
    <w:lvl w:ilvl="0">
      <w:start w:val="1"/>
      <w:numFmt w:val="decimal"/>
      <w:lvlText w:val="%1."/>
      <w:lvlJc w:val="left"/>
      <w:pPr>
        <w:ind w:left="547" w:hanging="681"/>
        <w:jc w:val="left"/>
      </w:pPr>
      <w:rPr>
        <w:rFonts w:hint="default" w:ascii="Calibri" w:hAnsi="Calibri" w:eastAsia="Calibri" w:cs="Calibri"/>
        <w:spacing w:val="-13"/>
        <w:w w:val="125"/>
        <w:sz w:val="20"/>
        <w:szCs w:val="20"/>
      </w:rPr>
    </w:lvl>
    <w:lvl w:ilvl="1">
      <w:start w:val="0"/>
      <w:numFmt w:val="bullet"/>
      <w:lvlText w:val="•"/>
      <w:lvlJc w:val="left"/>
      <w:pPr>
        <w:ind w:left="1606" w:hanging="681"/>
      </w:pPr>
      <w:rPr>
        <w:rFonts w:hint="default"/>
      </w:rPr>
    </w:lvl>
    <w:lvl w:ilvl="2">
      <w:start w:val="0"/>
      <w:numFmt w:val="bullet"/>
      <w:lvlText w:val="•"/>
      <w:lvlJc w:val="left"/>
      <w:pPr>
        <w:ind w:left="2673" w:hanging="681"/>
      </w:pPr>
      <w:rPr>
        <w:rFonts w:hint="default"/>
      </w:rPr>
    </w:lvl>
    <w:lvl w:ilvl="3">
      <w:start w:val="0"/>
      <w:numFmt w:val="bullet"/>
      <w:lvlText w:val="•"/>
      <w:lvlJc w:val="left"/>
      <w:pPr>
        <w:ind w:left="3739" w:hanging="681"/>
      </w:pPr>
      <w:rPr>
        <w:rFonts w:hint="default"/>
      </w:rPr>
    </w:lvl>
    <w:lvl w:ilvl="4">
      <w:start w:val="0"/>
      <w:numFmt w:val="bullet"/>
      <w:lvlText w:val="•"/>
      <w:lvlJc w:val="left"/>
      <w:pPr>
        <w:ind w:left="4806" w:hanging="681"/>
      </w:pPr>
      <w:rPr>
        <w:rFonts w:hint="default"/>
      </w:rPr>
    </w:lvl>
    <w:lvl w:ilvl="5">
      <w:start w:val="0"/>
      <w:numFmt w:val="bullet"/>
      <w:lvlText w:val="•"/>
      <w:lvlJc w:val="left"/>
      <w:pPr>
        <w:ind w:left="5872" w:hanging="681"/>
      </w:pPr>
      <w:rPr>
        <w:rFonts w:hint="default"/>
      </w:rPr>
    </w:lvl>
    <w:lvl w:ilvl="6">
      <w:start w:val="0"/>
      <w:numFmt w:val="bullet"/>
      <w:lvlText w:val="•"/>
      <w:lvlJc w:val="left"/>
      <w:pPr>
        <w:ind w:left="6939" w:hanging="681"/>
      </w:pPr>
      <w:rPr>
        <w:rFonts w:hint="default"/>
      </w:rPr>
    </w:lvl>
    <w:lvl w:ilvl="7">
      <w:start w:val="0"/>
      <w:numFmt w:val="bullet"/>
      <w:lvlText w:val="•"/>
      <w:lvlJc w:val="left"/>
      <w:pPr>
        <w:ind w:left="8005" w:hanging="681"/>
      </w:pPr>
      <w:rPr>
        <w:rFonts w:hint="default"/>
      </w:rPr>
    </w:lvl>
    <w:lvl w:ilvl="8">
      <w:start w:val="0"/>
      <w:numFmt w:val="bullet"/>
      <w:lvlText w:val="•"/>
      <w:lvlJc w:val="left"/>
      <w:pPr>
        <w:ind w:left="9072" w:hanging="681"/>
      </w:pPr>
      <w:rPr>
        <w:rFonts w:hint="default"/>
      </w:rPr>
    </w:lvl>
  </w:abstractNum>
  <w:abstractNum w:abstractNumId="0">
    <w:multiLevelType w:val="hybridMultilevel"/>
    <w:lvl w:ilvl="0">
      <w:start w:val="0"/>
      <w:numFmt w:val="bullet"/>
      <w:lvlText w:val="-"/>
      <w:lvlJc w:val="left"/>
      <w:pPr>
        <w:ind w:left="1114" w:hanging="681"/>
      </w:pPr>
      <w:rPr>
        <w:rFonts w:hint="default" w:ascii="Calibri" w:hAnsi="Calibri" w:eastAsia="Calibri" w:cs="Calibri"/>
        <w:w w:val="117"/>
        <w:sz w:val="16"/>
        <w:szCs w:val="16"/>
      </w:rPr>
    </w:lvl>
    <w:lvl w:ilvl="1">
      <w:start w:val="0"/>
      <w:numFmt w:val="bullet"/>
      <w:lvlText w:val="•"/>
      <w:lvlJc w:val="left"/>
      <w:pPr>
        <w:ind w:left="2128" w:hanging="681"/>
      </w:pPr>
      <w:rPr>
        <w:rFonts w:hint="default"/>
      </w:rPr>
    </w:lvl>
    <w:lvl w:ilvl="2">
      <w:start w:val="0"/>
      <w:numFmt w:val="bullet"/>
      <w:lvlText w:val="•"/>
      <w:lvlJc w:val="left"/>
      <w:pPr>
        <w:ind w:left="3137" w:hanging="681"/>
      </w:pPr>
      <w:rPr>
        <w:rFonts w:hint="default"/>
      </w:rPr>
    </w:lvl>
    <w:lvl w:ilvl="3">
      <w:start w:val="0"/>
      <w:numFmt w:val="bullet"/>
      <w:lvlText w:val="•"/>
      <w:lvlJc w:val="left"/>
      <w:pPr>
        <w:ind w:left="4145" w:hanging="681"/>
      </w:pPr>
      <w:rPr>
        <w:rFonts w:hint="default"/>
      </w:rPr>
    </w:lvl>
    <w:lvl w:ilvl="4">
      <w:start w:val="0"/>
      <w:numFmt w:val="bullet"/>
      <w:lvlText w:val="•"/>
      <w:lvlJc w:val="left"/>
      <w:pPr>
        <w:ind w:left="5154" w:hanging="681"/>
      </w:pPr>
      <w:rPr>
        <w:rFonts w:hint="default"/>
      </w:rPr>
    </w:lvl>
    <w:lvl w:ilvl="5">
      <w:start w:val="0"/>
      <w:numFmt w:val="bullet"/>
      <w:lvlText w:val="•"/>
      <w:lvlJc w:val="left"/>
      <w:pPr>
        <w:ind w:left="6162" w:hanging="681"/>
      </w:pPr>
      <w:rPr>
        <w:rFonts w:hint="default"/>
      </w:rPr>
    </w:lvl>
    <w:lvl w:ilvl="6">
      <w:start w:val="0"/>
      <w:numFmt w:val="bullet"/>
      <w:lvlText w:val="•"/>
      <w:lvlJc w:val="left"/>
      <w:pPr>
        <w:ind w:left="7171" w:hanging="681"/>
      </w:pPr>
      <w:rPr>
        <w:rFonts w:hint="default"/>
      </w:rPr>
    </w:lvl>
    <w:lvl w:ilvl="7">
      <w:start w:val="0"/>
      <w:numFmt w:val="bullet"/>
      <w:lvlText w:val="•"/>
      <w:lvlJc w:val="left"/>
      <w:pPr>
        <w:ind w:left="8179" w:hanging="681"/>
      </w:pPr>
      <w:rPr>
        <w:rFonts w:hint="default"/>
      </w:rPr>
    </w:lvl>
    <w:lvl w:ilvl="8">
      <w:start w:val="0"/>
      <w:numFmt w:val="bullet"/>
      <w:lvlText w:val="•"/>
      <w:lvlJc w:val="left"/>
      <w:pPr>
        <w:ind w:left="9188" w:hanging="681"/>
      </w:pPr>
      <w:rPr>
        <w:rFonts w:hint="default"/>
      </w:rPr>
    </w:lvl>
  </w:abstractNum>
  <w:num w:numId="235">
    <w:abstractNumId w:val="234"/>
  </w:num>
  <w:num w:numId="225">
    <w:abstractNumId w:val="224"/>
  </w:num>
  <w:num w:numId="223">
    <w:abstractNumId w:val="222"/>
  </w:num>
  <w:num w:numId="200">
    <w:abstractNumId w:val="199"/>
  </w:num>
  <w:num w:numId="199">
    <w:abstractNumId w:val="198"/>
  </w:num>
  <w:num w:numId="196">
    <w:abstractNumId w:val="195"/>
  </w:num>
  <w:num w:numId="165">
    <w:abstractNumId w:val="164"/>
  </w:num>
  <w:num w:numId="164">
    <w:abstractNumId w:val="163"/>
  </w:num>
  <w:num w:numId="156">
    <w:abstractNumId w:val="155"/>
  </w:num>
  <w:num w:numId="142">
    <w:abstractNumId w:val="141"/>
  </w:num>
  <w:num w:numId="137">
    <w:abstractNumId w:val="136"/>
  </w:num>
  <w:num w:numId="119">
    <w:abstractNumId w:val="118"/>
  </w:num>
  <w:num w:numId="67">
    <w:abstractNumId w:val="66"/>
  </w:num>
  <w:num w:numId="59">
    <w:abstractNumId w:val="58"/>
  </w:num>
  <w:num w:numId="46">
    <w:abstractNumId w:val="45"/>
  </w:num>
  <w:num w:numId="33">
    <w:abstractNumId w:val="32"/>
  </w:num>
  <w:num w:numId="23">
    <w:abstractNumId w:val="22"/>
  </w:num>
  <w:num w:numId="10">
    <w:abstractNumId w:val="9"/>
  </w:num>
  <w:num w:numId="7">
    <w:abstractNumId w:val="6"/>
  </w:num>
  <w:num w:numId="2">
    <w:abstractNumId w:val="1"/>
  </w:num>
  <w:num w:numId="256">
    <w:abstractNumId w:val="255"/>
  </w:num>
  <w:num w:numId="255">
    <w:abstractNumId w:val="254"/>
  </w:num>
  <w:num w:numId="254">
    <w:abstractNumId w:val="253"/>
  </w:num>
  <w:num w:numId="253">
    <w:abstractNumId w:val="252"/>
  </w:num>
  <w:num w:numId="252">
    <w:abstractNumId w:val="251"/>
  </w:num>
  <w:num w:numId="251">
    <w:abstractNumId w:val="250"/>
  </w:num>
  <w:num w:numId="250">
    <w:abstractNumId w:val="249"/>
  </w:num>
  <w:num w:numId="249">
    <w:abstractNumId w:val="248"/>
  </w:num>
  <w:num w:numId="248">
    <w:abstractNumId w:val="247"/>
  </w:num>
  <w:num w:numId="247">
    <w:abstractNumId w:val="246"/>
  </w:num>
  <w:num w:numId="246">
    <w:abstractNumId w:val="245"/>
  </w:num>
  <w:num w:numId="245">
    <w:abstractNumId w:val="244"/>
  </w:num>
  <w:num w:numId="244">
    <w:abstractNumId w:val="243"/>
  </w:num>
  <w:num w:numId="243">
    <w:abstractNumId w:val="242"/>
  </w:num>
  <w:num w:numId="242">
    <w:abstractNumId w:val="241"/>
  </w:num>
  <w:num w:numId="241">
    <w:abstractNumId w:val="240"/>
  </w:num>
  <w:num w:numId="240">
    <w:abstractNumId w:val="239"/>
  </w:num>
  <w:num w:numId="239">
    <w:abstractNumId w:val="238"/>
  </w:num>
  <w:num w:numId="238">
    <w:abstractNumId w:val="237"/>
  </w:num>
  <w:num w:numId="237">
    <w:abstractNumId w:val="236"/>
  </w:num>
  <w:num w:numId="236">
    <w:abstractNumId w:val="235"/>
  </w:num>
  <w:num w:numId="234">
    <w:abstractNumId w:val="233"/>
  </w:num>
  <w:num w:numId="233">
    <w:abstractNumId w:val="232"/>
  </w:num>
  <w:num w:numId="232">
    <w:abstractNumId w:val="231"/>
  </w:num>
  <w:num w:numId="231">
    <w:abstractNumId w:val="230"/>
  </w:num>
  <w:num w:numId="230">
    <w:abstractNumId w:val="229"/>
  </w:num>
  <w:num w:numId="229">
    <w:abstractNumId w:val="228"/>
  </w:num>
  <w:num w:numId="228">
    <w:abstractNumId w:val="227"/>
  </w:num>
  <w:num w:numId="227">
    <w:abstractNumId w:val="226"/>
  </w:num>
  <w:num w:numId="226">
    <w:abstractNumId w:val="225"/>
  </w:num>
  <w:num w:numId="224">
    <w:abstractNumId w:val="223"/>
  </w:num>
  <w:num w:numId="222">
    <w:abstractNumId w:val="221"/>
  </w:num>
  <w:num w:numId="221">
    <w:abstractNumId w:val="220"/>
  </w:num>
  <w:num w:numId="220">
    <w:abstractNumId w:val="219"/>
  </w:num>
  <w:num w:numId="219">
    <w:abstractNumId w:val="218"/>
  </w:num>
  <w:num w:numId="218">
    <w:abstractNumId w:val="217"/>
  </w:num>
  <w:num w:numId="217">
    <w:abstractNumId w:val="216"/>
  </w:num>
  <w:num w:numId="216">
    <w:abstractNumId w:val="215"/>
  </w:num>
  <w:num w:numId="215">
    <w:abstractNumId w:val="214"/>
  </w:num>
  <w:num w:numId="214">
    <w:abstractNumId w:val="213"/>
  </w:num>
  <w:num w:numId="213">
    <w:abstractNumId w:val="212"/>
  </w:num>
  <w:num w:numId="212">
    <w:abstractNumId w:val="211"/>
  </w:num>
  <w:num w:numId="211">
    <w:abstractNumId w:val="210"/>
  </w:num>
  <w:num w:numId="210">
    <w:abstractNumId w:val="209"/>
  </w:num>
  <w:num w:numId="209">
    <w:abstractNumId w:val="208"/>
  </w:num>
  <w:num w:numId="208">
    <w:abstractNumId w:val="207"/>
  </w:num>
  <w:num w:numId="207">
    <w:abstractNumId w:val="206"/>
  </w:num>
  <w:num w:numId="206">
    <w:abstractNumId w:val="205"/>
  </w:num>
  <w:num w:numId="205">
    <w:abstractNumId w:val="204"/>
  </w:num>
  <w:num w:numId="204">
    <w:abstractNumId w:val="203"/>
  </w:num>
  <w:num w:numId="203">
    <w:abstractNumId w:val="202"/>
  </w:num>
  <w:num w:numId="202">
    <w:abstractNumId w:val="201"/>
  </w:num>
  <w:num w:numId="201">
    <w:abstractNumId w:val="200"/>
  </w:num>
  <w:num w:numId="198">
    <w:abstractNumId w:val="197"/>
  </w:num>
  <w:num w:numId="197">
    <w:abstractNumId w:val="196"/>
  </w:num>
  <w:num w:numId="195">
    <w:abstractNumId w:val="194"/>
  </w:num>
  <w:num w:numId="194">
    <w:abstractNumId w:val="193"/>
  </w:num>
  <w:num w:numId="193">
    <w:abstractNumId w:val="192"/>
  </w:num>
  <w:num w:numId="192">
    <w:abstractNumId w:val="191"/>
  </w:num>
  <w:num w:numId="191">
    <w:abstractNumId w:val="190"/>
  </w:num>
  <w:num w:numId="190">
    <w:abstractNumId w:val="189"/>
  </w:num>
  <w:num w:numId="189">
    <w:abstractNumId w:val="188"/>
  </w:num>
  <w:num w:numId="188">
    <w:abstractNumId w:val="187"/>
  </w:num>
  <w:num w:numId="187">
    <w:abstractNumId w:val="186"/>
  </w:num>
  <w:num w:numId="186">
    <w:abstractNumId w:val="185"/>
  </w:num>
  <w:num w:numId="185">
    <w:abstractNumId w:val="184"/>
  </w:num>
  <w:num w:numId="184">
    <w:abstractNumId w:val="183"/>
  </w:num>
  <w:num w:numId="183">
    <w:abstractNumId w:val="182"/>
  </w:num>
  <w:num w:numId="182">
    <w:abstractNumId w:val="181"/>
  </w:num>
  <w:num w:numId="181">
    <w:abstractNumId w:val="180"/>
  </w:num>
  <w:num w:numId="180">
    <w:abstractNumId w:val="179"/>
  </w:num>
  <w:num w:numId="179">
    <w:abstractNumId w:val="178"/>
  </w:num>
  <w:num w:numId="178">
    <w:abstractNumId w:val="177"/>
  </w:num>
  <w:num w:numId="177">
    <w:abstractNumId w:val="176"/>
  </w:num>
  <w:num w:numId="176">
    <w:abstractNumId w:val="175"/>
  </w:num>
  <w:num w:numId="175">
    <w:abstractNumId w:val="174"/>
  </w:num>
  <w:num w:numId="174">
    <w:abstractNumId w:val="173"/>
  </w:num>
  <w:num w:numId="173">
    <w:abstractNumId w:val="172"/>
  </w:num>
  <w:num w:numId="172">
    <w:abstractNumId w:val="171"/>
  </w:num>
  <w:num w:numId="171">
    <w:abstractNumId w:val="170"/>
  </w:num>
  <w:num w:numId="170">
    <w:abstractNumId w:val="169"/>
  </w:num>
  <w:num w:numId="169">
    <w:abstractNumId w:val="168"/>
  </w:num>
  <w:num w:numId="168">
    <w:abstractNumId w:val="167"/>
  </w:num>
  <w:num w:numId="167">
    <w:abstractNumId w:val="166"/>
  </w:num>
  <w:num w:numId="166">
    <w:abstractNumId w:val="165"/>
  </w:num>
  <w:num w:numId="163">
    <w:abstractNumId w:val="162"/>
  </w:num>
  <w:num w:numId="162">
    <w:abstractNumId w:val="161"/>
  </w:num>
  <w:num w:numId="161">
    <w:abstractNumId w:val="160"/>
  </w:num>
  <w:num w:numId="160">
    <w:abstractNumId w:val="159"/>
  </w:num>
  <w:num w:numId="159">
    <w:abstractNumId w:val="158"/>
  </w:num>
  <w:num w:numId="158">
    <w:abstractNumId w:val="157"/>
  </w:num>
  <w:num w:numId="157">
    <w:abstractNumId w:val="156"/>
  </w:num>
  <w:num w:numId="155">
    <w:abstractNumId w:val="154"/>
  </w:num>
  <w:num w:numId="154">
    <w:abstractNumId w:val="153"/>
  </w:num>
  <w:num w:numId="153">
    <w:abstractNumId w:val="152"/>
  </w:num>
  <w:num w:numId="152">
    <w:abstractNumId w:val="151"/>
  </w:num>
  <w:num w:numId="151">
    <w:abstractNumId w:val="150"/>
  </w:num>
  <w:num w:numId="150">
    <w:abstractNumId w:val="149"/>
  </w:num>
  <w:num w:numId="149">
    <w:abstractNumId w:val="148"/>
  </w:num>
  <w:num w:numId="148">
    <w:abstractNumId w:val="147"/>
  </w:num>
  <w:num w:numId="147">
    <w:abstractNumId w:val="146"/>
  </w:num>
  <w:num w:numId="146">
    <w:abstractNumId w:val="145"/>
  </w:num>
  <w:num w:numId="145">
    <w:abstractNumId w:val="144"/>
  </w:num>
  <w:num w:numId="144">
    <w:abstractNumId w:val="143"/>
  </w:num>
  <w:num w:numId="143">
    <w:abstractNumId w:val="142"/>
  </w:num>
  <w:num w:numId="141">
    <w:abstractNumId w:val="140"/>
  </w:num>
  <w:num w:numId="140">
    <w:abstractNumId w:val="139"/>
  </w:num>
  <w:num w:numId="139">
    <w:abstractNumId w:val="138"/>
  </w:num>
  <w:num w:numId="138">
    <w:abstractNumId w:val="137"/>
  </w:num>
  <w:num w:numId="136">
    <w:abstractNumId w:val="135"/>
  </w:num>
  <w:num w:numId="135">
    <w:abstractNumId w:val="134"/>
  </w:num>
  <w:num w:numId="134">
    <w:abstractNumId w:val="133"/>
  </w:num>
  <w:num w:numId="133">
    <w:abstractNumId w:val="132"/>
  </w:num>
  <w:num w:numId="132">
    <w:abstractNumId w:val="131"/>
  </w:num>
  <w:num w:numId="131">
    <w:abstractNumId w:val="130"/>
  </w:num>
  <w:num w:numId="130">
    <w:abstractNumId w:val="129"/>
  </w:num>
  <w:num w:numId="129">
    <w:abstractNumId w:val="128"/>
  </w:num>
  <w:num w:numId="128">
    <w:abstractNumId w:val="127"/>
  </w:num>
  <w:num w:numId="127">
    <w:abstractNumId w:val="126"/>
  </w:num>
  <w:num w:numId="126">
    <w:abstractNumId w:val="125"/>
  </w:num>
  <w:num w:numId="125">
    <w:abstractNumId w:val="124"/>
  </w:num>
  <w:num w:numId="124">
    <w:abstractNumId w:val="123"/>
  </w:num>
  <w:num w:numId="123">
    <w:abstractNumId w:val="122"/>
  </w:num>
  <w:num w:numId="122">
    <w:abstractNumId w:val="121"/>
  </w:num>
  <w:num w:numId="121">
    <w:abstractNumId w:val="120"/>
  </w:num>
  <w:num w:numId="120">
    <w:abstractNumId w:val="119"/>
  </w:num>
  <w:num w:numId="118">
    <w:abstractNumId w:val="117"/>
  </w:num>
  <w:num w:numId="117">
    <w:abstractNumId w:val="116"/>
  </w:num>
  <w:num w:numId="116">
    <w:abstractNumId w:val="115"/>
  </w:num>
  <w:num w:numId="115">
    <w:abstractNumId w:val="114"/>
  </w:num>
  <w:num w:numId="114">
    <w:abstractNumId w:val="113"/>
  </w:num>
  <w:num w:numId="113">
    <w:abstractNumId w:val="112"/>
  </w:num>
  <w:num w:numId="112">
    <w:abstractNumId w:val="111"/>
  </w:num>
  <w:num w:numId="111">
    <w:abstractNumId w:val="110"/>
  </w:num>
  <w:num w:numId="110">
    <w:abstractNumId w:val="109"/>
  </w:num>
  <w:num w:numId="109">
    <w:abstractNumId w:val="108"/>
  </w:num>
  <w:num w:numId="108">
    <w:abstractNumId w:val="107"/>
  </w:num>
  <w:num w:numId="107">
    <w:abstractNumId w:val="106"/>
  </w:num>
  <w:num w:numId="106">
    <w:abstractNumId w:val="105"/>
  </w:num>
  <w:num w:numId="105">
    <w:abstractNumId w:val="104"/>
  </w:num>
  <w:num w:numId="104">
    <w:abstractNumId w:val="103"/>
  </w:num>
  <w:num w:numId="103">
    <w:abstractNumId w:val="102"/>
  </w:num>
  <w:num w:numId="102">
    <w:abstractNumId w:val="101"/>
  </w:num>
  <w:num w:numId="101">
    <w:abstractNumId w:val="100"/>
  </w:num>
  <w:num w:numId="100">
    <w:abstractNumId w:val="99"/>
  </w:num>
  <w:num w:numId="99">
    <w:abstractNumId w:val="98"/>
  </w:num>
  <w:num w:numId="98">
    <w:abstractNumId w:val="97"/>
  </w:num>
  <w:num w:numId="97">
    <w:abstractNumId w:val="96"/>
  </w:num>
  <w:num w:numId="96">
    <w:abstractNumId w:val="95"/>
  </w:num>
  <w:num w:numId="95">
    <w:abstractNumId w:val="94"/>
  </w:num>
  <w:num w:numId="94">
    <w:abstractNumId w:val="93"/>
  </w:num>
  <w:num w:numId="93">
    <w:abstractNumId w:val="92"/>
  </w:num>
  <w:num w:numId="92">
    <w:abstractNumId w:val="91"/>
  </w:num>
  <w:num w:numId="91">
    <w:abstractNumId w:val="90"/>
  </w:num>
  <w:num w:numId="90">
    <w:abstractNumId w:val="89"/>
  </w:num>
  <w:num w:numId="89">
    <w:abstractNumId w:val="88"/>
  </w:num>
  <w:num w:numId="88">
    <w:abstractNumId w:val="87"/>
  </w:num>
  <w:num w:numId="87">
    <w:abstractNumId w:val="86"/>
  </w:num>
  <w:num w:numId="86">
    <w:abstractNumId w:val="85"/>
  </w:num>
  <w:num w:numId="85">
    <w:abstractNumId w:val="84"/>
  </w:num>
  <w:num w:numId="84">
    <w:abstractNumId w:val="83"/>
  </w:num>
  <w:num w:numId="83">
    <w:abstractNumId w:val="82"/>
  </w:num>
  <w:num w:numId="82">
    <w:abstractNumId w:val="81"/>
  </w:num>
  <w:num w:numId="81">
    <w:abstractNumId w:val="80"/>
  </w:num>
  <w:num w:numId="80">
    <w:abstractNumId w:val="79"/>
  </w:num>
  <w:num w:numId="79">
    <w:abstractNumId w:val="78"/>
  </w:num>
  <w:num w:numId="78">
    <w:abstractNumId w:val="77"/>
  </w:num>
  <w:num w:numId="77">
    <w:abstractNumId w:val="76"/>
  </w:num>
  <w:num w:numId="76">
    <w:abstractNumId w:val="75"/>
  </w:num>
  <w:num w:numId="75">
    <w:abstractNumId w:val="74"/>
  </w:num>
  <w:num w:numId="74">
    <w:abstractNumId w:val="73"/>
  </w:num>
  <w:num w:numId="73">
    <w:abstractNumId w:val="72"/>
  </w:num>
  <w:num w:numId="72">
    <w:abstractNumId w:val="71"/>
  </w:num>
  <w:num w:numId="71">
    <w:abstractNumId w:val="70"/>
  </w:num>
  <w:num w:numId="70">
    <w:abstractNumId w:val="69"/>
  </w:num>
  <w:num w:numId="69">
    <w:abstractNumId w:val="68"/>
  </w:num>
  <w:num w:numId="68">
    <w:abstractNumId w:val="67"/>
  </w:num>
  <w:num w:numId="66">
    <w:abstractNumId w:val="65"/>
  </w:num>
  <w:num w:numId="65">
    <w:abstractNumId w:val="64"/>
  </w:num>
  <w:num w:numId="64">
    <w:abstractNumId w:val="63"/>
  </w:num>
  <w:num w:numId="63">
    <w:abstractNumId w:val="62"/>
  </w:num>
  <w:num w:numId="62">
    <w:abstractNumId w:val="61"/>
  </w:num>
  <w:num w:numId="61">
    <w:abstractNumId w:val="60"/>
  </w:num>
  <w:num w:numId="60">
    <w:abstractNumId w:val="59"/>
  </w:num>
  <w:num w:numId="58">
    <w:abstractNumId w:val="57"/>
  </w:num>
  <w:num w:numId="57">
    <w:abstractNumId w:val="56"/>
  </w:num>
  <w:num w:numId="56">
    <w:abstractNumId w:val="55"/>
  </w:num>
  <w:num w:numId="55">
    <w:abstractNumId w:val="54"/>
  </w:num>
  <w:num w:numId="54">
    <w:abstractNumId w:val="53"/>
  </w:num>
  <w:num w:numId="53">
    <w:abstractNumId w:val="52"/>
  </w:num>
  <w:num w:numId="52">
    <w:abstractNumId w:val="51"/>
  </w:num>
  <w:num w:numId="51">
    <w:abstractNumId w:val="50"/>
  </w:num>
  <w:num w:numId="50">
    <w:abstractNumId w:val="49"/>
  </w:num>
  <w:num w:numId="49">
    <w:abstractNumId w:val="48"/>
  </w:num>
  <w:num w:numId="48">
    <w:abstractNumId w:val="47"/>
  </w:num>
  <w:num w:numId="47">
    <w:abstractNumId w:val="46"/>
  </w:num>
  <w:num w:numId="45">
    <w:abstractNumId w:val="44"/>
  </w:num>
  <w:num w:numId="44">
    <w:abstractNumId w:val="43"/>
  </w:num>
  <w:num w:numId="43">
    <w:abstractNumId w:val="42"/>
  </w:num>
  <w:num w:numId="42">
    <w:abstractNumId w:val="41"/>
  </w:num>
  <w:num w:numId="41">
    <w:abstractNumId w:val="40"/>
  </w:num>
  <w:num w:numId="40">
    <w:abstractNumId w:val="39"/>
  </w:num>
  <w:num w:numId="39">
    <w:abstractNumId w:val="38"/>
  </w:num>
  <w:num w:numId="38">
    <w:abstractNumId w:val="37"/>
  </w:num>
  <w:num w:numId="37">
    <w:abstractNumId w:val="36"/>
  </w:num>
  <w:num w:numId="36">
    <w:abstractNumId w:val="35"/>
  </w:num>
  <w:num w:numId="35">
    <w:abstractNumId w:val="34"/>
  </w:num>
  <w:num w:numId="34">
    <w:abstractNumId w:val="33"/>
  </w:num>
  <w:num w:numId="32">
    <w:abstractNumId w:val="31"/>
  </w:num>
  <w:num w:numId="31">
    <w:abstractNumId w:val="30"/>
  </w:num>
  <w:num w:numId="30">
    <w:abstractNumId w:val="29"/>
  </w:num>
  <w:num w:numId="29">
    <w:abstractNumId w:val="28"/>
  </w:num>
  <w:num w:numId="28">
    <w:abstractNumId w:val="27"/>
  </w:num>
  <w:num w:numId="27">
    <w:abstractNumId w:val="26"/>
  </w:num>
  <w:num w:numId="26">
    <w:abstractNumId w:val="25"/>
  </w:num>
  <w:num w:numId="25">
    <w:abstractNumId w:val="24"/>
  </w:num>
  <w:num w:numId="24">
    <w:abstractNumId w:val="23"/>
  </w:num>
  <w:num w:numId="22">
    <w:abstractNumId w:val="21"/>
  </w:num>
  <w:num w:numId="21">
    <w:abstractNumId w:val="20"/>
  </w:num>
  <w:num w:numId="20">
    <w:abstractNumId w:val="19"/>
  </w:num>
  <w:num w:numId="19">
    <w:abstractNumId w:val="18"/>
  </w:num>
  <w:num w:numId="18">
    <w:abstractNumId w:val="17"/>
  </w:num>
  <w:num w:numId="17">
    <w:abstractNumId w:val="16"/>
  </w:num>
  <w:num w:numId="16">
    <w:abstractNumId w:val="15"/>
  </w:num>
  <w:num w:numId="15">
    <w:abstractNumId w:val="14"/>
  </w:num>
  <w:num w:numId="14">
    <w:abstractNumId w:val="13"/>
  </w:num>
  <w:num w:numId="13">
    <w:abstractNumId w:val="12"/>
  </w:num>
  <w:num w:numId="12">
    <w:abstractNumId w:val="11"/>
  </w:num>
  <w:num w:numId="11">
    <w:abstractNumId w:val="10"/>
  </w:num>
  <w:num w:numId="9">
    <w:abstractNumId w:val="8"/>
  </w:num>
  <w:num w:numId="8">
    <w:abstractNumId w:val="7"/>
  </w:num>
  <w:num w:numId="6">
    <w:abstractNumId w:val="5"/>
  </w:num>
  <w:num w:numId="5">
    <w:abstractNumId w:val="4"/>
  </w:num>
  <w:num w:numId="4">
    <w:abstractNumId w:val="3"/>
  </w:num>
  <w:num w:numId="3">
    <w:abstractNumId w:val="2"/>
  </w: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defaultTabStop w:val="720"/>
  <w:evenAndOddHeaders/>
  <w:drawingGridHorizontalSpacing w:val="110"/>
  <w:displayHorizontalDrawingGridEvery w:val="2"/>
  <w:characterSpacingControl w:val="doNotCompress"/>
  <w:compat>
    <w:ulTrailSpace/>
    <w:shapeLayoutLikeWW8/>
    <w:useFELayout/>
  </w:compat>
</w:settings>
</file>

<file path=word/styles.xml><?xml version="1.0" encoding="utf-8"?>
<w:styles xmlns:r="http://schemas.openxmlformats.org/officeDocument/2006/relationships" xmlns:w="http://schemas.openxmlformats.org/wordprocessingml/2006/main">
  <w:docDefaults>
    <w:rPrDefault>
      <w:rPr>
        <w:rFonts w:cstheme="minorBidi" w:hAnsiTheme="minorHAnsi" w:eastAsiaTheme="minorHAnsi" w:asciiTheme="minorHAnsi"/>
        <w:sz w:val="22"/>
        <w:szCs w:val="22"/>
        <w:lang w:val="en-US" w:bidi="ar-SA" w:eastAsia="en-US"/>
      </w:rPr>
    </w:rPrDefault>
    <w:pPrDefault>
      <w:pPr>
        <w:widowControl w:val="0"/>
        <w:autoSpaceDE w:val="0"/>
        <w:autoSpaceDN w:val="0"/>
        <w:spacing w:lineRule="auto" w:line="240" w:before="0" w:after="0"/>
        <w:ind w:left="0" w:right="0"/>
        <w:jc w:val="left"/>
      </w:pPr>
    </w:pPrDefault>
  </w:docDefaults>
  <w:style w:styleId="DefaultParagraphFont" w:default="1" w:type="character">
    <w:name w:val="Default Paragraph Font"/>
    <w:uiPriority w:val="1"/>
    <w:semiHidden/>
    <w:unhideWhenUsed/>
  </w:style>
  <w:style w:styleId="TableNormal" w:default="1" w:type="table">
    <w:name w:val="Table Normal"/>
    <w:uiPriority w:val="2"/>
    <w:semiHidden/>
    <w:unhideWhenUsed/>
    <w:qFormat/>
    <w:tblPr>
      <w:tblInd w:w="0" w:type="dxa"/>
      <w:tblCellMar>
        <w:top w:w="0" w:type="dxa"/>
        <w:left w:w="0" w:type="dxa"/>
        <w:bottom w:w="0" w:type="dxa"/>
        <w:right w:w="0" w:type="dxa"/>
      </w:tblCellMar>
    </w:tblPr>
  </w:style>
  <w:style w:styleId="NoList" w:default="1" w:type="numbering">
    <w:name w:val="No List"/>
    <w:uiPriority w:val="99"/>
    <w:semiHidden/>
    <w:unhideWhenUsed/>
  </w:style>
  <w:style w:default="1" w:styleId="Normal" w:type="paragraph">
    <w:name w:val="Normal"/>
    <w:uiPriority w:val="1"/>
    <w:qFormat/>
    <w:pPr/>
    <w:rPr>
      <w:rFonts w:ascii="Calibri" w:hAnsi="Calibri" w:eastAsia="Calibri" w:cs="Calibri"/>
    </w:rPr>
  </w:style>
  <w:style w:styleId="TOC1" w:type="paragraph">
    <w:name w:val="TOC 1"/>
    <w:basedOn w:val="Normal"/>
    <w:uiPriority w:val="1"/>
    <w:qFormat/>
    <w:pPr>
      <w:spacing w:before="10"/>
      <w:ind w:left="2351"/>
    </w:pPr>
    <w:rPr>
      <w:rFonts w:ascii="Stone Sans II ITC Std Sm" w:hAnsi="Stone Sans II ITC Std Sm" w:eastAsia="Stone Sans II ITC Std Sm" w:cs="Stone Sans II ITC Std Sm"/>
      <w:sz w:val="20"/>
      <w:szCs w:val="20"/>
    </w:rPr>
  </w:style>
  <w:style w:styleId="BodyText" w:type="paragraph">
    <w:name w:val="Body Text"/>
    <w:basedOn w:val="Normal"/>
    <w:uiPriority w:val="1"/>
    <w:qFormat/>
    <w:pPr/>
    <w:rPr>
      <w:rFonts w:ascii="Calibri" w:hAnsi="Calibri" w:eastAsia="Calibri" w:cs="Calibri"/>
      <w:sz w:val="20"/>
      <w:szCs w:val="20"/>
    </w:rPr>
  </w:style>
  <w:style w:styleId="Heading1" w:type="paragraph">
    <w:name w:val="Heading 1"/>
    <w:basedOn w:val="Normal"/>
    <w:uiPriority w:val="1"/>
    <w:qFormat/>
    <w:pPr>
      <w:spacing w:before="106"/>
      <w:ind w:left="607"/>
      <w:outlineLvl w:val="1"/>
    </w:pPr>
    <w:rPr>
      <w:rFonts w:ascii="Calibri" w:hAnsi="Calibri" w:eastAsia="Calibri" w:cs="Calibri"/>
      <w:sz w:val="26"/>
      <w:szCs w:val="26"/>
    </w:rPr>
  </w:style>
  <w:style w:styleId="Heading2" w:type="paragraph">
    <w:name w:val="Heading 2"/>
    <w:basedOn w:val="Normal"/>
    <w:uiPriority w:val="1"/>
    <w:qFormat/>
    <w:pPr>
      <w:ind w:left="607"/>
      <w:outlineLvl w:val="2"/>
    </w:pPr>
    <w:rPr>
      <w:rFonts w:ascii="Stone Sans II ITC Std Bk" w:hAnsi="Stone Sans II ITC Std Bk" w:eastAsia="Stone Sans II ITC Std Bk" w:cs="Stone Sans II ITC Std Bk"/>
      <w:b/>
      <w:bCs/>
      <w:sz w:val="25"/>
      <w:szCs w:val="25"/>
    </w:rPr>
  </w:style>
  <w:style w:styleId="Heading3" w:type="paragraph">
    <w:name w:val="Heading 3"/>
    <w:basedOn w:val="Normal"/>
    <w:uiPriority w:val="1"/>
    <w:qFormat/>
    <w:pPr>
      <w:ind w:left="607"/>
      <w:outlineLvl w:val="3"/>
    </w:pPr>
    <w:rPr>
      <w:rFonts w:ascii="Calibri" w:hAnsi="Calibri" w:eastAsia="Calibri" w:cs="Calibri"/>
      <w:i/>
      <w:sz w:val="25"/>
      <w:szCs w:val="25"/>
    </w:rPr>
  </w:style>
  <w:style w:styleId="Heading4" w:type="paragraph">
    <w:name w:val="Heading 4"/>
    <w:basedOn w:val="Normal"/>
    <w:uiPriority w:val="1"/>
    <w:qFormat/>
    <w:pPr>
      <w:ind w:left="607"/>
      <w:outlineLvl w:val="4"/>
    </w:pPr>
    <w:rPr>
      <w:rFonts w:ascii="Stone Sans II ITC Std Bk" w:hAnsi="Stone Sans II ITC Std Bk" w:eastAsia="Stone Sans II ITC Std Bk" w:cs="Stone Sans II ITC Std Bk"/>
      <w:b/>
      <w:bCs/>
      <w:sz w:val="24"/>
      <w:szCs w:val="24"/>
    </w:rPr>
  </w:style>
  <w:style w:styleId="Heading5" w:type="paragraph">
    <w:name w:val="Heading 5"/>
    <w:basedOn w:val="Normal"/>
    <w:uiPriority w:val="1"/>
    <w:qFormat/>
    <w:pPr>
      <w:ind w:left="3574" w:right="3668"/>
      <w:jc w:val="center"/>
      <w:outlineLvl w:val="5"/>
    </w:pPr>
    <w:rPr>
      <w:rFonts w:ascii="Stone Sans II ITC Std Bk" w:hAnsi="Stone Sans II ITC Std Bk" w:eastAsia="Stone Sans II ITC Std Bk" w:cs="Stone Sans II ITC Std Bk"/>
      <w:b/>
      <w:bCs/>
      <w:sz w:val="23"/>
      <w:szCs w:val="23"/>
    </w:rPr>
  </w:style>
  <w:style w:styleId="Heading6" w:type="paragraph">
    <w:name w:val="Heading 6"/>
    <w:basedOn w:val="Normal"/>
    <w:uiPriority w:val="1"/>
    <w:qFormat/>
    <w:pPr>
      <w:spacing w:before="16"/>
      <w:ind w:left="20"/>
      <w:outlineLvl w:val="6"/>
    </w:pPr>
    <w:rPr>
      <w:rFonts w:ascii="Calibri" w:hAnsi="Calibri" w:eastAsia="Calibri" w:cs="Calibri"/>
      <w:sz w:val="23"/>
      <w:szCs w:val="23"/>
    </w:rPr>
  </w:style>
  <w:style w:styleId="Heading7" w:type="paragraph">
    <w:name w:val="Heading 7"/>
    <w:basedOn w:val="Normal"/>
    <w:uiPriority w:val="1"/>
    <w:qFormat/>
    <w:pPr>
      <w:spacing w:line="261" w:lineRule="exact"/>
      <w:ind w:left="2024"/>
      <w:outlineLvl w:val="7"/>
    </w:pPr>
    <w:rPr>
      <w:rFonts w:ascii="Stone Sans II ITC Std Bk" w:hAnsi="Stone Sans II ITC Std Bk" w:eastAsia="Stone Sans II ITC Std Bk" w:cs="Stone Sans II ITC Std Bk"/>
      <w:b/>
      <w:bCs/>
      <w:sz w:val="20"/>
      <w:szCs w:val="20"/>
    </w:rPr>
  </w:style>
  <w:style w:styleId="ListParagraph" w:type="paragraph">
    <w:name w:val="List Paragraph"/>
    <w:basedOn w:val="Normal"/>
    <w:uiPriority w:val="1"/>
    <w:qFormat/>
    <w:pPr>
      <w:ind w:left="1344"/>
    </w:pPr>
    <w:rPr>
      <w:rFonts w:ascii="Calibri" w:hAnsi="Calibri" w:eastAsia="Calibri" w:cs="Calibri"/>
    </w:rPr>
  </w:style>
  <w:style w:styleId="TableParagraph" w:type="paragraph">
    <w:name w:val="Table Paragraph"/>
    <w:basedOn w:val="Normal"/>
    <w:uiPriority w:val="1"/>
    <w:qFormat/>
    <w:pPr>
      <w:ind w:left="80"/>
    </w:pPr>
    <w:rPr>
      <w:rFonts w:ascii="Calibri" w:hAnsi="Calibri" w:eastAsia="Calibri" w:cs="Calibri"/>
    </w:rPr>
  </w:style>
</w:styles>
</file>

<file path=word/_rels/document.xml.rels><?xml version="1.0" encoding="UTF-8" standalone="yes"?>
<Relationships xmlns="http://schemas.openxmlformats.org/package/2006/relationships"><Relationship Id="rId1" Type="http://schemas.openxmlformats.org/officeDocument/2006/relationships/styles" Target="styles.xml"/><Relationship Id="rId2" Type="http://schemas.openxmlformats.org/officeDocument/2006/relationships/fontTable" Target="fontTable.xml"/><Relationship Id="rId3" Type="http://schemas.openxmlformats.org/officeDocument/2006/relationships/theme" Target="theme/theme1.xml"/><Relationship Id="rId4" Type="http://schemas.openxmlformats.org/officeDocument/2006/relationships/settings" Target="settings.xml"/><Relationship Id="rId5" Type="http://schemas.openxmlformats.org/officeDocument/2006/relationships/image" Target="media/image1.png"/><Relationship Id="rId6" Type="http://schemas.openxmlformats.org/officeDocument/2006/relationships/image" Target="media/image2.png"/><Relationship Id="rId7" Type="http://schemas.openxmlformats.org/officeDocument/2006/relationships/image" Target="media/image3.png"/><Relationship Id="rId8" Type="http://schemas.openxmlformats.org/officeDocument/2006/relationships/image" Target="media/image4.png"/><Relationship Id="rId9" Type="http://schemas.openxmlformats.org/officeDocument/2006/relationships/image" Target="media/image5.png"/><Relationship Id="rId10" Type="http://schemas.openxmlformats.org/officeDocument/2006/relationships/image" Target="media/image6.png"/><Relationship Id="rId11" Type="http://schemas.openxmlformats.org/officeDocument/2006/relationships/image" Target="media/image7.png"/><Relationship Id="rId12" Type="http://schemas.openxmlformats.org/officeDocument/2006/relationships/image" Target="media/image8.png"/><Relationship Id="rId13" Type="http://schemas.openxmlformats.org/officeDocument/2006/relationships/image" Target="media/image9.png"/><Relationship Id="rId14" Type="http://schemas.openxmlformats.org/officeDocument/2006/relationships/image" Target="media/image10.png"/><Relationship Id="rId15" Type="http://schemas.openxmlformats.org/officeDocument/2006/relationships/image" Target="media/image11.png"/><Relationship Id="rId16" Type="http://schemas.openxmlformats.org/officeDocument/2006/relationships/image" Target="media/image12.png"/><Relationship Id="rId17" Type="http://schemas.openxmlformats.org/officeDocument/2006/relationships/image" Target="media/image13.png"/><Relationship Id="rId18" Type="http://schemas.openxmlformats.org/officeDocument/2006/relationships/image" Target="media/image14.png"/><Relationship Id="rId19" Type="http://schemas.openxmlformats.org/officeDocument/2006/relationships/image" Target="media/image15.png"/><Relationship Id="rId20" Type="http://schemas.openxmlformats.org/officeDocument/2006/relationships/image" Target="media/image16.png"/><Relationship Id="rId21" Type="http://schemas.openxmlformats.org/officeDocument/2006/relationships/image" Target="media/image17.png"/><Relationship Id="rId22" Type="http://schemas.openxmlformats.org/officeDocument/2006/relationships/image" Target="media/image18.png"/><Relationship Id="rId23" Type="http://schemas.openxmlformats.org/officeDocument/2006/relationships/image" Target="media/image19.png"/><Relationship Id="rId24" Type="http://schemas.openxmlformats.org/officeDocument/2006/relationships/image" Target="media/image20.png"/><Relationship Id="rId25" Type="http://schemas.openxmlformats.org/officeDocument/2006/relationships/hyperlink" Target="mailto:graphics@urc.org.uk" TargetMode="External"/><Relationship Id="rId26" Type="http://schemas.openxmlformats.org/officeDocument/2006/relationships/image" Target="media/image21.png"/><Relationship Id="rId27" Type="http://schemas.openxmlformats.org/officeDocument/2006/relationships/header" Target="header1.xml"/><Relationship Id="rId28" Type="http://schemas.openxmlformats.org/officeDocument/2006/relationships/header" Target="header2.xml"/><Relationship Id="rId29" Type="http://schemas.openxmlformats.org/officeDocument/2006/relationships/image" Target="media/image22.png"/><Relationship Id="rId30" Type="http://schemas.openxmlformats.org/officeDocument/2006/relationships/image" Target="media/image23.jpeg"/><Relationship Id="rId31" Type="http://schemas.openxmlformats.org/officeDocument/2006/relationships/image" Target="media/image24.jpeg"/><Relationship Id="rId32" Type="http://schemas.openxmlformats.org/officeDocument/2006/relationships/image" Target="media/image25.png"/><Relationship Id="rId33" Type="http://schemas.openxmlformats.org/officeDocument/2006/relationships/image" Target="media/image26.jpeg"/><Relationship Id="rId34" Type="http://schemas.openxmlformats.org/officeDocument/2006/relationships/image" Target="media/image27.png"/><Relationship Id="rId35" Type="http://schemas.openxmlformats.org/officeDocument/2006/relationships/image" Target="media/image28.png"/><Relationship Id="rId36" Type="http://schemas.openxmlformats.org/officeDocument/2006/relationships/image" Target="media/image29.png"/><Relationship Id="rId37" Type="http://schemas.openxmlformats.org/officeDocument/2006/relationships/image" Target="media/image30.png"/><Relationship Id="rId38" Type="http://schemas.openxmlformats.org/officeDocument/2006/relationships/image" Target="media/image31.png"/><Relationship Id="rId39" Type="http://schemas.openxmlformats.org/officeDocument/2006/relationships/image" Target="media/image32.png"/><Relationship Id="rId40" Type="http://schemas.openxmlformats.org/officeDocument/2006/relationships/image" Target="media/image33.png"/><Relationship Id="rId41" Type="http://schemas.openxmlformats.org/officeDocument/2006/relationships/image" Target="media/image34.png"/><Relationship Id="rId42" Type="http://schemas.openxmlformats.org/officeDocument/2006/relationships/image" Target="media/image35.png"/><Relationship Id="rId43" Type="http://schemas.openxmlformats.org/officeDocument/2006/relationships/image" Target="media/image36.png"/><Relationship Id="rId44" Type="http://schemas.openxmlformats.org/officeDocument/2006/relationships/image" Target="media/image37.png"/><Relationship Id="rId45" Type="http://schemas.openxmlformats.org/officeDocument/2006/relationships/image" Target="media/image38.png"/><Relationship Id="rId46" Type="http://schemas.openxmlformats.org/officeDocument/2006/relationships/image" Target="media/image39.png"/><Relationship Id="rId47" Type="http://schemas.openxmlformats.org/officeDocument/2006/relationships/header" Target="header3.xml"/><Relationship Id="rId48" Type="http://schemas.openxmlformats.org/officeDocument/2006/relationships/image" Target="media/image40.png"/><Relationship Id="rId49" Type="http://schemas.openxmlformats.org/officeDocument/2006/relationships/image" Target="media/image41.png"/><Relationship Id="rId50" Type="http://schemas.openxmlformats.org/officeDocument/2006/relationships/image" Target="media/image42.png"/><Relationship Id="rId51" Type="http://schemas.openxmlformats.org/officeDocument/2006/relationships/image" Target="media/image43.png"/><Relationship Id="rId52" Type="http://schemas.openxmlformats.org/officeDocument/2006/relationships/image" Target="media/image44.png"/><Relationship Id="rId53" Type="http://schemas.openxmlformats.org/officeDocument/2006/relationships/image" Target="media/image45.png"/><Relationship Id="rId54" Type="http://schemas.openxmlformats.org/officeDocument/2006/relationships/image" Target="media/image46.png"/><Relationship Id="rId55" Type="http://schemas.openxmlformats.org/officeDocument/2006/relationships/image" Target="media/image47.png"/><Relationship Id="rId56" Type="http://schemas.openxmlformats.org/officeDocument/2006/relationships/image" Target="media/image48.png"/><Relationship Id="rId57" Type="http://schemas.openxmlformats.org/officeDocument/2006/relationships/image" Target="media/image49.png"/><Relationship Id="rId58" Type="http://schemas.openxmlformats.org/officeDocument/2006/relationships/image" Target="media/image50.png"/><Relationship Id="rId59" Type="http://schemas.openxmlformats.org/officeDocument/2006/relationships/header" Target="header4.xml"/><Relationship Id="rId60" Type="http://schemas.openxmlformats.org/officeDocument/2006/relationships/hyperlink" Target="mailto:john.proctor@urc.org.uk" TargetMode="External"/><Relationship Id="rId61" Type="http://schemas.openxmlformats.org/officeDocument/2006/relationships/header" Target="header5.xml"/><Relationship Id="rId62" Type="http://schemas.openxmlformats.org/officeDocument/2006/relationships/footer" Target="footer1.xml"/><Relationship Id="rId63" Type="http://schemas.openxmlformats.org/officeDocument/2006/relationships/footer" Target="footer2.xml"/><Relationship Id="rId64" Type="http://schemas.openxmlformats.org/officeDocument/2006/relationships/image" Target="media/image51.png"/><Relationship Id="rId65" Type="http://schemas.openxmlformats.org/officeDocument/2006/relationships/header" Target="header6.xml"/><Relationship Id="rId66" Type="http://schemas.openxmlformats.org/officeDocument/2006/relationships/image" Target="media/image52.png"/><Relationship Id="rId67" Type="http://schemas.openxmlformats.org/officeDocument/2006/relationships/header" Target="header7.xml"/><Relationship Id="rId68" Type="http://schemas.openxmlformats.org/officeDocument/2006/relationships/footer" Target="footer3.xml"/><Relationship Id="rId69" Type="http://schemas.openxmlformats.org/officeDocument/2006/relationships/footer" Target="footer4.xml"/><Relationship Id="rId70" Type="http://schemas.openxmlformats.org/officeDocument/2006/relationships/hyperlink" Target="http://www.urc.org.uk/images/the_manual/C-Rules-of-Procedure-March-2016-A4.pdf" TargetMode="External"/><Relationship Id="rId71" Type="http://schemas.openxmlformats.org/officeDocument/2006/relationships/header" Target="header8.xml"/><Relationship Id="rId72" Type="http://schemas.openxmlformats.org/officeDocument/2006/relationships/hyperlink" Target="http://www.urc.org.uk/images/the_manual/O-Disciplinary-Process-June-2015.pdf" TargetMode="External"/><Relationship Id="rId73" Type="http://schemas.openxmlformats.org/officeDocument/2006/relationships/hyperlink" Target="http://www.urc.org.uk/images/MissionCouncil/May-2015/T1_-_Shared_Synod_Panels.pdf" TargetMode="External"/><Relationship Id="rId74" Type="http://schemas.openxmlformats.org/officeDocument/2006/relationships/hyperlink" Target="http://www.urc.org.uk/images/the_manual/Incapacity_Procedure_from_March_2016.pdf" TargetMode="External"/><Relationship Id="rId75" Type="http://schemas.openxmlformats.org/officeDocument/2006/relationships/hyperlink" Target="http://www.urc.org.uk/images/MissionCouncil/March2016/T1-MIND-Report-March-2016.pdf" TargetMode="External"/><Relationship Id="rId76" Type="http://schemas.openxmlformats.org/officeDocument/2006/relationships/header" Target="header9.xml"/><Relationship Id="rId77" Type="http://schemas.openxmlformats.org/officeDocument/2006/relationships/footer" Target="footer5.xml"/><Relationship Id="rId78" Type="http://schemas.openxmlformats.org/officeDocument/2006/relationships/hyperlink" Target="http://www.urc.org.uk/about-mission-council/65-general/mission-council/1528-november-2014.html" TargetMode="External"/><Relationship Id="rId79" Type="http://schemas.openxmlformats.org/officeDocument/2006/relationships/header" Target="header10.xml"/><Relationship Id="rId80" Type="http://schemas.openxmlformats.org/officeDocument/2006/relationships/footer" Target="footer6.xml"/><Relationship Id="rId81" Type="http://schemas.openxmlformats.org/officeDocument/2006/relationships/hyperlink" Target="mailto:francis.brienen@ur.org.uk" TargetMode="External"/><Relationship Id="rId82" Type="http://schemas.openxmlformats.org/officeDocument/2006/relationships/hyperlink" Target="mailto:richard.church@urc.org.uk" TargetMode="External"/><Relationship Id="rId83" Type="http://schemas.openxmlformats.org/officeDocument/2006/relationships/header" Target="header11.xml"/><Relationship Id="rId84" Type="http://schemas.openxmlformats.org/officeDocument/2006/relationships/footer" Target="footer7.xml"/><Relationship Id="rId85" Type="http://schemas.openxmlformats.org/officeDocument/2006/relationships/header" Target="header12.xml"/><Relationship Id="rId86" Type="http://schemas.openxmlformats.org/officeDocument/2006/relationships/footer" Target="footer8.xml"/><Relationship Id="rId87" Type="http://schemas.openxmlformats.org/officeDocument/2006/relationships/header" Target="header13.xml"/><Relationship Id="rId88" Type="http://schemas.openxmlformats.org/officeDocument/2006/relationships/footer" Target="footer9.xml"/><Relationship Id="rId89" Type="http://schemas.openxmlformats.org/officeDocument/2006/relationships/header" Target="header14.xml"/><Relationship Id="rId90" Type="http://schemas.openxmlformats.org/officeDocument/2006/relationships/footer" Target="footer10.xml"/><Relationship Id="rId91" Type="http://schemas.openxmlformats.org/officeDocument/2006/relationships/hyperlink" Target="mailto:cassi.wright@urc.org.uk" TargetMode="External"/><Relationship Id="rId92" Type="http://schemas.openxmlformats.org/officeDocument/2006/relationships/header" Target="header15.xml"/><Relationship Id="rId93" Type="http://schemas.openxmlformats.org/officeDocument/2006/relationships/footer" Target="footer11.xml"/><Relationship Id="rId94" Type="http://schemas.openxmlformats.org/officeDocument/2006/relationships/footer" Target="footer12.xml"/><Relationship Id="rId95" Type="http://schemas.openxmlformats.org/officeDocument/2006/relationships/hyperlink" Target="http://www.urc.org.uk/images/MissionCouncil/March2016/R1-Safeguarding-past-cases-review-March-2016.pdf" TargetMode="External"/><Relationship Id="rId96" Type="http://schemas.openxmlformats.org/officeDocument/2006/relationships/hyperlink" Target="http://www.urc.org.uk/images/MissionCouncil/March2016/R2-Safeguarding-MC-March-2016.pdf" TargetMode="External"/><Relationship Id="rId97" Type="http://schemas.openxmlformats.org/officeDocument/2006/relationships/header" Target="header16.xml"/><Relationship Id="rId98" Type="http://schemas.openxmlformats.org/officeDocument/2006/relationships/header" Target="header17.xml"/><Relationship Id="rId99" Type="http://schemas.openxmlformats.org/officeDocument/2006/relationships/footer" Target="footer13.xml"/><Relationship Id="rId100" Type="http://schemas.openxmlformats.org/officeDocument/2006/relationships/image" Target="media/image53.png"/><Relationship Id="rId101" Type="http://schemas.openxmlformats.org/officeDocument/2006/relationships/header" Target="header18.xml"/><Relationship Id="rId102" Type="http://schemas.openxmlformats.org/officeDocument/2006/relationships/footer" Target="footer14.xml"/><Relationship Id="rId103" Type="http://schemas.openxmlformats.org/officeDocument/2006/relationships/header" Target="header19.xml"/><Relationship Id="rId104" Type="http://schemas.openxmlformats.org/officeDocument/2006/relationships/footer" Target="footer15.xml"/><Relationship Id="rId105" Type="http://schemas.openxmlformats.org/officeDocument/2006/relationships/hyperlink" Target="mailto:dmt3@cam.ac.uk" TargetMode="External"/><Relationship Id="rId106" Type="http://schemas.openxmlformats.org/officeDocument/2006/relationships/hyperlink" Target="mailto:augur@dunelm.org.uk" TargetMode="External"/><Relationship Id="rId107" Type="http://schemas.openxmlformats.org/officeDocument/2006/relationships/header" Target="header20.xml"/><Relationship Id="rId108" Type="http://schemas.openxmlformats.org/officeDocument/2006/relationships/footer" Target="footer16.xml"/><Relationship Id="rId109" Type="http://schemas.openxmlformats.org/officeDocument/2006/relationships/footer" Target="footer17.xml"/><Relationship Id="rId110" Type="http://schemas.openxmlformats.org/officeDocument/2006/relationships/header" Target="header21.xml"/><Relationship Id="rId111" Type="http://schemas.openxmlformats.org/officeDocument/2006/relationships/header" Target="header22.xml"/><Relationship Id="rId112" Type="http://schemas.openxmlformats.org/officeDocument/2006/relationships/footer" Target="footer18.xml"/><Relationship Id="rId113" Type="http://schemas.openxmlformats.org/officeDocument/2006/relationships/footer" Target="footer19.xml"/><Relationship Id="rId114" Type="http://schemas.openxmlformats.org/officeDocument/2006/relationships/header" Target="header23.xml"/><Relationship Id="rId115" Type="http://schemas.openxmlformats.org/officeDocument/2006/relationships/hyperlink" Target="http://urc.org.uk/images/General-Assemblies/Assembly-2015/GA-papers-JUNE-2015.pdf" TargetMode="External"/><Relationship Id="rId116" Type="http://schemas.openxmlformats.org/officeDocument/2006/relationships/header" Target="header24.xml"/><Relationship Id="rId117" Type="http://schemas.openxmlformats.org/officeDocument/2006/relationships/footer" Target="footer20.xml"/><Relationship Id="rId118" Type="http://schemas.openxmlformats.org/officeDocument/2006/relationships/header" Target="header25.xml"/><Relationship Id="rId119" Type="http://schemas.openxmlformats.org/officeDocument/2006/relationships/footer" Target="footer21.xml"/><Relationship Id="rId120" Type="http://schemas.openxmlformats.org/officeDocument/2006/relationships/header" Target="header26.xml"/><Relationship Id="rId121" Type="http://schemas.openxmlformats.org/officeDocument/2006/relationships/footer" Target="footer22.xml"/><Relationship Id="rId122" Type="http://schemas.openxmlformats.org/officeDocument/2006/relationships/header" Target="header27.xml"/><Relationship Id="rId123" Type="http://schemas.openxmlformats.org/officeDocument/2006/relationships/footer" Target="footer23.xml"/><Relationship Id="rId124" Type="http://schemas.openxmlformats.org/officeDocument/2006/relationships/header" Target="header28.xml"/><Relationship Id="rId125" Type="http://schemas.openxmlformats.org/officeDocument/2006/relationships/footer" Target="footer24.xml"/><Relationship Id="rId126" Type="http://schemas.openxmlformats.org/officeDocument/2006/relationships/header" Target="header29.xml"/><Relationship Id="rId127" Type="http://schemas.openxmlformats.org/officeDocument/2006/relationships/footer" Target="footer25.xml"/><Relationship Id="rId128" Type="http://schemas.openxmlformats.org/officeDocument/2006/relationships/header" Target="header30.xml"/><Relationship Id="rId129" Type="http://schemas.openxmlformats.org/officeDocument/2006/relationships/footer" Target="footer26.xml"/><Relationship Id="rId130" Type="http://schemas.openxmlformats.org/officeDocument/2006/relationships/header" Target="header31.xml"/><Relationship Id="rId131" Type="http://schemas.openxmlformats.org/officeDocument/2006/relationships/footer" Target="footer27.xml"/><Relationship Id="rId132" Type="http://schemas.openxmlformats.org/officeDocument/2006/relationships/header" Target="header32.xml"/><Relationship Id="rId133" Type="http://schemas.openxmlformats.org/officeDocument/2006/relationships/footer" Target="footer28.xml"/><Relationship Id="rId134" Type="http://schemas.openxmlformats.org/officeDocument/2006/relationships/header" Target="header33.xml"/><Relationship Id="rId135" Type="http://schemas.openxmlformats.org/officeDocument/2006/relationships/footer" Target="footer29.xml"/><Relationship Id="rId136" Type="http://schemas.openxmlformats.org/officeDocument/2006/relationships/header" Target="header34.xml"/><Relationship Id="rId137" Type="http://schemas.openxmlformats.org/officeDocument/2006/relationships/footer" Target="footer30.xml"/><Relationship Id="rId138" Type="http://schemas.openxmlformats.org/officeDocument/2006/relationships/hyperlink" Target="mailto:michael.jagessar@urc.org.uk" TargetMode="External"/><Relationship Id="rId139" Type="http://schemas.openxmlformats.org/officeDocument/2006/relationships/hyperlink" Target="mailto:tracey.a.lewis@btinternet.com" TargetMode="External"/><Relationship Id="rId140" Type="http://schemas.openxmlformats.org/officeDocument/2006/relationships/header" Target="header35.xml"/><Relationship Id="rId141" Type="http://schemas.openxmlformats.org/officeDocument/2006/relationships/footer" Target="footer31.xml"/><Relationship Id="rId142" Type="http://schemas.openxmlformats.org/officeDocument/2006/relationships/footer" Target="footer32.xml"/><Relationship Id="rId143" Type="http://schemas.openxmlformats.org/officeDocument/2006/relationships/header" Target="header36.xml"/><Relationship Id="rId144" Type="http://schemas.openxmlformats.org/officeDocument/2006/relationships/header" Target="header37.xml"/><Relationship Id="rId145" Type="http://schemas.openxmlformats.org/officeDocument/2006/relationships/footer" Target="footer33.xml"/><Relationship Id="rId146" Type="http://schemas.openxmlformats.org/officeDocument/2006/relationships/hyperlink" Target="mailto:s.hallam-jones@urc.org.uk" TargetMode="External"/><Relationship Id="rId147" Type="http://schemas.openxmlformats.org/officeDocument/2006/relationships/header" Target="header38.xml"/><Relationship Id="rId148" Type="http://schemas.openxmlformats.org/officeDocument/2006/relationships/footer" Target="footer34.xml"/><Relationship Id="rId149" Type="http://schemas.openxmlformats.org/officeDocument/2006/relationships/footer" Target="footer35.xml"/><Relationship Id="rId150" Type="http://schemas.openxmlformats.org/officeDocument/2006/relationships/header" Target="header39.xml"/><Relationship Id="rId151" Type="http://schemas.openxmlformats.org/officeDocument/2006/relationships/header" Target="header40.xml"/><Relationship Id="rId152" Type="http://schemas.openxmlformats.org/officeDocument/2006/relationships/footer" Target="footer36.xml"/><Relationship Id="rId153" Type="http://schemas.openxmlformats.org/officeDocument/2006/relationships/footer" Target="footer37.xml"/><Relationship Id="rId154" Type="http://schemas.openxmlformats.org/officeDocument/2006/relationships/header" Target="header41.xml"/><Relationship Id="rId155" Type="http://schemas.openxmlformats.org/officeDocument/2006/relationships/header" Target="header42.xml"/><Relationship Id="rId156" Type="http://schemas.openxmlformats.org/officeDocument/2006/relationships/footer" Target="footer38.xml"/><Relationship Id="rId157" Type="http://schemas.openxmlformats.org/officeDocument/2006/relationships/footer" Target="footer39.xml"/><Relationship Id="rId158" Type="http://schemas.openxmlformats.org/officeDocument/2006/relationships/header" Target="header43.xml"/><Relationship Id="rId159" Type="http://schemas.openxmlformats.org/officeDocument/2006/relationships/header" Target="header44.xml"/><Relationship Id="rId160" Type="http://schemas.openxmlformats.org/officeDocument/2006/relationships/footer" Target="footer40.xml"/><Relationship Id="rId161" Type="http://schemas.openxmlformats.org/officeDocument/2006/relationships/footer" Target="footer41.xml"/><Relationship Id="rId162" Type="http://schemas.openxmlformats.org/officeDocument/2006/relationships/header" Target="header45.xml"/><Relationship Id="rId163" Type="http://schemas.openxmlformats.org/officeDocument/2006/relationships/header" Target="header46.xml"/><Relationship Id="rId164" Type="http://schemas.openxmlformats.org/officeDocument/2006/relationships/footer" Target="footer42.xml"/><Relationship Id="rId165" Type="http://schemas.openxmlformats.org/officeDocument/2006/relationships/footer" Target="footer43.xml"/><Relationship Id="rId166" Type="http://schemas.openxmlformats.org/officeDocument/2006/relationships/header" Target="header47.xml"/><Relationship Id="rId167" Type="http://schemas.openxmlformats.org/officeDocument/2006/relationships/header" Target="header48.xml"/><Relationship Id="rId168" Type="http://schemas.openxmlformats.org/officeDocument/2006/relationships/footer" Target="footer44.xml"/><Relationship Id="rId169" Type="http://schemas.openxmlformats.org/officeDocument/2006/relationships/image" Target="media/image54.png"/><Relationship Id="rId170" Type="http://schemas.openxmlformats.org/officeDocument/2006/relationships/image" Target="media/image55.png"/><Relationship Id="rId171" Type="http://schemas.openxmlformats.org/officeDocument/2006/relationships/image" Target="media/image56.png"/><Relationship Id="rId172" Type="http://schemas.openxmlformats.org/officeDocument/2006/relationships/image" Target="media/image57.png"/><Relationship Id="rId173" Type="http://schemas.openxmlformats.org/officeDocument/2006/relationships/image" Target="media/image58.png"/><Relationship Id="rId174" Type="http://schemas.openxmlformats.org/officeDocument/2006/relationships/image" Target="media/image59.png"/><Relationship Id="rId175" Type="http://schemas.openxmlformats.org/officeDocument/2006/relationships/image" Target="media/image60.png"/><Relationship Id="rId176" Type="http://schemas.openxmlformats.org/officeDocument/2006/relationships/image" Target="media/image61.png"/><Relationship Id="rId177" Type="http://schemas.openxmlformats.org/officeDocument/2006/relationships/image" Target="media/image62.png"/><Relationship Id="rId178" Type="http://schemas.openxmlformats.org/officeDocument/2006/relationships/image" Target="media/image63.png"/><Relationship Id="rId179" Type="http://schemas.openxmlformats.org/officeDocument/2006/relationships/image" Target="media/image64.png"/><Relationship Id="rId180" Type="http://schemas.openxmlformats.org/officeDocument/2006/relationships/image" Target="media/image65.png"/><Relationship Id="rId181" Type="http://schemas.openxmlformats.org/officeDocument/2006/relationships/image" Target="media/image66.png"/><Relationship Id="rId182" Type="http://schemas.openxmlformats.org/officeDocument/2006/relationships/header" Target="header49.xml"/><Relationship Id="rId183" Type="http://schemas.openxmlformats.org/officeDocument/2006/relationships/footer" Target="footer45.xml"/><Relationship Id="rId184" Type="http://schemas.openxmlformats.org/officeDocument/2006/relationships/image" Target="media/image67.png"/><Relationship Id="rId185" Type="http://schemas.openxmlformats.org/officeDocument/2006/relationships/hyperlink" Target="mailto:member@newcastleurc.freeserve.co.uk" TargetMode="External"/><Relationship Id="rId186" Type="http://schemas.openxmlformats.org/officeDocument/2006/relationships/header" Target="header50.xml"/><Relationship Id="rId187" Type="http://schemas.openxmlformats.org/officeDocument/2006/relationships/footer" Target="footer46.xml"/><Relationship Id="rId188" Type="http://schemas.openxmlformats.org/officeDocument/2006/relationships/header" Target="header51.xml"/><Relationship Id="rId189" Type="http://schemas.openxmlformats.org/officeDocument/2006/relationships/footer" Target="footer47.xml"/><Relationship Id="rId190" Type="http://schemas.openxmlformats.org/officeDocument/2006/relationships/header" Target="header52.xml"/><Relationship Id="rId191" Type="http://schemas.openxmlformats.org/officeDocument/2006/relationships/footer" Target="footer48.xml"/><Relationship Id="rId192" Type="http://schemas.openxmlformats.org/officeDocument/2006/relationships/header" Target="header53.xml"/><Relationship Id="rId193" Type="http://schemas.openxmlformats.org/officeDocument/2006/relationships/footer" Target="footer49.xml"/><Relationship Id="rId194" Type="http://schemas.openxmlformats.org/officeDocument/2006/relationships/hyperlink" Target="mailto:children.youth@urc.org.uk" TargetMode="External"/><Relationship Id="rId195" Type="http://schemas.openxmlformats.org/officeDocument/2006/relationships/header" Target="header54.xml"/><Relationship Id="rId196" Type="http://schemas.openxmlformats.org/officeDocument/2006/relationships/footer" Target="footer50.xml"/><Relationship Id="rId197" Type="http://schemas.openxmlformats.org/officeDocument/2006/relationships/footer" Target="footer51.xml"/><Relationship Id="rId198" Type="http://schemas.openxmlformats.org/officeDocument/2006/relationships/header" Target="header55.xml"/><Relationship Id="rId199" Type="http://schemas.openxmlformats.org/officeDocument/2006/relationships/header" Target="header56.xml"/><Relationship Id="rId200" Type="http://schemas.openxmlformats.org/officeDocument/2006/relationships/footer" Target="footer52.xml"/><Relationship Id="rId201" Type="http://schemas.openxmlformats.org/officeDocument/2006/relationships/footer" Target="footer53.xml"/><Relationship Id="rId202" Type="http://schemas.openxmlformats.org/officeDocument/2006/relationships/header" Target="header57.xml"/><Relationship Id="rId203" Type="http://schemas.openxmlformats.org/officeDocument/2006/relationships/header" Target="header58.xml"/><Relationship Id="rId204" Type="http://schemas.openxmlformats.org/officeDocument/2006/relationships/footer" Target="footer54.xml"/><Relationship Id="rId205" Type="http://schemas.openxmlformats.org/officeDocument/2006/relationships/hyperlink" Target="http://www.cwmeurope.org/images/What/MissionwithChildrenReportFinal.pdf" TargetMode="External"/><Relationship Id="rId206" Type="http://schemas.openxmlformats.org/officeDocument/2006/relationships/header" Target="header59.xml"/><Relationship Id="rId207" Type="http://schemas.openxmlformats.org/officeDocument/2006/relationships/footer" Target="footer55.xml"/><Relationship Id="rId208" Type="http://schemas.openxmlformats.org/officeDocument/2006/relationships/hyperlink" Target="mailto:peterwknowles@gmail.com" TargetMode="External"/><Relationship Id="rId209" Type="http://schemas.openxmlformats.org/officeDocument/2006/relationships/header" Target="header60.xml"/><Relationship Id="rId210" Type="http://schemas.openxmlformats.org/officeDocument/2006/relationships/footer" Target="footer56.xml"/><Relationship Id="rId211" Type="http://schemas.openxmlformats.org/officeDocument/2006/relationships/footer" Target="footer57.xml"/><Relationship Id="rId212" Type="http://schemas.openxmlformats.org/officeDocument/2006/relationships/header" Target="header61.xml"/><Relationship Id="rId213" Type="http://schemas.openxmlformats.org/officeDocument/2006/relationships/hyperlink" Target="http://bit.ly/1S4vZHe" TargetMode="External"/><Relationship Id="rId214" Type="http://schemas.openxmlformats.org/officeDocument/2006/relationships/header" Target="header62.xml"/><Relationship Id="rId215" Type="http://schemas.openxmlformats.org/officeDocument/2006/relationships/footer" Target="footer58.xml"/><Relationship Id="rId216" Type="http://schemas.openxmlformats.org/officeDocument/2006/relationships/footer" Target="footer59.xml"/><Relationship Id="rId217" Type="http://schemas.openxmlformats.org/officeDocument/2006/relationships/hyperlink" Target="mailto:rebecca.wincen@gmail.com" TargetMode="External"/><Relationship Id="rId218" Type="http://schemas.openxmlformats.org/officeDocument/2006/relationships/header" Target="header63.xml"/><Relationship Id="rId219" Type="http://schemas.openxmlformats.org/officeDocument/2006/relationships/header" Target="header64.xml"/><Relationship Id="rId220" Type="http://schemas.openxmlformats.org/officeDocument/2006/relationships/footer" Target="footer60.xml"/><Relationship Id="rId221" Type="http://schemas.openxmlformats.org/officeDocument/2006/relationships/header" Target="header65.xml"/><Relationship Id="rId222" Type="http://schemas.openxmlformats.org/officeDocument/2006/relationships/footer" Target="footer61.xml"/><Relationship Id="rId223" Type="http://schemas.openxmlformats.org/officeDocument/2006/relationships/hyperlink" Target="mailto:Neil.Messer@winchester.ac.uk" TargetMode="External"/><Relationship Id="rId224" Type="http://schemas.openxmlformats.org/officeDocument/2006/relationships/hyperlink" Target="mailto:fiona.thomas@urc.org.uk" TargetMode="External"/><Relationship Id="rId225" Type="http://schemas.openxmlformats.org/officeDocument/2006/relationships/header" Target="header66.xml"/><Relationship Id="rId226" Type="http://schemas.openxmlformats.org/officeDocument/2006/relationships/footer" Target="footer62.xml"/><Relationship Id="rId227" Type="http://schemas.openxmlformats.org/officeDocument/2006/relationships/footer" Target="footer63.xml"/><Relationship Id="rId228" Type="http://schemas.openxmlformats.org/officeDocument/2006/relationships/header" Target="header67.xml"/><Relationship Id="rId229" Type="http://schemas.openxmlformats.org/officeDocument/2006/relationships/header" Target="header68.xml"/><Relationship Id="rId230" Type="http://schemas.openxmlformats.org/officeDocument/2006/relationships/footer" Target="footer64.xml"/><Relationship Id="rId231" Type="http://schemas.openxmlformats.org/officeDocument/2006/relationships/footer" Target="footer65.xml"/><Relationship Id="rId232" Type="http://schemas.openxmlformats.org/officeDocument/2006/relationships/header" Target="header69.xml"/><Relationship Id="rId233" Type="http://schemas.openxmlformats.org/officeDocument/2006/relationships/header" Target="header70.xml"/><Relationship Id="rId234" Type="http://schemas.openxmlformats.org/officeDocument/2006/relationships/footer" Target="footer66.xml"/><Relationship Id="rId235" Type="http://schemas.openxmlformats.org/officeDocument/2006/relationships/footer" Target="footer67.xml"/><Relationship Id="rId236" Type="http://schemas.openxmlformats.org/officeDocument/2006/relationships/header" Target="header71.xml"/><Relationship Id="rId237" Type="http://schemas.openxmlformats.org/officeDocument/2006/relationships/header" Target="header72.xml"/><Relationship Id="rId238" Type="http://schemas.openxmlformats.org/officeDocument/2006/relationships/footer" Target="footer68.xml"/><Relationship Id="rId239" Type="http://schemas.openxmlformats.org/officeDocument/2006/relationships/footer" Target="footer69.xml"/><Relationship Id="rId240" Type="http://schemas.openxmlformats.org/officeDocument/2006/relationships/header" Target="header73.xml"/><Relationship Id="rId241" Type="http://schemas.openxmlformats.org/officeDocument/2006/relationships/header" Target="header74.xml"/><Relationship Id="rId242" Type="http://schemas.openxmlformats.org/officeDocument/2006/relationships/footer" Target="footer70.xml"/><Relationship Id="rId243" Type="http://schemas.openxmlformats.org/officeDocument/2006/relationships/footer" Target="footer71.xml"/><Relationship Id="rId244" Type="http://schemas.openxmlformats.org/officeDocument/2006/relationships/header" Target="header75.xml"/><Relationship Id="rId245" Type="http://schemas.openxmlformats.org/officeDocument/2006/relationships/hyperlink" Target="http://windermere.urc.org.uk/windermere-online/" TargetMode="External"/><Relationship Id="rId246" Type="http://schemas.openxmlformats.org/officeDocument/2006/relationships/header" Target="header76.xml"/><Relationship Id="rId247" Type="http://schemas.openxmlformats.org/officeDocument/2006/relationships/footer" Target="footer72.xml"/><Relationship Id="rId248" Type="http://schemas.openxmlformats.org/officeDocument/2006/relationships/header" Target="header77.xml"/><Relationship Id="rId249" Type="http://schemas.openxmlformats.org/officeDocument/2006/relationships/footer" Target="footer73.xml"/><Relationship Id="rId250" Type="http://schemas.openxmlformats.org/officeDocument/2006/relationships/header" Target="header78.xml"/><Relationship Id="rId251" Type="http://schemas.openxmlformats.org/officeDocument/2006/relationships/footer" Target="footer74.xml"/><Relationship Id="rId252" Type="http://schemas.openxmlformats.org/officeDocument/2006/relationships/header" Target="header79.xml"/><Relationship Id="rId253" Type="http://schemas.openxmlformats.org/officeDocument/2006/relationships/footer" Target="footer75.xml"/><Relationship Id="rId254" Type="http://schemas.openxmlformats.org/officeDocument/2006/relationships/image" Target="media/image68.png"/><Relationship Id="rId255" Type="http://schemas.openxmlformats.org/officeDocument/2006/relationships/header" Target="header80.xml"/><Relationship Id="rId256" Type="http://schemas.openxmlformats.org/officeDocument/2006/relationships/footer" Target="footer76.xml"/><Relationship Id="rId257" Type="http://schemas.openxmlformats.org/officeDocument/2006/relationships/image" Target="media/image69.png"/><Relationship Id="rId258" Type="http://schemas.openxmlformats.org/officeDocument/2006/relationships/header" Target="header81.xml"/><Relationship Id="rId259" Type="http://schemas.openxmlformats.org/officeDocument/2006/relationships/footer" Target="footer77.xml"/><Relationship Id="rId260" Type="http://schemas.openxmlformats.org/officeDocument/2006/relationships/header" Target="header82.xml"/><Relationship Id="rId261" Type="http://schemas.openxmlformats.org/officeDocument/2006/relationships/footer" Target="footer78.xml"/><Relationship Id="rId262" Type="http://schemas.openxmlformats.org/officeDocument/2006/relationships/hyperlink" Target="mailto:hmmedin@aol.com" TargetMode="External"/><Relationship Id="rId263" Type="http://schemas.openxmlformats.org/officeDocument/2006/relationships/hyperlink" Target="http://www.urc.org.uk/equal-opportunities.html" TargetMode="External"/><Relationship Id="rId264" Type="http://schemas.openxmlformats.org/officeDocument/2006/relationships/header" Target="header83.xml"/><Relationship Id="rId265" Type="http://schemas.openxmlformats.org/officeDocument/2006/relationships/footer" Target="footer79.xml"/><Relationship Id="rId266" Type="http://schemas.openxmlformats.org/officeDocument/2006/relationships/header" Target="header84.xml"/><Relationship Id="rId267" Type="http://schemas.openxmlformats.org/officeDocument/2006/relationships/footer" Target="footer80.xml"/><Relationship Id="rId268" Type="http://schemas.openxmlformats.org/officeDocument/2006/relationships/header" Target="header85.xml"/><Relationship Id="rId269" Type="http://schemas.openxmlformats.org/officeDocument/2006/relationships/footer" Target="footer81.xml"/><Relationship Id="rId270" Type="http://schemas.openxmlformats.org/officeDocument/2006/relationships/hyperlink" Target="mailto:welchea@talk21.com" TargetMode="External"/><Relationship Id="rId271" Type="http://schemas.openxmlformats.org/officeDocument/2006/relationships/header" Target="header86.xml"/><Relationship Id="rId272" Type="http://schemas.openxmlformats.org/officeDocument/2006/relationships/footer" Target="footer82.xml"/><Relationship Id="rId273" Type="http://schemas.openxmlformats.org/officeDocument/2006/relationships/header" Target="header87.xml"/><Relationship Id="rId274" Type="http://schemas.openxmlformats.org/officeDocument/2006/relationships/footer" Target="footer83.xml"/><Relationship Id="rId275" Type="http://schemas.openxmlformats.org/officeDocument/2006/relationships/header" Target="header88.xml"/><Relationship Id="rId276" Type="http://schemas.openxmlformats.org/officeDocument/2006/relationships/footer" Target="footer84.xml"/><Relationship Id="rId277" Type="http://schemas.openxmlformats.org/officeDocument/2006/relationships/header" Target="header89.xml"/><Relationship Id="rId278" Type="http://schemas.openxmlformats.org/officeDocument/2006/relationships/footer" Target="footer85.xml"/><Relationship Id="rId279" Type="http://schemas.openxmlformats.org/officeDocument/2006/relationships/hyperlink" Target="mailto:minister@theroundchapel.org.uk" TargetMode="External"/><Relationship Id="rId280" Type="http://schemas.openxmlformats.org/officeDocument/2006/relationships/header" Target="header90.xml"/><Relationship Id="rId281" Type="http://schemas.openxmlformats.org/officeDocument/2006/relationships/footer" Target="footer86.xml"/><Relationship Id="rId282" Type="http://schemas.openxmlformats.org/officeDocument/2006/relationships/header" Target="header91.xml"/><Relationship Id="rId283" Type="http://schemas.openxmlformats.org/officeDocument/2006/relationships/footer" Target="footer87.xml"/><Relationship Id="rId284" Type="http://schemas.openxmlformats.org/officeDocument/2006/relationships/footer" Target="footer88.xml"/><Relationship Id="rId285" Type="http://schemas.openxmlformats.org/officeDocument/2006/relationships/header" Target="header92.xml"/><Relationship Id="rId286" Type="http://schemas.openxmlformats.org/officeDocument/2006/relationships/header" Target="header93.xml"/><Relationship Id="rId287" Type="http://schemas.openxmlformats.org/officeDocument/2006/relationships/footer" Target="footer89.xml"/><Relationship Id="rId288" Type="http://schemas.openxmlformats.org/officeDocument/2006/relationships/footer" Target="footer90.xml"/><Relationship Id="rId289" Type="http://schemas.openxmlformats.org/officeDocument/2006/relationships/header" Target="header94.xml"/><Relationship Id="rId290" Type="http://schemas.openxmlformats.org/officeDocument/2006/relationships/header" Target="header95.xml"/><Relationship Id="rId291" Type="http://schemas.openxmlformats.org/officeDocument/2006/relationships/footer" Target="footer91.xml"/><Relationship Id="rId292" Type="http://schemas.openxmlformats.org/officeDocument/2006/relationships/footer" Target="footer92.xml"/><Relationship Id="rId293" Type="http://schemas.openxmlformats.org/officeDocument/2006/relationships/header" Target="header96.xml"/><Relationship Id="rId294" Type="http://schemas.openxmlformats.org/officeDocument/2006/relationships/header" Target="header97.xml"/><Relationship Id="rId295" Type="http://schemas.openxmlformats.org/officeDocument/2006/relationships/footer" Target="footer93.xml"/><Relationship Id="rId296" Type="http://schemas.openxmlformats.org/officeDocument/2006/relationships/footer" Target="footer94.xml"/><Relationship Id="rId297" Type="http://schemas.openxmlformats.org/officeDocument/2006/relationships/header" Target="header98.xml"/><Relationship Id="rId298" Type="http://schemas.openxmlformats.org/officeDocument/2006/relationships/header" Target="header99.xml"/><Relationship Id="rId299" Type="http://schemas.openxmlformats.org/officeDocument/2006/relationships/footer" Target="footer95.xml"/><Relationship Id="rId300" Type="http://schemas.openxmlformats.org/officeDocument/2006/relationships/footer" Target="footer96.xml"/><Relationship Id="rId301" Type="http://schemas.openxmlformats.org/officeDocument/2006/relationships/header" Target="header100.xml"/><Relationship Id="rId302" Type="http://schemas.openxmlformats.org/officeDocument/2006/relationships/header" Target="header101.xml"/><Relationship Id="rId303" Type="http://schemas.openxmlformats.org/officeDocument/2006/relationships/footer" Target="footer97.xml"/><Relationship Id="rId304" Type="http://schemas.openxmlformats.org/officeDocument/2006/relationships/footer" Target="footer98.xml"/><Relationship Id="rId305" Type="http://schemas.openxmlformats.org/officeDocument/2006/relationships/header" Target="header102.xml"/><Relationship Id="rId306" Type="http://schemas.openxmlformats.org/officeDocument/2006/relationships/header" Target="header103.xml"/><Relationship Id="rId307" Type="http://schemas.openxmlformats.org/officeDocument/2006/relationships/footer" Target="footer99.xml"/><Relationship Id="rId308" Type="http://schemas.openxmlformats.org/officeDocument/2006/relationships/footer" Target="footer100.xml"/><Relationship Id="rId309" Type="http://schemas.openxmlformats.org/officeDocument/2006/relationships/header" Target="header104.xml"/><Relationship Id="rId310" Type="http://schemas.openxmlformats.org/officeDocument/2006/relationships/header" Target="header105.xml"/><Relationship Id="rId311" Type="http://schemas.openxmlformats.org/officeDocument/2006/relationships/footer" Target="footer101.xml"/><Relationship Id="rId312" Type="http://schemas.openxmlformats.org/officeDocument/2006/relationships/footer" Target="footer102.xml"/><Relationship Id="rId313" Type="http://schemas.openxmlformats.org/officeDocument/2006/relationships/header" Target="header106.xml"/><Relationship Id="rId314" Type="http://schemas.openxmlformats.org/officeDocument/2006/relationships/header" Target="header107.xml"/><Relationship Id="rId315" Type="http://schemas.openxmlformats.org/officeDocument/2006/relationships/footer" Target="footer103.xml"/><Relationship Id="rId316" Type="http://schemas.openxmlformats.org/officeDocument/2006/relationships/hyperlink" Target="mailto:catherine.ball@ntlworld.com" TargetMode="External"/><Relationship Id="rId317" Type="http://schemas.openxmlformats.org/officeDocument/2006/relationships/header" Target="header108.xml"/><Relationship Id="rId318" Type="http://schemas.openxmlformats.org/officeDocument/2006/relationships/footer" Target="footer104.xml"/><Relationship Id="rId319" Type="http://schemas.openxmlformats.org/officeDocument/2006/relationships/footer" Target="footer105.xml"/><Relationship Id="rId320" Type="http://schemas.openxmlformats.org/officeDocument/2006/relationships/header" Target="header109.xml"/><Relationship Id="rId321" Type="http://schemas.openxmlformats.org/officeDocument/2006/relationships/header" Target="header110.xml"/><Relationship Id="rId322" Type="http://schemas.openxmlformats.org/officeDocument/2006/relationships/footer" Target="footer106.xml"/><Relationship Id="rId323" Type="http://schemas.openxmlformats.org/officeDocument/2006/relationships/footer" Target="footer107.xml"/><Relationship Id="rId324" Type="http://schemas.openxmlformats.org/officeDocument/2006/relationships/header" Target="header111.xml"/><Relationship Id="rId325" Type="http://schemas.openxmlformats.org/officeDocument/2006/relationships/header" Target="header112.xml"/><Relationship Id="rId326" Type="http://schemas.openxmlformats.org/officeDocument/2006/relationships/footer" Target="footer108.xml"/><Relationship Id="rId327" Type="http://schemas.openxmlformats.org/officeDocument/2006/relationships/footer" Target="footer109.xml"/><Relationship Id="rId328" Type="http://schemas.openxmlformats.org/officeDocument/2006/relationships/header" Target="header113.xml"/><Relationship Id="rId329" Type="http://schemas.openxmlformats.org/officeDocument/2006/relationships/header" Target="header114.xml"/><Relationship Id="rId330" Type="http://schemas.openxmlformats.org/officeDocument/2006/relationships/footer" Target="footer110.xml"/><Relationship Id="rId331" Type="http://schemas.openxmlformats.org/officeDocument/2006/relationships/footer" Target="footer111.xml"/><Relationship Id="rId332" Type="http://schemas.openxmlformats.org/officeDocument/2006/relationships/header" Target="header115.xml"/><Relationship Id="rId333" Type="http://schemas.openxmlformats.org/officeDocument/2006/relationships/header" Target="header116.xml"/><Relationship Id="rId334" Type="http://schemas.openxmlformats.org/officeDocument/2006/relationships/footer" Target="footer112.xml"/><Relationship Id="rId335" Type="http://schemas.openxmlformats.org/officeDocument/2006/relationships/footer" Target="footer113.xml"/><Relationship Id="rId336" Type="http://schemas.openxmlformats.org/officeDocument/2006/relationships/header" Target="header117.xml"/><Relationship Id="rId337" Type="http://schemas.openxmlformats.org/officeDocument/2006/relationships/header" Target="header118.xml"/><Relationship Id="rId338" Type="http://schemas.openxmlformats.org/officeDocument/2006/relationships/footer" Target="footer114.xml"/><Relationship Id="rId339" Type="http://schemas.openxmlformats.org/officeDocument/2006/relationships/header" Target="header119.xml"/><Relationship Id="rId340" Type="http://schemas.openxmlformats.org/officeDocument/2006/relationships/footer" Target="footer115.xml"/><Relationship Id="rId341" Type="http://schemas.openxmlformats.org/officeDocument/2006/relationships/header" Target="header120.xml"/><Relationship Id="rId342" Type="http://schemas.openxmlformats.org/officeDocument/2006/relationships/footer" Target="footer116.xml"/><Relationship Id="rId343" Type="http://schemas.openxmlformats.org/officeDocument/2006/relationships/footer" Target="footer117.xml"/><Relationship Id="rId344" Type="http://schemas.openxmlformats.org/officeDocument/2006/relationships/header" Target="header121.xml"/><Relationship Id="rId345" Type="http://schemas.openxmlformats.org/officeDocument/2006/relationships/header" Target="header122.xml"/><Relationship Id="rId346" Type="http://schemas.openxmlformats.org/officeDocument/2006/relationships/footer" Target="footer118.xml"/><Relationship Id="rId347" Type="http://schemas.openxmlformats.org/officeDocument/2006/relationships/footer" Target="footer119.xml"/><Relationship Id="rId348" Type="http://schemas.openxmlformats.org/officeDocument/2006/relationships/header" Target="header123.xml"/><Relationship Id="rId349" Type="http://schemas.openxmlformats.org/officeDocument/2006/relationships/header" Target="header124.xml"/><Relationship Id="rId350" Type="http://schemas.openxmlformats.org/officeDocument/2006/relationships/footer" Target="footer120.xml"/><Relationship Id="rId351" Type="http://schemas.openxmlformats.org/officeDocument/2006/relationships/footer" Target="footer121.xml"/><Relationship Id="rId352" Type="http://schemas.openxmlformats.org/officeDocument/2006/relationships/hyperlink" Target="http://thingsthatwork.urc.org.uk/" TargetMode="External"/><Relationship Id="rId353" Type="http://schemas.openxmlformats.org/officeDocument/2006/relationships/header" Target="header125.xml"/><Relationship Id="rId354" Type="http://schemas.openxmlformats.org/officeDocument/2006/relationships/header" Target="header126.xml"/><Relationship Id="rId355" Type="http://schemas.openxmlformats.org/officeDocument/2006/relationships/footer" Target="footer122.xml"/><Relationship Id="rId356" Type="http://schemas.openxmlformats.org/officeDocument/2006/relationships/header" Target="header127.xml"/><Relationship Id="rId357" Type="http://schemas.openxmlformats.org/officeDocument/2006/relationships/footer" Target="footer123.xml"/><Relationship Id="rId358" Type="http://schemas.openxmlformats.org/officeDocument/2006/relationships/hyperlink" Target="mailto:scorchard@btinternet.com" TargetMode="External"/><Relationship Id="rId359" Type="http://schemas.openxmlformats.org/officeDocument/2006/relationships/header" Target="header128.xml"/><Relationship Id="rId360" Type="http://schemas.openxmlformats.org/officeDocument/2006/relationships/footer" Target="footer124.xml"/><Relationship Id="rId361" Type="http://schemas.openxmlformats.org/officeDocument/2006/relationships/footer" Target="footer125.xml"/><Relationship Id="rId362" Type="http://schemas.openxmlformats.org/officeDocument/2006/relationships/header" Target="header129.xml"/><Relationship Id="rId363" Type="http://schemas.openxmlformats.org/officeDocument/2006/relationships/header" Target="header130.xml"/><Relationship Id="rId364" Type="http://schemas.openxmlformats.org/officeDocument/2006/relationships/footer" Target="footer126.xml"/><Relationship Id="rId365" Type="http://schemas.openxmlformats.org/officeDocument/2006/relationships/footer" Target="footer127.xml"/><Relationship Id="rId366" Type="http://schemas.openxmlformats.org/officeDocument/2006/relationships/hyperlink" Target="mailto:moderator@urcsouthern.org.uk" TargetMode="External"/><Relationship Id="rId367" Type="http://schemas.openxmlformats.org/officeDocument/2006/relationships/header" Target="header131.xml"/><Relationship Id="rId368" Type="http://schemas.openxmlformats.org/officeDocument/2006/relationships/hyperlink" Target="mailto:print@urc.org.uk" TargetMode="External"/><Relationship Id="rId369" Type="http://schemas.openxmlformats.org/officeDocument/2006/relationships/header" Target="header132.xml"/><Relationship Id="rId370" Type="http://schemas.openxmlformats.org/officeDocument/2006/relationships/footer" Target="footer128.xml"/><Relationship Id="rId371" Type="http://schemas.openxmlformats.org/officeDocument/2006/relationships/footer" Target="footer129.xml"/><Relationship Id="rId372" Type="http://schemas.openxmlformats.org/officeDocument/2006/relationships/header" Target="header133.xml"/><Relationship Id="rId373" Type="http://schemas.openxmlformats.org/officeDocument/2006/relationships/header" Target="header134.xml"/><Relationship Id="rId374" Type="http://schemas.openxmlformats.org/officeDocument/2006/relationships/footer" Target="footer130.xml"/><Relationship Id="rId375" Type="http://schemas.openxmlformats.org/officeDocument/2006/relationships/footer" Target="footer131.xml"/><Relationship Id="rId376" Type="http://schemas.openxmlformats.org/officeDocument/2006/relationships/hyperlink" Target="mailto:john.ellis@urc.org.uk" TargetMode="External"/><Relationship Id="rId377" Type="http://schemas.openxmlformats.org/officeDocument/2006/relationships/header" Target="header135.xml"/><Relationship Id="rId378" Type="http://schemas.openxmlformats.org/officeDocument/2006/relationships/header" Target="header136.xml"/><Relationship Id="rId379" Type="http://schemas.openxmlformats.org/officeDocument/2006/relationships/footer" Target="footer132.xml"/><Relationship Id="rId380" Type="http://schemas.openxmlformats.org/officeDocument/2006/relationships/header" Target="header137.xml"/><Relationship Id="rId381" Type="http://schemas.openxmlformats.org/officeDocument/2006/relationships/footer" Target="footer133.xml"/><Relationship Id="rId382" Type="http://schemas.openxmlformats.org/officeDocument/2006/relationships/header" Target="header138.xml"/><Relationship Id="rId383" Type="http://schemas.openxmlformats.org/officeDocument/2006/relationships/footer" Target="footer134.xml"/><Relationship Id="rId384" Type="http://schemas.openxmlformats.org/officeDocument/2006/relationships/hyperlink" Target="http://www.cmcu.org.uk/" TargetMode="External"/><Relationship Id="rId385" Type="http://schemas.openxmlformats.org/officeDocument/2006/relationships/header" Target="header139.xml"/><Relationship Id="rId386" Type="http://schemas.openxmlformats.org/officeDocument/2006/relationships/footer" Target="footer135.xml"/><Relationship Id="rId387" Type="http://schemas.openxmlformats.org/officeDocument/2006/relationships/header" Target="header140.xml"/><Relationship Id="rId388" Type="http://schemas.openxmlformats.org/officeDocument/2006/relationships/footer" Target="footer136.xml"/><Relationship Id="rId389" Type="http://schemas.openxmlformats.org/officeDocument/2006/relationships/header" Target="header141.xml"/><Relationship Id="rId390" Type="http://schemas.openxmlformats.org/officeDocument/2006/relationships/footer" Target="footer137.xml"/><Relationship Id="rId391" Type="http://schemas.openxmlformats.org/officeDocument/2006/relationships/hyperlink" Target="mailto:ministries@urc.org.uk" TargetMode="External"/><Relationship Id="rId392" Type="http://schemas.openxmlformats.org/officeDocument/2006/relationships/header" Target="header142.xml"/><Relationship Id="rId393" Type="http://schemas.openxmlformats.org/officeDocument/2006/relationships/footer" Target="footer138.xml"/><Relationship Id="rId394" Type="http://schemas.openxmlformats.org/officeDocument/2006/relationships/footer" Target="footer139.xml"/><Relationship Id="rId395" Type="http://schemas.openxmlformats.org/officeDocument/2006/relationships/header" Target="header143.xml"/><Relationship Id="rId396" Type="http://schemas.openxmlformats.org/officeDocument/2006/relationships/hyperlink" Target="http://www.urc.org.uk/discipleship/ministries-commitee-home/managing-ministry-pressure-better.html" TargetMode="External"/><Relationship Id="rId397" Type="http://schemas.openxmlformats.org/officeDocument/2006/relationships/header" Target="header144.xml"/><Relationship Id="rId398" Type="http://schemas.openxmlformats.org/officeDocument/2006/relationships/footer" Target="footer140.xml"/><Relationship Id="rId399" Type="http://schemas.openxmlformats.org/officeDocument/2006/relationships/footer" Target="footer141.xml"/><Relationship Id="rId400" Type="http://schemas.openxmlformats.org/officeDocument/2006/relationships/header" Target="header145.xml"/><Relationship Id="rId401" Type="http://schemas.openxmlformats.org/officeDocument/2006/relationships/header" Target="header146.xml"/><Relationship Id="rId402" Type="http://schemas.openxmlformats.org/officeDocument/2006/relationships/footer" Target="footer142.xml"/><Relationship Id="rId403" Type="http://schemas.openxmlformats.org/officeDocument/2006/relationships/footer" Target="footer143.xml"/><Relationship Id="rId404" Type="http://schemas.openxmlformats.org/officeDocument/2006/relationships/header" Target="header147.xml"/><Relationship Id="rId405" Type="http://schemas.openxmlformats.org/officeDocument/2006/relationships/header" Target="header148.xml"/><Relationship Id="rId406" Type="http://schemas.openxmlformats.org/officeDocument/2006/relationships/footer" Target="footer144.xml"/><Relationship Id="rId407" Type="http://schemas.openxmlformats.org/officeDocument/2006/relationships/footer" Target="footer145.xml"/><Relationship Id="rId408" Type="http://schemas.openxmlformats.org/officeDocument/2006/relationships/hyperlink" Target="http://www.urc.org.uk/discipleship/church-related-community-work" TargetMode="External"/><Relationship Id="rId409" Type="http://schemas.openxmlformats.org/officeDocument/2006/relationships/header" Target="header149.xml"/><Relationship Id="rId410" Type="http://schemas.openxmlformats.org/officeDocument/2006/relationships/header" Target="header150.xml"/><Relationship Id="rId411" Type="http://schemas.openxmlformats.org/officeDocument/2006/relationships/footer" Target="footer146.xml"/><Relationship Id="rId412" Type="http://schemas.openxmlformats.org/officeDocument/2006/relationships/footer" Target="footer147.xml"/><Relationship Id="rId413" Type="http://schemas.openxmlformats.org/officeDocument/2006/relationships/header" Target="header151.xml"/><Relationship Id="rId414" Type="http://schemas.openxmlformats.org/officeDocument/2006/relationships/header" Target="header152.xml"/><Relationship Id="rId415" Type="http://schemas.openxmlformats.org/officeDocument/2006/relationships/footer" Target="footer148.xml"/><Relationship Id="rId416" Type="http://schemas.openxmlformats.org/officeDocument/2006/relationships/header" Target="header153.xml"/><Relationship Id="rId417" Type="http://schemas.openxmlformats.org/officeDocument/2006/relationships/footer" Target="footer149.xml"/><Relationship Id="rId418" Type="http://schemas.openxmlformats.org/officeDocument/2006/relationships/header" Target="header154.xml"/><Relationship Id="rId419" Type="http://schemas.openxmlformats.org/officeDocument/2006/relationships/footer" Target="footer150.xml"/><Relationship Id="rId420" Type="http://schemas.openxmlformats.org/officeDocument/2006/relationships/header" Target="header155.xml"/><Relationship Id="rId421" Type="http://schemas.openxmlformats.org/officeDocument/2006/relationships/footer" Target="footer151.xml"/><Relationship Id="rId422" Type="http://schemas.openxmlformats.org/officeDocument/2006/relationships/footer" Target="footer152.xml"/><Relationship Id="rId423" Type="http://schemas.openxmlformats.org/officeDocument/2006/relationships/header" Target="header156.xml"/><Relationship Id="rId424" Type="http://schemas.openxmlformats.org/officeDocument/2006/relationships/header" Target="header157.xml"/><Relationship Id="rId425" Type="http://schemas.openxmlformats.org/officeDocument/2006/relationships/footer" Target="footer153.xml"/><Relationship Id="rId426" Type="http://schemas.openxmlformats.org/officeDocument/2006/relationships/footer" Target="footer154.xml"/><Relationship Id="rId427" Type="http://schemas.openxmlformats.org/officeDocument/2006/relationships/header" Target="header158.xml"/><Relationship Id="rId428" Type="http://schemas.openxmlformats.org/officeDocument/2006/relationships/header" Target="header159.xml"/><Relationship Id="rId429" Type="http://schemas.openxmlformats.org/officeDocument/2006/relationships/footer" Target="footer155.xml"/><Relationship Id="rId430" Type="http://schemas.openxmlformats.org/officeDocument/2006/relationships/footer" Target="footer156.xml"/><Relationship Id="rId431" Type="http://schemas.openxmlformats.org/officeDocument/2006/relationships/header" Target="header160.xml"/><Relationship Id="rId432" Type="http://schemas.openxmlformats.org/officeDocument/2006/relationships/header" Target="header161.xml"/><Relationship Id="rId433" Type="http://schemas.openxmlformats.org/officeDocument/2006/relationships/footer" Target="footer157.xml"/><Relationship Id="rId434" Type="http://schemas.openxmlformats.org/officeDocument/2006/relationships/header" Target="header162.xml"/><Relationship Id="rId435" Type="http://schemas.openxmlformats.org/officeDocument/2006/relationships/footer" Target="footer158.xml"/><Relationship Id="rId436" Type="http://schemas.openxmlformats.org/officeDocument/2006/relationships/header" Target="header163.xml"/><Relationship Id="rId437" Type="http://schemas.openxmlformats.org/officeDocument/2006/relationships/footer" Target="footer159.xml"/><Relationship Id="rId438" Type="http://schemas.openxmlformats.org/officeDocument/2006/relationships/header" Target="header164.xml"/><Relationship Id="rId439" Type="http://schemas.openxmlformats.org/officeDocument/2006/relationships/footer" Target="footer160.xml"/><Relationship Id="rId440" Type="http://schemas.openxmlformats.org/officeDocument/2006/relationships/header" Target="header165.xml"/><Relationship Id="rId441" Type="http://schemas.openxmlformats.org/officeDocument/2006/relationships/footer" Target="footer161.xml"/><Relationship Id="rId442" Type="http://schemas.openxmlformats.org/officeDocument/2006/relationships/header" Target="header166.xml"/><Relationship Id="rId443" Type="http://schemas.openxmlformats.org/officeDocument/2006/relationships/footer" Target="footer162.xml"/><Relationship Id="rId444" Type="http://schemas.openxmlformats.org/officeDocument/2006/relationships/hyperlink" Target="mailto:francis.brienen@urc.org.uk" TargetMode="External"/><Relationship Id="rId445" Type="http://schemas.openxmlformats.org/officeDocument/2006/relationships/header" Target="header167.xml"/><Relationship Id="rId446" Type="http://schemas.openxmlformats.org/officeDocument/2006/relationships/footer" Target="footer163.xml"/><Relationship Id="rId447" Type="http://schemas.openxmlformats.org/officeDocument/2006/relationships/footer" Target="footer164.xml"/><Relationship Id="rId448" Type="http://schemas.openxmlformats.org/officeDocument/2006/relationships/header" Target="header168.xml"/><Relationship Id="rId449" Type="http://schemas.openxmlformats.org/officeDocument/2006/relationships/header" Target="header169.xml"/><Relationship Id="rId450" Type="http://schemas.openxmlformats.org/officeDocument/2006/relationships/footer" Target="footer165.xml"/><Relationship Id="rId451" Type="http://schemas.openxmlformats.org/officeDocument/2006/relationships/footer" Target="footer166.xml"/><Relationship Id="rId452" Type="http://schemas.openxmlformats.org/officeDocument/2006/relationships/header" Target="header170.xml"/><Relationship Id="rId453" Type="http://schemas.openxmlformats.org/officeDocument/2006/relationships/header" Target="header171.xml"/><Relationship Id="rId454" Type="http://schemas.openxmlformats.org/officeDocument/2006/relationships/footer" Target="footer167.xml"/><Relationship Id="rId455" Type="http://schemas.openxmlformats.org/officeDocument/2006/relationships/footer" Target="footer168.xml"/><Relationship Id="rId456" Type="http://schemas.openxmlformats.org/officeDocument/2006/relationships/hyperlink" Target="http://www.cforl.org.uk/" TargetMode="External"/><Relationship Id="rId457" Type="http://schemas.openxmlformats.org/officeDocument/2006/relationships/header" Target="header172.xml"/><Relationship Id="rId458" Type="http://schemas.openxmlformats.org/officeDocument/2006/relationships/header" Target="header173.xml"/><Relationship Id="rId459" Type="http://schemas.openxmlformats.org/officeDocument/2006/relationships/footer" Target="footer169.xml"/><Relationship Id="rId460" Type="http://schemas.openxmlformats.org/officeDocument/2006/relationships/footer" Target="footer170.xml"/><Relationship Id="rId461" Type="http://schemas.openxmlformats.org/officeDocument/2006/relationships/header" Target="header174.xml"/><Relationship Id="rId462" Type="http://schemas.openxmlformats.org/officeDocument/2006/relationships/hyperlink" Target="http://www.urc.org.uk/mission/global-and-intercultural-ministries.html" TargetMode="External"/><Relationship Id="rId463" Type="http://schemas.openxmlformats.org/officeDocument/2006/relationships/header" Target="header175.xml"/><Relationship Id="rId464" Type="http://schemas.openxmlformats.org/officeDocument/2006/relationships/footer" Target="footer171.xml"/><Relationship Id="rId465" Type="http://schemas.openxmlformats.org/officeDocument/2006/relationships/footer" Target="footer172.xml"/><Relationship Id="rId466" Type="http://schemas.openxmlformats.org/officeDocument/2006/relationships/hyperlink" Target="http://www.urc.org.uk/at-home-mission.html" TargetMode="External"/><Relationship Id="rId467" Type="http://schemas.openxmlformats.org/officeDocument/2006/relationships/header" Target="header176.xml"/><Relationship Id="rId468" Type="http://schemas.openxmlformats.org/officeDocument/2006/relationships/header" Target="header177.xml"/><Relationship Id="rId469" Type="http://schemas.openxmlformats.org/officeDocument/2006/relationships/footer" Target="footer173.xml"/><Relationship Id="rId470" Type="http://schemas.openxmlformats.org/officeDocument/2006/relationships/footer" Target="footer174.xml"/><Relationship Id="rId471" Type="http://schemas.openxmlformats.org/officeDocument/2006/relationships/hyperlink" Target="http://www.urc.org.uk/intercultural-celebration.html" TargetMode="External"/><Relationship Id="rId472" Type="http://schemas.openxmlformats.org/officeDocument/2006/relationships/header" Target="header178.xml"/><Relationship Id="rId473" Type="http://schemas.openxmlformats.org/officeDocument/2006/relationships/hyperlink" Target="https://outlook.hostedservice2.net/owa/redir.aspx?C=wyclxx5ncEafm6uo0kYBqkeroT-dX9NIZvvo_vkKx8kz3EeTQOvra0BMzsIGzrHEwMjxowPA1gs.&amp;URL=http%3a%2f%2fwww.thingsthatwork.urc.org.uk" TargetMode="External"/><Relationship Id="rId474" Type="http://schemas.openxmlformats.org/officeDocument/2006/relationships/hyperlink" Target="http://www.urc.org.uk/mission" TargetMode="External"/><Relationship Id="rId475" Type="http://schemas.openxmlformats.org/officeDocument/2006/relationships/header" Target="header179.xml"/><Relationship Id="rId476" Type="http://schemas.openxmlformats.org/officeDocument/2006/relationships/footer" Target="footer175.xml"/><Relationship Id="rId477" Type="http://schemas.openxmlformats.org/officeDocument/2006/relationships/footer" Target="footer176.xml"/><Relationship Id="rId478" Type="http://schemas.openxmlformats.org/officeDocument/2006/relationships/header" Target="header180.xml"/><Relationship Id="rId479" Type="http://schemas.openxmlformats.org/officeDocument/2006/relationships/hyperlink" Target="http://www.talkingjesus.org/" TargetMode="External"/><Relationship Id="rId480" Type="http://schemas.openxmlformats.org/officeDocument/2006/relationships/header" Target="header181.xml"/><Relationship Id="rId481" Type="http://schemas.openxmlformats.org/officeDocument/2006/relationships/footer" Target="footer177.xml"/><Relationship Id="rId482" Type="http://schemas.openxmlformats.org/officeDocument/2006/relationships/footer" Target="footer178.xml"/><Relationship Id="rId483" Type="http://schemas.openxmlformats.org/officeDocument/2006/relationships/hyperlink" Target="http://www.arthurrankcentre.org.uk/" TargetMode="External"/><Relationship Id="rId484" Type="http://schemas.openxmlformats.org/officeDocument/2006/relationships/header" Target="header182.xml"/><Relationship Id="rId485" Type="http://schemas.openxmlformats.org/officeDocument/2006/relationships/header" Target="header183.xml"/><Relationship Id="rId486" Type="http://schemas.openxmlformats.org/officeDocument/2006/relationships/footer" Target="footer179.xml"/><Relationship Id="rId487" Type="http://schemas.openxmlformats.org/officeDocument/2006/relationships/header" Target="header184.xml"/><Relationship Id="rId488" Type="http://schemas.openxmlformats.org/officeDocument/2006/relationships/footer" Target="footer180.xml"/><Relationship Id="rId489" Type="http://schemas.openxmlformats.org/officeDocument/2006/relationships/hyperlink" Target="mailto:grace.pengelly@urc.org.uk" TargetMode="External"/><Relationship Id="rId490" Type="http://schemas.openxmlformats.org/officeDocument/2006/relationships/header" Target="header185.xml"/><Relationship Id="rId491" Type="http://schemas.openxmlformats.org/officeDocument/2006/relationships/footer" Target="footer181.xml"/><Relationship Id="rId492" Type="http://schemas.openxmlformats.org/officeDocument/2006/relationships/header" Target="header186.xml"/><Relationship Id="rId493" Type="http://schemas.openxmlformats.org/officeDocument/2006/relationships/footer" Target="footer182.xml"/><Relationship Id="rId494" Type="http://schemas.openxmlformats.org/officeDocument/2006/relationships/footer" Target="footer183.xml"/><Relationship Id="rId495" Type="http://schemas.openxmlformats.org/officeDocument/2006/relationships/hyperlink" Target="http://www.christian-ecology.org.uk/bap-env.htm" TargetMode="External"/><Relationship Id="rId496" Type="http://schemas.openxmlformats.org/officeDocument/2006/relationships/header" Target="header187.xml"/><Relationship Id="rId497" Type="http://schemas.openxmlformats.org/officeDocument/2006/relationships/hyperlink" Target="https://www.churchofengland.org/media-centre/news/2015/06/archbishop-of-canterbury-join-faith-leaders-in-call-for-urgent-action-to-tackle-climate-change.aspx" TargetMode="External"/><Relationship Id="rId498" Type="http://schemas.openxmlformats.org/officeDocument/2006/relationships/hyperlink" Target="https://www.urc.org.uk/what_we_do/mission/documents/vision2020genlassembly_report.pdf" TargetMode="External"/><Relationship Id="rId499" Type="http://schemas.openxmlformats.org/officeDocument/2006/relationships/hyperlink" Target="http://arocha.org.uk/our-activities/living-lightly-take-action" TargetMode="External"/><Relationship Id="rId500" Type="http://schemas.openxmlformats.org/officeDocument/2006/relationships/header" Target="header188.xml"/><Relationship Id="rId501" Type="http://schemas.openxmlformats.org/officeDocument/2006/relationships/footer" Target="footer184.xml"/><Relationship Id="rId502" Type="http://schemas.openxmlformats.org/officeDocument/2006/relationships/footer" Target="footer185.xml"/><Relationship Id="rId503" Type="http://schemas.openxmlformats.org/officeDocument/2006/relationships/hyperlink" Target="http://www.ecochurch.arocha.org.uk/" TargetMode="External"/><Relationship Id="rId504" Type="http://schemas.openxmlformats.org/officeDocument/2006/relationships/hyperlink" Target="http://www.ecocongregationscotland.org/wp-content/uploads/2012/11/Greening-Church-Buildings.pdf" TargetMode="External"/><Relationship Id="rId505" Type="http://schemas.openxmlformats.org/officeDocument/2006/relationships/hyperlink" Target="http://www.oikoumene.org/en/what-we-do/climate-change/time-for-creation" TargetMode="External"/><Relationship Id="rId506" Type="http://schemas.openxmlformats.org/officeDocument/2006/relationships/header" Target="header189.xml"/><Relationship Id="rId507" Type="http://schemas.openxmlformats.org/officeDocument/2006/relationships/hyperlink" Target="http://www.ecocongregationscotland.org/" TargetMode="External"/><Relationship Id="rId508" Type="http://schemas.openxmlformats.org/officeDocument/2006/relationships/hyperlink" Target="http://operationnoah.org/" TargetMode="External"/><Relationship Id="rId509" Type="http://schemas.openxmlformats.org/officeDocument/2006/relationships/hyperlink" Target="http://www.greenchristian.org.uk/" TargetMode="External"/><Relationship Id="rId510" Type="http://schemas.openxmlformats.org/officeDocument/2006/relationships/hyperlink" Target="http://arocha.org.uk/" TargetMode="External"/><Relationship Id="rId511" Type="http://schemas.openxmlformats.org/officeDocument/2006/relationships/hyperlink" Target="http://www.climatestewards.org/" TargetMode="External"/><Relationship Id="rId512" Type="http://schemas.openxmlformats.org/officeDocument/2006/relationships/hyperlink" Target="http://www.greenchristian.org.uk/churches-in-transition" TargetMode="External"/><Relationship Id="rId513" Type="http://schemas.openxmlformats.org/officeDocument/2006/relationships/header" Target="header190.xml"/><Relationship Id="rId514" Type="http://schemas.openxmlformats.org/officeDocument/2006/relationships/footer" Target="footer186.xml"/><Relationship Id="rId515" Type="http://schemas.openxmlformats.org/officeDocument/2006/relationships/header" Target="header191.xml"/><Relationship Id="rId516" Type="http://schemas.openxmlformats.org/officeDocument/2006/relationships/footer" Target="footer187.xml"/><Relationship Id="rId517" Type="http://schemas.openxmlformats.org/officeDocument/2006/relationships/header" Target="header192.xml"/><Relationship Id="rId518" Type="http://schemas.openxmlformats.org/officeDocument/2006/relationships/footer" Target="footer188.xml"/><Relationship Id="rId519" Type="http://schemas.openxmlformats.org/officeDocument/2006/relationships/header" Target="header193.xml"/><Relationship Id="rId520" Type="http://schemas.openxmlformats.org/officeDocument/2006/relationships/footer" Target="footer189.xml"/><Relationship Id="rId521" Type="http://schemas.openxmlformats.org/officeDocument/2006/relationships/header" Target="header194.xml"/><Relationship Id="rId522" Type="http://schemas.openxmlformats.org/officeDocument/2006/relationships/footer" Target="footer190.xml"/><Relationship Id="rId523" Type="http://schemas.openxmlformats.org/officeDocument/2006/relationships/hyperlink" Target="http://www.article36.org/wp-content/uploads/2013/10/Banning-without.pdf" TargetMode="External"/><Relationship Id="rId524" Type="http://schemas.openxmlformats.org/officeDocument/2006/relationships/header" Target="header195.xml"/><Relationship Id="rId525" Type="http://schemas.openxmlformats.org/officeDocument/2006/relationships/footer" Target="footer191.xml"/><Relationship Id="rId526" Type="http://schemas.openxmlformats.org/officeDocument/2006/relationships/header" Target="header196.xml"/><Relationship Id="rId527" Type="http://schemas.openxmlformats.org/officeDocument/2006/relationships/footer" Target="footer192.xml"/><Relationship Id="rId528" Type="http://schemas.openxmlformats.org/officeDocument/2006/relationships/header" Target="header197.xml"/><Relationship Id="rId529" Type="http://schemas.openxmlformats.org/officeDocument/2006/relationships/footer" Target="footer193.xml"/><Relationship Id="rId530" Type="http://schemas.openxmlformats.org/officeDocument/2006/relationships/header" Target="header198.xml"/><Relationship Id="rId531" Type="http://schemas.openxmlformats.org/officeDocument/2006/relationships/footer" Target="footer194.xml"/><Relationship Id="rId532" Type="http://schemas.openxmlformats.org/officeDocument/2006/relationships/image" Target="media/image70.png"/><Relationship Id="rId533" Type="http://schemas.openxmlformats.org/officeDocument/2006/relationships/hyperlink" Target="mailto:carannrog@aol.com" TargetMode="External"/><Relationship Id="rId534" Type="http://schemas.openxmlformats.org/officeDocument/2006/relationships/header" Target="header199.xml"/><Relationship Id="rId535" Type="http://schemas.openxmlformats.org/officeDocument/2006/relationships/footer" Target="footer195.xml"/><Relationship Id="rId536" Type="http://schemas.openxmlformats.org/officeDocument/2006/relationships/footer" Target="footer196.xml"/><Relationship Id="rId537" Type="http://schemas.openxmlformats.org/officeDocument/2006/relationships/image" Target="media/image71.png"/><Relationship Id="rId538" Type="http://schemas.openxmlformats.org/officeDocument/2006/relationships/header" Target="header200.xml"/><Relationship Id="rId539" Type="http://schemas.openxmlformats.org/officeDocument/2006/relationships/header" Target="header201.xml"/><Relationship Id="rId540" Type="http://schemas.openxmlformats.org/officeDocument/2006/relationships/footer" Target="footer197.xml"/><Relationship Id="rId541" Type="http://schemas.openxmlformats.org/officeDocument/2006/relationships/footer" Target="footer198.xml"/><Relationship Id="rId542" Type="http://schemas.openxmlformats.org/officeDocument/2006/relationships/header" Target="header202.xml"/><Relationship Id="rId543" Type="http://schemas.openxmlformats.org/officeDocument/2006/relationships/header" Target="header203.xml"/><Relationship Id="rId544" Type="http://schemas.openxmlformats.org/officeDocument/2006/relationships/footer" Target="footer199.xml"/><Relationship Id="rId545" Type="http://schemas.openxmlformats.org/officeDocument/2006/relationships/footer" Target="footer200.xml"/><Relationship Id="rId546" Type="http://schemas.openxmlformats.org/officeDocument/2006/relationships/header" Target="header204.xml"/><Relationship Id="rId547" Type="http://schemas.openxmlformats.org/officeDocument/2006/relationships/header" Target="header205.xml"/><Relationship Id="rId548" Type="http://schemas.openxmlformats.org/officeDocument/2006/relationships/footer" Target="footer201.xml"/><Relationship Id="rId549" Type="http://schemas.openxmlformats.org/officeDocument/2006/relationships/footer" Target="footer202.xml"/><Relationship Id="rId550" Type="http://schemas.openxmlformats.org/officeDocument/2006/relationships/header" Target="header206.xml"/><Relationship Id="rId551" Type="http://schemas.openxmlformats.org/officeDocument/2006/relationships/header" Target="header207.xml"/><Relationship Id="rId552" Type="http://schemas.openxmlformats.org/officeDocument/2006/relationships/footer" Target="footer203.xml"/><Relationship Id="rId553" Type="http://schemas.openxmlformats.org/officeDocument/2006/relationships/footer" Target="footer204.xml"/><Relationship Id="rId554" Type="http://schemas.openxmlformats.org/officeDocument/2006/relationships/header" Target="header208.xml"/><Relationship Id="rId555" Type="http://schemas.openxmlformats.org/officeDocument/2006/relationships/header" Target="header209.xml"/><Relationship Id="rId556" Type="http://schemas.openxmlformats.org/officeDocument/2006/relationships/footer" Target="footer205.xml"/><Relationship Id="rId557" Type="http://schemas.openxmlformats.org/officeDocument/2006/relationships/footer" Target="footer206.xml"/><Relationship Id="rId558" Type="http://schemas.openxmlformats.org/officeDocument/2006/relationships/header" Target="header210.xml"/><Relationship Id="rId559" Type="http://schemas.openxmlformats.org/officeDocument/2006/relationships/header" Target="header211.xml"/><Relationship Id="rId560" Type="http://schemas.openxmlformats.org/officeDocument/2006/relationships/footer" Target="footer207.xml"/><Relationship Id="rId561" Type="http://schemas.openxmlformats.org/officeDocument/2006/relationships/footer" Target="footer208.xml"/><Relationship Id="rId562" Type="http://schemas.openxmlformats.org/officeDocument/2006/relationships/header" Target="header212.xml"/><Relationship Id="rId563" Type="http://schemas.openxmlformats.org/officeDocument/2006/relationships/header" Target="header213.xml"/><Relationship Id="rId564" Type="http://schemas.openxmlformats.org/officeDocument/2006/relationships/footer" Target="footer209.xml"/><Relationship Id="rId565" Type="http://schemas.openxmlformats.org/officeDocument/2006/relationships/footer" Target="footer210.xml"/><Relationship Id="rId566" Type="http://schemas.openxmlformats.org/officeDocument/2006/relationships/header" Target="header214.xml"/><Relationship Id="rId567" Type="http://schemas.openxmlformats.org/officeDocument/2006/relationships/header" Target="header215.xml"/><Relationship Id="rId568" Type="http://schemas.openxmlformats.org/officeDocument/2006/relationships/footer" Target="footer211.xml"/><Relationship Id="rId569" Type="http://schemas.openxmlformats.org/officeDocument/2006/relationships/footer" Target="footer212.xml"/><Relationship Id="rId570" Type="http://schemas.openxmlformats.org/officeDocument/2006/relationships/header" Target="header216.xml"/><Relationship Id="rId571" Type="http://schemas.openxmlformats.org/officeDocument/2006/relationships/header" Target="header217.xml"/><Relationship Id="rId572" Type="http://schemas.openxmlformats.org/officeDocument/2006/relationships/footer" Target="footer213.xml"/><Relationship Id="rId573" Type="http://schemas.openxmlformats.org/officeDocument/2006/relationships/footer" Target="footer214.xml"/><Relationship Id="rId574" Type="http://schemas.openxmlformats.org/officeDocument/2006/relationships/hyperlink" Target="mailto:moderator@urceastern.org.uk" TargetMode="External"/><Relationship Id="rId575" Type="http://schemas.openxmlformats.org/officeDocument/2006/relationships/hyperlink" Target="mailto:jane@urcwgc.org.uk" TargetMode="External"/><Relationship Id="rId576" Type="http://schemas.openxmlformats.org/officeDocument/2006/relationships/hyperlink" Target="mailto:appletonn@aol.com" TargetMode="External"/><Relationship Id="rId577" Type="http://schemas.openxmlformats.org/officeDocument/2006/relationships/header" Target="header218.xml"/><Relationship Id="rId578" Type="http://schemas.openxmlformats.org/officeDocument/2006/relationships/header" Target="header219.xml"/><Relationship Id="rId579" Type="http://schemas.openxmlformats.org/officeDocument/2006/relationships/footer" Target="footer215.xml"/><Relationship Id="rId580" Type="http://schemas.openxmlformats.org/officeDocument/2006/relationships/footer" Target="footer216.xml"/><Relationship Id="rId581" Type="http://schemas.openxmlformats.org/officeDocument/2006/relationships/hyperlink" Target="http://kairospalestine.ps/sites/default/files/English.pdf.)" TargetMode="External"/><Relationship Id="rId582" Type="http://schemas.openxmlformats.org/officeDocument/2006/relationships/hyperlink" Target="https://iona.org.uk/2012/06/07/kairos-palestine/" TargetMode="External"/><Relationship Id="rId583" Type="http://schemas.openxmlformats.org/officeDocument/2006/relationships/hyperlink" Target="http://www.churchofscotland.org.uk/__data/assets/pdf_file/0010/14050/the_Inheritance_of_Abraham.pdf" TargetMode="External"/><Relationship Id="rId584" Type="http://schemas.openxmlformats.org/officeDocument/2006/relationships/header" Target="header220.xml"/><Relationship Id="rId585" Type="http://schemas.openxmlformats.org/officeDocument/2006/relationships/header" Target="header221.xml"/><Relationship Id="rId586" Type="http://schemas.openxmlformats.org/officeDocument/2006/relationships/footer" Target="footer217.xml"/><Relationship Id="rId587" Type="http://schemas.openxmlformats.org/officeDocument/2006/relationships/footer" Target="footer218.xml"/><Relationship Id="rId588" Type="http://schemas.openxmlformats.org/officeDocument/2006/relationships/hyperlink" Target="mailto:alanandsheila@googlemail.com" TargetMode="External"/><Relationship Id="rId589" Type="http://schemas.openxmlformats.org/officeDocument/2006/relationships/header" Target="header222.xml"/><Relationship Id="rId590" Type="http://schemas.openxmlformats.org/officeDocument/2006/relationships/header" Target="header223.xml"/><Relationship Id="rId591" Type="http://schemas.openxmlformats.org/officeDocument/2006/relationships/footer" Target="footer219.xml"/><Relationship Id="rId592" Type="http://schemas.openxmlformats.org/officeDocument/2006/relationships/header" Target="header224.xml"/><Relationship Id="rId593" Type="http://schemas.openxmlformats.org/officeDocument/2006/relationships/footer" Target="footer220.xml"/><Relationship Id="rId594" Type="http://schemas.openxmlformats.org/officeDocument/2006/relationships/image" Target="media/image72.jpeg"/><Relationship Id="rId595" Type="http://schemas.openxmlformats.org/officeDocument/2006/relationships/image" Target="media/image73.png"/><Relationship Id="rId596" Type="http://schemas.openxmlformats.org/officeDocument/2006/relationships/image" Target="media/image74.png"/><Relationship Id="rId597" Type="http://schemas.openxmlformats.org/officeDocument/2006/relationships/header" Target="header225.xml"/><Relationship Id="rId598" Type="http://schemas.openxmlformats.org/officeDocument/2006/relationships/footer" Target="footer221.xml"/><Relationship Id="rId599" Type="http://schemas.openxmlformats.org/officeDocument/2006/relationships/footer" Target="footer222.xml"/><Relationship Id="rId600" Type="http://schemas.openxmlformats.org/officeDocument/2006/relationships/image" Target="media/image75.png"/><Relationship Id="rId601" Type="http://schemas.openxmlformats.org/officeDocument/2006/relationships/hyperlink" Target="http://blogs.soas.ac.uk/archives/2015/07/" TargetMode="External"/><Relationship Id="rId602" Type="http://schemas.openxmlformats.org/officeDocument/2006/relationships/header" Target="header226.xml"/><Relationship Id="rId603" Type="http://schemas.openxmlformats.org/officeDocument/2006/relationships/hyperlink" Target="mailto:hw374@cam.ac.uk" TargetMode="External"/><Relationship Id="rId604" Type="http://schemas.openxmlformats.org/officeDocument/2006/relationships/hyperlink" Target="mailto:mt212@cam.ac.uk" TargetMode="External"/><Relationship Id="rId605" Type="http://schemas.openxmlformats.org/officeDocument/2006/relationships/header" Target="header227.xml"/><Relationship Id="rId606" Type="http://schemas.openxmlformats.org/officeDocument/2006/relationships/footer" Target="footer223.xml"/><Relationship Id="rId607" Type="http://schemas.openxmlformats.org/officeDocument/2006/relationships/footer" Target="footer224.xml"/><Relationship Id="rId608" Type="http://schemas.openxmlformats.org/officeDocument/2006/relationships/hyperlink" Target="http://www.urcmusic.org.uk/" TargetMode="External"/><Relationship Id="rId609" Type="http://schemas.openxmlformats.org/officeDocument/2006/relationships/hyperlink" Target="mailto:webmaster@urcmusic.org.uk" TargetMode="External"/><Relationship Id="rId610" Type="http://schemas.openxmlformats.org/officeDocument/2006/relationships/header" Target="header228.xml"/><Relationship Id="rId611" Type="http://schemas.openxmlformats.org/officeDocument/2006/relationships/header" Target="header229.xml"/><Relationship Id="rId612" Type="http://schemas.openxmlformats.org/officeDocument/2006/relationships/footer" Target="footer225.xml"/><Relationship Id="rId613" Type="http://schemas.openxmlformats.org/officeDocument/2006/relationships/footer" Target="footer226.xml"/><Relationship Id="rId614" Type="http://schemas.openxmlformats.org/officeDocument/2006/relationships/hyperlink" Target="http://www.bishopsstortfordcollege.org/" TargetMode="External"/><Relationship Id="rId615" Type="http://schemas.openxmlformats.org/officeDocument/2006/relationships/hyperlink" Target="http://www.silcoates.org.uk/" TargetMode="External"/><Relationship Id="rId616" Type="http://schemas.openxmlformats.org/officeDocument/2006/relationships/header" Target="header230.xml"/><Relationship Id="rId617" Type="http://schemas.openxmlformats.org/officeDocument/2006/relationships/header" Target="header231.xml"/><Relationship Id="rId618" Type="http://schemas.openxmlformats.org/officeDocument/2006/relationships/footer" Target="footer227.xml"/><Relationship Id="rId619" Type="http://schemas.openxmlformats.org/officeDocument/2006/relationships/footer" Target="footer228.xml"/><Relationship Id="rId620" Type="http://schemas.openxmlformats.org/officeDocument/2006/relationships/header" Target="header232.xml"/><Relationship Id="rId621" Type="http://schemas.openxmlformats.org/officeDocument/2006/relationships/hyperlink" Target="http://www.wdpscotland.org.uk/" TargetMode="External"/><Relationship Id="rId622" Type="http://schemas.openxmlformats.org/officeDocument/2006/relationships/header" Target="header233.xml"/><Relationship Id="rId623" Type="http://schemas.openxmlformats.org/officeDocument/2006/relationships/footer" Target="footer229.xml"/><Relationship Id="rId624" Type="http://schemas.openxmlformats.org/officeDocument/2006/relationships/header" Target="header234.xml"/><Relationship Id="rId625" Type="http://schemas.openxmlformats.org/officeDocument/2006/relationships/footer" Target="footer230.xml"/><Relationship Id="rId626" Type="http://schemas.openxmlformats.org/officeDocument/2006/relationships/image" Target="media/image76.png"/><Relationship Id="rId627" Type="http://schemas.openxmlformats.org/officeDocument/2006/relationships/header" Target="header235.xml"/><Relationship Id="rId628" Type="http://schemas.openxmlformats.org/officeDocument/2006/relationships/footer" Target="footer231.xml"/><Relationship Id="rId629" Type="http://schemas.openxmlformats.org/officeDocument/2006/relationships/footer" Target="footer232.xml"/><Relationship Id="rId630" Type="http://schemas.openxmlformats.org/officeDocument/2006/relationships/image" Target="media/image77.png"/><Relationship Id="rId631" Type="http://schemas.openxmlformats.org/officeDocument/2006/relationships/header" Target="header236.xml"/><Relationship Id="rId632" Type="http://schemas.openxmlformats.org/officeDocument/2006/relationships/header" Target="header237.xml"/><Relationship Id="rId633" Type="http://schemas.openxmlformats.org/officeDocument/2006/relationships/footer" Target="footer233.xml"/><Relationship Id="rId634" Type="http://schemas.openxmlformats.org/officeDocument/2006/relationships/footer" Target="footer234.xml"/><Relationship Id="rId635" Type="http://schemas.openxmlformats.org/officeDocument/2006/relationships/header" Target="header238.xml"/><Relationship Id="rId636" Type="http://schemas.openxmlformats.org/officeDocument/2006/relationships/header" Target="header239.xml"/><Relationship Id="rId637" Type="http://schemas.openxmlformats.org/officeDocument/2006/relationships/footer" Target="footer235.xml"/><Relationship Id="rId638" Type="http://schemas.openxmlformats.org/officeDocument/2006/relationships/footer" Target="footer236.xml"/><Relationship Id="rId639" Type="http://schemas.openxmlformats.org/officeDocument/2006/relationships/header" Target="header240.xml"/><Relationship Id="rId640" Type="http://schemas.openxmlformats.org/officeDocument/2006/relationships/header" Target="header241.xml"/><Relationship Id="rId641" Type="http://schemas.openxmlformats.org/officeDocument/2006/relationships/footer" Target="footer237.xml"/><Relationship Id="rId642" Type="http://schemas.openxmlformats.org/officeDocument/2006/relationships/footer" Target="footer238.xml"/><Relationship Id="rId643" Type="http://schemas.openxmlformats.org/officeDocument/2006/relationships/header" Target="header242.xml"/><Relationship Id="rId644" Type="http://schemas.openxmlformats.org/officeDocument/2006/relationships/header" Target="header243.xml"/><Relationship Id="rId645" Type="http://schemas.openxmlformats.org/officeDocument/2006/relationships/footer" Target="footer239.xml"/><Relationship Id="rId646" Type="http://schemas.openxmlformats.org/officeDocument/2006/relationships/footer" Target="footer240.xml"/><Relationship Id="rId647" Type="http://schemas.openxmlformats.org/officeDocument/2006/relationships/header" Target="header244.xml"/><Relationship Id="rId648" Type="http://schemas.openxmlformats.org/officeDocument/2006/relationships/header" Target="header245.xml"/><Relationship Id="rId649" Type="http://schemas.openxmlformats.org/officeDocument/2006/relationships/footer" Target="footer241.xml"/><Relationship Id="rId650" Type="http://schemas.openxmlformats.org/officeDocument/2006/relationships/footer" Target="footer242.xml"/><Relationship Id="rId651" Type="http://schemas.openxmlformats.org/officeDocument/2006/relationships/header" Target="header246.xml"/><Relationship Id="rId652" Type="http://schemas.openxmlformats.org/officeDocument/2006/relationships/image" Target="media/image78.png"/><Relationship Id="rId653" Type="http://schemas.openxmlformats.org/officeDocument/2006/relationships/header" Target="header247.xml"/><Relationship Id="rId654" Type="http://schemas.openxmlformats.org/officeDocument/2006/relationships/footer" Target="footer243.xml"/><Relationship Id="rId655" Type="http://schemas.openxmlformats.org/officeDocument/2006/relationships/footer" Target="footer244.xml"/><Relationship Id="rId656" Type="http://schemas.openxmlformats.org/officeDocument/2006/relationships/image" Target="media/image79.png"/><Relationship Id="rId657" Type="http://schemas.openxmlformats.org/officeDocument/2006/relationships/header" Target="header248.xml"/><Relationship Id="rId658" Type="http://schemas.openxmlformats.org/officeDocument/2006/relationships/image" Target="media/image80.png"/><Relationship Id="rId659" Type="http://schemas.openxmlformats.org/officeDocument/2006/relationships/header" Target="header249.xml"/><Relationship Id="rId660" Type="http://schemas.openxmlformats.org/officeDocument/2006/relationships/footer" Target="footer245.xml"/><Relationship Id="rId661" Type="http://schemas.openxmlformats.org/officeDocument/2006/relationships/footer" Target="footer246.xml"/><Relationship Id="rId662" Type="http://schemas.openxmlformats.org/officeDocument/2006/relationships/header" Target="header250.xml"/><Relationship Id="rId663" Type="http://schemas.openxmlformats.org/officeDocument/2006/relationships/header" Target="header251.xml"/><Relationship Id="rId664" Type="http://schemas.openxmlformats.org/officeDocument/2006/relationships/footer" Target="footer247.xml"/><Relationship Id="rId665" Type="http://schemas.openxmlformats.org/officeDocument/2006/relationships/footer" Target="footer248.xml"/><Relationship Id="rId666" Type="http://schemas.openxmlformats.org/officeDocument/2006/relationships/header" Target="header252.xml"/><Relationship Id="rId667" Type="http://schemas.openxmlformats.org/officeDocument/2006/relationships/header" Target="header253.xml"/><Relationship Id="rId668" Type="http://schemas.openxmlformats.org/officeDocument/2006/relationships/footer" Target="footer249.xml"/><Relationship Id="rId669" Type="http://schemas.openxmlformats.org/officeDocument/2006/relationships/footer" Target="footer250.xml"/><Relationship Id="rId670" Type="http://schemas.openxmlformats.org/officeDocument/2006/relationships/header" Target="header254.xml"/><Relationship Id="rId671" Type="http://schemas.openxmlformats.org/officeDocument/2006/relationships/header" Target="header255.xml"/><Relationship Id="rId672" Type="http://schemas.openxmlformats.org/officeDocument/2006/relationships/footer" Target="footer251.xml"/><Relationship Id="rId673" Type="http://schemas.openxmlformats.org/officeDocument/2006/relationships/footer" Target="footer252.xml"/><Relationship Id="rId674" Type="http://schemas.openxmlformats.org/officeDocument/2006/relationships/header" Target="header256.xml"/><Relationship Id="rId675" Type="http://schemas.openxmlformats.org/officeDocument/2006/relationships/header" Target="header257.xml"/><Relationship Id="rId676" Type="http://schemas.openxmlformats.org/officeDocument/2006/relationships/footer" Target="footer253.xml"/><Relationship Id="rId677" Type="http://schemas.openxmlformats.org/officeDocument/2006/relationships/footer" Target="footer254.xml"/><Relationship Id="rId678" Type="http://schemas.openxmlformats.org/officeDocument/2006/relationships/image" Target="media/image81.png"/><Relationship Id="rId679" Type="http://schemas.openxmlformats.org/officeDocument/2006/relationships/header" Target="header258.xml"/><Relationship Id="rId680" Type="http://schemas.openxmlformats.org/officeDocument/2006/relationships/header" Target="header259.xml"/><Relationship Id="rId681" Type="http://schemas.openxmlformats.org/officeDocument/2006/relationships/footer" Target="footer255.xml"/><Relationship Id="rId682" Type="http://schemas.openxmlformats.org/officeDocument/2006/relationships/numbering" Target="numbering.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Application>Microsoft Office Word</Application>
  <DocSecurity>0</DocSecurity>
  <ScaleCrop>false</ScaleCrop>
  <LinksUpToDate>false</LinksUpToDate>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2020-01-17T16:17:35Z</dcterms:created>
  <dcterms:modified xsi:type="dcterms:W3CDTF">2020-01-17T16:17:35Z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2016-05-16T00:00:00Z</vt:filetime>
  </property>
  <property fmtid="{D5CDD505-2E9C-101B-9397-08002B2CF9AE}" pid="3" name="Creator">
    <vt:lpwstr>Adobe InDesign CS6 (Macintosh)</vt:lpwstr>
  </property>
  <property fmtid="{D5CDD505-2E9C-101B-9397-08002B2CF9AE}" pid="4" name="LastSaved">
    <vt:filetime>2020-01-17T00:00:00Z</vt:filetime>
  </property>
</Properties>
</file>